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3924B" w14:textId="77777777" w:rsidR="006667AC" w:rsidRDefault="006667AC" w:rsidP="006667AC">
      <w:pPr>
        <w:pStyle w:val="Heading1"/>
        <w:numPr>
          <w:ilvl w:val="0"/>
          <w:numId w:val="0"/>
        </w:numPr>
        <w:pBdr>
          <w:bottom w:val="none" w:sz="0" w:space="0" w:color="auto"/>
        </w:pBdr>
        <w:spacing w:before="0" w:after="360"/>
        <w:ind w:left="788"/>
        <w:jc w:val="center"/>
        <w:rPr>
          <w:rFonts w:ascii="Arial" w:hAnsi="Arial" w:cs="Arial"/>
          <w:b/>
          <w:bCs/>
          <w:color w:val="000080"/>
          <w:sz w:val="36"/>
          <w:szCs w:val="36"/>
        </w:rPr>
      </w:pPr>
      <w:bookmarkStart w:id="0" w:name="_Hlk68005436"/>
      <w:r>
        <w:rPr>
          <w:rFonts w:ascii="Arial" w:hAnsi="Arial" w:cs="Arial"/>
          <w:b/>
          <w:bCs/>
          <w:color w:val="000080"/>
          <w:sz w:val="36"/>
          <w:szCs w:val="36"/>
        </w:rPr>
        <w:t>Medical Services Advisory Committee (MSAC)</w:t>
      </w:r>
      <w:r>
        <w:rPr>
          <w:rFonts w:ascii="Arial" w:hAnsi="Arial" w:cs="Arial"/>
          <w:b/>
          <w:bCs/>
          <w:color w:val="000080"/>
          <w:sz w:val="36"/>
          <w:szCs w:val="36"/>
        </w:rPr>
        <w:br/>
      </w:r>
      <w:r w:rsidRPr="00F76D74">
        <w:rPr>
          <w:rFonts w:ascii="Arial" w:hAnsi="Arial" w:cs="Arial"/>
          <w:b/>
          <w:bCs/>
          <w:color w:val="000080"/>
          <w:sz w:val="36"/>
          <w:szCs w:val="36"/>
        </w:rPr>
        <w:t>Public Summary Document</w:t>
      </w:r>
    </w:p>
    <w:bookmarkEnd w:id="0"/>
    <w:p w14:paraId="241314E4" w14:textId="1F9D348A" w:rsidR="00CF698B" w:rsidRPr="006667AC" w:rsidRDefault="006667AC" w:rsidP="006667AC">
      <w:pPr>
        <w:pStyle w:val="Subtitle"/>
      </w:pPr>
      <w:r>
        <w:t xml:space="preserve">Application </w:t>
      </w:r>
      <w:r w:rsidRPr="006667AC">
        <w:t>1758</w:t>
      </w:r>
      <w:r>
        <w:t xml:space="preserve"> </w:t>
      </w:r>
      <w:r w:rsidRPr="006667AC">
        <w:t>–</w:t>
      </w:r>
      <w:r>
        <w:t xml:space="preserve"> </w:t>
      </w:r>
      <w:r w:rsidRPr="006667AC">
        <w:t xml:space="preserve">Expansion of MBS item numbers 12320 &amp; 12322 for bone mineral density (BMD) testing to include patients </w:t>
      </w:r>
      <w:r>
        <w:br/>
      </w:r>
      <w:r w:rsidRPr="006667AC">
        <w:t xml:space="preserve">aged 60-69 </w:t>
      </w:r>
      <w:proofErr w:type="gramStart"/>
      <w:r w:rsidRPr="006667AC">
        <w:t>years</w:t>
      </w:r>
      <w:proofErr w:type="gramEnd"/>
    </w:p>
    <w:p w14:paraId="40A524D1" w14:textId="435C528E" w:rsidR="00FE03FE" w:rsidRPr="006667AC" w:rsidRDefault="00FE03FE" w:rsidP="006667AC">
      <w:pPr>
        <w:widowControl w:val="0"/>
        <w:tabs>
          <w:tab w:val="left" w:pos="3686"/>
        </w:tabs>
        <w:spacing w:before="120" w:line="259" w:lineRule="auto"/>
        <w:rPr>
          <w:rFonts w:ascii="Arial" w:hAnsi="Arial" w:cs="Arial"/>
          <w:b/>
          <w:szCs w:val="24"/>
        </w:rPr>
      </w:pPr>
      <w:r w:rsidRPr="006667AC">
        <w:rPr>
          <w:rFonts w:ascii="Arial" w:hAnsi="Arial" w:cs="Arial"/>
          <w:b/>
          <w:szCs w:val="24"/>
        </w:rPr>
        <w:t>Applicant:</w:t>
      </w:r>
      <w:r w:rsidRPr="006667AC">
        <w:rPr>
          <w:rFonts w:ascii="Arial" w:hAnsi="Arial" w:cs="Arial"/>
          <w:b/>
          <w:szCs w:val="24"/>
        </w:rPr>
        <w:tab/>
      </w:r>
      <w:r w:rsidR="004E16B4" w:rsidRPr="006667AC">
        <w:rPr>
          <w:rFonts w:ascii="Arial" w:hAnsi="Arial" w:cs="Arial"/>
          <w:b/>
          <w:szCs w:val="24"/>
        </w:rPr>
        <w:t xml:space="preserve">Department </w:t>
      </w:r>
      <w:r w:rsidR="001D7175" w:rsidRPr="006667AC">
        <w:rPr>
          <w:rFonts w:ascii="Arial" w:hAnsi="Arial" w:cs="Arial"/>
          <w:b/>
          <w:szCs w:val="24"/>
        </w:rPr>
        <w:t>of Health and Aged Care</w:t>
      </w:r>
    </w:p>
    <w:p w14:paraId="2112EFD2" w14:textId="0404BF1A" w:rsidR="00CF698B" w:rsidRDefault="00FE03FE" w:rsidP="006667AC">
      <w:pPr>
        <w:widowControl w:val="0"/>
        <w:tabs>
          <w:tab w:val="left" w:pos="3686"/>
        </w:tabs>
        <w:spacing w:before="120" w:line="259" w:lineRule="auto"/>
        <w:rPr>
          <w:rFonts w:ascii="Arial" w:hAnsi="Arial" w:cs="Arial"/>
          <w:b/>
          <w:szCs w:val="24"/>
        </w:rPr>
      </w:pPr>
      <w:r w:rsidRPr="006667AC">
        <w:rPr>
          <w:rFonts w:ascii="Arial" w:hAnsi="Arial" w:cs="Arial"/>
          <w:b/>
          <w:szCs w:val="24"/>
        </w:rPr>
        <w:t xml:space="preserve">Date of </w:t>
      </w:r>
      <w:r w:rsidR="006667AC">
        <w:rPr>
          <w:rFonts w:ascii="Arial" w:hAnsi="Arial" w:cs="Arial"/>
          <w:b/>
          <w:szCs w:val="24"/>
        </w:rPr>
        <w:t>MSAC</w:t>
      </w:r>
      <w:r w:rsidRPr="006667AC">
        <w:rPr>
          <w:rFonts w:ascii="Arial" w:hAnsi="Arial" w:cs="Arial"/>
          <w:b/>
          <w:szCs w:val="24"/>
        </w:rPr>
        <w:t xml:space="preserve"> consideration:</w:t>
      </w:r>
      <w:r w:rsidRPr="006667AC">
        <w:rPr>
          <w:rFonts w:ascii="Arial" w:hAnsi="Arial" w:cs="Arial"/>
          <w:b/>
          <w:szCs w:val="24"/>
        </w:rPr>
        <w:tab/>
      </w:r>
      <w:r w:rsidR="006667AC">
        <w:rPr>
          <w:rFonts w:ascii="Arial" w:hAnsi="Arial" w:cs="Arial"/>
          <w:b/>
          <w:szCs w:val="24"/>
        </w:rPr>
        <w:t>1-2 August</w:t>
      </w:r>
      <w:r w:rsidR="00003EBD" w:rsidRPr="006667AC">
        <w:rPr>
          <w:rFonts w:ascii="Arial" w:hAnsi="Arial" w:cs="Arial"/>
          <w:b/>
          <w:szCs w:val="24"/>
        </w:rPr>
        <w:t xml:space="preserve"> 2024</w:t>
      </w:r>
    </w:p>
    <w:p w14:paraId="3CABC43E" w14:textId="77777777" w:rsidR="006667AC" w:rsidRPr="006667AC" w:rsidRDefault="006667AC" w:rsidP="006667AC">
      <w:pPr>
        <w:spacing w:after="360"/>
        <w:rPr>
          <w:rFonts w:ascii="Franklin Gothic Book" w:hAnsi="Franklin Gothic Book"/>
          <w:color w:val="0000FF"/>
          <w:szCs w:val="24"/>
          <w:u w:val="single"/>
        </w:rPr>
      </w:pPr>
      <w:r w:rsidRPr="006667AC">
        <w:rPr>
          <w:rFonts w:ascii="Franklin Gothic Book" w:hAnsi="Franklin Gothic Book"/>
          <w:szCs w:val="24"/>
        </w:rPr>
        <w:t xml:space="preserve">Context for decision: MSAC makes its advice in accordance with its Terms of Reference, </w:t>
      </w:r>
      <w:hyperlink r:id="rId8" w:tooltip="Link to Medical Services Advisory Committee website" w:history="1">
        <w:r w:rsidRPr="006667AC">
          <w:rPr>
            <w:rStyle w:val="Hyperlink"/>
            <w:rFonts w:ascii="Franklin Gothic Book" w:hAnsi="Franklin Gothic Book"/>
            <w:szCs w:val="24"/>
          </w:rPr>
          <w:t>visit the MSAC website</w:t>
        </w:r>
      </w:hyperlink>
    </w:p>
    <w:p w14:paraId="011725B2" w14:textId="57B8EC83" w:rsidR="008979C9" w:rsidRPr="004304C0" w:rsidRDefault="008979C9" w:rsidP="006667AC">
      <w:pPr>
        <w:pStyle w:val="Heading2"/>
        <w:widowControl w:val="0"/>
        <w:numPr>
          <w:ilvl w:val="1"/>
          <w:numId w:val="5"/>
        </w:numPr>
        <w:ind w:left="0" w:firstLine="0"/>
      </w:pPr>
      <w:bookmarkStart w:id="1" w:name="_Toc150177171"/>
      <w:r w:rsidRPr="004304C0">
        <w:t>Purpose of application</w:t>
      </w:r>
      <w:bookmarkStart w:id="2" w:name="_Hlk69734469"/>
      <w:bookmarkEnd w:id="1"/>
    </w:p>
    <w:p w14:paraId="71C17F12" w14:textId="56F93BAF" w:rsidR="008979C9" w:rsidRDefault="008979C9" w:rsidP="00D53F12">
      <w:pPr>
        <w:pStyle w:val="Instructionaltext"/>
        <w:spacing w:line="240" w:lineRule="auto"/>
        <w:jc w:val="both"/>
        <w:rPr>
          <w:color w:val="auto"/>
        </w:rPr>
      </w:pPr>
      <w:r w:rsidRPr="006667AC">
        <w:rPr>
          <w:color w:val="auto"/>
        </w:rPr>
        <w:t xml:space="preserve">The Medical Services Advisory Committee (MSAC) Executive requested the Department of Health and Aged Care </w:t>
      </w:r>
      <w:r w:rsidR="00224746">
        <w:rPr>
          <w:color w:val="auto"/>
        </w:rPr>
        <w:t>(the department)</w:t>
      </w:r>
      <w:r w:rsidRPr="006667AC">
        <w:rPr>
          <w:color w:val="auto"/>
        </w:rPr>
        <w:t xml:space="preserve"> undertake a fit-for-purpose assessment of bone mineral density (BMD) testing in individuals aged 60 to 69 years. The aim of the report is to assess the economic and financial implications associated with amending the current age restriction for </w:t>
      </w:r>
      <w:r w:rsidR="00730BFE">
        <w:rPr>
          <w:color w:val="auto"/>
        </w:rPr>
        <w:t>Medicare Benefit</w:t>
      </w:r>
      <w:r w:rsidR="00F6716A">
        <w:rPr>
          <w:color w:val="auto"/>
        </w:rPr>
        <w:t>s Schedule (</w:t>
      </w:r>
      <w:r w:rsidRPr="006667AC">
        <w:rPr>
          <w:color w:val="auto"/>
        </w:rPr>
        <w:t>MBS</w:t>
      </w:r>
      <w:r w:rsidR="00F6716A">
        <w:rPr>
          <w:color w:val="auto"/>
        </w:rPr>
        <w:t>)</w:t>
      </w:r>
      <w:r w:rsidRPr="006667AC">
        <w:rPr>
          <w:color w:val="auto"/>
        </w:rPr>
        <w:t xml:space="preserve"> items 12320 and 12322 from age 70 years and above to age 60 years and above, to align with proposals to amend the age restriction for </w:t>
      </w:r>
      <w:r w:rsidR="00F6716A">
        <w:rPr>
          <w:color w:val="auto"/>
        </w:rPr>
        <w:t>Pha</w:t>
      </w:r>
      <w:r w:rsidR="008B6927">
        <w:rPr>
          <w:color w:val="auto"/>
        </w:rPr>
        <w:t>rmaceutical Benefits Scheme (</w:t>
      </w:r>
      <w:r w:rsidRPr="006667AC">
        <w:rPr>
          <w:color w:val="auto"/>
        </w:rPr>
        <w:t>PBS</w:t>
      </w:r>
      <w:r w:rsidR="008B6927">
        <w:rPr>
          <w:color w:val="auto"/>
        </w:rPr>
        <w:t>)</w:t>
      </w:r>
      <w:r w:rsidRPr="006667AC">
        <w:rPr>
          <w:color w:val="auto"/>
        </w:rPr>
        <w:t xml:space="preserve"> listed osteoporosis medicines for primary prevention of fractures.</w:t>
      </w:r>
    </w:p>
    <w:p w14:paraId="02692ADE" w14:textId="77777777" w:rsidR="006667AC" w:rsidRDefault="006667AC" w:rsidP="006667AC">
      <w:pPr>
        <w:pStyle w:val="Heading2"/>
      </w:pPr>
      <w:r>
        <w:t>2.</w:t>
      </w:r>
      <w:r>
        <w:tab/>
        <w:t>MSAC’s advice to the Minister</w:t>
      </w:r>
    </w:p>
    <w:p w14:paraId="598D8154" w14:textId="641AD77F" w:rsidR="00F12E6C" w:rsidRPr="00F12E6C" w:rsidRDefault="003C6479" w:rsidP="00F12E6C">
      <w:pPr>
        <w:pStyle w:val="Instructionaltext"/>
        <w:spacing w:line="240" w:lineRule="auto"/>
        <w:jc w:val="both"/>
        <w:rPr>
          <w:color w:val="auto"/>
        </w:rPr>
      </w:pPr>
      <w:r w:rsidRPr="00F12E6C">
        <w:rPr>
          <w:color w:val="auto"/>
        </w:rPr>
        <w:t xml:space="preserve">After considering the strength of the available evidence in relation to comparative safety, clinical effectiveness, </w:t>
      </w:r>
      <w:proofErr w:type="gramStart"/>
      <w:r w:rsidRPr="00F12E6C">
        <w:rPr>
          <w:color w:val="auto"/>
        </w:rPr>
        <w:t>cost-effectiveness</w:t>
      </w:r>
      <w:proofErr w:type="gramEnd"/>
      <w:r w:rsidRPr="00F12E6C">
        <w:rPr>
          <w:color w:val="auto"/>
        </w:rPr>
        <w:t xml:space="preserve"> and total cost, MSAC </w:t>
      </w:r>
      <w:r w:rsidR="00F12E6C" w:rsidRPr="00F12E6C">
        <w:rPr>
          <w:color w:val="auto"/>
        </w:rPr>
        <w:t xml:space="preserve">did not support amending MBS items 12320 &amp; 12322 for BMD testing to include all individuals aged 60-69 years. MSAC considered the proposed expansion to BMD testing, and all alternative scenarios, such as narrowing the expanded use to </w:t>
      </w:r>
      <w:r w:rsidR="006418F8">
        <w:rPr>
          <w:color w:val="auto"/>
        </w:rPr>
        <w:t>individuals</w:t>
      </w:r>
      <w:r w:rsidR="006418F8" w:rsidRPr="00F12E6C">
        <w:rPr>
          <w:color w:val="auto"/>
        </w:rPr>
        <w:t xml:space="preserve"> </w:t>
      </w:r>
      <w:r w:rsidR="00F12E6C" w:rsidRPr="00F12E6C">
        <w:rPr>
          <w:color w:val="auto"/>
        </w:rPr>
        <w:t xml:space="preserve">aged 65-69 years without repeat testing, was not cost-effective. Additionally, MSAC noted the significant cost to the MBS across all modelled scenarios. MSAC was also concerned that the estimated utilisation and therefore budget impact may be underestimated based on the observation that there has been a significant increase in the utilisation of existing BMD services on the MBS. MSAC acknowledged the importance of osteoporosis prevention, </w:t>
      </w:r>
      <w:proofErr w:type="gramStart"/>
      <w:r w:rsidR="00F12E6C" w:rsidRPr="00F12E6C">
        <w:rPr>
          <w:color w:val="auto"/>
        </w:rPr>
        <w:t>diagnosis</w:t>
      </w:r>
      <w:proofErr w:type="gramEnd"/>
      <w:r w:rsidR="00F12E6C" w:rsidRPr="00F12E6C">
        <w:rPr>
          <w:color w:val="auto"/>
        </w:rPr>
        <w:t xml:space="preserve"> and management in high-risk groups. However, MSAC noted that access to BMD (dual-energy X-ray absorptiometry [DEXA] only) services on the MBS is already available to certain </w:t>
      </w:r>
      <w:r w:rsidR="006418F8">
        <w:rPr>
          <w:color w:val="auto"/>
        </w:rPr>
        <w:t>individuals</w:t>
      </w:r>
      <w:r w:rsidR="006418F8" w:rsidRPr="00F12E6C">
        <w:rPr>
          <w:color w:val="auto"/>
        </w:rPr>
        <w:t xml:space="preserve"> </w:t>
      </w:r>
      <w:r w:rsidR="00F12E6C" w:rsidRPr="00F12E6C">
        <w:rPr>
          <w:color w:val="auto"/>
        </w:rPr>
        <w:t>within the proposed population such as those with minimal trauma fracture or other conditions associated with more rapid bone loss, and monitoring of patients on therapy.</w:t>
      </w:r>
    </w:p>
    <w:p w14:paraId="4AEEEDFB" w14:textId="2E4767EB" w:rsidR="003C6479" w:rsidRPr="009B23A6" w:rsidRDefault="00F12E6C" w:rsidP="00F12E6C">
      <w:pPr>
        <w:pStyle w:val="Instructionaltext"/>
        <w:spacing w:line="240" w:lineRule="auto"/>
        <w:jc w:val="both"/>
        <w:rPr>
          <w:color w:val="auto"/>
        </w:rPr>
      </w:pPr>
      <w:r w:rsidRPr="00F12E6C">
        <w:rPr>
          <w:color w:val="auto"/>
        </w:rPr>
        <w:t>MSAC advised the Department of Health and</w:t>
      </w:r>
      <w:r w:rsidRPr="009B23A6">
        <w:rPr>
          <w:color w:val="auto"/>
        </w:rPr>
        <w:t xml:space="preserve"> Aged Care to consider </w:t>
      </w:r>
      <w:r w:rsidRPr="00F12E6C">
        <w:rPr>
          <w:color w:val="auto"/>
        </w:rPr>
        <w:t xml:space="preserve">a </w:t>
      </w:r>
      <w:r w:rsidRPr="009B23A6">
        <w:rPr>
          <w:color w:val="auto"/>
        </w:rPr>
        <w:t>broader review of BMD testing items, reflective of contemporary clinical guidelines,</w:t>
      </w:r>
      <w:r w:rsidR="002842C4" w:rsidRPr="009B23A6">
        <w:rPr>
          <w:color w:val="auto"/>
        </w:rPr>
        <w:t xml:space="preserve"> </w:t>
      </w:r>
      <w:r w:rsidR="00A8512A" w:rsidRPr="009B23A6">
        <w:rPr>
          <w:color w:val="auto"/>
        </w:rPr>
        <w:t xml:space="preserve">in particular for </w:t>
      </w:r>
      <w:r w:rsidR="00DC03BB" w:rsidRPr="009B23A6">
        <w:rPr>
          <w:color w:val="auto"/>
        </w:rPr>
        <w:t xml:space="preserve">high-risk population groups such as </w:t>
      </w:r>
      <w:r w:rsidR="00A8512A" w:rsidRPr="009B23A6">
        <w:rPr>
          <w:color w:val="auto"/>
        </w:rPr>
        <w:t>First Nations people</w:t>
      </w:r>
      <w:r w:rsidR="002842C4" w:rsidRPr="009B23A6">
        <w:rPr>
          <w:color w:val="auto"/>
        </w:rPr>
        <w:t xml:space="preserve"> (who have a higher risk of fractures than non-First Nations people)</w:t>
      </w:r>
      <w:r w:rsidR="00A8512A" w:rsidRPr="009B23A6">
        <w:rPr>
          <w:color w:val="auto"/>
        </w:rPr>
        <w:t>.</w:t>
      </w:r>
    </w:p>
    <w:tbl>
      <w:tblPr>
        <w:tblStyle w:val="TableGrid"/>
        <w:tblW w:w="0" w:type="auto"/>
        <w:tblLook w:val="04A0" w:firstRow="1" w:lastRow="0" w:firstColumn="1" w:lastColumn="0" w:noHBand="0" w:noVBand="1"/>
        <w:tblDescription w:val="Consumer summary of MSAC consideration"/>
      </w:tblPr>
      <w:tblGrid>
        <w:gridCol w:w="9016"/>
      </w:tblGrid>
      <w:tr w:rsidR="006667AC" w:rsidRPr="00C86E49" w14:paraId="66AF532E" w14:textId="77777777">
        <w:trPr>
          <w:tblHeader/>
        </w:trPr>
        <w:tc>
          <w:tcPr>
            <w:tcW w:w="9016" w:type="dxa"/>
          </w:tcPr>
          <w:p w14:paraId="2DFD3A38" w14:textId="77777777" w:rsidR="006667AC" w:rsidRPr="00C86E49" w:rsidRDefault="006667AC" w:rsidP="006667AC">
            <w:pPr>
              <w:keepNext/>
              <w:keepLines/>
              <w:spacing w:before="120" w:after="120"/>
              <w:outlineLvl w:val="2"/>
              <w:rPr>
                <w:rFonts w:ascii="Franklin Gothic Medium" w:eastAsia="Calibri" w:hAnsi="Franklin Gothic Medium" w:cs="Times New Roman"/>
                <w:iCs/>
                <w:color w:val="1F3763"/>
                <w:sz w:val="24"/>
                <w:szCs w:val="24"/>
              </w:rPr>
            </w:pPr>
            <w:r w:rsidRPr="00C86E49">
              <w:rPr>
                <w:rFonts w:ascii="Franklin Gothic Medium" w:eastAsia="Times New Roman" w:hAnsi="Franklin Gothic Medium" w:cs="Times New Roman"/>
                <w:sz w:val="24"/>
                <w:szCs w:val="24"/>
              </w:rPr>
              <w:t>Consumer summary</w:t>
            </w:r>
          </w:p>
        </w:tc>
      </w:tr>
      <w:tr w:rsidR="006667AC" w:rsidRPr="00C86E49" w14:paraId="0D3C34B4" w14:textId="77777777">
        <w:tc>
          <w:tcPr>
            <w:tcW w:w="9016" w:type="dxa"/>
          </w:tcPr>
          <w:p w14:paraId="0FD8468B" w14:textId="5A79A21A" w:rsidR="005C21C2" w:rsidRPr="005C21C2" w:rsidRDefault="005C21C2" w:rsidP="005C21C2">
            <w:pPr>
              <w:rPr>
                <w:rFonts w:ascii="Franklin Gothic Book" w:hAnsi="Franklin Gothic Book"/>
              </w:rPr>
            </w:pPr>
            <w:r w:rsidRPr="005C21C2">
              <w:rPr>
                <w:rFonts w:ascii="Franklin Gothic Book" w:hAnsi="Franklin Gothic Book"/>
              </w:rPr>
              <w:t>This application from the Department of Health and Aged Care</w:t>
            </w:r>
            <w:r w:rsidR="00224746">
              <w:rPr>
                <w:rFonts w:ascii="Franklin Gothic Book" w:hAnsi="Franklin Gothic Book"/>
              </w:rPr>
              <w:t xml:space="preserve"> (the department)</w:t>
            </w:r>
            <w:r w:rsidRPr="005C21C2">
              <w:rPr>
                <w:rFonts w:ascii="Franklin Gothic Book" w:hAnsi="Franklin Gothic Book"/>
              </w:rPr>
              <w:t xml:space="preserve"> </w:t>
            </w:r>
            <w:r w:rsidR="0084726B">
              <w:rPr>
                <w:rFonts w:ascii="Franklin Gothic Book" w:hAnsi="Franklin Gothic Book"/>
              </w:rPr>
              <w:t>assessed</w:t>
            </w:r>
            <w:r w:rsidR="00C27740" w:rsidRPr="005C21C2">
              <w:rPr>
                <w:rFonts w:ascii="Franklin Gothic Book" w:hAnsi="Franklin Gothic Book"/>
              </w:rPr>
              <w:t xml:space="preserve"> </w:t>
            </w:r>
            <w:r w:rsidRPr="005C21C2">
              <w:rPr>
                <w:rFonts w:ascii="Franklin Gothic Book" w:hAnsi="Franklin Gothic Book"/>
              </w:rPr>
              <w:t xml:space="preserve">the economic and financial implications of amending the age restriction for </w:t>
            </w:r>
            <w:r w:rsidR="00DC6030">
              <w:rPr>
                <w:rFonts w:ascii="Franklin Gothic Book" w:hAnsi="Franklin Gothic Book"/>
              </w:rPr>
              <w:t>accessing bone mineral density</w:t>
            </w:r>
            <w:r w:rsidR="00E12337">
              <w:rPr>
                <w:rFonts w:ascii="Franklin Gothic Book" w:hAnsi="Franklin Gothic Book"/>
              </w:rPr>
              <w:t xml:space="preserve"> </w:t>
            </w:r>
            <w:r w:rsidR="00DC6030">
              <w:rPr>
                <w:rFonts w:ascii="Franklin Gothic Book" w:hAnsi="Franklin Gothic Book"/>
              </w:rPr>
              <w:t xml:space="preserve">testing under </w:t>
            </w:r>
            <w:r w:rsidRPr="005C21C2">
              <w:rPr>
                <w:rFonts w:ascii="Franklin Gothic Book" w:hAnsi="Franklin Gothic Book"/>
              </w:rPr>
              <w:t xml:space="preserve">Medicare Benefits Schedule (MBS) items </w:t>
            </w:r>
            <w:r w:rsidR="00245739" w:rsidRPr="00245739">
              <w:rPr>
                <w:rFonts w:ascii="Franklin Gothic Book" w:hAnsi="Franklin Gothic Book"/>
              </w:rPr>
              <w:t xml:space="preserve">12320 </w:t>
            </w:r>
            <w:r w:rsidR="0080685B">
              <w:rPr>
                <w:rFonts w:ascii="Franklin Gothic Book" w:hAnsi="Franklin Gothic Book"/>
              </w:rPr>
              <w:t>and</w:t>
            </w:r>
            <w:r w:rsidR="00245739" w:rsidRPr="00245739">
              <w:rPr>
                <w:rFonts w:ascii="Franklin Gothic Book" w:hAnsi="Franklin Gothic Book"/>
              </w:rPr>
              <w:t xml:space="preserve"> 12322</w:t>
            </w:r>
            <w:r w:rsidRPr="005C21C2">
              <w:rPr>
                <w:rFonts w:ascii="Franklin Gothic Book" w:hAnsi="Franklin Gothic Book"/>
              </w:rPr>
              <w:t>. Currently, the</w:t>
            </w:r>
            <w:r w:rsidR="00B7377E">
              <w:rPr>
                <w:rFonts w:ascii="Franklin Gothic Book" w:hAnsi="Franklin Gothic Book"/>
              </w:rPr>
              <w:t>se</w:t>
            </w:r>
            <w:r w:rsidRPr="005C21C2">
              <w:rPr>
                <w:rFonts w:ascii="Franklin Gothic Book" w:hAnsi="Franklin Gothic Book"/>
              </w:rPr>
              <w:t xml:space="preserve"> MBS </w:t>
            </w:r>
            <w:r w:rsidR="00B7377E">
              <w:rPr>
                <w:rFonts w:ascii="Franklin Gothic Book" w:hAnsi="Franklin Gothic Book"/>
              </w:rPr>
              <w:t>items are</w:t>
            </w:r>
            <w:r w:rsidRPr="005C21C2">
              <w:rPr>
                <w:rFonts w:ascii="Franklin Gothic Book" w:hAnsi="Franklin Gothic Book"/>
              </w:rPr>
              <w:t xml:space="preserve"> for people aged 70 years or over. The </w:t>
            </w:r>
            <w:r w:rsidR="00DE6D35">
              <w:rPr>
                <w:rFonts w:ascii="Franklin Gothic Book" w:hAnsi="Franklin Gothic Book"/>
              </w:rPr>
              <w:t xml:space="preserve">application </w:t>
            </w:r>
            <w:r w:rsidRPr="005C21C2">
              <w:rPr>
                <w:rFonts w:ascii="Franklin Gothic Book" w:hAnsi="Franklin Gothic Book"/>
              </w:rPr>
              <w:t xml:space="preserve">proposed to </w:t>
            </w:r>
            <w:r w:rsidRPr="005C21C2">
              <w:rPr>
                <w:rFonts w:ascii="Franklin Gothic Book" w:hAnsi="Franklin Gothic Book"/>
              </w:rPr>
              <w:lastRenderedPageBreak/>
              <w:t>lower the eligible age to 60 years or over to align with proposed changes to the age restriction for Pharmaceutical Benefits Scheme (PBS)-listed osteoporosis medicines.</w:t>
            </w:r>
            <w:r w:rsidR="00B669B6">
              <w:rPr>
                <w:rFonts w:ascii="Franklin Gothic Book" w:hAnsi="Franklin Gothic Book"/>
              </w:rPr>
              <w:t xml:space="preserve"> There are other MBS items for bone mineral density testing</w:t>
            </w:r>
            <w:r w:rsidR="00740520">
              <w:rPr>
                <w:rFonts w:ascii="Franklin Gothic Book" w:hAnsi="Franklin Gothic Book"/>
              </w:rPr>
              <w:t xml:space="preserve">. These </w:t>
            </w:r>
            <w:r w:rsidR="00B669B6">
              <w:rPr>
                <w:rFonts w:ascii="Franklin Gothic Book" w:hAnsi="Franklin Gothic Book"/>
              </w:rPr>
              <w:t xml:space="preserve">are available for </w:t>
            </w:r>
            <w:r w:rsidR="00523C7E">
              <w:rPr>
                <w:rFonts w:ascii="Franklin Gothic Book" w:hAnsi="Franklin Gothic Book"/>
              </w:rPr>
              <w:t xml:space="preserve">people who have had a </w:t>
            </w:r>
            <w:r w:rsidR="00523C7E" w:rsidRPr="00523C7E">
              <w:rPr>
                <w:rFonts w:ascii="Franklin Gothic Book" w:hAnsi="Franklin Gothic Book"/>
              </w:rPr>
              <w:t xml:space="preserve">bone break from a very minor accident or impact that wouldn't normally cause a fracture in a healthy bone </w:t>
            </w:r>
            <w:r w:rsidR="00523C7E">
              <w:rPr>
                <w:rFonts w:ascii="Franklin Gothic Book" w:hAnsi="Franklin Gothic Book"/>
              </w:rPr>
              <w:t xml:space="preserve">(called minimal trauma fracture) </w:t>
            </w:r>
            <w:r w:rsidR="00B669B6" w:rsidRPr="003B307F">
              <w:rPr>
                <w:rFonts w:ascii="Franklin Gothic Book" w:hAnsi="Franklin Gothic Book"/>
              </w:rPr>
              <w:t xml:space="preserve">or </w:t>
            </w:r>
            <w:r w:rsidR="00523C7E">
              <w:rPr>
                <w:rFonts w:ascii="Franklin Gothic Book" w:hAnsi="Franklin Gothic Book"/>
              </w:rPr>
              <w:t xml:space="preserve">who have </w:t>
            </w:r>
            <w:r w:rsidR="00B669B6" w:rsidRPr="003B307F">
              <w:rPr>
                <w:rFonts w:ascii="Franklin Gothic Book" w:hAnsi="Franklin Gothic Book"/>
              </w:rPr>
              <w:t>other conditions associated with more rapid bone loss, and monitoring of patients on therapy</w:t>
            </w:r>
            <w:r w:rsidR="00740520">
              <w:rPr>
                <w:rFonts w:ascii="Franklin Gothic Book" w:hAnsi="Franklin Gothic Book"/>
              </w:rPr>
              <w:t xml:space="preserve">. These other </w:t>
            </w:r>
            <w:r w:rsidR="00B669B6">
              <w:rPr>
                <w:rFonts w:ascii="Franklin Gothic Book" w:hAnsi="Franklin Gothic Book"/>
              </w:rPr>
              <w:t>MBS items</w:t>
            </w:r>
            <w:r w:rsidR="00740520">
              <w:rPr>
                <w:rFonts w:ascii="Franklin Gothic Book" w:hAnsi="Franklin Gothic Book"/>
              </w:rPr>
              <w:t xml:space="preserve"> for bone mineral density testing</w:t>
            </w:r>
            <w:r w:rsidR="00B669B6">
              <w:rPr>
                <w:rFonts w:ascii="Franklin Gothic Book" w:hAnsi="Franklin Gothic Book"/>
              </w:rPr>
              <w:t xml:space="preserve"> are </w:t>
            </w:r>
            <w:r w:rsidR="006700DF">
              <w:rPr>
                <w:rFonts w:ascii="Franklin Gothic Book" w:hAnsi="Franklin Gothic Book"/>
              </w:rPr>
              <w:t xml:space="preserve">not </w:t>
            </w:r>
            <w:r w:rsidR="00B669B6">
              <w:rPr>
                <w:rFonts w:ascii="Franklin Gothic Book" w:hAnsi="Franklin Gothic Book"/>
              </w:rPr>
              <w:t>restricted by</w:t>
            </w:r>
            <w:r w:rsidR="00332EDF">
              <w:rPr>
                <w:rFonts w:ascii="Franklin Gothic Book" w:hAnsi="Franklin Gothic Book"/>
              </w:rPr>
              <w:t xml:space="preserve"> an</w:t>
            </w:r>
            <w:r w:rsidR="00B669B6">
              <w:rPr>
                <w:rFonts w:ascii="Franklin Gothic Book" w:hAnsi="Franklin Gothic Book"/>
              </w:rPr>
              <w:t xml:space="preserve"> </w:t>
            </w:r>
            <w:r w:rsidR="00332EDF">
              <w:rPr>
                <w:rFonts w:ascii="Franklin Gothic Book" w:hAnsi="Franklin Gothic Book"/>
              </w:rPr>
              <w:t>individual’s</w:t>
            </w:r>
            <w:r w:rsidR="00B669B6">
              <w:rPr>
                <w:rFonts w:ascii="Franklin Gothic Book" w:hAnsi="Franklin Gothic Book"/>
              </w:rPr>
              <w:t xml:space="preserve"> age and </w:t>
            </w:r>
            <w:r w:rsidR="00E44B60">
              <w:rPr>
                <w:rFonts w:ascii="Franklin Gothic Book" w:hAnsi="Franklin Gothic Book"/>
              </w:rPr>
              <w:t xml:space="preserve">therefore, </w:t>
            </w:r>
            <w:r w:rsidR="0011349F">
              <w:rPr>
                <w:rFonts w:ascii="Franklin Gothic Book" w:hAnsi="Franklin Gothic Book"/>
              </w:rPr>
              <w:t>were</w:t>
            </w:r>
            <w:r w:rsidR="00B669B6">
              <w:rPr>
                <w:rFonts w:ascii="Franklin Gothic Book" w:hAnsi="Franklin Gothic Book"/>
              </w:rPr>
              <w:t xml:space="preserve"> not </w:t>
            </w:r>
            <w:r w:rsidR="007B3954">
              <w:rPr>
                <w:rFonts w:ascii="Franklin Gothic Book" w:hAnsi="Franklin Gothic Book"/>
              </w:rPr>
              <w:t>part</w:t>
            </w:r>
            <w:r w:rsidR="00B669B6">
              <w:rPr>
                <w:rFonts w:ascii="Franklin Gothic Book" w:hAnsi="Franklin Gothic Book"/>
              </w:rPr>
              <w:t xml:space="preserve"> for this application.</w:t>
            </w:r>
          </w:p>
          <w:p w14:paraId="68D792BD" w14:textId="63029C86" w:rsidR="00884CE1" w:rsidRDefault="005C21C2" w:rsidP="005C21C2">
            <w:pPr>
              <w:rPr>
                <w:rFonts w:ascii="Franklin Gothic Book" w:hAnsi="Franklin Gothic Book"/>
              </w:rPr>
            </w:pPr>
            <w:r w:rsidRPr="005C21C2">
              <w:rPr>
                <w:rFonts w:ascii="Franklin Gothic Book" w:hAnsi="Franklin Gothic Book"/>
              </w:rPr>
              <w:t xml:space="preserve">Osteoporosis is a condition in which the bones become fragile and brittle, leading to a higher risk of fractures (breaks or cracks). Fractures due to osteoporosis can lead to changes in posture, muscle weakness, loss of height and bone deformity of the spine. </w:t>
            </w:r>
            <w:r w:rsidR="0084726B">
              <w:rPr>
                <w:rFonts w:ascii="Franklin Gothic Book" w:hAnsi="Franklin Gothic Book"/>
              </w:rPr>
              <w:t>Fractures due to osteoporosis</w:t>
            </w:r>
            <w:r w:rsidR="0084726B" w:rsidRPr="005C21C2">
              <w:rPr>
                <w:rFonts w:ascii="Franklin Gothic Book" w:hAnsi="Franklin Gothic Book"/>
              </w:rPr>
              <w:t xml:space="preserve"> </w:t>
            </w:r>
            <w:r w:rsidRPr="005C21C2">
              <w:rPr>
                <w:rFonts w:ascii="Franklin Gothic Book" w:hAnsi="Franklin Gothic Book"/>
              </w:rPr>
              <w:t xml:space="preserve">can also lead to </w:t>
            </w:r>
            <w:r w:rsidR="00C8630D">
              <w:rPr>
                <w:rFonts w:ascii="Franklin Gothic Book" w:hAnsi="Franklin Gothic Book"/>
              </w:rPr>
              <w:t xml:space="preserve">acute and </w:t>
            </w:r>
            <w:r w:rsidRPr="005C21C2">
              <w:rPr>
                <w:rFonts w:ascii="Franklin Gothic Book" w:hAnsi="Franklin Gothic Book"/>
              </w:rPr>
              <w:t xml:space="preserve">chronic pain, disability, loss of </w:t>
            </w:r>
            <w:r w:rsidR="00CB4B10">
              <w:rPr>
                <w:rFonts w:ascii="Franklin Gothic Book" w:hAnsi="Franklin Gothic Book"/>
              </w:rPr>
              <w:t xml:space="preserve">mobility and </w:t>
            </w:r>
            <w:r w:rsidRPr="005C21C2">
              <w:rPr>
                <w:rFonts w:ascii="Franklin Gothic Book" w:hAnsi="Franklin Gothic Book"/>
              </w:rPr>
              <w:t xml:space="preserve">independence and early death. Diagnosis of osteoporosis requires an assessment of </w:t>
            </w:r>
            <w:r w:rsidR="00324D47">
              <w:rPr>
                <w:rFonts w:ascii="Franklin Gothic Book" w:hAnsi="Franklin Gothic Book"/>
              </w:rPr>
              <w:t>bone mineral density</w:t>
            </w:r>
            <w:r w:rsidRPr="005C21C2">
              <w:rPr>
                <w:rFonts w:ascii="Franklin Gothic Book" w:hAnsi="Franklin Gothic Book"/>
              </w:rPr>
              <w:t xml:space="preserve">. There are different ways of assessing </w:t>
            </w:r>
            <w:r w:rsidR="00324D47">
              <w:rPr>
                <w:rFonts w:ascii="Franklin Gothic Book" w:hAnsi="Franklin Gothic Book"/>
              </w:rPr>
              <w:t>bone mineral density</w:t>
            </w:r>
            <w:r w:rsidRPr="005C21C2">
              <w:rPr>
                <w:rFonts w:ascii="Franklin Gothic Book" w:hAnsi="Franklin Gothic Book"/>
              </w:rPr>
              <w:t xml:space="preserve">, including using dual-energy X-ray absorptiometry </w:t>
            </w:r>
            <w:r w:rsidR="00523C7E">
              <w:rPr>
                <w:rFonts w:ascii="Franklin Gothic Book" w:hAnsi="Franklin Gothic Book"/>
              </w:rPr>
              <w:t>(D</w:t>
            </w:r>
            <w:r w:rsidR="00985F0E">
              <w:rPr>
                <w:rFonts w:ascii="Franklin Gothic Book" w:hAnsi="Franklin Gothic Book"/>
              </w:rPr>
              <w:t>E</w:t>
            </w:r>
            <w:r w:rsidR="00523C7E">
              <w:rPr>
                <w:rFonts w:ascii="Franklin Gothic Book" w:hAnsi="Franklin Gothic Book"/>
              </w:rPr>
              <w:t xml:space="preserve">XA scan) </w:t>
            </w:r>
            <w:r w:rsidR="005B5DD7">
              <w:rPr>
                <w:rFonts w:ascii="Franklin Gothic Book" w:hAnsi="Franklin Gothic Book"/>
              </w:rPr>
              <w:t>and</w:t>
            </w:r>
            <w:r w:rsidRPr="005C21C2">
              <w:rPr>
                <w:rFonts w:ascii="Franklin Gothic Book" w:hAnsi="Franklin Gothic Book"/>
              </w:rPr>
              <w:t xml:space="preserve"> quantitative computed tomography</w:t>
            </w:r>
            <w:r w:rsidR="00523C7E">
              <w:rPr>
                <w:rFonts w:ascii="Franklin Gothic Book" w:hAnsi="Franklin Gothic Book"/>
              </w:rPr>
              <w:t xml:space="preserve"> (QCT scan)</w:t>
            </w:r>
            <w:r w:rsidRPr="005C21C2">
              <w:rPr>
                <w:rFonts w:ascii="Franklin Gothic Book" w:hAnsi="Franklin Gothic Book"/>
              </w:rPr>
              <w:t>.</w:t>
            </w:r>
            <w:r w:rsidR="00683BDD">
              <w:rPr>
                <w:rFonts w:ascii="Franklin Gothic Book" w:hAnsi="Franklin Gothic Book"/>
              </w:rPr>
              <w:t xml:space="preserve"> If a </w:t>
            </w:r>
            <w:r w:rsidR="00324D47">
              <w:rPr>
                <w:rFonts w:ascii="Franklin Gothic Book" w:hAnsi="Franklin Gothic Book"/>
              </w:rPr>
              <w:t>bone mineral density</w:t>
            </w:r>
            <w:r w:rsidR="00683BDD">
              <w:rPr>
                <w:rFonts w:ascii="Franklin Gothic Book" w:hAnsi="Franklin Gothic Book"/>
              </w:rPr>
              <w:t xml:space="preserve"> test confirms </w:t>
            </w:r>
            <w:r w:rsidR="00523C7E">
              <w:rPr>
                <w:rFonts w:ascii="Franklin Gothic Book" w:hAnsi="Franklin Gothic Book"/>
              </w:rPr>
              <w:t xml:space="preserve">that a person </w:t>
            </w:r>
            <w:r w:rsidR="00683BDD">
              <w:rPr>
                <w:rFonts w:ascii="Franklin Gothic Book" w:hAnsi="Franklin Gothic Book"/>
              </w:rPr>
              <w:t xml:space="preserve">has </w:t>
            </w:r>
            <w:r w:rsidR="00683BDD" w:rsidRPr="005C21C2">
              <w:rPr>
                <w:rFonts w:ascii="Franklin Gothic Book" w:hAnsi="Franklin Gothic Book"/>
              </w:rPr>
              <w:t>osteoporosis</w:t>
            </w:r>
            <w:r w:rsidR="00683BDD">
              <w:rPr>
                <w:rFonts w:ascii="Franklin Gothic Book" w:hAnsi="Franklin Gothic Book"/>
              </w:rPr>
              <w:t>, the</w:t>
            </w:r>
            <w:r w:rsidR="00FE29AA">
              <w:rPr>
                <w:rFonts w:ascii="Franklin Gothic Book" w:hAnsi="Franklin Gothic Book"/>
              </w:rPr>
              <w:t xml:space="preserve">y </w:t>
            </w:r>
            <w:r w:rsidR="00683BDD">
              <w:rPr>
                <w:rFonts w:ascii="Franklin Gothic Book" w:hAnsi="Franklin Gothic Book"/>
              </w:rPr>
              <w:t>may be eligible for osteoporosis</w:t>
            </w:r>
            <w:r w:rsidR="00683BDD" w:rsidRPr="005C21C2">
              <w:rPr>
                <w:rFonts w:ascii="Franklin Gothic Book" w:hAnsi="Franklin Gothic Book"/>
              </w:rPr>
              <w:t xml:space="preserve"> medications listed on the PBS to prevent fractures.</w:t>
            </w:r>
          </w:p>
          <w:p w14:paraId="324CF106" w14:textId="63C780D5" w:rsidR="00061FEA" w:rsidRDefault="00651FD9" w:rsidP="005C21C2">
            <w:pPr>
              <w:rPr>
                <w:rFonts w:ascii="Franklin Gothic Book" w:hAnsi="Franklin Gothic Book"/>
              </w:rPr>
            </w:pPr>
            <w:r>
              <w:rPr>
                <w:rFonts w:ascii="Franklin Gothic Book" w:hAnsi="Franklin Gothic Book"/>
              </w:rPr>
              <w:t>MSAC noted that t</w:t>
            </w:r>
            <w:r w:rsidR="005C21C2" w:rsidRPr="005C21C2">
              <w:rPr>
                <w:rFonts w:ascii="Franklin Gothic Book" w:hAnsi="Franklin Gothic Book"/>
              </w:rPr>
              <w:t xml:space="preserve">he Pharmaceutical Benefits Advisory Committee (PBAC) </w:t>
            </w:r>
            <w:r>
              <w:rPr>
                <w:rFonts w:ascii="Franklin Gothic Book" w:hAnsi="Franklin Gothic Book"/>
              </w:rPr>
              <w:t>had previously</w:t>
            </w:r>
            <w:r w:rsidRPr="005C21C2">
              <w:rPr>
                <w:rFonts w:ascii="Franklin Gothic Book" w:hAnsi="Franklin Gothic Book"/>
              </w:rPr>
              <w:t xml:space="preserve"> </w:t>
            </w:r>
            <w:r w:rsidR="005C21C2" w:rsidRPr="005C21C2">
              <w:rPr>
                <w:rFonts w:ascii="Franklin Gothic Book" w:hAnsi="Franklin Gothic Book"/>
              </w:rPr>
              <w:t xml:space="preserve">considered proposals to expand the age restriction for PBS-listed osteoporosis medicines for prevention of fractures to include </w:t>
            </w:r>
            <w:r w:rsidR="00523C7E">
              <w:rPr>
                <w:rFonts w:ascii="Franklin Gothic Book" w:hAnsi="Franklin Gothic Book"/>
              </w:rPr>
              <w:t xml:space="preserve">people </w:t>
            </w:r>
            <w:r w:rsidR="005C21C2" w:rsidRPr="005C21C2">
              <w:rPr>
                <w:rFonts w:ascii="Franklin Gothic Book" w:hAnsi="Franklin Gothic Book"/>
              </w:rPr>
              <w:t xml:space="preserve">aged 60–69 years. </w:t>
            </w:r>
            <w:r w:rsidR="00127CD6">
              <w:rPr>
                <w:rFonts w:ascii="Franklin Gothic Book" w:hAnsi="Franklin Gothic Book"/>
              </w:rPr>
              <w:t xml:space="preserve">MSAC noted that </w:t>
            </w:r>
            <w:r w:rsidR="00B65EBA">
              <w:rPr>
                <w:rFonts w:ascii="Franklin Gothic Book" w:hAnsi="Franklin Gothic Book"/>
              </w:rPr>
              <w:t>the</w:t>
            </w:r>
            <w:r w:rsidR="00DA7DE6" w:rsidRPr="005C21C2">
              <w:rPr>
                <w:rFonts w:ascii="Franklin Gothic Book" w:hAnsi="Franklin Gothic Book"/>
              </w:rPr>
              <w:t xml:space="preserve"> </w:t>
            </w:r>
            <w:r w:rsidR="005C21C2" w:rsidRPr="005C21C2">
              <w:rPr>
                <w:rFonts w:ascii="Franklin Gothic Book" w:hAnsi="Franklin Gothic Book"/>
              </w:rPr>
              <w:t>PBAC</w:t>
            </w:r>
            <w:r w:rsidR="00127CD6">
              <w:rPr>
                <w:rFonts w:ascii="Franklin Gothic Book" w:hAnsi="Franklin Gothic Book"/>
              </w:rPr>
              <w:t xml:space="preserve"> </w:t>
            </w:r>
            <w:r w:rsidR="005C21C2" w:rsidRPr="005C21C2">
              <w:rPr>
                <w:rFonts w:ascii="Franklin Gothic Book" w:hAnsi="Franklin Gothic Book"/>
              </w:rPr>
              <w:t>deferred making a recommendation, pending a review by MSAC of the MBS implications, to ensure that the bone densitometry MBS items could be aligned</w:t>
            </w:r>
            <w:r w:rsidR="008A75D9">
              <w:rPr>
                <w:rStyle w:val="FootnoteReference"/>
                <w:rFonts w:ascii="Franklin Gothic Book" w:hAnsi="Franklin Gothic Book"/>
              </w:rPr>
              <w:footnoteReference w:id="2"/>
            </w:r>
            <w:r w:rsidR="005C21C2" w:rsidRPr="005C21C2">
              <w:rPr>
                <w:rFonts w:ascii="Franklin Gothic Book" w:hAnsi="Franklin Gothic Book"/>
              </w:rPr>
              <w:t>.</w:t>
            </w:r>
            <w:r w:rsidR="00C14D30">
              <w:rPr>
                <w:rFonts w:ascii="Franklin Gothic Book" w:hAnsi="Franklin Gothic Book"/>
              </w:rPr>
              <w:t xml:space="preserve"> This was because earlier access to the medications would require earlier and additional bone mineral density testing but the consequential </w:t>
            </w:r>
            <w:r w:rsidR="00445C1E">
              <w:rPr>
                <w:rFonts w:ascii="Franklin Gothic Book" w:hAnsi="Franklin Gothic Book"/>
              </w:rPr>
              <w:t xml:space="preserve">economic and </w:t>
            </w:r>
            <w:r w:rsidR="00C14D30">
              <w:rPr>
                <w:rFonts w:ascii="Franklin Gothic Book" w:hAnsi="Franklin Gothic Book"/>
              </w:rPr>
              <w:t>financial imp</w:t>
            </w:r>
            <w:r w:rsidR="00041926">
              <w:rPr>
                <w:rFonts w:ascii="Franklin Gothic Book" w:hAnsi="Franklin Gothic Book"/>
              </w:rPr>
              <w:t xml:space="preserve">lications </w:t>
            </w:r>
            <w:r w:rsidR="005C060D">
              <w:rPr>
                <w:rFonts w:ascii="Franklin Gothic Book" w:hAnsi="Franklin Gothic Book"/>
              </w:rPr>
              <w:t xml:space="preserve">of this </w:t>
            </w:r>
            <w:r w:rsidR="00C14D30">
              <w:rPr>
                <w:rFonts w:ascii="Franklin Gothic Book" w:hAnsi="Franklin Gothic Book"/>
              </w:rPr>
              <w:t>had not been reviewed.</w:t>
            </w:r>
          </w:p>
          <w:p w14:paraId="488DB01E" w14:textId="758C1A5D" w:rsidR="005C21C2" w:rsidRDefault="00C14D30" w:rsidP="005C21C2">
            <w:pPr>
              <w:rPr>
                <w:rFonts w:ascii="Franklin Gothic Book" w:hAnsi="Franklin Gothic Book"/>
              </w:rPr>
            </w:pPr>
            <w:r>
              <w:rPr>
                <w:rFonts w:ascii="Franklin Gothic Book" w:hAnsi="Franklin Gothic Book"/>
              </w:rPr>
              <w:t>MSAC noted that when the</w:t>
            </w:r>
            <w:r w:rsidR="002554C2">
              <w:rPr>
                <w:rFonts w:ascii="Franklin Gothic Book" w:hAnsi="Franklin Gothic Book"/>
              </w:rPr>
              <w:t xml:space="preserve"> costs of bone mineral density testing were included</w:t>
            </w:r>
            <w:r w:rsidR="0075363B">
              <w:rPr>
                <w:rFonts w:ascii="Franklin Gothic Book" w:hAnsi="Franklin Gothic Book"/>
              </w:rPr>
              <w:t>, along with the costs and benefits of the osteoporosis med</w:t>
            </w:r>
            <w:r w:rsidR="00142C06">
              <w:rPr>
                <w:rFonts w:ascii="Franklin Gothic Book" w:hAnsi="Franklin Gothic Book"/>
              </w:rPr>
              <w:t>icines,</w:t>
            </w:r>
            <w:r w:rsidR="00286602">
              <w:rPr>
                <w:rFonts w:ascii="Franklin Gothic Book" w:hAnsi="Franklin Gothic Book"/>
              </w:rPr>
              <w:t xml:space="preserve"> lowering the age </w:t>
            </w:r>
            <w:r w:rsidR="00057729">
              <w:rPr>
                <w:rFonts w:ascii="Franklin Gothic Book" w:hAnsi="Franklin Gothic Book"/>
              </w:rPr>
              <w:t xml:space="preserve">restriction </w:t>
            </w:r>
            <w:r w:rsidR="00286602">
              <w:rPr>
                <w:rFonts w:ascii="Franklin Gothic Book" w:hAnsi="Franklin Gothic Book"/>
              </w:rPr>
              <w:t xml:space="preserve">to 60 years or over </w:t>
            </w:r>
            <w:r w:rsidR="003E1ABB">
              <w:rPr>
                <w:rFonts w:ascii="Franklin Gothic Book" w:hAnsi="Franklin Gothic Book"/>
              </w:rPr>
              <w:t xml:space="preserve">was not </w:t>
            </w:r>
            <w:r w:rsidR="005E53DC">
              <w:rPr>
                <w:rFonts w:ascii="Franklin Gothic Book" w:hAnsi="Franklin Gothic Book"/>
              </w:rPr>
              <w:t>cost-effective</w:t>
            </w:r>
            <w:r w:rsidR="00B50630">
              <w:rPr>
                <w:rFonts w:ascii="Franklin Gothic Book" w:hAnsi="Franklin Gothic Book"/>
              </w:rPr>
              <w:t>.</w:t>
            </w:r>
            <w:r w:rsidR="00184A02">
              <w:rPr>
                <w:rFonts w:ascii="Franklin Gothic Book" w:hAnsi="Franklin Gothic Book"/>
              </w:rPr>
              <w:t xml:space="preserve"> MSAC noted that the assessment presented alternative scenarios such as </w:t>
            </w:r>
            <w:r w:rsidR="00153049">
              <w:rPr>
                <w:rFonts w:ascii="Franklin Gothic Book" w:hAnsi="Franklin Gothic Book"/>
              </w:rPr>
              <w:t>changing the age restriction</w:t>
            </w:r>
            <w:r w:rsidR="00184A02">
              <w:rPr>
                <w:rFonts w:ascii="Franklin Gothic Book" w:hAnsi="Franklin Gothic Book"/>
              </w:rPr>
              <w:t xml:space="preserve"> </w:t>
            </w:r>
            <w:r w:rsidR="00B15F54">
              <w:rPr>
                <w:rFonts w:ascii="Franklin Gothic Book" w:hAnsi="Franklin Gothic Book"/>
              </w:rPr>
              <w:t>to</w:t>
            </w:r>
            <w:r w:rsidR="00184A02">
              <w:rPr>
                <w:rFonts w:ascii="Franklin Gothic Book" w:hAnsi="Franklin Gothic Book"/>
              </w:rPr>
              <w:t xml:space="preserve"> 65</w:t>
            </w:r>
            <w:r w:rsidR="00B15F54">
              <w:rPr>
                <w:rFonts w:ascii="Franklin Gothic Book" w:hAnsi="Franklin Gothic Book"/>
              </w:rPr>
              <w:t xml:space="preserve"> years</w:t>
            </w:r>
            <w:r w:rsidR="00184A02">
              <w:rPr>
                <w:rFonts w:ascii="Franklin Gothic Book" w:hAnsi="Franklin Gothic Book"/>
              </w:rPr>
              <w:t xml:space="preserve"> </w:t>
            </w:r>
            <w:r w:rsidR="00153049">
              <w:rPr>
                <w:rFonts w:ascii="Franklin Gothic Book" w:hAnsi="Franklin Gothic Book"/>
              </w:rPr>
              <w:t>(instead of 60</w:t>
            </w:r>
            <w:r w:rsidR="007E2904">
              <w:rPr>
                <w:rFonts w:ascii="Franklin Gothic Book" w:hAnsi="Franklin Gothic Book"/>
              </w:rPr>
              <w:t>)</w:t>
            </w:r>
            <w:r w:rsidR="00184A02">
              <w:rPr>
                <w:rFonts w:ascii="Franklin Gothic Book" w:hAnsi="Franklin Gothic Book"/>
              </w:rPr>
              <w:t>,</w:t>
            </w:r>
            <w:r w:rsidR="007934B0">
              <w:rPr>
                <w:rFonts w:ascii="Franklin Gothic Book" w:hAnsi="Franklin Gothic Book"/>
              </w:rPr>
              <w:t xml:space="preserve"> </w:t>
            </w:r>
            <w:r w:rsidR="004E0099">
              <w:rPr>
                <w:rFonts w:ascii="Franklin Gothic Book" w:hAnsi="Franklin Gothic Book"/>
              </w:rPr>
              <w:t>and different re-testing frequenc</w:t>
            </w:r>
            <w:r w:rsidR="007E2904">
              <w:rPr>
                <w:rFonts w:ascii="Franklin Gothic Book" w:hAnsi="Franklin Gothic Book"/>
              </w:rPr>
              <w:t>i</w:t>
            </w:r>
            <w:r w:rsidR="004E0099">
              <w:rPr>
                <w:rFonts w:ascii="Franklin Gothic Book" w:hAnsi="Franklin Gothic Book"/>
              </w:rPr>
              <w:t>es (n</w:t>
            </w:r>
            <w:r w:rsidR="007E2904">
              <w:rPr>
                <w:rFonts w:ascii="Franklin Gothic Book" w:hAnsi="Franklin Gothic Book"/>
              </w:rPr>
              <w:t>o retesting</w:t>
            </w:r>
            <w:r w:rsidR="004E0099">
              <w:rPr>
                <w:rFonts w:ascii="Franklin Gothic Book" w:hAnsi="Franklin Gothic Book"/>
              </w:rPr>
              <w:t xml:space="preserve">, every 2 </w:t>
            </w:r>
            <w:proofErr w:type="gramStart"/>
            <w:r w:rsidR="004E0099">
              <w:rPr>
                <w:rFonts w:ascii="Franklin Gothic Book" w:hAnsi="Franklin Gothic Book"/>
              </w:rPr>
              <w:t>years</w:t>
            </w:r>
            <w:proofErr w:type="gramEnd"/>
            <w:r w:rsidR="002E6F60">
              <w:rPr>
                <w:rFonts w:ascii="Franklin Gothic Book" w:hAnsi="Franklin Gothic Book"/>
              </w:rPr>
              <w:t xml:space="preserve"> or</w:t>
            </w:r>
            <w:r w:rsidR="004E0099">
              <w:rPr>
                <w:rFonts w:ascii="Franklin Gothic Book" w:hAnsi="Franklin Gothic Book"/>
              </w:rPr>
              <w:t xml:space="preserve"> every 5 years). However, MSAC noted that </w:t>
            </w:r>
            <w:r w:rsidR="00240DC6">
              <w:rPr>
                <w:rFonts w:ascii="Franklin Gothic Book" w:hAnsi="Franklin Gothic Book"/>
              </w:rPr>
              <w:t xml:space="preserve">bone mineral </w:t>
            </w:r>
            <w:r w:rsidR="001B2883">
              <w:rPr>
                <w:rFonts w:ascii="Franklin Gothic Book" w:hAnsi="Franklin Gothic Book"/>
              </w:rPr>
              <w:t xml:space="preserve">density </w:t>
            </w:r>
            <w:r w:rsidR="00240DC6">
              <w:rPr>
                <w:rFonts w:ascii="Franklin Gothic Book" w:hAnsi="Franklin Gothic Book"/>
              </w:rPr>
              <w:t>testing did not provide value for money in any of these alternative</w:t>
            </w:r>
            <w:r w:rsidR="004E0099">
              <w:rPr>
                <w:rFonts w:ascii="Franklin Gothic Book" w:hAnsi="Franklin Gothic Book"/>
              </w:rPr>
              <w:t xml:space="preserve"> scenarios</w:t>
            </w:r>
            <w:r w:rsidR="006933F0">
              <w:rPr>
                <w:rFonts w:ascii="Franklin Gothic Book" w:hAnsi="Franklin Gothic Book"/>
              </w:rPr>
              <w:t>.</w:t>
            </w:r>
            <w:r w:rsidR="00184A02">
              <w:rPr>
                <w:rFonts w:ascii="Franklin Gothic Book" w:hAnsi="Franklin Gothic Book"/>
              </w:rPr>
              <w:t xml:space="preserve"> </w:t>
            </w:r>
            <w:r w:rsidR="00B50630">
              <w:rPr>
                <w:rFonts w:ascii="Franklin Gothic Book" w:hAnsi="Franklin Gothic Book"/>
              </w:rPr>
              <w:t xml:space="preserve">MSAC also noted that, when the PBAC reviewed the updated economic analysis, the PBAC also concluded that </w:t>
            </w:r>
            <w:r w:rsidR="004B7514">
              <w:rPr>
                <w:rFonts w:ascii="Franklin Gothic Book" w:hAnsi="Franklin Gothic Book"/>
              </w:rPr>
              <w:t xml:space="preserve">expanding the restrictions for osteoporosis therapies to </w:t>
            </w:r>
            <w:r w:rsidR="00304960">
              <w:rPr>
                <w:rFonts w:ascii="Franklin Gothic Book" w:hAnsi="Franklin Gothic Book"/>
              </w:rPr>
              <w:t>individuals aged 60-6</w:t>
            </w:r>
            <w:r w:rsidR="00B15F54">
              <w:rPr>
                <w:rFonts w:ascii="Franklin Gothic Book" w:hAnsi="Franklin Gothic Book"/>
              </w:rPr>
              <w:t>9</w:t>
            </w:r>
            <w:r w:rsidR="00304960">
              <w:rPr>
                <w:rFonts w:ascii="Franklin Gothic Book" w:hAnsi="Franklin Gothic Book"/>
              </w:rPr>
              <w:t xml:space="preserve"> years was not cost-effective</w:t>
            </w:r>
            <w:r w:rsidR="00993DAC">
              <w:rPr>
                <w:rStyle w:val="FootnoteReference"/>
                <w:rFonts w:ascii="Franklin Gothic Book" w:hAnsi="Franklin Gothic Book"/>
              </w:rPr>
              <w:footnoteReference w:id="3"/>
            </w:r>
            <w:r w:rsidR="00304960">
              <w:rPr>
                <w:rFonts w:ascii="Franklin Gothic Book" w:hAnsi="Franklin Gothic Book"/>
              </w:rPr>
              <w:t>.</w:t>
            </w:r>
          </w:p>
          <w:p w14:paraId="6A7424F5" w14:textId="5200AAD3" w:rsidR="000904C2" w:rsidRDefault="00184A02" w:rsidP="005C21C2">
            <w:pPr>
              <w:rPr>
                <w:rFonts w:ascii="Franklin Gothic Book" w:hAnsi="Franklin Gothic Book"/>
              </w:rPr>
            </w:pPr>
            <w:r>
              <w:rPr>
                <w:rFonts w:ascii="Franklin Gothic Book" w:hAnsi="Franklin Gothic Book"/>
              </w:rPr>
              <w:t xml:space="preserve">MSAC also noted that </w:t>
            </w:r>
            <w:r w:rsidR="005555BA">
              <w:rPr>
                <w:rFonts w:ascii="Franklin Gothic Book" w:hAnsi="Franklin Gothic Book"/>
              </w:rPr>
              <w:t xml:space="preserve">if bone mineral density testing was expanded to include </w:t>
            </w:r>
            <w:r w:rsidR="00523C7E">
              <w:rPr>
                <w:rFonts w:ascii="Franklin Gothic Book" w:hAnsi="Franklin Gothic Book"/>
              </w:rPr>
              <w:t xml:space="preserve">people </w:t>
            </w:r>
            <w:r w:rsidR="005555BA">
              <w:rPr>
                <w:rFonts w:ascii="Franklin Gothic Book" w:hAnsi="Franklin Gothic Book"/>
              </w:rPr>
              <w:t xml:space="preserve">aged 60 years or over, </w:t>
            </w:r>
            <w:r w:rsidR="000E2CD3">
              <w:rPr>
                <w:rFonts w:ascii="Franklin Gothic Book" w:hAnsi="Franklin Gothic Book"/>
              </w:rPr>
              <w:t xml:space="preserve">the </w:t>
            </w:r>
            <w:r w:rsidR="005555BA">
              <w:rPr>
                <w:rFonts w:ascii="Franklin Gothic Book" w:hAnsi="Franklin Gothic Book"/>
              </w:rPr>
              <w:t xml:space="preserve">estimated </w:t>
            </w:r>
            <w:r w:rsidR="000E2CD3">
              <w:rPr>
                <w:rFonts w:ascii="Franklin Gothic Book" w:hAnsi="Franklin Gothic Book"/>
              </w:rPr>
              <w:t xml:space="preserve">total cost to the MBS </w:t>
            </w:r>
            <w:r w:rsidR="005555BA">
              <w:rPr>
                <w:rFonts w:ascii="Franklin Gothic Book" w:hAnsi="Franklin Gothic Book"/>
              </w:rPr>
              <w:t>was</w:t>
            </w:r>
            <w:r w:rsidR="000E2CD3">
              <w:rPr>
                <w:rFonts w:ascii="Franklin Gothic Book" w:hAnsi="Franklin Gothic Book"/>
              </w:rPr>
              <w:t xml:space="preserve"> very high</w:t>
            </w:r>
            <w:r w:rsidR="005555BA">
              <w:rPr>
                <w:rFonts w:ascii="Franklin Gothic Book" w:hAnsi="Franklin Gothic Book"/>
              </w:rPr>
              <w:t xml:space="preserve">. MSAC was also concerned that the total cost to the MBS may be underestimated. </w:t>
            </w:r>
            <w:r w:rsidR="005555BA" w:rsidRPr="005555BA">
              <w:rPr>
                <w:rFonts w:ascii="Franklin Gothic Book" w:hAnsi="Franklin Gothic Book"/>
              </w:rPr>
              <w:t xml:space="preserve">MSAC </w:t>
            </w:r>
            <w:r w:rsidR="005555BA">
              <w:rPr>
                <w:rFonts w:ascii="Franklin Gothic Book" w:hAnsi="Franklin Gothic Book"/>
              </w:rPr>
              <w:t xml:space="preserve">noted </w:t>
            </w:r>
            <w:r w:rsidR="005555BA" w:rsidRPr="005555BA">
              <w:rPr>
                <w:rFonts w:ascii="Franklin Gothic Book" w:hAnsi="Franklin Gothic Book"/>
              </w:rPr>
              <w:t xml:space="preserve">that </w:t>
            </w:r>
            <w:r w:rsidR="006A705C">
              <w:rPr>
                <w:rFonts w:ascii="Franklin Gothic Book" w:hAnsi="Franklin Gothic Book"/>
              </w:rPr>
              <w:t>bone mineral density</w:t>
            </w:r>
            <w:r w:rsidR="005555BA" w:rsidRPr="005555BA">
              <w:rPr>
                <w:rFonts w:ascii="Franklin Gothic Book" w:hAnsi="Franklin Gothic Book"/>
              </w:rPr>
              <w:t xml:space="preserve"> testing</w:t>
            </w:r>
            <w:r w:rsidR="00A00768">
              <w:rPr>
                <w:rFonts w:ascii="Franklin Gothic Book" w:hAnsi="Franklin Gothic Book"/>
              </w:rPr>
              <w:t xml:space="preserve"> </w:t>
            </w:r>
            <w:r w:rsidR="00956BC6">
              <w:rPr>
                <w:rFonts w:ascii="Franklin Gothic Book" w:hAnsi="Franklin Gothic Book"/>
              </w:rPr>
              <w:t xml:space="preserve">using the existing MBS items </w:t>
            </w:r>
            <w:r w:rsidR="005555BA" w:rsidRPr="005555BA">
              <w:rPr>
                <w:rFonts w:ascii="Franklin Gothic Book" w:hAnsi="Franklin Gothic Book"/>
              </w:rPr>
              <w:t xml:space="preserve">is one of the fastest-growing areas of the MBS and </w:t>
            </w:r>
            <w:r w:rsidR="00A00768">
              <w:rPr>
                <w:rFonts w:ascii="Franklin Gothic Book" w:hAnsi="Franklin Gothic Book"/>
              </w:rPr>
              <w:t xml:space="preserve">there are </w:t>
            </w:r>
            <w:r w:rsidR="005555BA" w:rsidRPr="005555BA">
              <w:rPr>
                <w:rFonts w:ascii="Franklin Gothic Book" w:hAnsi="Franklin Gothic Book"/>
              </w:rPr>
              <w:t xml:space="preserve">business models promoting </w:t>
            </w:r>
            <w:r w:rsidR="00956BC6">
              <w:rPr>
                <w:rFonts w:ascii="Franklin Gothic Book" w:hAnsi="Franklin Gothic Book"/>
              </w:rPr>
              <w:t>bone mineral density</w:t>
            </w:r>
            <w:r w:rsidR="005555BA" w:rsidRPr="005555BA">
              <w:rPr>
                <w:rFonts w:ascii="Franklin Gothic Book" w:hAnsi="Franklin Gothic Book"/>
              </w:rPr>
              <w:t xml:space="preserve"> testing</w:t>
            </w:r>
            <w:r w:rsidR="00956BC6">
              <w:rPr>
                <w:rFonts w:ascii="Franklin Gothic Book" w:hAnsi="Franklin Gothic Book"/>
              </w:rPr>
              <w:t>.</w:t>
            </w:r>
          </w:p>
          <w:p w14:paraId="6F16E792" w14:textId="40EB24D1" w:rsidR="006667AC" w:rsidRPr="005C21C2" w:rsidRDefault="005C21C2" w:rsidP="005C21C2">
            <w:pPr>
              <w:rPr>
                <w:rFonts w:ascii="Franklin Gothic Book" w:hAnsi="Franklin Gothic Book"/>
              </w:rPr>
            </w:pPr>
            <w:r w:rsidRPr="005C21C2">
              <w:rPr>
                <w:rFonts w:ascii="Franklin Gothic Book" w:hAnsi="Franklin Gothic Book"/>
              </w:rPr>
              <w:t>MSAC acknowledged that it was beneficial to identify people at risk of osteoporosis and osteopenia at an earlier age.</w:t>
            </w:r>
            <w:r w:rsidR="00217F74">
              <w:rPr>
                <w:rFonts w:ascii="Franklin Gothic Book" w:hAnsi="Franklin Gothic Book"/>
              </w:rPr>
              <w:t xml:space="preserve"> </w:t>
            </w:r>
            <w:r w:rsidRPr="005C21C2">
              <w:rPr>
                <w:rFonts w:ascii="Franklin Gothic Book" w:hAnsi="Franklin Gothic Book"/>
              </w:rPr>
              <w:t xml:space="preserve">However, </w:t>
            </w:r>
            <w:r w:rsidR="002820E0">
              <w:rPr>
                <w:rFonts w:ascii="Franklin Gothic Book" w:hAnsi="Franklin Gothic Book"/>
              </w:rPr>
              <w:t xml:space="preserve">MSAC </w:t>
            </w:r>
            <w:r w:rsidR="00217F74">
              <w:rPr>
                <w:rFonts w:ascii="Franklin Gothic Book" w:hAnsi="Franklin Gothic Book"/>
              </w:rPr>
              <w:t>noted that certain individuals within the proposed population</w:t>
            </w:r>
            <w:r w:rsidR="006F3AA6">
              <w:rPr>
                <w:rFonts w:ascii="Franklin Gothic Book" w:hAnsi="Franklin Gothic Book"/>
              </w:rPr>
              <w:t xml:space="preserve"> </w:t>
            </w:r>
            <w:r w:rsidR="003A6368">
              <w:rPr>
                <w:rFonts w:ascii="Franklin Gothic Book" w:hAnsi="Franklin Gothic Book"/>
              </w:rPr>
              <w:t>can</w:t>
            </w:r>
            <w:r w:rsidR="006F3AA6">
              <w:rPr>
                <w:rFonts w:ascii="Franklin Gothic Book" w:hAnsi="Franklin Gothic Book"/>
              </w:rPr>
              <w:t xml:space="preserve"> </w:t>
            </w:r>
            <w:r w:rsidR="0083056B">
              <w:rPr>
                <w:rFonts w:ascii="Franklin Gothic Book" w:hAnsi="Franklin Gothic Book"/>
              </w:rPr>
              <w:t xml:space="preserve">already </w:t>
            </w:r>
            <w:r w:rsidR="003B1901">
              <w:rPr>
                <w:rFonts w:ascii="Franklin Gothic Book" w:hAnsi="Franklin Gothic Book"/>
              </w:rPr>
              <w:t>access other</w:t>
            </w:r>
            <w:r w:rsidR="00B15F54">
              <w:rPr>
                <w:rFonts w:ascii="Franklin Gothic Book" w:hAnsi="Franklin Gothic Book"/>
              </w:rPr>
              <w:t xml:space="preserve"> MBS items for</w:t>
            </w:r>
            <w:r w:rsidR="006F3AA6">
              <w:rPr>
                <w:rFonts w:ascii="Franklin Gothic Book" w:hAnsi="Franklin Gothic Book"/>
              </w:rPr>
              <w:t xml:space="preserve"> bone mineral density testing </w:t>
            </w:r>
            <w:r w:rsidR="00AB3B23">
              <w:rPr>
                <w:rFonts w:ascii="Franklin Gothic Book" w:hAnsi="Franklin Gothic Book"/>
              </w:rPr>
              <w:lastRenderedPageBreak/>
              <w:t xml:space="preserve">(that were not </w:t>
            </w:r>
            <w:r w:rsidR="000A2299">
              <w:rPr>
                <w:rFonts w:ascii="Franklin Gothic Book" w:hAnsi="Franklin Gothic Book"/>
              </w:rPr>
              <w:t>part</w:t>
            </w:r>
            <w:r w:rsidR="00AB3B23">
              <w:rPr>
                <w:rFonts w:ascii="Franklin Gothic Book" w:hAnsi="Franklin Gothic Book"/>
              </w:rPr>
              <w:t xml:space="preserve"> of this application)</w:t>
            </w:r>
            <w:r w:rsidR="00217F74" w:rsidRPr="00217F74">
              <w:rPr>
                <w:rFonts w:ascii="Franklin Gothic Book" w:hAnsi="Franklin Gothic Book"/>
              </w:rPr>
              <w:t>.</w:t>
            </w:r>
            <w:r w:rsidR="002820E0">
              <w:rPr>
                <w:rFonts w:ascii="Franklin Gothic Book" w:hAnsi="Franklin Gothic Book"/>
              </w:rPr>
              <w:t xml:space="preserve"> </w:t>
            </w:r>
            <w:r w:rsidR="00127323">
              <w:rPr>
                <w:rFonts w:ascii="Franklin Gothic Book" w:hAnsi="Franklin Gothic Book"/>
              </w:rPr>
              <w:t xml:space="preserve">Further, clinical guidelines </w:t>
            </w:r>
            <w:r w:rsidR="006F2A27">
              <w:rPr>
                <w:rFonts w:ascii="Franklin Gothic Book" w:hAnsi="Franklin Gothic Book"/>
              </w:rPr>
              <w:t xml:space="preserve">do not </w:t>
            </w:r>
            <w:r w:rsidR="008A3C06">
              <w:rPr>
                <w:rFonts w:ascii="Franklin Gothic Book" w:hAnsi="Franklin Gothic Book"/>
              </w:rPr>
              <w:t xml:space="preserve">recommend </w:t>
            </w:r>
            <w:r w:rsidR="001F41C6">
              <w:rPr>
                <w:rFonts w:ascii="Franklin Gothic Book" w:hAnsi="Franklin Gothic Book"/>
              </w:rPr>
              <w:t xml:space="preserve">using bone mineral density tests as a </w:t>
            </w:r>
            <w:r w:rsidR="00885823">
              <w:rPr>
                <w:rFonts w:ascii="Franklin Gothic Book" w:hAnsi="Franklin Gothic Book"/>
              </w:rPr>
              <w:t xml:space="preserve">general </w:t>
            </w:r>
            <w:r w:rsidR="006F2A27">
              <w:rPr>
                <w:rFonts w:ascii="Franklin Gothic Book" w:hAnsi="Franklin Gothic Book"/>
              </w:rPr>
              <w:t xml:space="preserve">screening </w:t>
            </w:r>
            <w:r w:rsidR="001F41C6">
              <w:rPr>
                <w:rFonts w:ascii="Franklin Gothic Book" w:hAnsi="Franklin Gothic Book"/>
              </w:rPr>
              <w:t>tool for everyone</w:t>
            </w:r>
            <w:r w:rsidR="00885823">
              <w:rPr>
                <w:rFonts w:ascii="Franklin Gothic Book" w:hAnsi="Franklin Gothic Book"/>
              </w:rPr>
              <w:t>. R</w:t>
            </w:r>
            <w:r w:rsidR="006F2A27">
              <w:rPr>
                <w:rFonts w:ascii="Franklin Gothic Book" w:hAnsi="Franklin Gothic Book"/>
              </w:rPr>
              <w:t>ather</w:t>
            </w:r>
            <w:r w:rsidR="00885823">
              <w:rPr>
                <w:rFonts w:ascii="Franklin Gothic Book" w:hAnsi="Franklin Gothic Book"/>
              </w:rPr>
              <w:t xml:space="preserve"> they</w:t>
            </w:r>
            <w:r w:rsidR="006F2A27">
              <w:rPr>
                <w:rFonts w:ascii="Franklin Gothic Book" w:hAnsi="Franklin Gothic Book"/>
              </w:rPr>
              <w:t xml:space="preserve"> </w:t>
            </w:r>
            <w:r w:rsidR="006A0B86">
              <w:rPr>
                <w:rFonts w:ascii="Franklin Gothic Book" w:hAnsi="Franklin Gothic Book"/>
              </w:rPr>
              <w:t xml:space="preserve">recommend </w:t>
            </w:r>
            <w:r w:rsidR="00885823">
              <w:rPr>
                <w:rFonts w:ascii="Franklin Gothic Book" w:hAnsi="Franklin Gothic Book"/>
              </w:rPr>
              <w:t xml:space="preserve">that doctors </w:t>
            </w:r>
            <w:r w:rsidR="00B60AED">
              <w:rPr>
                <w:rFonts w:ascii="Franklin Gothic Book" w:hAnsi="Franklin Gothic Book"/>
              </w:rPr>
              <w:t>follow a decision-making flow chart to consider on a case-by-case basis whether the results of a bone mineral density test are needed to diagnose osteoporosis</w:t>
            </w:r>
            <w:r w:rsidR="00DE38BE">
              <w:rPr>
                <w:rFonts w:ascii="Franklin Gothic Book" w:hAnsi="Franklin Gothic Book"/>
              </w:rPr>
              <w:t xml:space="preserve">, provide personalised </w:t>
            </w:r>
            <w:proofErr w:type="gramStart"/>
            <w:r w:rsidR="00DE38BE">
              <w:rPr>
                <w:rFonts w:ascii="Franklin Gothic Book" w:hAnsi="Franklin Gothic Book"/>
              </w:rPr>
              <w:t>advice</w:t>
            </w:r>
            <w:proofErr w:type="gramEnd"/>
            <w:r w:rsidR="00DE38BE">
              <w:rPr>
                <w:rFonts w:ascii="Franklin Gothic Book" w:hAnsi="Franklin Gothic Book"/>
              </w:rPr>
              <w:t xml:space="preserve"> </w:t>
            </w:r>
            <w:r w:rsidR="00B60AED">
              <w:rPr>
                <w:rFonts w:ascii="Franklin Gothic Book" w:hAnsi="Franklin Gothic Book"/>
              </w:rPr>
              <w:t>or prescribe a</w:t>
            </w:r>
            <w:r w:rsidR="00DE38BE">
              <w:rPr>
                <w:rFonts w:ascii="Franklin Gothic Book" w:hAnsi="Franklin Gothic Book"/>
              </w:rPr>
              <w:t>n osteoporosis</w:t>
            </w:r>
            <w:r w:rsidR="00B60AED">
              <w:rPr>
                <w:rFonts w:ascii="Franklin Gothic Book" w:hAnsi="Franklin Gothic Book"/>
              </w:rPr>
              <w:t xml:space="preserve"> treatment </w:t>
            </w:r>
            <w:r w:rsidR="00DE38BE">
              <w:rPr>
                <w:rFonts w:ascii="Franklin Gothic Book" w:hAnsi="Franklin Gothic Book"/>
              </w:rPr>
              <w:t xml:space="preserve">for the individual patient. </w:t>
            </w:r>
            <w:r w:rsidR="007E1291">
              <w:rPr>
                <w:rFonts w:ascii="Franklin Gothic Book" w:hAnsi="Franklin Gothic Book"/>
              </w:rPr>
              <w:t xml:space="preserve">MSAC advised the department </w:t>
            </w:r>
            <w:r w:rsidR="007E1291" w:rsidRPr="007E1291">
              <w:rPr>
                <w:rFonts w:ascii="Franklin Gothic Book" w:hAnsi="Franklin Gothic Book"/>
              </w:rPr>
              <w:t>to consider</w:t>
            </w:r>
            <w:r w:rsidR="00712F38">
              <w:rPr>
                <w:rFonts w:ascii="Franklin Gothic Book" w:hAnsi="Franklin Gothic Book"/>
              </w:rPr>
              <w:t xml:space="preserve"> </w:t>
            </w:r>
            <w:r w:rsidR="00C043ED">
              <w:rPr>
                <w:rFonts w:ascii="Franklin Gothic Book" w:hAnsi="Franklin Gothic Book"/>
              </w:rPr>
              <w:t>reviewing</w:t>
            </w:r>
            <w:r w:rsidR="007E1291" w:rsidRPr="007E1291">
              <w:rPr>
                <w:rFonts w:ascii="Franklin Gothic Book" w:hAnsi="Franklin Gothic Book"/>
              </w:rPr>
              <w:t xml:space="preserve"> </w:t>
            </w:r>
            <w:r w:rsidR="00CD17AA">
              <w:rPr>
                <w:rFonts w:ascii="Franklin Gothic Book" w:hAnsi="Franklin Gothic Book"/>
              </w:rPr>
              <w:t>all bone mineral density</w:t>
            </w:r>
            <w:r w:rsidR="007E1291" w:rsidRPr="007E1291">
              <w:rPr>
                <w:rFonts w:ascii="Franklin Gothic Book" w:hAnsi="Franklin Gothic Book"/>
              </w:rPr>
              <w:t xml:space="preserve"> testing items</w:t>
            </w:r>
            <w:r w:rsidR="00C043ED">
              <w:rPr>
                <w:rFonts w:ascii="Franklin Gothic Book" w:hAnsi="Franklin Gothic Book"/>
              </w:rPr>
              <w:t xml:space="preserve"> </w:t>
            </w:r>
            <w:r w:rsidR="00511DEF">
              <w:rPr>
                <w:rFonts w:ascii="Franklin Gothic Book" w:hAnsi="Franklin Gothic Book"/>
              </w:rPr>
              <w:t>to consider if the items are</w:t>
            </w:r>
            <w:r w:rsidR="00CD17AA">
              <w:rPr>
                <w:rFonts w:ascii="Franklin Gothic Book" w:hAnsi="Franklin Gothic Book"/>
              </w:rPr>
              <w:t xml:space="preserve"> </w:t>
            </w:r>
            <w:r w:rsidR="007E1291" w:rsidRPr="007E1291">
              <w:rPr>
                <w:rFonts w:ascii="Franklin Gothic Book" w:hAnsi="Franklin Gothic Book"/>
              </w:rPr>
              <w:t xml:space="preserve">reflective of clinical guidelines, in particular </w:t>
            </w:r>
            <w:r w:rsidR="00E9026F">
              <w:rPr>
                <w:rFonts w:ascii="Franklin Gothic Book" w:hAnsi="Franklin Gothic Book"/>
              </w:rPr>
              <w:t xml:space="preserve">the ability to access bone mineral density testing </w:t>
            </w:r>
            <w:r w:rsidR="007E1291" w:rsidRPr="007E1291">
              <w:rPr>
                <w:rFonts w:ascii="Franklin Gothic Book" w:hAnsi="Franklin Gothic Book"/>
              </w:rPr>
              <w:t xml:space="preserve">for </w:t>
            </w:r>
            <w:r w:rsidR="00186781">
              <w:rPr>
                <w:rFonts w:ascii="Franklin Gothic Book" w:hAnsi="Franklin Gothic Book"/>
              </w:rPr>
              <w:t xml:space="preserve">diagnosis and monitoring </w:t>
            </w:r>
            <w:r w:rsidR="00E9026F">
              <w:rPr>
                <w:rFonts w:ascii="Franklin Gothic Book" w:hAnsi="Franklin Gothic Book"/>
              </w:rPr>
              <w:t xml:space="preserve">of </w:t>
            </w:r>
            <w:r w:rsidR="00186781">
              <w:rPr>
                <w:rFonts w:ascii="Franklin Gothic Book" w:hAnsi="Franklin Gothic Book"/>
              </w:rPr>
              <w:t xml:space="preserve">osteoporosis in </w:t>
            </w:r>
            <w:r w:rsidR="00581873" w:rsidRPr="1EB057B7">
              <w:rPr>
                <w:rFonts w:ascii="Franklin Gothic Book" w:hAnsi="Franklin Gothic Book"/>
              </w:rPr>
              <w:t>high</w:t>
            </w:r>
            <w:r w:rsidR="002842C4">
              <w:rPr>
                <w:rFonts w:ascii="Franklin Gothic Book" w:hAnsi="Franklin Gothic Book"/>
              </w:rPr>
              <w:t>-</w:t>
            </w:r>
            <w:r w:rsidR="00581873" w:rsidRPr="1EB057B7">
              <w:rPr>
                <w:rFonts w:ascii="Franklin Gothic Book" w:hAnsi="Franklin Gothic Book"/>
              </w:rPr>
              <w:t xml:space="preserve">risk population groups such as </w:t>
            </w:r>
            <w:r w:rsidR="007E1291" w:rsidRPr="007E1291">
              <w:rPr>
                <w:rFonts w:ascii="Franklin Gothic Book" w:hAnsi="Franklin Gothic Book"/>
              </w:rPr>
              <w:t>First Nations people</w:t>
            </w:r>
            <w:r w:rsidR="009E6813">
              <w:rPr>
                <w:rFonts w:ascii="Franklin Gothic Book" w:hAnsi="Franklin Gothic Book"/>
              </w:rPr>
              <w:t xml:space="preserve"> (</w:t>
            </w:r>
            <w:r w:rsidR="009E6813" w:rsidRPr="005C21C2">
              <w:rPr>
                <w:rFonts w:ascii="Franklin Gothic Book" w:hAnsi="Franklin Gothic Book"/>
              </w:rPr>
              <w:t>who have a higher risk of fractures than non-First Nations people</w:t>
            </w:r>
            <w:r w:rsidR="009E6813">
              <w:rPr>
                <w:rFonts w:ascii="Franklin Gothic Book" w:hAnsi="Franklin Gothic Book"/>
              </w:rPr>
              <w:t>)</w:t>
            </w:r>
            <w:r w:rsidRPr="005C21C2">
              <w:rPr>
                <w:rFonts w:ascii="Franklin Gothic Book" w:hAnsi="Franklin Gothic Book"/>
              </w:rPr>
              <w:t>.</w:t>
            </w:r>
          </w:p>
          <w:p w14:paraId="5CBEC067" w14:textId="77777777" w:rsidR="006667AC" w:rsidRPr="00C86E49" w:rsidRDefault="006667AC">
            <w:pPr>
              <w:keepNext/>
              <w:keepLines/>
              <w:outlineLvl w:val="2"/>
              <w:rPr>
                <w:rFonts w:ascii="Franklin Gothic Medium" w:eastAsia="Times New Roman" w:hAnsi="Franklin Gothic Medium" w:cs="Times New Roman"/>
                <w:sz w:val="24"/>
                <w:szCs w:val="24"/>
              </w:rPr>
            </w:pPr>
            <w:r w:rsidRPr="00C86E49">
              <w:rPr>
                <w:rFonts w:ascii="Franklin Gothic Medium" w:eastAsia="Times New Roman" w:hAnsi="Franklin Gothic Medium" w:cs="Times New Roman"/>
                <w:sz w:val="24"/>
                <w:szCs w:val="24"/>
              </w:rPr>
              <w:t xml:space="preserve">MSAC’s advice to the </w:t>
            </w:r>
            <w:proofErr w:type="gramStart"/>
            <w:r w:rsidRPr="00C86E49">
              <w:rPr>
                <w:rFonts w:ascii="Franklin Gothic Medium" w:eastAsia="Times New Roman" w:hAnsi="Franklin Gothic Medium" w:cs="Times New Roman"/>
                <w:sz w:val="24"/>
                <w:szCs w:val="24"/>
              </w:rPr>
              <w:t>Commonwealth Minister</w:t>
            </w:r>
            <w:proofErr w:type="gramEnd"/>
            <w:r w:rsidRPr="00C86E49">
              <w:rPr>
                <w:rFonts w:ascii="Franklin Gothic Medium" w:eastAsia="Times New Roman" w:hAnsi="Franklin Gothic Medium" w:cs="Times New Roman"/>
                <w:sz w:val="24"/>
                <w:szCs w:val="24"/>
              </w:rPr>
              <w:t xml:space="preserve"> for Health and Aged Care</w:t>
            </w:r>
          </w:p>
          <w:p w14:paraId="1CE80CB5" w14:textId="13AB4F45" w:rsidR="006667AC" w:rsidRPr="000510AC" w:rsidRDefault="000510AC">
            <w:pPr>
              <w:rPr>
                <w:rFonts w:ascii="Franklin Gothic Book" w:eastAsia="Calibri" w:hAnsi="Franklin Gothic Book" w:cs="Times New Roman"/>
              </w:rPr>
            </w:pPr>
            <w:r w:rsidRPr="000510AC">
              <w:rPr>
                <w:rFonts w:ascii="Franklin Gothic Book" w:hAnsi="Franklin Gothic Book"/>
              </w:rPr>
              <w:t xml:space="preserve">MSAC did not support </w:t>
            </w:r>
            <w:r w:rsidR="00711CFF">
              <w:rPr>
                <w:rFonts w:ascii="Franklin Gothic Book" w:hAnsi="Franklin Gothic Book"/>
              </w:rPr>
              <w:t>amending</w:t>
            </w:r>
            <w:r w:rsidR="00041DED">
              <w:rPr>
                <w:rFonts w:ascii="Franklin Gothic Book" w:hAnsi="Franklin Gothic Book"/>
              </w:rPr>
              <w:t xml:space="preserve"> the</w:t>
            </w:r>
            <w:r w:rsidR="00711CFF">
              <w:rPr>
                <w:rFonts w:ascii="Franklin Gothic Book" w:hAnsi="Franklin Gothic Book"/>
              </w:rPr>
              <w:t xml:space="preserve"> </w:t>
            </w:r>
            <w:r w:rsidR="00041DED" w:rsidRPr="00041DED">
              <w:rPr>
                <w:rFonts w:ascii="Franklin Gothic Book" w:hAnsi="Franklin Gothic Book"/>
              </w:rPr>
              <w:t xml:space="preserve">age restriction </w:t>
            </w:r>
            <w:r w:rsidR="00E92009">
              <w:rPr>
                <w:rFonts w:ascii="Franklin Gothic Book" w:hAnsi="Franklin Gothic Book"/>
              </w:rPr>
              <w:t xml:space="preserve">(to include individuals aged 60-69 years) </w:t>
            </w:r>
            <w:r w:rsidR="00041DED" w:rsidRPr="00041DED">
              <w:rPr>
                <w:rFonts w:ascii="Franklin Gothic Book" w:hAnsi="Franklin Gothic Book"/>
              </w:rPr>
              <w:t>for accessing bone mineral density testing under MBS items 12320 and 12322</w:t>
            </w:r>
            <w:r w:rsidRPr="000510AC">
              <w:rPr>
                <w:rFonts w:ascii="Franklin Gothic Book" w:hAnsi="Franklin Gothic Book"/>
              </w:rPr>
              <w:t xml:space="preserve">. MSAC considered </w:t>
            </w:r>
            <w:r w:rsidR="00765EB6" w:rsidRPr="00765EB6">
              <w:rPr>
                <w:rFonts w:ascii="Franklin Gothic Book" w:hAnsi="Franklin Gothic Book"/>
              </w:rPr>
              <w:t xml:space="preserve">the proposed amendments would not provide value for money, would </w:t>
            </w:r>
            <w:r w:rsidR="007B593A">
              <w:rPr>
                <w:rFonts w:ascii="Franklin Gothic Book" w:hAnsi="Franklin Gothic Book"/>
              </w:rPr>
              <w:t>result in a</w:t>
            </w:r>
            <w:r w:rsidR="00765EB6" w:rsidRPr="00765EB6">
              <w:rPr>
                <w:rFonts w:ascii="Franklin Gothic Book" w:hAnsi="Franklin Gothic Book"/>
              </w:rPr>
              <w:t xml:space="preserve"> significant </w:t>
            </w:r>
            <w:r w:rsidR="00CD535C">
              <w:rPr>
                <w:rFonts w:ascii="Franklin Gothic Book" w:hAnsi="Franklin Gothic Book"/>
              </w:rPr>
              <w:t>increased cost to</w:t>
            </w:r>
            <w:r w:rsidR="00765EB6" w:rsidRPr="00765EB6">
              <w:rPr>
                <w:rFonts w:ascii="Franklin Gothic Book" w:hAnsi="Franklin Gothic Book"/>
              </w:rPr>
              <w:t xml:space="preserve"> the MBS and that the </w:t>
            </w:r>
            <w:r w:rsidR="00D00FCC">
              <w:rPr>
                <w:rFonts w:ascii="Franklin Gothic Book" w:hAnsi="Franklin Gothic Book"/>
              </w:rPr>
              <w:t xml:space="preserve">true </w:t>
            </w:r>
            <w:r w:rsidR="00765EB6" w:rsidRPr="00765EB6">
              <w:rPr>
                <w:rFonts w:ascii="Franklin Gothic Book" w:hAnsi="Franklin Gothic Book"/>
              </w:rPr>
              <w:t>extent of this i</w:t>
            </w:r>
            <w:r w:rsidR="00D00FCC">
              <w:rPr>
                <w:rFonts w:ascii="Franklin Gothic Book" w:hAnsi="Franklin Gothic Book"/>
              </w:rPr>
              <w:t>ncreased cost</w:t>
            </w:r>
            <w:r w:rsidR="00765EB6" w:rsidRPr="00765EB6">
              <w:rPr>
                <w:rFonts w:ascii="Franklin Gothic Book" w:hAnsi="Franklin Gothic Book"/>
              </w:rPr>
              <w:t xml:space="preserve"> was very uncertain.</w:t>
            </w:r>
            <w:r w:rsidRPr="000510AC">
              <w:rPr>
                <w:rFonts w:ascii="Franklin Gothic Book" w:hAnsi="Franklin Gothic Book"/>
              </w:rPr>
              <w:t xml:space="preserve"> </w:t>
            </w:r>
            <w:r w:rsidR="00874677">
              <w:rPr>
                <w:rFonts w:ascii="Franklin Gothic Book" w:hAnsi="Franklin Gothic Book"/>
              </w:rPr>
              <w:t xml:space="preserve">MSAC considered the existing MBS items for bone mineral density testing could be reviewed to </w:t>
            </w:r>
            <w:r w:rsidR="00EF6B1C">
              <w:rPr>
                <w:rFonts w:ascii="Franklin Gothic Book" w:hAnsi="Franklin Gothic Book"/>
              </w:rPr>
              <w:t>consider if they are reflective of current clinical guidelines</w:t>
            </w:r>
            <w:r w:rsidRPr="000510AC">
              <w:rPr>
                <w:rFonts w:ascii="Franklin Gothic Book" w:hAnsi="Franklin Gothic Book"/>
              </w:rPr>
              <w:t>.</w:t>
            </w:r>
          </w:p>
        </w:tc>
      </w:tr>
    </w:tbl>
    <w:p w14:paraId="59BE92AA" w14:textId="77777777" w:rsidR="006667AC" w:rsidRPr="00C86E49" w:rsidRDefault="006667AC" w:rsidP="006667AC">
      <w:pPr>
        <w:pStyle w:val="Heading2"/>
        <w:numPr>
          <w:ilvl w:val="1"/>
          <w:numId w:val="0"/>
        </w:numPr>
      </w:pPr>
      <w:r w:rsidRPr="00C86E49">
        <w:lastRenderedPageBreak/>
        <w:t>3.</w:t>
      </w:r>
      <w:r w:rsidRPr="00C86E49">
        <w:tab/>
        <w:t>Summary of consideration and rationale for MSAC’s advice</w:t>
      </w:r>
    </w:p>
    <w:p w14:paraId="33499F52" w14:textId="08916D11" w:rsidR="00EA7383" w:rsidRPr="00EA7383" w:rsidRDefault="00EA7383" w:rsidP="00EA7383">
      <w:pPr>
        <w:rPr>
          <w:rFonts w:ascii="Franklin Gothic Book" w:hAnsi="Franklin Gothic Book"/>
        </w:rPr>
      </w:pPr>
      <w:r w:rsidRPr="00EA7383">
        <w:rPr>
          <w:rFonts w:ascii="Franklin Gothic Book" w:hAnsi="Franklin Gothic Book"/>
        </w:rPr>
        <w:t xml:space="preserve">MSAC noted that the MSAC Executive requested </w:t>
      </w:r>
      <w:r w:rsidR="00432C4A">
        <w:rPr>
          <w:rFonts w:ascii="Franklin Gothic Book" w:hAnsi="Franklin Gothic Book"/>
        </w:rPr>
        <w:t>this</w:t>
      </w:r>
      <w:r w:rsidRPr="00EA7383">
        <w:rPr>
          <w:rFonts w:ascii="Franklin Gothic Book" w:hAnsi="Franklin Gothic Book"/>
        </w:rPr>
        <w:t xml:space="preserve"> fit-for-purpose assessment o</w:t>
      </w:r>
      <w:r w:rsidR="00AD0ADB">
        <w:rPr>
          <w:rFonts w:ascii="Franklin Gothic Book" w:hAnsi="Franklin Gothic Book"/>
        </w:rPr>
        <w:t>n</w:t>
      </w:r>
      <w:r w:rsidRPr="00EA7383">
        <w:rPr>
          <w:rFonts w:ascii="Franklin Gothic Book" w:hAnsi="Franklin Gothic Book"/>
        </w:rPr>
        <w:t xml:space="preserve"> </w:t>
      </w:r>
      <w:r w:rsidR="00795198">
        <w:rPr>
          <w:rFonts w:ascii="Franklin Gothic Book" w:hAnsi="Franklin Gothic Book"/>
        </w:rPr>
        <w:t xml:space="preserve">the economic and financial implications of </w:t>
      </w:r>
      <w:r w:rsidRPr="00EA7383">
        <w:rPr>
          <w:rFonts w:ascii="Franklin Gothic Book" w:hAnsi="Franklin Gothic Book"/>
        </w:rPr>
        <w:t>amending the age restriction for</w:t>
      </w:r>
      <w:r w:rsidR="00C421CA">
        <w:rPr>
          <w:rFonts w:ascii="Franklin Gothic Book" w:hAnsi="Franklin Gothic Book"/>
        </w:rPr>
        <w:t xml:space="preserve"> accessing BMD testing under</w:t>
      </w:r>
      <w:r w:rsidRPr="00EA7383">
        <w:rPr>
          <w:rFonts w:ascii="Franklin Gothic Book" w:hAnsi="Franklin Gothic Book"/>
        </w:rPr>
        <w:t xml:space="preserve"> MBS items 12320</w:t>
      </w:r>
      <w:r w:rsidR="003F73A0">
        <w:rPr>
          <w:rFonts w:ascii="Franklin Gothic Book" w:hAnsi="Franklin Gothic Book"/>
        </w:rPr>
        <w:t xml:space="preserve"> and</w:t>
      </w:r>
      <w:r w:rsidRPr="00EA7383">
        <w:rPr>
          <w:rFonts w:ascii="Franklin Gothic Book" w:hAnsi="Franklin Gothic Book"/>
        </w:rPr>
        <w:t xml:space="preserve"> 12322</w:t>
      </w:r>
      <w:r w:rsidR="00C421CA">
        <w:rPr>
          <w:rFonts w:ascii="Franklin Gothic Book" w:hAnsi="Franklin Gothic Book"/>
        </w:rPr>
        <w:t>. The propos</w:t>
      </w:r>
      <w:r w:rsidR="00AC16B4">
        <w:rPr>
          <w:rFonts w:ascii="Franklin Gothic Book" w:hAnsi="Franklin Gothic Book"/>
        </w:rPr>
        <w:t xml:space="preserve">al to amend the age restriction </w:t>
      </w:r>
      <w:r w:rsidRPr="00EA7383">
        <w:rPr>
          <w:rFonts w:ascii="Franklin Gothic Book" w:hAnsi="Franklin Gothic Book"/>
        </w:rPr>
        <w:t>from ≥70 years of age to ≥60 years of age</w:t>
      </w:r>
      <w:r w:rsidR="00AC16B4">
        <w:rPr>
          <w:rFonts w:ascii="Franklin Gothic Book" w:hAnsi="Franklin Gothic Book"/>
        </w:rPr>
        <w:t xml:space="preserve"> </w:t>
      </w:r>
      <w:r w:rsidR="0013302F">
        <w:rPr>
          <w:rFonts w:ascii="Franklin Gothic Book" w:hAnsi="Franklin Gothic Book"/>
        </w:rPr>
        <w:t>(</w:t>
      </w:r>
      <w:r w:rsidR="00AC16B4">
        <w:rPr>
          <w:rFonts w:ascii="Franklin Gothic Book" w:hAnsi="Franklin Gothic Book"/>
        </w:rPr>
        <w:t>for MBS items 12320 and 12322</w:t>
      </w:r>
      <w:r w:rsidR="0013302F">
        <w:rPr>
          <w:rFonts w:ascii="Franklin Gothic Book" w:hAnsi="Franklin Gothic Book"/>
        </w:rPr>
        <w:t>)</w:t>
      </w:r>
      <w:r w:rsidR="00AC16B4">
        <w:rPr>
          <w:rFonts w:ascii="Franklin Gothic Book" w:hAnsi="Franklin Gothic Book"/>
        </w:rPr>
        <w:t xml:space="preserve"> was</w:t>
      </w:r>
      <w:r w:rsidRPr="00EA7383">
        <w:rPr>
          <w:rFonts w:ascii="Franklin Gothic Book" w:hAnsi="Franklin Gothic Book"/>
        </w:rPr>
        <w:t xml:space="preserve"> to align with proposals to amend the age restriction for PBS-listed osteoporosis medicines for primary prevention of fractures.</w:t>
      </w:r>
    </w:p>
    <w:p w14:paraId="0F22D456" w14:textId="0DD58F44" w:rsidR="00EA7383" w:rsidRPr="00EA7383" w:rsidRDefault="00EA7383" w:rsidP="00EA7383">
      <w:pPr>
        <w:rPr>
          <w:rFonts w:ascii="Franklin Gothic Book" w:hAnsi="Franklin Gothic Book"/>
        </w:rPr>
      </w:pPr>
      <w:r w:rsidRPr="00EA7383">
        <w:rPr>
          <w:rFonts w:ascii="Franklin Gothic Book" w:hAnsi="Franklin Gothic Book"/>
        </w:rPr>
        <w:t xml:space="preserve">MSAC noted that consultation feedback provided </w:t>
      </w:r>
      <w:r w:rsidR="000C44CA">
        <w:rPr>
          <w:rFonts w:ascii="Franklin Gothic Book" w:hAnsi="Franklin Gothic Book"/>
        </w:rPr>
        <w:t xml:space="preserve">mixed </w:t>
      </w:r>
      <w:r w:rsidR="00204355">
        <w:rPr>
          <w:rFonts w:ascii="Franklin Gothic Book" w:hAnsi="Franklin Gothic Book"/>
        </w:rPr>
        <w:t>support</w:t>
      </w:r>
      <w:r w:rsidR="00AD0ADB">
        <w:rPr>
          <w:rFonts w:ascii="Franklin Gothic Book" w:hAnsi="Franklin Gothic Book"/>
        </w:rPr>
        <w:t xml:space="preserve"> for the application. T</w:t>
      </w:r>
      <w:r w:rsidR="00204355" w:rsidRPr="00204355">
        <w:rPr>
          <w:rFonts w:ascii="Franklin Gothic Book" w:hAnsi="Franklin Gothic Book"/>
        </w:rPr>
        <w:t xml:space="preserve">he Royal Australian College of General Practitioners (RACGP) </w:t>
      </w:r>
      <w:r w:rsidR="00F1065D">
        <w:rPr>
          <w:rFonts w:ascii="Franklin Gothic Book" w:hAnsi="Franklin Gothic Book"/>
        </w:rPr>
        <w:t>d</w:t>
      </w:r>
      <w:r w:rsidR="005B7271">
        <w:rPr>
          <w:rFonts w:ascii="Franklin Gothic Book" w:hAnsi="Franklin Gothic Book"/>
        </w:rPr>
        <w:t>id not</w:t>
      </w:r>
      <w:r w:rsidR="00AD0ADB">
        <w:rPr>
          <w:rFonts w:ascii="Franklin Gothic Book" w:hAnsi="Franklin Gothic Book"/>
        </w:rPr>
        <w:t xml:space="preserve"> support the application and</w:t>
      </w:r>
      <w:r w:rsidR="00D33A94">
        <w:rPr>
          <w:rFonts w:ascii="Franklin Gothic Book" w:hAnsi="Franklin Gothic Book"/>
        </w:rPr>
        <w:t xml:space="preserve"> referred </w:t>
      </w:r>
      <w:r w:rsidR="00281AE9">
        <w:rPr>
          <w:rFonts w:ascii="Franklin Gothic Book" w:hAnsi="Franklin Gothic Book"/>
        </w:rPr>
        <w:t>to their 2024 guidelines</w:t>
      </w:r>
      <w:r w:rsidR="00EF506A">
        <w:rPr>
          <w:rStyle w:val="FootnoteReference"/>
          <w:rFonts w:ascii="Franklin Gothic Book" w:hAnsi="Franklin Gothic Book"/>
        </w:rPr>
        <w:footnoteReference w:id="4"/>
      </w:r>
      <w:r w:rsidR="00281AE9">
        <w:rPr>
          <w:rFonts w:ascii="Franklin Gothic Book" w:hAnsi="Franklin Gothic Book"/>
        </w:rPr>
        <w:t xml:space="preserve"> for </w:t>
      </w:r>
      <w:r w:rsidR="00D1199D">
        <w:rPr>
          <w:rFonts w:ascii="Franklin Gothic Book" w:hAnsi="Franklin Gothic Book"/>
        </w:rPr>
        <w:t xml:space="preserve">Osteoporosis management which </w:t>
      </w:r>
      <w:r w:rsidR="00336C53">
        <w:rPr>
          <w:rFonts w:ascii="Franklin Gothic Book" w:hAnsi="Franklin Gothic Book"/>
        </w:rPr>
        <w:t>do</w:t>
      </w:r>
      <w:r w:rsidR="00AD0ADB">
        <w:rPr>
          <w:rFonts w:ascii="Franklin Gothic Book" w:hAnsi="Franklin Gothic Book"/>
        </w:rPr>
        <w:t>es</w:t>
      </w:r>
      <w:r w:rsidR="006D2365">
        <w:rPr>
          <w:rFonts w:ascii="Franklin Gothic Book" w:hAnsi="Franklin Gothic Book"/>
        </w:rPr>
        <w:t xml:space="preserve"> </w:t>
      </w:r>
      <w:r w:rsidR="006D2365" w:rsidRPr="00EA7383">
        <w:rPr>
          <w:rFonts w:ascii="Franklin Gothic Book" w:hAnsi="Franklin Gothic Book"/>
        </w:rPr>
        <w:t xml:space="preserve">not recommend population-based </w:t>
      </w:r>
      <w:r w:rsidR="00AD0ADB">
        <w:rPr>
          <w:rFonts w:ascii="Franklin Gothic Book" w:hAnsi="Franklin Gothic Book"/>
        </w:rPr>
        <w:t xml:space="preserve">systematic </w:t>
      </w:r>
      <w:r w:rsidR="006D2365" w:rsidRPr="00EA7383">
        <w:rPr>
          <w:rFonts w:ascii="Franklin Gothic Book" w:hAnsi="Franklin Gothic Book"/>
        </w:rPr>
        <w:t>screening with BMD measurement</w:t>
      </w:r>
      <w:r w:rsidR="00AD0ADB" w:rsidRPr="00AD0ADB">
        <w:rPr>
          <w:rFonts w:ascii="Franklin Gothic Book" w:hAnsi="Franklin Gothic Book"/>
        </w:rPr>
        <w:t xml:space="preserve"> for reduction of</w:t>
      </w:r>
      <w:r w:rsidR="00AD0ADB">
        <w:rPr>
          <w:rFonts w:ascii="Franklin Gothic Book" w:hAnsi="Franklin Gothic Book"/>
        </w:rPr>
        <w:t xml:space="preserve"> </w:t>
      </w:r>
      <w:r w:rsidR="00AD0ADB" w:rsidRPr="00AD0ADB">
        <w:rPr>
          <w:rFonts w:ascii="Franklin Gothic Book" w:hAnsi="Franklin Gothic Book"/>
        </w:rPr>
        <w:t>osteoporotic fractures</w:t>
      </w:r>
      <w:r w:rsidR="006D2365">
        <w:rPr>
          <w:rFonts w:ascii="Franklin Gothic Book" w:hAnsi="Franklin Gothic Book"/>
        </w:rPr>
        <w:t xml:space="preserve">. Rather the </w:t>
      </w:r>
      <w:r w:rsidR="00F24397">
        <w:rPr>
          <w:rFonts w:ascii="Franklin Gothic Book" w:hAnsi="Franklin Gothic Book"/>
        </w:rPr>
        <w:t>RACGP guidelines recommend</w:t>
      </w:r>
      <w:r w:rsidR="008E055E">
        <w:rPr>
          <w:rFonts w:ascii="Franklin Gothic Book" w:hAnsi="Franklin Gothic Book"/>
        </w:rPr>
        <w:t xml:space="preserve"> </w:t>
      </w:r>
      <w:r w:rsidR="00D6686A">
        <w:rPr>
          <w:rFonts w:ascii="Franklin Gothic Book" w:hAnsi="Franklin Gothic Book"/>
        </w:rPr>
        <w:t xml:space="preserve">conducting </w:t>
      </w:r>
      <w:r w:rsidR="008E055E">
        <w:rPr>
          <w:rFonts w:ascii="Franklin Gothic Book" w:hAnsi="Franklin Gothic Book"/>
        </w:rPr>
        <w:t xml:space="preserve">risk factor assessment first </w:t>
      </w:r>
      <w:r w:rsidR="00AD65B0">
        <w:rPr>
          <w:rFonts w:ascii="Franklin Gothic Book" w:hAnsi="Franklin Gothic Book"/>
        </w:rPr>
        <w:t>(such as using the Fracture Risk Assessment Tool</w:t>
      </w:r>
      <w:r w:rsidR="003A3040">
        <w:rPr>
          <w:rFonts w:ascii="Franklin Gothic Book" w:hAnsi="Franklin Gothic Book"/>
        </w:rPr>
        <w:t xml:space="preserve">, FRAX) </w:t>
      </w:r>
      <w:r w:rsidR="008E055E">
        <w:rPr>
          <w:rFonts w:ascii="Franklin Gothic Book" w:hAnsi="Franklin Gothic Book"/>
        </w:rPr>
        <w:t>to</w:t>
      </w:r>
      <w:r w:rsidR="00EF506A">
        <w:rPr>
          <w:rFonts w:ascii="Franklin Gothic Book" w:hAnsi="Franklin Gothic Book"/>
        </w:rPr>
        <w:t xml:space="preserve"> then</w:t>
      </w:r>
      <w:r w:rsidR="008E055E">
        <w:rPr>
          <w:rFonts w:ascii="Franklin Gothic Book" w:hAnsi="Franklin Gothic Book"/>
        </w:rPr>
        <w:t xml:space="preserve"> guide </w:t>
      </w:r>
      <w:r w:rsidR="000A02A3">
        <w:rPr>
          <w:rFonts w:ascii="Franklin Gothic Book" w:hAnsi="Franklin Gothic Book"/>
        </w:rPr>
        <w:t>whether a BMD</w:t>
      </w:r>
      <w:r w:rsidR="00D6686A">
        <w:rPr>
          <w:rFonts w:ascii="Franklin Gothic Book" w:hAnsi="Franklin Gothic Book"/>
        </w:rPr>
        <w:t xml:space="preserve"> </w:t>
      </w:r>
      <w:r w:rsidR="003A7FAE">
        <w:rPr>
          <w:rFonts w:ascii="Franklin Gothic Book" w:hAnsi="Franklin Gothic Book"/>
        </w:rPr>
        <w:t xml:space="preserve">test </w:t>
      </w:r>
      <w:r w:rsidR="00D6686A">
        <w:rPr>
          <w:rFonts w:ascii="Franklin Gothic Book" w:hAnsi="Franklin Gothic Book"/>
        </w:rPr>
        <w:t xml:space="preserve">and/or treatment should be considered. </w:t>
      </w:r>
      <w:r w:rsidR="00EF506A">
        <w:rPr>
          <w:rFonts w:ascii="Franklin Gothic Book" w:hAnsi="Franklin Gothic Book"/>
        </w:rPr>
        <w:t xml:space="preserve">MSAC also noted that consultation feedback had </w:t>
      </w:r>
      <w:r w:rsidR="006B4957">
        <w:rPr>
          <w:rFonts w:ascii="Franklin Gothic Book" w:hAnsi="Franklin Gothic Book"/>
        </w:rPr>
        <w:t xml:space="preserve">commented </w:t>
      </w:r>
      <w:r w:rsidRPr="00EA7383">
        <w:rPr>
          <w:rFonts w:ascii="Franklin Gothic Book" w:hAnsi="Franklin Gothic Book"/>
        </w:rPr>
        <w:t>on radiation exposure</w:t>
      </w:r>
      <w:r w:rsidR="006B4957">
        <w:rPr>
          <w:rFonts w:ascii="Franklin Gothic Book" w:hAnsi="Franklin Gothic Book"/>
        </w:rPr>
        <w:t xml:space="preserve">, </w:t>
      </w:r>
      <w:r w:rsidRPr="00EA7383">
        <w:rPr>
          <w:rFonts w:ascii="Franklin Gothic Book" w:hAnsi="Franklin Gothic Book"/>
        </w:rPr>
        <w:t xml:space="preserve">that DEXA had less radiation exposure than </w:t>
      </w:r>
      <w:r w:rsidR="00F537A2" w:rsidRPr="00F537A2">
        <w:rPr>
          <w:rFonts w:ascii="Franklin Gothic Book" w:hAnsi="Franklin Gothic Book"/>
        </w:rPr>
        <w:t>quantitative computed tomography</w:t>
      </w:r>
      <w:r w:rsidR="00955AB1">
        <w:rPr>
          <w:rFonts w:ascii="Franklin Gothic Book" w:hAnsi="Franklin Gothic Book"/>
        </w:rPr>
        <w:t xml:space="preserve"> (QCT</w:t>
      </w:r>
      <w:proofErr w:type="gramStart"/>
      <w:r w:rsidR="00955AB1">
        <w:rPr>
          <w:rFonts w:ascii="Franklin Gothic Book" w:hAnsi="Franklin Gothic Book"/>
        </w:rPr>
        <w:t>)</w:t>
      </w:r>
      <w:proofErr w:type="gramEnd"/>
      <w:r w:rsidR="00F537A2">
        <w:rPr>
          <w:rFonts w:ascii="Franklin Gothic Book" w:hAnsi="Franklin Gothic Book"/>
        </w:rPr>
        <w:t xml:space="preserve"> but</w:t>
      </w:r>
      <w:r w:rsidRPr="00EA7383">
        <w:rPr>
          <w:rFonts w:ascii="Franklin Gothic Book" w:hAnsi="Franklin Gothic Book"/>
        </w:rPr>
        <w:t xml:space="preserve"> radiation</w:t>
      </w:r>
      <w:r w:rsidR="008F36DB">
        <w:rPr>
          <w:rFonts w:ascii="Franklin Gothic Book" w:hAnsi="Franklin Gothic Book"/>
        </w:rPr>
        <w:t xml:space="preserve"> dose</w:t>
      </w:r>
      <w:r w:rsidRPr="00EA7383">
        <w:rPr>
          <w:rFonts w:ascii="Franklin Gothic Book" w:hAnsi="Franklin Gothic Book"/>
        </w:rPr>
        <w:t xml:space="preserve"> is cumulative</w:t>
      </w:r>
      <w:r w:rsidR="00B62999">
        <w:rPr>
          <w:rFonts w:ascii="Franklin Gothic Book" w:hAnsi="Franklin Gothic Book"/>
        </w:rPr>
        <w:t xml:space="preserve">. The feedback considered </w:t>
      </w:r>
      <w:r w:rsidR="009606BB">
        <w:rPr>
          <w:rFonts w:ascii="Franklin Gothic Book" w:hAnsi="Franklin Gothic Book"/>
        </w:rPr>
        <w:t xml:space="preserve">DEXA preferrable over QCT </w:t>
      </w:r>
      <w:r w:rsidR="00AD0ADB">
        <w:rPr>
          <w:rFonts w:ascii="Franklin Gothic Book" w:hAnsi="Franklin Gothic Book"/>
        </w:rPr>
        <w:t>but</w:t>
      </w:r>
      <w:r w:rsidR="009606BB">
        <w:rPr>
          <w:rFonts w:ascii="Franklin Gothic Book" w:hAnsi="Franklin Gothic Book"/>
        </w:rPr>
        <w:t xml:space="preserve"> </w:t>
      </w:r>
      <w:r w:rsidRPr="00EA7383">
        <w:rPr>
          <w:rFonts w:ascii="Franklin Gothic Book" w:hAnsi="Franklin Gothic Book"/>
        </w:rPr>
        <w:t xml:space="preserve">that </w:t>
      </w:r>
      <w:r w:rsidR="0044402B">
        <w:rPr>
          <w:rFonts w:ascii="Franklin Gothic Book" w:hAnsi="Franklin Gothic Book"/>
        </w:rPr>
        <w:t xml:space="preserve">the </w:t>
      </w:r>
      <w:r w:rsidR="0058367F">
        <w:rPr>
          <w:rFonts w:ascii="Franklin Gothic Book" w:hAnsi="Franklin Gothic Book"/>
        </w:rPr>
        <w:t>additional radiation exposure and ris</w:t>
      </w:r>
      <w:r w:rsidR="000E2CD0">
        <w:rPr>
          <w:rFonts w:ascii="Franklin Gothic Book" w:hAnsi="Franklin Gothic Book"/>
        </w:rPr>
        <w:t xml:space="preserve">k/benefit of </w:t>
      </w:r>
      <w:r w:rsidRPr="00EA7383">
        <w:rPr>
          <w:rFonts w:ascii="Franklin Gothic Book" w:hAnsi="Franklin Gothic Book"/>
        </w:rPr>
        <w:t xml:space="preserve">DEXA versus QCT </w:t>
      </w:r>
      <w:r w:rsidR="0058367F">
        <w:rPr>
          <w:rFonts w:ascii="Franklin Gothic Book" w:hAnsi="Franklin Gothic Book"/>
        </w:rPr>
        <w:t>should be evaluated</w:t>
      </w:r>
      <w:r w:rsidRPr="00EA7383">
        <w:rPr>
          <w:rFonts w:ascii="Franklin Gothic Book" w:hAnsi="Franklin Gothic Book"/>
        </w:rPr>
        <w:t xml:space="preserve">. MSAC </w:t>
      </w:r>
      <w:r w:rsidR="00F131CF">
        <w:rPr>
          <w:rFonts w:ascii="Franklin Gothic Book" w:hAnsi="Franklin Gothic Book"/>
        </w:rPr>
        <w:t xml:space="preserve">agreed with the consultation feedback </w:t>
      </w:r>
      <w:r w:rsidR="00263C03">
        <w:rPr>
          <w:rFonts w:ascii="Franklin Gothic Book" w:hAnsi="Franklin Gothic Book"/>
        </w:rPr>
        <w:t xml:space="preserve">regarding radiation concerns with QCT </w:t>
      </w:r>
      <w:r w:rsidR="00751F0D">
        <w:rPr>
          <w:rFonts w:ascii="Franklin Gothic Book" w:hAnsi="Franklin Gothic Book"/>
        </w:rPr>
        <w:t>and that</w:t>
      </w:r>
      <w:r w:rsidR="005F21ED">
        <w:rPr>
          <w:rFonts w:ascii="Franklin Gothic Book" w:hAnsi="Franklin Gothic Book"/>
        </w:rPr>
        <w:t xml:space="preserve"> </w:t>
      </w:r>
      <w:r w:rsidRPr="00EA7383">
        <w:rPr>
          <w:rFonts w:ascii="Franklin Gothic Book" w:hAnsi="Franklin Gothic Book"/>
        </w:rPr>
        <w:t xml:space="preserve">radiation exposure </w:t>
      </w:r>
      <w:r w:rsidR="00751F0D">
        <w:rPr>
          <w:rFonts w:ascii="Franklin Gothic Book" w:hAnsi="Franklin Gothic Book"/>
        </w:rPr>
        <w:t xml:space="preserve">(cumulation) </w:t>
      </w:r>
      <w:r w:rsidRPr="00EA7383">
        <w:rPr>
          <w:rFonts w:ascii="Franklin Gothic Book" w:hAnsi="Franklin Gothic Book"/>
        </w:rPr>
        <w:t>should be considered</w:t>
      </w:r>
      <w:r w:rsidR="00751F0D">
        <w:rPr>
          <w:rFonts w:ascii="Franklin Gothic Book" w:hAnsi="Franklin Gothic Book"/>
        </w:rPr>
        <w:t xml:space="preserve"> but noted it is low with D</w:t>
      </w:r>
      <w:r w:rsidR="002C0E20">
        <w:rPr>
          <w:rFonts w:ascii="Franklin Gothic Book" w:hAnsi="Franklin Gothic Book"/>
        </w:rPr>
        <w:t>E</w:t>
      </w:r>
      <w:r w:rsidR="00751F0D">
        <w:rPr>
          <w:rFonts w:ascii="Franklin Gothic Book" w:hAnsi="Franklin Gothic Book"/>
        </w:rPr>
        <w:t>XA</w:t>
      </w:r>
      <w:r w:rsidRPr="00EA7383">
        <w:rPr>
          <w:rFonts w:ascii="Franklin Gothic Book" w:hAnsi="Franklin Gothic Book"/>
        </w:rPr>
        <w:t>.</w:t>
      </w:r>
    </w:p>
    <w:p w14:paraId="5EC2FE1F" w14:textId="064D9974" w:rsidR="00BD3BFE" w:rsidRDefault="00344C7F" w:rsidP="00537473">
      <w:pPr>
        <w:rPr>
          <w:rFonts w:ascii="Franklin Gothic Book" w:hAnsi="Franklin Gothic Book"/>
          <w:iCs/>
        </w:rPr>
      </w:pPr>
      <w:r w:rsidRPr="00EA7383">
        <w:rPr>
          <w:rFonts w:ascii="Franklin Gothic Book" w:hAnsi="Franklin Gothic Book"/>
          <w:iCs/>
        </w:rPr>
        <w:t xml:space="preserve">MSAC noted that the Pharmaceutical Benefits Advisory Committee (PBAC) </w:t>
      </w:r>
      <w:r>
        <w:rPr>
          <w:rFonts w:ascii="Franklin Gothic Book" w:hAnsi="Franklin Gothic Book"/>
          <w:iCs/>
        </w:rPr>
        <w:t>had previously</w:t>
      </w:r>
      <w:r w:rsidRPr="00EA7383">
        <w:rPr>
          <w:rFonts w:ascii="Franklin Gothic Book" w:hAnsi="Franklin Gothic Book"/>
          <w:iCs/>
        </w:rPr>
        <w:t xml:space="preserve"> considered </w:t>
      </w:r>
      <w:r w:rsidR="007D285C">
        <w:rPr>
          <w:rFonts w:ascii="Franklin Gothic Book" w:hAnsi="Franklin Gothic Book"/>
          <w:iCs/>
        </w:rPr>
        <w:t xml:space="preserve">proposals </w:t>
      </w:r>
      <w:r w:rsidRPr="00EA7383">
        <w:rPr>
          <w:rFonts w:ascii="Franklin Gothic Book" w:hAnsi="Franklin Gothic Book"/>
          <w:iCs/>
        </w:rPr>
        <w:t xml:space="preserve">to amend the age restriction for PBS-listed osteoporosis medicines to </w:t>
      </w:r>
      <w:r w:rsidRPr="00EA7383">
        <w:rPr>
          <w:rFonts w:ascii="Franklin Gothic Book" w:hAnsi="Franklin Gothic Book"/>
          <w:iCs/>
        </w:rPr>
        <w:lastRenderedPageBreak/>
        <w:t xml:space="preserve">include </w:t>
      </w:r>
      <w:r w:rsidR="0084726B">
        <w:rPr>
          <w:rFonts w:ascii="Franklin Gothic Book" w:hAnsi="Franklin Gothic Book"/>
          <w:iCs/>
        </w:rPr>
        <w:t>individuals</w:t>
      </w:r>
      <w:r w:rsidRPr="00EA7383">
        <w:rPr>
          <w:rFonts w:ascii="Franklin Gothic Book" w:hAnsi="Franklin Gothic Book"/>
          <w:iCs/>
        </w:rPr>
        <w:t xml:space="preserve"> aged 60–69 years </w:t>
      </w:r>
      <w:r>
        <w:rPr>
          <w:rFonts w:ascii="Franklin Gothic Book" w:hAnsi="Franklin Gothic Book"/>
          <w:iCs/>
        </w:rPr>
        <w:t xml:space="preserve">and </w:t>
      </w:r>
      <w:r w:rsidRPr="00EA7383">
        <w:rPr>
          <w:rFonts w:ascii="Franklin Gothic Book" w:hAnsi="Franklin Gothic Book"/>
          <w:iCs/>
        </w:rPr>
        <w:t>who met the BMD criteria</w:t>
      </w:r>
      <w:r w:rsidR="00A81584">
        <w:rPr>
          <w:rFonts w:ascii="Franklin Gothic Book" w:hAnsi="Franklin Gothic Book"/>
          <w:iCs/>
        </w:rPr>
        <w:t>.</w:t>
      </w:r>
      <w:r w:rsidR="00401357">
        <w:rPr>
          <w:rStyle w:val="FootnoteReference"/>
          <w:rFonts w:ascii="Franklin Gothic Book" w:hAnsi="Franklin Gothic Book"/>
          <w:iCs/>
        </w:rPr>
        <w:footnoteReference w:id="5"/>
      </w:r>
      <w:r w:rsidR="00401357" w:rsidRPr="00745006">
        <w:rPr>
          <w:rFonts w:ascii="Franklin Gothic Book" w:hAnsi="Franklin Gothic Book"/>
          <w:iCs/>
          <w:vertAlign w:val="superscript"/>
        </w:rPr>
        <w:t>,</w:t>
      </w:r>
      <w:r w:rsidR="00A81584">
        <w:rPr>
          <w:rStyle w:val="FootnoteReference"/>
          <w:rFonts w:ascii="Franklin Gothic Book" w:hAnsi="Franklin Gothic Book"/>
          <w:iCs/>
        </w:rPr>
        <w:footnoteReference w:id="6"/>
      </w:r>
      <w:r w:rsidRPr="00EA7383">
        <w:rPr>
          <w:rFonts w:ascii="Franklin Gothic Book" w:hAnsi="Franklin Gothic Book"/>
          <w:iCs/>
        </w:rPr>
        <w:t xml:space="preserve"> </w:t>
      </w:r>
      <w:r w:rsidR="0023063D">
        <w:rPr>
          <w:rFonts w:ascii="Franklin Gothic Book" w:hAnsi="Franklin Gothic Book"/>
          <w:iCs/>
        </w:rPr>
        <w:t>On those occasions,</w:t>
      </w:r>
      <w:r w:rsidR="00A378B6">
        <w:rPr>
          <w:rFonts w:ascii="Franklin Gothic Book" w:hAnsi="Franklin Gothic Book"/>
          <w:iCs/>
        </w:rPr>
        <w:t xml:space="preserve"> t</w:t>
      </w:r>
      <w:r w:rsidRPr="00EA7383">
        <w:rPr>
          <w:rFonts w:ascii="Franklin Gothic Book" w:hAnsi="Franklin Gothic Book"/>
          <w:iCs/>
        </w:rPr>
        <w:t xml:space="preserve">he PBAC </w:t>
      </w:r>
      <w:r w:rsidR="00130DA4">
        <w:rPr>
          <w:rFonts w:ascii="Franklin Gothic Book" w:hAnsi="Franklin Gothic Book"/>
          <w:iCs/>
        </w:rPr>
        <w:t>was of</w:t>
      </w:r>
      <w:r w:rsidRPr="00EA7383">
        <w:rPr>
          <w:rFonts w:ascii="Franklin Gothic Book" w:hAnsi="Franklin Gothic Book"/>
          <w:iCs/>
        </w:rPr>
        <w:t xml:space="preserve"> a mind to support lowering the age restriction but deferred </w:t>
      </w:r>
      <w:r w:rsidR="00165417">
        <w:rPr>
          <w:rFonts w:ascii="Franklin Gothic Book" w:hAnsi="Franklin Gothic Book"/>
          <w:iCs/>
        </w:rPr>
        <w:t>consideration</w:t>
      </w:r>
      <w:r w:rsidRPr="00EA7383">
        <w:rPr>
          <w:rFonts w:ascii="Franklin Gothic Book" w:hAnsi="Franklin Gothic Book"/>
          <w:iCs/>
        </w:rPr>
        <w:t xml:space="preserve"> pending</w:t>
      </w:r>
      <w:r w:rsidR="00537473">
        <w:rPr>
          <w:rFonts w:ascii="Franklin Gothic Book" w:hAnsi="Franklin Gothic Book"/>
          <w:iCs/>
        </w:rPr>
        <w:t xml:space="preserve"> a</w:t>
      </w:r>
      <w:r w:rsidRPr="00EA7383">
        <w:rPr>
          <w:rFonts w:ascii="Franklin Gothic Book" w:hAnsi="Franklin Gothic Book"/>
          <w:iCs/>
        </w:rPr>
        <w:t xml:space="preserve"> </w:t>
      </w:r>
      <w:r w:rsidR="00537473" w:rsidRPr="00537473">
        <w:rPr>
          <w:rFonts w:ascii="Franklin Gothic Book" w:hAnsi="Franklin Gothic Book"/>
          <w:iCs/>
        </w:rPr>
        <w:t>review of the MBS implications, to</w:t>
      </w:r>
      <w:r w:rsidR="00537473">
        <w:rPr>
          <w:rFonts w:ascii="Franklin Gothic Book" w:hAnsi="Franklin Gothic Book"/>
          <w:iCs/>
        </w:rPr>
        <w:t xml:space="preserve"> </w:t>
      </w:r>
      <w:r w:rsidR="00537473" w:rsidRPr="00537473">
        <w:rPr>
          <w:rFonts w:ascii="Franklin Gothic Book" w:hAnsi="Franklin Gothic Book"/>
          <w:iCs/>
        </w:rPr>
        <w:t>ensure that the bone densitometry MBS items could be aligned with the PBAC recommendations</w:t>
      </w:r>
      <w:r w:rsidRPr="00EA7383">
        <w:rPr>
          <w:rFonts w:ascii="Franklin Gothic Book" w:hAnsi="Franklin Gothic Book"/>
          <w:iCs/>
        </w:rPr>
        <w:t>.</w:t>
      </w:r>
    </w:p>
    <w:p w14:paraId="11DB00EC" w14:textId="7C5C91AD" w:rsidR="00512872" w:rsidRPr="00B15F54" w:rsidRDefault="00BD3BFE" w:rsidP="00512872">
      <w:pPr>
        <w:rPr>
          <w:rFonts w:ascii="Franklin Gothic Book" w:hAnsi="Franklin Gothic Book"/>
        </w:rPr>
      </w:pPr>
      <w:r>
        <w:rPr>
          <w:rFonts w:ascii="Franklin Gothic Book" w:hAnsi="Franklin Gothic Book"/>
          <w:iCs/>
        </w:rPr>
        <w:t xml:space="preserve">MSAC </w:t>
      </w:r>
      <w:r w:rsidR="00AD0ADB">
        <w:rPr>
          <w:rFonts w:ascii="Franklin Gothic Book" w:hAnsi="Franklin Gothic Book"/>
          <w:iCs/>
        </w:rPr>
        <w:t xml:space="preserve">also </w:t>
      </w:r>
      <w:r>
        <w:rPr>
          <w:rFonts w:ascii="Franklin Gothic Book" w:hAnsi="Franklin Gothic Book"/>
          <w:iCs/>
        </w:rPr>
        <w:t xml:space="preserve">noted that </w:t>
      </w:r>
      <w:r w:rsidR="00DD23C8">
        <w:rPr>
          <w:rFonts w:ascii="Franklin Gothic Book" w:hAnsi="Franklin Gothic Book"/>
          <w:iCs/>
        </w:rPr>
        <w:t>PBAC ha</w:t>
      </w:r>
      <w:r w:rsidR="00C41697">
        <w:rPr>
          <w:rFonts w:ascii="Franklin Gothic Book" w:hAnsi="Franklin Gothic Book"/>
          <w:iCs/>
        </w:rPr>
        <w:t>d</w:t>
      </w:r>
      <w:r w:rsidR="00DD23C8">
        <w:rPr>
          <w:rFonts w:ascii="Franklin Gothic Book" w:hAnsi="Franklin Gothic Book"/>
          <w:iCs/>
        </w:rPr>
        <w:t xml:space="preserve"> raised </w:t>
      </w:r>
      <w:r w:rsidR="00C41697">
        <w:rPr>
          <w:rFonts w:ascii="Franklin Gothic Book" w:hAnsi="Franklin Gothic Book"/>
          <w:iCs/>
        </w:rPr>
        <w:t>concern</w:t>
      </w:r>
      <w:r w:rsidR="00DD23C8">
        <w:rPr>
          <w:rFonts w:ascii="Franklin Gothic Book" w:hAnsi="Franklin Gothic Book"/>
          <w:iCs/>
        </w:rPr>
        <w:t xml:space="preserve"> </w:t>
      </w:r>
      <w:r w:rsidR="00884032">
        <w:rPr>
          <w:rFonts w:ascii="Franklin Gothic Book" w:hAnsi="Franklin Gothic Book"/>
          <w:iCs/>
        </w:rPr>
        <w:t>regarding</w:t>
      </w:r>
      <w:r w:rsidR="00344C7F" w:rsidRPr="00EA7383">
        <w:rPr>
          <w:rFonts w:ascii="Franklin Gothic Book" w:hAnsi="Franklin Gothic Book"/>
          <w:iCs/>
        </w:rPr>
        <w:t xml:space="preserve"> optimistic assumptions</w:t>
      </w:r>
      <w:r w:rsidR="00884032">
        <w:rPr>
          <w:rFonts w:ascii="Franklin Gothic Book" w:hAnsi="Franklin Gothic Book"/>
          <w:iCs/>
        </w:rPr>
        <w:t xml:space="preserve"> that had been included in the economic evaluation</w:t>
      </w:r>
      <w:r w:rsidR="00401357">
        <w:rPr>
          <w:rFonts w:ascii="Franklin Gothic Book" w:hAnsi="Franklin Gothic Book"/>
          <w:iCs/>
        </w:rPr>
        <w:t xml:space="preserve"> for risedronate</w:t>
      </w:r>
      <w:r w:rsidR="00344C7F" w:rsidRPr="00EA7383">
        <w:rPr>
          <w:rFonts w:ascii="Franklin Gothic Book" w:hAnsi="Franklin Gothic Book"/>
          <w:iCs/>
        </w:rPr>
        <w:t>.</w:t>
      </w:r>
      <w:r w:rsidR="00997B14">
        <w:rPr>
          <w:rFonts w:ascii="Franklin Gothic Book" w:hAnsi="Franklin Gothic Book"/>
          <w:iCs/>
        </w:rPr>
        <w:t xml:space="preserve"> </w:t>
      </w:r>
      <w:r w:rsidR="00B46EA8">
        <w:rPr>
          <w:rFonts w:ascii="Franklin Gothic Book" w:hAnsi="Franklin Gothic Book"/>
          <w:iCs/>
        </w:rPr>
        <w:t xml:space="preserve">MSAC noted that </w:t>
      </w:r>
      <w:r w:rsidR="00702A90">
        <w:rPr>
          <w:rFonts w:ascii="Franklin Gothic Book" w:hAnsi="Franklin Gothic Book"/>
          <w:iCs/>
        </w:rPr>
        <w:t>the economic evaluation for this application was based on the economic model</w:t>
      </w:r>
      <w:r w:rsidR="00B46EA8">
        <w:rPr>
          <w:rFonts w:ascii="Franklin Gothic Book" w:hAnsi="Franklin Gothic Book"/>
          <w:iCs/>
        </w:rPr>
        <w:t xml:space="preserve"> </w:t>
      </w:r>
      <w:r w:rsidR="00702A90">
        <w:rPr>
          <w:rFonts w:ascii="Franklin Gothic Book" w:hAnsi="Franklin Gothic Book"/>
          <w:iCs/>
        </w:rPr>
        <w:t xml:space="preserve">for risedronate </w:t>
      </w:r>
      <w:r w:rsidR="00FC4D4A">
        <w:rPr>
          <w:rFonts w:ascii="Franklin Gothic Book" w:hAnsi="Franklin Gothic Book"/>
          <w:iCs/>
        </w:rPr>
        <w:t>but that the model had been</w:t>
      </w:r>
      <w:r w:rsidR="005E4554">
        <w:rPr>
          <w:rFonts w:ascii="Franklin Gothic Book" w:hAnsi="Franklin Gothic Book"/>
          <w:iCs/>
        </w:rPr>
        <w:t xml:space="preserve"> </w:t>
      </w:r>
      <w:r w:rsidR="00FC4D4A">
        <w:rPr>
          <w:rFonts w:ascii="Franklin Gothic Book" w:hAnsi="Franklin Gothic Book"/>
          <w:iCs/>
        </w:rPr>
        <w:t>revised to</w:t>
      </w:r>
      <w:r w:rsidR="00EC24FD">
        <w:rPr>
          <w:rFonts w:ascii="Franklin Gothic Book" w:hAnsi="Franklin Gothic Book"/>
          <w:iCs/>
        </w:rPr>
        <w:t xml:space="preserve"> address the concerns raised by PBAC</w:t>
      </w:r>
      <w:r w:rsidR="001352BA">
        <w:rPr>
          <w:rFonts w:ascii="Franklin Gothic Book" w:hAnsi="Franklin Gothic Book"/>
          <w:iCs/>
        </w:rPr>
        <w:t>, providing</w:t>
      </w:r>
      <w:r w:rsidR="00463246">
        <w:rPr>
          <w:rFonts w:ascii="Franklin Gothic Book" w:hAnsi="Franklin Gothic Book"/>
          <w:iCs/>
        </w:rPr>
        <w:t xml:space="preserve"> a more reliable model with assumptions that </w:t>
      </w:r>
      <w:r w:rsidR="00943F0C">
        <w:rPr>
          <w:rFonts w:ascii="Franklin Gothic Book" w:hAnsi="Franklin Gothic Book"/>
          <w:iCs/>
        </w:rPr>
        <w:t xml:space="preserve">better </w:t>
      </w:r>
      <w:r w:rsidR="00463246">
        <w:rPr>
          <w:rFonts w:ascii="Franklin Gothic Book" w:hAnsi="Franklin Gothic Book"/>
          <w:iCs/>
        </w:rPr>
        <w:t>reflect</w:t>
      </w:r>
      <w:r w:rsidR="001352BA">
        <w:rPr>
          <w:rFonts w:ascii="Franklin Gothic Book" w:hAnsi="Franklin Gothic Book"/>
          <w:iCs/>
        </w:rPr>
        <w:t>ed</w:t>
      </w:r>
      <w:r w:rsidR="00463246">
        <w:rPr>
          <w:rFonts w:ascii="Franklin Gothic Book" w:hAnsi="Franklin Gothic Book"/>
          <w:iCs/>
        </w:rPr>
        <w:t xml:space="preserve"> clinical practice</w:t>
      </w:r>
      <w:r w:rsidR="00943F0C">
        <w:rPr>
          <w:rFonts w:ascii="Franklin Gothic Book" w:hAnsi="Franklin Gothic Book"/>
          <w:iCs/>
        </w:rPr>
        <w:t>. The results of this economic evaluation indicated th</w:t>
      </w:r>
      <w:r w:rsidR="001352BA">
        <w:rPr>
          <w:rFonts w:ascii="Franklin Gothic Book" w:hAnsi="Franklin Gothic Book"/>
          <w:iCs/>
        </w:rPr>
        <w:t>e incremental cost per additional patient diagnosed with osteoporosis was $4,673</w:t>
      </w:r>
      <w:r w:rsidR="007934B0">
        <w:rPr>
          <w:rFonts w:ascii="Franklin Gothic Book" w:hAnsi="Franklin Gothic Book"/>
          <w:iCs/>
        </w:rPr>
        <w:t xml:space="preserve">. MSAC also noted </w:t>
      </w:r>
      <w:r w:rsidR="002D354F">
        <w:rPr>
          <w:rFonts w:ascii="Franklin Gothic Book" w:hAnsi="Franklin Gothic Book"/>
          <w:iCs/>
        </w:rPr>
        <w:t xml:space="preserve">that </w:t>
      </w:r>
      <w:r w:rsidR="007934B0">
        <w:rPr>
          <w:rFonts w:ascii="Franklin Gothic Book" w:hAnsi="Franklin Gothic Book"/>
          <w:iCs/>
        </w:rPr>
        <w:t xml:space="preserve">PBAC </w:t>
      </w:r>
      <w:r w:rsidR="002D354F">
        <w:rPr>
          <w:rFonts w:ascii="Franklin Gothic Book" w:hAnsi="Franklin Gothic Book"/>
          <w:iCs/>
        </w:rPr>
        <w:t xml:space="preserve">had </w:t>
      </w:r>
      <w:r w:rsidR="007934B0">
        <w:rPr>
          <w:rFonts w:ascii="Franklin Gothic Book" w:hAnsi="Franklin Gothic Book"/>
          <w:iCs/>
        </w:rPr>
        <w:t>reviewed the updated economic evaluation</w:t>
      </w:r>
      <w:r w:rsidR="002D354F">
        <w:rPr>
          <w:rFonts w:ascii="Franklin Gothic Book" w:hAnsi="Franklin Gothic Book"/>
          <w:iCs/>
        </w:rPr>
        <w:t xml:space="preserve"> at its July 2024 meeting and</w:t>
      </w:r>
      <w:r w:rsidR="007934B0">
        <w:rPr>
          <w:rFonts w:ascii="Franklin Gothic Book" w:hAnsi="Franklin Gothic Book"/>
          <w:iCs/>
        </w:rPr>
        <w:t xml:space="preserve"> advised that </w:t>
      </w:r>
      <w:r w:rsidR="002D354F">
        <w:rPr>
          <w:rFonts w:ascii="Franklin Gothic Book" w:hAnsi="Franklin Gothic Book"/>
          <w:iCs/>
        </w:rPr>
        <w:t xml:space="preserve">the </w:t>
      </w:r>
      <w:r w:rsidR="007934B0">
        <w:rPr>
          <w:rFonts w:ascii="Franklin Gothic Book" w:hAnsi="Franklin Gothic Book"/>
          <w:iCs/>
        </w:rPr>
        <w:t>incremental cost-effectiveness ratio (ICER) per quality adjusted life year (QALY) gained from</w:t>
      </w:r>
      <w:r w:rsidR="001352BA" w:rsidRPr="001352BA">
        <w:rPr>
          <w:rFonts w:ascii="Franklin Gothic Book" w:hAnsi="Franklin Gothic Book"/>
          <w:iCs/>
        </w:rPr>
        <w:t xml:space="preserve"> early initiation of osteoporosis treatment (detected via BMD testing)</w:t>
      </w:r>
      <w:r w:rsidR="007934B0">
        <w:rPr>
          <w:rFonts w:ascii="Franklin Gothic Book" w:hAnsi="Franklin Gothic Book"/>
          <w:iCs/>
        </w:rPr>
        <w:t xml:space="preserve"> was not cost-effective (see July 2024 PBAC Outcomes</w:t>
      </w:r>
      <w:r w:rsidR="007934B0">
        <w:rPr>
          <w:rStyle w:val="FootnoteReference"/>
          <w:rFonts w:ascii="Franklin Gothic Book" w:hAnsi="Franklin Gothic Book"/>
          <w:iCs/>
        </w:rPr>
        <w:footnoteReference w:id="7"/>
      </w:r>
      <w:r w:rsidR="007934B0">
        <w:rPr>
          <w:rFonts w:ascii="Franklin Gothic Book" w:hAnsi="Franklin Gothic Book"/>
          <w:iCs/>
        </w:rPr>
        <w:t>).</w:t>
      </w:r>
      <w:r w:rsidR="00512583">
        <w:rPr>
          <w:rFonts w:ascii="Franklin Gothic Book" w:hAnsi="Franklin Gothic Book"/>
          <w:iCs/>
        </w:rPr>
        <w:t xml:space="preserve"> </w:t>
      </w:r>
      <w:r w:rsidR="00B82EDC">
        <w:rPr>
          <w:rFonts w:ascii="Franklin Gothic Book" w:hAnsi="Franklin Gothic Book"/>
        </w:rPr>
        <w:t>MSAC noted that multiple s</w:t>
      </w:r>
      <w:r w:rsidR="00512872" w:rsidRPr="00EA7383">
        <w:rPr>
          <w:rFonts w:ascii="Franklin Gothic Book" w:hAnsi="Franklin Gothic Book"/>
        </w:rPr>
        <w:t xml:space="preserve">ensitivity analyses </w:t>
      </w:r>
      <w:r w:rsidR="00B82EDC">
        <w:rPr>
          <w:rFonts w:ascii="Franklin Gothic Book" w:hAnsi="Franklin Gothic Book"/>
        </w:rPr>
        <w:t>exploring</w:t>
      </w:r>
      <w:r w:rsidR="00512872" w:rsidRPr="00EA7383">
        <w:rPr>
          <w:rFonts w:ascii="Franklin Gothic Book" w:hAnsi="Franklin Gothic Book"/>
        </w:rPr>
        <w:t xml:space="preserve"> </w:t>
      </w:r>
      <w:r w:rsidR="001352BA">
        <w:rPr>
          <w:rFonts w:ascii="Franklin Gothic Book" w:hAnsi="Franklin Gothic Book"/>
        </w:rPr>
        <w:t>different</w:t>
      </w:r>
      <w:r w:rsidR="00512872" w:rsidRPr="00EA7383">
        <w:rPr>
          <w:rFonts w:ascii="Franklin Gothic Book" w:hAnsi="Franklin Gothic Book"/>
        </w:rPr>
        <w:t xml:space="preserve"> </w:t>
      </w:r>
      <w:r w:rsidR="00512872" w:rsidRPr="00B15F54">
        <w:rPr>
          <w:rFonts w:ascii="Franklin Gothic Book" w:hAnsi="Franklin Gothic Book"/>
        </w:rPr>
        <w:t xml:space="preserve">age </w:t>
      </w:r>
      <w:r w:rsidR="001352BA" w:rsidRPr="00B15F54">
        <w:rPr>
          <w:rFonts w:ascii="Franklin Gothic Book" w:hAnsi="Franklin Gothic Book"/>
        </w:rPr>
        <w:t>restriction</w:t>
      </w:r>
      <w:r w:rsidR="00512872" w:rsidRPr="00B15F54">
        <w:rPr>
          <w:rFonts w:ascii="Franklin Gothic Book" w:hAnsi="Franklin Gothic Book"/>
        </w:rPr>
        <w:t xml:space="preserve"> (65–69 years) and reduced frequency or removal of repeat testing produced </w:t>
      </w:r>
      <w:r w:rsidR="00B82EDC" w:rsidRPr="00B15F54">
        <w:rPr>
          <w:rFonts w:ascii="Franklin Gothic Book" w:hAnsi="Franklin Gothic Book"/>
        </w:rPr>
        <w:t>lower</w:t>
      </w:r>
      <w:r w:rsidR="00512872" w:rsidRPr="00B15F54">
        <w:rPr>
          <w:rFonts w:ascii="Franklin Gothic Book" w:hAnsi="Franklin Gothic Book"/>
        </w:rPr>
        <w:t xml:space="preserve"> ICERs</w:t>
      </w:r>
      <w:r w:rsidR="00B82EDC" w:rsidRPr="00B15F54">
        <w:rPr>
          <w:rFonts w:ascii="Franklin Gothic Book" w:hAnsi="Franklin Gothic Book"/>
        </w:rPr>
        <w:t xml:space="preserve"> (see Tables </w:t>
      </w:r>
      <w:r w:rsidR="00B82EDC" w:rsidRPr="00B15F54">
        <w:rPr>
          <w:rFonts w:ascii="Franklin Gothic Book" w:hAnsi="Franklin Gothic Book"/>
        </w:rPr>
        <w:fldChar w:fldCharType="begin"/>
      </w:r>
      <w:r w:rsidR="00B82EDC" w:rsidRPr="00B15F54">
        <w:rPr>
          <w:rFonts w:ascii="Franklin Gothic Book" w:hAnsi="Franklin Gothic Book"/>
        </w:rPr>
        <w:instrText xml:space="preserve"> REF _Ref167806741 \h </w:instrText>
      </w:r>
      <w:r w:rsidR="00B82EDC" w:rsidRPr="00745006">
        <w:rPr>
          <w:rFonts w:ascii="Franklin Gothic Book" w:hAnsi="Franklin Gothic Book"/>
        </w:rPr>
        <w:instrText xml:space="preserve"> \* MERGEFORMAT </w:instrText>
      </w:r>
      <w:r w:rsidR="00B82EDC" w:rsidRPr="00B15F54">
        <w:rPr>
          <w:rFonts w:ascii="Franklin Gothic Book" w:hAnsi="Franklin Gothic Book"/>
        </w:rPr>
      </w:r>
      <w:r w:rsidR="00B82EDC" w:rsidRPr="00B15F54">
        <w:rPr>
          <w:rFonts w:ascii="Franklin Gothic Book" w:hAnsi="Franklin Gothic Book"/>
        </w:rPr>
        <w:fldChar w:fldCharType="separate"/>
      </w:r>
      <w:r w:rsidR="00B82EDC" w:rsidRPr="00745006">
        <w:rPr>
          <w:rFonts w:ascii="Franklin Gothic Book" w:hAnsi="Franklin Gothic Book"/>
          <w:noProof/>
        </w:rPr>
        <w:t>12</w:t>
      </w:r>
      <w:r w:rsidR="00B82EDC" w:rsidRPr="00B15F54">
        <w:rPr>
          <w:rFonts w:ascii="Franklin Gothic Book" w:hAnsi="Franklin Gothic Book"/>
        </w:rPr>
        <w:fldChar w:fldCharType="end"/>
      </w:r>
      <w:r w:rsidR="00B82EDC" w:rsidRPr="00B15F54">
        <w:rPr>
          <w:rFonts w:ascii="Franklin Gothic Book" w:hAnsi="Franklin Gothic Book"/>
        </w:rPr>
        <w:t xml:space="preserve">, </w:t>
      </w:r>
      <w:r w:rsidR="00B82EDC" w:rsidRPr="00B15F54">
        <w:rPr>
          <w:rFonts w:ascii="Franklin Gothic Book" w:hAnsi="Franklin Gothic Book"/>
        </w:rPr>
        <w:fldChar w:fldCharType="begin"/>
      </w:r>
      <w:r w:rsidR="00B82EDC" w:rsidRPr="00B15F54">
        <w:rPr>
          <w:rFonts w:ascii="Franklin Gothic Book" w:hAnsi="Franklin Gothic Book"/>
        </w:rPr>
        <w:instrText xml:space="preserve"> REF _Ref167807516 \h </w:instrText>
      </w:r>
      <w:r w:rsidR="00B82EDC" w:rsidRPr="00745006">
        <w:rPr>
          <w:rFonts w:ascii="Franklin Gothic Book" w:hAnsi="Franklin Gothic Book"/>
        </w:rPr>
        <w:instrText xml:space="preserve"> \* MERGEFORMAT </w:instrText>
      </w:r>
      <w:r w:rsidR="00B82EDC" w:rsidRPr="00B15F54">
        <w:rPr>
          <w:rFonts w:ascii="Franklin Gothic Book" w:hAnsi="Franklin Gothic Book"/>
        </w:rPr>
      </w:r>
      <w:r w:rsidR="00B82EDC" w:rsidRPr="00B15F54">
        <w:rPr>
          <w:rFonts w:ascii="Franklin Gothic Book" w:hAnsi="Franklin Gothic Book"/>
        </w:rPr>
        <w:fldChar w:fldCharType="separate"/>
      </w:r>
      <w:r w:rsidR="00B82EDC" w:rsidRPr="00745006">
        <w:rPr>
          <w:rFonts w:ascii="Franklin Gothic Book" w:hAnsi="Franklin Gothic Book"/>
          <w:noProof/>
        </w:rPr>
        <w:t>13</w:t>
      </w:r>
      <w:r w:rsidR="00B82EDC" w:rsidRPr="00B15F54">
        <w:rPr>
          <w:rFonts w:ascii="Franklin Gothic Book" w:hAnsi="Franklin Gothic Book"/>
        </w:rPr>
        <w:fldChar w:fldCharType="end"/>
      </w:r>
      <w:r w:rsidR="00B82EDC" w:rsidRPr="00B15F54">
        <w:rPr>
          <w:rFonts w:ascii="Franklin Gothic Book" w:hAnsi="Franklin Gothic Book"/>
        </w:rPr>
        <w:t xml:space="preserve">, </w:t>
      </w:r>
      <w:r w:rsidR="00B82EDC" w:rsidRPr="00B15F54">
        <w:rPr>
          <w:rFonts w:ascii="Franklin Gothic Book" w:hAnsi="Franklin Gothic Book"/>
        </w:rPr>
        <w:fldChar w:fldCharType="begin"/>
      </w:r>
      <w:r w:rsidR="00B82EDC" w:rsidRPr="00B15F54">
        <w:rPr>
          <w:rFonts w:ascii="Franklin Gothic Book" w:hAnsi="Franklin Gothic Book"/>
        </w:rPr>
        <w:instrText xml:space="preserve"> REF _Ref167807524 \h </w:instrText>
      </w:r>
      <w:r w:rsidR="00B82EDC" w:rsidRPr="00745006">
        <w:rPr>
          <w:rFonts w:ascii="Franklin Gothic Book" w:hAnsi="Franklin Gothic Book"/>
        </w:rPr>
        <w:instrText xml:space="preserve"> \* MERGEFORMAT </w:instrText>
      </w:r>
      <w:r w:rsidR="00B82EDC" w:rsidRPr="00B15F54">
        <w:rPr>
          <w:rFonts w:ascii="Franklin Gothic Book" w:hAnsi="Franklin Gothic Book"/>
        </w:rPr>
      </w:r>
      <w:r w:rsidR="00B82EDC" w:rsidRPr="00B15F54">
        <w:rPr>
          <w:rFonts w:ascii="Franklin Gothic Book" w:hAnsi="Franklin Gothic Book"/>
        </w:rPr>
        <w:fldChar w:fldCharType="separate"/>
      </w:r>
      <w:r w:rsidR="00B82EDC" w:rsidRPr="00745006">
        <w:rPr>
          <w:rFonts w:ascii="Franklin Gothic Book" w:hAnsi="Franklin Gothic Book"/>
          <w:noProof/>
        </w:rPr>
        <w:t>14</w:t>
      </w:r>
      <w:r w:rsidR="00B82EDC" w:rsidRPr="00B15F54">
        <w:rPr>
          <w:rFonts w:ascii="Franklin Gothic Book" w:hAnsi="Franklin Gothic Book"/>
        </w:rPr>
        <w:fldChar w:fldCharType="end"/>
      </w:r>
      <w:r w:rsidR="00B82EDC" w:rsidRPr="00B15F54">
        <w:rPr>
          <w:rFonts w:ascii="Franklin Gothic Book" w:hAnsi="Franklin Gothic Book"/>
        </w:rPr>
        <w:t xml:space="preserve">, </w:t>
      </w:r>
      <w:r w:rsidR="00B82EDC" w:rsidRPr="00B15F54">
        <w:rPr>
          <w:rFonts w:ascii="Franklin Gothic Book" w:hAnsi="Franklin Gothic Book"/>
        </w:rPr>
        <w:fldChar w:fldCharType="begin"/>
      </w:r>
      <w:r w:rsidR="00B82EDC" w:rsidRPr="00B15F54">
        <w:rPr>
          <w:rFonts w:ascii="Franklin Gothic Book" w:hAnsi="Franklin Gothic Book"/>
        </w:rPr>
        <w:instrText xml:space="preserve"> REF _Ref167807538 \h </w:instrText>
      </w:r>
      <w:r w:rsidR="00B82EDC" w:rsidRPr="00745006">
        <w:rPr>
          <w:rFonts w:ascii="Franklin Gothic Book" w:hAnsi="Franklin Gothic Book"/>
        </w:rPr>
        <w:instrText xml:space="preserve"> \* MERGEFORMAT </w:instrText>
      </w:r>
      <w:r w:rsidR="00B82EDC" w:rsidRPr="00B15F54">
        <w:rPr>
          <w:rFonts w:ascii="Franklin Gothic Book" w:hAnsi="Franklin Gothic Book"/>
        </w:rPr>
      </w:r>
      <w:r w:rsidR="00B82EDC" w:rsidRPr="00B15F54">
        <w:rPr>
          <w:rFonts w:ascii="Franklin Gothic Book" w:hAnsi="Franklin Gothic Book"/>
        </w:rPr>
        <w:fldChar w:fldCharType="separate"/>
      </w:r>
      <w:r w:rsidR="00B82EDC" w:rsidRPr="00745006">
        <w:rPr>
          <w:rFonts w:ascii="Franklin Gothic Book" w:hAnsi="Franklin Gothic Book"/>
          <w:noProof/>
        </w:rPr>
        <w:t>15</w:t>
      </w:r>
      <w:r w:rsidR="00B82EDC" w:rsidRPr="00B15F54">
        <w:rPr>
          <w:rFonts w:ascii="Franklin Gothic Book" w:hAnsi="Franklin Gothic Book"/>
        </w:rPr>
        <w:fldChar w:fldCharType="end"/>
      </w:r>
      <w:r w:rsidR="00B82EDC" w:rsidRPr="00B15F54">
        <w:rPr>
          <w:rFonts w:ascii="Franklin Gothic Book" w:hAnsi="Franklin Gothic Book"/>
        </w:rPr>
        <w:t xml:space="preserve"> and </w:t>
      </w:r>
      <w:r w:rsidR="00B82EDC" w:rsidRPr="00B15F54">
        <w:rPr>
          <w:rFonts w:ascii="Franklin Gothic Book" w:hAnsi="Franklin Gothic Book"/>
        </w:rPr>
        <w:fldChar w:fldCharType="begin"/>
      </w:r>
      <w:r w:rsidR="00B82EDC" w:rsidRPr="00B15F54">
        <w:rPr>
          <w:rFonts w:ascii="Franklin Gothic Book" w:hAnsi="Franklin Gothic Book"/>
        </w:rPr>
        <w:instrText xml:space="preserve"> REF _Ref167807548 \h </w:instrText>
      </w:r>
      <w:r w:rsidR="00B82EDC" w:rsidRPr="00745006">
        <w:rPr>
          <w:rFonts w:ascii="Franklin Gothic Book" w:hAnsi="Franklin Gothic Book"/>
        </w:rPr>
        <w:instrText xml:space="preserve"> \* MERGEFORMAT </w:instrText>
      </w:r>
      <w:r w:rsidR="00B82EDC" w:rsidRPr="00B15F54">
        <w:rPr>
          <w:rFonts w:ascii="Franklin Gothic Book" w:hAnsi="Franklin Gothic Book"/>
        </w:rPr>
      </w:r>
      <w:r w:rsidR="00B82EDC" w:rsidRPr="00B15F54">
        <w:rPr>
          <w:rFonts w:ascii="Franklin Gothic Book" w:hAnsi="Franklin Gothic Book"/>
        </w:rPr>
        <w:fldChar w:fldCharType="separate"/>
      </w:r>
      <w:r w:rsidR="00B82EDC" w:rsidRPr="00745006">
        <w:rPr>
          <w:rFonts w:ascii="Franklin Gothic Book" w:hAnsi="Franklin Gothic Book"/>
          <w:noProof/>
        </w:rPr>
        <w:t>16</w:t>
      </w:r>
      <w:r w:rsidR="00B82EDC" w:rsidRPr="00B15F54">
        <w:rPr>
          <w:rFonts w:ascii="Franklin Gothic Book" w:hAnsi="Franklin Gothic Book"/>
        </w:rPr>
        <w:fldChar w:fldCharType="end"/>
      </w:r>
      <w:r w:rsidR="00B82EDC" w:rsidRPr="00B15F54">
        <w:rPr>
          <w:rFonts w:ascii="Franklin Gothic Book" w:hAnsi="Franklin Gothic Book"/>
        </w:rPr>
        <w:t xml:space="preserve"> in </w:t>
      </w:r>
      <w:r w:rsidR="00B82EDC" w:rsidRPr="00B15F54">
        <w:rPr>
          <w:rFonts w:ascii="Franklin Gothic Book" w:hAnsi="Franklin Gothic Book"/>
        </w:rPr>
        <w:fldChar w:fldCharType="begin"/>
      </w:r>
      <w:r w:rsidR="00B82EDC" w:rsidRPr="00B15F54">
        <w:rPr>
          <w:rFonts w:ascii="Franklin Gothic Book" w:hAnsi="Franklin Gothic Book"/>
        </w:rPr>
        <w:instrText xml:space="preserve"> REF _Ref175211811 \h </w:instrText>
      </w:r>
      <w:r w:rsidR="00B15F54" w:rsidRPr="00B15F54">
        <w:rPr>
          <w:rFonts w:ascii="Franklin Gothic Book" w:hAnsi="Franklin Gothic Book"/>
        </w:rPr>
        <w:instrText xml:space="preserve"> \* MERGEFORMAT </w:instrText>
      </w:r>
      <w:r w:rsidR="00B82EDC" w:rsidRPr="00B15F54">
        <w:rPr>
          <w:rFonts w:ascii="Franklin Gothic Book" w:hAnsi="Franklin Gothic Book"/>
        </w:rPr>
      </w:r>
      <w:r w:rsidR="00AD0E7C">
        <w:rPr>
          <w:rFonts w:ascii="Franklin Gothic Book" w:hAnsi="Franklin Gothic Book"/>
        </w:rPr>
        <w:fldChar w:fldCharType="separate"/>
      </w:r>
      <w:r w:rsidR="00B82EDC" w:rsidRPr="00B15F54">
        <w:rPr>
          <w:rFonts w:ascii="Franklin Gothic Book" w:hAnsi="Franklin Gothic Book"/>
        </w:rPr>
        <w:fldChar w:fldCharType="end"/>
      </w:r>
      <w:r w:rsidR="00B82EDC" w:rsidRPr="00B15F54">
        <w:rPr>
          <w:rFonts w:ascii="Franklin Gothic Book" w:hAnsi="Franklin Gothic Book"/>
        </w:rPr>
        <w:t xml:space="preserve">Section </w:t>
      </w:r>
      <w:r w:rsidR="00B82EDC" w:rsidRPr="00B15F54">
        <w:rPr>
          <w:rFonts w:ascii="Franklin Gothic Book" w:hAnsi="Franklin Gothic Book"/>
        </w:rPr>
        <w:fldChar w:fldCharType="begin"/>
      </w:r>
      <w:r w:rsidR="00B82EDC" w:rsidRPr="00B15F54">
        <w:rPr>
          <w:rFonts w:ascii="Franklin Gothic Book" w:hAnsi="Franklin Gothic Book"/>
        </w:rPr>
        <w:instrText xml:space="preserve"> REF _Ref175211881 \h </w:instrText>
      </w:r>
      <w:r w:rsidR="00B15F54" w:rsidRPr="00B15F54">
        <w:rPr>
          <w:rFonts w:ascii="Franklin Gothic Book" w:hAnsi="Franklin Gothic Book"/>
        </w:rPr>
        <w:instrText xml:space="preserve"> \* MERGEFORMAT </w:instrText>
      </w:r>
      <w:r w:rsidR="00B82EDC" w:rsidRPr="00B15F54">
        <w:rPr>
          <w:rFonts w:ascii="Franklin Gothic Book" w:hAnsi="Franklin Gothic Book"/>
        </w:rPr>
      </w:r>
      <w:r w:rsidR="00B82EDC" w:rsidRPr="00B15F54">
        <w:rPr>
          <w:rFonts w:ascii="Franklin Gothic Book" w:hAnsi="Franklin Gothic Book"/>
        </w:rPr>
        <w:fldChar w:fldCharType="separate"/>
      </w:r>
      <w:r w:rsidR="00B82EDC" w:rsidRPr="00745006">
        <w:rPr>
          <w:rFonts w:ascii="Franklin Gothic Book" w:hAnsi="Franklin Gothic Book"/>
        </w:rPr>
        <w:t>10</w:t>
      </w:r>
      <w:r w:rsidR="00B82EDC" w:rsidRPr="00B15F54">
        <w:rPr>
          <w:rFonts w:ascii="Franklin Gothic Book" w:hAnsi="Franklin Gothic Book"/>
        </w:rPr>
        <w:fldChar w:fldCharType="end"/>
      </w:r>
      <w:r w:rsidR="00B82EDC" w:rsidRPr="00B15F54">
        <w:rPr>
          <w:rFonts w:ascii="Franklin Gothic Book" w:hAnsi="Franklin Gothic Book"/>
        </w:rPr>
        <w:t>) but that the ICERs remained very high and of a magnitude that was not cost-effective.</w:t>
      </w:r>
    </w:p>
    <w:p w14:paraId="4090BB8E" w14:textId="2AD7739C" w:rsidR="00EA7383" w:rsidRPr="00EA7383" w:rsidRDefault="00A75717" w:rsidP="002D354F">
      <w:pPr>
        <w:rPr>
          <w:rFonts w:ascii="Franklin Gothic Book" w:hAnsi="Franklin Gothic Book"/>
        </w:rPr>
      </w:pPr>
      <w:r w:rsidRPr="00A75717">
        <w:rPr>
          <w:rFonts w:ascii="Franklin Gothic Book" w:hAnsi="Franklin Gothic Book"/>
        </w:rPr>
        <w:t xml:space="preserve">MSAC noted that the </w:t>
      </w:r>
      <w:r>
        <w:rPr>
          <w:rFonts w:ascii="Franklin Gothic Book" w:hAnsi="Franklin Gothic Book"/>
        </w:rPr>
        <w:t>financial analysis estimated that</w:t>
      </w:r>
      <w:r w:rsidR="00C112E4">
        <w:rPr>
          <w:rFonts w:ascii="Franklin Gothic Book" w:hAnsi="Franklin Gothic Book"/>
        </w:rPr>
        <w:t>,</w:t>
      </w:r>
      <w:r>
        <w:rPr>
          <w:rFonts w:ascii="Franklin Gothic Book" w:hAnsi="Franklin Gothic Book"/>
        </w:rPr>
        <w:t xml:space="preserve"> if BMD testing was expanded to </w:t>
      </w:r>
      <w:r w:rsidR="0084726B">
        <w:rPr>
          <w:rFonts w:ascii="Franklin Gothic Book" w:hAnsi="Franklin Gothic Book"/>
        </w:rPr>
        <w:t>include individuals</w:t>
      </w:r>
      <w:r>
        <w:rPr>
          <w:rFonts w:ascii="Franklin Gothic Book" w:hAnsi="Franklin Gothic Book"/>
        </w:rPr>
        <w:t xml:space="preserve"> aged 60-69 years</w:t>
      </w:r>
      <w:r w:rsidR="00C112E4">
        <w:rPr>
          <w:rFonts w:ascii="Franklin Gothic Book" w:hAnsi="Franklin Gothic Book"/>
        </w:rPr>
        <w:t xml:space="preserve">, </w:t>
      </w:r>
      <w:r>
        <w:rPr>
          <w:rFonts w:ascii="Franklin Gothic Book" w:hAnsi="Franklin Gothic Book"/>
        </w:rPr>
        <w:t xml:space="preserve">the cumulative cost </w:t>
      </w:r>
      <w:r w:rsidR="002D354F">
        <w:rPr>
          <w:rFonts w:ascii="Franklin Gothic Book" w:hAnsi="Franklin Gothic Book"/>
        </w:rPr>
        <w:t xml:space="preserve">to </w:t>
      </w:r>
      <w:r>
        <w:rPr>
          <w:rFonts w:ascii="Franklin Gothic Book" w:hAnsi="Franklin Gothic Book"/>
        </w:rPr>
        <w:t>the MBS over 6 years</w:t>
      </w:r>
      <w:r w:rsidR="00C112E4">
        <w:rPr>
          <w:rFonts w:ascii="Franklin Gothic Book" w:hAnsi="Franklin Gothic Book"/>
        </w:rPr>
        <w:t xml:space="preserve"> would be approximately $134</w:t>
      </w:r>
      <w:r w:rsidR="002D354F">
        <w:rPr>
          <w:rFonts w:ascii="Franklin Gothic Book" w:hAnsi="Franklin Gothic Book"/>
        </w:rPr>
        <w:t> </w:t>
      </w:r>
      <w:r w:rsidR="00C112E4">
        <w:rPr>
          <w:rFonts w:ascii="Franklin Gothic Book" w:hAnsi="Franklin Gothic Book"/>
        </w:rPr>
        <w:t>million (base ca</w:t>
      </w:r>
      <w:r w:rsidR="00E66351">
        <w:rPr>
          <w:rFonts w:ascii="Franklin Gothic Book" w:hAnsi="Franklin Gothic Book"/>
        </w:rPr>
        <w:t>se</w:t>
      </w:r>
      <w:r w:rsidR="00C112E4">
        <w:rPr>
          <w:rFonts w:ascii="Franklin Gothic Book" w:hAnsi="Franklin Gothic Book"/>
        </w:rPr>
        <w:t xml:space="preserve">). </w:t>
      </w:r>
      <w:r w:rsidR="002D354F" w:rsidRPr="00E66351">
        <w:rPr>
          <w:rFonts w:ascii="Franklin Gothic Book" w:hAnsi="Franklin Gothic Book"/>
        </w:rPr>
        <w:t xml:space="preserve">Sensitivity analyses indicated that the </w:t>
      </w:r>
      <w:r w:rsidR="002D354F">
        <w:rPr>
          <w:rFonts w:ascii="Franklin Gothic Book" w:hAnsi="Franklin Gothic Book"/>
        </w:rPr>
        <w:t>estimated financial impact w</w:t>
      </w:r>
      <w:r w:rsidR="002D354F" w:rsidRPr="00E66351">
        <w:rPr>
          <w:rFonts w:ascii="Franklin Gothic Book" w:hAnsi="Franklin Gothic Book"/>
        </w:rPr>
        <w:t>as most sensitive to the uptake rate of BMD testing over time and the age band eligible for testing.</w:t>
      </w:r>
      <w:r w:rsidR="002D354F">
        <w:rPr>
          <w:rFonts w:ascii="Franklin Gothic Book" w:hAnsi="Franklin Gothic Book"/>
        </w:rPr>
        <w:t xml:space="preserve"> </w:t>
      </w:r>
      <w:r w:rsidR="0084726B">
        <w:rPr>
          <w:rFonts w:ascii="Franklin Gothic Book" w:hAnsi="Franklin Gothic Book"/>
        </w:rPr>
        <w:t>MSAC noted t</w:t>
      </w:r>
      <w:r w:rsidR="00C112E4">
        <w:rPr>
          <w:rFonts w:ascii="Franklin Gothic Book" w:hAnsi="Franklin Gothic Book"/>
        </w:rPr>
        <w:t xml:space="preserve">he </w:t>
      </w:r>
      <w:r w:rsidRPr="00A75717">
        <w:rPr>
          <w:rFonts w:ascii="Franklin Gothic Book" w:hAnsi="Franklin Gothic Book"/>
        </w:rPr>
        <w:t xml:space="preserve">financial impact </w:t>
      </w:r>
      <w:r w:rsidR="00C112E4">
        <w:rPr>
          <w:rFonts w:ascii="Franklin Gothic Book" w:hAnsi="Franklin Gothic Book"/>
        </w:rPr>
        <w:t xml:space="preserve">to the MBS would be lower if BMD testing was only </w:t>
      </w:r>
      <w:r w:rsidR="00C112E4" w:rsidRPr="00A75717">
        <w:rPr>
          <w:rFonts w:ascii="Franklin Gothic Book" w:hAnsi="Franklin Gothic Book"/>
        </w:rPr>
        <w:t>expand</w:t>
      </w:r>
      <w:r w:rsidR="00C112E4">
        <w:rPr>
          <w:rFonts w:ascii="Franklin Gothic Book" w:hAnsi="Franklin Gothic Book"/>
        </w:rPr>
        <w:t xml:space="preserve">ed </w:t>
      </w:r>
      <w:r w:rsidRPr="00A75717">
        <w:rPr>
          <w:rFonts w:ascii="Franklin Gothic Book" w:hAnsi="Franklin Gothic Book"/>
        </w:rPr>
        <w:t xml:space="preserve">to </w:t>
      </w:r>
      <w:r w:rsidR="00C112E4">
        <w:rPr>
          <w:rFonts w:ascii="Franklin Gothic Book" w:hAnsi="Franklin Gothic Book"/>
        </w:rPr>
        <w:t>include individuals aged</w:t>
      </w:r>
      <w:r w:rsidRPr="00A75717">
        <w:rPr>
          <w:rFonts w:ascii="Franklin Gothic Book" w:hAnsi="Franklin Gothic Book"/>
        </w:rPr>
        <w:t xml:space="preserve"> 65–69</w:t>
      </w:r>
      <w:r w:rsidR="00C112E4">
        <w:rPr>
          <w:rFonts w:ascii="Franklin Gothic Book" w:hAnsi="Franklin Gothic Book"/>
        </w:rPr>
        <w:t xml:space="preserve"> </w:t>
      </w:r>
      <w:r w:rsidRPr="00A75717">
        <w:rPr>
          <w:rFonts w:ascii="Franklin Gothic Book" w:hAnsi="Franklin Gothic Book"/>
        </w:rPr>
        <w:t>year</w:t>
      </w:r>
      <w:r w:rsidR="00C112E4">
        <w:rPr>
          <w:rFonts w:ascii="Franklin Gothic Book" w:hAnsi="Franklin Gothic Book"/>
        </w:rPr>
        <w:t>s</w:t>
      </w:r>
      <w:r w:rsidRPr="00A75717">
        <w:rPr>
          <w:rFonts w:ascii="Franklin Gothic Book" w:hAnsi="Franklin Gothic Book"/>
        </w:rPr>
        <w:t xml:space="preserve"> </w:t>
      </w:r>
      <w:r w:rsidR="00C112E4">
        <w:rPr>
          <w:rFonts w:ascii="Franklin Gothic Book" w:hAnsi="Franklin Gothic Book"/>
        </w:rPr>
        <w:t>without</w:t>
      </w:r>
      <w:r w:rsidRPr="00A75717">
        <w:rPr>
          <w:rFonts w:ascii="Franklin Gothic Book" w:hAnsi="Franklin Gothic Book"/>
        </w:rPr>
        <w:t xml:space="preserve"> repeat testing</w:t>
      </w:r>
      <w:r w:rsidR="00C112E4">
        <w:rPr>
          <w:rFonts w:ascii="Franklin Gothic Book" w:hAnsi="Franklin Gothic Book"/>
        </w:rPr>
        <w:t xml:space="preserve"> (</w:t>
      </w:r>
      <w:r w:rsidR="00C112E4">
        <w:rPr>
          <w:rFonts w:ascii="Franklin Gothic Book" w:hAnsi="Franklin Gothic Book"/>
        </w:rPr>
        <w:fldChar w:fldCharType="begin"/>
      </w:r>
      <w:r w:rsidR="00C112E4">
        <w:rPr>
          <w:rFonts w:ascii="Franklin Gothic Book" w:hAnsi="Franklin Gothic Book"/>
        </w:rPr>
        <w:instrText xml:space="preserve"> REF _Ref175212984 \h </w:instrText>
      </w:r>
      <w:r w:rsidR="00C112E4">
        <w:rPr>
          <w:rFonts w:ascii="Franklin Gothic Book" w:hAnsi="Franklin Gothic Book"/>
        </w:rPr>
      </w:r>
      <w:r w:rsidR="00C112E4">
        <w:rPr>
          <w:rFonts w:ascii="Franklin Gothic Book" w:hAnsi="Franklin Gothic Book"/>
        </w:rPr>
        <w:fldChar w:fldCharType="separate"/>
      </w:r>
      <w:r w:rsidR="00C112E4" w:rsidRPr="00A53370">
        <w:t>Table</w:t>
      </w:r>
      <w:r w:rsidR="00C112E4" w:rsidRPr="0088514D">
        <w:t xml:space="preserve"> </w:t>
      </w:r>
      <w:r w:rsidR="00C112E4" w:rsidRPr="0088514D">
        <w:rPr>
          <w:noProof/>
        </w:rPr>
        <w:t>19</w:t>
      </w:r>
      <w:r w:rsidR="00C112E4">
        <w:rPr>
          <w:rFonts w:ascii="Franklin Gothic Book" w:hAnsi="Franklin Gothic Book"/>
        </w:rPr>
        <w:fldChar w:fldCharType="end"/>
      </w:r>
      <w:r w:rsidR="00C112E4">
        <w:rPr>
          <w:rFonts w:ascii="Franklin Gothic Book" w:hAnsi="Franklin Gothic Book"/>
        </w:rPr>
        <w:t>).</w:t>
      </w:r>
      <w:r w:rsidRPr="00A75717">
        <w:rPr>
          <w:rFonts w:ascii="Franklin Gothic Book" w:hAnsi="Franklin Gothic Book"/>
        </w:rPr>
        <w:t xml:space="preserve"> </w:t>
      </w:r>
      <w:r w:rsidR="00512583" w:rsidRPr="00EA7383">
        <w:rPr>
          <w:rFonts w:ascii="Franklin Gothic Book" w:hAnsi="Franklin Gothic Book"/>
        </w:rPr>
        <w:t xml:space="preserve">MSAC considered that </w:t>
      </w:r>
      <w:r w:rsidR="002D354F">
        <w:rPr>
          <w:rFonts w:ascii="Franklin Gothic Book" w:hAnsi="Franklin Gothic Book"/>
        </w:rPr>
        <w:t xml:space="preserve">it </w:t>
      </w:r>
      <w:r w:rsidR="00512583">
        <w:rPr>
          <w:rFonts w:ascii="Franklin Gothic Book" w:hAnsi="Franklin Gothic Book"/>
        </w:rPr>
        <w:t>can take</w:t>
      </w:r>
      <w:r w:rsidR="00512583" w:rsidRPr="00EA7383">
        <w:rPr>
          <w:rFonts w:ascii="Franklin Gothic Book" w:hAnsi="Franklin Gothic Book"/>
        </w:rPr>
        <w:t xml:space="preserve"> 5 years for changes in BMD to be visible on DEXA scans. Therefore, </w:t>
      </w:r>
      <w:r w:rsidR="002D354F">
        <w:rPr>
          <w:rFonts w:ascii="Franklin Gothic Book" w:hAnsi="Franklin Gothic Book"/>
        </w:rPr>
        <w:t xml:space="preserve">MSAC considered </w:t>
      </w:r>
      <w:r w:rsidR="00512583">
        <w:rPr>
          <w:rFonts w:ascii="Franklin Gothic Book" w:hAnsi="Franklin Gothic Book"/>
        </w:rPr>
        <w:t xml:space="preserve">it was reasonable to exclude repeat testing in the scenario exploring expanding BMD testing to individuals aged 65-69 years. </w:t>
      </w:r>
      <w:r w:rsidR="002D354F">
        <w:rPr>
          <w:rFonts w:ascii="Franklin Gothic Book" w:hAnsi="Franklin Gothic Book"/>
        </w:rPr>
        <w:t>However,</w:t>
      </w:r>
      <w:r w:rsidR="00512583" w:rsidRPr="00EA7383">
        <w:rPr>
          <w:rFonts w:ascii="Franklin Gothic Book" w:hAnsi="Franklin Gothic Book"/>
        </w:rPr>
        <w:t xml:space="preserve"> </w:t>
      </w:r>
      <w:r w:rsidR="00EA7383" w:rsidRPr="00EA7383">
        <w:rPr>
          <w:rFonts w:ascii="Franklin Gothic Book" w:hAnsi="Franklin Gothic Book"/>
        </w:rPr>
        <w:t xml:space="preserve">MSAC noted that the </w:t>
      </w:r>
      <w:r w:rsidR="00C112E4">
        <w:rPr>
          <w:rFonts w:ascii="Franklin Gothic Book" w:hAnsi="Franklin Gothic Book"/>
        </w:rPr>
        <w:t>estimated utilisation</w:t>
      </w:r>
      <w:r w:rsidR="00512583">
        <w:rPr>
          <w:rFonts w:ascii="Franklin Gothic Book" w:hAnsi="Franklin Gothic Book"/>
        </w:rPr>
        <w:t>, for the base case and all scenario analyses,</w:t>
      </w:r>
      <w:r w:rsidR="00EA7383" w:rsidRPr="00EA7383">
        <w:rPr>
          <w:rFonts w:ascii="Franklin Gothic Book" w:hAnsi="Franklin Gothic Book"/>
        </w:rPr>
        <w:t xml:space="preserve"> were uncertain due to a lack of data on BMD screening in </w:t>
      </w:r>
      <w:r w:rsidR="0084726B">
        <w:rPr>
          <w:rFonts w:ascii="Franklin Gothic Book" w:hAnsi="Franklin Gothic Book"/>
        </w:rPr>
        <w:t>individuals</w:t>
      </w:r>
      <w:r w:rsidR="0084726B" w:rsidRPr="00EA7383">
        <w:rPr>
          <w:rFonts w:ascii="Franklin Gothic Book" w:hAnsi="Franklin Gothic Book"/>
        </w:rPr>
        <w:t xml:space="preserve"> </w:t>
      </w:r>
      <w:r w:rsidR="00EA7383" w:rsidRPr="00EA7383">
        <w:rPr>
          <w:rFonts w:ascii="Franklin Gothic Book" w:hAnsi="Franklin Gothic Book"/>
        </w:rPr>
        <w:t>under 70 years of age not covered by Medicare</w:t>
      </w:r>
      <w:r w:rsidR="00C112E4">
        <w:rPr>
          <w:rFonts w:ascii="Franklin Gothic Book" w:hAnsi="Franklin Gothic Book"/>
        </w:rPr>
        <w:t>. Further,</w:t>
      </w:r>
      <w:r w:rsidR="00E66351">
        <w:rPr>
          <w:rFonts w:ascii="Franklin Gothic Book" w:hAnsi="Franklin Gothic Book"/>
        </w:rPr>
        <w:t xml:space="preserve"> recent MBS utilisation data demonstrated</w:t>
      </w:r>
      <w:r w:rsidR="00C112E4">
        <w:rPr>
          <w:rFonts w:ascii="Franklin Gothic Book" w:hAnsi="Franklin Gothic Book"/>
        </w:rPr>
        <w:t xml:space="preserve"> </w:t>
      </w:r>
      <w:r w:rsidR="00EA7383" w:rsidRPr="00EA7383">
        <w:rPr>
          <w:rFonts w:ascii="Franklin Gothic Book" w:hAnsi="Franklin Gothic Book"/>
        </w:rPr>
        <w:t xml:space="preserve">that </w:t>
      </w:r>
      <w:r w:rsidR="00E66351">
        <w:rPr>
          <w:rFonts w:ascii="Franklin Gothic Book" w:hAnsi="Franklin Gothic Book"/>
        </w:rPr>
        <w:t xml:space="preserve">utilisation of existing </w:t>
      </w:r>
      <w:r w:rsidR="00EA7383" w:rsidRPr="00EA7383">
        <w:rPr>
          <w:rFonts w:ascii="Franklin Gothic Book" w:hAnsi="Franklin Gothic Book"/>
        </w:rPr>
        <w:t xml:space="preserve">BMD testing </w:t>
      </w:r>
      <w:r w:rsidR="00E66351">
        <w:rPr>
          <w:rFonts w:ascii="Franklin Gothic Book" w:hAnsi="Franklin Gothic Book"/>
        </w:rPr>
        <w:t xml:space="preserve">items </w:t>
      </w:r>
      <w:r w:rsidR="00EA7383" w:rsidRPr="00EA7383">
        <w:rPr>
          <w:rFonts w:ascii="Franklin Gothic Book" w:hAnsi="Franklin Gothic Book"/>
        </w:rPr>
        <w:t>is one of the fastest-growing areas of the MBS</w:t>
      </w:r>
      <w:r w:rsidR="00E66351">
        <w:rPr>
          <w:rFonts w:ascii="Franklin Gothic Book" w:hAnsi="Franklin Gothic Book"/>
        </w:rPr>
        <w:t>. MSAC also noted</w:t>
      </w:r>
      <w:r w:rsidR="00EA7383" w:rsidRPr="00EA7383">
        <w:rPr>
          <w:rFonts w:ascii="Franklin Gothic Book" w:hAnsi="Franklin Gothic Book"/>
        </w:rPr>
        <w:t xml:space="preserve"> there are business models that promote BMD screening</w:t>
      </w:r>
      <w:r w:rsidR="00E66351">
        <w:rPr>
          <w:rFonts w:ascii="Franklin Gothic Book" w:hAnsi="Franklin Gothic Book"/>
        </w:rPr>
        <w:t>.</w:t>
      </w:r>
      <w:r w:rsidR="002D354F">
        <w:rPr>
          <w:rFonts w:ascii="Franklin Gothic Book" w:hAnsi="Franklin Gothic Book"/>
        </w:rPr>
        <w:t xml:space="preserve"> Therefore,</w:t>
      </w:r>
      <w:r w:rsidR="00E66351">
        <w:rPr>
          <w:rFonts w:ascii="Franklin Gothic Book" w:hAnsi="Franklin Gothic Book"/>
        </w:rPr>
        <w:t xml:space="preserve"> MSAC considered the estimated utilisation (and therefore total costs to the MBS) were highly uncertain and likely under</w:t>
      </w:r>
      <w:r w:rsidR="00EA7383" w:rsidRPr="00EA7383">
        <w:rPr>
          <w:rFonts w:ascii="Franklin Gothic Book" w:hAnsi="Franklin Gothic Book"/>
        </w:rPr>
        <w:t>estimated</w:t>
      </w:r>
      <w:r w:rsidR="002D354F">
        <w:rPr>
          <w:rFonts w:ascii="Franklin Gothic Book" w:hAnsi="Franklin Gothic Book"/>
        </w:rPr>
        <w:t xml:space="preserve"> in all scenarios</w:t>
      </w:r>
      <w:r w:rsidR="00EA7383" w:rsidRPr="00EA7383">
        <w:rPr>
          <w:rFonts w:ascii="Franklin Gothic Book" w:hAnsi="Franklin Gothic Book"/>
        </w:rPr>
        <w:t>.</w:t>
      </w:r>
    </w:p>
    <w:p w14:paraId="091402DB" w14:textId="7858A91C" w:rsidR="002D354F" w:rsidRPr="00EA7383" w:rsidRDefault="002D354F" w:rsidP="002D354F">
      <w:pPr>
        <w:rPr>
          <w:rFonts w:ascii="Franklin Gothic Book" w:hAnsi="Franklin Gothic Book"/>
        </w:rPr>
      </w:pPr>
      <w:r w:rsidRPr="00EA7383">
        <w:rPr>
          <w:rFonts w:ascii="Franklin Gothic Book" w:hAnsi="Franklin Gothic Book"/>
        </w:rPr>
        <w:t xml:space="preserve">Overall, MSAC </w:t>
      </w:r>
      <w:r>
        <w:rPr>
          <w:rFonts w:ascii="Franklin Gothic Book" w:hAnsi="Franklin Gothic Book"/>
        </w:rPr>
        <w:t>did not support</w:t>
      </w:r>
      <w:r w:rsidRPr="00EA7383">
        <w:rPr>
          <w:rFonts w:ascii="Franklin Gothic Book" w:hAnsi="Franklin Gothic Book"/>
        </w:rPr>
        <w:t xml:space="preserve"> lowering the </w:t>
      </w:r>
      <w:r w:rsidR="00034A66">
        <w:rPr>
          <w:rFonts w:ascii="Franklin Gothic Book" w:hAnsi="Franklin Gothic Book"/>
        </w:rPr>
        <w:t xml:space="preserve">age restriction for </w:t>
      </w:r>
      <w:r w:rsidRPr="00EA7383">
        <w:rPr>
          <w:rFonts w:ascii="Franklin Gothic Book" w:hAnsi="Franklin Gothic Book"/>
        </w:rPr>
        <w:t>BMD testing</w:t>
      </w:r>
      <w:r w:rsidR="00034A66">
        <w:rPr>
          <w:rFonts w:ascii="Franklin Gothic Book" w:hAnsi="Franklin Gothic Book"/>
        </w:rPr>
        <w:t xml:space="preserve"> under MBS items 12320 and 12322</w:t>
      </w:r>
      <w:r w:rsidRPr="00EA7383">
        <w:rPr>
          <w:rFonts w:ascii="Franklin Gothic Book" w:hAnsi="Franklin Gothic Book"/>
        </w:rPr>
        <w:t xml:space="preserve"> from ≥70 years of age to ≥60 years of age</w:t>
      </w:r>
      <w:r w:rsidR="00A2738C">
        <w:rPr>
          <w:rFonts w:ascii="Franklin Gothic Book" w:hAnsi="Franklin Gothic Book"/>
        </w:rPr>
        <w:t>,</w:t>
      </w:r>
      <w:r w:rsidR="00034A66">
        <w:rPr>
          <w:rFonts w:ascii="Franklin Gothic Book" w:hAnsi="Franklin Gothic Book"/>
        </w:rPr>
        <w:t xml:space="preserve"> or </w:t>
      </w:r>
      <w:r w:rsidR="00A2738C">
        <w:rPr>
          <w:rFonts w:ascii="Franklin Gothic Book" w:hAnsi="Franklin Gothic Book"/>
        </w:rPr>
        <w:t xml:space="preserve">for </w:t>
      </w:r>
      <w:r w:rsidR="00034A66">
        <w:rPr>
          <w:rFonts w:ascii="Franklin Gothic Book" w:hAnsi="Franklin Gothic Book"/>
        </w:rPr>
        <w:t>any other scenarios presented</w:t>
      </w:r>
      <w:r w:rsidRPr="00EA7383">
        <w:rPr>
          <w:rFonts w:ascii="Franklin Gothic Book" w:hAnsi="Franklin Gothic Book"/>
        </w:rPr>
        <w:t>. MSAC considered that</w:t>
      </w:r>
      <w:r w:rsidR="00034A66">
        <w:rPr>
          <w:rFonts w:ascii="Franklin Gothic Book" w:hAnsi="Franklin Gothic Book"/>
        </w:rPr>
        <w:t xml:space="preserve"> the lowering the age restriction for MBS items 12320 and 12322 was not cost-effective and the estimated financial impact was uncertain and likely underestimated.</w:t>
      </w:r>
    </w:p>
    <w:p w14:paraId="455C7353" w14:textId="6A643C51" w:rsidR="00203955" w:rsidRDefault="00EA7383" w:rsidP="00EA7383">
      <w:pPr>
        <w:rPr>
          <w:rFonts w:ascii="Franklin Gothic Book" w:hAnsi="Franklin Gothic Book"/>
        </w:rPr>
      </w:pPr>
      <w:r w:rsidRPr="00EA7383">
        <w:rPr>
          <w:rFonts w:ascii="Franklin Gothic Book" w:hAnsi="Franklin Gothic Book"/>
        </w:rPr>
        <w:lastRenderedPageBreak/>
        <w:t xml:space="preserve">MSAC noted </w:t>
      </w:r>
      <w:r w:rsidR="00E66351" w:rsidRPr="00EA7383">
        <w:rPr>
          <w:rFonts w:ascii="Franklin Gothic Book" w:hAnsi="Franklin Gothic Book"/>
        </w:rPr>
        <w:t>t</w:t>
      </w:r>
      <w:r w:rsidR="00E66351">
        <w:rPr>
          <w:rFonts w:ascii="Franklin Gothic Book" w:hAnsi="Franklin Gothic Book"/>
        </w:rPr>
        <w:t>he suggestion f</w:t>
      </w:r>
      <w:r w:rsidR="00512583">
        <w:rPr>
          <w:rFonts w:ascii="Franklin Gothic Book" w:hAnsi="Franklin Gothic Book"/>
        </w:rPr>
        <w:t>rom</w:t>
      </w:r>
      <w:r w:rsidR="00E66351">
        <w:rPr>
          <w:rFonts w:ascii="Franklin Gothic Book" w:hAnsi="Franklin Gothic Book"/>
        </w:rPr>
        <w:t xml:space="preserve"> the Joint PBAC and MSAC ESCs to considered targeting </w:t>
      </w:r>
      <w:r w:rsidR="00512583">
        <w:rPr>
          <w:rFonts w:ascii="Franklin Gothic Book" w:hAnsi="Franklin Gothic Book"/>
        </w:rPr>
        <w:t xml:space="preserve">the </w:t>
      </w:r>
      <w:r w:rsidR="00512583" w:rsidRPr="00B15F54">
        <w:rPr>
          <w:rFonts w:ascii="Franklin Gothic Book" w:hAnsi="Franklin Gothic Book"/>
        </w:rPr>
        <w:t xml:space="preserve">expansion of BMD testing to </w:t>
      </w:r>
      <w:r w:rsidR="00EB403A" w:rsidRPr="00B15F54">
        <w:rPr>
          <w:rFonts w:ascii="Franklin Gothic Book" w:hAnsi="Franklin Gothic Book"/>
        </w:rPr>
        <w:t>high-risk subpopulations within the 65-69 years age band, identified using the FRAX tool (i.e. those with a major osteoporotic fracture risk of ≥ 10%) and First Nations people (who have a higher risk of fractures than non-First Nations people), without repeat testing</w:t>
      </w:r>
      <w:r w:rsidR="002D354F" w:rsidRPr="00B15F54">
        <w:rPr>
          <w:rFonts w:ascii="Franklin Gothic Book" w:hAnsi="Franklin Gothic Book"/>
        </w:rPr>
        <w:t xml:space="preserve"> (see Section </w:t>
      </w:r>
      <w:r w:rsidR="002D354F" w:rsidRPr="00B15F54">
        <w:rPr>
          <w:rFonts w:ascii="Franklin Gothic Book" w:hAnsi="Franklin Gothic Book"/>
        </w:rPr>
        <w:fldChar w:fldCharType="begin"/>
      </w:r>
      <w:r w:rsidR="002D354F" w:rsidRPr="00B15F54">
        <w:rPr>
          <w:rFonts w:ascii="Franklin Gothic Book" w:hAnsi="Franklin Gothic Book"/>
        </w:rPr>
        <w:instrText xml:space="preserve"> REF _Ref175222421 \h </w:instrText>
      </w:r>
      <w:r w:rsidR="00B15F54">
        <w:rPr>
          <w:rFonts w:ascii="Franklin Gothic Book" w:hAnsi="Franklin Gothic Book"/>
        </w:rPr>
        <w:instrText xml:space="preserve"> \* MERGEFORMAT </w:instrText>
      </w:r>
      <w:r w:rsidR="002D354F" w:rsidRPr="00B15F54">
        <w:rPr>
          <w:rFonts w:ascii="Franklin Gothic Book" w:hAnsi="Franklin Gothic Book"/>
        </w:rPr>
      </w:r>
      <w:r w:rsidR="002D354F" w:rsidRPr="00B15F54">
        <w:rPr>
          <w:rFonts w:ascii="Franklin Gothic Book" w:hAnsi="Franklin Gothic Book"/>
        </w:rPr>
        <w:fldChar w:fldCharType="separate"/>
      </w:r>
      <w:r w:rsidR="002D354F" w:rsidRPr="00745006">
        <w:rPr>
          <w:rFonts w:ascii="Franklin Gothic Book" w:hAnsi="Franklin Gothic Book"/>
        </w:rPr>
        <w:t>13.</w:t>
      </w:r>
      <w:r w:rsidR="002D354F" w:rsidRPr="00B15F54">
        <w:rPr>
          <w:rFonts w:ascii="Franklin Gothic Book" w:hAnsi="Franklin Gothic Book"/>
        </w:rPr>
        <w:fldChar w:fldCharType="end"/>
      </w:r>
      <w:r w:rsidR="002D354F" w:rsidRPr="00B15F54">
        <w:rPr>
          <w:rFonts w:ascii="Franklin Gothic Book" w:hAnsi="Franklin Gothic Book"/>
        </w:rPr>
        <w:t>)</w:t>
      </w:r>
      <w:r w:rsidR="00EB403A" w:rsidRPr="00B15F54">
        <w:rPr>
          <w:rFonts w:ascii="Franklin Gothic Book" w:hAnsi="Franklin Gothic Book"/>
        </w:rPr>
        <w:t xml:space="preserve">. MSAC </w:t>
      </w:r>
      <w:r w:rsidR="002D354F" w:rsidRPr="00B15F54">
        <w:rPr>
          <w:rFonts w:ascii="Franklin Gothic Book" w:hAnsi="Franklin Gothic Book"/>
        </w:rPr>
        <w:t>noted</w:t>
      </w:r>
      <w:r w:rsidR="00EB403A" w:rsidRPr="00B15F54">
        <w:rPr>
          <w:rFonts w:ascii="Franklin Gothic Book" w:hAnsi="Franklin Gothic Book"/>
        </w:rPr>
        <w:t xml:space="preserve"> the </w:t>
      </w:r>
      <w:r w:rsidR="00034A66" w:rsidRPr="00B15F54">
        <w:rPr>
          <w:rFonts w:ascii="Franklin Gothic Book" w:hAnsi="Franklin Gothic Book"/>
        </w:rPr>
        <w:t xml:space="preserve">PBAC and MSAC </w:t>
      </w:r>
      <w:r w:rsidR="00EB403A" w:rsidRPr="00B15F54">
        <w:rPr>
          <w:rFonts w:ascii="Franklin Gothic Book" w:hAnsi="Franklin Gothic Book"/>
        </w:rPr>
        <w:t>ESCs</w:t>
      </w:r>
      <w:r w:rsidR="002D354F" w:rsidRPr="00B15F54">
        <w:rPr>
          <w:rFonts w:ascii="Franklin Gothic Book" w:hAnsi="Franklin Gothic Book"/>
        </w:rPr>
        <w:t xml:space="preserve"> considered</w:t>
      </w:r>
      <w:r w:rsidRPr="00B15F54">
        <w:rPr>
          <w:rFonts w:ascii="Franklin Gothic Book" w:hAnsi="Franklin Gothic Book"/>
        </w:rPr>
        <w:t xml:space="preserve"> </w:t>
      </w:r>
      <w:r w:rsidR="00EB403A" w:rsidRPr="00B15F54">
        <w:rPr>
          <w:rFonts w:ascii="Franklin Gothic Book" w:hAnsi="Franklin Gothic Book"/>
        </w:rPr>
        <w:t>that targeting these high</w:t>
      </w:r>
      <w:r w:rsidR="00A2711B">
        <w:rPr>
          <w:rFonts w:ascii="Franklin Gothic Book" w:hAnsi="Franklin Gothic Book"/>
        </w:rPr>
        <w:t>-</w:t>
      </w:r>
      <w:r w:rsidR="00EB403A" w:rsidRPr="00B15F54">
        <w:rPr>
          <w:rFonts w:ascii="Franklin Gothic Book" w:hAnsi="Franklin Gothic Book"/>
        </w:rPr>
        <w:t xml:space="preserve">risk </w:t>
      </w:r>
      <w:r w:rsidR="00B15F54">
        <w:rPr>
          <w:rFonts w:ascii="Franklin Gothic Book" w:hAnsi="Franklin Gothic Book"/>
        </w:rPr>
        <w:t>sub</w:t>
      </w:r>
      <w:r w:rsidR="00EB403A" w:rsidRPr="00B15F54">
        <w:rPr>
          <w:rFonts w:ascii="Franklin Gothic Book" w:hAnsi="Franklin Gothic Book"/>
        </w:rPr>
        <w:t>populations may</w:t>
      </w:r>
      <w:r w:rsidR="00EB403A">
        <w:rPr>
          <w:rFonts w:ascii="Franklin Gothic Book" w:hAnsi="Franklin Gothic Book"/>
        </w:rPr>
        <w:t xml:space="preserve"> improve the</w:t>
      </w:r>
      <w:r w:rsidRPr="00EA7383">
        <w:rPr>
          <w:rFonts w:ascii="Franklin Gothic Book" w:hAnsi="Franklin Gothic Book"/>
        </w:rPr>
        <w:t xml:space="preserve"> cost-effectiveness </w:t>
      </w:r>
      <w:r w:rsidR="002D354F">
        <w:rPr>
          <w:rFonts w:ascii="Franklin Gothic Book" w:hAnsi="Franklin Gothic Book"/>
        </w:rPr>
        <w:t>based on the assumption that</w:t>
      </w:r>
      <w:r w:rsidR="00EB403A">
        <w:rPr>
          <w:rFonts w:ascii="Franklin Gothic Book" w:hAnsi="Franklin Gothic Book"/>
        </w:rPr>
        <w:t xml:space="preserve"> the</w:t>
      </w:r>
      <w:r w:rsidRPr="00EA7383">
        <w:rPr>
          <w:rFonts w:ascii="Franklin Gothic Book" w:hAnsi="Franklin Gothic Book"/>
        </w:rPr>
        <w:t xml:space="preserve"> number needed to t</w:t>
      </w:r>
      <w:r w:rsidR="00EB403A">
        <w:rPr>
          <w:rFonts w:ascii="Franklin Gothic Book" w:hAnsi="Franklin Gothic Book"/>
        </w:rPr>
        <w:t xml:space="preserve">est (to identify an individual with osteoporosis) and treat (to prevent any fracture) would be </w:t>
      </w:r>
      <w:proofErr w:type="gramStart"/>
      <w:r w:rsidR="00EB403A">
        <w:rPr>
          <w:rFonts w:ascii="Franklin Gothic Book" w:hAnsi="Franklin Gothic Book"/>
        </w:rPr>
        <w:t>reduced</w:t>
      </w:r>
      <w:r w:rsidRPr="00EA7383">
        <w:rPr>
          <w:rFonts w:ascii="Franklin Gothic Book" w:hAnsi="Franklin Gothic Book"/>
        </w:rPr>
        <w:t>, and</w:t>
      </w:r>
      <w:proofErr w:type="gramEnd"/>
      <w:r w:rsidRPr="00EA7383">
        <w:rPr>
          <w:rFonts w:ascii="Franklin Gothic Book" w:hAnsi="Franklin Gothic Book"/>
        </w:rPr>
        <w:t xml:space="preserve"> may have a more modest budget impact. However, </w:t>
      </w:r>
      <w:r w:rsidR="00F45262">
        <w:rPr>
          <w:rFonts w:ascii="Franklin Gothic Book" w:hAnsi="Franklin Gothic Book"/>
        </w:rPr>
        <w:t xml:space="preserve">MSAC noted the </w:t>
      </w:r>
      <w:r w:rsidR="00EB403A">
        <w:rPr>
          <w:rFonts w:ascii="Franklin Gothic Book" w:hAnsi="Franklin Gothic Book"/>
        </w:rPr>
        <w:t xml:space="preserve">cost-effectiveness </w:t>
      </w:r>
      <w:r w:rsidR="00F45262">
        <w:rPr>
          <w:rFonts w:ascii="Franklin Gothic Book" w:hAnsi="Franklin Gothic Book"/>
        </w:rPr>
        <w:t>and financial impact for these high-risk sub</w:t>
      </w:r>
      <w:r w:rsidR="00B15F54">
        <w:rPr>
          <w:rFonts w:ascii="Franklin Gothic Book" w:hAnsi="Franklin Gothic Book"/>
        </w:rPr>
        <w:t>population</w:t>
      </w:r>
      <w:r w:rsidR="00F45262">
        <w:rPr>
          <w:rFonts w:ascii="Franklin Gothic Book" w:hAnsi="Franklin Gothic Book"/>
        </w:rPr>
        <w:t xml:space="preserve">s was </w:t>
      </w:r>
      <w:r w:rsidRPr="00EA7383">
        <w:rPr>
          <w:rFonts w:ascii="Franklin Gothic Book" w:hAnsi="Franklin Gothic Book"/>
        </w:rPr>
        <w:t>not modelled</w:t>
      </w:r>
      <w:r w:rsidR="00F45262">
        <w:rPr>
          <w:rFonts w:ascii="Franklin Gothic Book" w:hAnsi="Franklin Gothic Book"/>
        </w:rPr>
        <w:t xml:space="preserve"> and </w:t>
      </w:r>
      <w:r w:rsidRPr="00EA7383">
        <w:rPr>
          <w:rFonts w:ascii="Franklin Gothic Book" w:hAnsi="Franklin Gothic Book"/>
        </w:rPr>
        <w:t xml:space="preserve">that there </w:t>
      </w:r>
      <w:r w:rsidR="00F45262">
        <w:rPr>
          <w:rFonts w:ascii="Franklin Gothic Book" w:hAnsi="Franklin Gothic Book"/>
        </w:rPr>
        <w:t>may</w:t>
      </w:r>
      <w:r w:rsidR="00AB3362">
        <w:rPr>
          <w:rFonts w:ascii="Franklin Gothic Book" w:hAnsi="Franklin Gothic Book"/>
        </w:rPr>
        <w:t xml:space="preserve"> </w:t>
      </w:r>
      <w:r w:rsidRPr="00EA7383">
        <w:rPr>
          <w:rFonts w:ascii="Franklin Gothic Book" w:hAnsi="Franklin Gothic Book"/>
        </w:rPr>
        <w:t xml:space="preserve">be multiple data gaps that would limit the ability to adequately populate the economic </w:t>
      </w:r>
      <w:r w:rsidR="00203955">
        <w:rPr>
          <w:rFonts w:ascii="Franklin Gothic Book" w:hAnsi="Franklin Gothic Book"/>
        </w:rPr>
        <w:t xml:space="preserve">evaluation and financial analysis </w:t>
      </w:r>
      <w:r w:rsidRPr="00EA7383">
        <w:rPr>
          <w:rFonts w:ascii="Franklin Gothic Book" w:hAnsi="Franklin Gothic Book"/>
        </w:rPr>
        <w:t>for the high-risk subpopulations.</w:t>
      </w:r>
      <w:r w:rsidR="00034A66">
        <w:rPr>
          <w:rFonts w:ascii="Franklin Gothic Book" w:hAnsi="Franklin Gothic Book"/>
        </w:rPr>
        <w:t xml:space="preserve"> </w:t>
      </w:r>
      <w:r w:rsidRPr="00EA7383">
        <w:rPr>
          <w:rFonts w:ascii="Franklin Gothic Book" w:hAnsi="Franklin Gothic Book"/>
        </w:rPr>
        <w:t xml:space="preserve">MSAC </w:t>
      </w:r>
      <w:r w:rsidR="002D354F">
        <w:rPr>
          <w:rFonts w:ascii="Franklin Gothic Book" w:hAnsi="Franklin Gothic Book"/>
        </w:rPr>
        <w:t xml:space="preserve">noted </w:t>
      </w:r>
      <w:r w:rsidRPr="00EA7383">
        <w:rPr>
          <w:rFonts w:ascii="Franklin Gothic Book" w:hAnsi="Franklin Gothic Book"/>
        </w:rPr>
        <w:t xml:space="preserve">that the </w:t>
      </w:r>
      <w:r w:rsidR="00203955">
        <w:rPr>
          <w:rFonts w:ascii="Franklin Gothic Book" w:hAnsi="Franklin Gothic Book"/>
        </w:rPr>
        <w:t>d</w:t>
      </w:r>
      <w:r w:rsidRPr="00EA7383">
        <w:rPr>
          <w:rFonts w:ascii="Franklin Gothic Book" w:hAnsi="Franklin Gothic Book"/>
        </w:rPr>
        <w:t xml:space="preserve">epartment </w:t>
      </w:r>
      <w:r w:rsidR="002D354F">
        <w:rPr>
          <w:rFonts w:ascii="Franklin Gothic Book" w:hAnsi="Franklin Gothic Book"/>
        </w:rPr>
        <w:t xml:space="preserve">could </w:t>
      </w:r>
      <w:r w:rsidRPr="00EA7383">
        <w:rPr>
          <w:rFonts w:ascii="Franklin Gothic Book" w:hAnsi="Franklin Gothic Book"/>
        </w:rPr>
        <w:t xml:space="preserve">consider submitting a proposal to the Medical Research Future Fund (MRFF) to obtain </w:t>
      </w:r>
      <w:r w:rsidR="002D354F">
        <w:rPr>
          <w:rFonts w:ascii="Franklin Gothic Book" w:hAnsi="Franklin Gothic Book"/>
        </w:rPr>
        <w:t>the missing data that could enable an evaluation for expanding BMD testing to high</w:t>
      </w:r>
      <w:r w:rsidR="00A2711B">
        <w:rPr>
          <w:rFonts w:ascii="Franklin Gothic Book" w:hAnsi="Franklin Gothic Book"/>
        </w:rPr>
        <w:t>-</w:t>
      </w:r>
      <w:r w:rsidR="002D354F">
        <w:rPr>
          <w:rFonts w:ascii="Franklin Gothic Book" w:hAnsi="Franklin Gothic Book"/>
        </w:rPr>
        <w:t xml:space="preserve">risk </w:t>
      </w:r>
      <w:r w:rsidR="00034A66">
        <w:rPr>
          <w:rFonts w:ascii="Franklin Gothic Book" w:hAnsi="Franklin Gothic Book"/>
        </w:rPr>
        <w:t>sub</w:t>
      </w:r>
      <w:r w:rsidR="002D354F">
        <w:rPr>
          <w:rFonts w:ascii="Franklin Gothic Book" w:hAnsi="Franklin Gothic Book"/>
        </w:rPr>
        <w:t xml:space="preserve">populations </w:t>
      </w:r>
      <w:r w:rsidR="00034A66">
        <w:rPr>
          <w:rFonts w:ascii="Franklin Gothic Book" w:hAnsi="Franklin Gothic Book"/>
        </w:rPr>
        <w:t>suggested by the PBAC and MSAC ESCs</w:t>
      </w:r>
      <w:r w:rsidRPr="00EA7383">
        <w:rPr>
          <w:rFonts w:ascii="Franklin Gothic Book" w:hAnsi="Franklin Gothic Book"/>
        </w:rPr>
        <w:t>.</w:t>
      </w:r>
    </w:p>
    <w:p w14:paraId="344C6D9B" w14:textId="34B777F9" w:rsidR="006667AC" w:rsidRPr="00EA7383" w:rsidRDefault="00EA7383" w:rsidP="00EA7383">
      <w:pPr>
        <w:rPr>
          <w:rFonts w:ascii="Franklin Gothic Book" w:hAnsi="Franklin Gothic Book"/>
        </w:rPr>
      </w:pPr>
      <w:r w:rsidRPr="00EA7383">
        <w:rPr>
          <w:rFonts w:ascii="Franklin Gothic Book" w:hAnsi="Franklin Gothic Book"/>
        </w:rPr>
        <w:t xml:space="preserve">MSAC noted that the </w:t>
      </w:r>
      <w:r w:rsidR="00034A66">
        <w:rPr>
          <w:rFonts w:ascii="Franklin Gothic Book" w:hAnsi="Franklin Gothic Book"/>
        </w:rPr>
        <w:t xml:space="preserve">existing MBS items for BMD testing do not appear to be reflective of the </w:t>
      </w:r>
      <w:r w:rsidR="009832CD">
        <w:rPr>
          <w:rFonts w:ascii="Franklin Gothic Book" w:hAnsi="Franklin Gothic Book"/>
        </w:rPr>
        <w:t xml:space="preserve">updated </w:t>
      </w:r>
      <w:r w:rsidRPr="00EA7383">
        <w:rPr>
          <w:rFonts w:ascii="Franklin Gothic Book" w:hAnsi="Franklin Gothic Book"/>
        </w:rPr>
        <w:t>RACGP guidelines</w:t>
      </w:r>
      <w:r w:rsidR="003A7FAE">
        <w:rPr>
          <w:rFonts w:ascii="Franklin Gothic Book" w:hAnsi="Franklin Gothic Book"/>
        </w:rPr>
        <w:t xml:space="preserve"> and</w:t>
      </w:r>
      <w:r w:rsidR="00034A66">
        <w:rPr>
          <w:rFonts w:ascii="Franklin Gothic Book" w:hAnsi="Franklin Gothic Book"/>
        </w:rPr>
        <w:t xml:space="preserve"> that BMD testing not only supports diagnosis for accessing osteoporosis medications but also facilitates access to </w:t>
      </w:r>
      <w:r w:rsidR="00034A66" w:rsidRPr="00EA7383">
        <w:rPr>
          <w:rFonts w:ascii="Franklin Gothic Book" w:hAnsi="Franklin Gothic Book"/>
        </w:rPr>
        <w:t>alternative therapies (such as physiotherapy and dietician support).</w:t>
      </w:r>
      <w:r w:rsidR="00034A66">
        <w:rPr>
          <w:rFonts w:ascii="Franklin Gothic Book" w:hAnsi="Franklin Gothic Book"/>
        </w:rPr>
        <w:t xml:space="preserve"> </w:t>
      </w:r>
      <w:r w:rsidR="00203955">
        <w:rPr>
          <w:rFonts w:ascii="Franklin Gothic Book" w:hAnsi="Franklin Gothic Book"/>
        </w:rPr>
        <w:t xml:space="preserve">MSAC noted there are other MBS items for BMD testing which are </w:t>
      </w:r>
      <w:r w:rsidR="00203955" w:rsidRPr="00203955">
        <w:rPr>
          <w:rFonts w:ascii="Franklin Gothic Book" w:hAnsi="Franklin Gothic Book"/>
        </w:rPr>
        <w:t>available for individuals with minimal trauma fracture</w:t>
      </w:r>
      <w:r w:rsidR="00856EF0">
        <w:rPr>
          <w:rFonts w:ascii="Franklin Gothic Book" w:hAnsi="Franklin Gothic Book"/>
        </w:rPr>
        <w:t>s</w:t>
      </w:r>
      <w:r w:rsidR="00203955" w:rsidRPr="00203955">
        <w:rPr>
          <w:rFonts w:ascii="Franklin Gothic Book" w:hAnsi="Franklin Gothic Book"/>
        </w:rPr>
        <w:t xml:space="preserve"> (fractures that occur with little or no cause) or other conditions associated with more rapid bone loss, and monitoring of patients on therapy. </w:t>
      </w:r>
      <w:r w:rsidR="00203955">
        <w:rPr>
          <w:rFonts w:ascii="Franklin Gothic Book" w:hAnsi="Franklin Gothic Book"/>
        </w:rPr>
        <w:t xml:space="preserve">These items are not restricted by an individual’s age and were not in scope for this application. </w:t>
      </w:r>
      <w:r w:rsidR="00034A66">
        <w:rPr>
          <w:rFonts w:ascii="Franklin Gothic Book" w:hAnsi="Franklin Gothic Book"/>
        </w:rPr>
        <w:t xml:space="preserve">MSAC noted that while certain </w:t>
      </w:r>
      <w:r w:rsidR="0084726B">
        <w:rPr>
          <w:rFonts w:ascii="Franklin Gothic Book" w:hAnsi="Franklin Gothic Book"/>
        </w:rPr>
        <w:t>individual</w:t>
      </w:r>
      <w:r w:rsidR="00034A66">
        <w:rPr>
          <w:rFonts w:ascii="Franklin Gothic Book" w:hAnsi="Franklin Gothic Book"/>
        </w:rPr>
        <w:t xml:space="preserve">s within the proposed population may be able to access </w:t>
      </w:r>
      <w:r w:rsidR="00203955">
        <w:rPr>
          <w:rFonts w:ascii="Franklin Gothic Book" w:hAnsi="Franklin Gothic Book"/>
        </w:rPr>
        <w:t xml:space="preserve">these </w:t>
      </w:r>
      <w:r w:rsidR="00034A66">
        <w:rPr>
          <w:rFonts w:ascii="Franklin Gothic Book" w:hAnsi="Franklin Gothic Book"/>
        </w:rPr>
        <w:t xml:space="preserve">other BMD items, </w:t>
      </w:r>
      <w:r w:rsidRPr="00EA7383">
        <w:rPr>
          <w:rFonts w:ascii="Franklin Gothic Book" w:hAnsi="Franklin Gothic Book"/>
        </w:rPr>
        <w:t xml:space="preserve">MSAC </w:t>
      </w:r>
      <w:r w:rsidR="00034A66" w:rsidRPr="00745006">
        <w:rPr>
          <w:rFonts w:ascii="Franklin Gothic Book" w:hAnsi="Franklin Gothic Book"/>
        </w:rPr>
        <w:t xml:space="preserve">advised the </w:t>
      </w:r>
      <w:r w:rsidR="00203955">
        <w:rPr>
          <w:rFonts w:ascii="Franklin Gothic Book" w:hAnsi="Franklin Gothic Book"/>
        </w:rPr>
        <w:t>d</w:t>
      </w:r>
      <w:r w:rsidR="00034A66" w:rsidRPr="00745006">
        <w:rPr>
          <w:rFonts w:ascii="Franklin Gothic Book" w:hAnsi="Franklin Gothic Book"/>
        </w:rPr>
        <w:t xml:space="preserve">epartment to consider a broader review of BMD testing items, </w:t>
      </w:r>
      <w:r w:rsidR="00203955">
        <w:rPr>
          <w:rFonts w:ascii="Franklin Gothic Book" w:hAnsi="Franklin Gothic Book"/>
        </w:rPr>
        <w:t xml:space="preserve">to consider whether they are </w:t>
      </w:r>
      <w:r w:rsidR="00034A66" w:rsidRPr="00745006">
        <w:rPr>
          <w:rFonts w:ascii="Franklin Gothic Book" w:hAnsi="Franklin Gothic Book"/>
        </w:rPr>
        <w:t>reflective of contemporary clinical guidelines, in particular for</w:t>
      </w:r>
      <w:r w:rsidR="0022565A">
        <w:rPr>
          <w:rFonts w:ascii="Franklin Gothic Book" w:hAnsi="Franklin Gothic Book"/>
        </w:rPr>
        <w:t xml:space="preserve"> high-risk population groups such as</w:t>
      </w:r>
      <w:r w:rsidR="00034A66" w:rsidRPr="00745006">
        <w:rPr>
          <w:rFonts w:ascii="Franklin Gothic Book" w:hAnsi="Franklin Gothic Book"/>
        </w:rPr>
        <w:t xml:space="preserve"> First Nations people.</w:t>
      </w:r>
    </w:p>
    <w:p w14:paraId="5DEC1A70" w14:textId="24FA6882" w:rsidR="008979C9" w:rsidRPr="004D5C3A" w:rsidRDefault="006667AC" w:rsidP="006667AC">
      <w:pPr>
        <w:pStyle w:val="Heading2"/>
        <w:numPr>
          <w:ilvl w:val="1"/>
          <w:numId w:val="0"/>
        </w:numPr>
      </w:pPr>
      <w:bookmarkStart w:id="3" w:name="_Toc150177172"/>
      <w:bookmarkEnd w:id="2"/>
      <w:r>
        <w:t>4.</w:t>
      </w:r>
      <w:r>
        <w:tab/>
      </w:r>
      <w:r w:rsidR="008979C9" w:rsidRPr="004D5C3A">
        <w:t>Background</w:t>
      </w:r>
      <w:bookmarkEnd w:id="3"/>
    </w:p>
    <w:p w14:paraId="45BF29CE" w14:textId="77777777" w:rsidR="008979C9" w:rsidRPr="006667AC" w:rsidRDefault="008979C9" w:rsidP="00727E9B">
      <w:pPr>
        <w:pStyle w:val="COMBody"/>
        <w:rPr>
          <w:rFonts w:cstheme="minorHAnsi"/>
        </w:rPr>
      </w:pPr>
      <w:r w:rsidRPr="006667AC">
        <w:rPr>
          <w:rFonts w:cstheme="minorHAnsi"/>
        </w:rPr>
        <w:t>MSAC has previously considered multiple items related to BMD testing.</w:t>
      </w:r>
    </w:p>
    <w:p w14:paraId="51B3ABFC" w14:textId="5E368E53" w:rsidR="008979C9" w:rsidRPr="006667AC" w:rsidRDefault="008979C9" w:rsidP="00727E9B">
      <w:pPr>
        <w:pStyle w:val="Instructionaltext"/>
        <w:spacing w:line="240" w:lineRule="auto"/>
        <w:jc w:val="both"/>
        <w:rPr>
          <w:rFonts w:cstheme="minorHAnsi"/>
          <w:color w:val="auto"/>
        </w:rPr>
      </w:pPr>
      <w:r w:rsidRPr="006667AC">
        <w:rPr>
          <w:rFonts w:cstheme="minorHAnsi"/>
          <w:color w:val="auto"/>
        </w:rPr>
        <w:t>In November 2014, MSAC considered an application requesting MBS listing of bone densitometry by D</w:t>
      </w:r>
      <w:r w:rsidR="00985F0E">
        <w:rPr>
          <w:rFonts w:cstheme="minorHAnsi"/>
          <w:color w:val="auto"/>
        </w:rPr>
        <w:t>E</w:t>
      </w:r>
      <w:r w:rsidRPr="006667AC">
        <w:rPr>
          <w:rFonts w:cstheme="minorHAnsi"/>
          <w:color w:val="auto"/>
        </w:rPr>
        <w:t>XA for all women in their 50</w:t>
      </w:r>
      <w:r w:rsidRPr="006667AC">
        <w:rPr>
          <w:rFonts w:cstheme="minorHAnsi"/>
          <w:color w:val="auto"/>
          <w:vertAlign w:val="superscript"/>
        </w:rPr>
        <w:t>th</w:t>
      </w:r>
      <w:r w:rsidRPr="006667AC">
        <w:rPr>
          <w:rFonts w:cstheme="minorHAnsi"/>
          <w:color w:val="auto"/>
        </w:rPr>
        <w:t xml:space="preserve"> year of age (Public Summary Document [PSD] for MSAC Application 1162 – Bone Mineral Density analyses using D</w:t>
      </w:r>
      <w:r w:rsidR="00985F0E">
        <w:rPr>
          <w:rFonts w:cstheme="minorHAnsi"/>
          <w:color w:val="auto"/>
        </w:rPr>
        <w:t>E</w:t>
      </w:r>
      <w:r w:rsidRPr="006667AC">
        <w:rPr>
          <w:rFonts w:cstheme="minorHAnsi"/>
          <w:color w:val="auto"/>
        </w:rPr>
        <w:t>XA for women in their 50</w:t>
      </w:r>
      <w:r w:rsidRPr="006667AC">
        <w:rPr>
          <w:rFonts w:cstheme="minorHAnsi"/>
          <w:color w:val="auto"/>
          <w:vertAlign w:val="superscript"/>
        </w:rPr>
        <w:t>th</w:t>
      </w:r>
      <w:r w:rsidRPr="006667AC">
        <w:rPr>
          <w:rFonts w:cstheme="minorHAnsi"/>
          <w:color w:val="auto"/>
        </w:rPr>
        <w:t xml:space="preserve"> year). MSAC did not support public funding as there was no demonstrated advantage of </w:t>
      </w:r>
      <w:r w:rsidR="00985F0E">
        <w:rPr>
          <w:rFonts w:cstheme="minorHAnsi"/>
          <w:color w:val="auto"/>
        </w:rPr>
        <w:t>DEXA</w:t>
      </w:r>
      <w:r w:rsidRPr="006667AC">
        <w:rPr>
          <w:rFonts w:cstheme="minorHAnsi"/>
          <w:color w:val="auto"/>
        </w:rPr>
        <w:t xml:space="preserve"> over other methods of fracture risk assessment such as the FRAX online assessment tool; and Medicare benefits are not payable in respect of a health screening service.</w:t>
      </w:r>
    </w:p>
    <w:p w14:paraId="74D9CED1" w14:textId="656B2A60" w:rsidR="008979C9" w:rsidRPr="006667AC" w:rsidRDefault="008979C9" w:rsidP="00727E9B">
      <w:pPr>
        <w:pStyle w:val="Instructionaltext"/>
        <w:spacing w:line="240" w:lineRule="auto"/>
        <w:jc w:val="both"/>
        <w:rPr>
          <w:rFonts w:cstheme="minorHAnsi"/>
          <w:color w:val="auto"/>
        </w:rPr>
      </w:pPr>
      <w:r w:rsidRPr="006667AC">
        <w:rPr>
          <w:rFonts w:cstheme="minorHAnsi"/>
          <w:color w:val="auto"/>
        </w:rPr>
        <w:t xml:space="preserve">In November 2014, MSAC also considered an application requesting MBS listing of bone densitometry by </w:t>
      </w:r>
      <w:r w:rsidR="00985F0E">
        <w:rPr>
          <w:rFonts w:cstheme="minorHAnsi"/>
          <w:color w:val="auto"/>
        </w:rPr>
        <w:t>DEXA</w:t>
      </w:r>
      <w:r w:rsidRPr="006667AC">
        <w:rPr>
          <w:rFonts w:cstheme="minorHAnsi"/>
          <w:color w:val="auto"/>
        </w:rPr>
        <w:t xml:space="preserve"> for postmenopausal women with early</w:t>
      </w:r>
      <w:r w:rsidR="009E719F" w:rsidRPr="006667AC">
        <w:rPr>
          <w:rFonts w:cstheme="minorHAnsi"/>
          <w:color w:val="auto"/>
        </w:rPr>
        <w:t>-</w:t>
      </w:r>
      <w:r w:rsidRPr="006667AC">
        <w:rPr>
          <w:rFonts w:cstheme="minorHAnsi"/>
          <w:color w:val="auto"/>
        </w:rPr>
        <w:t xml:space="preserve">stage breast cancer who receive, or are being considered for, treatment with aromatase inhibitors (PSD for MSAC Application 1313 – Bone Mineral Density analyses using </w:t>
      </w:r>
      <w:r w:rsidR="00985F0E">
        <w:rPr>
          <w:rFonts w:cstheme="minorHAnsi"/>
          <w:color w:val="auto"/>
        </w:rPr>
        <w:t>DEXA</w:t>
      </w:r>
      <w:r w:rsidRPr="006667AC">
        <w:rPr>
          <w:rFonts w:cstheme="minorHAnsi"/>
          <w:color w:val="auto"/>
        </w:rPr>
        <w:t xml:space="preserve"> in breast cancer patients receiving aromatase inhibitor treatment). MSAC deferred the application and requested further external evaluation of the economic modelling. The evidence was reconsidered at the July 2015 MSAC meeting. MSAC did not support public funding because of uncertain and unacceptably high cost-effectiveness in the proposed setting.</w:t>
      </w:r>
    </w:p>
    <w:p w14:paraId="62E013D2" w14:textId="77777777" w:rsidR="008979C9" w:rsidRPr="006667AC" w:rsidRDefault="008979C9" w:rsidP="00727E9B">
      <w:pPr>
        <w:pStyle w:val="Instructionaltext"/>
        <w:spacing w:line="240" w:lineRule="auto"/>
        <w:jc w:val="both"/>
        <w:rPr>
          <w:rFonts w:cstheme="minorHAnsi"/>
          <w:color w:val="auto"/>
        </w:rPr>
      </w:pPr>
      <w:r w:rsidRPr="006667AC">
        <w:rPr>
          <w:rFonts w:cstheme="minorHAnsi"/>
          <w:color w:val="auto"/>
        </w:rPr>
        <w:t xml:space="preserve">Between 2015 and 2020, the MBS Review Taskforce looked at more than 5,700 MBS items to see if they needed to be amended, </w:t>
      </w:r>
      <w:proofErr w:type="gramStart"/>
      <w:r w:rsidRPr="006667AC">
        <w:rPr>
          <w:rFonts w:cstheme="minorHAnsi"/>
          <w:color w:val="auto"/>
        </w:rPr>
        <w:t>updated</w:t>
      </w:r>
      <w:proofErr w:type="gramEnd"/>
      <w:r w:rsidRPr="006667AC">
        <w:rPr>
          <w:rFonts w:cstheme="minorHAnsi"/>
          <w:color w:val="auto"/>
        </w:rPr>
        <w:t xml:space="preserve"> or removed. At the time, seven MBS items for bone densitometry were identified for review by the Bone Densitometry Working Group (items 12306, 12309, 12312, 12315, 12318, 12321, 12323) (Medicare Benefits Schedule Review Taskforce, Second report from the Diagnostic Imaging Clinical Committee – Bone Densitometry, August </w:t>
      </w:r>
      <w:r w:rsidRPr="006667AC">
        <w:rPr>
          <w:rFonts w:cstheme="minorHAnsi"/>
          <w:color w:val="auto"/>
        </w:rPr>
        <w:lastRenderedPageBreak/>
        <w:t>2016)</w:t>
      </w:r>
      <w:r w:rsidRPr="006667AC">
        <w:rPr>
          <w:rStyle w:val="FootnoteReference"/>
          <w:rFonts w:cstheme="minorHAnsi"/>
          <w:color w:val="auto"/>
        </w:rPr>
        <w:footnoteReference w:id="8"/>
      </w:r>
      <w:r w:rsidRPr="006667AC">
        <w:rPr>
          <w:rFonts w:cstheme="minorHAnsi"/>
          <w:color w:val="auto"/>
        </w:rPr>
        <w:t xml:space="preserve">. Following the review, two time-restricted MBS items were introduced for BMD testing for people aged 70 years and above (items 12320 and 12322) to replace the existing MBS item that was not time-restricted (item 12323). Individuals aged 70 years or over would continue to be eligible for an initial test using item 12320. Individuals with a BMD T-score of -1.5 or above would be eligible for repeat testing every five years; and individuals with a BMD T-score less than -1.5 and above -2.5 would be eligible for repeat testing every two years. These changes were based on a review of international recommendations at the time as well as published research papers assessing the optimal timing of BMD testing (Frost 2009, </w:t>
      </w:r>
      <w:proofErr w:type="spellStart"/>
      <w:r w:rsidRPr="006667AC">
        <w:rPr>
          <w:rFonts w:cstheme="minorHAnsi"/>
          <w:color w:val="auto"/>
        </w:rPr>
        <w:t>Gourlay</w:t>
      </w:r>
      <w:proofErr w:type="spellEnd"/>
      <w:r w:rsidRPr="006667AC">
        <w:rPr>
          <w:rFonts w:cstheme="minorHAnsi"/>
          <w:color w:val="auto"/>
        </w:rPr>
        <w:t xml:space="preserve"> 2012).</w:t>
      </w:r>
    </w:p>
    <w:p w14:paraId="49654EB5" w14:textId="31E50992" w:rsidR="008979C9" w:rsidRPr="006667AC" w:rsidRDefault="008979C9" w:rsidP="00727E9B">
      <w:pPr>
        <w:pStyle w:val="Instructionaltext"/>
        <w:spacing w:line="240" w:lineRule="auto"/>
        <w:jc w:val="both"/>
        <w:rPr>
          <w:rFonts w:cstheme="minorHAnsi"/>
          <w:color w:val="auto"/>
        </w:rPr>
      </w:pPr>
      <w:r w:rsidRPr="006667AC">
        <w:rPr>
          <w:rFonts w:cstheme="minorHAnsi"/>
          <w:color w:val="auto"/>
        </w:rPr>
        <w:t xml:space="preserve">In July 2022, MSAC considered an application requesting listing of ultrasound radiofrequency </w:t>
      </w:r>
      <w:proofErr w:type="spellStart"/>
      <w:r w:rsidRPr="006667AC">
        <w:rPr>
          <w:rFonts w:cstheme="minorHAnsi"/>
          <w:color w:val="auto"/>
        </w:rPr>
        <w:t>echographic</w:t>
      </w:r>
      <w:proofErr w:type="spellEnd"/>
      <w:r w:rsidRPr="006667AC">
        <w:rPr>
          <w:rFonts w:cstheme="minorHAnsi"/>
          <w:color w:val="auto"/>
        </w:rPr>
        <w:t xml:space="preserve"> multi spectrometry (REMS) for the diagnosis of osteopenia and osteoporosis (PSD for MSAC Application 1665 – Radiofrequency </w:t>
      </w:r>
      <w:proofErr w:type="spellStart"/>
      <w:r w:rsidRPr="006667AC">
        <w:rPr>
          <w:rFonts w:cstheme="minorHAnsi"/>
          <w:color w:val="auto"/>
        </w:rPr>
        <w:t>echographic</w:t>
      </w:r>
      <w:proofErr w:type="spellEnd"/>
      <w:r w:rsidRPr="006667AC">
        <w:rPr>
          <w:rFonts w:cstheme="minorHAnsi"/>
          <w:color w:val="auto"/>
        </w:rPr>
        <w:t xml:space="preserve"> multi spectrometry for bone density measurement and determination of osteopenia/osteoporosis). MSAC did not support public funding as the evidence presented did not demonstrate sufficient correlation of REMS with </w:t>
      </w:r>
      <w:r w:rsidR="00985F0E">
        <w:rPr>
          <w:rFonts w:cstheme="minorHAnsi"/>
          <w:color w:val="auto"/>
        </w:rPr>
        <w:t>DEXA</w:t>
      </w:r>
      <w:r w:rsidRPr="006667AC">
        <w:rPr>
          <w:rFonts w:cstheme="minorHAnsi"/>
          <w:color w:val="auto"/>
        </w:rPr>
        <w:t xml:space="preserve">. As such, MSAC queried whether there is a population for whom there is residual clinical need for REMS and suggested that re-application could instead identify those defined as eligible for </w:t>
      </w:r>
      <w:r w:rsidR="00985F0E">
        <w:rPr>
          <w:rFonts w:cstheme="minorHAnsi"/>
          <w:color w:val="auto"/>
        </w:rPr>
        <w:t>DEXA</w:t>
      </w:r>
      <w:r w:rsidRPr="006667AC">
        <w:rPr>
          <w:rFonts w:cstheme="minorHAnsi"/>
          <w:color w:val="auto"/>
        </w:rPr>
        <w:t xml:space="preserve"> but are unable to be tested by </w:t>
      </w:r>
      <w:r w:rsidR="00985F0E">
        <w:rPr>
          <w:rFonts w:cstheme="minorHAnsi"/>
          <w:color w:val="auto"/>
        </w:rPr>
        <w:t>DEXA</w:t>
      </w:r>
      <w:r w:rsidRPr="006667AC">
        <w:rPr>
          <w:rFonts w:cstheme="minorHAnsi"/>
          <w:color w:val="auto"/>
        </w:rPr>
        <w:t>. MSAC also requested data on inter-machine variability, inter-operator variability and intra-patient variability over time.</w:t>
      </w:r>
    </w:p>
    <w:p w14:paraId="4E89536A" w14:textId="1543C191" w:rsidR="008979C9" w:rsidRPr="006667AC" w:rsidRDefault="008979C9" w:rsidP="00727E9B">
      <w:pPr>
        <w:pStyle w:val="Instructionaltext"/>
        <w:spacing w:line="240" w:lineRule="auto"/>
        <w:jc w:val="both"/>
        <w:rPr>
          <w:rFonts w:cstheme="minorHAnsi"/>
          <w:color w:val="auto"/>
        </w:rPr>
      </w:pPr>
      <w:r w:rsidRPr="006667AC">
        <w:rPr>
          <w:rFonts w:cstheme="minorHAnsi"/>
          <w:color w:val="auto"/>
        </w:rPr>
        <w:t>Currently, unconditional access to bone densitometry (</w:t>
      </w:r>
      <w:r w:rsidR="00985F0E">
        <w:rPr>
          <w:rFonts w:cstheme="minorHAnsi"/>
          <w:color w:val="auto"/>
        </w:rPr>
        <w:t>DEXA</w:t>
      </w:r>
      <w:r w:rsidRPr="006667AC">
        <w:rPr>
          <w:rFonts w:cstheme="minorHAnsi"/>
          <w:color w:val="auto"/>
        </w:rPr>
        <w:t>/QCT) is available to people aged 70 years and above, at specified time intervals (items 12320 and 12322). Conditional access to bone densitometry (</w:t>
      </w:r>
      <w:r w:rsidR="00985F0E">
        <w:rPr>
          <w:rFonts w:cstheme="minorHAnsi"/>
          <w:color w:val="auto"/>
        </w:rPr>
        <w:t>DEXA</w:t>
      </w:r>
      <w:r w:rsidRPr="006667AC">
        <w:rPr>
          <w:rFonts w:cstheme="minorHAnsi"/>
          <w:color w:val="auto"/>
        </w:rPr>
        <w:t xml:space="preserve"> only) is also available for patients with minimal trauma fracture (item 12306), conditions associated with more rapid bone loss (items 12312 and 12315) and monitoring of patients on therapy (item 12321).</w:t>
      </w:r>
    </w:p>
    <w:p w14:paraId="0551E54D" w14:textId="15482CC2" w:rsidR="008979C9" w:rsidRPr="006667AC" w:rsidRDefault="008979C9" w:rsidP="00727E9B">
      <w:pPr>
        <w:pStyle w:val="COMBody"/>
        <w:rPr>
          <w:rFonts w:cstheme="minorHAnsi"/>
        </w:rPr>
      </w:pPr>
      <w:r w:rsidRPr="006667AC">
        <w:rPr>
          <w:rFonts w:cstheme="minorHAnsi"/>
        </w:rPr>
        <w:t xml:space="preserve">In December 2022, the MSAC Executive noted the Pharmaceutical Benefits Advisory Committee (PBAC) considerations to expand the current age restriction for PBS listed osteoporosis medications for primary prevention of fractures to include </w:t>
      </w:r>
      <w:r w:rsidR="0084726B">
        <w:rPr>
          <w:rFonts w:cstheme="minorHAnsi"/>
        </w:rPr>
        <w:t>individuals</w:t>
      </w:r>
      <w:r w:rsidR="0084726B" w:rsidRPr="006667AC">
        <w:rPr>
          <w:rFonts w:cstheme="minorHAnsi"/>
        </w:rPr>
        <w:t xml:space="preserve"> </w:t>
      </w:r>
      <w:r w:rsidRPr="006667AC">
        <w:rPr>
          <w:rFonts w:cstheme="minorHAnsi"/>
        </w:rPr>
        <w:t>aged 60 to 69 years (see PBAC outcome for Osteoporosis Therapy Restrictions Review, September 2021 PBAC meeting and PSD for risedronic acid, November 2022 PBAC meeting with March 2023 Addendum). The PBAC deferred making a recommendation to amend the restriction, pending a review of the MBS implications, to ensure that the MBS items for bone densitometry could be aligned with the PBAC recommendations.</w:t>
      </w:r>
    </w:p>
    <w:p w14:paraId="31D65BA5" w14:textId="595D7A6F" w:rsidR="008979C9" w:rsidRPr="002B1907" w:rsidRDefault="002B1907" w:rsidP="00745006">
      <w:pPr>
        <w:pStyle w:val="COMBody"/>
        <w:tabs>
          <w:tab w:val="left" w:pos="2410"/>
        </w:tabs>
        <w:rPr>
          <w:rFonts w:cstheme="minorHAnsi"/>
        </w:rPr>
      </w:pPr>
      <w:r w:rsidRPr="002B1907">
        <w:rPr>
          <w:rFonts w:cstheme="minorHAnsi"/>
          <w:b/>
          <w:bCs/>
        </w:rPr>
        <w:t>Redacted</w:t>
      </w:r>
      <w:r w:rsidR="008979C9" w:rsidRPr="002B1907">
        <w:rPr>
          <w:rFonts w:cstheme="minorHAnsi"/>
        </w:rPr>
        <w:t>.</w:t>
      </w:r>
    </w:p>
    <w:p w14:paraId="078683EA" w14:textId="77777777" w:rsidR="008979C9" w:rsidRPr="006667AC" w:rsidRDefault="008979C9" w:rsidP="00727E9B">
      <w:pPr>
        <w:pStyle w:val="COMBody"/>
        <w:rPr>
          <w:rFonts w:cstheme="minorHAnsi"/>
        </w:rPr>
      </w:pPr>
      <w:r w:rsidRPr="006667AC">
        <w:rPr>
          <w:rFonts w:cstheme="minorHAnsi"/>
        </w:rPr>
        <w:t>The MSAC Executive considered that bone densitometry for people aged 60 to 69 years should undergo an expedited assessment pathway that includes consideration by the Evaluation Sub-Committee (ESC) and MSAC to accurately capture the proposed net cost to the MBS as a result of expanding the population. The MSAC Executive advised that PICO Confirmation Advisory Sub-Committee (PASC) consideration was not needed as the Population Intervention Comparator and Outcomes (PICO) elements were well defined. The MSAC Executive considered that the MSAC assessment could focus on the high fracture risk population aged 60-69 years but noted that this would restrict access to testing for the full population considered by PBAC.</w:t>
      </w:r>
    </w:p>
    <w:p w14:paraId="4E7F599C" w14:textId="77777777" w:rsidR="008979C9" w:rsidRPr="006667AC" w:rsidRDefault="008979C9" w:rsidP="00727E9B">
      <w:pPr>
        <w:pStyle w:val="COMBody"/>
        <w:rPr>
          <w:rFonts w:cstheme="minorHAnsi"/>
        </w:rPr>
      </w:pPr>
      <w:r w:rsidRPr="006667AC">
        <w:rPr>
          <w:rFonts w:cstheme="minorHAnsi"/>
        </w:rPr>
        <w:t>The MSAC Executive considered the assessment report should include an economic evaluation of BMD testing to determine eligibility for treatment (including repeat testing). The MSAC Executive advised that this could be incorporated into the existing risedronate economic model considered by the PBAC or a cost-consequence analysis. The MSAC Executive advised the assessment report should include net financial implications for the MBS. The MSAC Executive considered the assessment report should investigate the uptake of testing in practice as it may differ between males and females.</w:t>
      </w:r>
    </w:p>
    <w:p w14:paraId="2B759EEF" w14:textId="4D04DD76" w:rsidR="004009C3" w:rsidRPr="006667AC" w:rsidRDefault="006B7A5E" w:rsidP="00E15F2E">
      <w:pPr>
        <w:spacing w:after="160"/>
        <w:jc w:val="both"/>
        <w:rPr>
          <w:rFonts w:ascii="Franklin Gothic Book" w:hAnsi="Franklin Gothic Book"/>
        </w:rPr>
      </w:pPr>
      <w:r w:rsidRPr="006667AC">
        <w:rPr>
          <w:rFonts w:ascii="Franklin Gothic Book" w:hAnsi="Franklin Gothic Book"/>
        </w:rPr>
        <w:t xml:space="preserve">In February 2024, the MSAC Evaluation Sub-committee (ESC) considered the department contracted assessment report (DCAR) for application 1758. To address some outstanding </w:t>
      </w:r>
      <w:r w:rsidRPr="006667AC">
        <w:rPr>
          <w:rFonts w:ascii="Franklin Gothic Book" w:hAnsi="Franklin Gothic Book"/>
        </w:rPr>
        <w:lastRenderedPageBreak/>
        <w:t>uncertainties, the MSAC ESC requested additional work for the assessment to subsequently be jointly considered by the PBAC Economics Sub Committee (ESC)/MSAC ESC. This additional work was completed through the Addendum to the DCAR</w:t>
      </w:r>
      <w:r w:rsidR="00860695" w:rsidRPr="006667AC">
        <w:rPr>
          <w:rFonts w:ascii="Franklin Gothic Book" w:hAnsi="Franklin Gothic Book"/>
        </w:rPr>
        <w:t>, included in Section</w:t>
      </w:r>
      <w:r w:rsidR="00B6384C" w:rsidRPr="006667AC">
        <w:rPr>
          <w:rFonts w:ascii="Franklin Gothic Book" w:hAnsi="Franklin Gothic Book"/>
        </w:rPr>
        <w:t xml:space="preserve"> </w:t>
      </w:r>
      <w:r w:rsidR="000B0EC4">
        <w:rPr>
          <w:rFonts w:ascii="Franklin Gothic Book" w:hAnsi="Franklin Gothic Book"/>
        </w:rPr>
        <w:t>10</w:t>
      </w:r>
      <w:r w:rsidR="000B0EC4" w:rsidRPr="006667AC">
        <w:rPr>
          <w:rFonts w:ascii="Franklin Gothic Book" w:hAnsi="Franklin Gothic Book"/>
        </w:rPr>
        <w:t xml:space="preserve"> </w:t>
      </w:r>
      <w:r w:rsidR="00BB567C" w:rsidRPr="006667AC">
        <w:rPr>
          <w:rFonts w:ascii="Franklin Gothic Book" w:hAnsi="Franklin Gothic Book"/>
        </w:rPr>
        <w:t>(Economic Evaluation)</w:t>
      </w:r>
      <w:r w:rsidR="00B6384C" w:rsidRPr="006667AC">
        <w:rPr>
          <w:rFonts w:ascii="Franklin Gothic Book" w:hAnsi="Franklin Gothic Book"/>
        </w:rPr>
        <w:t xml:space="preserve"> and </w:t>
      </w:r>
      <w:r w:rsidR="00BB567C" w:rsidRPr="006667AC">
        <w:rPr>
          <w:rFonts w:ascii="Franklin Gothic Book" w:hAnsi="Franklin Gothic Book"/>
        </w:rPr>
        <w:t>Section</w:t>
      </w:r>
      <w:r w:rsidR="00B6384C" w:rsidRPr="006667AC">
        <w:rPr>
          <w:rFonts w:ascii="Franklin Gothic Book" w:hAnsi="Franklin Gothic Book"/>
        </w:rPr>
        <w:t xml:space="preserve"> </w:t>
      </w:r>
      <w:r w:rsidR="000B0EC4">
        <w:rPr>
          <w:rFonts w:ascii="Franklin Gothic Book" w:hAnsi="Franklin Gothic Book"/>
        </w:rPr>
        <w:t>11</w:t>
      </w:r>
      <w:r w:rsidR="00B6384C" w:rsidRPr="006667AC">
        <w:rPr>
          <w:rFonts w:ascii="Franklin Gothic Book" w:hAnsi="Franklin Gothic Book"/>
        </w:rPr>
        <w:t xml:space="preserve"> </w:t>
      </w:r>
      <w:r w:rsidR="00BB567C" w:rsidRPr="006667AC">
        <w:rPr>
          <w:rFonts w:ascii="Franklin Gothic Book" w:hAnsi="Franklin Gothic Book"/>
        </w:rPr>
        <w:t>(Financial impacts)</w:t>
      </w:r>
      <w:r w:rsidR="00B6384C" w:rsidRPr="006667AC">
        <w:rPr>
          <w:rFonts w:ascii="Franklin Gothic Book" w:hAnsi="Franklin Gothic Book"/>
        </w:rPr>
        <w:t xml:space="preserve"> of this document below. </w:t>
      </w:r>
      <w:r w:rsidRPr="006667AC">
        <w:rPr>
          <w:rFonts w:ascii="Franklin Gothic Book" w:hAnsi="Franklin Gothic Book"/>
        </w:rPr>
        <w:t>In brief, the Addendum sought to provide a summary table of incremental cost-effectiveness ratios (ICERs) and budget impact analyses to inform MSAC advice on expanding MBS items 13230 and 12322, and the PBAC’s reconsideration of its deferred advice from the Osteoporosis Therapy Restrictions Review in September 2021</w:t>
      </w:r>
      <w:r w:rsidR="00F60E7F" w:rsidRPr="006667AC">
        <w:rPr>
          <w:rFonts w:ascii="Franklin Gothic Book" w:hAnsi="Franklin Gothic Book"/>
        </w:rPr>
        <w:t>.</w:t>
      </w:r>
      <w:r w:rsidR="00221B49" w:rsidRPr="006667AC">
        <w:rPr>
          <w:rFonts w:ascii="Franklin Gothic Book" w:hAnsi="Franklin Gothic Book"/>
        </w:rPr>
        <w:t xml:space="preserve"> T</w:t>
      </w:r>
      <w:r w:rsidR="004009C3" w:rsidRPr="006667AC">
        <w:rPr>
          <w:rFonts w:ascii="Franklin Gothic Book" w:hAnsi="Franklin Gothic Book"/>
        </w:rPr>
        <w:t xml:space="preserve">he MSAC ESC also requested the department provide further information on the ICERs and financial estimates that informed past MSAC advice for Applications 1162, 1313, and 1665 as a potential frame of reference for MSAC consideration. This has been summarised below in </w:t>
      </w:r>
      <w:r w:rsidR="0093660E" w:rsidRPr="006667AC">
        <w:rPr>
          <w:rFonts w:ascii="Franklin Gothic Book" w:hAnsi="Franklin Gothic Book"/>
        </w:rPr>
        <w:fldChar w:fldCharType="begin"/>
      </w:r>
      <w:r w:rsidR="0093660E" w:rsidRPr="006667AC">
        <w:rPr>
          <w:rFonts w:ascii="Franklin Gothic Book" w:hAnsi="Franklin Gothic Book"/>
        </w:rPr>
        <w:instrText xml:space="preserve"> REF _Ref167804961 \h </w:instrText>
      </w:r>
      <w:r w:rsidR="00794C93" w:rsidRPr="006667AC">
        <w:rPr>
          <w:rFonts w:ascii="Franklin Gothic Book" w:hAnsi="Franklin Gothic Book"/>
        </w:rPr>
        <w:instrText xml:space="preserve"> \* MERGEFORMAT </w:instrText>
      </w:r>
      <w:r w:rsidR="0093660E" w:rsidRPr="006667AC">
        <w:rPr>
          <w:rFonts w:ascii="Franklin Gothic Book" w:hAnsi="Franklin Gothic Book"/>
        </w:rPr>
      </w:r>
      <w:r w:rsidR="0093660E" w:rsidRPr="006667AC">
        <w:rPr>
          <w:rFonts w:ascii="Franklin Gothic Book" w:hAnsi="Franklin Gothic Book"/>
        </w:rPr>
        <w:fldChar w:fldCharType="separate"/>
      </w:r>
      <w:r w:rsidR="00E551E5" w:rsidRPr="006667AC">
        <w:rPr>
          <w:rFonts w:ascii="Franklin Gothic Book" w:hAnsi="Franklin Gothic Book"/>
        </w:rPr>
        <w:t>Table 1</w:t>
      </w:r>
      <w:r w:rsidR="0093660E" w:rsidRPr="006667AC">
        <w:rPr>
          <w:rFonts w:ascii="Franklin Gothic Book" w:hAnsi="Franklin Gothic Book"/>
        </w:rPr>
        <w:fldChar w:fldCharType="end"/>
      </w:r>
      <w:r w:rsidR="0093660E" w:rsidRPr="006667AC">
        <w:rPr>
          <w:rFonts w:ascii="Franklin Gothic Book" w:hAnsi="Franklin Gothic Book"/>
        </w:rPr>
        <w:t xml:space="preserve"> </w:t>
      </w:r>
      <w:r w:rsidR="00221B49" w:rsidRPr="006667AC">
        <w:rPr>
          <w:rFonts w:ascii="Franklin Gothic Book" w:hAnsi="Franklin Gothic Book"/>
        </w:rPr>
        <w:t>below</w:t>
      </w:r>
      <w:r w:rsidR="004009C3" w:rsidRPr="006667AC">
        <w:rPr>
          <w:rFonts w:ascii="Franklin Gothic Book" w:hAnsi="Franklin Gothic Book"/>
        </w:rPr>
        <w:t>.</w:t>
      </w:r>
    </w:p>
    <w:p w14:paraId="1288A25F" w14:textId="48DA0773" w:rsidR="00226B17" w:rsidRPr="00794C93" w:rsidRDefault="00226B17" w:rsidP="00745006">
      <w:pPr>
        <w:pStyle w:val="COMtablefigcaption"/>
        <w:rPr>
          <w:i/>
          <w:iCs/>
        </w:rPr>
      </w:pPr>
      <w:bookmarkStart w:id="4" w:name="_Ref167804961"/>
      <w:r w:rsidRPr="00290D58">
        <w:t>Table</w:t>
      </w:r>
      <w:r w:rsidRPr="00794C93">
        <w:t xml:space="preserve"> </w:t>
      </w:r>
      <w:r>
        <w:fldChar w:fldCharType="begin"/>
      </w:r>
      <w:r>
        <w:instrText xml:space="preserve"> SEQ Table \* ARABIC </w:instrText>
      </w:r>
      <w:r>
        <w:fldChar w:fldCharType="separate"/>
      </w:r>
      <w:r w:rsidR="00090261">
        <w:rPr>
          <w:noProof/>
        </w:rPr>
        <w:t>1</w:t>
      </w:r>
      <w:r>
        <w:rPr>
          <w:noProof/>
        </w:rPr>
        <w:fldChar w:fldCharType="end"/>
      </w:r>
      <w:bookmarkEnd w:id="4"/>
      <w:r>
        <w:tab/>
      </w:r>
      <w:r>
        <w:tab/>
        <w:t>Comparison of key parameters of BMD testing applications to MSAC</w:t>
      </w:r>
    </w:p>
    <w:tbl>
      <w:tblPr>
        <w:tblStyle w:val="TableGrid"/>
        <w:tblW w:w="5000" w:type="pct"/>
        <w:tblCellMar>
          <w:left w:w="28" w:type="dxa"/>
          <w:right w:w="28" w:type="dxa"/>
        </w:tblCellMar>
        <w:tblLook w:val="04A0" w:firstRow="1" w:lastRow="0" w:firstColumn="1" w:lastColumn="0" w:noHBand="0" w:noVBand="1"/>
      </w:tblPr>
      <w:tblGrid>
        <w:gridCol w:w="1735"/>
        <w:gridCol w:w="1819"/>
        <w:gridCol w:w="1903"/>
        <w:gridCol w:w="1738"/>
        <w:gridCol w:w="1821"/>
      </w:tblGrid>
      <w:tr w:rsidR="00E551E5" w:rsidRPr="005F0E61" w14:paraId="2F15CE00" w14:textId="77777777" w:rsidTr="70B4BCC8">
        <w:trPr>
          <w:tblHeader/>
        </w:trPr>
        <w:tc>
          <w:tcPr>
            <w:tcW w:w="962" w:type="pct"/>
            <w:tcBorders>
              <w:top w:val="single" w:sz="4" w:space="0" w:color="auto"/>
              <w:left w:val="single" w:sz="4" w:space="0" w:color="auto"/>
              <w:bottom w:val="single" w:sz="4" w:space="0" w:color="auto"/>
              <w:right w:val="single" w:sz="4" w:space="0" w:color="auto"/>
            </w:tcBorders>
          </w:tcPr>
          <w:p w14:paraId="07C7ECB5" w14:textId="77777777" w:rsidR="004009C3" w:rsidRPr="005F0E61" w:rsidRDefault="004009C3" w:rsidP="001B1DFD">
            <w:pPr>
              <w:rPr>
                <w:rFonts w:ascii="Arial Narrow" w:hAnsi="Arial Narrow"/>
                <w:b/>
                <w:bCs/>
                <w:sz w:val="20"/>
                <w:szCs w:val="20"/>
              </w:rPr>
            </w:pPr>
          </w:p>
        </w:tc>
        <w:tc>
          <w:tcPr>
            <w:tcW w:w="1009" w:type="pct"/>
            <w:tcBorders>
              <w:top w:val="single" w:sz="4" w:space="0" w:color="auto"/>
              <w:left w:val="single" w:sz="4" w:space="0" w:color="auto"/>
              <w:bottom w:val="single" w:sz="4" w:space="0" w:color="auto"/>
              <w:right w:val="single" w:sz="4" w:space="0" w:color="auto"/>
            </w:tcBorders>
            <w:hideMark/>
          </w:tcPr>
          <w:p w14:paraId="1BD08C03" w14:textId="77777777" w:rsidR="004009C3" w:rsidRPr="005F0E61" w:rsidRDefault="004009C3" w:rsidP="001B1DFD">
            <w:pPr>
              <w:rPr>
                <w:rFonts w:ascii="Arial Narrow" w:hAnsi="Arial Narrow"/>
                <w:b/>
                <w:bCs/>
                <w:sz w:val="20"/>
                <w:szCs w:val="20"/>
              </w:rPr>
            </w:pPr>
            <w:r w:rsidRPr="005F0E61">
              <w:rPr>
                <w:rFonts w:ascii="Arial Narrow" w:hAnsi="Arial Narrow"/>
                <w:b/>
                <w:bCs/>
                <w:sz w:val="20"/>
                <w:szCs w:val="20"/>
              </w:rPr>
              <w:t>Application 1162</w:t>
            </w:r>
          </w:p>
        </w:tc>
        <w:tc>
          <w:tcPr>
            <w:tcW w:w="1055" w:type="pct"/>
            <w:tcBorders>
              <w:top w:val="single" w:sz="4" w:space="0" w:color="auto"/>
              <w:left w:val="single" w:sz="4" w:space="0" w:color="auto"/>
              <w:bottom w:val="single" w:sz="4" w:space="0" w:color="auto"/>
              <w:right w:val="single" w:sz="4" w:space="0" w:color="auto"/>
            </w:tcBorders>
            <w:hideMark/>
          </w:tcPr>
          <w:p w14:paraId="2A9801AB" w14:textId="77777777" w:rsidR="004009C3" w:rsidRPr="005F0E61" w:rsidRDefault="004009C3" w:rsidP="001B1DFD">
            <w:pPr>
              <w:rPr>
                <w:rFonts w:ascii="Arial Narrow" w:hAnsi="Arial Narrow"/>
                <w:b/>
                <w:bCs/>
                <w:sz w:val="20"/>
                <w:szCs w:val="20"/>
              </w:rPr>
            </w:pPr>
            <w:r w:rsidRPr="005F0E61">
              <w:rPr>
                <w:rFonts w:ascii="Arial Narrow" w:hAnsi="Arial Narrow"/>
                <w:b/>
                <w:bCs/>
                <w:sz w:val="20"/>
                <w:szCs w:val="20"/>
              </w:rPr>
              <w:t>Application 1313</w:t>
            </w:r>
          </w:p>
        </w:tc>
        <w:tc>
          <w:tcPr>
            <w:tcW w:w="964" w:type="pct"/>
            <w:tcBorders>
              <w:top w:val="single" w:sz="4" w:space="0" w:color="auto"/>
              <w:left w:val="single" w:sz="4" w:space="0" w:color="auto"/>
              <w:bottom w:val="single" w:sz="4" w:space="0" w:color="auto"/>
              <w:right w:val="single" w:sz="4" w:space="0" w:color="auto"/>
            </w:tcBorders>
            <w:hideMark/>
          </w:tcPr>
          <w:p w14:paraId="2484C7E7" w14:textId="77777777" w:rsidR="004009C3" w:rsidRPr="005F0E61" w:rsidRDefault="004009C3" w:rsidP="001B1DFD">
            <w:pPr>
              <w:rPr>
                <w:rFonts w:ascii="Arial Narrow" w:hAnsi="Arial Narrow"/>
                <w:b/>
                <w:bCs/>
                <w:sz w:val="20"/>
                <w:szCs w:val="20"/>
              </w:rPr>
            </w:pPr>
            <w:r w:rsidRPr="005F0E61">
              <w:rPr>
                <w:rFonts w:ascii="Arial Narrow" w:hAnsi="Arial Narrow"/>
                <w:b/>
                <w:bCs/>
                <w:sz w:val="20"/>
                <w:szCs w:val="20"/>
              </w:rPr>
              <w:t>Application 1665</w:t>
            </w:r>
          </w:p>
        </w:tc>
        <w:tc>
          <w:tcPr>
            <w:tcW w:w="1010" w:type="pct"/>
            <w:tcBorders>
              <w:top w:val="single" w:sz="4" w:space="0" w:color="auto"/>
              <w:left w:val="single" w:sz="4" w:space="0" w:color="auto"/>
              <w:bottom w:val="single" w:sz="4" w:space="0" w:color="auto"/>
              <w:right w:val="single" w:sz="4" w:space="0" w:color="auto"/>
            </w:tcBorders>
            <w:hideMark/>
          </w:tcPr>
          <w:p w14:paraId="14F5A709" w14:textId="77777777" w:rsidR="004009C3" w:rsidRPr="005F0E61" w:rsidRDefault="004009C3" w:rsidP="001B1DFD">
            <w:pPr>
              <w:rPr>
                <w:rFonts w:ascii="Arial Narrow" w:hAnsi="Arial Narrow"/>
                <w:b/>
                <w:bCs/>
                <w:sz w:val="20"/>
                <w:szCs w:val="20"/>
              </w:rPr>
            </w:pPr>
            <w:r w:rsidRPr="005F0E61">
              <w:rPr>
                <w:rFonts w:ascii="Arial Narrow" w:hAnsi="Arial Narrow"/>
                <w:b/>
                <w:bCs/>
                <w:sz w:val="20"/>
                <w:szCs w:val="20"/>
              </w:rPr>
              <w:t>Application 1758</w:t>
            </w:r>
          </w:p>
        </w:tc>
      </w:tr>
      <w:tr w:rsidR="00521B90" w:rsidRPr="005F0E61" w14:paraId="5FEA51C1" w14:textId="77777777" w:rsidTr="70B4BCC8">
        <w:trPr>
          <w:trHeight w:val="477"/>
        </w:trPr>
        <w:tc>
          <w:tcPr>
            <w:tcW w:w="962" w:type="pct"/>
            <w:tcBorders>
              <w:top w:val="single" w:sz="4" w:space="0" w:color="auto"/>
              <w:left w:val="single" w:sz="4" w:space="0" w:color="auto"/>
              <w:bottom w:val="single" w:sz="4" w:space="0" w:color="auto"/>
              <w:right w:val="single" w:sz="4" w:space="0" w:color="auto"/>
            </w:tcBorders>
          </w:tcPr>
          <w:p w14:paraId="728CA5A5"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MSAC consideration(s)</w:t>
            </w:r>
          </w:p>
        </w:tc>
        <w:tc>
          <w:tcPr>
            <w:tcW w:w="1009" w:type="pct"/>
            <w:tcBorders>
              <w:top w:val="single" w:sz="4" w:space="0" w:color="auto"/>
              <w:left w:val="single" w:sz="4" w:space="0" w:color="auto"/>
              <w:bottom w:val="single" w:sz="4" w:space="0" w:color="auto"/>
              <w:right w:val="single" w:sz="4" w:space="0" w:color="auto"/>
            </w:tcBorders>
          </w:tcPr>
          <w:p w14:paraId="18BBAE5E" w14:textId="77777777" w:rsidR="004009C3" w:rsidRPr="005F0E61" w:rsidRDefault="00AD0E7C" w:rsidP="001B1DFD">
            <w:pPr>
              <w:spacing w:after="0"/>
              <w:rPr>
                <w:rFonts w:ascii="Arial Narrow" w:hAnsi="Arial Narrow"/>
                <w:sz w:val="20"/>
                <w:szCs w:val="20"/>
              </w:rPr>
            </w:pPr>
            <w:hyperlink r:id="rId9" w:history="1">
              <w:r w:rsidR="004009C3" w:rsidRPr="005F0E61">
                <w:rPr>
                  <w:rStyle w:val="Hyperlink"/>
                  <w:rFonts w:ascii="Arial Narrow" w:hAnsi="Arial Narrow"/>
                  <w:sz w:val="20"/>
                  <w:szCs w:val="20"/>
                </w:rPr>
                <w:t>Nov 2014</w:t>
              </w:r>
            </w:hyperlink>
            <w:r w:rsidR="004009C3" w:rsidRPr="005F0E61">
              <w:rPr>
                <w:rFonts w:ascii="Arial Narrow" w:hAnsi="Arial Narrow"/>
                <w:sz w:val="20"/>
                <w:szCs w:val="20"/>
              </w:rPr>
              <w:t>: Not supported.</w:t>
            </w:r>
          </w:p>
        </w:tc>
        <w:tc>
          <w:tcPr>
            <w:tcW w:w="1055" w:type="pct"/>
            <w:tcBorders>
              <w:top w:val="single" w:sz="4" w:space="0" w:color="auto"/>
              <w:left w:val="single" w:sz="4" w:space="0" w:color="auto"/>
              <w:bottom w:val="single" w:sz="4" w:space="0" w:color="auto"/>
              <w:right w:val="single" w:sz="4" w:space="0" w:color="auto"/>
            </w:tcBorders>
          </w:tcPr>
          <w:p w14:paraId="731D16B3" w14:textId="77777777" w:rsidR="004009C3" w:rsidRPr="005F0E61" w:rsidRDefault="00AD0E7C" w:rsidP="001B1DFD">
            <w:pPr>
              <w:spacing w:after="0"/>
              <w:rPr>
                <w:rFonts w:ascii="Arial Narrow" w:hAnsi="Arial Narrow"/>
                <w:sz w:val="20"/>
                <w:szCs w:val="20"/>
              </w:rPr>
            </w:pPr>
            <w:hyperlink r:id="rId10" w:history="1">
              <w:r w:rsidR="004009C3" w:rsidRPr="005F0E61">
                <w:rPr>
                  <w:rStyle w:val="Hyperlink"/>
                  <w:rFonts w:ascii="Arial Narrow" w:hAnsi="Arial Narrow"/>
                  <w:sz w:val="20"/>
                  <w:szCs w:val="20"/>
                </w:rPr>
                <w:t>Nov 2014</w:t>
              </w:r>
            </w:hyperlink>
            <w:r w:rsidR="004009C3" w:rsidRPr="005F0E61">
              <w:rPr>
                <w:rFonts w:ascii="Arial Narrow" w:hAnsi="Arial Narrow"/>
                <w:sz w:val="20"/>
                <w:szCs w:val="20"/>
              </w:rPr>
              <w:t>: Deferred</w:t>
            </w:r>
          </w:p>
          <w:p w14:paraId="3DFCC6F7" w14:textId="77777777" w:rsidR="004009C3" w:rsidRPr="005F0E61" w:rsidRDefault="00AD0E7C" w:rsidP="001B1DFD">
            <w:pPr>
              <w:spacing w:after="0"/>
              <w:rPr>
                <w:rFonts w:ascii="Arial Narrow" w:hAnsi="Arial Narrow"/>
                <w:sz w:val="20"/>
                <w:szCs w:val="20"/>
              </w:rPr>
            </w:pPr>
            <w:hyperlink r:id="rId11" w:history="1">
              <w:r w:rsidR="004009C3" w:rsidRPr="005F0E61">
                <w:rPr>
                  <w:rStyle w:val="Hyperlink"/>
                  <w:rFonts w:ascii="Arial Narrow" w:hAnsi="Arial Narrow"/>
                  <w:sz w:val="20"/>
                  <w:szCs w:val="20"/>
                </w:rPr>
                <w:t>July 2015</w:t>
              </w:r>
            </w:hyperlink>
            <w:r w:rsidR="004009C3" w:rsidRPr="005F0E61">
              <w:rPr>
                <w:rFonts w:ascii="Arial Narrow" w:hAnsi="Arial Narrow"/>
                <w:sz w:val="20"/>
                <w:szCs w:val="20"/>
              </w:rPr>
              <w:t>: Not supported</w:t>
            </w:r>
          </w:p>
        </w:tc>
        <w:tc>
          <w:tcPr>
            <w:tcW w:w="964" w:type="pct"/>
            <w:tcBorders>
              <w:top w:val="single" w:sz="4" w:space="0" w:color="auto"/>
              <w:left w:val="single" w:sz="4" w:space="0" w:color="auto"/>
              <w:bottom w:val="single" w:sz="4" w:space="0" w:color="auto"/>
              <w:right w:val="single" w:sz="4" w:space="0" w:color="auto"/>
            </w:tcBorders>
          </w:tcPr>
          <w:p w14:paraId="2569C7FA" w14:textId="77777777" w:rsidR="004009C3" w:rsidRPr="005F0E61" w:rsidRDefault="00AD0E7C" w:rsidP="001B1DFD">
            <w:pPr>
              <w:spacing w:after="0"/>
              <w:rPr>
                <w:rFonts w:ascii="Arial Narrow" w:hAnsi="Arial Narrow"/>
                <w:sz w:val="20"/>
                <w:szCs w:val="20"/>
              </w:rPr>
            </w:pPr>
            <w:hyperlink r:id="rId12" w:history="1">
              <w:r w:rsidR="004009C3" w:rsidRPr="005F0E61">
                <w:rPr>
                  <w:rStyle w:val="Hyperlink"/>
                  <w:rFonts w:ascii="Arial Narrow" w:hAnsi="Arial Narrow"/>
                  <w:sz w:val="20"/>
                  <w:szCs w:val="20"/>
                </w:rPr>
                <w:t>July 2022</w:t>
              </w:r>
            </w:hyperlink>
            <w:r w:rsidR="004009C3" w:rsidRPr="005F0E61">
              <w:rPr>
                <w:rFonts w:ascii="Arial Narrow" w:hAnsi="Arial Narrow"/>
                <w:sz w:val="20"/>
                <w:szCs w:val="20"/>
              </w:rPr>
              <w:t>: Not supported</w:t>
            </w:r>
          </w:p>
        </w:tc>
        <w:tc>
          <w:tcPr>
            <w:tcW w:w="1010" w:type="pct"/>
            <w:tcBorders>
              <w:top w:val="single" w:sz="4" w:space="0" w:color="auto"/>
              <w:left w:val="single" w:sz="4" w:space="0" w:color="auto"/>
              <w:bottom w:val="single" w:sz="4" w:space="0" w:color="auto"/>
              <w:right w:val="single" w:sz="4" w:space="0" w:color="auto"/>
            </w:tcBorders>
          </w:tcPr>
          <w:p w14:paraId="662977EB"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 xml:space="preserve">Aug 2024 </w:t>
            </w:r>
          </w:p>
        </w:tc>
      </w:tr>
      <w:tr w:rsidR="00E551E5" w:rsidRPr="005F0E61" w14:paraId="1BADE4F4" w14:textId="77777777" w:rsidTr="70B4BCC8">
        <w:trPr>
          <w:trHeight w:val="1207"/>
        </w:trPr>
        <w:tc>
          <w:tcPr>
            <w:tcW w:w="962" w:type="pct"/>
            <w:tcBorders>
              <w:top w:val="single" w:sz="4" w:space="0" w:color="auto"/>
              <w:left w:val="single" w:sz="4" w:space="0" w:color="auto"/>
              <w:bottom w:val="single" w:sz="4" w:space="0" w:color="auto"/>
              <w:right w:val="single" w:sz="4" w:space="0" w:color="auto"/>
            </w:tcBorders>
            <w:hideMark/>
          </w:tcPr>
          <w:p w14:paraId="3B4F3BB8" w14:textId="77777777" w:rsidR="004009C3" w:rsidRPr="005F0E61" w:rsidRDefault="004009C3" w:rsidP="008D2255">
            <w:pPr>
              <w:spacing w:after="0"/>
              <w:rPr>
                <w:rFonts w:ascii="Arial Narrow" w:hAnsi="Arial Narrow"/>
                <w:sz w:val="20"/>
                <w:szCs w:val="20"/>
              </w:rPr>
            </w:pPr>
            <w:r w:rsidRPr="005F0E61">
              <w:rPr>
                <w:rFonts w:ascii="Arial Narrow" w:hAnsi="Arial Narrow"/>
                <w:sz w:val="20"/>
                <w:szCs w:val="20"/>
              </w:rPr>
              <w:t>Population/Intervention</w:t>
            </w:r>
          </w:p>
        </w:tc>
        <w:tc>
          <w:tcPr>
            <w:tcW w:w="1009" w:type="pct"/>
            <w:tcBorders>
              <w:top w:val="single" w:sz="4" w:space="0" w:color="auto"/>
              <w:left w:val="single" w:sz="4" w:space="0" w:color="auto"/>
              <w:bottom w:val="single" w:sz="4" w:space="0" w:color="auto"/>
              <w:right w:val="single" w:sz="4" w:space="0" w:color="auto"/>
            </w:tcBorders>
            <w:hideMark/>
          </w:tcPr>
          <w:p w14:paraId="69B2DD2E" w14:textId="63659078" w:rsidR="004009C3" w:rsidRPr="005F0E61" w:rsidRDefault="004009C3" w:rsidP="008D2255">
            <w:pPr>
              <w:spacing w:after="0"/>
              <w:rPr>
                <w:rFonts w:ascii="Arial Narrow" w:hAnsi="Arial Narrow"/>
                <w:sz w:val="20"/>
                <w:szCs w:val="20"/>
              </w:rPr>
            </w:pPr>
            <w:r w:rsidRPr="005F0E61">
              <w:rPr>
                <w:rFonts w:ascii="Arial Narrow" w:hAnsi="Arial Narrow"/>
                <w:sz w:val="20"/>
                <w:szCs w:val="20"/>
              </w:rPr>
              <w:t xml:space="preserve">BMD testing (using </w:t>
            </w:r>
            <w:r w:rsidR="00985F0E">
              <w:rPr>
                <w:rFonts w:ascii="Arial Narrow" w:hAnsi="Arial Narrow"/>
                <w:sz w:val="20"/>
                <w:szCs w:val="20"/>
              </w:rPr>
              <w:t>DEXA</w:t>
            </w:r>
            <w:r w:rsidRPr="005F0E61">
              <w:rPr>
                <w:rFonts w:ascii="Arial Narrow" w:hAnsi="Arial Narrow"/>
                <w:sz w:val="20"/>
                <w:szCs w:val="20"/>
              </w:rPr>
              <w:t xml:space="preserve"> scanning) for menopausal women aged 50</w:t>
            </w:r>
          </w:p>
        </w:tc>
        <w:tc>
          <w:tcPr>
            <w:tcW w:w="1055" w:type="pct"/>
            <w:tcBorders>
              <w:top w:val="single" w:sz="4" w:space="0" w:color="auto"/>
              <w:left w:val="single" w:sz="4" w:space="0" w:color="auto"/>
              <w:bottom w:val="single" w:sz="4" w:space="0" w:color="auto"/>
              <w:right w:val="single" w:sz="4" w:space="0" w:color="auto"/>
            </w:tcBorders>
            <w:hideMark/>
          </w:tcPr>
          <w:p w14:paraId="0DDC17AA" w14:textId="4A643FA8" w:rsidR="004009C3" w:rsidRPr="005F0E61" w:rsidRDefault="004009C3" w:rsidP="008D2255">
            <w:pPr>
              <w:spacing w:after="0"/>
              <w:rPr>
                <w:rFonts w:ascii="Arial Narrow" w:hAnsi="Arial Narrow"/>
                <w:sz w:val="20"/>
                <w:szCs w:val="20"/>
              </w:rPr>
            </w:pPr>
            <w:r w:rsidRPr="005F0E61">
              <w:rPr>
                <w:rFonts w:ascii="Arial Narrow" w:hAnsi="Arial Narrow"/>
                <w:sz w:val="20"/>
                <w:szCs w:val="20"/>
              </w:rPr>
              <w:t xml:space="preserve">BMD using </w:t>
            </w:r>
            <w:r w:rsidR="00985F0E">
              <w:rPr>
                <w:rFonts w:ascii="Arial Narrow" w:hAnsi="Arial Narrow"/>
                <w:sz w:val="20"/>
                <w:szCs w:val="20"/>
              </w:rPr>
              <w:t>DEXA</w:t>
            </w:r>
            <w:r w:rsidRPr="005F0E61">
              <w:rPr>
                <w:rFonts w:ascii="Arial Narrow" w:hAnsi="Arial Narrow"/>
                <w:sz w:val="20"/>
                <w:szCs w:val="20"/>
              </w:rPr>
              <w:t xml:space="preserve"> in breast cancer patients receiving aromatase inhibitor treatment</w:t>
            </w:r>
          </w:p>
        </w:tc>
        <w:tc>
          <w:tcPr>
            <w:tcW w:w="964" w:type="pct"/>
            <w:tcBorders>
              <w:top w:val="single" w:sz="4" w:space="0" w:color="auto"/>
              <w:left w:val="single" w:sz="4" w:space="0" w:color="auto"/>
              <w:bottom w:val="single" w:sz="4" w:space="0" w:color="auto"/>
              <w:right w:val="single" w:sz="4" w:space="0" w:color="auto"/>
            </w:tcBorders>
            <w:hideMark/>
          </w:tcPr>
          <w:p w14:paraId="4F848217" w14:textId="02EAF7BC" w:rsidR="004009C3" w:rsidRPr="005F0E61" w:rsidRDefault="004009C3" w:rsidP="008D2255">
            <w:pPr>
              <w:spacing w:after="0"/>
              <w:rPr>
                <w:rFonts w:ascii="Arial Narrow" w:hAnsi="Arial Narrow"/>
                <w:sz w:val="20"/>
                <w:szCs w:val="20"/>
              </w:rPr>
            </w:pPr>
            <w:r w:rsidRPr="005F0E61">
              <w:rPr>
                <w:rFonts w:ascii="Arial Narrow" w:hAnsi="Arial Narrow"/>
                <w:sz w:val="20"/>
                <w:szCs w:val="20"/>
              </w:rPr>
              <w:t xml:space="preserve">Patients who require a BMD measurement </w:t>
            </w:r>
            <w:r w:rsidR="001F001B">
              <w:rPr>
                <w:rFonts w:ascii="Arial Narrow" w:hAnsi="Arial Narrow"/>
                <w:sz w:val="20"/>
                <w:szCs w:val="20"/>
              </w:rPr>
              <w:t>using</w:t>
            </w:r>
            <w:r w:rsidRPr="005F0E61">
              <w:rPr>
                <w:rFonts w:ascii="Arial Narrow" w:hAnsi="Arial Narrow"/>
                <w:sz w:val="20"/>
                <w:szCs w:val="20"/>
              </w:rPr>
              <w:t xml:space="preserve"> REMS for the diagnosis or monitoring of osteoporosis and who are currently eligible for an MBS </w:t>
            </w:r>
            <w:r w:rsidR="00985F0E">
              <w:rPr>
                <w:rFonts w:ascii="Arial Narrow" w:hAnsi="Arial Narrow"/>
                <w:sz w:val="20"/>
                <w:szCs w:val="20"/>
              </w:rPr>
              <w:t>DEXA</w:t>
            </w:r>
            <w:r w:rsidR="00262CF4">
              <w:rPr>
                <w:rFonts w:ascii="Arial Narrow" w:hAnsi="Arial Narrow"/>
                <w:sz w:val="20"/>
                <w:szCs w:val="20"/>
              </w:rPr>
              <w:t xml:space="preserve"> scan.</w:t>
            </w:r>
          </w:p>
        </w:tc>
        <w:tc>
          <w:tcPr>
            <w:tcW w:w="1010" w:type="pct"/>
            <w:tcBorders>
              <w:top w:val="single" w:sz="4" w:space="0" w:color="auto"/>
              <w:left w:val="single" w:sz="4" w:space="0" w:color="auto"/>
              <w:bottom w:val="single" w:sz="4" w:space="0" w:color="auto"/>
              <w:right w:val="single" w:sz="4" w:space="0" w:color="auto"/>
            </w:tcBorders>
            <w:hideMark/>
          </w:tcPr>
          <w:p w14:paraId="297F8213" w14:textId="77777777" w:rsidR="004009C3" w:rsidRPr="005F0E61" w:rsidRDefault="004009C3" w:rsidP="008D2255">
            <w:pPr>
              <w:spacing w:after="0"/>
              <w:rPr>
                <w:rFonts w:ascii="Arial Narrow" w:hAnsi="Arial Narrow"/>
                <w:sz w:val="20"/>
                <w:szCs w:val="20"/>
              </w:rPr>
            </w:pPr>
            <w:r w:rsidRPr="005F0E61">
              <w:rPr>
                <w:rFonts w:ascii="Arial Narrow" w:hAnsi="Arial Narrow"/>
                <w:sz w:val="20"/>
                <w:szCs w:val="20"/>
              </w:rPr>
              <w:t>BMD testing (DXA or QCT) in 60-69 years</w:t>
            </w:r>
          </w:p>
        </w:tc>
      </w:tr>
      <w:tr w:rsidR="00E551E5" w:rsidRPr="005F0E61" w14:paraId="19BDC6F1" w14:textId="77777777" w:rsidTr="70B4BCC8">
        <w:tc>
          <w:tcPr>
            <w:tcW w:w="962" w:type="pct"/>
            <w:tcBorders>
              <w:top w:val="single" w:sz="4" w:space="0" w:color="auto"/>
              <w:left w:val="single" w:sz="4" w:space="0" w:color="auto"/>
              <w:bottom w:val="single" w:sz="4" w:space="0" w:color="auto"/>
              <w:right w:val="single" w:sz="4" w:space="0" w:color="auto"/>
            </w:tcBorders>
            <w:hideMark/>
          </w:tcPr>
          <w:p w14:paraId="79351424"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Comparator</w:t>
            </w:r>
          </w:p>
        </w:tc>
        <w:tc>
          <w:tcPr>
            <w:tcW w:w="1009" w:type="pct"/>
            <w:tcBorders>
              <w:top w:val="single" w:sz="4" w:space="0" w:color="auto"/>
              <w:left w:val="single" w:sz="4" w:space="0" w:color="auto"/>
              <w:bottom w:val="single" w:sz="4" w:space="0" w:color="auto"/>
              <w:right w:val="single" w:sz="4" w:space="0" w:color="auto"/>
            </w:tcBorders>
          </w:tcPr>
          <w:p w14:paraId="0452AF6E" w14:textId="0B2EA9C3" w:rsidR="004009C3" w:rsidRPr="005F0E61" w:rsidRDefault="004009C3" w:rsidP="001B1DFD">
            <w:pPr>
              <w:rPr>
                <w:rFonts w:ascii="Arial Narrow" w:hAnsi="Arial Narrow"/>
                <w:sz w:val="20"/>
                <w:szCs w:val="20"/>
              </w:rPr>
            </w:pPr>
            <w:r w:rsidRPr="005F0E61">
              <w:rPr>
                <w:rFonts w:ascii="Arial Narrow" w:hAnsi="Arial Narrow"/>
                <w:sz w:val="20"/>
                <w:szCs w:val="20"/>
              </w:rPr>
              <w:t xml:space="preserve">Clinical risk assessment without </w:t>
            </w:r>
            <w:r w:rsidR="00985F0E">
              <w:rPr>
                <w:rFonts w:ascii="Arial Narrow" w:hAnsi="Arial Narrow"/>
                <w:sz w:val="20"/>
                <w:szCs w:val="20"/>
              </w:rPr>
              <w:t>DEXA</w:t>
            </w:r>
            <w:r w:rsidRPr="005F0E61">
              <w:rPr>
                <w:rFonts w:ascii="Arial Narrow" w:hAnsi="Arial Narrow"/>
                <w:sz w:val="20"/>
                <w:szCs w:val="20"/>
              </w:rPr>
              <w:t xml:space="preserve">, including use of risk assessment </w:t>
            </w:r>
          </w:p>
        </w:tc>
        <w:tc>
          <w:tcPr>
            <w:tcW w:w="1055" w:type="pct"/>
            <w:tcBorders>
              <w:top w:val="single" w:sz="4" w:space="0" w:color="auto"/>
              <w:left w:val="single" w:sz="4" w:space="0" w:color="auto"/>
              <w:bottom w:val="single" w:sz="4" w:space="0" w:color="auto"/>
              <w:right w:val="single" w:sz="4" w:space="0" w:color="auto"/>
            </w:tcBorders>
          </w:tcPr>
          <w:p w14:paraId="7320B64C" w14:textId="77777777" w:rsidR="004009C3" w:rsidRPr="005F0E61" w:rsidRDefault="004009C3" w:rsidP="00794C93">
            <w:pPr>
              <w:spacing w:after="0"/>
              <w:rPr>
                <w:rFonts w:ascii="Arial Narrow" w:hAnsi="Arial Narrow"/>
                <w:sz w:val="20"/>
                <w:szCs w:val="20"/>
              </w:rPr>
            </w:pPr>
            <w:r w:rsidRPr="005F0E61">
              <w:rPr>
                <w:rFonts w:ascii="Arial Narrow" w:hAnsi="Arial Narrow"/>
                <w:sz w:val="20"/>
                <w:szCs w:val="20"/>
              </w:rPr>
              <w:t xml:space="preserve">Clinical assessment including use of existing fracture risk assessment tools, vitamin D testing, </w:t>
            </w:r>
            <w:r w:rsidRPr="005F0E61">
              <w:rPr>
                <w:rFonts w:ascii="Arial Narrow" w:hAnsi="Arial Narrow"/>
                <w:sz w:val="20"/>
                <w:szCs w:val="20"/>
              </w:rPr>
              <w:lastRenderedPageBreak/>
              <w:t>with lifestyle and dietary advice.</w:t>
            </w:r>
          </w:p>
        </w:tc>
        <w:tc>
          <w:tcPr>
            <w:tcW w:w="964" w:type="pct"/>
            <w:tcBorders>
              <w:top w:val="single" w:sz="4" w:space="0" w:color="auto"/>
              <w:left w:val="single" w:sz="4" w:space="0" w:color="auto"/>
              <w:bottom w:val="single" w:sz="4" w:space="0" w:color="auto"/>
              <w:right w:val="single" w:sz="4" w:space="0" w:color="auto"/>
            </w:tcBorders>
          </w:tcPr>
          <w:p w14:paraId="48FE694F" w14:textId="183355BE" w:rsidR="004009C3" w:rsidRPr="005F0E61" w:rsidRDefault="00985F0E" w:rsidP="001B1DFD">
            <w:pPr>
              <w:rPr>
                <w:rFonts w:ascii="Arial Narrow" w:hAnsi="Arial Narrow"/>
                <w:sz w:val="20"/>
                <w:szCs w:val="20"/>
              </w:rPr>
            </w:pPr>
            <w:r>
              <w:rPr>
                <w:rFonts w:ascii="Arial Narrow" w:hAnsi="Arial Narrow"/>
                <w:sz w:val="20"/>
                <w:szCs w:val="20"/>
              </w:rPr>
              <w:lastRenderedPageBreak/>
              <w:t>DEXA</w:t>
            </w:r>
          </w:p>
        </w:tc>
        <w:tc>
          <w:tcPr>
            <w:tcW w:w="1010" w:type="pct"/>
            <w:tcBorders>
              <w:top w:val="single" w:sz="4" w:space="0" w:color="auto"/>
              <w:left w:val="single" w:sz="4" w:space="0" w:color="auto"/>
              <w:bottom w:val="single" w:sz="4" w:space="0" w:color="auto"/>
              <w:right w:val="single" w:sz="4" w:space="0" w:color="auto"/>
            </w:tcBorders>
          </w:tcPr>
          <w:p w14:paraId="631AE486"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Standard care (i.e., no testing and standard medical management)</w:t>
            </w:r>
          </w:p>
        </w:tc>
      </w:tr>
      <w:tr w:rsidR="00E551E5" w:rsidRPr="005F0E61" w14:paraId="7836F837" w14:textId="77777777" w:rsidTr="70B4BCC8">
        <w:tc>
          <w:tcPr>
            <w:tcW w:w="962" w:type="pct"/>
            <w:tcBorders>
              <w:top w:val="single" w:sz="4" w:space="0" w:color="auto"/>
              <w:left w:val="single" w:sz="4" w:space="0" w:color="auto"/>
              <w:bottom w:val="single" w:sz="4" w:space="0" w:color="auto"/>
              <w:right w:val="single" w:sz="4" w:space="0" w:color="auto"/>
            </w:tcBorders>
          </w:tcPr>
          <w:p w14:paraId="2085D25C"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Economic model</w:t>
            </w:r>
          </w:p>
        </w:tc>
        <w:tc>
          <w:tcPr>
            <w:tcW w:w="1009" w:type="pct"/>
            <w:tcBorders>
              <w:top w:val="single" w:sz="4" w:space="0" w:color="auto"/>
              <w:left w:val="single" w:sz="4" w:space="0" w:color="auto"/>
              <w:bottom w:val="single" w:sz="4" w:space="0" w:color="auto"/>
              <w:right w:val="single" w:sz="4" w:space="0" w:color="auto"/>
            </w:tcBorders>
          </w:tcPr>
          <w:p w14:paraId="48E3DFD9" w14:textId="046D1177" w:rsidR="004009C3" w:rsidRPr="005F0E61" w:rsidRDefault="004009C3" w:rsidP="001B1DFD">
            <w:pPr>
              <w:rPr>
                <w:rFonts w:ascii="Arial Narrow" w:hAnsi="Arial Narrow"/>
                <w:sz w:val="20"/>
                <w:szCs w:val="20"/>
              </w:rPr>
            </w:pPr>
            <w:r w:rsidRPr="005F0E61">
              <w:rPr>
                <w:rFonts w:ascii="Arial Narrow" w:hAnsi="Arial Narrow"/>
                <w:sz w:val="20"/>
                <w:szCs w:val="20"/>
              </w:rPr>
              <w:t xml:space="preserve">No economic evaluation presented as there is no demonstrated advantage of </w:t>
            </w:r>
            <w:r w:rsidR="00985F0E">
              <w:rPr>
                <w:rFonts w:ascii="Arial Narrow" w:hAnsi="Arial Narrow"/>
                <w:sz w:val="20"/>
                <w:szCs w:val="20"/>
              </w:rPr>
              <w:t>DEXA</w:t>
            </w:r>
            <w:r w:rsidRPr="005F0E61">
              <w:rPr>
                <w:rFonts w:ascii="Arial Narrow" w:hAnsi="Arial Narrow"/>
                <w:sz w:val="20"/>
                <w:szCs w:val="20"/>
              </w:rPr>
              <w:t xml:space="preserve"> over other methods of risk assessment [PSD, p8]</w:t>
            </w:r>
          </w:p>
        </w:tc>
        <w:tc>
          <w:tcPr>
            <w:tcW w:w="1055" w:type="pct"/>
            <w:tcBorders>
              <w:top w:val="single" w:sz="4" w:space="0" w:color="auto"/>
              <w:left w:val="single" w:sz="4" w:space="0" w:color="auto"/>
              <w:bottom w:val="single" w:sz="4" w:space="0" w:color="auto"/>
              <w:right w:val="single" w:sz="4" w:space="0" w:color="auto"/>
            </w:tcBorders>
          </w:tcPr>
          <w:p w14:paraId="690F6C29" w14:textId="5B9911D0" w:rsidR="004009C3" w:rsidRPr="005F0E61" w:rsidRDefault="004009C3" w:rsidP="001B1DFD">
            <w:pPr>
              <w:rPr>
                <w:rFonts w:ascii="Arial Narrow" w:hAnsi="Arial Narrow"/>
                <w:sz w:val="20"/>
                <w:szCs w:val="20"/>
              </w:rPr>
            </w:pPr>
            <w:r w:rsidRPr="005F0E61">
              <w:rPr>
                <w:rFonts w:ascii="Arial Narrow" w:hAnsi="Arial Narrow"/>
                <w:sz w:val="20"/>
                <w:szCs w:val="20"/>
              </w:rPr>
              <w:t>CUA</w:t>
            </w:r>
            <w:r w:rsidR="00794C93">
              <w:rPr>
                <w:rFonts w:ascii="Arial Narrow" w:hAnsi="Arial Narrow"/>
                <w:sz w:val="20"/>
                <w:szCs w:val="20"/>
              </w:rPr>
              <w:t xml:space="preserve">, </w:t>
            </w:r>
            <w:proofErr w:type="gramStart"/>
            <w:r w:rsidRPr="005F0E61">
              <w:rPr>
                <w:rFonts w:ascii="Arial Narrow" w:hAnsi="Arial Narrow"/>
                <w:sz w:val="20"/>
                <w:szCs w:val="20"/>
              </w:rPr>
              <w:t>60 year</w:t>
            </w:r>
            <w:proofErr w:type="gramEnd"/>
            <w:r w:rsidRPr="005F0E61">
              <w:rPr>
                <w:rFonts w:ascii="Arial Narrow" w:hAnsi="Arial Narrow"/>
                <w:sz w:val="20"/>
                <w:szCs w:val="20"/>
              </w:rPr>
              <w:t xml:space="preserve"> cohort, lifetime</w:t>
            </w:r>
            <w:r w:rsidR="008D76A0">
              <w:rPr>
                <w:rFonts w:ascii="Arial Narrow" w:hAnsi="Arial Narrow"/>
                <w:sz w:val="20"/>
                <w:szCs w:val="20"/>
              </w:rPr>
              <w:t>.</w:t>
            </w:r>
          </w:p>
        </w:tc>
        <w:tc>
          <w:tcPr>
            <w:tcW w:w="964" w:type="pct"/>
            <w:tcBorders>
              <w:top w:val="single" w:sz="4" w:space="0" w:color="auto"/>
              <w:left w:val="single" w:sz="4" w:space="0" w:color="auto"/>
              <w:bottom w:val="single" w:sz="4" w:space="0" w:color="auto"/>
              <w:right w:val="single" w:sz="4" w:space="0" w:color="auto"/>
            </w:tcBorders>
          </w:tcPr>
          <w:p w14:paraId="0FB5430E"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Costing study- fee justification of delivery of REMS [PSD, p31]</w:t>
            </w:r>
          </w:p>
        </w:tc>
        <w:tc>
          <w:tcPr>
            <w:tcW w:w="1010" w:type="pct"/>
            <w:tcBorders>
              <w:top w:val="single" w:sz="4" w:space="0" w:color="auto"/>
              <w:left w:val="single" w:sz="4" w:space="0" w:color="auto"/>
              <w:bottom w:val="single" w:sz="4" w:space="0" w:color="auto"/>
              <w:right w:val="single" w:sz="4" w:space="0" w:color="auto"/>
            </w:tcBorders>
          </w:tcPr>
          <w:p w14:paraId="37DA219D"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Two-part analysis:</w:t>
            </w:r>
          </w:p>
          <w:p w14:paraId="46486059" w14:textId="77777777" w:rsidR="004009C3" w:rsidRPr="005F0E61" w:rsidRDefault="004009C3" w:rsidP="001B1DFD">
            <w:pPr>
              <w:spacing w:after="0"/>
              <w:rPr>
                <w:rFonts w:ascii="Arial Narrow" w:hAnsi="Arial Narrow"/>
                <w:sz w:val="20"/>
                <w:szCs w:val="20"/>
              </w:rPr>
            </w:pPr>
          </w:p>
          <w:p w14:paraId="61A507C7"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Part A</w:t>
            </w:r>
          </w:p>
          <w:p w14:paraId="13284825"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 xml:space="preserve">CEA universal BMD testing versus no BMD testing in individuals aged 60–69 </w:t>
            </w:r>
            <w:proofErr w:type="gramStart"/>
            <w:r w:rsidRPr="005F0E61">
              <w:rPr>
                <w:rFonts w:ascii="Arial Narrow" w:hAnsi="Arial Narrow"/>
                <w:sz w:val="20"/>
                <w:szCs w:val="20"/>
              </w:rPr>
              <w:t>years</w:t>
            </w:r>
            <w:proofErr w:type="gramEnd"/>
          </w:p>
          <w:p w14:paraId="0B6467AC" w14:textId="77777777" w:rsidR="004009C3" w:rsidRPr="005F0E61" w:rsidRDefault="004009C3" w:rsidP="001B1DFD">
            <w:pPr>
              <w:spacing w:after="0"/>
              <w:rPr>
                <w:rFonts w:ascii="Arial Narrow" w:hAnsi="Arial Narrow"/>
                <w:sz w:val="20"/>
                <w:szCs w:val="20"/>
              </w:rPr>
            </w:pPr>
          </w:p>
          <w:p w14:paraId="25E9D5C0" w14:textId="77777777" w:rsidR="004009C3" w:rsidRPr="005F0E61" w:rsidRDefault="004009C3" w:rsidP="001B1DFD">
            <w:pPr>
              <w:keepNext/>
              <w:spacing w:after="0"/>
              <w:rPr>
                <w:rFonts w:ascii="Arial Narrow" w:hAnsi="Arial Narrow"/>
                <w:sz w:val="20"/>
                <w:szCs w:val="20"/>
              </w:rPr>
            </w:pPr>
            <w:r w:rsidRPr="005F0E61">
              <w:rPr>
                <w:rFonts w:ascii="Arial Narrow" w:hAnsi="Arial Narrow"/>
                <w:sz w:val="20"/>
                <w:szCs w:val="20"/>
              </w:rPr>
              <w:t>Parts A &amp; B</w:t>
            </w:r>
          </w:p>
          <w:p w14:paraId="16B9FD4C" w14:textId="77777777" w:rsidR="004009C3" w:rsidRPr="005F0E61" w:rsidRDefault="004009C3" w:rsidP="001B1DFD">
            <w:pPr>
              <w:spacing w:after="0"/>
              <w:rPr>
                <w:rFonts w:ascii="Arial Narrow" w:hAnsi="Arial Narrow"/>
                <w:sz w:val="20"/>
                <w:szCs w:val="20"/>
                <w:vertAlign w:val="superscript"/>
              </w:rPr>
            </w:pPr>
            <w:r w:rsidRPr="005F0E61">
              <w:rPr>
                <w:rFonts w:ascii="Arial Narrow" w:hAnsi="Arial Narrow"/>
                <w:sz w:val="20"/>
                <w:szCs w:val="20"/>
              </w:rPr>
              <w:t>CUA of early vs delayed osteoporosis treatments</w:t>
            </w:r>
            <w:r w:rsidRPr="005F0E61">
              <w:rPr>
                <w:rFonts w:ascii="Arial Narrow" w:hAnsi="Arial Narrow"/>
                <w:sz w:val="20"/>
                <w:szCs w:val="20"/>
                <w:vertAlign w:val="superscript"/>
              </w:rPr>
              <w:t>#</w:t>
            </w:r>
          </w:p>
        </w:tc>
      </w:tr>
      <w:tr w:rsidR="00E551E5" w:rsidRPr="005F0E61" w14:paraId="2C55E003" w14:textId="77777777" w:rsidTr="70B4BCC8">
        <w:tc>
          <w:tcPr>
            <w:tcW w:w="962" w:type="pct"/>
            <w:tcBorders>
              <w:top w:val="single" w:sz="4" w:space="0" w:color="auto"/>
              <w:left w:val="single" w:sz="4" w:space="0" w:color="auto"/>
              <w:bottom w:val="single" w:sz="4" w:space="0" w:color="auto"/>
              <w:right w:val="single" w:sz="4" w:space="0" w:color="auto"/>
            </w:tcBorders>
          </w:tcPr>
          <w:p w14:paraId="6E02D25B"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ICER/QALY</w:t>
            </w:r>
          </w:p>
        </w:tc>
        <w:tc>
          <w:tcPr>
            <w:tcW w:w="1009" w:type="pct"/>
            <w:tcBorders>
              <w:top w:val="single" w:sz="4" w:space="0" w:color="auto"/>
              <w:left w:val="single" w:sz="4" w:space="0" w:color="auto"/>
              <w:bottom w:val="single" w:sz="4" w:space="0" w:color="auto"/>
              <w:right w:val="single" w:sz="4" w:space="0" w:color="auto"/>
            </w:tcBorders>
          </w:tcPr>
          <w:p w14:paraId="7D4CE757"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NA</w:t>
            </w:r>
          </w:p>
        </w:tc>
        <w:tc>
          <w:tcPr>
            <w:tcW w:w="1055" w:type="pct"/>
            <w:tcBorders>
              <w:top w:val="single" w:sz="4" w:space="0" w:color="auto"/>
              <w:left w:val="single" w:sz="4" w:space="0" w:color="auto"/>
              <w:bottom w:val="single" w:sz="4" w:space="0" w:color="auto"/>
              <w:right w:val="single" w:sz="4" w:space="0" w:color="auto"/>
            </w:tcBorders>
          </w:tcPr>
          <w:p w14:paraId="0A53DF3B"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 xml:space="preserve">Previous base case-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188"/>
              <w:gridCol w:w="649"/>
            </w:tblGrid>
            <w:tr w:rsidR="004009C3" w:rsidRPr="005F0E61" w14:paraId="541BEB23" w14:textId="77777777" w:rsidTr="001B1DFD">
              <w:trPr>
                <w:trHeight w:val="20"/>
                <w:tblHeader/>
              </w:trPr>
              <w:tc>
                <w:tcPr>
                  <w:tcW w:w="3645" w:type="pct"/>
                  <w:tcBorders>
                    <w:top w:val="single" w:sz="4" w:space="0" w:color="auto"/>
                    <w:left w:val="single" w:sz="4" w:space="0" w:color="auto"/>
                    <w:bottom w:val="single" w:sz="4" w:space="0" w:color="auto"/>
                    <w:right w:val="single" w:sz="4" w:space="0" w:color="auto"/>
                  </w:tcBorders>
                  <w:vAlign w:val="center"/>
                  <w:hideMark/>
                </w:tcPr>
                <w:p w14:paraId="4EA7A031" w14:textId="6743B657" w:rsidR="004009C3" w:rsidRPr="005F0E61" w:rsidRDefault="00985F0E" w:rsidP="001B1DFD">
                  <w:pPr>
                    <w:pStyle w:val="TableText"/>
                    <w:spacing w:before="0" w:after="0"/>
                    <w:rPr>
                      <w:rFonts w:cs="Arial"/>
                      <w:sz w:val="20"/>
                      <w:lang w:eastAsia="en-US"/>
                    </w:rPr>
                  </w:pPr>
                  <w:r>
                    <w:rPr>
                      <w:rFonts w:cs="Arial"/>
                      <w:sz w:val="20"/>
                      <w:lang w:eastAsia="en-US"/>
                    </w:rPr>
                    <w:t>DEXA</w:t>
                  </w:r>
                  <w:r w:rsidR="004009C3" w:rsidRPr="005F0E61">
                    <w:rPr>
                      <w:rFonts w:cs="Arial"/>
                      <w:sz w:val="20"/>
                      <w:lang w:eastAsia="en-US"/>
                    </w:rPr>
                    <w:t xml:space="preserve"> + </w:t>
                  </w:r>
                  <w:proofErr w:type="spellStart"/>
                  <w:r w:rsidR="004009C3" w:rsidRPr="005F0E61">
                    <w:rPr>
                      <w:rFonts w:cs="Arial"/>
                      <w:sz w:val="20"/>
                      <w:lang w:eastAsia="en-US"/>
                    </w:rPr>
                    <w:t>ARtx</w:t>
                  </w:r>
                  <w:proofErr w:type="spellEnd"/>
                  <w:r w:rsidR="004009C3" w:rsidRPr="005F0E61">
                    <w:rPr>
                      <w:rFonts w:cs="Arial"/>
                      <w:sz w:val="20"/>
                      <w:lang w:eastAsia="en-US"/>
                    </w:rPr>
                    <w:t xml:space="preserve"> (osteoporosis)</w:t>
                  </w:r>
                </w:p>
              </w:tc>
              <w:tc>
                <w:tcPr>
                  <w:tcW w:w="1355" w:type="pct"/>
                  <w:tcBorders>
                    <w:top w:val="single" w:sz="4" w:space="0" w:color="auto"/>
                    <w:left w:val="single" w:sz="4" w:space="0" w:color="auto"/>
                    <w:bottom w:val="single" w:sz="4" w:space="0" w:color="auto"/>
                    <w:right w:val="single" w:sz="4" w:space="0" w:color="auto"/>
                  </w:tcBorders>
                  <w:vAlign w:val="center"/>
                </w:tcPr>
                <w:p w14:paraId="0FB955C4" w14:textId="77777777" w:rsidR="004009C3" w:rsidRPr="005F0E61" w:rsidRDefault="004009C3" w:rsidP="001B1DFD">
                  <w:pPr>
                    <w:pStyle w:val="TableText"/>
                    <w:spacing w:before="0" w:after="0"/>
                    <w:rPr>
                      <w:rFonts w:cs="Arial"/>
                      <w:sz w:val="20"/>
                      <w:lang w:eastAsia="en-US"/>
                    </w:rPr>
                  </w:pPr>
                  <w:r w:rsidRPr="005F0E61">
                    <w:rPr>
                      <w:rFonts w:cs="Arial"/>
                      <w:sz w:val="20"/>
                      <w:lang w:eastAsia="en-US"/>
                    </w:rPr>
                    <w:t>$4,264</w:t>
                  </w:r>
                </w:p>
              </w:tc>
            </w:tr>
            <w:tr w:rsidR="004009C3" w:rsidRPr="005F0E61" w14:paraId="598736E2" w14:textId="77777777" w:rsidTr="001B1DFD">
              <w:trPr>
                <w:trHeight w:val="20"/>
                <w:tblHeader/>
              </w:trPr>
              <w:tc>
                <w:tcPr>
                  <w:tcW w:w="3645" w:type="pct"/>
                  <w:tcBorders>
                    <w:top w:val="single" w:sz="4" w:space="0" w:color="auto"/>
                    <w:left w:val="single" w:sz="4" w:space="0" w:color="auto"/>
                    <w:bottom w:val="single" w:sz="4" w:space="0" w:color="auto"/>
                    <w:right w:val="single" w:sz="4" w:space="0" w:color="auto"/>
                  </w:tcBorders>
                  <w:vAlign w:val="center"/>
                  <w:hideMark/>
                </w:tcPr>
                <w:p w14:paraId="4E187AA0" w14:textId="2BB72154" w:rsidR="004009C3" w:rsidRPr="005F0E61" w:rsidRDefault="00985F0E" w:rsidP="001B1DFD">
                  <w:pPr>
                    <w:pStyle w:val="TableText"/>
                    <w:spacing w:before="0" w:after="0"/>
                    <w:rPr>
                      <w:rFonts w:cs="Arial"/>
                      <w:sz w:val="20"/>
                      <w:lang w:eastAsia="en-US"/>
                    </w:rPr>
                  </w:pPr>
                  <w:r>
                    <w:rPr>
                      <w:rFonts w:cs="Arial"/>
                      <w:sz w:val="20"/>
                      <w:lang w:eastAsia="en-US"/>
                    </w:rPr>
                    <w:t>DEXA</w:t>
                  </w:r>
                  <w:r w:rsidR="004009C3" w:rsidRPr="005F0E61">
                    <w:rPr>
                      <w:rFonts w:cs="Arial"/>
                      <w:sz w:val="20"/>
                      <w:lang w:eastAsia="en-US"/>
                    </w:rPr>
                    <w:t xml:space="preserve"> + </w:t>
                  </w:r>
                  <w:proofErr w:type="spellStart"/>
                  <w:r w:rsidR="004009C3" w:rsidRPr="005F0E61">
                    <w:rPr>
                      <w:rFonts w:cs="Arial"/>
                      <w:sz w:val="20"/>
                      <w:lang w:eastAsia="en-US"/>
                    </w:rPr>
                    <w:t>ARtx</w:t>
                  </w:r>
                  <w:proofErr w:type="spellEnd"/>
                  <w:r w:rsidR="004009C3" w:rsidRPr="005F0E61">
                    <w:rPr>
                      <w:rFonts w:cs="Arial"/>
                      <w:sz w:val="20"/>
                      <w:lang w:eastAsia="en-US"/>
                    </w:rPr>
                    <w:t xml:space="preserve"> (osteoporosis + osteopenia)</w:t>
                  </w:r>
                </w:p>
              </w:tc>
              <w:tc>
                <w:tcPr>
                  <w:tcW w:w="1355" w:type="pct"/>
                  <w:tcBorders>
                    <w:top w:val="single" w:sz="4" w:space="0" w:color="auto"/>
                    <w:left w:val="single" w:sz="4" w:space="0" w:color="auto"/>
                    <w:bottom w:val="single" w:sz="4" w:space="0" w:color="auto"/>
                    <w:right w:val="single" w:sz="4" w:space="0" w:color="auto"/>
                  </w:tcBorders>
                  <w:vAlign w:val="center"/>
                </w:tcPr>
                <w:p w14:paraId="1C252EF5" w14:textId="77777777" w:rsidR="004009C3" w:rsidRPr="005F0E61" w:rsidRDefault="004009C3" w:rsidP="001B1DFD">
                  <w:pPr>
                    <w:pStyle w:val="TableText"/>
                    <w:spacing w:before="0" w:after="0"/>
                    <w:rPr>
                      <w:rFonts w:cs="Arial"/>
                      <w:sz w:val="20"/>
                      <w:lang w:eastAsia="en-US"/>
                    </w:rPr>
                  </w:pPr>
                  <w:r w:rsidRPr="005F0E61">
                    <w:rPr>
                      <w:rFonts w:cs="Arial"/>
                      <w:sz w:val="20"/>
                      <w:lang w:eastAsia="en-US"/>
                    </w:rPr>
                    <w:t>$20,507</w:t>
                  </w:r>
                </w:p>
              </w:tc>
            </w:tr>
          </w:tbl>
          <w:p w14:paraId="335159B0" w14:textId="77777777" w:rsidR="004009C3" w:rsidRPr="005F0E61" w:rsidRDefault="004009C3" w:rsidP="001B1DFD">
            <w:pPr>
              <w:spacing w:after="0"/>
              <w:rPr>
                <w:rFonts w:ascii="Arial Narrow" w:hAnsi="Arial Narrow"/>
                <w:sz w:val="20"/>
                <w:szCs w:val="20"/>
              </w:rPr>
            </w:pPr>
          </w:p>
          <w:p w14:paraId="52EA89C1"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Revised base case- July 2015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096"/>
              <w:gridCol w:w="741"/>
            </w:tblGrid>
            <w:tr w:rsidR="004009C3" w:rsidRPr="005F0E61" w14:paraId="59597FE6" w14:textId="77777777" w:rsidTr="001B1DFD">
              <w:trPr>
                <w:trHeight w:val="20"/>
                <w:tblHeader/>
              </w:trPr>
              <w:tc>
                <w:tcPr>
                  <w:tcW w:w="3645" w:type="pct"/>
                  <w:tcBorders>
                    <w:top w:val="single" w:sz="4" w:space="0" w:color="auto"/>
                    <w:left w:val="single" w:sz="4" w:space="0" w:color="auto"/>
                    <w:bottom w:val="single" w:sz="4" w:space="0" w:color="auto"/>
                    <w:right w:val="single" w:sz="4" w:space="0" w:color="auto"/>
                  </w:tcBorders>
                  <w:vAlign w:val="center"/>
                  <w:hideMark/>
                </w:tcPr>
                <w:p w14:paraId="0AB3A2A2" w14:textId="2B865D19" w:rsidR="004009C3" w:rsidRPr="005F0E61" w:rsidRDefault="00985F0E" w:rsidP="001B1DFD">
                  <w:pPr>
                    <w:pStyle w:val="TableText"/>
                    <w:spacing w:before="0" w:after="0"/>
                    <w:rPr>
                      <w:rFonts w:cs="Arial"/>
                      <w:sz w:val="20"/>
                      <w:lang w:eastAsia="en-US"/>
                    </w:rPr>
                  </w:pPr>
                  <w:r>
                    <w:rPr>
                      <w:rFonts w:cs="Arial"/>
                      <w:sz w:val="20"/>
                      <w:lang w:eastAsia="en-US"/>
                    </w:rPr>
                    <w:t>DEXA</w:t>
                  </w:r>
                  <w:r w:rsidR="004009C3" w:rsidRPr="005F0E61">
                    <w:rPr>
                      <w:rFonts w:cs="Arial"/>
                      <w:sz w:val="20"/>
                      <w:lang w:eastAsia="en-US"/>
                    </w:rPr>
                    <w:t xml:space="preserve"> + </w:t>
                  </w:r>
                  <w:proofErr w:type="spellStart"/>
                  <w:r w:rsidR="004009C3" w:rsidRPr="005F0E61">
                    <w:rPr>
                      <w:rFonts w:cs="Arial"/>
                      <w:sz w:val="20"/>
                      <w:lang w:eastAsia="en-US"/>
                    </w:rPr>
                    <w:t>ARtx</w:t>
                  </w:r>
                  <w:proofErr w:type="spellEnd"/>
                  <w:r w:rsidR="004009C3" w:rsidRPr="005F0E61">
                    <w:rPr>
                      <w:rFonts w:cs="Arial"/>
                      <w:sz w:val="20"/>
                      <w:lang w:eastAsia="en-US"/>
                    </w:rPr>
                    <w:t xml:space="preserve"> (osteoporosis)</w:t>
                  </w:r>
                </w:p>
              </w:tc>
              <w:tc>
                <w:tcPr>
                  <w:tcW w:w="1355" w:type="pct"/>
                  <w:tcBorders>
                    <w:top w:val="single" w:sz="4" w:space="0" w:color="auto"/>
                    <w:left w:val="single" w:sz="4" w:space="0" w:color="auto"/>
                    <w:bottom w:val="single" w:sz="4" w:space="0" w:color="auto"/>
                    <w:right w:val="single" w:sz="4" w:space="0" w:color="auto"/>
                  </w:tcBorders>
                  <w:vAlign w:val="center"/>
                </w:tcPr>
                <w:p w14:paraId="2872DB72" w14:textId="77777777" w:rsidR="004009C3" w:rsidRPr="005F0E61" w:rsidRDefault="004009C3" w:rsidP="001B1DFD">
                  <w:pPr>
                    <w:pStyle w:val="TableText"/>
                    <w:spacing w:before="0" w:after="0"/>
                    <w:rPr>
                      <w:rFonts w:cs="Arial"/>
                      <w:sz w:val="20"/>
                      <w:lang w:eastAsia="en-US"/>
                    </w:rPr>
                  </w:pPr>
                  <w:r w:rsidRPr="005F0E61">
                    <w:rPr>
                      <w:rFonts w:cs="Arial"/>
                      <w:sz w:val="20"/>
                      <w:lang w:eastAsia="en-US"/>
                    </w:rPr>
                    <w:t>$47,556</w:t>
                  </w:r>
                </w:p>
              </w:tc>
            </w:tr>
            <w:tr w:rsidR="004009C3" w:rsidRPr="005F0E61" w14:paraId="63B15F54" w14:textId="77777777" w:rsidTr="001B1DFD">
              <w:trPr>
                <w:trHeight w:val="20"/>
                <w:tblHeader/>
              </w:trPr>
              <w:tc>
                <w:tcPr>
                  <w:tcW w:w="3645" w:type="pct"/>
                  <w:tcBorders>
                    <w:top w:val="single" w:sz="4" w:space="0" w:color="auto"/>
                    <w:left w:val="single" w:sz="4" w:space="0" w:color="auto"/>
                    <w:bottom w:val="single" w:sz="4" w:space="0" w:color="auto"/>
                    <w:right w:val="single" w:sz="4" w:space="0" w:color="auto"/>
                  </w:tcBorders>
                  <w:vAlign w:val="center"/>
                  <w:hideMark/>
                </w:tcPr>
                <w:p w14:paraId="598C9270" w14:textId="5CAE49CB" w:rsidR="004009C3" w:rsidRPr="005F0E61" w:rsidRDefault="00985F0E" w:rsidP="001B1DFD">
                  <w:pPr>
                    <w:pStyle w:val="TableText"/>
                    <w:spacing w:before="0" w:after="0"/>
                    <w:rPr>
                      <w:rFonts w:cs="Arial"/>
                      <w:sz w:val="20"/>
                      <w:lang w:eastAsia="en-US"/>
                    </w:rPr>
                  </w:pPr>
                  <w:r>
                    <w:rPr>
                      <w:rFonts w:cs="Arial"/>
                      <w:sz w:val="20"/>
                      <w:lang w:eastAsia="en-US"/>
                    </w:rPr>
                    <w:t>DEXA</w:t>
                  </w:r>
                  <w:r w:rsidR="004009C3" w:rsidRPr="005F0E61">
                    <w:rPr>
                      <w:rFonts w:cs="Arial"/>
                      <w:sz w:val="20"/>
                      <w:lang w:eastAsia="en-US"/>
                    </w:rPr>
                    <w:t xml:space="preserve"> + </w:t>
                  </w:r>
                  <w:proofErr w:type="spellStart"/>
                  <w:r w:rsidR="004009C3" w:rsidRPr="005F0E61">
                    <w:rPr>
                      <w:rFonts w:cs="Arial"/>
                      <w:sz w:val="20"/>
                      <w:lang w:eastAsia="en-US"/>
                    </w:rPr>
                    <w:t>ARtx</w:t>
                  </w:r>
                  <w:proofErr w:type="spellEnd"/>
                  <w:r w:rsidR="004009C3" w:rsidRPr="005F0E61">
                    <w:rPr>
                      <w:rFonts w:cs="Arial"/>
                      <w:sz w:val="20"/>
                      <w:lang w:eastAsia="en-US"/>
                    </w:rPr>
                    <w:t xml:space="preserve"> (osteoporosis + osteopenia)</w:t>
                  </w:r>
                </w:p>
              </w:tc>
              <w:tc>
                <w:tcPr>
                  <w:tcW w:w="1355" w:type="pct"/>
                  <w:tcBorders>
                    <w:top w:val="single" w:sz="4" w:space="0" w:color="auto"/>
                    <w:left w:val="single" w:sz="4" w:space="0" w:color="auto"/>
                    <w:bottom w:val="single" w:sz="4" w:space="0" w:color="auto"/>
                    <w:right w:val="single" w:sz="4" w:space="0" w:color="auto"/>
                  </w:tcBorders>
                  <w:vAlign w:val="center"/>
                </w:tcPr>
                <w:p w14:paraId="00DAC482" w14:textId="77777777" w:rsidR="004009C3" w:rsidRPr="005F0E61" w:rsidRDefault="004009C3" w:rsidP="001B1DFD">
                  <w:pPr>
                    <w:pStyle w:val="TableText"/>
                    <w:spacing w:before="0" w:after="0"/>
                    <w:rPr>
                      <w:rFonts w:cs="Arial"/>
                      <w:sz w:val="20"/>
                      <w:lang w:eastAsia="en-US"/>
                    </w:rPr>
                  </w:pPr>
                  <w:r w:rsidRPr="005F0E61">
                    <w:rPr>
                      <w:rFonts w:cs="Arial"/>
                      <w:sz w:val="20"/>
                      <w:lang w:eastAsia="en-US"/>
                    </w:rPr>
                    <w:t>$253,000</w:t>
                  </w:r>
                </w:p>
              </w:tc>
            </w:tr>
          </w:tbl>
          <w:p w14:paraId="26A30AE3" w14:textId="77777777" w:rsidR="004009C3" w:rsidRPr="005F0E61" w:rsidRDefault="004009C3" w:rsidP="001B1DFD">
            <w:pPr>
              <w:rPr>
                <w:rFonts w:ascii="Arial Narrow" w:hAnsi="Arial Narrow"/>
                <w:sz w:val="20"/>
                <w:szCs w:val="20"/>
              </w:rPr>
            </w:pPr>
          </w:p>
        </w:tc>
        <w:tc>
          <w:tcPr>
            <w:tcW w:w="964" w:type="pct"/>
            <w:tcBorders>
              <w:top w:val="single" w:sz="4" w:space="0" w:color="auto"/>
              <w:left w:val="single" w:sz="4" w:space="0" w:color="auto"/>
              <w:bottom w:val="single" w:sz="4" w:space="0" w:color="auto"/>
              <w:right w:val="single" w:sz="4" w:space="0" w:color="auto"/>
            </w:tcBorders>
          </w:tcPr>
          <w:p w14:paraId="57E55E96"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NA</w:t>
            </w:r>
          </w:p>
        </w:tc>
        <w:tc>
          <w:tcPr>
            <w:tcW w:w="1010" w:type="pct"/>
            <w:tcBorders>
              <w:top w:val="single" w:sz="4" w:space="0" w:color="auto"/>
              <w:left w:val="single" w:sz="4" w:space="0" w:color="auto"/>
              <w:bottom w:val="single" w:sz="4" w:space="0" w:color="auto"/>
              <w:right w:val="single" w:sz="4" w:space="0" w:color="auto"/>
            </w:tcBorders>
          </w:tcPr>
          <w:p w14:paraId="760AB1E0" w14:textId="57B8EC83" w:rsidR="004009C3" w:rsidRPr="005F0E61" w:rsidRDefault="004009C3" w:rsidP="001B1DFD">
            <w:pPr>
              <w:spacing w:after="0"/>
              <w:rPr>
                <w:rFonts w:ascii="Arial Narrow" w:hAnsi="Arial Narrow"/>
                <w:sz w:val="20"/>
                <w:szCs w:val="20"/>
              </w:rPr>
            </w:pPr>
            <w:r w:rsidRPr="70B4BCC8">
              <w:rPr>
                <w:rFonts w:ascii="Arial Narrow" w:hAnsi="Arial Narrow"/>
                <w:sz w:val="20"/>
                <w:szCs w:val="20"/>
              </w:rPr>
              <w:t xml:space="preserve">Base case: 60-69 years, repeat test at 2 and 5 </w:t>
            </w:r>
            <w:proofErr w:type="gramStart"/>
            <w:r w:rsidRPr="70B4BCC8">
              <w:rPr>
                <w:rFonts w:ascii="Arial Narrow" w:hAnsi="Arial Narrow"/>
                <w:sz w:val="20"/>
                <w:szCs w:val="20"/>
              </w:rPr>
              <w:t>years</w:t>
            </w:r>
            <w:proofErr w:type="gramEnd"/>
          </w:p>
          <w:p w14:paraId="1356DC55" w14:textId="77777777" w:rsidR="004009C3" w:rsidRDefault="004009C3" w:rsidP="001B1DFD">
            <w:pPr>
              <w:pStyle w:val="ListParagraph"/>
              <w:numPr>
                <w:ilvl w:val="0"/>
                <w:numId w:val="18"/>
              </w:numPr>
              <w:spacing w:after="0"/>
              <w:ind w:left="113" w:hanging="113"/>
              <w:rPr>
                <w:rFonts w:ascii="Arial Narrow" w:hAnsi="Arial Narrow"/>
                <w:sz w:val="20"/>
                <w:szCs w:val="20"/>
              </w:rPr>
            </w:pPr>
            <w:r w:rsidRPr="005F0E61">
              <w:rPr>
                <w:rFonts w:ascii="Arial Narrow" w:hAnsi="Arial Narrow"/>
                <w:sz w:val="20"/>
                <w:szCs w:val="20"/>
              </w:rPr>
              <w:t>Risedronate EC</w:t>
            </w:r>
            <w:r>
              <w:rPr>
                <w:rFonts w:ascii="Arial Narrow" w:hAnsi="Arial Narrow"/>
                <w:sz w:val="20"/>
                <w:szCs w:val="20"/>
              </w:rPr>
              <w:t> </w:t>
            </w:r>
            <w:r w:rsidRPr="005F0E61">
              <w:rPr>
                <w:rFonts w:ascii="Arial Narrow" w:hAnsi="Arial Narrow"/>
                <w:sz w:val="20"/>
                <w:szCs w:val="20"/>
              </w:rPr>
              <w:t>35mg</w:t>
            </w:r>
          </w:p>
          <w:p w14:paraId="064F6965" w14:textId="35ECECFD" w:rsidR="004009C3" w:rsidRPr="005F0E61" w:rsidRDefault="004009C3" w:rsidP="001B1DFD">
            <w:pPr>
              <w:pStyle w:val="ListParagraph"/>
              <w:spacing w:after="0"/>
              <w:ind w:left="113"/>
              <w:rPr>
                <w:rFonts w:ascii="Arial Narrow" w:hAnsi="Arial Narrow"/>
                <w:sz w:val="20"/>
                <w:szCs w:val="20"/>
              </w:rPr>
            </w:pPr>
            <w:r w:rsidRPr="0EF4010A">
              <w:rPr>
                <w:rFonts w:ascii="Arial Narrow" w:hAnsi="Arial Narrow"/>
                <w:sz w:val="20"/>
                <w:szCs w:val="20"/>
              </w:rPr>
              <w:t xml:space="preserve">30-DD = $146,447 </w:t>
            </w:r>
            <w:r>
              <w:br/>
            </w:r>
            <w:r w:rsidRPr="0EF4010A">
              <w:rPr>
                <w:rFonts w:ascii="Arial Narrow" w:hAnsi="Arial Narrow"/>
                <w:sz w:val="20"/>
                <w:szCs w:val="20"/>
              </w:rPr>
              <w:t>60-DD = $126,578</w:t>
            </w:r>
          </w:p>
          <w:p w14:paraId="2F8B0A3B" w14:textId="77777777" w:rsidR="004009C3" w:rsidRDefault="004009C3" w:rsidP="001B1DFD">
            <w:pPr>
              <w:pStyle w:val="ListParagraph"/>
              <w:numPr>
                <w:ilvl w:val="0"/>
                <w:numId w:val="18"/>
              </w:numPr>
              <w:spacing w:after="0"/>
              <w:ind w:left="113" w:hanging="113"/>
              <w:rPr>
                <w:rFonts w:ascii="Arial Narrow" w:hAnsi="Arial Narrow"/>
                <w:sz w:val="20"/>
                <w:szCs w:val="20"/>
              </w:rPr>
            </w:pPr>
            <w:r w:rsidRPr="005F0E61">
              <w:rPr>
                <w:rFonts w:ascii="Arial Narrow" w:hAnsi="Arial Narrow"/>
                <w:sz w:val="20"/>
                <w:szCs w:val="20"/>
              </w:rPr>
              <w:t xml:space="preserve">Risedronate </w:t>
            </w:r>
            <w:r>
              <w:rPr>
                <w:rFonts w:ascii="Arial Narrow" w:hAnsi="Arial Narrow"/>
                <w:sz w:val="20"/>
                <w:szCs w:val="20"/>
              </w:rPr>
              <w:t>5mg</w:t>
            </w:r>
          </w:p>
          <w:p w14:paraId="0414384D" w14:textId="77122E67" w:rsidR="004009C3" w:rsidRPr="005F0E61" w:rsidRDefault="004009C3" w:rsidP="001B1DFD">
            <w:pPr>
              <w:pStyle w:val="ListParagraph"/>
              <w:spacing w:after="0"/>
              <w:ind w:left="113"/>
              <w:rPr>
                <w:rFonts w:ascii="Arial Narrow" w:hAnsi="Arial Narrow"/>
                <w:sz w:val="20"/>
                <w:szCs w:val="20"/>
              </w:rPr>
            </w:pPr>
            <w:r w:rsidRPr="0EF4010A">
              <w:rPr>
                <w:rFonts w:ascii="Arial Narrow" w:hAnsi="Arial Narrow"/>
                <w:sz w:val="20"/>
                <w:szCs w:val="20"/>
              </w:rPr>
              <w:t xml:space="preserve">30-DD = $158,747 </w:t>
            </w:r>
            <w:r>
              <w:br/>
            </w:r>
            <w:r w:rsidRPr="0EF4010A">
              <w:rPr>
                <w:rFonts w:ascii="Arial Narrow" w:hAnsi="Arial Narrow"/>
                <w:sz w:val="20"/>
                <w:szCs w:val="20"/>
              </w:rPr>
              <w:t>60-DD = $138,880</w:t>
            </w:r>
          </w:p>
          <w:p w14:paraId="16C0A4A9" w14:textId="77777777" w:rsidR="004009C3" w:rsidRDefault="004009C3" w:rsidP="001B1DFD">
            <w:pPr>
              <w:pStyle w:val="ListParagraph"/>
              <w:numPr>
                <w:ilvl w:val="0"/>
                <w:numId w:val="18"/>
              </w:numPr>
              <w:spacing w:after="0"/>
              <w:ind w:left="113" w:hanging="113"/>
              <w:rPr>
                <w:rFonts w:ascii="Arial Narrow" w:hAnsi="Arial Narrow"/>
                <w:sz w:val="20"/>
                <w:szCs w:val="20"/>
              </w:rPr>
            </w:pPr>
            <w:r w:rsidRPr="005F0E61">
              <w:rPr>
                <w:rFonts w:ascii="Arial Narrow" w:hAnsi="Arial Narrow"/>
                <w:sz w:val="20"/>
                <w:szCs w:val="20"/>
              </w:rPr>
              <w:t xml:space="preserve">Risedronate </w:t>
            </w:r>
            <w:r>
              <w:rPr>
                <w:rFonts w:ascii="Arial Narrow" w:hAnsi="Arial Narrow"/>
                <w:sz w:val="20"/>
                <w:szCs w:val="20"/>
              </w:rPr>
              <w:t>150 mg</w:t>
            </w:r>
          </w:p>
          <w:p w14:paraId="7779B431" w14:textId="71A6813B" w:rsidR="004009C3" w:rsidRDefault="004009C3" w:rsidP="001B1DFD">
            <w:pPr>
              <w:pStyle w:val="ListParagraph"/>
              <w:spacing w:after="0"/>
              <w:ind w:left="113"/>
              <w:rPr>
                <w:rFonts w:ascii="Arial Narrow" w:hAnsi="Arial Narrow"/>
                <w:sz w:val="20"/>
                <w:szCs w:val="20"/>
              </w:rPr>
            </w:pPr>
            <w:r w:rsidRPr="0EF4010A">
              <w:rPr>
                <w:rFonts w:ascii="Arial Narrow" w:hAnsi="Arial Narrow"/>
                <w:sz w:val="20"/>
                <w:szCs w:val="20"/>
              </w:rPr>
              <w:t xml:space="preserve">30-DD = $142,701 </w:t>
            </w:r>
            <w:r>
              <w:br/>
            </w:r>
            <w:r w:rsidRPr="0EF4010A">
              <w:rPr>
                <w:rFonts w:ascii="Arial Narrow" w:hAnsi="Arial Narrow"/>
                <w:sz w:val="20"/>
                <w:szCs w:val="20"/>
              </w:rPr>
              <w:t>60-DD = $124,616</w:t>
            </w:r>
          </w:p>
          <w:p w14:paraId="1302C2F9" w14:textId="6DC54325" w:rsidR="004009C3" w:rsidRDefault="004009C3" w:rsidP="001B1DFD">
            <w:pPr>
              <w:pStyle w:val="ListParagraph"/>
              <w:numPr>
                <w:ilvl w:val="0"/>
                <w:numId w:val="18"/>
              </w:numPr>
              <w:spacing w:after="0"/>
              <w:ind w:left="113" w:hanging="113"/>
              <w:rPr>
                <w:rFonts w:ascii="Arial Narrow" w:hAnsi="Arial Narrow"/>
                <w:sz w:val="20"/>
                <w:szCs w:val="20"/>
              </w:rPr>
            </w:pPr>
            <w:r>
              <w:rPr>
                <w:rFonts w:ascii="Arial Narrow" w:hAnsi="Arial Narrow"/>
                <w:sz w:val="20"/>
                <w:szCs w:val="20"/>
              </w:rPr>
              <w:t>Ale</w:t>
            </w:r>
            <w:r w:rsidR="00CC33B0">
              <w:rPr>
                <w:rFonts w:ascii="Arial Narrow" w:hAnsi="Arial Narrow"/>
                <w:sz w:val="20"/>
                <w:szCs w:val="20"/>
              </w:rPr>
              <w:t>n</w:t>
            </w:r>
            <w:r>
              <w:rPr>
                <w:rFonts w:ascii="Arial Narrow" w:hAnsi="Arial Narrow"/>
                <w:sz w:val="20"/>
                <w:szCs w:val="20"/>
              </w:rPr>
              <w:t>dronate 70mg</w:t>
            </w:r>
          </w:p>
          <w:p w14:paraId="6BFE9801" w14:textId="77777777" w:rsidR="004009C3"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30</w:t>
            </w:r>
            <w:r>
              <w:rPr>
                <w:rFonts w:ascii="Arial Narrow" w:hAnsi="Arial Narrow"/>
                <w:sz w:val="20"/>
                <w:szCs w:val="20"/>
              </w:rPr>
              <w:t>-DD =</w:t>
            </w:r>
            <w:r w:rsidRPr="005F0E61">
              <w:rPr>
                <w:rFonts w:ascii="Arial Narrow" w:hAnsi="Arial Narrow"/>
                <w:sz w:val="20"/>
                <w:szCs w:val="20"/>
              </w:rPr>
              <w:t xml:space="preserve"> $</w:t>
            </w:r>
            <w:r>
              <w:rPr>
                <w:rFonts w:ascii="Arial Narrow" w:hAnsi="Arial Narrow"/>
                <w:sz w:val="20"/>
                <w:szCs w:val="20"/>
              </w:rPr>
              <w:t>89,878</w:t>
            </w:r>
          </w:p>
          <w:p w14:paraId="211A5E7E" w14:textId="77777777" w:rsidR="004009C3"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 xml:space="preserve"> 60-</w:t>
            </w:r>
            <w:r>
              <w:rPr>
                <w:rFonts w:ascii="Arial Narrow" w:hAnsi="Arial Narrow"/>
                <w:sz w:val="20"/>
                <w:szCs w:val="20"/>
              </w:rPr>
              <w:t>DD</w:t>
            </w:r>
            <w:r w:rsidRPr="005F0E61">
              <w:rPr>
                <w:rFonts w:ascii="Arial Narrow" w:hAnsi="Arial Narrow"/>
                <w:sz w:val="20"/>
                <w:szCs w:val="20"/>
              </w:rPr>
              <w:t xml:space="preserve"> = $</w:t>
            </w:r>
            <w:r>
              <w:rPr>
                <w:rFonts w:ascii="Arial Narrow" w:hAnsi="Arial Narrow"/>
                <w:sz w:val="20"/>
                <w:szCs w:val="20"/>
              </w:rPr>
              <w:t>70,010</w:t>
            </w:r>
          </w:p>
          <w:p w14:paraId="0BA7D2A1" w14:textId="77777777" w:rsidR="004009C3" w:rsidRDefault="004009C3" w:rsidP="001B1DFD">
            <w:pPr>
              <w:pStyle w:val="ListParagraph"/>
              <w:numPr>
                <w:ilvl w:val="0"/>
                <w:numId w:val="18"/>
              </w:numPr>
              <w:spacing w:after="0"/>
              <w:ind w:left="113" w:hanging="113"/>
              <w:rPr>
                <w:rFonts w:ascii="Arial Narrow" w:hAnsi="Arial Narrow"/>
                <w:sz w:val="20"/>
                <w:szCs w:val="20"/>
              </w:rPr>
            </w:pPr>
            <w:r>
              <w:rPr>
                <w:rFonts w:ascii="Arial Narrow" w:hAnsi="Arial Narrow"/>
                <w:sz w:val="20"/>
                <w:szCs w:val="20"/>
              </w:rPr>
              <w:t>Zoledronic acid 5 mg annual injection</w:t>
            </w:r>
          </w:p>
          <w:p w14:paraId="40482F93" w14:textId="77777777" w:rsidR="004009C3" w:rsidRPr="00EA2ADF"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w:t>
            </w:r>
            <w:r>
              <w:rPr>
                <w:rFonts w:ascii="Arial Narrow" w:hAnsi="Arial Narrow"/>
                <w:sz w:val="20"/>
                <w:szCs w:val="20"/>
              </w:rPr>
              <w:t>91,377</w:t>
            </w:r>
          </w:p>
        </w:tc>
      </w:tr>
      <w:tr w:rsidR="00E551E5" w:rsidRPr="005F0E61" w14:paraId="4FDEA4F9" w14:textId="77777777" w:rsidTr="70B4BCC8">
        <w:tc>
          <w:tcPr>
            <w:tcW w:w="962" w:type="pct"/>
            <w:tcBorders>
              <w:top w:val="single" w:sz="4" w:space="0" w:color="auto"/>
              <w:left w:val="single" w:sz="4" w:space="0" w:color="auto"/>
              <w:bottom w:val="single" w:sz="4" w:space="0" w:color="auto"/>
              <w:right w:val="single" w:sz="4" w:space="0" w:color="auto"/>
            </w:tcBorders>
          </w:tcPr>
          <w:p w14:paraId="757FA31C"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Financial estimates</w:t>
            </w:r>
          </w:p>
        </w:tc>
        <w:tc>
          <w:tcPr>
            <w:tcW w:w="1009" w:type="pct"/>
            <w:tcBorders>
              <w:top w:val="single" w:sz="4" w:space="0" w:color="auto"/>
              <w:left w:val="single" w:sz="4" w:space="0" w:color="auto"/>
              <w:bottom w:val="single" w:sz="4" w:space="0" w:color="auto"/>
              <w:right w:val="single" w:sz="4" w:space="0" w:color="auto"/>
            </w:tcBorders>
          </w:tcPr>
          <w:p w14:paraId="3CA16913"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Total cost of intervention = $8.6M over 5 years</w:t>
            </w:r>
          </w:p>
        </w:tc>
        <w:tc>
          <w:tcPr>
            <w:tcW w:w="1055" w:type="pct"/>
            <w:tcBorders>
              <w:top w:val="single" w:sz="4" w:space="0" w:color="auto"/>
              <w:left w:val="single" w:sz="4" w:space="0" w:color="auto"/>
              <w:bottom w:val="single" w:sz="4" w:space="0" w:color="auto"/>
              <w:right w:val="single" w:sz="4" w:space="0" w:color="auto"/>
            </w:tcBorders>
          </w:tcPr>
          <w:p w14:paraId="1748DA24" w14:textId="2551D60D" w:rsidR="004009C3" w:rsidRPr="005F0E61" w:rsidRDefault="004009C3" w:rsidP="001B1DFD">
            <w:pPr>
              <w:rPr>
                <w:rFonts w:ascii="Arial Narrow" w:hAnsi="Arial Narrow"/>
                <w:sz w:val="20"/>
                <w:szCs w:val="20"/>
              </w:rPr>
            </w:pPr>
            <w:r w:rsidRPr="005F0E61">
              <w:rPr>
                <w:rFonts w:ascii="Arial Narrow" w:hAnsi="Arial Narrow"/>
                <w:sz w:val="20"/>
                <w:szCs w:val="20"/>
              </w:rPr>
              <w:t xml:space="preserve">Cost to MBS over 5 years = $13.4M for annual </w:t>
            </w:r>
            <w:r w:rsidR="00985F0E">
              <w:rPr>
                <w:rFonts w:ascii="Arial Narrow" w:hAnsi="Arial Narrow"/>
                <w:sz w:val="20"/>
                <w:szCs w:val="20"/>
              </w:rPr>
              <w:t>DEXA</w:t>
            </w:r>
            <w:r w:rsidRPr="005F0E61">
              <w:rPr>
                <w:rFonts w:ascii="Arial Narrow" w:hAnsi="Arial Narrow"/>
                <w:sz w:val="20"/>
                <w:szCs w:val="20"/>
              </w:rPr>
              <w:t xml:space="preserve"> scans and $10.2M for two yearly scans.</w:t>
            </w:r>
          </w:p>
          <w:p w14:paraId="60E5618E" w14:textId="4F8D7A60" w:rsidR="004009C3" w:rsidRPr="005F0E61" w:rsidRDefault="004009C3" w:rsidP="001B1DFD">
            <w:pPr>
              <w:rPr>
                <w:rFonts w:ascii="Arial Narrow" w:hAnsi="Arial Narrow"/>
                <w:sz w:val="20"/>
                <w:szCs w:val="20"/>
              </w:rPr>
            </w:pPr>
            <w:r w:rsidRPr="005F0E61">
              <w:rPr>
                <w:rFonts w:ascii="Arial Narrow" w:hAnsi="Arial Narrow"/>
                <w:sz w:val="20"/>
                <w:szCs w:val="20"/>
              </w:rPr>
              <w:t xml:space="preserve">Total cost to health system = $19.1M for annual </w:t>
            </w:r>
            <w:r w:rsidR="00985F0E">
              <w:rPr>
                <w:rFonts w:ascii="Arial Narrow" w:hAnsi="Arial Narrow"/>
                <w:sz w:val="20"/>
                <w:szCs w:val="20"/>
              </w:rPr>
              <w:t>DEXA</w:t>
            </w:r>
            <w:r w:rsidRPr="005F0E61">
              <w:rPr>
                <w:rFonts w:ascii="Arial Narrow" w:hAnsi="Arial Narrow"/>
                <w:sz w:val="20"/>
                <w:szCs w:val="20"/>
              </w:rPr>
              <w:t xml:space="preserve"> scans</w:t>
            </w:r>
          </w:p>
        </w:tc>
        <w:tc>
          <w:tcPr>
            <w:tcW w:w="964" w:type="pct"/>
            <w:tcBorders>
              <w:top w:val="single" w:sz="4" w:space="0" w:color="auto"/>
              <w:left w:val="single" w:sz="4" w:space="0" w:color="auto"/>
              <w:bottom w:val="single" w:sz="4" w:space="0" w:color="auto"/>
              <w:right w:val="single" w:sz="4" w:space="0" w:color="auto"/>
            </w:tcBorders>
          </w:tcPr>
          <w:p w14:paraId="5ADC738E"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Net financial impact to MBS over 6 years = $0.</w:t>
            </w:r>
          </w:p>
          <w:p w14:paraId="5649E8CC" w14:textId="77777777" w:rsidR="004009C3" w:rsidRPr="005F0E61" w:rsidRDefault="004009C3" w:rsidP="001B1DFD">
            <w:pPr>
              <w:spacing w:after="0"/>
              <w:rPr>
                <w:rFonts w:ascii="Arial Narrow" w:hAnsi="Arial Narrow"/>
                <w:sz w:val="20"/>
                <w:szCs w:val="20"/>
              </w:rPr>
            </w:pPr>
          </w:p>
          <w:p w14:paraId="6C74CE9F" w14:textId="77777777" w:rsidR="004009C3" w:rsidRPr="005F0E61" w:rsidRDefault="004009C3" w:rsidP="001B1DFD">
            <w:pPr>
              <w:spacing w:after="0"/>
              <w:rPr>
                <w:rFonts w:ascii="Arial Narrow" w:hAnsi="Arial Narrow"/>
                <w:sz w:val="20"/>
                <w:szCs w:val="20"/>
              </w:rPr>
            </w:pPr>
            <w:r w:rsidRPr="005F0E61">
              <w:rPr>
                <w:rFonts w:ascii="Arial Narrow" w:hAnsi="Arial Narrow"/>
                <w:sz w:val="20"/>
                <w:szCs w:val="20"/>
              </w:rPr>
              <w:t>Additional scenario 7.5% growth in REMS Year 1 = $205,576</w:t>
            </w:r>
          </w:p>
          <w:p w14:paraId="582794E8" w14:textId="77777777" w:rsidR="004009C3" w:rsidRPr="005F0E61" w:rsidRDefault="004009C3" w:rsidP="001B1DFD">
            <w:pPr>
              <w:rPr>
                <w:rFonts w:ascii="Arial Narrow" w:hAnsi="Arial Narrow"/>
                <w:sz w:val="20"/>
                <w:szCs w:val="20"/>
              </w:rPr>
            </w:pPr>
            <w:r w:rsidRPr="005F0E61">
              <w:rPr>
                <w:rFonts w:ascii="Arial Narrow" w:hAnsi="Arial Narrow"/>
                <w:sz w:val="20"/>
                <w:szCs w:val="20"/>
              </w:rPr>
              <w:t>Year 6 = $616, 728</w:t>
            </w:r>
          </w:p>
        </w:tc>
        <w:tc>
          <w:tcPr>
            <w:tcW w:w="1010" w:type="pct"/>
            <w:tcBorders>
              <w:top w:val="single" w:sz="4" w:space="0" w:color="auto"/>
              <w:left w:val="single" w:sz="4" w:space="0" w:color="auto"/>
              <w:bottom w:val="single" w:sz="4" w:space="0" w:color="auto"/>
              <w:right w:val="single" w:sz="4" w:space="0" w:color="auto"/>
            </w:tcBorders>
          </w:tcPr>
          <w:p w14:paraId="01887EE6" w14:textId="77777777" w:rsidR="004009C3" w:rsidRDefault="004009C3" w:rsidP="001B1DFD">
            <w:pPr>
              <w:rPr>
                <w:rFonts w:ascii="Arial Narrow" w:hAnsi="Arial Narrow"/>
                <w:sz w:val="20"/>
                <w:szCs w:val="20"/>
              </w:rPr>
            </w:pPr>
            <w:r w:rsidRPr="005F0E61">
              <w:rPr>
                <w:rFonts w:ascii="Arial Narrow" w:hAnsi="Arial Narrow"/>
                <w:sz w:val="20"/>
                <w:szCs w:val="20"/>
              </w:rPr>
              <w:t xml:space="preserve">Base case: 60-69 years, repeat test at 2 and 5 </w:t>
            </w:r>
            <w:proofErr w:type="gramStart"/>
            <w:r w:rsidRPr="005F0E61">
              <w:rPr>
                <w:rFonts w:ascii="Arial Narrow" w:hAnsi="Arial Narrow"/>
                <w:sz w:val="20"/>
                <w:szCs w:val="20"/>
              </w:rPr>
              <w:t>years</w:t>
            </w:r>
            <w:proofErr w:type="gramEnd"/>
          </w:p>
          <w:p w14:paraId="6C78DF45" w14:textId="77777777" w:rsidR="004009C3" w:rsidRDefault="004009C3" w:rsidP="001B1DFD">
            <w:pPr>
              <w:rPr>
                <w:rFonts w:ascii="Arial Narrow" w:hAnsi="Arial Narrow"/>
                <w:sz w:val="20"/>
                <w:szCs w:val="20"/>
              </w:rPr>
            </w:pPr>
            <w:r w:rsidRPr="005F0E61">
              <w:rPr>
                <w:rFonts w:ascii="Arial Narrow" w:hAnsi="Arial Narrow"/>
                <w:sz w:val="20"/>
                <w:szCs w:val="20"/>
              </w:rPr>
              <w:t>Net financial impact to MBS over 6 years</w:t>
            </w:r>
            <w:r>
              <w:rPr>
                <w:rFonts w:ascii="Arial Narrow" w:hAnsi="Arial Narrow"/>
                <w:sz w:val="20"/>
                <w:szCs w:val="20"/>
              </w:rPr>
              <w:t xml:space="preserve"> = </w:t>
            </w:r>
            <w:r w:rsidRPr="005F0E61">
              <w:rPr>
                <w:rFonts w:ascii="Arial Narrow" w:hAnsi="Arial Narrow"/>
                <w:sz w:val="20"/>
                <w:szCs w:val="20"/>
              </w:rPr>
              <w:t>$134</w:t>
            </w:r>
            <w:r>
              <w:rPr>
                <w:rFonts w:ascii="Arial Narrow" w:hAnsi="Arial Narrow"/>
                <w:sz w:val="20"/>
                <w:szCs w:val="20"/>
              </w:rPr>
              <w:t>.</w:t>
            </w:r>
            <w:r w:rsidRPr="005F0E61">
              <w:rPr>
                <w:rFonts w:ascii="Arial Narrow" w:hAnsi="Arial Narrow"/>
                <w:sz w:val="20"/>
                <w:szCs w:val="20"/>
              </w:rPr>
              <w:t>5</w:t>
            </w:r>
            <w:r>
              <w:rPr>
                <w:rFonts w:ascii="Arial Narrow" w:hAnsi="Arial Narrow"/>
                <w:sz w:val="20"/>
                <w:szCs w:val="20"/>
              </w:rPr>
              <w:t>M</w:t>
            </w:r>
          </w:p>
          <w:p w14:paraId="741A503A" w14:textId="57CED3EE" w:rsidR="004009C3" w:rsidRDefault="004009C3" w:rsidP="00794C93">
            <w:pPr>
              <w:spacing w:after="0"/>
              <w:rPr>
                <w:rFonts w:ascii="Arial Narrow" w:hAnsi="Arial Narrow"/>
                <w:sz w:val="20"/>
                <w:szCs w:val="20"/>
              </w:rPr>
            </w:pPr>
            <w:r w:rsidRPr="005F0E61">
              <w:rPr>
                <w:rFonts w:ascii="Arial Narrow" w:hAnsi="Arial Narrow"/>
                <w:sz w:val="20"/>
                <w:szCs w:val="20"/>
              </w:rPr>
              <w:t xml:space="preserve">Net financial impact to </w:t>
            </w:r>
            <w:r>
              <w:rPr>
                <w:rFonts w:ascii="Arial Narrow" w:hAnsi="Arial Narrow"/>
                <w:sz w:val="20"/>
                <w:szCs w:val="20"/>
              </w:rPr>
              <w:t>PBS</w:t>
            </w:r>
            <w:r w:rsidRPr="005F0E61">
              <w:rPr>
                <w:rFonts w:ascii="Arial Narrow" w:hAnsi="Arial Narrow"/>
                <w:sz w:val="20"/>
                <w:szCs w:val="20"/>
              </w:rPr>
              <w:t xml:space="preserve"> over 6 years</w:t>
            </w:r>
            <w:r w:rsidR="00483252">
              <w:rPr>
                <w:rFonts w:ascii="Arial Narrow" w:hAnsi="Arial Narrow"/>
                <w:sz w:val="20"/>
                <w:szCs w:val="20"/>
              </w:rPr>
              <w:t>:</w:t>
            </w:r>
          </w:p>
          <w:p w14:paraId="3084B7AF" w14:textId="77777777" w:rsidR="004009C3" w:rsidRDefault="004009C3" w:rsidP="001B1DFD">
            <w:pPr>
              <w:pStyle w:val="ListParagraph"/>
              <w:numPr>
                <w:ilvl w:val="0"/>
                <w:numId w:val="18"/>
              </w:numPr>
              <w:spacing w:after="0"/>
              <w:ind w:left="113" w:hanging="113"/>
              <w:rPr>
                <w:rFonts w:ascii="Arial Narrow" w:hAnsi="Arial Narrow"/>
                <w:sz w:val="20"/>
                <w:szCs w:val="20"/>
              </w:rPr>
            </w:pPr>
            <w:r w:rsidRPr="005F0E61">
              <w:rPr>
                <w:rFonts w:ascii="Arial Narrow" w:hAnsi="Arial Narrow"/>
                <w:sz w:val="20"/>
                <w:szCs w:val="20"/>
              </w:rPr>
              <w:t>Risedronate EC</w:t>
            </w:r>
            <w:r>
              <w:rPr>
                <w:rFonts w:ascii="Arial Narrow" w:hAnsi="Arial Narrow"/>
                <w:sz w:val="20"/>
                <w:szCs w:val="20"/>
              </w:rPr>
              <w:t> </w:t>
            </w:r>
            <w:r w:rsidRPr="005F0E61">
              <w:rPr>
                <w:rFonts w:ascii="Arial Narrow" w:hAnsi="Arial Narrow"/>
                <w:sz w:val="20"/>
                <w:szCs w:val="20"/>
              </w:rPr>
              <w:t>35mg</w:t>
            </w:r>
          </w:p>
          <w:p w14:paraId="6E877CBA" w14:textId="77777777" w:rsidR="004009C3"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30</w:t>
            </w:r>
            <w:r>
              <w:rPr>
                <w:rFonts w:ascii="Arial Narrow" w:hAnsi="Arial Narrow"/>
                <w:sz w:val="20"/>
                <w:szCs w:val="20"/>
              </w:rPr>
              <w:t>-DD =</w:t>
            </w:r>
            <w:r w:rsidRPr="005F0E61">
              <w:rPr>
                <w:rFonts w:ascii="Arial Narrow" w:hAnsi="Arial Narrow"/>
                <w:sz w:val="20"/>
                <w:szCs w:val="20"/>
              </w:rPr>
              <w:t xml:space="preserve"> $</w:t>
            </w:r>
            <w:r>
              <w:rPr>
                <w:rFonts w:ascii="Arial Narrow" w:hAnsi="Arial Narrow"/>
                <w:sz w:val="20"/>
                <w:szCs w:val="20"/>
              </w:rPr>
              <w:t>48.6M</w:t>
            </w:r>
          </w:p>
          <w:p w14:paraId="5EC8E8B3" w14:textId="77777777" w:rsidR="004009C3" w:rsidRPr="005F0E61"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60-</w:t>
            </w:r>
            <w:r>
              <w:rPr>
                <w:rFonts w:ascii="Arial Narrow" w:hAnsi="Arial Narrow"/>
                <w:sz w:val="20"/>
                <w:szCs w:val="20"/>
              </w:rPr>
              <w:t>DD</w:t>
            </w:r>
            <w:r w:rsidRPr="005F0E61">
              <w:rPr>
                <w:rFonts w:ascii="Arial Narrow" w:hAnsi="Arial Narrow"/>
                <w:sz w:val="20"/>
                <w:szCs w:val="20"/>
              </w:rPr>
              <w:t xml:space="preserve"> = $</w:t>
            </w:r>
            <w:r>
              <w:rPr>
                <w:rFonts w:ascii="Arial Narrow" w:hAnsi="Arial Narrow"/>
                <w:sz w:val="20"/>
                <w:szCs w:val="20"/>
              </w:rPr>
              <w:t>45.5M</w:t>
            </w:r>
          </w:p>
          <w:p w14:paraId="5C94020D" w14:textId="77777777" w:rsidR="004009C3" w:rsidRDefault="004009C3" w:rsidP="001B1DFD">
            <w:pPr>
              <w:pStyle w:val="ListParagraph"/>
              <w:numPr>
                <w:ilvl w:val="0"/>
                <w:numId w:val="18"/>
              </w:numPr>
              <w:spacing w:after="0"/>
              <w:ind w:left="113" w:hanging="113"/>
              <w:rPr>
                <w:rFonts w:ascii="Arial Narrow" w:hAnsi="Arial Narrow"/>
                <w:sz w:val="20"/>
                <w:szCs w:val="20"/>
              </w:rPr>
            </w:pPr>
            <w:r w:rsidRPr="005F0E61">
              <w:rPr>
                <w:rFonts w:ascii="Arial Narrow" w:hAnsi="Arial Narrow"/>
                <w:sz w:val="20"/>
                <w:szCs w:val="20"/>
              </w:rPr>
              <w:t xml:space="preserve">Risedronate </w:t>
            </w:r>
            <w:r>
              <w:rPr>
                <w:rFonts w:ascii="Arial Narrow" w:hAnsi="Arial Narrow"/>
                <w:sz w:val="20"/>
                <w:szCs w:val="20"/>
              </w:rPr>
              <w:t>5mg</w:t>
            </w:r>
          </w:p>
          <w:p w14:paraId="351FA38F" w14:textId="77777777" w:rsidR="004009C3"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30</w:t>
            </w:r>
            <w:r>
              <w:rPr>
                <w:rFonts w:ascii="Arial Narrow" w:hAnsi="Arial Narrow"/>
                <w:sz w:val="20"/>
                <w:szCs w:val="20"/>
              </w:rPr>
              <w:t>-DD =</w:t>
            </w:r>
            <w:r w:rsidRPr="005F0E61">
              <w:rPr>
                <w:rFonts w:ascii="Arial Narrow" w:hAnsi="Arial Narrow"/>
                <w:sz w:val="20"/>
                <w:szCs w:val="20"/>
              </w:rPr>
              <w:t xml:space="preserve"> $</w:t>
            </w:r>
            <w:r>
              <w:rPr>
                <w:rFonts w:ascii="Arial Narrow" w:hAnsi="Arial Narrow"/>
                <w:sz w:val="20"/>
                <w:szCs w:val="20"/>
              </w:rPr>
              <w:t>56.2M</w:t>
            </w:r>
          </w:p>
          <w:p w14:paraId="19D281F0" w14:textId="77777777" w:rsidR="004009C3" w:rsidRPr="005F0E61"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60-</w:t>
            </w:r>
            <w:r>
              <w:rPr>
                <w:rFonts w:ascii="Arial Narrow" w:hAnsi="Arial Narrow"/>
                <w:sz w:val="20"/>
                <w:szCs w:val="20"/>
              </w:rPr>
              <w:t>DD</w:t>
            </w:r>
            <w:r w:rsidRPr="005F0E61">
              <w:rPr>
                <w:rFonts w:ascii="Arial Narrow" w:hAnsi="Arial Narrow"/>
                <w:sz w:val="20"/>
                <w:szCs w:val="20"/>
              </w:rPr>
              <w:t xml:space="preserve"> = $</w:t>
            </w:r>
            <w:r>
              <w:rPr>
                <w:rFonts w:ascii="Arial Narrow" w:hAnsi="Arial Narrow"/>
                <w:sz w:val="20"/>
                <w:szCs w:val="20"/>
              </w:rPr>
              <w:t>53.1M</w:t>
            </w:r>
          </w:p>
          <w:p w14:paraId="3BCF97A0" w14:textId="77777777" w:rsidR="004009C3" w:rsidRDefault="004009C3" w:rsidP="001B1DFD">
            <w:pPr>
              <w:pStyle w:val="ListParagraph"/>
              <w:numPr>
                <w:ilvl w:val="0"/>
                <w:numId w:val="18"/>
              </w:numPr>
              <w:spacing w:after="0"/>
              <w:ind w:left="113" w:hanging="113"/>
              <w:rPr>
                <w:rFonts w:ascii="Arial Narrow" w:hAnsi="Arial Narrow"/>
                <w:sz w:val="20"/>
                <w:szCs w:val="20"/>
              </w:rPr>
            </w:pPr>
            <w:r w:rsidRPr="005F0E61">
              <w:rPr>
                <w:rFonts w:ascii="Arial Narrow" w:hAnsi="Arial Narrow"/>
                <w:sz w:val="20"/>
                <w:szCs w:val="20"/>
              </w:rPr>
              <w:t xml:space="preserve">Risedronate </w:t>
            </w:r>
            <w:r>
              <w:rPr>
                <w:rFonts w:ascii="Arial Narrow" w:hAnsi="Arial Narrow"/>
                <w:sz w:val="20"/>
                <w:szCs w:val="20"/>
              </w:rPr>
              <w:t>150 mg</w:t>
            </w:r>
          </w:p>
          <w:p w14:paraId="25F89AE3" w14:textId="77777777" w:rsidR="004009C3"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30</w:t>
            </w:r>
            <w:r>
              <w:rPr>
                <w:rFonts w:ascii="Arial Narrow" w:hAnsi="Arial Narrow"/>
                <w:sz w:val="20"/>
                <w:szCs w:val="20"/>
              </w:rPr>
              <w:t>-DD =</w:t>
            </w:r>
            <w:r w:rsidRPr="005F0E61">
              <w:rPr>
                <w:rFonts w:ascii="Arial Narrow" w:hAnsi="Arial Narrow"/>
                <w:sz w:val="20"/>
                <w:szCs w:val="20"/>
              </w:rPr>
              <w:t xml:space="preserve"> $</w:t>
            </w:r>
            <w:r>
              <w:rPr>
                <w:rFonts w:ascii="Arial Narrow" w:hAnsi="Arial Narrow"/>
                <w:sz w:val="20"/>
                <w:szCs w:val="20"/>
              </w:rPr>
              <w:t>48.3M</w:t>
            </w:r>
          </w:p>
          <w:p w14:paraId="4D5AAE10" w14:textId="77777777" w:rsidR="004009C3"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60-</w:t>
            </w:r>
            <w:r>
              <w:rPr>
                <w:rFonts w:ascii="Arial Narrow" w:hAnsi="Arial Narrow"/>
                <w:sz w:val="20"/>
                <w:szCs w:val="20"/>
              </w:rPr>
              <w:t>DD</w:t>
            </w:r>
            <w:r w:rsidRPr="005F0E61">
              <w:rPr>
                <w:rFonts w:ascii="Arial Narrow" w:hAnsi="Arial Narrow"/>
                <w:sz w:val="20"/>
                <w:szCs w:val="20"/>
              </w:rPr>
              <w:t xml:space="preserve"> = $</w:t>
            </w:r>
            <w:r>
              <w:rPr>
                <w:rFonts w:ascii="Arial Narrow" w:hAnsi="Arial Narrow"/>
                <w:sz w:val="20"/>
                <w:szCs w:val="20"/>
              </w:rPr>
              <w:t>45.3M</w:t>
            </w:r>
          </w:p>
          <w:p w14:paraId="2AD46D1C" w14:textId="23B32001" w:rsidR="004009C3" w:rsidRDefault="004009C3" w:rsidP="001B1DFD">
            <w:pPr>
              <w:pStyle w:val="ListParagraph"/>
              <w:numPr>
                <w:ilvl w:val="0"/>
                <w:numId w:val="18"/>
              </w:numPr>
              <w:spacing w:after="0"/>
              <w:ind w:left="113" w:hanging="113"/>
              <w:rPr>
                <w:rFonts w:ascii="Arial Narrow" w:hAnsi="Arial Narrow"/>
                <w:sz w:val="20"/>
                <w:szCs w:val="20"/>
              </w:rPr>
            </w:pPr>
            <w:r>
              <w:rPr>
                <w:rFonts w:ascii="Arial Narrow" w:hAnsi="Arial Narrow"/>
                <w:sz w:val="20"/>
                <w:szCs w:val="20"/>
              </w:rPr>
              <w:t>Ale</w:t>
            </w:r>
            <w:r w:rsidR="00856EF0">
              <w:rPr>
                <w:rFonts w:ascii="Arial Narrow" w:hAnsi="Arial Narrow"/>
                <w:sz w:val="20"/>
                <w:szCs w:val="20"/>
              </w:rPr>
              <w:t>n</w:t>
            </w:r>
            <w:r>
              <w:rPr>
                <w:rFonts w:ascii="Arial Narrow" w:hAnsi="Arial Narrow"/>
                <w:sz w:val="20"/>
                <w:szCs w:val="20"/>
              </w:rPr>
              <w:t>dronate 70mg</w:t>
            </w:r>
          </w:p>
          <w:p w14:paraId="326AA816" w14:textId="77777777" w:rsidR="004009C3"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30</w:t>
            </w:r>
            <w:r>
              <w:rPr>
                <w:rFonts w:ascii="Arial Narrow" w:hAnsi="Arial Narrow"/>
                <w:sz w:val="20"/>
                <w:szCs w:val="20"/>
              </w:rPr>
              <w:t>-DD =</w:t>
            </w:r>
            <w:r w:rsidRPr="005F0E61">
              <w:rPr>
                <w:rFonts w:ascii="Arial Narrow" w:hAnsi="Arial Narrow"/>
                <w:sz w:val="20"/>
                <w:szCs w:val="20"/>
              </w:rPr>
              <w:t xml:space="preserve"> $</w:t>
            </w:r>
            <w:r>
              <w:rPr>
                <w:rFonts w:ascii="Arial Narrow" w:hAnsi="Arial Narrow"/>
                <w:sz w:val="20"/>
                <w:szCs w:val="20"/>
              </w:rPr>
              <w:t>24.4M</w:t>
            </w:r>
          </w:p>
          <w:p w14:paraId="40BF1076" w14:textId="26960732" w:rsidR="004009C3" w:rsidRDefault="004009C3" w:rsidP="001B1DFD">
            <w:pPr>
              <w:pStyle w:val="ListParagraph"/>
              <w:spacing w:after="0"/>
              <w:ind w:left="113"/>
              <w:rPr>
                <w:rFonts w:ascii="Arial Narrow" w:hAnsi="Arial Narrow"/>
                <w:sz w:val="20"/>
                <w:szCs w:val="20"/>
              </w:rPr>
            </w:pPr>
            <w:r w:rsidRPr="005F0E61">
              <w:rPr>
                <w:rFonts w:ascii="Arial Narrow" w:hAnsi="Arial Narrow"/>
                <w:sz w:val="20"/>
                <w:szCs w:val="20"/>
              </w:rPr>
              <w:t>60-</w:t>
            </w:r>
            <w:r>
              <w:rPr>
                <w:rFonts w:ascii="Arial Narrow" w:hAnsi="Arial Narrow"/>
                <w:sz w:val="20"/>
                <w:szCs w:val="20"/>
              </w:rPr>
              <w:t>DD</w:t>
            </w:r>
            <w:r w:rsidRPr="005F0E61">
              <w:rPr>
                <w:rFonts w:ascii="Arial Narrow" w:hAnsi="Arial Narrow"/>
                <w:sz w:val="20"/>
                <w:szCs w:val="20"/>
              </w:rPr>
              <w:t xml:space="preserve"> = $</w:t>
            </w:r>
            <w:r>
              <w:rPr>
                <w:rFonts w:ascii="Arial Narrow" w:hAnsi="Arial Narrow"/>
                <w:sz w:val="20"/>
                <w:szCs w:val="20"/>
              </w:rPr>
              <w:t>16.2M</w:t>
            </w:r>
          </w:p>
          <w:p w14:paraId="7CE748BE" w14:textId="77777777" w:rsidR="004009C3" w:rsidRPr="00FE2CD4" w:rsidRDefault="004009C3" w:rsidP="001B1DFD">
            <w:pPr>
              <w:pStyle w:val="ListParagraph"/>
              <w:numPr>
                <w:ilvl w:val="0"/>
                <w:numId w:val="18"/>
              </w:numPr>
              <w:spacing w:after="0"/>
              <w:ind w:left="113" w:hanging="113"/>
              <w:rPr>
                <w:rFonts w:ascii="Arial Narrow" w:hAnsi="Arial Narrow"/>
                <w:sz w:val="20"/>
                <w:szCs w:val="20"/>
              </w:rPr>
            </w:pPr>
            <w:r>
              <w:rPr>
                <w:rFonts w:ascii="Arial Narrow" w:hAnsi="Arial Narrow"/>
                <w:sz w:val="20"/>
                <w:szCs w:val="20"/>
              </w:rPr>
              <w:t xml:space="preserve">Zoledronic acid 5 mg annual injection = </w:t>
            </w:r>
            <w:r w:rsidRPr="006E7258">
              <w:rPr>
                <w:rFonts w:ascii="Arial Narrow" w:hAnsi="Arial Narrow"/>
                <w:sz w:val="20"/>
                <w:szCs w:val="20"/>
              </w:rPr>
              <w:t>$12.0M</w:t>
            </w:r>
          </w:p>
        </w:tc>
      </w:tr>
    </w:tbl>
    <w:p w14:paraId="2B6BB95A" w14:textId="70C342EF" w:rsidR="004009C3" w:rsidRDefault="004009C3" w:rsidP="004009C3">
      <w:pPr>
        <w:pStyle w:val="COMTablefooter"/>
      </w:pPr>
      <w:r>
        <w:lastRenderedPageBreak/>
        <w:t>Source: compiled by</w:t>
      </w:r>
      <w:r w:rsidR="00837E84">
        <w:t xml:space="preserve"> the</w:t>
      </w:r>
      <w:r>
        <w:t xml:space="preserve"> department</w:t>
      </w:r>
      <w:r w:rsidR="00837E84">
        <w:t xml:space="preserve"> from the published PSDs</w:t>
      </w:r>
    </w:p>
    <w:p w14:paraId="5EB283D1" w14:textId="019CA3EC" w:rsidR="004009C3" w:rsidRDefault="004009C3" w:rsidP="00794C93">
      <w:pPr>
        <w:pStyle w:val="COMTablefooter"/>
        <w:spacing w:after="0"/>
      </w:pPr>
      <w:r>
        <w:t xml:space="preserve">Abbreviations:  </w:t>
      </w:r>
      <w:proofErr w:type="spellStart"/>
      <w:r w:rsidR="008B70EC">
        <w:t>ARtx</w:t>
      </w:r>
      <w:proofErr w:type="spellEnd"/>
      <w:r w:rsidR="008B70EC">
        <w:t xml:space="preserve"> = Anti-resorptive therapy; </w:t>
      </w:r>
      <w:r>
        <w:t xml:space="preserve">BMD, bone mineral density; CEA, cost-effectiveness analysis; CUA, cost-utility analysis; </w:t>
      </w:r>
      <w:r w:rsidR="00985F0E">
        <w:t>DEXA</w:t>
      </w:r>
      <w:r>
        <w:t xml:space="preserve">, dual energy Xray; LYs, life years; MBS, Medicare Benefits Schedule; NA= not applicable; </w:t>
      </w:r>
      <w:r w:rsidR="00794C93">
        <w:t xml:space="preserve">PSD = Public Summary Document; </w:t>
      </w:r>
      <w:r w:rsidR="001526BA">
        <w:t xml:space="preserve">QALY, quality-adjusted life year; </w:t>
      </w:r>
      <w:r>
        <w:t xml:space="preserve">QCT, quantitative computed tomography; REMS, radiofrequency </w:t>
      </w:r>
      <w:proofErr w:type="spellStart"/>
      <w:r>
        <w:t>echographic</w:t>
      </w:r>
      <w:proofErr w:type="spellEnd"/>
      <w:r>
        <w:t xml:space="preserve"> </w:t>
      </w:r>
      <w:proofErr w:type="spellStart"/>
      <w:r>
        <w:t>multispectrometry</w:t>
      </w:r>
      <w:proofErr w:type="spellEnd"/>
      <w:r>
        <w:t>; 30-DD,</w:t>
      </w:r>
      <w:proofErr w:type="gramStart"/>
      <w:r>
        <w:t>30 day</w:t>
      </w:r>
      <w:proofErr w:type="gramEnd"/>
      <w:r>
        <w:t xml:space="preserve"> dispensing; 60-DD, 60 day dispensing</w:t>
      </w:r>
    </w:p>
    <w:p w14:paraId="02F368C4" w14:textId="202383B9" w:rsidR="001C64D6" w:rsidRDefault="004009C3" w:rsidP="001C64D6">
      <w:pPr>
        <w:pStyle w:val="COMTablefooter"/>
      </w:pPr>
      <w:r>
        <w:t># Addendum updated results for PBS medicines: risedronate EC 35mg weekly (also applied to risedronate 35 mg weekly); risedronate 5 mg daily; risedronate 150 mg monthly; alendronate 70 mg weekly and zoledronic acid 5 mg injection year</w:t>
      </w:r>
      <w:r w:rsidR="001C64D6">
        <w:t xml:space="preserve"> </w:t>
      </w:r>
      <w:bookmarkStart w:id="5" w:name="_Toc150177173"/>
    </w:p>
    <w:p w14:paraId="069D98F5" w14:textId="3BE608FB" w:rsidR="008979C9" w:rsidRPr="004D5C3A" w:rsidRDefault="006667AC" w:rsidP="001C64D6">
      <w:pPr>
        <w:pStyle w:val="Heading2"/>
        <w:numPr>
          <w:ilvl w:val="1"/>
          <w:numId w:val="0"/>
        </w:numPr>
      </w:pPr>
      <w:r>
        <w:t>5.</w:t>
      </w:r>
      <w:r>
        <w:tab/>
      </w:r>
      <w:r w:rsidR="008979C9" w:rsidRPr="004D5C3A">
        <w:t>Prerequisites to implementation of any funding advice</w:t>
      </w:r>
      <w:bookmarkEnd w:id="5"/>
    </w:p>
    <w:p w14:paraId="670195F7" w14:textId="71494F8D" w:rsidR="008979C9" w:rsidRPr="006667AC" w:rsidRDefault="008979C9" w:rsidP="008979C9">
      <w:pPr>
        <w:pStyle w:val="COMBody"/>
        <w:rPr>
          <w:rFonts w:cstheme="minorHAnsi"/>
        </w:rPr>
      </w:pPr>
      <w:r w:rsidRPr="006667AC">
        <w:rPr>
          <w:rFonts w:cstheme="minorHAnsi"/>
        </w:rPr>
        <w:t>There are multiple dual energy x-ray absorptiometry (</w:t>
      </w:r>
      <w:r w:rsidR="00985F0E">
        <w:rPr>
          <w:rFonts w:cstheme="minorHAnsi"/>
        </w:rPr>
        <w:t>DEXA</w:t>
      </w:r>
      <w:r w:rsidRPr="006667AC">
        <w:rPr>
          <w:rFonts w:cstheme="minorHAnsi"/>
        </w:rPr>
        <w:t>) devices and quantitative computed tomography (QCT) systems listed on the ARTG as of July 2023. There are no prerequisites to any funding advice.</w:t>
      </w:r>
    </w:p>
    <w:p w14:paraId="42E30FF4" w14:textId="70CC89D8" w:rsidR="008979C9" w:rsidRPr="004D5C3A" w:rsidRDefault="006667AC" w:rsidP="006667AC">
      <w:pPr>
        <w:pStyle w:val="Heading2"/>
        <w:numPr>
          <w:ilvl w:val="1"/>
          <w:numId w:val="0"/>
        </w:numPr>
      </w:pPr>
      <w:bookmarkStart w:id="6" w:name="_Toc150177174"/>
      <w:r>
        <w:t>6.</w:t>
      </w:r>
      <w:r>
        <w:tab/>
      </w:r>
      <w:r w:rsidR="008979C9" w:rsidRPr="004D5C3A">
        <w:t>Proposal for public funding</w:t>
      </w:r>
      <w:bookmarkEnd w:id="6"/>
    </w:p>
    <w:p w14:paraId="1BE7DAB6" w14:textId="5B2FCC07" w:rsidR="008979C9" w:rsidRPr="006667AC" w:rsidRDefault="008979C9" w:rsidP="00727E9B">
      <w:pPr>
        <w:pStyle w:val="Instructionaltext"/>
        <w:spacing w:line="240" w:lineRule="auto"/>
        <w:jc w:val="both"/>
        <w:rPr>
          <w:rFonts w:cstheme="minorHAnsi"/>
          <w:color w:val="auto"/>
        </w:rPr>
      </w:pPr>
      <w:r w:rsidRPr="006667AC">
        <w:rPr>
          <w:rFonts w:cstheme="minorHAnsi"/>
          <w:color w:val="auto"/>
        </w:rPr>
        <w:t xml:space="preserve">Current item descriptors for MBS items 12320 and 12322 and proposed amendments are summarised in </w:t>
      </w:r>
      <w:r w:rsidRPr="006667AC">
        <w:rPr>
          <w:rFonts w:cstheme="minorHAnsi"/>
          <w:color w:val="auto"/>
        </w:rPr>
        <w:fldChar w:fldCharType="begin"/>
      </w:r>
      <w:r w:rsidRPr="006667AC">
        <w:rPr>
          <w:rFonts w:cstheme="minorHAnsi"/>
          <w:color w:val="auto"/>
        </w:rPr>
        <w:instrText xml:space="preserve"> REF _Ref146886345 \h  \* MERGEFORMAT </w:instrText>
      </w:r>
      <w:r w:rsidRPr="006667AC">
        <w:rPr>
          <w:rFonts w:cstheme="minorHAnsi"/>
          <w:color w:val="auto"/>
        </w:rPr>
      </w:r>
      <w:r w:rsidRPr="006667AC">
        <w:rPr>
          <w:rFonts w:cstheme="minorHAnsi"/>
          <w:color w:val="auto"/>
        </w:rPr>
        <w:fldChar w:fldCharType="separate"/>
      </w:r>
      <w:r w:rsidR="00E551E5" w:rsidRPr="006667AC">
        <w:rPr>
          <w:rFonts w:cstheme="minorHAnsi"/>
          <w:color w:val="auto"/>
        </w:rPr>
        <w:t>Table 2</w:t>
      </w:r>
      <w:r w:rsidRPr="006667AC">
        <w:rPr>
          <w:rFonts w:cstheme="minorHAnsi"/>
          <w:color w:val="auto"/>
        </w:rPr>
        <w:fldChar w:fldCharType="end"/>
      </w:r>
      <w:r w:rsidRPr="006667AC">
        <w:rPr>
          <w:rFonts w:cstheme="minorHAnsi"/>
          <w:color w:val="auto"/>
        </w:rPr>
        <w:t xml:space="preserve"> (changes are in blue text). The proposed fee is the same as for all bone densitometry items on the MBS based on the July 2023 schedule. A summary of all MBS items for bone densitometry and relevant explanatory notes are presented in Appendix A of the assessment report.</w:t>
      </w:r>
    </w:p>
    <w:p w14:paraId="28BE2E24" w14:textId="2C066829" w:rsidR="008979C9" w:rsidRPr="00953311" w:rsidRDefault="008979C9" w:rsidP="008979C9">
      <w:pPr>
        <w:pStyle w:val="COMtablefigcaption"/>
      </w:pPr>
      <w:bookmarkStart w:id="7" w:name="_Ref146886345"/>
      <w:r w:rsidRPr="00953311">
        <w:lastRenderedPageBreak/>
        <w:t xml:space="preserve">Table </w:t>
      </w:r>
      <w:r>
        <w:fldChar w:fldCharType="begin"/>
      </w:r>
      <w:r>
        <w:instrText>SEQ Table \* ARABIC</w:instrText>
      </w:r>
      <w:r>
        <w:fldChar w:fldCharType="separate"/>
      </w:r>
      <w:r w:rsidR="00090261">
        <w:rPr>
          <w:noProof/>
        </w:rPr>
        <w:t>2</w:t>
      </w:r>
      <w:r>
        <w:fldChar w:fldCharType="end"/>
      </w:r>
      <w:bookmarkEnd w:id="7"/>
      <w:r w:rsidRPr="00953311">
        <w:t xml:space="preserve"> MBS items 12320 and 12322 for bone densitometry with proposed amendments </w:t>
      </w:r>
    </w:p>
    <w:tbl>
      <w:tblPr>
        <w:tblStyle w:val="TableGrid"/>
        <w:tblW w:w="0" w:type="auto"/>
        <w:tblLook w:val="04A0" w:firstRow="1" w:lastRow="0" w:firstColumn="1" w:lastColumn="0" w:noHBand="0" w:noVBand="1"/>
        <w:tblCaption w:val="Proposed item descriptor for diagnostic testing"/>
        <w:tblDescription w:val="Proposed item descriptor for diagnostic testing"/>
      </w:tblPr>
      <w:tblGrid>
        <w:gridCol w:w="9016"/>
      </w:tblGrid>
      <w:tr w:rsidR="008979C9" w:rsidRPr="00953311" w14:paraId="5D160F80" w14:textId="77777777">
        <w:trPr>
          <w:cantSplit/>
          <w:trHeight w:val="192"/>
          <w:tblHeader/>
        </w:trPr>
        <w:tc>
          <w:tcPr>
            <w:tcW w:w="9016" w:type="dxa"/>
          </w:tcPr>
          <w:p w14:paraId="22FCF37F" w14:textId="77777777" w:rsidR="008979C9" w:rsidRPr="00953311" w:rsidRDefault="008979C9" w:rsidP="008979C9">
            <w:pPr>
              <w:pStyle w:val="COMTabletext"/>
              <w:spacing w:before="120"/>
            </w:pPr>
            <w:r w:rsidRPr="00953311">
              <w:t>Category 2 – DIAGNOSTIC PROCEDURES AND INVESTIGATIONS</w:t>
            </w:r>
          </w:p>
        </w:tc>
      </w:tr>
      <w:tr w:rsidR="008979C9" w:rsidRPr="00953311" w14:paraId="054F7298" w14:textId="77777777">
        <w:trPr>
          <w:cantSplit/>
          <w:tblHeader/>
        </w:trPr>
        <w:tc>
          <w:tcPr>
            <w:tcW w:w="9016" w:type="dxa"/>
          </w:tcPr>
          <w:p w14:paraId="325D7C77" w14:textId="77777777" w:rsidR="008979C9" w:rsidRPr="00953311" w:rsidRDefault="008979C9" w:rsidP="008979C9">
            <w:pPr>
              <w:pStyle w:val="COMTabletext"/>
              <w:spacing w:before="120"/>
              <w:rPr>
                <w:szCs w:val="20"/>
                <w:lang w:val="en-US" w:eastAsia="ja-JP"/>
              </w:rPr>
            </w:pPr>
            <w:r w:rsidRPr="00953311">
              <w:rPr>
                <w:szCs w:val="20"/>
                <w:lang w:val="en-US" w:eastAsia="ja-JP"/>
              </w:rPr>
              <w:t>MBS item 12320</w:t>
            </w:r>
          </w:p>
          <w:p w14:paraId="477CA856" w14:textId="77777777" w:rsidR="008979C9" w:rsidRPr="00953311" w:rsidRDefault="008979C9" w:rsidP="008979C9">
            <w:pPr>
              <w:pStyle w:val="COMTabletext"/>
              <w:spacing w:before="120"/>
              <w:rPr>
                <w:szCs w:val="20"/>
              </w:rPr>
            </w:pPr>
            <w:r w:rsidRPr="00953311">
              <w:rPr>
                <w:szCs w:val="20"/>
              </w:rPr>
              <w:t xml:space="preserve">Bone densitometry, using dual energy X-ray absorptiometry or quantitative computed tomography, involving the measurement of 2 or more sites (including interpretation and reporting) for measurement of bone mineral density, if: </w:t>
            </w:r>
          </w:p>
          <w:p w14:paraId="1452D38C" w14:textId="77777777" w:rsidR="008979C9" w:rsidRPr="00953311" w:rsidRDefault="008979C9" w:rsidP="008979C9">
            <w:pPr>
              <w:pStyle w:val="COMTabletext"/>
              <w:spacing w:before="120"/>
              <w:rPr>
                <w:szCs w:val="20"/>
              </w:rPr>
            </w:pPr>
            <w:r w:rsidRPr="00953311">
              <w:rPr>
                <w:szCs w:val="20"/>
              </w:rPr>
              <w:t xml:space="preserve">(a) the patient is </w:t>
            </w:r>
            <w:r w:rsidRPr="00953311">
              <w:rPr>
                <w:color w:val="0070C0"/>
                <w:szCs w:val="20"/>
                <w:u w:val="single"/>
              </w:rPr>
              <w:t>60</w:t>
            </w:r>
            <w:r w:rsidRPr="00953311">
              <w:rPr>
                <w:color w:val="0070C0"/>
                <w:szCs w:val="20"/>
              </w:rPr>
              <w:t xml:space="preserve"> </w:t>
            </w:r>
            <w:r w:rsidRPr="00953311">
              <w:rPr>
                <w:strike/>
                <w:color w:val="0070C0"/>
                <w:szCs w:val="20"/>
              </w:rPr>
              <w:t>70</w:t>
            </w:r>
            <w:r w:rsidRPr="00953311">
              <w:rPr>
                <w:color w:val="0070C0"/>
                <w:szCs w:val="20"/>
              </w:rPr>
              <w:t xml:space="preserve"> </w:t>
            </w:r>
            <w:r w:rsidRPr="00953311">
              <w:rPr>
                <w:szCs w:val="20"/>
              </w:rPr>
              <w:t xml:space="preserve">years of age or over, and </w:t>
            </w:r>
          </w:p>
          <w:p w14:paraId="488A4F57" w14:textId="77777777" w:rsidR="008979C9" w:rsidRPr="00953311" w:rsidRDefault="008979C9" w:rsidP="008979C9">
            <w:pPr>
              <w:pStyle w:val="COMTabletext"/>
              <w:spacing w:before="120"/>
              <w:rPr>
                <w:szCs w:val="20"/>
              </w:rPr>
            </w:pPr>
            <w:r w:rsidRPr="00953311">
              <w:rPr>
                <w:szCs w:val="20"/>
              </w:rPr>
              <w:t>(b) either:</w:t>
            </w:r>
          </w:p>
          <w:p w14:paraId="7D12A042" w14:textId="77777777" w:rsidR="008979C9" w:rsidRPr="00953311" w:rsidRDefault="008979C9" w:rsidP="008979C9">
            <w:pPr>
              <w:pStyle w:val="COMTabletext"/>
              <w:spacing w:before="120"/>
              <w:rPr>
                <w:szCs w:val="20"/>
              </w:rPr>
            </w:pPr>
            <w:r w:rsidRPr="00953311">
              <w:rPr>
                <w:szCs w:val="20"/>
              </w:rPr>
              <w:t xml:space="preserve">      (</w:t>
            </w:r>
            <w:proofErr w:type="spellStart"/>
            <w:r w:rsidRPr="00953311">
              <w:rPr>
                <w:szCs w:val="20"/>
              </w:rPr>
              <w:t>i</w:t>
            </w:r>
            <w:proofErr w:type="spellEnd"/>
            <w:r w:rsidRPr="00953311">
              <w:rPr>
                <w:szCs w:val="20"/>
              </w:rPr>
              <w:t>)  the patient has not previously had bone densitometry; or</w:t>
            </w:r>
          </w:p>
          <w:p w14:paraId="4E9AF425" w14:textId="77777777" w:rsidR="008979C9" w:rsidRPr="00953311" w:rsidRDefault="008979C9" w:rsidP="008979C9">
            <w:pPr>
              <w:pStyle w:val="COMTabletext"/>
              <w:spacing w:before="120"/>
              <w:rPr>
                <w:szCs w:val="20"/>
              </w:rPr>
            </w:pPr>
            <w:r w:rsidRPr="00953311">
              <w:rPr>
                <w:szCs w:val="20"/>
              </w:rPr>
              <w:t xml:space="preserve">      (ii) the t-score for the patient's bone mineral density is -1.5 or </w:t>
            </w:r>
            <w:proofErr w:type="gramStart"/>
            <w:r w:rsidRPr="00953311">
              <w:rPr>
                <w:szCs w:val="20"/>
              </w:rPr>
              <w:t>more;</w:t>
            </w:r>
            <w:proofErr w:type="gramEnd"/>
            <w:r w:rsidRPr="00953311">
              <w:rPr>
                <w:szCs w:val="20"/>
              </w:rPr>
              <w:t xml:space="preserve"> </w:t>
            </w:r>
          </w:p>
          <w:p w14:paraId="29950623" w14:textId="77777777" w:rsidR="008979C9" w:rsidRPr="00953311" w:rsidRDefault="008979C9" w:rsidP="008979C9">
            <w:pPr>
              <w:pStyle w:val="COMTabletext"/>
              <w:spacing w:before="120"/>
              <w:rPr>
                <w:szCs w:val="20"/>
              </w:rPr>
            </w:pPr>
            <w:r w:rsidRPr="00953311">
              <w:rPr>
                <w:szCs w:val="20"/>
              </w:rPr>
              <w:t xml:space="preserve">other than a service associated with a service to which item 12306, 12312, 12315, 12321 or 12322 </w:t>
            </w:r>
            <w:proofErr w:type="gramStart"/>
            <w:r w:rsidRPr="00953311">
              <w:rPr>
                <w:szCs w:val="20"/>
              </w:rPr>
              <w:t>applies</w:t>
            </w:r>
            <w:proofErr w:type="gramEnd"/>
            <w:r w:rsidRPr="00953311">
              <w:rPr>
                <w:szCs w:val="20"/>
              </w:rPr>
              <w:t xml:space="preserve"> </w:t>
            </w:r>
          </w:p>
          <w:p w14:paraId="55192642" w14:textId="77777777" w:rsidR="008979C9" w:rsidRPr="00953311" w:rsidRDefault="008979C9" w:rsidP="008979C9">
            <w:pPr>
              <w:pStyle w:val="COMTabletext"/>
              <w:spacing w:before="120"/>
              <w:rPr>
                <w:szCs w:val="20"/>
              </w:rPr>
            </w:pPr>
            <w:r w:rsidRPr="00953311">
              <w:rPr>
                <w:szCs w:val="20"/>
              </w:rPr>
              <w:t xml:space="preserve">For any particular patient, once only in a </w:t>
            </w:r>
            <w:proofErr w:type="gramStart"/>
            <w:r w:rsidRPr="00953311">
              <w:rPr>
                <w:szCs w:val="20"/>
              </w:rPr>
              <w:t>5 year</w:t>
            </w:r>
            <w:proofErr w:type="gramEnd"/>
            <w:r w:rsidRPr="00953311">
              <w:rPr>
                <w:szCs w:val="20"/>
              </w:rPr>
              <w:t xml:space="preserve"> period</w:t>
            </w:r>
          </w:p>
          <w:p w14:paraId="1129817E" w14:textId="3690D490" w:rsidR="008979C9" w:rsidRPr="00953311" w:rsidRDefault="008979C9" w:rsidP="00E15F2E">
            <w:pPr>
              <w:pStyle w:val="COMTabletext"/>
              <w:spacing w:before="120" w:after="240"/>
              <w:rPr>
                <w:szCs w:val="20"/>
              </w:rPr>
            </w:pPr>
            <w:r w:rsidRPr="00953311">
              <w:rPr>
                <w:szCs w:val="20"/>
              </w:rPr>
              <w:t>Other relevant notes from DN.1.18, Bone Densitometry (Items 12306 to 12322)</w:t>
            </w:r>
          </w:p>
          <w:p w14:paraId="005984FC" w14:textId="77777777" w:rsidR="008979C9" w:rsidRPr="00953311" w:rsidRDefault="008979C9" w:rsidP="008979C9">
            <w:pPr>
              <w:pStyle w:val="COMTabletext"/>
              <w:spacing w:before="120"/>
              <w:rPr>
                <w:szCs w:val="20"/>
              </w:rPr>
            </w:pPr>
            <w:r w:rsidRPr="00953311">
              <w:rPr>
                <w:szCs w:val="20"/>
              </w:rPr>
              <w:t>Fee: $112.15; Benefit: 75% = $84.15, 85% = $95.35</w:t>
            </w:r>
          </w:p>
        </w:tc>
      </w:tr>
      <w:tr w:rsidR="008979C9" w:rsidRPr="00953311" w14:paraId="3390C9D2" w14:textId="77777777">
        <w:trPr>
          <w:cantSplit/>
          <w:trHeight w:val="223"/>
          <w:tblHeader/>
        </w:trPr>
        <w:tc>
          <w:tcPr>
            <w:tcW w:w="9016" w:type="dxa"/>
          </w:tcPr>
          <w:p w14:paraId="53EBE9CA" w14:textId="77777777" w:rsidR="008979C9" w:rsidRPr="00953311" w:rsidRDefault="008979C9" w:rsidP="008979C9">
            <w:pPr>
              <w:pStyle w:val="COMTabletext"/>
              <w:spacing w:before="120"/>
            </w:pPr>
            <w:r w:rsidRPr="00953311">
              <w:t>MBS item 12322</w:t>
            </w:r>
          </w:p>
          <w:p w14:paraId="1C74D7EB" w14:textId="77777777" w:rsidR="008979C9" w:rsidRPr="00953311" w:rsidRDefault="008979C9" w:rsidP="008979C9">
            <w:pPr>
              <w:pStyle w:val="COMTabletext"/>
              <w:spacing w:before="120"/>
            </w:pPr>
            <w:r w:rsidRPr="00953311">
              <w:t xml:space="preserve">Bone densitometry, using dual energy X-ray absorptiometry or quantitative computed tomography, involving the measurement of 2 or more sites (including interpretation and reporting) for measurement of bone mineral density, if: </w:t>
            </w:r>
          </w:p>
          <w:p w14:paraId="498C046C" w14:textId="77777777" w:rsidR="008979C9" w:rsidRPr="00953311" w:rsidRDefault="008979C9" w:rsidP="008979C9">
            <w:pPr>
              <w:pStyle w:val="COMTabletext"/>
              <w:spacing w:before="120"/>
            </w:pPr>
            <w:r w:rsidRPr="00953311">
              <w:t xml:space="preserve">(a) the patient is </w:t>
            </w:r>
            <w:r w:rsidRPr="00953311">
              <w:rPr>
                <w:color w:val="0070C0"/>
                <w:szCs w:val="20"/>
                <w:u w:val="single"/>
              </w:rPr>
              <w:t>60</w:t>
            </w:r>
            <w:r w:rsidRPr="00953311">
              <w:rPr>
                <w:color w:val="0070C0"/>
                <w:szCs w:val="20"/>
              </w:rPr>
              <w:t xml:space="preserve"> </w:t>
            </w:r>
            <w:r w:rsidRPr="00953311">
              <w:rPr>
                <w:strike/>
                <w:color w:val="0070C0"/>
                <w:szCs w:val="20"/>
              </w:rPr>
              <w:t>70</w:t>
            </w:r>
            <w:r w:rsidRPr="00953311">
              <w:rPr>
                <w:color w:val="0070C0"/>
                <w:szCs w:val="20"/>
              </w:rPr>
              <w:t xml:space="preserve"> </w:t>
            </w:r>
            <w:r w:rsidRPr="00953311">
              <w:t xml:space="preserve">years of age or over; and </w:t>
            </w:r>
          </w:p>
          <w:p w14:paraId="1B9289F7" w14:textId="77777777" w:rsidR="008979C9" w:rsidRPr="00953311" w:rsidRDefault="008979C9" w:rsidP="008979C9">
            <w:pPr>
              <w:pStyle w:val="COMTabletext"/>
              <w:spacing w:before="120"/>
            </w:pPr>
            <w:r w:rsidRPr="00953311">
              <w:t xml:space="preserve">(b) the t-score for the patient's bone mineral density is less than -1.5 but more than </w:t>
            </w:r>
            <w:proofErr w:type="gramStart"/>
            <w:r w:rsidRPr="00953311">
              <w:t>-2.5;</w:t>
            </w:r>
            <w:proofErr w:type="gramEnd"/>
            <w:r w:rsidRPr="00953311">
              <w:t xml:space="preserve"> </w:t>
            </w:r>
          </w:p>
          <w:p w14:paraId="5FC37D54" w14:textId="77777777" w:rsidR="008979C9" w:rsidRPr="00953311" w:rsidRDefault="008979C9" w:rsidP="008979C9">
            <w:pPr>
              <w:pStyle w:val="COMTabletext"/>
              <w:spacing w:before="120"/>
            </w:pPr>
            <w:r w:rsidRPr="00953311">
              <w:t xml:space="preserve">other than a service associated with a service to which item 12306, 12312, 12315, 12320 or 12321 </w:t>
            </w:r>
            <w:proofErr w:type="gramStart"/>
            <w:r w:rsidRPr="00953311">
              <w:t>applies</w:t>
            </w:r>
            <w:proofErr w:type="gramEnd"/>
            <w:r w:rsidRPr="00953311">
              <w:t xml:space="preserve"> </w:t>
            </w:r>
          </w:p>
          <w:p w14:paraId="69ABECFC" w14:textId="77777777" w:rsidR="008979C9" w:rsidRPr="00953311" w:rsidRDefault="008979C9" w:rsidP="008979C9">
            <w:pPr>
              <w:pStyle w:val="COMTabletext"/>
              <w:spacing w:before="120"/>
            </w:pPr>
            <w:r w:rsidRPr="00953311">
              <w:t xml:space="preserve">For any particular patient, once only in a </w:t>
            </w:r>
            <w:proofErr w:type="gramStart"/>
            <w:r w:rsidRPr="00953311">
              <w:t>2 year</w:t>
            </w:r>
            <w:proofErr w:type="gramEnd"/>
            <w:r w:rsidRPr="00953311">
              <w:t xml:space="preserve"> period  </w:t>
            </w:r>
          </w:p>
          <w:p w14:paraId="7B2FC3AC" w14:textId="30A3ADA2" w:rsidR="008979C9" w:rsidRPr="00953311" w:rsidRDefault="008979C9" w:rsidP="00E15F2E">
            <w:pPr>
              <w:pStyle w:val="COMTabletext"/>
              <w:spacing w:before="120" w:after="240"/>
              <w:rPr>
                <w:szCs w:val="20"/>
              </w:rPr>
            </w:pPr>
            <w:r w:rsidRPr="00953311">
              <w:rPr>
                <w:szCs w:val="20"/>
              </w:rPr>
              <w:t>Other relevant notes from DN.1.18, Bone Densitometry (Items 12306 to 12322)</w:t>
            </w:r>
          </w:p>
          <w:p w14:paraId="7272A780" w14:textId="77777777" w:rsidR="008979C9" w:rsidRPr="00953311" w:rsidRDefault="008979C9" w:rsidP="008979C9">
            <w:pPr>
              <w:pStyle w:val="COMTabletext"/>
              <w:spacing w:before="120"/>
            </w:pPr>
            <w:r w:rsidRPr="00953311">
              <w:rPr>
                <w:szCs w:val="20"/>
              </w:rPr>
              <w:t>Fee: $112.15; Benefit: 75% = $84.15, 85% = $95.35</w:t>
            </w:r>
          </w:p>
        </w:tc>
      </w:tr>
    </w:tbl>
    <w:p w14:paraId="549B3B8E" w14:textId="1C59684A" w:rsidR="008979C9" w:rsidRPr="004D5C3A" w:rsidRDefault="006667AC" w:rsidP="006667AC">
      <w:pPr>
        <w:pStyle w:val="Heading2"/>
        <w:numPr>
          <w:ilvl w:val="1"/>
          <w:numId w:val="0"/>
        </w:numPr>
      </w:pPr>
      <w:bookmarkStart w:id="8" w:name="_Toc150177175"/>
      <w:r>
        <w:t>7.</w:t>
      </w:r>
      <w:r>
        <w:tab/>
      </w:r>
      <w:r w:rsidR="008979C9" w:rsidRPr="004D5C3A">
        <w:t>Population</w:t>
      </w:r>
      <w:bookmarkEnd w:id="8"/>
      <w:r w:rsidR="008979C9" w:rsidRPr="004D5C3A">
        <w:t xml:space="preserve"> </w:t>
      </w:r>
    </w:p>
    <w:p w14:paraId="62488E40" w14:textId="77777777" w:rsidR="008979C9" w:rsidRPr="006667AC" w:rsidRDefault="008979C9" w:rsidP="008979C9">
      <w:pPr>
        <w:pStyle w:val="COMBody"/>
        <w:rPr>
          <w:rFonts w:cstheme="minorHAnsi"/>
        </w:rPr>
      </w:pPr>
      <w:r w:rsidRPr="006667AC">
        <w:rPr>
          <w:rFonts w:cstheme="minorHAnsi"/>
        </w:rPr>
        <w:t>The proposed population is individuals aged 60 to 69 years with no prior minimal trauma fracture or conditions associated with rapid bone loss. Eligibility criteria are based on current MBS bone densitometry items for individuals aged 70 years and above (item 12320 for individuals with no prior test or BMD T-score is -1.5 or more, and item 12322 for individuals with BMD T-score less than -1.5 but more than -2.5).</w:t>
      </w:r>
    </w:p>
    <w:p w14:paraId="14861B06" w14:textId="586F8085" w:rsidR="008979C9" w:rsidRPr="004D5C3A" w:rsidRDefault="006667AC" w:rsidP="006667AC">
      <w:pPr>
        <w:pStyle w:val="Heading2"/>
        <w:numPr>
          <w:ilvl w:val="1"/>
          <w:numId w:val="0"/>
        </w:numPr>
      </w:pPr>
      <w:bookmarkStart w:id="9" w:name="_Toc150177176"/>
      <w:r>
        <w:t>8.</w:t>
      </w:r>
      <w:r>
        <w:tab/>
      </w:r>
      <w:r w:rsidR="008979C9" w:rsidRPr="004D5C3A">
        <w:t>Comparator</w:t>
      </w:r>
      <w:bookmarkEnd w:id="9"/>
    </w:p>
    <w:p w14:paraId="77C76CA0" w14:textId="77777777" w:rsidR="008979C9" w:rsidRDefault="008979C9" w:rsidP="008979C9">
      <w:pPr>
        <w:pStyle w:val="COMBody"/>
        <w:rPr>
          <w:rFonts w:cstheme="minorHAnsi"/>
        </w:rPr>
      </w:pPr>
      <w:r w:rsidRPr="006667AC">
        <w:rPr>
          <w:rFonts w:cstheme="minorHAnsi"/>
        </w:rPr>
        <w:t xml:space="preserve">The comparator is standard care (i.e., no testing and standard medical management), including age-appropriate general lifestyle and bone health advice (e.g., exercise, sunshine, diet, </w:t>
      </w:r>
      <w:proofErr w:type="gramStart"/>
      <w:r w:rsidRPr="006667AC">
        <w:rPr>
          <w:rFonts w:cstheme="minorHAnsi"/>
        </w:rPr>
        <w:t>calcium</w:t>
      </w:r>
      <w:proofErr w:type="gramEnd"/>
      <w:r w:rsidRPr="006667AC">
        <w:rPr>
          <w:rFonts w:cstheme="minorHAnsi"/>
        </w:rPr>
        <w:t xml:space="preserve"> and vitamin D supplements when required).</w:t>
      </w:r>
    </w:p>
    <w:p w14:paraId="11BE9896" w14:textId="77777777" w:rsidR="006667AC" w:rsidRPr="00CE28E3" w:rsidRDefault="006667AC" w:rsidP="004B0E19">
      <w:pPr>
        <w:pStyle w:val="Heading2"/>
      </w:pPr>
      <w:bookmarkStart w:id="10" w:name="_Toc69491421"/>
      <w:r>
        <w:lastRenderedPageBreak/>
        <w:t>9.</w:t>
      </w:r>
      <w:r>
        <w:tab/>
      </w:r>
      <w:r w:rsidRPr="00CE28E3">
        <w:t xml:space="preserve">Summary of public consultation </w:t>
      </w:r>
      <w:r>
        <w:t>input</w:t>
      </w:r>
      <w:bookmarkEnd w:id="10"/>
    </w:p>
    <w:p w14:paraId="3FEC3083" w14:textId="77777777" w:rsidR="00E87379" w:rsidRPr="00E87379" w:rsidRDefault="00E87379" w:rsidP="004B0E19">
      <w:pPr>
        <w:pStyle w:val="paragraph"/>
        <w:keepNext/>
        <w:keepLines/>
        <w:spacing w:before="0" w:beforeAutospacing="0" w:after="120" w:afterAutospacing="0"/>
        <w:textAlignment w:val="baseline"/>
        <w:rPr>
          <w:rFonts w:ascii="Franklin Gothic Book" w:hAnsi="Franklin Gothic Book" w:cs="Segoe UI"/>
          <w:sz w:val="18"/>
          <w:szCs w:val="18"/>
        </w:rPr>
      </w:pPr>
      <w:r w:rsidRPr="00E87379">
        <w:rPr>
          <w:rStyle w:val="normaltextrun"/>
          <w:rFonts w:ascii="Franklin Gothic Book" w:eastAsiaTheme="majorEastAsia" w:hAnsi="Franklin Gothic Book" w:cs="Calibri"/>
          <w:sz w:val="22"/>
          <w:szCs w:val="22"/>
        </w:rPr>
        <w:t>Consultation input was received from five (5) professional organisations and one (1) consumer organisation: </w:t>
      </w:r>
      <w:r w:rsidRPr="00E87379">
        <w:rPr>
          <w:rStyle w:val="eop"/>
          <w:rFonts w:ascii="Franklin Gothic Book" w:eastAsiaTheme="majorEastAsia" w:hAnsi="Franklin Gothic Book" w:cs="Calibri"/>
          <w:sz w:val="22"/>
          <w:szCs w:val="22"/>
        </w:rPr>
        <w:t> </w:t>
      </w:r>
    </w:p>
    <w:p w14:paraId="630DEC54" w14:textId="77777777" w:rsidR="00E87379" w:rsidRPr="00E87379" w:rsidRDefault="00E87379" w:rsidP="004B0E19">
      <w:pPr>
        <w:pStyle w:val="paragraph"/>
        <w:keepNext/>
        <w:keepLines/>
        <w:numPr>
          <w:ilvl w:val="0"/>
          <w:numId w:val="18"/>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Australasian Association of Nuclear Medicine Specialists (AANMS)</w:t>
      </w:r>
      <w:r w:rsidRPr="00E87379">
        <w:rPr>
          <w:rStyle w:val="eop"/>
          <w:rFonts w:ascii="Franklin Gothic Book" w:eastAsiaTheme="majorEastAsia" w:hAnsi="Franklin Gothic Book" w:cs="Calibri"/>
          <w:sz w:val="22"/>
          <w:szCs w:val="22"/>
        </w:rPr>
        <w:t> </w:t>
      </w:r>
    </w:p>
    <w:p w14:paraId="28302B15" w14:textId="77777777" w:rsidR="00E87379" w:rsidRPr="00E87379" w:rsidRDefault="00E87379" w:rsidP="004B0E19">
      <w:pPr>
        <w:pStyle w:val="paragraph"/>
        <w:keepNext/>
        <w:keepLines/>
        <w:numPr>
          <w:ilvl w:val="0"/>
          <w:numId w:val="18"/>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Australian Rheumatology Association (ARA)</w:t>
      </w:r>
      <w:r w:rsidRPr="00E87379">
        <w:rPr>
          <w:rStyle w:val="eop"/>
          <w:rFonts w:ascii="Franklin Gothic Book" w:eastAsiaTheme="majorEastAsia" w:hAnsi="Franklin Gothic Book" w:cs="Calibri"/>
          <w:sz w:val="22"/>
          <w:szCs w:val="22"/>
        </w:rPr>
        <w:t> </w:t>
      </w:r>
    </w:p>
    <w:p w14:paraId="5AF192ED" w14:textId="77777777" w:rsidR="00E87379" w:rsidRPr="00E87379" w:rsidRDefault="00E87379" w:rsidP="004B0E19">
      <w:pPr>
        <w:pStyle w:val="paragraph"/>
        <w:keepNext/>
        <w:keepLines/>
        <w:numPr>
          <w:ilvl w:val="0"/>
          <w:numId w:val="18"/>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Australian Society of Medical Imaging and Radiation Therapy (ASMIRT)</w:t>
      </w:r>
      <w:r w:rsidRPr="00E87379">
        <w:rPr>
          <w:rStyle w:val="eop"/>
          <w:rFonts w:ascii="Franklin Gothic Book" w:eastAsiaTheme="majorEastAsia" w:hAnsi="Franklin Gothic Book" w:cs="Calibri"/>
          <w:sz w:val="22"/>
          <w:szCs w:val="22"/>
        </w:rPr>
        <w:t> </w:t>
      </w:r>
    </w:p>
    <w:p w14:paraId="009E8730" w14:textId="77777777" w:rsidR="00E87379" w:rsidRPr="00E87379" w:rsidRDefault="00E87379" w:rsidP="004B0E19">
      <w:pPr>
        <w:pStyle w:val="paragraph"/>
        <w:keepNext/>
        <w:keepLines/>
        <w:numPr>
          <w:ilvl w:val="0"/>
          <w:numId w:val="18"/>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Healthy Bones Australia </w:t>
      </w:r>
      <w:r w:rsidRPr="00E87379">
        <w:rPr>
          <w:rStyle w:val="eop"/>
          <w:rFonts w:ascii="Franklin Gothic Book" w:eastAsiaTheme="majorEastAsia" w:hAnsi="Franklin Gothic Book" w:cs="Calibri"/>
          <w:sz w:val="22"/>
          <w:szCs w:val="22"/>
        </w:rPr>
        <w:t> </w:t>
      </w:r>
    </w:p>
    <w:p w14:paraId="5CB4DDEE" w14:textId="77777777" w:rsidR="00E87379" w:rsidRPr="00E87379" w:rsidRDefault="00E87379" w:rsidP="004B0E19">
      <w:pPr>
        <w:pStyle w:val="paragraph"/>
        <w:keepNext/>
        <w:keepLines/>
        <w:numPr>
          <w:ilvl w:val="0"/>
          <w:numId w:val="18"/>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Queensland Aboriginal and Islander Health Council (QAIHC)</w:t>
      </w:r>
      <w:r w:rsidRPr="00E87379">
        <w:rPr>
          <w:rStyle w:val="eop"/>
          <w:rFonts w:ascii="Franklin Gothic Book" w:eastAsiaTheme="majorEastAsia" w:hAnsi="Franklin Gothic Book" w:cs="Calibri"/>
          <w:sz w:val="22"/>
          <w:szCs w:val="22"/>
        </w:rPr>
        <w:t> </w:t>
      </w:r>
    </w:p>
    <w:p w14:paraId="6497734E" w14:textId="67484A11" w:rsidR="00E87379" w:rsidRPr="00E87379" w:rsidRDefault="00E87379" w:rsidP="004B0E19">
      <w:pPr>
        <w:pStyle w:val="paragraph"/>
        <w:keepNext/>
        <w:keepLines/>
        <w:numPr>
          <w:ilvl w:val="0"/>
          <w:numId w:val="18"/>
        </w:numPr>
        <w:spacing w:before="0" w:beforeAutospacing="0" w:after="0" w:afterAutospacing="0"/>
        <w:textAlignment w:val="baseline"/>
        <w:rPr>
          <w:rStyle w:val="normaltextrun"/>
          <w:rFonts w:ascii="Franklin Gothic Book" w:eastAsiaTheme="majorEastAsia" w:hAnsi="Franklin Gothic Book" w:cs="Calibri"/>
          <w:sz w:val="22"/>
          <w:szCs w:val="22"/>
        </w:rPr>
      </w:pPr>
      <w:r w:rsidRPr="00E87379">
        <w:rPr>
          <w:rStyle w:val="normaltextrun"/>
          <w:rFonts w:ascii="Franklin Gothic Book" w:eastAsiaTheme="majorEastAsia" w:hAnsi="Franklin Gothic Book" w:cs="Calibri"/>
          <w:sz w:val="22"/>
          <w:szCs w:val="22"/>
        </w:rPr>
        <w:t>The Royal Australian College of General Practitioners (RACGP)</w:t>
      </w:r>
      <w:r w:rsidR="00BB5CB2">
        <w:rPr>
          <w:rStyle w:val="normaltextrun"/>
          <w:rFonts w:ascii="Franklin Gothic Book" w:eastAsiaTheme="majorEastAsia" w:hAnsi="Franklin Gothic Book" w:cs="Calibri"/>
          <w:sz w:val="22"/>
          <w:szCs w:val="22"/>
        </w:rPr>
        <w:t>.</w:t>
      </w:r>
    </w:p>
    <w:p w14:paraId="18044A4D" w14:textId="06BE47D8" w:rsidR="00CB70B5" w:rsidRPr="006D10EB" w:rsidRDefault="00CB70B5" w:rsidP="004B0E19">
      <w:pPr>
        <w:pStyle w:val="paragraph"/>
        <w:keepNext/>
        <w:keepLines/>
        <w:spacing w:before="240" w:beforeAutospacing="0" w:after="120" w:afterAutospacing="0"/>
        <w:textAlignment w:val="baseline"/>
        <w:rPr>
          <w:rStyle w:val="normaltextrun"/>
          <w:rFonts w:ascii="Franklin Gothic Book" w:eastAsiaTheme="majorEastAsia" w:hAnsi="Franklin Gothic Book" w:cs="Calibri"/>
          <w:i/>
          <w:iCs/>
          <w:sz w:val="22"/>
          <w:szCs w:val="22"/>
        </w:rPr>
      </w:pPr>
      <w:r>
        <w:rPr>
          <w:rStyle w:val="normaltextrun"/>
          <w:rFonts w:ascii="Franklin Gothic Book" w:eastAsiaTheme="majorEastAsia" w:hAnsi="Franklin Gothic Book" w:cs="Calibri"/>
          <w:sz w:val="22"/>
          <w:szCs w:val="22"/>
        </w:rPr>
        <w:t xml:space="preserve">The </w:t>
      </w:r>
      <w:r w:rsidRPr="00E87379">
        <w:rPr>
          <w:rStyle w:val="normaltextrun"/>
          <w:rFonts w:ascii="Franklin Gothic Book" w:eastAsiaTheme="majorEastAsia" w:hAnsi="Franklin Gothic Book" w:cs="Calibri"/>
          <w:sz w:val="22"/>
          <w:szCs w:val="22"/>
        </w:rPr>
        <w:t xml:space="preserve">RACGP was not supportive of the proposed amendments to MBS items 12320 and 12322, and recommended the BMD MBS items should continue to </w:t>
      </w:r>
      <w:r>
        <w:rPr>
          <w:rStyle w:val="normaltextrun"/>
          <w:rFonts w:ascii="Franklin Gothic Book" w:eastAsiaTheme="majorEastAsia" w:hAnsi="Franklin Gothic Book" w:cs="Calibri"/>
          <w:sz w:val="22"/>
          <w:szCs w:val="22"/>
        </w:rPr>
        <w:t xml:space="preserve">align with the </w:t>
      </w:r>
      <w:r w:rsidRPr="00E87379">
        <w:rPr>
          <w:rStyle w:val="normaltextrun"/>
          <w:rFonts w:ascii="Franklin Gothic Book" w:eastAsiaTheme="majorEastAsia" w:hAnsi="Franklin Gothic Book" w:cs="Calibri"/>
          <w:sz w:val="22"/>
          <w:szCs w:val="22"/>
        </w:rPr>
        <w:t>evidence-based recommendations</w:t>
      </w:r>
      <w:r>
        <w:rPr>
          <w:rStyle w:val="normaltextrun"/>
          <w:rFonts w:ascii="Franklin Gothic Book" w:eastAsiaTheme="majorEastAsia" w:hAnsi="Franklin Gothic Book" w:cs="Calibri"/>
          <w:sz w:val="22"/>
          <w:szCs w:val="22"/>
        </w:rPr>
        <w:t xml:space="preserve"> outlined in the RACGP’s </w:t>
      </w:r>
      <w:r w:rsidRPr="006D10EB">
        <w:rPr>
          <w:rStyle w:val="normaltextrun"/>
          <w:rFonts w:ascii="Franklin Gothic Book" w:eastAsiaTheme="majorEastAsia" w:hAnsi="Franklin Gothic Book" w:cs="Calibri"/>
          <w:i/>
          <w:iCs/>
          <w:sz w:val="22"/>
          <w:szCs w:val="22"/>
        </w:rPr>
        <w:t xml:space="preserve">Osteoporosis prevention, diagnosis and management </w:t>
      </w:r>
      <w:r>
        <w:rPr>
          <w:rStyle w:val="normaltextrun"/>
          <w:rFonts w:ascii="Franklin Gothic Book" w:eastAsiaTheme="majorEastAsia" w:hAnsi="Franklin Gothic Book" w:cs="Calibri"/>
          <w:i/>
          <w:iCs/>
          <w:sz w:val="22"/>
          <w:szCs w:val="22"/>
        </w:rPr>
        <w:t>i</w:t>
      </w:r>
      <w:r w:rsidRPr="006D10EB">
        <w:rPr>
          <w:rStyle w:val="normaltextrun"/>
          <w:rFonts w:ascii="Franklin Gothic Book" w:eastAsiaTheme="majorEastAsia" w:hAnsi="Franklin Gothic Book" w:cs="Calibri"/>
          <w:i/>
          <w:iCs/>
          <w:sz w:val="22"/>
          <w:szCs w:val="22"/>
        </w:rPr>
        <w:t>n postmenopausal women and men over 50</w:t>
      </w:r>
      <w:r>
        <w:rPr>
          <w:rStyle w:val="normaltextrun"/>
          <w:rFonts w:ascii="Franklin Gothic Book" w:eastAsiaTheme="majorEastAsia" w:hAnsi="Franklin Gothic Book" w:cs="Calibri"/>
          <w:sz w:val="22"/>
          <w:szCs w:val="22"/>
        </w:rPr>
        <w:t xml:space="preserve"> guidance and the </w:t>
      </w:r>
      <w:r w:rsidRPr="006D10EB">
        <w:rPr>
          <w:rStyle w:val="normaltextrun"/>
          <w:rFonts w:ascii="Franklin Gothic Book" w:eastAsiaTheme="majorEastAsia" w:hAnsi="Franklin Gothic Book" w:cs="Calibri"/>
          <w:i/>
          <w:iCs/>
          <w:sz w:val="22"/>
          <w:szCs w:val="22"/>
        </w:rPr>
        <w:t>RACGP Guidelines for preventive activities in general practice 9th edition (Red Book)</w:t>
      </w:r>
      <w:r>
        <w:rPr>
          <w:rStyle w:val="normaltextrun"/>
          <w:rFonts w:ascii="Franklin Gothic Book" w:eastAsiaTheme="majorEastAsia" w:hAnsi="Franklin Gothic Book" w:cs="Calibri"/>
          <w:i/>
          <w:iCs/>
          <w:sz w:val="22"/>
          <w:szCs w:val="22"/>
        </w:rPr>
        <w:t>.</w:t>
      </w:r>
    </w:p>
    <w:p w14:paraId="301EB373" w14:textId="7C0BA337" w:rsidR="00E87379" w:rsidRPr="00E87379" w:rsidRDefault="00CB70B5" w:rsidP="00E87379">
      <w:pPr>
        <w:pStyle w:val="paragraph"/>
        <w:spacing w:before="240" w:beforeAutospacing="0" w:after="120" w:afterAutospacing="0"/>
        <w:textAlignment w:val="baseline"/>
        <w:rPr>
          <w:rFonts w:ascii="Franklin Gothic Book" w:eastAsiaTheme="majorEastAsia" w:hAnsi="Franklin Gothic Book" w:cs="Calibri"/>
          <w:sz w:val="22"/>
          <w:szCs w:val="22"/>
        </w:rPr>
      </w:pPr>
      <w:r>
        <w:rPr>
          <w:rStyle w:val="normaltextrun"/>
          <w:rFonts w:ascii="Franklin Gothic Book" w:eastAsiaTheme="majorEastAsia" w:hAnsi="Franklin Gothic Book" w:cs="Calibri"/>
          <w:sz w:val="22"/>
          <w:szCs w:val="22"/>
        </w:rPr>
        <w:t>The other f</w:t>
      </w:r>
      <w:r w:rsidR="00E87379" w:rsidRPr="00E87379">
        <w:rPr>
          <w:rStyle w:val="normaltextrun"/>
          <w:rFonts w:ascii="Franklin Gothic Book" w:eastAsiaTheme="majorEastAsia" w:hAnsi="Franklin Gothic Book" w:cs="Calibri"/>
          <w:sz w:val="22"/>
          <w:szCs w:val="22"/>
        </w:rPr>
        <w:t>ive organisations indicated support for the application and feedback noted that: </w:t>
      </w:r>
      <w:r w:rsidR="00E87379" w:rsidRPr="00E87379">
        <w:rPr>
          <w:rStyle w:val="eop"/>
          <w:rFonts w:ascii="Franklin Gothic Book" w:eastAsiaTheme="majorEastAsia" w:hAnsi="Franklin Gothic Book" w:cs="Calibri"/>
          <w:sz w:val="22"/>
          <w:szCs w:val="22"/>
        </w:rPr>
        <w:t> </w:t>
      </w:r>
    </w:p>
    <w:p w14:paraId="24D71E1E" w14:textId="77777777" w:rsidR="00E87379" w:rsidRPr="00E87379" w:rsidRDefault="00E87379" w:rsidP="00E87379">
      <w:pPr>
        <w:pStyle w:val="paragraph"/>
        <w:numPr>
          <w:ilvl w:val="0"/>
          <w:numId w:val="41"/>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The prevalence of poor bone health in the 60-69 age cohort is high.</w:t>
      </w:r>
      <w:r w:rsidRPr="00E87379">
        <w:rPr>
          <w:rStyle w:val="eop"/>
          <w:rFonts w:ascii="Franklin Gothic Book" w:eastAsiaTheme="majorEastAsia" w:hAnsi="Franklin Gothic Book" w:cs="Calibri"/>
          <w:sz w:val="22"/>
          <w:szCs w:val="22"/>
        </w:rPr>
        <w:t> </w:t>
      </w:r>
    </w:p>
    <w:p w14:paraId="4690B382" w14:textId="77777777" w:rsidR="00E87379" w:rsidRDefault="00E87379" w:rsidP="00E87379">
      <w:pPr>
        <w:pStyle w:val="paragraph"/>
        <w:numPr>
          <w:ilvl w:val="0"/>
          <w:numId w:val="41"/>
        </w:numPr>
        <w:spacing w:before="0" w:beforeAutospacing="0" w:after="0" w:afterAutospacing="0"/>
        <w:textAlignment w:val="baseline"/>
        <w:rPr>
          <w:rFonts w:ascii="Franklin Gothic Book" w:eastAsiaTheme="majorEastAsia" w:hAnsi="Franklin Gothic Book" w:cs="Calibri"/>
          <w:sz w:val="22"/>
          <w:szCs w:val="22"/>
        </w:rPr>
      </w:pPr>
      <w:r w:rsidRPr="00E87379">
        <w:rPr>
          <w:rStyle w:val="normaltextrun"/>
          <w:rFonts w:ascii="Franklin Gothic Book" w:eastAsiaTheme="majorEastAsia" w:hAnsi="Franklin Gothic Book" w:cs="Calibri"/>
          <w:sz w:val="22"/>
          <w:szCs w:val="22"/>
        </w:rPr>
        <w:t>Osteoporosis is under-diagnosed as it has no overt symptoms, and it is often not</w:t>
      </w:r>
      <w:r>
        <w:rPr>
          <w:rStyle w:val="normaltextrun"/>
          <w:rFonts w:ascii="Franklin Gothic Book" w:eastAsiaTheme="majorEastAsia" w:hAnsi="Franklin Gothic Book" w:cs="Calibri"/>
          <w:sz w:val="22"/>
          <w:szCs w:val="22"/>
        </w:rPr>
        <w:t xml:space="preserve"> </w:t>
      </w:r>
      <w:r w:rsidRPr="00E87379">
        <w:rPr>
          <w:rStyle w:val="normaltextrun"/>
          <w:rFonts w:ascii="Franklin Gothic Book" w:eastAsiaTheme="majorEastAsia" w:hAnsi="Franklin Gothic Book" w:cs="Calibri"/>
          <w:sz w:val="22"/>
          <w:szCs w:val="22"/>
        </w:rPr>
        <w:t>diagnosed until a fracture occurs. </w:t>
      </w:r>
      <w:r w:rsidRPr="00E87379">
        <w:rPr>
          <w:rStyle w:val="eop"/>
          <w:rFonts w:ascii="Franklin Gothic Book" w:eastAsiaTheme="majorEastAsia" w:hAnsi="Franklin Gothic Book" w:cs="Calibri"/>
          <w:sz w:val="22"/>
          <w:szCs w:val="22"/>
        </w:rPr>
        <w:t> </w:t>
      </w:r>
    </w:p>
    <w:p w14:paraId="0F01E76F" w14:textId="46C10E5B" w:rsidR="00E87379" w:rsidRPr="00E87379" w:rsidRDefault="00E87379" w:rsidP="00E87379">
      <w:pPr>
        <w:pStyle w:val="paragraph"/>
        <w:spacing w:before="240" w:beforeAutospacing="0" w:after="120" w:afterAutospacing="0"/>
        <w:textAlignment w:val="baseline"/>
        <w:rPr>
          <w:rFonts w:ascii="Franklin Gothic Book" w:eastAsiaTheme="majorEastAsia" w:hAnsi="Franklin Gothic Book" w:cs="Calibri"/>
          <w:sz w:val="22"/>
          <w:szCs w:val="22"/>
        </w:rPr>
      </w:pPr>
      <w:r w:rsidRPr="00E87379">
        <w:rPr>
          <w:rStyle w:val="normaltextrun"/>
          <w:rFonts w:ascii="Franklin Gothic Book" w:eastAsiaTheme="majorEastAsia" w:hAnsi="Franklin Gothic Book" w:cs="Calibri"/>
          <w:b/>
          <w:bCs/>
          <w:sz w:val="22"/>
          <w:szCs w:val="22"/>
        </w:rPr>
        <w:t>Benefits </w:t>
      </w:r>
      <w:r w:rsidRPr="00E87379">
        <w:rPr>
          <w:rStyle w:val="eop"/>
          <w:rFonts w:ascii="Franklin Gothic Book" w:eastAsiaTheme="majorEastAsia" w:hAnsi="Franklin Gothic Book" w:cs="Calibri"/>
          <w:sz w:val="22"/>
          <w:szCs w:val="22"/>
        </w:rPr>
        <w:t> </w:t>
      </w:r>
    </w:p>
    <w:p w14:paraId="57184DD6" w14:textId="39CEE857" w:rsidR="00E87379" w:rsidRPr="00E87379" w:rsidRDefault="00E87379" w:rsidP="00E87379">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Reducing the age for reimbursed BMD testing will support improved diagnosis and treatment of osteoporosis in this age group, which will help prevent fractures</w:t>
      </w:r>
      <w:r w:rsidR="00823FC2">
        <w:rPr>
          <w:rStyle w:val="normaltextrun"/>
          <w:rFonts w:ascii="Franklin Gothic Book" w:eastAsiaTheme="majorEastAsia" w:hAnsi="Franklin Gothic Book" w:cs="Calibri"/>
          <w:sz w:val="22"/>
          <w:szCs w:val="22"/>
        </w:rPr>
        <w:t>.</w:t>
      </w:r>
      <w:r w:rsidRPr="00E87379">
        <w:rPr>
          <w:rStyle w:val="eop"/>
          <w:rFonts w:ascii="Franklin Gothic Book" w:eastAsiaTheme="majorEastAsia" w:hAnsi="Franklin Gothic Book" w:cs="Calibri"/>
          <w:sz w:val="22"/>
          <w:szCs w:val="22"/>
        </w:rPr>
        <w:t> </w:t>
      </w:r>
    </w:p>
    <w:p w14:paraId="6D85BFCE" w14:textId="3350C469" w:rsidR="00E87379" w:rsidRPr="00E87379" w:rsidRDefault="00E87379" w:rsidP="00E87379">
      <w:pPr>
        <w:pStyle w:val="paragraph"/>
        <w:numPr>
          <w:ilvl w:val="0"/>
          <w:numId w:val="40"/>
        </w:numPr>
        <w:spacing w:before="0" w:beforeAutospacing="0" w:after="0" w:afterAutospacing="0"/>
        <w:textAlignment w:val="baseline"/>
        <w:rPr>
          <w:rFonts w:ascii="Franklin Gothic Book" w:eastAsiaTheme="majorEastAsia" w:hAnsi="Franklin Gothic Book" w:cs="Calibri"/>
          <w:sz w:val="22"/>
          <w:szCs w:val="22"/>
        </w:rPr>
      </w:pPr>
      <w:r w:rsidRPr="00E87379">
        <w:rPr>
          <w:rStyle w:val="normaltextrun"/>
          <w:rFonts w:ascii="Franklin Gothic Book" w:eastAsiaTheme="majorEastAsia" w:hAnsi="Franklin Gothic Book" w:cs="Calibri"/>
          <w:sz w:val="22"/>
          <w:szCs w:val="22"/>
        </w:rPr>
        <w:t>Improving diagnosis and treatment of osteoporosis will assist in reducing the instances of bone fractures and its associated impact on quality of life, in addition to savings for the health system.</w:t>
      </w:r>
      <w:r w:rsidRPr="00E87379">
        <w:rPr>
          <w:rStyle w:val="eop"/>
          <w:rFonts w:ascii="Franklin Gothic Book" w:eastAsiaTheme="majorEastAsia" w:hAnsi="Franklin Gothic Book" w:cs="Calibri"/>
          <w:sz w:val="22"/>
          <w:szCs w:val="22"/>
        </w:rPr>
        <w:t> </w:t>
      </w:r>
    </w:p>
    <w:p w14:paraId="1C43B841" w14:textId="3C8BB53B" w:rsidR="00E87379" w:rsidRPr="00E87379" w:rsidRDefault="00E87379" w:rsidP="00E87379">
      <w:pPr>
        <w:pStyle w:val="paragraph"/>
        <w:spacing w:before="240" w:beforeAutospacing="0" w:after="120" w:afterAutospacing="0"/>
        <w:textAlignment w:val="baseline"/>
        <w:rPr>
          <w:rFonts w:ascii="Franklin Gothic Book" w:eastAsiaTheme="majorEastAsia" w:hAnsi="Franklin Gothic Book" w:cs="Calibri"/>
          <w:sz w:val="22"/>
          <w:szCs w:val="22"/>
        </w:rPr>
      </w:pPr>
      <w:r w:rsidRPr="00E87379">
        <w:rPr>
          <w:rStyle w:val="normaltextrun"/>
          <w:rFonts w:ascii="Franklin Gothic Book" w:eastAsiaTheme="majorEastAsia" w:hAnsi="Franklin Gothic Book" w:cs="Calibri"/>
          <w:b/>
          <w:bCs/>
          <w:sz w:val="22"/>
          <w:szCs w:val="22"/>
        </w:rPr>
        <w:t>Disadvantages /Implementation Issues</w:t>
      </w:r>
      <w:r w:rsidRPr="00E87379">
        <w:rPr>
          <w:rStyle w:val="eop"/>
          <w:rFonts w:ascii="Franklin Gothic Book" w:eastAsiaTheme="majorEastAsia" w:hAnsi="Franklin Gothic Book" w:cs="Calibri"/>
          <w:sz w:val="22"/>
          <w:szCs w:val="22"/>
        </w:rPr>
        <w:t> </w:t>
      </w:r>
    </w:p>
    <w:p w14:paraId="6D005AEB" w14:textId="247DC49E" w:rsidR="00E87379" w:rsidRPr="00E87379" w:rsidRDefault="00E87379" w:rsidP="00E87379">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A greater demand on dual energy X-ray absorptiometry (</w:t>
      </w:r>
      <w:r w:rsidR="00985F0E">
        <w:rPr>
          <w:rStyle w:val="normaltextrun"/>
          <w:rFonts w:ascii="Franklin Gothic Book" w:eastAsiaTheme="majorEastAsia" w:hAnsi="Franklin Gothic Book" w:cs="Calibri"/>
          <w:sz w:val="22"/>
          <w:szCs w:val="22"/>
        </w:rPr>
        <w:t>DEXA</w:t>
      </w:r>
      <w:r w:rsidRPr="00E87379">
        <w:rPr>
          <w:rStyle w:val="normaltextrun"/>
          <w:rFonts w:ascii="Franklin Gothic Book" w:eastAsiaTheme="majorEastAsia" w:hAnsi="Franklin Gothic Book" w:cs="Calibri"/>
          <w:sz w:val="22"/>
          <w:szCs w:val="22"/>
        </w:rPr>
        <w:t>) services.</w:t>
      </w:r>
      <w:r w:rsidRPr="00E87379">
        <w:rPr>
          <w:rStyle w:val="eop"/>
          <w:rFonts w:ascii="Franklin Gothic Book" w:eastAsiaTheme="majorEastAsia" w:hAnsi="Franklin Gothic Book" w:cs="Calibri"/>
          <w:sz w:val="22"/>
          <w:szCs w:val="22"/>
        </w:rPr>
        <w:t> </w:t>
      </w:r>
    </w:p>
    <w:p w14:paraId="41ACEA3F" w14:textId="77777777" w:rsidR="00E87379" w:rsidRPr="00E87379" w:rsidRDefault="00E87379" w:rsidP="00E87379">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Additional cost.</w:t>
      </w:r>
      <w:r w:rsidRPr="00E87379">
        <w:rPr>
          <w:rStyle w:val="eop"/>
          <w:rFonts w:ascii="Franklin Gothic Book" w:eastAsiaTheme="majorEastAsia" w:hAnsi="Franklin Gothic Book" w:cs="Calibri"/>
          <w:sz w:val="22"/>
          <w:szCs w:val="22"/>
        </w:rPr>
        <w:t> </w:t>
      </w:r>
    </w:p>
    <w:p w14:paraId="21A35CEA" w14:textId="2338F1C1" w:rsidR="00E87379" w:rsidRPr="00E87379" w:rsidRDefault="00E87379" w:rsidP="00E87379">
      <w:pPr>
        <w:pStyle w:val="paragraph"/>
        <w:numPr>
          <w:ilvl w:val="0"/>
          <w:numId w:val="40"/>
        </w:numPr>
        <w:spacing w:before="0" w:beforeAutospacing="0" w:after="0" w:afterAutospacing="0"/>
        <w:textAlignment w:val="baseline"/>
        <w:rPr>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 xml:space="preserve">Risk of </w:t>
      </w:r>
      <w:r w:rsidR="00917573">
        <w:rPr>
          <w:rStyle w:val="normaltextrun"/>
          <w:rFonts w:ascii="Franklin Gothic Book" w:eastAsiaTheme="majorEastAsia" w:hAnsi="Franklin Gothic Book" w:cs="Calibri"/>
          <w:sz w:val="22"/>
          <w:szCs w:val="22"/>
        </w:rPr>
        <w:t xml:space="preserve">harms from </w:t>
      </w:r>
      <w:r w:rsidRPr="00E87379">
        <w:rPr>
          <w:rStyle w:val="normaltextrun"/>
          <w:rFonts w:ascii="Franklin Gothic Book" w:eastAsiaTheme="majorEastAsia" w:hAnsi="Franklin Gothic Book" w:cs="Calibri"/>
          <w:sz w:val="22"/>
          <w:szCs w:val="22"/>
        </w:rPr>
        <w:t>over-screening (Radiation safety aspects).</w:t>
      </w:r>
      <w:r w:rsidRPr="00E87379">
        <w:rPr>
          <w:rStyle w:val="eop"/>
          <w:rFonts w:ascii="Franklin Gothic Book" w:eastAsiaTheme="majorEastAsia" w:hAnsi="Franklin Gothic Book" w:cs="Calibri"/>
          <w:sz w:val="22"/>
          <w:szCs w:val="22"/>
        </w:rPr>
        <w:t> </w:t>
      </w:r>
    </w:p>
    <w:p w14:paraId="3AE0754C" w14:textId="6EB31B9F" w:rsidR="00E87379" w:rsidRPr="00E87379" w:rsidRDefault="00E87379" w:rsidP="00E87379">
      <w:pPr>
        <w:pStyle w:val="paragraph"/>
        <w:numPr>
          <w:ilvl w:val="0"/>
          <w:numId w:val="40"/>
        </w:numPr>
        <w:spacing w:before="0" w:beforeAutospacing="0" w:after="0" w:afterAutospacing="0"/>
        <w:textAlignment w:val="baseline"/>
        <w:rPr>
          <w:rStyle w:val="normaltextrun"/>
          <w:rFonts w:ascii="Franklin Gothic Book" w:hAnsi="Franklin Gothic Book" w:cs="Calibri"/>
          <w:sz w:val="22"/>
          <w:szCs w:val="22"/>
        </w:rPr>
      </w:pPr>
      <w:r w:rsidRPr="00E87379">
        <w:rPr>
          <w:rStyle w:val="normaltextrun"/>
          <w:rFonts w:ascii="Franklin Gothic Book" w:eastAsiaTheme="majorEastAsia" w:hAnsi="Franklin Gothic Book" w:cs="Calibri"/>
          <w:sz w:val="22"/>
          <w:szCs w:val="22"/>
        </w:rPr>
        <w:t>Accessibility to the test may be impacted for people who most need and will benefit from receiving the test.</w:t>
      </w:r>
      <w:r w:rsidRPr="00E87379">
        <w:rPr>
          <w:rStyle w:val="eop"/>
          <w:rFonts w:ascii="Franklin Gothic Book" w:eastAsiaTheme="majorEastAsia" w:hAnsi="Franklin Gothic Book" w:cs="Calibri"/>
          <w:sz w:val="22"/>
          <w:szCs w:val="22"/>
        </w:rPr>
        <w:t> </w:t>
      </w:r>
    </w:p>
    <w:p w14:paraId="1140C7C7" w14:textId="68379061" w:rsidR="00E87379" w:rsidRPr="00E87379" w:rsidRDefault="00E87379" w:rsidP="00E87379">
      <w:pPr>
        <w:pStyle w:val="paragraph"/>
        <w:spacing w:before="240" w:beforeAutospacing="0" w:after="120" w:afterAutospacing="0"/>
        <w:textAlignment w:val="baseline"/>
        <w:rPr>
          <w:rFonts w:ascii="Franklin Gothic Book" w:eastAsiaTheme="majorEastAsia" w:hAnsi="Franklin Gothic Book" w:cs="Calibri"/>
          <w:sz w:val="22"/>
          <w:szCs w:val="22"/>
        </w:rPr>
      </w:pPr>
      <w:r w:rsidRPr="00E87379">
        <w:rPr>
          <w:rStyle w:val="normaltextrun"/>
          <w:rFonts w:ascii="Franklin Gothic Book" w:eastAsiaTheme="majorEastAsia" w:hAnsi="Franklin Gothic Book" w:cs="Calibri"/>
          <w:b/>
          <w:bCs/>
          <w:sz w:val="22"/>
          <w:szCs w:val="22"/>
        </w:rPr>
        <w:t>Other Feedback</w:t>
      </w:r>
      <w:r w:rsidRPr="00E87379">
        <w:rPr>
          <w:rStyle w:val="eop"/>
          <w:rFonts w:ascii="Franklin Gothic Book" w:eastAsiaTheme="majorEastAsia" w:hAnsi="Franklin Gothic Book" w:cs="Calibri"/>
          <w:sz w:val="22"/>
          <w:szCs w:val="22"/>
        </w:rPr>
        <w:t> </w:t>
      </w:r>
    </w:p>
    <w:p w14:paraId="1F86D9BC" w14:textId="04AC70E8" w:rsidR="00E87379" w:rsidRPr="00E87379" w:rsidRDefault="00E87379" w:rsidP="00E87379">
      <w:pPr>
        <w:pStyle w:val="paragraph"/>
        <w:spacing w:before="120" w:beforeAutospacing="0" w:after="160" w:afterAutospacing="0"/>
        <w:textAlignment w:val="baseline"/>
        <w:rPr>
          <w:rFonts w:ascii="Franklin Gothic Book" w:hAnsi="Franklin Gothic Book" w:cs="Segoe UI"/>
          <w:sz w:val="18"/>
          <w:szCs w:val="18"/>
        </w:rPr>
      </w:pPr>
      <w:r w:rsidRPr="00E87379">
        <w:rPr>
          <w:rStyle w:val="normaltextrun"/>
          <w:rFonts w:ascii="Franklin Gothic Book" w:eastAsiaTheme="majorEastAsia" w:hAnsi="Franklin Gothic Book" w:cs="Calibri"/>
          <w:sz w:val="22"/>
          <w:szCs w:val="22"/>
        </w:rPr>
        <w:t>The Queensland Aboriginal and Islander Health Council (QAIHC) noted that Aboriginal Community Controlled Health Organisations have provided feedback regarding the increase in requests for bone mineral density (BMD) assessments for Aboriginal and Torres Strait Islander peoples aged less than 70 years, with Aboriginal and Torres Strait Islander peoples having a substantially greater fracture risk than non-Indigenous Australians.</w:t>
      </w:r>
      <w:r w:rsidRPr="00E87379">
        <w:rPr>
          <w:rStyle w:val="eop"/>
          <w:rFonts w:ascii="Franklin Gothic Book" w:eastAsiaTheme="majorEastAsia" w:hAnsi="Franklin Gothic Book" w:cs="Calibri"/>
          <w:sz w:val="22"/>
          <w:szCs w:val="22"/>
        </w:rPr>
        <w:t> </w:t>
      </w:r>
    </w:p>
    <w:p w14:paraId="42384A53" w14:textId="1E79349D" w:rsidR="00E87379" w:rsidRPr="00E87379" w:rsidRDefault="00985F0E" w:rsidP="00E87379">
      <w:pPr>
        <w:pStyle w:val="paragraph"/>
        <w:spacing w:before="120" w:beforeAutospacing="0" w:after="160" w:afterAutospacing="0"/>
        <w:textAlignment w:val="baseline"/>
        <w:rPr>
          <w:rFonts w:ascii="Franklin Gothic Book" w:hAnsi="Franklin Gothic Book" w:cs="Segoe UI"/>
          <w:sz w:val="18"/>
          <w:szCs w:val="18"/>
        </w:rPr>
      </w:pPr>
      <w:r>
        <w:rPr>
          <w:rStyle w:val="normaltextrun"/>
          <w:rFonts w:ascii="Franklin Gothic Book" w:eastAsiaTheme="majorEastAsia" w:hAnsi="Franklin Gothic Book" w:cs="Calibri"/>
          <w:sz w:val="22"/>
          <w:szCs w:val="22"/>
        </w:rPr>
        <w:t>DEXA</w:t>
      </w:r>
      <w:r w:rsidR="00E87379" w:rsidRPr="00E87379">
        <w:rPr>
          <w:rStyle w:val="normaltextrun"/>
          <w:rFonts w:ascii="Franklin Gothic Book" w:eastAsiaTheme="majorEastAsia" w:hAnsi="Franklin Gothic Book" w:cs="Calibri"/>
          <w:sz w:val="22"/>
          <w:szCs w:val="22"/>
        </w:rPr>
        <w:t xml:space="preserve"> is the preferred tool for assessment of bone density due to lower radiation exposure than quantitative computed tomography and current Medicare item numbers restrict reimbursement for QCT to older individuals over 70 (item numbers 12320 and 12322). Thus, extending the age of the existing item numbers to include 60 to 69 years will require evaluation of the additional radiation exposure to a younger population, compared to the radiation dose of the alternative modality (</w:t>
      </w:r>
      <w:r>
        <w:rPr>
          <w:rStyle w:val="normaltextrun"/>
          <w:rFonts w:ascii="Franklin Gothic Book" w:eastAsiaTheme="majorEastAsia" w:hAnsi="Franklin Gothic Book" w:cs="Calibri"/>
          <w:sz w:val="22"/>
          <w:szCs w:val="22"/>
        </w:rPr>
        <w:t>DEXA</w:t>
      </w:r>
      <w:r w:rsidR="00E87379" w:rsidRPr="00E87379">
        <w:rPr>
          <w:rStyle w:val="normaltextrun"/>
          <w:rFonts w:ascii="Franklin Gothic Book" w:eastAsiaTheme="majorEastAsia" w:hAnsi="Franklin Gothic Book" w:cs="Calibri"/>
          <w:sz w:val="22"/>
          <w:szCs w:val="22"/>
        </w:rPr>
        <w:t>).</w:t>
      </w:r>
      <w:r w:rsidR="00E87379" w:rsidRPr="00E87379">
        <w:rPr>
          <w:rStyle w:val="eop"/>
          <w:rFonts w:ascii="Franklin Gothic Book" w:eastAsiaTheme="majorEastAsia" w:hAnsi="Franklin Gothic Book" w:cs="Calibri"/>
          <w:sz w:val="22"/>
          <w:szCs w:val="22"/>
        </w:rPr>
        <w:t> </w:t>
      </w:r>
    </w:p>
    <w:p w14:paraId="750CD7F6" w14:textId="37ABF885" w:rsidR="00E87379" w:rsidRPr="00E87379" w:rsidRDefault="00E87379" w:rsidP="00E87379">
      <w:pPr>
        <w:pStyle w:val="paragraph"/>
        <w:spacing w:before="120" w:beforeAutospacing="0" w:after="160" w:afterAutospacing="0"/>
        <w:textAlignment w:val="baseline"/>
        <w:rPr>
          <w:rFonts w:ascii="Franklin Gothic Book" w:hAnsi="Franklin Gothic Book" w:cs="Segoe UI"/>
          <w:sz w:val="18"/>
          <w:szCs w:val="18"/>
        </w:rPr>
      </w:pPr>
      <w:r w:rsidRPr="00E87379">
        <w:rPr>
          <w:rStyle w:val="normaltextrun"/>
          <w:rFonts w:ascii="Franklin Gothic Book" w:eastAsiaTheme="majorEastAsia" w:hAnsi="Franklin Gothic Book" w:cs="Calibri"/>
          <w:sz w:val="22"/>
          <w:szCs w:val="22"/>
        </w:rPr>
        <w:t>A comprehensive health assessment (e.g. MBS item 715) would need to be performed for each patient to address other risk factors for osteoporosis</w:t>
      </w:r>
      <w:r w:rsidR="00F93E3C">
        <w:rPr>
          <w:rStyle w:val="normaltextrun"/>
          <w:rFonts w:ascii="Franklin Gothic Book" w:eastAsiaTheme="majorEastAsia" w:hAnsi="Franklin Gothic Book" w:cs="Calibri"/>
          <w:sz w:val="22"/>
          <w:szCs w:val="22"/>
        </w:rPr>
        <w:t>.</w:t>
      </w:r>
      <w:r w:rsidRPr="00E87379">
        <w:rPr>
          <w:rStyle w:val="normaltextrun"/>
          <w:rFonts w:ascii="Franklin Gothic Book" w:eastAsiaTheme="majorEastAsia" w:hAnsi="Franklin Gothic Book" w:cs="Calibri"/>
          <w:sz w:val="22"/>
          <w:szCs w:val="22"/>
        </w:rPr>
        <w:t xml:space="preserve"> </w:t>
      </w:r>
    </w:p>
    <w:p w14:paraId="1CD5747F" w14:textId="2AE4221C" w:rsidR="006667AC" w:rsidRPr="00E87379" w:rsidRDefault="00E87379" w:rsidP="00E87379">
      <w:pPr>
        <w:pStyle w:val="paragraph"/>
        <w:spacing w:before="120" w:beforeAutospacing="0" w:after="160" w:afterAutospacing="0"/>
        <w:textAlignment w:val="baseline"/>
        <w:rPr>
          <w:rFonts w:ascii="Franklin Gothic Book" w:hAnsi="Franklin Gothic Book" w:cs="Segoe UI"/>
          <w:sz w:val="18"/>
          <w:szCs w:val="18"/>
        </w:rPr>
      </w:pPr>
      <w:r w:rsidRPr="00E87379">
        <w:rPr>
          <w:rStyle w:val="normaltextrun"/>
          <w:rFonts w:ascii="Franklin Gothic Book" w:eastAsiaTheme="majorEastAsia" w:hAnsi="Franklin Gothic Book" w:cs="Calibri"/>
          <w:sz w:val="22"/>
          <w:szCs w:val="22"/>
        </w:rPr>
        <w:lastRenderedPageBreak/>
        <w:t>The RACGP recommended the use of the Fracture Risk Assessment tool (FRAX) to calculate the absolute fracture risk in people aged ≥ 50 years. If bone mineral density (BMD) is indicated, then it should be measured by bone density (</w:t>
      </w:r>
      <w:r w:rsidR="00985F0E">
        <w:rPr>
          <w:rStyle w:val="normaltextrun"/>
          <w:rFonts w:ascii="Franklin Gothic Book" w:eastAsiaTheme="majorEastAsia" w:hAnsi="Franklin Gothic Book" w:cs="Calibri"/>
          <w:sz w:val="22"/>
          <w:szCs w:val="22"/>
        </w:rPr>
        <w:t>DEXA</w:t>
      </w:r>
      <w:r w:rsidRPr="00E87379">
        <w:rPr>
          <w:rStyle w:val="normaltextrun"/>
          <w:rFonts w:ascii="Franklin Gothic Book" w:eastAsiaTheme="majorEastAsia" w:hAnsi="Franklin Gothic Book" w:cs="Calibri"/>
          <w:sz w:val="22"/>
          <w:szCs w:val="22"/>
        </w:rPr>
        <w:t>) scanning.</w:t>
      </w:r>
      <w:r w:rsidRPr="00E87379">
        <w:rPr>
          <w:rStyle w:val="eop"/>
          <w:rFonts w:ascii="Franklin Gothic Book" w:eastAsiaTheme="majorEastAsia" w:hAnsi="Franklin Gothic Book" w:cs="Calibri"/>
          <w:sz w:val="22"/>
          <w:szCs w:val="22"/>
        </w:rPr>
        <w:t> </w:t>
      </w:r>
    </w:p>
    <w:p w14:paraId="7C7B62C7" w14:textId="31BDA55C" w:rsidR="008979C9" w:rsidRPr="004D5C3A" w:rsidRDefault="00E87379" w:rsidP="00E87379">
      <w:pPr>
        <w:pStyle w:val="Heading2"/>
      </w:pPr>
      <w:bookmarkStart w:id="11" w:name="_Toc150177179"/>
      <w:bookmarkStart w:id="12" w:name="_Ref175211811"/>
      <w:bookmarkStart w:id="13" w:name="_Ref175211823"/>
      <w:bookmarkStart w:id="14" w:name="_Ref175211844"/>
      <w:bookmarkStart w:id="15" w:name="_Ref175211859"/>
      <w:bookmarkStart w:id="16" w:name="_Ref175211881"/>
      <w:r>
        <w:t>10.</w:t>
      </w:r>
      <w:r>
        <w:tab/>
      </w:r>
      <w:r w:rsidR="008979C9" w:rsidRPr="004D5C3A">
        <w:t>Economic evaluation</w:t>
      </w:r>
      <w:bookmarkEnd w:id="11"/>
      <w:bookmarkEnd w:id="12"/>
      <w:bookmarkEnd w:id="13"/>
      <w:bookmarkEnd w:id="14"/>
      <w:bookmarkEnd w:id="15"/>
      <w:bookmarkEnd w:id="16"/>
    </w:p>
    <w:p w14:paraId="24896036" w14:textId="6922BADA" w:rsidR="008979C9" w:rsidRPr="00E87379" w:rsidRDefault="008979C9" w:rsidP="008979C9">
      <w:pPr>
        <w:pStyle w:val="COMBody"/>
        <w:rPr>
          <w:rFonts w:cstheme="minorHAnsi"/>
        </w:rPr>
      </w:pPr>
      <w:r w:rsidRPr="00E87379">
        <w:rPr>
          <w:rFonts w:cstheme="minorHAnsi"/>
        </w:rPr>
        <w:t>The economic evaluation is a two-part analysis based on a cost-effectiveness model of universal BMD testing versus no BMD testing in individuals aged 60-69 years, linked to a separate cost-effectiveness model of early versus delayed osteoporosis treatment. The main part of the analysis provides an estimated upfront testing cost (including repeat testing) per additional patient diagnosed with osteoporosis, defined either by BMD criteria or fracture. A supplementary analysis was conducted to assess the cost-effectiveness of early initiation of osteoporosis treatment (detected via BMD testing) in patients aged 60-69 years without fracture versus delayed treatment of patients who have a fracture or reach age 70 years.</w:t>
      </w:r>
    </w:p>
    <w:p w14:paraId="453CAB18" w14:textId="0BD0ED0D" w:rsidR="008979C9" w:rsidRPr="00E87379" w:rsidRDefault="008979C9" w:rsidP="008979C9">
      <w:pPr>
        <w:pStyle w:val="COMBody"/>
        <w:rPr>
          <w:rFonts w:cstheme="minorHAnsi"/>
        </w:rPr>
      </w:pPr>
      <w:r w:rsidRPr="00E87379">
        <w:rPr>
          <w:rFonts w:cstheme="minorHAnsi"/>
        </w:rPr>
        <w:t>The supplementary analysis was based on a cost-effectiveness/cost-utility model previously considered by the PBAC (risedronic acid PSD, November 2022 PBAC meeting with March 2023 Addendum) with the addition of the upfront cost of testing estimated from the first part of the analysis. The PBAC previously considered the risedronic acid economic model to be problematic and may not be reliable for decision making due to multiple concerns with assumptions and inputs, as well as the lack of BMD testing costs (para 7.7, risedronic acid PSD, November 2022 PBAC meeting with March 2023 Addendum). Therefore, the aim of the second part of the economic evaluation is to provide context for the integration of costs associated with BMD testing rather than an endorsement of the approach used in the risedronic acid November 2022 submission.</w:t>
      </w:r>
    </w:p>
    <w:p w14:paraId="437C8964" w14:textId="1F016683" w:rsidR="008979C9" w:rsidRPr="00E87379" w:rsidRDefault="008979C9" w:rsidP="00CF0EB1">
      <w:pPr>
        <w:keepNext/>
        <w:keepLines/>
        <w:spacing w:before="40" w:after="0"/>
        <w:outlineLvl w:val="3"/>
        <w:rPr>
          <w:rFonts w:ascii="Franklin Gothic Book" w:eastAsia="Times New Roman" w:hAnsi="Franklin Gothic Book" w:cs="Calibri"/>
          <w:b/>
        </w:rPr>
      </w:pPr>
      <w:r w:rsidRPr="00E87379">
        <w:rPr>
          <w:rFonts w:ascii="Franklin Gothic Book" w:eastAsia="Times New Roman" w:hAnsi="Franklin Gothic Book" w:cs="Calibri"/>
          <w:b/>
        </w:rPr>
        <w:t>Cost-effectiveness of BMD testing versus no BMD testing</w:t>
      </w:r>
    </w:p>
    <w:p w14:paraId="1BAF9AB8" w14:textId="796C24DB" w:rsidR="008979C9" w:rsidRPr="00E87379" w:rsidRDefault="008979C9" w:rsidP="008979C9">
      <w:pPr>
        <w:pStyle w:val="COMBody"/>
        <w:rPr>
          <w:rFonts w:cstheme="minorHAnsi"/>
        </w:rPr>
      </w:pPr>
      <w:r w:rsidRPr="00E87379">
        <w:rPr>
          <w:rFonts w:cstheme="minorHAnsi"/>
        </w:rPr>
        <w:fldChar w:fldCharType="begin"/>
      </w:r>
      <w:r w:rsidRPr="00E87379">
        <w:rPr>
          <w:rFonts w:cstheme="minorHAnsi"/>
        </w:rPr>
        <w:instrText xml:space="preserve"> REF _Ref69725820 \h </w:instrText>
      </w:r>
      <w:r w:rsidR="00953311" w:rsidRPr="00E87379">
        <w:rPr>
          <w:rFonts w:cstheme="minorHAnsi"/>
        </w:rPr>
        <w:instrText xml:space="preserve"> \* MERGEFORMAT </w:instrText>
      </w:r>
      <w:r w:rsidRPr="00E87379">
        <w:rPr>
          <w:rFonts w:cstheme="minorHAnsi"/>
        </w:rPr>
      </w:r>
      <w:r w:rsidRPr="00E87379">
        <w:rPr>
          <w:rFonts w:cstheme="minorHAnsi"/>
        </w:rPr>
        <w:fldChar w:fldCharType="separate"/>
      </w:r>
      <w:r w:rsidR="00E551E5" w:rsidRPr="00E87379">
        <w:rPr>
          <w:rFonts w:cstheme="minorHAnsi"/>
        </w:rPr>
        <w:t>Table 3</w:t>
      </w:r>
      <w:r w:rsidRPr="00E87379">
        <w:rPr>
          <w:rFonts w:cstheme="minorHAnsi"/>
        </w:rPr>
        <w:fldChar w:fldCharType="end"/>
      </w:r>
      <w:r w:rsidRPr="00E87379">
        <w:rPr>
          <w:rFonts w:cstheme="minorHAnsi"/>
        </w:rPr>
        <w:t xml:space="preserve"> presents a summary of the key components of the economic evaluation.</w:t>
      </w:r>
    </w:p>
    <w:p w14:paraId="3ACF5312" w14:textId="0CD6A9F7" w:rsidR="008979C9" w:rsidRPr="00953311" w:rsidRDefault="008979C9" w:rsidP="008979C9">
      <w:pPr>
        <w:pStyle w:val="COMtablefigcaption"/>
      </w:pPr>
      <w:bookmarkStart w:id="17" w:name="_Ref69725820"/>
      <w:r w:rsidRPr="00953311">
        <w:lastRenderedPageBreak/>
        <w:t>Table </w:t>
      </w:r>
      <w:r w:rsidRPr="00953311">
        <w:rPr>
          <w:noProof/>
        </w:rPr>
        <w:fldChar w:fldCharType="begin"/>
      </w:r>
      <w:r w:rsidRPr="00953311">
        <w:rPr>
          <w:noProof/>
        </w:rPr>
        <w:instrText xml:space="preserve"> SEQ Table \* ARABIC </w:instrText>
      </w:r>
      <w:r w:rsidRPr="00953311">
        <w:rPr>
          <w:noProof/>
        </w:rPr>
        <w:fldChar w:fldCharType="separate"/>
      </w:r>
      <w:r w:rsidR="00090261">
        <w:rPr>
          <w:noProof/>
        </w:rPr>
        <w:t>3</w:t>
      </w:r>
      <w:r w:rsidRPr="00953311">
        <w:rPr>
          <w:noProof/>
        </w:rPr>
        <w:fldChar w:fldCharType="end"/>
      </w:r>
      <w:bookmarkEnd w:id="17"/>
      <w:r w:rsidRPr="00953311">
        <w:t xml:space="preserve"> Summary of the economic evaluation </w:t>
      </w:r>
    </w:p>
    <w:tbl>
      <w:tblPr>
        <w:tblW w:w="9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ummary of the economic evaluation "/>
        <w:tblDescription w:val="This table describes the key constructs of the economic evaluation that is provided in the assessment report."/>
      </w:tblPr>
      <w:tblGrid>
        <w:gridCol w:w="1717"/>
        <w:gridCol w:w="7321"/>
      </w:tblGrid>
      <w:tr w:rsidR="008979C9" w:rsidRPr="00953311" w14:paraId="3D3B3D97" w14:textId="77777777">
        <w:trPr>
          <w:tblHeader/>
        </w:trPr>
        <w:tc>
          <w:tcPr>
            <w:tcW w:w="1717" w:type="dxa"/>
            <w:vAlign w:val="center"/>
          </w:tcPr>
          <w:p w14:paraId="3EB2A54B" w14:textId="77777777" w:rsidR="008979C9" w:rsidRPr="00953311" w:rsidRDefault="008979C9">
            <w:pPr>
              <w:pStyle w:val="COMTableheadingrow"/>
              <w:jc w:val="left"/>
            </w:pPr>
            <w:r w:rsidRPr="00953311">
              <w:t>Component</w:t>
            </w:r>
          </w:p>
        </w:tc>
        <w:tc>
          <w:tcPr>
            <w:tcW w:w="7321" w:type="dxa"/>
            <w:vAlign w:val="center"/>
          </w:tcPr>
          <w:p w14:paraId="667BFA39" w14:textId="77777777" w:rsidR="008979C9" w:rsidRPr="00953311" w:rsidRDefault="008979C9">
            <w:pPr>
              <w:pStyle w:val="COMTableheadingrow"/>
              <w:jc w:val="left"/>
            </w:pPr>
            <w:r w:rsidRPr="00953311">
              <w:t>Description</w:t>
            </w:r>
          </w:p>
        </w:tc>
      </w:tr>
      <w:tr w:rsidR="008979C9" w:rsidRPr="00953311" w14:paraId="065C1F66" w14:textId="77777777">
        <w:tc>
          <w:tcPr>
            <w:tcW w:w="1717" w:type="dxa"/>
          </w:tcPr>
          <w:p w14:paraId="24B69E60" w14:textId="77777777" w:rsidR="008979C9" w:rsidRPr="00953311" w:rsidRDefault="008979C9">
            <w:pPr>
              <w:pStyle w:val="COMTabletext"/>
            </w:pPr>
            <w:r w:rsidRPr="00953311">
              <w:t>Perspective</w:t>
            </w:r>
          </w:p>
        </w:tc>
        <w:tc>
          <w:tcPr>
            <w:tcW w:w="7321" w:type="dxa"/>
          </w:tcPr>
          <w:p w14:paraId="0CE69E85" w14:textId="77777777" w:rsidR="008979C9" w:rsidRPr="00953311" w:rsidRDefault="008979C9">
            <w:pPr>
              <w:pStyle w:val="COMTabletext"/>
            </w:pPr>
            <w:r w:rsidRPr="00953311">
              <w:t>Australian healthcare system perspective</w:t>
            </w:r>
          </w:p>
        </w:tc>
      </w:tr>
      <w:tr w:rsidR="008979C9" w:rsidRPr="00953311" w14:paraId="5B47AA6F" w14:textId="77777777">
        <w:trPr>
          <w:tblHeader/>
        </w:trPr>
        <w:tc>
          <w:tcPr>
            <w:tcW w:w="1717" w:type="dxa"/>
          </w:tcPr>
          <w:p w14:paraId="172D3FAF" w14:textId="77777777" w:rsidR="008979C9" w:rsidRPr="00953311" w:rsidRDefault="008979C9">
            <w:pPr>
              <w:pStyle w:val="COMTabletext"/>
            </w:pPr>
            <w:r w:rsidRPr="00953311">
              <w:t>Population</w:t>
            </w:r>
          </w:p>
        </w:tc>
        <w:tc>
          <w:tcPr>
            <w:tcW w:w="7321" w:type="dxa"/>
          </w:tcPr>
          <w:p w14:paraId="3DF0D5D2" w14:textId="77777777" w:rsidR="008979C9" w:rsidRPr="00953311" w:rsidRDefault="008979C9">
            <w:pPr>
              <w:pStyle w:val="COMTabletext"/>
            </w:pPr>
            <w:r w:rsidRPr="00953311">
              <w:t>Individuals aged 60-69 years who are without fracture or other bone loss related conditions</w:t>
            </w:r>
          </w:p>
        </w:tc>
      </w:tr>
      <w:tr w:rsidR="008979C9" w:rsidRPr="00953311" w14:paraId="54242BB9" w14:textId="77777777">
        <w:tc>
          <w:tcPr>
            <w:tcW w:w="1717" w:type="dxa"/>
          </w:tcPr>
          <w:p w14:paraId="676259A9" w14:textId="77777777" w:rsidR="008979C9" w:rsidRPr="00953311" w:rsidRDefault="008979C9">
            <w:pPr>
              <w:pStyle w:val="COMTabletext"/>
            </w:pPr>
            <w:r w:rsidRPr="00953311">
              <w:t>Intervention</w:t>
            </w:r>
          </w:p>
        </w:tc>
        <w:tc>
          <w:tcPr>
            <w:tcW w:w="7321" w:type="dxa"/>
          </w:tcPr>
          <w:p w14:paraId="43169378" w14:textId="77777777" w:rsidR="008979C9" w:rsidRPr="00953311" w:rsidRDefault="008979C9">
            <w:pPr>
              <w:pStyle w:val="COMTabletext"/>
            </w:pPr>
            <w:r w:rsidRPr="00953311">
              <w:t>BMD testing versus no BMD testing</w:t>
            </w:r>
          </w:p>
        </w:tc>
      </w:tr>
      <w:tr w:rsidR="008979C9" w:rsidRPr="00953311" w14:paraId="6E1C448C" w14:textId="77777777">
        <w:tc>
          <w:tcPr>
            <w:tcW w:w="1717" w:type="dxa"/>
          </w:tcPr>
          <w:p w14:paraId="0AAE3CD7" w14:textId="77777777" w:rsidR="008979C9" w:rsidRPr="00953311" w:rsidRDefault="008979C9">
            <w:pPr>
              <w:pStyle w:val="COMTabletext"/>
            </w:pPr>
            <w:r w:rsidRPr="00953311">
              <w:t>Type of analysis</w:t>
            </w:r>
          </w:p>
        </w:tc>
        <w:tc>
          <w:tcPr>
            <w:tcW w:w="7321" w:type="dxa"/>
          </w:tcPr>
          <w:p w14:paraId="5960B568" w14:textId="77777777" w:rsidR="008979C9" w:rsidRPr="00953311" w:rsidRDefault="008979C9">
            <w:pPr>
              <w:pStyle w:val="COMTabletext"/>
            </w:pPr>
            <w:r w:rsidRPr="00953311">
              <w:t>Cost-effectiveness analysis</w:t>
            </w:r>
          </w:p>
        </w:tc>
      </w:tr>
      <w:tr w:rsidR="008979C9" w:rsidRPr="00953311" w14:paraId="770EBCA3" w14:textId="77777777">
        <w:tc>
          <w:tcPr>
            <w:tcW w:w="1717" w:type="dxa"/>
          </w:tcPr>
          <w:p w14:paraId="4D7EB308" w14:textId="77777777" w:rsidR="008979C9" w:rsidRPr="00953311" w:rsidRDefault="008979C9">
            <w:pPr>
              <w:pStyle w:val="COMTabletext"/>
            </w:pPr>
            <w:r w:rsidRPr="00953311">
              <w:t>Outcomes</w:t>
            </w:r>
          </w:p>
        </w:tc>
        <w:tc>
          <w:tcPr>
            <w:tcW w:w="7321" w:type="dxa"/>
          </w:tcPr>
          <w:p w14:paraId="10A723A2" w14:textId="77777777" w:rsidR="008979C9" w:rsidRPr="00953311" w:rsidRDefault="008979C9">
            <w:pPr>
              <w:pStyle w:val="COMTabletext"/>
            </w:pPr>
            <w:r w:rsidRPr="00953311">
              <w:t>Additional patients diagnosed with osteoporosis</w:t>
            </w:r>
          </w:p>
        </w:tc>
      </w:tr>
      <w:tr w:rsidR="008979C9" w:rsidRPr="00953311" w14:paraId="2E4280BB" w14:textId="77777777">
        <w:tc>
          <w:tcPr>
            <w:tcW w:w="1717" w:type="dxa"/>
          </w:tcPr>
          <w:p w14:paraId="0B67C1AA" w14:textId="77777777" w:rsidR="008979C9" w:rsidRPr="00953311" w:rsidRDefault="008979C9">
            <w:pPr>
              <w:pStyle w:val="COMTabletext"/>
            </w:pPr>
            <w:r w:rsidRPr="00953311">
              <w:t>Time horizon</w:t>
            </w:r>
          </w:p>
        </w:tc>
        <w:tc>
          <w:tcPr>
            <w:tcW w:w="7321" w:type="dxa"/>
          </w:tcPr>
          <w:p w14:paraId="267D4165" w14:textId="77777777" w:rsidR="008979C9" w:rsidRPr="00953311" w:rsidRDefault="008979C9">
            <w:pPr>
              <w:pStyle w:val="COMTabletext"/>
            </w:pPr>
            <w:r w:rsidRPr="00953311">
              <w:t>10 years</w:t>
            </w:r>
          </w:p>
        </w:tc>
      </w:tr>
      <w:tr w:rsidR="008979C9" w:rsidRPr="00953311" w14:paraId="6CD8C823" w14:textId="77777777">
        <w:tc>
          <w:tcPr>
            <w:tcW w:w="1717" w:type="dxa"/>
          </w:tcPr>
          <w:p w14:paraId="485152E3" w14:textId="77777777" w:rsidR="008979C9" w:rsidRPr="00953311" w:rsidRDefault="008979C9">
            <w:pPr>
              <w:pStyle w:val="COMTabletext"/>
            </w:pPr>
            <w:r w:rsidRPr="00953311">
              <w:t>Computational method</w:t>
            </w:r>
          </w:p>
        </w:tc>
        <w:tc>
          <w:tcPr>
            <w:tcW w:w="7321" w:type="dxa"/>
          </w:tcPr>
          <w:p w14:paraId="72E596D8" w14:textId="77777777" w:rsidR="008979C9" w:rsidRPr="00953311" w:rsidRDefault="008979C9">
            <w:pPr>
              <w:pStyle w:val="COMTabletext"/>
            </w:pPr>
            <w:r w:rsidRPr="00953311">
              <w:t>Markov microsimulation (10,000 trials with specified integer seed value of 1)</w:t>
            </w:r>
          </w:p>
        </w:tc>
      </w:tr>
      <w:tr w:rsidR="008979C9" w:rsidRPr="00953311" w14:paraId="3B2F5D2A" w14:textId="77777777">
        <w:tc>
          <w:tcPr>
            <w:tcW w:w="1717" w:type="dxa"/>
          </w:tcPr>
          <w:p w14:paraId="5382E7AA" w14:textId="77777777" w:rsidR="008979C9" w:rsidRPr="00953311" w:rsidRDefault="008979C9">
            <w:pPr>
              <w:pStyle w:val="COMTabletext"/>
            </w:pPr>
            <w:r w:rsidRPr="00953311">
              <w:t>Health states</w:t>
            </w:r>
          </w:p>
        </w:tc>
        <w:tc>
          <w:tcPr>
            <w:tcW w:w="7321" w:type="dxa"/>
          </w:tcPr>
          <w:p w14:paraId="5FFE55D3" w14:textId="77777777" w:rsidR="008979C9" w:rsidRPr="00953311" w:rsidRDefault="008979C9">
            <w:pPr>
              <w:pStyle w:val="COMTabletext"/>
            </w:pPr>
            <w:r w:rsidRPr="00953311">
              <w:t>Normal BMD/mild osteopenia, moderate/marked osteopenia, undetected osteoporosis, detected osteoporosis (via BMD), fracture and dead</w:t>
            </w:r>
          </w:p>
        </w:tc>
      </w:tr>
      <w:tr w:rsidR="008979C9" w:rsidRPr="00953311" w14:paraId="4879C4FF" w14:textId="77777777">
        <w:tc>
          <w:tcPr>
            <w:tcW w:w="1717" w:type="dxa"/>
          </w:tcPr>
          <w:p w14:paraId="2315E21C" w14:textId="77777777" w:rsidR="008979C9" w:rsidRPr="00953311" w:rsidRDefault="008979C9">
            <w:pPr>
              <w:pStyle w:val="COMTabletext"/>
            </w:pPr>
            <w:r w:rsidRPr="00953311">
              <w:t>Cycle length</w:t>
            </w:r>
          </w:p>
        </w:tc>
        <w:tc>
          <w:tcPr>
            <w:tcW w:w="7321" w:type="dxa"/>
          </w:tcPr>
          <w:p w14:paraId="19901B73" w14:textId="77777777" w:rsidR="008979C9" w:rsidRPr="00953311" w:rsidRDefault="008979C9">
            <w:pPr>
              <w:pStyle w:val="COMTabletext"/>
            </w:pPr>
            <w:r w:rsidRPr="00953311">
              <w:t>1 year</w:t>
            </w:r>
          </w:p>
        </w:tc>
      </w:tr>
      <w:tr w:rsidR="008979C9" w:rsidRPr="00953311" w14:paraId="1EF9F17B" w14:textId="77777777">
        <w:tc>
          <w:tcPr>
            <w:tcW w:w="1717" w:type="dxa"/>
          </w:tcPr>
          <w:p w14:paraId="028749A6" w14:textId="77777777" w:rsidR="008979C9" w:rsidRPr="00953311" w:rsidRDefault="008979C9">
            <w:pPr>
              <w:pStyle w:val="COMTabletext"/>
            </w:pPr>
            <w:r w:rsidRPr="00953311">
              <w:t>Transition probabilities</w:t>
            </w:r>
          </w:p>
        </w:tc>
        <w:tc>
          <w:tcPr>
            <w:tcW w:w="7321" w:type="dxa"/>
          </w:tcPr>
          <w:p w14:paraId="1B212512" w14:textId="77777777" w:rsidR="008979C9" w:rsidRPr="00953311" w:rsidRDefault="008979C9" w:rsidP="00E15F2E">
            <w:pPr>
              <w:pStyle w:val="COMTabletext"/>
              <w:spacing w:after="240"/>
            </w:pPr>
            <w:r w:rsidRPr="00953311">
              <w:t xml:space="preserve">The baseline distribution of individuals with normal BMD/mild osteopenia, moderate/marked osteopenia and osteoporosis was based on a bespoke analysis of epidemiological data from the Dubbo Osteoporosis Epidemiology Study (DOES). In the BMD testing arm, it was assumed that all individuals are tested in the first cycle, with 100% test accuracy. Therefore, all individuals are assumed to have either detected normal BMD/mild osteopenia, moderate/marked </w:t>
            </w:r>
            <w:proofErr w:type="gramStart"/>
            <w:r w:rsidRPr="00953311">
              <w:t>osteopenia</w:t>
            </w:r>
            <w:proofErr w:type="gramEnd"/>
            <w:r w:rsidRPr="00953311">
              <w:t xml:space="preserve"> or osteoporosis after the initial test.</w:t>
            </w:r>
          </w:p>
          <w:p w14:paraId="265CD10F" w14:textId="3846A0B5" w:rsidR="008979C9" w:rsidRPr="00953311" w:rsidRDefault="008979C9" w:rsidP="00E15F2E">
            <w:pPr>
              <w:pStyle w:val="COMTabletext"/>
              <w:spacing w:after="240"/>
            </w:pPr>
            <w:r w:rsidRPr="00953311">
              <w:t xml:space="preserve">BMD progression transition probabilities were derived from a bespoke analysis of DOES data, assuming a trajectory of normal BMD/mild osteopenia to moderate/marked osteopenia to osteoporosis. </w:t>
            </w:r>
          </w:p>
          <w:p w14:paraId="3F29D111" w14:textId="30C7AF3B" w:rsidR="008979C9" w:rsidRPr="00953311" w:rsidRDefault="008979C9" w:rsidP="00E15F2E">
            <w:pPr>
              <w:pStyle w:val="COMTabletext"/>
              <w:spacing w:after="240"/>
            </w:pPr>
            <w:r w:rsidRPr="00953311">
              <w:t xml:space="preserve">Age- and gender-specific fracture risks were derived using mean BMD T-scores for each BMD T-score category, calculated using the </w:t>
            </w:r>
            <w:proofErr w:type="spellStart"/>
            <w:r w:rsidRPr="00953311">
              <w:t>Garvan</w:t>
            </w:r>
            <w:proofErr w:type="spellEnd"/>
            <w:r w:rsidRPr="00953311">
              <w:t xml:space="preserve"> fracture risk calculator assuming all individuals had no prior fracture/falls history.</w:t>
            </w:r>
          </w:p>
          <w:p w14:paraId="42465364" w14:textId="77777777" w:rsidR="008979C9" w:rsidRPr="00953311" w:rsidRDefault="008979C9">
            <w:pPr>
              <w:pStyle w:val="COMTabletext"/>
            </w:pPr>
            <w:r w:rsidRPr="00953311">
              <w:t>Mortality was based on Australian life tables for the general Australian population aged 60-69 years.</w:t>
            </w:r>
          </w:p>
        </w:tc>
      </w:tr>
      <w:tr w:rsidR="008979C9" w:rsidRPr="00953311" w14:paraId="6AC8E5E2" w14:textId="77777777">
        <w:tc>
          <w:tcPr>
            <w:tcW w:w="1717" w:type="dxa"/>
          </w:tcPr>
          <w:p w14:paraId="75B1C077" w14:textId="77777777" w:rsidR="008979C9" w:rsidRPr="00953311" w:rsidRDefault="008979C9">
            <w:pPr>
              <w:pStyle w:val="COMTabletext"/>
            </w:pPr>
            <w:r w:rsidRPr="00953311">
              <w:t>Costs</w:t>
            </w:r>
          </w:p>
        </w:tc>
        <w:tc>
          <w:tcPr>
            <w:tcW w:w="7321" w:type="dxa"/>
          </w:tcPr>
          <w:p w14:paraId="3F318BB1" w14:textId="77777777" w:rsidR="008979C9" w:rsidRPr="00953311" w:rsidRDefault="008979C9">
            <w:pPr>
              <w:pStyle w:val="COMTabletext"/>
            </w:pPr>
            <w:r w:rsidRPr="00953311">
              <w:t xml:space="preserve">BMD scan costs were based on September 2023 MBS fees for items 12320 and 12322. The cost of a BMD scan was applied at baseline and at 2- or 5-year intervals depending on eligibility based on the individual’s BMD T-score category from the prior test. </w:t>
            </w:r>
          </w:p>
        </w:tc>
      </w:tr>
      <w:tr w:rsidR="008979C9" w:rsidRPr="00953311" w14:paraId="1DEDE98E" w14:textId="77777777">
        <w:tc>
          <w:tcPr>
            <w:tcW w:w="1717" w:type="dxa"/>
          </w:tcPr>
          <w:p w14:paraId="3827EE1D" w14:textId="77777777" w:rsidR="008979C9" w:rsidRPr="00953311" w:rsidRDefault="008979C9">
            <w:pPr>
              <w:pStyle w:val="COMTabletext"/>
            </w:pPr>
            <w:r w:rsidRPr="00953311">
              <w:t>Discount rate</w:t>
            </w:r>
          </w:p>
        </w:tc>
        <w:tc>
          <w:tcPr>
            <w:tcW w:w="7321" w:type="dxa"/>
          </w:tcPr>
          <w:p w14:paraId="6EE68E4C" w14:textId="77777777" w:rsidR="008979C9" w:rsidRPr="00953311" w:rsidRDefault="008979C9">
            <w:pPr>
              <w:pStyle w:val="COMTabletext"/>
            </w:pPr>
            <w:r w:rsidRPr="00953311">
              <w:t>5% for both costs and outcomes</w:t>
            </w:r>
          </w:p>
        </w:tc>
      </w:tr>
      <w:tr w:rsidR="008979C9" w:rsidRPr="00953311" w14:paraId="0E4A7472" w14:textId="77777777">
        <w:tc>
          <w:tcPr>
            <w:tcW w:w="1717" w:type="dxa"/>
          </w:tcPr>
          <w:p w14:paraId="4B25AE73" w14:textId="77777777" w:rsidR="008979C9" w:rsidRPr="00953311" w:rsidRDefault="008979C9">
            <w:pPr>
              <w:pStyle w:val="COMTabletext"/>
            </w:pPr>
            <w:r w:rsidRPr="00953311">
              <w:t>Software</w:t>
            </w:r>
          </w:p>
        </w:tc>
        <w:tc>
          <w:tcPr>
            <w:tcW w:w="7321" w:type="dxa"/>
          </w:tcPr>
          <w:p w14:paraId="7FA23EA6" w14:textId="77777777" w:rsidR="008979C9" w:rsidRPr="00953311" w:rsidRDefault="008979C9">
            <w:pPr>
              <w:pStyle w:val="COMTabletext"/>
            </w:pPr>
            <w:proofErr w:type="spellStart"/>
            <w:r w:rsidRPr="00953311">
              <w:t>TreeAge</w:t>
            </w:r>
            <w:proofErr w:type="spellEnd"/>
            <w:r w:rsidRPr="00953311">
              <w:t xml:space="preserve"> Pro 2023</w:t>
            </w:r>
          </w:p>
        </w:tc>
      </w:tr>
    </w:tbl>
    <w:p w14:paraId="596202EB" w14:textId="77777777" w:rsidR="008979C9" w:rsidRPr="00953311" w:rsidRDefault="008979C9" w:rsidP="008979C9">
      <w:pPr>
        <w:pStyle w:val="COMTablefooter"/>
      </w:pPr>
      <w:bookmarkStart w:id="18" w:name="Title_Table5"/>
      <w:bookmarkStart w:id="19" w:name="_Hlk68276459"/>
      <w:bookmarkEnd w:id="18"/>
      <w:r w:rsidRPr="00953311">
        <w:t>Abbreviation: BMD, bone mineral density</w:t>
      </w:r>
    </w:p>
    <w:bookmarkEnd w:id="19"/>
    <w:p w14:paraId="2016D27B" w14:textId="77777777" w:rsidR="008979C9" w:rsidRPr="00E87379" w:rsidRDefault="008979C9" w:rsidP="008979C9">
      <w:pPr>
        <w:pStyle w:val="COMBody"/>
        <w:rPr>
          <w:rFonts w:cstheme="minorHAnsi"/>
        </w:rPr>
      </w:pPr>
      <w:r w:rsidRPr="00E87379">
        <w:rPr>
          <w:rFonts w:cstheme="minorHAnsi"/>
        </w:rPr>
        <w:t>The structure of the economic evaluation is based on a Markov microsimulation, consistent with published economic evaluations identified in the literature review. However, a bespoke structure was required in order to model patient trajectories according to BMD T-score categories that determined eligibility for repeat testing as per the proposed MBS items.</w:t>
      </w:r>
    </w:p>
    <w:p w14:paraId="26957BBF" w14:textId="77777777" w:rsidR="008979C9" w:rsidRPr="00E87379" w:rsidRDefault="008979C9" w:rsidP="008979C9">
      <w:pPr>
        <w:pStyle w:val="COMBody"/>
        <w:rPr>
          <w:rFonts w:cstheme="minorHAnsi"/>
        </w:rPr>
      </w:pPr>
      <w:r w:rsidRPr="00E87379">
        <w:rPr>
          <w:rFonts w:cstheme="minorHAnsi"/>
        </w:rPr>
        <w:t xml:space="preserve">In the no BMD testing arm, individuals can either have normal BMD/mild osteopenia, moderate/marked </w:t>
      </w:r>
      <w:proofErr w:type="gramStart"/>
      <w:r w:rsidRPr="00E87379">
        <w:rPr>
          <w:rFonts w:cstheme="minorHAnsi"/>
        </w:rPr>
        <w:t>osteopenia</w:t>
      </w:r>
      <w:proofErr w:type="gramEnd"/>
      <w:r w:rsidRPr="00E87379">
        <w:rPr>
          <w:rFonts w:cstheme="minorHAnsi"/>
        </w:rPr>
        <w:t xml:space="preserve"> or osteoporosis at baseline. In each year, individuals can be without fracture, have a fracture or die. Individuals without fracture can either remain in the same BMD T-score category or progress to the next BMD T-score category based on an assumed trajectory of normal BMD/mild osteopenia (BMD T-score ≥-1.5) </w:t>
      </w:r>
      <w:r w:rsidRPr="00E87379">
        <w:rPr>
          <w:rFonts w:eastAsia="Wingdings" w:cstheme="minorHAnsi"/>
        </w:rPr>
        <w:t>à</w:t>
      </w:r>
      <w:r w:rsidRPr="00E87379">
        <w:rPr>
          <w:rFonts w:cstheme="minorHAnsi"/>
        </w:rPr>
        <w:t xml:space="preserve"> moderate/marked osteopenia (BMD T-score &lt;-1.5 and &gt;-2.5) </w:t>
      </w:r>
      <w:r w:rsidRPr="00E87379">
        <w:rPr>
          <w:rFonts w:eastAsia="Wingdings" w:cstheme="minorHAnsi"/>
        </w:rPr>
        <w:t>à</w:t>
      </w:r>
      <w:r w:rsidRPr="00E87379">
        <w:rPr>
          <w:rFonts w:cstheme="minorHAnsi"/>
        </w:rPr>
        <w:t xml:space="preserve"> osteoporosis (BMD T-score ≤-2.5). The BMD T-score thresholds for normal BMD/mild osteopenia and moderate/marked osteopenia were as defined in eligibility criteria for MBS items 12320 and 12322 while the BMD T-score for osteoporosis was based on the WHO definition. The fracture health state was an absorbing health state that captured the modelled outcome of diagnosed osteoporosis via fracture.</w:t>
      </w:r>
    </w:p>
    <w:p w14:paraId="4FB917AA" w14:textId="422B2255" w:rsidR="008979C9" w:rsidRPr="00E87379" w:rsidRDefault="008979C9" w:rsidP="008979C9">
      <w:pPr>
        <w:pStyle w:val="COMBody"/>
        <w:rPr>
          <w:rFonts w:cstheme="minorHAnsi"/>
        </w:rPr>
      </w:pPr>
      <w:r w:rsidRPr="00E87379">
        <w:rPr>
          <w:rFonts w:cstheme="minorHAnsi"/>
        </w:rPr>
        <w:t xml:space="preserve">In the BMD testing arm, it was assumed that all individuals are tested in the first cycle, with 100% test accuracy (consistent with identified studies in literature review). Therefore, all individuals are assumed to have either detected normal BMD/mild osteopenia, moderate/marked </w:t>
      </w:r>
      <w:proofErr w:type="gramStart"/>
      <w:r w:rsidRPr="00E87379">
        <w:rPr>
          <w:rFonts w:cstheme="minorHAnsi"/>
        </w:rPr>
        <w:t>osteopenia</w:t>
      </w:r>
      <w:proofErr w:type="gramEnd"/>
      <w:r w:rsidRPr="00E87379">
        <w:rPr>
          <w:rFonts w:cstheme="minorHAnsi"/>
        </w:rPr>
        <w:t xml:space="preserve"> or osteoporosis after the initial test. Individuals in the BMD testing arm are at the same risks of BMD progression and fracture as those in the no BMD testing arm. However, individuals without fracture can receive a repeat BMD test at specified intervals (2- or 5-yearly depending on eligibility). The </w:t>
      </w:r>
      <w:r w:rsidRPr="00E87379">
        <w:rPr>
          <w:rFonts w:cstheme="minorHAnsi"/>
        </w:rPr>
        <w:lastRenderedPageBreak/>
        <w:t>model structure includes separate osteoporosis health states (based on BMD without fracture) to capture patients with undetected and detected osteoporosis depending on whether they received a BMD test. The model includes trackers that capture each individual’s testing history and BMD T-score category, used to determine testing eligibility in each cycle.</w:t>
      </w:r>
    </w:p>
    <w:p w14:paraId="0ACDC754" w14:textId="77777777" w:rsidR="008979C9" w:rsidRPr="00E87379" w:rsidRDefault="008979C9" w:rsidP="008979C9">
      <w:pPr>
        <w:pStyle w:val="COMBody"/>
        <w:rPr>
          <w:rFonts w:cstheme="minorHAnsi"/>
        </w:rPr>
      </w:pPr>
      <w:r w:rsidRPr="00E87379">
        <w:rPr>
          <w:rFonts w:cstheme="minorHAnsi"/>
        </w:rPr>
        <w:t>The assumptions of 100% test uptake and 100% test accuracy are unlikely to be applicable to clinical practice. However, there were no available data to reliably estimate initial and repeat testing rates or test accuracy in the eligible population without fracture or rapid bone loss conditions. Consequently, the results should be considered the most optimistic estimate of upfront costs based on the incremental cost per additional patient diagnosed with osteoporosis.</w:t>
      </w:r>
    </w:p>
    <w:p w14:paraId="13648A94" w14:textId="2E4C0B6E" w:rsidR="008979C9" w:rsidRPr="00E87379" w:rsidRDefault="00465F72" w:rsidP="008979C9">
      <w:pPr>
        <w:pStyle w:val="COMBody"/>
        <w:rPr>
          <w:rFonts w:cstheme="minorHAnsi"/>
        </w:rPr>
      </w:pPr>
      <w:r>
        <w:rPr>
          <w:rFonts w:cstheme="minorHAnsi"/>
        </w:rPr>
        <w:t>A limitation of the</w:t>
      </w:r>
      <w:r w:rsidR="008979C9" w:rsidRPr="00E87379">
        <w:rPr>
          <w:rFonts w:cstheme="minorHAnsi"/>
        </w:rPr>
        <w:t xml:space="preserve"> model </w:t>
      </w:r>
      <w:r>
        <w:rPr>
          <w:rFonts w:cstheme="minorHAnsi"/>
        </w:rPr>
        <w:t>is that it</w:t>
      </w:r>
      <w:r w:rsidRPr="00E87379">
        <w:rPr>
          <w:rFonts w:cstheme="minorHAnsi"/>
        </w:rPr>
        <w:t xml:space="preserve"> </w:t>
      </w:r>
      <w:r w:rsidR="008979C9" w:rsidRPr="00E87379">
        <w:rPr>
          <w:rFonts w:cstheme="minorHAnsi"/>
        </w:rPr>
        <w:t>assumed that BMD testing does not have any impact on standard care. For example, having detected osteopenia was assumed to have no change on use of calcium and vitamin D supplements or non-pharmacological interventions such as exercise or smoking cessation. There are known benefits associated with these interventions in terms of fracture prevention that were not captured in this analysis.</w:t>
      </w:r>
    </w:p>
    <w:p w14:paraId="132517ED" w14:textId="52DF6788" w:rsidR="008979C9" w:rsidRPr="00E87379" w:rsidRDefault="008979C9" w:rsidP="008979C9">
      <w:pPr>
        <w:pStyle w:val="COMBody"/>
        <w:rPr>
          <w:rFonts w:cstheme="minorHAnsi"/>
        </w:rPr>
      </w:pPr>
      <w:r w:rsidRPr="00E87379">
        <w:rPr>
          <w:rFonts w:cstheme="minorHAnsi"/>
        </w:rPr>
        <w:fldChar w:fldCharType="begin"/>
      </w:r>
      <w:r w:rsidRPr="00E87379">
        <w:rPr>
          <w:rFonts w:cstheme="minorHAnsi"/>
        </w:rPr>
        <w:instrText xml:space="preserve"> REF _Ref69726284 \h </w:instrText>
      </w:r>
      <w:r w:rsidR="00953311" w:rsidRPr="00E87379">
        <w:rPr>
          <w:rFonts w:cstheme="minorHAnsi"/>
        </w:rPr>
        <w:instrText xml:space="preserve"> \* MERGEFORMAT </w:instrText>
      </w:r>
      <w:r w:rsidRPr="00E87379">
        <w:rPr>
          <w:rFonts w:cstheme="minorHAnsi"/>
        </w:rPr>
      </w:r>
      <w:r w:rsidRPr="00E87379">
        <w:rPr>
          <w:rFonts w:cstheme="minorHAnsi"/>
        </w:rPr>
        <w:fldChar w:fldCharType="separate"/>
      </w:r>
      <w:r w:rsidR="00E551E5" w:rsidRPr="00E87379">
        <w:rPr>
          <w:rFonts w:cstheme="minorHAnsi"/>
        </w:rPr>
        <w:t>Table 4</w:t>
      </w:r>
      <w:r w:rsidRPr="00E87379">
        <w:rPr>
          <w:rFonts w:cstheme="minorHAnsi"/>
        </w:rPr>
        <w:fldChar w:fldCharType="end"/>
      </w:r>
      <w:r w:rsidRPr="00E87379">
        <w:rPr>
          <w:rFonts w:cstheme="minorHAnsi"/>
        </w:rPr>
        <w:t xml:space="preserve"> summarises the results of the economic evaluation.</w:t>
      </w:r>
    </w:p>
    <w:p w14:paraId="11138F81" w14:textId="22431DA2" w:rsidR="008979C9" w:rsidRPr="00953311" w:rsidRDefault="008979C9" w:rsidP="008979C9">
      <w:pPr>
        <w:pStyle w:val="COMtablefigcaption"/>
      </w:pPr>
      <w:bookmarkStart w:id="20" w:name="_Ref69726284"/>
      <w:r w:rsidRPr="00953311">
        <w:t>Table </w:t>
      </w:r>
      <w:r>
        <w:fldChar w:fldCharType="begin"/>
      </w:r>
      <w:r>
        <w:instrText>SEQ Table \* ARABIC</w:instrText>
      </w:r>
      <w:r>
        <w:fldChar w:fldCharType="separate"/>
      </w:r>
      <w:r w:rsidR="00090261">
        <w:rPr>
          <w:noProof/>
        </w:rPr>
        <w:t>4</w:t>
      </w:r>
      <w:r>
        <w:fldChar w:fldCharType="end"/>
      </w:r>
      <w:bookmarkEnd w:id="20"/>
      <w:r w:rsidRPr="00953311">
        <w:rPr>
          <w:noProof/>
        </w:rPr>
        <w:t xml:space="preserve"> </w:t>
      </w:r>
      <w:r w:rsidRPr="00953311">
        <w:t>Results of the economic evaluation</w:t>
      </w:r>
    </w:p>
    <w:tbl>
      <w:tblPr>
        <w:tblStyle w:val="ASDTable2"/>
        <w:tblW w:w="0" w:type="auto"/>
        <w:tblLook w:val="04A0" w:firstRow="1" w:lastRow="0" w:firstColumn="1" w:lastColumn="0" w:noHBand="0" w:noVBand="1"/>
      </w:tblPr>
      <w:tblGrid>
        <w:gridCol w:w="3058"/>
        <w:gridCol w:w="1983"/>
        <w:gridCol w:w="1983"/>
        <w:gridCol w:w="1992"/>
      </w:tblGrid>
      <w:tr w:rsidR="008979C9" w:rsidRPr="00953311" w14:paraId="66A7E3EE" w14:textId="77777777">
        <w:tc>
          <w:tcPr>
            <w:tcW w:w="3058" w:type="dxa"/>
          </w:tcPr>
          <w:p w14:paraId="36750861" w14:textId="77777777" w:rsidR="008979C9" w:rsidRPr="00953311" w:rsidRDefault="008979C9">
            <w:pPr>
              <w:keepNext/>
              <w:rPr>
                <w:rFonts w:ascii="Arial Narrow" w:eastAsia="MS Gothic" w:hAnsi="Arial Narrow"/>
                <w:b/>
                <w:szCs w:val="24"/>
              </w:rPr>
            </w:pPr>
            <w:r w:rsidRPr="00953311">
              <w:rPr>
                <w:rFonts w:ascii="Arial Narrow" w:eastAsia="MS Gothic" w:hAnsi="Arial Narrow"/>
                <w:b/>
                <w:szCs w:val="24"/>
              </w:rPr>
              <w:t>Component</w:t>
            </w:r>
          </w:p>
        </w:tc>
        <w:tc>
          <w:tcPr>
            <w:tcW w:w="1983" w:type="dxa"/>
          </w:tcPr>
          <w:p w14:paraId="42CF33C6"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BMD test</w:t>
            </w:r>
          </w:p>
        </w:tc>
        <w:tc>
          <w:tcPr>
            <w:tcW w:w="1983" w:type="dxa"/>
          </w:tcPr>
          <w:p w14:paraId="22021829"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No BMD test</w:t>
            </w:r>
          </w:p>
        </w:tc>
        <w:tc>
          <w:tcPr>
            <w:tcW w:w="1992" w:type="dxa"/>
          </w:tcPr>
          <w:p w14:paraId="45659F95"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Increment</w:t>
            </w:r>
          </w:p>
        </w:tc>
      </w:tr>
      <w:tr w:rsidR="008979C9" w:rsidRPr="00953311" w14:paraId="46DAB0E1" w14:textId="77777777">
        <w:tc>
          <w:tcPr>
            <w:tcW w:w="3058" w:type="dxa"/>
          </w:tcPr>
          <w:p w14:paraId="51E00244"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Costs</w:t>
            </w:r>
          </w:p>
        </w:tc>
        <w:tc>
          <w:tcPr>
            <w:tcW w:w="1983" w:type="dxa"/>
          </w:tcPr>
          <w:p w14:paraId="19C3DE9F"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$255</w:t>
            </w:r>
          </w:p>
        </w:tc>
        <w:tc>
          <w:tcPr>
            <w:tcW w:w="1983" w:type="dxa"/>
          </w:tcPr>
          <w:p w14:paraId="0A402D2B"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w:t>
            </w:r>
          </w:p>
        </w:tc>
        <w:tc>
          <w:tcPr>
            <w:tcW w:w="1992" w:type="dxa"/>
          </w:tcPr>
          <w:p w14:paraId="5B116EF6"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$255</w:t>
            </w:r>
          </w:p>
        </w:tc>
      </w:tr>
      <w:tr w:rsidR="008979C9" w:rsidRPr="00953311" w14:paraId="179A097D" w14:textId="77777777">
        <w:tc>
          <w:tcPr>
            <w:tcW w:w="3058" w:type="dxa"/>
          </w:tcPr>
          <w:p w14:paraId="4EC07597"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Patients diagnosed with osteoporosis</w:t>
            </w:r>
          </w:p>
        </w:tc>
        <w:tc>
          <w:tcPr>
            <w:tcW w:w="1983" w:type="dxa"/>
          </w:tcPr>
          <w:p w14:paraId="486BF121"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0.1244</w:t>
            </w:r>
          </w:p>
        </w:tc>
        <w:tc>
          <w:tcPr>
            <w:tcW w:w="1983" w:type="dxa"/>
          </w:tcPr>
          <w:p w14:paraId="700E5F91"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0.0697</w:t>
            </w:r>
          </w:p>
        </w:tc>
        <w:tc>
          <w:tcPr>
            <w:tcW w:w="1992" w:type="dxa"/>
          </w:tcPr>
          <w:p w14:paraId="7275430C"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0.0547</w:t>
            </w:r>
          </w:p>
        </w:tc>
      </w:tr>
      <w:tr w:rsidR="008979C9" w:rsidRPr="00953311" w14:paraId="3A31D0BE" w14:textId="77777777">
        <w:tc>
          <w:tcPr>
            <w:tcW w:w="7024" w:type="dxa"/>
            <w:gridSpan w:val="3"/>
            <w:vAlign w:val="center"/>
          </w:tcPr>
          <w:p w14:paraId="0B6ACA11" w14:textId="77777777" w:rsidR="008979C9" w:rsidRPr="00953311" w:rsidRDefault="008979C9">
            <w:pPr>
              <w:keepNext/>
              <w:rPr>
                <w:rFonts w:ascii="Arial Narrow" w:eastAsia="MS Gothic" w:hAnsi="Arial Narrow"/>
                <w:bCs/>
                <w:szCs w:val="24"/>
              </w:rPr>
            </w:pPr>
            <w:r w:rsidRPr="00953311">
              <w:rPr>
                <w:rFonts w:ascii="Arial Narrow" w:eastAsia="MS Gothic" w:hAnsi="Arial Narrow"/>
                <w:b/>
                <w:szCs w:val="24"/>
              </w:rPr>
              <w:t>Incremental cost per additional patient diagnosed with osteoporosis</w:t>
            </w:r>
          </w:p>
        </w:tc>
        <w:tc>
          <w:tcPr>
            <w:tcW w:w="1992" w:type="dxa"/>
          </w:tcPr>
          <w:p w14:paraId="1AD6B6DC"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$4,673</w:t>
            </w:r>
          </w:p>
        </w:tc>
      </w:tr>
    </w:tbl>
    <w:p w14:paraId="2421D30E" w14:textId="77777777" w:rsidR="008979C9" w:rsidRPr="00E87379" w:rsidRDefault="008979C9" w:rsidP="008979C9">
      <w:pPr>
        <w:pStyle w:val="COMBody"/>
        <w:rPr>
          <w:rFonts w:cstheme="minorHAnsi"/>
        </w:rPr>
      </w:pPr>
      <w:r w:rsidRPr="00E87379">
        <w:rPr>
          <w:rFonts w:cstheme="minorHAnsi"/>
        </w:rPr>
        <w:t xml:space="preserve">The results indicate that BMD testing versus no BMD testing, in patients aged 60-69 years without fracture and conditions associated with rapid bone loss, is associated with an incremental cost of $4,673 per additional patient diagnosed with osteoporosis. </w:t>
      </w:r>
    </w:p>
    <w:p w14:paraId="40AA853F" w14:textId="0F6A8135" w:rsidR="008979C9" w:rsidRPr="00E87379" w:rsidRDefault="008979C9" w:rsidP="008979C9">
      <w:pPr>
        <w:pStyle w:val="COMBody"/>
        <w:rPr>
          <w:rFonts w:cstheme="minorHAnsi"/>
        </w:rPr>
      </w:pPr>
      <w:r w:rsidRPr="00E87379">
        <w:rPr>
          <w:rFonts w:cstheme="minorHAnsi"/>
        </w:rPr>
        <w:t xml:space="preserve">The number needed to test to identify an additional patient with osteoporosis was 47 (calculated as the undiscounted incremental cost per additional patient diagnosed with osteoporosis, $5,278, divided by the MBS cost per BMD test of $112.15). This estimate is considerably higher than previously noted by the MSAC Executive based on prevalence data presented in the November 2022 risedronic acid submission (approximate number needed to test of 7 using a rough osteoporosis prevalence of 14.3% weighted by gender in 60–69-year-olds assuming 1 test per person). The number needed to test in the economic evaluation is based on lower prevalence estimates from the DOES analysis in individuals without fracture (between </w:t>
      </w:r>
      <w:r w:rsidR="00A00641" w:rsidRPr="004434FE">
        <w:rPr>
          <w:rFonts w:cstheme="minorHAnsi"/>
          <w:b/>
          <w:bCs/>
        </w:rPr>
        <w:t>Redacted</w:t>
      </w:r>
      <w:r w:rsidRPr="0029669E">
        <w:rPr>
          <w:rFonts w:cstheme="minorHAnsi"/>
        </w:rPr>
        <w:t xml:space="preserve">% </w:t>
      </w:r>
      <w:r w:rsidRPr="004434FE">
        <w:rPr>
          <w:rFonts w:cstheme="minorHAnsi"/>
        </w:rPr>
        <w:t xml:space="preserve">and </w:t>
      </w:r>
      <w:r w:rsidR="00A00641" w:rsidRPr="004434FE">
        <w:rPr>
          <w:rFonts w:cstheme="minorHAnsi"/>
          <w:b/>
          <w:bCs/>
        </w:rPr>
        <w:t>Redacted</w:t>
      </w:r>
      <w:r w:rsidRPr="0029669E">
        <w:rPr>
          <w:rFonts w:cstheme="minorHAnsi"/>
        </w:rPr>
        <w:t>%</w:t>
      </w:r>
      <w:r w:rsidRPr="004434FE">
        <w:rPr>
          <w:rFonts w:cstheme="minorHAnsi"/>
        </w:rPr>
        <w:t xml:space="preserve">, weighted </w:t>
      </w:r>
      <w:r w:rsidRPr="00E87379">
        <w:rPr>
          <w:rFonts w:cstheme="minorHAnsi"/>
        </w:rPr>
        <w:t>by gender in 60-69-year-olds) but also included the impact of repeat testing.</w:t>
      </w:r>
    </w:p>
    <w:p w14:paraId="68C68E76" w14:textId="31814381" w:rsidR="008979C9" w:rsidRPr="00E87379" w:rsidRDefault="008979C9" w:rsidP="008979C9">
      <w:pPr>
        <w:pStyle w:val="COMBody"/>
        <w:rPr>
          <w:rFonts w:cstheme="minorHAnsi"/>
        </w:rPr>
      </w:pPr>
      <w:r w:rsidRPr="00E87379">
        <w:rPr>
          <w:rFonts w:cstheme="minorHAnsi"/>
        </w:rPr>
        <w:fldChar w:fldCharType="begin"/>
      </w:r>
      <w:r w:rsidRPr="00E87379">
        <w:rPr>
          <w:rFonts w:cstheme="minorHAnsi"/>
        </w:rPr>
        <w:instrText xml:space="preserve"> REF _Ref147241593 \h </w:instrText>
      </w:r>
      <w:r w:rsidR="00953311" w:rsidRPr="00E87379">
        <w:rPr>
          <w:rFonts w:cstheme="minorHAnsi"/>
        </w:rPr>
        <w:instrText xml:space="preserve"> \* MERGEFORMAT </w:instrText>
      </w:r>
      <w:r w:rsidRPr="00E87379">
        <w:rPr>
          <w:rFonts w:cstheme="minorHAnsi"/>
        </w:rPr>
      </w:r>
      <w:r w:rsidRPr="00E87379">
        <w:rPr>
          <w:rFonts w:cstheme="minorHAnsi"/>
        </w:rPr>
        <w:fldChar w:fldCharType="separate"/>
      </w:r>
      <w:r w:rsidR="00E551E5" w:rsidRPr="00E87379">
        <w:rPr>
          <w:rFonts w:cstheme="minorHAnsi"/>
        </w:rPr>
        <w:t>Table 5</w:t>
      </w:r>
      <w:r w:rsidRPr="00E87379">
        <w:rPr>
          <w:rFonts w:cstheme="minorHAnsi"/>
        </w:rPr>
        <w:fldChar w:fldCharType="end"/>
      </w:r>
      <w:r w:rsidRPr="00E87379">
        <w:rPr>
          <w:rFonts w:cstheme="minorHAnsi"/>
        </w:rPr>
        <w:t xml:space="preserve"> summarises the incremental costs for health care resources used in the model.</w:t>
      </w:r>
    </w:p>
    <w:p w14:paraId="24543723" w14:textId="03D48C79" w:rsidR="008979C9" w:rsidRPr="00953311" w:rsidRDefault="008979C9" w:rsidP="008979C9">
      <w:pPr>
        <w:pStyle w:val="COMtablefigcaption"/>
      </w:pPr>
      <w:bookmarkStart w:id="21" w:name="_Ref147241593"/>
      <w:r w:rsidRPr="00953311">
        <w:lastRenderedPageBreak/>
        <w:t xml:space="preserve">Table </w:t>
      </w:r>
      <w:r>
        <w:fldChar w:fldCharType="begin"/>
      </w:r>
      <w:r>
        <w:instrText>SEQ Table \* ARABIC</w:instrText>
      </w:r>
      <w:r>
        <w:fldChar w:fldCharType="separate"/>
      </w:r>
      <w:r w:rsidR="00090261">
        <w:rPr>
          <w:noProof/>
        </w:rPr>
        <w:t>5</w:t>
      </w:r>
      <w:r>
        <w:fldChar w:fldCharType="end"/>
      </w:r>
      <w:bookmarkEnd w:id="21"/>
      <w:r w:rsidRPr="00953311">
        <w:t xml:space="preserve"> Disaggregated costs (discounted) included in the economic </w:t>
      </w:r>
      <w:proofErr w:type="gramStart"/>
      <w:r w:rsidRPr="00953311">
        <w:t>evaluation</w:t>
      </w:r>
      <w:proofErr w:type="gramEnd"/>
    </w:p>
    <w:tbl>
      <w:tblPr>
        <w:tblStyle w:val="ASDTable2"/>
        <w:tblW w:w="0" w:type="auto"/>
        <w:tblLook w:val="04A0" w:firstRow="1" w:lastRow="0" w:firstColumn="1" w:lastColumn="0" w:noHBand="0" w:noVBand="1"/>
      </w:tblPr>
      <w:tblGrid>
        <w:gridCol w:w="3256"/>
        <w:gridCol w:w="1920"/>
        <w:gridCol w:w="1920"/>
        <w:gridCol w:w="1920"/>
      </w:tblGrid>
      <w:tr w:rsidR="008979C9" w:rsidRPr="00953311" w14:paraId="4C088212" w14:textId="77777777">
        <w:tc>
          <w:tcPr>
            <w:tcW w:w="3256" w:type="dxa"/>
          </w:tcPr>
          <w:p w14:paraId="4DD3ED44" w14:textId="77777777" w:rsidR="008979C9" w:rsidRPr="00953311" w:rsidRDefault="008979C9">
            <w:pPr>
              <w:keepNext/>
              <w:rPr>
                <w:rFonts w:ascii="Arial Narrow" w:eastAsia="MS Gothic" w:hAnsi="Arial Narrow"/>
                <w:b/>
                <w:szCs w:val="24"/>
              </w:rPr>
            </w:pPr>
            <w:r w:rsidRPr="00953311">
              <w:rPr>
                <w:rFonts w:ascii="Arial Narrow" w:eastAsia="MS Gothic" w:hAnsi="Arial Narrow"/>
                <w:b/>
                <w:szCs w:val="24"/>
              </w:rPr>
              <w:t>Item</w:t>
            </w:r>
          </w:p>
        </w:tc>
        <w:tc>
          <w:tcPr>
            <w:tcW w:w="1920" w:type="dxa"/>
          </w:tcPr>
          <w:p w14:paraId="56422258"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BMD test</w:t>
            </w:r>
          </w:p>
        </w:tc>
        <w:tc>
          <w:tcPr>
            <w:tcW w:w="1920" w:type="dxa"/>
          </w:tcPr>
          <w:p w14:paraId="422C5F3D"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No BMD test</w:t>
            </w:r>
          </w:p>
        </w:tc>
        <w:tc>
          <w:tcPr>
            <w:tcW w:w="1920" w:type="dxa"/>
          </w:tcPr>
          <w:p w14:paraId="3B4E75C3"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Incremental cost</w:t>
            </w:r>
          </w:p>
        </w:tc>
      </w:tr>
      <w:tr w:rsidR="008979C9" w:rsidRPr="00953311" w14:paraId="02B1DDDD" w14:textId="77777777">
        <w:tc>
          <w:tcPr>
            <w:tcW w:w="3256" w:type="dxa"/>
          </w:tcPr>
          <w:p w14:paraId="7D72CA45"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Initial test</w:t>
            </w:r>
          </w:p>
        </w:tc>
        <w:tc>
          <w:tcPr>
            <w:tcW w:w="1920" w:type="dxa"/>
            <w:vAlign w:val="center"/>
          </w:tcPr>
          <w:p w14:paraId="37C6C230"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$112.15</w:t>
            </w:r>
          </w:p>
        </w:tc>
        <w:tc>
          <w:tcPr>
            <w:tcW w:w="1920" w:type="dxa"/>
            <w:vAlign w:val="center"/>
          </w:tcPr>
          <w:p w14:paraId="5F146E7F"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w:t>
            </w:r>
          </w:p>
        </w:tc>
        <w:tc>
          <w:tcPr>
            <w:tcW w:w="1920" w:type="dxa"/>
            <w:vAlign w:val="center"/>
          </w:tcPr>
          <w:p w14:paraId="2DDFEDC8"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$112.15</w:t>
            </w:r>
          </w:p>
        </w:tc>
      </w:tr>
      <w:tr w:rsidR="008979C9" w:rsidRPr="00953311" w14:paraId="1A13A90B" w14:textId="77777777">
        <w:tc>
          <w:tcPr>
            <w:tcW w:w="3256" w:type="dxa"/>
          </w:tcPr>
          <w:p w14:paraId="7C991058"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Repeat test</w:t>
            </w:r>
          </w:p>
        </w:tc>
        <w:tc>
          <w:tcPr>
            <w:tcW w:w="1920" w:type="dxa"/>
            <w:vAlign w:val="center"/>
          </w:tcPr>
          <w:p w14:paraId="1714EE7E"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$143.63</w:t>
            </w:r>
          </w:p>
        </w:tc>
        <w:tc>
          <w:tcPr>
            <w:tcW w:w="1920" w:type="dxa"/>
            <w:vAlign w:val="center"/>
          </w:tcPr>
          <w:p w14:paraId="190E1F2F"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w:t>
            </w:r>
          </w:p>
        </w:tc>
        <w:tc>
          <w:tcPr>
            <w:tcW w:w="1920" w:type="dxa"/>
            <w:vAlign w:val="center"/>
          </w:tcPr>
          <w:p w14:paraId="4DCF0585"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$143.63</w:t>
            </w:r>
          </w:p>
        </w:tc>
      </w:tr>
      <w:tr w:rsidR="008979C9" w:rsidRPr="00953311" w14:paraId="0A1FF118" w14:textId="77777777">
        <w:tc>
          <w:tcPr>
            <w:tcW w:w="3256" w:type="dxa"/>
          </w:tcPr>
          <w:p w14:paraId="7F48C9C8"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- 2 yearly</w:t>
            </w:r>
          </w:p>
        </w:tc>
        <w:tc>
          <w:tcPr>
            <w:tcW w:w="1920" w:type="dxa"/>
            <w:vAlign w:val="center"/>
          </w:tcPr>
          <w:p w14:paraId="2672061A"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$90.41</w:t>
            </w:r>
          </w:p>
        </w:tc>
        <w:tc>
          <w:tcPr>
            <w:tcW w:w="1920" w:type="dxa"/>
            <w:vAlign w:val="center"/>
          </w:tcPr>
          <w:p w14:paraId="7F60E470"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w:t>
            </w:r>
          </w:p>
        </w:tc>
        <w:tc>
          <w:tcPr>
            <w:tcW w:w="1920" w:type="dxa"/>
            <w:vAlign w:val="center"/>
          </w:tcPr>
          <w:p w14:paraId="4328AA74"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$90.41</w:t>
            </w:r>
          </w:p>
        </w:tc>
      </w:tr>
      <w:tr w:rsidR="008979C9" w:rsidRPr="00953311" w14:paraId="72637677" w14:textId="77777777">
        <w:tc>
          <w:tcPr>
            <w:tcW w:w="3256" w:type="dxa"/>
          </w:tcPr>
          <w:p w14:paraId="0670EE1A"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- 5 yearly</w:t>
            </w:r>
          </w:p>
        </w:tc>
        <w:tc>
          <w:tcPr>
            <w:tcW w:w="1920" w:type="dxa"/>
            <w:vAlign w:val="center"/>
          </w:tcPr>
          <w:p w14:paraId="356B20C1"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$53.22</w:t>
            </w:r>
          </w:p>
        </w:tc>
        <w:tc>
          <w:tcPr>
            <w:tcW w:w="1920" w:type="dxa"/>
            <w:vAlign w:val="center"/>
          </w:tcPr>
          <w:p w14:paraId="69D466A0"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w:t>
            </w:r>
          </w:p>
        </w:tc>
        <w:tc>
          <w:tcPr>
            <w:tcW w:w="1920" w:type="dxa"/>
            <w:vAlign w:val="center"/>
          </w:tcPr>
          <w:p w14:paraId="1471F227"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$53.22</w:t>
            </w:r>
          </w:p>
        </w:tc>
      </w:tr>
      <w:tr w:rsidR="008979C9" w:rsidRPr="00953311" w14:paraId="36F2A4D3" w14:textId="77777777">
        <w:tc>
          <w:tcPr>
            <w:tcW w:w="3256" w:type="dxa"/>
          </w:tcPr>
          <w:p w14:paraId="6CC4AB30"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Total</w:t>
            </w:r>
          </w:p>
        </w:tc>
        <w:tc>
          <w:tcPr>
            <w:tcW w:w="1920" w:type="dxa"/>
            <w:vAlign w:val="center"/>
          </w:tcPr>
          <w:p w14:paraId="4FE8494C"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$255.79</w:t>
            </w:r>
          </w:p>
        </w:tc>
        <w:tc>
          <w:tcPr>
            <w:tcW w:w="1920" w:type="dxa"/>
            <w:vAlign w:val="center"/>
          </w:tcPr>
          <w:p w14:paraId="1D50C200"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w:t>
            </w:r>
          </w:p>
        </w:tc>
        <w:tc>
          <w:tcPr>
            <w:tcW w:w="1920" w:type="dxa"/>
            <w:vAlign w:val="center"/>
          </w:tcPr>
          <w:p w14:paraId="3E2F483A"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$255.79</w:t>
            </w:r>
          </w:p>
        </w:tc>
      </w:tr>
    </w:tbl>
    <w:p w14:paraId="15A9FEA2" w14:textId="77777777" w:rsidR="008979C9" w:rsidRPr="00E87379" w:rsidRDefault="008979C9" w:rsidP="008979C9">
      <w:pPr>
        <w:pStyle w:val="COMBody"/>
        <w:rPr>
          <w:rFonts w:cstheme="minorHAnsi"/>
        </w:rPr>
      </w:pPr>
      <w:r w:rsidRPr="00E87379">
        <w:rPr>
          <w:rFonts w:cstheme="minorHAnsi"/>
        </w:rPr>
        <w:t>The incremental cost was driven by costs associated with BMD testing, with no other costs included in the base case. A greater proportion of the incremental cost was associated with repeat testing, particularly 2-yearly repeat testing.</w:t>
      </w:r>
    </w:p>
    <w:p w14:paraId="359A475F" w14:textId="5C9E6C1F" w:rsidR="008979C9" w:rsidRPr="00E87379" w:rsidRDefault="008979C9" w:rsidP="008979C9">
      <w:pPr>
        <w:pStyle w:val="COMBody"/>
        <w:rPr>
          <w:rFonts w:cstheme="minorHAnsi"/>
        </w:rPr>
      </w:pPr>
      <w:r w:rsidRPr="00E87379">
        <w:rPr>
          <w:rFonts w:cstheme="minorHAnsi"/>
        </w:rPr>
        <w:fldChar w:fldCharType="begin"/>
      </w:r>
      <w:r w:rsidRPr="00E87379">
        <w:rPr>
          <w:rFonts w:cstheme="minorHAnsi"/>
        </w:rPr>
        <w:instrText xml:space="preserve"> REF _Ref147241605 \h </w:instrText>
      </w:r>
      <w:r w:rsidR="00953311" w:rsidRPr="00E87379">
        <w:rPr>
          <w:rFonts w:cstheme="minorHAnsi"/>
        </w:rPr>
        <w:instrText xml:space="preserve"> \* MERGEFORMAT </w:instrText>
      </w:r>
      <w:r w:rsidRPr="00E87379">
        <w:rPr>
          <w:rFonts w:cstheme="minorHAnsi"/>
        </w:rPr>
      </w:r>
      <w:r w:rsidRPr="00E87379">
        <w:rPr>
          <w:rFonts w:cstheme="minorHAnsi"/>
        </w:rPr>
        <w:fldChar w:fldCharType="separate"/>
      </w:r>
      <w:r w:rsidR="00E551E5" w:rsidRPr="00E87379">
        <w:rPr>
          <w:rFonts w:cstheme="minorHAnsi"/>
        </w:rPr>
        <w:t>Table 6</w:t>
      </w:r>
      <w:r w:rsidRPr="00E87379">
        <w:rPr>
          <w:rFonts w:cstheme="minorHAnsi"/>
        </w:rPr>
        <w:fldChar w:fldCharType="end"/>
      </w:r>
      <w:r w:rsidRPr="00E87379">
        <w:rPr>
          <w:rFonts w:cstheme="minorHAnsi"/>
        </w:rPr>
        <w:t xml:space="preserve"> summarises the health outcomes included in the model.</w:t>
      </w:r>
    </w:p>
    <w:p w14:paraId="7AB0DC07" w14:textId="0C1DAF6A" w:rsidR="008979C9" w:rsidRPr="00953311" w:rsidRDefault="008979C9" w:rsidP="008979C9">
      <w:pPr>
        <w:pStyle w:val="COMtablefigcaption"/>
      </w:pPr>
      <w:bookmarkStart w:id="22" w:name="_Ref147241605"/>
      <w:r w:rsidRPr="00953311">
        <w:t xml:space="preserve">Table </w:t>
      </w:r>
      <w:r>
        <w:fldChar w:fldCharType="begin"/>
      </w:r>
      <w:r>
        <w:instrText>SEQ Table \* ARABIC</w:instrText>
      </w:r>
      <w:r>
        <w:fldChar w:fldCharType="separate"/>
      </w:r>
      <w:r w:rsidR="00090261">
        <w:rPr>
          <w:noProof/>
        </w:rPr>
        <w:t>6</w:t>
      </w:r>
      <w:r>
        <w:fldChar w:fldCharType="end"/>
      </w:r>
      <w:bookmarkEnd w:id="22"/>
      <w:r w:rsidRPr="00953311">
        <w:t xml:space="preserve"> Disaggregated health outcomes included in the economic </w:t>
      </w:r>
      <w:proofErr w:type="gramStart"/>
      <w:r w:rsidRPr="00953311">
        <w:t>evaluation</w:t>
      </w:r>
      <w:proofErr w:type="gramEnd"/>
    </w:p>
    <w:tbl>
      <w:tblPr>
        <w:tblStyle w:val="ASDTable2"/>
        <w:tblW w:w="0" w:type="auto"/>
        <w:tblLook w:val="04A0" w:firstRow="1" w:lastRow="0" w:firstColumn="1" w:lastColumn="0" w:noHBand="0" w:noVBand="1"/>
      </w:tblPr>
      <w:tblGrid>
        <w:gridCol w:w="3201"/>
        <w:gridCol w:w="1938"/>
        <w:gridCol w:w="1938"/>
        <w:gridCol w:w="1939"/>
      </w:tblGrid>
      <w:tr w:rsidR="008979C9" w:rsidRPr="00953311" w14:paraId="3AFCD936" w14:textId="77777777">
        <w:tc>
          <w:tcPr>
            <w:tcW w:w="3201" w:type="dxa"/>
          </w:tcPr>
          <w:p w14:paraId="6DF5F48C" w14:textId="77777777" w:rsidR="008979C9" w:rsidRPr="00953311" w:rsidRDefault="008979C9">
            <w:pPr>
              <w:keepNext/>
              <w:rPr>
                <w:rFonts w:ascii="Arial Narrow" w:eastAsia="MS Gothic" w:hAnsi="Arial Narrow"/>
                <w:b/>
                <w:szCs w:val="24"/>
              </w:rPr>
            </w:pPr>
            <w:r w:rsidRPr="00953311">
              <w:rPr>
                <w:rFonts w:ascii="Arial Narrow" w:eastAsia="MS Gothic" w:hAnsi="Arial Narrow"/>
                <w:b/>
                <w:szCs w:val="24"/>
              </w:rPr>
              <w:t>Item</w:t>
            </w:r>
          </w:p>
        </w:tc>
        <w:tc>
          <w:tcPr>
            <w:tcW w:w="1938" w:type="dxa"/>
          </w:tcPr>
          <w:p w14:paraId="0FB39061"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BMD test</w:t>
            </w:r>
          </w:p>
        </w:tc>
        <w:tc>
          <w:tcPr>
            <w:tcW w:w="1938" w:type="dxa"/>
          </w:tcPr>
          <w:p w14:paraId="76B693E7"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No BMD test</w:t>
            </w:r>
          </w:p>
        </w:tc>
        <w:tc>
          <w:tcPr>
            <w:tcW w:w="1939" w:type="dxa"/>
          </w:tcPr>
          <w:p w14:paraId="55550DBC" w14:textId="77777777" w:rsidR="008979C9" w:rsidRPr="00953311" w:rsidRDefault="008979C9">
            <w:pPr>
              <w:keepNext/>
              <w:jc w:val="center"/>
              <w:rPr>
                <w:rFonts w:ascii="Arial Narrow" w:eastAsia="MS Gothic" w:hAnsi="Arial Narrow"/>
                <w:b/>
                <w:szCs w:val="24"/>
              </w:rPr>
            </w:pPr>
            <w:r w:rsidRPr="00953311">
              <w:rPr>
                <w:rFonts w:ascii="Arial Narrow" w:eastAsia="MS Gothic" w:hAnsi="Arial Narrow"/>
                <w:b/>
                <w:szCs w:val="24"/>
              </w:rPr>
              <w:t>Increment</w:t>
            </w:r>
          </w:p>
        </w:tc>
      </w:tr>
      <w:tr w:rsidR="008979C9" w:rsidRPr="00953311" w14:paraId="4D838FD9" w14:textId="77777777">
        <w:tc>
          <w:tcPr>
            <w:tcW w:w="3201" w:type="dxa"/>
          </w:tcPr>
          <w:p w14:paraId="1125C662"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Patients with diagnosed osteoporosis (undiscounted)</w:t>
            </w:r>
          </w:p>
        </w:tc>
        <w:tc>
          <w:tcPr>
            <w:tcW w:w="1938" w:type="dxa"/>
            <w:vAlign w:val="center"/>
          </w:tcPr>
          <w:p w14:paraId="7138684D"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0.1465</w:t>
            </w:r>
          </w:p>
        </w:tc>
        <w:tc>
          <w:tcPr>
            <w:tcW w:w="1938" w:type="dxa"/>
            <w:vAlign w:val="center"/>
          </w:tcPr>
          <w:p w14:paraId="1C0655D9"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0.0907</w:t>
            </w:r>
          </w:p>
        </w:tc>
        <w:tc>
          <w:tcPr>
            <w:tcW w:w="1939" w:type="dxa"/>
            <w:vAlign w:val="center"/>
          </w:tcPr>
          <w:p w14:paraId="3A1833AF"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0.0558</w:t>
            </w:r>
          </w:p>
        </w:tc>
      </w:tr>
      <w:tr w:rsidR="008979C9" w:rsidRPr="00953311" w14:paraId="4350E754" w14:textId="77777777">
        <w:tc>
          <w:tcPr>
            <w:tcW w:w="3201" w:type="dxa"/>
          </w:tcPr>
          <w:p w14:paraId="4B32586A"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 Detected via BMD (undiscounted)</w:t>
            </w:r>
          </w:p>
        </w:tc>
        <w:tc>
          <w:tcPr>
            <w:tcW w:w="1938" w:type="dxa"/>
            <w:vAlign w:val="center"/>
          </w:tcPr>
          <w:p w14:paraId="6576B984"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0.0693</w:t>
            </w:r>
          </w:p>
        </w:tc>
        <w:tc>
          <w:tcPr>
            <w:tcW w:w="1938" w:type="dxa"/>
            <w:vAlign w:val="center"/>
          </w:tcPr>
          <w:p w14:paraId="16B7E315"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w:t>
            </w:r>
          </w:p>
        </w:tc>
        <w:tc>
          <w:tcPr>
            <w:tcW w:w="1939" w:type="dxa"/>
            <w:vAlign w:val="center"/>
          </w:tcPr>
          <w:p w14:paraId="278F6636"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0.0693</w:t>
            </w:r>
          </w:p>
        </w:tc>
      </w:tr>
      <w:tr w:rsidR="008979C9" w:rsidRPr="00953311" w14:paraId="70D83872" w14:textId="77777777">
        <w:tc>
          <w:tcPr>
            <w:tcW w:w="3201" w:type="dxa"/>
          </w:tcPr>
          <w:p w14:paraId="11C766D2"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 Detected via fracture (undiscounted)</w:t>
            </w:r>
          </w:p>
        </w:tc>
        <w:tc>
          <w:tcPr>
            <w:tcW w:w="1938" w:type="dxa"/>
            <w:vAlign w:val="center"/>
          </w:tcPr>
          <w:p w14:paraId="29C04FF2"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0.0772</w:t>
            </w:r>
          </w:p>
        </w:tc>
        <w:tc>
          <w:tcPr>
            <w:tcW w:w="1938" w:type="dxa"/>
            <w:vAlign w:val="center"/>
          </w:tcPr>
          <w:p w14:paraId="51C7BF98"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0.0907</w:t>
            </w:r>
          </w:p>
        </w:tc>
        <w:tc>
          <w:tcPr>
            <w:tcW w:w="1939" w:type="dxa"/>
            <w:vAlign w:val="center"/>
          </w:tcPr>
          <w:p w14:paraId="770E0B66"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-0.0135</w:t>
            </w:r>
          </w:p>
        </w:tc>
      </w:tr>
      <w:tr w:rsidR="008979C9" w:rsidRPr="00953311" w14:paraId="608C3CDD" w14:textId="77777777">
        <w:tc>
          <w:tcPr>
            <w:tcW w:w="3201" w:type="dxa"/>
          </w:tcPr>
          <w:p w14:paraId="31FA58F0"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Patients with undiagnosed osteoporosis (undiscounted)</w:t>
            </w:r>
          </w:p>
        </w:tc>
        <w:tc>
          <w:tcPr>
            <w:tcW w:w="1938" w:type="dxa"/>
            <w:vAlign w:val="center"/>
          </w:tcPr>
          <w:p w14:paraId="6C32BBD6"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0.0005</w:t>
            </w:r>
          </w:p>
        </w:tc>
        <w:tc>
          <w:tcPr>
            <w:tcW w:w="1938" w:type="dxa"/>
            <w:vAlign w:val="center"/>
          </w:tcPr>
          <w:p w14:paraId="715CF9F9"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0.0680</w:t>
            </w:r>
          </w:p>
        </w:tc>
        <w:tc>
          <w:tcPr>
            <w:tcW w:w="1939" w:type="dxa"/>
            <w:vAlign w:val="center"/>
          </w:tcPr>
          <w:p w14:paraId="16EEC1C4"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-0.0675</w:t>
            </w:r>
          </w:p>
        </w:tc>
      </w:tr>
      <w:tr w:rsidR="008979C9" w:rsidRPr="00953311" w14:paraId="7D032A75" w14:textId="77777777">
        <w:tc>
          <w:tcPr>
            <w:tcW w:w="3201" w:type="dxa"/>
          </w:tcPr>
          <w:p w14:paraId="7F07E11E"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Dead (undiscounted)</w:t>
            </w:r>
          </w:p>
        </w:tc>
        <w:tc>
          <w:tcPr>
            <w:tcW w:w="1938" w:type="dxa"/>
            <w:vAlign w:val="center"/>
          </w:tcPr>
          <w:p w14:paraId="6C543F3F"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0.0656</w:t>
            </w:r>
          </w:p>
        </w:tc>
        <w:tc>
          <w:tcPr>
            <w:tcW w:w="1938" w:type="dxa"/>
            <w:vAlign w:val="center"/>
          </w:tcPr>
          <w:p w14:paraId="770B3DC2"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0.0676</w:t>
            </w:r>
          </w:p>
        </w:tc>
        <w:tc>
          <w:tcPr>
            <w:tcW w:w="1939" w:type="dxa"/>
            <w:vAlign w:val="center"/>
          </w:tcPr>
          <w:p w14:paraId="054D2EA5"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-0.0020</w:t>
            </w:r>
          </w:p>
        </w:tc>
      </w:tr>
      <w:tr w:rsidR="008979C9" w:rsidRPr="00953311" w14:paraId="28D34E29" w14:textId="77777777">
        <w:tc>
          <w:tcPr>
            <w:tcW w:w="3201" w:type="dxa"/>
          </w:tcPr>
          <w:p w14:paraId="7D80C562" w14:textId="77777777" w:rsidR="008979C9" w:rsidRPr="00953311" w:rsidRDefault="008979C9">
            <w:pPr>
              <w:keepNext/>
              <w:rPr>
                <w:rFonts w:ascii="Arial Narrow" w:eastAsia="MS Gothic" w:hAnsi="Arial Narrow"/>
                <w:bCs/>
                <w:szCs w:val="24"/>
              </w:rPr>
            </w:pPr>
            <w:r w:rsidRPr="00953311">
              <w:rPr>
                <w:rFonts w:ascii="Arial Narrow" w:eastAsia="MS Gothic" w:hAnsi="Arial Narrow"/>
                <w:bCs/>
                <w:szCs w:val="24"/>
              </w:rPr>
              <w:t>Patients with diagnosed osteoporosis (discounted)</w:t>
            </w:r>
          </w:p>
        </w:tc>
        <w:tc>
          <w:tcPr>
            <w:tcW w:w="1938" w:type="dxa"/>
            <w:vAlign w:val="center"/>
          </w:tcPr>
          <w:p w14:paraId="50213C9B"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0.1244</w:t>
            </w:r>
          </w:p>
        </w:tc>
        <w:tc>
          <w:tcPr>
            <w:tcW w:w="1938" w:type="dxa"/>
            <w:vAlign w:val="center"/>
          </w:tcPr>
          <w:p w14:paraId="261EF7D4"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0.0697</w:t>
            </w:r>
          </w:p>
        </w:tc>
        <w:tc>
          <w:tcPr>
            <w:tcW w:w="1939" w:type="dxa"/>
            <w:vAlign w:val="center"/>
          </w:tcPr>
          <w:p w14:paraId="0D163A9D" w14:textId="77777777" w:rsidR="008979C9" w:rsidRPr="00953311" w:rsidRDefault="008979C9">
            <w:pPr>
              <w:keepNext/>
              <w:jc w:val="center"/>
              <w:rPr>
                <w:rFonts w:ascii="Arial Narrow" w:eastAsia="MS Gothic" w:hAnsi="Arial Narrow"/>
                <w:bCs/>
                <w:szCs w:val="24"/>
              </w:rPr>
            </w:pPr>
            <w:r w:rsidRPr="00953311">
              <w:rPr>
                <w:rFonts w:ascii="Arial Narrow" w:eastAsia="MS Gothic" w:hAnsi="Arial Narrow"/>
                <w:bCs/>
                <w:szCs w:val="24"/>
              </w:rPr>
              <w:t>0.0547</w:t>
            </w:r>
          </w:p>
        </w:tc>
      </w:tr>
    </w:tbl>
    <w:p w14:paraId="4D6A4C6B" w14:textId="77777777" w:rsidR="008979C9" w:rsidRPr="00953311" w:rsidRDefault="008979C9" w:rsidP="008979C9">
      <w:pPr>
        <w:pStyle w:val="COMTablefooter"/>
      </w:pPr>
      <w:r w:rsidRPr="00953311">
        <w:t xml:space="preserve">Note: The total time spent with normal BMD/mild osteopenia, moderate/marked </w:t>
      </w:r>
      <w:proofErr w:type="gramStart"/>
      <w:r w:rsidRPr="00953311">
        <w:t>osteopenia</w:t>
      </w:r>
      <w:proofErr w:type="gramEnd"/>
      <w:r w:rsidRPr="00953311">
        <w:t xml:space="preserve"> or undetected osteoporosis (undiscounted) was 8.3350 years for individuals in the BMD test arm and 7.8005 years in the no BMD test arm (difference of -0.5345 years)</w:t>
      </w:r>
    </w:p>
    <w:p w14:paraId="02027054" w14:textId="77777777" w:rsidR="008979C9" w:rsidRPr="00E87379" w:rsidRDefault="008979C9" w:rsidP="008979C9">
      <w:pPr>
        <w:pStyle w:val="COMBody"/>
        <w:rPr>
          <w:rFonts w:cstheme="minorHAnsi"/>
        </w:rPr>
      </w:pPr>
      <w:r w:rsidRPr="00E87379">
        <w:rPr>
          <w:rFonts w:cstheme="minorHAnsi"/>
        </w:rPr>
        <w:t>The difference in health outcomes was driven by the increased proportion of patients diagnosed with osteoporosis through BMD testing. The proportion of patients with undiagnosed osteoporosis in the BMD test arm was relatively small given the assumption of 100% test uptake and 100% test accuracy.</w:t>
      </w:r>
    </w:p>
    <w:p w14:paraId="329BF69F" w14:textId="40CF1342" w:rsidR="008979C9" w:rsidRPr="00E87379" w:rsidRDefault="008979C9" w:rsidP="008979C9">
      <w:pPr>
        <w:pStyle w:val="COMBody"/>
        <w:rPr>
          <w:rFonts w:cstheme="minorHAnsi"/>
        </w:rPr>
      </w:pPr>
      <w:r w:rsidRPr="00E87379">
        <w:rPr>
          <w:rFonts w:cstheme="minorHAnsi"/>
        </w:rPr>
        <w:t>There were fewer patients diagnosed with osteoporosis due to fracture in the BMD test arm as well as a relatively small difference in mortality compared to the no BMD test arm. This was due to modelled outcomes based on patients diagnosed with osteoporosis, detected via BMD or fracture in the BMD test arm and only via fracture in the no BMD test arm. Patients diagnosed with osteoporosis were no longer at risk of fracture or mortality in the model (i.e. detected osteoporosis and fracture are absorbing health states). This was a simplifying approach that had minimal impact on modelled outcomes given the relatively low risks of fracture and mortality in the modelled population.</w:t>
      </w:r>
    </w:p>
    <w:p w14:paraId="2450FCC5" w14:textId="50654C70" w:rsidR="008979C9" w:rsidRPr="00E87379" w:rsidRDefault="008979C9" w:rsidP="008979C9">
      <w:pPr>
        <w:pStyle w:val="COMBody"/>
        <w:rPr>
          <w:rFonts w:cstheme="minorHAnsi"/>
        </w:rPr>
      </w:pPr>
      <w:r w:rsidRPr="00E87379">
        <w:rPr>
          <w:rFonts w:cstheme="minorHAnsi"/>
        </w:rPr>
        <w:fldChar w:fldCharType="begin"/>
      </w:r>
      <w:r w:rsidRPr="00E87379">
        <w:rPr>
          <w:rFonts w:cstheme="minorHAnsi"/>
        </w:rPr>
        <w:instrText xml:space="preserve"> REF _Ref69726321 \h </w:instrText>
      </w:r>
      <w:r w:rsidR="00953311" w:rsidRPr="00E87379">
        <w:rPr>
          <w:rFonts w:cstheme="minorHAnsi"/>
        </w:rPr>
        <w:instrText xml:space="preserve"> \* MERGEFORMAT </w:instrText>
      </w:r>
      <w:r w:rsidRPr="00E87379">
        <w:rPr>
          <w:rFonts w:cstheme="minorHAnsi"/>
        </w:rPr>
      </w:r>
      <w:r w:rsidRPr="00E87379">
        <w:rPr>
          <w:rFonts w:cstheme="minorHAnsi"/>
        </w:rPr>
        <w:fldChar w:fldCharType="separate"/>
      </w:r>
      <w:r w:rsidR="00E551E5" w:rsidRPr="00E87379">
        <w:rPr>
          <w:rFonts w:cstheme="minorHAnsi"/>
        </w:rPr>
        <w:t>Table 7</w:t>
      </w:r>
      <w:r w:rsidRPr="00E87379">
        <w:rPr>
          <w:rFonts w:cstheme="minorHAnsi"/>
        </w:rPr>
        <w:fldChar w:fldCharType="end"/>
      </w:r>
      <w:r w:rsidRPr="00E87379">
        <w:rPr>
          <w:rFonts w:cstheme="minorHAnsi"/>
        </w:rPr>
        <w:t xml:space="preserve"> summarises the key drivers of the economic model.</w:t>
      </w:r>
    </w:p>
    <w:p w14:paraId="51FDD53A" w14:textId="69DF247C" w:rsidR="008979C9" w:rsidRPr="00953311" w:rsidRDefault="008979C9" w:rsidP="008979C9">
      <w:pPr>
        <w:pStyle w:val="COMtablefigcaption"/>
      </w:pPr>
      <w:bookmarkStart w:id="23" w:name="_Ref69726321"/>
      <w:r w:rsidRPr="00953311">
        <w:lastRenderedPageBreak/>
        <w:t>Table </w:t>
      </w:r>
      <w:r>
        <w:fldChar w:fldCharType="begin"/>
      </w:r>
      <w:r>
        <w:instrText>SEQ Table \* ARABIC</w:instrText>
      </w:r>
      <w:r>
        <w:fldChar w:fldCharType="separate"/>
      </w:r>
      <w:r w:rsidR="00090261">
        <w:rPr>
          <w:noProof/>
        </w:rPr>
        <w:t>7</w:t>
      </w:r>
      <w:r>
        <w:fldChar w:fldCharType="end"/>
      </w:r>
      <w:bookmarkEnd w:id="23"/>
      <w:r w:rsidRPr="00953311">
        <w:t xml:space="preserve">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129"/>
        <w:gridCol w:w="6313"/>
        <w:gridCol w:w="1574"/>
      </w:tblGrid>
      <w:tr w:rsidR="008979C9" w:rsidRPr="00953311" w14:paraId="715F5161" w14:textId="77777777">
        <w:trPr>
          <w:tblHeader/>
        </w:trPr>
        <w:tc>
          <w:tcPr>
            <w:tcW w:w="626" w:type="pct"/>
            <w:shd w:val="clear" w:color="auto" w:fill="auto"/>
            <w:vAlign w:val="center"/>
          </w:tcPr>
          <w:p w14:paraId="11E9ECBD" w14:textId="77777777" w:rsidR="008979C9" w:rsidRPr="00953311" w:rsidRDefault="008979C9">
            <w:pPr>
              <w:pStyle w:val="COMTableheadingrow"/>
              <w:jc w:val="left"/>
            </w:pPr>
            <w:bookmarkStart w:id="24" w:name="Title_Table10" w:colFirst="0" w:colLast="0"/>
            <w:bookmarkStart w:id="25" w:name="_Hlk68276626"/>
            <w:r w:rsidRPr="00953311">
              <w:t>Description</w:t>
            </w:r>
          </w:p>
        </w:tc>
        <w:tc>
          <w:tcPr>
            <w:tcW w:w="3501" w:type="pct"/>
            <w:shd w:val="clear" w:color="auto" w:fill="auto"/>
            <w:vAlign w:val="center"/>
          </w:tcPr>
          <w:p w14:paraId="562BB9E5" w14:textId="77777777" w:rsidR="008979C9" w:rsidRPr="00953311" w:rsidRDefault="008979C9">
            <w:pPr>
              <w:pStyle w:val="COMTableheadingrow"/>
              <w:jc w:val="left"/>
            </w:pPr>
            <w:r w:rsidRPr="00953311">
              <w:t>Method/Value</w:t>
            </w:r>
          </w:p>
        </w:tc>
        <w:tc>
          <w:tcPr>
            <w:tcW w:w="873" w:type="pct"/>
            <w:shd w:val="clear" w:color="auto" w:fill="auto"/>
            <w:vAlign w:val="center"/>
          </w:tcPr>
          <w:p w14:paraId="6687589C" w14:textId="77777777" w:rsidR="008979C9" w:rsidRPr="00953311" w:rsidRDefault="008979C9">
            <w:pPr>
              <w:pStyle w:val="COMTableheadingrow"/>
              <w:jc w:val="left"/>
            </w:pPr>
            <w:r w:rsidRPr="00953311">
              <w:t>Impact</w:t>
            </w:r>
          </w:p>
        </w:tc>
      </w:tr>
      <w:bookmarkEnd w:id="24"/>
      <w:tr w:rsidR="008979C9" w:rsidRPr="00953311" w14:paraId="5DA99053" w14:textId="77777777">
        <w:tc>
          <w:tcPr>
            <w:tcW w:w="626" w:type="pct"/>
            <w:shd w:val="clear" w:color="auto" w:fill="auto"/>
            <w:vAlign w:val="center"/>
          </w:tcPr>
          <w:p w14:paraId="70C1E7FA" w14:textId="77777777" w:rsidR="008979C9" w:rsidRPr="00953311" w:rsidRDefault="008979C9">
            <w:pPr>
              <w:pStyle w:val="COMTabletext"/>
              <w:rPr>
                <w:lang w:val="en-US"/>
              </w:rPr>
            </w:pPr>
            <w:r w:rsidRPr="00953311">
              <w:rPr>
                <w:lang w:val="en-US"/>
              </w:rPr>
              <w:t>Frequency of repeat testing</w:t>
            </w:r>
          </w:p>
        </w:tc>
        <w:tc>
          <w:tcPr>
            <w:tcW w:w="3501" w:type="pct"/>
            <w:shd w:val="clear" w:color="auto" w:fill="auto"/>
            <w:vAlign w:val="center"/>
          </w:tcPr>
          <w:p w14:paraId="59ED57D5" w14:textId="77777777" w:rsidR="008979C9" w:rsidRPr="00953311" w:rsidRDefault="008979C9">
            <w:pPr>
              <w:pStyle w:val="COMTabletext"/>
              <w:rPr>
                <w:lang w:val="en-US"/>
              </w:rPr>
            </w:pPr>
            <w:r w:rsidRPr="00953311">
              <w:rPr>
                <w:lang w:val="en-US"/>
              </w:rPr>
              <w:t xml:space="preserve">Testing frequencies were either 2-yearly or 5-yearly depending on eligibility based on the individual’s BMD T-score from the prior test. Disaggregated costs and health outcomes indicated that the incremental cost was driven by costs associated with repeat testing, particularly 2-yearly repeat testing. There were also relatively few additional patients with osteoporosis detected via BMD testing after the initial test at baseline. </w:t>
            </w:r>
          </w:p>
        </w:tc>
        <w:tc>
          <w:tcPr>
            <w:tcW w:w="873" w:type="pct"/>
            <w:shd w:val="clear" w:color="auto" w:fill="auto"/>
            <w:vAlign w:val="center"/>
          </w:tcPr>
          <w:p w14:paraId="014F6385" w14:textId="77777777" w:rsidR="008979C9" w:rsidRPr="008C12DC" w:rsidRDefault="008979C9">
            <w:pPr>
              <w:pStyle w:val="COMTabletext"/>
              <w:rPr>
                <w:iCs/>
                <w:lang w:val="en-US"/>
              </w:rPr>
            </w:pPr>
            <w:r w:rsidRPr="008C12DC">
              <w:rPr>
                <w:iCs/>
                <w:lang w:val="en-US"/>
              </w:rPr>
              <w:t xml:space="preserve">High, lower testing frequency </w:t>
            </w:r>
            <w:proofErr w:type="spellStart"/>
            <w:r w:rsidRPr="008C12DC">
              <w:rPr>
                <w:iCs/>
                <w:lang w:val="en-US"/>
              </w:rPr>
              <w:t>favours</w:t>
            </w:r>
            <w:proofErr w:type="spellEnd"/>
            <w:r w:rsidRPr="008C12DC">
              <w:rPr>
                <w:iCs/>
                <w:lang w:val="en-US"/>
              </w:rPr>
              <w:t xml:space="preserve"> BMD testing</w:t>
            </w:r>
          </w:p>
        </w:tc>
      </w:tr>
      <w:tr w:rsidR="008979C9" w:rsidRPr="00953311" w14:paraId="5639F201" w14:textId="77777777">
        <w:tc>
          <w:tcPr>
            <w:tcW w:w="626" w:type="pct"/>
            <w:shd w:val="clear" w:color="auto" w:fill="auto"/>
            <w:vAlign w:val="center"/>
          </w:tcPr>
          <w:p w14:paraId="4D12A408" w14:textId="77777777" w:rsidR="008979C9" w:rsidRPr="00953311" w:rsidRDefault="008979C9">
            <w:pPr>
              <w:pStyle w:val="COMTabletext"/>
              <w:rPr>
                <w:lang w:val="en-US"/>
              </w:rPr>
            </w:pPr>
            <w:r w:rsidRPr="00953311">
              <w:rPr>
                <w:lang w:val="en-US"/>
              </w:rPr>
              <w:t xml:space="preserve">Age threshold </w:t>
            </w:r>
          </w:p>
        </w:tc>
        <w:tc>
          <w:tcPr>
            <w:tcW w:w="3501" w:type="pct"/>
            <w:shd w:val="clear" w:color="auto" w:fill="auto"/>
            <w:vAlign w:val="center"/>
          </w:tcPr>
          <w:p w14:paraId="5F2BB114" w14:textId="77777777" w:rsidR="008979C9" w:rsidRPr="00953311" w:rsidRDefault="008979C9">
            <w:pPr>
              <w:pStyle w:val="COMTabletext"/>
              <w:rPr>
                <w:lang w:val="en-US"/>
              </w:rPr>
            </w:pPr>
            <w:r w:rsidRPr="00953311">
              <w:rPr>
                <w:lang w:val="en-US"/>
              </w:rPr>
              <w:t xml:space="preserve">The proposed age threshold was 60 years. Scenario analyses indicated that a higher age threshold of 65 years is associated with substantially reduced upfront costs per additional patient identified with osteoporosis. </w:t>
            </w:r>
          </w:p>
        </w:tc>
        <w:tc>
          <w:tcPr>
            <w:tcW w:w="873" w:type="pct"/>
            <w:shd w:val="clear" w:color="auto" w:fill="auto"/>
            <w:vAlign w:val="center"/>
          </w:tcPr>
          <w:p w14:paraId="2A3534DE" w14:textId="26794395" w:rsidR="008979C9" w:rsidRPr="008C12DC" w:rsidRDefault="008979C9">
            <w:pPr>
              <w:pStyle w:val="COMTabletext"/>
              <w:rPr>
                <w:iCs/>
                <w:lang w:val="en-US"/>
              </w:rPr>
            </w:pPr>
            <w:r w:rsidRPr="008C12DC">
              <w:rPr>
                <w:iCs/>
                <w:lang w:val="en-US"/>
              </w:rPr>
              <w:t xml:space="preserve">High, higher age threshold </w:t>
            </w:r>
            <w:proofErr w:type="spellStart"/>
            <w:r w:rsidRPr="008C12DC">
              <w:rPr>
                <w:iCs/>
                <w:lang w:val="en-US"/>
              </w:rPr>
              <w:t>favours</w:t>
            </w:r>
            <w:proofErr w:type="spellEnd"/>
            <w:r w:rsidRPr="008C12DC">
              <w:rPr>
                <w:iCs/>
                <w:lang w:val="en-US"/>
              </w:rPr>
              <w:t xml:space="preserve"> BMD testing</w:t>
            </w:r>
          </w:p>
        </w:tc>
      </w:tr>
    </w:tbl>
    <w:bookmarkEnd w:id="25"/>
    <w:p w14:paraId="0805E38A" w14:textId="532AA8CF" w:rsidR="008979C9" w:rsidRPr="00E87379" w:rsidRDefault="008979C9" w:rsidP="00E87379">
      <w:pPr>
        <w:spacing w:before="240"/>
        <w:rPr>
          <w:rStyle w:val="InstructionaltextChar"/>
        </w:rPr>
      </w:pPr>
      <w:r w:rsidRPr="00E87379">
        <w:rPr>
          <w:rFonts w:ascii="Franklin Gothic Book" w:hAnsi="Franklin Gothic Book"/>
        </w:rPr>
        <w:t xml:space="preserve">The results of key sensitivity analyses are summarised in </w:t>
      </w:r>
      <w:r w:rsidRPr="00E87379">
        <w:rPr>
          <w:rFonts w:ascii="Franklin Gothic Book" w:hAnsi="Franklin Gothic Book"/>
        </w:rPr>
        <w:fldChar w:fldCharType="begin"/>
      </w:r>
      <w:r w:rsidRPr="00E87379">
        <w:rPr>
          <w:rFonts w:ascii="Franklin Gothic Book" w:hAnsi="Franklin Gothic Book"/>
        </w:rPr>
        <w:instrText xml:space="preserve"> REF _Ref69726347 \h </w:instrText>
      </w:r>
      <w:r w:rsidR="00953311" w:rsidRPr="00E87379">
        <w:rPr>
          <w:rFonts w:ascii="Franklin Gothic Book" w:hAnsi="Franklin Gothic Book"/>
        </w:rPr>
        <w:instrText xml:space="preserve"> \* MERGEFORMAT </w:instrText>
      </w:r>
      <w:r w:rsidRPr="00E87379">
        <w:rPr>
          <w:rFonts w:ascii="Franklin Gothic Book" w:hAnsi="Franklin Gothic Book"/>
        </w:rPr>
      </w:r>
      <w:r w:rsidRPr="00E87379">
        <w:rPr>
          <w:rFonts w:ascii="Franklin Gothic Book" w:hAnsi="Franklin Gothic Book"/>
        </w:rPr>
        <w:fldChar w:fldCharType="separate"/>
      </w:r>
      <w:r w:rsidR="00E551E5" w:rsidRPr="00E87379">
        <w:rPr>
          <w:rFonts w:ascii="Franklin Gothic Book" w:hAnsi="Franklin Gothic Book"/>
        </w:rPr>
        <w:t>Table 8</w:t>
      </w:r>
      <w:r w:rsidRPr="00E87379">
        <w:rPr>
          <w:rFonts w:ascii="Franklin Gothic Book" w:hAnsi="Franklin Gothic Book"/>
        </w:rPr>
        <w:fldChar w:fldCharType="end"/>
      </w:r>
      <w:r w:rsidRPr="00E87379">
        <w:rPr>
          <w:rFonts w:ascii="Franklin Gothic Book" w:hAnsi="Franklin Gothic Book"/>
        </w:rPr>
        <w:t xml:space="preserve"> below. </w:t>
      </w:r>
    </w:p>
    <w:p w14:paraId="64F6CA12" w14:textId="3087A4FB" w:rsidR="008979C9" w:rsidRPr="00953311" w:rsidRDefault="008979C9" w:rsidP="008979C9">
      <w:pPr>
        <w:pStyle w:val="COMtablefigcaption"/>
      </w:pPr>
      <w:bookmarkStart w:id="26" w:name="_Ref69726347"/>
      <w:r w:rsidRPr="00953311">
        <w:t>Table </w:t>
      </w:r>
      <w:r>
        <w:fldChar w:fldCharType="begin"/>
      </w:r>
      <w:r>
        <w:instrText>SEQ Table \* ARABIC</w:instrText>
      </w:r>
      <w:r>
        <w:fldChar w:fldCharType="separate"/>
      </w:r>
      <w:r w:rsidR="00090261">
        <w:rPr>
          <w:noProof/>
        </w:rPr>
        <w:t>8</w:t>
      </w:r>
      <w:r>
        <w:fldChar w:fldCharType="end"/>
      </w:r>
      <w:bookmarkEnd w:id="26"/>
      <w:r w:rsidRPr="00953311">
        <w:t xml:space="preserve"> Sensitivity analyses</w:t>
      </w:r>
    </w:p>
    <w:tbl>
      <w:tblPr>
        <w:tblStyle w:val="TableGrid"/>
        <w:tblW w:w="0" w:type="auto"/>
        <w:tblCellMar>
          <w:left w:w="28" w:type="dxa"/>
          <w:right w:w="28" w:type="dxa"/>
        </w:tblCellMar>
        <w:tblLook w:val="04A0" w:firstRow="1" w:lastRow="0" w:firstColumn="1" w:lastColumn="0" w:noHBand="0" w:noVBand="1"/>
      </w:tblPr>
      <w:tblGrid>
        <w:gridCol w:w="3199"/>
        <w:gridCol w:w="1539"/>
        <w:gridCol w:w="1665"/>
        <w:gridCol w:w="1399"/>
        <w:gridCol w:w="1214"/>
      </w:tblGrid>
      <w:tr w:rsidR="008979C9" w:rsidRPr="00953311" w14:paraId="07CC30C4" w14:textId="77777777">
        <w:tc>
          <w:tcPr>
            <w:tcW w:w="3199" w:type="dxa"/>
            <w:vAlign w:val="center"/>
          </w:tcPr>
          <w:p w14:paraId="6AB3036E" w14:textId="77777777" w:rsidR="008979C9" w:rsidRPr="00953311" w:rsidRDefault="008979C9" w:rsidP="008979C9">
            <w:pPr>
              <w:pStyle w:val="COMTableheadingrow"/>
              <w:spacing w:before="120"/>
              <w:jc w:val="left"/>
            </w:pPr>
            <w:r w:rsidRPr="00953311">
              <w:t>Analyses</w:t>
            </w:r>
          </w:p>
        </w:tc>
        <w:tc>
          <w:tcPr>
            <w:tcW w:w="1539" w:type="dxa"/>
            <w:vAlign w:val="center"/>
          </w:tcPr>
          <w:p w14:paraId="70978C91" w14:textId="77777777" w:rsidR="008979C9" w:rsidRPr="00953311" w:rsidRDefault="008979C9" w:rsidP="008979C9">
            <w:pPr>
              <w:pStyle w:val="COMTableheadingrow"/>
              <w:spacing w:before="120"/>
            </w:pPr>
            <w:r w:rsidRPr="00953311">
              <w:t>Incremental cost</w:t>
            </w:r>
          </w:p>
        </w:tc>
        <w:tc>
          <w:tcPr>
            <w:tcW w:w="1665" w:type="dxa"/>
            <w:vAlign w:val="center"/>
          </w:tcPr>
          <w:p w14:paraId="00F88F51" w14:textId="77777777" w:rsidR="008979C9" w:rsidRPr="00953311" w:rsidRDefault="008979C9" w:rsidP="008979C9">
            <w:pPr>
              <w:pStyle w:val="COMTableheadingrow"/>
              <w:spacing w:before="120"/>
            </w:pPr>
            <w:r w:rsidRPr="00953311">
              <w:t>Incremental outcome</w:t>
            </w:r>
          </w:p>
        </w:tc>
        <w:tc>
          <w:tcPr>
            <w:tcW w:w="1399" w:type="dxa"/>
            <w:vAlign w:val="center"/>
          </w:tcPr>
          <w:p w14:paraId="5A9EB49F" w14:textId="77777777" w:rsidR="008979C9" w:rsidRPr="00953311" w:rsidRDefault="008979C9" w:rsidP="008979C9">
            <w:pPr>
              <w:pStyle w:val="COMTableheadingrow"/>
              <w:spacing w:before="120"/>
            </w:pPr>
            <w:r w:rsidRPr="00953311">
              <w:t>ICER</w:t>
            </w:r>
          </w:p>
        </w:tc>
        <w:tc>
          <w:tcPr>
            <w:tcW w:w="1214" w:type="dxa"/>
            <w:vAlign w:val="center"/>
          </w:tcPr>
          <w:p w14:paraId="15841953" w14:textId="77777777" w:rsidR="008979C9" w:rsidRPr="00953311" w:rsidRDefault="008979C9" w:rsidP="008979C9">
            <w:pPr>
              <w:pStyle w:val="COMTableheadingrow"/>
              <w:spacing w:before="120"/>
            </w:pPr>
            <w:r w:rsidRPr="00953311">
              <w:t>% change in ICER</w:t>
            </w:r>
          </w:p>
        </w:tc>
      </w:tr>
      <w:tr w:rsidR="008979C9" w:rsidRPr="00953311" w14:paraId="18E98FD4" w14:textId="77777777">
        <w:tc>
          <w:tcPr>
            <w:tcW w:w="3199" w:type="dxa"/>
            <w:vAlign w:val="center"/>
          </w:tcPr>
          <w:p w14:paraId="3F7777BD" w14:textId="77777777" w:rsidR="008979C9" w:rsidRPr="00953311" w:rsidRDefault="008979C9" w:rsidP="008979C9">
            <w:pPr>
              <w:pStyle w:val="COMTabletext"/>
              <w:spacing w:before="120"/>
              <w:rPr>
                <w:b/>
                <w:bCs w:val="0"/>
              </w:rPr>
            </w:pPr>
            <w:r w:rsidRPr="00953311">
              <w:rPr>
                <w:b/>
                <w:bCs w:val="0"/>
              </w:rPr>
              <w:t>Base case</w:t>
            </w:r>
          </w:p>
        </w:tc>
        <w:tc>
          <w:tcPr>
            <w:tcW w:w="1539" w:type="dxa"/>
            <w:vAlign w:val="center"/>
          </w:tcPr>
          <w:p w14:paraId="653971C3" w14:textId="77777777" w:rsidR="008979C9" w:rsidRPr="00953311" w:rsidRDefault="008979C9" w:rsidP="008979C9">
            <w:pPr>
              <w:pStyle w:val="COMTabletext"/>
              <w:spacing w:before="120"/>
              <w:jc w:val="center"/>
            </w:pPr>
            <w:r w:rsidRPr="00953311">
              <w:t>$255</w:t>
            </w:r>
          </w:p>
        </w:tc>
        <w:tc>
          <w:tcPr>
            <w:tcW w:w="1665" w:type="dxa"/>
            <w:vAlign w:val="center"/>
          </w:tcPr>
          <w:p w14:paraId="67CE3974" w14:textId="77777777" w:rsidR="008979C9" w:rsidRPr="00953311" w:rsidRDefault="008979C9" w:rsidP="008979C9">
            <w:pPr>
              <w:pStyle w:val="COMTabletext"/>
              <w:spacing w:before="120"/>
              <w:jc w:val="center"/>
            </w:pPr>
            <w:r w:rsidRPr="00953311">
              <w:t>0.0547</w:t>
            </w:r>
          </w:p>
        </w:tc>
        <w:tc>
          <w:tcPr>
            <w:tcW w:w="1399" w:type="dxa"/>
            <w:vAlign w:val="center"/>
          </w:tcPr>
          <w:p w14:paraId="6D7EFB64" w14:textId="77777777" w:rsidR="008979C9" w:rsidRPr="00953311" w:rsidRDefault="008979C9" w:rsidP="008979C9">
            <w:pPr>
              <w:pStyle w:val="COMTabletext"/>
              <w:spacing w:before="120"/>
              <w:jc w:val="center"/>
            </w:pPr>
            <w:r w:rsidRPr="00953311">
              <w:t>$4,673</w:t>
            </w:r>
          </w:p>
        </w:tc>
        <w:tc>
          <w:tcPr>
            <w:tcW w:w="1214" w:type="dxa"/>
          </w:tcPr>
          <w:p w14:paraId="3B7F2CE1" w14:textId="77777777" w:rsidR="008979C9" w:rsidRPr="00953311" w:rsidRDefault="008979C9" w:rsidP="008979C9">
            <w:pPr>
              <w:pStyle w:val="COMTabletext"/>
              <w:spacing w:before="120"/>
              <w:jc w:val="center"/>
            </w:pPr>
            <w:r w:rsidRPr="00953311">
              <w:t>-</w:t>
            </w:r>
          </w:p>
        </w:tc>
      </w:tr>
      <w:tr w:rsidR="008979C9" w:rsidRPr="00953311" w14:paraId="446762CC" w14:textId="77777777">
        <w:tc>
          <w:tcPr>
            <w:tcW w:w="9016" w:type="dxa"/>
            <w:gridSpan w:val="5"/>
            <w:vAlign w:val="center"/>
          </w:tcPr>
          <w:p w14:paraId="533F748F" w14:textId="77777777" w:rsidR="008979C9" w:rsidRPr="00953311" w:rsidRDefault="008979C9" w:rsidP="008979C9">
            <w:pPr>
              <w:pStyle w:val="COMTableheadingrow"/>
              <w:spacing w:before="120"/>
              <w:jc w:val="left"/>
            </w:pPr>
            <w:r w:rsidRPr="00953311">
              <w:t>Discounting (base case 5%)</w:t>
            </w:r>
          </w:p>
        </w:tc>
      </w:tr>
      <w:tr w:rsidR="008979C9" w:rsidRPr="00953311" w14:paraId="27B89C70" w14:textId="77777777">
        <w:tc>
          <w:tcPr>
            <w:tcW w:w="3199" w:type="dxa"/>
            <w:vAlign w:val="center"/>
          </w:tcPr>
          <w:p w14:paraId="4D460593" w14:textId="77777777" w:rsidR="008979C9" w:rsidRPr="00953311" w:rsidRDefault="008979C9" w:rsidP="008979C9">
            <w:pPr>
              <w:pStyle w:val="COMTabletext"/>
              <w:spacing w:before="120"/>
            </w:pPr>
            <w:r w:rsidRPr="00953311">
              <w:t>0%</w:t>
            </w:r>
          </w:p>
        </w:tc>
        <w:tc>
          <w:tcPr>
            <w:tcW w:w="1539" w:type="dxa"/>
            <w:vAlign w:val="center"/>
          </w:tcPr>
          <w:p w14:paraId="1250AD99" w14:textId="77777777" w:rsidR="008979C9" w:rsidRPr="00953311" w:rsidRDefault="008979C9" w:rsidP="008979C9">
            <w:pPr>
              <w:pStyle w:val="COMTabletext"/>
              <w:spacing w:before="120"/>
              <w:jc w:val="center"/>
            </w:pPr>
            <w:r w:rsidRPr="00953311">
              <w:t>$294</w:t>
            </w:r>
          </w:p>
        </w:tc>
        <w:tc>
          <w:tcPr>
            <w:tcW w:w="1665" w:type="dxa"/>
            <w:vAlign w:val="center"/>
          </w:tcPr>
          <w:p w14:paraId="3C208E37" w14:textId="77777777" w:rsidR="008979C9" w:rsidRPr="00953311" w:rsidRDefault="008979C9" w:rsidP="008979C9">
            <w:pPr>
              <w:pStyle w:val="COMTabletext"/>
              <w:spacing w:before="120"/>
              <w:jc w:val="center"/>
            </w:pPr>
            <w:r w:rsidRPr="00953311">
              <w:t>0.0558</w:t>
            </w:r>
          </w:p>
        </w:tc>
        <w:tc>
          <w:tcPr>
            <w:tcW w:w="1399" w:type="dxa"/>
            <w:vAlign w:val="center"/>
          </w:tcPr>
          <w:p w14:paraId="47FCA055" w14:textId="77777777" w:rsidR="008979C9" w:rsidRPr="00953311" w:rsidRDefault="008979C9" w:rsidP="008979C9">
            <w:pPr>
              <w:pStyle w:val="COMTabletext"/>
              <w:spacing w:before="120"/>
              <w:jc w:val="center"/>
            </w:pPr>
            <w:r w:rsidRPr="00953311">
              <w:t>$5,278</w:t>
            </w:r>
          </w:p>
        </w:tc>
        <w:tc>
          <w:tcPr>
            <w:tcW w:w="1214" w:type="dxa"/>
          </w:tcPr>
          <w:p w14:paraId="419FBA3D" w14:textId="77777777" w:rsidR="008979C9" w:rsidRPr="00953311" w:rsidRDefault="008979C9" w:rsidP="008979C9">
            <w:pPr>
              <w:pStyle w:val="COMTabletext"/>
              <w:spacing w:before="120"/>
              <w:jc w:val="center"/>
            </w:pPr>
            <w:r w:rsidRPr="00953311">
              <w:t>+13%</w:t>
            </w:r>
          </w:p>
        </w:tc>
      </w:tr>
      <w:tr w:rsidR="008979C9" w:rsidRPr="00953311" w14:paraId="249A0217" w14:textId="77777777">
        <w:tc>
          <w:tcPr>
            <w:tcW w:w="3199" w:type="dxa"/>
            <w:vAlign w:val="center"/>
          </w:tcPr>
          <w:p w14:paraId="70564C33" w14:textId="77777777" w:rsidR="008979C9" w:rsidRPr="00953311" w:rsidRDefault="008979C9" w:rsidP="008979C9">
            <w:pPr>
              <w:pStyle w:val="COMTabletext"/>
              <w:spacing w:before="120"/>
            </w:pPr>
            <w:r w:rsidRPr="00953311">
              <w:t>3.5%</w:t>
            </w:r>
          </w:p>
        </w:tc>
        <w:tc>
          <w:tcPr>
            <w:tcW w:w="1539" w:type="dxa"/>
            <w:vAlign w:val="center"/>
          </w:tcPr>
          <w:p w14:paraId="39B646BA" w14:textId="77777777" w:rsidR="008979C9" w:rsidRPr="00953311" w:rsidRDefault="008979C9" w:rsidP="008979C9">
            <w:pPr>
              <w:pStyle w:val="COMTabletext"/>
              <w:spacing w:before="120"/>
              <w:jc w:val="center"/>
            </w:pPr>
            <w:r w:rsidRPr="00953311">
              <w:t>$266</w:t>
            </w:r>
          </w:p>
        </w:tc>
        <w:tc>
          <w:tcPr>
            <w:tcW w:w="1665" w:type="dxa"/>
            <w:vAlign w:val="center"/>
          </w:tcPr>
          <w:p w14:paraId="20C40D56" w14:textId="77777777" w:rsidR="008979C9" w:rsidRPr="00953311" w:rsidRDefault="008979C9" w:rsidP="008979C9">
            <w:pPr>
              <w:pStyle w:val="COMTabletext"/>
              <w:spacing w:before="120"/>
              <w:jc w:val="center"/>
            </w:pPr>
            <w:r w:rsidRPr="00953311">
              <w:t>0.0551</w:t>
            </w:r>
          </w:p>
        </w:tc>
        <w:tc>
          <w:tcPr>
            <w:tcW w:w="1399" w:type="dxa"/>
            <w:vAlign w:val="center"/>
          </w:tcPr>
          <w:p w14:paraId="1C4065D3" w14:textId="77777777" w:rsidR="008979C9" w:rsidRPr="00953311" w:rsidRDefault="008979C9" w:rsidP="008979C9">
            <w:pPr>
              <w:pStyle w:val="COMTabletext"/>
              <w:spacing w:before="120"/>
              <w:jc w:val="center"/>
            </w:pPr>
            <w:r w:rsidRPr="00953311">
              <w:t>$4,829</w:t>
            </w:r>
          </w:p>
        </w:tc>
        <w:tc>
          <w:tcPr>
            <w:tcW w:w="1214" w:type="dxa"/>
          </w:tcPr>
          <w:p w14:paraId="6D8F115D" w14:textId="77777777" w:rsidR="008979C9" w:rsidRPr="00953311" w:rsidRDefault="008979C9" w:rsidP="008979C9">
            <w:pPr>
              <w:pStyle w:val="COMTabletext"/>
              <w:spacing w:before="120"/>
              <w:jc w:val="center"/>
            </w:pPr>
            <w:r w:rsidRPr="00953311">
              <w:t>+3%</w:t>
            </w:r>
          </w:p>
        </w:tc>
      </w:tr>
      <w:tr w:rsidR="008979C9" w:rsidRPr="00953311" w14:paraId="474099C5" w14:textId="77777777">
        <w:tc>
          <w:tcPr>
            <w:tcW w:w="9016" w:type="dxa"/>
            <w:gridSpan w:val="5"/>
            <w:vAlign w:val="center"/>
          </w:tcPr>
          <w:p w14:paraId="434EF603" w14:textId="77777777" w:rsidR="008979C9" w:rsidRPr="00953311" w:rsidRDefault="008979C9" w:rsidP="008979C9">
            <w:pPr>
              <w:pStyle w:val="COMTableheadingrow"/>
              <w:spacing w:before="120"/>
              <w:jc w:val="left"/>
            </w:pPr>
            <w:r w:rsidRPr="00953311">
              <w:t>Time horizon (base case 10 years)</w:t>
            </w:r>
          </w:p>
        </w:tc>
      </w:tr>
      <w:tr w:rsidR="008979C9" w:rsidRPr="00953311" w14:paraId="081B361F" w14:textId="77777777">
        <w:tc>
          <w:tcPr>
            <w:tcW w:w="3199" w:type="dxa"/>
            <w:vAlign w:val="center"/>
          </w:tcPr>
          <w:p w14:paraId="1457FBC0" w14:textId="77777777" w:rsidR="008979C9" w:rsidRPr="00953311" w:rsidRDefault="008979C9" w:rsidP="008979C9">
            <w:pPr>
              <w:pStyle w:val="COMTabletext"/>
              <w:spacing w:before="120"/>
            </w:pPr>
            <w:r w:rsidRPr="00953311">
              <w:t>5 years</w:t>
            </w:r>
          </w:p>
        </w:tc>
        <w:tc>
          <w:tcPr>
            <w:tcW w:w="1539" w:type="dxa"/>
            <w:vAlign w:val="center"/>
          </w:tcPr>
          <w:p w14:paraId="0E61BEC8" w14:textId="77777777" w:rsidR="008979C9" w:rsidRPr="00953311" w:rsidRDefault="008979C9" w:rsidP="008979C9">
            <w:pPr>
              <w:pStyle w:val="COMTabletext"/>
              <w:spacing w:before="120"/>
              <w:jc w:val="center"/>
            </w:pPr>
            <w:r w:rsidRPr="00953311">
              <w:t>$162</w:t>
            </w:r>
          </w:p>
        </w:tc>
        <w:tc>
          <w:tcPr>
            <w:tcW w:w="1665" w:type="dxa"/>
            <w:vAlign w:val="center"/>
          </w:tcPr>
          <w:p w14:paraId="56E0C3D0" w14:textId="77777777" w:rsidR="008979C9" w:rsidRPr="00953311" w:rsidRDefault="008979C9" w:rsidP="008979C9">
            <w:pPr>
              <w:pStyle w:val="COMTabletext"/>
              <w:spacing w:before="120"/>
              <w:jc w:val="center"/>
            </w:pPr>
            <w:r w:rsidRPr="00953311">
              <w:t>0.0587</w:t>
            </w:r>
          </w:p>
        </w:tc>
        <w:tc>
          <w:tcPr>
            <w:tcW w:w="1399" w:type="dxa"/>
            <w:vAlign w:val="center"/>
          </w:tcPr>
          <w:p w14:paraId="07C4F582" w14:textId="77777777" w:rsidR="008979C9" w:rsidRPr="00953311" w:rsidRDefault="008979C9" w:rsidP="008979C9">
            <w:pPr>
              <w:pStyle w:val="COMTabletext"/>
              <w:spacing w:before="120"/>
              <w:jc w:val="center"/>
            </w:pPr>
            <w:r w:rsidRPr="00953311">
              <w:t>$2,770</w:t>
            </w:r>
          </w:p>
        </w:tc>
        <w:tc>
          <w:tcPr>
            <w:tcW w:w="1214" w:type="dxa"/>
          </w:tcPr>
          <w:p w14:paraId="2A0B21C4" w14:textId="77777777" w:rsidR="008979C9" w:rsidRPr="00953311" w:rsidRDefault="008979C9" w:rsidP="008979C9">
            <w:pPr>
              <w:pStyle w:val="COMTabletext"/>
              <w:spacing w:before="120"/>
              <w:jc w:val="center"/>
            </w:pPr>
            <w:r w:rsidRPr="00953311">
              <w:t>-41%</w:t>
            </w:r>
          </w:p>
        </w:tc>
      </w:tr>
      <w:tr w:rsidR="008979C9" w:rsidRPr="00953311" w14:paraId="41938467" w14:textId="77777777">
        <w:tc>
          <w:tcPr>
            <w:tcW w:w="9016" w:type="dxa"/>
            <w:gridSpan w:val="5"/>
            <w:vAlign w:val="center"/>
          </w:tcPr>
          <w:p w14:paraId="16F7F58B" w14:textId="56906CE6" w:rsidR="008979C9" w:rsidRPr="00953311" w:rsidRDefault="008979C9" w:rsidP="008979C9">
            <w:pPr>
              <w:pStyle w:val="COMTableheadingrow"/>
              <w:spacing w:before="120"/>
              <w:jc w:val="left"/>
            </w:pPr>
            <w:r w:rsidRPr="00953311">
              <w:t xml:space="preserve">Baseline BMD T-score distribution (base case derived from </w:t>
            </w:r>
            <w:r w:rsidR="00621122">
              <w:t>y</w:t>
            </w:r>
            <w:r w:rsidRPr="00953311">
              <w:t xml:space="preserve"> analysis, all patients at study entry)</w:t>
            </w:r>
          </w:p>
        </w:tc>
      </w:tr>
      <w:tr w:rsidR="008979C9" w:rsidRPr="00953311" w14:paraId="33F0EF24" w14:textId="77777777">
        <w:tc>
          <w:tcPr>
            <w:tcW w:w="3199" w:type="dxa"/>
            <w:vAlign w:val="center"/>
          </w:tcPr>
          <w:p w14:paraId="534B3204" w14:textId="77777777" w:rsidR="008979C9" w:rsidRPr="00953311" w:rsidRDefault="008979C9" w:rsidP="008979C9">
            <w:pPr>
              <w:pStyle w:val="COMTabletext"/>
              <w:spacing w:before="120"/>
            </w:pPr>
            <w:r w:rsidRPr="00953311">
              <w:t>DOES analysis, subgroup with baseline and repeat test</w:t>
            </w:r>
          </w:p>
        </w:tc>
        <w:tc>
          <w:tcPr>
            <w:tcW w:w="1539" w:type="dxa"/>
            <w:vAlign w:val="center"/>
          </w:tcPr>
          <w:p w14:paraId="06CAB20D" w14:textId="77777777" w:rsidR="008979C9" w:rsidRPr="00953311" w:rsidRDefault="008979C9" w:rsidP="008979C9">
            <w:pPr>
              <w:pStyle w:val="COMTabletext"/>
              <w:spacing w:before="120"/>
              <w:jc w:val="center"/>
            </w:pPr>
            <w:r w:rsidRPr="00953311">
              <w:t>$255</w:t>
            </w:r>
          </w:p>
        </w:tc>
        <w:tc>
          <w:tcPr>
            <w:tcW w:w="1665" w:type="dxa"/>
            <w:vAlign w:val="center"/>
          </w:tcPr>
          <w:p w14:paraId="291D5419" w14:textId="77777777" w:rsidR="008979C9" w:rsidRPr="00953311" w:rsidRDefault="008979C9" w:rsidP="008979C9">
            <w:pPr>
              <w:pStyle w:val="COMTabletext"/>
              <w:spacing w:before="120"/>
              <w:jc w:val="center"/>
            </w:pPr>
            <w:r w:rsidRPr="00953311">
              <w:t>0.0473</w:t>
            </w:r>
          </w:p>
        </w:tc>
        <w:tc>
          <w:tcPr>
            <w:tcW w:w="1399" w:type="dxa"/>
            <w:vAlign w:val="center"/>
          </w:tcPr>
          <w:p w14:paraId="652FFF79" w14:textId="77777777" w:rsidR="008979C9" w:rsidRPr="00953311" w:rsidRDefault="008979C9" w:rsidP="008979C9">
            <w:pPr>
              <w:pStyle w:val="COMTabletext"/>
              <w:spacing w:before="120"/>
              <w:jc w:val="center"/>
            </w:pPr>
            <w:r w:rsidRPr="00953311">
              <w:t>$5,404</w:t>
            </w:r>
          </w:p>
        </w:tc>
        <w:tc>
          <w:tcPr>
            <w:tcW w:w="1214" w:type="dxa"/>
            <w:vAlign w:val="center"/>
          </w:tcPr>
          <w:p w14:paraId="7D68AE3A" w14:textId="77777777" w:rsidR="008979C9" w:rsidRPr="00953311" w:rsidRDefault="008979C9" w:rsidP="008979C9">
            <w:pPr>
              <w:pStyle w:val="COMTabletext"/>
              <w:spacing w:before="120"/>
              <w:jc w:val="center"/>
            </w:pPr>
            <w:r w:rsidRPr="00953311">
              <w:t>+16%</w:t>
            </w:r>
          </w:p>
        </w:tc>
      </w:tr>
      <w:tr w:rsidR="008979C9" w:rsidRPr="00953311" w14:paraId="1ED43F5B" w14:textId="77777777">
        <w:tc>
          <w:tcPr>
            <w:tcW w:w="9016" w:type="dxa"/>
            <w:gridSpan w:val="5"/>
            <w:vAlign w:val="center"/>
          </w:tcPr>
          <w:p w14:paraId="3D130C86" w14:textId="77777777" w:rsidR="008979C9" w:rsidRPr="00953311" w:rsidRDefault="008979C9" w:rsidP="008979C9">
            <w:pPr>
              <w:pStyle w:val="COMTableheadingrow"/>
              <w:spacing w:before="120"/>
              <w:jc w:val="left"/>
            </w:pPr>
            <w:r w:rsidRPr="00953311">
              <w:t>Testing interval (base case initial test at age 60 years and repeat testing at 2- or 5-yearly intervals)</w:t>
            </w:r>
          </w:p>
        </w:tc>
      </w:tr>
      <w:tr w:rsidR="008979C9" w:rsidRPr="00953311" w14:paraId="3B1F8838" w14:textId="77777777">
        <w:tc>
          <w:tcPr>
            <w:tcW w:w="3199" w:type="dxa"/>
            <w:vAlign w:val="center"/>
          </w:tcPr>
          <w:p w14:paraId="4F8F5542" w14:textId="77777777" w:rsidR="008979C9" w:rsidRPr="00953311" w:rsidRDefault="008979C9" w:rsidP="008979C9">
            <w:pPr>
              <w:pStyle w:val="COMTabletext"/>
              <w:spacing w:before="120"/>
            </w:pPr>
            <w:r w:rsidRPr="00953311">
              <w:t xml:space="preserve">Initial test and 5-yearly repeat tests </w:t>
            </w:r>
          </w:p>
        </w:tc>
        <w:tc>
          <w:tcPr>
            <w:tcW w:w="1539" w:type="dxa"/>
            <w:vAlign w:val="center"/>
          </w:tcPr>
          <w:p w14:paraId="48C69E97" w14:textId="77777777" w:rsidR="008979C9" w:rsidRPr="00953311" w:rsidRDefault="008979C9" w:rsidP="008979C9">
            <w:pPr>
              <w:pStyle w:val="COMTabletext"/>
              <w:spacing w:before="120"/>
              <w:jc w:val="center"/>
            </w:pPr>
            <w:r w:rsidRPr="00953311">
              <w:t>$187</w:t>
            </w:r>
          </w:p>
        </w:tc>
        <w:tc>
          <w:tcPr>
            <w:tcW w:w="1665" w:type="dxa"/>
            <w:vAlign w:val="center"/>
          </w:tcPr>
          <w:p w14:paraId="06BEE9FD" w14:textId="77777777" w:rsidR="008979C9" w:rsidRPr="00953311" w:rsidRDefault="008979C9" w:rsidP="008979C9">
            <w:pPr>
              <w:pStyle w:val="COMTabletext"/>
              <w:spacing w:before="120"/>
              <w:jc w:val="center"/>
            </w:pPr>
            <w:r w:rsidRPr="00953311">
              <w:t>0.0538</w:t>
            </w:r>
          </w:p>
        </w:tc>
        <w:tc>
          <w:tcPr>
            <w:tcW w:w="1399" w:type="dxa"/>
            <w:vAlign w:val="center"/>
          </w:tcPr>
          <w:p w14:paraId="65234E4C" w14:textId="77777777" w:rsidR="008979C9" w:rsidRPr="00953311" w:rsidRDefault="008979C9" w:rsidP="008979C9">
            <w:pPr>
              <w:pStyle w:val="COMTabletext"/>
              <w:spacing w:before="120"/>
              <w:jc w:val="center"/>
            </w:pPr>
            <w:r w:rsidRPr="00953311">
              <w:t>$3,483</w:t>
            </w:r>
          </w:p>
        </w:tc>
        <w:tc>
          <w:tcPr>
            <w:tcW w:w="1214" w:type="dxa"/>
            <w:vAlign w:val="center"/>
          </w:tcPr>
          <w:p w14:paraId="167FAD14" w14:textId="77777777" w:rsidR="008979C9" w:rsidRPr="00953311" w:rsidRDefault="008979C9" w:rsidP="008979C9">
            <w:pPr>
              <w:pStyle w:val="COMTabletext"/>
              <w:spacing w:before="120"/>
              <w:jc w:val="center"/>
            </w:pPr>
            <w:r w:rsidRPr="00953311">
              <w:t>-25%</w:t>
            </w:r>
          </w:p>
        </w:tc>
      </w:tr>
      <w:tr w:rsidR="008979C9" w:rsidRPr="00953311" w14:paraId="7C58C68A" w14:textId="77777777">
        <w:tc>
          <w:tcPr>
            <w:tcW w:w="3199" w:type="dxa"/>
            <w:vAlign w:val="center"/>
          </w:tcPr>
          <w:p w14:paraId="43B9AFC6" w14:textId="77777777" w:rsidR="008979C9" w:rsidRPr="00953311" w:rsidRDefault="008979C9" w:rsidP="008979C9">
            <w:pPr>
              <w:pStyle w:val="COMTabletext"/>
              <w:spacing w:before="120"/>
            </w:pPr>
            <w:r w:rsidRPr="00953311">
              <w:t>Initial test and no repeat tests</w:t>
            </w:r>
          </w:p>
        </w:tc>
        <w:tc>
          <w:tcPr>
            <w:tcW w:w="1539" w:type="dxa"/>
            <w:vAlign w:val="center"/>
          </w:tcPr>
          <w:p w14:paraId="45991A31" w14:textId="77777777" w:rsidR="008979C9" w:rsidRPr="00953311" w:rsidRDefault="008979C9" w:rsidP="008979C9">
            <w:pPr>
              <w:pStyle w:val="COMTabletext"/>
              <w:spacing w:before="120"/>
              <w:jc w:val="center"/>
            </w:pPr>
            <w:r w:rsidRPr="00953311">
              <w:t>$112</w:t>
            </w:r>
          </w:p>
        </w:tc>
        <w:tc>
          <w:tcPr>
            <w:tcW w:w="1665" w:type="dxa"/>
            <w:vAlign w:val="center"/>
          </w:tcPr>
          <w:p w14:paraId="1D8EACC9" w14:textId="77777777" w:rsidR="008979C9" w:rsidRPr="00953311" w:rsidRDefault="008979C9" w:rsidP="008979C9">
            <w:pPr>
              <w:pStyle w:val="COMTabletext"/>
              <w:spacing w:before="120"/>
              <w:jc w:val="center"/>
            </w:pPr>
            <w:r w:rsidRPr="00953311">
              <w:t>0.0523</w:t>
            </w:r>
          </w:p>
        </w:tc>
        <w:tc>
          <w:tcPr>
            <w:tcW w:w="1399" w:type="dxa"/>
            <w:vAlign w:val="center"/>
          </w:tcPr>
          <w:p w14:paraId="05874C7A" w14:textId="77777777" w:rsidR="008979C9" w:rsidRPr="00953311" w:rsidRDefault="008979C9" w:rsidP="008979C9">
            <w:pPr>
              <w:pStyle w:val="COMTabletext"/>
              <w:spacing w:before="120"/>
              <w:jc w:val="center"/>
            </w:pPr>
            <w:r w:rsidRPr="00953311">
              <w:t>$2,144</w:t>
            </w:r>
          </w:p>
        </w:tc>
        <w:tc>
          <w:tcPr>
            <w:tcW w:w="1214" w:type="dxa"/>
            <w:vAlign w:val="center"/>
          </w:tcPr>
          <w:p w14:paraId="328D934D" w14:textId="77777777" w:rsidR="008979C9" w:rsidRPr="00953311" w:rsidRDefault="008979C9" w:rsidP="008979C9">
            <w:pPr>
              <w:pStyle w:val="COMTabletext"/>
              <w:spacing w:before="120"/>
              <w:jc w:val="center"/>
            </w:pPr>
            <w:r w:rsidRPr="00953311">
              <w:t>-54%</w:t>
            </w:r>
          </w:p>
        </w:tc>
      </w:tr>
    </w:tbl>
    <w:p w14:paraId="74C5869A" w14:textId="77777777" w:rsidR="008979C9" w:rsidRPr="00953311" w:rsidRDefault="008979C9" w:rsidP="008979C9">
      <w:pPr>
        <w:pStyle w:val="COMTablefooter"/>
        <w:rPr>
          <w:rFonts w:eastAsia="Calibri"/>
        </w:rPr>
      </w:pPr>
      <w:bookmarkStart w:id="27" w:name="_Hlk68276759"/>
      <w:r w:rsidRPr="00953311">
        <w:rPr>
          <w:rFonts w:eastAsia="Calibri"/>
        </w:rPr>
        <w:t>Abbreviations: ICER, incremental cost-effectiveness ratio</w:t>
      </w:r>
    </w:p>
    <w:p w14:paraId="58C9C67E" w14:textId="77777777" w:rsidR="008979C9" w:rsidRPr="00E87379" w:rsidRDefault="008979C9" w:rsidP="008979C9">
      <w:pPr>
        <w:pStyle w:val="COMBody"/>
        <w:rPr>
          <w:rFonts w:cstheme="minorHAnsi"/>
        </w:rPr>
      </w:pPr>
      <w:r w:rsidRPr="00E87379">
        <w:rPr>
          <w:rFonts w:cstheme="minorHAnsi"/>
        </w:rPr>
        <w:t>The economic evaluation was most sensitive to alternative testing intervals and time horizon.</w:t>
      </w:r>
    </w:p>
    <w:p w14:paraId="4FD0B60D" w14:textId="22080469" w:rsidR="008979C9" w:rsidRPr="00E87379" w:rsidRDefault="008979C9" w:rsidP="008979C9">
      <w:pPr>
        <w:pStyle w:val="COMBody"/>
        <w:rPr>
          <w:rFonts w:eastAsia="Calibri" w:cstheme="minorHAnsi"/>
        </w:rPr>
      </w:pPr>
      <w:r w:rsidRPr="00E87379">
        <w:rPr>
          <w:rFonts w:eastAsia="Calibri" w:cstheme="minorHAnsi"/>
        </w:rPr>
        <w:fldChar w:fldCharType="begin"/>
      </w:r>
      <w:r w:rsidRPr="00E87379">
        <w:rPr>
          <w:rFonts w:eastAsia="Calibri" w:cstheme="minorHAnsi"/>
        </w:rPr>
        <w:instrText xml:space="preserve"> REF _Ref147234718 \h </w:instrText>
      </w:r>
      <w:r w:rsidR="00953311" w:rsidRPr="00E87379">
        <w:rPr>
          <w:rFonts w:eastAsia="Calibri" w:cstheme="minorHAnsi"/>
        </w:rPr>
        <w:instrText xml:space="preserve"> \* MERGEFORMAT </w:instrText>
      </w:r>
      <w:r w:rsidRPr="00E87379">
        <w:rPr>
          <w:rFonts w:eastAsia="Calibri" w:cstheme="minorHAnsi"/>
        </w:rPr>
      </w:r>
      <w:r w:rsidRPr="00E87379">
        <w:rPr>
          <w:rFonts w:eastAsia="Calibri" w:cstheme="minorHAnsi"/>
        </w:rPr>
        <w:fldChar w:fldCharType="separate"/>
      </w:r>
      <w:r w:rsidR="00E551E5" w:rsidRPr="00E87379">
        <w:rPr>
          <w:rFonts w:cstheme="minorHAnsi"/>
        </w:rPr>
        <w:t xml:space="preserve">Table </w:t>
      </w:r>
      <w:r w:rsidR="00E551E5" w:rsidRPr="00E87379">
        <w:rPr>
          <w:rFonts w:cstheme="minorHAnsi"/>
          <w:noProof/>
        </w:rPr>
        <w:t>9</w:t>
      </w:r>
      <w:r w:rsidRPr="00E87379">
        <w:rPr>
          <w:rFonts w:eastAsia="Calibri" w:cstheme="minorHAnsi"/>
        </w:rPr>
        <w:fldChar w:fldCharType="end"/>
      </w:r>
      <w:r w:rsidRPr="00E87379">
        <w:rPr>
          <w:rFonts w:eastAsia="Calibri" w:cstheme="minorHAnsi"/>
        </w:rPr>
        <w:t xml:space="preserve"> summarises results of scenario analyses using an older age band (65-69 years) and alternative testing intervals.</w:t>
      </w:r>
    </w:p>
    <w:p w14:paraId="14E4E83E" w14:textId="5ED0F54B" w:rsidR="008979C9" w:rsidRPr="00953311" w:rsidRDefault="008979C9" w:rsidP="008979C9">
      <w:pPr>
        <w:pStyle w:val="COMtablefigcaption"/>
      </w:pPr>
      <w:bookmarkStart w:id="28" w:name="_Ref147234718"/>
      <w:r w:rsidRPr="00953311">
        <w:t xml:space="preserve">Table </w:t>
      </w:r>
      <w:r>
        <w:fldChar w:fldCharType="begin"/>
      </w:r>
      <w:r>
        <w:instrText>SEQ Table \* ARABIC</w:instrText>
      </w:r>
      <w:r>
        <w:fldChar w:fldCharType="separate"/>
      </w:r>
      <w:r w:rsidR="00090261">
        <w:rPr>
          <w:noProof/>
        </w:rPr>
        <w:t>9</w:t>
      </w:r>
      <w:r>
        <w:fldChar w:fldCharType="end"/>
      </w:r>
      <w:bookmarkEnd w:id="28"/>
      <w:r w:rsidRPr="00953311">
        <w:t xml:space="preserve"> Results of the scenario analyses</w:t>
      </w:r>
    </w:p>
    <w:tbl>
      <w:tblPr>
        <w:tblStyle w:val="TableGrid"/>
        <w:tblW w:w="0" w:type="auto"/>
        <w:tblCellMar>
          <w:left w:w="28" w:type="dxa"/>
          <w:right w:w="28" w:type="dxa"/>
        </w:tblCellMar>
        <w:tblLook w:val="04A0" w:firstRow="1" w:lastRow="0" w:firstColumn="1" w:lastColumn="0" w:noHBand="0" w:noVBand="1"/>
      </w:tblPr>
      <w:tblGrid>
        <w:gridCol w:w="3887"/>
        <w:gridCol w:w="1709"/>
        <w:gridCol w:w="1874"/>
        <w:gridCol w:w="1546"/>
      </w:tblGrid>
      <w:tr w:rsidR="008979C9" w:rsidRPr="00953311" w14:paraId="0B08C239" w14:textId="77777777">
        <w:tc>
          <w:tcPr>
            <w:tcW w:w="3887" w:type="dxa"/>
            <w:vAlign w:val="center"/>
          </w:tcPr>
          <w:p w14:paraId="2CAE4BFF" w14:textId="77777777" w:rsidR="008979C9" w:rsidRPr="00953311" w:rsidRDefault="008979C9" w:rsidP="008979C9">
            <w:pPr>
              <w:pStyle w:val="COMTableheadingrow"/>
              <w:spacing w:before="120"/>
              <w:jc w:val="left"/>
            </w:pPr>
            <w:r w:rsidRPr="00953311">
              <w:t>Analyses</w:t>
            </w:r>
          </w:p>
        </w:tc>
        <w:tc>
          <w:tcPr>
            <w:tcW w:w="1709" w:type="dxa"/>
          </w:tcPr>
          <w:p w14:paraId="35A63554" w14:textId="77777777" w:rsidR="008979C9" w:rsidRPr="00953311" w:rsidRDefault="008979C9" w:rsidP="008979C9">
            <w:pPr>
              <w:pStyle w:val="COMTableheadingrow"/>
              <w:spacing w:before="120"/>
            </w:pPr>
            <w:r w:rsidRPr="00953311">
              <w:t>Incremental cost</w:t>
            </w:r>
          </w:p>
        </w:tc>
        <w:tc>
          <w:tcPr>
            <w:tcW w:w="1874" w:type="dxa"/>
          </w:tcPr>
          <w:p w14:paraId="44589A20" w14:textId="77777777" w:rsidR="008979C9" w:rsidRPr="00953311" w:rsidRDefault="008979C9" w:rsidP="008979C9">
            <w:pPr>
              <w:pStyle w:val="COMTableheadingrow"/>
              <w:spacing w:before="120"/>
            </w:pPr>
            <w:r w:rsidRPr="00953311">
              <w:t>Incremental outcome</w:t>
            </w:r>
          </w:p>
        </w:tc>
        <w:tc>
          <w:tcPr>
            <w:tcW w:w="1546" w:type="dxa"/>
          </w:tcPr>
          <w:p w14:paraId="161DA9D3" w14:textId="77777777" w:rsidR="008979C9" w:rsidRPr="00953311" w:rsidRDefault="008979C9" w:rsidP="008979C9">
            <w:pPr>
              <w:pStyle w:val="COMTableheadingrow"/>
              <w:spacing w:before="120"/>
            </w:pPr>
            <w:r w:rsidRPr="00953311">
              <w:t>ICER</w:t>
            </w:r>
          </w:p>
        </w:tc>
      </w:tr>
      <w:tr w:rsidR="008979C9" w:rsidRPr="00953311" w14:paraId="2F7668B6" w14:textId="77777777">
        <w:tc>
          <w:tcPr>
            <w:tcW w:w="3887" w:type="dxa"/>
            <w:vAlign w:val="center"/>
          </w:tcPr>
          <w:p w14:paraId="6A0FAB85" w14:textId="77777777" w:rsidR="008979C9" w:rsidRPr="00953311" w:rsidRDefault="008979C9" w:rsidP="008979C9">
            <w:pPr>
              <w:pStyle w:val="COMTabletext"/>
              <w:spacing w:before="120"/>
              <w:rPr>
                <w:b/>
                <w:bCs w:val="0"/>
              </w:rPr>
            </w:pPr>
            <w:r w:rsidRPr="00953311">
              <w:rPr>
                <w:b/>
                <w:bCs w:val="0"/>
              </w:rPr>
              <w:t>Base case</w:t>
            </w:r>
          </w:p>
        </w:tc>
        <w:tc>
          <w:tcPr>
            <w:tcW w:w="1709" w:type="dxa"/>
            <w:vAlign w:val="center"/>
          </w:tcPr>
          <w:p w14:paraId="7633EA99" w14:textId="77777777" w:rsidR="008979C9" w:rsidRPr="00953311" w:rsidRDefault="008979C9" w:rsidP="008979C9">
            <w:pPr>
              <w:pStyle w:val="COMTabletext"/>
              <w:spacing w:before="120"/>
              <w:jc w:val="center"/>
            </w:pPr>
            <w:r w:rsidRPr="00953311">
              <w:t>$255</w:t>
            </w:r>
          </w:p>
        </w:tc>
        <w:tc>
          <w:tcPr>
            <w:tcW w:w="1874" w:type="dxa"/>
            <w:vAlign w:val="center"/>
          </w:tcPr>
          <w:p w14:paraId="40BBF541" w14:textId="77777777" w:rsidR="008979C9" w:rsidRPr="00953311" w:rsidRDefault="008979C9" w:rsidP="008979C9">
            <w:pPr>
              <w:pStyle w:val="COMTabletext"/>
              <w:spacing w:before="120"/>
              <w:jc w:val="center"/>
            </w:pPr>
            <w:r w:rsidRPr="00953311">
              <w:t>0.0547</w:t>
            </w:r>
          </w:p>
        </w:tc>
        <w:tc>
          <w:tcPr>
            <w:tcW w:w="1546" w:type="dxa"/>
            <w:vAlign w:val="center"/>
          </w:tcPr>
          <w:p w14:paraId="05BC9A41" w14:textId="77777777" w:rsidR="008979C9" w:rsidRPr="00953311" w:rsidRDefault="008979C9" w:rsidP="008979C9">
            <w:pPr>
              <w:pStyle w:val="COMTabletext"/>
              <w:spacing w:before="120"/>
              <w:jc w:val="center"/>
            </w:pPr>
            <w:r w:rsidRPr="00953311">
              <w:t>$4,673</w:t>
            </w:r>
          </w:p>
        </w:tc>
      </w:tr>
      <w:tr w:rsidR="008979C9" w:rsidRPr="00953311" w14:paraId="25522F6F" w14:textId="77777777">
        <w:tc>
          <w:tcPr>
            <w:tcW w:w="3887" w:type="dxa"/>
            <w:vAlign w:val="center"/>
          </w:tcPr>
          <w:p w14:paraId="6C9BD153" w14:textId="77777777" w:rsidR="008979C9" w:rsidRPr="00953311" w:rsidRDefault="008979C9" w:rsidP="008979C9">
            <w:pPr>
              <w:pStyle w:val="COMTabletext"/>
              <w:spacing w:before="120"/>
            </w:pPr>
            <w:r w:rsidRPr="00953311">
              <w:t xml:space="preserve">Age 65-69 years, initial test followed by repeat testing at 2-yearly intervals for those with moderate/marked osteopenia, </w:t>
            </w:r>
            <w:proofErr w:type="gramStart"/>
            <w:r w:rsidRPr="00953311">
              <w:t>5 year</w:t>
            </w:r>
            <w:proofErr w:type="gramEnd"/>
            <w:r w:rsidRPr="00953311">
              <w:t xml:space="preserve"> time horizon</w:t>
            </w:r>
          </w:p>
        </w:tc>
        <w:tc>
          <w:tcPr>
            <w:tcW w:w="1709" w:type="dxa"/>
            <w:vAlign w:val="center"/>
          </w:tcPr>
          <w:p w14:paraId="30BA5ABC" w14:textId="77777777" w:rsidR="008979C9" w:rsidRPr="00953311" w:rsidRDefault="008979C9" w:rsidP="008979C9">
            <w:pPr>
              <w:pStyle w:val="COMTabletext"/>
              <w:spacing w:before="120"/>
              <w:jc w:val="center"/>
            </w:pPr>
            <w:r w:rsidRPr="00953311">
              <w:t>$163</w:t>
            </w:r>
          </w:p>
        </w:tc>
        <w:tc>
          <w:tcPr>
            <w:tcW w:w="1874" w:type="dxa"/>
            <w:vAlign w:val="center"/>
          </w:tcPr>
          <w:p w14:paraId="7837A241" w14:textId="77777777" w:rsidR="008979C9" w:rsidRPr="00953311" w:rsidRDefault="008979C9" w:rsidP="008979C9">
            <w:pPr>
              <w:pStyle w:val="COMTabletext"/>
              <w:spacing w:before="120"/>
              <w:jc w:val="center"/>
            </w:pPr>
            <w:r w:rsidRPr="00953311">
              <w:t>0.1039</w:t>
            </w:r>
          </w:p>
        </w:tc>
        <w:tc>
          <w:tcPr>
            <w:tcW w:w="1546" w:type="dxa"/>
            <w:vAlign w:val="center"/>
          </w:tcPr>
          <w:p w14:paraId="09588E27" w14:textId="77777777" w:rsidR="008979C9" w:rsidRPr="00953311" w:rsidRDefault="008979C9" w:rsidP="008979C9">
            <w:pPr>
              <w:pStyle w:val="COMTabletext"/>
              <w:spacing w:before="120"/>
              <w:jc w:val="center"/>
            </w:pPr>
            <w:r w:rsidRPr="00953311">
              <w:t>$1,576</w:t>
            </w:r>
          </w:p>
        </w:tc>
      </w:tr>
      <w:tr w:rsidR="008979C9" w:rsidRPr="00953311" w14:paraId="07C05D8C" w14:textId="77777777">
        <w:tc>
          <w:tcPr>
            <w:tcW w:w="3887" w:type="dxa"/>
            <w:vAlign w:val="center"/>
          </w:tcPr>
          <w:p w14:paraId="5CF270D1" w14:textId="77777777" w:rsidR="008979C9" w:rsidRPr="00953311" w:rsidRDefault="008979C9" w:rsidP="008979C9">
            <w:pPr>
              <w:pStyle w:val="COMTabletext"/>
              <w:spacing w:before="120"/>
            </w:pPr>
            <w:r w:rsidRPr="00953311">
              <w:t xml:space="preserve">Age 65-69 years, initial test at baseline only, </w:t>
            </w:r>
            <w:proofErr w:type="gramStart"/>
            <w:r w:rsidRPr="00953311">
              <w:t>5 year</w:t>
            </w:r>
            <w:proofErr w:type="gramEnd"/>
            <w:r w:rsidRPr="00953311">
              <w:t xml:space="preserve"> time horizon</w:t>
            </w:r>
          </w:p>
        </w:tc>
        <w:tc>
          <w:tcPr>
            <w:tcW w:w="1709" w:type="dxa"/>
            <w:vAlign w:val="center"/>
          </w:tcPr>
          <w:p w14:paraId="5BDEE44E" w14:textId="77777777" w:rsidR="008979C9" w:rsidRPr="00953311" w:rsidRDefault="008979C9" w:rsidP="008979C9">
            <w:pPr>
              <w:pStyle w:val="COMTabletext"/>
              <w:spacing w:before="120"/>
              <w:jc w:val="center"/>
            </w:pPr>
            <w:r w:rsidRPr="00953311">
              <w:t>$112</w:t>
            </w:r>
          </w:p>
        </w:tc>
        <w:tc>
          <w:tcPr>
            <w:tcW w:w="1874" w:type="dxa"/>
            <w:vAlign w:val="center"/>
          </w:tcPr>
          <w:p w14:paraId="10E97123" w14:textId="77777777" w:rsidR="008979C9" w:rsidRPr="00953311" w:rsidRDefault="008979C9" w:rsidP="008979C9">
            <w:pPr>
              <w:pStyle w:val="COMTabletext"/>
              <w:spacing w:before="120"/>
              <w:jc w:val="center"/>
            </w:pPr>
            <w:r w:rsidRPr="00953311">
              <w:t>0.0972</w:t>
            </w:r>
          </w:p>
        </w:tc>
        <w:tc>
          <w:tcPr>
            <w:tcW w:w="1546" w:type="dxa"/>
            <w:vAlign w:val="center"/>
          </w:tcPr>
          <w:p w14:paraId="66A5F54C" w14:textId="77777777" w:rsidR="008979C9" w:rsidRPr="00953311" w:rsidRDefault="008979C9" w:rsidP="008979C9">
            <w:pPr>
              <w:pStyle w:val="COMTabletext"/>
              <w:spacing w:before="120"/>
              <w:jc w:val="center"/>
            </w:pPr>
            <w:r w:rsidRPr="00953311">
              <w:t>$1,154</w:t>
            </w:r>
          </w:p>
        </w:tc>
      </w:tr>
    </w:tbl>
    <w:p w14:paraId="79D17DC7" w14:textId="77777777" w:rsidR="008979C9" w:rsidRPr="00953311" w:rsidRDefault="008979C9" w:rsidP="008979C9">
      <w:pPr>
        <w:pStyle w:val="COMTablefooter"/>
      </w:pPr>
      <w:r w:rsidRPr="00953311">
        <w:t>Note: The baseline BMD T-score distribution for the scenario analyses was based on patients aged 65-69 years in the Dubbo Osteoporosis Epidemiology Study (DOES) analysis</w:t>
      </w:r>
    </w:p>
    <w:p w14:paraId="74D324CA" w14:textId="50A32CFA" w:rsidR="008979C9" w:rsidRPr="00E87379" w:rsidRDefault="008979C9" w:rsidP="008979C9">
      <w:pPr>
        <w:pStyle w:val="COMBody"/>
        <w:rPr>
          <w:rFonts w:cstheme="minorHAnsi"/>
          <w:szCs w:val="22"/>
        </w:rPr>
      </w:pPr>
      <w:r w:rsidRPr="00E87379">
        <w:rPr>
          <w:rFonts w:cstheme="minorHAnsi"/>
          <w:szCs w:val="22"/>
        </w:rPr>
        <w:t>The results indicate improved cost-effectiveness when the age threshold is increased to 65 years, particularly when testing is based on a single test at the qualifying age only.</w:t>
      </w:r>
    </w:p>
    <w:p w14:paraId="63374FFE" w14:textId="77777777" w:rsidR="008979C9" w:rsidRPr="00E87379" w:rsidRDefault="008979C9" w:rsidP="00CF0EB1">
      <w:pPr>
        <w:keepNext/>
        <w:keepLines/>
        <w:spacing w:before="40" w:after="0"/>
        <w:outlineLvl w:val="3"/>
        <w:rPr>
          <w:rFonts w:ascii="Franklin Gothic Book" w:eastAsia="Times New Roman" w:hAnsi="Franklin Gothic Book" w:cs="Calibri"/>
          <w:b/>
        </w:rPr>
      </w:pPr>
      <w:r w:rsidRPr="00E87379">
        <w:rPr>
          <w:rFonts w:ascii="Franklin Gothic Book" w:eastAsia="Times New Roman" w:hAnsi="Franklin Gothic Book" w:cs="Calibri"/>
          <w:b/>
        </w:rPr>
        <w:lastRenderedPageBreak/>
        <w:t>Cost-effectiveness of early versus delayed treatment of osteoporosis (supplementary analysis)</w:t>
      </w:r>
    </w:p>
    <w:p w14:paraId="5C04B1CB" w14:textId="1509CE65" w:rsidR="008979C9" w:rsidRPr="00E87379" w:rsidRDefault="008979C9" w:rsidP="008979C9">
      <w:pPr>
        <w:pStyle w:val="COMBody"/>
        <w:rPr>
          <w:rFonts w:cstheme="minorHAnsi"/>
          <w:szCs w:val="22"/>
        </w:rPr>
      </w:pPr>
      <w:r w:rsidRPr="00E87379">
        <w:rPr>
          <w:rFonts w:cstheme="minorHAnsi"/>
          <w:szCs w:val="22"/>
        </w:rPr>
        <w:t>The economic model is based on the model presented in the November 2022 risedronic acid submission to the PBAC.</w:t>
      </w:r>
    </w:p>
    <w:p w14:paraId="3B258F84" w14:textId="77777777" w:rsidR="008979C9" w:rsidRPr="00E87379" w:rsidRDefault="008979C9" w:rsidP="008979C9">
      <w:pPr>
        <w:pStyle w:val="COMBody"/>
        <w:rPr>
          <w:rFonts w:cstheme="minorHAnsi"/>
          <w:szCs w:val="22"/>
        </w:rPr>
      </w:pPr>
      <w:r w:rsidRPr="00E87379">
        <w:rPr>
          <w:rFonts w:cstheme="minorHAnsi"/>
          <w:szCs w:val="22"/>
        </w:rPr>
        <w:t>For simplicity, the risedronate sodium 35 mg once weekly enteric coated (EC) formulation is referred to as risedronate EC in this section.</w:t>
      </w:r>
    </w:p>
    <w:p w14:paraId="2AFF7B78" w14:textId="343FA593" w:rsidR="008979C9" w:rsidRPr="00E87379" w:rsidRDefault="008979C9" w:rsidP="008979C9">
      <w:pPr>
        <w:pStyle w:val="COMBody"/>
        <w:rPr>
          <w:rFonts w:cstheme="minorHAnsi"/>
          <w:szCs w:val="22"/>
        </w:rPr>
      </w:pPr>
      <w:r w:rsidRPr="00E87379">
        <w:rPr>
          <w:rFonts w:cstheme="minorHAnsi"/>
          <w:szCs w:val="22"/>
        </w:rPr>
        <w:t xml:space="preserve">The risedronic acid submission’s economic evaluation was based on early initiation of treatment with risedronate EC in patients aged less than 70 years with a BMD T-score of -2.5 or less, who are without fracture, versus delayed treatment with standard care therapies (predominantly denosumab) in patients who fracture or reach the age of 70 years. The modelled population was synthesised using epidemiological data, with fracture risks estimated using the </w:t>
      </w:r>
      <w:proofErr w:type="spellStart"/>
      <w:r w:rsidRPr="00E87379">
        <w:rPr>
          <w:rFonts w:cstheme="minorHAnsi"/>
          <w:szCs w:val="22"/>
        </w:rPr>
        <w:t>Garvan</w:t>
      </w:r>
      <w:proofErr w:type="spellEnd"/>
      <w:r w:rsidRPr="00E87379">
        <w:rPr>
          <w:rFonts w:cstheme="minorHAnsi"/>
          <w:szCs w:val="22"/>
        </w:rPr>
        <w:t xml:space="preserve"> risk calculator, treatment effects derived from subgroups of the alendronate (FIT-CFA) and denosumab (FREEDOM) placebo-controlled trials as well as other modelled variables. The economic evaluation was presented as a cost-effectiveness/cost-utility analysis.</w:t>
      </w:r>
    </w:p>
    <w:p w14:paraId="26306D22" w14:textId="77777777" w:rsidR="008979C9" w:rsidRPr="00E87379" w:rsidRDefault="008979C9" w:rsidP="008979C9">
      <w:pPr>
        <w:pStyle w:val="COMBody"/>
        <w:rPr>
          <w:rFonts w:cstheme="minorHAnsi"/>
          <w:szCs w:val="22"/>
        </w:rPr>
      </w:pPr>
      <w:r w:rsidRPr="00E87379">
        <w:rPr>
          <w:rFonts w:cstheme="minorHAnsi"/>
          <w:szCs w:val="22"/>
        </w:rPr>
        <w:t>Key differences with the November 2022 risedronic acid submission are the inclusion of the costs associated with BMD testing to identify patients with osteoporosis eligible for treatment and amendment to population characteristics consistent with the proposed population.</w:t>
      </w:r>
    </w:p>
    <w:p w14:paraId="2AD77038" w14:textId="78DEA204" w:rsidR="008979C9" w:rsidRPr="00E87379" w:rsidRDefault="008979C9" w:rsidP="008979C9">
      <w:pPr>
        <w:pStyle w:val="COMBody"/>
        <w:rPr>
          <w:rFonts w:cstheme="minorHAnsi"/>
          <w:szCs w:val="22"/>
        </w:rPr>
      </w:pPr>
      <w:r w:rsidRPr="00E87379">
        <w:rPr>
          <w:rFonts w:cstheme="minorHAnsi"/>
          <w:szCs w:val="22"/>
        </w:rPr>
        <w:fldChar w:fldCharType="begin"/>
      </w:r>
      <w:r w:rsidRPr="00E87379">
        <w:rPr>
          <w:rFonts w:cstheme="minorHAnsi"/>
          <w:szCs w:val="22"/>
        </w:rPr>
        <w:instrText xml:space="preserve"> REF _Ref147402662 \h </w:instrText>
      </w:r>
      <w:r w:rsidR="00953311" w:rsidRPr="00E87379">
        <w:rPr>
          <w:rFonts w:cstheme="minorHAnsi"/>
          <w:szCs w:val="22"/>
        </w:rPr>
        <w:instrText xml:space="preserve"> \* MERGEFORMAT </w:instrText>
      </w:r>
      <w:r w:rsidRPr="00E87379">
        <w:rPr>
          <w:rFonts w:cstheme="minorHAnsi"/>
          <w:szCs w:val="22"/>
        </w:rPr>
      </w:r>
      <w:r w:rsidRPr="00E87379">
        <w:rPr>
          <w:rFonts w:cstheme="minorHAnsi"/>
          <w:szCs w:val="22"/>
        </w:rPr>
        <w:fldChar w:fldCharType="separate"/>
      </w:r>
      <w:r w:rsidR="00E551E5" w:rsidRPr="00E87379">
        <w:rPr>
          <w:rFonts w:cstheme="minorHAnsi"/>
          <w:szCs w:val="22"/>
        </w:rPr>
        <w:t>Table 10</w:t>
      </w:r>
      <w:r w:rsidRPr="00E87379">
        <w:rPr>
          <w:rFonts w:cstheme="minorHAnsi"/>
          <w:szCs w:val="22"/>
        </w:rPr>
        <w:fldChar w:fldCharType="end"/>
      </w:r>
      <w:r w:rsidRPr="00E87379">
        <w:rPr>
          <w:rFonts w:cstheme="minorHAnsi"/>
          <w:szCs w:val="22"/>
        </w:rPr>
        <w:t xml:space="preserve"> summarises the results of the modelled economic evaluation.</w:t>
      </w:r>
    </w:p>
    <w:p w14:paraId="25F8D708" w14:textId="115F1C5C" w:rsidR="008979C9" w:rsidRPr="00953311" w:rsidRDefault="008979C9" w:rsidP="008979C9">
      <w:pPr>
        <w:pStyle w:val="COMtablefigcaption"/>
      </w:pPr>
      <w:bookmarkStart w:id="29" w:name="_Ref147402662"/>
      <w:r w:rsidRPr="00953311">
        <w:t xml:space="preserve">Table </w:t>
      </w:r>
      <w:r>
        <w:fldChar w:fldCharType="begin"/>
      </w:r>
      <w:r>
        <w:instrText>SEQ Table \* ARABIC</w:instrText>
      </w:r>
      <w:r>
        <w:fldChar w:fldCharType="separate"/>
      </w:r>
      <w:r w:rsidR="00090261">
        <w:rPr>
          <w:noProof/>
        </w:rPr>
        <w:t>10</w:t>
      </w:r>
      <w:r>
        <w:fldChar w:fldCharType="end"/>
      </w:r>
      <w:bookmarkEnd w:id="29"/>
      <w:r w:rsidRPr="00953311">
        <w:t xml:space="preserve"> Results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61"/>
        <w:gridCol w:w="2086"/>
        <w:gridCol w:w="2095"/>
        <w:gridCol w:w="2074"/>
      </w:tblGrid>
      <w:tr w:rsidR="008979C9" w:rsidRPr="00953311" w14:paraId="4341184C" w14:textId="77777777">
        <w:trPr>
          <w:tblHeader/>
        </w:trPr>
        <w:tc>
          <w:tcPr>
            <w:tcW w:w="1531" w:type="pct"/>
            <w:vAlign w:val="center"/>
          </w:tcPr>
          <w:p w14:paraId="565E1AB5" w14:textId="77777777" w:rsidR="008979C9" w:rsidRPr="00953311" w:rsidRDefault="008979C9">
            <w:pPr>
              <w:keepNext/>
              <w:spacing w:after="0"/>
              <w:jc w:val="center"/>
              <w:rPr>
                <w:rFonts w:ascii="Arial Narrow" w:eastAsiaTheme="majorEastAsia" w:hAnsi="Arial Narrow" w:cs="Times New Roman"/>
                <w:b/>
                <w:sz w:val="20"/>
                <w:szCs w:val="24"/>
                <w:lang w:eastAsia="en-AU"/>
              </w:rPr>
            </w:pPr>
            <w:r w:rsidRPr="00953311">
              <w:rPr>
                <w:rFonts w:ascii="Arial Narrow" w:eastAsiaTheme="majorEastAsia" w:hAnsi="Arial Narrow" w:cs="Times New Roman"/>
                <w:b/>
                <w:sz w:val="20"/>
                <w:szCs w:val="24"/>
                <w:lang w:eastAsia="en-AU"/>
              </w:rPr>
              <w:t>Component</w:t>
            </w:r>
          </w:p>
        </w:tc>
        <w:tc>
          <w:tcPr>
            <w:tcW w:w="1157" w:type="pct"/>
            <w:vAlign w:val="center"/>
          </w:tcPr>
          <w:p w14:paraId="7333728F" w14:textId="77777777" w:rsidR="008979C9" w:rsidRPr="00953311" w:rsidRDefault="008979C9">
            <w:pPr>
              <w:keepNext/>
              <w:spacing w:after="0"/>
              <w:jc w:val="center"/>
              <w:rPr>
                <w:rFonts w:ascii="Arial Narrow" w:eastAsiaTheme="majorEastAsia" w:hAnsi="Arial Narrow" w:cs="Times New Roman"/>
                <w:b/>
                <w:sz w:val="20"/>
                <w:szCs w:val="24"/>
                <w:lang w:eastAsia="en-AU"/>
              </w:rPr>
            </w:pPr>
            <w:r w:rsidRPr="00953311">
              <w:rPr>
                <w:rFonts w:ascii="Arial Narrow" w:eastAsiaTheme="majorEastAsia" w:hAnsi="Arial Narrow" w:cs="Times New Roman"/>
                <w:b/>
                <w:sz w:val="20"/>
                <w:szCs w:val="24"/>
                <w:lang w:eastAsia="en-AU"/>
              </w:rPr>
              <w:t>Risedronate EC</w:t>
            </w:r>
          </w:p>
        </w:tc>
        <w:tc>
          <w:tcPr>
            <w:tcW w:w="1162" w:type="pct"/>
            <w:vAlign w:val="center"/>
          </w:tcPr>
          <w:p w14:paraId="17BECBDE" w14:textId="1C9A19C8" w:rsidR="008979C9" w:rsidRPr="00953311" w:rsidRDefault="008979C9">
            <w:pPr>
              <w:keepNext/>
              <w:spacing w:after="0"/>
              <w:jc w:val="center"/>
              <w:rPr>
                <w:rFonts w:ascii="Arial Narrow" w:eastAsiaTheme="majorEastAsia" w:hAnsi="Arial Narrow" w:cs="Times New Roman"/>
                <w:b/>
                <w:sz w:val="20"/>
                <w:szCs w:val="24"/>
                <w:lang w:eastAsia="en-AU"/>
              </w:rPr>
            </w:pPr>
            <w:r w:rsidRPr="00953311">
              <w:rPr>
                <w:rFonts w:ascii="Arial Narrow" w:eastAsiaTheme="majorEastAsia" w:hAnsi="Arial Narrow" w:cs="Times New Roman"/>
                <w:b/>
                <w:sz w:val="20"/>
                <w:szCs w:val="24"/>
                <w:lang w:eastAsia="en-AU"/>
              </w:rPr>
              <w:t xml:space="preserve">Delayed </w:t>
            </w:r>
            <w:r w:rsidR="00224428" w:rsidRPr="00953311">
              <w:rPr>
                <w:rFonts w:ascii="Arial Narrow" w:eastAsiaTheme="majorEastAsia" w:hAnsi="Arial Narrow" w:cs="Times New Roman"/>
                <w:b/>
                <w:sz w:val="20"/>
                <w:szCs w:val="24"/>
                <w:lang w:eastAsia="en-AU"/>
              </w:rPr>
              <w:t>ini</w:t>
            </w:r>
            <w:r w:rsidR="00842E57" w:rsidRPr="00953311">
              <w:rPr>
                <w:rFonts w:ascii="Arial Narrow" w:eastAsiaTheme="majorEastAsia" w:hAnsi="Arial Narrow" w:cs="Times New Roman"/>
                <w:b/>
                <w:sz w:val="20"/>
                <w:szCs w:val="24"/>
                <w:lang w:eastAsia="en-AU"/>
              </w:rPr>
              <w:t xml:space="preserve">tiation of </w:t>
            </w:r>
            <w:r w:rsidRPr="00953311">
              <w:rPr>
                <w:rFonts w:ascii="Arial Narrow" w:eastAsiaTheme="majorEastAsia" w:hAnsi="Arial Narrow" w:cs="Times New Roman"/>
                <w:b/>
                <w:sz w:val="20"/>
                <w:szCs w:val="24"/>
                <w:lang w:eastAsia="en-AU"/>
              </w:rPr>
              <w:t>standard care</w:t>
            </w:r>
          </w:p>
        </w:tc>
        <w:tc>
          <w:tcPr>
            <w:tcW w:w="1150" w:type="pct"/>
            <w:vAlign w:val="center"/>
          </w:tcPr>
          <w:p w14:paraId="0D9FB721" w14:textId="77777777" w:rsidR="008979C9" w:rsidRPr="00953311" w:rsidRDefault="008979C9">
            <w:pPr>
              <w:keepNext/>
              <w:spacing w:after="0"/>
              <w:jc w:val="center"/>
              <w:rPr>
                <w:rFonts w:ascii="Arial Narrow" w:eastAsiaTheme="majorEastAsia" w:hAnsi="Arial Narrow" w:cs="Times New Roman"/>
                <w:b/>
                <w:sz w:val="20"/>
                <w:szCs w:val="24"/>
                <w:lang w:eastAsia="en-AU"/>
              </w:rPr>
            </w:pPr>
            <w:r w:rsidRPr="00953311">
              <w:rPr>
                <w:rFonts w:ascii="Arial Narrow" w:eastAsiaTheme="majorEastAsia" w:hAnsi="Arial Narrow" w:cs="Times New Roman"/>
                <w:b/>
                <w:sz w:val="20"/>
                <w:szCs w:val="24"/>
                <w:lang w:eastAsia="en-AU"/>
              </w:rPr>
              <w:t>Increment</w:t>
            </w:r>
          </w:p>
        </w:tc>
      </w:tr>
      <w:tr w:rsidR="008979C9" w:rsidRPr="00953311" w14:paraId="50BCCF39" w14:textId="77777777">
        <w:trPr>
          <w:tblHeader/>
        </w:trPr>
        <w:tc>
          <w:tcPr>
            <w:tcW w:w="5000" w:type="pct"/>
            <w:gridSpan w:val="4"/>
            <w:vAlign w:val="center"/>
          </w:tcPr>
          <w:p w14:paraId="334DF500" w14:textId="77777777" w:rsidR="008979C9" w:rsidRPr="00953311" w:rsidRDefault="008979C9">
            <w:pPr>
              <w:keepNext/>
              <w:spacing w:after="0"/>
              <w:rPr>
                <w:rFonts w:ascii="Arial Narrow" w:eastAsiaTheme="majorEastAsia" w:hAnsi="Arial Narrow" w:cstheme="majorBidi"/>
                <w:b/>
                <w:sz w:val="20"/>
                <w:szCs w:val="24"/>
                <w:lang w:eastAsia="en-AU"/>
              </w:rPr>
            </w:pPr>
            <w:r w:rsidRPr="00953311">
              <w:rPr>
                <w:rFonts w:ascii="Arial Narrow" w:eastAsiaTheme="majorEastAsia" w:hAnsi="Arial Narrow" w:cstheme="majorBidi"/>
                <w:b/>
                <w:sz w:val="20"/>
                <w:szCs w:val="24"/>
                <w:lang w:eastAsia="en-AU"/>
              </w:rPr>
              <w:t>Outcome: fractures</w:t>
            </w:r>
          </w:p>
        </w:tc>
      </w:tr>
      <w:tr w:rsidR="008979C9" w:rsidRPr="00953311" w14:paraId="28ACC355" w14:textId="77777777">
        <w:trPr>
          <w:tblHeader/>
        </w:trPr>
        <w:tc>
          <w:tcPr>
            <w:tcW w:w="1531" w:type="pct"/>
            <w:vAlign w:val="center"/>
          </w:tcPr>
          <w:p w14:paraId="7666AFD2" w14:textId="77777777" w:rsidR="008979C9" w:rsidRPr="00953311" w:rsidRDefault="008979C9">
            <w:pPr>
              <w:keepNext/>
              <w:spacing w:after="0"/>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Costs</w:t>
            </w:r>
          </w:p>
        </w:tc>
        <w:tc>
          <w:tcPr>
            <w:tcW w:w="1157" w:type="pct"/>
            <w:vAlign w:val="center"/>
          </w:tcPr>
          <w:p w14:paraId="5C73FDA1"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$12,490</w:t>
            </w:r>
          </w:p>
        </w:tc>
        <w:tc>
          <w:tcPr>
            <w:tcW w:w="1162" w:type="pct"/>
            <w:vAlign w:val="center"/>
          </w:tcPr>
          <w:p w14:paraId="68D5EA85"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$8,037</w:t>
            </w:r>
          </w:p>
        </w:tc>
        <w:tc>
          <w:tcPr>
            <w:tcW w:w="1150" w:type="pct"/>
            <w:vAlign w:val="center"/>
          </w:tcPr>
          <w:p w14:paraId="7192D2C5"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$4,453</w:t>
            </w:r>
          </w:p>
        </w:tc>
      </w:tr>
      <w:tr w:rsidR="008979C9" w:rsidRPr="00953311" w14:paraId="3F246F49" w14:textId="77777777">
        <w:trPr>
          <w:tblHeader/>
        </w:trPr>
        <w:tc>
          <w:tcPr>
            <w:tcW w:w="1531" w:type="pct"/>
            <w:vAlign w:val="center"/>
          </w:tcPr>
          <w:p w14:paraId="06CE5FC9" w14:textId="77777777" w:rsidR="008979C9" w:rsidRPr="00953311" w:rsidRDefault="008979C9">
            <w:pPr>
              <w:keepNext/>
              <w:spacing w:after="0"/>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Fractures</w:t>
            </w:r>
          </w:p>
        </w:tc>
        <w:tc>
          <w:tcPr>
            <w:tcW w:w="1157" w:type="pct"/>
            <w:vAlign w:val="center"/>
          </w:tcPr>
          <w:p w14:paraId="363D5592"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0.2576</w:t>
            </w:r>
          </w:p>
        </w:tc>
        <w:tc>
          <w:tcPr>
            <w:tcW w:w="1162" w:type="pct"/>
            <w:vAlign w:val="center"/>
          </w:tcPr>
          <w:p w14:paraId="6A089AAD"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0.2835</w:t>
            </w:r>
          </w:p>
        </w:tc>
        <w:tc>
          <w:tcPr>
            <w:tcW w:w="1150" w:type="pct"/>
            <w:vAlign w:val="center"/>
          </w:tcPr>
          <w:p w14:paraId="6722DA7A"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-0.0259</w:t>
            </w:r>
          </w:p>
        </w:tc>
      </w:tr>
      <w:tr w:rsidR="008979C9" w:rsidRPr="00953311" w14:paraId="675751E0" w14:textId="77777777">
        <w:trPr>
          <w:tblHeader/>
        </w:trPr>
        <w:tc>
          <w:tcPr>
            <w:tcW w:w="3850" w:type="pct"/>
            <w:gridSpan w:val="3"/>
            <w:vAlign w:val="center"/>
          </w:tcPr>
          <w:p w14:paraId="73CE0BBF" w14:textId="77777777" w:rsidR="008979C9" w:rsidRPr="00953311" w:rsidRDefault="008979C9">
            <w:pPr>
              <w:keepNext/>
              <w:spacing w:after="0"/>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Incremental cost/fracture avoided</w:t>
            </w:r>
          </w:p>
        </w:tc>
        <w:tc>
          <w:tcPr>
            <w:tcW w:w="1150" w:type="pct"/>
            <w:vAlign w:val="center"/>
          </w:tcPr>
          <w:p w14:paraId="42A5A27C"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$171,951</w:t>
            </w:r>
          </w:p>
        </w:tc>
      </w:tr>
      <w:tr w:rsidR="008979C9" w:rsidRPr="00953311" w14:paraId="6B8B00FB" w14:textId="77777777">
        <w:trPr>
          <w:tblHeader/>
        </w:trPr>
        <w:tc>
          <w:tcPr>
            <w:tcW w:w="5000" w:type="pct"/>
            <w:gridSpan w:val="4"/>
            <w:vAlign w:val="center"/>
          </w:tcPr>
          <w:p w14:paraId="1BECEE9F" w14:textId="77777777" w:rsidR="008979C9" w:rsidRPr="00953311" w:rsidRDefault="008979C9">
            <w:pPr>
              <w:keepNext/>
              <w:spacing w:after="0"/>
              <w:rPr>
                <w:rFonts w:ascii="Arial Narrow" w:eastAsiaTheme="majorEastAsia" w:hAnsi="Arial Narrow" w:cstheme="majorBidi"/>
                <w:b/>
                <w:sz w:val="20"/>
                <w:szCs w:val="24"/>
                <w:lang w:eastAsia="en-AU"/>
              </w:rPr>
            </w:pPr>
            <w:r w:rsidRPr="00953311">
              <w:rPr>
                <w:rFonts w:ascii="Arial Narrow" w:eastAsiaTheme="majorEastAsia" w:hAnsi="Arial Narrow" w:cstheme="majorBidi"/>
                <w:b/>
                <w:sz w:val="20"/>
                <w:szCs w:val="24"/>
                <w:lang w:eastAsia="en-AU"/>
              </w:rPr>
              <w:t>Outcome: QALYs</w:t>
            </w:r>
          </w:p>
        </w:tc>
      </w:tr>
      <w:tr w:rsidR="008979C9" w:rsidRPr="00953311" w14:paraId="3F7043CD" w14:textId="77777777">
        <w:tc>
          <w:tcPr>
            <w:tcW w:w="1531" w:type="pct"/>
            <w:vAlign w:val="center"/>
          </w:tcPr>
          <w:p w14:paraId="4EB1985D" w14:textId="77777777" w:rsidR="008979C9" w:rsidRPr="00953311" w:rsidRDefault="008979C9">
            <w:pPr>
              <w:keepNext/>
              <w:spacing w:after="0"/>
              <w:rPr>
                <w:rFonts w:ascii="Times" w:eastAsiaTheme="majorEastAsia" w:hAnsi="Times" w:cstheme="majorBidi"/>
                <w:bCs/>
                <w:sz w:val="20"/>
                <w:szCs w:val="24"/>
                <w:lang w:eastAsia="en-AU"/>
              </w:rPr>
            </w:pPr>
            <w:r w:rsidRPr="00953311">
              <w:rPr>
                <w:rFonts w:ascii="Arial Narrow" w:eastAsiaTheme="majorEastAsia" w:hAnsi="Arial Narrow" w:cstheme="majorBidi"/>
                <w:bCs/>
                <w:sz w:val="20"/>
                <w:szCs w:val="24"/>
                <w:lang w:eastAsia="en-AU"/>
              </w:rPr>
              <w:t>Costs</w:t>
            </w:r>
          </w:p>
        </w:tc>
        <w:tc>
          <w:tcPr>
            <w:tcW w:w="1157" w:type="pct"/>
            <w:vAlign w:val="center"/>
          </w:tcPr>
          <w:p w14:paraId="0E2F194E"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$12,490</w:t>
            </w:r>
          </w:p>
        </w:tc>
        <w:tc>
          <w:tcPr>
            <w:tcW w:w="1162" w:type="pct"/>
            <w:vAlign w:val="center"/>
          </w:tcPr>
          <w:p w14:paraId="3FEA7FEE"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$8,037</w:t>
            </w:r>
          </w:p>
        </w:tc>
        <w:tc>
          <w:tcPr>
            <w:tcW w:w="1150" w:type="pct"/>
            <w:vAlign w:val="center"/>
          </w:tcPr>
          <w:p w14:paraId="223AA8F3"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$4,453</w:t>
            </w:r>
          </w:p>
        </w:tc>
      </w:tr>
      <w:tr w:rsidR="008979C9" w:rsidRPr="00953311" w14:paraId="0645722B" w14:textId="77777777">
        <w:tc>
          <w:tcPr>
            <w:tcW w:w="1531" w:type="pct"/>
            <w:vAlign w:val="center"/>
          </w:tcPr>
          <w:p w14:paraId="50E5DAED" w14:textId="77777777" w:rsidR="008979C9" w:rsidRPr="00953311" w:rsidRDefault="008979C9">
            <w:pPr>
              <w:keepNext/>
              <w:spacing w:after="0"/>
              <w:rPr>
                <w:rFonts w:ascii="Times" w:eastAsiaTheme="majorEastAsia" w:hAnsi="Times" w:cstheme="majorBidi"/>
                <w:bCs/>
                <w:sz w:val="20"/>
                <w:szCs w:val="24"/>
                <w:lang w:eastAsia="en-AU"/>
              </w:rPr>
            </w:pPr>
            <w:r w:rsidRPr="00953311">
              <w:rPr>
                <w:rFonts w:ascii="Arial Narrow" w:eastAsiaTheme="majorEastAsia" w:hAnsi="Arial Narrow" w:cstheme="majorBidi"/>
                <w:bCs/>
                <w:sz w:val="20"/>
                <w:szCs w:val="24"/>
                <w:lang w:eastAsia="en-AU"/>
              </w:rPr>
              <w:t>QALYs</w:t>
            </w:r>
          </w:p>
        </w:tc>
        <w:tc>
          <w:tcPr>
            <w:tcW w:w="1157" w:type="pct"/>
            <w:vAlign w:val="center"/>
          </w:tcPr>
          <w:p w14:paraId="1D0C8C91"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9.2425</w:t>
            </w:r>
          </w:p>
        </w:tc>
        <w:tc>
          <w:tcPr>
            <w:tcW w:w="1162" w:type="pct"/>
            <w:vAlign w:val="center"/>
          </w:tcPr>
          <w:p w14:paraId="057961AF"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9.2121</w:t>
            </w:r>
          </w:p>
        </w:tc>
        <w:tc>
          <w:tcPr>
            <w:tcW w:w="1150" w:type="pct"/>
            <w:vAlign w:val="center"/>
          </w:tcPr>
          <w:p w14:paraId="1CA5233C" w14:textId="77777777" w:rsidR="008979C9" w:rsidRPr="00953311" w:rsidRDefault="008979C9">
            <w:pPr>
              <w:keepNext/>
              <w:spacing w:after="0"/>
              <w:jc w:val="center"/>
              <w:rPr>
                <w:rFonts w:ascii="Arial Narrow" w:eastAsiaTheme="majorEastAsia" w:hAnsi="Arial Narrow" w:cstheme="majorBidi"/>
                <w:bCs/>
                <w:sz w:val="20"/>
                <w:szCs w:val="24"/>
                <w:lang w:eastAsia="en-AU"/>
              </w:rPr>
            </w:pPr>
            <w:r w:rsidRPr="00953311">
              <w:rPr>
                <w:rFonts w:ascii="Arial Narrow" w:eastAsiaTheme="majorEastAsia" w:hAnsi="Arial Narrow" w:cstheme="majorBidi"/>
                <w:bCs/>
                <w:sz w:val="20"/>
                <w:szCs w:val="24"/>
                <w:lang w:eastAsia="en-AU"/>
              </w:rPr>
              <w:t>0.0304</w:t>
            </w:r>
          </w:p>
        </w:tc>
      </w:tr>
      <w:tr w:rsidR="008979C9" w:rsidRPr="00953311" w14:paraId="1C0A4FBC" w14:textId="77777777">
        <w:tc>
          <w:tcPr>
            <w:tcW w:w="3850" w:type="pct"/>
            <w:gridSpan w:val="3"/>
            <w:vAlign w:val="center"/>
          </w:tcPr>
          <w:p w14:paraId="31398608" w14:textId="77777777" w:rsidR="008979C9" w:rsidRPr="00953311" w:rsidRDefault="008979C9">
            <w:pPr>
              <w:keepNext/>
              <w:spacing w:after="0"/>
              <w:rPr>
                <w:rFonts w:ascii="Times" w:eastAsiaTheme="majorEastAsia" w:hAnsi="Times" w:cstheme="majorBidi"/>
                <w:bCs/>
                <w:sz w:val="20"/>
                <w:szCs w:val="24"/>
                <w:lang w:eastAsia="en-AU"/>
              </w:rPr>
            </w:pPr>
            <w:r w:rsidRPr="00953311">
              <w:rPr>
                <w:rFonts w:ascii="Arial Narrow" w:eastAsiaTheme="majorEastAsia" w:hAnsi="Arial Narrow" w:cstheme="majorBidi"/>
                <w:bCs/>
                <w:sz w:val="20"/>
                <w:szCs w:val="24"/>
                <w:lang w:eastAsia="en-AU"/>
              </w:rPr>
              <w:t>Incremental cost/QALY gained</w:t>
            </w:r>
          </w:p>
        </w:tc>
        <w:tc>
          <w:tcPr>
            <w:tcW w:w="1150" w:type="pct"/>
            <w:vAlign w:val="center"/>
          </w:tcPr>
          <w:p w14:paraId="06D7B368" w14:textId="77777777" w:rsidR="008979C9" w:rsidRPr="00953311" w:rsidRDefault="008979C9">
            <w:pPr>
              <w:keepNext/>
              <w:spacing w:after="0"/>
              <w:jc w:val="center"/>
              <w:rPr>
                <w:rFonts w:ascii="Times" w:eastAsiaTheme="majorEastAsia" w:hAnsi="Times" w:cstheme="majorBidi"/>
                <w:bCs/>
                <w:sz w:val="20"/>
                <w:szCs w:val="24"/>
                <w:lang w:eastAsia="en-AU"/>
              </w:rPr>
            </w:pPr>
            <w:r w:rsidRPr="00953311">
              <w:rPr>
                <w:rFonts w:ascii="Arial Narrow" w:eastAsiaTheme="majorEastAsia" w:hAnsi="Arial Narrow" w:cstheme="majorBidi"/>
                <w:bCs/>
                <w:sz w:val="20"/>
                <w:szCs w:val="24"/>
                <w:lang w:eastAsia="en-AU"/>
              </w:rPr>
              <w:t>$146,385</w:t>
            </w:r>
          </w:p>
        </w:tc>
      </w:tr>
    </w:tbl>
    <w:p w14:paraId="52A1A68E" w14:textId="77777777" w:rsidR="008979C9" w:rsidRPr="00953311" w:rsidRDefault="008979C9" w:rsidP="008979C9">
      <w:pPr>
        <w:spacing w:after="120"/>
        <w:contextualSpacing/>
        <w:jc w:val="both"/>
        <w:rPr>
          <w:rFonts w:ascii="Arial Narrow" w:eastAsia="Times New Roman" w:hAnsi="Arial Narrow" w:cs="Arial"/>
          <w:snapToGrid w:val="0"/>
          <w:sz w:val="18"/>
          <w:lang w:eastAsia="en-AU"/>
        </w:rPr>
      </w:pPr>
      <w:r w:rsidRPr="00953311">
        <w:rPr>
          <w:rFonts w:ascii="Arial Narrow" w:eastAsia="Times New Roman" w:hAnsi="Arial Narrow" w:cs="Arial"/>
          <w:snapToGrid w:val="0"/>
          <w:sz w:val="18"/>
          <w:lang w:eastAsia="en-AU"/>
        </w:rPr>
        <w:t>Abbreviations: EC, enteric coated; QALY, quality adjusted life year</w:t>
      </w:r>
    </w:p>
    <w:p w14:paraId="1E7F6576" w14:textId="08CFAE4C" w:rsidR="008979C9" w:rsidRPr="00E87379" w:rsidRDefault="008979C9" w:rsidP="008979C9">
      <w:pPr>
        <w:pStyle w:val="COMBody"/>
        <w:rPr>
          <w:rFonts w:cstheme="minorHAnsi"/>
        </w:rPr>
      </w:pPr>
      <w:r w:rsidRPr="00E87379">
        <w:rPr>
          <w:rFonts w:cstheme="minorHAnsi"/>
        </w:rPr>
        <w:t xml:space="preserve">Based on the economic model, early risedronate EC was associated with an incremental cost per QALY gained of $146,387 compared to delayed </w:t>
      </w:r>
      <w:r w:rsidR="007750CE" w:rsidRPr="00E87379">
        <w:rPr>
          <w:rFonts w:cstheme="minorHAnsi"/>
        </w:rPr>
        <w:t xml:space="preserve">initiation of </w:t>
      </w:r>
      <w:r w:rsidRPr="00E87379">
        <w:rPr>
          <w:rFonts w:cstheme="minorHAnsi"/>
        </w:rPr>
        <w:t xml:space="preserve">standard care treatment </w:t>
      </w:r>
      <w:r w:rsidR="00741620" w:rsidRPr="00E87379">
        <w:rPr>
          <w:rFonts w:cstheme="minorHAnsi"/>
        </w:rPr>
        <w:t xml:space="preserve">for </w:t>
      </w:r>
      <w:r w:rsidRPr="00E87379">
        <w:rPr>
          <w:rFonts w:cstheme="minorHAnsi"/>
        </w:rPr>
        <w:t>osteoporosis in patients aged 60 to 69 years. This estimate should be considered optimistic, given the model base case assumes perfect treatment persistence over the 20</w:t>
      </w:r>
      <w:r w:rsidR="00745006">
        <w:rPr>
          <w:rFonts w:cstheme="minorHAnsi"/>
        </w:rPr>
        <w:t>-</w:t>
      </w:r>
      <w:r w:rsidRPr="00E87379">
        <w:rPr>
          <w:rFonts w:cstheme="minorHAnsi"/>
        </w:rPr>
        <w:t>year time horizon, includes upfront BMD testing costs assuming 100% uptake and 100% accuracy, and assumes 100% treatment uptake in patients diagnosed with osteoporosis.</w:t>
      </w:r>
    </w:p>
    <w:p w14:paraId="18642B79" w14:textId="1CEC7352" w:rsidR="008979C9" w:rsidRPr="00E87379" w:rsidRDefault="008979C9" w:rsidP="008979C9">
      <w:pPr>
        <w:pStyle w:val="COMBody"/>
        <w:rPr>
          <w:rFonts w:cstheme="minorHAnsi"/>
        </w:rPr>
      </w:pPr>
      <w:r w:rsidRPr="00E87379">
        <w:rPr>
          <w:rFonts w:cstheme="minorHAnsi"/>
        </w:rPr>
        <w:t xml:space="preserve">This compares to an incremental cost per QALY gained of </w:t>
      </w:r>
      <w:r w:rsidRPr="002B1907">
        <w:rPr>
          <w:rFonts w:cstheme="minorHAnsi"/>
        </w:rPr>
        <w:t>$</w:t>
      </w:r>
      <w:r w:rsidR="002B1907" w:rsidRPr="002B1907">
        <w:rPr>
          <w:rFonts w:cstheme="minorHAnsi"/>
          <w:b/>
          <w:bCs/>
        </w:rPr>
        <w:t>redacted</w:t>
      </w:r>
      <w:r w:rsidRPr="002B1907">
        <w:rPr>
          <w:rFonts w:cstheme="minorHAnsi"/>
        </w:rPr>
        <w:t xml:space="preserve"> in </w:t>
      </w:r>
      <w:r w:rsidRPr="00E87379">
        <w:rPr>
          <w:rFonts w:cstheme="minorHAnsi"/>
        </w:rPr>
        <w:t>the November 2022 risedronic acid submission (which did not include the costs of BMD testing to identify patients with osteoporosis; included a younger population (62 versus 65 years), with a smaller proportion of males (15% versus 29%); and was based on a higher price of risedronate EC (DPMQ of $36.09 in April 2022 compared with $33.41 in October 2023).</w:t>
      </w:r>
    </w:p>
    <w:p w14:paraId="55E47EFF" w14:textId="7577BEB5" w:rsidR="008979C9" w:rsidRPr="00E87379" w:rsidRDefault="008979C9" w:rsidP="008979C9">
      <w:pPr>
        <w:pStyle w:val="COMBody"/>
        <w:rPr>
          <w:rFonts w:cstheme="minorHAnsi"/>
        </w:rPr>
      </w:pPr>
      <w:r w:rsidRPr="00E87379">
        <w:rPr>
          <w:rFonts w:cstheme="minorHAnsi"/>
        </w:rPr>
        <w:t>The incremental cost was driven by the costs associated with BMD testing to identify patients with osteoporosis. Scenario analyses using alternative BMD testing scenarios and/or limiting the population to patients aged 65 to 69 years, resulted in more favourable incremental cost-effectiveness ratios</w:t>
      </w:r>
      <w:r w:rsidR="002C1316" w:rsidRPr="00E87379">
        <w:rPr>
          <w:rFonts w:cstheme="minorHAnsi"/>
        </w:rPr>
        <w:t xml:space="preserve"> (ICERs)</w:t>
      </w:r>
      <w:r w:rsidRPr="00E87379">
        <w:rPr>
          <w:rFonts w:cstheme="minorHAnsi"/>
        </w:rPr>
        <w:t>.</w:t>
      </w:r>
    </w:p>
    <w:p w14:paraId="39E8E5C3" w14:textId="03EB7525" w:rsidR="008979C9" w:rsidRPr="00E87379" w:rsidRDefault="008979C9" w:rsidP="008979C9">
      <w:pPr>
        <w:pStyle w:val="COMBody"/>
        <w:rPr>
          <w:rFonts w:cstheme="minorHAnsi"/>
        </w:rPr>
      </w:pPr>
      <w:r w:rsidRPr="00E87379">
        <w:rPr>
          <w:rFonts w:cstheme="minorHAnsi"/>
        </w:rPr>
        <w:t xml:space="preserve">Based on the model output, the number needed to treat (NNT) to prevent any fracture is 39, the NNT to prevent a hip fracture is 97 and to prevent a non-hip fracture 65. These estimates are considerably higher than the NNTs reported in the November 2022 risedronic acid submission (NNT to prevent any fracture 20; hip fracture 57; non-hip fracture 31) due to differences in patient </w:t>
      </w:r>
      <w:r w:rsidRPr="00E87379">
        <w:rPr>
          <w:rFonts w:cstheme="minorHAnsi"/>
        </w:rPr>
        <w:lastRenderedPageBreak/>
        <w:t xml:space="preserve">characteristics (mean age 65 years and 29% male in the current model, compared with a mean age of 62 years and </w:t>
      </w:r>
      <w:r w:rsidR="00A00641">
        <w:rPr>
          <w:rFonts w:cstheme="minorHAnsi"/>
          <w:b/>
          <w:bCs/>
        </w:rPr>
        <w:t>Redacted</w:t>
      </w:r>
      <w:r w:rsidRPr="0029669E">
        <w:rPr>
          <w:rFonts w:cstheme="minorHAnsi"/>
        </w:rPr>
        <w:t>%</w:t>
      </w:r>
      <w:r w:rsidRPr="00E87379">
        <w:rPr>
          <w:rFonts w:cstheme="minorHAnsi"/>
        </w:rPr>
        <w:t xml:space="preserve"> male in the November 2022 risedronic acid submission).</w:t>
      </w:r>
    </w:p>
    <w:p w14:paraId="415EBEF6" w14:textId="19E2B6C5" w:rsidR="00FD5D9C" w:rsidRPr="00E87379" w:rsidRDefault="00FD5D9C" w:rsidP="00FD5D9C">
      <w:pPr>
        <w:spacing w:before="120" w:after="160"/>
        <w:jc w:val="both"/>
        <w:rPr>
          <w:rFonts w:ascii="Franklin Gothic Book" w:eastAsia="Times New Roman" w:hAnsi="Franklin Gothic Book" w:cstheme="minorHAnsi"/>
          <w:szCs w:val="24"/>
          <w:lang w:eastAsia="en-AU"/>
        </w:rPr>
      </w:pPr>
      <w:r w:rsidRPr="00E87379">
        <w:rPr>
          <w:rFonts w:ascii="Franklin Gothic Book" w:eastAsia="Times New Roman" w:hAnsi="Franklin Gothic Book" w:cstheme="minorHAnsi"/>
          <w:szCs w:val="24"/>
          <w:lang w:eastAsia="en-AU"/>
        </w:rPr>
        <w:fldChar w:fldCharType="begin"/>
      </w:r>
      <w:r w:rsidRPr="00E87379">
        <w:rPr>
          <w:rFonts w:ascii="Franklin Gothic Book" w:eastAsia="Times New Roman" w:hAnsi="Franklin Gothic Book" w:cstheme="minorHAnsi"/>
          <w:szCs w:val="24"/>
          <w:lang w:eastAsia="en-AU"/>
        </w:rPr>
        <w:instrText xml:space="preserve"> REF _Ref146897191 \h  \* MERGEFORMAT </w:instrText>
      </w:r>
      <w:r w:rsidRPr="00E87379">
        <w:rPr>
          <w:rFonts w:ascii="Franklin Gothic Book" w:eastAsia="Times New Roman" w:hAnsi="Franklin Gothic Book" w:cstheme="minorHAnsi"/>
          <w:szCs w:val="24"/>
          <w:lang w:eastAsia="en-AU"/>
        </w:rPr>
      </w:r>
      <w:r w:rsidRPr="00E87379">
        <w:rPr>
          <w:rFonts w:ascii="Franklin Gothic Book" w:eastAsia="Times New Roman" w:hAnsi="Franklin Gothic Book" w:cstheme="minorHAnsi"/>
          <w:szCs w:val="24"/>
          <w:lang w:eastAsia="en-AU"/>
        </w:rPr>
        <w:fldChar w:fldCharType="separate"/>
      </w:r>
      <w:r w:rsidR="00E551E5" w:rsidRPr="00E87379">
        <w:rPr>
          <w:rFonts w:ascii="Franklin Gothic Book" w:eastAsia="Times New Roman" w:hAnsi="Franklin Gothic Book" w:cstheme="minorHAnsi"/>
          <w:szCs w:val="24"/>
          <w:lang w:eastAsia="en-AU"/>
        </w:rPr>
        <w:t>Table 11</w:t>
      </w:r>
      <w:r w:rsidRPr="00E87379">
        <w:rPr>
          <w:rFonts w:ascii="Franklin Gothic Book" w:eastAsia="Times New Roman" w:hAnsi="Franklin Gothic Book" w:cstheme="minorHAnsi"/>
          <w:szCs w:val="24"/>
          <w:lang w:eastAsia="en-AU"/>
        </w:rPr>
        <w:fldChar w:fldCharType="end"/>
      </w:r>
      <w:r w:rsidRPr="00E87379">
        <w:rPr>
          <w:rFonts w:ascii="Franklin Gothic Book" w:eastAsia="Times New Roman" w:hAnsi="Franklin Gothic Book" w:cstheme="minorHAnsi"/>
          <w:szCs w:val="24"/>
          <w:lang w:eastAsia="en-AU"/>
        </w:rPr>
        <w:t xml:space="preserve"> presents the results of sensitivity analyses. The analyses were focussed on issues raised by the ESC of PBAC previously, as well as key drivers of the current model, that included modifications to the patient population and incorporation of imperfect treatment persistence.</w:t>
      </w:r>
    </w:p>
    <w:p w14:paraId="6AD0C0A7" w14:textId="225E47EB" w:rsidR="00FD5D9C" w:rsidRPr="00953311" w:rsidRDefault="00FD5D9C" w:rsidP="00745006">
      <w:pPr>
        <w:pStyle w:val="COMtablefigcaption"/>
      </w:pPr>
      <w:bookmarkStart w:id="30" w:name="_Ref146897191"/>
      <w:r w:rsidRPr="00953311">
        <w:t xml:space="preserve">Table </w:t>
      </w:r>
      <w:r>
        <w:fldChar w:fldCharType="begin"/>
      </w:r>
      <w:r>
        <w:instrText xml:space="preserve"> SEQ Table \* ARABIC </w:instrText>
      </w:r>
      <w:r>
        <w:fldChar w:fldCharType="separate"/>
      </w:r>
      <w:r w:rsidR="00090261">
        <w:rPr>
          <w:noProof/>
        </w:rPr>
        <w:t>11</w:t>
      </w:r>
      <w:r>
        <w:rPr>
          <w:noProof/>
        </w:rPr>
        <w:fldChar w:fldCharType="end"/>
      </w:r>
      <w:bookmarkEnd w:id="30"/>
      <w:r w:rsidRPr="00953311">
        <w:t xml:space="preserve"> Results of sensitivity analyses</w:t>
      </w:r>
    </w:p>
    <w:tbl>
      <w:tblPr>
        <w:tblStyle w:val="TableGrid"/>
        <w:tblW w:w="0" w:type="auto"/>
        <w:tblLayout w:type="fixed"/>
        <w:tblCellMar>
          <w:left w:w="28" w:type="dxa"/>
          <w:right w:w="28" w:type="dxa"/>
        </w:tblCellMar>
        <w:tblLook w:val="04A0" w:firstRow="1" w:lastRow="0" w:firstColumn="1" w:lastColumn="0" w:noHBand="0" w:noVBand="1"/>
      </w:tblPr>
      <w:tblGrid>
        <w:gridCol w:w="4045"/>
        <w:gridCol w:w="1242"/>
        <w:gridCol w:w="1243"/>
        <w:gridCol w:w="1243"/>
        <w:gridCol w:w="1243"/>
      </w:tblGrid>
      <w:tr w:rsidR="00FD5D9C" w:rsidRPr="00953311" w14:paraId="5A341986" w14:textId="77777777">
        <w:trPr>
          <w:cantSplit/>
          <w:tblHeader/>
        </w:trPr>
        <w:tc>
          <w:tcPr>
            <w:tcW w:w="4045" w:type="dxa"/>
          </w:tcPr>
          <w:p w14:paraId="657BA5FA" w14:textId="77777777" w:rsidR="00FD5D9C" w:rsidRPr="00953311" w:rsidRDefault="00FD5D9C" w:rsidP="00FD5D9C">
            <w:pPr>
              <w:spacing w:after="0"/>
              <w:rPr>
                <w:rFonts w:ascii="Arial Narrow" w:eastAsia="SimSun" w:hAnsi="Arial Narrow" w:cs="Times New Roman"/>
                <w:b/>
                <w:sz w:val="20"/>
              </w:rPr>
            </w:pPr>
          </w:p>
        </w:tc>
        <w:tc>
          <w:tcPr>
            <w:tcW w:w="1242" w:type="dxa"/>
            <w:vAlign w:val="center"/>
          </w:tcPr>
          <w:p w14:paraId="539B4375" w14:textId="77777777" w:rsidR="00FD5D9C" w:rsidRPr="00953311" w:rsidRDefault="00FD5D9C" w:rsidP="00FD5D9C">
            <w:pPr>
              <w:spacing w:after="0"/>
              <w:jc w:val="center"/>
              <w:rPr>
                <w:rFonts w:ascii="Arial Narrow" w:eastAsia="SimSun" w:hAnsi="Arial Narrow" w:cs="Times New Roman"/>
                <w:b/>
                <w:sz w:val="20"/>
              </w:rPr>
            </w:pPr>
            <w:r w:rsidRPr="00953311">
              <w:rPr>
                <w:rFonts w:ascii="Arial Narrow" w:eastAsia="SimSun" w:hAnsi="Arial Narrow" w:cs="Times New Roman"/>
                <w:b/>
                <w:sz w:val="20"/>
              </w:rPr>
              <w:t>Incremental cost</w:t>
            </w:r>
          </w:p>
        </w:tc>
        <w:tc>
          <w:tcPr>
            <w:tcW w:w="1243" w:type="dxa"/>
            <w:vAlign w:val="center"/>
          </w:tcPr>
          <w:p w14:paraId="0677BEF7" w14:textId="77777777" w:rsidR="00FD5D9C" w:rsidRPr="00953311" w:rsidRDefault="00FD5D9C" w:rsidP="00FD5D9C">
            <w:pPr>
              <w:spacing w:after="0"/>
              <w:jc w:val="center"/>
              <w:rPr>
                <w:rFonts w:ascii="Arial Narrow" w:eastAsia="SimSun" w:hAnsi="Arial Narrow" w:cs="Times New Roman"/>
                <w:b/>
                <w:sz w:val="20"/>
              </w:rPr>
            </w:pPr>
            <w:r w:rsidRPr="00953311">
              <w:rPr>
                <w:rFonts w:ascii="Arial Narrow" w:eastAsia="SimSun" w:hAnsi="Arial Narrow" w:cs="Times New Roman"/>
                <w:b/>
                <w:sz w:val="20"/>
              </w:rPr>
              <w:t>Incremental QALYs</w:t>
            </w:r>
          </w:p>
        </w:tc>
        <w:tc>
          <w:tcPr>
            <w:tcW w:w="1243" w:type="dxa"/>
            <w:vAlign w:val="center"/>
          </w:tcPr>
          <w:p w14:paraId="3AE5CCF1" w14:textId="77777777" w:rsidR="00FD5D9C" w:rsidRPr="00953311" w:rsidRDefault="00FD5D9C" w:rsidP="00FD5D9C">
            <w:pPr>
              <w:spacing w:after="0"/>
              <w:jc w:val="center"/>
              <w:rPr>
                <w:rFonts w:ascii="Arial Narrow" w:eastAsia="SimSun" w:hAnsi="Arial Narrow" w:cs="Times New Roman"/>
                <w:b/>
                <w:sz w:val="20"/>
              </w:rPr>
            </w:pPr>
            <w:r w:rsidRPr="00953311">
              <w:rPr>
                <w:rFonts w:ascii="Arial Narrow" w:eastAsia="SimSun" w:hAnsi="Arial Narrow" w:cs="Times New Roman"/>
                <w:b/>
                <w:sz w:val="20"/>
              </w:rPr>
              <w:t>ICER</w:t>
            </w:r>
          </w:p>
        </w:tc>
        <w:tc>
          <w:tcPr>
            <w:tcW w:w="1243" w:type="dxa"/>
            <w:vAlign w:val="center"/>
          </w:tcPr>
          <w:p w14:paraId="1CF410C5" w14:textId="77777777" w:rsidR="00FD5D9C" w:rsidRPr="00953311" w:rsidRDefault="00FD5D9C" w:rsidP="00FD5D9C">
            <w:pPr>
              <w:spacing w:after="0"/>
              <w:jc w:val="center"/>
              <w:rPr>
                <w:rFonts w:ascii="Arial Narrow" w:eastAsia="SimSun" w:hAnsi="Arial Narrow" w:cs="Times New Roman"/>
                <w:b/>
                <w:sz w:val="20"/>
              </w:rPr>
            </w:pPr>
            <w:r w:rsidRPr="00953311">
              <w:rPr>
                <w:rFonts w:ascii="Arial Narrow" w:eastAsia="SimSun" w:hAnsi="Arial Narrow" w:cs="Times New Roman"/>
                <w:b/>
                <w:sz w:val="20"/>
              </w:rPr>
              <w:t>% change in ICER</w:t>
            </w:r>
          </w:p>
        </w:tc>
      </w:tr>
      <w:tr w:rsidR="00FD5D9C" w:rsidRPr="00953311" w14:paraId="7ECCFC4C" w14:textId="77777777">
        <w:trPr>
          <w:cantSplit/>
        </w:trPr>
        <w:tc>
          <w:tcPr>
            <w:tcW w:w="4045" w:type="dxa"/>
          </w:tcPr>
          <w:p w14:paraId="1BC42038" w14:textId="77777777" w:rsidR="00FD5D9C" w:rsidRPr="00953311" w:rsidRDefault="00FD5D9C" w:rsidP="00FD5D9C">
            <w:pPr>
              <w:spacing w:after="0"/>
              <w:rPr>
                <w:rFonts w:ascii="Arial Narrow" w:eastAsia="SimSun" w:hAnsi="Arial Narrow" w:cs="Times New Roman"/>
                <w:b/>
                <w:sz w:val="20"/>
              </w:rPr>
            </w:pPr>
            <w:r w:rsidRPr="00953311">
              <w:rPr>
                <w:rFonts w:ascii="Arial Narrow" w:eastAsia="SimSun" w:hAnsi="Arial Narrow" w:cs="Times New Roman"/>
                <w:b/>
                <w:sz w:val="20"/>
              </w:rPr>
              <w:t>Base case</w:t>
            </w:r>
          </w:p>
        </w:tc>
        <w:tc>
          <w:tcPr>
            <w:tcW w:w="1242" w:type="dxa"/>
            <w:vAlign w:val="center"/>
          </w:tcPr>
          <w:p w14:paraId="4E14C575" w14:textId="77777777" w:rsidR="00FD5D9C" w:rsidRPr="00953311" w:rsidRDefault="00FD5D9C" w:rsidP="00FD5D9C">
            <w:pPr>
              <w:spacing w:after="0"/>
              <w:jc w:val="center"/>
              <w:rPr>
                <w:rFonts w:ascii="Arial Narrow" w:eastAsia="SimSun" w:hAnsi="Arial Narrow" w:cs="Times New Roman"/>
                <w:b/>
                <w:sz w:val="20"/>
              </w:rPr>
            </w:pPr>
            <w:r w:rsidRPr="00953311">
              <w:rPr>
                <w:rFonts w:ascii="Arial Narrow" w:eastAsia="SimSun" w:hAnsi="Arial Narrow" w:cs="Times New Roman"/>
                <w:b/>
                <w:sz w:val="20"/>
              </w:rPr>
              <w:t>$4,453</w:t>
            </w:r>
          </w:p>
        </w:tc>
        <w:tc>
          <w:tcPr>
            <w:tcW w:w="1243" w:type="dxa"/>
            <w:vAlign w:val="center"/>
          </w:tcPr>
          <w:p w14:paraId="0DE7ED6D" w14:textId="77777777" w:rsidR="00FD5D9C" w:rsidRPr="00953311" w:rsidRDefault="00FD5D9C" w:rsidP="00FD5D9C">
            <w:pPr>
              <w:spacing w:after="0"/>
              <w:jc w:val="center"/>
              <w:rPr>
                <w:rFonts w:ascii="Arial Narrow" w:eastAsia="SimSun" w:hAnsi="Arial Narrow" w:cs="Times New Roman"/>
                <w:b/>
                <w:sz w:val="20"/>
              </w:rPr>
            </w:pPr>
            <w:r w:rsidRPr="00953311">
              <w:rPr>
                <w:rFonts w:ascii="Arial Narrow" w:eastAsia="SimSun" w:hAnsi="Arial Narrow" w:cs="Times New Roman"/>
                <w:b/>
                <w:sz w:val="20"/>
              </w:rPr>
              <w:t>0.0304</w:t>
            </w:r>
          </w:p>
        </w:tc>
        <w:tc>
          <w:tcPr>
            <w:tcW w:w="1243" w:type="dxa"/>
            <w:vAlign w:val="center"/>
          </w:tcPr>
          <w:p w14:paraId="158C32DC" w14:textId="77777777" w:rsidR="00FD5D9C" w:rsidRPr="00953311" w:rsidRDefault="00FD5D9C" w:rsidP="00FD5D9C">
            <w:pPr>
              <w:spacing w:after="0"/>
              <w:jc w:val="center"/>
              <w:rPr>
                <w:rFonts w:ascii="Arial Narrow" w:eastAsia="SimSun" w:hAnsi="Arial Narrow" w:cs="Times New Roman"/>
                <w:b/>
                <w:sz w:val="20"/>
              </w:rPr>
            </w:pPr>
            <w:r w:rsidRPr="00953311">
              <w:rPr>
                <w:rFonts w:ascii="Arial Narrow" w:eastAsia="SimSun" w:hAnsi="Arial Narrow" w:cs="Times New Roman"/>
                <w:b/>
                <w:sz w:val="20"/>
              </w:rPr>
              <w:t>$146,385</w:t>
            </w:r>
          </w:p>
        </w:tc>
        <w:tc>
          <w:tcPr>
            <w:tcW w:w="1243" w:type="dxa"/>
            <w:vAlign w:val="center"/>
          </w:tcPr>
          <w:p w14:paraId="3E87E79B" w14:textId="77777777" w:rsidR="00FD5D9C" w:rsidRPr="00953311" w:rsidRDefault="00FD5D9C" w:rsidP="00FD5D9C">
            <w:pPr>
              <w:spacing w:after="0"/>
              <w:jc w:val="center"/>
              <w:rPr>
                <w:rFonts w:ascii="Arial Narrow" w:eastAsia="SimSun" w:hAnsi="Arial Narrow" w:cs="Times New Roman"/>
                <w:b/>
                <w:sz w:val="20"/>
              </w:rPr>
            </w:pPr>
            <w:r w:rsidRPr="00953311">
              <w:rPr>
                <w:rFonts w:ascii="Arial Narrow" w:eastAsia="SimSun" w:hAnsi="Arial Narrow" w:cs="Times New Roman"/>
                <w:b/>
                <w:sz w:val="20"/>
              </w:rPr>
              <w:t>-</w:t>
            </w:r>
          </w:p>
        </w:tc>
      </w:tr>
      <w:tr w:rsidR="00FD5D9C" w:rsidRPr="00953311" w14:paraId="7A0E37DD" w14:textId="77777777">
        <w:trPr>
          <w:cantSplit/>
        </w:trPr>
        <w:tc>
          <w:tcPr>
            <w:tcW w:w="9016" w:type="dxa"/>
            <w:gridSpan w:val="5"/>
          </w:tcPr>
          <w:p w14:paraId="18F7EB65" w14:textId="77777777" w:rsidR="00FD5D9C" w:rsidRPr="00953311" w:rsidRDefault="00FD5D9C" w:rsidP="00FD5D9C">
            <w:pPr>
              <w:spacing w:after="0"/>
              <w:rPr>
                <w:rFonts w:ascii="Arial Narrow" w:eastAsia="SimSun" w:hAnsi="Arial Narrow" w:cs="Times New Roman"/>
                <w:b/>
                <w:sz w:val="20"/>
              </w:rPr>
            </w:pPr>
            <w:r w:rsidRPr="00953311">
              <w:rPr>
                <w:rFonts w:ascii="Arial Narrow" w:eastAsia="SimSun" w:hAnsi="Arial Narrow" w:cs="Times New Roman"/>
                <w:b/>
                <w:sz w:val="20"/>
              </w:rPr>
              <w:t>Discount rate (base case 5%)</w:t>
            </w:r>
          </w:p>
        </w:tc>
      </w:tr>
      <w:tr w:rsidR="00FD5D9C" w:rsidRPr="00953311" w14:paraId="61ECDDBE" w14:textId="77777777">
        <w:trPr>
          <w:cantSplit/>
        </w:trPr>
        <w:tc>
          <w:tcPr>
            <w:tcW w:w="4045" w:type="dxa"/>
          </w:tcPr>
          <w:p w14:paraId="0E81FFA4"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0%</w:t>
            </w:r>
          </w:p>
        </w:tc>
        <w:tc>
          <w:tcPr>
            <w:tcW w:w="1242" w:type="dxa"/>
            <w:vAlign w:val="center"/>
          </w:tcPr>
          <w:p w14:paraId="2C38EEDA"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$3,756</w:t>
            </w:r>
          </w:p>
        </w:tc>
        <w:tc>
          <w:tcPr>
            <w:tcW w:w="1243" w:type="dxa"/>
            <w:vAlign w:val="center"/>
          </w:tcPr>
          <w:p w14:paraId="1F2FE47C"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0.0521</w:t>
            </w:r>
          </w:p>
        </w:tc>
        <w:tc>
          <w:tcPr>
            <w:tcW w:w="1243" w:type="dxa"/>
            <w:vAlign w:val="center"/>
          </w:tcPr>
          <w:p w14:paraId="0B5D20DF"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$72,150</w:t>
            </w:r>
          </w:p>
        </w:tc>
        <w:tc>
          <w:tcPr>
            <w:tcW w:w="1243" w:type="dxa"/>
            <w:vAlign w:val="center"/>
          </w:tcPr>
          <w:p w14:paraId="0EC2CAD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-50.7%</w:t>
            </w:r>
          </w:p>
        </w:tc>
      </w:tr>
      <w:tr w:rsidR="00FD5D9C" w:rsidRPr="00953311" w14:paraId="4D4CD51F" w14:textId="77777777">
        <w:trPr>
          <w:cantSplit/>
        </w:trPr>
        <w:tc>
          <w:tcPr>
            <w:tcW w:w="4045" w:type="dxa"/>
          </w:tcPr>
          <w:p w14:paraId="5703A5FA"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3.5%</w:t>
            </w:r>
          </w:p>
        </w:tc>
        <w:tc>
          <w:tcPr>
            <w:tcW w:w="1242" w:type="dxa"/>
            <w:vAlign w:val="center"/>
          </w:tcPr>
          <w:p w14:paraId="42034D80"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$4,293</w:t>
            </w:r>
          </w:p>
        </w:tc>
        <w:tc>
          <w:tcPr>
            <w:tcW w:w="1243" w:type="dxa"/>
            <w:vAlign w:val="center"/>
          </w:tcPr>
          <w:p w14:paraId="13C0EDA3"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0.0354</w:t>
            </w:r>
          </w:p>
        </w:tc>
        <w:tc>
          <w:tcPr>
            <w:tcW w:w="1243" w:type="dxa"/>
            <w:vAlign w:val="center"/>
          </w:tcPr>
          <w:p w14:paraId="6B693A4A"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$121,365</w:t>
            </w:r>
          </w:p>
        </w:tc>
        <w:tc>
          <w:tcPr>
            <w:tcW w:w="1243" w:type="dxa"/>
            <w:vAlign w:val="center"/>
          </w:tcPr>
          <w:p w14:paraId="3EEE0BF0"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-17.1%</w:t>
            </w:r>
          </w:p>
        </w:tc>
      </w:tr>
      <w:tr w:rsidR="00FD5D9C" w:rsidRPr="00953311" w14:paraId="5FA62DEF" w14:textId="77777777">
        <w:trPr>
          <w:cantSplit/>
        </w:trPr>
        <w:tc>
          <w:tcPr>
            <w:tcW w:w="9016" w:type="dxa"/>
            <w:gridSpan w:val="5"/>
          </w:tcPr>
          <w:p w14:paraId="1798E56C" w14:textId="77777777" w:rsidR="00FD5D9C" w:rsidRPr="00953311" w:rsidRDefault="00FD5D9C" w:rsidP="00FD5D9C">
            <w:pPr>
              <w:keepNext/>
              <w:spacing w:after="0"/>
              <w:rPr>
                <w:rFonts w:ascii="Arial Narrow" w:eastAsia="SimSun" w:hAnsi="Arial Narrow" w:cs="Times New Roman"/>
                <w:b/>
                <w:sz w:val="20"/>
              </w:rPr>
            </w:pPr>
            <w:r w:rsidRPr="00953311">
              <w:rPr>
                <w:rFonts w:ascii="Arial Narrow" w:eastAsia="SimSun" w:hAnsi="Arial Narrow" w:cs="Times New Roman"/>
                <w:b/>
                <w:sz w:val="20"/>
              </w:rPr>
              <w:t>Time horizon (base case 20 years)</w:t>
            </w:r>
          </w:p>
        </w:tc>
      </w:tr>
      <w:tr w:rsidR="00FD5D9C" w:rsidRPr="00953311" w14:paraId="7EFB8B13" w14:textId="77777777">
        <w:trPr>
          <w:cantSplit/>
        </w:trPr>
        <w:tc>
          <w:tcPr>
            <w:tcW w:w="4045" w:type="dxa"/>
          </w:tcPr>
          <w:p w14:paraId="053D1187"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5 years</w:t>
            </w:r>
          </w:p>
        </w:tc>
        <w:tc>
          <w:tcPr>
            <w:tcW w:w="1242" w:type="dxa"/>
            <w:vAlign w:val="center"/>
          </w:tcPr>
          <w:p w14:paraId="12D62A82"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$5,502</w:t>
            </w:r>
          </w:p>
        </w:tc>
        <w:tc>
          <w:tcPr>
            <w:tcW w:w="1243" w:type="dxa"/>
            <w:vAlign w:val="center"/>
          </w:tcPr>
          <w:p w14:paraId="3D297520"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0.0069</w:t>
            </w:r>
          </w:p>
        </w:tc>
        <w:tc>
          <w:tcPr>
            <w:tcW w:w="1243" w:type="dxa"/>
            <w:vAlign w:val="center"/>
          </w:tcPr>
          <w:p w14:paraId="7A7F136E"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$799,020</w:t>
            </w:r>
          </w:p>
        </w:tc>
        <w:tc>
          <w:tcPr>
            <w:tcW w:w="1243" w:type="dxa"/>
            <w:vAlign w:val="center"/>
          </w:tcPr>
          <w:p w14:paraId="781955BF"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+445.8%</w:t>
            </w:r>
          </w:p>
        </w:tc>
      </w:tr>
      <w:tr w:rsidR="00FD5D9C" w:rsidRPr="00953311" w14:paraId="2BB076E5" w14:textId="77777777">
        <w:trPr>
          <w:cantSplit/>
        </w:trPr>
        <w:tc>
          <w:tcPr>
            <w:tcW w:w="4045" w:type="dxa"/>
          </w:tcPr>
          <w:p w14:paraId="13136080"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10 years</w:t>
            </w:r>
          </w:p>
        </w:tc>
        <w:tc>
          <w:tcPr>
            <w:tcW w:w="1242" w:type="dxa"/>
            <w:vAlign w:val="center"/>
          </w:tcPr>
          <w:p w14:paraId="6969C712"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$4,992</w:t>
            </w:r>
          </w:p>
        </w:tc>
        <w:tc>
          <w:tcPr>
            <w:tcW w:w="1243" w:type="dxa"/>
            <w:vAlign w:val="center"/>
          </w:tcPr>
          <w:p w14:paraId="1A06DCB3"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0.0149</w:t>
            </w:r>
          </w:p>
        </w:tc>
        <w:tc>
          <w:tcPr>
            <w:tcW w:w="1243" w:type="dxa"/>
            <w:vAlign w:val="center"/>
          </w:tcPr>
          <w:p w14:paraId="144D8CB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$334,878</w:t>
            </w:r>
          </w:p>
        </w:tc>
        <w:tc>
          <w:tcPr>
            <w:tcW w:w="1243" w:type="dxa"/>
            <w:vAlign w:val="center"/>
          </w:tcPr>
          <w:p w14:paraId="7E1CA345"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+128.8%</w:t>
            </w:r>
          </w:p>
        </w:tc>
      </w:tr>
      <w:tr w:rsidR="00FD5D9C" w:rsidRPr="00953311" w14:paraId="109E0FB4" w14:textId="77777777">
        <w:trPr>
          <w:cantSplit/>
        </w:trPr>
        <w:tc>
          <w:tcPr>
            <w:tcW w:w="4045" w:type="dxa"/>
          </w:tcPr>
          <w:p w14:paraId="2BCDE72A"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15 years</w:t>
            </w:r>
          </w:p>
        </w:tc>
        <w:tc>
          <w:tcPr>
            <w:tcW w:w="1242" w:type="dxa"/>
            <w:vAlign w:val="center"/>
          </w:tcPr>
          <w:p w14:paraId="152A0409"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$4,654</w:t>
            </w:r>
          </w:p>
        </w:tc>
        <w:tc>
          <w:tcPr>
            <w:tcW w:w="1243" w:type="dxa"/>
            <w:vAlign w:val="center"/>
          </w:tcPr>
          <w:p w14:paraId="07E99594"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0.0228</w:t>
            </w:r>
          </w:p>
        </w:tc>
        <w:tc>
          <w:tcPr>
            <w:tcW w:w="1243" w:type="dxa"/>
            <w:vAlign w:val="center"/>
          </w:tcPr>
          <w:p w14:paraId="271C0D1C"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$203,998</w:t>
            </w:r>
          </w:p>
        </w:tc>
        <w:tc>
          <w:tcPr>
            <w:tcW w:w="1243" w:type="dxa"/>
            <w:vAlign w:val="center"/>
          </w:tcPr>
          <w:p w14:paraId="7A2FA371"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+39.4%</w:t>
            </w:r>
          </w:p>
        </w:tc>
      </w:tr>
      <w:tr w:rsidR="00FD5D9C" w:rsidRPr="00953311" w14:paraId="4AF8D18F" w14:textId="77777777">
        <w:trPr>
          <w:cantSplit/>
        </w:trPr>
        <w:tc>
          <w:tcPr>
            <w:tcW w:w="9016" w:type="dxa"/>
            <w:gridSpan w:val="5"/>
          </w:tcPr>
          <w:p w14:paraId="1ACD245D" w14:textId="77777777" w:rsidR="00FD5D9C" w:rsidRPr="00953311" w:rsidRDefault="00FD5D9C" w:rsidP="00FD5D9C">
            <w:pPr>
              <w:spacing w:after="0"/>
              <w:rPr>
                <w:rFonts w:ascii="Arial Narrow" w:eastAsia="SimSun" w:hAnsi="Arial Narrow" w:cs="Times New Roman"/>
                <w:b/>
                <w:sz w:val="20"/>
              </w:rPr>
            </w:pPr>
            <w:r w:rsidRPr="00953311">
              <w:rPr>
                <w:rFonts w:ascii="Arial Narrow" w:eastAsia="SimSun" w:hAnsi="Arial Narrow" w:cs="Times New Roman"/>
                <w:b/>
                <w:sz w:val="20"/>
              </w:rPr>
              <w:t>Baseline age and BMD T-score (base case mean age 65 years, BMD T-score -2.5)</w:t>
            </w:r>
          </w:p>
        </w:tc>
      </w:tr>
      <w:tr w:rsidR="00FD5D9C" w:rsidRPr="00953311" w14:paraId="6E45D400" w14:textId="77777777">
        <w:trPr>
          <w:cantSplit/>
        </w:trPr>
        <w:tc>
          <w:tcPr>
            <w:tcW w:w="4045" w:type="dxa"/>
          </w:tcPr>
          <w:p w14:paraId="468C499E"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60 years; BMD T-score -2.5</w:t>
            </w:r>
          </w:p>
        </w:tc>
        <w:tc>
          <w:tcPr>
            <w:tcW w:w="1242" w:type="dxa"/>
            <w:vAlign w:val="center"/>
          </w:tcPr>
          <w:p w14:paraId="0EF1171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$5,353</w:t>
            </w:r>
          </w:p>
        </w:tc>
        <w:tc>
          <w:tcPr>
            <w:tcW w:w="1243" w:type="dxa"/>
            <w:vAlign w:val="center"/>
          </w:tcPr>
          <w:p w14:paraId="52101F14"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0.0457</w:t>
            </w:r>
          </w:p>
        </w:tc>
        <w:tc>
          <w:tcPr>
            <w:tcW w:w="1243" w:type="dxa"/>
            <w:vAlign w:val="center"/>
          </w:tcPr>
          <w:p w14:paraId="4F852BEA"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$117,083</w:t>
            </w:r>
          </w:p>
        </w:tc>
        <w:tc>
          <w:tcPr>
            <w:tcW w:w="1243" w:type="dxa"/>
            <w:vAlign w:val="center"/>
          </w:tcPr>
          <w:p w14:paraId="42F28E31"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-20.0%</w:t>
            </w:r>
          </w:p>
        </w:tc>
      </w:tr>
      <w:tr w:rsidR="00FD5D9C" w:rsidRPr="00953311" w14:paraId="660D781D" w14:textId="77777777">
        <w:trPr>
          <w:cantSplit/>
        </w:trPr>
        <w:tc>
          <w:tcPr>
            <w:tcW w:w="4045" w:type="dxa"/>
          </w:tcPr>
          <w:p w14:paraId="07E2FAEA"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60 years; BMD T-score -3.0</w:t>
            </w:r>
          </w:p>
        </w:tc>
        <w:tc>
          <w:tcPr>
            <w:tcW w:w="1242" w:type="dxa"/>
            <w:vAlign w:val="center"/>
          </w:tcPr>
          <w:p w14:paraId="29C0A0AD"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$4,766</w:t>
            </w:r>
          </w:p>
        </w:tc>
        <w:tc>
          <w:tcPr>
            <w:tcW w:w="1243" w:type="dxa"/>
            <w:vAlign w:val="center"/>
          </w:tcPr>
          <w:p w14:paraId="5DE0D321"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0.0619</w:t>
            </w:r>
          </w:p>
        </w:tc>
        <w:tc>
          <w:tcPr>
            <w:tcW w:w="1243" w:type="dxa"/>
            <w:vAlign w:val="center"/>
          </w:tcPr>
          <w:p w14:paraId="1510815E"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$77,035</w:t>
            </w:r>
          </w:p>
        </w:tc>
        <w:tc>
          <w:tcPr>
            <w:tcW w:w="1243" w:type="dxa"/>
            <w:vAlign w:val="center"/>
          </w:tcPr>
          <w:p w14:paraId="353FA799"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-47.4%</w:t>
            </w:r>
          </w:p>
        </w:tc>
      </w:tr>
      <w:tr w:rsidR="00FD5D9C" w:rsidRPr="00953311" w14:paraId="1C6000AF" w14:textId="77777777">
        <w:trPr>
          <w:cantSplit/>
        </w:trPr>
        <w:tc>
          <w:tcPr>
            <w:tcW w:w="4045" w:type="dxa"/>
          </w:tcPr>
          <w:p w14:paraId="2DC5E114"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62 years; BMD T-score -2.5</w:t>
            </w:r>
          </w:p>
        </w:tc>
        <w:tc>
          <w:tcPr>
            <w:tcW w:w="1242" w:type="dxa"/>
            <w:vAlign w:val="center"/>
          </w:tcPr>
          <w:p w14:paraId="1B588F5D"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$5,006</w:t>
            </w:r>
          </w:p>
        </w:tc>
        <w:tc>
          <w:tcPr>
            <w:tcW w:w="1243" w:type="dxa"/>
            <w:vAlign w:val="center"/>
          </w:tcPr>
          <w:p w14:paraId="2F80A71F"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0.0417</w:t>
            </w:r>
          </w:p>
        </w:tc>
        <w:tc>
          <w:tcPr>
            <w:tcW w:w="1243" w:type="dxa"/>
            <w:vAlign w:val="center"/>
          </w:tcPr>
          <w:p w14:paraId="75981CE9"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$120,134</w:t>
            </w:r>
          </w:p>
        </w:tc>
        <w:tc>
          <w:tcPr>
            <w:tcW w:w="1243" w:type="dxa"/>
            <w:vAlign w:val="center"/>
          </w:tcPr>
          <w:p w14:paraId="679A0FE0"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-17.9%</w:t>
            </w:r>
          </w:p>
        </w:tc>
      </w:tr>
      <w:tr w:rsidR="00FD5D9C" w:rsidRPr="00953311" w14:paraId="459B928A" w14:textId="77777777">
        <w:trPr>
          <w:cantSplit/>
        </w:trPr>
        <w:tc>
          <w:tcPr>
            <w:tcW w:w="4045" w:type="dxa"/>
          </w:tcPr>
          <w:p w14:paraId="2A06FA2A"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62 years; BMD T-score -3.0</w:t>
            </w:r>
          </w:p>
        </w:tc>
        <w:tc>
          <w:tcPr>
            <w:tcW w:w="1242" w:type="dxa"/>
            <w:vAlign w:val="center"/>
          </w:tcPr>
          <w:p w14:paraId="68B7E6C3"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$4,504</w:t>
            </w:r>
          </w:p>
        </w:tc>
        <w:tc>
          <w:tcPr>
            <w:tcW w:w="1243" w:type="dxa"/>
            <w:vAlign w:val="center"/>
          </w:tcPr>
          <w:p w14:paraId="721CA7F2"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0.0565</w:t>
            </w:r>
          </w:p>
        </w:tc>
        <w:tc>
          <w:tcPr>
            <w:tcW w:w="1243" w:type="dxa"/>
            <w:vAlign w:val="center"/>
          </w:tcPr>
          <w:p w14:paraId="5063D856"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$79,693</w:t>
            </w:r>
          </w:p>
        </w:tc>
        <w:tc>
          <w:tcPr>
            <w:tcW w:w="1243" w:type="dxa"/>
            <w:vAlign w:val="center"/>
          </w:tcPr>
          <w:p w14:paraId="216F4AF6"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-45.6%</w:t>
            </w:r>
          </w:p>
        </w:tc>
      </w:tr>
      <w:tr w:rsidR="00FD5D9C" w:rsidRPr="00953311" w14:paraId="6ED240BF" w14:textId="77777777">
        <w:trPr>
          <w:cantSplit/>
        </w:trPr>
        <w:tc>
          <w:tcPr>
            <w:tcW w:w="4045" w:type="dxa"/>
          </w:tcPr>
          <w:p w14:paraId="7C51836F"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65 years; BMD T-score -3.0</w:t>
            </w:r>
          </w:p>
        </w:tc>
        <w:tc>
          <w:tcPr>
            <w:tcW w:w="1242" w:type="dxa"/>
            <w:vAlign w:val="center"/>
          </w:tcPr>
          <w:p w14:paraId="5E2C2837"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$4,125</w:t>
            </w:r>
          </w:p>
        </w:tc>
        <w:tc>
          <w:tcPr>
            <w:tcW w:w="1243" w:type="dxa"/>
            <w:vAlign w:val="center"/>
          </w:tcPr>
          <w:p w14:paraId="5F0FBF96"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0.0414</w:t>
            </w:r>
          </w:p>
        </w:tc>
        <w:tc>
          <w:tcPr>
            <w:tcW w:w="1243" w:type="dxa"/>
            <w:vAlign w:val="center"/>
          </w:tcPr>
          <w:p w14:paraId="7A35D620"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$99,693</w:t>
            </w:r>
          </w:p>
        </w:tc>
        <w:tc>
          <w:tcPr>
            <w:tcW w:w="1243" w:type="dxa"/>
            <w:vAlign w:val="center"/>
          </w:tcPr>
          <w:p w14:paraId="7E647465"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-31.9%</w:t>
            </w:r>
          </w:p>
        </w:tc>
      </w:tr>
      <w:tr w:rsidR="00FD5D9C" w:rsidRPr="00953311" w14:paraId="0B509239" w14:textId="77777777">
        <w:trPr>
          <w:cantSplit/>
        </w:trPr>
        <w:tc>
          <w:tcPr>
            <w:tcW w:w="4045" w:type="dxa"/>
          </w:tcPr>
          <w:p w14:paraId="130ADB8C"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67 years; BMD T-score -2.5</w:t>
            </w:r>
          </w:p>
        </w:tc>
        <w:tc>
          <w:tcPr>
            <w:tcW w:w="1242" w:type="dxa"/>
            <w:vAlign w:val="center"/>
          </w:tcPr>
          <w:p w14:paraId="22953C97"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$4,079</w:t>
            </w:r>
          </w:p>
        </w:tc>
        <w:tc>
          <w:tcPr>
            <w:tcW w:w="1243" w:type="dxa"/>
            <w:vAlign w:val="center"/>
          </w:tcPr>
          <w:p w14:paraId="52421F35"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0.0173</w:t>
            </w:r>
          </w:p>
        </w:tc>
        <w:tc>
          <w:tcPr>
            <w:tcW w:w="1243" w:type="dxa"/>
            <w:vAlign w:val="center"/>
          </w:tcPr>
          <w:p w14:paraId="4DB4107D"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$235,280</w:t>
            </w:r>
          </w:p>
        </w:tc>
        <w:tc>
          <w:tcPr>
            <w:tcW w:w="1243" w:type="dxa"/>
            <w:vAlign w:val="center"/>
          </w:tcPr>
          <w:p w14:paraId="0FE97C41"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+60.7%</w:t>
            </w:r>
          </w:p>
        </w:tc>
      </w:tr>
      <w:tr w:rsidR="00FD5D9C" w:rsidRPr="00953311" w14:paraId="12209B0D" w14:textId="77777777">
        <w:trPr>
          <w:cantSplit/>
        </w:trPr>
        <w:tc>
          <w:tcPr>
            <w:tcW w:w="4045" w:type="dxa"/>
          </w:tcPr>
          <w:p w14:paraId="2D06488F"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67 years; BMD T-score -3.0</w:t>
            </w:r>
          </w:p>
        </w:tc>
        <w:tc>
          <w:tcPr>
            <w:tcW w:w="1242" w:type="dxa"/>
            <w:vAlign w:val="center"/>
          </w:tcPr>
          <w:p w14:paraId="651A6419"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$3,916</w:t>
            </w:r>
          </w:p>
        </w:tc>
        <w:tc>
          <w:tcPr>
            <w:tcW w:w="1243" w:type="dxa"/>
            <w:vAlign w:val="center"/>
          </w:tcPr>
          <w:p w14:paraId="407EFE3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0.0235</w:t>
            </w:r>
          </w:p>
        </w:tc>
        <w:tc>
          <w:tcPr>
            <w:tcW w:w="1243" w:type="dxa"/>
            <w:vAlign w:val="center"/>
          </w:tcPr>
          <w:p w14:paraId="62EBED88"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$166,311</w:t>
            </w:r>
          </w:p>
        </w:tc>
        <w:tc>
          <w:tcPr>
            <w:tcW w:w="1243" w:type="dxa"/>
            <w:vAlign w:val="center"/>
          </w:tcPr>
          <w:p w14:paraId="10045AE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+13.6%</w:t>
            </w:r>
          </w:p>
        </w:tc>
      </w:tr>
      <w:tr w:rsidR="00FD5D9C" w:rsidRPr="00953311" w14:paraId="1188FAE1" w14:textId="77777777">
        <w:trPr>
          <w:cantSplit/>
        </w:trPr>
        <w:tc>
          <w:tcPr>
            <w:tcW w:w="9016" w:type="dxa"/>
            <w:gridSpan w:val="5"/>
          </w:tcPr>
          <w:p w14:paraId="07E9059D" w14:textId="77777777" w:rsidR="00FD5D9C" w:rsidRPr="00953311" w:rsidRDefault="00FD5D9C" w:rsidP="00FD5D9C">
            <w:pPr>
              <w:spacing w:after="0"/>
              <w:rPr>
                <w:rFonts w:ascii="Arial Narrow" w:eastAsia="SimSun" w:hAnsi="Arial Narrow" w:cs="Times New Roman"/>
                <w:b/>
                <w:sz w:val="20"/>
              </w:rPr>
            </w:pPr>
            <w:r w:rsidRPr="00953311">
              <w:rPr>
                <w:rFonts w:ascii="Arial Narrow" w:eastAsia="SimSun" w:hAnsi="Arial Narrow" w:cs="Times New Roman"/>
                <w:b/>
                <w:sz w:val="20"/>
              </w:rPr>
              <w:t>Fracture treatment effects (base case RRR for risedronate: 56% for hip fracture and 35% for non-hip fracture; SC: 55% for hip fracture and 34% for non-hip fracture)</w:t>
            </w:r>
          </w:p>
        </w:tc>
      </w:tr>
      <w:tr w:rsidR="00FD5D9C" w:rsidRPr="00953311" w14:paraId="5E9FF5BF" w14:textId="77777777">
        <w:trPr>
          <w:cantSplit/>
        </w:trPr>
        <w:tc>
          <w:tcPr>
            <w:tcW w:w="4045" w:type="dxa"/>
          </w:tcPr>
          <w:p w14:paraId="4F0D4EF9"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RRR for r</w:t>
            </w:r>
            <w:r w:rsidRPr="00953311">
              <w:rPr>
                <w:rFonts w:ascii="Arial Narrow" w:eastAsia="SimSun" w:hAnsi="Arial Narrow" w:cs="Times New Roman"/>
                <w:bCs/>
                <w:sz w:val="20"/>
                <w:szCs w:val="20"/>
              </w:rPr>
              <w:t xml:space="preserve">isedronate EC 41% for hip fracture and 46% for non-hip fracture </w:t>
            </w:r>
            <w:r w:rsidRPr="00953311">
              <w:rPr>
                <w:rFonts w:ascii="Arial Narrow" w:eastAsia="SimSun" w:hAnsi="Arial Narrow" w:cs="Times New Roman"/>
                <w:bCs/>
                <w:sz w:val="20"/>
                <w:szCs w:val="20"/>
              </w:rPr>
              <w:fldChar w:fldCharType="begin">
                <w:fldData xml:space="preserve">PEVuZE5vdGU+PENpdGU+PEF1dGhvcj5Cb29uZW48L0F1dGhvcj48WWVhcj4yMDEwPC9ZZWFyPjxS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</w:fldData>
              </w:fldChar>
            </w:r>
            <w:r w:rsidRPr="00953311">
              <w:rPr>
                <w:rFonts w:ascii="Arial Narrow" w:eastAsia="SimSun" w:hAnsi="Arial Narrow" w:cs="Times New Roman"/>
                <w:bCs/>
                <w:sz w:val="20"/>
                <w:szCs w:val="20"/>
              </w:rPr>
              <w:instrText xml:space="preserve"> ADDIN EN.CITE </w:instrText>
            </w:r>
            <w:r w:rsidRPr="00953311">
              <w:rPr>
                <w:rFonts w:ascii="Arial Narrow" w:eastAsia="SimSun" w:hAnsi="Arial Narrow" w:cs="Times New Roman"/>
                <w:bCs/>
                <w:sz w:val="20"/>
                <w:szCs w:val="20"/>
              </w:rPr>
              <w:fldChar w:fldCharType="begin">
                <w:fldData xml:space="preserve">PEVuZE5vdGU+PENpdGU+PEF1dGhvcj5Cb29uZW48L0F1dGhvcj48WWVhcj4yMDEwPC9ZZWFyPjxS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</w:fldData>
              </w:fldChar>
            </w:r>
            <w:r w:rsidRPr="00953311">
              <w:rPr>
                <w:rFonts w:ascii="Arial Narrow" w:eastAsia="SimSun" w:hAnsi="Arial Narrow" w:cs="Times New Roman"/>
                <w:bCs/>
                <w:sz w:val="20"/>
                <w:szCs w:val="20"/>
              </w:rPr>
              <w:instrText xml:space="preserve"> ADDIN EN.CITE.DATA </w:instrText>
            </w:r>
            <w:r w:rsidRPr="00953311">
              <w:rPr>
                <w:rFonts w:ascii="Arial Narrow" w:eastAsia="SimSun" w:hAnsi="Arial Narrow" w:cs="Times New Roman"/>
                <w:bCs/>
                <w:sz w:val="20"/>
                <w:szCs w:val="20"/>
              </w:rPr>
            </w:r>
            <w:r w:rsidRPr="00953311">
              <w:rPr>
                <w:rFonts w:ascii="Arial Narrow" w:eastAsia="SimSun" w:hAnsi="Arial Narrow" w:cs="Times New Roman"/>
                <w:bCs/>
                <w:sz w:val="20"/>
                <w:szCs w:val="20"/>
              </w:rPr>
              <w:fldChar w:fldCharType="end"/>
            </w:r>
            <w:r w:rsidRPr="00953311">
              <w:rPr>
                <w:rFonts w:ascii="Arial Narrow" w:eastAsia="SimSun" w:hAnsi="Arial Narrow" w:cs="Times New Roman"/>
                <w:bCs/>
                <w:sz w:val="20"/>
                <w:szCs w:val="20"/>
              </w:rPr>
            </w:r>
            <w:r w:rsidRPr="00953311">
              <w:rPr>
                <w:rFonts w:ascii="Arial Narrow" w:eastAsia="SimSun" w:hAnsi="Arial Narrow" w:cs="Times New Roman"/>
                <w:bCs/>
                <w:sz w:val="20"/>
                <w:szCs w:val="20"/>
              </w:rPr>
              <w:fldChar w:fldCharType="separate"/>
            </w:r>
            <w:r w:rsidRPr="00953311">
              <w:rPr>
                <w:rFonts w:ascii="Arial Narrow" w:eastAsia="SimSun" w:hAnsi="Arial Narrow" w:cs="Times New Roman"/>
                <w:bCs/>
                <w:noProof/>
                <w:sz w:val="20"/>
                <w:szCs w:val="20"/>
              </w:rPr>
              <w:t>(</w:t>
            </w:r>
            <w:hyperlink w:anchor="_ENREF_5" w:tooltip="Boonen, 2010 #36" w:history="1">
              <w:r w:rsidRPr="00953311">
                <w:rPr>
                  <w:rFonts w:ascii="Arial Narrow" w:eastAsia="SimSun" w:hAnsi="Arial Narrow" w:cs="Times New Roman"/>
                  <w:bCs/>
                  <w:noProof/>
                  <w:sz w:val="20"/>
                  <w:szCs w:val="20"/>
                </w:rPr>
                <w:t>Boonen et al., 2010</w:t>
              </w:r>
            </w:hyperlink>
            <w:r w:rsidRPr="00953311">
              <w:rPr>
                <w:rFonts w:ascii="Arial Narrow" w:eastAsia="SimSun" w:hAnsi="Arial Narrow" w:cs="Times New Roman"/>
                <w:bCs/>
                <w:noProof/>
                <w:sz w:val="20"/>
                <w:szCs w:val="20"/>
              </w:rPr>
              <w:t>)</w:t>
            </w:r>
            <w:r w:rsidRPr="00953311">
              <w:rPr>
                <w:rFonts w:ascii="Arial Narrow" w:eastAsia="SimSun" w:hAnsi="Arial Narrow" w:cs="Times New Roman"/>
                <w:bCs/>
                <w:sz w:val="20"/>
                <w:szCs w:val="20"/>
              </w:rPr>
              <w:fldChar w:fldCharType="end"/>
            </w:r>
          </w:p>
        </w:tc>
        <w:tc>
          <w:tcPr>
            <w:tcW w:w="1242" w:type="dxa"/>
            <w:vAlign w:val="center"/>
          </w:tcPr>
          <w:p w14:paraId="4C9B7A00"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$4,541</w:t>
            </w:r>
          </w:p>
        </w:tc>
        <w:tc>
          <w:tcPr>
            <w:tcW w:w="1243" w:type="dxa"/>
            <w:vAlign w:val="center"/>
          </w:tcPr>
          <w:p w14:paraId="03A44026"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0.0287</w:t>
            </w:r>
          </w:p>
        </w:tc>
        <w:tc>
          <w:tcPr>
            <w:tcW w:w="1243" w:type="dxa"/>
            <w:vAlign w:val="center"/>
          </w:tcPr>
          <w:p w14:paraId="4F3DA5B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$158,221</w:t>
            </w:r>
          </w:p>
        </w:tc>
        <w:tc>
          <w:tcPr>
            <w:tcW w:w="1243" w:type="dxa"/>
            <w:vAlign w:val="center"/>
          </w:tcPr>
          <w:p w14:paraId="0B0BCC0E"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+8.1%</w:t>
            </w:r>
          </w:p>
        </w:tc>
      </w:tr>
      <w:tr w:rsidR="00FD5D9C" w:rsidRPr="00953311" w14:paraId="0779D97F" w14:textId="77777777">
        <w:trPr>
          <w:cantSplit/>
        </w:trPr>
        <w:tc>
          <w:tcPr>
            <w:tcW w:w="4045" w:type="dxa"/>
          </w:tcPr>
          <w:p w14:paraId="39A39739"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 xml:space="preserve">RRR equivalent for risedronate EC and SC:  </w:t>
            </w:r>
            <w:r w:rsidRPr="00953311">
              <w:rPr>
                <w:rFonts w:ascii="Arial Narrow" w:eastAsia="SimSun" w:hAnsi="Arial Narrow" w:cs="Times New Roman"/>
                <w:bCs/>
                <w:sz w:val="20"/>
                <w:szCs w:val="20"/>
              </w:rPr>
              <w:t xml:space="preserve">41% for hip fracture and 46% for non-hip fracture </w:t>
            </w:r>
            <w:r w:rsidRPr="00953311">
              <w:rPr>
                <w:rFonts w:ascii="Arial Narrow" w:eastAsia="SimSun" w:hAnsi="Arial Narrow" w:cs="Times New Roman"/>
                <w:bCs/>
                <w:sz w:val="20"/>
                <w:szCs w:val="20"/>
              </w:rPr>
              <w:fldChar w:fldCharType="begin">
                <w:fldData xml:space="preserve">PEVuZE5vdGU+PENpdGU+PEF1dGhvcj5Cb29uZW48L0F1dGhvcj48WWVhcj4yMDEwPC9ZZWFyPjxS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</w:fldData>
              </w:fldChar>
            </w:r>
            <w:r w:rsidRPr="00953311">
              <w:rPr>
                <w:rFonts w:ascii="Arial Narrow" w:eastAsia="SimSun" w:hAnsi="Arial Narrow" w:cs="Times New Roman"/>
                <w:bCs/>
                <w:sz w:val="20"/>
                <w:szCs w:val="20"/>
              </w:rPr>
              <w:instrText xml:space="preserve"> ADDIN EN.CITE </w:instrText>
            </w:r>
            <w:r w:rsidRPr="00953311">
              <w:rPr>
                <w:rFonts w:ascii="Arial Narrow" w:eastAsia="SimSun" w:hAnsi="Arial Narrow" w:cs="Times New Roman"/>
                <w:bCs/>
                <w:sz w:val="20"/>
                <w:szCs w:val="20"/>
              </w:rPr>
              <w:fldChar w:fldCharType="begin">
                <w:fldData xml:space="preserve">PEVuZE5vdGU+PENpdGU+PEF1dGhvcj5Cb29uZW48L0F1dGhvcj48WWVhcj4yMDEwPC9ZZWFyPjxS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</w:fldData>
              </w:fldChar>
            </w:r>
            <w:r w:rsidRPr="00953311">
              <w:rPr>
                <w:rFonts w:ascii="Arial Narrow" w:eastAsia="SimSun" w:hAnsi="Arial Narrow" w:cs="Times New Roman"/>
                <w:bCs/>
                <w:sz w:val="20"/>
                <w:szCs w:val="20"/>
              </w:rPr>
              <w:instrText xml:space="preserve"> ADDIN EN.CITE.DATA </w:instrText>
            </w:r>
            <w:r w:rsidRPr="00953311">
              <w:rPr>
                <w:rFonts w:ascii="Arial Narrow" w:eastAsia="SimSun" w:hAnsi="Arial Narrow" w:cs="Times New Roman"/>
                <w:bCs/>
                <w:sz w:val="20"/>
                <w:szCs w:val="20"/>
              </w:rPr>
            </w:r>
            <w:r w:rsidRPr="00953311">
              <w:rPr>
                <w:rFonts w:ascii="Arial Narrow" w:eastAsia="SimSun" w:hAnsi="Arial Narrow" w:cs="Times New Roman"/>
                <w:bCs/>
                <w:sz w:val="20"/>
                <w:szCs w:val="20"/>
              </w:rPr>
              <w:fldChar w:fldCharType="end"/>
            </w:r>
            <w:r w:rsidRPr="00953311">
              <w:rPr>
                <w:rFonts w:ascii="Arial Narrow" w:eastAsia="SimSun" w:hAnsi="Arial Narrow" w:cs="Times New Roman"/>
                <w:bCs/>
                <w:sz w:val="20"/>
                <w:szCs w:val="20"/>
              </w:rPr>
            </w:r>
            <w:r w:rsidRPr="00953311">
              <w:rPr>
                <w:rFonts w:ascii="Arial Narrow" w:eastAsia="SimSun" w:hAnsi="Arial Narrow" w:cs="Times New Roman"/>
                <w:bCs/>
                <w:sz w:val="20"/>
                <w:szCs w:val="20"/>
              </w:rPr>
              <w:fldChar w:fldCharType="separate"/>
            </w:r>
            <w:r w:rsidRPr="00953311">
              <w:rPr>
                <w:rFonts w:ascii="Arial Narrow" w:eastAsia="SimSun" w:hAnsi="Arial Narrow" w:cs="Times New Roman"/>
                <w:bCs/>
                <w:noProof/>
                <w:sz w:val="20"/>
                <w:szCs w:val="20"/>
              </w:rPr>
              <w:t>(</w:t>
            </w:r>
            <w:hyperlink w:anchor="_ENREF_5" w:tooltip="Boonen, 2010 #36" w:history="1">
              <w:r w:rsidRPr="00953311">
                <w:rPr>
                  <w:rFonts w:ascii="Arial Narrow" w:eastAsia="SimSun" w:hAnsi="Arial Narrow" w:cs="Times New Roman"/>
                  <w:bCs/>
                  <w:noProof/>
                  <w:sz w:val="20"/>
                  <w:szCs w:val="20"/>
                </w:rPr>
                <w:t>Boonen et al., 2010</w:t>
              </w:r>
            </w:hyperlink>
            <w:r w:rsidRPr="00953311">
              <w:rPr>
                <w:rFonts w:ascii="Arial Narrow" w:eastAsia="SimSun" w:hAnsi="Arial Narrow" w:cs="Times New Roman"/>
                <w:bCs/>
                <w:noProof/>
                <w:sz w:val="20"/>
                <w:szCs w:val="20"/>
              </w:rPr>
              <w:t>)</w:t>
            </w:r>
            <w:r w:rsidRPr="00953311">
              <w:rPr>
                <w:rFonts w:ascii="Arial Narrow" w:eastAsia="SimSun" w:hAnsi="Arial Narrow" w:cs="Times New Roman"/>
                <w:bCs/>
                <w:sz w:val="20"/>
                <w:szCs w:val="20"/>
              </w:rPr>
              <w:fldChar w:fldCharType="end"/>
            </w:r>
          </w:p>
        </w:tc>
        <w:tc>
          <w:tcPr>
            <w:tcW w:w="1242" w:type="dxa"/>
            <w:vAlign w:val="center"/>
          </w:tcPr>
          <w:p w14:paraId="53ED42B1"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$4,518</w:t>
            </w:r>
          </w:p>
        </w:tc>
        <w:tc>
          <w:tcPr>
            <w:tcW w:w="1243" w:type="dxa"/>
            <w:vAlign w:val="center"/>
          </w:tcPr>
          <w:p w14:paraId="50246A19"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0.0292</w:t>
            </w:r>
          </w:p>
        </w:tc>
        <w:tc>
          <w:tcPr>
            <w:tcW w:w="1243" w:type="dxa"/>
            <w:vAlign w:val="center"/>
          </w:tcPr>
          <w:p w14:paraId="20072D35"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$154,808</w:t>
            </w:r>
          </w:p>
        </w:tc>
        <w:tc>
          <w:tcPr>
            <w:tcW w:w="1243" w:type="dxa"/>
            <w:vAlign w:val="center"/>
          </w:tcPr>
          <w:p w14:paraId="4E5E01DA"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+5.8%</w:t>
            </w:r>
          </w:p>
        </w:tc>
      </w:tr>
      <w:tr w:rsidR="00FD5D9C" w:rsidRPr="00953311" w14:paraId="66C38367" w14:textId="77777777">
        <w:trPr>
          <w:cantSplit/>
        </w:trPr>
        <w:tc>
          <w:tcPr>
            <w:tcW w:w="9016" w:type="dxa"/>
            <w:gridSpan w:val="5"/>
          </w:tcPr>
          <w:p w14:paraId="689993AF" w14:textId="77777777" w:rsidR="00FD5D9C" w:rsidRPr="00953311" w:rsidRDefault="00FD5D9C" w:rsidP="00FD5D9C">
            <w:pPr>
              <w:spacing w:after="0"/>
              <w:rPr>
                <w:rFonts w:ascii="Arial Narrow" w:eastAsia="SimSun" w:hAnsi="Arial Narrow" w:cs="Times New Roman"/>
                <w:b/>
                <w:sz w:val="20"/>
              </w:rPr>
            </w:pPr>
            <w:r w:rsidRPr="00953311">
              <w:rPr>
                <w:rFonts w:ascii="Arial Narrow" w:eastAsia="SimSun" w:hAnsi="Arial Narrow" w:cs="Times New Roman"/>
                <w:b/>
                <w:sz w:val="20"/>
              </w:rPr>
              <w:t>Fracture-related mortality multiplier (base case hip: 2.43, non-hip: 1.65; applied to all fracture states)</w:t>
            </w:r>
          </w:p>
        </w:tc>
      </w:tr>
      <w:tr w:rsidR="00FD5D9C" w:rsidRPr="00953311" w14:paraId="3CC1C919" w14:textId="77777777">
        <w:trPr>
          <w:cantSplit/>
        </w:trPr>
        <w:tc>
          <w:tcPr>
            <w:tcW w:w="4045" w:type="dxa"/>
          </w:tcPr>
          <w:p w14:paraId="7594F6A8"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 xml:space="preserve">Applied for </w:t>
            </w:r>
            <w:proofErr w:type="gramStart"/>
            <w:r w:rsidRPr="00953311">
              <w:rPr>
                <w:rFonts w:ascii="Arial Narrow" w:eastAsia="SimSun" w:hAnsi="Arial Narrow" w:cs="Times New Roman"/>
                <w:bCs/>
                <w:sz w:val="20"/>
              </w:rPr>
              <w:t>1 year</w:t>
            </w:r>
            <w:proofErr w:type="gramEnd"/>
            <w:r w:rsidRPr="00953311">
              <w:rPr>
                <w:rFonts w:ascii="Arial Narrow" w:eastAsia="SimSun" w:hAnsi="Arial Narrow" w:cs="Times New Roman"/>
                <w:bCs/>
                <w:sz w:val="20"/>
              </w:rPr>
              <w:t>, new fracture states only</w:t>
            </w:r>
          </w:p>
        </w:tc>
        <w:tc>
          <w:tcPr>
            <w:tcW w:w="1242" w:type="dxa"/>
            <w:vAlign w:val="center"/>
          </w:tcPr>
          <w:p w14:paraId="6EC78EFA"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$4,404</w:t>
            </w:r>
          </w:p>
        </w:tc>
        <w:tc>
          <w:tcPr>
            <w:tcW w:w="1243" w:type="dxa"/>
            <w:vAlign w:val="center"/>
          </w:tcPr>
          <w:p w14:paraId="78C50813"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0.0201</w:t>
            </w:r>
          </w:p>
        </w:tc>
        <w:tc>
          <w:tcPr>
            <w:tcW w:w="1243" w:type="dxa"/>
            <w:vAlign w:val="center"/>
          </w:tcPr>
          <w:p w14:paraId="39D3B976"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$219,389</w:t>
            </w:r>
          </w:p>
        </w:tc>
        <w:tc>
          <w:tcPr>
            <w:tcW w:w="1243" w:type="dxa"/>
            <w:vAlign w:val="center"/>
          </w:tcPr>
          <w:p w14:paraId="0A7EC7C0"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+49.9%</w:t>
            </w:r>
          </w:p>
        </w:tc>
      </w:tr>
      <w:tr w:rsidR="00FD5D9C" w:rsidRPr="00953311" w14:paraId="20FD534F" w14:textId="77777777">
        <w:trPr>
          <w:cantSplit/>
        </w:trPr>
        <w:tc>
          <w:tcPr>
            <w:tcW w:w="9016" w:type="dxa"/>
            <w:gridSpan w:val="5"/>
          </w:tcPr>
          <w:p w14:paraId="714C8E55" w14:textId="25280B69" w:rsidR="00FD5D9C" w:rsidRPr="00953311" w:rsidRDefault="00FD5D9C" w:rsidP="00FD5D9C">
            <w:pPr>
              <w:spacing w:after="0"/>
              <w:rPr>
                <w:rFonts w:ascii="Arial Narrow" w:eastAsia="SimSun" w:hAnsi="Arial Narrow" w:cs="Times New Roman"/>
                <w:b/>
                <w:sz w:val="20"/>
              </w:rPr>
            </w:pPr>
            <w:r w:rsidRPr="00953311">
              <w:rPr>
                <w:rFonts w:ascii="Arial Narrow" w:eastAsia="SimSun" w:hAnsi="Arial Narrow" w:cs="Times New Roman"/>
                <w:b/>
                <w:sz w:val="20"/>
              </w:rPr>
              <w:t xml:space="preserve">Drug costs (base case early initiation of risedronate EC versus delayed </w:t>
            </w:r>
            <w:r w:rsidR="00224428" w:rsidRPr="00953311">
              <w:rPr>
                <w:rFonts w:ascii="Arial Narrow" w:eastAsia="SimSun" w:hAnsi="Arial Narrow" w:cs="Times New Roman"/>
                <w:b/>
                <w:sz w:val="20"/>
              </w:rPr>
              <w:t xml:space="preserve">initiation of </w:t>
            </w:r>
            <w:r w:rsidRPr="00953311">
              <w:rPr>
                <w:rFonts w:ascii="Arial Narrow" w:eastAsia="SimSun" w:hAnsi="Arial Narrow" w:cs="Times New Roman"/>
                <w:b/>
                <w:sz w:val="20"/>
              </w:rPr>
              <w:t xml:space="preserve">standard care, based on </w:t>
            </w:r>
            <w:proofErr w:type="gramStart"/>
            <w:r w:rsidRPr="00953311">
              <w:rPr>
                <w:rFonts w:ascii="Arial Narrow" w:eastAsia="SimSun" w:hAnsi="Arial Narrow" w:cs="Times New Roman"/>
                <w:b/>
                <w:sz w:val="20"/>
              </w:rPr>
              <w:t>30 day</w:t>
            </w:r>
            <w:proofErr w:type="gramEnd"/>
            <w:r w:rsidRPr="00953311">
              <w:rPr>
                <w:rFonts w:ascii="Arial Narrow" w:eastAsia="SimSun" w:hAnsi="Arial Narrow" w:cs="Times New Roman"/>
                <w:b/>
                <w:sz w:val="20"/>
              </w:rPr>
              <w:t xml:space="preserve"> dispensing)</w:t>
            </w:r>
          </w:p>
        </w:tc>
      </w:tr>
      <w:tr w:rsidR="00FD5D9C" w:rsidRPr="00953311" w14:paraId="0E4B6577" w14:textId="77777777">
        <w:trPr>
          <w:cantSplit/>
        </w:trPr>
        <w:tc>
          <w:tcPr>
            <w:tcW w:w="4045" w:type="dxa"/>
          </w:tcPr>
          <w:p w14:paraId="3171BE10"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Assume 60 day dispensing of risedronate and alendronate</w:t>
            </w:r>
          </w:p>
        </w:tc>
        <w:tc>
          <w:tcPr>
            <w:tcW w:w="1242" w:type="dxa"/>
            <w:vAlign w:val="center"/>
          </w:tcPr>
          <w:p w14:paraId="739546C6"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$3,820</w:t>
            </w:r>
          </w:p>
        </w:tc>
        <w:tc>
          <w:tcPr>
            <w:tcW w:w="1243" w:type="dxa"/>
            <w:vAlign w:val="center"/>
          </w:tcPr>
          <w:p w14:paraId="40C90766"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0.0304</w:t>
            </w:r>
          </w:p>
        </w:tc>
        <w:tc>
          <w:tcPr>
            <w:tcW w:w="1243" w:type="dxa"/>
            <w:vAlign w:val="center"/>
          </w:tcPr>
          <w:p w14:paraId="7B2DBC6D"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$125,598</w:t>
            </w:r>
          </w:p>
        </w:tc>
        <w:tc>
          <w:tcPr>
            <w:tcW w:w="1243" w:type="dxa"/>
            <w:vAlign w:val="center"/>
          </w:tcPr>
          <w:p w14:paraId="24A2A2C7"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-14.2%</w:t>
            </w:r>
          </w:p>
        </w:tc>
      </w:tr>
      <w:tr w:rsidR="00FD5D9C" w:rsidRPr="00953311" w14:paraId="19CDCE6E" w14:textId="77777777">
        <w:trPr>
          <w:cantSplit/>
        </w:trPr>
        <w:tc>
          <w:tcPr>
            <w:tcW w:w="4045" w:type="dxa"/>
          </w:tcPr>
          <w:p w14:paraId="7D805068"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Assume alendronate cost for cost of risedronate EC (</w:t>
            </w:r>
            <w:proofErr w:type="gramStart"/>
            <w:r w:rsidRPr="00953311">
              <w:rPr>
                <w:rFonts w:ascii="Arial Narrow" w:eastAsia="SimSun" w:hAnsi="Arial Narrow" w:cs="Times New Roman"/>
                <w:bCs/>
                <w:sz w:val="20"/>
              </w:rPr>
              <w:t>30 day</w:t>
            </w:r>
            <w:proofErr w:type="gramEnd"/>
            <w:r w:rsidRPr="00953311">
              <w:rPr>
                <w:rFonts w:ascii="Arial Narrow" w:eastAsia="SimSun" w:hAnsi="Arial Narrow" w:cs="Times New Roman"/>
                <w:bCs/>
                <w:sz w:val="20"/>
              </w:rPr>
              <w:t xml:space="preserve"> dispensing)</w:t>
            </w:r>
          </w:p>
        </w:tc>
        <w:tc>
          <w:tcPr>
            <w:tcW w:w="1242" w:type="dxa"/>
            <w:vAlign w:val="center"/>
          </w:tcPr>
          <w:p w14:paraId="3E999F3E"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$2,786</w:t>
            </w:r>
          </w:p>
        </w:tc>
        <w:tc>
          <w:tcPr>
            <w:tcW w:w="1243" w:type="dxa"/>
            <w:vAlign w:val="center"/>
          </w:tcPr>
          <w:p w14:paraId="267ED1EF"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0.0304</w:t>
            </w:r>
          </w:p>
        </w:tc>
        <w:tc>
          <w:tcPr>
            <w:tcW w:w="1243" w:type="dxa"/>
            <w:vAlign w:val="center"/>
          </w:tcPr>
          <w:p w14:paraId="6A489171"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$91,596</w:t>
            </w:r>
          </w:p>
        </w:tc>
        <w:tc>
          <w:tcPr>
            <w:tcW w:w="1243" w:type="dxa"/>
            <w:vAlign w:val="center"/>
          </w:tcPr>
          <w:p w14:paraId="7D009129"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-37.4%</w:t>
            </w:r>
          </w:p>
        </w:tc>
      </w:tr>
      <w:tr w:rsidR="00FD5D9C" w:rsidRPr="00953311" w14:paraId="00719AF0" w14:textId="77777777">
        <w:trPr>
          <w:cantSplit/>
        </w:trPr>
        <w:tc>
          <w:tcPr>
            <w:tcW w:w="4045" w:type="dxa"/>
          </w:tcPr>
          <w:p w14:paraId="0775013F"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Assume alendronate cost for cost of risedronate EC (</w:t>
            </w:r>
            <w:proofErr w:type="gramStart"/>
            <w:r w:rsidRPr="00953311">
              <w:rPr>
                <w:rFonts w:ascii="Arial Narrow" w:eastAsia="SimSun" w:hAnsi="Arial Narrow" w:cs="Times New Roman"/>
                <w:bCs/>
                <w:sz w:val="20"/>
              </w:rPr>
              <w:t>60 day</w:t>
            </w:r>
            <w:proofErr w:type="gramEnd"/>
            <w:r w:rsidRPr="00953311">
              <w:rPr>
                <w:rFonts w:ascii="Arial Narrow" w:eastAsia="SimSun" w:hAnsi="Arial Narrow" w:cs="Times New Roman"/>
                <w:bCs/>
                <w:sz w:val="20"/>
              </w:rPr>
              <w:t xml:space="preserve"> dispensing)</w:t>
            </w:r>
          </w:p>
        </w:tc>
        <w:tc>
          <w:tcPr>
            <w:tcW w:w="1242" w:type="dxa"/>
            <w:vAlign w:val="center"/>
          </w:tcPr>
          <w:p w14:paraId="2EBD729A"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$2,155</w:t>
            </w:r>
          </w:p>
        </w:tc>
        <w:tc>
          <w:tcPr>
            <w:tcW w:w="1243" w:type="dxa"/>
            <w:vAlign w:val="center"/>
          </w:tcPr>
          <w:p w14:paraId="34E257EF"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0.0304</w:t>
            </w:r>
          </w:p>
        </w:tc>
        <w:tc>
          <w:tcPr>
            <w:tcW w:w="1243" w:type="dxa"/>
            <w:vAlign w:val="center"/>
          </w:tcPr>
          <w:p w14:paraId="6A544B6E"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$70,842</w:t>
            </w:r>
          </w:p>
        </w:tc>
        <w:tc>
          <w:tcPr>
            <w:tcW w:w="1243" w:type="dxa"/>
            <w:vAlign w:val="center"/>
          </w:tcPr>
          <w:p w14:paraId="3EDEB279"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-51.6%</w:t>
            </w:r>
          </w:p>
        </w:tc>
      </w:tr>
      <w:tr w:rsidR="00FD5D9C" w:rsidRPr="00953311" w14:paraId="4FC95BE6" w14:textId="77777777">
        <w:trPr>
          <w:cantSplit/>
        </w:trPr>
        <w:tc>
          <w:tcPr>
            <w:tcW w:w="9016" w:type="dxa"/>
            <w:gridSpan w:val="5"/>
          </w:tcPr>
          <w:p w14:paraId="21518789"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
                <w:sz w:val="20"/>
              </w:rPr>
              <w:t xml:space="preserve">Persistence (base case: perfect persistence to risedronate EC and delayed SC over the </w:t>
            </w:r>
            <w:proofErr w:type="gramStart"/>
            <w:r w:rsidRPr="00953311">
              <w:rPr>
                <w:rFonts w:ascii="Arial Narrow" w:eastAsia="SimSun" w:hAnsi="Arial Narrow" w:cs="Times New Roman"/>
                <w:b/>
                <w:sz w:val="20"/>
              </w:rPr>
              <w:t>20 year</w:t>
            </w:r>
            <w:proofErr w:type="gramEnd"/>
            <w:r w:rsidRPr="00953311">
              <w:rPr>
                <w:rFonts w:ascii="Arial Narrow" w:eastAsia="SimSun" w:hAnsi="Arial Narrow" w:cs="Times New Roman"/>
                <w:b/>
                <w:sz w:val="20"/>
              </w:rPr>
              <w:t xml:space="preserve"> time horizon)</w:t>
            </w:r>
          </w:p>
        </w:tc>
      </w:tr>
      <w:tr w:rsidR="00FD5D9C" w:rsidRPr="00953311" w14:paraId="17F02B58" w14:textId="77777777">
        <w:trPr>
          <w:cantSplit/>
        </w:trPr>
        <w:tc>
          <w:tcPr>
            <w:tcW w:w="4045" w:type="dxa"/>
          </w:tcPr>
          <w:p w14:paraId="7AD776AE"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Persistence assuming patients initiate osteoporosis treatment once in a lifetime</w:t>
            </w:r>
          </w:p>
        </w:tc>
        <w:tc>
          <w:tcPr>
            <w:tcW w:w="1242" w:type="dxa"/>
            <w:vAlign w:val="center"/>
          </w:tcPr>
          <w:p w14:paraId="36F0FDED"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$4,609</w:t>
            </w:r>
          </w:p>
        </w:tc>
        <w:tc>
          <w:tcPr>
            <w:tcW w:w="1243" w:type="dxa"/>
            <w:vAlign w:val="center"/>
          </w:tcPr>
          <w:p w14:paraId="564A4BB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-0.0139</w:t>
            </w:r>
          </w:p>
        </w:tc>
        <w:tc>
          <w:tcPr>
            <w:tcW w:w="1243" w:type="dxa"/>
            <w:vAlign w:val="center"/>
          </w:tcPr>
          <w:p w14:paraId="7B482E94"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Risedronate EC dominated</w:t>
            </w:r>
          </w:p>
        </w:tc>
        <w:tc>
          <w:tcPr>
            <w:tcW w:w="1243" w:type="dxa"/>
            <w:vAlign w:val="center"/>
          </w:tcPr>
          <w:p w14:paraId="1B2FE851"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w:t>
            </w:r>
          </w:p>
        </w:tc>
      </w:tr>
      <w:tr w:rsidR="00FD5D9C" w:rsidRPr="00953311" w14:paraId="7E6C1089" w14:textId="77777777">
        <w:trPr>
          <w:cantSplit/>
        </w:trPr>
        <w:tc>
          <w:tcPr>
            <w:tcW w:w="4045" w:type="dxa"/>
          </w:tcPr>
          <w:p w14:paraId="73BB801E"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Persistence assuming patients may initiate osteoporosis treatment more than once in a lifetime</w:t>
            </w:r>
          </w:p>
        </w:tc>
        <w:tc>
          <w:tcPr>
            <w:tcW w:w="1242" w:type="dxa"/>
            <w:vAlign w:val="center"/>
          </w:tcPr>
          <w:p w14:paraId="7B2F0517"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$3,964</w:t>
            </w:r>
          </w:p>
        </w:tc>
        <w:tc>
          <w:tcPr>
            <w:tcW w:w="1243" w:type="dxa"/>
            <w:vAlign w:val="center"/>
          </w:tcPr>
          <w:p w14:paraId="55E34FD8"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0.0082</w:t>
            </w:r>
          </w:p>
        </w:tc>
        <w:tc>
          <w:tcPr>
            <w:tcW w:w="1243" w:type="dxa"/>
            <w:vAlign w:val="center"/>
          </w:tcPr>
          <w:p w14:paraId="0C7B017D"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$483,223</w:t>
            </w:r>
          </w:p>
        </w:tc>
        <w:tc>
          <w:tcPr>
            <w:tcW w:w="1243" w:type="dxa"/>
            <w:vAlign w:val="center"/>
          </w:tcPr>
          <w:p w14:paraId="65F4E117"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+230.1%</w:t>
            </w:r>
          </w:p>
        </w:tc>
      </w:tr>
      <w:tr w:rsidR="00FD5D9C" w:rsidRPr="00953311" w14:paraId="68B4386A" w14:textId="77777777">
        <w:trPr>
          <w:cantSplit/>
        </w:trPr>
        <w:tc>
          <w:tcPr>
            <w:tcW w:w="9016" w:type="dxa"/>
            <w:gridSpan w:val="5"/>
          </w:tcPr>
          <w:p w14:paraId="12C3482A" w14:textId="77777777" w:rsidR="00FD5D9C" w:rsidRPr="00953311" w:rsidRDefault="00FD5D9C" w:rsidP="00FD5D9C">
            <w:pPr>
              <w:spacing w:after="0"/>
              <w:rPr>
                <w:rFonts w:ascii="Arial Narrow" w:eastAsia="SimSun" w:hAnsi="Arial Narrow" w:cs="Times New Roman"/>
                <w:b/>
                <w:sz w:val="20"/>
              </w:rPr>
            </w:pPr>
            <w:r w:rsidRPr="00953311">
              <w:rPr>
                <w:rFonts w:ascii="Arial Narrow" w:eastAsia="SimSun" w:hAnsi="Arial Narrow" w:cs="Times New Roman"/>
                <w:b/>
                <w:sz w:val="20"/>
              </w:rPr>
              <w:t xml:space="preserve">Treatment switch to SC (base case risedronate arm: patients with fracture switch to SC, delayed SC arm: patients who reach age 70 years or fracture switch to SC) </w:t>
            </w:r>
          </w:p>
        </w:tc>
      </w:tr>
      <w:tr w:rsidR="00FD5D9C" w:rsidRPr="00953311" w14:paraId="2BB0B50F" w14:textId="77777777">
        <w:trPr>
          <w:cantSplit/>
        </w:trPr>
        <w:tc>
          <w:tcPr>
            <w:tcW w:w="4045" w:type="dxa"/>
          </w:tcPr>
          <w:p w14:paraId="64E52D72"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 xml:space="preserve">Patients without fracture in both arms switch to SC at age 70 </w:t>
            </w:r>
            <w:proofErr w:type="spellStart"/>
            <w:r w:rsidRPr="00953311">
              <w:rPr>
                <w:rFonts w:ascii="Arial Narrow" w:eastAsia="SimSun" w:hAnsi="Arial Narrow" w:cs="Times New Roman"/>
                <w:bCs/>
                <w:sz w:val="20"/>
              </w:rPr>
              <w:t>years</w:t>
            </w:r>
            <w:r w:rsidRPr="00953311">
              <w:rPr>
                <w:rFonts w:ascii="Arial Narrow" w:eastAsia="SimSun" w:hAnsi="Arial Narrow" w:cs="Times New Roman"/>
                <w:bCs/>
                <w:sz w:val="20"/>
                <w:vertAlign w:val="superscript"/>
              </w:rPr>
              <w:t>a</w:t>
            </w:r>
            <w:proofErr w:type="spellEnd"/>
          </w:p>
        </w:tc>
        <w:tc>
          <w:tcPr>
            <w:tcW w:w="1242" w:type="dxa"/>
            <w:vAlign w:val="center"/>
          </w:tcPr>
          <w:p w14:paraId="470D60AE"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$5,313</w:t>
            </w:r>
          </w:p>
        </w:tc>
        <w:tc>
          <w:tcPr>
            <w:tcW w:w="1243" w:type="dxa"/>
            <w:vAlign w:val="center"/>
          </w:tcPr>
          <w:p w14:paraId="6742CD1F"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0.0304</w:t>
            </w:r>
          </w:p>
        </w:tc>
        <w:tc>
          <w:tcPr>
            <w:tcW w:w="1243" w:type="dxa"/>
            <w:vAlign w:val="center"/>
          </w:tcPr>
          <w:p w14:paraId="08C41D45"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$174,677</w:t>
            </w:r>
          </w:p>
        </w:tc>
        <w:tc>
          <w:tcPr>
            <w:tcW w:w="1243" w:type="dxa"/>
            <w:vAlign w:val="center"/>
          </w:tcPr>
          <w:p w14:paraId="66A38EF8"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+19.3%</w:t>
            </w:r>
          </w:p>
        </w:tc>
      </w:tr>
      <w:tr w:rsidR="00FD5D9C" w:rsidRPr="00953311" w14:paraId="790598F1" w14:textId="77777777">
        <w:trPr>
          <w:cantSplit/>
        </w:trPr>
        <w:tc>
          <w:tcPr>
            <w:tcW w:w="9016" w:type="dxa"/>
            <w:gridSpan w:val="5"/>
          </w:tcPr>
          <w:p w14:paraId="351EC8AE" w14:textId="77777777" w:rsidR="00FD5D9C" w:rsidRPr="00953311" w:rsidRDefault="00FD5D9C" w:rsidP="00FD5D9C">
            <w:pPr>
              <w:spacing w:after="0"/>
              <w:rPr>
                <w:rFonts w:ascii="Arial Narrow" w:eastAsia="SimSun" w:hAnsi="Arial Narrow" w:cs="Times New Roman"/>
                <w:bCs/>
                <w:sz w:val="20"/>
              </w:rPr>
            </w:pPr>
            <w:r w:rsidRPr="00953311">
              <w:rPr>
                <w:rFonts w:ascii="Arial Narrow" w:hAnsi="Arial Narrow" w:cs="Times New Roman"/>
                <w:b/>
                <w:sz w:val="20"/>
                <w:szCs w:val="20"/>
              </w:rPr>
              <w:t>First year fracture costs (base case hip fracture: $41,626, non-hip fracture: $11,170)</w:t>
            </w:r>
          </w:p>
        </w:tc>
      </w:tr>
      <w:tr w:rsidR="00FD5D9C" w:rsidRPr="00953311" w14:paraId="5FB2DD49" w14:textId="77777777">
        <w:trPr>
          <w:cantSplit/>
        </w:trPr>
        <w:tc>
          <w:tcPr>
            <w:tcW w:w="4045" w:type="dxa"/>
          </w:tcPr>
          <w:p w14:paraId="66C95EAB"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Proposed by the ESC of PBAC (40% reduction in new hip and non-hip fracture costs)</w:t>
            </w:r>
          </w:p>
        </w:tc>
        <w:tc>
          <w:tcPr>
            <w:tcW w:w="1242" w:type="dxa"/>
            <w:vAlign w:val="center"/>
          </w:tcPr>
          <w:p w14:paraId="5641AF8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$4,657</w:t>
            </w:r>
          </w:p>
        </w:tc>
        <w:tc>
          <w:tcPr>
            <w:tcW w:w="1243" w:type="dxa"/>
            <w:vAlign w:val="center"/>
          </w:tcPr>
          <w:p w14:paraId="30F85724"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0.0304</w:t>
            </w:r>
          </w:p>
        </w:tc>
        <w:tc>
          <w:tcPr>
            <w:tcW w:w="1243" w:type="dxa"/>
            <w:vAlign w:val="center"/>
          </w:tcPr>
          <w:p w14:paraId="4233CC48"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$153,099</w:t>
            </w:r>
          </w:p>
        </w:tc>
        <w:tc>
          <w:tcPr>
            <w:tcW w:w="1243" w:type="dxa"/>
            <w:vAlign w:val="center"/>
          </w:tcPr>
          <w:p w14:paraId="5830B594"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+4.6%</w:t>
            </w:r>
          </w:p>
        </w:tc>
      </w:tr>
      <w:tr w:rsidR="00FD5D9C" w:rsidRPr="00953311" w14:paraId="39790A37" w14:textId="77777777">
        <w:trPr>
          <w:cantSplit/>
        </w:trPr>
        <w:tc>
          <w:tcPr>
            <w:tcW w:w="4045" w:type="dxa"/>
          </w:tcPr>
          <w:p w14:paraId="6BE01049" w14:textId="77777777" w:rsidR="00FD5D9C" w:rsidRPr="00953311" w:rsidRDefault="00FD5D9C" w:rsidP="00FD5D9C">
            <w:pPr>
              <w:spacing w:after="0"/>
              <w:rPr>
                <w:rFonts w:ascii="Arial Narrow" w:eastAsia="SimSun" w:hAnsi="Arial Narrow" w:cs="Times New Roman"/>
                <w:bCs/>
                <w:sz w:val="20"/>
              </w:rPr>
            </w:pPr>
            <w:r w:rsidRPr="00953311">
              <w:rPr>
                <w:rFonts w:ascii="Arial Narrow" w:eastAsia="SimSun" w:hAnsi="Arial Narrow" w:cs="Times New Roman"/>
                <w:bCs/>
                <w:sz w:val="20"/>
              </w:rPr>
              <w:t>Proposed by sponsor in Pre-PBAC Response (6% reduction in new hip and non-hip fracture costs)</w:t>
            </w:r>
          </w:p>
        </w:tc>
        <w:tc>
          <w:tcPr>
            <w:tcW w:w="1242" w:type="dxa"/>
            <w:vAlign w:val="center"/>
          </w:tcPr>
          <w:p w14:paraId="0DDDA766"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$4,483</w:t>
            </w:r>
          </w:p>
        </w:tc>
        <w:tc>
          <w:tcPr>
            <w:tcW w:w="1243" w:type="dxa"/>
            <w:vAlign w:val="center"/>
          </w:tcPr>
          <w:p w14:paraId="0B6BB6AB"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0.0304</w:t>
            </w:r>
          </w:p>
        </w:tc>
        <w:tc>
          <w:tcPr>
            <w:tcW w:w="1243" w:type="dxa"/>
            <w:vAlign w:val="center"/>
          </w:tcPr>
          <w:p w14:paraId="3E4B83F4"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$147,392</w:t>
            </w:r>
          </w:p>
        </w:tc>
        <w:tc>
          <w:tcPr>
            <w:tcW w:w="1243" w:type="dxa"/>
            <w:vAlign w:val="center"/>
          </w:tcPr>
          <w:p w14:paraId="72120C91" w14:textId="77777777" w:rsidR="00FD5D9C" w:rsidRPr="00953311" w:rsidRDefault="00FD5D9C" w:rsidP="00FD5D9C">
            <w:pPr>
              <w:spacing w:after="0"/>
              <w:jc w:val="center"/>
              <w:rPr>
                <w:rFonts w:ascii="Arial Narrow" w:eastAsia="SimSun" w:hAnsi="Arial Narrow" w:cs="Times New Roman"/>
                <w:bCs/>
                <w:sz w:val="20"/>
              </w:rPr>
            </w:pPr>
            <w:r w:rsidRPr="00953311">
              <w:rPr>
                <w:rFonts w:ascii="Arial Narrow" w:eastAsia="SimSun" w:hAnsi="Arial Narrow" w:cs="Times New Roman"/>
                <w:bCs/>
                <w:sz w:val="20"/>
              </w:rPr>
              <w:t>+0.7%</w:t>
            </w:r>
          </w:p>
        </w:tc>
      </w:tr>
    </w:tbl>
    <w:p w14:paraId="7389BD6A" w14:textId="77777777" w:rsidR="00FD5D9C" w:rsidRPr="00953311" w:rsidRDefault="00FD5D9C" w:rsidP="00FD5D9C">
      <w:pPr>
        <w:spacing w:after="120"/>
        <w:contextualSpacing/>
        <w:jc w:val="both"/>
        <w:rPr>
          <w:rFonts w:ascii="Arial Narrow" w:eastAsia="Times New Roman" w:hAnsi="Arial Narrow" w:cs="Arial"/>
          <w:snapToGrid w:val="0"/>
          <w:sz w:val="18"/>
          <w:lang w:eastAsia="en-AU"/>
        </w:rPr>
      </w:pPr>
      <w:r w:rsidRPr="00953311">
        <w:rPr>
          <w:rFonts w:ascii="Arial Narrow" w:eastAsia="Times New Roman" w:hAnsi="Arial Narrow" w:cs="Arial"/>
          <w:snapToGrid w:val="0"/>
          <w:sz w:val="18"/>
          <w:lang w:eastAsia="en-AU"/>
        </w:rPr>
        <w:lastRenderedPageBreak/>
        <w:t>Abbreviations: EC, enteric coated; ICER, incremental cost effectiveness ratio; QALY, quality adjusted life year; RRR, relative risk reduction; SC, standard care</w:t>
      </w:r>
    </w:p>
    <w:p w14:paraId="5DB344BF" w14:textId="4208ED05" w:rsidR="00A33F78" w:rsidRDefault="00FD5D9C" w:rsidP="00E87379">
      <w:pPr>
        <w:spacing w:after="120"/>
        <w:contextualSpacing/>
        <w:jc w:val="both"/>
      </w:pPr>
      <w:proofErr w:type="spellStart"/>
      <w:r w:rsidRPr="00953311">
        <w:rPr>
          <w:rFonts w:ascii="Arial Narrow" w:eastAsia="Times New Roman" w:hAnsi="Arial Narrow" w:cs="Arial"/>
          <w:snapToGrid w:val="0"/>
          <w:sz w:val="18"/>
          <w:vertAlign w:val="superscript"/>
          <w:lang w:eastAsia="en-AU"/>
        </w:rPr>
        <w:t>a</w:t>
      </w:r>
      <w:proofErr w:type="spellEnd"/>
      <w:r w:rsidRPr="00953311">
        <w:rPr>
          <w:rFonts w:ascii="Arial Narrow" w:eastAsia="Times New Roman" w:hAnsi="Arial Narrow" w:cs="Arial"/>
          <w:snapToGrid w:val="0"/>
          <w:sz w:val="18"/>
          <w:vertAlign w:val="superscript"/>
          <w:lang w:eastAsia="en-AU"/>
        </w:rPr>
        <w:t xml:space="preserve"> </w:t>
      </w:r>
      <w:r w:rsidRPr="00953311">
        <w:rPr>
          <w:rFonts w:ascii="Arial Narrow" w:eastAsia="Times New Roman" w:hAnsi="Arial Narrow" w:cs="Arial"/>
          <w:snapToGrid w:val="0"/>
          <w:sz w:val="18"/>
          <w:lang w:eastAsia="en-AU"/>
        </w:rPr>
        <w:t>This sensitivity analysis only affects costs, as treatment effects for the risedronate EC arm are based on SC treatment effects from age 70 years in the model base case.</w:t>
      </w:r>
    </w:p>
    <w:p w14:paraId="71CEBAA9" w14:textId="39250EBD" w:rsidR="006C6968" w:rsidRPr="00E87379" w:rsidRDefault="006C6968" w:rsidP="00CF0EB1">
      <w:pPr>
        <w:keepNext/>
        <w:keepLines/>
        <w:spacing w:before="40" w:after="0"/>
        <w:outlineLvl w:val="3"/>
        <w:rPr>
          <w:rFonts w:ascii="Franklin Gothic Book" w:eastAsia="Times New Roman" w:hAnsi="Franklin Gothic Book" w:cs="Calibri"/>
          <w:b/>
        </w:rPr>
      </w:pPr>
      <w:r w:rsidRPr="00E87379">
        <w:rPr>
          <w:rFonts w:ascii="Franklin Gothic Book" w:eastAsia="Times New Roman" w:hAnsi="Franklin Gothic Book" w:cs="Calibri"/>
          <w:b/>
        </w:rPr>
        <w:t>Addendum</w:t>
      </w:r>
    </w:p>
    <w:p w14:paraId="4421B9B7" w14:textId="6519B8FD" w:rsidR="00E07951" w:rsidRPr="00E87379" w:rsidRDefault="00E07951" w:rsidP="00E07951">
      <w:pPr>
        <w:spacing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 xml:space="preserve">The MSAC ESC also requested additional analyses presenting results for cost-effectiveness and financial impact, based on 5 different age range/repeat testing scenarios for the base case as well as sensitivity analyses for the economic evaluation using a </w:t>
      </w:r>
      <w:proofErr w:type="gramStart"/>
      <w:r w:rsidRPr="00E87379">
        <w:rPr>
          <w:rFonts w:ascii="Franklin Gothic Book" w:eastAsia="Times New Roman" w:hAnsi="Franklin Gothic Book" w:cstheme="minorHAnsi"/>
          <w:lang w:eastAsia="en-AU"/>
        </w:rPr>
        <w:t>10 year</w:t>
      </w:r>
      <w:proofErr w:type="gramEnd"/>
      <w:r w:rsidRPr="00E87379">
        <w:rPr>
          <w:rFonts w:ascii="Franklin Gothic Book" w:eastAsia="Times New Roman" w:hAnsi="Franklin Gothic Book" w:cstheme="minorHAnsi"/>
          <w:lang w:eastAsia="en-AU"/>
        </w:rPr>
        <w:t xml:space="preserve"> time horizon and/or imperfect persistence. Imperfect persistence scenarios were conducted assuming patients who discontinue treatment would reinitiate treatment (using standard care) if they experienced a fracture or in the absence of </w:t>
      </w:r>
      <w:proofErr w:type="gramStart"/>
      <w:r w:rsidRPr="00E87379">
        <w:rPr>
          <w:rFonts w:ascii="Franklin Gothic Book" w:eastAsia="Times New Roman" w:hAnsi="Franklin Gothic Book" w:cstheme="minorHAnsi"/>
          <w:lang w:eastAsia="en-AU"/>
        </w:rPr>
        <w:t>fracture, once</w:t>
      </w:r>
      <w:proofErr w:type="gramEnd"/>
      <w:r w:rsidRPr="00E87379">
        <w:rPr>
          <w:rFonts w:ascii="Franklin Gothic Book" w:eastAsia="Times New Roman" w:hAnsi="Franklin Gothic Book" w:cstheme="minorHAnsi"/>
          <w:lang w:eastAsia="en-AU"/>
        </w:rPr>
        <w:t xml:space="preserve"> they reached age 70 years.</w:t>
      </w:r>
    </w:p>
    <w:p w14:paraId="5C3F60B4" w14:textId="20468D2F" w:rsidR="00E07951" w:rsidRPr="00E87379" w:rsidRDefault="00E07951" w:rsidP="00E87379">
      <w:pPr>
        <w:spacing w:before="240"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Treatment persistence estimates were derived from median durations of therapy from the DUSC review of denosumab, October 2020 report. Due to the existing model structure, persistence estimates were applied to transitions from the no fracture state only, with perfect persistence assumed for transitions from the new/prior fracture health states due to the inability to track when the fracture occurred to apply varying persistence estimates. It was assumed that there were no residual treatment effects following treatment discontinuation.</w:t>
      </w:r>
    </w:p>
    <w:p w14:paraId="3C2DD154" w14:textId="2BBC0C53" w:rsidR="00E07951" w:rsidRPr="00E87379" w:rsidRDefault="00E07951" w:rsidP="00E87379">
      <w:pPr>
        <w:spacing w:before="240"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The economic evaluation was updated using current PBS prices (April 2024 PBS Schedule). The financial estimates were updated using current PBS prices (April 2024 PBS Schedule), updated PBS copayments (January 2024) and copayment distribution data from January 2023 to December 2023 allowing for a full year of data based on the introduction of the lower $30 general copayment in January 2023.</w:t>
      </w:r>
    </w:p>
    <w:p w14:paraId="38EB6403" w14:textId="46C4B336" w:rsidR="00E07951" w:rsidRPr="00E87379" w:rsidRDefault="00E07951" w:rsidP="00E87379">
      <w:pPr>
        <w:spacing w:before="240"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Separate analyses were conducted based on 30- and 60-day dispensing items. Average patient copayments for 60-day dispensing items were based on 30-day dispensing data given limited PBS utilisation data for 60-day dispensing items (introduced from September 2023).</w:t>
      </w:r>
    </w:p>
    <w:p w14:paraId="396898B0" w14:textId="77777777" w:rsidR="00E07951" w:rsidRPr="00E87379" w:rsidRDefault="00E07951" w:rsidP="00E87379">
      <w:pPr>
        <w:spacing w:before="240"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The above analyses were conducted for the main analyses based on risedronate EC and then repeated, based on risedronate EC circumstances of use, for:</w:t>
      </w:r>
    </w:p>
    <w:p w14:paraId="7CB66A5B" w14:textId="77777777" w:rsidR="00E07951" w:rsidRPr="00E87379" w:rsidRDefault="00E07951" w:rsidP="00E07951">
      <w:pPr>
        <w:numPr>
          <w:ilvl w:val="0"/>
          <w:numId w:val="15"/>
        </w:numPr>
        <w:spacing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risedronate 5 mg daily</w:t>
      </w:r>
    </w:p>
    <w:p w14:paraId="7D1B1DC4" w14:textId="77777777" w:rsidR="00E07951" w:rsidRPr="00E87379" w:rsidRDefault="00E07951" w:rsidP="00E07951">
      <w:pPr>
        <w:numPr>
          <w:ilvl w:val="0"/>
          <w:numId w:val="15"/>
        </w:numPr>
        <w:spacing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risedronate 150 mg monthly</w:t>
      </w:r>
    </w:p>
    <w:p w14:paraId="1451DA06" w14:textId="77777777" w:rsidR="00E07951" w:rsidRPr="00E87379" w:rsidRDefault="00E07951" w:rsidP="00E07951">
      <w:pPr>
        <w:numPr>
          <w:ilvl w:val="0"/>
          <w:numId w:val="15"/>
        </w:numPr>
        <w:spacing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alendronate 70 mg weekly</w:t>
      </w:r>
    </w:p>
    <w:p w14:paraId="7B844364" w14:textId="74C7286F" w:rsidR="00E07951" w:rsidRPr="00E87379" w:rsidRDefault="00E07951" w:rsidP="00E07951">
      <w:pPr>
        <w:numPr>
          <w:ilvl w:val="0"/>
          <w:numId w:val="15"/>
        </w:numPr>
        <w:spacing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zoledronic acid 5 mg injection yearly</w:t>
      </w:r>
    </w:p>
    <w:p w14:paraId="39CBC98B" w14:textId="2BF61DFE" w:rsidR="00E07951" w:rsidRPr="00E87379" w:rsidRDefault="00E07951" w:rsidP="00E87379">
      <w:pPr>
        <w:spacing w:before="240"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The cost-effectiveness and financial impact of risedronate 35 mg weekly (non-enteric coated formulation) were assumed to be the same as estimated for the main analyses based on risedronate EC weekly as both listings had the same price as of April 2024.</w:t>
      </w:r>
    </w:p>
    <w:p w14:paraId="41D4B8CF" w14:textId="00FBDAE3" w:rsidR="00E07951" w:rsidRPr="00E87379" w:rsidRDefault="00E07951" w:rsidP="00E87379">
      <w:pPr>
        <w:spacing w:before="240"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Results for the various analyses are presented in the tables below.</w:t>
      </w:r>
    </w:p>
    <w:p w14:paraId="18C2C6C7" w14:textId="15F9BF97" w:rsidR="00E07951" w:rsidRPr="00DE0E06" w:rsidRDefault="00E07951" w:rsidP="00745006">
      <w:pPr>
        <w:pStyle w:val="COMtablefigcaption"/>
      </w:pPr>
      <w:bookmarkStart w:id="31" w:name="_Ref167806741"/>
      <w:r w:rsidRPr="00DE0E06">
        <w:lastRenderedPageBreak/>
        <w:t xml:space="preserve">Table </w:t>
      </w:r>
      <w:r>
        <w:fldChar w:fldCharType="begin"/>
      </w:r>
      <w:r>
        <w:instrText xml:space="preserve"> SEQ Table \* ARABIC </w:instrText>
      </w:r>
      <w:r>
        <w:fldChar w:fldCharType="separate"/>
      </w:r>
      <w:r w:rsidR="00090261">
        <w:rPr>
          <w:noProof/>
        </w:rPr>
        <w:t>12</w:t>
      </w:r>
      <w:r>
        <w:rPr>
          <w:noProof/>
        </w:rPr>
        <w:fldChar w:fldCharType="end"/>
      </w:r>
      <w:bookmarkEnd w:id="31"/>
      <w:r w:rsidRPr="00DE0E06">
        <w:t xml:space="preserve"> Risedronate EC 35 mg weekly (also applies to risedronate 35 mg weekly)</w:t>
      </w:r>
      <w:r w:rsidR="00BD52CF">
        <w:t xml:space="preserve">; </w:t>
      </w:r>
      <w:r w:rsidR="00BD52CF" w:rsidRPr="00C81B63">
        <w:rPr>
          <w:shd w:val="clear" w:color="auto" w:fill="D9D9D9" w:themeFill="background1" w:themeFillShade="D9"/>
        </w:rPr>
        <w:t>Shaded</w:t>
      </w:r>
      <w:r w:rsidR="00BD52CF">
        <w:t xml:space="preserve"> represents ESCs </w:t>
      </w:r>
      <w:r w:rsidR="00CE1051">
        <w:t xml:space="preserve">respecified </w:t>
      </w:r>
      <w:r w:rsidR="00420AC6">
        <w:t xml:space="preserve">base </w:t>
      </w:r>
      <w:proofErr w:type="gramStart"/>
      <w:r w:rsidR="00420AC6">
        <w:t>case</w:t>
      </w:r>
      <w:proofErr w:type="gramEnd"/>
      <w:r w:rsidR="00E82069">
        <w:t xml:space="preserve"> </w:t>
      </w:r>
    </w:p>
    <w:tbl>
      <w:tblPr>
        <w:tblStyle w:val="newstyle1"/>
        <w:tblW w:w="5000" w:type="pct"/>
        <w:tblCellMar>
          <w:left w:w="28" w:type="dxa"/>
          <w:right w:w="28" w:type="dxa"/>
        </w:tblCellMar>
        <w:tblLook w:val="04A0" w:firstRow="1" w:lastRow="0" w:firstColumn="1" w:lastColumn="0" w:noHBand="0" w:noVBand="1"/>
      </w:tblPr>
      <w:tblGrid>
        <w:gridCol w:w="604"/>
        <w:gridCol w:w="693"/>
        <w:gridCol w:w="693"/>
        <w:gridCol w:w="1121"/>
        <w:gridCol w:w="819"/>
        <w:gridCol w:w="816"/>
        <w:gridCol w:w="1027"/>
        <w:gridCol w:w="1031"/>
        <w:gridCol w:w="1111"/>
        <w:gridCol w:w="1101"/>
      </w:tblGrid>
      <w:tr w:rsidR="00E07951" w:rsidRPr="00DE0E06" w14:paraId="7521865A" w14:textId="77777777" w:rsidTr="001B1DFD">
        <w:tc>
          <w:tcPr>
            <w:tcW w:w="2015" w:type="dxa"/>
            <w:gridSpan w:val="3"/>
            <w:vAlign w:val="center"/>
          </w:tcPr>
          <w:p w14:paraId="03507126" w14:textId="77777777" w:rsidR="00E07951" w:rsidRPr="00DE0E06" w:rsidRDefault="00E07951" w:rsidP="001B1DFD">
            <w:pPr>
              <w:keepNext/>
              <w:keepLines/>
              <w:spacing w:after="0"/>
              <w:jc w:val="both"/>
              <w:rPr>
                <w:rFonts w:ascii="Arial Narrow" w:hAnsi="Arial Narrow" w:cs="Arial"/>
                <w:b/>
                <w:bCs/>
              </w:rPr>
            </w:pPr>
            <w:r w:rsidRPr="00DE0E06">
              <w:rPr>
                <w:rFonts w:ascii="Arial Narrow" w:hAnsi="Arial Narrow" w:cs="Arial"/>
                <w:b/>
                <w:bCs/>
              </w:rPr>
              <w:t>Possible testing scenario</w:t>
            </w:r>
          </w:p>
        </w:tc>
        <w:tc>
          <w:tcPr>
            <w:tcW w:w="4774" w:type="dxa"/>
            <w:gridSpan w:val="5"/>
            <w:vAlign w:val="center"/>
          </w:tcPr>
          <w:p w14:paraId="401182C4"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Economic evaluation</w:t>
            </w:r>
          </w:p>
        </w:tc>
        <w:tc>
          <w:tcPr>
            <w:tcW w:w="2227" w:type="dxa"/>
            <w:gridSpan w:val="2"/>
            <w:vAlign w:val="center"/>
          </w:tcPr>
          <w:p w14:paraId="7AD26960"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Budget impact over 6 years</w:t>
            </w:r>
          </w:p>
        </w:tc>
      </w:tr>
      <w:tr w:rsidR="00E07951" w:rsidRPr="00DE0E06" w14:paraId="6A5B7910" w14:textId="77777777" w:rsidTr="00C81B63">
        <w:tc>
          <w:tcPr>
            <w:tcW w:w="613" w:type="dxa"/>
            <w:vMerge w:val="restart"/>
            <w:vAlign w:val="center"/>
          </w:tcPr>
          <w:p w14:paraId="222C1BEA" w14:textId="77777777" w:rsidR="00E07951" w:rsidRPr="00DE0E06" w:rsidRDefault="00E07951" w:rsidP="001B1DFD">
            <w:pPr>
              <w:keepNext/>
              <w:keepLines/>
              <w:spacing w:after="0"/>
              <w:jc w:val="both"/>
              <w:rPr>
                <w:rFonts w:ascii="Arial Narrow" w:hAnsi="Arial Narrow" w:cs="Arial"/>
                <w:b/>
                <w:bCs/>
              </w:rPr>
            </w:pPr>
            <w:r w:rsidRPr="00DE0E06">
              <w:rPr>
                <w:rFonts w:ascii="Arial Narrow" w:hAnsi="Arial Narrow" w:cs="Arial"/>
                <w:b/>
                <w:bCs/>
              </w:rPr>
              <w:t>Age range</w:t>
            </w:r>
          </w:p>
        </w:tc>
        <w:tc>
          <w:tcPr>
            <w:tcW w:w="701" w:type="dxa"/>
            <w:vMerge w:val="restart"/>
            <w:vAlign w:val="center"/>
          </w:tcPr>
          <w:p w14:paraId="1137A52B"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Repeat test at 2 years?</w:t>
            </w:r>
          </w:p>
        </w:tc>
        <w:tc>
          <w:tcPr>
            <w:tcW w:w="701" w:type="dxa"/>
            <w:vMerge w:val="restart"/>
            <w:vAlign w:val="center"/>
          </w:tcPr>
          <w:p w14:paraId="1EC82F33"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Repeat test at 5 years?</w:t>
            </w:r>
          </w:p>
        </w:tc>
        <w:tc>
          <w:tcPr>
            <w:tcW w:w="1124" w:type="dxa"/>
            <w:vMerge w:val="restart"/>
            <w:shd w:val="clear" w:color="auto" w:fill="FFFFFF" w:themeFill="background1"/>
            <w:vAlign w:val="center"/>
          </w:tcPr>
          <w:p w14:paraId="00C7836F"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Cost per additional osteoporosis diagnosis</w:t>
            </w:r>
          </w:p>
        </w:tc>
        <w:tc>
          <w:tcPr>
            <w:tcW w:w="3650" w:type="dxa"/>
            <w:gridSpan w:val="4"/>
            <w:vAlign w:val="center"/>
          </w:tcPr>
          <w:p w14:paraId="0109ECE1"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Cost per QALY gained</w:t>
            </w:r>
          </w:p>
        </w:tc>
        <w:tc>
          <w:tcPr>
            <w:tcW w:w="1115" w:type="dxa"/>
            <w:vMerge w:val="restart"/>
            <w:vAlign w:val="center"/>
          </w:tcPr>
          <w:p w14:paraId="74D12603"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MBS</w:t>
            </w:r>
          </w:p>
        </w:tc>
        <w:tc>
          <w:tcPr>
            <w:tcW w:w="1112" w:type="dxa"/>
            <w:vMerge w:val="restart"/>
            <w:vAlign w:val="center"/>
          </w:tcPr>
          <w:p w14:paraId="16AC4839"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PBS</w:t>
            </w:r>
          </w:p>
        </w:tc>
      </w:tr>
      <w:tr w:rsidR="00B62605" w:rsidRPr="00DE0E06" w14:paraId="1CC0F141" w14:textId="77777777" w:rsidTr="008776E6">
        <w:tc>
          <w:tcPr>
            <w:tcW w:w="613" w:type="dxa"/>
            <w:vMerge/>
            <w:vAlign w:val="center"/>
          </w:tcPr>
          <w:p w14:paraId="52404A28" w14:textId="77777777" w:rsidR="00E07951" w:rsidRPr="00DE0E06" w:rsidRDefault="00E07951" w:rsidP="001B1DFD">
            <w:pPr>
              <w:keepNext/>
              <w:keepLines/>
              <w:spacing w:after="0"/>
              <w:jc w:val="both"/>
              <w:rPr>
                <w:rFonts w:ascii="Arial Narrow" w:hAnsi="Arial Narrow" w:cs="Arial"/>
                <w:b/>
                <w:bCs/>
              </w:rPr>
            </w:pPr>
          </w:p>
        </w:tc>
        <w:tc>
          <w:tcPr>
            <w:tcW w:w="701" w:type="dxa"/>
            <w:vMerge/>
            <w:vAlign w:val="center"/>
          </w:tcPr>
          <w:p w14:paraId="0769B73A" w14:textId="77777777" w:rsidR="00E07951" w:rsidRPr="00DE0E06" w:rsidRDefault="00E07951" w:rsidP="001B1DFD">
            <w:pPr>
              <w:keepNext/>
              <w:keepLines/>
              <w:spacing w:after="0"/>
              <w:jc w:val="center"/>
              <w:rPr>
                <w:rFonts w:ascii="Arial Narrow" w:hAnsi="Arial Narrow" w:cs="Arial"/>
                <w:b/>
                <w:bCs/>
              </w:rPr>
            </w:pPr>
          </w:p>
        </w:tc>
        <w:tc>
          <w:tcPr>
            <w:tcW w:w="701" w:type="dxa"/>
            <w:vMerge/>
            <w:vAlign w:val="center"/>
          </w:tcPr>
          <w:p w14:paraId="7DA6E59D" w14:textId="77777777" w:rsidR="00E07951" w:rsidRPr="00DE0E06" w:rsidRDefault="00E07951" w:rsidP="001B1DFD">
            <w:pPr>
              <w:keepNext/>
              <w:keepLines/>
              <w:spacing w:after="0"/>
              <w:jc w:val="center"/>
              <w:rPr>
                <w:rFonts w:ascii="Arial Narrow" w:hAnsi="Arial Narrow" w:cs="Arial"/>
                <w:b/>
                <w:bCs/>
              </w:rPr>
            </w:pPr>
          </w:p>
        </w:tc>
        <w:tc>
          <w:tcPr>
            <w:tcW w:w="1124" w:type="dxa"/>
            <w:vMerge/>
            <w:shd w:val="clear" w:color="auto" w:fill="FFFFFF" w:themeFill="background1"/>
            <w:vAlign w:val="center"/>
          </w:tcPr>
          <w:p w14:paraId="06C3A50F" w14:textId="77777777" w:rsidR="00E07951" w:rsidRPr="00DE0E06" w:rsidRDefault="00E07951" w:rsidP="001B1DFD">
            <w:pPr>
              <w:keepNext/>
              <w:keepLines/>
              <w:spacing w:after="0"/>
              <w:jc w:val="center"/>
              <w:rPr>
                <w:rFonts w:ascii="Arial Narrow" w:hAnsi="Arial Narrow" w:cs="Arial"/>
                <w:b/>
                <w:bCs/>
              </w:rPr>
            </w:pPr>
          </w:p>
        </w:tc>
        <w:tc>
          <w:tcPr>
            <w:tcW w:w="824" w:type="dxa"/>
            <w:vAlign w:val="center"/>
          </w:tcPr>
          <w:p w14:paraId="1A9FEF04"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Base case</w:t>
            </w:r>
          </w:p>
        </w:tc>
        <w:tc>
          <w:tcPr>
            <w:tcW w:w="822" w:type="dxa"/>
            <w:vAlign w:val="center"/>
          </w:tcPr>
          <w:p w14:paraId="04A139A2" w14:textId="77777777" w:rsidR="00E07951" w:rsidRPr="00DE0E06" w:rsidRDefault="00E07951" w:rsidP="001B1DFD">
            <w:pPr>
              <w:keepNext/>
              <w:keepLines/>
              <w:spacing w:after="0"/>
              <w:jc w:val="center"/>
              <w:rPr>
                <w:rFonts w:ascii="Arial Narrow" w:hAnsi="Arial Narrow" w:cs="Arial"/>
                <w:b/>
                <w:bCs/>
              </w:rPr>
            </w:pPr>
            <w:proofErr w:type="gramStart"/>
            <w:r w:rsidRPr="00DE0E06">
              <w:rPr>
                <w:rFonts w:ascii="Arial Narrow" w:hAnsi="Arial Narrow" w:cs="Arial"/>
                <w:b/>
                <w:bCs/>
              </w:rPr>
              <w:t>10 year</w:t>
            </w:r>
            <w:proofErr w:type="gramEnd"/>
            <w:r w:rsidRPr="00DE0E06">
              <w:rPr>
                <w:rFonts w:ascii="Arial Narrow" w:hAnsi="Arial Narrow" w:cs="Arial"/>
                <w:b/>
                <w:bCs/>
              </w:rPr>
              <w:t xml:space="preserve"> time horizon</w:t>
            </w:r>
          </w:p>
        </w:tc>
        <w:tc>
          <w:tcPr>
            <w:tcW w:w="968" w:type="dxa"/>
            <w:vAlign w:val="center"/>
          </w:tcPr>
          <w:p w14:paraId="382CB2C6"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 xml:space="preserve">Imperfect </w:t>
            </w:r>
            <w:proofErr w:type="spellStart"/>
            <w:r w:rsidRPr="00DE0E06">
              <w:rPr>
                <w:rFonts w:ascii="Arial Narrow" w:hAnsi="Arial Narrow" w:cs="Arial"/>
                <w:b/>
                <w:bCs/>
              </w:rPr>
              <w:t>persistence</w:t>
            </w:r>
            <w:r w:rsidRPr="00DE0E06">
              <w:rPr>
                <w:rFonts w:ascii="Arial Narrow" w:hAnsi="Arial Narrow" w:cs="Arial"/>
                <w:b/>
                <w:bCs/>
                <w:vertAlign w:val="superscript"/>
              </w:rPr>
              <w:t>a</w:t>
            </w:r>
            <w:proofErr w:type="spellEnd"/>
          </w:p>
        </w:tc>
        <w:tc>
          <w:tcPr>
            <w:tcW w:w="1036" w:type="dxa"/>
            <w:shd w:val="clear" w:color="auto" w:fill="D9D9D9" w:themeFill="background1" w:themeFillShade="D9"/>
            <w:vAlign w:val="center"/>
          </w:tcPr>
          <w:p w14:paraId="25D3353E" w14:textId="77777777" w:rsidR="00E07951" w:rsidRPr="00DE0E06" w:rsidRDefault="00E07951" w:rsidP="001B1DFD">
            <w:pPr>
              <w:keepNext/>
              <w:keepLines/>
              <w:spacing w:after="0"/>
              <w:jc w:val="center"/>
              <w:rPr>
                <w:rFonts w:ascii="Arial Narrow" w:hAnsi="Arial Narrow" w:cs="Arial"/>
                <w:b/>
                <w:bCs/>
              </w:rPr>
            </w:pPr>
            <w:proofErr w:type="gramStart"/>
            <w:r w:rsidRPr="00DE0E06">
              <w:rPr>
                <w:rFonts w:ascii="Arial Narrow" w:hAnsi="Arial Narrow" w:cs="Arial"/>
                <w:b/>
                <w:bCs/>
              </w:rPr>
              <w:t>10 year</w:t>
            </w:r>
            <w:proofErr w:type="gramEnd"/>
            <w:r w:rsidRPr="00DE0E06">
              <w:rPr>
                <w:rFonts w:ascii="Arial Narrow" w:hAnsi="Arial Narrow" w:cs="Arial"/>
                <w:b/>
                <w:bCs/>
              </w:rPr>
              <w:t xml:space="preserve"> time horizon and imperfect persistence</w:t>
            </w:r>
          </w:p>
        </w:tc>
        <w:tc>
          <w:tcPr>
            <w:tcW w:w="1115" w:type="dxa"/>
            <w:vMerge/>
            <w:vAlign w:val="center"/>
          </w:tcPr>
          <w:p w14:paraId="32AE40CC" w14:textId="77777777" w:rsidR="00E07951" w:rsidRPr="00DE0E06" w:rsidRDefault="00E07951" w:rsidP="001B1DFD">
            <w:pPr>
              <w:keepNext/>
              <w:keepLines/>
              <w:spacing w:after="0"/>
              <w:jc w:val="center"/>
              <w:rPr>
                <w:rFonts w:ascii="Arial Narrow" w:hAnsi="Arial Narrow" w:cs="Arial"/>
                <w:b/>
                <w:bCs/>
              </w:rPr>
            </w:pPr>
          </w:p>
        </w:tc>
        <w:tc>
          <w:tcPr>
            <w:tcW w:w="1112" w:type="dxa"/>
            <w:vMerge/>
            <w:vAlign w:val="center"/>
          </w:tcPr>
          <w:p w14:paraId="61F8B191" w14:textId="77777777" w:rsidR="00E07951" w:rsidRPr="00DE0E06" w:rsidRDefault="00E07951" w:rsidP="001B1DFD">
            <w:pPr>
              <w:keepNext/>
              <w:keepLines/>
              <w:spacing w:after="0"/>
              <w:jc w:val="center"/>
              <w:rPr>
                <w:rFonts w:ascii="Arial Narrow" w:hAnsi="Arial Narrow" w:cs="Arial"/>
                <w:b/>
                <w:bCs/>
              </w:rPr>
            </w:pPr>
          </w:p>
        </w:tc>
      </w:tr>
      <w:tr w:rsidR="00E07951" w:rsidRPr="00DE0E06" w14:paraId="1B02EE8E" w14:textId="77777777" w:rsidTr="001B1DFD">
        <w:tc>
          <w:tcPr>
            <w:tcW w:w="9016" w:type="dxa"/>
            <w:gridSpan w:val="10"/>
          </w:tcPr>
          <w:p w14:paraId="30F3FB78" w14:textId="77777777" w:rsidR="00E07951" w:rsidRPr="00DE0E06" w:rsidRDefault="00E07951" w:rsidP="001B1DFD">
            <w:pPr>
              <w:keepNext/>
              <w:spacing w:after="0"/>
              <w:rPr>
                <w:rFonts w:ascii="Arial Narrow" w:eastAsiaTheme="majorEastAsia" w:hAnsi="Arial Narrow"/>
                <w:b/>
                <w:szCs w:val="24"/>
                <w:lang w:val="en-US"/>
              </w:rPr>
            </w:pPr>
            <w:r w:rsidRPr="00DE0E06">
              <w:rPr>
                <w:rFonts w:ascii="Arial Narrow" w:eastAsiaTheme="majorEastAsia" w:hAnsi="Arial Narrow"/>
                <w:b/>
                <w:szCs w:val="24"/>
                <w:lang w:val="en-US"/>
              </w:rPr>
              <w:t>30-day dispensing (DPMQ $33.41)</w:t>
            </w:r>
          </w:p>
        </w:tc>
      </w:tr>
      <w:tr w:rsidR="00E07951" w:rsidRPr="00DE0E06" w14:paraId="454E4A08" w14:textId="77777777" w:rsidTr="001B1DFD">
        <w:tc>
          <w:tcPr>
            <w:tcW w:w="613" w:type="dxa"/>
          </w:tcPr>
          <w:p w14:paraId="5A868DC2"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01" w:type="dxa"/>
            <w:vAlign w:val="center"/>
          </w:tcPr>
          <w:p w14:paraId="76F932F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701" w:type="dxa"/>
            <w:vAlign w:val="center"/>
          </w:tcPr>
          <w:p w14:paraId="51248E8F"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1124" w:type="dxa"/>
            <w:vAlign w:val="center"/>
          </w:tcPr>
          <w:p w14:paraId="027DEE9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$4,673</w:t>
            </w:r>
          </w:p>
        </w:tc>
        <w:tc>
          <w:tcPr>
            <w:tcW w:w="824" w:type="dxa"/>
            <w:vAlign w:val="center"/>
          </w:tcPr>
          <w:p w14:paraId="3436431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$146,447</w:t>
            </w:r>
          </w:p>
        </w:tc>
        <w:tc>
          <w:tcPr>
            <w:tcW w:w="822" w:type="dxa"/>
            <w:vAlign w:val="center"/>
          </w:tcPr>
          <w:p w14:paraId="20B879F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$334,940</w:t>
            </w:r>
          </w:p>
        </w:tc>
        <w:tc>
          <w:tcPr>
            <w:tcW w:w="968" w:type="dxa"/>
            <w:vAlign w:val="center"/>
          </w:tcPr>
          <w:p w14:paraId="602CA4F7"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$616,741</w:t>
            </w:r>
          </w:p>
        </w:tc>
        <w:tc>
          <w:tcPr>
            <w:tcW w:w="1036" w:type="dxa"/>
            <w:vAlign w:val="center"/>
          </w:tcPr>
          <w:p w14:paraId="2BC1919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$1,180,269</w:t>
            </w:r>
          </w:p>
        </w:tc>
        <w:tc>
          <w:tcPr>
            <w:tcW w:w="1115" w:type="dxa"/>
            <w:vAlign w:val="center"/>
          </w:tcPr>
          <w:p w14:paraId="3BFA287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$134,505,759</w:t>
            </w:r>
          </w:p>
        </w:tc>
        <w:tc>
          <w:tcPr>
            <w:tcW w:w="1112" w:type="dxa"/>
            <w:vAlign w:val="center"/>
          </w:tcPr>
          <w:p w14:paraId="06F021D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$48,607,326</w:t>
            </w:r>
          </w:p>
        </w:tc>
      </w:tr>
      <w:tr w:rsidR="00E07951" w:rsidRPr="00DE0E06" w14:paraId="723372BD" w14:textId="77777777" w:rsidTr="001B1DFD">
        <w:tc>
          <w:tcPr>
            <w:tcW w:w="613" w:type="dxa"/>
          </w:tcPr>
          <w:p w14:paraId="677AFF74"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01" w:type="dxa"/>
            <w:vAlign w:val="center"/>
          </w:tcPr>
          <w:p w14:paraId="74A6EA37"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701" w:type="dxa"/>
            <w:vAlign w:val="center"/>
          </w:tcPr>
          <w:p w14:paraId="4274417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1124" w:type="dxa"/>
            <w:vAlign w:val="center"/>
          </w:tcPr>
          <w:p w14:paraId="00FFFA8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$3,483</w:t>
            </w:r>
          </w:p>
        </w:tc>
        <w:tc>
          <w:tcPr>
            <w:tcW w:w="824" w:type="dxa"/>
            <w:vAlign w:val="center"/>
          </w:tcPr>
          <w:p w14:paraId="773BACEA"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$107,324</w:t>
            </w:r>
          </w:p>
        </w:tc>
        <w:tc>
          <w:tcPr>
            <w:tcW w:w="822" w:type="dxa"/>
            <w:vAlign w:val="center"/>
          </w:tcPr>
          <w:p w14:paraId="476587F7"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$255,109</w:t>
            </w:r>
          </w:p>
        </w:tc>
        <w:tc>
          <w:tcPr>
            <w:tcW w:w="968" w:type="dxa"/>
            <w:vAlign w:val="center"/>
          </w:tcPr>
          <w:p w14:paraId="1D1DF6F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$471,689</w:t>
            </w:r>
          </w:p>
        </w:tc>
        <w:tc>
          <w:tcPr>
            <w:tcW w:w="1036" w:type="dxa"/>
            <w:vAlign w:val="center"/>
          </w:tcPr>
          <w:p w14:paraId="2197E1E2"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$904,309</w:t>
            </w:r>
          </w:p>
        </w:tc>
        <w:tc>
          <w:tcPr>
            <w:tcW w:w="1115" w:type="dxa"/>
            <w:vAlign w:val="center"/>
          </w:tcPr>
          <w:p w14:paraId="5AC15C8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$104,985,636</w:t>
            </w:r>
          </w:p>
        </w:tc>
        <w:tc>
          <w:tcPr>
            <w:tcW w:w="1112" w:type="dxa"/>
            <w:vAlign w:val="center"/>
          </w:tcPr>
          <w:p w14:paraId="4706FD62"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$37,112,730</w:t>
            </w:r>
          </w:p>
        </w:tc>
      </w:tr>
      <w:tr w:rsidR="00E07951" w:rsidRPr="00DE0E06" w14:paraId="245CB5FD" w14:textId="77777777" w:rsidTr="001B1DFD">
        <w:tc>
          <w:tcPr>
            <w:tcW w:w="613" w:type="dxa"/>
          </w:tcPr>
          <w:p w14:paraId="3AC5AA35"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01" w:type="dxa"/>
            <w:vAlign w:val="center"/>
          </w:tcPr>
          <w:p w14:paraId="4C1F7C4F"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701" w:type="dxa"/>
            <w:vAlign w:val="center"/>
          </w:tcPr>
          <w:p w14:paraId="6EF0C05B"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1124" w:type="dxa"/>
            <w:vAlign w:val="center"/>
          </w:tcPr>
          <w:p w14:paraId="2510653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$2,144</w:t>
            </w:r>
          </w:p>
        </w:tc>
        <w:tc>
          <w:tcPr>
            <w:tcW w:w="824" w:type="dxa"/>
            <w:vAlign w:val="center"/>
          </w:tcPr>
          <w:p w14:paraId="01078FBA"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$63,303</w:t>
            </w:r>
          </w:p>
        </w:tc>
        <w:tc>
          <w:tcPr>
            <w:tcW w:w="822" w:type="dxa"/>
            <w:vAlign w:val="center"/>
          </w:tcPr>
          <w:p w14:paraId="1A21948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$165,283</w:t>
            </w:r>
          </w:p>
        </w:tc>
        <w:tc>
          <w:tcPr>
            <w:tcW w:w="968" w:type="dxa"/>
            <w:vAlign w:val="center"/>
          </w:tcPr>
          <w:p w14:paraId="154B131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$308,474</w:t>
            </w:r>
          </w:p>
        </w:tc>
        <w:tc>
          <w:tcPr>
            <w:tcW w:w="1036" w:type="dxa"/>
            <w:vAlign w:val="center"/>
          </w:tcPr>
          <w:p w14:paraId="7C2788B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$593,796</w:t>
            </w:r>
          </w:p>
        </w:tc>
        <w:tc>
          <w:tcPr>
            <w:tcW w:w="1115" w:type="dxa"/>
            <w:vAlign w:val="center"/>
          </w:tcPr>
          <w:p w14:paraId="13B3ED1F" w14:textId="77777777" w:rsidR="00E07951" w:rsidRPr="00DE0E06" w:rsidRDefault="00E07951" w:rsidP="001B1DFD">
            <w:pPr>
              <w:keepNext/>
              <w:keepLines/>
              <w:spacing w:after="0"/>
              <w:jc w:val="center"/>
              <w:rPr>
                <w:rFonts w:ascii="Arial Narrow" w:hAnsi="Arial Narrow" w:cs="Arial"/>
              </w:rPr>
            </w:pPr>
            <w:proofErr w:type="spellStart"/>
            <w:r w:rsidRPr="00DE0E06">
              <w:rPr>
                <w:rFonts w:ascii="Arial Narrow" w:hAnsi="Arial Narrow" w:cs="Arial"/>
              </w:rPr>
              <w:t>NE</w:t>
            </w:r>
            <w:r w:rsidRPr="00DE0E06">
              <w:rPr>
                <w:rFonts w:ascii="Arial Narrow" w:hAnsi="Arial Narrow" w:cs="Arial"/>
                <w:vertAlign w:val="superscript"/>
              </w:rPr>
              <w:t>b</w:t>
            </w:r>
            <w:proofErr w:type="spellEnd"/>
          </w:p>
        </w:tc>
        <w:tc>
          <w:tcPr>
            <w:tcW w:w="1112" w:type="dxa"/>
            <w:vAlign w:val="center"/>
          </w:tcPr>
          <w:p w14:paraId="789C6F09" w14:textId="77777777" w:rsidR="00E07951" w:rsidRPr="00DE0E06" w:rsidRDefault="00E07951" w:rsidP="001B1DFD">
            <w:pPr>
              <w:keepNext/>
              <w:keepLines/>
              <w:spacing w:after="0"/>
              <w:jc w:val="center"/>
              <w:rPr>
                <w:rFonts w:ascii="Arial Narrow" w:hAnsi="Arial Narrow" w:cs="Arial"/>
              </w:rPr>
            </w:pPr>
            <w:proofErr w:type="spellStart"/>
            <w:r w:rsidRPr="00DE0E06">
              <w:rPr>
                <w:rFonts w:ascii="Arial Narrow" w:hAnsi="Arial Narrow" w:cs="Arial"/>
              </w:rPr>
              <w:t>NE</w:t>
            </w:r>
            <w:r w:rsidRPr="00DE0E06">
              <w:rPr>
                <w:rFonts w:ascii="Arial Narrow" w:hAnsi="Arial Narrow" w:cs="Arial"/>
                <w:vertAlign w:val="superscript"/>
              </w:rPr>
              <w:t>b</w:t>
            </w:r>
            <w:proofErr w:type="spellEnd"/>
          </w:p>
        </w:tc>
      </w:tr>
      <w:tr w:rsidR="00E07951" w:rsidRPr="00DE0E06" w14:paraId="5C77D752" w14:textId="77777777" w:rsidTr="001B1DFD">
        <w:tc>
          <w:tcPr>
            <w:tcW w:w="613" w:type="dxa"/>
          </w:tcPr>
          <w:p w14:paraId="13BE7F5B"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65-69 years</w:t>
            </w:r>
          </w:p>
        </w:tc>
        <w:tc>
          <w:tcPr>
            <w:tcW w:w="701" w:type="dxa"/>
            <w:vAlign w:val="center"/>
          </w:tcPr>
          <w:p w14:paraId="0E2894B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701" w:type="dxa"/>
            <w:vAlign w:val="center"/>
          </w:tcPr>
          <w:p w14:paraId="45DEBF7F"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N/A</w:t>
            </w:r>
          </w:p>
        </w:tc>
        <w:tc>
          <w:tcPr>
            <w:tcW w:w="1124" w:type="dxa"/>
            <w:vAlign w:val="center"/>
          </w:tcPr>
          <w:p w14:paraId="0D6544C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$1,576</w:t>
            </w:r>
          </w:p>
        </w:tc>
        <w:tc>
          <w:tcPr>
            <w:tcW w:w="824" w:type="dxa"/>
            <w:vAlign w:val="center"/>
          </w:tcPr>
          <w:p w14:paraId="010B5CE2"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$54,680</w:t>
            </w:r>
          </w:p>
        </w:tc>
        <w:tc>
          <w:tcPr>
            <w:tcW w:w="822" w:type="dxa"/>
            <w:vAlign w:val="center"/>
          </w:tcPr>
          <w:p w14:paraId="2BF7097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$156,692</w:t>
            </w:r>
          </w:p>
        </w:tc>
        <w:tc>
          <w:tcPr>
            <w:tcW w:w="968" w:type="dxa"/>
            <w:vAlign w:val="center"/>
          </w:tcPr>
          <w:p w14:paraId="3F33F3E0"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$259,089</w:t>
            </w:r>
          </w:p>
        </w:tc>
        <w:tc>
          <w:tcPr>
            <w:tcW w:w="1036" w:type="dxa"/>
            <w:vAlign w:val="center"/>
          </w:tcPr>
          <w:p w14:paraId="471FBA32"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$497,964</w:t>
            </w:r>
          </w:p>
        </w:tc>
        <w:tc>
          <w:tcPr>
            <w:tcW w:w="1115" w:type="dxa"/>
            <w:vAlign w:val="center"/>
          </w:tcPr>
          <w:p w14:paraId="2736DBD8"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$65,383,476</w:t>
            </w:r>
          </w:p>
        </w:tc>
        <w:tc>
          <w:tcPr>
            <w:tcW w:w="1112" w:type="dxa"/>
            <w:vAlign w:val="center"/>
          </w:tcPr>
          <w:p w14:paraId="7E9CB27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$29,733,580</w:t>
            </w:r>
          </w:p>
        </w:tc>
      </w:tr>
      <w:tr w:rsidR="00E07951" w:rsidRPr="00DE0E06" w14:paraId="4FAD8059" w14:textId="77777777" w:rsidTr="00C81B63">
        <w:tc>
          <w:tcPr>
            <w:tcW w:w="613" w:type="dxa"/>
            <w:shd w:val="clear" w:color="auto" w:fill="auto"/>
          </w:tcPr>
          <w:p w14:paraId="7C8C5F4B"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65-69 years</w:t>
            </w:r>
          </w:p>
        </w:tc>
        <w:tc>
          <w:tcPr>
            <w:tcW w:w="701" w:type="dxa"/>
            <w:shd w:val="clear" w:color="auto" w:fill="auto"/>
            <w:vAlign w:val="center"/>
          </w:tcPr>
          <w:p w14:paraId="3030BFC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701" w:type="dxa"/>
            <w:shd w:val="clear" w:color="auto" w:fill="auto"/>
            <w:vAlign w:val="center"/>
          </w:tcPr>
          <w:p w14:paraId="5939EEC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N/A</w:t>
            </w:r>
          </w:p>
        </w:tc>
        <w:tc>
          <w:tcPr>
            <w:tcW w:w="1124" w:type="dxa"/>
            <w:shd w:val="clear" w:color="auto" w:fill="auto"/>
            <w:vAlign w:val="center"/>
          </w:tcPr>
          <w:p w14:paraId="1E8994E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$1,154</w:t>
            </w:r>
          </w:p>
        </w:tc>
        <w:tc>
          <w:tcPr>
            <w:tcW w:w="824" w:type="dxa"/>
            <w:vAlign w:val="center"/>
          </w:tcPr>
          <w:p w14:paraId="1F21D7C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$30,993</w:t>
            </w:r>
          </w:p>
        </w:tc>
        <w:tc>
          <w:tcPr>
            <w:tcW w:w="822" w:type="dxa"/>
            <w:vAlign w:val="center"/>
          </w:tcPr>
          <w:p w14:paraId="7060BFAB"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$110,182</w:t>
            </w:r>
          </w:p>
        </w:tc>
        <w:tc>
          <w:tcPr>
            <w:tcW w:w="968" w:type="dxa"/>
            <w:vAlign w:val="center"/>
          </w:tcPr>
          <w:p w14:paraId="4AA5E80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$201,101</w:t>
            </w:r>
          </w:p>
        </w:tc>
        <w:tc>
          <w:tcPr>
            <w:tcW w:w="1036" w:type="dxa"/>
            <w:shd w:val="clear" w:color="auto" w:fill="D9D9D9" w:themeFill="background1" w:themeFillShade="D9"/>
            <w:vAlign w:val="center"/>
          </w:tcPr>
          <w:p w14:paraId="59C407F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$387,733</w:t>
            </w:r>
          </w:p>
        </w:tc>
        <w:tc>
          <w:tcPr>
            <w:tcW w:w="1115" w:type="dxa"/>
            <w:shd w:val="clear" w:color="auto" w:fill="FFFFFF" w:themeFill="background1"/>
            <w:vAlign w:val="center"/>
          </w:tcPr>
          <w:p w14:paraId="5072BFB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$51,022,041</w:t>
            </w:r>
          </w:p>
        </w:tc>
        <w:tc>
          <w:tcPr>
            <w:tcW w:w="1112" w:type="dxa"/>
            <w:shd w:val="clear" w:color="auto" w:fill="FFFFFF" w:themeFill="background1"/>
            <w:vAlign w:val="center"/>
          </w:tcPr>
          <w:p w14:paraId="5D31844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$22,701,137</w:t>
            </w:r>
          </w:p>
        </w:tc>
      </w:tr>
      <w:tr w:rsidR="00E07951" w:rsidRPr="00DE0E06" w14:paraId="7DC0D608" w14:textId="77777777" w:rsidTr="001B1DFD">
        <w:tc>
          <w:tcPr>
            <w:tcW w:w="9016" w:type="dxa"/>
            <w:gridSpan w:val="10"/>
          </w:tcPr>
          <w:p w14:paraId="4E21B245" w14:textId="77777777" w:rsidR="00E07951" w:rsidRPr="00DE0E06" w:rsidRDefault="00E07951" w:rsidP="001B1DFD">
            <w:pPr>
              <w:keepNext/>
              <w:spacing w:after="0"/>
              <w:rPr>
                <w:rFonts w:ascii="Arial Narrow" w:eastAsiaTheme="majorEastAsia" w:hAnsi="Arial Narrow"/>
                <w:b/>
                <w:szCs w:val="24"/>
                <w:lang w:val="en-US"/>
              </w:rPr>
            </w:pPr>
            <w:r w:rsidRPr="00DE0E06">
              <w:rPr>
                <w:rFonts w:ascii="Arial Narrow" w:eastAsiaTheme="majorEastAsia" w:hAnsi="Arial Narrow"/>
                <w:b/>
                <w:szCs w:val="24"/>
                <w:lang w:val="en-US"/>
              </w:rPr>
              <w:t>60-day dispensing (DPMQ $53.83)</w:t>
            </w:r>
          </w:p>
        </w:tc>
      </w:tr>
      <w:tr w:rsidR="00E07951" w:rsidRPr="00DE0E06" w14:paraId="1EE9D5E4" w14:textId="77777777" w:rsidTr="001B1DFD">
        <w:tc>
          <w:tcPr>
            <w:tcW w:w="613" w:type="dxa"/>
          </w:tcPr>
          <w:p w14:paraId="69DFF05B"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01" w:type="dxa"/>
            <w:vAlign w:val="center"/>
          </w:tcPr>
          <w:p w14:paraId="4F14D23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701" w:type="dxa"/>
            <w:vAlign w:val="center"/>
          </w:tcPr>
          <w:p w14:paraId="6CD144D2"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1124" w:type="dxa"/>
            <w:vAlign w:val="center"/>
          </w:tcPr>
          <w:p w14:paraId="334A190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$4,673</w:t>
            </w:r>
          </w:p>
        </w:tc>
        <w:tc>
          <w:tcPr>
            <w:tcW w:w="824" w:type="dxa"/>
            <w:vAlign w:val="center"/>
          </w:tcPr>
          <w:p w14:paraId="3CAE512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$126,578</w:t>
            </w:r>
          </w:p>
        </w:tc>
        <w:tc>
          <w:tcPr>
            <w:tcW w:w="822" w:type="dxa"/>
            <w:vAlign w:val="center"/>
          </w:tcPr>
          <w:p w14:paraId="066BD61B"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$306,236</w:t>
            </w:r>
          </w:p>
        </w:tc>
        <w:tc>
          <w:tcPr>
            <w:tcW w:w="968" w:type="dxa"/>
            <w:vAlign w:val="center"/>
          </w:tcPr>
          <w:p w14:paraId="72017F3B"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$605,702</w:t>
            </w:r>
          </w:p>
        </w:tc>
        <w:tc>
          <w:tcPr>
            <w:tcW w:w="1036" w:type="dxa"/>
            <w:vAlign w:val="center"/>
          </w:tcPr>
          <w:p w14:paraId="3E7AE7D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$1,159,233</w:t>
            </w:r>
          </w:p>
        </w:tc>
        <w:tc>
          <w:tcPr>
            <w:tcW w:w="1115" w:type="dxa"/>
            <w:vAlign w:val="center"/>
          </w:tcPr>
          <w:p w14:paraId="0C1C915A"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$134,505,759</w:t>
            </w:r>
          </w:p>
        </w:tc>
        <w:tc>
          <w:tcPr>
            <w:tcW w:w="1112" w:type="dxa"/>
            <w:vAlign w:val="center"/>
          </w:tcPr>
          <w:p w14:paraId="3F00DB4C"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$45,530,387</w:t>
            </w:r>
          </w:p>
        </w:tc>
      </w:tr>
      <w:tr w:rsidR="00E07951" w:rsidRPr="00DE0E06" w14:paraId="6A4F1650" w14:textId="77777777" w:rsidTr="001B1DFD">
        <w:tc>
          <w:tcPr>
            <w:tcW w:w="613" w:type="dxa"/>
          </w:tcPr>
          <w:p w14:paraId="0BBF5928"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01" w:type="dxa"/>
            <w:vAlign w:val="center"/>
          </w:tcPr>
          <w:p w14:paraId="46CC186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701" w:type="dxa"/>
            <w:vAlign w:val="center"/>
          </w:tcPr>
          <w:p w14:paraId="1ED08B6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1124" w:type="dxa"/>
            <w:vAlign w:val="center"/>
          </w:tcPr>
          <w:p w14:paraId="41807E1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$3,483</w:t>
            </w:r>
          </w:p>
        </w:tc>
        <w:tc>
          <w:tcPr>
            <w:tcW w:w="824" w:type="dxa"/>
            <w:vAlign w:val="center"/>
          </w:tcPr>
          <w:p w14:paraId="79719DA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$87,455</w:t>
            </w:r>
          </w:p>
        </w:tc>
        <w:tc>
          <w:tcPr>
            <w:tcW w:w="822" w:type="dxa"/>
            <w:vAlign w:val="center"/>
          </w:tcPr>
          <w:p w14:paraId="16BB02F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$226,405</w:t>
            </w:r>
          </w:p>
        </w:tc>
        <w:tc>
          <w:tcPr>
            <w:tcW w:w="968" w:type="dxa"/>
            <w:vAlign w:val="center"/>
          </w:tcPr>
          <w:p w14:paraId="1F6C8C3A"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$460,650</w:t>
            </w:r>
          </w:p>
        </w:tc>
        <w:tc>
          <w:tcPr>
            <w:tcW w:w="1036" w:type="dxa"/>
            <w:vAlign w:val="center"/>
          </w:tcPr>
          <w:p w14:paraId="224C5B2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$883,273</w:t>
            </w:r>
          </w:p>
        </w:tc>
        <w:tc>
          <w:tcPr>
            <w:tcW w:w="1115" w:type="dxa"/>
            <w:vAlign w:val="center"/>
          </w:tcPr>
          <w:p w14:paraId="66517E9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$104,985,636</w:t>
            </w:r>
          </w:p>
        </w:tc>
        <w:tc>
          <w:tcPr>
            <w:tcW w:w="1112" w:type="dxa"/>
            <w:vAlign w:val="center"/>
          </w:tcPr>
          <w:p w14:paraId="5F736DFB"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$34,763,421</w:t>
            </w:r>
          </w:p>
        </w:tc>
      </w:tr>
      <w:tr w:rsidR="00E07951" w:rsidRPr="00DE0E06" w14:paraId="35054EF6" w14:textId="77777777" w:rsidTr="001B1DFD">
        <w:tc>
          <w:tcPr>
            <w:tcW w:w="613" w:type="dxa"/>
          </w:tcPr>
          <w:p w14:paraId="7717FCFC"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01" w:type="dxa"/>
            <w:vAlign w:val="center"/>
          </w:tcPr>
          <w:p w14:paraId="6E514E6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701" w:type="dxa"/>
            <w:vAlign w:val="center"/>
          </w:tcPr>
          <w:p w14:paraId="40398CD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1124" w:type="dxa"/>
            <w:vAlign w:val="center"/>
          </w:tcPr>
          <w:p w14:paraId="7ADC588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$2,144</w:t>
            </w:r>
          </w:p>
        </w:tc>
        <w:tc>
          <w:tcPr>
            <w:tcW w:w="824" w:type="dxa"/>
            <w:vAlign w:val="center"/>
          </w:tcPr>
          <w:p w14:paraId="723D707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$43,434</w:t>
            </w:r>
          </w:p>
        </w:tc>
        <w:tc>
          <w:tcPr>
            <w:tcW w:w="822" w:type="dxa"/>
            <w:vAlign w:val="center"/>
          </w:tcPr>
          <w:p w14:paraId="3A103FE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$136,578</w:t>
            </w:r>
          </w:p>
        </w:tc>
        <w:tc>
          <w:tcPr>
            <w:tcW w:w="968" w:type="dxa"/>
            <w:vAlign w:val="center"/>
          </w:tcPr>
          <w:p w14:paraId="1C703D1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$297,435</w:t>
            </w:r>
          </w:p>
        </w:tc>
        <w:tc>
          <w:tcPr>
            <w:tcW w:w="1036" w:type="dxa"/>
            <w:vAlign w:val="center"/>
          </w:tcPr>
          <w:p w14:paraId="18E4495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$572,760</w:t>
            </w:r>
          </w:p>
        </w:tc>
        <w:tc>
          <w:tcPr>
            <w:tcW w:w="1115" w:type="dxa"/>
            <w:vAlign w:val="center"/>
          </w:tcPr>
          <w:p w14:paraId="08DF3C7F" w14:textId="77777777" w:rsidR="00E07951" w:rsidRPr="00DE0E06" w:rsidRDefault="00E07951" w:rsidP="001B1DFD">
            <w:pPr>
              <w:keepNext/>
              <w:keepLines/>
              <w:spacing w:after="0"/>
              <w:jc w:val="center"/>
              <w:rPr>
                <w:rFonts w:ascii="Arial Narrow" w:hAnsi="Arial Narrow" w:cs="Arial"/>
              </w:rPr>
            </w:pPr>
            <w:proofErr w:type="spellStart"/>
            <w:r w:rsidRPr="00DE0E06">
              <w:rPr>
                <w:rFonts w:ascii="Arial Narrow" w:hAnsi="Arial Narrow" w:cs="Arial"/>
              </w:rPr>
              <w:t>NE</w:t>
            </w:r>
            <w:r w:rsidRPr="00DE0E06">
              <w:rPr>
                <w:rFonts w:ascii="Arial Narrow" w:hAnsi="Arial Narrow" w:cs="Arial"/>
                <w:vertAlign w:val="superscript"/>
              </w:rPr>
              <w:t>b</w:t>
            </w:r>
            <w:proofErr w:type="spellEnd"/>
          </w:p>
        </w:tc>
        <w:tc>
          <w:tcPr>
            <w:tcW w:w="1112" w:type="dxa"/>
            <w:vAlign w:val="center"/>
          </w:tcPr>
          <w:p w14:paraId="77208117" w14:textId="77777777" w:rsidR="00E07951" w:rsidRPr="00DE0E06" w:rsidRDefault="00E07951" w:rsidP="001B1DFD">
            <w:pPr>
              <w:keepNext/>
              <w:keepLines/>
              <w:spacing w:after="0"/>
              <w:jc w:val="center"/>
              <w:rPr>
                <w:rFonts w:ascii="Arial Narrow" w:hAnsi="Arial Narrow" w:cs="Arial"/>
              </w:rPr>
            </w:pPr>
            <w:proofErr w:type="spellStart"/>
            <w:r w:rsidRPr="00DE0E06">
              <w:rPr>
                <w:rFonts w:ascii="Arial Narrow" w:hAnsi="Arial Narrow" w:cs="Arial"/>
              </w:rPr>
              <w:t>NE</w:t>
            </w:r>
            <w:r w:rsidRPr="00DE0E06">
              <w:rPr>
                <w:rFonts w:ascii="Arial Narrow" w:hAnsi="Arial Narrow" w:cs="Arial"/>
                <w:vertAlign w:val="superscript"/>
              </w:rPr>
              <w:t>b</w:t>
            </w:r>
            <w:proofErr w:type="spellEnd"/>
          </w:p>
        </w:tc>
      </w:tr>
      <w:tr w:rsidR="00E07951" w:rsidRPr="00DE0E06" w14:paraId="13E9E8C4" w14:textId="77777777" w:rsidTr="001B1DFD">
        <w:tc>
          <w:tcPr>
            <w:tcW w:w="613" w:type="dxa"/>
          </w:tcPr>
          <w:p w14:paraId="27B2F3BB"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65-69 years</w:t>
            </w:r>
          </w:p>
        </w:tc>
        <w:tc>
          <w:tcPr>
            <w:tcW w:w="701" w:type="dxa"/>
            <w:vAlign w:val="center"/>
          </w:tcPr>
          <w:p w14:paraId="173D27E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701" w:type="dxa"/>
            <w:vAlign w:val="center"/>
          </w:tcPr>
          <w:p w14:paraId="203069AA"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N/A</w:t>
            </w:r>
          </w:p>
        </w:tc>
        <w:tc>
          <w:tcPr>
            <w:tcW w:w="1124" w:type="dxa"/>
            <w:vAlign w:val="center"/>
          </w:tcPr>
          <w:p w14:paraId="7C5260B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$1,576</w:t>
            </w:r>
          </w:p>
        </w:tc>
        <w:tc>
          <w:tcPr>
            <w:tcW w:w="824" w:type="dxa"/>
            <w:vAlign w:val="center"/>
          </w:tcPr>
          <w:p w14:paraId="7F54608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$22,647</w:t>
            </w:r>
          </w:p>
        </w:tc>
        <w:tc>
          <w:tcPr>
            <w:tcW w:w="822" w:type="dxa"/>
            <w:vAlign w:val="center"/>
          </w:tcPr>
          <w:p w14:paraId="63073EF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$111,949</w:t>
            </w:r>
          </w:p>
        </w:tc>
        <w:tc>
          <w:tcPr>
            <w:tcW w:w="968" w:type="dxa"/>
            <w:vAlign w:val="center"/>
          </w:tcPr>
          <w:p w14:paraId="28070DDA"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$248,255</w:t>
            </w:r>
          </w:p>
        </w:tc>
        <w:tc>
          <w:tcPr>
            <w:tcW w:w="1036" w:type="dxa"/>
            <w:vAlign w:val="center"/>
          </w:tcPr>
          <w:p w14:paraId="31AB3DA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$477,340</w:t>
            </w:r>
          </w:p>
        </w:tc>
        <w:tc>
          <w:tcPr>
            <w:tcW w:w="1115" w:type="dxa"/>
            <w:vAlign w:val="center"/>
          </w:tcPr>
          <w:p w14:paraId="11695197"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$65,383,476</w:t>
            </w:r>
          </w:p>
        </w:tc>
        <w:tc>
          <w:tcPr>
            <w:tcW w:w="1112" w:type="dxa"/>
            <w:vAlign w:val="center"/>
          </w:tcPr>
          <w:p w14:paraId="106BD57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$27,851,385</w:t>
            </w:r>
          </w:p>
        </w:tc>
      </w:tr>
      <w:tr w:rsidR="0061102F" w:rsidRPr="00DE0E06" w14:paraId="0AE3FD7F" w14:textId="77777777" w:rsidTr="00C81B63">
        <w:tc>
          <w:tcPr>
            <w:tcW w:w="613" w:type="dxa"/>
            <w:shd w:val="clear" w:color="auto" w:fill="auto"/>
          </w:tcPr>
          <w:p w14:paraId="0F935E34"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65-69 years</w:t>
            </w:r>
          </w:p>
        </w:tc>
        <w:tc>
          <w:tcPr>
            <w:tcW w:w="701" w:type="dxa"/>
            <w:shd w:val="clear" w:color="auto" w:fill="auto"/>
            <w:vAlign w:val="center"/>
          </w:tcPr>
          <w:p w14:paraId="2391B0C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701" w:type="dxa"/>
            <w:shd w:val="clear" w:color="auto" w:fill="auto"/>
            <w:vAlign w:val="center"/>
          </w:tcPr>
          <w:p w14:paraId="2738A65B"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N/A</w:t>
            </w:r>
          </w:p>
        </w:tc>
        <w:tc>
          <w:tcPr>
            <w:tcW w:w="1124" w:type="dxa"/>
            <w:shd w:val="clear" w:color="auto" w:fill="auto"/>
            <w:vAlign w:val="center"/>
          </w:tcPr>
          <w:p w14:paraId="4352AA87"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$1,154</w:t>
            </w:r>
          </w:p>
        </w:tc>
        <w:tc>
          <w:tcPr>
            <w:tcW w:w="824" w:type="dxa"/>
            <w:vAlign w:val="center"/>
          </w:tcPr>
          <w:p w14:paraId="5564E318"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Dominant</w:t>
            </w:r>
          </w:p>
        </w:tc>
        <w:tc>
          <w:tcPr>
            <w:tcW w:w="822" w:type="dxa"/>
            <w:vAlign w:val="center"/>
          </w:tcPr>
          <w:p w14:paraId="1A68F8B2"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$65,438</w:t>
            </w:r>
          </w:p>
        </w:tc>
        <w:tc>
          <w:tcPr>
            <w:tcW w:w="968" w:type="dxa"/>
            <w:vAlign w:val="center"/>
          </w:tcPr>
          <w:p w14:paraId="48198A7F"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$190,268</w:t>
            </w:r>
          </w:p>
        </w:tc>
        <w:tc>
          <w:tcPr>
            <w:tcW w:w="1036" w:type="dxa"/>
            <w:shd w:val="clear" w:color="auto" w:fill="D9D9D9" w:themeFill="background1" w:themeFillShade="D9"/>
            <w:vAlign w:val="center"/>
          </w:tcPr>
          <w:p w14:paraId="16E30F1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$367,109</w:t>
            </w:r>
          </w:p>
        </w:tc>
        <w:tc>
          <w:tcPr>
            <w:tcW w:w="1115" w:type="dxa"/>
            <w:shd w:val="clear" w:color="auto" w:fill="FFFFFF" w:themeFill="background1"/>
            <w:vAlign w:val="center"/>
          </w:tcPr>
          <w:p w14:paraId="1FC5CC5B"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$51,022,041</w:t>
            </w:r>
          </w:p>
        </w:tc>
        <w:tc>
          <w:tcPr>
            <w:tcW w:w="1112" w:type="dxa"/>
            <w:shd w:val="clear" w:color="auto" w:fill="FFFFFF" w:themeFill="background1"/>
            <w:vAlign w:val="center"/>
          </w:tcPr>
          <w:p w14:paraId="023D75FC"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$21,264,111</w:t>
            </w:r>
          </w:p>
        </w:tc>
      </w:tr>
    </w:tbl>
    <w:p w14:paraId="6780A669"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t>Abbreviations: DPMQ, dispensed price maximum quantity; MBS, Medicare Benefits Schedule; N/A, not applicable; NE, not estimable; PBS, Pharmaceutical Benefits Scheme; QALY, quality adjusted life year</w:t>
      </w:r>
    </w:p>
    <w:p w14:paraId="4D7D0099"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vertAlign w:val="superscript"/>
          <w:lang w:eastAsia="en-AU"/>
          <w14:ligatures w14:val="standardContextual"/>
        </w:rPr>
        <w:t xml:space="preserve">a </w:t>
      </w:r>
      <w:r w:rsidRPr="00DE0E06">
        <w:rPr>
          <w:rFonts w:ascii="Arial Narrow" w:eastAsia="Times New Roman" w:hAnsi="Arial Narrow" w:cstheme="minorHAnsi"/>
          <w:snapToGrid w:val="0"/>
          <w:sz w:val="18"/>
          <w:lang w:eastAsia="en-AU"/>
          <w14:ligatures w14:val="standardContextual"/>
        </w:rPr>
        <w:t xml:space="preserve">Assumes that patients who discontinue treatment reinitiate treatment using standard care if they experienced a fracture or in the absence of </w:t>
      </w:r>
      <w:proofErr w:type="gramStart"/>
      <w:r w:rsidRPr="00DE0E06">
        <w:rPr>
          <w:rFonts w:ascii="Arial Narrow" w:eastAsia="Times New Roman" w:hAnsi="Arial Narrow" w:cstheme="minorHAnsi"/>
          <w:snapToGrid w:val="0"/>
          <w:sz w:val="18"/>
          <w:lang w:eastAsia="en-AU"/>
          <w14:ligatures w14:val="standardContextual"/>
        </w:rPr>
        <w:t>fracture, once</w:t>
      </w:r>
      <w:proofErr w:type="gramEnd"/>
      <w:r w:rsidRPr="00DE0E06">
        <w:rPr>
          <w:rFonts w:ascii="Arial Narrow" w:eastAsia="Times New Roman" w:hAnsi="Arial Narrow" w:cstheme="minorHAnsi"/>
          <w:snapToGrid w:val="0"/>
          <w:sz w:val="18"/>
          <w:lang w:eastAsia="en-AU"/>
          <w14:ligatures w14:val="standardContextual"/>
        </w:rPr>
        <w:t xml:space="preserve"> they reached age 70 years.</w:t>
      </w:r>
    </w:p>
    <w:p w14:paraId="4F8CBECE"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vertAlign w:val="superscript"/>
          <w:lang w:eastAsia="en-AU"/>
          <w14:ligatures w14:val="standardContextual"/>
        </w:rPr>
        <w:t xml:space="preserve">b </w:t>
      </w:r>
      <w:r w:rsidRPr="00DE0E06">
        <w:rPr>
          <w:rFonts w:ascii="Arial Narrow" w:eastAsia="Times New Roman" w:hAnsi="Arial Narrow" w:cs="Arial"/>
          <w:snapToGrid w:val="0"/>
          <w:sz w:val="18"/>
          <w:lang w:eastAsia="en-AU"/>
          <w14:ligatures w14:val="standardContextual"/>
        </w:rPr>
        <w:t>Not estimable as testing rates based on MBS item numbers do not differentiate between initial and repeat testing.</w:t>
      </w:r>
    </w:p>
    <w:p w14:paraId="6580BAC7" w14:textId="2937C6B1" w:rsidR="00E07951" w:rsidRDefault="00E07951" w:rsidP="00745006">
      <w:pPr>
        <w:pStyle w:val="COMtablefigcaption"/>
      </w:pPr>
      <w:bookmarkStart w:id="32" w:name="_Ref167807516"/>
      <w:r w:rsidRPr="00DE0E06">
        <w:lastRenderedPageBreak/>
        <w:t xml:space="preserve">Table </w:t>
      </w:r>
      <w:r>
        <w:fldChar w:fldCharType="begin"/>
      </w:r>
      <w:r>
        <w:instrText xml:space="preserve"> SEQ Table \* ARABIC </w:instrText>
      </w:r>
      <w:r>
        <w:fldChar w:fldCharType="separate"/>
      </w:r>
      <w:r w:rsidR="00090261">
        <w:rPr>
          <w:noProof/>
        </w:rPr>
        <w:t>13</w:t>
      </w:r>
      <w:r>
        <w:rPr>
          <w:noProof/>
        </w:rPr>
        <w:fldChar w:fldCharType="end"/>
      </w:r>
      <w:bookmarkEnd w:id="32"/>
      <w:r w:rsidRPr="00DE0E06">
        <w:t xml:space="preserve"> Risedronate 5 mg daily</w:t>
      </w:r>
      <w:r w:rsidR="00B560C3">
        <w:t>; Shaded represents ESCs respecified base case</w:t>
      </w:r>
      <w:r w:rsidR="0016549D">
        <w:t xml:space="preserve">; </w:t>
      </w:r>
      <w:r w:rsidR="0016549D" w:rsidRPr="00C81B63">
        <w:rPr>
          <w:shd w:val="clear" w:color="auto" w:fill="D9D9D9" w:themeFill="background1" w:themeFillShade="D9"/>
        </w:rPr>
        <w:t>Shaded</w:t>
      </w:r>
      <w:r w:rsidR="0016549D">
        <w:t xml:space="preserve"> represents ESCs respecified base </w:t>
      </w:r>
      <w:proofErr w:type="gramStart"/>
      <w:r w:rsidR="0016549D">
        <w:t>case</w:t>
      </w:r>
      <w:proofErr w:type="gramEnd"/>
    </w:p>
    <w:tbl>
      <w:tblPr>
        <w:tblStyle w:val="TableGrid"/>
        <w:tblW w:w="5000" w:type="pct"/>
        <w:tblCellMar>
          <w:left w:w="28" w:type="dxa"/>
          <w:right w:w="28" w:type="dxa"/>
        </w:tblCellMar>
        <w:tblLook w:val="04A0" w:firstRow="1" w:lastRow="0" w:firstColumn="1" w:lastColumn="0" w:noHBand="0" w:noVBand="1"/>
      </w:tblPr>
      <w:tblGrid>
        <w:gridCol w:w="555"/>
        <w:gridCol w:w="714"/>
        <w:gridCol w:w="758"/>
        <w:gridCol w:w="1086"/>
        <w:gridCol w:w="783"/>
        <w:gridCol w:w="783"/>
        <w:gridCol w:w="1027"/>
        <w:gridCol w:w="1051"/>
        <w:gridCol w:w="1143"/>
        <w:gridCol w:w="1116"/>
      </w:tblGrid>
      <w:tr w:rsidR="00A17FCB" w:rsidRPr="00A17FCB" w14:paraId="7DA1831B" w14:textId="77777777">
        <w:tc>
          <w:tcPr>
            <w:tcW w:w="2054" w:type="dxa"/>
            <w:gridSpan w:val="3"/>
            <w:vAlign w:val="center"/>
          </w:tcPr>
          <w:p w14:paraId="1FA8B3C9"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Possible testing scenario</w:t>
            </w:r>
          </w:p>
        </w:tc>
        <w:tc>
          <w:tcPr>
            <w:tcW w:w="4684" w:type="dxa"/>
            <w:gridSpan w:val="5"/>
            <w:vAlign w:val="center"/>
          </w:tcPr>
          <w:p w14:paraId="2605E15D"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Economic evaluation</w:t>
            </w:r>
          </w:p>
        </w:tc>
        <w:tc>
          <w:tcPr>
            <w:tcW w:w="2278" w:type="dxa"/>
            <w:gridSpan w:val="2"/>
            <w:vAlign w:val="center"/>
          </w:tcPr>
          <w:p w14:paraId="4AA3813B"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Budget impact over 6 years</w:t>
            </w:r>
          </w:p>
        </w:tc>
      </w:tr>
      <w:tr w:rsidR="00A17FCB" w:rsidRPr="00A17FCB" w14:paraId="7E094EB9" w14:textId="77777777">
        <w:tc>
          <w:tcPr>
            <w:tcW w:w="560" w:type="dxa"/>
            <w:vMerge w:val="restart"/>
            <w:vAlign w:val="center"/>
          </w:tcPr>
          <w:p w14:paraId="382F985F"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Age range</w:t>
            </w:r>
          </w:p>
        </w:tc>
        <w:tc>
          <w:tcPr>
            <w:tcW w:w="723" w:type="dxa"/>
            <w:vMerge w:val="restart"/>
            <w:vAlign w:val="center"/>
          </w:tcPr>
          <w:p w14:paraId="14F54E34"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Repeat test at 2 years?</w:t>
            </w:r>
          </w:p>
        </w:tc>
        <w:tc>
          <w:tcPr>
            <w:tcW w:w="771" w:type="dxa"/>
            <w:vMerge w:val="restart"/>
            <w:vAlign w:val="center"/>
          </w:tcPr>
          <w:p w14:paraId="21C5E4A1"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Repeat test at 5 years?</w:t>
            </w:r>
          </w:p>
        </w:tc>
        <w:tc>
          <w:tcPr>
            <w:tcW w:w="1086" w:type="dxa"/>
            <w:vMerge w:val="restart"/>
            <w:vAlign w:val="center"/>
          </w:tcPr>
          <w:p w14:paraId="3FE0AFC2"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Cost per additional osteoporosis diagnosis</w:t>
            </w:r>
          </w:p>
        </w:tc>
        <w:tc>
          <w:tcPr>
            <w:tcW w:w="3598" w:type="dxa"/>
            <w:gridSpan w:val="4"/>
            <w:vAlign w:val="center"/>
          </w:tcPr>
          <w:p w14:paraId="29C372F4"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Cost per QALY gained</w:t>
            </w:r>
          </w:p>
        </w:tc>
        <w:tc>
          <w:tcPr>
            <w:tcW w:w="1150" w:type="dxa"/>
            <w:vMerge w:val="restart"/>
            <w:vAlign w:val="center"/>
          </w:tcPr>
          <w:p w14:paraId="4A1DCD70"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MBS</w:t>
            </w:r>
          </w:p>
        </w:tc>
        <w:tc>
          <w:tcPr>
            <w:tcW w:w="1128" w:type="dxa"/>
            <w:vMerge w:val="restart"/>
            <w:vAlign w:val="center"/>
          </w:tcPr>
          <w:p w14:paraId="745F1082"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PBS</w:t>
            </w:r>
          </w:p>
        </w:tc>
      </w:tr>
      <w:tr w:rsidR="00A17FCB" w:rsidRPr="00A17FCB" w14:paraId="5A5523B0" w14:textId="77777777" w:rsidTr="002709C7">
        <w:tc>
          <w:tcPr>
            <w:tcW w:w="560" w:type="dxa"/>
            <w:vMerge/>
            <w:vAlign w:val="center"/>
          </w:tcPr>
          <w:p w14:paraId="461E0704"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p>
        </w:tc>
        <w:tc>
          <w:tcPr>
            <w:tcW w:w="723" w:type="dxa"/>
            <w:vMerge/>
            <w:vAlign w:val="center"/>
          </w:tcPr>
          <w:p w14:paraId="09000F61"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p>
        </w:tc>
        <w:tc>
          <w:tcPr>
            <w:tcW w:w="771" w:type="dxa"/>
            <w:vMerge/>
            <w:vAlign w:val="center"/>
          </w:tcPr>
          <w:p w14:paraId="625AB76E"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p>
        </w:tc>
        <w:tc>
          <w:tcPr>
            <w:tcW w:w="1086" w:type="dxa"/>
            <w:vMerge/>
            <w:vAlign w:val="center"/>
          </w:tcPr>
          <w:p w14:paraId="4D3BE3D5"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p>
        </w:tc>
        <w:tc>
          <w:tcPr>
            <w:tcW w:w="786" w:type="dxa"/>
            <w:vAlign w:val="center"/>
          </w:tcPr>
          <w:p w14:paraId="0DA0394D"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Base case</w:t>
            </w:r>
          </w:p>
        </w:tc>
        <w:tc>
          <w:tcPr>
            <w:tcW w:w="786" w:type="dxa"/>
            <w:vAlign w:val="center"/>
          </w:tcPr>
          <w:p w14:paraId="56C2E70F"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proofErr w:type="gramStart"/>
            <w:r w:rsidRPr="00A17FCB">
              <w:rPr>
                <w:rFonts w:ascii="Arial Narrow" w:eastAsia="Times New Roman" w:hAnsi="Arial Narrow" w:cs="Arial"/>
                <w:b/>
                <w:bCs/>
                <w:sz w:val="20"/>
                <w:szCs w:val="20"/>
                <w:lang w:eastAsia="en-AU"/>
                <w14:ligatures w14:val="standardContextual"/>
              </w:rPr>
              <w:t>10 year</w:t>
            </w:r>
            <w:proofErr w:type="gramEnd"/>
            <w:r w:rsidRPr="00A17FCB">
              <w:rPr>
                <w:rFonts w:ascii="Arial Narrow" w:eastAsia="Times New Roman" w:hAnsi="Arial Narrow" w:cs="Arial"/>
                <w:b/>
                <w:bCs/>
                <w:sz w:val="20"/>
                <w:szCs w:val="20"/>
                <w:lang w:eastAsia="en-AU"/>
                <w14:ligatures w14:val="standardContextual"/>
              </w:rPr>
              <w:t xml:space="preserve"> time horizon</w:t>
            </w:r>
          </w:p>
        </w:tc>
        <w:tc>
          <w:tcPr>
            <w:tcW w:w="968" w:type="dxa"/>
            <w:vAlign w:val="center"/>
          </w:tcPr>
          <w:p w14:paraId="0E270B1C"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r w:rsidRPr="00A17FCB">
              <w:rPr>
                <w:rFonts w:ascii="Arial Narrow" w:eastAsia="Times New Roman" w:hAnsi="Arial Narrow" w:cs="Arial"/>
                <w:b/>
                <w:bCs/>
                <w:sz w:val="20"/>
                <w:szCs w:val="20"/>
                <w:lang w:eastAsia="en-AU"/>
                <w14:ligatures w14:val="standardContextual"/>
              </w:rPr>
              <w:t xml:space="preserve">Imperfect </w:t>
            </w:r>
            <w:proofErr w:type="spellStart"/>
            <w:r w:rsidRPr="00A17FCB">
              <w:rPr>
                <w:rFonts w:ascii="Arial Narrow" w:eastAsia="Times New Roman" w:hAnsi="Arial Narrow" w:cs="Arial"/>
                <w:b/>
                <w:bCs/>
                <w:sz w:val="20"/>
                <w:szCs w:val="20"/>
                <w:lang w:eastAsia="en-AU"/>
                <w14:ligatures w14:val="standardContextual"/>
              </w:rPr>
              <w:t>persistence</w:t>
            </w:r>
            <w:r w:rsidRPr="00A17FCB">
              <w:rPr>
                <w:rFonts w:ascii="Arial Narrow" w:eastAsia="Times New Roman" w:hAnsi="Arial Narrow" w:cs="Arial"/>
                <w:b/>
                <w:bCs/>
                <w:sz w:val="20"/>
                <w:szCs w:val="20"/>
                <w:vertAlign w:val="superscript"/>
                <w:lang w:eastAsia="en-AU"/>
                <w14:ligatures w14:val="standardContextual"/>
              </w:rPr>
              <w:t>a</w:t>
            </w:r>
            <w:proofErr w:type="spellEnd"/>
          </w:p>
        </w:tc>
        <w:tc>
          <w:tcPr>
            <w:tcW w:w="1058" w:type="dxa"/>
            <w:shd w:val="clear" w:color="auto" w:fill="D9D9D9" w:themeFill="background1" w:themeFillShade="D9"/>
            <w:vAlign w:val="center"/>
          </w:tcPr>
          <w:p w14:paraId="0AE1F0CA"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proofErr w:type="gramStart"/>
            <w:r w:rsidRPr="00A17FCB">
              <w:rPr>
                <w:rFonts w:ascii="Arial Narrow" w:eastAsia="Times New Roman" w:hAnsi="Arial Narrow" w:cs="Arial"/>
                <w:b/>
                <w:bCs/>
                <w:sz w:val="20"/>
                <w:szCs w:val="20"/>
                <w:lang w:eastAsia="en-AU"/>
                <w14:ligatures w14:val="standardContextual"/>
              </w:rPr>
              <w:t>10 year</w:t>
            </w:r>
            <w:proofErr w:type="gramEnd"/>
            <w:r w:rsidRPr="00A17FCB">
              <w:rPr>
                <w:rFonts w:ascii="Arial Narrow" w:eastAsia="Times New Roman" w:hAnsi="Arial Narrow" w:cs="Arial"/>
                <w:b/>
                <w:bCs/>
                <w:sz w:val="20"/>
                <w:szCs w:val="20"/>
                <w:lang w:eastAsia="en-AU"/>
                <w14:ligatures w14:val="standardContextual"/>
              </w:rPr>
              <w:t xml:space="preserve"> time horizon and imperfect persistence</w:t>
            </w:r>
          </w:p>
        </w:tc>
        <w:tc>
          <w:tcPr>
            <w:tcW w:w="1150" w:type="dxa"/>
            <w:vMerge/>
            <w:vAlign w:val="center"/>
          </w:tcPr>
          <w:p w14:paraId="18DF3107"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p>
        </w:tc>
        <w:tc>
          <w:tcPr>
            <w:tcW w:w="1128" w:type="dxa"/>
            <w:vMerge/>
            <w:vAlign w:val="center"/>
          </w:tcPr>
          <w:p w14:paraId="4568A37F" w14:textId="77777777" w:rsidR="00A17FCB" w:rsidRPr="00A17FCB" w:rsidRDefault="00A17FCB" w:rsidP="00A17FCB">
            <w:pPr>
              <w:keepNext/>
              <w:keepLines/>
              <w:spacing w:after="0"/>
              <w:jc w:val="both"/>
              <w:rPr>
                <w:rFonts w:ascii="Arial Narrow" w:eastAsia="Times New Roman" w:hAnsi="Arial Narrow" w:cs="Arial"/>
                <w:b/>
                <w:bCs/>
                <w:sz w:val="20"/>
                <w:szCs w:val="20"/>
                <w:lang w:eastAsia="en-AU"/>
                <w14:ligatures w14:val="standardContextual"/>
              </w:rPr>
            </w:pPr>
          </w:p>
        </w:tc>
      </w:tr>
      <w:tr w:rsidR="00A17FCB" w:rsidRPr="00A17FCB" w14:paraId="33F0E187" w14:textId="77777777">
        <w:tc>
          <w:tcPr>
            <w:tcW w:w="9016" w:type="dxa"/>
            <w:gridSpan w:val="10"/>
          </w:tcPr>
          <w:p w14:paraId="0F470E00" w14:textId="77777777" w:rsidR="00A17FCB" w:rsidRPr="00A17FCB" w:rsidRDefault="00A17FCB" w:rsidP="00A17FCB">
            <w:pPr>
              <w:keepNext/>
              <w:keepLines/>
              <w:spacing w:after="0"/>
              <w:jc w:val="both"/>
              <w:rPr>
                <w:rFonts w:ascii="Arial Narrow" w:eastAsia="Times New Roman" w:hAnsi="Arial Narrow" w:cs="Arial"/>
                <w:b/>
                <w:bCs/>
                <w:sz w:val="20"/>
                <w:szCs w:val="20"/>
                <w:lang w:val="en-US" w:eastAsia="en-AU"/>
                <w14:ligatures w14:val="standardContextual"/>
              </w:rPr>
            </w:pPr>
            <w:r w:rsidRPr="00A17FCB">
              <w:rPr>
                <w:rFonts w:ascii="Arial Narrow" w:eastAsia="Times New Roman" w:hAnsi="Arial Narrow" w:cs="Arial"/>
                <w:b/>
                <w:bCs/>
                <w:sz w:val="20"/>
                <w:szCs w:val="20"/>
                <w:lang w:val="en-US" w:eastAsia="en-AU"/>
                <w14:ligatures w14:val="standardContextual"/>
              </w:rPr>
              <w:t>30-day dispensing (DPMQ $37.00)</w:t>
            </w:r>
          </w:p>
        </w:tc>
      </w:tr>
      <w:tr w:rsidR="00A17FCB" w:rsidRPr="00A17FCB" w14:paraId="058D4592" w14:textId="77777777">
        <w:tc>
          <w:tcPr>
            <w:tcW w:w="560" w:type="dxa"/>
          </w:tcPr>
          <w:p w14:paraId="3B08D57B"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60-69 years</w:t>
            </w:r>
          </w:p>
        </w:tc>
        <w:tc>
          <w:tcPr>
            <w:tcW w:w="723" w:type="dxa"/>
            <w:vAlign w:val="center"/>
          </w:tcPr>
          <w:p w14:paraId="5CF2969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Yes</w:t>
            </w:r>
          </w:p>
        </w:tc>
        <w:tc>
          <w:tcPr>
            <w:tcW w:w="771" w:type="dxa"/>
            <w:vAlign w:val="center"/>
          </w:tcPr>
          <w:p w14:paraId="61870C12"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Yes</w:t>
            </w:r>
          </w:p>
        </w:tc>
        <w:tc>
          <w:tcPr>
            <w:tcW w:w="1086" w:type="dxa"/>
            <w:vAlign w:val="center"/>
          </w:tcPr>
          <w:p w14:paraId="14E6EEC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$4,673</w:t>
            </w:r>
          </w:p>
        </w:tc>
        <w:tc>
          <w:tcPr>
            <w:tcW w:w="786" w:type="dxa"/>
            <w:vAlign w:val="center"/>
          </w:tcPr>
          <w:p w14:paraId="7A61F7EA"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$158,747</w:t>
            </w:r>
          </w:p>
        </w:tc>
        <w:tc>
          <w:tcPr>
            <w:tcW w:w="786" w:type="dxa"/>
            <w:vAlign w:val="center"/>
          </w:tcPr>
          <w:p w14:paraId="1B70C6B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$352,173</w:t>
            </w:r>
          </w:p>
        </w:tc>
        <w:tc>
          <w:tcPr>
            <w:tcW w:w="968" w:type="dxa"/>
            <w:vAlign w:val="center"/>
          </w:tcPr>
          <w:p w14:paraId="50852EE1"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$622,870</w:t>
            </w:r>
          </w:p>
        </w:tc>
        <w:tc>
          <w:tcPr>
            <w:tcW w:w="1058" w:type="dxa"/>
            <w:vAlign w:val="center"/>
          </w:tcPr>
          <w:p w14:paraId="20644EFF"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$1,191,929</w:t>
            </w:r>
          </w:p>
        </w:tc>
        <w:tc>
          <w:tcPr>
            <w:tcW w:w="1150" w:type="dxa"/>
            <w:vAlign w:val="center"/>
          </w:tcPr>
          <w:p w14:paraId="43375DA2"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$134,505,759</w:t>
            </w:r>
          </w:p>
        </w:tc>
        <w:tc>
          <w:tcPr>
            <w:tcW w:w="1128" w:type="dxa"/>
            <w:vAlign w:val="center"/>
          </w:tcPr>
          <w:p w14:paraId="3E0FF741"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$56,242,980</w:t>
            </w:r>
          </w:p>
        </w:tc>
      </w:tr>
      <w:tr w:rsidR="00A17FCB" w:rsidRPr="00A17FCB" w14:paraId="2D75FD6F" w14:textId="77777777">
        <w:tc>
          <w:tcPr>
            <w:tcW w:w="560" w:type="dxa"/>
          </w:tcPr>
          <w:p w14:paraId="17B2940F"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60-69 years</w:t>
            </w:r>
          </w:p>
        </w:tc>
        <w:tc>
          <w:tcPr>
            <w:tcW w:w="723" w:type="dxa"/>
            <w:vAlign w:val="center"/>
          </w:tcPr>
          <w:p w14:paraId="38E6C8C2"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No</w:t>
            </w:r>
          </w:p>
        </w:tc>
        <w:tc>
          <w:tcPr>
            <w:tcW w:w="771" w:type="dxa"/>
            <w:vAlign w:val="center"/>
          </w:tcPr>
          <w:p w14:paraId="08B094F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Yes</w:t>
            </w:r>
          </w:p>
        </w:tc>
        <w:tc>
          <w:tcPr>
            <w:tcW w:w="1086" w:type="dxa"/>
            <w:vAlign w:val="center"/>
          </w:tcPr>
          <w:p w14:paraId="795097E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$3,483</w:t>
            </w:r>
          </w:p>
        </w:tc>
        <w:tc>
          <w:tcPr>
            <w:tcW w:w="786" w:type="dxa"/>
            <w:vAlign w:val="center"/>
          </w:tcPr>
          <w:p w14:paraId="23E1867D"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$119,624</w:t>
            </w:r>
          </w:p>
        </w:tc>
        <w:tc>
          <w:tcPr>
            <w:tcW w:w="786" w:type="dxa"/>
            <w:vAlign w:val="center"/>
          </w:tcPr>
          <w:p w14:paraId="1DF13B29"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$272,342</w:t>
            </w:r>
          </w:p>
        </w:tc>
        <w:tc>
          <w:tcPr>
            <w:tcW w:w="968" w:type="dxa"/>
            <w:vAlign w:val="center"/>
          </w:tcPr>
          <w:p w14:paraId="4A774DE4"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$477,818</w:t>
            </w:r>
          </w:p>
        </w:tc>
        <w:tc>
          <w:tcPr>
            <w:tcW w:w="1058" w:type="dxa"/>
            <w:vAlign w:val="center"/>
          </w:tcPr>
          <w:p w14:paraId="5DF3EDE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$915,969</w:t>
            </w:r>
          </w:p>
        </w:tc>
        <w:tc>
          <w:tcPr>
            <w:tcW w:w="1150" w:type="dxa"/>
            <w:vAlign w:val="center"/>
          </w:tcPr>
          <w:p w14:paraId="71FBB5F3"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$104,985,636</w:t>
            </w:r>
          </w:p>
        </w:tc>
        <w:tc>
          <w:tcPr>
            <w:tcW w:w="1128" w:type="dxa"/>
            <w:vAlign w:val="center"/>
          </w:tcPr>
          <w:p w14:paraId="60801A18"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$42,942,715</w:t>
            </w:r>
          </w:p>
        </w:tc>
      </w:tr>
      <w:tr w:rsidR="00A17FCB" w:rsidRPr="00A17FCB" w14:paraId="363F6865" w14:textId="77777777">
        <w:tc>
          <w:tcPr>
            <w:tcW w:w="560" w:type="dxa"/>
          </w:tcPr>
          <w:p w14:paraId="228868B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60-69 years</w:t>
            </w:r>
          </w:p>
        </w:tc>
        <w:tc>
          <w:tcPr>
            <w:tcW w:w="723" w:type="dxa"/>
            <w:vAlign w:val="center"/>
          </w:tcPr>
          <w:p w14:paraId="6624E7D9"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No</w:t>
            </w:r>
          </w:p>
        </w:tc>
        <w:tc>
          <w:tcPr>
            <w:tcW w:w="771" w:type="dxa"/>
            <w:vAlign w:val="center"/>
          </w:tcPr>
          <w:p w14:paraId="30DF6DB6"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No</w:t>
            </w:r>
          </w:p>
        </w:tc>
        <w:tc>
          <w:tcPr>
            <w:tcW w:w="1086" w:type="dxa"/>
            <w:vAlign w:val="center"/>
          </w:tcPr>
          <w:p w14:paraId="0680BEF4"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$2,144</w:t>
            </w:r>
          </w:p>
        </w:tc>
        <w:tc>
          <w:tcPr>
            <w:tcW w:w="786" w:type="dxa"/>
            <w:vAlign w:val="center"/>
          </w:tcPr>
          <w:p w14:paraId="142A5655"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$75,603</w:t>
            </w:r>
          </w:p>
        </w:tc>
        <w:tc>
          <w:tcPr>
            <w:tcW w:w="786" w:type="dxa"/>
            <w:vAlign w:val="center"/>
          </w:tcPr>
          <w:p w14:paraId="373EBD7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$182,516</w:t>
            </w:r>
          </w:p>
        </w:tc>
        <w:tc>
          <w:tcPr>
            <w:tcW w:w="968" w:type="dxa"/>
            <w:vAlign w:val="center"/>
          </w:tcPr>
          <w:p w14:paraId="7CF8509A"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$314,603</w:t>
            </w:r>
          </w:p>
        </w:tc>
        <w:tc>
          <w:tcPr>
            <w:tcW w:w="1058" w:type="dxa"/>
            <w:vAlign w:val="center"/>
          </w:tcPr>
          <w:p w14:paraId="5D392F3C"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$605,456</w:t>
            </w:r>
          </w:p>
        </w:tc>
        <w:tc>
          <w:tcPr>
            <w:tcW w:w="1150" w:type="dxa"/>
            <w:vAlign w:val="center"/>
          </w:tcPr>
          <w:p w14:paraId="75D60469"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proofErr w:type="spellStart"/>
            <w:r w:rsidRPr="00A17FCB">
              <w:rPr>
                <w:rFonts w:ascii="Arial Narrow" w:eastAsia="Times New Roman" w:hAnsi="Arial Narrow" w:cs="Arial"/>
                <w:sz w:val="20"/>
                <w:szCs w:val="20"/>
                <w:lang w:eastAsia="en-AU"/>
                <w14:ligatures w14:val="standardContextual"/>
              </w:rPr>
              <w:t>NE</w:t>
            </w:r>
            <w:r w:rsidRPr="00A17FCB">
              <w:rPr>
                <w:rFonts w:ascii="Arial Narrow" w:eastAsia="Times New Roman" w:hAnsi="Arial Narrow" w:cs="Arial"/>
                <w:sz w:val="20"/>
                <w:szCs w:val="20"/>
                <w:vertAlign w:val="superscript"/>
                <w:lang w:eastAsia="en-AU"/>
                <w14:ligatures w14:val="standardContextual"/>
              </w:rPr>
              <w:t>b</w:t>
            </w:r>
            <w:proofErr w:type="spellEnd"/>
          </w:p>
        </w:tc>
        <w:tc>
          <w:tcPr>
            <w:tcW w:w="1128" w:type="dxa"/>
            <w:vAlign w:val="center"/>
          </w:tcPr>
          <w:p w14:paraId="2E741466"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proofErr w:type="spellStart"/>
            <w:r w:rsidRPr="00A17FCB">
              <w:rPr>
                <w:rFonts w:ascii="Arial Narrow" w:eastAsia="Times New Roman" w:hAnsi="Arial Narrow" w:cs="Arial"/>
                <w:sz w:val="20"/>
                <w:szCs w:val="20"/>
                <w:lang w:eastAsia="en-AU"/>
                <w14:ligatures w14:val="standardContextual"/>
              </w:rPr>
              <w:t>NE</w:t>
            </w:r>
            <w:r w:rsidRPr="00A17FCB">
              <w:rPr>
                <w:rFonts w:ascii="Arial Narrow" w:eastAsia="Times New Roman" w:hAnsi="Arial Narrow" w:cs="Arial"/>
                <w:sz w:val="20"/>
                <w:szCs w:val="20"/>
                <w:vertAlign w:val="superscript"/>
                <w:lang w:eastAsia="en-AU"/>
                <w14:ligatures w14:val="standardContextual"/>
              </w:rPr>
              <w:t>b</w:t>
            </w:r>
            <w:proofErr w:type="spellEnd"/>
          </w:p>
        </w:tc>
      </w:tr>
      <w:tr w:rsidR="00A17FCB" w:rsidRPr="00A17FCB" w14:paraId="1F687B8A" w14:textId="77777777">
        <w:tc>
          <w:tcPr>
            <w:tcW w:w="560" w:type="dxa"/>
          </w:tcPr>
          <w:p w14:paraId="3994AE47"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65-69 years</w:t>
            </w:r>
          </w:p>
        </w:tc>
        <w:tc>
          <w:tcPr>
            <w:tcW w:w="723" w:type="dxa"/>
            <w:vAlign w:val="center"/>
          </w:tcPr>
          <w:p w14:paraId="17EEAD7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Yes</w:t>
            </w:r>
          </w:p>
        </w:tc>
        <w:tc>
          <w:tcPr>
            <w:tcW w:w="771" w:type="dxa"/>
            <w:vAlign w:val="center"/>
          </w:tcPr>
          <w:p w14:paraId="3A826A21"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N/A</w:t>
            </w:r>
          </w:p>
        </w:tc>
        <w:tc>
          <w:tcPr>
            <w:tcW w:w="1086" w:type="dxa"/>
            <w:vAlign w:val="center"/>
          </w:tcPr>
          <w:p w14:paraId="382E4609"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$1,576</w:t>
            </w:r>
          </w:p>
        </w:tc>
        <w:tc>
          <w:tcPr>
            <w:tcW w:w="786" w:type="dxa"/>
            <w:vAlign w:val="center"/>
          </w:tcPr>
          <w:p w14:paraId="62419D23"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$75,056</w:t>
            </w:r>
          </w:p>
        </w:tc>
        <w:tc>
          <w:tcPr>
            <w:tcW w:w="786" w:type="dxa"/>
            <w:vAlign w:val="center"/>
          </w:tcPr>
          <w:p w14:paraId="0A3627B4"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$184,635</w:t>
            </w:r>
          </w:p>
        </w:tc>
        <w:tc>
          <w:tcPr>
            <w:tcW w:w="968" w:type="dxa"/>
            <w:vAlign w:val="center"/>
          </w:tcPr>
          <w:p w14:paraId="5A9DCBA7"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$265,101</w:t>
            </w:r>
          </w:p>
        </w:tc>
        <w:tc>
          <w:tcPr>
            <w:tcW w:w="1058" w:type="dxa"/>
            <w:vAlign w:val="center"/>
          </w:tcPr>
          <w:p w14:paraId="729AA666"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$509,393</w:t>
            </w:r>
          </w:p>
        </w:tc>
        <w:tc>
          <w:tcPr>
            <w:tcW w:w="1150" w:type="dxa"/>
            <w:vAlign w:val="center"/>
          </w:tcPr>
          <w:p w14:paraId="31EE840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$65,383,476</w:t>
            </w:r>
          </w:p>
        </w:tc>
        <w:tc>
          <w:tcPr>
            <w:tcW w:w="1128" w:type="dxa"/>
            <w:vAlign w:val="center"/>
          </w:tcPr>
          <w:p w14:paraId="264AD209"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$34,404,384</w:t>
            </w:r>
          </w:p>
        </w:tc>
      </w:tr>
      <w:tr w:rsidR="00A17FCB" w:rsidRPr="00A17FCB" w14:paraId="1566FDA9" w14:textId="77777777" w:rsidTr="00C81B63">
        <w:tc>
          <w:tcPr>
            <w:tcW w:w="560" w:type="dxa"/>
          </w:tcPr>
          <w:p w14:paraId="06580F9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65-69 years</w:t>
            </w:r>
          </w:p>
        </w:tc>
        <w:tc>
          <w:tcPr>
            <w:tcW w:w="723" w:type="dxa"/>
            <w:vAlign w:val="center"/>
          </w:tcPr>
          <w:p w14:paraId="7B59C427"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No</w:t>
            </w:r>
          </w:p>
        </w:tc>
        <w:tc>
          <w:tcPr>
            <w:tcW w:w="771" w:type="dxa"/>
            <w:vAlign w:val="center"/>
          </w:tcPr>
          <w:p w14:paraId="3DC6F8E4"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N/A</w:t>
            </w:r>
          </w:p>
        </w:tc>
        <w:tc>
          <w:tcPr>
            <w:tcW w:w="1086" w:type="dxa"/>
            <w:vAlign w:val="center"/>
          </w:tcPr>
          <w:p w14:paraId="15470BE3"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$1,154</w:t>
            </w:r>
          </w:p>
        </w:tc>
        <w:tc>
          <w:tcPr>
            <w:tcW w:w="786" w:type="dxa"/>
            <w:vAlign w:val="center"/>
          </w:tcPr>
          <w:p w14:paraId="619FBAC3"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$51,370</w:t>
            </w:r>
          </w:p>
        </w:tc>
        <w:tc>
          <w:tcPr>
            <w:tcW w:w="786" w:type="dxa"/>
            <w:vAlign w:val="center"/>
          </w:tcPr>
          <w:p w14:paraId="47CCA6A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$138,125</w:t>
            </w:r>
          </w:p>
        </w:tc>
        <w:tc>
          <w:tcPr>
            <w:tcW w:w="968" w:type="dxa"/>
            <w:vAlign w:val="center"/>
          </w:tcPr>
          <w:p w14:paraId="11213586"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$207,113</w:t>
            </w:r>
          </w:p>
        </w:tc>
        <w:tc>
          <w:tcPr>
            <w:tcW w:w="1058" w:type="dxa"/>
            <w:shd w:val="clear" w:color="auto" w:fill="D9D9D9" w:themeFill="background1" w:themeFillShade="D9"/>
            <w:vAlign w:val="center"/>
          </w:tcPr>
          <w:p w14:paraId="420F10A6"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$399,162</w:t>
            </w:r>
          </w:p>
        </w:tc>
        <w:tc>
          <w:tcPr>
            <w:tcW w:w="1150" w:type="dxa"/>
            <w:shd w:val="clear" w:color="auto" w:fill="FFFFFF" w:themeFill="background1"/>
            <w:vAlign w:val="center"/>
          </w:tcPr>
          <w:p w14:paraId="56FE8845"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$51,022,041</w:t>
            </w:r>
          </w:p>
        </w:tc>
        <w:tc>
          <w:tcPr>
            <w:tcW w:w="1128" w:type="dxa"/>
            <w:shd w:val="clear" w:color="auto" w:fill="FFFFFF" w:themeFill="background1"/>
            <w:vAlign w:val="center"/>
          </w:tcPr>
          <w:p w14:paraId="7DBEA258"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$26,267,226</w:t>
            </w:r>
          </w:p>
        </w:tc>
      </w:tr>
      <w:tr w:rsidR="00A17FCB" w:rsidRPr="00A17FCB" w14:paraId="3922F1AE" w14:textId="77777777">
        <w:tc>
          <w:tcPr>
            <w:tcW w:w="9016" w:type="dxa"/>
            <w:gridSpan w:val="10"/>
          </w:tcPr>
          <w:p w14:paraId="2B1E0141" w14:textId="77777777" w:rsidR="00A17FCB" w:rsidRPr="00A17FCB" w:rsidRDefault="00A17FCB" w:rsidP="00A17FCB">
            <w:pPr>
              <w:keepNext/>
              <w:keepLines/>
              <w:spacing w:after="0"/>
              <w:jc w:val="both"/>
              <w:rPr>
                <w:rFonts w:ascii="Arial Narrow" w:eastAsia="Times New Roman" w:hAnsi="Arial Narrow" w:cs="Arial"/>
                <w:b/>
                <w:bCs/>
                <w:sz w:val="20"/>
                <w:szCs w:val="20"/>
                <w:lang w:val="en-US" w:eastAsia="en-AU"/>
                <w14:ligatures w14:val="standardContextual"/>
              </w:rPr>
            </w:pPr>
            <w:r w:rsidRPr="00A17FCB">
              <w:rPr>
                <w:rFonts w:ascii="Arial Narrow" w:eastAsia="Times New Roman" w:hAnsi="Arial Narrow" w:cs="Arial"/>
                <w:b/>
                <w:bCs/>
                <w:sz w:val="20"/>
                <w:szCs w:val="20"/>
                <w:lang w:val="en-US" w:eastAsia="en-AU"/>
                <w14:ligatures w14:val="standardContextual"/>
              </w:rPr>
              <w:t>60-day dispensing (DPMQ $61.01)</w:t>
            </w:r>
          </w:p>
        </w:tc>
      </w:tr>
      <w:tr w:rsidR="00A17FCB" w:rsidRPr="00A17FCB" w14:paraId="6F078360" w14:textId="77777777">
        <w:tc>
          <w:tcPr>
            <w:tcW w:w="560" w:type="dxa"/>
          </w:tcPr>
          <w:p w14:paraId="0C9E7C9A"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60-69 years</w:t>
            </w:r>
          </w:p>
        </w:tc>
        <w:tc>
          <w:tcPr>
            <w:tcW w:w="723" w:type="dxa"/>
            <w:vAlign w:val="center"/>
          </w:tcPr>
          <w:p w14:paraId="371ED20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Yes</w:t>
            </w:r>
          </w:p>
        </w:tc>
        <w:tc>
          <w:tcPr>
            <w:tcW w:w="771" w:type="dxa"/>
            <w:vAlign w:val="center"/>
          </w:tcPr>
          <w:p w14:paraId="346B0A5D"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Yes</w:t>
            </w:r>
          </w:p>
        </w:tc>
        <w:tc>
          <w:tcPr>
            <w:tcW w:w="1086" w:type="dxa"/>
            <w:vAlign w:val="center"/>
          </w:tcPr>
          <w:p w14:paraId="09796CC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$4,673</w:t>
            </w:r>
          </w:p>
        </w:tc>
        <w:tc>
          <w:tcPr>
            <w:tcW w:w="786" w:type="dxa"/>
            <w:vAlign w:val="center"/>
          </w:tcPr>
          <w:p w14:paraId="124DC8DC"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$138,880</w:t>
            </w:r>
          </w:p>
        </w:tc>
        <w:tc>
          <w:tcPr>
            <w:tcW w:w="786" w:type="dxa"/>
            <w:vAlign w:val="center"/>
          </w:tcPr>
          <w:p w14:paraId="4D1F61DC"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$323,471</w:t>
            </w:r>
          </w:p>
        </w:tc>
        <w:tc>
          <w:tcPr>
            <w:tcW w:w="968" w:type="dxa"/>
            <w:vAlign w:val="center"/>
          </w:tcPr>
          <w:p w14:paraId="47FA08C4"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$611,832</w:t>
            </w:r>
          </w:p>
        </w:tc>
        <w:tc>
          <w:tcPr>
            <w:tcW w:w="1058" w:type="dxa"/>
            <w:vAlign w:val="center"/>
          </w:tcPr>
          <w:p w14:paraId="5E2F2ADB"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$1,170,894</w:t>
            </w:r>
          </w:p>
        </w:tc>
        <w:tc>
          <w:tcPr>
            <w:tcW w:w="1150" w:type="dxa"/>
            <w:vAlign w:val="center"/>
          </w:tcPr>
          <w:p w14:paraId="528C03BA"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$134,505,759</w:t>
            </w:r>
          </w:p>
        </w:tc>
        <w:tc>
          <w:tcPr>
            <w:tcW w:w="1128" w:type="dxa"/>
            <w:vAlign w:val="center"/>
          </w:tcPr>
          <w:p w14:paraId="6077CD3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$53,102,416</w:t>
            </w:r>
          </w:p>
        </w:tc>
      </w:tr>
      <w:tr w:rsidR="00A17FCB" w:rsidRPr="00A17FCB" w14:paraId="68EFE99A" w14:textId="77777777">
        <w:tc>
          <w:tcPr>
            <w:tcW w:w="560" w:type="dxa"/>
          </w:tcPr>
          <w:p w14:paraId="0E47EB05"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60-69 years</w:t>
            </w:r>
          </w:p>
        </w:tc>
        <w:tc>
          <w:tcPr>
            <w:tcW w:w="723" w:type="dxa"/>
            <w:vAlign w:val="center"/>
          </w:tcPr>
          <w:p w14:paraId="780FDD14"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No</w:t>
            </w:r>
          </w:p>
        </w:tc>
        <w:tc>
          <w:tcPr>
            <w:tcW w:w="771" w:type="dxa"/>
            <w:vAlign w:val="center"/>
          </w:tcPr>
          <w:p w14:paraId="13A1464C"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Yes</w:t>
            </w:r>
          </w:p>
        </w:tc>
        <w:tc>
          <w:tcPr>
            <w:tcW w:w="1086" w:type="dxa"/>
            <w:vAlign w:val="center"/>
          </w:tcPr>
          <w:p w14:paraId="2D12992B"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$3,483</w:t>
            </w:r>
          </w:p>
        </w:tc>
        <w:tc>
          <w:tcPr>
            <w:tcW w:w="786" w:type="dxa"/>
            <w:vAlign w:val="center"/>
          </w:tcPr>
          <w:p w14:paraId="3D8ACC01"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$99,757</w:t>
            </w:r>
          </w:p>
        </w:tc>
        <w:tc>
          <w:tcPr>
            <w:tcW w:w="786" w:type="dxa"/>
            <w:vAlign w:val="center"/>
          </w:tcPr>
          <w:p w14:paraId="10C123D9"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$243,640</w:t>
            </w:r>
          </w:p>
        </w:tc>
        <w:tc>
          <w:tcPr>
            <w:tcW w:w="968" w:type="dxa"/>
            <w:vAlign w:val="center"/>
          </w:tcPr>
          <w:p w14:paraId="5C88FB5F"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$466,779</w:t>
            </w:r>
          </w:p>
        </w:tc>
        <w:tc>
          <w:tcPr>
            <w:tcW w:w="1058" w:type="dxa"/>
            <w:vAlign w:val="center"/>
          </w:tcPr>
          <w:p w14:paraId="0E20468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$894,934</w:t>
            </w:r>
          </w:p>
        </w:tc>
        <w:tc>
          <w:tcPr>
            <w:tcW w:w="1150" w:type="dxa"/>
            <w:vAlign w:val="center"/>
          </w:tcPr>
          <w:p w14:paraId="073F5D4D"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$104,985,636</w:t>
            </w:r>
          </w:p>
        </w:tc>
        <w:tc>
          <w:tcPr>
            <w:tcW w:w="1128" w:type="dxa"/>
            <w:vAlign w:val="center"/>
          </w:tcPr>
          <w:p w14:paraId="24EB10CA"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$40,544,827</w:t>
            </w:r>
          </w:p>
        </w:tc>
      </w:tr>
      <w:tr w:rsidR="00A17FCB" w:rsidRPr="00A17FCB" w14:paraId="0F1F7B3B" w14:textId="77777777">
        <w:tc>
          <w:tcPr>
            <w:tcW w:w="560" w:type="dxa"/>
          </w:tcPr>
          <w:p w14:paraId="56E19914"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60-69 years</w:t>
            </w:r>
          </w:p>
        </w:tc>
        <w:tc>
          <w:tcPr>
            <w:tcW w:w="723" w:type="dxa"/>
            <w:vAlign w:val="center"/>
          </w:tcPr>
          <w:p w14:paraId="27BA6FD4"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No</w:t>
            </w:r>
          </w:p>
        </w:tc>
        <w:tc>
          <w:tcPr>
            <w:tcW w:w="771" w:type="dxa"/>
            <w:vAlign w:val="center"/>
          </w:tcPr>
          <w:p w14:paraId="3660F082"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No</w:t>
            </w:r>
          </w:p>
        </w:tc>
        <w:tc>
          <w:tcPr>
            <w:tcW w:w="1086" w:type="dxa"/>
            <w:vAlign w:val="center"/>
          </w:tcPr>
          <w:p w14:paraId="3FF7728F"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$2,144</w:t>
            </w:r>
          </w:p>
        </w:tc>
        <w:tc>
          <w:tcPr>
            <w:tcW w:w="786" w:type="dxa"/>
            <w:vAlign w:val="center"/>
          </w:tcPr>
          <w:p w14:paraId="12F2AECB"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$55,736</w:t>
            </w:r>
          </w:p>
        </w:tc>
        <w:tc>
          <w:tcPr>
            <w:tcW w:w="786" w:type="dxa"/>
            <w:vAlign w:val="center"/>
          </w:tcPr>
          <w:p w14:paraId="0328693B"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$153,813</w:t>
            </w:r>
          </w:p>
        </w:tc>
        <w:tc>
          <w:tcPr>
            <w:tcW w:w="968" w:type="dxa"/>
            <w:vAlign w:val="center"/>
          </w:tcPr>
          <w:p w14:paraId="4059BAD9"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$303,565</w:t>
            </w:r>
          </w:p>
        </w:tc>
        <w:tc>
          <w:tcPr>
            <w:tcW w:w="1058" w:type="dxa"/>
            <w:vAlign w:val="center"/>
          </w:tcPr>
          <w:p w14:paraId="4D61FC7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$584,421</w:t>
            </w:r>
          </w:p>
        </w:tc>
        <w:tc>
          <w:tcPr>
            <w:tcW w:w="1150" w:type="dxa"/>
            <w:vAlign w:val="center"/>
          </w:tcPr>
          <w:p w14:paraId="431E2ADB"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proofErr w:type="spellStart"/>
            <w:r w:rsidRPr="00A17FCB">
              <w:rPr>
                <w:rFonts w:ascii="Arial Narrow" w:eastAsia="Times New Roman" w:hAnsi="Arial Narrow" w:cs="Arial"/>
                <w:sz w:val="20"/>
                <w:szCs w:val="20"/>
                <w:lang w:eastAsia="en-AU"/>
                <w14:ligatures w14:val="standardContextual"/>
              </w:rPr>
              <w:t>NE</w:t>
            </w:r>
            <w:r w:rsidRPr="00A17FCB">
              <w:rPr>
                <w:rFonts w:ascii="Arial Narrow" w:eastAsia="Times New Roman" w:hAnsi="Arial Narrow" w:cs="Arial"/>
                <w:sz w:val="20"/>
                <w:szCs w:val="20"/>
                <w:vertAlign w:val="superscript"/>
                <w:lang w:eastAsia="en-AU"/>
                <w14:ligatures w14:val="standardContextual"/>
              </w:rPr>
              <w:t>b</w:t>
            </w:r>
            <w:proofErr w:type="spellEnd"/>
          </w:p>
        </w:tc>
        <w:tc>
          <w:tcPr>
            <w:tcW w:w="1128" w:type="dxa"/>
            <w:vAlign w:val="center"/>
          </w:tcPr>
          <w:p w14:paraId="775EE90C"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proofErr w:type="spellStart"/>
            <w:r w:rsidRPr="00A17FCB">
              <w:rPr>
                <w:rFonts w:ascii="Arial Narrow" w:eastAsia="Times New Roman" w:hAnsi="Arial Narrow" w:cs="Arial"/>
                <w:sz w:val="20"/>
                <w:szCs w:val="20"/>
                <w:lang w:eastAsia="en-AU"/>
                <w14:ligatures w14:val="standardContextual"/>
              </w:rPr>
              <w:t>NE</w:t>
            </w:r>
            <w:r w:rsidRPr="00A17FCB">
              <w:rPr>
                <w:rFonts w:ascii="Arial Narrow" w:eastAsia="Times New Roman" w:hAnsi="Arial Narrow" w:cs="Arial"/>
                <w:sz w:val="20"/>
                <w:szCs w:val="20"/>
                <w:vertAlign w:val="superscript"/>
                <w:lang w:eastAsia="en-AU"/>
                <w14:ligatures w14:val="standardContextual"/>
              </w:rPr>
              <w:t>b</w:t>
            </w:r>
            <w:proofErr w:type="spellEnd"/>
          </w:p>
        </w:tc>
      </w:tr>
      <w:tr w:rsidR="00A17FCB" w:rsidRPr="00A17FCB" w14:paraId="6C667471" w14:textId="77777777">
        <w:tc>
          <w:tcPr>
            <w:tcW w:w="560" w:type="dxa"/>
          </w:tcPr>
          <w:p w14:paraId="45C7424D"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65-69 years</w:t>
            </w:r>
          </w:p>
        </w:tc>
        <w:tc>
          <w:tcPr>
            <w:tcW w:w="723" w:type="dxa"/>
            <w:vAlign w:val="center"/>
          </w:tcPr>
          <w:p w14:paraId="084762D6"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Yes</w:t>
            </w:r>
          </w:p>
        </w:tc>
        <w:tc>
          <w:tcPr>
            <w:tcW w:w="771" w:type="dxa"/>
            <w:vAlign w:val="center"/>
          </w:tcPr>
          <w:p w14:paraId="35A75D92"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N/A</w:t>
            </w:r>
          </w:p>
        </w:tc>
        <w:tc>
          <w:tcPr>
            <w:tcW w:w="1086" w:type="dxa"/>
            <w:vAlign w:val="center"/>
          </w:tcPr>
          <w:p w14:paraId="70BD7BDC"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$1,576</w:t>
            </w:r>
          </w:p>
        </w:tc>
        <w:tc>
          <w:tcPr>
            <w:tcW w:w="786" w:type="dxa"/>
            <w:vAlign w:val="center"/>
          </w:tcPr>
          <w:p w14:paraId="30458E40"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$43,026</w:t>
            </w:r>
          </w:p>
        </w:tc>
        <w:tc>
          <w:tcPr>
            <w:tcW w:w="786" w:type="dxa"/>
            <w:vAlign w:val="center"/>
          </w:tcPr>
          <w:p w14:paraId="776EF34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$139,896</w:t>
            </w:r>
          </w:p>
        </w:tc>
        <w:tc>
          <w:tcPr>
            <w:tcW w:w="968" w:type="dxa"/>
            <w:vAlign w:val="center"/>
          </w:tcPr>
          <w:p w14:paraId="7678F12B"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$254,268</w:t>
            </w:r>
          </w:p>
        </w:tc>
        <w:tc>
          <w:tcPr>
            <w:tcW w:w="1058" w:type="dxa"/>
            <w:vAlign w:val="center"/>
          </w:tcPr>
          <w:p w14:paraId="18C8E5F3"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$488,770</w:t>
            </w:r>
          </w:p>
        </w:tc>
        <w:tc>
          <w:tcPr>
            <w:tcW w:w="1150" w:type="dxa"/>
            <w:vAlign w:val="center"/>
          </w:tcPr>
          <w:p w14:paraId="6E2A6155"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$65,383,476</w:t>
            </w:r>
          </w:p>
        </w:tc>
        <w:tc>
          <w:tcPr>
            <w:tcW w:w="1128" w:type="dxa"/>
            <w:vAlign w:val="center"/>
          </w:tcPr>
          <w:p w14:paraId="6AE4F3B6"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$32,483,270</w:t>
            </w:r>
          </w:p>
        </w:tc>
      </w:tr>
      <w:tr w:rsidR="00A17FCB" w:rsidRPr="00A17FCB" w14:paraId="28AFE65A" w14:textId="77777777" w:rsidTr="00C81B63">
        <w:tc>
          <w:tcPr>
            <w:tcW w:w="560" w:type="dxa"/>
          </w:tcPr>
          <w:p w14:paraId="318DFF79"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65-69 years</w:t>
            </w:r>
          </w:p>
        </w:tc>
        <w:tc>
          <w:tcPr>
            <w:tcW w:w="723" w:type="dxa"/>
            <w:vAlign w:val="center"/>
          </w:tcPr>
          <w:p w14:paraId="2F8E9881"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No</w:t>
            </w:r>
          </w:p>
        </w:tc>
        <w:tc>
          <w:tcPr>
            <w:tcW w:w="771" w:type="dxa"/>
            <w:vAlign w:val="center"/>
          </w:tcPr>
          <w:p w14:paraId="0C7D54A6"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N/A</w:t>
            </w:r>
          </w:p>
        </w:tc>
        <w:tc>
          <w:tcPr>
            <w:tcW w:w="1086" w:type="dxa"/>
            <w:vAlign w:val="center"/>
          </w:tcPr>
          <w:p w14:paraId="3F25183B"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$1,154</w:t>
            </w:r>
          </w:p>
        </w:tc>
        <w:tc>
          <w:tcPr>
            <w:tcW w:w="786" w:type="dxa"/>
            <w:vAlign w:val="center"/>
          </w:tcPr>
          <w:p w14:paraId="0D1F648E"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$19,339</w:t>
            </w:r>
          </w:p>
        </w:tc>
        <w:tc>
          <w:tcPr>
            <w:tcW w:w="786" w:type="dxa"/>
            <w:vAlign w:val="center"/>
          </w:tcPr>
          <w:p w14:paraId="08615C41"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$93,385</w:t>
            </w:r>
          </w:p>
        </w:tc>
        <w:tc>
          <w:tcPr>
            <w:tcW w:w="968" w:type="dxa"/>
            <w:vAlign w:val="center"/>
          </w:tcPr>
          <w:p w14:paraId="1A1CD3BA"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$196,281</w:t>
            </w:r>
          </w:p>
        </w:tc>
        <w:tc>
          <w:tcPr>
            <w:tcW w:w="1058" w:type="dxa"/>
            <w:shd w:val="clear" w:color="auto" w:fill="D9D9D9" w:themeFill="background1" w:themeFillShade="D9"/>
            <w:vAlign w:val="center"/>
          </w:tcPr>
          <w:p w14:paraId="5EF33D31"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$378,539</w:t>
            </w:r>
          </w:p>
        </w:tc>
        <w:tc>
          <w:tcPr>
            <w:tcW w:w="1150" w:type="dxa"/>
            <w:shd w:val="clear" w:color="auto" w:fill="FFFFFF" w:themeFill="background1"/>
            <w:vAlign w:val="center"/>
          </w:tcPr>
          <w:p w14:paraId="347F6A9A"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$51,022,041</w:t>
            </w:r>
          </w:p>
        </w:tc>
        <w:tc>
          <w:tcPr>
            <w:tcW w:w="1128" w:type="dxa"/>
            <w:shd w:val="clear" w:color="auto" w:fill="FFFFFF" w:themeFill="background1"/>
            <w:vAlign w:val="center"/>
          </w:tcPr>
          <w:p w14:paraId="17295BB5" w14:textId="77777777" w:rsidR="00A17FCB" w:rsidRPr="00A17FCB" w:rsidRDefault="00A17FCB" w:rsidP="00A17FCB">
            <w:pPr>
              <w:keepNext/>
              <w:keepLines/>
              <w:spacing w:after="0"/>
              <w:jc w:val="both"/>
              <w:rPr>
                <w:rFonts w:ascii="Arial Narrow" w:eastAsia="Times New Roman" w:hAnsi="Arial Narrow" w:cs="Arial"/>
                <w:sz w:val="20"/>
                <w:szCs w:val="20"/>
                <w:lang w:eastAsia="en-AU"/>
                <w14:ligatures w14:val="standardContextual"/>
              </w:rPr>
            </w:pPr>
            <w:r w:rsidRPr="00A17FCB">
              <w:rPr>
                <w:rFonts w:ascii="Arial Narrow" w:eastAsia="Times New Roman" w:hAnsi="Arial Narrow" w:cs="Arial"/>
                <w:sz w:val="20"/>
                <w:szCs w:val="20"/>
                <w:lang w:eastAsia="en-AU"/>
                <w14:ligatures w14:val="standardContextual"/>
              </w:rPr>
              <w:t>$24,800,485</w:t>
            </w:r>
          </w:p>
        </w:tc>
      </w:tr>
    </w:tbl>
    <w:p w14:paraId="158C0DD1"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t>Abbreviations: DPMQ, dispensed price maximum quantity; MBS, Medicare Benefits Schedule; N/A, not applicable; NE, not estimable; PBS, Pharmaceutical Benefits Scheme; QALY, quality adjusted life year</w:t>
      </w:r>
    </w:p>
    <w:p w14:paraId="38FAC333"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vertAlign w:val="superscript"/>
          <w:lang w:eastAsia="en-AU"/>
          <w14:ligatures w14:val="standardContextual"/>
        </w:rPr>
        <w:t xml:space="preserve">a </w:t>
      </w:r>
      <w:r w:rsidRPr="00DE0E06">
        <w:rPr>
          <w:rFonts w:ascii="Arial Narrow" w:eastAsia="Times New Roman" w:hAnsi="Arial Narrow" w:cstheme="minorHAnsi"/>
          <w:snapToGrid w:val="0"/>
          <w:sz w:val="18"/>
          <w:lang w:eastAsia="en-AU"/>
          <w14:ligatures w14:val="standardContextual"/>
        </w:rPr>
        <w:t xml:space="preserve">Assumes that patients who discontinue treatment reinitiate treatment using standard care if they experienced a fracture or in the absence of </w:t>
      </w:r>
      <w:proofErr w:type="gramStart"/>
      <w:r w:rsidRPr="00DE0E06">
        <w:rPr>
          <w:rFonts w:ascii="Arial Narrow" w:eastAsia="Times New Roman" w:hAnsi="Arial Narrow" w:cstheme="minorHAnsi"/>
          <w:snapToGrid w:val="0"/>
          <w:sz w:val="18"/>
          <w:lang w:eastAsia="en-AU"/>
          <w14:ligatures w14:val="standardContextual"/>
        </w:rPr>
        <w:t>fracture, once</w:t>
      </w:r>
      <w:proofErr w:type="gramEnd"/>
      <w:r w:rsidRPr="00DE0E06">
        <w:rPr>
          <w:rFonts w:ascii="Arial Narrow" w:eastAsia="Times New Roman" w:hAnsi="Arial Narrow" w:cstheme="minorHAnsi"/>
          <w:snapToGrid w:val="0"/>
          <w:sz w:val="18"/>
          <w:lang w:eastAsia="en-AU"/>
          <w14:ligatures w14:val="standardContextual"/>
        </w:rPr>
        <w:t xml:space="preserve"> they reached age 70 years.</w:t>
      </w:r>
    </w:p>
    <w:p w14:paraId="071F3ED1"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vertAlign w:val="superscript"/>
          <w:lang w:eastAsia="en-AU"/>
          <w14:ligatures w14:val="standardContextual"/>
        </w:rPr>
        <w:t xml:space="preserve">b </w:t>
      </w:r>
      <w:r w:rsidRPr="00DE0E06">
        <w:rPr>
          <w:rFonts w:ascii="Arial Narrow" w:eastAsia="Times New Roman" w:hAnsi="Arial Narrow" w:cs="Arial"/>
          <w:snapToGrid w:val="0"/>
          <w:sz w:val="18"/>
          <w:lang w:eastAsia="en-AU"/>
          <w14:ligatures w14:val="standardContextual"/>
        </w:rPr>
        <w:t>Not estimable as testing rates based on MBS item numbers do not differentiate between initial and repeat testing.</w:t>
      </w:r>
    </w:p>
    <w:p w14:paraId="54B98FBF" w14:textId="5BCE4F0A" w:rsidR="00E07951" w:rsidRDefault="00E07951" w:rsidP="00745006">
      <w:pPr>
        <w:pStyle w:val="COMtablefigcaption"/>
      </w:pPr>
      <w:bookmarkStart w:id="33" w:name="_Ref167807524"/>
      <w:r w:rsidRPr="00DE0E06">
        <w:lastRenderedPageBreak/>
        <w:t xml:space="preserve">Table </w:t>
      </w:r>
      <w:r>
        <w:fldChar w:fldCharType="begin"/>
      </w:r>
      <w:r>
        <w:instrText xml:space="preserve"> SEQ Table \* ARABIC </w:instrText>
      </w:r>
      <w:r>
        <w:fldChar w:fldCharType="separate"/>
      </w:r>
      <w:r w:rsidR="00090261">
        <w:rPr>
          <w:noProof/>
        </w:rPr>
        <w:t>14</w:t>
      </w:r>
      <w:r>
        <w:rPr>
          <w:noProof/>
        </w:rPr>
        <w:fldChar w:fldCharType="end"/>
      </w:r>
      <w:bookmarkEnd w:id="33"/>
      <w:r w:rsidRPr="00DE0E06">
        <w:t xml:space="preserve"> Risedronate 150 mg monthly</w:t>
      </w:r>
      <w:r w:rsidR="00B55DA0">
        <w:t xml:space="preserve">; </w:t>
      </w:r>
      <w:r w:rsidR="00B55DA0" w:rsidRPr="00C81B63">
        <w:rPr>
          <w:shd w:val="clear" w:color="auto" w:fill="D9D9D9" w:themeFill="background1" w:themeFillShade="D9"/>
        </w:rPr>
        <w:t xml:space="preserve">Shaded </w:t>
      </w:r>
      <w:r w:rsidR="00B55DA0">
        <w:t xml:space="preserve">represents ESCs respecified base </w:t>
      </w:r>
      <w:proofErr w:type="gramStart"/>
      <w:r w:rsidR="00B55DA0">
        <w:t>case</w:t>
      </w:r>
      <w:proofErr w:type="gramEnd"/>
    </w:p>
    <w:tbl>
      <w:tblPr>
        <w:tblStyle w:val="newstyle3"/>
        <w:tblW w:w="5000" w:type="pct"/>
        <w:tblCellMar>
          <w:left w:w="28" w:type="dxa"/>
          <w:right w:w="28" w:type="dxa"/>
        </w:tblCellMar>
        <w:tblLook w:val="04A0" w:firstRow="1" w:lastRow="0" w:firstColumn="1" w:lastColumn="0" w:noHBand="0" w:noVBand="1"/>
      </w:tblPr>
      <w:tblGrid>
        <w:gridCol w:w="559"/>
        <w:gridCol w:w="715"/>
        <w:gridCol w:w="787"/>
        <w:gridCol w:w="1086"/>
        <w:gridCol w:w="793"/>
        <w:gridCol w:w="783"/>
        <w:gridCol w:w="1027"/>
        <w:gridCol w:w="1047"/>
        <w:gridCol w:w="1096"/>
        <w:gridCol w:w="1123"/>
      </w:tblGrid>
      <w:tr w:rsidR="00DC4E86" w:rsidRPr="00DC4E86" w14:paraId="55FCFA94" w14:textId="77777777">
        <w:tc>
          <w:tcPr>
            <w:tcW w:w="2122" w:type="dxa"/>
            <w:gridSpan w:val="3"/>
            <w:vAlign w:val="center"/>
          </w:tcPr>
          <w:p w14:paraId="66386371" w14:textId="77777777" w:rsidR="00DC4E86" w:rsidRPr="00DC4E86" w:rsidRDefault="00DC4E86" w:rsidP="00DC4E86">
            <w:pPr>
              <w:keepNext/>
              <w:keepLines/>
              <w:spacing w:after="0"/>
              <w:jc w:val="both"/>
              <w:rPr>
                <w:rFonts w:ascii="Arial Narrow" w:hAnsi="Arial Narrow" w:cs="Arial"/>
                <w:b/>
                <w:bCs/>
              </w:rPr>
            </w:pPr>
            <w:r w:rsidRPr="00DC4E86">
              <w:rPr>
                <w:rFonts w:ascii="Arial Narrow" w:hAnsi="Arial Narrow" w:cs="Arial"/>
                <w:b/>
                <w:bCs/>
              </w:rPr>
              <w:t>Possible testing scenario</w:t>
            </w:r>
          </w:p>
        </w:tc>
        <w:tc>
          <w:tcPr>
            <w:tcW w:w="4642" w:type="dxa"/>
            <w:gridSpan w:val="5"/>
            <w:vAlign w:val="center"/>
          </w:tcPr>
          <w:p w14:paraId="1C4BC596"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Economic evaluation</w:t>
            </w:r>
          </w:p>
        </w:tc>
        <w:tc>
          <w:tcPr>
            <w:tcW w:w="2252" w:type="dxa"/>
            <w:gridSpan w:val="2"/>
            <w:vAlign w:val="center"/>
          </w:tcPr>
          <w:p w14:paraId="21E7D5AC"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Budget impact over 6 years</w:t>
            </w:r>
          </w:p>
        </w:tc>
      </w:tr>
      <w:tr w:rsidR="00DC4E86" w:rsidRPr="00DC4E86" w14:paraId="7E06D6C2" w14:textId="77777777">
        <w:tc>
          <w:tcPr>
            <w:tcW w:w="568" w:type="dxa"/>
            <w:vMerge w:val="restart"/>
            <w:vAlign w:val="center"/>
          </w:tcPr>
          <w:p w14:paraId="6525EA76" w14:textId="77777777" w:rsidR="00DC4E86" w:rsidRPr="00DC4E86" w:rsidRDefault="00DC4E86" w:rsidP="00DC4E86">
            <w:pPr>
              <w:keepNext/>
              <w:keepLines/>
              <w:spacing w:after="0"/>
              <w:jc w:val="both"/>
              <w:rPr>
                <w:rFonts w:ascii="Arial Narrow" w:hAnsi="Arial Narrow" w:cs="Arial"/>
                <w:b/>
                <w:bCs/>
              </w:rPr>
            </w:pPr>
            <w:r w:rsidRPr="00DC4E86">
              <w:rPr>
                <w:rFonts w:ascii="Arial Narrow" w:hAnsi="Arial Narrow" w:cs="Arial"/>
                <w:b/>
                <w:bCs/>
              </w:rPr>
              <w:t>Age range</w:t>
            </w:r>
          </w:p>
        </w:tc>
        <w:tc>
          <w:tcPr>
            <w:tcW w:w="735" w:type="dxa"/>
            <w:vMerge w:val="restart"/>
            <w:vAlign w:val="center"/>
          </w:tcPr>
          <w:p w14:paraId="7AA0A3E1"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Repeat test at 2 years?</w:t>
            </w:r>
          </w:p>
        </w:tc>
        <w:tc>
          <w:tcPr>
            <w:tcW w:w="819" w:type="dxa"/>
            <w:vMerge w:val="restart"/>
            <w:vAlign w:val="center"/>
          </w:tcPr>
          <w:p w14:paraId="7FBBE7F8"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Repeat test at 5 years?</w:t>
            </w:r>
          </w:p>
        </w:tc>
        <w:tc>
          <w:tcPr>
            <w:tcW w:w="965" w:type="dxa"/>
            <w:vMerge w:val="restart"/>
            <w:vAlign w:val="center"/>
          </w:tcPr>
          <w:p w14:paraId="66BF1166"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Cost per additional osteoporosis diagnosis</w:t>
            </w:r>
          </w:p>
        </w:tc>
        <w:tc>
          <w:tcPr>
            <w:tcW w:w="3677" w:type="dxa"/>
            <w:gridSpan w:val="4"/>
            <w:vAlign w:val="center"/>
          </w:tcPr>
          <w:p w14:paraId="4B0B5D15"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Cost per QALY gained</w:t>
            </w:r>
          </w:p>
        </w:tc>
        <w:tc>
          <w:tcPr>
            <w:tcW w:w="1102" w:type="dxa"/>
            <w:vMerge w:val="restart"/>
            <w:vAlign w:val="center"/>
          </w:tcPr>
          <w:p w14:paraId="0DFEBF1B"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MBS</w:t>
            </w:r>
          </w:p>
        </w:tc>
        <w:tc>
          <w:tcPr>
            <w:tcW w:w="1150" w:type="dxa"/>
            <w:vMerge w:val="restart"/>
            <w:vAlign w:val="center"/>
          </w:tcPr>
          <w:p w14:paraId="00F6256F"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PBS</w:t>
            </w:r>
          </w:p>
        </w:tc>
      </w:tr>
      <w:tr w:rsidR="00DC4E86" w:rsidRPr="00DC4E86" w14:paraId="4532E94D" w14:textId="77777777" w:rsidTr="002709C7">
        <w:tc>
          <w:tcPr>
            <w:tcW w:w="568" w:type="dxa"/>
            <w:vMerge/>
            <w:vAlign w:val="center"/>
          </w:tcPr>
          <w:p w14:paraId="6769BC99" w14:textId="77777777" w:rsidR="00DC4E86" w:rsidRPr="00DC4E86" w:rsidRDefault="00DC4E86" w:rsidP="00DC4E86">
            <w:pPr>
              <w:keepNext/>
              <w:keepLines/>
              <w:spacing w:after="0"/>
              <w:jc w:val="both"/>
              <w:rPr>
                <w:rFonts w:ascii="Arial Narrow" w:hAnsi="Arial Narrow" w:cs="Arial"/>
                <w:b/>
                <w:bCs/>
              </w:rPr>
            </w:pPr>
          </w:p>
        </w:tc>
        <w:tc>
          <w:tcPr>
            <w:tcW w:w="735" w:type="dxa"/>
            <w:vMerge/>
            <w:vAlign w:val="center"/>
          </w:tcPr>
          <w:p w14:paraId="5E752328" w14:textId="77777777" w:rsidR="00DC4E86" w:rsidRPr="00DC4E86" w:rsidRDefault="00DC4E86" w:rsidP="00DC4E86">
            <w:pPr>
              <w:keepNext/>
              <w:keepLines/>
              <w:spacing w:after="0"/>
              <w:jc w:val="center"/>
              <w:rPr>
                <w:rFonts w:ascii="Arial Narrow" w:hAnsi="Arial Narrow" w:cs="Arial"/>
                <w:b/>
                <w:bCs/>
              </w:rPr>
            </w:pPr>
          </w:p>
        </w:tc>
        <w:tc>
          <w:tcPr>
            <w:tcW w:w="819" w:type="dxa"/>
            <w:vMerge/>
            <w:vAlign w:val="center"/>
          </w:tcPr>
          <w:p w14:paraId="4ED28CBF" w14:textId="77777777" w:rsidR="00DC4E86" w:rsidRPr="00DC4E86" w:rsidRDefault="00DC4E86" w:rsidP="00DC4E86">
            <w:pPr>
              <w:keepNext/>
              <w:keepLines/>
              <w:spacing w:after="0"/>
              <w:jc w:val="center"/>
              <w:rPr>
                <w:rFonts w:ascii="Arial Narrow" w:hAnsi="Arial Narrow" w:cs="Arial"/>
                <w:b/>
                <w:bCs/>
              </w:rPr>
            </w:pPr>
          </w:p>
        </w:tc>
        <w:tc>
          <w:tcPr>
            <w:tcW w:w="965" w:type="dxa"/>
            <w:vMerge/>
            <w:vAlign w:val="center"/>
          </w:tcPr>
          <w:p w14:paraId="7E6E65B5" w14:textId="77777777" w:rsidR="00DC4E86" w:rsidRPr="00DC4E86" w:rsidRDefault="00DC4E86" w:rsidP="00DC4E86">
            <w:pPr>
              <w:keepNext/>
              <w:keepLines/>
              <w:spacing w:after="0"/>
              <w:jc w:val="center"/>
              <w:rPr>
                <w:rFonts w:ascii="Arial Narrow" w:hAnsi="Arial Narrow" w:cs="Arial"/>
                <w:b/>
                <w:bCs/>
              </w:rPr>
            </w:pPr>
          </w:p>
        </w:tc>
        <w:tc>
          <w:tcPr>
            <w:tcW w:w="799" w:type="dxa"/>
            <w:vAlign w:val="center"/>
          </w:tcPr>
          <w:p w14:paraId="6C40C74A"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Base case</w:t>
            </w:r>
          </w:p>
        </w:tc>
        <w:tc>
          <w:tcPr>
            <w:tcW w:w="790" w:type="dxa"/>
            <w:vAlign w:val="center"/>
          </w:tcPr>
          <w:p w14:paraId="0C2A4983" w14:textId="77777777" w:rsidR="00DC4E86" w:rsidRPr="00DC4E86" w:rsidRDefault="00DC4E86" w:rsidP="00DC4E86">
            <w:pPr>
              <w:keepNext/>
              <w:keepLines/>
              <w:spacing w:after="0"/>
              <w:jc w:val="center"/>
              <w:rPr>
                <w:rFonts w:ascii="Arial Narrow" w:hAnsi="Arial Narrow" w:cs="Arial"/>
                <w:b/>
                <w:bCs/>
              </w:rPr>
            </w:pPr>
            <w:proofErr w:type="gramStart"/>
            <w:r w:rsidRPr="00DC4E86">
              <w:rPr>
                <w:rFonts w:ascii="Arial Narrow" w:hAnsi="Arial Narrow" w:cs="Arial"/>
                <w:b/>
                <w:bCs/>
              </w:rPr>
              <w:t>10 year</w:t>
            </w:r>
            <w:proofErr w:type="gramEnd"/>
            <w:r w:rsidRPr="00DC4E86">
              <w:rPr>
                <w:rFonts w:ascii="Arial Narrow" w:hAnsi="Arial Narrow" w:cs="Arial"/>
                <w:b/>
                <w:bCs/>
              </w:rPr>
              <w:t xml:space="preserve"> time horizon</w:t>
            </w:r>
          </w:p>
        </w:tc>
        <w:tc>
          <w:tcPr>
            <w:tcW w:w="1027" w:type="dxa"/>
            <w:vAlign w:val="center"/>
          </w:tcPr>
          <w:p w14:paraId="4D52E228" w14:textId="77777777" w:rsidR="00DC4E86" w:rsidRPr="00DC4E86" w:rsidRDefault="00DC4E86" w:rsidP="00DC4E86">
            <w:pPr>
              <w:keepNext/>
              <w:keepLines/>
              <w:spacing w:after="0"/>
              <w:jc w:val="center"/>
              <w:rPr>
                <w:rFonts w:ascii="Arial Narrow" w:hAnsi="Arial Narrow" w:cs="Arial"/>
                <w:b/>
                <w:bCs/>
              </w:rPr>
            </w:pPr>
            <w:r w:rsidRPr="00DC4E86">
              <w:rPr>
                <w:rFonts w:ascii="Arial Narrow" w:hAnsi="Arial Narrow" w:cs="Arial"/>
                <w:b/>
                <w:bCs/>
              </w:rPr>
              <w:t xml:space="preserve">Imperfect </w:t>
            </w:r>
            <w:proofErr w:type="spellStart"/>
            <w:r w:rsidRPr="00DC4E86">
              <w:rPr>
                <w:rFonts w:ascii="Arial Narrow" w:hAnsi="Arial Narrow" w:cs="Arial"/>
                <w:b/>
                <w:bCs/>
              </w:rPr>
              <w:t>persistence</w:t>
            </w:r>
            <w:r w:rsidRPr="00DC4E86">
              <w:rPr>
                <w:rFonts w:ascii="Arial Narrow" w:hAnsi="Arial Narrow" w:cs="Arial"/>
                <w:b/>
                <w:bCs/>
                <w:vertAlign w:val="superscript"/>
              </w:rPr>
              <w:t>a</w:t>
            </w:r>
            <w:proofErr w:type="spellEnd"/>
          </w:p>
        </w:tc>
        <w:tc>
          <w:tcPr>
            <w:tcW w:w="1061" w:type="dxa"/>
            <w:shd w:val="clear" w:color="auto" w:fill="D9D9D9" w:themeFill="background1" w:themeFillShade="D9"/>
            <w:vAlign w:val="center"/>
          </w:tcPr>
          <w:p w14:paraId="7FBB01E0" w14:textId="77777777" w:rsidR="00DC4E86" w:rsidRPr="00DC4E86" w:rsidRDefault="00DC4E86" w:rsidP="00DC4E86">
            <w:pPr>
              <w:keepNext/>
              <w:keepLines/>
              <w:spacing w:after="0"/>
              <w:jc w:val="center"/>
              <w:rPr>
                <w:rFonts w:ascii="Arial Narrow" w:hAnsi="Arial Narrow" w:cs="Arial"/>
                <w:b/>
                <w:bCs/>
              </w:rPr>
            </w:pPr>
            <w:proofErr w:type="gramStart"/>
            <w:r w:rsidRPr="00DC4E86">
              <w:rPr>
                <w:rFonts w:ascii="Arial Narrow" w:hAnsi="Arial Narrow" w:cs="Arial"/>
                <w:b/>
                <w:bCs/>
              </w:rPr>
              <w:t>10 year</w:t>
            </w:r>
            <w:proofErr w:type="gramEnd"/>
            <w:r w:rsidRPr="00DC4E86">
              <w:rPr>
                <w:rFonts w:ascii="Arial Narrow" w:hAnsi="Arial Narrow" w:cs="Arial"/>
                <w:b/>
                <w:bCs/>
              </w:rPr>
              <w:t xml:space="preserve"> time horizon and imperfect persistence</w:t>
            </w:r>
          </w:p>
        </w:tc>
        <w:tc>
          <w:tcPr>
            <w:tcW w:w="1102" w:type="dxa"/>
            <w:vMerge/>
            <w:vAlign w:val="center"/>
          </w:tcPr>
          <w:p w14:paraId="4443FD6A" w14:textId="77777777" w:rsidR="00DC4E86" w:rsidRPr="00DC4E86" w:rsidRDefault="00DC4E86" w:rsidP="00DC4E86">
            <w:pPr>
              <w:keepNext/>
              <w:keepLines/>
              <w:spacing w:after="0"/>
              <w:jc w:val="center"/>
              <w:rPr>
                <w:rFonts w:ascii="Arial Narrow" w:hAnsi="Arial Narrow" w:cs="Arial"/>
                <w:b/>
                <w:bCs/>
              </w:rPr>
            </w:pPr>
          </w:p>
        </w:tc>
        <w:tc>
          <w:tcPr>
            <w:tcW w:w="1150" w:type="dxa"/>
            <w:vMerge/>
            <w:vAlign w:val="center"/>
          </w:tcPr>
          <w:p w14:paraId="7F5D9BE7" w14:textId="77777777" w:rsidR="00DC4E86" w:rsidRPr="00DC4E86" w:rsidRDefault="00DC4E86" w:rsidP="00DC4E86">
            <w:pPr>
              <w:keepNext/>
              <w:keepLines/>
              <w:spacing w:after="0"/>
              <w:jc w:val="center"/>
              <w:rPr>
                <w:rFonts w:ascii="Arial Narrow" w:hAnsi="Arial Narrow" w:cs="Arial"/>
                <w:b/>
                <w:bCs/>
              </w:rPr>
            </w:pPr>
          </w:p>
        </w:tc>
      </w:tr>
      <w:tr w:rsidR="00DC4E86" w:rsidRPr="00DC4E86" w14:paraId="50FA84CA" w14:textId="77777777">
        <w:tc>
          <w:tcPr>
            <w:tcW w:w="9016" w:type="dxa"/>
            <w:gridSpan w:val="10"/>
          </w:tcPr>
          <w:p w14:paraId="4D2CF687" w14:textId="77777777" w:rsidR="00DC4E86" w:rsidRPr="00DC4E86" w:rsidRDefault="00DC4E86" w:rsidP="00DC4E86">
            <w:pPr>
              <w:keepNext/>
              <w:spacing w:after="0"/>
              <w:rPr>
                <w:rFonts w:ascii="Arial Narrow" w:eastAsiaTheme="majorEastAsia" w:hAnsi="Arial Narrow"/>
                <w:b/>
                <w:szCs w:val="24"/>
                <w:lang w:val="en-US"/>
              </w:rPr>
            </w:pPr>
            <w:r w:rsidRPr="00DC4E86">
              <w:rPr>
                <w:rFonts w:ascii="Arial Narrow" w:eastAsiaTheme="majorEastAsia" w:hAnsi="Arial Narrow"/>
                <w:b/>
                <w:szCs w:val="24"/>
                <w:lang w:val="en-US"/>
              </w:rPr>
              <w:t>30-day dispensing (DPMQ $35.13)</w:t>
            </w:r>
          </w:p>
        </w:tc>
      </w:tr>
      <w:tr w:rsidR="00DC4E86" w:rsidRPr="00DC4E86" w14:paraId="392E3F27" w14:textId="77777777">
        <w:tc>
          <w:tcPr>
            <w:tcW w:w="568" w:type="dxa"/>
          </w:tcPr>
          <w:p w14:paraId="35C51ADE"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60-69 years</w:t>
            </w:r>
          </w:p>
        </w:tc>
        <w:tc>
          <w:tcPr>
            <w:tcW w:w="735" w:type="dxa"/>
            <w:vAlign w:val="center"/>
          </w:tcPr>
          <w:p w14:paraId="65A47630"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Yes</w:t>
            </w:r>
          </w:p>
        </w:tc>
        <w:tc>
          <w:tcPr>
            <w:tcW w:w="819" w:type="dxa"/>
            <w:vAlign w:val="center"/>
          </w:tcPr>
          <w:p w14:paraId="7156EA7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Yes</w:t>
            </w:r>
          </w:p>
        </w:tc>
        <w:tc>
          <w:tcPr>
            <w:tcW w:w="965" w:type="dxa"/>
            <w:vAlign w:val="center"/>
          </w:tcPr>
          <w:p w14:paraId="2E6E1866"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$4,673</w:t>
            </w:r>
          </w:p>
        </w:tc>
        <w:tc>
          <w:tcPr>
            <w:tcW w:w="799" w:type="dxa"/>
            <w:vAlign w:val="center"/>
          </w:tcPr>
          <w:p w14:paraId="50AABF05"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$142,701</w:t>
            </w:r>
          </w:p>
        </w:tc>
        <w:tc>
          <w:tcPr>
            <w:tcW w:w="790" w:type="dxa"/>
            <w:vAlign w:val="center"/>
          </w:tcPr>
          <w:p w14:paraId="416F04F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$329,692</w:t>
            </w:r>
          </w:p>
        </w:tc>
        <w:tc>
          <w:tcPr>
            <w:tcW w:w="1027" w:type="dxa"/>
            <w:vAlign w:val="center"/>
          </w:tcPr>
          <w:p w14:paraId="5B1E9C5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$614,875</w:t>
            </w:r>
          </w:p>
        </w:tc>
        <w:tc>
          <w:tcPr>
            <w:tcW w:w="1061" w:type="dxa"/>
            <w:vAlign w:val="center"/>
          </w:tcPr>
          <w:p w14:paraId="4060DEA5"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$1,176,718</w:t>
            </w:r>
          </w:p>
        </w:tc>
        <w:tc>
          <w:tcPr>
            <w:tcW w:w="1102" w:type="dxa"/>
            <w:vAlign w:val="center"/>
          </w:tcPr>
          <w:p w14:paraId="5F4A316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$134,505,759</w:t>
            </w:r>
          </w:p>
        </w:tc>
        <w:tc>
          <w:tcPr>
            <w:tcW w:w="1150" w:type="dxa"/>
            <w:vAlign w:val="center"/>
          </w:tcPr>
          <w:p w14:paraId="3C558DD0"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$48,128,090</w:t>
            </w:r>
          </w:p>
        </w:tc>
      </w:tr>
      <w:tr w:rsidR="00DC4E86" w:rsidRPr="00DC4E86" w14:paraId="573F7A90" w14:textId="77777777">
        <w:tc>
          <w:tcPr>
            <w:tcW w:w="568" w:type="dxa"/>
          </w:tcPr>
          <w:p w14:paraId="3E3985CC"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60-69 years</w:t>
            </w:r>
          </w:p>
        </w:tc>
        <w:tc>
          <w:tcPr>
            <w:tcW w:w="735" w:type="dxa"/>
            <w:vAlign w:val="center"/>
          </w:tcPr>
          <w:p w14:paraId="3FCEB9A7"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No</w:t>
            </w:r>
          </w:p>
        </w:tc>
        <w:tc>
          <w:tcPr>
            <w:tcW w:w="819" w:type="dxa"/>
            <w:vAlign w:val="center"/>
          </w:tcPr>
          <w:p w14:paraId="78B50DA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Yes</w:t>
            </w:r>
          </w:p>
        </w:tc>
        <w:tc>
          <w:tcPr>
            <w:tcW w:w="965" w:type="dxa"/>
            <w:vAlign w:val="center"/>
          </w:tcPr>
          <w:p w14:paraId="54D91B7A"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$3,483</w:t>
            </w:r>
          </w:p>
        </w:tc>
        <w:tc>
          <w:tcPr>
            <w:tcW w:w="799" w:type="dxa"/>
            <w:vAlign w:val="center"/>
          </w:tcPr>
          <w:p w14:paraId="27FFFB80"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$103,578</w:t>
            </w:r>
          </w:p>
        </w:tc>
        <w:tc>
          <w:tcPr>
            <w:tcW w:w="790" w:type="dxa"/>
            <w:vAlign w:val="center"/>
          </w:tcPr>
          <w:p w14:paraId="226031B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$249,861</w:t>
            </w:r>
          </w:p>
        </w:tc>
        <w:tc>
          <w:tcPr>
            <w:tcW w:w="1027" w:type="dxa"/>
            <w:vAlign w:val="center"/>
          </w:tcPr>
          <w:p w14:paraId="5F603FFA"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$469,822</w:t>
            </w:r>
          </w:p>
        </w:tc>
        <w:tc>
          <w:tcPr>
            <w:tcW w:w="1061" w:type="dxa"/>
            <w:vAlign w:val="center"/>
          </w:tcPr>
          <w:p w14:paraId="0A83356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$900,758</w:t>
            </w:r>
          </w:p>
        </w:tc>
        <w:tc>
          <w:tcPr>
            <w:tcW w:w="1102" w:type="dxa"/>
            <w:vAlign w:val="center"/>
          </w:tcPr>
          <w:p w14:paraId="66A3C917"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$104,985,636</w:t>
            </w:r>
          </w:p>
        </w:tc>
        <w:tc>
          <w:tcPr>
            <w:tcW w:w="1150" w:type="dxa"/>
            <w:vAlign w:val="center"/>
          </w:tcPr>
          <w:p w14:paraId="3466650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$36,746,823</w:t>
            </w:r>
          </w:p>
        </w:tc>
      </w:tr>
      <w:tr w:rsidR="00DC4E86" w:rsidRPr="00DC4E86" w14:paraId="05A1F47A" w14:textId="77777777">
        <w:tc>
          <w:tcPr>
            <w:tcW w:w="568" w:type="dxa"/>
          </w:tcPr>
          <w:p w14:paraId="394DD428"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60-69 years</w:t>
            </w:r>
          </w:p>
        </w:tc>
        <w:tc>
          <w:tcPr>
            <w:tcW w:w="735" w:type="dxa"/>
            <w:vAlign w:val="center"/>
          </w:tcPr>
          <w:p w14:paraId="79D0E74E"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No</w:t>
            </w:r>
          </w:p>
        </w:tc>
        <w:tc>
          <w:tcPr>
            <w:tcW w:w="819" w:type="dxa"/>
            <w:vAlign w:val="center"/>
          </w:tcPr>
          <w:p w14:paraId="5E46A74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No</w:t>
            </w:r>
          </w:p>
        </w:tc>
        <w:tc>
          <w:tcPr>
            <w:tcW w:w="965" w:type="dxa"/>
            <w:vAlign w:val="center"/>
          </w:tcPr>
          <w:p w14:paraId="578D1A80"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$2,144</w:t>
            </w:r>
          </w:p>
        </w:tc>
        <w:tc>
          <w:tcPr>
            <w:tcW w:w="799" w:type="dxa"/>
            <w:vAlign w:val="center"/>
          </w:tcPr>
          <w:p w14:paraId="5B3E7F0F"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$59,557</w:t>
            </w:r>
          </w:p>
        </w:tc>
        <w:tc>
          <w:tcPr>
            <w:tcW w:w="790" w:type="dxa"/>
            <w:vAlign w:val="center"/>
          </w:tcPr>
          <w:p w14:paraId="079D4522"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$160,035</w:t>
            </w:r>
          </w:p>
        </w:tc>
        <w:tc>
          <w:tcPr>
            <w:tcW w:w="1027" w:type="dxa"/>
            <w:vAlign w:val="center"/>
          </w:tcPr>
          <w:p w14:paraId="3771E54C"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$306,608</w:t>
            </w:r>
          </w:p>
        </w:tc>
        <w:tc>
          <w:tcPr>
            <w:tcW w:w="1061" w:type="dxa"/>
            <w:vAlign w:val="center"/>
          </w:tcPr>
          <w:p w14:paraId="2776541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$590,245</w:t>
            </w:r>
          </w:p>
        </w:tc>
        <w:tc>
          <w:tcPr>
            <w:tcW w:w="1102" w:type="dxa"/>
            <w:vAlign w:val="center"/>
          </w:tcPr>
          <w:p w14:paraId="018430FA" w14:textId="77777777" w:rsidR="00DC4E86" w:rsidRPr="00DC4E86" w:rsidRDefault="00DC4E86" w:rsidP="00DC4E86">
            <w:pPr>
              <w:keepNext/>
              <w:keepLines/>
              <w:spacing w:after="0"/>
              <w:jc w:val="center"/>
              <w:rPr>
                <w:rFonts w:ascii="Arial Narrow" w:hAnsi="Arial Narrow" w:cs="Arial"/>
              </w:rPr>
            </w:pPr>
            <w:proofErr w:type="spellStart"/>
            <w:r w:rsidRPr="00DC4E86">
              <w:rPr>
                <w:rFonts w:ascii="Arial Narrow" w:hAnsi="Arial Narrow" w:cs="Arial"/>
              </w:rPr>
              <w:t>NE</w:t>
            </w:r>
            <w:r w:rsidRPr="00DC4E86">
              <w:rPr>
                <w:rFonts w:ascii="Arial Narrow" w:hAnsi="Arial Narrow" w:cs="Arial"/>
                <w:vertAlign w:val="superscript"/>
              </w:rPr>
              <w:t>b</w:t>
            </w:r>
            <w:proofErr w:type="spellEnd"/>
          </w:p>
        </w:tc>
        <w:tc>
          <w:tcPr>
            <w:tcW w:w="1150" w:type="dxa"/>
            <w:vAlign w:val="center"/>
          </w:tcPr>
          <w:p w14:paraId="475792A7" w14:textId="77777777" w:rsidR="00DC4E86" w:rsidRPr="00DC4E86" w:rsidRDefault="00DC4E86" w:rsidP="00DC4E86">
            <w:pPr>
              <w:keepNext/>
              <w:keepLines/>
              <w:spacing w:after="0"/>
              <w:jc w:val="center"/>
              <w:rPr>
                <w:rFonts w:ascii="Arial Narrow" w:hAnsi="Arial Narrow" w:cs="Arial"/>
              </w:rPr>
            </w:pPr>
            <w:proofErr w:type="spellStart"/>
            <w:r w:rsidRPr="00DC4E86">
              <w:rPr>
                <w:rFonts w:ascii="Arial Narrow" w:hAnsi="Arial Narrow" w:cs="Arial"/>
              </w:rPr>
              <w:t>NE</w:t>
            </w:r>
            <w:r w:rsidRPr="00DC4E86">
              <w:rPr>
                <w:rFonts w:ascii="Arial Narrow" w:hAnsi="Arial Narrow" w:cs="Arial"/>
                <w:vertAlign w:val="superscript"/>
              </w:rPr>
              <w:t>b</w:t>
            </w:r>
            <w:proofErr w:type="spellEnd"/>
          </w:p>
        </w:tc>
      </w:tr>
      <w:tr w:rsidR="00DC4E86" w:rsidRPr="00DC4E86" w14:paraId="3B32FFA2" w14:textId="77777777">
        <w:tc>
          <w:tcPr>
            <w:tcW w:w="568" w:type="dxa"/>
          </w:tcPr>
          <w:p w14:paraId="312CA92A"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65-69 years</w:t>
            </w:r>
          </w:p>
        </w:tc>
        <w:tc>
          <w:tcPr>
            <w:tcW w:w="735" w:type="dxa"/>
            <w:vAlign w:val="center"/>
          </w:tcPr>
          <w:p w14:paraId="1962769E"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Yes</w:t>
            </w:r>
          </w:p>
        </w:tc>
        <w:tc>
          <w:tcPr>
            <w:tcW w:w="819" w:type="dxa"/>
            <w:vAlign w:val="center"/>
          </w:tcPr>
          <w:p w14:paraId="716D5460"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N/A</w:t>
            </w:r>
          </w:p>
        </w:tc>
        <w:tc>
          <w:tcPr>
            <w:tcW w:w="965" w:type="dxa"/>
            <w:vAlign w:val="center"/>
          </w:tcPr>
          <w:p w14:paraId="0A4AE3EF"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$1,576</w:t>
            </w:r>
          </w:p>
        </w:tc>
        <w:tc>
          <w:tcPr>
            <w:tcW w:w="799" w:type="dxa"/>
            <w:vAlign w:val="center"/>
          </w:tcPr>
          <w:p w14:paraId="76170171"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$48,475</w:t>
            </w:r>
          </w:p>
        </w:tc>
        <w:tc>
          <w:tcPr>
            <w:tcW w:w="790" w:type="dxa"/>
            <w:vAlign w:val="center"/>
          </w:tcPr>
          <w:p w14:paraId="6B9F400A"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$148,183</w:t>
            </w:r>
          </w:p>
        </w:tc>
        <w:tc>
          <w:tcPr>
            <w:tcW w:w="1027" w:type="dxa"/>
            <w:vAlign w:val="center"/>
          </w:tcPr>
          <w:p w14:paraId="5768A05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$257,258</w:t>
            </w:r>
          </w:p>
        </w:tc>
        <w:tc>
          <w:tcPr>
            <w:tcW w:w="1061" w:type="dxa"/>
            <w:vAlign w:val="center"/>
          </w:tcPr>
          <w:p w14:paraId="63DCFCCE"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$494,484</w:t>
            </w:r>
          </w:p>
        </w:tc>
        <w:tc>
          <w:tcPr>
            <w:tcW w:w="1102" w:type="dxa"/>
            <w:vAlign w:val="center"/>
          </w:tcPr>
          <w:p w14:paraId="2FDB4FB1"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$65,383,476</w:t>
            </w:r>
          </w:p>
        </w:tc>
        <w:tc>
          <w:tcPr>
            <w:tcW w:w="1150" w:type="dxa"/>
            <w:vAlign w:val="center"/>
          </w:tcPr>
          <w:p w14:paraId="0B8CFF8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$29,440,426</w:t>
            </w:r>
          </w:p>
        </w:tc>
      </w:tr>
      <w:tr w:rsidR="00DC4E86" w:rsidRPr="00DC4E86" w14:paraId="0BFD3601" w14:textId="77777777" w:rsidTr="00C81B63">
        <w:tc>
          <w:tcPr>
            <w:tcW w:w="568" w:type="dxa"/>
          </w:tcPr>
          <w:p w14:paraId="2E85C8C9"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65-69 years</w:t>
            </w:r>
          </w:p>
        </w:tc>
        <w:tc>
          <w:tcPr>
            <w:tcW w:w="735" w:type="dxa"/>
            <w:vAlign w:val="center"/>
          </w:tcPr>
          <w:p w14:paraId="5D74A62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No</w:t>
            </w:r>
          </w:p>
        </w:tc>
        <w:tc>
          <w:tcPr>
            <w:tcW w:w="819" w:type="dxa"/>
            <w:vAlign w:val="center"/>
          </w:tcPr>
          <w:p w14:paraId="5F18006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N/A</w:t>
            </w:r>
          </w:p>
        </w:tc>
        <w:tc>
          <w:tcPr>
            <w:tcW w:w="965" w:type="dxa"/>
            <w:vAlign w:val="center"/>
          </w:tcPr>
          <w:p w14:paraId="36D4A3D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$1,154</w:t>
            </w:r>
          </w:p>
        </w:tc>
        <w:tc>
          <w:tcPr>
            <w:tcW w:w="799" w:type="dxa"/>
            <w:vAlign w:val="center"/>
          </w:tcPr>
          <w:p w14:paraId="169E7E4C"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$24,788</w:t>
            </w:r>
          </w:p>
        </w:tc>
        <w:tc>
          <w:tcPr>
            <w:tcW w:w="790" w:type="dxa"/>
            <w:vAlign w:val="center"/>
          </w:tcPr>
          <w:p w14:paraId="595FE181"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$101,672</w:t>
            </w:r>
          </w:p>
        </w:tc>
        <w:tc>
          <w:tcPr>
            <w:tcW w:w="1027" w:type="dxa"/>
            <w:vAlign w:val="center"/>
          </w:tcPr>
          <w:p w14:paraId="4E5AFF0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$199,270</w:t>
            </w:r>
          </w:p>
        </w:tc>
        <w:tc>
          <w:tcPr>
            <w:tcW w:w="1061" w:type="dxa"/>
            <w:shd w:val="clear" w:color="auto" w:fill="D9D9D9" w:themeFill="background1" w:themeFillShade="D9"/>
            <w:vAlign w:val="center"/>
          </w:tcPr>
          <w:p w14:paraId="13F6C8B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$384,253</w:t>
            </w:r>
          </w:p>
        </w:tc>
        <w:tc>
          <w:tcPr>
            <w:tcW w:w="1102" w:type="dxa"/>
            <w:shd w:val="clear" w:color="auto" w:fill="FFFFFF" w:themeFill="background1"/>
            <w:vAlign w:val="center"/>
          </w:tcPr>
          <w:p w14:paraId="7D7E38F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$51,022,041</w:t>
            </w:r>
          </w:p>
        </w:tc>
        <w:tc>
          <w:tcPr>
            <w:tcW w:w="1150" w:type="dxa"/>
            <w:shd w:val="clear" w:color="auto" w:fill="FFFFFF" w:themeFill="background1"/>
            <w:vAlign w:val="center"/>
          </w:tcPr>
          <w:p w14:paraId="6E5D4A6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$22,477,319</w:t>
            </w:r>
          </w:p>
        </w:tc>
      </w:tr>
      <w:tr w:rsidR="00DC4E86" w:rsidRPr="00DC4E86" w14:paraId="7E33A852" w14:textId="77777777">
        <w:tc>
          <w:tcPr>
            <w:tcW w:w="9016" w:type="dxa"/>
            <w:gridSpan w:val="10"/>
          </w:tcPr>
          <w:p w14:paraId="0C0D8854" w14:textId="77777777" w:rsidR="00DC4E86" w:rsidRPr="00DC4E86" w:rsidRDefault="00DC4E86" w:rsidP="00DC4E86">
            <w:pPr>
              <w:keepNext/>
              <w:spacing w:after="0"/>
              <w:rPr>
                <w:rFonts w:ascii="Arial Narrow" w:eastAsiaTheme="majorEastAsia" w:hAnsi="Arial Narrow"/>
                <w:b/>
                <w:szCs w:val="24"/>
                <w:lang w:val="en-US"/>
              </w:rPr>
            </w:pPr>
            <w:r w:rsidRPr="00DC4E86">
              <w:rPr>
                <w:rFonts w:ascii="Arial Narrow" w:eastAsiaTheme="majorEastAsia" w:hAnsi="Arial Narrow"/>
                <w:b/>
                <w:szCs w:val="24"/>
                <w:lang w:val="en-US"/>
              </w:rPr>
              <w:t>60-day dispensing (DPMQ $57.27)</w:t>
            </w:r>
          </w:p>
        </w:tc>
      </w:tr>
      <w:tr w:rsidR="00DC4E86" w:rsidRPr="00DC4E86" w14:paraId="26DB199C" w14:textId="77777777">
        <w:tc>
          <w:tcPr>
            <w:tcW w:w="568" w:type="dxa"/>
          </w:tcPr>
          <w:p w14:paraId="1ECD5FA1"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60-69 years</w:t>
            </w:r>
          </w:p>
        </w:tc>
        <w:tc>
          <w:tcPr>
            <w:tcW w:w="735" w:type="dxa"/>
            <w:vAlign w:val="center"/>
          </w:tcPr>
          <w:p w14:paraId="47DA777C"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Yes</w:t>
            </w:r>
          </w:p>
        </w:tc>
        <w:tc>
          <w:tcPr>
            <w:tcW w:w="819" w:type="dxa"/>
            <w:vAlign w:val="center"/>
          </w:tcPr>
          <w:p w14:paraId="23269B47"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Yes</w:t>
            </w:r>
          </w:p>
        </w:tc>
        <w:tc>
          <w:tcPr>
            <w:tcW w:w="965" w:type="dxa"/>
            <w:vAlign w:val="center"/>
          </w:tcPr>
          <w:p w14:paraId="1B1FB45C"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$4,673</w:t>
            </w:r>
          </w:p>
        </w:tc>
        <w:tc>
          <w:tcPr>
            <w:tcW w:w="799" w:type="dxa"/>
            <w:vAlign w:val="center"/>
          </w:tcPr>
          <w:p w14:paraId="2A56DE6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$124,616</w:t>
            </w:r>
          </w:p>
        </w:tc>
        <w:tc>
          <w:tcPr>
            <w:tcW w:w="790" w:type="dxa"/>
            <w:vAlign w:val="center"/>
          </w:tcPr>
          <w:p w14:paraId="619FCD7E"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$303,487</w:t>
            </w:r>
          </w:p>
        </w:tc>
        <w:tc>
          <w:tcPr>
            <w:tcW w:w="1027" w:type="dxa"/>
            <w:vAlign w:val="center"/>
          </w:tcPr>
          <w:p w14:paraId="4A9B4911"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$604,724</w:t>
            </w:r>
          </w:p>
        </w:tc>
        <w:tc>
          <w:tcPr>
            <w:tcW w:w="1061" w:type="dxa"/>
            <w:vAlign w:val="center"/>
          </w:tcPr>
          <w:p w14:paraId="424EF967"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$1,157,373</w:t>
            </w:r>
          </w:p>
        </w:tc>
        <w:tc>
          <w:tcPr>
            <w:tcW w:w="1102" w:type="dxa"/>
            <w:vAlign w:val="center"/>
          </w:tcPr>
          <w:p w14:paraId="6AC2B14B"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$134,505,759</w:t>
            </w:r>
          </w:p>
        </w:tc>
        <w:tc>
          <w:tcPr>
            <w:tcW w:w="1150" w:type="dxa"/>
            <w:vAlign w:val="center"/>
          </w:tcPr>
          <w:p w14:paraId="4A187206"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$45,290,258</w:t>
            </w:r>
          </w:p>
        </w:tc>
      </w:tr>
      <w:tr w:rsidR="00DC4E86" w:rsidRPr="00DC4E86" w14:paraId="7294A497" w14:textId="77777777">
        <w:tc>
          <w:tcPr>
            <w:tcW w:w="568" w:type="dxa"/>
          </w:tcPr>
          <w:p w14:paraId="3E724FD0"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60-69 years</w:t>
            </w:r>
          </w:p>
        </w:tc>
        <w:tc>
          <w:tcPr>
            <w:tcW w:w="735" w:type="dxa"/>
            <w:vAlign w:val="center"/>
          </w:tcPr>
          <w:p w14:paraId="426CA5BF"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No</w:t>
            </w:r>
          </w:p>
        </w:tc>
        <w:tc>
          <w:tcPr>
            <w:tcW w:w="819" w:type="dxa"/>
            <w:vAlign w:val="center"/>
          </w:tcPr>
          <w:p w14:paraId="5D1F594A"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Yes</w:t>
            </w:r>
          </w:p>
        </w:tc>
        <w:tc>
          <w:tcPr>
            <w:tcW w:w="965" w:type="dxa"/>
            <w:vAlign w:val="center"/>
          </w:tcPr>
          <w:p w14:paraId="16B161F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$3,483</w:t>
            </w:r>
          </w:p>
        </w:tc>
        <w:tc>
          <w:tcPr>
            <w:tcW w:w="799" w:type="dxa"/>
            <w:vAlign w:val="center"/>
          </w:tcPr>
          <w:p w14:paraId="2E084B20"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$85,493</w:t>
            </w:r>
          </w:p>
        </w:tc>
        <w:tc>
          <w:tcPr>
            <w:tcW w:w="790" w:type="dxa"/>
            <w:vAlign w:val="center"/>
          </w:tcPr>
          <w:p w14:paraId="0F36D0E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$223,656</w:t>
            </w:r>
          </w:p>
        </w:tc>
        <w:tc>
          <w:tcPr>
            <w:tcW w:w="1027" w:type="dxa"/>
            <w:vAlign w:val="center"/>
          </w:tcPr>
          <w:p w14:paraId="44F93CA8"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$459,672</w:t>
            </w:r>
          </w:p>
        </w:tc>
        <w:tc>
          <w:tcPr>
            <w:tcW w:w="1061" w:type="dxa"/>
            <w:vAlign w:val="center"/>
          </w:tcPr>
          <w:p w14:paraId="2898D3D9"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$881,413</w:t>
            </w:r>
          </w:p>
        </w:tc>
        <w:tc>
          <w:tcPr>
            <w:tcW w:w="1102" w:type="dxa"/>
            <w:vAlign w:val="center"/>
          </w:tcPr>
          <w:p w14:paraId="0A03E502"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$104,985,636</w:t>
            </w:r>
          </w:p>
        </w:tc>
        <w:tc>
          <w:tcPr>
            <w:tcW w:w="1150" w:type="dxa"/>
            <w:vAlign w:val="center"/>
          </w:tcPr>
          <w:p w14:paraId="5275218B"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$34,580,078</w:t>
            </w:r>
          </w:p>
        </w:tc>
      </w:tr>
      <w:tr w:rsidR="00DC4E86" w:rsidRPr="00DC4E86" w14:paraId="16CDA9CD" w14:textId="77777777">
        <w:tc>
          <w:tcPr>
            <w:tcW w:w="568" w:type="dxa"/>
          </w:tcPr>
          <w:p w14:paraId="4B7B1F8E"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60-69 years</w:t>
            </w:r>
          </w:p>
        </w:tc>
        <w:tc>
          <w:tcPr>
            <w:tcW w:w="735" w:type="dxa"/>
            <w:vAlign w:val="center"/>
          </w:tcPr>
          <w:p w14:paraId="4D76573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No</w:t>
            </w:r>
          </w:p>
        </w:tc>
        <w:tc>
          <w:tcPr>
            <w:tcW w:w="819" w:type="dxa"/>
            <w:vAlign w:val="center"/>
          </w:tcPr>
          <w:p w14:paraId="4FFD9208"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No</w:t>
            </w:r>
          </w:p>
        </w:tc>
        <w:tc>
          <w:tcPr>
            <w:tcW w:w="965" w:type="dxa"/>
            <w:vAlign w:val="center"/>
          </w:tcPr>
          <w:p w14:paraId="4DD812B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$2,144</w:t>
            </w:r>
          </w:p>
        </w:tc>
        <w:tc>
          <w:tcPr>
            <w:tcW w:w="799" w:type="dxa"/>
            <w:vAlign w:val="center"/>
          </w:tcPr>
          <w:p w14:paraId="7552360A"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$41,472</w:t>
            </w:r>
          </w:p>
        </w:tc>
        <w:tc>
          <w:tcPr>
            <w:tcW w:w="790" w:type="dxa"/>
            <w:vAlign w:val="center"/>
          </w:tcPr>
          <w:p w14:paraId="6DF015BE"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$133,829</w:t>
            </w:r>
          </w:p>
        </w:tc>
        <w:tc>
          <w:tcPr>
            <w:tcW w:w="1027" w:type="dxa"/>
            <w:vAlign w:val="center"/>
          </w:tcPr>
          <w:p w14:paraId="2E7EFA75"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$296,457</w:t>
            </w:r>
          </w:p>
        </w:tc>
        <w:tc>
          <w:tcPr>
            <w:tcW w:w="1061" w:type="dxa"/>
            <w:vAlign w:val="center"/>
          </w:tcPr>
          <w:p w14:paraId="585B2BA6"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$570,900</w:t>
            </w:r>
          </w:p>
        </w:tc>
        <w:tc>
          <w:tcPr>
            <w:tcW w:w="1102" w:type="dxa"/>
            <w:vAlign w:val="center"/>
          </w:tcPr>
          <w:p w14:paraId="3CA674A5" w14:textId="77777777" w:rsidR="00DC4E86" w:rsidRPr="00DC4E86" w:rsidRDefault="00DC4E86" w:rsidP="00DC4E86">
            <w:pPr>
              <w:keepNext/>
              <w:keepLines/>
              <w:spacing w:after="0"/>
              <w:jc w:val="center"/>
              <w:rPr>
                <w:rFonts w:ascii="Arial Narrow" w:hAnsi="Arial Narrow" w:cs="Arial"/>
              </w:rPr>
            </w:pPr>
            <w:proofErr w:type="spellStart"/>
            <w:r w:rsidRPr="00DC4E86">
              <w:rPr>
                <w:rFonts w:ascii="Arial Narrow" w:hAnsi="Arial Narrow" w:cs="Arial"/>
              </w:rPr>
              <w:t>NE</w:t>
            </w:r>
            <w:r w:rsidRPr="00DC4E86">
              <w:rPr>
                <w:rFonts w:ascii="Arial Narrow" w:hAnsi="Arial Narrow" w:cs="Arial"/>
                <w:vertAlign w:val="superscript"/>
              </w:rPr>
              <w:t>b</w:t>
            </w:r>
            <w:proofErr w:type="spellEnd"/>
          </w:p>
        </w:tc>
        <w:tc>
          <w:tcPr>
            <w:tcW w:w="1150" w:type="dxa"/>
            <w:vAlign w:val="center"/>
          </w:tcPr>
          <w:p w14:paraId="58D5A2A6" w14:textId="77777777" w:rsidR="00DC4E86" w:rsidRPr="00DC4E86" w:rsidRDefault="00DC4E86" w:rsidP="00DC4E86">
            <w:pPr>
              <w:keepNext/>
              <w:keepLines/>
              <w:spacing w:after="0"/>
              <w:jc w:val="center"/>
              <w:rPr>
                <w:rFonts w:ascii="Arial Narrow" w:hAnsi="Arial Narrow" w:cs="Arial"/>
              </w:rPr>
            </w:pPr>
            <w:proofErr w:type="spellStart"/>
            <w:r w:rsidRPr="00DC4E86">
              <w:rPr>
                <w:rFonts w:ascii="Arial Narrow" w:hAnsi="Arial Narrow" w:cs="Arial"/>
              </w:rPr>
              <w:t>NE</w:t>
            </w:r>
            <w:r w:rsidRPr="00DC4E86">
              <w:rPr>
                <w:rFonts w:ascii="Arial Narrow" w:hAnsi="Arial Narrow" w:cs="Arial"/>
                <w:vertAlign w:val="superscript"/>
              </w:rPr>
              <w:t>b</w:t>
            </w:r>
            <w:proofErr w:type="spellEnd"/>
          </w:p>
        </w:tc>
      </w:tr>
      <w:tr w:rsidR="00DC4E86" w:rsidRPr="00DC4E86" w14:paraId="39124733" w14:textId="77777777">
        <w:tc>
          <w:tcPr>
            <w:tcW w:w="568" w:type="dxa"/>
          </w:tcPr>
          <w:p w14:paraId="6AF7DBBC"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65-69 years</w:t>
            </w:r>
          </w:p>
        </w:tc>
        <w:tc>
          <w:tcPr>
            <w:tcW w:w="735" w:type="dxa"/>
            <w:vAlign w:val="center"/>
          </w:tcPr>
          <w:p w14:paraId="41B5B954"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Yes</w:t>
            </w:r>
          </w:p>
        </w:tc>
        <w:tc>
          <w:tcPr>
            <w:tcW w:w="819" w:type="dxa"/>
            <w:vAlign w:val="center"/>
          </w:tcPr>
          <w:p w14:paraId="73939312"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N/A</w:t>
            </w:r>
          </w:p>
        </w:tc>
        <w:tc>
          <w:tcPr>
            <w:tcW w:w="965" w:type="dxa"/>
            <w:vAlign w:val="center"/>
          </w:tcPr>
          <w:p w14:paraId="7F7E0548"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$1,576</w:t>
            </w:r>
          </w:p>
        </w:tc>
        <w:tc>
          <w:tcPr>
            <w:tcW w:w="799" w:type="dxa"/>
            <w:vAlign w:val="center"/>
          </w:tcPr>
          <w:p w14:paraId="209DA327"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$19,396</w:t>
            </w:r>
          </w:p>
        </w:tc>
        <w:tc>
          <w:tcPr>
            <w:tcW w:w="790" w:type="dxa"/>
            <w:vAlign w:val="center"/>
          </w:tcPr>
          <w:p w14:paraId="5A88DCB8"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$107,491</w:t>
            </w:r>
          </w:p>
        </w:tc>
        <w:tc>
          <w:tcPr>
            <w:tcW w:w="1027" w:type="dxa"/>
            <w:vAlign w:val="center"/>
          </w:tcPr>
          <w:p w14:paraId="4F88589B"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$247,296</w:t>
            </w:r>
          </w:p>
        </w:tc>
        <w:tc>
          <w:tcPr>
            <w:tcW w:w="1061" w:type="dxa"/>
            <w:vAlign w:val="center"/>
          </w:tcPr>
          <w:p w14:paraId="3CBC2360"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$475,517</w:t>
            </w:r>
          </w:p>
        </w:tc>
        <w:tc>
          <w:tcPr>
            <w:tcW w:w="1102" w:type="dxa"/>
            <w:vAlign w:val="center"/>
          </w:tcPr>
          <w:p w14:paraId="18A5F76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$65,383,476</w:t>
            </w:r>
          </w:p>
        </w:tc>
        <w:tc>
          <w:tcPr>
            <w:tcW w:w="1150" w:type="dxa"/>
            <w:vAlign w:val="center"/>
          </w:tcPr>
          <w:p w14:paraId="32105ED1"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$27,704,497</w:t>
            </w:r>
          </w:p>
        </w:tc>
      </w:tr>
      <w:tr w:rsidR="00DC4E86" w:rsidRPr="00DC4E86" w14:paraId="29F51801" w14:textId="77777777" w:rsidTr="00C81B63">
        <w:tc>
          <w:tcPr>
            <w:tcW w:w="568" w:type="dxa"/>
          </w:tcPr>
          <w:p w14:paraId="0D42501D" w14:textId="77777777" w:rsidR="00DC4E86" w:rsidRPr="00DC4E86" w:rsidRDefault="00DC4E86" w:rsidP="00DC4E86">
            <w:pPr>
              <w:keepNext/>
              <w:keepLines/>
              <w:spacing w:after="0"/>
              <w:jc w:val="both"/>
              <w:rPr>
                <w:rFonts w:ascii="Arial Narrow" w:hAnsi="Arial Narrow" w:cs="Arial"/>
              </w:rPr>
            </w:pPr>
            <w:r w:rsidRPr="00DC4E86">
              <w:rPr>
                <w:rFonts w:ascii="Arial Narrow" w:hAnsi="Arial Narrow" w:cs="Arial"/>
              </w:rPr>
              <w:t>65-69 years</w:t>
            </w:r>
          </w:p>
        </w:tc>
        <w:tc>
          <w:tcPr>
            <w:tcW w:w="735" w:type="dxa"/>
            <w:vAlign w:val="center"/>
          </w:tcPr>
          <w:p w14:paraId="4408212E"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No</w:t>
            </w:r>
          </w:p>
        </w:tc>
        <w:tc>
          <w:tcPr>
            <w:tcW w:w="819" w:type="dxa"/>
            <w:vAlign w:val="center"/>
          </w:tcPr>
          <w:p w14:paraId="06EDC7D8"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N/A</w:t>
            </w:r>
          </w:p>
        </w:tc>
        <w:tc>
          <w:tcPr>
            <w:tcW w:w="965" w:type="dxa"/>
            <w:vAlign w:val="center"/>
          </w:tcPr>
          <w:p w14:paraId="6B184CAF"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$1,154</w:t>
            </w:r>
          </w:p>
        </w:tc>
        <w:tc>
          <w:tcPr>
            <w:tcW w:w="799" w:type="dxa"/>
            <w:vAlign w:val="center"/>
          </w:tcPr>
          <w:p w14:paraId="1E42BDA7"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Dominant</w:t>
            </w:r>
          </w:p>
        </w:tc>
        <w:tc>
          <w:tcPr>
            <w:tcW w:w="790" w:type="dxa"/>
            <w:vAlign w:val="center"/>
          </w:tcPr>
          <w:p w14:paraId="01726EB0"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$60,981</w:t>
            </w:r>
          </w:p>
        </w:tc>
        <w:tc>
          <w:tcPr>
            <w:tcW w:w="1027" w:type="dxa"/>
            <w:vAlign w:val="center"/>
          </w:tcPr>
          <w:p w14:paraId="1E0D0033"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$189,309</w:t>
            </w:r>
          </w:p>
        </w:tc>
        <w:tc>
          <w:tcPr>
            <w:tcW w:w="1061" w:type="dxa"/>
            <w:shd w:val="clear" w:color="auto" w:fill="D9D9D9" w:themeFill="background1" w:themeFillShade="D9"/>
            <w:vAlign w:val="center"/>
          </w:tcPr>
          <w:p w14:paraId="73CD6916"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$365,286</w:t>
            </w:r>
          </w:p>
        </w:tc>
        <w:tc>
          <w:tcPr>
            <w:tcW w:w="1102" w:type="dxa"/>
            <w:shd w:val="clear" w:color="auto" w:fill="FFFFFF" w:themeFill="background1"/>
            <w:vAlign w:val="center"/>
          </w:tcPr>
          <w:p w14:paraId="2A455E0D"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$51,022,041</w:t>
            </w:r>
          </w:p>
        </w:tc>
        <w:tc>
          <w:tcPr>
            <w:tcW w:w="1150" w:type="dxa"/>
            <w:shd w:val="clear" w:color="auto" w:fill="FFFFFF" w:themeFill="background1"/>
            <w:vAlign w:val="center"/>
          </w:tcPr>
          <w:p w14:paraId="4235EDEB" w14:textId="77777777" w:rsidR="00DC4E86" w:rsidRPr="00DC4E86" w:rsidRDefault="00DC4E86" w:rsidP="00DC4E86">
            <w:pPr>
              <w:keepNext/>
              <w:keepLines/>
              <w:spacing w:after="0"/>
              <w:jc w:val="center"/>
              <w:rPr>
                <w:rFonts w:ascii="Arial Narrow" w:hAnsi="Arial Narrow" w:cs="Arial"/>
              </w:rPr>
            </w:pPr>
            <w:r w:rsidRPr="00DC4E86">
              <w:rPr>
                <w:rFonts w:ascii="Arial Narrow" w:hAnsi="Arial Narrow" w:cs="Arial"/>
              </w:rPr>
              <w:t>$21,151,963</w:t>
            </w:r>
          </w:p>
        </w:tc>
      </w:tr>
    </w:tbl>
    <w:p w14:paraId="3203526E"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t>Abbreviations: DPMQ, dispensed price maximum quantity; MBS, Medicare Benefits Schedule; N/A, not applicable; NE, not estimable; PBS, Pharmaceutical Benefits Scheme; QALY, quality adjusted life year</w:t>
      </w:r>
    </w:p>
    <w:p w14:paraId="447E0BB8"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vertAlign w:val="superscript"/>
          <w:lang w:eastAsia="en-AU"/>
          <w14:ligatures w14:val="standardContextual"/>
        </w:rPr>
        <w:t xml:space="preserve">a </w:t>
      </w:r>
      <w:r w:rsidRPr="00DE0E06">
        <w:rPr>
          <w:rFonts w:ascii="Arial Narrow" w:eastAsia="Times New Roman" w:hAnsi="Arial Narrow" w:cstheme="minorHAnsi"/>
          <w:snapToGrid w:val="0"/>
          <w:sz w:val="18"/>
          <w:lang w:eastAsia="en-AU"/>
          <w14:ligatures w14:val="standardContextual"/>
        </w:rPr>
        <w:t xml:space="preserve">Assumes that patients who discontinue treatment reinitiate treatment using standard care if they experienced a fracture or in the absence of </w:t>
      </w:r>
      <w:proofErr w:type="gramStart"/>
      <w:r w:rsidRPr="00DE0E06">
        <w:rPr>
          <w:rFonts w:ascii="Arial Narrow" w:eastAsia="Times New Roman" w:hAnsi="Arial Narrow" w:cstheme="minorHAnsi"/>
          <w:snapToGrid w:val="0"/>
          <w:sz w:val="18"/>
          <w:lang w:eastAsia="en-AU"/>
          <w14:ligatures w14:val="standardContextual"/>
        </w:rPr>
        <w:t>fracture, once</w:t>
      </w:r>
      <w:proofErr w:type="gramEnd"/>
      <w:r w:rsidRPr="00DE0E06">
        <w:rPr>
          <w:rFonts w:ascii="Arial Narrow" w:eastAsia="Times New Roman" w:hAnsi="Arial Narrow" w:cstheme="minorHAnsi"/>
          <w:snapToGrid w:val="0"/>
          <w:sz w:val="18"/>
          <w:lang w:eastAsia="en-AU"/>
          <w14:ligatures w14:val="standardContextual"/>
        </w:rPr>
        <w:t xml:space="preserve"> they reached age 70 years.</w:t>
      </w:r>
    </w:p>
    <w:p w14:paraId="32946FCE"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vertAlign w:val="superscript"/>
          <w:lang w:eastAsia="en-AU"/>
          <w14:ligatures w14:val="standardContextual"/>
        </w:rPr>
        <w:t xml:space="preserve">b </w:t>
      </w:r>
      <w:r w:rsidRPr="00DE0E06">
        <w:rPr>
          <w:rFonts w:ascii="Arial Narrow" w:eastAsia="Times New Roman" w:hAnsi="Arial Narrow" w:cs="Arial"/>
          <w:snapToGrid w:val="0"/>
          <w:sz w:val="18"/>
          <w:lang w:eastAsia="en-AU"/>
          <w14:ligatures w14:val="standardContextual"/>
        </w:rPr>
        <w:t>Not estimable as testing rates based on MBS item numbers do not differentiate between initial and repeat testing.</w:t>
      </w:r>
    </w:p>
    <w:p w14:paraId="7EDB7CDE" w14:textId="14BB0B33" w:rsidR="008776E6" w:rsidRPr="00DE0E06" w:rsidRDefault="00E07951" w:rsidP="00745006">
      <w:pPr>
        <w:pStyle w:val="COMtablefigcaption"/>
      </w:pPr>
      <w:bookmarkStart w:id="34" w:name="_Ref167807538"/>
      <w:r w:rsidRPr="00DE0E06">
        <w:lastRenderedPageBreak/>
        <w:t xml:space="preserve">Table </w:t>
      </w:r>
      <w:r>
        <w:fldChar w:fldCharType="begin"/>
      </w:r>
      <w:r>
        <w:instrText xml:space="preserve"> SEQ Table \* ARABIC </w:instrText>
      </w:r>
      <w:r>
        <w:fldChar w:fldCharType="separate"/>
      </w:r>
      <w:r w:rsidR="00090261">
        <w:rPr>
          <w:noProof/>
        </w:rPr>
        <w:t>15</w:t>
      </w:r>
      <w:r>
        <w:rPr>
          <w:noProof/>
        </w:rPr>
        <w:fldChar w:fldCharType="end"/>
      </w:r>
      <w:bookmarkEnd w:id="34"/>
      <w:r w:rsidRPr="00DE0E06">
        <w:t xml:space="preserve"> Alendronate 70 mg weekly</w:t>
      </w:r>
      <w:r w:rsidR="00B55DA0">
        <w:t xml:space="preserve">; </w:t>
      </w:r>
      <w:r w:rsidR="00B55DA0" w:rsidRPr="00E90C8B">
        <w:rPr>
          <w:shd w:val="clear" w:color="auto" w:fill="D9D9D9" w:themeFill="background1" w:themeFillShade="D9"/>
        </w:rPr>
        <w:t xml:space="preserve">Shaded </w:t>
      </w:r>
      <w:r w:rsidR="00B55DA0">
        <w:t xml:space="preserve">represents ESCs respecified base </w:t>
      </w:r>
      <w:proofErr w:type="gramStart"/>
      <w:r w:rsidR="00B55DA0">
        <w:t>case</w:t>
      </w:r>
      <w:proofErr w:type="gramEnd"/>
    </w:p>
    <w:tbl>
      <w:tblPr>
        <w:tblStyle w:val="newstyle5"/>
        <w:tblW w:w="5000" w:type="pct"/>
        <w:tblCellMar>
          <w:left w:w="28" w:type="dxa"/>
          <w:right w:w="28" w:type="dxa"/>
        </w:tblCellMar>
        <w:tblLook w:val="04A0" w:firstRow="1" w:lastRow="0" w:firstColumn="1" w:lastColumn="0" w:noHBand="0" w:noVBand="1"/>
      </w:tblPr>
      <w:tblGrid>
        <w:gridCol w:w="506"/>
        <w:gridCol w:w="734"/>
        <w:gridCol w:w="787"/>
        <w:gridCol w:w="1092"/>
        <w:gridCol w:w="796"/>
        <w:gridCol w:w="823"/>
        <w:gridCol w:w="1051"/>
        <w:gridCol w:w="1010"/>
        <w:gridCol w:w="1248"/>
        <w:gridCol w:w="969"/>
      </w:tblGrid>
      <w:tr w:rsidR="009B2370" w:rsidRPr="009B2370" w14:paraId="46438E1E" w14:textId="77777777">
        <w:tc>
          <w:tcPr>
            <w:tcW w:w="2027" w:type="dxa"/>
            <w:gridSpan w:val="3"/>
            <w:vAlign w:val="center"/>
          </w:tcPr>
          <w:p w14:paraId="67E6061F" w14:textId="77777777" w:rsidR="009B2370" w:rsidRPr="009B2370" w:rsidRDefault="009B2370" w:rsidP="009B2370">
            <w:pPr>
              <w:keepNext/>
              <w:keepLines/>
              <w:spacing w:after="0"/>
              <w:jc w:val="both"/>
              <w:rPr>
                <w:rFonts w:ascii="Arial Narrow" w:hAnsi="Arial Narrow" w:cs="Arial"/>
                <w:b/>
                <w:bCs/>
              </w:rPr>
            </w:pPr>
            <w:r w:rsidRPr="009B2370">
              <w:rPr>
                <w:rFonts w:ascii="Arial Narrow" w:hAnsi="Arial Narrow" w:cs="Arial"/>
                <w:b/>
                <w:bCs/>
              </w:rPr>
              <w:t>Possible testing scenario</w:t>
            </w:r>
          </w:p>
        </w:tc>
        <w:tc>
          <w:tcPr>
            <w:tcW w:w="4772" w:type="dxa"/>
            <w:gridSpan w:val="5"/>
            <w:vAlign w:val="center"/>
          </w:tcPr>
          <w:p w14:paraId="7E85BF3B"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Economic evaluation</w:t>
            </w:r>
          </w:p>
        </w:tc>
        <w:tc>
          <w:tcPr>
            <w:tcW w:w="2217" w:type="dxa"/>
            <w:gridSpan w:val="2"/>
            <w:tcMar>
              <w:left w:w="0" w:type="dxa"/>
              <w:right w:w="0" w:type="dxa"/>
            </w:tcMar>
            <w:vAlign w:val="center"/>
          </w:tcPr>
          <w:p w14:paraId="6C063C48"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Budget impact over 6 years</w:t>
            </w:r>
          </w:p>
        </w:tc>
      </w:tr>
      <w:tr w:rsidR="009B2370" w:rsidRPr="009B2370" w14:paraId="45B88E99" w14:textId="77777777">
        <w:tc>
          <w:tcPr>
            <w:tcW w:w="506" w:type="dxa"/>
            <w:vMerge w:val="restart"/>
            <w:vAlign w:val="center"/>
          </w:tcPr>
          <w:p w14:paraId="28AFE765" w14:textId="77777777" w:rsidR="009B2370" w:rsidRPr="009B2370" w:rsidRDefault="009B2370" w:rsidP="009B2370">
            <w:pPr>
              <w:keepNext/>
              <w:keepLines/>
              <w:spacing w:after="0"/>
              <w:jc w:val="both"/>
              <w:rPr>
                <w:rFonts w:ascii="Arial Narrow" w:hAnsi="Arial Narrow" w:cs="Arial"/>
                <w:b/>
                <w:bCs/>
              </w:rPr>
            </w:pPr>
            <w:r w:rsidRPr="009B2370">
              <w:rPr>
                <w:rFonts w:ascii="Arial Narrow" w:hAnsi="Arial Narrow" w:cs="Arial"/>
                <w:b/>
                <w:bCs/>
              </w:rPr>
              <w:t>Age range</w:t>
            </w:r>
          </w:p>
        </w:tc>
        <w:tc>
          <w:tcPr>
            <w:tcW w:w="734" w:type="dxa"/>
            <w:vMerge w:val="restart"/>
            <w:vAlign w:val="center"/>
          </w:tcPr>
          <w:p w14:paraId="7F4CE701"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Repeat test at 2 years?</w:t>
            </w:r>
          </w:p>
        </w:tc>
        <w:tc>
          <w:tcPr>
            <w:tcW w:w="787" w:type="dxa"/>
            <w:vMerge w:val="restart"/>
            <w:vAlign w:val="center"/>
          </w:tcPr>
          <w:p w14:paraId="4446FEFC"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Repeat test at 5 years?</w:t>
            </w:r>
          </w:p>
        </w:tc>
        <w:tc>
          <w:tcPr>
            <w:tcW w:w="1092" w:type="dxa"/>
            <w:vMerge w:val="restart"/>
            <w:vAlign w:val="center"/>
          </w:tcPr>
          <w:p w14:paraId="72B0D97E"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Cost per additional osteoporosis diagnosis</w:t>
            </w:r>
          </w:p>
        </w:tc>
        <w:tc>
          <w:tcPr>
            <w:tcW w:w="3680" w:type="dxa"/>
            <w:gridSpan w:val="4"/>
            <w:vAlign w:val="center"/>
          </w:tcPr>
          <w:p w14:paraId="0594AFB6"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Cost per QALY gained</w:t>
            </w:r>
          </w:p>
        </w:tc>
        <w:tc>
          <w:tcPr>
            <w:tcW w:w="1248" w:type="dxa"/>
            <w:vMerge w:val="restart"/>
            <w:vAlign w:val="center"/>
          </w:tcPr>
          <w:p w14:paraId="34259330"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MBS</w:t>
            </w:r>
          </w:p>
        </w:tc>
        <w:tc>
          <w:tcPr>
            <w:tcW w:w="969" w:type="dxa"/>
            <w:vMerge w:val="restart"/>
            <w:vAlign w:val="center"/>
          </w:tcPr>
          <w:p w14:paraId="208C6983"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PBS</w:t>
            </w:r>
          </w:p>
        </w:tc>
      </w:tr>
      <w:tr w:rsidR="009B2370" w:rsidRPr="009B2370" w14:paraId="478A4220" w14:textId="77777777" w:rsidTr="009B2370">
        <w:tc>
          <w:tcPr>
            <w:tcW w:w="506" w:type="dxa"/>
            <w:vMerge/>
            <w:vAlign w:val="center"/>
          </w:tcPr>
          <w:p w14:paraId="54434C69" w14:textId="77777777" w:rsidR="009B2370" w:rsidRPr="009B2370" w:rsidRDefault="009B2370" w:rsidP="009B2370">
            <w:pPr>
              <w:keepNext/>
              <w:keepLines/>
              <w:spacing w:after="0"/>
              <w:jc w:val="both"/>
              <w:rPr>
                <w:rFonts w:ascii="Arial Narrow" w:hAnsi="Arial Narrow" w:cs="Arial"/>
                <w:b/>
                <w:bCs/>
              </w:rPr>
            </w:pPr>
          </w:p>
        </w:tc>
        <w:tc>
          <w:tcPr>
            <w:tcW w:w="734" w:type="dxa"/>
            <w:vMerge/>
            <w:vAlign w:val="center"/>
          </w:tcPr>
          <w:p w14:paraId="34D74744" w14:textId="77777777" w:rsidR="009B2370" w:rsidRPr="009B2370" w:rsidRDefault="009B2370" w:rsidP="009B2370">
            <w:pPr>
              <w:keepNext/>
              <w:keepLines/>
              <w:spacing w:after="0"/>
              <w:jc w:val="center"/>
              <w:rPr>
                <w:rFonts w:ascii="Arial Narrow" w:hAnsi="Arial Narrow" w:cs="Arial"/>
                <w:b/>
                <w:bCs/>
              </w:rPr>
            </w:pPr>
          </w:p>
        </w:tc>
        <w:tc>
          <w:tcPr>
            <w:tcW w:w="787" w:type="dxa"/>
            <w:vMerge/>
            <w:vAlign w:val="center"/>
          </w:tcPr>
          <w:p w14:paraId="41D5BD7E" w14:textId="77777777" w:rsidR="009B2370" w:rsidRPr="009B2370" w:rsidRDefault="009B2370" w:rsidP="009B2370">
            <w:pPr>
              <w:keepNext/>
              <w:keepLines/>
              <w:spacing w:after="0"/>
              <w:jc w:val="center"/>
              <w:rPr>
                <w:rFonts w:ascii="Arial Narrow" w:hAnsi="Arial Narrow" w:cs="Arial"/>
                <w:b/>
                <w:bCs/>
              </w:rPr>
            </w:pPr>
          </w:p>
        </w:tc>
        <w:tc>
          <w:tcPr>
            <w:tcW w:w="1092" w:type="dxa"/>
            <w:vMerge/>
            <w:vAlign w:val="center"/>
          </w:tcPr>
          <w:p w14:paraId="3FD350AF" w14:textId="77777777" w:rsidR="009B2370" w:rsidRPr="009B2370" w:rsidRDefault="009B2370" w:rsidP="009B2370">
            <w:pPr>
              <w:keepNext/>
              <w:keepLines/>
              <w:spacing w:after="0"/>
              <w:jc w:val="center"/>
              <w:rPr>
                <w:rFonts w:ascii="Arial Narrow" w:hAnsi="Arial Narrow" w:cs="Arial"/>
                <w:b/>
                <w:bCs/>
              </w:rPr>
            </w:pPr>
          </w:p>
        </w:tc>
        <w:tc>
          <w:tcPr>
            <w:tcW w:w="796" w:type="dxa"/>
            <w:vAlign w:val="center"/>
          </w:tcPr>
          <w:p w14:paraId="28CB0F1C"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Base case</w:t>
            </w:r>
          </w:p>
        </w:tc>
        <w:tc>
          <w:tcPr>
            <w:tcW w:w="823" w:type="dxa"/>
            <w:vAlign w:val="center"/>
          </w:tcPr>
          <w:p w14:paraId="110F6E3B" w14:textId="77777777" w:rsidR="009B2370" w:rsidRPr="009B2370" w:rsidRDefault="009B2370" w:rsidP="009B2370">
            <w:pPr>
              <w:keepNext/>
              <w:keepLines/>
              <w:spacing w:after="0"/>
              <w:jc w:val="center"/>
              <w:rPr>
                <w:rFonts w:ascii="Arial Narrow" w:hAnsi="Arial Narrow" w:cs="Arial"/>
                <w:b/>
                <w:bCs/>
              </w:rPr>
            </w:pPr>
            <w:proofErr w:type="gramStart"/>
            <w:r w:rsidRPr="009B2370">
              <w:rPr>
                <w:rFonts w:ascii="Arial Narrow" w:hAnsi="Arial Narrow" w:cs="Arial"/>
                <w:b/>
                <w:bCs/>
              </w:rPr>
              <w:t>10 year</w:t>
            </w:r>
            <w:proofErr w:type="gramEnd"/>
            <w:r w:rsidRPr="009B2370">
              <w:rPr>
                <w:rFonts w:ascii="Arial Narrow" w:hAnsi="Arial Narrow" w:cs="Arial"/>
                <w:b/>
                <w:bCs/>
              </w:rPr>
              <w:t xml:space="preserve"> time horizon</w:t>
            </w:r>
          </w:p>
        </w:tc>
        <w:tc>
          <w:tcPr>
            <w:tcW w:w="1051" w:type="dxa"/>
            <w:vAlign w:val="center"/>
          </w:tcPr>
          <w:p w14:paraId="180484BC" w14:textId="77777777" w:rsidR="009B2370" w:rsidRPr="009B2370" w:rsidRDefault="009B2370" w:rsidP="009B2370">
            <w:pPr>
              <w:keepNext/>
              <w:keepLines/>
              <w:spacing w:after="0"/>
              <w:jc w:val="center"/>
              <w:rPr>
                <w:rFonts w:ascii="Arial Narrow" w:hAnsi="Arial Narrow" w:cs="Arial"/>
                <w:b/>
                <w:bCs/>
              </w:rPr>
            </w:pPr>
            <w:r w:rsidRPr="009B2370">
              <w:rPr>
                <w:rFonts w:ascii="Arial Narrow" w:hAnsi="Arial Narrow" w:cs="Arial"/>
                <w:b/>
                <w:bCs/>
              </w:rPr>
              <w:t xml:space="preserve">Imperfect </w:t>
            </w:r>
            <w:proofErr w:type="spellStart"/>
            <w:r w:rsidRPr="009B2370">
              <w:rPr>
                <w:rFonts w:ascii="Arial Narrow" w:hAnsi="Arial Narrow" w:cs="Arial"/>
                <w:b/>
                <w:bCs/>
              </w:rPr>
              <w:t>persistence</w:t>
            </w:r>
            <w:r w:rsidRPr="009B2370">
              <w:rPr>
                <w:rFonts w:ascii="Arial Narrow" w:hAnsi="Arial Narrow" w:cs="Arial"/>
                <w:b/>
                <w:bCs/>
                <w:vertAlign w:val="superscript"/>
              </w:rPr>
              <w:t>a</w:t>
            </w:r>
            <w:proofErr w:type="spellEnd"/>
          </w:p>
        </w:tc>
        <w:tc>
          <w:tcPr>
            <w:tcW w:w="1010" w:type="dxa"/>
            <w:shd w:val="clear" w:color="auto" w:fill="D9D9D9" w:themeFill="background1" w:themeFillShade="D9"/>
            <w:vAlign w:val="center"/>
          </w:tcPr>
          <w:p w14:paraId="0064D5BA" w14:textId="77777777" w:rsidR="009B2370" w:rsidRPr="009B2370" w:rsidRDefault="009B2370" w:rsidP="009B2370">
            <w:pPr>
              <w:keepNext/>
              <w:keepLines/>
              <w:spacing w:after="0"/>
              <w:jc w:val="center"/>
              <w:rPr>
                <w:rFonts w:ascii="Arial Narrow" w:hAnsi="Arial Narrow" w:cs="Arial"/>
                <w:b/>
                <w:bCs/>
              </w:rPr>
            </w:pPr>
            <w:proofErr w:type="gramStart"/>
            <w:r w:rsidRPr="009B2370">
              <w:rPr>
                <w:rFonts w:ascii="Arial Narrow" w:hAnsi="Arial Narrow" w:cs="Arial"/>
                <w:b/>
                <w:bCs/>
              </w:rPr>
              <w:t>10 year</w:t>
            </w:r>
            <w:proofErr w:type="gramEnd"/>
            <w:r w:rsidRPr="009B2370">
              <w:rPr>
                <w:rFonts w:ascii="Arial Narrow" w:hAnsi="Arial Narrow" w:cs="Arial"/>
                <w:b/>
                <w:bCs/>
              </w:rPr>
              <w:t xml:space="preserve"> time horizon and imperfect persistence</w:t>
            </w:r>
          </w:p>
        </w:tc>
        <w:tc>
          <w:tcPr>
            <w:tcW w:w="1248" w:type="dxa"/>
            <w:vMerge/>
            <w:vAlign w:val="center"/>
          </w:tcPr>
          <w:p w14:paraId="3767E13D" w14:textId="77777777" w:rsidR="009B2370" w:rsidRPr="009B2370" w:rsidRDefault="009B2370" w:rsidP="009B2370">
            <w:pPr>
              <w:keepNext/>
              <w:keepLines/>
              <w:spacing w:after="0"/>
              <w:jc w:val="center"/>
              <w:rPr>
                <w:rFonts w:ascii="Arial Narrow" w:hAnsi="Arial Narrow" w:cs="Arial"/>
                <w:b/>
                <w:bCs/>
              </w:rPr>
            </w:pPr>
          </w:p>
        </w:tc>
        <w:tc>
          <w:tcPr>
            <w:tcW w:w="969" w:type="dxa"/>
            <w:vMerge/>
            <w:vAlign w:val="center"/>
          </w:tcPr>
          <w:p w14:paraId="2738C27F" w14:textId="77777777" w:rsidR="009B2370" w:rsidRPr="009B2370" w:rsidRDefault="009B2370" w:rsidP="009B2370">
            <w:pPr>
              <w:keepNext/>
              <w:keepLines/>
              <w:spacing w:after="0"/>
              <w:jc w:val="center"/>
              <w:rPr>
                <w:rFonts w:ascii="Arial Narrow" w:hAnsi="Arial Narrow" w:cs="Arial"/>
                <w:b/>
                <w:bCs/>
              </w:rPr>
            </w:pPr>
          </w:p>
        </w:tc>
      </w:tr>
      <w:tr w:rsidR="009B2370" w:rsidRPr="009B2370" w14:paraId="0BFFA1E3" w14:textId="77777777">
        <w:tc>
          <w:tcPr>
            <w:tcW w:w="9016" w:type="dxa"/>
            <w:gridSpan w:val="10"/>
          </w:tcPr>
          <w:p w14:paraId="1E17A41D" w14:textId="77777777" w:rsidR="009B2370" w:rsidRPr="009B2370" w:rsidRDefault="009B2370" w:rsidP="009B2370">
            <w:pPr>
              <w:keepNext/>
              <w:spacing w:after="0"/>
              <w:rPr>
                <w:rFonts w:ascii="Arial Narrow" w:eastAsiaTheme="majorEastAsia" w:hAnsi="Arial Narrow"/>
                <w:b/>
                <w:szCs w:val="24"/>
                <w:lang w:val="en-US"/>
              </w:rPr>
            </w:pPr>
            <w:r w:rsidRPr="009B2370">
              <w:rPr>
                <w:rFonts w:ascii="Arial Narrow" w:eastAsiaTheme="majorEastAsia" w:hAnsi="Arial Narrow"/>
                <w:b/>
                <w:szCs w:val="24"/>
                <w:lang w:val="en-US"/>
              </w:rPr>
              <w:t>30-day dispensing (DPMQ $16.90)</w:t>
            </w:r>
          </w:p>
        </w:tc>
      </w:tr>
      <w:tr w:rsidR="009B2370" w:rsidRPr="009B2370" w14:paraId="40062DB7" w14:textId="77777777">
        <w:tc>
          <w:tcPr>
            <w:tcW w:w="506" w:type="dxa"/>
          </w:tcPr>
          <w:p w14:paraId="68F24187"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60-69 years</w:t>
            </w:r>
          </w:p>
        </w:tc>
        <w:tc>
          <w:tcPr>
            <w:tcW w:w="734" w:type="dxa"/>
            <w:vAlign w:val="center"/>
          </w:tcPr>
          <w:p w14:paraId="30C8BD7F"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Yes</w:t>
            </w:r>
          </w:p>
        </w:tc>
        <w:tc>
          <w:tcPr>
            <w:tcW w:w="787" w:type="dxa"/>
            <w:vAlign w:val="center"/>
          </w:tcPr>
          <w:p w14:paraId="201A88BB"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Yes</w:t>
            </w:r>
          </w:p>
        </w:tc>
        <w:tc>
          <w:tcPr>
            <w:tcW w:w="1092" w:type="dxa"/>
            <w:vAlign w:val="center"/>
          </w:tcPr>
          <w:p w14:paraId="34FC2E5F"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$4,673</w:t>
            </w:r>
          </w:p>
        </w:tc>
        <w:tc>
          <w:tcPr>
            <w:tcW w:w="796" w:type="dxa"/>
            <w:vAlign w:val="center"/>
          </w:tcPr>
          <w:p w14:paraId="498BD47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$89,878</w:t>
            </w:r>
          </w:p>
        </w:tc>
        <w:tc>
          <w:tcPr>
            <w:tcW w:w="823" w:type="dxa"/>
            <w:vAlign w:val="center"/>
          </w:tcPr>
          <w:p w14:paraId="1461DC67"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$255,688</w:t>
            </w:r>
          </w:p>
        </w:tc>
        <w:tc>
          <w:tcPr>
            <w:tcW w:w="1051" w:type="dxa"/>
            <w:vAlign w:val="center"/>
          </w:tcPr>
          <w:p w14:paraId="09511DB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$588,555</w:t>
            </w:r>
          </w:p>
        </w:tc>
        <w:tc>
          <w:tcPr>
            <w:tcW w:w="1010" w:type="dxa"/>
            <w:vAlign w:val="center"/>
          </w:tcPr>
          <w:p w14:paraId="07EE5F43"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$1,126,645</w:t>
            </w:r>
          </w:p>
        </w:tc>
        <w:tc>
          <w:tcPr>
            <w:tcW w:w="1248" w:type="dxa"/>
            <w:vAlign w:val="center"/>
          </w:tcPr>
          <w:p w14:paraId="5EC93606"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$134,505,759</w:t>
            </w:r>
          </w:p>
        </w:tc>
        <w:tc>
          <w:tcPr>
            <w:tcW w:w="969" w:type="dxa"/>
            <w:vAlign w:val="center"/>
          </w:tcPr>
          <w:p w14:paraId="682A7638"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$24,366,033</w:t>
            </w:r>
          </w:p>
        </w:tc>
      </w:tr>
      <w:tr w:rsidR="009B2370" w:rsidRPr="009B2370" w14:paraId="0E7EE7CB" w14:textId="77777777">
        <w:tc>
          <w:tcPr>
            <w:tcW w:w="506" w:type="dxa"/>
          </w:tcPr>
          <w:p w14:paraId="4814AA7C"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60-69 years</w:t>
            </w:r>
          </w:p>
        </w:tc>
        <w:tc>
          <w:tcPr>
            <w:tcW w:w="734" w:type="dxa"/>
            <w:vAlign w:val="center"/>
          </w:tcPr>
          <w:p w14:paraId="5BDD2B3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No</w:t>
            </w:r>
          </w:p>
        </w:tc>
        <w:tc>
          <w:tcPr>
            <w:tcW w:w="787" w:type="dxa"/>
            <w:vAlign w:val="center"/>
          </w:tcPr>
          <w:p w14:paraId="4ECECFF7"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Yes</w:t>
            </w:r>
          </w:p>
        </w:tc>
        <w:tc>
          <w:tcPr>
            <w:tcW w:w="1092" w:type="dxa"/>
            <w:vAlign w:val="center"/>
          </w:tcPr>
          <w:p w14:paraId="6F0D1669"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$3,483</w:t>
            </w:r>
          </w:p>
        </w:tc>
        <w:tc>
          <w:tcPr>
            <w:tcW w:w="796" w:type="dxa"/>
            <w:vAlign w:val="center"/>
          </w:tcPr>
          <w:p w14:paraId="6421B89F"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$50,756</w:t>
            </w:r>
          </w:p>
        </w:tc>
        <w:tc>
          <w:tcPr>
            <w:tcW w:w="823" w:type="dxa"/>
            <w:vAlign w:val="center"/>
          </w:tcPr>
          <w:p w14:paraId="7CB49CFA"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$175,857</w:t>
            </w:r>
          </w:p>
        </w:tc>
        <w:tc>
          <w:tcPr>
            <w:tcW w:w="1051" w:type="dxa"/>
            <w:vAlign w:val="center"/>
          </w:tcPr>
          <w:p w14:paraId="37F70E45"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$443,503</w:t>
            </w:r>
          </w:p>
        </w:tc>
        <w:tc>
          <w:tcPr>
            <w:tcW w:w="1010" w:type="dxa"/>
            <w:vAlign w:val="center"/>
          </w:tcPr>
          <w:p w14:paraId="1BEB32D4"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$850,685</w:t>
            </w:r>
          </w:p>
        </w:tc>
        <w:tc>
          <w:tcPr>
            <w:tcW w:w="1248" w:type="dxa"/>
            <w:vAlign w:val="center"/>
          </w:tcPr>
          <w:p w14:paraId="2909A69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$104,985,636</w:t>
            </w:r>
          </w:p>
        </w:tc>
        <w:tc>
          <w:tcPr>
            <w:tcW w:w="969" w:type="dxa"/>
            <w:vAlign w:val="center"/>
          </w:tcPr>
          <w:p w14:paraId="7249A654"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$18,603,986</w:t>
            </w:r>
          </w:p>
        </w:tc>
      </w:tr>
      <w:tr w:rsidR="009B2370" w:rsidRPr="009B2370" w14:paraId="4BEC4FF4" w14:textId="77777777">
        <w:tc>
          <w:tcPr>
            <w:tcW w:w="506" w:type="dxa"/>
          </w:tcPr>
          <w:p w14:paraId="358F1337"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60-69 years</w:t>
            </w:r>
          </w:p>
        </w:tc>
        <w:tc>
          <w:tcPr>
            <w:tcW w:w="734" w:type="dxa"/>
            <w:vAlign w:val="center"/>
          </w:tcPr>
          <w:p w14:paraId="4CE0EED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No</w:t>
            </w:r>
          </w:p>
        </w:tc>
        <w:tc>
          <w:tcPr>
            <w:tcW w:w="787" w:type="dxa"/>
            <w:vAlign w:val="center"/>
          </w:tcPr>
          <w:p w14:paraId="6C384B8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No</w:t>
            </w:r>
          </w:p>
        </w:tc>
        <w:tc>
          <w:tcPr>
            <w:tcW w:w="1092" w:type="dxa"/>
            <w:vAlign w:val="center"/>
          </w:tcPr>
          <w:p w14:paraId="46B58F0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$2,144</w:t>
            </w:r>
          </w:p>
        </w:tc>
        <w:tc>
          <w:tcPr>
            <w:tcW w:w="796" w:type="dxa"/>
            <w:vAlign w:val="center"/>
          </w:tcPr>
          <w:p w14:paraId="3E3D8A83"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$6,734</w:t>
            </w:r>
          </w:p>
        </w:tc>
        <w:tc>
          <w:tcPr>
            <w:tcW w:w="823" w:type="dxa"/>
            <w:vAlign w:val="center"/>
          </w:tcPr>
          <w:p w14:paraId="59F7A48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$86,031</w:t>
            </w:r>
          </w:p>
        </w:tc>
        <w:tc>
          <w:tcPr>
            <w:tcW w:w="1051" w:type="dxa"/>
            <w:vAlign w:val="center"/>
          </w:tcPr>
          <w:p w14:paraId="0C706A5A"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$280,288</w:t>
            </w:r>
          </w:p>
        </w:tc>
        <w:tc>
          <w:tcPr>
            <w:tcW w:w="1010" w:type="dxa"/>
            <w:vAlign w:val="center"/>
          </w:tcPr>
          <w:p w14:paraId="4FACA9DA"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$540,173</w:t>
            </w:r>
          </w:p>
        </w:tc>
        <w:tc>
          <w:tcPr>
            <w:tcW w:w="1248" w:type="dxa"/>
            <w:vAlign w:val="center"/>
          </w:tcPr>
          <w:p w14:paraId="2DFD0203" w14:textId="77777777" w:rsidR="009B2370" w:rsidRPr="009B2370" w:rsidRDefault="009B2370" w:rsidP="009B2370">
            <w:pPr>
              <w:keepNext/>
              <w:keepLines/>
              <w:spacing w:after="0"/>
              <w:jc w:val="center"/>
              <w:rPr>
                <w:rFonts w:ascii="Arial Narrow" w:hAnsi="Arial Narrow" w:cs="Arial"/>
              </w:rPr>
            </w:pPr>
            <w:proofErr w:type="spellStart"/>
            <w:r w:rsidRPr="009B2370">
              <w:rPr>
                <w:rFonts w:ascii="Arial Narrow" w:hAnsi="Arial Narrow" w:cs="Arial"/>
              </w:rPr>
              <w:t>NE</w:t>
            </w:r>
            <w:r w:rsidRPr="009B2370">
              <w:rPr>
                <w:rFonts w:ascii="Arial Narrow" w:hAnsi="Arial Narrow" w:cs="Arial"/>
                <w:vertAlign w:val="superscript"/>
              </w:rPr>
              <w:t>b</w:t>
            </w:r>
            <w:proofErr w:type="spellEnd"/>
          </w:p>
        </w:tc>
        <w:tc>
          <w:tcPr>
            <w:tcW w:w="969" w:type="dxa"/>
            <w:vAlign w:val="center"/>
          </w:tcPr>
          <w:p w14:paraId="5E43038E" w14:textId="77777777" w:rsidR="009B2370" w:rsidRPr="009B2370" w:rsidRDefault="009B2370" w:rsidP="009B2370">
            <w:pPr>
              <w:keepNext/>
              <w:keepLines/>
              <w:spacing w:after="0"/>
              <w:jc w:val="center"/>
              <w:rPr>
                <w:rFonts w:ascii="Arial Narrow" w:hAnsi="Arial Narrow" w:cs="Arial"/>
              </w:rPr>
            </w:pPr>
            <w:proofErr w:type="spellStart"/>
            <w:r w:rsidRPr="009B2370">
              <w:rPr>
                <w:rFonts w:ascii="Arial Narrow" w:hAnsi="Arial Narrow" w:cs="Arial"/>
              </w:rPr>
              <w:t>NE</w:t>
            </w:r>
            <w:r w:rsidRPr="009B2370">
              <w:rPr>
                <w:rFonts w:ascii="Arial Narrow" w:hAnsi="Arial Narrow" w:cs="Arial"/>
                <w:vertAlign w:val="superscript"/>
              </w:rPr>
              <w:t>b</w:t>
            </w:r>
            <w:proofErr w:type="spellEnd"/>
          </w:p>
        </w:tc>
      </w:tr>
      <w:tr w:rsidR="009B2370" w:rsidRPr="009B2370" w14:paraId="55775718" w14:textId="77777777">
        <w:tc>
          <w:tcPr>
            <w:tcW w:w="506" w:type="dxa"/>
          </w:tcPr>
          <w:p w14:paraId="43C416A9"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65-69 years</w:t>
            </w:r>
          </w:p>
        </w:tc>
        <w:tc>
          <w:tcPr>
            <w:tcW w:w="734" w:type="dxa"/>
            <w:vAlign w:val="center"/>
          </w:tcPr>
          <w:p w14:paraId="54A63520"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Yes</w:t>
            </w:r>
          </w:p>
        </w:tc>
        <w:tc>
          <w:tcPr>
            <w:tcW w:w="787" w:type="dxa"/>
            <w:vAlign w:val="center"/>
          </w:tcPr>
          <w:p w14:paraId="0750DD67"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N/A</w:t>
            </w:r>
          </w:p>
        </w:tc>
        <w:tc>
          <w:tcPr>
            <w:tcW w:w="1092" w:type="dxa"/>
            <w:vAlign w:val="center"/>
          </w:tcPr>
          <w:p w14:paraId="444A648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$1,576</w:t>
            </w:r>
          </w:p>
        </w:tc>
        <w:tc>
          <w:tcPr>
            <w:tcW w:w="796" w:type="dxa"/>
            <w:vAlign w:val="center"/>
          </w:tcPr>
          <w:p w14:paraId="75004E89"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823" w:type="dxa"/>
            <w:vAlign w:val="center"/>
          </w:tcPr>
          <w:p w14:paraId="27D1CB64"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1051" w:type="dxa"/>
            <w:vAlign w:val="center"/>
          </w:tcPr>
          <w:p w14:paraId="36748B47"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$215,894</w:t>
            </w:r>
          </w:p>
        </w:tc>
        <w:tc>
          <w:tcPr>
            <w:tcW w:w="1010" w:type="dxa"/>
            <w:vAlign w:val="center"/>
          </w:tcPr>
          <w:p w14:paraId="300FF55E"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$415,854</w:t>
            </w:r>
          </w:p>
        </w:tc>
        <w:tc>
          <w:tcPr>
            <w:tcW w:w="1248" w:type="dxa"/>
            <w:vAlign w:val="center"/>
          </w:tcPr>
          <w:p w14:paraId="6F44D11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$65,383,476</w:t>
            </w:r>
          </w:p>
        </w:tc>
        <w:tc>
          <w:tcPr>
            <w:tcW w:w="969" w:type="dxa"/>
            <w:vAlign w:val="center"/>
          </w:tcPr>
          <w:p w14:paraId="3E1562A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$14,904,942</w:t>
            </w:r>
          </w:p>
        </w:tc>
      </w:tr>
      <w:tr w:rsidR="009B2370" w:rsidRPr="009B2370" w14:paraId="36EA5DB1" w14:textId="77777777" w:rsidTr="009B2370">
        <w:tc>
          <w:tcPr>
            <w:tcW w:w="506" w:type="dxa"/>
          </w:tcPr>
          <w:p w14:paraId="5E552229"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65-69 years</w:t>
            </w:r>
          </w:p>
        </w:tc>
        <w:tc>
          <w:tcPr>
            <w:tcW w:w="734" w:type="dxa"/>
            <w:vAlign w:val="center"/>
          </w:tcPr>
          <w:p w14:paraId="030C750F"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No</w:t>
            </w:r>
          </w:p>
        </w:tc>
        <w:tc>
          <w:tcPr>
            <w:tcW w:w="787" w:type="dxa"/>
            <w:vAlign w:val="center"/>
          </w:tcPr>
          <w:p w14:paraId="0FF38516"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N/A</w:t>
            </w:r>
          </w:p>
        </w:tc>
        <w:tc>
          <w:tcPr>
            <w:tcW w:w="1092" w:type="dxa"/>
            <w:vAlign w:val="center"/>
          </w:tcPr>
          <w:p w14:paraId="0C455F29"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$1,154</w:t>
            </w:r>
          </w:p>
        </w:tc>
        <w:tc>
          <w:tcPr>
            <w:tcW w:w="796" w:type="dxa"/>
            <w:vAlign w:val="center"/>
          </w:tcPr>
          <w:p w14:paraId="5C605AEB"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823" w:type="dxa"/>
            <w:vAlign w:val="center"/>
          </w:tcPr>
          <w:p w14:paraId="778CDDF5"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1051" w:type="dxa"/>
            <w:vAlign w:val="center"/>
          </w:tcPr>
          <w:p w14:paraId="722BF21E"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$157,906</w:t>
            </w:r>
          </w:p>
        </w:tc>
        <w:tc>
          <w:tcPr>
            <w:tcW w:w="1010" w:type="dxa"/>
            <w:shd w:val="clear" w:color="auto" w:fill="D9D9D9" w:themeFill="background1" w:themeFillShade="D9"/>
            <w:vAlign w:val="center"/>
          </w:tcPr>
          <w:p w14:paraId="1AF45B5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$305,622</w:t>
            </w:r>
          </w:p>
        </w:tc>
        <w:tc>
          <w:tcPr>
            <w:tcW w:w="1248" w:type="dxa"/>
            <w:vAlign w:val="center"/>
          </w:tcPr>
          <w:p w14:paraId="2B5FF3F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$51,022,041</w:t>
            </w:r>
          </w:p>
        </w:tc>
        <w:tc>
          <w:tcPr>
            <w:tcW w:w="969" w:type="dxa"/>
            <w:vAlign w:val="center"/>
          </w:tcPr>
          <w:p w14:paraId="1B200847"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$11,379,698</w:t>
            </w:r>
          </w:p>
        </w:tc>
      </w:tr>
      <w:tr w:rsidR="009B2370" w:rsidRPr="009B2370" w14:paraId="559D1AA8" w14:textId="77777777">
        <w:tc>
          <w:tcPr>
            <w:tcW w:w="9016" w:type="dxa"/>
            <w:gridSpan w:val="10"/>
          </w:tcPr>
          <w:p w14:paraId="5819173B" w14:textId="77777777" w:rsidR="009B2370" w:rsidRPr="009B2370" w:rsidRDefault="009B2370" w:rsidP="009B2370">
            <w:pPr>
              <w:keepNext/>
              <w:spacing w:after="0"/>
              <w:rPr>
                <w:rFonts w:ascii="Arial Narrow" w:eastAsiaTheme="majorEastAsia" w:hAnsi="Arial Narrow"/>
                <w:b/>
                <w:szCs w:val="24"/>
                <w:lang w:val="en-US"/>
              </w:rPr>
            </w:pPr>
            <w:r w:rsidRPr="009B2370">
              <w:rPr>
                <w:rFonts w:ascii="Arial Narrow" w:eastAsiaTheme="majorEastAsia" w:hAnsi="Arial Narrow"/>
                <w:b/>
                <w:szCs w:val="24"/>
                <w:lang w:val="en-US"/>
              </w:rPr>
              <w:t>60-day dispensing (DPMQ $20.81)</w:t>
            </w:r>
          </w:p>
        </w:tc>
      </w:tr>
      <w:tr w:rsidR="009B2370" w:rsidRPr="009B2370" w14:paraId="3771D26D" w14:textId="77777777">
        <w:tc>
          <w:tcPr>
            <w:tcW w:w="506" w:type="dxa"/>
          </w:tcPr>
          <w:p w14:paraId="07149246"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60-69 years</w:t>
            </w:r>
          </w:p>
        </w:tc>
        <w:tc>
          <w:tcPr>
            <w:tcW w:w="734" w:type="dxa"/>
            <w:vAlign w:val="center"/>
          </w:tcPr>
          <w:p w14:paraId="3B3C48D8"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Yes</w:t>
            </w:r>
          </w:p>
        </w:tc>
        <w:tc>
          <w:tcPr>
            <w:tcW w:w="787" w:type="dxa"/>
            <w:vAlign w:val="center"/>
          </w:tcPr>
          <w:p w14:paraId="12C34FE7"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Yes</w:t>
            </w:r>
          </w:p>
        </w:tc>
        <w:tc>
          <w:tcPr>
            <w:tcW w:w="1092" w:type="dxa"/>
            <w:vAlign w:val="center"/>
          </w:tcPr>
          <w:p w14:paraId="69DD04B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$4,673</w:t>
            </w:r>
          </w:p>
        </w:tc>
        <w:tc>
          <w:tcPr>
            <w:tcW w:w="796" w:type="dxa"/>
            <w:vAlign w:val="center"/>
          </w:tcPr>
          <w:p w14:paraId="5F09E7D8"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$70,010</w:t>
            </w:r>
          </w:p>
        </w:tc>
        <w:tc>
          <w:tcPr>
            <w:tcW w:w="823" w:type="dxa"/>
            <w:vAlign w:val="center"/>
          </w:tcPr>
          <w:p w14:paraId="1A1038B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$226,985</w:t>
            </w:r>
          </w:p>
        </w:tc>
        <w:tc>
          <w:tcPr>
            <w:tcW w:w="1051" w:type="dxa"/>
            <w:vAlign w:val="center"/>
          </w:tcPr>
          <w:p w14:paraId="7B5D7A6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$577,516</w:t>
            </w:r>
          </w:p>
        </w:tc>
        <w:tc>
          <w:tcPr>
            <w:tcW w:w="1010" w:type="dxa"/>
            <w:vAlign w:val="center"/>
          </w:tcPr>
          <w:p w14:paraId="4C2CE5A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$1,105,610</w:t>
            </w:r>
          </w:p>
        </w:tc>
        <w:tc>
          <w:tcPr>
            <w:tcW w:w="1248" w:type="dxa"/>
            <w:vAlign w:val="center"/>
          </w:tcPr>
          <w:p w14:paraId="71723E35"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$134,505,759</w:t>
            </w:r>
          </w:p>
        </w:tc>
        <w:tc>
          <w:tcPr>
            <w:tcW w:w="969" w:type="dxa"/>
            <w:vAlign w:val="center"/>
          </w:tcPr>
          <w:p w14:paraId="46C96699"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$16,247,487</w:t>
            </w:r>
          </w:p>
        </w:tc>
      </w:tr>
      <w:tr w:rsidR="009B2370" w:rsidRPr="009B2370" w14:paraId="498912CA" w14:textId="77777777">
        <w:tc>
          <w:tcPr>
            <w:tcW w:w="506" w:type="dxa"/>
          </w:tcPr>
          <w:p w14:paraId="24A26715"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60-69 years</w:t>
            </w:r>
          </w:p>
        </w:tc>
        <w:tc>
          <w:tcPr>
            <w:tcW w:w="734" w:type="dxa"/>
            <w:vAlign w:val="center"/>
          </w:tcPr>
          <w:p w14:paraId="05594F0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No</w:t>
            </w:r>
          </w:p>
        </w:tc>
        <w:tc>
          <w:tcPr>
            <w:tcW w:w="787" w:type="dxa"/>
            <w:vAlign w:val="center"/>
          </w:tcPr>
          <w:p w14:paraId="4E3A3E99"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Yes</w:t>
            </w:r>
          </w:p>
        </w:tc>
        <w:tc>
          <w:tcPr>
            <w:tcW w:w="1092" w:type="dxa"/>
            <w:vAlign w:val="center"/>
          </w:tcPr>
          <w:p w14:paraId="2B80591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$3,483</w:t>
            </w:r>
          </w:p>
        </w:tc>
        <w:tc>
          <w:tcPr>
            <w:tcW w:w="796" w:type="dxa"/>
            <w:vAlign w:val="center"/>
          </w:tcPr>
          <w:p w14:paraId="75E765BA"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$30,888</w:t>
            </w:r>
          </w:p>
        </w:tc>
        <w:tc>
          <w:tcPr>
            <w:tcW w:w="823" w:type="dxa"/>
            <w:vAlign w:val="center"/>
          </w:tcPr>
          <w:p w14:paraId="4936999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$147,154</w:t>
            </w:r>
          </w:p>
        </w:tc>
        <w:tc>
          <w:tcPr>
            <w:tcW w:w="1051" w:type="dxa"/>
            <w:vAlign w:val="center"/>
          </w:tcPr>
          <w:p w14:paraId="4EAFFE6A"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$432,464</w:t>
            </w:r>
          </w:p>
        </w:tc>
        <w:tc>
          <w:tcPr>
            <w:tcW w:w="1010" w:type="dxa"/>
            <w:vAlign w:val="center"/>
          </w:tcPr>
          <w:p w14:paraId="50C0154E"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$829,650</w:t>
            </w:r>
          </w:p>
        </w:tc>
        <w:tc>
          <w:tcPr>
            <w:tcW w:w="1248" w:type="dxa"/>
            <w:vAlign w:val="center"/>
          </w:tcPr>
          <w:p w14:paraId="73FE2148"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$104,985,636</w:t>
            </w:r>
          </w:p>
        </w:tc>
        <w:tc>
          <w:tcPr>
            <w:tcW w:w="969" w:type="dxa"/>
            <w:vAlign w:val="center"/>
          </w:tcPr>
          <w:p w14:paraId="774FC016"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$12,405,303</w:t>
            </w:r>
          </w:p>
        </w:tc>
      </w:tr>
      <w:tr w:rsidR="009B2370" w:rsidRPr="009B2370" w14:paraId="461D7872" w14:textId="77777777">
        <w:tc>
          <w:tcPr>
            <w:tcW w:w="506" w:type="dxa"/>
          </w:tcPr>
          <w:p w14:paraId="2AA2A088"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60-69 years</w:t>
            </w:r>
          </w:p>
        </w:tc>
        <w:tc>
          <w:tcPr>
            <w:tcW w:w="734" w:type="dxa"/>
            <w:vAlign w:val="center"/>
          </w:tcPr>
          <w:p w14:paraId="3BF55062"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No</w:t>
            </w:r>
          </w:p>
        </w:tc>
        <w:tc>
          <w:tcPr>
            <w:tcW w:w="787" w:type="dxa"/>
            <w:vAlign w:val="center"/>
          </w:tcPr>
          <w:p w14:paraId="4D19844F"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No</w:t>
            </w:r>
          </w:p>
        </w:tc>
        <w:tc>
          <w:tcPr>
            <w:tcW w:w="1092" w:type="dxa"/>
            <w:vAlign w:val="center"/>
          </w:tcPr>
          <w:p w14:paraId="66F5BA3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$2,144</w:t>
            </w:r>
          </w:p>
        </w:tc>
        <w:tc>
          <w:tcPr>
            <w:tcW w:w="796" w:type="dxa"/>
            <w:vAlign w:val="center"/>
          </w:tcPr>
          <w:p w14:paraId="7BF4CE6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823" w:type="dxa"/>
            <w:vAlign w:val="center"/>
          </w:tcPr>
          <w:p w14:paraId="79A029A0"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$57,328</w:t>
            </w:r>
          </w:p>
        </w:tc>
        <w:tc>
          <w:tcPr>
            <w:tcW w:w="1051" w:type="dxa"/>
            <w:vAlign w:val="center"/>
          </w:tcPr>
          <w:p w14:paraId="1069CD0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$269,249</w:t>
            </w:r>
          </w:p>
        </w:tc>
        <w:tc>
          <w:tcPr>
            <w:tcW w:w="1010" w:type="dxa"/>
            <w:vAlign w:val="center"/>
          </w:tcPr>
          <w:p w14:paraId="45EC0AD1"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$519,137</w:t>
            </w:r>
          </w:p>
        </w:tc>
        <w:tc>
          <w:tcPr>
            <w:tcW w:w="1248" w:type="dxa"/>
            <w:vAlign w:val="center"/>
          </w:tcPr>
          <w:p w14:paraId="0B67DC61" w14:textId="77777777" w:rsidR="009B2370" w:rsidRPr="009B2370" w:rsidRDefault="009B2370" w:rsidP="009B2370">
            <w:pPr>
              <w:keepNext/>
              <w:keepLines/>
              <w:spacing w:after="0"/>
              <w:jc w:val="center"/>
              <w:rPr>
                <w:rFonts w:ascii="Arial Narrow" w:hAnsi="Arial Narrow" w:cs="Arial"/>
              </w:rPr>
            </w:pPr>
            <w:proofErr w:type="spellStart"/>
            <w:r w:rsidRPr="009B2370">
              <w:rPr>
                <w:rFonts w:ascii="Arial Narrow" w:hAnsi="Arial Narrow" w:cs="Arial"/>
              </w:rPr>
              <w:t>NE</w:t>
            </w:r>
            <w:r w:rsidRPr="009B2370">
              <w:rPr>
                <w:rFonts w:ascii="Arial Narrow" w:hAnsi="Arial Narrow" w:cs="Arial"/>
                <w:vertAlign w:val="superscript"/>
              </w:rPr>
              <w:t>b</w:t>
            </w:r>
            <w:proofErr w:type="spellEnd"/>
          </w:p>
        </w:tc>
        <w:tc>
          <w:tcPr>
            <w:tcW w:w="969" w:type="dxa"/>
            <w:vAlign w:val="center"/>
          </w:tcPr>
          <w:p w14:paraId="2A7E30A8" w14:textId="77777777" w:rsidR="009B2370" w:rsidRPr="009B2370" w:rsidRDefault="009B2370" w:rsidP="009B2370">
            <w:pPr>
              <w:keepNext/>
              <w:keepLines/>
              <w:spacing w:after="0"/>
              <w:jc w:val="center"/>
              <w:rPr>
                <w:rFonts w:ascii="Arial Narrow" w:hAnsi="Arial Narrow" w:cs="Arial"/>
              </w:rPr>
            </w:pPr>
            <w:proofErr w:type="spellStart"/>
            <w:r w:rsidRPr="009B2370">
              <w:rPr>
                <w:rFonts w:ascii="Arial Narrow" w:hAnsi="Arial Narrow" w:cs="Arial"/>
              </w:rPr>
              <w:t>NE</w:t>
            </w:r>
            <w:r w:rsidRPr="009B2370">
              <w:rPr>
                <w:rFonts w:ascii="Arial Narrow" w:hAnsi="Arial Narrow" w:cs="Arial"/>
                <w:vertAlign w:val="superscript"/>
              </w:rPr>
              <w:t>b</w:t>
            </w:r>
            <w:proofErr w:type="spellEnd"/>
          </w:p>
        </w:tc>
      </w:tr>
      <w:tr w:rsidR="009B2370" w:rsidRPr="009B2370" w14:paraId="08A6190F" w14:textId="77777777">
        <w:tc>
          <w:tcPr>
            <w:tcW w:w="506" w:type="dxa"/>
          </w:tcPr>
          <w:p w14:paraId="73A277F7"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65-69 years</w:t>
            </w:r>
          </w:p>
        </w:tc>
        <w:tc>
          <w:tcPr>
            <w:tcW w:w="734" w:type="dxa"/>
            <w:vAlign w:val="center"/>
          </w:tcPr>
          <w:p w14:paraId="3AE134AB"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Yes</w:t>
            </w:r>
          </w:p>
        </w:tc>
        <w:tc>
          <w:tcPr>
            <w:tcW w:w="787" w:type="dxa"/>
            <w:vAlign w:val="center"/>
          </w:tcPr>
          <w:p w14:paraId="6CAE5A5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N/A</w:t>
            </w:r>
          </w:p>
        </w:tc>
        <w:tc>
          <w:tcPr>
            <w:tcW w:w="1092" w:type="dxa"/>
            <w:vAlign w:val="center"/>
          </w:tcPr>
          <w:p w14:paraId="77CD7E3E"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$1,576</w:t>
            </w:r>
          </w:p>
        </w:tc>
        <w:tc>
          <w:tcPr>
            <w:tcW w:w="796" w:type="dxa"/>
            <w:vAlign w:val="center"/>
          </w:tcPr>
          <w:p w14:paraId="2171166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823" w:type="dxa"/>
            <w:vAlign w:val="center"/>
          </w:tcPr>
          <w:p w14:paraId="0A75F77E"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1051" w:type="dxa"/>
            <w:vAlign w:val="center"/>
          </w:tcPr>
          <w:p w14:paraId="6AA45079"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$220,607</w:t>
            </w:r>
          </w:p>
        </w:tc>
        <w:tc>
          <w:tcPr>
            <w:tcW w:w="1010" w:type="dxa"/>
            <w:vAlign w:val="center"/>
          </w:tcPr>
          <w:p w14:paraId="3CB01889"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$424,782</w:t>
            </w:r>
          </w:p>
        </w:tc>
        <w:tc>
          <w:tcPr>
            <w:tcW w:w="1248" w:type="dxa"/>
            <w:vAlign w:val="center"/>
          </w:tcPr>
          <w:p w14:paraId="4AAA0CC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$65,383,476</w:t>
            </w:r>
          </w:p>
        </w:tc>
        <w:tc>
          <w:tcPr>
            <w:tcW w:w="969" w:type="dxa"/>
            <w:vAlign w:val="center"/>
          </w:tcPr>
          <w:p w14:paraId="78B9BD75"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$9,938,748</w:t>
            </w:r>
          </w:p>
        </w:tc>
      </w:tr>
      <w:tr w:rsidR="009B2370" w:rsidRPr="009B2370" w14:paraId="58E26258" w14:textId="77777777" w:rsidTr="009B2370">
        <w:tc>
          <w:tcPr>
            <w:tcW w:w="506" w:type="dxa"/>
          </w:tcPr>
          <w:p w14:paraId="671C091F" w14:textId="77777777" w:rsidR="009B2370" w:rsidRPr="009B2370" w:rsidRDefault="009B2370" w:rsidP="009B2370">
            <w:pPr>
              <w:keepNext/>
              <w:keepLines/>
              <w:spacing w:after="0"/>
              <w:jc w:val="both"/>
              <w:rPr>
                <w:rFonts w:ascii="Arial Narrow" w:hAnsi="Arial Narrow" w:cs="Arial"/>
              </w:rPr>
            </w:pPr>
            <w:r w:rsidRPr="009B2370">
              <w:rPr>
                <w:rFonts w:ascii="Arial Narrow" w:hAnsi="Arial Narrow" w:cs="Arial"/>
              </w:rPr>
              <w:t>65-69 years</w:t>
            </w:r>
          </w:p>
        </w:tc>
        <w:tc>
          <w:tcPr>
            <w:tcW w:w="734" w:type="dxa"/>
            <w:vAlign w:val="center"/>
          </w:tcPr>
          <w:p w14:paraId="3996DEB3"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No</w:t>
            </w:r>
          </w:p>
        </w:tc>
        <w:tc>
          <w:tcPr>
            <w:tcW w:w="787" w:type="dxa"/>
            <w:vAlign w:val="center"/>
          </w:tcPr>
          <w:p w14:paraId="6BEA5D34"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N/A</w:t>
            </w:r>
          </w:p>
        </w:tc>
        <w:tc>
          <w:tcPr>
            <w:tcW w:w="1092" w:type="dxa"/>
            <w:vAlign w:val="center"/>
          </w:tcPr>
          <w:p w14:paraId="19068E7A"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$1,154</w:t>
            </w:r>
          </w:p>
        </w:tc>
        <w:tc>
          <w:tcPr>
            <w:tcW w:w="796" w:type="dxa"/>
            <w:vAlign w:val="center"/>
          </w:tcPr>
          <w:p w14:paraId="2B949817"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823" w:type="dxa"/>
            <w:vAlign w:val="center"/>
          </w:tcPr>
          <w:p w14:paraId="7E9B85EA"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Dominant</w:t>
            </w:r>
          </w:p>
        </w:tc>
        <w:tc>
          <w:tcPr>
            <w:tcW w:w="1051" w:type="dxa"/>
            <w:vAlign w:val="center"/>
          </w:tcPr>
          <w:p w14:paraId="2F6D60DD"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$162,619</w:t>
            </w:r>
          </w:p>
        </w:tc>
        <w:tc>
          <w:tcPr>
            <w:tcW w:w="1010" w:type="dxa"/>
            <w:shd w:val="clear" w:color="auto" w:fill="D9D9D9" w:themeFill="background1" w:themeFillShade="D9"/>
            <w:vAlign w:val="center"/>
          </w:tcPr>
          <w:p w14:paraId="1229C5B2"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$314,551</w:t>
            </w:r>
          </w:p>
        </w:tc>
        <w:tc>
          <w:tcPr>
            <w:tcW w:w="1248" w:type="dxa"/>
            <w:vAlign w:val="center"/>
          </w:tcPr>
          <w:p w14:paraId="6791F51C"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$51,022,041</w:t>
            </w:r>
          </w:p>
        </w:tc>
        <w:tc>
          <w:tcPr>
            <w:tcW w:w="969" w:type="dxa"/>
            <w:vAlign w:val="center"/>
          </w:tcPr>
          <w:p w14:paraId="65751CE5" w14:textId="77777777" w:rsidR="009B2370" w:rsidRPr="009B2370" w:rsidRDefault="009B2370" w:rsidP="009B2370">
            <w:pPr>
              <w:keepNext/>
              <w:keepLines/>
              <w:spacing w:after="0"/>
              <w:jc w:val="center"/>
              <w:rPr>
                <w:rFonts w:ascii="Arial Narrow" w:hAnsi="Arial Narrow" w:cs="Arial"/>
              </w:rPr>
            </w:pPr>
            <w:r w:rsidRPr="009B2370">
              <w:rPr>
                <w:rFonts w:ascii="Arial Narrow" w:hAnsi="Arial Narrow" w:cs="Arial"/>
              </w:rPr>
              <w:t>$7,588,083</w:t>
            </w:r>
          </w:p>
        </w:tc>
      </w:tr>
    </w:tbl>
    <w:p w14:paraId="4C612AE7"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t>Abbreviations: DPMQ, dispensed price maximum quantity; MBS, Medicare Benefits Schedule; N/A, not applicable; NE, not estimable; PBS, Pharmaceutical Benefits Scheme; QALY, quality adjusted life year</w:t>
      </w:r>
    </w:p>
    <w:p w14:paraId="46B7C8AB"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vertAlign w:val="superscript"/>
          <w:lang w:eastAsia="en-AU"/>
          <w14:ligatures w14:val="standardContextual"/>
        </w:rPr>
        <w:t xml:space="preserve">a </w:t>
      </w:r>
      <w:r w:rsidRPr="00DE0E06">
        <w:rPr>
          <w:rFonts w:ascii="Arial Narrow" w:eastAsia="Times New Roman" w:hAnsi="Arial Narrow" w:cstheme="minorHAnsi"/>
          <w:snapToGrid w:val="0"/>
          <w:sz w:val="18"/>
          <w:lang w:eastAsia="en-AU"/>
          <w14:ligatures w14:val="standardContextual"/>
        </w:rPr>
        <w:t xml:space="preserve">Assumes that patients who discontinue treatment reinitiate treatment using standard care if they experienced a fracture or in the absence of </w:t>
      </w:r>
      <w:proofErr w:type="gramStart"/>
      <w:r w:rsidRPr="00DE0E06">
        <w:rPr>
          <w:rFonts w:ascii="Arial Narrow" w:eastAsia="Times New Roman" w:hAnsi="Arial Narrow" w:cstheme="minorHAnsi"/>
          <w:snapToGrid w:val="0"/>
          <w:sz w:val="18"/>
          <w:lang w:eastAsia="en-AU"/>
          <w14:ligatures w14:val="standardContextual"/>
        </w:rPr>
        <w:t>fracture, once</w:t>
      </w:r>
      <w:proofErr w:type="gramEnd"/>
      <w:r w:rsidRPr="00DE0E06">
        <w:rPr>
          <w:rFonts w:ascii="Arial Narrow" w:eastAsia="Times New Roman" w:hAnsi="Arial Narrow" w:cstheme="minorHAnsi"/>
          <w:snapToGrid w:val="0"/>
          <w:sz w:val="18"/>
          <w:lang w:eastAsia="en-AU"/>
          <w14:ligatures w14:val="standardContextual"/>
        </w:rPr>
        <w:t xml:space="preserve"> they reached age 70 years.</w:t>
      </w:r>
    </w:p>
    <w:p w14:paraId="1AB3F070" w14:textId="586B84CB" w:rsidR="00E07951" w:rsidRPr="00DE0E06" w:rsidRDefault="00E07951" w:rsidP="00E87379">
      <w:pPr>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vertAlign w:val="superscript"/>
          <w:lang w:eastAsia="en-AU"/>
          <w14:ligatures w14:val="standardContextual"/>
        </w:rPr>
        <w:t xml:space="preserve">b </w:t>
      </w:r>
      <w:r w:rsidRPr="00DE0E06">
        <w:rPr>
          <w:rFonts w:ascii="Arial Narrow" w:eastAsia="Times New Roman" w:hAnsi="Arial Narrow" w:cs="Arial"/>
          <w:snapToGrid w:val="0"/>
          <w:sz w:val="18"/>
          <w:lang w:eastAsia="en-AU"/>
          <w14:ligatures w14:val="standardContextual"/>
        </w:rPr>
        <w:t>Not estimable as testing rates based on MBS item numbers do not differentiate between initial and repeat testing.</w:t>
      </w:r>
    </w:p>
    <w:p w14:paraId="041BC4BE" w14:textId="66A971D3" w:rsidR="00E07951" w:rsidRPr="00DE0E06" w:rsidRDefault="00E07951" w:rsidP="00745006">
      <w:pPr>
        <w:pStyle w:val="COMtablefigcaption"/>
      </w:pPr>
      <w:bookmarkStart w:id="35" w:name="_Ref167807548"/>
      <w:r w:rsidRPr="00DE0E06">
        <w:t xml:space="preserve">Table </w:t>
      </w:r>
      <w:r>
        <w:fldChar w:fldCharType="begin"/>
      </w:r>
      <w:r>
        <w:instrText xml:space="preserve"> SEQ Table \* ARABIC </w:instrText>
      </w:r>
      <w:r>
        <w:fldChar w:fldCharType="separate"/>
      </w:r>
      <w:r w:rsidR="00090261">
        <w:rPr>
          <w:noProof/>
        </w:rPr>
        <w:t>16</w:t>
      </w:r>
      <w:r>
        <w:rPr>
          <w:noProof/>
        </w:rPr>
        <w:fldChar w:fldCharType="end"/>
      </w:r>
      <w:bookmarkEnd w:id="35"/>
      <w:r w:rsidRPr="00DE0E06">
        <w:t xml:space="preserve"> Zoledronic acid 5 mg annual injection (DPMQ $74.52)</w:t>
      </w:r>
      <w:r w:rsidR="00B55DA0">
        <w:t xml:space="preserve">; </w:t>
      </w:r>
      <w:r w:rsidR="00B55DA0" w:rsidRPr="00E90C8B">
        <w:rPr>
          <w:shd w:val="clear" w:color="auto" w:fill="D9D9D9" w:themeFill="background1" w:themeFillShade="D9"/>
        </w:rPr>
        <w:t xml:space="preserve">Shaded </w:t>
      </w:r>
      <w:r w:rsidR="00B55DA0">
        <w:t xml:space="preserve">represents ESCs respecified base </w:t>
      </w:r>
      <w:proofErr w:type="gramStart"/>
      <w:r w:rsidR="00B55DA0">
        <w:t>case</w:t>
      </w:r>
      <w:proofErr w:type="gramEnd"/>
    </w:p>
    <w:tbl>
      <w:tblPr>
        <w:tblStyle w:val="newstyle1"/>
        <w:tblW w:w="5000" w:type="pct"/>
        <w:tblLayout w:type="fixed"/>
        <w:tblCellMar>
          <w:left w:w="28" w:type="dxa"/>
          <w:right w:w="28" w:type="dxa"/>
        </w:tblCellMar>
        <w:tblLook w:val="04A0" w:firstRow="1" w:lastRow="0" w:firstColumn="1" w:lastColumn="0" w:noHBand="0" w:noVBand="1"/>
      </w:tblPr>
      <w:tblGrid>
        <w:gridCol w:w="508"/>
        <w:gridCol w:w="729"/>
        <w:gridCol w:w="833"/>
        <w:gridCol w:w="1086"/>
        <w:gridCol w:w="815"/>
        <w:gridCol w:w="798"/>
        <w:gridCol w:w="1038"/>
        <w:gridCol w:w="1005"/>
        <w:gridCol w:w="1142"/>
        <w:gridCol w:w="1062"/>
      </w:tblGrid>
      <w:tr w:rsidR="00E07951" w:rsidRPr="00DE0E06" w14:paraId="2584B405" w14:textId="77777777" w:rsidTr="001B1DFD">
        <w:tc>
          <w:tcPr>
            <w:tcW w:w="2070" w:type="dxa"/>
            <w:gridSpan w:val="3"/>
            <w:vAlign w:val="center"/>
          </w:tcPr>
          <w:p w14:paraId="38576E83" w14:textId="77777777" w:rsidR="00E07951" w:rsidRPr="00DE0E06" w:rsidRDefault="00E07951" w:rsidP="001B1DFD">
            <w:pPr>
              <w:keepNext/>
              <w:keepLines/>
              <w:spacing w:after="0"/>
              <w:jc w:val="both"/>
              <w:rPr>
                <w:rFonts w:ascii="Arial Narrow" w:hAnsi="Arial Narrow" w:cs="Arial"/>
                <w:b/>
                <w:bCs/>
              </w:rPr>
            </w:pPr>
            <w:r w:rsidRPr="00DE0E06">
              <w:rPr>
                <w:rFonts w:ascii="Arial Narrow" w:hAnsi="Arial Narrow" w:cs="Arial"/>
                <w:b/>
                <w:bCs/>
              </w:rPr>
              <w:t>Possible testing scenario</w:t>
            </w:r>
          </w:p>
        </w:tc>
        <w:tc>
          <w:tcPr>
            <w:tcW w:w="4742" w:type="dxa"/>
            <w:gridSpan w:val="5"/>
            <w:vAlign w:val="center"/>
          </w:tcPr>
          <w:p w14:paraId="0D3767FE"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Economic evaluation</w:t>
            </w:r>
          </w:p>
        </w:tc>
        <w:tc>
          <w:tcPr>
            <w:tcW w:w="2204" w:type="dxa"/>
            <w:gridSpan w:val="2"/>
            <w:vAlign w:val="center"/>
          </w:tcPr>
          <w:p w14:paraId="219D2AEE"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Budget impact over 6 years</w:t>
            </w:r>
          </w:p>
        </w:tc>
      </w:tr>
      <w:tr w:rsidR="00E07951" w:rsidRPr="00DE0E06" w14:paraId="617CAF16" w14:textId="77777777" w:rsidTr="001B1DFD">
        <w:tc>
          <w:tcPr>
            <w:tcW w:w="508" w:type="dxa"/>
            <w:vMerge w:val="restart"/>
            <w:vAlign w:val="center"/>
          </w:tcPr>
          <w:p w14:paraId="6EFAE933" w14:textId="77777777" w:rsidR="00E07951" w:rsidRPr="00DE0E06" w:rsidRDefault="00E07951" w:rsidP="001B1DFD">
            <w:pPr>
              <w:keepNext/>
              <w:keepLines/>
              <w:spacing w:after="0"/>
              <w:jc w:val="both"/>
              <w:rPr>
                <w:rFonts w:ascii="Arial Narrow" w:hAnsi="Arial Narrow" w:cs="Arial"/>
                <w:b/>
                <w:bCs/>
              </w:rPr>
            </w:pPr>
            <w:r w:rsidRPr="00DE0E06">
              <w:rPr>
                <w:rFonts w:ascii="Arial Narrow" w:hAnsi="Arial Narrow" w:cs="Arial"/>
                <w:b/>
                <w:bCs/>
              </w:rPr>
              <w:t>Age range</w:t>
            </w:r>
          </w:p>
        </w:tc>
        <w:tc>
          <w:tcPr>
            <w:tcW w:w="729" w:type="dxa"/>
            <w:vMerge w:val="restart"/>
            <w:vAlign w:val="center"/>
          </w:tcPr>
          <w:p w14:paraId="2AD12B03"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Repeat test at 2 years?</w:t>
            </w:r>
          </w:p>
        </w:tc>
        <w:tc>
          <w:tcPr>
            <w:tcW w:w="833" w:type="dxa"/>
            <w:vMerge w:val="restart"/>
            <w:vAlign w:val="center"/>
          </w:tcPr>
          <w:p w14:paraId="356BD1B4"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Repeat test at 5 years?</w:t>
            </w:r>
          </w:p>
        </w:tc>
        <w:tc>
          <w:tcPr>
            <w:tcW w:w="1086" w:type="dxa"/>
            <w:vMerge w:val="restart"/>
            <w:vAlign w:val="center"/>
          </w:tcPr>
          <w:p w14:paraId="0458C867"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Cost per additional osteoporosis diagnosis</w:t>
            </w:r>
          </w:p>
        </w:tc>
        <w:tc>
          <w:tcPr>
            <w:tcW w:w="3656" w:type="dxa"/>
            <w:gridSpan w:val="4"/>
            <w:vAlign w:val="center"/>
          </w:tcPr>
          <w:p w14:paraId="5D0CBB02"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Cost per QALY gained</w:t>
            </w:r>
          </w:p>
        </w:tc>
        <w:tc>
          <w:tcPr>
            <w:tcW w:w="1142" w:type="dxa"/>
            <w:vMerge w:val="restart"/>
            <w:vAlign w:val="center"/>
          </w:tcPr>
          <w:p w14:paraId="4C6F2048"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MBS</w:t>
            </w:r>
          </w:p>
        </w:tc>
        <w:tc>
          <w:tcPr>
            <w:tcW w:w="1062" w:type="dxa"/>
            <w:vMerge w:val="restart"/>
            <w:vAlign w:val="center"/>
          </w:tcPr>
          <w:p w14:paraId="5E363ADA"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PBS</w:t>
            </w:r>
          </w:p>
        </w:tc>
      </w:tr>
      <w:tr w:rsidR="00E07951" w:rsidRPr="00DE0E06" w14:paraId="6366A66A" w14:textId="77777777" w:rsidTr="00C81B63">
        <w:tc>
          <w:tcPr>
            <w:tcW w:w="508" w:type="dxa"/>
            <w:vMerge/>
            <w:vAlign w:val="center"/>
          </w:tcPr>
          <w:p w14:paraId="0755BC6E" w14:textId="77777777" w:rsidR="00E07951" w:rsidRPr="00DE0E06" w:rsidRDefault="00E07951" w:rsidP="001B1DFD">
            <w:pPr>
              <w:keepNext/>
              <w:keepLines/>
              <w:spacing w:after="0"/>
              <w:jc w:val="both"/>
              <w:rPr>
                <w:rFonts w:ascii="Arial Narrow" w:hAnsi="Arial Narrow" w:cs="Arial"/>
                <w:b/>
                <w:bCs/>
              </w:rPr>
            </w:pPr>
          </w:p>
        </w:tc>
        <w:tc>
          <w:tcPr>
            <w:tcW w:w="729" w:type="dxa"/>
            <w:vMerge/>
            <w:vAlign w:val="center"/>
          </w:tcPr>
          <w:p w14:paraId="7F2A8ED7" w14:textId="77777777" w:rsidR="00E07951" w:rsidRPr="00DE0E06" w:rsidRDefault="00E07951" w:rsidP="001B1DFD">
            <w:pPr>
              <w:keepNext/>
              <w:keepLines/>
              <w:spacing w:after="0"/>
              <w:jc w:val="center"/>
              <w:rPr>
                <w:rFonts w:ascii="Arial Narrow" w:hAnsi="Arial Narrow" w:cs="Arial"/>
                <w:b/>
                <w:bCs/>
              </w:rPr>
            </w:pPr>
          </w:p>
        </w:tc>
        <w:tc>
          <w:tcPr>
            <w:tcW w:w="833" w:type="dxa"/>
            <w:vMerge/>
            <w:vAlign w:val="center"/>
          </w:tcPr>
          <w:p w14:paraId="1EB6C7DE" w14:textId="77777777" w:rsidR="00E07951" w:rsidRPr="00DE0E06" w:rsidRDefault="00E07951" w:rsidP="001B1DFD">
            <w:pPr>
              <w:keepNext/>
              <w:keepLines/>
              <w:spacing w:after="0"/>
              <w:jc w:val="center"/>
              <w:rPr>
                <w:rFonts w:ascii="Arial Narrow" w:hAnsi="Arial Narrow" w:cs="Arial"/>
                <w:b/>
                <w:bCs/>
              </w:rPr>
            </w:pPr>
          </w:p>
        </w:tc>
        <w:tc>
          <w:tcPr>
            <w:tcW w:w="1086" w:type="dxa"/>
            <w:vMerge/>
            <w:vAlign w:val="center"/>
          </w:tcPr>
          <w:p w14:paraId="651E4991" w14:textId="77777777" w:rsidR="00E07951" w:rsidRPr="00DE0E06" w:rsidRDefault="00E07951" w:rsidP="001B1DFD">
            <w:pPr>
              <w:keepNext/>
              <w:keepLines/>
              <w:spacing w:after="0"/>
              <w:jc w:val="center"/>
              <w:rPr>
                <w:rFonts w:ascii="Arial Narrow" w:hAnsi="Arial Narrow" w:cs="Arial"/>
                <w:b/>
                <w:bCs/>
              </w:rPr>
            </w:pPr>
          </w:p>
        </w:tc>
        <w:tc>
          <w:tcPr>
            <w:tcW w:w="815" w:type="dxa"/>
            <w:vAlign w:val="center"/>
          </w:tcPr>
          <w:p w14:paraId="55F9292C"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Base case</w:t>
            </w:r>
          </w:p>
        </w:tc>
        <w:tc>
          <w:tcPr>
            <w:tcW w:w="798" w:type="dxa"/>
            <w:vAlign w:val="center"/>
          </w:tcPr>
          <w:p w14:paraId="52AD7398" w14:textId="77777777" w:rsidR="00E07951" w:rsidRPr="00DE0E06" w:rsidRDefault="00E07951" w:rsidP="001B1DFD">
            <w:pPr>
              <w:keepNext/>
              <w:keepLines/>
              <w:spacing w:after="0"/>
              <w:jc w:val="center"/>
              <w:rPr>
                <w:rFonts w:ascii="Arial Narrow" w:hAnsi="Arial Narrow" w:cs="Arial"/>
                <w:b/>
                <w:bCs/>
              </w:rPr>
            </w:pPr>
            <w:proofErr w:type="gramStart"/>
            <w:r w:rsidRPr="00DE0E06">
              <w:rPr>
                <w:rFonts w:ascii="Arial Narrow" w:hAnsi="Arial Narrow" w:cs="Arial"/>
                <w:b/>
                <w:bCs/>
              </w:rPr>
              <w:t>10 year</w:t>
            </w:r>
            <w:proofErr w:type="gramEnd"/>
            <w:r w:rsidRPr="00DE0E06">
              <w:rPr>
                <w:rFonts w:ascii="Arial Narrow" w:hAnsi="Arial Narrow" w:cs="Arial"/>
                <w:b/>
                <w:bCs/>
              </w:rPr>
              <w:t xml:space="preserve"> time horizon</w:t>
            </w:r>
          </w:p>
        </w:tc>
        <w:tc>
          <w:tcPr>
            <w:tcW w:w="1038" w:type="dxa"/>
            <w:vAlign w:val="center"/>
          </w:tcPr>
          <w:p w14:paraId="63387CA9" w14:textId="77777777" w:rsidR="00E07951" w:rsidRPr="00DE0E06" w:rsidRDefault="00E07951" w:rsidP="001B1DFD">
            <w:pPr>
              <w:keepNext/>
              <w:keepLines/>
              <w:spacing w:after="0"/>
              <w:jc w:val="center"/>
              <w:rPr>
                <w:rFonts w:ascii="Arial Narrow" w:hAnsi="Arial Narrow" w:cs="Arial"/>
                <w:b/>
                <w:bCs/>
              </w:rPr>
            </w:pPr>
            <w:r w:rsidRPr="00DE0E06">
              <w:rPr>
                <w:rFonts w:ascii="Arial Narrow" w:hAnsi="Arial Narrow" w:cs="Arial"/>
                <w:b/>
                <w:bCs/>
              </w:rPr>
              <w:t xml:space="preserve">Imperfect </w:t>
            </w:r>
            <w:proofErr w:type="spellStart"/>
            <w:r w:rsidRPr="00DE0E06">
              <w:rPr>
                <w:rFonts w:ascii="Arial Narrow" w:hAnsi="Arial Narrow" w:cs="Arial"/>
                <w:b/>
                <w:bCs/>
              </w:rPr>
              <w:t>persistence</w:t>
            </w:r>
            <w:r w:rsidRPr="00DE0E06">
              <w:rPr>
                <w:rFonts w:ascii="Arial Narrow" w:hAnsi="Arial Narrow" w:cs="Arial"/>
                <w:b/>
                <w:bCs/>
                <w:vertAlign w:val="superscript"/>
              </w:rPr>
              <w:t>a</w:t>
            </w:r>
            <w:proofErr w:type="spellEnd"/>
          </w:p>
        </w:tc>
        <w:tc>
          <w:tcPr>
            <w:tcW w:w="1005" w:type="dxa"/>
            <w:shd w:val="clear" w:color="auto" w:fill="D9D9D9" w:themeFill="background1" w:themeFillShade="D9"/>
            <w:vAlign w:val="center"/>
          </w:tcPr>
          <w:p w14:paraId="0913558F" w14:textId="77777777" w:rsidR="00E07951" w:rsidRPr="00DE0E06" w:rsidRDefault="00E07951" w:rsidP="001B1DFD">
            <w:pPr>
              <w:keepNext/>
              <w:keepLines/>
              <w:spacing w:after="0"/>
              <w:jc w:val="center"/>
              <w:rPr>
                <w:rFonts w:ascii="Arial Narrow" w:hAnsi="Arial Narrow" w:cs="Arial"/>
                <w:b/>
                <w:bCs/>
              </w:rPr>
            </w:pPr>
            <w:proofErr w:type="gramStart"/>
            <w:r w:rsidRPr="00DE0E06">
              <w:rPr>
                <w:rFonts w:ascii="Arial Narrow" w:hAnsi="Arial Narrow" w:cs="Arial"/>
                <w:b/>
                <w:bCs/>
              </w:rPr>
              <w:t>10 year</w:t>
            </w:r>
            <w:proofErr w:type="gramEnd"/>
            <w:r w:rsidRPr="00DE0E06">
              <w:rPr>
                <w:rFonts w:ascii="Arial Narrow" w:hAnsi="Arial Narrow" w:cs="Arial"/>
                <w:b/>
                <w:bCs/>
              </w:rPr>
              <w:t xml:space="preserve"> time horizon and imperfect persistence</w:t>
            </w:r>
          </w:p>
        </w:tc>
        <w:tc>
          <w:tcPr>
            <w:tcW w:w="1142" w:type="dxa"/>
            <w:vMerge/>
            <w:vAlign w:val="center"/>
          </w:tcPr>
          <w:p w14:paraId="45C61395" w14:textId="77777777" w:rsidR="00E07951" w:rsidRPr="00DE0E06" w:rsidRDefault="00E07951" w:rsidP="001B1DFD">
            <w:pPr>
              <w:keepNext/>
              <w:keepLines/>
              <w:spacing w:after="0"/>
              <w:jc w:val="center"/>
              <w:rPr>
                <w:rFonts w:ascii="Arial Narrow" w:hAnsi="Arial Narrow" w:cs="Arial"/>
                <w:b/>
                <w:bCs/>
              </w:rPr>
            </w:pPr>
          </w:p>
        </w:tc>
        <w:tc>
          <w:tcPr>
            <w:tcW w:w="1062" w:type="dxa"/>
            <w:vMerge/>
            <w:vAlign w:val="center"/>
          </w:tcPr>
          <w:p w14:paraId="5AEA23A7" w14:textId="77777777" w:rsidR="00E07951" w:rsidRPr="00DE0E06" w:rsidRDefault="00E07951" w:rsidP="001B1DFD">
            <w:pPr>
              <w:keepNext/>
              <w:keepLines/>
              <w:spacing w:after="0"/>
              <w:jc w:val="center"/>
              <w:rPr>
                <w:rFonts w:ascii="Arial Narrow" w:hAnsi="Arial Narrow" w:cs="Arial"/>
                <w:b/>
                <w:bCs/>
              </w:rPr>
            </w:pPr>
          </w:p>
        </w:tc>
      </w:tr>
      <w:tr w:rsidR="00E07951" w:rsidRPr="00DE0E06" w14:paraId="391B5118" w14:textId="77777777" w:rsidTr="001B1DFD">
        <w:tc>
          <w:tcPr>
            <w:tcW w:w="508" w:type="dxa"/>
          </w:tcPr>
          <w:p w14:paraId="740B2E29"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29" w:type="dxa"/>
            <w:vAlign w:val="center"/>
          </w:tcPr>
          <w:p w14:paraId="6BF6CC2F"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833" w:type="dxa"/>
            <w:vAlign w:val="center"/>
          </w:tcPr>
          <w:p w14:paraId="7604197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1086" w:type="dxa"/>
            <w:vAlign w:val="center"/>
          </w:tcPr>
          <w:p w14:paraId="1652B857"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$4,673</w:t>
            </w:r>
          </w:p>
        </w:tc>
        <w:tc>
          <w:tcPr>
            <w:tcW w:w="815" w:type="dxa"/>
            <w:vAlign w:val="center"/>
          </w:tcPr>
          <w:p w14:paraId="7E7692A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$91,377</w:t>
            </w:r>
          </w:p>
        </w:tc>
        <w:tc>
          <w:tcPr>
            <w:tcW w:w="798" w:type="dxa"/>
            <w:vAlign w:val="center"/>
          </w:tcPr>
          <w:p w14:paraId="25E61C7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$257,788</w:t>
            </w:r>
          </w:p>
        </w:tc>
        <w:tc>
          <w:tcPr>
            <w:tcW w:w="1038" w:type="dxa"/>
            <w:vAlign w:val="center"/>
          </w:tcPr>
          <w:p w14:paraId="07DDDF0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$576,727</w:t>
            </w:r>
          </w:p>
        </w:tc>
        <w:tc>
          <w:tcPr>
            <w:tcW w:w="1005" w:type="dxa"/>
            <w:vAlign w:val="center"/>
          </w:tcPr>
          <w:p w14:paraId="65C1464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$1,055,798</w:t>
            </w:r>
          </w:p>
        </w:tc>
        <w:tc>
          <w:tcPr>
            <w:tcW w:w="1142" w:type="dxa"/>
            <w:vAlign w:val="center"/>
          </w:tcPr>
          <w:p w14:paraId="42B15FD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 xml:space="preserve"> $150,678,695</w:t>
            </w:r>
          </w:p>
        </w:tc>
        <w:tc>
          <w:tcPr>
            <w:tcW w:w="1062" w:type="dxa"/>
            <w:vAlign w:val="center"/>
          </w:tcPr>
          <w:p w14:paraId="29B5A8D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$12,010,658</w:t>
            </w:r>
          </w:p>
        </w:tc>
      </w:tr>
      <w:tr w:rsidR="00E07951" w:rsidRPr="00DE0E06" w14:paraId="733F9CBA" w14:textId="77777777" w:rsidTr="001B1DFD">
        <w:tc>
          <w:tcPr>
            <w:tcW w:w="508" w:type="dxa"/>
          </w:tcPr>
          <w:p w14:paraId="6802CB66"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29" w:type="dxa"/>
            <w:vAlign w:val="center"/>
          </w:tcPr>
          <w:p w14:paraId="4E42056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833" w:type="dxa"/>
            <w:vAlign w:val="center"/>
          </w:tcPr>
          <w:p w14:paraId="55D66290"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1086" w:type="dxa"/>
            <w:vAlign w:val="center"/>
          </w:tcPr>
          <w:p w14:paraId="1C900ADA"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$3,483</w:t>
            </w:r>
          </w:p>
        </w:tc>
        <w:tc>
          <w:tcPr>
            <w:tcW w:w="815" w:type="dxa"/>
            <w:vAlign w:val="center"/>
          </w:tcPr>
          <w:p w14:paraId="5CFD0D2F"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$52,254</w:t>
            </w:r>
          </w:p>
        </w:tc>
        <w:tc>
          <w:tcPr>
            <w:tcW w:w="798" w:type="dxa"/>
            <w:vAlign w:val="center"/>
          </w:tcPr>
          <w:p w14:paraId="72EFA28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$177,957</w:t>
            </w:r>
          </w:p>
        </w:tc>
        <w:tc>
          <w:tcPr>
            <w:tcW w:w="1038" w:type="dxa"/>
            <w:vAlign w:val="center"/>
          </w:tcPr>
          <w:p w14:paraId="6E3C23A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$434,694</w:t>
            </w:r>
          </w:p>
        </w:tc>
        <w:tc>
          <w:tcPr>
            <w:tcW w:w="1005" w:type="dxa"/>
            <w:vAlign w:val="center"/>
          </w:tcPr>
          <w:p w14:paraId="1430F0D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$797,289</w:t>
            </w:r>
          </w:p>
        </w:tc>
        <w:tc>
          <w:tcPr>
            <w:tcW w:w="1142" w:type="dxa"/>
            <w:vAlign w:val="center"/>
          </w:tcPr>
          <w:p w14:paraId="34938DD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 xml:space="preserve"> $117,334,018</w:t>
            </w:r>
          </w:p>
        </w:tc>
        <w:tc>
          <w:tcPr>
            <w:tcW w:w="1062" w:type="dxa"/>
            <w:vAlign w:val="center"/>
          </w:tcPr>
          <w:p w14:paraId="1BB4697D"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$9,170,394</w:t>
            </w:r>
          </w:p>
        </w:tc>
      </w:tr>
      <w:tr w:rsidR="00E07951" w:rsidRPr="00DE0E06" w14:paraId="7A5DD798" w14:textId="77777777" w:rsidTr="001B1DFD">
        <w:tc>
          <w:tcPr>
            <w:tcW w:w="508" w:type="dxa"/>
          </w:tcPr>
          <w:p w14:paraId="6A6C6DE0"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60-69 years</w:t>
            </w:r>
          </w:p>
        </w:tc>
        <w:tc>
          <w:tcPr>
            <w:tcW w:w="729" w:type="dxa"/>
            <w:vAlign w:val="center"/>
          </w:tcPr>
          <w:p w14:paraId="5CC0103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833" w:type="dxa"/>
            <w:vAlign w:val="center"/>
          </w:tcPr>
          <w:p w14:paraId="4F3A6EF6"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1086" w:type="dxa"/>
            <w:vAlign w:val="center"/>
          </w:tcPr>
          <w:p w14:paraId="0FBFA591"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$2,144</w:t>
            </w:r>
          </w:p>
        </w:tc>
        <w:tc>
          <w:tcPr>
            <w:tcW w:w="815" w:type="dxa"/>
            <w:vAlign w:val="center"/>
          </w:tcPr>
          <w:p w14:paraId="463F691E"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$8,233</w:t>
            </w:r>
          </w:p>
        </w:tc>
        <w:tc>
          <w:tcPr>
            <w:tcW w:w="798" w:type="dxa"/>
            <w:vAlign w:val="center"/>
          </w:tcPr>
          <w:p w14:paraId="09B07BA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$88,130</w:t>
            </w:r>
          </w:p>
        </w:tc>
        <w:tc>
          <w:tcPr>
            <w:tcW w:w="1038" w:type="dxa"/>
            <w:vAlign w:val="center"/>
          </w:tcPr>
          <w:p w14:paraId="528410F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$274,877</w:t>
            </w:r>
          </w:p>
        </w:tc>
        <w:tc>
          <w:tcPr>
            <w:tcW w:w="1005" w:type="dxa"/>
            <w:vAlign w:val="center"/>
          </w:tcPr>
          <w:p w14:paraId="2F8B3A5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$506,411</w:t>
            </w:r>
          </w:p>
        </w:tc>
        <w:tc>
          <w:tcPr>
            <w:tcW w:w="1142" w:type="dxa"/>
            <w:vAlign w:val="center"/>
          </w:tcPr>
          <w:p w14:paraId="0B49929E" w14:textId="77777777" w:rsidR="00E07951" w:rsidRPr="00DE0E06" w:rsidRDefault="00E07951" w:rsidP="001B1DFD">
            <w:pPr>
              <w:keepNext/>
              <w:keepLines/>
              <w:spacing w:after="0"/>
              <w:jc w:val="center"/>
              <w:rPr>
                <w:rFonts w:ascii="Arial Narrow" w:hAnsi="Arial Narrow" w:cs="Arial"/>
              </w:rPr>
            </w:pPr>
            <w:proofErr w:type="spellStart"/>
            <w:r w:rsidRPr="00DE0E06">
              <w:rPr>
                <w:rFonts w:ascii="Arial Narrow" w:hAnsi="Arial Narrow" w:cs="Arial"/>
              </w:rPr>
              <w:t>NE</w:t>
            </w:r>
            <w:r w:rsidRPr="00DE0E06">
              <w:rPr>
                <w:rFonts w:ascii="Arial Narrow" w:hAnsi="Arial Narrow" w:cs="Arial"/>
                <w:vertAlign w:val="superscript"/>
              </w:rPr>
              <w:t>b</w:t>
            </w:r>
            <w:proofErr w:type="spellEnd"/>
          </w:p>
        </w:tc>
        <w:tc>
          <w:tcPr>
            <w:tcW w:w="1062" w:type="dxa"/>
            <w:vAlign w:val="center"/>
          </w:tcPr>
          <w:p w14:paraId="208A72AB" w14:textId="77777777" w:rsidR="00E07951" w:rsidRPr="00DE0E06" w:rsidRDefault="00E07951" w:rsidP="001B1DFD">
            <w:pPr>
              <w:keepNext/>
              <w:keepLines/>
              <w:spacing w:after="0"/>
              <w:jc w:val="center"/>
              <w:rPr>
                <w:rFonts w:ascii="Arial Narrow" w:hAnsi="Arial Narrow" w:cs="Arial"/>
              </w:rPr>
            </w:pPr>
            <w:proofErr w:type="spellStart"/>
            <w:r w:rsidRPr="00DE0E06">
              <w:rPr>
                <w:rFonts w:ascii="Arial Narrow" w:hAnsi="Arial Narrow" w:cs="Arial"/>
              </w:rPr>
              <w:t>NE</w:t>
            </w:r>
            <w:r w:rsidRPr="00DE0E06">
              <w:rPr>
                <w:rFonts w:ascii="Arial Narrow" w:hAnsi="Arial Narrow" w:cs="Arial"/>
                <w:vertAlign w:val="superscript"/>
              </w:rPr>
              <w:t>b</w:t>
            </w:r>
            <w:proofErr w:type="spellEnd"/>
          </w:p>
        </w:tc>
      </w:tr>
      <w:tr w:rsidR="00E07951" w:rsidRPr="00DE0E06" w14:paraId="6587CDFC" w14:textId="77777777" w:rsidTr="001B1DFD">
        <w:tc>
          <w:tcPr>
            <w:tcW w:w="508" w:type="dxa"/>
          </w:tcPr>
          <w:p w14:paraId="7D24DB60"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65-69 years</w:t>
            </w:r>
          </w:p>
        </w:tc>
        <w:tc>
          <w:tcPr>
            <w:tcW w:w="729" w:type="dxa"/>
            <w:vAlign w:val="center"/>
          </w:tcPr>
          <w:p w14:paraId="0A00E72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Yes</w:t>
            </w:r>
          </w:p>
        </w:tc>
        <w:tc>
          <w:tcPr>
            <w:tcW w:w="833" w:type="dxa"/>
            <w:vAlign w:val="center"/>
          </w:tcPr>
          <w:p w14:paraId="5FB00DE4"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N/A</w:t>
            </w:r>
          </w:p>
        </w:tc>
        <w:tc>
          <w:tcPr>
            <w:tcW w:w="1086" w:type="dxa"/>
            <w:vAlign w:val="center"/>
          </w:tcPr>
          <w:p w14:paraId="0011DE6A"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$1,576</w:t>
            </w:r>
          </w:p>
        </w:tc>
        <w:tc>
          <w:tcPr>
            <w:tcW w:w="815" w:type="dxa"/>
            <w:vAlign w:val="center"/>
          </w:tcPr>
          <w:p w14:paraId="488E4247"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Dominant</w:t>
            </w:r>
          </w:p>
        </w:tc>
        <w:tc>
          <w:tcPr>
            <w:tcW w:w="798" w:type="dxa"/>
            <w:vAlign w:val="center"/>
          </w:tcPr>
          <w:p w14:paraId="1491795C"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$31,590</w:t>
            </w:r>
          </w:p>
        </w:tc>
        <w:tc>
          <w:tcPr>
            <w:tcW w:w="1038" w:type="dxa"/>
            <w:vAlign w:val="center"/>
          </w:tcPr>
          <w:p w14:paraId="2BE97E30"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$184,609</w:t>
            </w:r>
          </w:p>
        </w:tc>
        <w:tc>
          <w:tcPr>
            <w:tcW w:w="1005" w:type="dxa"/>
            <w:vAlign w:val="center"/>
          </w:tcPr>
          <w:p w14:paraId="379AC10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$348,686</w:t>
            </w:r>
          </w:p>
        </w:tc>
        <w:tc>
          <w:tcPr>
            <w:tcW w:w="1142" w:type="dxa"/>
            <w:vAlign w:val="center"/>
          </w:tcPr>
          <w:p w14:paraId="46EB9E87"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 xml:space="preserve"> $75,276,620</w:t>
            </w:r>
          </w:p>
        </w:tc>
        <w:tc>
          <w:tcPr>
            <w:tcW w:w="1062" w:type="dxa"/>
            <w:vAlign w:val="center"/>
          </w:tcPr>
          <w:p w14:paraId="582D8658"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$7,347,038</w:t>
            </w:r>
          </w:p>
        </w:tc>
      </w:tr>
      <w:tr w:rsidR="00E07951" w:rsidRPr="00DE0E06" w14:paraId="6B6396EB" w14:textId="77777777" w:rsidTr="00C81B63">
        <w:tc>
          <w:tcPr>
            <w:tcW w:w="508" w:type="dxa"/>
          </w:tcPr>
          <w:p w14:paraId="25F62B98" w14:textId="77777777" w:rsidR="00E07951" w:rsidRPr="00DE0E06" w:rsidRDefault="00E07951" w:rsidP="001B1DFD">
            <w:pPr>
              <w:keepNext/>
              <w:keepLines/>
              <w:spacing w:after="0"/>
              <w:jc w:val="both"/>
              <w:rPr>
                <w:rFonts w:ascii="Arial Narrow" w:hAnsi="Arial Narrow" w:cs="Arial"/>
              </w:rPr>
            </w:pPr>
            <w:r w:rsidRPr="00DE0E06">
              <w:rPr>
                <w:rFonts w:ascii="Arial Narrow" w:hAnsi="Arial Narrow" w:cs="Arial"/>
              </w:rPr>
              <w:t>65-69 years</w:t>
            </w:r>
          </w:p>
        </w:tc>
        <w:tc>
          <w:tcPr>
            <w:tcW w:w="729" w:type="dxa"/>
            <w:vAlign w:val="center"/>
          </w:tcPr>
          <w:p w14:paraId="6FF3210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No</w:t>
            </w:r>
          </w:p>
        </w:tc>
        <w:tc>
          <w:tcPr>
            <w:tcW w:w="833" w:type="dxa"/>
            <w:vAlign w:val="center"/>
          </w:tcPr>
          <w:p w14:paraId="5D4746A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N/A</w:t>
            </w:r>
          </w:p>
        </w:tc>
        <w:tc>
          <w:tcPr>
            <w:tcW w:w="1086" w:type="dxa"/>
            <w:vAlign w:val="center"/>
          </w:tcPr>
          <w:p w14:paraId="126EACEB"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$1,154</w:t>
            </w:r>
          </w:p>
        </w:tc>
        <w:tc>
          <w:tcPr>
            <w:tcW w:w="815" w:type="dxa"/>
            <w:vAlign w:val="center"/>
          </w:tcPr>
          <w:p w14:paraId="3AEC7FF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Dominant</w:t>
            </w:r>
          </w:p>
        </w:tc>
        <w:tc>
          <w:tcPr>
            <w:tcW w:w="798" w:type="dxa"/>
            <w:vAlign w:val="center"/>
          </w:tcPr>
          <w:p w14:paraId="1DF5592F"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Dominant</w:t>
            </w:r>
          </w:p>
        </w:tc>
        <w:tc>
          <w:tcPr>
            <w:tcW w:w="1038" w:type="dxa"/>
            <w:vAlign w:val="center"/>
          </w:tcPr>
          <w:p w14:paraId="686B139F"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$138,165</w:t>
            </w:r>
          </w:p>
        </w:tc>
        <w:tc>
          <w:tcPr>
            <w:tcW w:w="1005" w:type="dxa"/>
            <w:shd w:val="clear" w:color="auto" w:fill="D9D9D9" w:themeFill="background1" w:themeFillShade="D9"/>
            <w:vAlign w:val="center"/>
          </w:tcPr>
          <w:p w14:paraId="6EDCB9C3"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$262,259</w:t>
            </w:r>
          </w:p>
        </w:tc>
        <w:tc>
          <w:tcPr>
            <w:tcW w:w="1142" w:type="dxa"/>
            <w:shd w:val="clear" w:color="auto" w:fill="FFFFFF" w:themeFill="background1"/>
            <w:vAlign w:val="center"/>
          </w:tcPr>
          <w:p w14:paraId="24CF6979"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 xml:space="preserve"> $58,575,307</w:t>
            </w:r>
          </w:p>
        </w:tc>
        <w:tc>
          <w:tcPr>
            <w:tcW w:w="1062" w:type="dxa"/>
            <w:shd w:val="clear" w:color="auto" w:fill="FFFFFF" w:themeFill="background1"/>
            <w:vAlign w:val="center"/>
          </w:tcPr>
          <w:p w14:paraId="440E15B5" w14:textId="77777777" w:rsidR="00E07951" w:rsidRPr="00DE0E06" w:rsidRDefault="00E07951" w:rsidP="001B1DFD">
            <w:pPr>
              <w:keepNext/>
              <w:keepLines/>
              <w:spacing w:after="0"/>
              <w:jc w:val="center"/>
              <w:rPr>
                <w:rFonts w:ascii="Arial Narrow" w:hAnsi="Arial Narrow" w:cs="Arial"/>
              </w:rPr>
            </w:pPr>
            <w:r w:rsidRPr="00DE0E06">
              <w:rPr>
                <w:rFonts w:ascii="Arial Narrow" w:hAnsi="Arial Narrow" w:cs="Arial"/>
              </w:rPr>
              <w:t>$5,609,352</w:t>
            </w:r>
          </w:p>
        </w:tc>
      </w:tr>
    </w:tbl>
    <w:p w14:paraId="66A1B13A"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t>Abbreviations: DPMQ, dispensed price maximum quantity; MBS, Medicare Benefits Schedule; N/A, not applicable; NE, not estimable; PBS, Pharmaceutical Benefits Scheme; QALY, quality adjusted life year</w:t>
      </w:r>
    </w:p>
    <w:p w14:paraId="6418E1A6"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t xml:space="preserve">a Assumes that patients who discontinue treatment reinitiate treatment using standard care if they experienced a fracture or in the absence of </w:t>
      </w:r>
      <w:proofErr w:type="gramStart"/>
      <w:r w:rsidRPr="00DE0E06">
        <w:rPr>
          <w:rFonts w:ascii="Arial Narrow" w:eastAsia="Times New Roman" w:hAnsi="Arial Narrow" w:cs="Arial"/>
          <w:snapToGrid w:val="0"/>
          <w:sz w:val="18"/>
          <w:lang w:eastAsia="en-AU"/>
          <w14:ligatures w14:val="standardContextual"/>
        </w:rPr>
        <w:t>fracture, once</w:t>
      </w:r>
      <w:proofErr w:type="gramEnd"/>
      <w:r w:rsidRPr="00DE0E06">
        <w:rPr>
          <w:rFonts w:ascii="Arial Narrow" w:eastAsia="Times New Roman" w:hAnsi="Arial Narrow" w:cs="Arial"/>
          <w:snapToGrid w:val="0"/>
          <w:sz w:val="18"/>
          <w:lang w:eastAsia="en-AU"/>
          <w14:ligatures w14:val="standardContextual"/>
        </w:rPr>
        <w:t xml:space="preserve"> they reached age 70 years.</w:t>
      </w:r>
    </w:p>
    <w:p w14:paraId="29958681"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t>b Not estimable as testing rates based on MBS item numbers do not differentiate between initial and repeat testing.</w:t>
      </w:r>
    </w:p>
    <w:p w14:paraId="6855DD99"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t xml:space="preserve">Note 1: Cost-effectiveness and financial estimates were based on alternative persistence/duration of treatment </w:t>
      </w:r>
      <w:proofErr w:type="gramStart"/>
      <w:r w:rsidRPr="00DE0E06">
        <w:rPr>
          <w:rFonts w:ascii="Arial Narrow" w:eastAsia="Times New Roman" w:hAnsi="Arial Narrow" w:cs="Arial"/>
          <w:snapToGrid w:val="0"/>
          <w:sz w:val="18"/>
          <w:lang w:eastAsia="en-AU"/>
          <w14:ligatures w14:val="standardContextual"/>
        </w:rPr>
        <w:t>estimates</w:t>
      </w:r>
      <w:proofErr w:type="gramEnd"/>
    </w:p>
    <w:p w14:paraId="41233583" w14:textId="77777777" w:rsidR="00E07951" w:rsidRPr="00DE0E06" w:rsidRDefault="00E07951" w:rsidP="00E07951">
      <w:pPr>
        <w:spacing w:after="120"/>
        <w:contextualSpacing/>
        <w:jc w:val="both"/>
        <w:rPr>
          <w:rFonts w:ascii="Arial Narrow" w:eastAsia="Times New Roman" w:hAnsi="Arial Narrow" w:cs="Arial"/>
          <w:snapToGrid w:val="0"/>
          <w:sz w:val="18"/>
          <w:lang w:eastAsia="en-AU"/>
          <w14:ligatures w14:val="standardContextual"/>
        </w:rPr>
      </w:pPr>
      <w:r w:rsidRPr="00DE0E06">
        <w:rPr>
          <w:rFonts w:ascii="Arial Narrow" w:eastAsia="Times New Roman" w:hAnsi="Arial Narrow" w:cs="Arial"/>
          <w:snapToGrid w:val="0"/>
          <w:sz w:val="18"/>
          <w:lang w:eastAsia="en-AU"/>
          <w14:ligatures w14:val="standardContextual"/>
        </w:rPr>
        <w:lastRenderedPageBreak/>
        <w:t>Note 2: MBS costs include zoledronic acid administration costs assuming one specialist visit per year ($76.08 based on item 104 at 80% benefit, September 2023 MBS Schedule)</w:t>
      </w:r>
    </w:p>
    <w:p w14:paraId="7436ED8C" w14:textId="7BE6791D" w:rsidR="00E07951" w:rsidRPr="00E87379" w:rsidRDefault="00E07951" w:rsidP="00E07951">
      <w:pPr>
        <w:spacing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Overall, scenarios based on a higher age threshold and reduced frequency or removal of repeat testing, produced more favourable results in terms of the economic evaluation and budget impact.</w:t>
      </w:r>
    </w:p>
    <w:p w14:paraId="1E109A9A" w14:textId="3A5B1802" w:rsidR="00E07951" w:rsidRPr="00E87379" w:rsidRDefault="00E07951" w:rsidP="00E87379">
      <w:pPr>
        <w:spacing w:before="240"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The base case economic evaluation was based on a 20-year time horizon and assumed 100% treatment persistence. Alternative time horizons (5, 10 and 15 years) and imperfect persistence scenarios had large impacts on the economic analysis, primarily due to reductions in incremental QALY gains that were associated with fractures avoided and time spent in the fracture health states. Similar patterns were observed based on scenario analyses using various age ranges and alternative frequencies or removal of repeat testing.</w:t>
      </w:r>
    </w:p>
    <w:p w14:paraId="4F9996D3" w14:textId="53B4CB3C" w:rsidR="006C6968" w:rsidRPr="00E87379" w:rsidRDefault="00E07951" w:rsidP="00E87379">
      <w:pPr>
        <w:spacing w:before="240" w:after="0"/>
        <w:jc w:val="both"/>
        <w:rPr>
          <w:rFonts w:ascii="Franklin Gothic Book" w:hAnsi="Franklin Gothic Book"/>
        </w:rPr>
      </w:pPr>
      <w:r w:rsidRPr="00E87379">
        <w:rPr>
          <w:rFonts w:ascii="Franklin Gothic Book" w:eastAsia="Times New Roman" w:hAnsi="Franklin Gothic Book" w:cstheme="minorHAnsi"/>
          <w:lang w:eastAsia="en-AU"/>
        </w:rPr>
        <w:t>The reliability of results based on imperfect persistence scenarios is uncertain given the implementation of treatment persistence was limited by the model structure. The validity of treatment duration estimates was also uncertain given limited reporting (e.g. no measures of variance) in the publicly available DUSC report and no other published estimates for time to treatment discontinuation based on contemporary data in the Australian setting could be identified during the preparation of the DCAR.</w:t>
      </w:r>
    </w:p>
    <w:p w14:paraId="36C33D9C" w14:textId="4D871F0C" w:rsidR="008979C9" w:rsidRPr="00953311" w:rsidRDefault="00E87379" w:rsidP="00E87379">
      <w:pPr>
        <w:pStyle w:val="Heading2"/>
      </w:pPr>
      <w:bookmarkStart w:id="36" w:name="_Toc150177180"/>
      <w:bookmarkEnd w:id="27"/>
      <w:r>
        <w:t>11.</w:t>
      </w:r>
      <w:r>
        <w:tab/>
      </w:r>
      <w:r w:rsidR="008979C9" w:rsidRPr="00953311">
        <w:t>Financial/budgetary impacts</w:t>
      </w:r>
      <w:bookmarkEnd w:id="36"/>
    </w:p>
    <w:p w14:paraId="7B1F665B" w14:textId="77777777" w:rsidR="008979C9" w:rsidRPr="00E87379" w:rsidRDefault="008979C9" w:rsidP="008979C9">
      <w:pPr>
        <w:pStyle w:val="Instructionaltext"/>
        <w:rPr>
          <w:rFonts w:cstheme="minorHAnsi"/>
          <w:color w:val="auto"/>
        </w:rPr>
      </w:pPr>
      <w:r w:rsidRPr="00E87379">
        <w:rPr>
          <w:rFonts w:cstheme="minorHAnsi"/>
          <w:color w:val="auto"/>
        </w:rPr>
        <w:t>An epidemiological approach was used to estimate the extent of use and financial implications of extending BMD testing to individuals aged 60-69 years under the MBS.</w:t>
      </w:r>
    </w:p>
    <w:p w14:paraId="7EA6A558" w14:textId="77777777" w:rsidR="008979C9" w:rsidRPr="00E87379" w:rsidRDefault="008979C9" w:rsidP="008979C9">
      <w:pPr>
        <w:pStyle w:val="Instructionaltext"/>
        <w:jc w:val="both"/>
        <w:rPr>
          <w:rFonts w:cstheme="minorHAnsi"/>
          <w:color w:val="auto"/>
        </w:rPr>
      </w:pPr>
      <w:r w:rsidRPr="00E87379">
        <w:rPr>
          <w:rFonts w:cstheme="minorHAnsi"/>
          <w:color w:val="auto"/>
        </w:rPr>
        <w:t>During the preparation of the assessment report, it was noted that there were insufficient contemporary Australian data to inform a detailed epidemiology-based model on expected utilisation. Therefore, a simplified approach was taken by extrapolating testing rates in the existing population (individuals aged 70 years or older) and applying these estimates to the target population (individuals aged 60-69 years).</w:t>
      </w:r>
    </w:p>
    <w:p w14:paraId="5A221D93" w14:textId="77777777" w:rsidR="008979C9" w:rsidRPr="00E87379" w:rsidRDefault="008979C9" w:rsidP="008979C9">
      <w:pPr>
        <w:pStyle w:val="Instructionaltext"/>
        <w:jc w:val="both"/>
        <w:rPr>
          <w:rFonts w:cstheme="minorHAnsi"/>
          <w:color w:val="auto"/>
        </w:rPr>
      </w:pPr>
      <w:r w:rsidRPr="00E87379">
        <w:rPr>
          <w:rFonts w:cstheme="minorHAnsi"/>
          <w:color w:val="auto"/>
        </w:rPr>
        <w:t>Testing rates in the existing population were estimated based on ABS data on the size of the Australian population by age and gender in 2018-2022. These estimates were then compared with MBS data on the age and gender of individuals using BMD scanning items (MBS 12320, MBS 12322) over the same time period.</w:t>
      </w:r>
    </w:p>
    <w:p w14:paraId="69D56CF0" w14:textId="4D4B82F0" w:rsidR="008979C9" w:rsidRPr="00E87379" w:rsidRDefault="008979C9" w:rsidP="008979C9">
      <w:pPr>
        <w:pStyle w:val="Instructionaltext"/>
        <w:jc w:val="both"/>
        <w:rPr>
          <w:rFonts w:cstheme="minorHAnsi"/>
          <w:color w:val="auto"/>
        </w:rPr>
      </w:pPr>
      <w:r w:rsidRPr="00E87379">
        <w:rPr>
          <w:rFonts w:cstheme="minorHAnsi"/>
          <w:color w:val="auto"/>
        </w:rPr>
        <w:t xml:space="preserve">The estimated extent of use and financial implications of expanding the eligibility of BMD testing items to younger individuals aged 60-69 years are summarised in </w:t>
      </w:r>
      <w:r w:rsidRPr="00E87379">
        <w:rPr>
          <w:rFonts w:cstheme="minorHAnsi"/>
          <w:color w:val="auto"/>
        </w:rPr>
        <w:fldChar w:fldCharType="begin"/>
      </w:r>
      <w:r w:rsidRPr="00E87379">
        <w:rPr>
          <w:rFonts w:cstheme="minorHAnsi"/>
          <w:color w:val="auto"/>
        </w:rPr>
        <w:instrText xml:space="preserve"> REF _Ref69726382 \h  \* MERGEFORMAT </w:instrText>
      </w:r>
      <w:r w:rsidRPr="00E87379">
        <w:rPr>
          <w:rFonts w:cstheme="minorHAnsi"/>
          <w:color w:val="auto"/>
        </w:rPr>
      </w:r>
      <w:r w:rsidRPr="00E87379">
        <w:rPr>
          <w:rFonts w:cstheme="minorHAnsi"/>
          <w:color w:val="auto"/>
        </w:rPr>
        <w:fldChar w:fldCharType="separate"/>
      </w:r>
      <w:r w:rsidR="00E551E5" w:rsidRPr="00E87379">
        <w:rPr>
          <w:rFonts w:cstheme="minorHAnsi"/>
          <w:color w:val="auto"/>
        </w:rPr>
        <w:t>Table 17</w:t>
      </w:r>
      <w:r w:rsidRPr="00E87379">
        <w:rPr>
          <w:rFonts w:cstheme="minorHAnsi"/>
          <w:color w:val="auto"/>
        </w:rPr>
        <w:fldChar w:fldCharType="end"/>
      </w:r>
      <w:r w:rsidRPr="00E87379">
        <w:rPr>
          <w:rFonts w:cstheme="minorHAnsi"/>
          <w:color w:val="auto"/>
        </w:rPr>
        <w:t>.</w:t>
      </w:r>
    </w:p>
    <w:p w14:paraId="3BC1198A" w14:textId="75D6FF1F" w:rsidR="008979C9" w:rsidRPr="00953311" w:rsidRDefault="008979C9" w:rsidP="008979C9">
      <w:pPr>
        <w:pStyle w:val="COMtablefigcaption"/>
        <w:jc w:val="both"/>
      </w:pPr>
      <w:bookmarkStart w:id="37" w:name="_Ref69726382"/>
      <w:r w:rsidRPr="00953311">
        <w:t>Table </w:t>
      </w:r>
      <w:r>
        <w:fldChar w:fldCharType="begin"/>
      </w:r>
      <w:r>
        <w:instrText>SEQ Table \* ARABIC</w:instrText>
      </w:r>
      <w:r>
        <w:fldChar w:fldCharType="separate"/>
      </w:r>
      <w:r w:rsidR="00090261">
        <w:rPr>
          <w:noProof/>
        </w:rPr>
        <w:t>17</w:t>
      </w:r>
      <w:r>
        <w:fldChar w:fldCharType="end"/>
      </w:r>
      <w:bookmarkEnd w:id="37"/>
      <w:r w:rsidRPr="00953311">
        <w:t xml:space="preserve"> Net financial implications of expanding BMD testing items to include younger individuals aged 60-69 </w:t>
      </w:r>
      <w:proofErr w:type="gramStart"/>
      <w:r w:rsidRPr="00953311">
        <w:t>years</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47"/>
        <w:gridCol w:w="1120"/>
        <w:gridCol w:w="1120"/>
        <w:gridCol w:w="1120"/>
        <w:gridCol w:w="1120"/>
        <w:gridCol w:w="1120"/>
        <w:gridCol w:w="1120"/>
      </w:tblGrid>
      <w:tr w:rsidR="008979C9" w:rsidRPr="00953311" w14:paraId="2A7AC624" w14:textId="77777777">
        <w:trPr>
          <w:tblHeader/>
        </w:trPr>
        <w:tc>
          <w:tcPr>
            <w:tcW w:w="2347" w:type="dxa"/>
            <w:tcBorders>
              <w:bottom w:val="single" w:sz="4" w:space="0" w:color="auto"/>
            </w:tcBorders>
            <w:shd w:val="clear" w:color="auto" w:fill="auto"/>
            <w:vAlign w:val="center"/>
          </w:tcPr>
          <w:p w14:paraId="79FDA19D" w14:textId="77777777" w:rsidR="008979C9" w:rsidRPr="00953311" w:rsidRDefault="008979C9">
            <w:pPr>
              <w:pStyle w:val="COMTableheadingrow"/>
              <w:keepLines/>
              <w:rPr>
                <w:lang w:val="en-AU"/>
              </w:rPr>
            </w:pPr>
          </w:p>
        </w:tc>
        <w:tc>
          <w:tcPr>
            <w:tcW w:w="1120" w:type="dxa"/>
            <w:tcBorders>
              <w:bottom w:val="single" w:sz="4" w:space="0" w:color="auto"/>
            </w:tcBorders>
            <w:shd w:val="clear" w:color="auto" w:fill="auto"/>
            <w:vAlign w:val="center"/>
          </w:tcPr>
          <w:p w14:paraId="122E061D" w14:textId="77777777" w:rsidR="008979C9" w:rsidRPr="00953311" w:rsidRDefault="008979C9">
            <w:pPr>
              <w:pStyle w:val="COMTableheadingrow"/>
              <w:keepLines/>
              <w:rPr>
                <w:lang w:val="en-AU"/>
              </w:rPr>
            </w:pPr>
            <w:r w:rsidRPr="00953311">
              <w:rPr>
                <w:lang w:val="en-AU"/>
              </w:rPr>
              <w:t xml:space="preserve">Year 1 </w:t>
            </w:r>
          </w:p>
        </w:tc>
        <w:tc>
          <w:tcPr>
            <w:tcW w:w="1120" w:type="dxa"/>
            <w:tcBorders>
              <w:bottom w:val="single" w:sz="4" w:space="0" w:color="auto"/>
            </w:tcBorders>
            <w:shd w:val="clear" w:color="auto" w:fill="auto"/>
            <w:vAlign w:val="center"/>
          </w:tcPr>
          <w:p w14:paraId="0AAD469A" w14:textId="77777777" w:rsidR="008979C9" w:rsidRPr="00953311" w:rsidRDefault="008979C9">
            <w:pPr>
              <w:pStyle w:val="COMTableheadingrow"/>
              <w:keepLines/>
              <w:rPr>
                <w:lang w:val="en-AU"/>
              </w:rPr>
            </w:pPr>
            <w:r w:rsidRPr="00953311">
              <w:rPr>
                <w:lang w:val="en-AU"/>
              </w:rPr>
              <w:t xml:space="preserve">Year 2 </w:t>
            </w:r>
          </w:p>
        </w:tc>
        <w:tc>
          <w:tcPr>
            <w:tcW w:w="1120" w:type="dxa"/>
            <w:tcBorders>
              <w:bottom w:val="single" w:sz="4" w:space="0" w:color="auto"/>
            </w:tcBorders>
            <w:shd w:val="clear" w:color="auto" w:fill="auto"/>
            <w:vAlign w:val="center"/>
          </w:tcPr>
          <w:p w14:paraId="347A4109" w14:textId="77777777" w:rsidR="008979C9" w:rsidRPr="00953311" w:rsidRDefault="008979C9">
            <w:pPr>
              <w:pStyle w:val="COMTableheadingrow"/>
              <w:keepLines/>
              <w:rPr>
                <w:lang w:val="en-AU"/>
              </w:rPr>
            </w:pPr>
            <w:r w:rsidRPr="00953311">
              <w:rPr>
                <w:lang w:val="en-AU"/>
              </w:rPr>
              <w:t xml:space="preserve">Year 3 </w:t>
            </w:r>
          </w:p>
        </w:tc>
        <w:tc>
          <w:tcPr>
            <w:tcW w:w="1120" w:type="dxa"/>
            <w:tcBorders>
              <w:bottom w:val="single" w:sz="4" w:space="0" w:color="auto"/>
            </w:tcBorders>
            <w:shd w:val="clear" w:color="auto" w:fill="auto"/>
            <w:vAlign w:val="center"/>
          </w:tcPr>
          <w:p w14:paraId="511DCDDC" w14:textId="77777777" w:rsidR="008979C9" w:rsidRPr="00953311" w:rsidRDefault="008979C9">
            <w:pPr>
              <w:pStyle w:val="COMTableheadingrow"/>
              <w:keepLines/>
              <w:rPr>
                <w:lang w:val="en-AU"/>
              </w:rPr>
            </w:pPr>
            <w:r w:rsidRPr="00953311">
              <w:rPr>
                <w:lang w:val="en-AU"/>
              </w:rPr>
              <w:t xml:space="preserve">Year 4 </w:t>
            </w:r>
          </w:p>
        </w:tc>
        <w:tc>
          <w:tcPr>
            <w:tcW w:w="1120" w:type="dxa"/>
            <w:tcBorders>
              <w:bottom w:val="single" w:sz="4" w:space="0" w:color="auto"/>
            </w:tcBorders>
            <w:shd w:val="clear" w:color="auto" w:fill="auto"/>
            <w:vAlign w:val="center"/>
          </w:tcPr>
          <w:p w14:paraId="7F6F57B8" w14:textId="77777777" w:rsidR="008979C9" w:rsidRPr="00953311" w:rsidRDefault="008979C9">
            <w:pPr>
              <w:pStyle w:val="COMTableheadingrow"/>
              <w:keepLines/>
              <w:rPr>
                <w:lang w:val="en-AU"/>
              </w:rPr>
            </w:pPr>
            <w:r w:rsidRPr="00953311">
              <w:rPr>
                <w:lang w:val="en-AU"/>
              </w:rPr>
              <w:t xml:space="preserve">Year 5 </w:t>
            </w:r>
          </w:p>
        </w:tc>
        <w:tc>
          <w:tcPr>
            <w:tcW w:w="1120" w:type="dxa"/>
            <w:tcBorders>
              <w:bottom w:val="single" w:sz="4" w:space="0" w:color="auto"/>
            </w:tcBorders>
            <w:shd w:val="clear" w:color="auto" w:fill="auto"/>
            <w:vAlign w:val="center"/>
          </w:tcPr>
          <w:p w14:paraId="6D853623" w14:textId="77777777" w:rsidR="008979C9" w:rsidRPr="00953311" w:rsidRDefault="008979C9">
            <w:pPr>
              <w:pStyle w:val="COMTableheadingrow"/>
              <w:keepLines/>
              <w:rPr>
                <w:lang w:val="en-AU"/>
              </w:rPr>
            </w:pPr>
            <w:r w:rsidRPr="00953311">
              <w:rPr>
                <w:lang w:val="en-AU"/>
              </w:rPr>
              <w:t xml:space="preserve">Year 6 </w:t>
            </w:r>
          </w:p>
        </w:tc>
      </w:tr>
      <w:tr w:rsidR="008979C9" w:rsidRPr="00953311" w14:paraId="5D6E307D" w14:textId="77777777">
        <w:tc>
          <w:tcPr>
            <w:tcW w:w="2347" w:type="dxa"/>
            <w:tcBorders>
              <w:top w:val="single" w:sz="4" w:space="0" w:color="auto"/>
            </w:tcBorders>
            <w:shd w:val="clear" w:color="auto" w:fill="auto"/>
            <w:vAlign w:val="center"/>
          </w:tcPr>
          <w:p w14:paraId="43101C6F" w14:textId="77777777" w:rsidR="008979C9" w:rsidRPr="00953311" w:rsidRDefault="008979C9">
            <w:pPr>
              <w:pStyle w:val="COMTabletext"/>
              <w:keepLines/>
            </w:pPr>
            <w:r w:rsidRPr="00953311">
              <w:t>Total patients aged 60-69 years undergoing BMD testing</w:t>
            </w:r>
          </w:p>
        </w:tc>
        <w:tc>
          <w:tcPr>
            <w:tcW w:w="1120" w:type="dxa"/>
            <w:tcBorders>
              <w:top w:val="single" w:sz="4" w:space="0" w:color="auto"/>
            </w:tcBorders>
            <w:shd w:val="clear" w:color="auto" w:fill="auto"/>
            <w:vAlign w:val="center"/>
          </w:tcPr>
          <w:p w14:paraId="5C1FA17E" w14:textId="77777777" w:rsidR="008979C9" w:rsidRPr="00953311" w:rsidRDefault="008979C9">
            <w:pPr>
              <w:pStyle w:val="COMTabletext"/>
              <w:keepLines/>
              <w:jc w:val="center"/>
              <w:rPr>
                <w:iCs/>
              </w:rPr>
            </w:pPr>
            <w:r w:rsidRPr="00953311">
              <w:rPr>
                <w:iCs/>
              </w:rPr>
              <w:t>230,771</w:t>
            </w:r>
          </w:p>
        </w:tc>
        <w:tc>
          <w:tcPr>
            <w:tcW w:w="1120" w:type="dxa"/>
            <w:tcBorders>
              <w:top w:val="single" w:sz="4" w:space="0" w:color="auto"/>
            </w:tcBorders>
            <w:shd w:val="clear" w:color="auto" w:fill="auto"/>
            <w:vAlign w:val="center"/>
          </w:tcPr>
          <w:p w14:paraId="44835071" w14:textId="77777777" w:rsidR="008979C9" w:rsidRPr="00953311" w:rsidRDefault="008979C9">
            <w:pPr>
              <w:pStyle w:val="COMTabletext"/>
              <w:keepLines/>
              <w:jc w:val="center"/>
              <w:rPr>
                <w:iCs/>
              </w:rPr>
            </w:pPr>
            <w:r w:rsidRPr="00953311">
              <w:rPr>
                <w:iCs/>
              </w:rPr>
              <w:t>233,066</w:t>
            </w:r>
          </w:p>
        </w:tc>
        <w:tc>
          <w:tcPr>
            <w:tcW w:w="1120" w:type="dxa"/>
            <w:tcBorders>
              <w:top w:val="single" w:sz="4" w:space="0" w:color="auto"/>
            </w:tcBorders>
            <w:shd w:val="clear" w:color="auto" w:fill="auto"/>
            <w:vAlign w:val="center"/>
          </w:tcPr>
          <w:p w14:paraId="7CB1C794" w14:textId="77777777" w:rsidR="008979C9" w:rsidRPr="00953311" w:rsidRDefault="008979C9">
            <w:pPr>
              <w:pStyle w:val="COMTabletext"/>
              <w:keepLines/>
              <w:jc w:val="center"/>
              <w:rPr>
                <w:iCs/>
              </w:rPr>
            </w:pPr>
            <w:r w:rsidRPr="00953311">
              <w:rPr>
                <w:iCs/>
              </w:rPr>
              <w:t>234,667</w:t>
            </w:r>
          </w:p>
        </w:tc>
        <w:tc>
          <w:tcPr>
            <w:tcW w:w="1120" w:type="dxa"/>
            <w:tcBorders>
              <w:top w:val="single" w:sz="4" w:space="0" w:color="auto"/>
            </w:tcBorders>
            <w:shd w:val="clear" w:color="auto" w:fill="auto"/>
            <w:vAlign w:val="center"/>
          </w:tcPr>
          <w:p w14:paraId="4B427260" w14:textId="77777777" w:rsidR="008979C9" w:rsidRPr="00953311" w:rsidRDefault="008979C9">
            <w:pPr>
              <w:pStyle w:val="COMTabletext"/>
              <w:keepLines/>
              <w:jc w:val="center"/>
              <w:rPr>
                <w:iCs/>
              </w:rPr>
            </w:pPr>
            <w:r w:rsidRPr="00953311">
              <w:rPr>
                <w:iCs/>
              </w:rPr>
              <w:t>235,901</w:t>
            </w:r>
          </w:p>
        </w:tc>
        <w:tc>
          <w:tcPr>
            <w:tcW w:w="1120" w:type="dxa"/>
            <w:tcBorders>
              <w:top w:val="single" w:sz="4" w:space="0" w:color="auto"/>
            </w:tcBorders>
            <w:shd w:val="clear" w:color="auto" w:fill="auto"/>
            <w:vAlign w:val="center"/>
          </w:tcPr>
          <w:p w14:paraId="4F2A9F38" w14:textId="77777777" w:rsidR="008979C9" w:rsidRPr="00953311" w:rsidRDefault="008979C9">
            <w:pPr>
              <w:pStyle w:val="COMTabletext"/>
              <w:keepLines/>
              <w:jc w:val="center"/>
              <w:rPr>
                <w:iCs/>
              </w:rPr>
            </w:pPr>
            <w:r w:rsidRPr="00953311">
              <w:rPr>
                <w:iCs/>
              </w:rPr>
              <w:t>237,221</w:t>
            </w:r>
          </w:p>
        </w:tc>
        <w:tc>
          <w:tcPr>
            <w:tcW w:w="1120" w:type="dxa"/>
            <w:tcBorders>
              <w:top w:val="single" w:sz="4" w:space="0" w:color="auto"/>
            </w:tcBorders>
            <w:shd w:val="clear" w:color="auto" w:fill="auto"/>
            <w:vAlign w:val="center"/>
          </w:tcPr>
          <w:p w14:paraId="312B1916" w14:textId="77777777" w:rsidR="008979C9" w:rsidRPr="00953311" w:rsidRDefault="008979C9">
            <w:pPr>
              <w:pStyle w:val="COMTabletext"/>
              <w:keepLines/>
              <w:jc w:val="center"/>
              <w:rPr>
                <w:iCs/>
              </w:rPr>
            </w:pPr>
            <w:r w:rsidRPr="00953311">
              <w:rPr>
                <w:iCs/>
              </w:rPr>
              <w:t>239,028</w:t>
            </w:r>
          </w:p>
        </w:tc>
      </w:tr>
      <w:tr w:rsidR="008979C9" w:rsidRPr="00953311" w14:paraId="408D5660" w14:textId="77777777">
        <w:tc>
          <w:tcPr>
            <w:tcW w:w="2347" w:type="dxa"/>
            <w:shd w:val="clear" w:color="auto" w:fill="auto"/>
            <w:vAlign w:val="center"/>
          </w:tcPr>
          <w:p w14:paraId="674720E5" w14:textId="77777777" w:rsidR="008979C9" w:rsidRPr="00953311" w:rsidRDefault="008979C9">
            <w:pPr>
              <w:pStyle w:val="COMTabletext"/>
              <w:keepLines/>
              <w:rPr>
                <w:b/>
                <w:bCs w:val="0"/>
              </w:rPr>
            </w:pPr>
            <w:r w:rsidRPr="00953311">
              <w:rPr>
                <w:b/>
                <w:bCs w:val="0"/>
              </w:rPr>
              <w:t xml:space="preserve">Total MBS cost </w:t>
            </w:r>
          </w:p>
        </w:tc>
        <w:tc>
          <w:tcPr>
            <w:tcW w:w="1120" w:type="dxa"/>
            <w:shd w:val="clear" w:color="auto" w:fill="auto"/>
            <w:vAlign w:val="center"/>
          </w:tcPr>
          <w:p w14:paraId="2EC5EA34" w14:textId="77777777" w:rsidR="008979C9" w:rsidRPr="00953311" w:rsidRDefault="008979C9">
            <w:pPr>
              <w:pStyle w:val="COMTabletext"/>
              <w:keepLines/>
              <w:jc w:val="center"/>
              <w:rPr>
                <w:b/>
                <w:bCs w:val="0"/>
                <w:iCs/>
              </w:rPr>
            </w:pPr>
            <w:r w:rsidRPr="00953311">
              <w:rPr>
                <w:b/>
                <w:bCs w:val="0"/>
                <w:iCs/>
              </w:rPr>
              <w:t>$22,003,978</w:t>
            </w:r>
          </w:p>
        </w:tc>
        <w:tc>
          <w:tcPr>
            <w:tcW w:w="1120" w:type="dxa"/>
            <w:shd w:val="clear" w:color="auto" w:fill="auto"/>
            <w:vAlign w:val="center"/>
          </w:tcPr>
          <w:p w14:paraId="79B68DC6" w14:textId="77777777" w:rsidR="008979C9" w:rsidRPr="00953311" w:rsidRDefault="008979C9">
            <w:pPr>
              <w:pStyle w:val="COMTabletext"/>
              <w:keepLines/>
              <w:jc w:val="center"/>
              <w:rPr>
                <w:b/>
                <w:bCs w:val="0"/>
                <w:iCs/>
              </w:rPr>
            </w:pPr>
            <w:r w:rsidRPr="00953311">
              <w:rPr>
                <w:b/>
                <w:bCs w:val="0"/>
                <w:iCs/>
              </w:rPr>
              <w:t>$22,222,797</w:t>
            </w:r>
          </w:p>
        </w:tc>
        <w:tc>
          <w:tcPr>
            <w:tcW w:w="1120" w:type="dxa"/>
            <w:shd w:val="clear" w:color="auto" w:fill="auto"/>
            <w:vAlign w:val="center"/>
          </w:tcPr>
          <w:p w14:paraId="6B69F0AB" w14:textId="77777777" w:rsidR="008979C9" w:rsidRPr="00953311" w:rsidRDefault="008979C9">
            <w:pPr>
              <w:pStyle w:val="COMTabletext"/>
              <w:keepLines/>
              <w:jc w:val="center"/>
              <w:rPr>
                <w:b/>
                <w:bCs w:val="0"/>
                <w:iCs/>
              </w:rPr>
            </w:pPr>
            <w:r w:rsidRPr="00953311">
              <w:rPr>
                <w:b/>
                <w:bCs w:val="0"/>
                <w:iCs/>
              </w:rPr>
              <w:t>$22,375,462</w:t>
            </w:r>
          </w:p>
        </w:tc>
        <w:tc>
          <w:tcPr>
            <w:tcW w:w="1120" w:type="dxa"/>
            <w:shd w:val="clear" w:color="auto" w:fill="auto"/>
            <w:vAlign w:val="center"/>
          </w:tcPr>
          <w:p w14:paraId="5A42C72E" w14:textId="77777777" w:rsidR="008979C9" w:rsidRPr="00953311" w:rsidRDefault="008979C9">
            <w:pPr>
              <w:pStyle w:val="COMTabletext"/>
              <w:keepLines/>
              <w:jc w:val="center"/>
              <w:rPr>
                <w:b/>
                <w:bCs w:val="0"/>
                <w:iCs/>
              </w:rPr>
            </w:pPr>
            <w:r w:rsidRPr="00953311">
              <w:rPr>
                <w:b/>
                <w:bCs w:val="0"/>
                <w:iCs/>
              </w:rPr>
              <w:t>$22,493,180</w:t>
            </w:r>
          </w:p>
        </w:tc>
        <w:tc>
          <w:tcPr>
            <w:tcW w:w="1120" w:type="dxa"/>
            <w:shd w:val="clear" w:color="auto" w:fill="auto"/>
            <w:vAlign w:val="center"/>
          </w:tcPr>
          <w:p w14:paraId="4EE021AD" w14:textId="77777777" w:rsidR="008979C9" w:rsidRPr="00953311" w:rsidRDefault="008979C9">
            <w:pPr>
              <w:pStyle w:val="COMTabletext"/>
              <w:keepLines/>
              <w:jc w:val="center"/>
              <w:rPr>
                <w:b/>
                <w:bCs w:val="0"/>
                <w:iCs/>
              </w:rPr>
            </w:pPr>
            <w:r w:rsidRPr="00953311">
              <w:rPr>
                <w:b/>
                <w:bCs w:val="0"/>
                <w:iCs/>
              </w:rPr>
              <w:t>$22,619,049</w:t>
            </w:r>
          </w:p>
        </w:tc>
        <w:tc>
          <w:tcPr>
            <w:tcW w:w="1120" w:type="dxa"/>
            <w:shd w:val="clear" w:color="auto" w:fill="auto"/>
            <w:vAlign w:val="center"/>
          </w:tcPr>
          <w:p w14:paraId="0778CE41" w14:textId="77777777" w:rsidR="008979C9" w:rsidRPr="00953311" w:rsidRDefault="008979C9">
            <w:pPr>
              <w:pStyle w:val="COMTabletext"/>
              <w:keepLines/>
              <w:jc w:val="center"/>
              <w:rPr>
                <w:b/>
                <w:bCs w:val="0"/>
                <w:iCs/>
              </w:rPr>
            </w:pPr>
            <w:r w:rsidRPr="00953311">
              <w:rPr>
                <w:b/>
                <w:bCs w:val="0"/>
                <w:iCs/>
              </w:rPr>
              <w:t>$22,791,293</w:t>
            </w:r>
          </w:p>
        </w:tc>
      </w:tr>
    </w:tbl>
    <w:p w14:paraId="093774A6" w14:textId="77777777" w:rsidR="008979C9" w:rsidRPr="00953311" w:rsidRDefault="008979C9" w:rsidP="008979C9">
      <w:pPr>
        <w:pStyle w:val="COMTablefooter"/>
      </w:pPr>
      <w:r w:rsidRPr="00953311">
        <w:t>Abbreviations: BMD, bone mineral density; MBS, Medicare Benefits Schedule</w:t>
      </w:r>
    </w:p>
    <w:p w14:paraId="2F82BAA1" w14:textId="77777777" w:rsidR="008979C9" w:rsidRPr="00E87379" w:rsidRDefault="008979C9" w:rsidP="008979C9">
      <w:pPr>
        <w:pStyle w:val="COMBody"/>
        <w:rPr>
          <w:rFonts w:cstheme="minorHAnsi"/>
        </w:rPr>
      </w:pPr>
      <w:r w:rsidRPr="00E87379">
        <w:rPr>
          <w:rFonts w:cstheme="minorHAnsi"/>
        </w:rPr>
        <w:t>Expanding the population eligible for BMD testing would increase the annual number of scans conducted from 230,771 in Year 1 to 239,028 in Year 6. For comparison, the total number of BMD scans conducted in 2022 for the existing population aged 70 years or older was 249,996.</w:t>
      </w:r>
    </w:p>
    <w:p w14:paraId="453E806A" w14:textId="2840900A" w:rsidR="008979C9" w:rsidRPr="00E87379" w:rsidRDefault="008979C9" w:rsidP="008979C9">
      <w:pPr>
        <w:pStyle w:val="COMBody"/>
        <w:rPr>
          <w:rFonts w:cstheme="minorHAnsi"/>
        </w:rPr>
      </w:pPr>
      <w:r w:rsidRPr="00E87379">
        <w:rPr>
          <w:rFonts w:cstheme="minorHAnsi"/>
        </w:rPr>
        <w:t>The estimated net cost to the MBS for extending BMD testing to a younger population was $22</w:t>
      </w:r>
      <w:r w:rsidR="001B3AE4" w:rsidRPr="00E87379">
        <w:rPr>
          <w:rFonts w:cstheme="minorHAnsi"/>
        </w:rPr>
        <w:t>.0 </w:t>
      </w:r>
      <w:r w:rsidRPr="00E87379">
        <w:rPr>
          <w:rFonts w:cstheme="minorHAnsi"/>
        </w:rPr>
        <w:t>million in Year 1, increasing to $22.8 million in Year 6, with a cumulative total of $134.5</w:t>
      </w:r>
      <w:r w:rsidR="00837DD3">
        <w:rPr>
          <w:rFonts w:cstheme="minorHAnsi"/>
        </w:rPr>
        <w:t> </w:t>
      </w:r>
      <w:r w:rsidRPr="00E87379">
        <w:rPr>
          <w:rFonts w:cstheme="minorHAnsi"/>
        </w:rPr>
        <w:t>million over 6 years.</w:t>
      </w:r>
    </w:p>
    <w:p w14:paraId="09D138C1" w14:textId="33F4DBCC" w:rsidR="008979C9" w:rsidRPr="00E87379" w:rsidRDefault="008979C9" w:rsidP="008979C9">
      <w:pPr>
        <w:pStyle w:val="COMBody"/>
        <w:rPr>
          <w:rFonts w:eastAsia="Calibri" w:cstheme="minorHAnsi"/>
        </w:rPr>
      </w:pPr>
      <w:r w:rsidRPr="00E87379">
        <w:rPr>
          <w:rFonts w:eastAsia="Calibri" w:cstheme="minorHAnsi"/>
        </w:rPr>
        <w:t xml:space="preserve">The uncertainty associated with the estimated budget impact of expanded BMD testing was explored in sensitivity analyses (shown in </w:t>
      </w:r>
      <w:r w:rsidRPr="00E87379">
        <w:rPr>
          <w:rFonts w:eastAsia="Calibri" w:cstheme="minorHAnsi"/>
        </w:rPr>
        <w:fldChar w:fldCharType="begin"/>
      </w:r>
      <w:r w:rsidRPr="00E87379">
        <w:rPr>
          <w:rFonts w:eastAsia="Calibri" w:cstheme="minorHAnsi"/>
        </w:rPr>
        <w:instrText xml:space="preserve"> REF _Ref150171458 \h </w:instrText>
      </w:r>
      <w:r w:rsidR="00953311" w:rsidRPr="00E87379">
        <w:rPr>
          <w:rFonts w:eastAsia="Calibri" w:cstheme="minorHAnsi"/>
        </w:rPr>
        <w:instrText xml:space="preserve"> \* MERGEFORMAT </w:instrText>
      </w:r>
      <w:r w:rsidRPr="00E87379">
        <w:rPr>
          <w:rFonts w:eastAsia="Calibri" w:cstheme="minorHAnsi"/>
        </w:rPr>
      </w:r>
      <w:r w:rsidRPr="00E87379">
        <w:rPr>
          <w:rFonts w:eastAsia="Calibri" w:cstheme="minorHAnsi"/>
        </w:rPr>
        <w:fldChar w:fldCharType="separate"/>
      </w:r>
      <w:r w:rsidR="00E551E5" w:rsidRPr="00E87379">
        <w:rPr>
          <w:rFonts w:cstheme="minorHAnsi"/>
        </w:rPr>
        <w:t>Table 18</w:t>
      </w:r>
      <w:r w:rsidRPr="00E87379">
        <w:rPr>
          <w:rFonts w:eastAsia="Calibri" w:cstheme="minorHAnsi"/>
        </w:rPr>
        <w:fldChar w:fldCharType="end"/>
      </w:r>
      <w:r w:rsidRPr="00E87379">
        <w:rPr>
          <w:rFonts w:eastAsia="Calibri" w:cstheme="minorHAnsi"/>
        </w:rPr>
        <w:t>).</w:t>
      </w:r>
    </w:p>
    <w:p w14:paraId="3A7AFA36" w14:textId="54063A01" w:rsidR="008979C9" w:rsidRPr="00953311" w:rsidRDefault="008979C9" w:rsidP="008979C9">
      <w:pPr>
        <w:pStyle w:val="COMtablefigcaption"/>
        <w:rPr>
          <w:i/>
          <w:iCs/>
        </w:rPr>
      </w:pPr>
      <w:bookmarkStart w:id="38" w:name="_Ref150171458"/>
      <w:r w:rsidRPr="00953311">
        <w:lastRenderedPageBreak/>
        <w:t xml:space="preserve">Table </w:t>
      </w:r>
      <w:r>
        <w:fldChar w:fldCharType="begin"/>
      </w:r>
      <w:r>
        <w:instrText>SEQ Table \* ARABIC</w:instrText>
      </w:r>
      <w:r>
        <w:fldChar w:fldCharType="separate"/>
      </w:r>
      <w:r w:rsidR="00090261">
        <w:rPr>
          <w:noProof/>
        </w:rPr>
        <w:t>18</w:t>
      </w:r>
      <w:r>
        <w:fldChar w:fldCharType="end"/>
      </w:r>
      <w:bookmarkEnd w:id="38"/>
      <w:r w:rsidRPr="00953311">
        <w:t xml:space="preserve"> Key sensitivity analyses of BMD testing</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064"/>
        <w:gridCol w:w="2003"/>
      </w:tblGrid>
      <w:tr w:rsidR="008979C9" w:rsidRPr="00953311" w14:paraId="24E600A6" w14:textId="77777777">
        <w:trPr>
          <w:cantSplit/>
          <w:tblHeader/>
        </w:trPr>
        <w:tc>
          <w:tcPr>
            <w:tcW w:w="7064" w:type="dxa"/>
            <w:shd w:val="clear" w:color="auto" w:fill="auto"/>
            <w:vAlign w:val="center"/>
          </w:tcPr>
          <w:p w14:paraId="1ADDC901" w14:textId="77777777" w:rsidR="008979C9" w:rsidRPr="00953311" w:rsidRDefault="008979C9">
            <w:pPr>
              <w:pStyle w:val="COMTableheadingrow"/>
              <w:keepNext w:val="0"/>
              <w:widowControl w:val="0"/>
              <w:rPr>
                <w:lang w:val="en-AU"/>
              </w:rPr>
            </w:pPr>
            <w:r w:rsidRPr="00953311">
              <w:rPr>
                <w:lang w:val="en-AU"/>
              </w:rPr>
              <w:t>Analyses</w:t>
            </w:r>
          </w:p>
        </w:tc>
        <w:tc>
          <w:tcPr>
            <w:tcW w:w="2003" w:type="dxa"/>
            <w:shd w:val="clear" w:color="auto" w:fill="auto"/>
            <w:vAlign w:val="center"/>
          </w:tcPr>
          <w:p w14:paraId="4974E79B" w14:textId="77777777" w:rsidR="008979C9" w:rsidRPr="00953311" w:rsidRDefault="008979C9">
            <w:pPr>
              <w:pStyle w:val="COMTableheadingrow"/>
              <w:keepNext w:val="0"/>
              <w:widowControl w:val="0"/>
              <w:rPr>
                <w:lang w:val="en-AU"/>
              </w:rPr>
            </w:pPr>
            <w:r w:rsidRPr="00953311">
              <w:rPr>
                <w:lang w:val="en-AU"/>
              </w:rPr>
              <w:t>Cumulative cost to MBS over 6 years</w:t>
            </w:r>
          </w:p>
        </w:tc>
      </w:tr>
      <w:tr w:rsidR="008979C9" w:rsidRPr="00953311" w14:paraId="14492B67" w14:textId="77777777">
        <w:trPr>
          <w:cantSplit/>
        </w:trPr>
        <w:tc>
          <w:tcPr>
            <w:tcW w:w="7064" w:type="dxa"/>
            <w:shd w:val="clear" w:color="auto" w:fill="auto"/>
            <w:vAlign w:val="center"/>
          </w:tcPr>
          <w:p w14:paraId="26B3A3E4" w14:textId="77777777" w:rsidR="008979C9" w:rsidRPr="00953311" w:rsidRDefault="008979C9">
            <w:pPr>
              <w:pStyle w:val="COMTabletext"/>
              <w:keepNext w:val="0"/>
              <w:widowControl w:val="0"/>
              <w:rPr>
                <w:b/>
                <w:bCs w:val="0"/>
              </w:rPr>
            </w:pPr>
            <w:r w:rsidRPr="00953311">
              <w:rPr>
                <w:b/>
                <w:bCs w:val="0"/>
              </w:rPr>
              <w:t>Base case</w:t>
            </w:r>
          </w:p>
        </w:tc>
        <w:tc>
          <w:tcPr>
            <w:tcW w:w="2003" w:type="dxa"/>
            <w:shd w:val="clear" w:color="auto" w:fill="auto"/>
            <w:vAlign w:val="center"/>
          </w:tcPr>
          <w:p w14:paraId="54A33586" w14:textId="77777777" w:rsidR="008979C9" w:rsidRPr="00953311" w:rsidRDefault="008979C9">
            <w:pPr>
              <w:pStyle w:val="COMTabletext"/>
              <w:keepNext w:val="0"/>
              <w:widowControl w:val="0"/>
              <w:jc w:val="center"/>
              <w:rPr>
                <w:b/>
                <w:bCs w:val="0"/>
                <w:iCs/>
              </w:rPr>
            </w:pPr>
            <w:r w:rsidRPr="00953311">
              <w:rPr>
                <w:b/>
                <w:bCs w:val="0"/>
                <w:iCs/>
              </w:rPr>
              <w:t>$134,505,759</w:t>
            </w:r>
          </w:p>
        </w:tc>
      </w:tr>
      <w:tr w:rsidR="008979C9" w:rsidRPr="00953311" w14:paraId="19F4D60C" w14:textId="77777777">
        <w:trPr>
          <w:cantSplit/>
        </w:trPr>
        <w:tc>
          <w:tcPr>
            <w:tcW w:w="7064" w:type="dxa"/>
            <w:shd w:val="clear" w:color="auto" w:fill="auto"/>
            <w:vAlign w:val="center"/>
          </w:tcPr>
          <w:p w14:paraId="5612BA1A" w14:textId="77777777" w:rsidR="008979C9" w:rsidRPr="00953311" w:rsidRDefault="008979C9">
            <w:pPr>
              <w:pStyle w:val="COMTabletext"/>
              <w:keepNext w:val="0"/>
              <w:widowControl w:val="0"/>
            </w:pPr>
            <w:r w:rsidRPr="00953311">
              <w:t xml:space="preserve">Delayed uptake of BMD testing which increases over time using a linear trend to achieve rates in </w:t>
            </w:r>
            <w:proofErr w:type="gramStart"/>
            <w:r w:rsidRPr="00953311">
              <w:t>70-74 year olds</w:t>
            </w:r>
            <w:proofErr w:type="gramEnd"/>
            <w:r w:rsidRPr="00953311">
              <w:t xml:space="preserve"> by Year 6</w:t>
            </w:r>
          </w:p>
        </w:tc>
        <w:tc>
          <w:tcPr>
            <w:tcW w:w="2003" w:type="dxa"/>
            <w:shd w:val="clear" w:color="auto" w:fill="auto"/>
            <w:vAlign w:val="center"/>
          </w:tcPr>
          <w:p w14:paraId="277A4D51" w14:textId="77777777" w:rsidR="008979C9" w:rsidRPr="00953311" w:rsidRDefault="008979C9">
            <w:pPr>
              <w:pStyle w:val="COMTabletext"/>
              <w:keepNext w:val="0"/>
              <w:widowControl w:val="0"/>
              <w:jc w:val="center"/>
              <w:rPr>
                <w:iCs/>
              </w:rPr>
            </w:pPr>
            <w:r w:rsidRPr="00953311">
              <w:rPr>
                <w:iCs/>
              </w:rPr>
              <w:t>$78,898,614</w:t>
            </w:r>
            <w:r w:rsidRPr="00953311" w:rsidDel="008B1F77">
              <w:rPr>
                <w:iCs/>
              </w:rPr>
              <w:t xml:space="preserve"> </w:t>
            </w:r>
          </w:p>
        </w:tc>
      </w:tr>
      <w:tr w:rsidR="008979C9" w:rsidRPr="00953311" w14:paraId="583873BD" w14:textId="77777777">
        <w:trPr>
          <w:cantSplit/>
        </w:trPr>
        <w:tc>
          <w:tcPr>
            <w:tcW w:w="7064" w:type="dxa"/>
            <w:shd w:val="clear" w:color="auto" w:fill="auto"/>
            <w:vAlign w:val="center"/>
          </w:tcPr>
          <w:p w14:paraId="60C457FC" w14:textId="77777777" w:rsidR="008979C9" w:rsidRPr="00953311" w:rsidRDefault="008979C9">
            <w:pPr>
              <w:pStyle w:val="COMTabletext"/>
              <w:keepNext w:val="0"/>
              <w:widowControl w:val="0"/>
            </w:pPr>
            <w:r w:rsidRPr="00953311">
              <w:t xml:space="preserve">Delayed uptake of BMD testing which increases over time using a linear trend to achieve rates in </w:t>
            </w:r>
            <w:proofErr w:type="gramStart"/>
            <w:r w:rsidRPr="00953311">
              <w:t>70-74 year olds</w:t>
            </w:r>
            <w:proofErr w:type="gramEnd"/>
            <w:r w:rsidRPr="00953311">
              <w:t xml:space="preserve"> by Year 3</w:t>
            </w:r>
          </w:p>
        </w:tc>
        <w:tc>
          <w:tcPr>
            <w:tcW w:w="2003" w:type="dxa"/>
            <w:shd w:val="clear" w:color="auto" w:fill="auto"/>
            <w:vAlign w:val="center"/>
          </w:tcPr>
          <w:p w14:paraId="67703F47" w14:textId="77777777" w:rsidR="008979C9" w:rsidRPr="00953311" w:rsidRDefault="008979C9">
            <w:pPr>
              <w:pStyle w:val="COMTabletext"/>
              <w:keepNext w:val="0"/>
              <w:widowControl w:val="0"/>
              <w:jc w:val="center"/>
              <w:rPr>
                <w:iCs/>
              </w:rPr>
            </w:pPr>
            <w:r w:rsidRPr="00953311">
              <w:rPr>
                <w:iCs/>
              </w:rPr>
              <w:t>$112,428,841</w:t>
            </w:r>
            <w:r w:rsidRPr="00953311" w:rsidDel="008B1F77">
              <w:rPr>
                <w:iCs/>
              </w:rPr>
              <w:t xml:space="preserve"> </w:t>
            </w:r>
          </w:p>
        </w:tc>
      </w:tr>
      <w:tr w:rsidR="008979C9" w:rsidRPr="00953311" w14:paraId="214F9279" w14:textId="77777777">
        <w:trPr>
          <w:cantSplit/>
        </w:trPr>
        <w:tc>
          <w:tcPr>
            <w:tcW w:w="7064" w:type="dxa"/>
            <w:shd w:val="clear" w:color="auto" w:fill="auto"/>
            <w:vAlign w:val="center"/>
          </w:tcPr>
          <w:p w14:paraId="08BCF78D" w14:textId="77777777" w:rsidR="008979C9" w:rsidRPr="00953311" w:rsidRDefault="008979C9">
            <w:pPr>
              <w:pStyle w:val="COMTabletext"/>
              <w:keepNext w:val="0"/>
              <w:widowControl w:val="0"/>
            </w:pPr>
            <w:r w:rsidRPr="00953311">
              <w:t>No use of 2-year testing for any patient aged 60-69 years</w:t>
            </w:r>
          </w:p>
        </w:tc>
        <w:tc>
          <w:tcPr>
            <w:tcW w:w="2003" w:type="dxa"/>
            <w:shd w:val="clear" w:color="auto" w:fill="auto"/>
            <w:vAlign w:val="center"/>
          </w:tcPr>
          <w:p w14:paraId="54718030" w14:textId="77777777" w:rsidR="008979C9" w:rsidRPr="00953311" w:rsidRDefault="008979C9">
            <w:pPr>
              <w:pStyle w:val="COMTabletext"/>
              <w:keepNext w:val="0"/>
              <w:widowControl w:val="0"/>
              <w:jc w:val="center"/>
              <w:rPr>
                <w:iCs/>
              </w:rPr>
            </w:pPr>
            <w:r w:rsidRPr="00953311">
              <w:rPr>
                <w:iCs/>
              </w:rPr>
              <w:t>$104,985,636</w:t>
            </w:r>
            <w:r w:rsidRPr="00953311" w:rsidDel="00401393">
              <w:rPr>
                <w:iCs/>
              </w:rPr>
              <w:t xml:space="preserve"> </w:t>
            </w:r>
          </w:p>
        </w:tc>
      </w:tr>
      <w:tr w:rsidR="008979C9" w:rsidRPr="00953311" w14:paraId="7DAD7F73" w14:textId="77777777">
        <w:trPr>
          <w:cantSplit/>
        </w:trPr>
        <w:tc>
          <w:tcPr>
            <w:tcW w:w="7064" w:type="dxa"/>
            <w:shd w:val="clear" w:color="auto" w:fill="auto"/>
            <w:vAlign w:val="center"/>
          </w:tcPr>
          <w:p w14:paraId="04B2E80E" w14:textId="77777777" w:rsidR="008979C9" w:rsidRPr="00953311" w:rsidRDefault="008979C9">
            <w:pPr>
              <w:pStyle w:val="COMTabletext"/>
              <w:keepNext w:val="0"/>
              <w:widowControl w:val="0"/>
            </w:pPr>
            <w:r w:rsidRPr="00953311">
              <w:t xml:space="preserve">BMD testing restricted to </w:t>
            </w:r>
            <w:proofErr w:type="gramStart"/>
            <w:r w:rsidRPr="00953311">
              <w:t>65-69 year olds</w:t>
            </w:r>
            <w:proofErr w:type="gramEnd"/>
          </w:p>
        </w:tc>
        <w:tc>
          <w:tcPr>
            <w:tcW w:w="2003" w:type="dxa"/>
            <w:shd w:val="clear" w:color="auto" w:fill="auto"/>
            <w:vAlign w:val="center"/>
          </w:tcPr>
          <w:p w14:paraId="5E7D081F" w14:textId="77777777" w:rsidR="008979C9" w:rsidRPr="00953311" w:rsidRDefault="008979C9">
            <w:pPr>
              <w:pStyle w:val="COMTabletext"/>
              <w:keepNext w:val="0"/>
              <w:widowControl w:val="0"/>
              <w:jc w:val="center"/>
              <w:rPr>
                <w:iCs/>
              </w:rPr>
            </w:pPr>
            <w:r w:rsidRPr="00953311">
              <w:rPr>
                <w:iCs/>
              </w:rPr>
              <w:t>$65,383,476</w:t>
            </w:r>
            <w:r w:rsidRPr="00953311" w:rsidDel="00B472CF">
              <w:rPr>
                <w:iCs/>
              </w:rPr>
              <w:t xml:space="preserve"> </w:t>
            </w:r>
          </w:p>
        </w:tc>
      </w:tr>
      <w:tr w:rsidR="008979C9" w:rsidRPr="00953311" w14:paraId="256F40E1" w14:textId="77777777">
        <w:trPr>
          <w:cantSplit/>
        </w:trPr>
        <w:tc>
          <w:tcPr>
            <w:tcW w:w="7064" w:type="dxa"/>
            <w:shd w:val="clear" w:color="auto" w:fill="auto"/>
            <w:vAlign w:val="center"/>
          </w:tcPr>
          <w:p w14:paraId="03FF5817" w14:textId="77777777" w:rsidR="008979C9" w:rsidRPr="00953311" w:rsidRDefault="008979C9">
            <w:pPr>
              <w:pStyle w:val="COMTabletext"/>
              <w:keepNext w:val="0"/>
              <w:widowControl w:val="0"/>
            </w:pPr>
            <w:r w:rsidRPr="00953311">
              <w:t xml:space="preserve">BMD testing restricted to </w:t>
            </w:r>
            <w:proofErr w:type="gramStart"/>
            <w:r w:rsidRPr="00953311">
              <w:t>65-69 year olds</w:t>
            </w:r>
            <w:proofErr w:type="gramEnd"/>
            <w:r w:rsidRPr="00953311">
              <w:t xml:space="preserve"> with no 2-year testing</w:t>
            </w:r>
          </w:p>
        </w:tc>
        <w:tc>
          <w:tcPr>
            <w:tcW w:w="2003" w:type="dxa"/>
            <w:shd w:val="clear" w:color="auto" w:fill="auto"/>
            <w:vAlign w:val="center"/>
          </w:tcPr>
          <w:p w14:paraId="75E320D3" w14:textId="77777777" w:rsidR="008979C9" w:rsidRPr="00953311" w:rsidRDefault="008979C9">
            <w:pPr>
              <w:pStyle w:val="COMTabletext"/>
              <w:keepNext w:val="0"/>
              <w:widowControl w:val="0"/>
              <w:jc w:val="center"/>
              <w:rPr>
                <w:iCs/>
              </w:rPr>
            </w:pPr>
            <w:r w:rsidRPr="00953311">
              <w:rPr>
                <w:iCs/>
              </w:rPr>
              <w:t>$51,022,041</w:t>
            </w:r>
          </w:p>
        </w:tc>
      </w:tr>
      <w:tr w:rsidR="008979C9" w:rsidRPr="00953311" w14:paraId="428ED722" w14:textId="77777777">
        <w:trPr>
          <w:cantSplit/>
        </w:trPr>
        <w:tc>
          <w:tcPr>
            <w:tcW w:w="7064" w:type="dxa"/>
            <w:shd w:val="clear" w:color="auto" w:fill="auto"/>
            <w:vAlign w:val="center"/>
          </w:tcPr>
          <w:p w14:paraId="3818C5E4" w14:textId="77777777" w:rsidR="008979C9" w:rsidRPr="00953311" w:rsidRDefault="008979C9">
            <w:pPr>
              <w:pStyle w:val="COMTabletext"/>
              <w:keepNext w:val="0"/>
              <w:widowControl w:val="0"/>
            </w:pPr>
            <w:r w:rsidRPr="00953311">
              <w:t>Higher testing rates in patients aged 60-69 years based on a linear extrapolation of testing rates across older age groups</w:t>
            </w:r>
          </w:p>
        </w:tc>
        <w:tc>
          <w:tcPr>
            <w:tcW w:w="2003" w:type="dxa"/>
            <w:shd w:val="clear" w:color="auto" w:fill="auto"/>
            <w:vAlign w:val="center"/>
          </w:tcPr>
          <w:p w14:paraId="296C809D" w14:textId="77777777" w:rsidR="008979C9" w:rsidRPr="00953311" w:rsidRDefault="008979C9">
            <w:pPr>
              <w:pStyle w:val="COMTabletext"/>
              <w:keepNext w:val="0"/>
              <w:widowControl w:val="0"/>
              <w:jc w:val="center"/>
              <w:rPr>
                <w:iCs/>
              </w:rPr>
            </w:pPr>
            <w:r w:rsidRPr="00953311">
              <w:rPr>
                <w:iCs/>
              </w:rPr>
              <w:t>$173,732,482</w:t>
            </w:r>
            <w:r w:rsidRPr="00953311" w:rsidDel="00B472CF">
              <w:rPr>
                <w:iCs/>
              </w:rPr>
              <w:t xml:space="preserve"> </w:t>
            </w:r>
          </w:p>
        </w:tc>
      </w:tr>
    </w:tbl>
    <w:p w14:paraId="7CE013DB" w14:textId="77777777" w:rsidR="008979C9" w:rsidRPr="00953311" w:rsidRDefault="008979C9" w:rsidP="008979C9">
      <w:pPr>
        <w:pStyle w:val="COMTablefooter"/>
      </w:pPr>
      <w:r w:rsidRPr="00953311">
        <w:t>Abbreviations:  BMD, bone mineral density; MBS, Medicare Benefits Schedule</w:t>
      </w:r>
    </w:p>
    <w:p w14:paraId="3B66B6F7" w14:textId="77777777" w:rsidR="008979C9" w:rsidRPr="00E87379" w:rsidRDefault="008979C9" w:rsidP="008979C9">
      <w:pPr>
        <w:pStyle w:val="COMBody"/>
        <w:rPr>
          <w:rFonts w:cstheme="minorHAnsi"/>
        </w:rPr>
      </w:pPr>
      <w:r w:rsidRPr="00E87379">
        <w:rPr>
          <w:rFonts w:cstheme="minorHAnsi"/>
        </w:rPr>
        <w:t>The results of the sensitivity analyses indicated that the budget impact estimate was most sensitive to the uptake rate of BMD testing over time and the age band eligible for testing.</w:t>
      </w:r>
    </w:p>
    <w:p w14:paraId="63944B2F" w14:textId="77777777" w:rsidR="001B705F" w:rsidRPr="00E87379" w:rsidRDefault="001B705F" w:rsidP="00E87379">
      <w:pPr>
        <w:pStyle w:val="xmsolistparagraph"/>
        <w:spacing w:after="240"/>
        <w:ind w:left="0"/>
        <w:jc w:val="both"/>
        <w:rPr>
          <w:rFonts w:ascii="Franklin Gothic Book" w:eastAsia="Times New Roman" w:hAnsi="Franklin Gothic Book" w:cstheme="minorBidi"/>
        </w:rPr>
      </w:pPr>
      <w:r w:rsidRPr="00E87379">
        <w:rPr>
          <w:rFonts w:ascii="Franklin Gothic Book" w:eastAsia="Times New Roman" w:hAnsi="Franklin Gothic Book" w:cstheme="minorBidi"/>
        </w:rPr>
        <w:t xml:space="preserve">The yearly net financial implications of expanding BMD testing to include younger individuals aged 65-69 years is summarised in </w:t>
      </w:r>
      <w:r w:rsidRPr="00E87379">
        <w:rPr>
          <w:rFonts w:ascii="Franklin Gothic Book" w:eastAsia="Times New Roman" w:hAnsi="Franklin Gothic Book" w:cstheme="minorHAnsi"/>
        </w:rPr>
        <w:fldChar w:fldCharType="begin"/>
      </w:r>
      <w:r w:rsidRPr="00E87379">
        <w:rPr>
          <w:rFonts w:ascii="Franklin Gothic Book" w:eastAsia="Times New Roman" w:hAnsi="Franklin Gothic Book" w:cstheme="minorHAnsi"/>
        </w:rPr>
        <w:instrText xml:space="preserve"> REF _Ref170214960 \h  \* MERGEFORMAT </w:instrText>
      </w:r>
      <w:r w:rsidRPr="00E87379">
        <w:rPr>
          <w:rFonts w:ascii="Franklin Gothic Book" w:eastAsia="Times New Roman" w:hAnsi="Franklin Gothic Book" w:cstheme="minorHAnsi"/>
        </w:rPr>
      </w:r>
      <w:r w:rsidRPr="00E87379">
        <w:rPr>
          <w:rFonts w:ascii="Franklin Gothic Book" w:eastAsia="Times New Roman" w:hAnsi="Franklin Gothic Book" w:cstheme="minorHAnsi"/>
        </w:rPr>
        <w:fldChar w:fldCharType="separate"/>
      </w:r>
      <w:r w:rsidRPr="00E87379">
        <w:rPr>
          <w:rFonts w:ascii="Franklin Gothic Book" w:hAnsi="Franklin Gothic Book" w:cstheme="minorHAnsi"/>
        </w:rPr>
        <w:t xml:space="preserve">Table </w:t>
      </w:r>
      <w:r w:rsidRPr="00E87379">
        <w:rPr>
          <w:rFonts w:ascii="Franklin Gothic Book" w:hAnsi="Franklin Gothic Book" w:cstheme="minorHAnsi"/>
          <w:noProof/>
        </w:rPr>
        <w:t>19</w:t>
      </w:r>
      <w:r w:rsidRPr="00E87379">
        <w:rPr>
          <w:rFonts w:ascii="Franklin Gothic Book" w:eastAsia="Times New Roman" w:hAnsi="Franklin Gothic Book" w:cstheme="minorHAnsi"/>
        </w:rPr>
        <w:fldChar w:fldCharType="end"/>
      </w:r>
      <w:r w:rsidRPr="00E87379">
        <w:rPr>
          <w:rFonts w:ascii="Franklin Gothic Book" w:eastAsia="Times New Roman" w:hAnsi="Franklin Gothic Book" w:cstheme="minorHAnsi"/>
        </w:rPr>
        <w:t>.</w:t>
      </w:r>
    </w:p>
    <w:p w14:paraId="05BC11ED" w14:textId="77777777" w:rsidR="001B705F" w:rsidRPr="0088514D" w:rsidRDefault="001B705F" w:rsidP="00745006">
      <w:pPr>
        <w:pStyle w:val="COMtablefigcaption"/>
      </w:pPr>
      <w:bookmarkStart w:id="39" w:name="_Ref175212984"/>
      <w:r w:rsidRPr="00A53370">
        <w:t>Table</w:t>
      </w:r>
      <w:r w:rsidRPr="0088514D">
        <w:t xml:space="preserve"> </w:t>
      </w:r>
      <w:bookmarkStart w:id="40" w:name="_Ref170214960"/>
      <w:r w:rsidRPr="0088514D">
        <w:rPr>
          <w:i/>
          <w:iCs/>
        </w:rPr>
        <w:fldChar w:fldCharType="begin"/>
      </w:r>
      <w:r w:rsidRPr="0088514D">
        <w:instrText xml:space="preserve"> SEQ Table \* ARABIC </w:instrText>
      </w:r>
      <w:r w:rsidRPr="0088514D">
        <w:rPr>
          <w:i/>
          <w:iCs/>
        </w:rPr>
        <w:fldChar w:fldCharType="separate"/>
      </w:r>
      <w:r w:rsidRPr="0088514D">
        <w:rPr>
          <w:noProof/>
        </w:rPr>
        <w:t>19</w:t>
      </w:r>
      <w:r w:rsidRPr="0088514D">
        <w:rPr>
          <w:i/>
          <w:iCs/>
        </w:rPr>
        <w:fldChar w:fldCharType="end"/>
      </w:r>
      <w:bookmarkEnd w:id="39"/>
      <w:bookmarkEnd w:id="40"/>
      <w:r w:rsidRPr="00953311">
        <w:t xml:space="preserve"> </w:t>
      </w:r>
      <w:r w:rsidRPr="0088514D">
        <w:t>Net financial implications of expanding BMD testing items to include younger individuals aged 6</w:t>
      </w:r>
      <w:r>
        <w:t>5-69</w:t>
      </w:r>
      <w:r w:rsidRPr="0088514D">
        <w:t xml:space="preserve"> </w:t>
      </w:r>
      <w:proofErr w:type="gramStart"/>
      <w:r w:rsidRPr="0088514D">
        <w:t>year</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47"/>
        <w:gridCol w:w="1120"/>
        <w:gridCol w:w="1120"/>
        <w:gridCol w:w="1120"/>
        <w:gridCol w:w="1120"/>
        <w:gridCol w:w="1120"/>
        <w:gridCol w:w="1120"/>
      </w:tblGrid>
      <w:tr w:rsidR="001B705F" w:rsidRPr="00953311" w14:paraId="60D5BA75" w14:textId="77777777">
        <w:trPr>
          <w:tblHeader/>
        </w:trPr>
        <w:tc>
          <w:tcPr>
            <w:tcW w:w="2347" w:type="dxa"/>
            <w:tcBorders>
              <w:bottom w:val="single" w:sz="4" w:space="0" w:color="auto"/>
            </w:tcBorders>
            <w:shd w:val="clear" w:color="auto" w:fill="auto"/>
            <w:vAlign w:val="center"/>
          </w:tcPr>
          <w:p w14:paraId="1B08530B" w14:textId="77777777" w:rsidR="001B705F" w:rsidRPr="00953311" w:rsidRDefault="001B705F">
            <w:pPr>
              <w:pStyle w:val="COMTableheadingrow"/>
              <w:keepLines/>
              <w:rPr>
                <w:lang w:val="en-AU"/>
              </w:rPr>
            </w:pPr>
          </w:p>
        </w:tc>
        <w:tc>
          <w:tcPr>
            <w:tcW w:w="1120" w:type="dxa"/>
            <w:tcBorders>
              <w:bottom w:val="single" w:sz="4" w:space="0" w:color="auto"/>
            </w:tcBorders>
            <w:shd w:val="clear" w:color="auto" w:fill="auto"/>
            <w:vAlign w:val="center"/>
          </w:tcPr>
          <w:p w14:paraId="29668B57" w14:textId="77777777" w:rsidR="001B705F" w:rsidRPr="00953311" w:rsidRDefault="001B705F">
            <w:pPr>
              <w:pStyle w:val="COMTableheadingrow"/>
              <w:keepLines/>
              <w:rPr>
                <w:lang w:val="en-AU"/>
              </w:rPr>
            </w:pPr>
            <w:r w:rsidRPr="00953311">
              <w:rPr>
                <w:lang w:val="en-AU"/>
              </w:rPr>
              <w:t xml:space="preserve">Year 1 </w:t>
            </w:r>
          </w:p>
        </w:tc>
        <w:tc>
          <w:tcPr>
            <w:tcW w:w="1120" w:type="dxa"/>
            <w:tcBorders>
              <w:bottom w:val="single" w:sz="4" w:space="0" w:color="auto"/>
            </w:tcBorders>
            <w:shd w:val="clear" w:color="auto" w:fill="auto"/>
            <w:vAlign w:val="center"/>
          </w:tcPr>
          <w:p w14:paraId="5DFC40E0" w14:textId="77777777" w:rsidR="001B705F" w:rsidRPr="00953311" w:rsidRDefault="001B705F">
            <w:pPr>
              <w:pStyle w:val="COMTableheadingrow"/>
              <w:keepLines/>
              <w:rPr>
                <w:lang w:val="en-AU"/>
              </w:rPr>
            </w:pPr>
            <w:r w:rsidRPr="00953311">
              <w:rPr>
                <w:lang w:val="en-AU"/>
              </w:rPr>
              <w:t xml:space="preserve">Year 2 </w:t>
            </w:r>
          </w:p>
        </w:tc>
        <w:tc>
          <w:tcPr>
            <w:tcW w:w="1120" w:type="dxa"/>
            <w:tcBorders>
              <w:bottom w:val="single" w:sz="4" w:space="0" w:color="auto"/>
            </w:tcBorders>
            <w:shd w:val="clear" w:color="auto" w:fill="auto"/>
            <w:vAlign w:val="center"/>
          </w:tcPr>
          <w:p w14:paraId="3151BB06" w14:textId="77777777" w:rsidR="001B705F" w:rsidRPr="00953311" w:rsidRDefault="001B705F">
            <w:pPr>
              <w:pStyle w:val="COMTableheadingrow"/>
              <w:keepLines/>
              <w:rPr>
                <w:lang w:val="en-AU"/>
              </w:rPr>
            </w:pPr>
            <w:r w:rsidRPr="00953311">
              <w:rPr>
                <w:lang w:val="en-AU"/>
              </w:rPr>
              <w:t xml:space="preserve">Year 3 </w:t>
            </w:r>
          </w:p>
        </w:tc>
        <w:tc>
          <w:tcPr>
            <w:tcW w:w="1120" w:type="dxa"/>
            <w:tcBorders>
              <w:bottom w:val="single" w:sz="4" w:space="0" w:color="auto"/>
            </w:tcBorders>
            <w:shd w:val="clear" w:color="auto" w:fill="auto"/>
            <w:vAlign w:val="center"/>
          </w:tcPr>
          <w:p w14:paraId="2780B35E" w14:textId="77777777" w:rsidR="001B705F" w:rsidRPr="00953311" w:rsidRDefault="001B705F">
            <w:pPr>
              <w:pStyle w:val="COMTableheadingrow"/>
              <w:keepLines/>
              <w:rPr>
                <w:lang w:val="en-AU"/>
              </w:rPr>
            </w:pPr>
            <w:r w:rsidRPr="00953311">
              <w:rPr>
                <w:lang w:val="en-AU"/>
              </w:rPr>
              <w:t xml:space="preserve">Year 4 </w:t>
            </w:r>
          </w:p>
        </w:tc>
        <w:tc>
          <w:tcPr>
            <w:tcW w:w="1120" w:type="dxa"/>
            <w:tcBorders>
              <w:bottom w:val="single" w:sz="4" w:space="0" w:color="auto"/>
            </w:tcBorders>
            <w:shd w:val="clear" w:color="auto" w:fill="auto"/>
            <w:vAlign w:val="center"/>
          </w:tcPr>
          <w:p w14:paraId="0F6DDCFE" w14:textId="77777777" w:rsidR="001B705F" w:rsidRPr="00953311" w:rsidRDefault="001B705F">
            <w:pPr>
              <w:pStyle w:val="COMTableheadingrow"/>
              <w:keepLines/>
              <w:rPr>
                <w:lang w:val="en-AU"/>
              </w:rPr>
            </w:pPr>
            <w:r w:rsidRPr="00953311">
              <w:rPr>
                <w:lang w:val="en-AU"/>
              </w:rPr>
              <w:t xml:space="preserve">Year 5 </w:t>
            </w:r>
          </w:p>
        </w:tc>
        <w:tc>
          <w:tcPr>
            <w:tcW w:w="1120" w:type="dxa"/>
            <w:tcBorders>
              <w:bottom w:val="single" w:sz="4" w:space="0" w:color="auto"/>
            </w:tcBorders>
            <w:shd w:val="clear" w:color="auto" w:fill="auto"/>
            <w:vAlign w:val="center"/>
          </w:tcPr>
          <w:p w14:paraId="04C3A676" w14:textId="77777777" w:rsidR="001B705F" w:rsidRPr="00953311" w:rsidRDefault="001B705F">
            <w:pPr>
              <w:pStyle w:val="COMTableheadingrow"/>
              <w:keepLines/>
              <w:rPr>
                <w:lang w:val="en-AU"/>
              </w:rPr>
            </w:pPr>
            <w:r w:rsidRPr="00953311">
              <w:rPr>
                <w:lang w:val="en-AU"/>
              </w:rPr>
              <w:t xml:space="preserve">Year 6 </w:t>
            </w:r>
          </w:p>
        </w:tc>
      </w:tr>
      <w:tr w:rsidR="001B705F" w:rsidRPr="00953311" w14:paraId="63B060C1" w14:textId="77777777">
        <w:tc>
          <w:tcPr>
            <w:tcW w:w="2347" w:type="dxa"/>
            <w:tcBorders>
              <w:top w:val="single" w:sz="4" w:space="0" w:color="auto"/>
            </w:tcBorders>
            <w:shd w:val="clear" w:color="auto" w:fill="auto"/>
            <w:vAlign w:val="center"/>
          </w:tcPr>
          <w:p w14:paraId="025F0030" w14:textId="77777777" w:rsidR="001B705F" w:rsidRPr="00953311" w:rsidRDefault="001B705F">
            <w:pPr>
              <w:pStyle w:val="COMTabletext"/>
              <w:keepLines/>
            </w:pPr>
            <w:r w:rsidRPr="00953311">
              <w:t>Total patients aged 6</w:t>
            </w:r>
            <w:r>
              <w:t>5</w:t>
            </w:r>
            <w:r w:rsidRPr="00953311">
              <w:t>-69 years undergoing BMD testing</w:t>
            </w:r>
          </w:p>
        </w:tc>
        <w:tc>
          <w:tcPr>
            <w:tcW w:w="1120" w:type="dxa"/>
            <w:tcBorders>
              <w:top w:val="single" w:sz="4" w:space="0" w:color="auto"/>
            </w:tcBorders>
            <w:shd w:val="clear" w:color="auto" w:fill="auto"/>
            <w:vAlign w:val="bottom"/>
          </w:tcPr>
          <w:p w14:paraId="1196D136" w14:textId="77777777" w:rsidR="001B705F" w:rsidRPr="0001562A" w:rsidRDefault="001B705F">
            <w:pPr>
              <w:pStyle w:val="COMTabletext"/>
              <w:keepLines/>
              <w:jc w:val="center"/>
              <w:rPr>
                <w:iCs/>
                <w:szCs w:val="20"/>
              </w:rPr>
            </w:pPr>
            <w:r w:rsidRPr="0088514D">
              <w:rPr>
                <w:rFonts w:cs="Calibri"/>
                <w:color w:val="000000"/>
                <w:szCs w:val="20"/>
              </w:rPr>
              <w:t>108,652</w:t>
            </w:r>
          </w:p>
        </w:tc>
        <w:tc>
          <w:tcPr>
            <w:tcW w:w="1120" w:type="dxa"/>
            <w:tcBorders>
              <w:top w:val="single" w:sz="4" w:space="0" w:color="auto"/>
            </w:tcBorders>
            <w:shd w:val="clear" w:color="auto" w:fill="auto"/>
            <w:vAlign w:val="bottom"/>
          </w:tcPr>
          <w:p w14:paraId="61E4B8B1" w14:textId="77777777" w:rsidR="001B705F" w:rsidRPr="0001562A" w:rsidRDefault="001B705F">
            <w:pPr>
              <w:pStyle w:val="COMTabletext"/>
              <w:keepLines/>
              <w:jc w:val="center"/>
              <w:rPr>
                <w:iCs/>
                <w:szCs w:val="20"/>
              </w:rPr>
            </w:pPr>
            <w:r w:rsidRPr="0088514D">
              <w:rPr>
                <w:rFonts w:cs="Calibri"/>
                <w:color w:val="000000"/>
                <w:szCs w:val="20"/>
              </w:rPr>
              <w:t>111,124</w:t>
            </w:r>
          </w:p>
        </w:tc>
        <w:tc>
          <w:tcPr>
            <w:tcW w:w="1120" w:type="dxa"/>
            <w:tcBorders>
              <w:top w:val="single" w:sz="4" w:space="0" w:color="auto"/>
            </w:tcBorders>
            <w:shd w:val="clear" w:color="auto" w:fill="auto"/>
            <w:vAlign w:val="bottom"/>
          </w:tcPr>
          <w:p w14:paraId="1E8E585D" w14:textId="77777777" w:rsidR="001B705F" w:rsidRPr="0001562A" w:rsidRDefault="001B705F">
            <w:pPr>
              <w:pStyle w:val="COMTabletext"/>
              <w:keepLines/>
              <w:jc w:val="center"/>
              <w:rPr>
                <w:iCs/>
                <w:szCs w:val="20"/>
              </w:rPr>
            </w:pPr>
            <w:r w:rsidRPr="0088514D">
              <w:rPr>
                <w:rFonts w:cs="Calibri"/>
                <w:color w:val="000000"/>
                <w:szCs w:val="20"/>
              </w:rPr>
              <w:t>113,596</w:t>
            </w:r>
          </w:p>
        </w:tc>
        <w:tc>
          <w:tcPr>
            <w:tcW w:w="1120" w:type="dxa"/>
            <w:tcBorders>
              <w:top w:val="single" w:sz="4" w:space="0" w:color="auto"/>
            </w:tcBorders>
            <w:shd w:val="clear" w:color="auto" w:fill="auto"/>
            <w:vAlign w:val="bottom"/>
          </w:tcPr>
          <w:p w14:paraId="55E09724" w14:textId="77777777" w:rsidR="001B705F" w:rsidRPr="0001562A" w:rsidRDefault="001B705F">
            <w:pPr>
              <w:pStyle w:val="COMTabletext"/>
              <w:keepLines/>
              <w:jc w:val="center"/>
              <w:rPr>
                <w:iCs/>
                <w:szCs w:val="20"/>
              </w:rPr>
            </w:pPr>
            <w:r w:rsidRPr="0088514D">
              <w:rPr>
                <w:rFonts w:cs="Calibri"/>
                <w:color w:val="000000"/>
                <w:szCs w:val="20"/>
              </w:rPr>
              <w:t>115,841</w:t>
            </w:r>
          </w:p>
        </w:tc>
        <w:tc>
          <w:tcPr>
            <w:tcW w:w="1120" w:type="dxa"/>
            <w:tcBorders>
              <w:top w:val="single" w:sz="4" w:space="0" w:color="auto"/>
            </w:tcBorders>
            <w:shd w:val="clear" w:color="auto" w:fill="auto"/>
            <w:vAlign w:val="bottom"/>
          </w:tcPr>
          <w:p w14:paraId="24131220" w14:textId="77777777" w:rsidR="001B705F" w:rsidRPr="0001562A" w:rsidRDefault="001B705F">
            <w:pPr>
              <w:pStyle w:val="COMTabletext"/>
              <w:keepLines/>
              <w:jc w:val="center"/>
              <w:rPr>
                <w:iCs/>
                <w:szCs w:val="20"/>
              </w:rPr>
            </w:pPr>
            <w:r w:rsidRPr="0088514D">
              <w:rPr>
                <w:rFonts w:cs="Calibri"/>
                <w:color w:val="000000"/>
                <w:szCs w:val="20"/>
              </w:rPr>
              <w:t>117,622</w:t>
            </w:r>
          </w:p>
        </w:tc>
        <w:tc>
          <w:tcPr>
            <w:tcW w:w="1120" w:type="dxa"/>
            <w:tcBorders>
              <w:top w:val="single" w:sz="4" w:space="0" w:color="auto"/>
            </w:tcBorders>
            <w:shd w:val="clear" w:color="auto" w:fill="auto"/>
            <w:vAlign w:val="bottom"/>
          </w:tcPr>
          <w:p w14:paraId="0AAB2B7F" w14:textId="77777777" w:rsidR="001B705F" w:rsidRPr="0001562A" w:rsidRDefault="001B705F">
            <w:pPr>
              <w:pStyle w:val="COMTabletext"/>
              <w:keepLines/>
              <w:jc w:val="center"/>
              <w:rPr>
                <w:iCs/>
                <w:szCs w:val="20"/>
              </w:rPr>
            </w:pPr>
            <w:r w:rsidRPr="0088514D">
              <w:rPr>
                <w:rFonts w:cs="Calibri"/>
                <w:color w:val="000000"/>
                <w:szCs w:val="20"/>
              </w:rPr>
              <w:t>108,652</w:t>
            </w:r>
          </w:p>
        </w:tc>
      </w:tr>
      <w:tr w:rsidR="001B705F" w:rsidRPr="00953311" w14:paraId="2225F5EF" w14:textId="77777777">
        <w:tc>
          <w:tcPr>
            <w:tcW w:w="2347" w:type="dxa"/>
            <w:tcBorders>
              <w:top w:val="single" w:sz="4" w:space="0" w:color="auto"/>
            </w:tcBorders>
            <w:shd w:val="clear" w:color="auto" w:fill="auto"/>
            <w:vAlign w:val="center"/>
          </w:tcPr>
          <w:p w14:paraId="007CC01B" w14:textId="77777777" w:rsidR="001B705F" w:rsidRPr="0088514D" w:rsidRDefault="001B705F">
            <w:pPr>
              <w:pStyle w:val="COMTabletext"/>
              <w:keepLines/>
              <w:rPr>
                <w:b/>
                <w:bCs w:val="0"/>
              </w:rPr>
            </w:pPr>
            <w:r w:rsidRPr="0001562A">
              <w:rPr>
                <w:b/>
                <w:bCs w:val="0"/>
              </w:rPr>
              <w:t>Total MBS cost</w:t>
            </w:r>
          </w:p>
        </w:tc>
        <w:tc>
          <w:tcPr>
            <w:tcW w:w="1120" w:type="dxa"/>
            <w:tcBorders>
              <w:top w:val="single" w:sz="4" w:space="0" w:color="auto"/>
            </w:tcBorders>
            <w:shd w:val="clear" w:color="auto" w:fill="auto"/>
            <w:vAlign w:val="bottom"/>
          </w:tcPr>
          <w:p w14:paraId="4CE2862D" w14:textId="77777777" w:rsidR="001B705F" w:rsidRPr="0088514D" w:rsidRDefault="001B705F">
            <w:pPr>
              <w:pStyle w:val="COMTabletext"/>
              <w:keepLines/>
              <w:jc w:val="center"/>
              <w:rPr>
                <w:b/>
                <w:bCs w:val="0"/>
                <w:iCs/>
                <w:szCs w:val="20"/>
              </w:rPr>
            </w:pPr>
            <w:r w:rsidRPr="0088514D">
              <w:rPr>
                <w:rFonts w:cs="Calibri"/>
                <w:b/>
                <w:bCs w:val="0"/>
                <w:color w:val="000000"/>
                <w:szCs w:val="20"/>
              </w:rPr>
              <w:t>$10,359,993</w:t>
            </w:r>
          </w:p>
        </w:tc>
        <w:tc>
          <w:tcPr>
            <w:tcW w:w="1120" w:type="dxa"/>
            <w:tcBorders>
              <w:top w:val="single" w:sz="4" w:space="0" w:color="auto"/>
            </w:tcBorders>
            <w:shd w:val="clear" w:color="auto" w:fill="auto"/>
            <w:vAlign w:val="bottom"/>
          </w:tcPr>
          <w:p w14:paraId="2942594C" w14:textId="77777777" w:rsidR="001B705F" w:rsidRPr="0088514D" w:rsidRDefault="001B705F">
            <w:pPr>
              <w:pStyle w:val="COMTabletext"/>
              <w:keepLines/>
              <w:jc w:val="center"/>
              <w:rPr>
                <w:b/>
                <w:bCs w:val="0"/>
                <w:iCs/>
                <w:szCs w:val="20"/>
              </w:rPr>
            </w:pPr>
            <w:r w:rsidRPr="0088514D">
              <w:rPr>
                <w:rFonts w:cs="Calibri"/>
                <w:b/>
                <w:bCs w:val="0"/>
                <w:color w:val="000000"/>
                <w:szCs w:val="20"/>
              </w:rPr>
              <w:t>$10,595,719</w:t>
            </w:r>
          </w:p>
        </w:tc>
        <w:tc>
          <w:tcPr>
            <w:tcW w:w="1120" w:type="dxa"/>
            <w:tcBorders>
              <w:top w:val="single" w:sz="4" w:space="0" w:color="auto"/>
            </w:tcBorders>
            <w:shd w:val="clear" w:color="auto" w:fill="auto"/>
            <w:vAlign w:val="bottom"/>
          </w:tcPr>
          <w:p w14:paraId="71687B98" w14:textId="77777777" w:rsidR="001B705F" w:rsidRPr="0088514D" w:rsidRDefault="001B705F">
            <w:pPr>
              <w:pStyle w:val="COMTabletext"/>
              <w:keepLines/>
              <w:jc w:val="center"/>
              <w:rPr>
                <w:b/>
                <w:bCs w:val="0"/>
                <w:iCs/>
                <w:szCs w:val="20"/>
              </w:rPr>
            </w:pPr>
            <w:r w:rsidRPr="0088514D">
              <w:rPr>
                <w:rFonts w:cs="Calibri"/>
                <w:b/>
                <w:bCs w:val="0"/>
                <w:color w:val="000000"/>
                <w:szCs w:val="20"/>
              </w:rPr>
              <w:t>$10,831,410</w:t>
            </w:r>
          </w:p>
        </w:tc>
        <w:tc>
          <w:tcPr>
            <w:tcW w:w="1120" w:type="dxa"/>
            <w:tcBorders>
              <w:top w:val="single" w:sz="4" w:space="0" w:color="auto"/>
            </w:tcBorders>
            <w:shd w:val="clear" w:color="auto" w:fill="auto"/>
            <w:vAlign w:val="bottom"/>
          </w:tcPr>
          <w:p w14:paraId="505A5EE5" w14:textId="77777777" w:rsidR="001B705F" w:rsidRPr="0088514D" w:rsidRDefault="001B705F">
            <w:pPr>
              <w:pStyle w:val="COMTabletext"/>
              <w:keepLines/>
              <w:jc w:val="center"/>
              <w:rPr>
                <w:b/>
                <w:bCs w:val="0"/>
                <w:iCs/>
                <w:szCs w:val="20"/>
              </w:rPr>
            </w:pPr>
            <w:r w:rsidRPr="0088514D">
              <w:rPr>
                <w:rFonts w:cs="Calibri"/>
                <w:b/>
                <w:bCs w:val="0"/>
                <w:color w:val="000000"/>
                <w:szCs w:val="20"/>
              </w:rPr>
              <w:t>$11,045,463</w:t>
            </w:r>
          </w:p>
        </w:tc>
        <w:tc>
          <w:tcPr>
            <w:tcW w:w="1120" w:type="dxa"/>
            <w:tcBorders>
              <w:top w:val="single" w:sz="4" w:space="0" w:color="auto"/>
            </w:tcBorders>
            <w:shd w:val="clear" w:color="auto" w:fill="auto"/>
            <w:vAlign w:val="bottom"/>
          </w:tcPr>
          <w:p w14:paraId="35F74797" w14:textId="77777777" w:rsidR="001B705F" w:rsidRPr="0088514D" w:rsidRDefault="001B705F">
            <w:pPr>
              <w:pStyle w:val="COMTabletext"/>
              <w:keepLines/>
              <w:jc w:val="center"/>
              <w:rPr>
                <w:b/>
                <w:bCs w:val="0"/>
                <w:iCs/>
                <w:szCs w:val="20"/>
              </w:rPr>
            </w:pPr>
            <w:r w:rsidRPr="0088514D">
              <w:rPr>
                <w:rFonts w:cs="Calibri"/>
                <w:b/>
                <w:bCs w:val="0"/>
                <w:color w:val="000000"/>
                <w:szCs w:val="20"/>
              </w:rPr>
              <w:t>$11,215,298</w:t>
            </w:r>
          </w:p>
        </w:tc>
        <w:tc>
          <w:tcPr>
            <w:tcW w:w="1120" w:type="dxa"/>
            <w:tcBorders>
              <w:top w:val="single" w:sz="4" w:space="0" w:color="auto"/>
            </w:tcBorders>
            <w:shd w:val="clear" w:color="auto" w:fill="auto"/>
            <w:vAlign w:val="bottom"/>
          </w:tcPr>
          <w:p w14:paraId="6A8241DF" w14:textId="77777777" w:rsidR="001B705F" w:rsidRPr="0088514D" w:rsidRDefault="001B705F">
            <w:pPr>
              <w:pStyle w:val="COMTabletext"/>
              <w:keepLines/>
              <w:jc w:val="center"/>
              <w:rPr>
                <w:b/>
                <w:bCs w:val="0"/>
                <w:iCs/>
                <w:szCs w:val="20"/>
              </w:rPr>
            </w:pPr>
            <w:r w:rsidRPr="0088514D">
              <w:rPr>
                <w:rFonts w:cs="Calibri"/>
                <w:b/>
                <w:bCs w:val="0"/>
                <w:color w:val="000000"/>
                <w:szCs w:val="20"/>
              </w:rPr>
              <w:t>$10,359,993</w:t>
            </w:r>
          </w:p>
        </w:tc>
      </w:tr>
      <w:tr w:rsidR="001B705F" w:rsidRPr="00953311" w14:paraId="4DCA604A" w14:textId="77777777">
        <w:tc>
          <w:tcPr>
            <w:tcW w:w="2347" w:type="dxa"/>
            <w:tcBorders>
              <w:top w:val="single" w:sz="4" w:space="0" w:color="auto"/>
            </w:tcBorders>
            <w:shd w:val="clear" w:color="auto" w:fill="auto"/>
            <w:vAlign w:val="center"/>
          </w:tcPr>
          <w:p w14:paraId="25589736" w14:textId="77777777" w:rsidR="001B705F" w:rsidRPr="00953311" w:rsidRDefault="001B705F">
            <w:pPr>
              <w:pStyle w:val="COMTabletext"/>
              <w:keepLines/>
            </w:pPr>
            <w:r w:rsidRPr="00953311">
              <w:t>Total patients aged 6</w:t>
            </w:r>
            <w:r>
              <w:t>5</w:t>
            </w:r>
            <w:r w:rsidRPr="00953311">
              <w:t xml:space="preserve">-69 years </w:t>
            </w:r>
            <w:r>
              <w:t>with no 2-year testing</w:t>
            </w:r>
          </w:p>
        </w:tc>
        <w:tc>
          <w:tcPr>
            <w:tcW w:w="1120" w:type="dxa"/>
            <w:tcBorders>
              <w:top w:val="single" w:sz="4" w:space="0" w:color="auto"/>
            </w:tcBorders>
            <w:shd w:val="clear" w:color="auto" w:fill="auto"/>
            <w:vAlign w:val="bottom"/>
          </w:tcPr>
          <w:p w14:paraId="52ADADBC" w14:textId="77777777" w:rsidR="001B705F" w:rsidRPr="0001562A" w:rsidRDefault="001B705F">
            <w:pPr>
              <w:pStyle w:val="COMTabletext"/>
              <w:keepLines/>
              <w:jc w:val="center"/>
              <w:rPr>
                <w:iCs/>
                <w:szCs w:val="20"/>
              </w:rPr>
            </w:pPr>
            <w:r w:rsidRPr="0088514D">
              <w:rPr>
                <w:rFonts w:cs="Calibri"/>
                <w:color w:val="000000"/>
                <w:szCs w:val="20"/>
              </w:rPr>
              <w:t>84,791</w:t>
            </w:r>
          </w:p>
        </w:tc>
        <w:tc>
          <w:tcPr>
            <w:tcW w:w="1120" w:type="dxa"/>
            <w:tcBorders>
              <w:top w:val="single" w:sz="4" w:space="0" w:color="auto"/>
            </w:tcBorders>
            <w:shd w:val="clear" w:color="auto" w:fill="auto"/>
            <w:vAlign w:val="bottom"/>
          </w:tcPr>
          <w:p w14:paraId="6BEEEB32" w14:textId="77777777" w:rsidR="001B705F" w:rsidRPr="0001562A" w:rsidRDefault="001B705F">
            <w:pPr>
              <w:pStyle w:val="COMTabletext"/>
              <w:keepLines/>
              <w:jc w:val="center"/>
              <w:rPr>
                <w:iCs/>
                <w:szCs w:val="20"/>
              </w:rPr>
            </w:pPr>
            <w:r w:rsidRPr="0088514D">
              <w:rPr>
                <w:rFonts w:cs="Calibri"/>
                <w:color w:val="000000"/>
                <w:szCs w:val="20"/>
              </w:rPr>
              <w:t>86,718</w:t>
            </w:r>
          </w:p>
        </w:tc>
        <w:tc>
          <w:tcPr>
            <w:tcW w:w="1120" w:type="dxa"/>
            <w:tcBorders>
              <w:top w:val="single" w:sz="4" w:space="0" w:color="auto"/>
            </w:tcBorders>
            <w:shd w:val="clear" w:color="auto" w:fill="auto"/>
            <w:vAlign w:val="bottom"/>
          </w:tcPr>
          <w:p w14:paraId="47C1DE91" w14:textId="77777777" w:rsidR="001B705F" w:rsidRPr="0001562A" w:rsidRDefault="001B705F">
            <w:pPr>
              <w:pStyle w:val="COMTabletext"/>
              <w:keepLines/>
              <w:jc w:val="center"/>
              <w:rPr>
                <w:iCs/>
                <w:szCs w:val="20"/>
              </w:rPr>
            </w:pPr>
            <w:r w:rsidRPr="0088514D">
              <w:rPr>
                <w:rFonts w:cs="Calibri"/>
                <w:color w:val="000000"/>
                <w:szCs w:val="20"/>
              </w:rPr>
              <w:t>88,640</w:t>
            </w:r>
          </w:p>
        </w:tc>
        <w:tc>
          <w:tcPr>
            <w:tcW w:w="1120" w:type="dxa"/>
            <w:tcBorders>
              <w:top w:val="single" w:sz="4" w:space="0" w:color="auto"/>
            </w:tcBorders>
            <w:shd w:val="clear" w:color="auto" w:fill="auto"/>
            <w:vAlign w:val="bottom"/>
          </w:tcPr>
          <w:p w14:paraId="73842ED3" w14:textId="77777777" w:rsidR="001B705F" w:rsidRPr="0001562A" w:rsidRDefault="001B705F">
            <w:pPr>
              <w:pStyle w:val="COMTabletext"/>
              <w:keepLines/>
              <w:jc w:val="center"/>
              <w:rPr>
                <w:iCs/>
                <w:szCs w:val="20"/>
              </w:rPr>
            </w:pPr>
            <w:r w:rsidRPr="0088514D">
              <w:rPr>
                <w:rFonts w:cs="Calibri"/>
                <w:color w:val="000000"/>
                <w:szCs w:val="20"/>
              </w:rPr>
              <w:t>90,396</w:t>
            </w:r>
          </w:p>
        </w:tc>
        <w:tc>
          <w:tcPr>
            <w:tcW w:w="1120" w:type="dxa"/>
            <w:tcBorders>
              <w:top w:val="single" w:sz="4" w:space="0" w:color="auto"/>
            </w:tcBorders>
            <w:shd w:val="clear" w:color="auto" w:fill="auto"/>
            <w:vAlign w:val="bottom"/>
          </w:tcPr>
          <w:p w14:paraId="31053FCD" w14:textId="77777777" w:rsidR="001B705F" w:rsidRPr="0001562A" w:rsidRDefault="001B705F">
            <w:pPr>
              <w:pStyle w:val="COMTabletext"/>
              <w:keepLines/>
              <w:jc w:val="center"/>
              <w:rPr>
                <w:iCs/>
                <w:szCs w:val="20"/>
              </w:rPr>
            </w:pPr>
            <w:r w:rsidRPr="0088514D">
              <w:rPr>
                <w:rFonts w:cs="Calibri"/>
                <w:color w:val="000000"/>
                <w:szCs w:val="20"/>
              </w:rPr>
              <w:t>91,788</w:t>
            </w:r>
          </w:p>
        </w:tc>
        <w:tc>
          <w:tcPr>
            <w:tcW w:w="1120" w:type="dxa"/>
            <w:tcBorders>
              <w:top w:val="single" w:sz="4" w:space="0" w:color="auto"/>
            </w:tcBorders>
            <w:shd w:val="clear" w:color="auto" w:fill="auto"/>
            <w:vAlign w:val="bottom"/>
          </w:tcPr>
          <w:p w14:paraId="316D6BB9" w14:textId="77777777" w:rsidR="001B705F" w:rsidRPr="0001562A" w:rsidRDefault="001B705F">
            <w:pPr>
              <w:pStyle w:val="COMTabletext"/>
              <w:keepLines/>
              <w:jc w:val="center"/>
              <w:rPr>
                <w:iCs/>
                <w:szCs w:val="20"/>
              </w:rPr>
            </w:pPr>
            <w:r w:rsidRPr="0088514D">
              <w:rPr>
                <w:rFonts w:cs="Calibri"/>
                <w:color w:val="000000"/>
                <w:szCs w:val="20"/>
              </w:rPr>
              <w:t>84,791</w:t>
            </w:r>
          </w:p>
        </w:tc>
      </w:tr>
      <w:tr w:rsidR="001B705F" w:rsidRPr="00953311" w14:paraId="36C1DFE3" w14:textId="77777777">
        <w:tc>
          <w:tcPr>
            <w:tcW w:w="2347" w:type="dxa"/>
            <w:shd w:val="clear" w:color="auto" w:fill="auto"/>
            <w:vAlign w:val="center"/>
          </w:tcPr>
          <w:p w14:paraId="67DCC6AE" w14:textId="77777777" w:rsidR="001B705F" w:rsidRPr="0001562A" w:rsidRDefault="001B705F">
            <w:pPr>
              <w:pStyle w:val="COMTabletext"/>
              <w:keepLines/>
              <w:rPr>
                <w:b/>
                <w:bCs w:val="0"/>
              </w:rPr>
            </w:pPr>
            <w:r w:rsidRPr="0001562A">
              <w:rPr>
                <w:b/>
                <w:bCs w:val="0"/>
              </w:rPr>
              <w:t xml:space="preserve">Total MBS cost </w:t>
            </w:r>
          </w:p>
        </w:tc>
        <w:tc>
          <w:tcPr>
            <w:tcW w:w="1120" w:type="dxa"/>
            <w:shd w:val="clear" w:color="auto" w:fill="auto"/>
            <w:vAlign w:val="bottom"/>
          </w:tcPr>
          <w:p w14:paraId="1BBEEC36" w14:textId="77777777" w:rsidR="001B705F" w:rsidRPr="0001562A" w:rsidRDefault="001B705F">
            <w:pPr>
              <w:pStyle w:val="COMTabletext"/>
              <w:keepLines/>
              <w:jc w:val="center"/>
              <w:rPr>
                <w:b/>
                <w:bCs w:val="0"/>
                <w:iCs/>
                <w:szCs w:val="20"/>
              </w:rPr>
            </w:pPr>
            <w:r w:rsidRPr="0088514D">
              <w:rPr>
                <w:rFonts w:cs="Calibri"/>
                <w:b/>
                <w:bCs w:val="0"/>
                <w:color w:val="000000"/>
                <w:szCs w:val="20"/>
              </w:rPr>
              <w:t>$8,084,863</w:t>
            </w:r>
          </w:p>
        </w:tc>
        <w:tc>
          <w:tcPr>
            <w:tcW w:w="1120" w:type="dxa"/>
            <w:shd w:val="clear" w:color="auto" w:fill="auto"/>
            <w:vAlign w:val="bottom"/>
          </w:tcPr>
          <w:p w14:paraId="067895C8" w14:textId="77777777" w:rsidR="001B705F" w:rsidRPr="0001562A" w:rsidRDefault="001B705F">
            <w:pPr>
              <w:pStyle w:val="COMTabletext"/>
              <w:keepLines/>
              <w:jc w:val="center"/>
              <w:rPr>
                <w:b/>
                <w:bCs w:val="0"/>
                <w:iCs/>
                <w:szCs w:val="20"/>
              </w:rPr>
            </w:pPr>
            <w:r w:rsidRPr="0088514D">
              <w:rPr>
                <w:rFonts w:cs="Calibri"/>
                <w:b/>
                <w:bCs w:val="0"/>
                <w:color w:val="000000"/>
                <w:szCs w:val="20"/>
              </w:rPr>
              <w:t>$8,268,567</w:t>
            </w:r>
          </w:p>
        </w:tc>
        <w:tc>
          <w:tcPr>
            <w:tcW w:w="1120" w:type="dxa"/>
            <w:shd w:val="clear" w:color="auto" w:fill="auto"/>
            <w:vAlign w:val="bottom"/>
          </w:tcPr>
          <w:p w14:paraId="5B16DC0B" w14:textId="77777777" w:rsidR="001B705F" w:rsidRPr="0001562A" w:rsidRDefault="001B705F">
            <w:pPr>
              <w:pStyle w:val="COMTabletext"/>
              <w:keepLines/>
              <w:jc w:val="center"/>
              <w:rPr>
                <w:b/>
                <w:bCs w:val="0"/>
                <w:iCs/>
                <w:szCs w:val="20"/>
              </w:rPr>
            </w:pPr>
            <w:r w:rsidRPr="0088514D">
              <w:rPr>
                <w:rFonts w:cs="Calibri"/>
                <w:b/>
                <w:bCs w:val="0"/>
                <w:color w:val="000000"/>
                <w:szCs w:val="20"/>
              </w:rPr>
              <w:t>$8,451,855</w:t>
            </w:r>
          </w:p>
        </w:tc>
        <w:tc>
          <w:tcPr>
            <w:tcW w:w="1120" w:type="dxa"/>
            <w:shd w:val="clear" w:color="auto" w:fill="auto"/>
            <w:vAlign w:val="bottom"/>
          </w:tcPr>
          <w:p w14:paraId="1704694A" w14:textId="77777777" w:rsidR="001B705F" w:rsidRPr="0001562A" w:rsidRDefault="001B705F">
            <w:pPr>
              <w:pStyle w:val="COMTabletext"/>
              <w:keepLines/>
              <w:jc w:val="center"/>
              <w:rPr>
                <w:b/>
                <w:bCs w:val="0"/>
                <w:iCs/>
                <w:szCs w:val="20"/>
              </w:rPr>
            </w:pPr>
            <w:r w:rsidRPr="0088514D">
              <w:rPr>
                <w:rFonts w:cs="Calibri"/>
                <w:b/>
                <w:bCs w:val="0"/>
                <w:color w:val="000000"/>
                <w:szCs w:val="20"/>
              </w:rPr>
              <w:t>$8,619,212</w:t>
            </w:r>
          </w:p>
        </w:tc>
        <w:tc>
          <w:tcPr>
            <w:tcW w:w="1120" w:type="dxa"/>
            <w:shd w:val="clear" w:color="auto" w:fill="auto"/>
            <w:vAlign w:val="bottom"/>
          </w:tcPr>
          <w:p w14:paraId="1F4806D0" w14:textId="77777777" w:rsidR="001B705F" w:rsidRPr="0001562A" w:rsidRDefault="001B705F">
            <w:pPr>
              <w:pStyle w:val="COMTabletext"/>
              <w:keepLines/>
              <w:jc w:val="center"/>
              <w:rPr>
                <w:b/>
                <w:bCs w:val="0"/>
                <w:iCs/>
                <w:szCs w:val="20"/>
              </w:rPr>
            </w:pPr>
            <w:r w:rsidRPr="0088514D">
              <w:rPr>
                <w:rFonts w:cs="Calibri"/>
                <w:b/>
                <w:bCs w:val="0"/>
                <w:color w:val="000000"/>
                <w:szCs w:val="20"/>
              </w:rPr>
              <w:t>$8,752,020</w:t>
            </w:r>
          </w:p>
        </w:tc>
        <w:tc>
          <w:tcPr>
            <w:tcW w:w="1120" w:type="dxa"/>
            <w:shd w:val="clear" w:color="auto" w:fill="auto"/>
            <w:vAlign w:val="bottom"/>
          </w:tcPr>
          <w:p w14:paraId="293A259E" w14:textId="77777777" w:rsidR="001B705F" w:rsidRPr="0001562A" w:rsidRDefault="001B705F">
            <w:pPr>
              <w:pStyle w:val="COMTabletext"/>
              <w:keepLines/>
              <w:jc w:val="center"/>
              <w:rPr>
                <w:b/>
                <w:bCs w:val="0"/>
                <w:iCs/>
                <w:szCs w:val="20"/>
              </w:rPr>
            </w:pPr>
            <w:r w:rsidRPr="0088514D">
              <w:rPr>
                <w:rFonts w:cs="Calibri"/>
                <w:b/>
                <w:bCs w:val="0"/>
                <w:color w:val="000000"/>
                <w:szCs w:val="20"/>
              </w:rPr>
              <w:t>$8,</w:t>
            </w:r>
            <w:r>
              <w:rPr>
                <w:rFonts w:cs="Calibri"/>
                <w:b/>
                <w:bCs w:val="0"/>
                <w:color w:val="000000"/>
                <w:szCs w:val="20"/>
              </w:rPr>
              <w:t>845</w:t>
            </w:r>
            <w:r w:rsidRPr="0088514D">
              <w:rPr>
                <w:rFonts w:cs="Calibri"/>
                <w:b/>
                <w:bCs w:val="0"/>
                <w:color w:val="000000"/>
                <w:szCs w:val="20"/>
              </w:rPr>
              <w:t>,</w:t>
            </w:r>
            <w:r>
              <w:rPr>
                <w:rFonts w:cs="Calibri"/>
                <w:b/>
                <w:bCs w:val="0"/>
                <w:color w:val="000000"/>
                <w:szCs w:val="20"/>
              </w:rPr>
              <w:t>524</w:t>
            </w:r>
          </w:p>
        </w:tc>
      </w:tr>
    </w:tbl>
    <w:p w14:paraId="1C3D0E4F" w14:textId="7EEEEF87" w:rsidR="00D82DF7" w:rsidRPr="00D82DF7" w:rsidRDefault="001B705F" w:rsidP="00E87379">
      <w:pPr>
        <w:pStyle w:val="xmsolistparagraph"/>
        <w:spacing w:after="240"/>
        <w:ind w:left="0"/>
        <w:jc w:val="both"/>
        <w:rPr>
          <w:rFonts w:ascii="Arial Narrow" w:eastAsia="Times New Roman" w:hAnsi="Arial Narrow" w:cstheme="minorBidi"/>
          <w:sz w:val="18"/>
          <w:szCs w:val="18"/>
        </w:rPr>
      </w:pPr>
      <w:r>
        <w:rPr>
          <w:rFonts w:ascii="Arial Narrow" w:eastAsia="Times New Roman" w:hAnsi="Arial Narrow" w:cstheme="minorBidi"/>
          <w:sz w:val="18"/>
          <w:szCs w:val="18"/>
        </w:rPr>
        <w:t xml:space="preserve">Source: Compiled by department from Sensitivity Analyses tab of </w:t>
      </w:r>
      <w:r w:rsidR="00A306B3">
        <w:rPr>
          <w:rFonts w:ascii="Arial Narrow" w:eastAsia="Times New Roman" w:hAnsi="Arial Narrow" w:cstheme="minorBidi"/>
          <w:sz w:val="18"/>
          <w:szCs w:val="18"/>
        </w:rPr>
        <w:t>f</w:t>
      </w:r>
      <w:r>
        <w:rPr>
          <w:rFonts w:ascii="Arial Narrow" w:eastAsia="Times New Roman" w:hAnsi="Arial Narrow" w:cstheme="minorBidi"/>
          <w:sz w:val="18"/>
          <w:szCs w:val="18"/>
        </w:rPr>
        <w:t xml:space="preserve">inancial spreadsheet (BMD financial </w:t>
      </w:r>
      <w:proofErr w:type="spellStart"/>
      <w:r>
        <w:rPr>
          <w:rFonts w:ascii="Arial Narrow" w:eastAsia="Times New Roman" w:hAnsi="Arial Narrow" w:cstheme="minorBidi"/>
          <w:sz w:val="18"/>
          <w:szCs w:val="18"/>
        </w:rPr>
        <w:t>estimates_updated</w:t>
      </w:r>
      <w:proofErr w:type="spellEnd"/>
      <w:r>
        <w:rPr>
          <w:rFonts w:ascii="Arial Narrow" w:eastAsia="Times New Roman" w:hAnsi="Arial Narrow" w:cstheme="minorBidi"/>
          <w:sz w:val="18"/>
          <w:szCs w:val="18"/>
        </w:rPr>
        <w:t xml:space="preserve"> 2024-05-15)</w:t>
      </w:r>
    </w:p>
    <w:p w14:paraId="4ACB3715" w14:textId="040BC522" w:rsidR="005C3DB5" w:rsidRPr="00E87379" w:rsidRDefault="005C3DB5" w:rsidP="00CF0EB1">
      <w:pPr>
        <w:keepNext/>
        <w:keepLines/>
        <w:spacing w:before="40" w:after="0"/>
        <w:outlineLvl w:val="3"/>
        <w:rPr>
          <w:rFonts w:ascii="Franklin Gothic Book" w:eastAsia="Times New Roman" w:hAnsi="Franklin Gothic Book" w:cs="Calibri"/>
          <w:b/>
        </w:rPr>
      </w:pPr>
      <w:r w:rsidRPr="00E87379">
        <w:rPr>
          <w:rFonts w:ascii="Franklin Gothic Book" w:eastAsia="Times New Roman" w:hAnsi="Franklin Gothic Book" w:cs="Calibri"/>
          <w:b/>
        </w:rPr>
        <w:t>Addendum</w:t>
      </w:r>
    </w:p>
    <w:p w14:paraId="5E1FB205" w14:textId="508F7C72" w:rsidR="00DE0E06" w:rsidRPr="00E87379" w:rsidRDefault="00DE0E06" w:rsidP="000C1956">
      <w:pPr>
        <w:pStyle w:val="COMBody"/>
        <w:rPr>
          <w:rFonts w:cstheme="minorHAnsi"/>
          <w:szCs w:val="22"/>
        </w:rPr>
      </w:pPr>
      <w:r w:rsidRPr="00E87379">
        <w:rPr>
          <w:rFonts w:cstheme="minorHAnsi"/>
          <w:szCs w:val="22"/>
        </w:rPr>
        <w:t>The MSAC ESC requested further clarification regarding the methodology used for the financial analyses, including:</w:t>
      </w:r>
    </w:p>
    <w:p w14:paraId="116C5AF0" w14:textId="2E7A70E9" w:rsidR="00DE0E06" w:rsidRPr="00E87379" w:rsidRDefault="00DE0E06" w:rsidP="00DE0E06">
      <w:pPr>
        <w:numPr>
          <w:ilvl w:val="1"/>
          <w:numId w:val="14"/>
        </w:numPr>
        <w:spacing w:after="0"/>
        <w:ind w:left="357" w:hanging="357"/>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 xml:space="preserve">Whether it could be separated for repeat testing at </w:t>
      </w:r>
      <w:proofErr w:type="gramStart"/>
      <w:r w:rsidRPr="00E87379">
        <w:rPr>
          <w:rFonts w:ascii="Franklin Gothic Book" w:eastAsia="Times New Roman" w:hAnsi="Franklin Gothic Book" w:cstheme="minorHAnsi"/>
          <w:lang w:eastAsia="en-AU"/>
        </w:rPr>
        <w:t>2 and 5 year</w:t>
      </w:r>
      <w:proofErr w:type="gramEnd"/>
      <w:r w:rsidRPr="00E87379">
        <w:rPr>
          <w:rFonts w:ascii="Franklin Gothic Book" w:eastAsia="Times New Roman" w:hAnsi="Franklin Gothic Book" w:cstheme="minorHAnsi"/>
          <w:lang w:eastAsia="en-AU"/>
        </w:rPr>
        <w:t xml:space="preserve"> intervals which would improve transparency of the modelling of initial and repeat testing.</w:t>
      </w:r>
    </w:p>
    <w:p w14:paraId="0627B35C" w14:textId="450E2463" w:rsidR="00DE0E06" w:rsidRPr="00E87379" w:rsidRDefault="00DE0E06" w:rsidP="00E87379">
      <w:pPr>
        <w:spacing w:before="240" w:after="0"/>
        <w:jc w:val="both"/>
        <w:rPr>
          <w:rFonts w:ascii="Franklin Gothic Book" w:eastAsia="Times New Roman" w:hAnsi="Franklin Gothic Book"/>
          <w:i/>
          <w:lang w:eastAsia="en-AU"/>
        </w:rPr>
      </w:pPr>
      <w:r w:rsidRPr="00E87379">
        <w:rPr>
          <w:rFonts w:ascii="Franklin Gothic Book" w:eastAsia="Times New Roman" w:hAnsi="Franklin Gothic Book"/>
          <w:iCs/>
          <w:lang w:eastAsia="en-AU"/>
        </w:rPr>
        <w:t xml:space="preserve">The </w:t>
      </w:r>
      <w:r w:rsidR="008F71E7" w:rsidRPr="00E87379">
        <w:rPr>
          <w:rFonts w:ascii="Franklin Gothic Book" w:eastAsia="Times New Roman" w:hAnsi="Franklin Gothic Book"/>
          <w:iCs/>
          <w:lang w:eastAsia="en-AU"/>
        </w:rPr>
        <w:t xml:space="preserve">assessment group </w:t>
      </w:r>
      <w:r w:rsidR="00DE50B9" w:rsidRPr="00E87379">
        <w:rPr>
          <w:rFonts w:ascii="Franklin Gothic Book" w:eastAsia="Times New Roman" w:hAnsi="Franklin Gothic Book"/>
          <w:iCs/>
          <w:lang w:eastAsia="en-AU"/>
        </w:rPr>
        <w:t>advised</w:t>
      </w:r>
      <w:r w:rsidR="008F71E7" w:rsidRPr="00E87379">
        <w:rPr>
          <w:rFonts w:ascii="Franklin Gothic Book" w:eastAsia="Times New Roman" w:hAnsi="Franklin Gothic Book"/>
          <w:iCs/>
          <w:lang w:eastAsia="en-AU"/>
        </w:rPr>
        <w:t xml:space="preserve"> that the </w:t>
      </w:r>
      <w:r w:rsidRPr="00E87379">
        <w:rPr>
          <w:rFonts w:ascii="Franklin Gothic Book" w:eastAsia="Times New Roman" w:hAnsi="Franklin Gothic Book"/>
          <w:iCs/>
          <w:lang w:eastAsia="en-AU"/>
        </w:rPr>
        <w:t>utilisation estimates in the younger population were derived from utilisation data from the 70–</w:t>
      </w:r>
      <w:proofErr w:type="gramStart"/>
      <w:r w:rsidRPr="00E87379">
        <w:rPr>
          <w:rFonts w:ascii="Franklin Gothic Book" w:eastAsia="Times New Roman" w:hAnsi="Franklin Gothic Book"/>
          <w:iCs/>
          <w:lang w:eastAsia="en-AU"/>
        </w:rPr>
        <w:t>74 year old</w:t>
      </w:r>
      <w:proofErr w:type="gramEnd"/>
      <w:r w:rsidRPr="00E87379">
        <w:rPr>
          <w:rFonts w:ascii="Franklin Gothic Book" w:eastAsia="Times New Roman" w:hAnsi="Franklin Gothic Book"/>
          <w:iCs/>
          <w:lang w:eastAsia="en-AU"/>
        </w:rPr>
        <w:t xml:space="preserve"> age band, which would only include 1 initial test using the 5-year testing item and a maximum of 2 repeats using the 2-year testing item. There is no further potential to separate the available utilisation data</w:t>
      </w:r>
      <w:r w:rsidRPr="00E87379">
        <w:rPr>
          <w:rFonts w:ascii="Franklin Gothic Book" w:eastAsia="Times New Roman" w:hAnsi="Franklin Gothic Book"/>
          <w:i/>
          <w:lang w:eastAsia="en-AU"/>
        </w:rPr>
        <w:t>.</w:t>
      </w:r>
    </w:p>
    <w:p w14:paraId="139B8F64" w14:textId="663149FF" w:rsidR="00DE0E06" w:rsidRPr="00E87379" w:rsidRDefault="00DE0E06" w:rsidP="00DE0E06">
      <w:pPr>
        <w:numPr>
          <w:ilvl w:val="1"/>
          <w:numId w:val="14"/>
        </w:numPr>
        <w:spacing w:before="240" w:after="0"/>
        <w:ind w:left="357" w:hanging="357"/>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Whether utilisation of MBS items 12315 and 12321 (by respective age groups) needed to be accounted for (i.e. excluded) in the utilisation estimates as some patients in the proposed expanded population may be able to access BMD testing under these items already.</w:t>
      </w:r>
    </w:p>
    <w:p w14:paraId="7DB6F858" w14:textId="6623E8BC" w:rsidR="00DE0E06" w:rsidRPr="00E87379" w:rsidRDefault="00DE0E06" w:rsidP="00E87379">
      <w:pPr>
        <w:spacing w:before="240" w:after="0"/>
        <w:jc w:val="both"/>
        <w:rPr>
          <w:rFonts w:ascii="Franklin Gothic Book" w:eastAsia="Times New Roman" w:hAnsi="Franklin Gothic Book" w:cstheme="minorHAnsi"/>
          <w:iCs/>
          <w:lang w:eastAsia="en-AU"/>
        </w:rPr>
      </w:pPr>
      <w:r w:rsidRPr="00E87379">
        <w:rPr>
          <w:rFonts w:ascii="Franklin Gothic Book" w:eastAsia="Times New Roman" w:hAnsi="Franklin Gothic Book" w:cstheme="minorHAnsi"/>
          <w:iCs/>
          <w:lang w:eastAsia="en-AU"/>
        </w:rPr>
        <w:t>The</w:t>
      </w:r>
      <w:r w:rsidR="00DE50B9" w:rsidRPr="00E87379">
        <w:rPr>
          <w:rFonts w:ascii="Franklin Gothic Book" w:eastAsia="Times New Roman" w:hAnsi="Franklin Gothic Book" w:cstheme="minorHAnsi"/>
          <w:iCs/>
          <w:lang w:eastAsia="en-AU"/>
        </w:rPr>
        <w:t xml:space="preserve"> assessment group advised that the</w:t>
      </w:r>
      <w:r w:rsidRPr="00E87379">
        <w:rPr>
          <w:rFonts w:ascii="Franklin Gothic Book" w:eastAsia="Times New Roman" w:hAnsi="Franklin Gothic Book" w:cstheme="minorHAnsi"/>
          <w:iCs/>
          <w:lang w:eastAsia="en-AU"/>
        </w:rPr>
        <w:t xml:space="preserve"> utilisation of MBS items 12315 and 12321 would already impact the utilisation of the 5-year and 2-year testing items in the 70–</w:t>
      </w:r>
      <w:proofErr w:type="gramStart"/>
      <w:r w:rsidRPr="00E87379">
        <w:rPr>
          <w:rFonts w:ascii="Franklin Gothic Book" w:eastAsia="Times New Roman" w:hAnsi="Franklin Gothic Book" w:cstheme="minorHAnsi"/>
          <w:iCs/>
          <w:lang w:eastAsia="en-AU"/>
        </w:rPr>
        <w:t>74 year old</w:t>
      </w:r>
      <w:proofErr w:type="gramEnd"/>
      <w:r w:rsidRPr="00E87379">
        <w:rPr>
          <w:rFonts w:ascii="Franklin Gothic Book" w:eastAsia="Times New Roman" w:hAnsi="Franklin Gothic Book" w:cstheme="minorHAnsi"/>
          <w:iCs/>
          <w:lang w:eastAsia="en-AU"/>
        </w:rPr>
        <w:t xml:space="preserve"> age band, which was used as the basis for modelled projections. The utilisation estimates make an implicit assumption that the utilisation of these MBS items will be broadly similar between the 60–</w:t>
      </w:r>
      <w:proofErr w:type="gramStart"/>
      <w:r w:rsidRPr="00E87379">
        <w:rPr>
          <w:rFonts w:ascii="Franklin Gothic Book" w:eastAsia="Times New Roman" w:hAnsi="Franklin Gothic Book" w:cstheme="minorHAnsi"/>
          <w:iCs/>
          <w:lang w:eastAsia="en-AU"/>
        </w:rPr>
        <w:t>69 year old</w:t>
      </w:r>
      <w:proofErr w:type="gramEnd"/>
      <w:r w:rsidRPr="00E87379">
        <w:rPr>
          <w:rFonts w:ascii="Franklin Gothic Book" w:eastAsia="Times New Roman" w:hAnsi="Franklin Gothic Book" w:cstheme="minorHAnsi"/>
          <w:iCs/>
          <w:lang w:eastAsia="en-AU"/>
        </w:rPr>
        <w:t xml:space="preserve"> age band and the 70-74 year old age band.</w:t>
      </w:r>
    </w:p>
    <w:p w14:paraId="6C4A4533" w14:textId="0DEC0804" w:rsidR="00E63D7F" w:rsidRPr="00E87379" w:rsidRDefault="00897FFC" w:rsidP="00E87379">
      <w:pPr>
        <w:spacing w:before="240" w:after="0"/>
        <w:jc w:val="both"/>
        <w:rPr>
          <w:rFonts w:ascii="Franklin Gothic Book" w:eastAsia="Times New Roman" w:hAnsi="Franklin Gothic Book" w:cstheme="minorHAnsi"/>
          <w:lang w:eastAsia="en-AU"/>
        </w:rPr>
      </w:pPr>
      <w:r w:rsidRPr="00E87379">
        <w:rPr>
          <w:rFonts w:ascii="Franklin Gothic Book" w:eastAsia="Times New Roman" w:hAnsi="Franklin Gothic Book" w:cstheme="minorHAnsi"/>
          <w:lang w:eastAsia="en-AU"/>
        </w:rPr>
        <w:t xml:space="preserve">The </w:t>
      </w:r>
      <w:r w:rsidR="00CB282E" w:rsidRPr="00E87379">
        <w:rPr>
          <w:rFonts w:ascii="Franklin Gothic Book" w:eastAsia="Times New Roman" w:hAnsi="Franklin Gothic Book" w:cstheme="minorHAnsi"/>
          <w:lang w:eastAsia="en-AU"/>
        </w:rPr>
        <w:t>cumulative cost</w:t>
      </w:r>
      <w:r w:rsidR="001E282E" w:rsidRPr="00E87379">
        <w:rPr>
          <w:rFonts w:ascii="Franklin Gothic Book" w:eastAsia="Times New Roman" w:hAnsi="Franklin Gothic Book" w:cstheme="minorHAnsi"/>
          <w:lang w:eastAsia="en-AU"/>
        </w:rPr>
        <w:t xml:space="preserve"> for BMD testing</w:t>
      </w:r>
      <w:r w:rsidR="0088711C" w:rsidRPr="00E87379">
        <w:rPr>
          <w:rFonts w:ascii="Franklin Gothic Book" w:eastAsia="Times New Roman" w:hAnsi="Franklin Gothic Book" w:cstheme="minorHAnsi"/>
          <w:lang w:eastAsia="en-AU"/>
        </w:rPr>
        <w:t xml:space="preserve"> to</w:t>
      </w:r>
      <w:r w:rsidR="00EE5306" w:rsidRPr="00E87379">
        <w:rPr>
          <w:rFonts w:ascii="Franklin Gothic Book" w:eastAsia="Times New Roman" w:hAnsi="Franklin Gothic Book" w:cstheme="minorHAnsi"/>
          <w:lang w:eastAsia="en-AU"/>
        </w:rPr>
        <w:t xml:space="preserve"> the MBS</w:t>
      </w:r>
      <w:r w:rsidR="00CB282E" w:rsidRPr="00E87379">
        <w:rPr>
          <w:rFonts w:ascii="Franklin Gothic Book" w:eastAsia="Times New Roman" w:hAnsi="Franklin Gothic Book" w:cstheme="minorHAnsi"/>
          <w:lang w:eastAsia="en-AU"/>
        </w:rPr>
        <w:t xml:space="preserve"> over 6 years was unchanged in the Addendum results</w:t>
      </w:r>
      <w:r w:rsidR="004A7461" w:rsidRPr="00E87379">
        <w:rPr>
          <w:rFonts w:ascii="Franklin Gothic Book" w:eastAsia="Times New Roman" w:hAnsi="Franklin Gothic Book" w:cstheme="minorHAnsi"/>
          <w:lang w:eastAsia="en-AU"/>
        </w:rPr>
        <w:t xml:space="preserve">, </w:t>
      </w:r>
      <w:r w:rsidR="002149BA" w:rsidRPr="00E87379">
        <w:rPr>
          <w:rFonts w:ascii="Franklin Gothic Book" w:eastAsia="Times New Roman" w:hAnsi="Franklin Gothic Book" w:cstheme="minorHAnsi"/>
          <w:lang w:eastAsia="en-AU"/>
        </w:rPr>
        <w:t xml:space="preserve">except for </w:t>
      </w:r>
      <w:r w:rsidR="00EE1DBF" w:rsidRPr="00E87379">
        <w:rPr>
          <w:rFonts w:ascii="Franklin Gothic Book" w:eastAsia="Times New Roman" w:hAnsi="Franklin Gothic Book" w:cstheme="minorHAnsi"/>
          <w:lang w:eastAsia="en-AU"/>
        </w:rPr>
        <w:t>the</w:t>
      </w:r>
      <w:r w:rsidR="001E282E" w:rsidRPr="00E87379">
        <w:rPr>
          <w:rFonts w:ascii="Franklin Gothic Book" w:eastAsia="Times New Roman" w:hAnsi="Franklin Gothic Book" w:cstheme="minorHAnsi"/>
          <w:lang w:eastAsia="en-AU"/>
        </w:rPr>
        <w:t xml:space="preserve"> MBS financial estimates </w:t>
      </w:r>
      <w:r w:rsidR="0082029A" w:rsidRPr="00E87379">
        <w:rPr>
          <w:rFonts w:ascii="Franklin Gothic Book" w:eastAsia="Times New Roman" w:hAnsi="Franklin Gothic Book" w:cstheme="minorHAnsi"/>
          <w:lang w:eastAsia="en-AU"/>
        </w:rPr>
        <w:t>for zoledronic acid</w:t>
      </w:r>
      <w:r w:rsidR="007F0F67" w:rsidRPr="00E87379">
        <w:rPr>
          <w:rFonts w:ascii="Franklin Gothic Book" w:eastAsia="Times New Roman" w:hAnsi="Franklin Gothic Book" w:cstheme="minorHAnsi"/>
          <w:lang w:eastAsia="en-AU"/>
        </w:rPr>
        <w:t>,</w:t>
      </w:r>
      <w:r w:rsidR="0082029A" w:rsidRPr="00E87379">
        <w:rPr>
          <w:rFonts w:ascii="Franklin Gothic Book" w:eastAsia="Times New Roman" w:hAnsi="Franklin Gothic Book" w:cstheme="minorHAnsi"/>
          <w:lang w:eastAsia="en-AU"/>
        </w:rPr>
        <w:t xml:space="preserve"> which also included administration costs ($76.08 at 80% benefit item 104 specialist </w:t>
      </w:r>
      <w:r w:rsidR="003D5585" w:rsidRPr="00E87379">
        <w:rPr>
          <w:rFonts w:ascii="Franklin Gothic Book" w:eastAsia="Times New Roman" w:hAnsi="Franklin Gothic Book" w:cstheme="minorHAnsi"/>
          <w:lang w:eastAsia="en-AU"/>
        </w:rPr>
        <w:t xml:space="preserve">visit, September 2023 MBS </w:t>
      </w:r>
      <w:r w:rsidR="003D5585" w:rsidRPr="00E87379">
        <w:rPr>
          <w:rFonts w:ascii="Franklin Gothic Book" w:eastAsia="Times New Roman" w:hAnsi="Franklin Gothic Book" w:cstheme="minorHAnsi"/>
          <w:lang w:eastAsia="en-AU"/>
        </w:rPr>
        <w:lastRenderedPageBreak/>
        <w:t>Schedule [$95.10]</w:t>
      </w:r>
      <w:r w:rsidR="00FC5CAF" w:rsidRPr="00E87379">
        <w:rPr>
          <w:rFonts w:ascii="Franklin Gothic Book" w:eastAsia="Times New Roman" w:hAnsi="Franklin Gothic Book" w:cstheme="minorHAnsi"/>
          <w:lang w:eastAsia="en-AU"/>
        </w:rPr>
        <w:t>)</w:t>
      </w:r>
      <w:r w:rsidR="003D5585" w:rsidRPr="00E87379">
        <w:rPr>
          <w:rFonts w:ascii="Franklin Gothic Book" w:eastAsia="Times New Roman" w:hAnsi="Franklin Gothic Book" w:cstheme="minorHAnsi"/>
          <w:lang w:eastAsia="en-AU"/>
        </w:rPr>
        <w:t xml:space="preserve"> based on yearly intravenous costs that were included in the economic model</w:t>
      </w:r>
      <w:r w:rsidR="00FE1C9F" w:rsidRPr="00E87379">
        <w:rPr>
          <w:rFonts w:ascii="Franklin Gothic Book" w:eastAsia="Times New Roman" w:hAnsi="Franklin Gothic Book" w:cstheme="minorHAnsi"/>
          <w:lang w:eastAsia="en-AU"/>
        </w:rPr>
        <w:t>.</w:t>
      </w:r>
      <w:r w:rsidR="006955AE" w:rsidRPr="00E87379">
        <w:rPr>
          <w:rFonts w:ascii="Franklin Gothic Book" w:eastAsia="Times New Roman" w:hAnsi="Franklin Gothic Book" w:cstheme="minorHAnsi"/>
          <w:lang w:eastAsia="en-AU"/>
        </w:rPr>
        <w:t xml:space="preserve"> See tables </w:t>
      </w:r>
      <w:r w:rsidR="0082655F" w:rsidRPr="00E87379">
        <w:rPr>
          <w:rFonts w:ascii="Franklin Gothic Book" w:eastAsia="Times New Roman" w:hAnsi="Franklin Gothic Book" w:cstheme="minorHAnsi"/>
          <w:lang w:eastAsia="en-AU"/>
        </w:rPr>
        <w:t xml:space="preserve">12-16 above in </w:t>
      </w:r>
      <w:r w:rsidR="004173BB" w:rsidRPr="00E87379">
        <w:rPr>
          <w:rFonts w:ascii="Franklin Gothic Book" w:hAnsi="Franklin Gothic Book"/>
        </w:rPr>
        <w:t>Section</w:t>
      </w:r>
      <w:r w:rsidR="001D65EB" w:rsidRPr="00E87379">
        <w:rPr>
          <w:rFonts w:ascii="Franklin Gothic Book" w:eastAsia="Times New Roman" w:hAnsi="Franklin Gothic Book" w:cstheme="minorHAnsi"/>
          <w:lang w:eastAsia="en-AU"/>
        </w:rPr>
        <w:t> </w:t>
      </w:r>
      <w:r w:rsidR="000B0EC4">
        <w:rPr>
          <w:rFonts w:ascii="Franklin Gothic Book" w:eastAsia="Times New Roman" w:hAnsi="Franklin Gothic Book" w:cstheme="minorHAnsi"/>
          <w:lang w:eastAsia="en-AU"/>
        </w:rPr>
        <w:t>10</w:t>
      </w:r>
      <w:r w:rsidR="004173BB" w:rsidRPr="00E87379">
        <w:rPr>
          <w:rFonts w:ascii="Franklin Gothic Book" w:eastAsia="Times New Roman" w:hAnsi="Franklin Gothic Book" w:cstheme="minorHAnsi"/>
          <w:lang w:eastAsia="en-AU"/>
        </w:rPr>
        <w:t>.</w:t>
      </w:r>
    </w:p>
    <w:p w14:paraId="68B3F611" w14:textId="32FC3827" w:rsidR="00E45122" w:rsidRPr="00E87379" w:rsidDel="00D57491" w:rsidRDefault="00891299" w:rsidP="00E87379">
      <w:pPr>
        <w:pStyle w:val="xmsolistparagraph"/>
        <w:spacing w:before="240"/>
        <w:ind w:left="0"/>
        <w:jc w:val="both"/>
        <w:rPr>
          <w:rFonts w:ascii="Franklin Gothic Book" w:eastAsia="Times New Roman" w:hAnsi="Franklin Gothic Book" w:cstheme="minorBidi"/>
        </w:rPr>
      </w:pPr>
      <w:r w:rsidRPr="00E87379">
        <w:rPr>
          <w:rFonts w:ascii="Franklin Gothic Book" w:eastAsia="Times New Roman" w:hAnsi="Franklin Gothic Book" w:cstheme="minorBidi"/>
        </w:rPr>
        <w:t>The cumulative cost</w:t>
      </w:r>
      <w:r w:rsidR="00C3518D" w:rsidRPr="00E87379">
        <w:rPr>
          <w:rFonts w:ascii="Franklin Gothic Book" w:eastAsia="Times New Roman" w:hAnsi="Franklin Gothic Book" w:cstheme="minorBidi"/>
        </w:rPr>
        <w:t xml:space="preserve"> over 6 years</w:t>
      </w:r>
      <w:r w:rsidRPr="00E87379">
        <w:rPr>
          <w:rFonts w:ascii="Franklin Gothic Book" w:eastAsia="Times New Roman" w:hAnsi="Franklin Gothic Book" w:cstheme="minorBidi"/>
        </w:rPr>
        <w:t xml:space="preserve"> to the </w:t>
      </w:r>
      <w:r w:rsidR="00EE5306" w:rsidRPr="00E87379">
        <w:rPr>
          <w:rFonts w:ascii="Franklin Gothic Book" w:eastAsia="Times New Roman" w:hAnsi="Franklin Gothic Book" w:cstheme="minorBidi"/>
        </w:rPr>
        <w:t xml:space="preserve">PBS </w:t>
      </w:r>
      <w:r w:rsidR="00C3518D" w:rsidRPr="00E87379">
        <w:rPr>
          <w:rFonts w:ascii="Franklin Gothic Book" w:eastAsia="Times New Roman" w:hAnsi="Franklin Gothic Book" w:cstheme="minorBidi"/>
        </w:rPr>
        <w:t xml:space="preserve">for the various </w:t>
      </w:r>
      <w:r w:rsidR="00481982" w:rsidRPr="00E87379">
        <w:rPr>
          <w:rFonts w:ascii="Franklin Gothic Book" w:eastAsia="Times New Roman" w:hAnsi="Franklin Gothic Book" w:cstheme="minorBidi"/>
        </w:rPr>
        <w:t xml:space="preserve">osteoporosis </w:t>
      </w:r>
      <w:r w:rsidR="00C3518D" w:rsidRPr="00E87379">
        <w:rPr>
          <w:rFonts w:ascii="Franklin Gothic Book" w:eastAsia="Times New Roman" w:hAnsi="Franklin Gothic Book" w:cstheme="minorBidi"/>
        </w:rPr>
        <w:t>medicines</w:t>
      </w:r>
      <w:r w:rsidR="00481982" w:rsidRPr="00E87379">
        <w:rPr>
          <w:rFonts w:ascii="Franklin Gothic Book" w:eastAsia="Times New Roman" w:hAnsi="Franklin Gothic Book" w:cstheme="minorBidi"/>
        </w:rPr>
        <w:t xml:space="preserve"> (</w:t>
      </w:r>
      <w:r w:rsidR="008503F5" w:rsidRPr="00E87379">
        <w:rPr>
          <w:rFonts w:ascii="Franklin Gothic Book" w:eastAsia="Times New Roman" w:hAnsi="Franklin Gothic Book" w:cstheme="minorBidi"/>
        </w:rPr>
        <w:t>risedronate EC</w:t>
      </w:r>
      <w:r w:rsidR="00032E5C" w:rsidRPr="00E87379">
        <w:rPr>
          <w:rFonts w:ascii="Franklin Gothic Book" w:eastAsia="Times New Roman" w:hAnsi="Franklin Gothic Book" w:cstheme="minorBidi"/>
        </w:rPr>
        <w:t xml:space="preserve"> </w:t>
      </w:r>
      <w:r w:rsidR="0090200D" w:rsidRPr="00E87379">
        <w:rPr>
          <w:rFonts w:ascii="Franklin Gothic Book" w:eastAsia="Times New Roman" w:hAnsi="Franklin Gothic Book" w:cstheme="minorBidi"/>
        </w:rPr>
        <w:t>(</w:t>
      </w:r>
      <w:r w:rsidR="00032E5C" w:rsidRPr="00E87379">
        <w:rPr>
          <w:rFonts w:ascii="Franklin Gothic Book" w:eastAsia="Times New Roman" w:hAnsi="Franklin Gothic Book" w:cstheme="minorBidi"/>
        </w:rPr>
        <w:fldChar w:fldCharType="begin"/>
      </w:r>
      <w:r w:rsidR="00032E5C" w:rsidRPr="00E87379">
        <w:rPr>
          <w:rFonts w:ascii="Franklin Gothic Book" w:eastAsia="Times New Roman" w:hAnsi="Franklin Gothic Book" w:cstheme="minorBidi"/>
        </w:rPr>
        <w:instrText xml:space="preserve"> REF _Ref167806741 \h </w:instrText>
      </w:r>
      <w:r w:rsidR="0090200D" w:rsidRPr="00E87379">
        <w:rPr>
          <w:rFonts w:ascii="Franklin Gothic Book" w:eastAsia="Times New Roman" w:hAnsi="Franklin Gothic Book" w:cstheme="minorBidi"/>
        </w:rPr>
        <w:instrText xml:space="preserve"> \* MERGEFORMAT </w:instrText>
      </w:r>
      <w:r w:rsidR="00032E5C" w:rsidRPr="00E87379">
        <w:rPr>
          <w:rFonts w:ascii="Franklin Gothic Book" w:eastAsia="Times New Roman" w:hAnsi="Franklin Gothic Book" w:cstheme="minorBidi"/>
        </w:rPr>
      </w:r>
      <w:r w:rsidR="00032E5C" w:rsidRPr="00E87379">
        <w:rPr>
          <w:rFonts w:ascii="Franklin Gothic Book" w:eastAsia="Times New Roman" w:hAnsi="Franklin Gothic Book" w:cstheme="minorBidi"/>
        </w:rPr>
        <w:fldChar w:fldCharType="separate"/>
      </w:r>
      <w:r w:rsidR="00032E5C" w:rsidRPr="00E87379">
        <w:rPr>
          <w:rFonts w:ascii="Franklin Gothic Book" w:eastAsia="Times New Roman" w:hAnsi="Franklin Gothic Book" w:cstheme="minorBidi"/>
          <w14:ligatures w14:val="standardContextual"/>
        </w:rPr>
        <w:t>Table 12</w:t>
      </w:r>
      <w:r w:rsidR="00032E5C" w:rsidRPr="00E87379">
        <w:rPr>
          <w:rFonts w:ascii="Franklin Gothic Book" w:eastAsia="Times New Roman" w:hAnsi="Franklin Gothic Book" w:cstheme="minorBidi"/>
        </w:rPr>
        <w:fldChar w:fldCharType="end"/>
      </w:r>
      <w:r w:rsidR="008503F5" w:rsidRPr="00E87379">
        <w:rPr>
          <w:rFonts w:ascii="Franklin Gothic Book" w:eastAsia="Times New Roman" w:hAnsi="Franklin Gothic Book" w:cstheme="minorBidi"/>
        </w:rPr>
        <w:t>,</w:t>
      </w:r>
      <w:r w:rsidR="0090200D" w:rsidRPr="00E87379">
        <w:rPr>
          <w:rFonts w:ascii="Franklin Gothic Book" w:eastAsia="Times New Roman" w:hAnsi="Franklin Gothic Book" w:cstheme="minorBidi"/>
        </w:rPr>
        <w:t>)</w:t>
      </w:r>
      <w:r w:rsidR="008503F5" w:rsidRPr="00E87379">
        <w:rPr>
          <w:rFonts w:ascii="Franklin Gothic Book" w:eastAsia="Times New Roman" w:hAnsi="Franklin Gothic Book" w:cstheme="minorBidi"/>
        </w:rPr>
        <w:t xml:space="preserve"> </w:t>
      </w:r>
      <w:r w:rsidR="00131879" w:rsidRPr="00E87379">
        <w:rPr>
          <w:rFonts w:ascii="Franklin Gothic Book" w:eastAsia="Times New Roman" w:hAnsi="Franklin Gothic Book" w:cstheme="minorBidi"/>
        </w:rPr>
        <w:t>risedronate 5 mg daily</w:t>
      </w:r>
      <w:r w:rsidR="005442CF" w:rsidRPr="00E87379">
        <w:rPr>
          <w:rFonts w:ascii="Franklin Gothic Book" w:eastAsia="Times New Roman" w:hAnsi="Franklin Gothic Book" w:cstheme="minorBidi"/>
        </w:rPr>
        <w:t xml:space="preserve"> (</w:t>
      </w:r>
      <w:r w:rsidR="00032E5C" w:rsidRPr="00E87379">
        <w:rPr>
          <w:rFonts w:ascii="Franklin Gothic Book" w:eastAsia="Times New Roman" w:hAnsi="Franklin Gothic Book" w:cstheme="minorBidi"/>
        </w:rPr>
        <w:fldChar w:fldCharType="begin"/>
      </w:r>
      <w:r w:rsidR="00032E5C" w:rsidRPr="00E87379">
        <w:rPr>
          <w:rFonts w:ascii="Franklin Gothic Book" w:eastAsia="Times New Roman" w:hAnsi="Franklin Gothic Book" w:cstheme="minorBidi"/>
        </w:rPr>
        <w:instrText xml:space="preserve"> REF _Ref167807516 \h </w:instrText>
      </w:r>
      <w:r w:rsidR="0090200D" w:rsidRPr="00E87379">
        <w:rPr>
          <w:rFonts w:ascii="Franklin Gothic Book" w:eastAsia="Times New Roman" w:hAnsi="Franklin Gothic Book" w:cstheme="minorBidi"/>
        </w:rPr>
        <w:instrText xml:space="preserve"> \* MERGEFORMAT </w:instrText>
      </w:r>
      <w:r w:rsidR="00032E5C" w:rsidRPr="00E87379">
        <w:rPr>
          <w:rFonts w:ascii="Franklin Gothic Book" w:eastAsia="Times New Roman" w:hAnsi="Franklin Gothic Book" w:cstheme="minorBidi"/>
        </w:rPr>
      </w:r>
      <w:r w:rsidR="00032E5C" w:rsidRPr="00E87379">
        <w:rPr>
          <w:rFonts w:ascii="Franklin Gothic Book" w:eastAsia="Times New Roman" w:hAnsi="Franklin Gothic Book" w:cstheme="minorBidi"/>
        </w:rPr>
        <w:fldChar w:fldCharType="separate"/>
      </w:r>
      <w:r w:rsidR="00032E5C" w:rsidRPr="00E87379">
        <w:rPr>
          <w:rFonts w:ascii="Franklin Gothic Book" w:eastAsia="Times New Roman" w:hAnsi="Franklin Gothic Book" w:cstheme="minorBidi"/>
          <w14:ligatures w14:val="standardContextual"/>
        </w:rPr>
        <w:t>Table 13</w:t>
      </w:r>
      <w:r w:rsidR="00032E5C" w:rsidRPr="00E87379">
        <w:rPr>
          <w:rFonts w:ascii="Franklin Gothic Book" w:eastAsia="Times New Roman" w:hAnsi="Franklin Gothic Book" w:cstheme="minorBidi"/>
        </w:rPr>
        <w:fldChar w:fldCharType="end"/>
      </w:r>
      <w:r w:rsidR="005442CF" w:rsidRPr="00E87379">
        <w:rPr>
          <w:rFonts w:ascii="Franklin Gothic Book" w:eastAsia="Times New Roman" w:hAnsi="Franklin Gothic Book" w:cstheme="minorBidi"/>
        </w:rPr>
        <w:t>)</w:t>
      </w:r>
      <w:r w:rsidR="00131879" w:rsidRPr="00E87379">
        <w:rPr>
          <w:rFonts w:ascii="Franklin Gothic Book" w:eastAsia="Times New Roman" w:hAnsi="Franklin Gothic Book" w:cstheme="minorBidi"/>
        </w:rPr>
        <w:t>, risedronate 150 mg monthly</w:t>
      </w:r>
      <w:r w:rsidR="005442CF" w:rsidRPr="00E87379">
        <w:rPr>
          <w:rFonts w:ascii="Franklin Gothic Book" w:eastAsia="Times New Roman" w:hAnsi="Franklin Gothic Book" w:cstheme="minorBidi"/>
        </w:rPr>
        <w:t xml:space="preserve"> (</w:t>
      </w:r>
      <w:r w:rsidR="00032E5C" w:rsidRPr="00E87379">
        <w:rPr>
          <w:rFonts w:ascii="Franklin Gothic Book" w:eastAsia="Times New Roman" w:hAnsi="Franklin Gothic Book" w:cstheme="minorBidi"/>
        </w:rPr>
        <w:fldChar w:fldCharType="begin"/>
      </w:r>
      <w:r w:rsidR="00032E5C" w:rsidRPr="00E87379">
        <w:rPr>
          <w:rFonts w:ascii="Franklin Gothic Book" w:eastAsia="Times New Roman" w:hAnsi="Franklin Gothic Book" w:cstheme="minorBidi"/>
        </w:rPr>
        <w:instrText xml:space="preserve"> REF _Ref167807524 \h </w:instrText>
      </w:r>
      <w:r w:rsidR="0090200D" w:rsidRPr="00E87379">
        <w:rPr>
          <w:rFonts w:ascii="Franklin Gothic Book" w:eastAsia="Times New Roman" w:hAnsi="Franklin Gothic Book" w:cstheme="minorBidi"/>
        </w:rPr>
        <w:instrText xml:space="preserve"> \* MERGEFORMAT </w:instrText>
      </w:r>
      <w:r w:rsidR="00032E5C" w:rsidRPr="00E87379">
        <w:rPr>
          <w:rFonts w:ascii="Franklin Gothic Book" w:eastAsia="Times New Roman" w:hAnsi="Franklin Gothic Book" w:cstheme="minorBidi"/>
        </w:rPr>
      </w:r>
      <w:r w:rsidR="00032E5C" w:rsidRPr="00E87379">
        <w:rPr>
          <w:rFonts w:ascii="Franklin Gothic Book" w:eastAsia="Times New Roman" w:hAnsi="Franklin Gothic Book" w:cstheme="minorBidi"/>
        </w:rPr>
        <w:fldChar w:fldCharType="separate"/>
      </w:r>
      <w:r w:rsidR="00032E5C" w:rsidRPr="00E87379">
        <w:rPr>
          <w:rFonts w:ascii="Franklin Gothic Book" w:eastAsia="Times New Roman" w:hAnsi="Franklin Gothic Book" w:cstheme="minorBidi"/>
          <w14:ligatures w14:val="standardContextual"/>
        </w:rPr>
        <w:t>Table 14</w:t>
      </w:r>
      <w:r w:rsidR="00032E5C" w:rsidRPr="00E87379">
        <w:rPr>
          <w:rFonts w:ascii="Franklin Gothic Book" w:eastAsia="Times New Roman" w:hAnsi="Franklin Gothic Book" w:cstheme="minorBidi"/>
        </w:rPr>
        <w:fldChar w:fldCharType="end"/>
      </w:r>
      <w:r w:rsidR="005442CF" w:rsidRPr="00E87379">
        <w:rPr>
          <w:rFonts w:ascii="Franklin Gothic Book" w:eastAsia="Times New Roman" w:hAnsi="Franklin Gothic Book" w:cstheme="minorBidi"/>
        </w:rPr>
        <w:t>)</w:t>
      </w:r>
      <w:r w:rsidR="00131879" w:rsidRPr="00E87379">
        <w:rPr>
          <w:rFonts w:ascii="Franklin Gothic Book" w:eastAsia="Times New Roman" w:hAnsi="Franklin Gothic Book" w:cstheme="minorBidi"/>
        </w:rPr>
        <w:t>, alendronate 70 mg weekly</w:t>
      </w:r>
      <w:r w:rsidR="005442CF" w:rsidRPr="00E87379">
        <w:rPr>
          <w:rFonts w:ascii="Franklin Gothic Book" w:eastAsia="Times New Roman" w:hAnsi="Franklin Gothic Book" w:cstheme="minorBidi"/>
        </w:rPr>
        <w:t xml:space="preserve"> (</w:t>
      </w:r>
      <w:r w:rsidR="00032E5C" w:rsidRPr="00E87379">
        <w:rPr>
          <w:rFonts w:ascii="Franklin Gothic Book" w:eastAsia="Times New Roman" w:hAnsi="Franklin Gothic Book" w:cstheme="minorBidi"/>
        </w:rPr>
        <w:fldChar w:fldCharType="begin"/>
      </w:r>
      <w:r w:rsidR="00032E5C" w:rsidRPr="00E87379">
        <w:rPr>
          <w:rFonts w:ascii="Franklin Gothic Book" w:eastAsia="Times New Roman" w:hAnsi="Franklin Gothic Book" w:cstheme="minorBidi"/>
        </w:rPr>
        <w:instrText xml:space="preserve"> REF _Ref167807538 \h </w:instrText>
      </w:r>
      <w:r w:rsidR="0090200D" w:rsidRPr="00E87379">
        <w:rPr>
          <w:rFonts w:ascii="Franklin Gothic Book" w:eastAsia="Times New Roman" w:hAnsi="Franklin Gothic Book" w:cstheme="minorBidi"/>
        </w:rPr>
        <w:instrText xml:space="preserve"> \* MERGEFORMAT </w:instrText>
      </w:r>
      <w:r w:rsidR="00032E5C" w:rsidRPr="00E87379">
        <w:rPr>
          <w:rFonts w:ascii="Franklin Gothic Book" w:eastAsia="Times New Roman" w:hAnsi="Franklin Gothic Book" w:cstheme="minorBidi"/>
        </w:rPr>
      </w:r>
      <w:r w:rsidR="00032E5C" w:rsidRPr="00E87379">
        <w:rPr>
          <w:rFonts w:ascii="Franklin Gothic Book" w:eastAsia="Times New Roman" w:hAnsi="Franklin Gothic Book" w:cstheme="minorBidi"/>
        </w:rPr>
        <w:fldChar w:fldCharType="separate"/>
      </w:r>
      <w:r w:rsidR="00032E5C" w:rsidRPr="00E87379">
        <w:rPr>
          <w:rFonts w:ascii="Franklin Gothic Book" w:eastAsia="Times New Roman" w:hAnsi="Franklin Gothic Book" w:cstheme="minorBidi"/>
          <w14:ligatures w14:val="standardContextual"/>
        </w:rPr>
        <w:t>Table 15</w:t>
      </w:r>
      <w:r w:rsidR="00032E5C" w:rsidRPr="00E87379">
        <w:rPr>
          <w:rFonts w:ascii="Franklin Gothic Book" w:eastAsia="Times New Roman" w:hAnsi="Franklin Gothic Book" w:cstheme="minorBidi"/>
        </w:rPr>
        <w:fldChar w:fldCharType="end"/>
      </w:r>
      <w:r w:rsidR="005442CF" w:rsidRPr="00E87379">
        <w:rPr>
          <w:rFonts w:ascii="Franklin Gothic Book" w:eastAsia="Times New Roman" w:hAnsi="Franklin Gothic Book" w:cstheme="minorBidi"/>
        </w:rPr>
        <w:t>)</w:t>
      </w:r>
      <w:r w:rsidR="00131879" w:rsidRPr="00E87379">
        <w:rPr>
          <w:rFonts w:ascii="Franklin Gothic Book" w:eastAsia="Times New Roman" w:hAnsi="Franklin Gothic Book" w:cstheme="minorBidi"/>
        </w:rPr>
        <w:t>, zoledronic acid 5 mg injection yearly</w:t>
      </w:r>
      <w:r w:rsidR="005442CF" w:rsidRPr="00E87379">
        <w:rPr>
          <w:rFonts w:ascii="Franklin Gothic Book" w:eastAsia="Times New Roman" w:hAnsi="Franklin Gothic Book" w:cstheme="minorBidi"/>
        </w:rPr>
        <w:t xml:space="preserve"> (</w:t>
      </w:r>
      <w:r w:rsidR="0090200D" w:rsidRPr="00E87379">
        <w:rPr>
          <w:rFonts w:ascii="Franklin Gothic Book" w:eastAsia="Times New Roman" w:hAnsi="Franklin Gothic Book" w:cstheme="minorBidi"/>
        </w:rPr>
        <w:fldChar w:fldCharType="begin"/>
      </w:r>
      <w:r w:rsidR="0090200D" w:rsidRPr="00E87379">
        <w:rPr>
          <w:rFonts w:ascii="Franklin Gothic Book" w:eastAsia="Times New Roman" w:hAnsi="Franklin Gothic Book" w:cstheme="minorBidi"/>
        </w:rPr>
        <w:instrText xml:space="preserve"> REF _Ref167807548 \h  \* MERGEFORMAT </w:instrText>
      </w:r>
      <w:r w:rsidR="0090200D" w:rsidRPr="00E87379">
        <w:rPr>
          <w:rFonts w:ascii="Franklin Gothic Book" w:eastAsia="Times New Roman" w:hAnsi="Franklin Gothic Book" w:cstheme="minorBidi"/>
        </w:rPr>
      </w:r>
      <w:r w:rsidR="0090200D" w:rsidRPr="00E87379">
        <w:rPr>
          <w:rFonts w:ascii="Franklin Gothic Book" w:eastAsia="Times New Roman" w:hAnsi="Franklin Gothic Book" w:cstheme="minorBidi"/>
        </w:rPr>
        <w:fldChar w:fldCharType="separate"/>
      </w:r>
      <w:r w:rsidR="0090200D" w:rsidRPr="00E87379">
        <w:rPr>
          <w:rFonts w:ascii="Franklin Gothic Book" w:eastAsia="Times New Roman" w:hAnsi="Franklin Gothic Book" w:cstheme="minorBidi"/>
          <w14:ligatures w14:val="standardContextual"/>
        </w:rPr>
        <w:t>Table 16</w:t>
      </w:r>
      <w:r w:rsidR="0090200D" w:rsidRPr="00E87379">
        <w:rPr>
          <w:rFonts w:ascii="Franklin Gothic Book" w:eastAsia="Times New Roman" w:hAnsi="Franklin Gothic Book" w:cstheme="minorBidi"/>
        </w:rPr>
        <w:fldChar w:fldCharType="end"/>
      </w:r>
      <w:r w:rsidR="00131879" w:rsidRPr="00E87379">
        <w:rPr>
          <w:rFonts w:ascii="Franklin Gothic Book" w:eastAsia="Times New Roman" w:hAnsi="Franklin Gothic Book" w:cstheme="minorBidi"/>
        </w:rPr>
        <w:t xml:space="preserve">) are </w:t>
      </w:r>
      <w:r w:rsidR="005442CF" w:rsidRPr="00E87379">
        <w:rPr>
          <w:rFonts w:ascii="Franklin Gothic Book" w:eastAsia="Times New Roman" w:hAnsi="Franklin Gothic Book" w:cstheme="minorBidi"/>
        </w:rPr>
        <w:t xml:space="preserve">summarised above in </w:t>
      </w:r>
      <w:r w:rsidR="00852B68" w:rsidRPr="00E87379">
        <w:rPr>
          <w:rFonts w:ascii="Franklin Gothic Book" w:hAnsi="Franklin Gothic Book" w:cstheme="minorBidi"/>
        </w:rPr>
        <w:t>Section</w:t>
      </w:r>
      <w:r w:rsidR="001D65EB" w:rsidRPr="00E87379">
        <w:rPr>
          <w:rFonts w:ascii="Franklin Gothic Book" w:eastAsia="Times New Roman" w:hAnsi="Franklin Gothic Book" w:cstheme="minorBidi"/>
        </w:rPr>
        <w:t> </w:t>
      </w:r>
      <w:r w:rsidR="000B0EC4">
        <w:rPr>
          <w:rFonts w:ascii="Franklin Gothic Book" w:eastAsia="Times New Roman" w:hAnsi="Franklin Gothic Book" w:cstheme="minorBidi"/>
        </w:rPr>
        <w:t>10</w:t>
      </w:r>
      <w:r w:rsidR="00852B68" w:rsidRPr="00E87379">
        <w:rPr>
          <w:rFonts w:ascii="Franklin Gothic Book" w:eastAsia="Times New Roman" w:hAnsi="Franklin Gothic Book" w:cstheme="minorBidi"/>
        </w:rPr>
        <w:t>.</w:t>
      </w:r>
    </w:p>
    <w:p w14:paraId="44BAB7DF" w14:textId="705D3588" w:rsidR="00CD00AC" w:rsidRPr="004D5C3A" w:rsidRDefault="00E87379" w:rsidP="00E87379">
      <w:pPr>
        <w:pStyle w:val="Heading2"/>
      </w:pPr>
      <w:r>
        <w:t>12.</w:t>
      </w:r>
      <w:r>
        <w:tab/>
      </w:r>
      <w:r w:rsidR="00CD00AC" w:rsidRPr="004D5C3A">
        <w:t>Other relevant information</w:t>
      </w:r>
    </w:p>
    <w:p w14:paraId="596B5082" w14:textId="1CB9177D" w:rsidR="00F91CF6" w:rsidRDefault="008979C9" w:rsidP="00C96AC6">
      <w:pPr>
        <w:pStyle w:val="COMBody"/>
      </w:pPr>
      <w:r w:rsidRPr="00953311">
        <w:t>Nil</w:t>
      </w:r>
      <w:r w:rsidR="00C96AC6" w:rsidRPr="00953311">
        <w:t>.</w:t>
      </w:r>
    </w:p>
    <w:p w14:paraId="67D8FFFF" w14:textId="066F4DD5" w:rsidR="001E4D18" w:rsidRDefault="001E4D18" w:rsidP="001E4D18">
      <w:pPr>
        <w:pStyle w:val="Heading2"/>
      </w:pPr>
      <w:bookmarkStart w:id="41" w:name="_Ref175222421"/>
      <w:bookmarkStart w:id="42" w:name="_Toc145678765"/>
      <w:bookmarkStart w:id="43" w:name="_Toc150172410"/>
      <w:bookmarkStart w:id="44" w:name="_Toc153462785"/>
      <w:r>
        <w:t>13.</w:t>
      </w:r>
      <w:r>
        <w:tab/>
        <w:t>Key issues from ESC to MSAC</w:t>
      </w:r>
      <w:bookmarkEnd w:id="41"/>
    </w:p>
    <w:bookmarkEnd w:id="42"/>
    <w:bookmarkEnd w:id="43"/>
    <w:bookmarkEnd w:id="44"/>
    <w:p w14:paraId="054E2AEF" w14:textId="77777777" w:rsidR="006667AC" w:rsidRPr="001E4D18" w:rsidRDefault="006667AC" w:rsidP="006667AC">
      <w:pPr>
        <w:keepNext/>
        <w:keepLines/>
        <w:spacing w:before="40" w:after="0"/>
        <w:outlineLvl w:val="4"/>
        <w:rPr>
          <w:rFonts w:ascii="Franklin Gothic Book" w:eastAsia="Times New Roman" w:hAnsi="Franklin Gothic Book" w:cs="Calibri"/>
          <w:b/>
        </w:rPr>
      </w:pPr>
      <w:r w:rsidRPr="001E4D18">
        <w:rPr>
          <w:rFonts w:ascii="Franklin Gothic Book" w:hAnsi="Franklin Gothic Book" w:cstheme="minorHAnsi"/>
          <w:b/>
        </w:rPr>
        <w:t>Main issues for MSAC consideration</w:t>
      </w:r>
    </w:p>
    <w:tbl>
      <w:tblPr>
        <w:tblStyle w:val="TableGrid"/>
        <w:tblW w:w="0" w:type="auto"/>
        <w:tblLook w:val="04A0" w:firstRow="1" w:lastRow="0" w:firstColumn="1" w:lastColumn="0" w:noHBand="0" w:noVBand="1"/>
      </w:tblPr>
      <w:tblGrid>
        <w:gridCol w:w="9016"/>
      </w:tblGrid>
      <w:tr w:rsidR="006667AC" w:rsidRPr="001E4D18" w14:paraId="5923925F" w14:textId="77777777">
        <w:tc>
          <w:tcPr>
            <w:tcW w:w="9016" w:type="dxa"/>
          </w:tcPr>
          <w:p w14:paraId="22D1D1B1" w14:textId="77777777" w:rsidR="006667AC" w:rsidRPr="001E4D18" w:rsidRDefault="006667AC">
            <w:pPr>
              <w:pStyle w:val="Instructionaltext"/>
              <w:rPr>
                <w:rFonts w:cstheme="minorHAnsi"/>
                <w:color w:val="auto"/>
              </w:rPr>
            </w:pPr>
            <w:r w:rsidRPr="001E4D18">
              <w:rPr>
                <w:rFonts w:eastAsia="Calibri" w:cstheme="minorHAnsi"/>
                <w:color w:val="auto"/>
              </w:rPr>
              <w:t>No additional issues, to those previously outlined in the Ratified MSAC ESC report for application 1758 from February 2024, have been identified in the additional analyses performed in the Addendum. Thus, the main issues for the proposed expansion of BMD testing for MSAC consideration relate to those issues already identified by the MSAC ESC, as outlined below:</w:t>
            </w:r>
          </w:p>
          <w:p w14:paraId="666635FC" w14:textId="77777777" w:rsidR="006667AC" w:rsidRPr="001E4D18" w:rsidRDefault="006667AC">
            <w:pPr>
              <w:rPr>
                <w:rFonts w:ascii="Franklin Gothic Book" w:hAnsi="Franklin Gothic Book" w:cstheme="minorHAnsi"/>
                <w:b/>
              </w:rPr>
            </w:pPr>
            <w:r w:rsidRPr="001E4D18">
              <w:rPr>
                <w:rFonts w:ascii="Franklin Gothic Book" w:hAnsi="Franklin Gothic Book" w:cstheme="minorHAnsi"/>
                <w:b/>
              </w:rPr>
              <w:t>Economic issues:</w:t>
            </w:r>
          </w:p>
          <w:p w14:paraId="7A31F7B5" w14:textId="77777777" w:rsidR="006667AC" w:rsidRPr="001E4D18" w:rsidRDefault="006667AC">
            <w:pPr>
              <w:pStyle w:val="ListParagraph"/>
              <w:numPr>
                <w:ilvl w:val="0"/>
                <w:numId w:val="11"/>
              </w:numPr>
              <w:spacing w:after="0"/>
              <w:jc w:val="both"/>
              <w:rPr>
                <w:rFonts w:ascii="Franklin Gothic Book" w:hAnsi="Franklin Gothic Book" w:cstheme="minorHAnsi"/>
              </w:rPr>
            </w:pPr>
            <w:r w:rsidRPr="001E4D18">
              <w:rPr>
                <w:rFonts w:ascii="Franklin Gothic Book" w:hAnsi="Franklin Gothic Book" w:cstheme="minorHAnsi"/>
              </w:rPr>
              <w:t>The model structure relied on assumptions of 100% test uptake and 100% test accuracy, which are unlikely to be realised in clinical practice. However, there were no available data to reliably estimate uptake levels or test accuracy in the target population. Consequently, the estimated upfront cost associated with BMD testing should be considered the most optimistic estimate.</w:t>
            </w:r>
          </w:p>
          <w:p w14:paraId="0C000EA7" w14:textId="30C192A5" w:rsidR="006667AC" w:rsidRPr="00E15F2E" w:rsidRDefault="006667AC" w:rsidP="00E15F2E">
            <w:pPr>
              <w:pStyle w:val="ListParagraph"/>
              <w:numPr>
                <w:ilvl w:val="0"/>
                <w:numId w:val="11"/>
              </w:numPr>
              <w:jc w:val="both"/>
              <w:rPr>
                <w:rFonts w:ascii="Franklin Gothic Book" w:hAnsi="Franklin Gothic Book"/>
              </w:rPr>
            </w:pPr>
            <w:r w:rsidRPr="001E4D18">
              <w:rPr>
                <w:rFonts w:ascii="Franklin Gothic Book" w:hAnsi="Franklin Gothic Book"/>
              </w:rPr>
              <w:t xml:space="preserve">Results from the base case analysis indicated a number needed to test of 47 to identify an additional patient with osteoporosis, based on the proposed eligibility criteria for 2- and 5-yearly BMD tests. Alternative scenarios based on a higher age threshold and reduced </w:t>
            </w:r>
            <w:proofErr w:type="gramStart"/>
            <w:r w:rsidRPr="001E4D18">
              <w:rPr>
                <w:rFonts w:ascii="Franklin Gothic Book" w:hAnsi="Franklin Gothic Book"/>
              </w:rPr>
              <w:t>frequency</w:t>
            </w:r>
            <w:proofErr w:type="gramEnd"/>
            <w:r w:rsidRPr="001E4D18">
              <w:rPr>
                <w:rFonts w:ascii="Franklin Gothic Book" w:hAnsi="Franklin Gothic Book"/>
              </w:rPr>
              <w:t xml:space="preserve"> or removal of repeat testing produced more favourable ICERs. As above, the expansion of BMD testing to those of 65-69 years of age with no repeat BMD testing was considered the respecified base case and most relevant for decision making.</w:t>
            </w:r>
          </w:p>
          <w:p w14:paraId="793ED011" w14:textId="77777777" w:rsidR="006667AC" w:rsidRPr="001E4D18" w:rsidRDefault="006667AC">
            <w:pPr>
              <w:keepNext/>
              <w:rPr>
                <w:rFonts w:ascii="Franklin Gothic Book" w:hAnsi="Franklin Gothic Book" w:cstheme="minorHAnsi"/>
                <w:b/>
              </w:rPr>
            </w:pPr>
            <w:r w:rsidRPr="001E4D18">
              <w:rPr>
                <w:rFonts w:ascii="Franklin Gothic Book" w:hAnsi="Franklin Gothic Book" w:cstheme="minorHAnsi"/>
                <w:b/>
              </w:rPr>
              <w:t>Financial issues:</w:t>
            </w:r>
          </w:p>
          <w:p w14:paraId="79C10D3D" w14:textId="77777777" w:rsidR="006667AC" w:rsidRPr="001E4D18" w:rsidRDefault="006667AC" w:rsidP="00E15F2E">
            <w:pPr>
              <w:pStyle w:val="Instructionaltext"/>
              <w:numPr>
                <w:ilvl w:val="0"/>
                <w:numId w:val="13"/>
              </w:numPr>
              <w:spacing w:after="0" w:line="240" w:lineRule="auto"/>
              <w:rPr>
                <w:rFonts w:cstheme="minorHAnsi"/>
                <w:color w:val="auto"/>
              </w:rPr>
            </w:pPr>
            <w:r w:rsidRPr="001E4D18">
              <w:rPr>
                <w:rFonts w:cstheme="minorHAnsi"/>
                <w:color w:val="auto"/>
              </w:rPr>
              <w:t>The modelled testing scenario with the most favourable cost-effectiveness and lowest financial impact is expanding MBS items 13230 and 12322 to people aged 65–69 years with no option for repeat testing until the age of 70.</w:t>
            </w:r>
          </w:p>
          <w:p w14:paraId="7E25E11B" w14:textId="77777777" w:rsidR="006667AC" w:rsidRPr="001E4D18" w:rsidRDefault="006667AC" w:rsidP="00E15F2E">
            <w:pPr>
              <w:pStyle w:val="Instructionaltext-bullet"/>
              <w:spacing w:line="240" w:lineRule="auto"/>
              <w:rPr>
                <w:color w:val="auto"/>
              </w:rPr>
            </w:pPr>
            <w:r w:rsidRPr="001E4D18">
              <w:rPr>
                <w:color w:val="auto"/>
              </w:rPr>
              <w:t>There are limited data to estimate the utilisation of BMD testing in populations younger than 70 years of age. The analysis depended on the extrapolation of BMD testing rates in older populations to younger populations, which may not reflect likely clinical practice.</w:t>
            </w:r>
          </w:p>
          <w:p w14:paraId="0E39C412" w14:textId="77777777" w:rsidR="006667AC" w:rsidRPr="001E4D18" w:rsidRDefault="006667AC" w:rsidP="00E15F2E">
            <w:pPr>
              <w:pStyle w:val="Instructionaltext-bullet"/>
              <w:spacing w:after="240" w:line="240" w:lineRule="auto"/>
              <w:rPr>
                <w:rFonts w:cstheme="minorHAnsi"/>
              </w:rPr>
            </w:pPr>
            <w:r w:rsidRPr="001E4D18">
              <w:rPr>
                <w:rFonts w:cstheme="minorHAnsi"/>
                <w:color w:val="auto"/>
              </w:rPr>
              <w:t>There has been significant increase in utilisation of the BMD items listed on the MBS which may mean that the BMD testing expenditure through the budget impact may be larger than estimated.</w:t>
            </w:r>
          </w:p>
        </w:tc>
      </w:tr>
    </w:tbl>
    <w:p w14:paraId="37C6D854" w14:textId="6F4C7F8D" w:rsidR="006667AC" w:rsidRPr="001E4D18" w:rsidRDefault="001E4D18" w:rsidP="001E4D18">
      <w:pPr>
        <w:keepNext/>
        <w:keepLines/>
        <w:spacing w:before="240" w:after="120"/>
        <w:outlineLvl w:val="4"/>
        <w:rPr>
          <w:rFonts w:ascii="Franklin Gothic Book" w:eastAsia="Times New Roman" w:hAnsi="Franklin Gothic Book" w:cs="Calibri"/>
          <w:b/>
        </w:rPr>
      </w:pPr>
      <w:r>
        <w:rPr>
          <w:rFonts w:ascii="Franklin Gothic Book" w:hAnsi="Franklin Gothic Book" w:cstheme="minorHAnsi"/>
          <w:b/>
          <w:bCs/>
        </w:rPr>
        <w:lastRenderedPageBreak/>
        <w:t>ESC discussion</w:t>
      </w:r>
    </w:p>
    <w:p w14:paraId="6265D240" w14:textId="77777777" w:rsidR="006667AC" w:rsidRPr="001E4D18" w:rsidRDefault="006667AC" w:rsidP="006667AC">
      <w:pPr>
        <w:spacing w:after="160" w:line="257" w:lineRule="auto"/>
        <w:jc w:val="both"/>
        <w:rPr>
          <w:rFonts w:ascii="Franklin Gothic Book" w:hAnsi="Franklin Gothic Book"/>
          <w:lang w:eastAsia="en-AU"/>
        </w:rPr>
      </w:pPr>
      <w:r w:rsidRPr="001E4D18">
        <w:rPr>
          <w:rFonts w:ascii="Franklin Gothic Book" w:eastAsiaTheme="minorEastAsia" w:hAnsi="Franklin Gothic Book"/>
          <w:lang w:eastAsia="en-AU"/>
        </w:rPr>
        <w:t>The PBAC ESC and MSAC ESC (hereafter ‘ESCs’) noted that in February 2024, the MSAC ESC considered Department Contracted Assessment Report (DCAR) for application 1758. The ESCs noted that, to address some outstanding uncertainties, the MSAC ESC had requested additional work for the assessment to subsequently be jointly considered by the ESCs. The ESCs noted that the primary areas of concern were related to the incremental cost-effectiveness ratios (ICERs), budget impact analyses and methodology used for the financial analyses if MBS items 13230 and 12322 were expanded to include the 60-69 age range for bone mineral densitometry (BMD) testing. The ESCs noted this additional work was completed through the Addendum to the DCAR, included in Section 7 (Economic Evaluation) and Section 8 (Financial impacts) of this report.</w:t>
      </w:r>
    </w:p>
    <w:p w14:paraId="773FC2E1" w14:textId="77777777" w:rsidR="006667AC" w:rsidRPr="001E4D18" w:rsidRDefault="006667AC" w:rsidP="006667AC">
      <w:pPr>
        <w:spacing w:after="160" w:line="257" w:lineRule="auto"/>
        <w:jc w:val="both"/>
        <w:rPr>
          <w:rFonts w:ascii="Franklin Gothic Book" w:hAnsi="Franklin Gothic Book"/>
          <w:lang w:eastAsia="en-AU"/>
        </w:rPr>
      </w:pPr>
      <w:r w:rsidRPr="001E4D18">
        <w:rPr>
          <w:rFonts w:ascii="Franklin Gothic Book" w:eastAsiaTheme="minorEastAsia" w:hAnsi="Franklin Gothic Book"/>
          <w:lang w:eastAsia="en-AU"/>
        </w:rPr>
        <w:t>The ESCs noted the Addendum provided a summary table of ICERs and budget impact analyses to inform MSAC advice on expanding MBS items 13230 and 12322, and the PBAC’s reconsideration of its deferred advice from the Osteoporosis Therapy Restrictions Review in September 2021.</w:t>
      </w:r>
    </w:p>
    <w:p w14:paraId="64242593" w14:textId="77777777" w:rsidR="006667AC" w:rsidRPr="001E4D18" w:rsidRDefault="006667AC" w:rsidP="006667AC">
      <w:pPr>
        <w:pStyle w:val="Instructionaltext-bullet"/>
        <w:numPr>
          <w:ilvl w:val="0"/>
          <w:numId w:val="0"/>
        </w:numPr>
        <w:spacing w:before="120" w:after="120"/>
        <w:rPr>
          <w:color w:val="auto"/>
          <w:lang w:eastAsia="en-AU"/>
        </w:rPr>
      </w:pPr>
      <w:r w:rsidRPr="001E4D18">
        <w:rPr>
          <w:color w:val="auto"/>
          <w:lang w:eastAsia="en-AU"/>
        </w:rPr>
        <w:t xml:space="preserve">The ESCs noted the ICERs in the summary tables in the Addendum were based on five different age range/repeat testing scenarios for the cost-effectiveness analysis (CEA) [Part A of the economic analysis] which estimated the cost per additional patient diagnosed with osteoporosis with the proposed expansion of BMD testing. In addition, the summary tables provided sensitivity analyses for the cost-utility analysis (CUA) [Part A &amp; B of the economic analysis] of early versus delayed osteoporosis treatment using a </w:t>
      </w:r>
      <w:proofErr w:type="gramStart"/>
      <w:r w:rsidRPr="001E4D18">
        <w:rPr>
          <w:color w:val="auto"/>
          <w:lang w:eastAsia="en-AU"/>
        </w:rPr>
        <w:t>10 year</w:t>
      </w:r>
      <w:proofErr w:type="gramEnd"/>
      <w:r w:rsidRPr="001E4D18">
        <w:rPr>
          <w:color w:val="auto"/>
          <w:lang w:eastAsia="en-AU"/>
        </w:rPr>
        <w:t xml:space="preserve"> time horizon and/or imperfect persistence. An imperfect persistence scenario was conducted assuming patients who discontinue treatment would reinitiate treatment (using standard care) if they experienced a fracture or in the absence of fracture, once they reached age 70 years (i.e. patients may initiate osteoporosis treatment more than once in their lifetime). The ESCs noted that the results of the CEA [Part A of the economic analysis] were unchanged in the Addendum and thus the issues for BMD testing were the same as those identified by the MSAC ESC in February 2024. The ESCs noted the CUA was updated for current PBS price for risedronate EC, and also expanded to model cost-effectiveness of other relevant osteoporosis medicines included in the PBAC</w:t>
      </w:r>
      <w:r w:rsidRPr="001E4D18">
        <w:t xml:space="preserve"> </w:t>
      </w:r>
      <w:r w:rsidRPr="001E4D18">
        <w:rPr>
          <w:color w:val="auto"/>
        </w:rPr>
        <w:t>Osteoporosis Therapy Restrictions Review (based on the risedronate EC circumstances of use)</w:t>
      </w:r>
      <w:r w:rsidRPr="001E4D18">
        <w:rPr>
          <w:color w:val="auto"/>
          <w:lang w:eastAsia="en-AU"/>
        </w:rPr>
        <w:t>. The ESCs considered that because the CUA analysis linked test to health outcomes that it would be more relevant for decision making than the CEA.</w:t>
      </w:r>
    </w:p>
    <w:p w14:paraId="59C271B6" w14:textId="77777777" w:rsidR="006667AC" w:rsidRPr="001E4D18" w:rsidRDefault="006667AC" w:rsidP="006667AC">
      <w:pPr>
        <w:pStyle w:val="Instructionaltext-bullet"/>
        <w:numPr>
          <w:ilvl w:val="0"/>
          <w:numId w:val="0"/>
        </w:numPr>
        <w:spacing w:before="120"/>
        <w:rPr>
          <w:color w:val="auto"/>
          <w:lang w:eastAsia="en-AU"/>
        </w:rPr>
      </w:pPr>
      <w:r w:rsidRPr="001E4D18">
        <w:rPr>
          <w:rFonts w:eastAsiaTheme="minorEastAsia"/>
          <w:color w:val="auto"/>
          <w:lang w:eastAsia="en-AU"/>
        </w:rPr>
        <w:t>The ESCs noted that the risedronate enter</w:t>
      </w:r>
      <w:r w:rsidRPr="001E4D18">
        <w:rPr>
          <w:color w:val="auto"/>
          <w:lang w:eastAsia="en-AU"/>
        </w:rPr>
        <w:t xml:space="preserve">ic coated (EC) 35mg – 30-day dispensing model for 60-69 years with repeat testing at 2- and 5-years (base case) results in an incremental cost per additional osteoporosis diagnosis of $4,673 and an ICER of $146,447 per QALY gained. The ESCs considered that as per previous discussions, the relevance of a 2-year repeat testing is unclear due to minimal changes in BMD being visible on a dual-energy X-ray absorptiometry (DEXA) scan in the proposed population for expansion. Furthermore, the ESCs considered that BMD loss can be very </w:t>
      </w:r>
      <w:proofErr w:type="gramStart"/>
      <w:r w:rsidRPr="001E4D18">
        <w:rPr>
          <w:color w:val="auto"/>
          <w:lang w:eastAsia="en-AU"/>
        </w:rPr>
        <w:t>slow</w:t>
      </w:r>
      <w:proofErr w:type="gramEnd"/>
      <w:r w:rsidRPr="001E4D18">
        <w:rPr>
          <w:color w:val="auto"/>
          <w:lang w:eastAsia="en-AU"/>
        </w:rPr>
        <w:t xml:space="preserve"> and it may take approximately five years before a change can be detected by DEXA. However, the ESCs noted that if patients underwent an initial test at 65 years, with an absence of other significant symptoms or conditions, they would be eligible for future MBS-funded BMD scans from 70 years of age, so there would unlikely be a service gap if repeat testing was clinically warranted. Thus, the ESCs noted that the removal of repeat testing at 2-years for the 60-69 years age group reduces the incremental cost per additional osteoporosis diagnosis to $3,483 and an ICER of $107,324 per QALY gained. The ESCs noted that the scenario for the 65-69 aged group for risedronate EC with no repeat testing at 2-years (or 5-years as patients would default to pre-established aged &lt;70 inclusion on the MBS) resulted in an incremental cost per additional osteoporosis diagnosis of $1,154 and an ICER of $30,993. The ESCs noted that under this scenario (65- 69 years with no repeat testing) that the risedronate EC (</w:t>
      </w:r>
      <w:proofErr w:type="gramStart"/>
      <w:r w:rsidRPr="001E4D18">
        <w:rPr>
          <w:color w:val="auto"/>
          <w:lang w:eastAsia="en-AU"/>
        </w:rPr>
        <w:t>60 day</w:t>
      </w:r>
      <w:proofErr w:type="gramEnd"/>
      <w:r w:rsidRPr="001E4D18">
        <w:rPr>
          <w:color w:val="auto"/>
          <w:lang w:eastAsia="en-AU"/>
        </w:rPr>
        <w:t xml:space="preserve"> dispensing), risedronate 150 mg monthly (60-day dispensing), alendronate 70 mg weekly (30 day and 60 day dispensing) and zoledronic acid 5 mg weekly models were dominant (i.e. more effective and less costly).</w:t>
      </w:r>
    </w:p>
    <w:p w14:paraId="13912FE2" w14:textId="33BCFAE0" w:rsidR="006667AC" w:rsidRPr="001E4D18" w:rsidRDefault="006667AC" w:rsidP="006667AC">
      <w:pPr>
        <w:pStyle w:val="Instructionaltext-bullet"/>
        <w:numPr>
          <w:ilvl w:val="0"/>
          <w:numId w:val="0"/>
        </w:numPr>
        <w:spacing w:before="120"/>
      </w:pPr>
      <w:r w:rsidRPr="001E4D18">
        <w:rPr>
          <w:color w:val="auto"/>
        </w:rPr>
        <w:lastRenderedPageBreak/>
        <w:t xml:space="preserve">The ESCs recalled that the economic model used in the </w:t>
      </w:r>
      <w:proofErr w:type="gramStart"/>
      <w:r w:rsidRPr="001E4D18">
        <w:rPr>
          <w:color w:val="auto"/>
        </w:rPr>
        <w:t>DCAR</w:t>
      </w:r>
      <w:proofErr w:type="gramEnd"/>
      <w:r w:rsidRPr="001E4D18">
        <w:rPr>
          <w:color w:val="auto"/>
        </w:rPr>
        <w:t xml:space="preserve"> and subsequent scenarios presented in the Addendum is based on the model presented in the November 2022 risedronic acid submission to PBAC. The ESCs noted the PBAC had previously considered the risedronic acid submission economic model to be problematic primarily due to concerns regarding the lack of BMD testing costs, assumptions of perfect treatment persistence over the 20-year time horizon, use of alendronate as a proxy to determine risedronate treatment effects and overestimating the cost of fractures occurring in the younger population (para 7.7, risedronic acid PSD, November 2022 PBAC meeting). The ESCs noted the DCAR model had been amended to include the costs associated with BMD testing with changes also made to the modelled population characteristics to be consistent with the proposed population. The ESCs noted these changes increased the ICER from $</w:t>
      </w:r>
      <w:r w:rsidR="0036498B">
        <w:rPr>
          <w:b/>
          <w:bCs/>
          <w:color w:val="auto"/>
        </w:rPr>
        <w:t xml:space="preserve">redacted </w:t>
      </w:r>
      <w:r w:rsidRPr="001E4D18">
        <w:rPr>
          <w:color w:val="auto"/>
        </w:rPr>
        <w:t>per QALY in the November 2022 risedronic acid PBAC submission to $146,477 per QALY (Addendum).</w:t>
      </w:r>
      <w:r w:rsidRPr="001E4D18">
        <w:t xml:space="preserve"> </w:t>
      </w:r>
      <w:r w:rsidRPr="001E4D18">
        <w:rPr>
          <w:color w:val="auto"/>
        </w:rPr>
        <w:t>The ESCs noted the number needed to test of 47 to identify an additional patient with osteoporosis based on this scenario, which was significantly higher than the estimate based on the November 2022 risedronic acid PBAC submission model that indicated the number needed to test was 7.</w:t>
      </w:r>
    </w:p>
    <w:p w14:paraId="43E69FA2" w14:textId="4A8DDFF1" w:rsidR="006667AC" w:rsidRPr="001E4D18" w:rsidRDefault="006667AC" w:rsidP="006667AC">
      <w:pPr>
        <w:pStyle w:val="Instructionaltext-bullet"/>
        <w:numPr>
          <w:ilvl w:val="0"/>
          <w:numId w:val="0"/>
        </w:numPr>
        <w:spacing w:before="120"/>
        <w:rPr>
          <w:color w:val="auto"/>
        </w:rPr>
      </w:pPr>
      <w:r w:rsidRPr="001E4D18">
        <w:rPr>
          <w:color w:val="auto"/>
        </w:rPr>
        <w:t xml:space="preserve">In addition, the ESCs recalled that the November 2022 risedronic acid submission to the PBAC assumed 100% persistence to risedronate EC and standard care treatments. The modelled extent of treatment benefit associated with early risedronate EC treatment was therefore reliant on continuing treatment for up to 20 years in patients without fracture (Table 8, risedronic acid PSD, November 2022 PBAC meeting). The ESCs recalled that the PBAC had previously considered the assumption of continuing treatment benefits to be of significant concern for osteoporosis medications given the </w:t>
      </w:r>
      <w:proofErr w:type="gramStart"/>
      <w:r w:rsidRPr="001E4D18">
        <w:rPr>
          <w:color w:val="auto"/>
        </w:rPr>
        <w:t>less than ideal</w:t>
      </w:r>
      <w:proofErr w:type="gramEnd"/>
      <w:r w:rsidRPr="001E4D18">
        <w:rPr>
          <w:color w:val="auto"/>
        </w:rPr>
        <w:t xml:space="preserve"> rates of persistence in practice (para 7.13, </w:t>
      </w:r>
      <w:proofErr w:type="spellStart"/>
      <w:r w:rsidRPr="001E4D18">
        <w:rPr>
          <w:color w:val="auto"/>
        </w:rPr>
        <w:t>romosozumab</w:t>
      </w:r>
      <w:proofErr w:type="spellEnd"/>
      <w:r w:rsidRPr="001E4D18">
        <w:rPr>
          <w:color w:val="auto"/>
        </w:rPr>
        <w:t xml:space="preserve"> PSD, November 2018 PBAC meeting). The ESCs noted that in addition to including the costs associated with BMD testing, the economic model in the DCAR and Addendum incorporated imperfect persistence estimates in sensitivity analyses. The ESCs noted that the treatment persistence estimates were derived from median durations of therapy from the DUSC review of denosumab, October 2020 report and considered the application of estimates from this source was appropriate. The ESCs noted that due to the limitations of the model structure it was only possible to apply persistence estimates to transitions from the no fracture state, with perfect persistence assumed for transitions from the new/prior fracture health states. The ESCs noted that assuming patients may initiate osteoporosis treatment more than once (as per the Addendum imperfect persistence scenarios) increased the base case ICER for risedronate EC (</w:t>
      </w:r>
      <w:proofErr w:type="gramStart"/>
      <w:r w:rsidRPr="001E4D18">
        <w:rPr>
          <w:color w:val="auto"/>
        </w:rPr>
        <w:t>30</w:t>
      </w:r>
      <w:r w:rsidR="001E4D18">
        <w:rPr>
          <w:color w:val="auto"/>
        </w:rPr>
        <w:t> </w:t>
      </w:r>
      <w:r w:rsidRPr="001E4D18">
        <w:rPr>
          <w:color w:val="auto"/>
        </w:rPr>
        <w:t>day</w:t>
      </w:r>
      <w:proofErr w:type="gramEnd"/>
      <w:r w:rsidRPr="001E4D18">
        <w:rPr>
          <w:color w:val="auto"/>
        </w:rPr>
        <w:t xml:space="preserve"> dispensing) from $146,447 per QALY gained to $616,741 per QALY gained.</w:t>
      </w:r>
    </w:p>
    <w:p w14:paraId="0186DBFA"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t xml:space="preserve">The ESCs considered that concerns raised by the PBAC in its consideration of the risedronic acid submission remain regarding the use of use of alendronate as a proxy to determine risedronate treatment effects and overestimating the cost of fractures occurring in the younger population. However, the ESCs noted the ICER in the DCAR was not overly sensitive to plausible variation in these inputs in sensitivity analyses. The ESCs also recalled potential issues associated with the estimation of utilities from a study in an older age group (average age of study participants was 72 years of age) with it unclear whether these estimates were applicable to a younger population without prior fracture, who may experience less severe consequences after fracture (para 6.64, risedronic acid PSD, November 2022 PBAC meeting). The ESCs considered a </w:t>
      </w:r>
      <w:proofErr w:type="gramStart"/>
      <w:r w:rsidRPr="001E4D18">
        <w:rPr>
          <w:color w:val="auto"/>
          <w:lang w:eastAsia="en-AU"/>
        </w:rPr>
        <w:t>long time</w:t>
      </w:r>
      <w:proofErr w:type="gramEnd"/>
      <w:r w:rsidRPr="001E4D18">
        <w:rPr>
          <w:color w:val="auto"/>
          <w:lang w:eastAsia="en-AU"/>
        </w:rPr>
        <w:t xml:space="preserve"> horizon magnifies concerns raised regarding the estimation of utilities.</w:t>
      </w:r>
    </w:p>
    <w:p w14:paraId="2DB1BC4B" w14:textId="77777777" w:rsidR="006667AC" w:rsidRPr="001E4D18" w:rsidRDefault="006667AC" w:rsidP="006667AC">
      <w:pPr>
        <w:pStyle w:val="Instructionaltext-bullet"/>
        <w:numPr>
          <w:ilvl w:val="0"/>
          <w:numId w:val="0"/>
        </w:numPr>
        <w:spacing w:before="120"/>
        <w:rPr>
          <w:lang w:eastAsia="en-AU"/>
        </w:rPr>
      </w:pPr>
      <w:r w:rsidRPr="001E4D18">
        <w:rPr>
          <w:color w:val="auto"/>
          <w:lang w:eastAsia="en-AU"/>
        </w:rPr>
        <w:t xml:space="preserve">The ESCs noted that in addition to including the costs associated with BMD testing, a reduction in the time horizon from 20 years to 10 years was included in the sensitivity analyses presented in the Addendum. The ESC noted that a </w:t>
      </w:r>
      <w:proofErr w:type="gramStart"/>
      <w:r w:rsidRPr="001E4D18">
        <w:rPr>
          <w:color w:val="auto"/>
          <w:lang w:eastAsia="en-AU"/>
        </w:rPr>
        <w:t>10 year</w:t>
      </w:r>
      <w:proofErr w:type="gramEnd"/>
      <w:r w:rsidRPr="001E4D18">
        <w:rPr>
          <w:color w:val="auto"/>
          <w:lang w:eastAsia="en-AU"/>
        </w:rPr>
        <w:t xml:space="preserve"> time horizon increased the ICER for risedronate EC (30 day dispensing) from $146,447 per QALY gained to $334,940 per QALY gained. The ESCs considered that a time horizon of greater than 10 years may be clinically appropriate for the proposed population. However, the ESCs advised that because of the inflexibility of the model </w:t>
      </w:r>
      <w:r w:rsidRPr="001E4D18">
        <w:rPr>
          <w:color w:val="auto"/>
          <w:lang w:eastAsia="en-AU"/>
        </w:rPr>
        <w:lastRenderedPageBreak/>
        <w:t>structure to appropriately model treatment persistence a 10-year time horizon was preferred as a more conservative specification.</w:t>
      </w:r>
    </w:p>
    <w:p w14:paraId="1691651D"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t xml:space="preserve">The ESCs advised that the respecified base case relevant for decision making was the expansion of BMD testing to those of 65-69 years of age with no repeat BMD testing with a </w:t>
      </w:r>
      <w:proofErr w:type="gramStart"/>
      <w:r w:rsidRPr="001E4D18">
        <w:rPr>
          <w:color w:val="auto"/>
          <w:lang w:eastAsia="en-AU"/>
        </w:rPr>
        <w:t>10 year</w:t>
      </w:r>
      <w:proofErr w:type="gramEnd"/>
      <w:r w:rsidRPr="001E4D18">
        <w:rPr>
          <w:color w:val="auto"/>
          <w:lang w:eastAsia="en-AU"/>
        </w:rPr>
        <w:t xml:space="preserve"> time horizon and imperfect persistence assumed. However, the ESCs noted that the number needed to test to identify an additional patient with osteoporosis, the number needed to treat to prevent any fracture and as a consequence the ICERs are high for all modelled drug scenarios (ICER range: $262,259 -$399,169 per QALY gained), and ICERs of this magnitude are not typically considered by MSAC and PBAC to represent acceptable cost-effectiveness.</w:t>
      </w:r>
    </w:p>
    <w:p w14:paraId="62E0BCAC" w14:textId="77777777" w:rsidR="006667AC" w:rsidRPr="001E4D18" w:rsidRDefault="006667AC" w:rsidP="006667AC">
      <w:pPr>
        <w:pStyle w:val="Instructionaltext-bullet"/>
        <w:numPr>
          <w:ilvl w:val="0"/>
          <w:numId w:val="0"/>
        </w:numPr>
        <w:spacing w:before="120"/>
        <w:rPr>
          <w:rFonts w:cstheme="minorHAnsi"/>
          <w:color w:val="auto"/>
          <w:lang w:eastAsia="en-AU"/>
        </w:rPr>
      </w:pPr>
      <w:r w:rsidRPr="001E4D18">
        <w:rPr>
          <w:color w:val="auto"/>
          <w:lang w:eastAsia="en-AU"/>
        </w:rPr>
        <w:t>The ESCs noted the new financial models presented in the Addendum as per the request from the MSAC ESC February 2024 meeting. Regarding the methodology used for the updated financial analyses, t</w:t>
      </w:r>
      <w:r w:rsidRPr="001E4D18">
        <w:rPr>
          <w:rFonts w:cstheme="minorHAnsi"/>
          <w:color w:val="auto"/>
          <w:lang w:eastAsia="en-AU"/>
        </w:rPr>
        <w:t>he ESCs noted that the was no potential to further separate the utilisation data for initial and repeat testing because the utilisation estimates in the younger population were derived from utilisation data from the 70–74-year-old age band, inclusive of 1 initial test using the 5-year testing item and a maximum of 2 repeats using the 2-year testing item. The ESCs noted that utilisation of MBS items 12315 and 12321 were excluded once the population reached the existing age criteria of 70 yea</w:t>
      </w:r>
      <w:r w:rsidRPr="001E4D18">
        <w:rPr>
          <w:rFonts w:cstheme="minorHAnsi"/>
          <w:color w:val="auto"/>
          <w:lang w:eastAsia="en-AU"/>
        </w:rPr>
        <w:fldChar w:fldCharType="begin"/>
      </w:r>
      <w:r w:rsidRPr="001E4D18">
        <w:rPr>
          <w:rFonts w:cstheme="minorHAnsi"/>
          <w:color w:val="auto"/>
          <w:lang w:eastAsia="en-AU"/>
        </w:rPr>
        <w:instrText xml:space="preserve">  </w:instrText>
      </w:r>
      <w:r w:rsidRPr="001E4D18">
        <w:rPr>
          <w:rFonts w:cstheme="minorHAnsi"/>
          <w:color w:val="auto"/>
          <w:lang w:eastAsia="en-AU"/>
        </w:rPr>
        <w:fldChar w:fldCharType="end"/>
      </w:r>
      <w:r w:rsidRPr="001E4D18">
        <w:rPr>
          <w:rFonts w:cstheme="minorHAnsi"/>
          <w:color w:val="auto"/>
          <w:lang w:eastAsia="en-AU"/>
        </w:rPr>
        <w:t>rs, as this represents the current real-word access to BMD testing. The ESCs considered that the utilisation of these two MBS items would already impact the utilisation of the 2- and 5-year testing items in the 70–74-year-old age group, which was used as the basis for modelled projections. The ESCs noted the implicit assumption that the utilisation of these MBS items would be broadly similar between the 60–69-year-old age band and the 70–74-year-old age band. However, the ESCs considered that the real-world utilisation for these two age bands may in fact differ significantly and identified this as a limitation to the financials model.</w:t>
      </w:r>
    </w:p>
    <w:p w14:paraId="62B2FE58"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t>The ESCs noted the budget impact is predominately raised by the cost to the MBS as opposed to the drug cost for osteoporosis treatment. The ESCs considered this is evident due to the significant cost(s) associated with BMD testing, when compared to the small incremental drug cost that is offset by reduced fractures and management costs. The ESCs noted the scenario presented in the Addendum for the Risedronate EC 35mg weekly – 30-day dispensing included a revised budget impact of $134,505,759 to the MBS and $48,607,326 to the PBS over six years. The ESCs noted that in the 65-69 age band for the Risedronate EC model, the budget impact over 6 years resulted in a $51,022,041 increase to the MBS; and a $22,701,137 cost to the PBS. The ESCs noted the zoledronic acid 5mg annual injection model for the 65-69 age band produced a similar cost of $58,575,307 to the MBS; and a substantial reduction in the cost to the PBS at $5,609,352. The ESCs noted that the MBS budget cost is constant across all drug related scenarios, except for the Zoledronic acid which is attributed to infusion cost(s). The ESCs noted that MBS items for initiating treatment could occur under a range of MBS items for GP or specialist visits rather than item 104 used to model the administration costs, however the ESCs considered that variation in this model input would have negligible impact to the modelled results. Consistent with the results of the economic analysis, the ESCs noted that the alternative scenario based on the 65-69 age band with no repeat testing yielded lower financial impacts to the MBS and PBS/</w:t>
      </w:r>
      <w:r w:rsidRPr="001E4D18">
        <w:t xml:space="preserve"> </w:t>
      </w:r>
      <w:r w:rsidRPr="001E4D18">
        <w:rPr>
          <w:color w:val="auto"/>
          <w:lang w:eastAsia="en-AU"/>
        </w:rPr>
        <w:t>Repatriation Pharmaceutical Benefits Scheme (RPBS).</w:t>
      </w:r>
    </w:p>
    <w:p w14:paraId="07D44EB0"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t xml:space="preserve">The ESCs noted that the overall expenditure on existing DEXA MBS items increased by 19.5% from FY2021-22 to FY2022-23, with approximately 100,000 additional services performed in the 2022-23 financial year, compared to the previous financial year. Additionally, the ESCs noted the expenditure on MBS items 12320 and 12322 increased by 29.3% from FY2021-22 to FY2022-23, with approximately 60,000 additional services performed in the 2022-23 financial year, compared to the previous financial year. The ESCs noted that the growth in utilisation of BMD testing – in particular for DEXA scans – is significant and one of the fastest growing diagnostic imaging services listed on the MBS. The ESCs considered that the real-world growth in the 60-69 </w:t>
      </w:r>
      <w:r w:rsidRPr="001E4D18">
        <w:rPr>
          <w:color w:val="auto"/>
          <w:lang w:eastAsia="en-AU"/>
        </w:rPr>
        <w:lastRenderedPageBreak/>
        <w:t>age band meant that financial estimates could be larger than the estimated, due to the significant growth in the sector.</w:t>
      </w:r>
    </w:p>
    <w:p w14:paraId="76DB6BCF"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t>The ESCs noted the Pre-Sub-Committee Response (PSCR) from the sponsor of risedronate EC which highlighted recommendations from the 2024 RACGP and Healthy Bones Australia guidelines and presented on the characteristics of the risedronate EC formulation.</w:t>
      </w:r>
    </w:p>
    <w:p w14:paraId="5AC3D50A" w14:textId="77777777" w:rsidR="006667AC" w:rsidRPr="001E4D18" w:rsidRDefault="006667AC" w:rsidP="006667AC">
      <w:pPr>
        <w:pStyle w:val="Instructionaltext-bullet"/>
        <w:numPr>
          <w:ilvl w:val="0"/>
          <w:numId w:val="0"/>
        </w:numPr>
        <w:spacing w:before="120"/>
        <w:rPr>
          <w:color w:val="auto"/>
          <w:lang w:eastAsia="en-AU"/>
        </w:rPr>
      </w:pPr>
      <w:r w:rsidRPr="001E4D18" w:rsidDel="00720D74">
        <w:rPr>
          <w:color w:val="auto"/>
          <w:lang w:eastAsia="en-AU"/>
        </w:rPr>
        <w:t xml:space="preserve">The ESCs noted and welcomed consultation </w:t>
      </w:r>
      <w:r w:rsidRPr="001E4D18">
        <w:rPr>
          <w:color w:val="auto"/>
          <w:lang w:eastAsia="en-AU"/>
        </w:rPr>
        <w:t xml:space="preserve">input </w:t>
      </w:r>
      <w:r w:rsidRPr="001E4D18" w:rsidDel="00720D74">
        <w:rPr>
          <w:color w:val="auto"/>
          <w:lang w:eastAsia="en-AU"/>
        </w:rPr>
        <w:t>from 5 professional organisations and 1 consumer organisation</w:t>
      </w:r>
      <w:r w:rsidRPr="001E4D18">
        <w:rPr>
          <w:color w:val="auto"/>
          <w:lang w:eastAsia="en-AU"/>
        </w:rPr>
        <w:t>. As previously noted by the MSAC ESC in February 2024, there was mixed support for expanding the MBS items 13230 and 12322 to people aged 60-69 years</w:t>
      </w:r>
      <w:r w:rsidRPr="001E4D18" w:rsidDel="00720D74">
        <w:rPr>
          <w:color w:val="auto"/>
          <w:lang w:eastAsia="en-AU"/>
        </w:rPr>
        <w:t xml:space="preserve">. </w:t>
      </w:r>
      <w:r w:rsidRPr="001E4D18">
        <w:rPr>
          <w:color w:val="auto"/>
          <w:lang w:eastAsia="en-AU"/>
        </w:rPr>
        <w:t xml:space="preserve">Feedback supporting lowering the age to include the 60-69 age group cited an increased risk of fracture in that age group. </w:t>
      </w:r>
      <w:r w:rsidRPr="001E4D18" w:rsidDel="00720D74">
        <w:rPr>
          <w:color w:val="auto"/>
          <w:lang w:eastAsia="en-AU"/>
        </w:rPr>
        <w:t xml:space="preserve">The ESCs noted a concern with regards to cumulative radiation experienced by patients having DEXA scans, however </w:t>
      </w:r>
      <w:r w:rsidRPr="001E4D18">
        <w:rPr>
          <w:color w:val="auto"/>
          <w:lang w:eastAsia="en-AU"/>
        </w:rPr>
        <w:t>considered</w:t>
      </w:r>
      <w:r w:rsidRPr="001E4D18" w:rsidDel="00720D74">
        <w:rPr>
          <w:color w:val="auto"/>
          <w:lang w:eastAsia="en-AU"/>
        </w:rPr>
        <w:t xml:space="preserve"> the dose associated with DEXA is very low and so considered that it did not represent a significant safety concern. The ESCs noted the consultation </w:t>
      </w:r>
      <w:r w:rsidRPr="001E4D18">
        <w:rPr>
          <w:color w:val="auto"/>
          <w:lang w:eastAsia="en-AU"/>
        </w:rPr>
        <w:t xml:space="preserve">feedback </w:t>
      </w:r>
      <w:r w:rsidRPr="001E4D18" w:rsidDel="00720D74">
        <w:rPr>
          <w:color w:val="auto"/>
          <w:lang w:eastAsia="en-AU"/>
        </w:rPr>
        <w:t xml:space="preserve">received from the Queensland Aboriginal and Islander Health Council (QAIHC) </w:t>
      </w:r>
      <w:r w:rsidRPr="001E4D18">
        <w:rPr>
          <w:color w:val="auto"/>
          <w:lang w:eastAsia="en-AU"/>
        </w:rPr>
        <w:t>highlighted that</w:t>
      </w:r>
      <w:r w:rsidRPr="001E4D18" w:rsidDel="00720D74">
        <w:rPr>
          <w:color w:val="auto"/>
          <w:lang w:eastAsia="en-AU"/>
        </w:rPr>
        <w:t xml:space="preserve"> </w:t>
      </w:r>
      <w:r w:rsidRPr="001E4D18">
        <w:rPr>
          <w:color w:val="auto"/>
          <w:lang w:eastAsia="en-AU"/>
        </w:rPr>
        <w:t>Aboriginal and Torres Strait Islander people have a substantially greater fracture risk than non-Indigenous Australians. The QAIHC highlighted minimal trauma hip fractures were reported in 52% of First Nations people aged 40-74 years in an epidemiological study compared with 19% of non-Indigenous people.</w:t>
      </w:r>
    </w:p>
    <w:p w14:paraId="25D0CFC1" w14:textId="77777777" w:rsidR="006667AC" w:rsidRPr="001E4D18" w:rsidRDefault="006667AC" w:rsidP="006667AC">
      <w:pPr>
        <w:pStyle w:val="Instructionaltext-bullet"/>
        <w:numPr>
          <w:ilvl w:val="0"/>
          <w:numId w:val="0"/>
        </w:numPr>
        <w:spacing w:before="120"/>
        <w:rPr>
          <w:rFonts w:cstheme="minorHAnsi"/>
          <w:color w:val="auto"/>
          <w:lang w:eastAsia="en-AU"/>
        </w:rPr>
      </w:pPr>
      <w:r w:rsidRPr="001E4D18">
        <w:rPr>
          <w:rFonts w:cstheme="minorHAnsi"/>
          <w:color w:val="auto"/>
          <w:lang w:eastAsia="en-AU"/>
        </w:rPr>
        <w:t>The ESCs noted that the Royal College of General Practitioners (RACGP) recommended that the MBS item follow evidence-based recommendations as outlined in the revised guidelines:</w:t>
      </w:r>
    </w:p>
    <w:p w14:paraId="56BEE0E6" w14:textId="77777777" w:rsidR="006667AC" w:rsidRPr="001E4D18" w:rsidRDefault="006667AC" w:rsidP="006667AC">
      <w:pPr>
        <w:pStyle w:val="Instructionaltext-bullet"/>
        <w:numPr>
          <w:ilvl w:val="0"/>
          <w:numId w:val="33"/>
        </w:numPr>
        <w:spacing w:before="120"/>
        <w:rPr>
          <w:rFonts w:cstheme="minorHAnsi"/>
          <w:color w:val="auto"/>
          <w:lang w:eastAsia="en-AU"/>
        </w:rPr>
      </w:pPr>
      <w:r w:rsidRPr="001E4D18">
        <w:rPr>
          <w:rFonts w:cstheme="minorHAnsi"/>
          <w:color w:val="auto"/>
          <w:lang w:eastAsia="en-AU"/>
        </w:rPr>
        <w:t>Osteoporosis management and fracture prevention in postmenopausal women and men over 50 years of age (RACGP and Healthy Bones Australia; released in March 2024)</w:t>
      </w:r>
      <w:r w:rsidRPr="001E4D18">
        <w:rPr>
          <w:rStyle w:val="FootnoteReference"/>
          <w:rFonts w:cstheme="minorHAnsi"/>
          <w:color w:val="auto"/>
          <w:lang w:eastAsia="en-AU"/>
        </w:rPr>
        <w:footnoteReference w:id="9"/>
      </w:r>
    </w:p>
    <w:p w14:paraId="73C6C3D3" w14:textId="77777777" w:rsidR="006667AC" w:rsidRPr="001E4D18" w:rsidRDefault="006667AC" w:rsidP="006667AC">
      <w:pPr>
        <w:pStyle w:val="Instructionaltext-bullet"/>
        <w:numPr>
          <w:ilvl w:val="0"/>
          <w:numId w:val="33"/>
        </w:numPr>
        <w:spacing w:before="120"/>
        <w:rPr>
          <w:rFonts w:cstheme="minorHAnsi"/>
          <w:color w:val="auto"/>
          <w:lang w:eastAsia="en-AU"/>
        </w:rPr>
      </w:pPr>
      <w:r w:rsidRPr="001E4D18">
        <w:rPr>
          <w:rFonts w:cstheme="minorHAnsi"/>
          <w:color w:val="auto"/>
          <w:lang w:eastAsia="en-AU"/>
        </w:rPr>
        <w:t>RACGP Guidelines for preventive activities in general practice 9</w:t>
      </w:r>
      <w:r w:rsidRPr="001E4D18">
        <w:rPr>
          <w:rFonts w:cstheme="minorHAnsi"/>
          <w:color w:val="auto"/>
          <w:vertAlign w:val="superscript"/>
          <w:lang w:eastAsia="en-AU"/>
        </w:rPr>
        <w:t>th</w:t>
      </w:r>
      <w:r w:rsidRPr="001E4D18">
        <w:rPr>
          <w:rFonts w:cstheme="minorHAnsi"/>
          <w:color w:val="auto"/>
          <w:lang w:eastAsia="en-AU"/>
        </w:rPr>
        <w:t xml:space="preserve"> edition (Red Book</w:t>
      </w:r>
      <w:r w:rsidRPr="001E4D18">
        <w:rPr>
          <w:rStyle w:val="FootnoteReference"/>
          <w:rFonts w:cstheme="minorHAnsi"/>
          <w:color w:val="auto"/>
          <w:lang w:eastAsia="en-AU"/>
        </w:rPr>
        <w:footnoteReference w:id="10"/>
      </w:r>
      <w:r w:rsidRPr="001E4D18">
        <w:rPr>
          <w:rFonts w:cstheme="minorHAnsi"/>
          <w:color w:val="auto"/>
          <w:lang w:eastAsia="en-AU"/>
        </w:rPr>
        <w:t>).</w:t>
      </w:r>
    </w:p>
    <w:p w14:paraId="2B53618D"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t xml:space="preserve">The ESCs noted that the RACGP guidelines recommend the use of an online calculator/tool, termed the Fracture Risk Assessment Tool (FRAX) to check for fracture risk in people aged ≥ 50 years with non-modifiable/lifestyle risk factors (and no fracture). These patients would be referred for a DEXA BMD if the FRAX calculator indicated a major osteoporotic fracture (MOF) risk of </w:t>
      </w:r>
      <w:r w:rsidRPr="001E4D18">
        <w:rPr>
          <w:color w:val="040C28"/>
        </w:rPr>
        <w:t>≥</w:t>
      </w:r>
      <w:r w:rsidRPr="001E4D18">
        <w:rPr>
          <w:color w:val="auto"/>
          <w:lang w:eastAsia="en-AU"/>
        </w:rPr>
        <w:t> 10%. If MOF is &lt;</w:t>
      </w:r>
      <w:r w:rsidRPr="001E4D18">
        <w:t> </w:t>
      </w:r>
      <w:r w:rsidRPr="001E4D18">
        <w:rPr>
          <w:color w:val="auto"/>
          <w:lang w:eastAsia="en-AU"/>
        </w:rPr>
        <w:t>10% the RACGP guidelines state that DEXA BMD is not recommended. The ESCs noted that the FRAX calculator can utilise a BMD score – however, does not require one to be entered to generate a result. The ESCs noted the RACGP guidelines do not recommend screening for osteoporosis with BMD measurement in the general population and also do not recommend routinely doing repeat BMD + FRAX within 2 years except in special circumstances.</w:t>
      </w:r>
    </w:p>
    <w:p w14:paraId="38D22747"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t>The ESCs also noted that the guidelines contain no specific recommendation(s) on First Nations people. The ESCs considered that BMD testing should be used more broadly in First Nations people, given the high prevalence for a substantially increased risk of fractures in these populations.</w:t>
      </w:r>
    </w:p>
    <w:p w14:paraId="7139AC73" w14:textId="77777777" w:rsidR="006667AC" w:rsidRPr="001E4D18" w:rsidRDefault="006667AC" w:rsidP="006667AC">
      <w:pPr>
        <w:pStyle w:val="Instructionaltext-bullet"/>
        <w:numPr>
          <w:ilvl w:val="0"/>
          <w:numId w:val="0"/>
        </w:numPr>
        <w:spacing w:before="120"/>
        <w:rPr>
          <w:rFonts w:cstheme="minorHAnsi"/>
          <w:color w:val="auto"/>
          <w:lang w:eastAsia="en-AU"/>
        </w:rPr>
      </w:pPr>
      <w:r w:rsidRPr="001E4D18">
        <w:rPr>
          <w:rFonts w:cstheme="minorHAnsi"/>
          <w:color w:val="auto"/>
          <w:lang w:eastAsia="en-AU"/>
        </w:rPr>
        <w:t>In addition, the ESCs noted the importance of resistance training and exercise in the prevention of osteoporosis. The ESCs considered patients are much more likely to consider commencing an exercise program after experiencing a fall. The ESCs considered that increased uptake of preventative health care programs is optimal and that perhaps risk assessments – such as FRAX – coupled with exercise programs would be a beneficial alternative to BMD scans.</w:t>
      </w:r>
    </w:p>
    <w:p w14:paraId="4C99B9ED"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lastRenderedPageBreak/>
        <w:t>The ESCs queried whether alternative subpopulations, such as high-risk groups and First Nations people who otherwise do not have subsidised access to BMD testing on the MBS may be more likely to benefit from an expansion of these services than the proposed age-based expansion of BMD testing services to 60-69 years on the MBS, which yielded high ICERs (&gt;$500,000 per QALY gained) across all modelled drug scenarios. Thus, the ESCs discussed the following clinical scenarios for expanded BMD testing:</w:t>
      </w:r>
    </w:p>
    <w:p w14:paraId="407EA691" w14:textId="77777777" w:rsidR="006667AC" w:rsidRPr="001E4D18" w:rsidRDefault="006667AC" w:rsidP="006667AC">
      <w:pPr>
        <w:pStyle w:val="Instructionaltext-bullet"/>
        <w:numPr>
          <w:ilvl w:val="0"/>
          <w:numId w:val="32"/>
        </w:numPr>
        <w:spacing w:before="120"/>
        <w:rPr>
          <w:rFonts w:cstheme="minorHAnsi"/>
          <w:color w:val="auto"/>
          <w:lang w:eastAsia="en-AU"/>
        </w:rPr>
      </w:pPr>
      <w:r w:rsidRPr="001E4D18">
        <w:rPr>
          <w:rFonts w:cstheme="minorHAnsi"/>
          <w:color w:val="auto"/>
          <w:lang w:eastAsia="en-AU"/>
        </w:rPr>
        <w:t>Expansion of BMD testing to all people aged 65-69 with no repeat testing (respecified base case).</w:t>
      </w:r>
    </w:p>
    <w:p w14:paraId="55C8F0FA" w14:textId="77777777" w:rsidR="006667AC" w:rsidRPr="001E4D18" w:rsidRDefault="006667AC" w:rsidP="006667AC">
      <w:pPr>
        <w:pStyle w:val="Instructionaltext-bullet"/>
        <w:numPr>
          <w:ilvl w:val="0"/>
          <w:numId w:val="32"/>
        </w:numPr>
        <w:spacing w:before="120"/>
        <w:rPr>
          <w:rFonts w:cstheme="minorHAnsi"/>
          <w:color w:val="auto"/>
          <w:lang w:eastAsia="en-AU"/>
        </w:rPr>
      </w:pPr>
      <w:r w:rsidRPr="001E4D18">
        <w:rPr>
          <w:rFonts w:cstheme="minorHAnsi"/>
          <w:color w:val="auto"/>
          <w:lang w:eastAsia="en-AU"/>
        </w:rPr>
        <w:t>Expansion of BMD testing to high-risk groups and First Nations people aged 65-69 with no repeat testing.</w:t>
      </w:r>
    </w:p>
    <w:p w14:paraId="18D17AAB" w14:textId="77777777" w:rsidR="006667AC" w:rsidRPr="001E4D18" w:rsidRDefault="006667AC" w:rsidP="006667AC">
      <w:pPr>
        <w:pStyle w:val="Instructionaltext-bullet"/>
        <w:numPr>
          <w:ilvl w:val="0"/>
          <w:numId w:val="0"/>
        </w:numPr>
        <w:spacing w:before="120"/>
        <w:rPr>
          <w:color w:val="auto"/>
          <w:lang w:eastAsia="en-AU"/>
        </w:rPr>
      </w:pPr>
      <w:r w:rsidRPr="001E4D18">
        <w:rPr>
          <w:color w:val="auto"/>
          <w:lang w:eastAsia="en-AU"/>
        </w:rPr>
        <w:t xml:space="preserve">The ESCs considered that the introduction of the FRAX calculator would likely be beneficial for both scenarios whereby those with a MOF risk of </w:t>
      </w:r>
      <w:r w:rsidRPr="001E4D18">
        <w:rPr>
          <w:color w:val="040C28"/>
        </w:rPr>
        <w:t>≥</w:t>
      </w:r>
      <w:r w:rsidRPr="001E4D18">
        <w:t> </w:t>
      </w:r>
      <w:r w:rsidRPr="001E4D18">
        <w:rPr>
          <w:color w:val="auto"/>
          <w:lang w:eastAsia="en-AU"/>
        </w:rPr>
        <w:t xml:space="preserve">10% are referred for a BMD testing. </w:t>
      </w:r>
    </w:p>
    <w:p w14:paraId="4E2E50AE" w14:textId="299BB409" w:rsidR="001A7F02" w:rsidRDefault="006667AC" w:rsidP="006667AC">
      <w:pPr>
        <w:pStyle w:val="Instructionaltext-bullet"/>
        <w:numPr>
          <w:ilvl w:val="0"/>
          <w:numId w:val="0"/>
        </w:numPr>
        <w:spacing w:before="120"/>
        <w:rPr>
          <w:rFonts w:cstheme="minorHAnsi"/>
          <w:color w:val="auto"/>
          <w:lang w:eastAsia="en-AU"/>
        </w:rPr>
      </w:pPr>
      <w:r w:rsidRPr="001E4D18" w:rsidDel="000C5D64">
        <w:rPr>
          <w:rFonts w:cstheme="minorHAnsi"/>
          <w:color w:val="auto"/>
          <w:lang w:eastAsia="en-AU"/>
        </w:rPr>
        <w:t xml:space="preserve">Overall, </w:t>
      </w:r>
      <w:r w:rsidRPr="001E4D18">
        <w:rPr>
          <w:rFonts w:cstheme="minorHAnsi"/>
          <w:color w:val="auto"/>
          <w:lang w:eastAsia="en-AU"/>
        </w:rPr>
        <w:t xml:space="preserve">the ESCs </w:t>
      </w:r>
      <w:r w:rsidRPr="001E4D18" w:rsidDel="000C5D64">
        <w:rPr>
          <w:rFonts w:cstheme="minorHAnsi"/>
          <w:color w:val="auto"/>
          <w:lang w:eastAsia="en-AU"/>
        </w:rPr>
        <w:t xml:space="preserve">considered </w:t>
      </w:r>
      <w:r w:rsidRPr="001E4D18">
        <w:rPr>
          <w:rFonts w:cstheme="minorHAnsi"/>
          <w:color w:val="auto"/>
          <w:lang w:eastAsia="en-AU"/>
        </w:rPr>
        <w:t xml:space="preserve">that </w:t>
      </w:r>
      <w:r w:rsidRPr="001E4D18" w:rsidDel="000C5D64">
        <w:rPr>
          <w:rFonts w:cstheme="minorHAnsi"/>
          <w:color w:val="auto"/>
          <w:lang w:eastAsia="en-AU"/>
        </w:rPr>
        <w:t>given that the number needed to test</w:t>
      </w:r>
      <w:r w:rsidRPr="001E4D18">
        <w:rPr>
          <w:rFonts w:cstheme="minorHAnsi"/>
          <w:color w:val="auto"/>
          <w:lang w:eastAsia="en-AU"/>
        </w:rPr>
        <w:t xml:space="preserve"> to identify an additional patient with osteoporosis would likely </w:t>
      </w:r>
      <w:r w:rsidRPr="001E4D18" w:rsidDel="000C5D64">
        <w:rPr>
          <w:rFonts w:cstheme="minorHAnsi"/>
          <w:color w:val="auto"/>
          <w:lang w:eastAsia="en-AU"/>
        </w:rPr>
        <w:t xml:space="preserve">reduce in </w:t>
      </w:r>
      <w:r w:rsidRPr="001E4D18">
        <w:rPr>
          <w:rFonts w:cstheme="minorHAnsi"/>
          <w:color w:val="auto"/>
          <w:lang w:eastAsia="en-AU"/>
        </w:rPr>
        <w:t>more targeted risk-based population</w:t>
      </w:r>
      <w:r w:rsidRPr="001E4D18" w:rsidDel="000C5D64">
        <w:rPr>
          <w:rFonts w:cstheme="minorHAnsi"/>
          <w:color w:val="auto"/>
          <w:lang w:eastAsia="en-AU"/>
        </w:rPr>
        <w:t xml:space="preserve">s </w:t>
      </w:r>
      <w:r w:rsidRPr="001E4D18">
        <w:rPr>
          <w:rFonts w:cstheme="minorHAnsi"/>
          <w:color w:val="auto"/>
          <w:lang w:eastAsia="en-AU"/>
        </w:rPr>
        <w:t>(</w:t>
      </w:r>
      <w:r w:rsidRPr="001E4D18" w:rsidDel="000C5D64">
        <w:rPr>
          <w:rFonts w:cstheme="minorHAnsi"/>
          <w:color w:val="auto"/>
          <w:lang w:eastAsia="en-AU"/>
        </w:rPr>
        <w:t>using the FRAX tool</w:t>
      </w:r>
      <w:r w:rsidRPr="001E4D18">
        <w:rPr>
          <w:rFonts w:cstheme="minorHAnsi"/>
          <w:color w:val="auto"/>
          <w:lang w:eastAsia="en-AU"/>
        </w:rPr>
        <w:t>)</w:t>
      </w:r>
      <w:r w:rsidRPr="001E4D18" w:rsidDel="000C5D64">
        <w:rPr>
          <w:rFonts w:cstheme="minorHAnsi"/>
          <w:color w:val="auto"/>
          <w:lang w:eastAsia="en-AU"/>
        </w:rPr>
        <w:t xml:space="preserve"> – which </w:t>
      </w:r>
      <w:r w:rsidRPr="001E4D18">
        <w:rPr>
          <w:rFonts w:cstheme="minorHAnsi"/>
          <w:color w:val="auto"/>
          <w:lang w:eastAsia="en-AU"/>
        </w:rPr>
        <w:t xml:space="preserve">would likely improve cost-effectiveness and </w:t>
      </w:r>
      <w:r w:rsidRPr="001E4D18" w:rsidDel="000C5D64">
        <w:rPr>
          <w:rFonts w:cstheme="minorHAnsi"/>
          <w:color w:val="auto"/>
          <w:lang w:eastAsia="en-AU"/>
        </w:rPr>
        <w:t>with</w:t>
      </w:r>
      <w:r w:rsidRPr="001E4D18">
        <w:rPr>
          <w:rFonts w:cstheme="minorHAnsi"/>
          <w:color w:val="auto"/>
          <w:lang w:eastAsia="en-AU"/>
        </w:rPr>
        <w:t xml:space="preserve"> more modest cost implications</w:t>
      </w:r>
      <w:r w:rsidRPr="001E4D18" w:rsidDel="000C5D64">
        <w:rPr>
          <w:rFonts w:cstheme="minorHAnsi"/>
          <w:color w:val="auto"/>
          <w:lang w:eastAsia="en-AU"/>
        </w:rPr>
        <w:t xml:space="preserve">, that the alternative subpopulations most likely to </w:t>
      </w:r>
      <w:r w:rsidRPr="001E4D18">
        <w:rPr>
          <w:rFonts w:cstheme="minorHAnsi"/>
          <w:color w:val="auto"/>
          <w:lang w:eastAsia="en-AU"/>
        </w:rPr>
        <w:t>benefit from an expansion of BMD testing</w:t>
      </w:r>
      <w:r w:rsidRPr="001E4D18" w:rsidDel="000C5D64">
        <w:rPr>
          <w:rFonts w:cstheme="minorHAnsi"/>
          <w:color w:val="auto"/>
          <w:lang w:eastAsia="en-AU"/>
        </w:rPr>
        <w:t xml:space="preserve"> for MSAC and PBAC consideration should be the high-risk groups and First Nations people in the 65-69 age band. </w:t>
      </w:r>
      <w:r w:rsidRPr="001E4D18">
        <w:rPr>
          <w:rFonts w:cstheme="minorHAnsi"/>
          <w:color w:val="auto"/>
          <w:lang w:eastAsia="en-AU"/>
        </w:rPr>
        <w:t>However, the ESCs noted that these subpopulations were not modelled in the economic and financial evaluation. Due to the slow nature of BMD changes on DEXA scans, the ESCs considered that the value of repeat testing is also limited in these subpopulations.</w:t>
      </w:r>
    </w:p>
    <w:p w14:paraId="4A4F5F4C" w14:textId="2CEEBF67" w:rsidR="001A7F02" w:rsidRDefault="001A7F02" w:rsidP="001A7F02">
      <w:pPr>
        <w:pStyle w:val="Heading2"/>
      </w:pPr>
      <w:r>
        <w:t>13.</w:t>
      </w:r>
      <w:r>
        <w:tab/>
      </w:r>
      <w:r w:rsidR="0021777F" w:rsidRPr="00F516FD">
        <w:t>Applicant comments on MSAC’s Public Summary Document</w:t>
      </w:r>
    </w:p>
    <w:p w14:paraId="027BE02B" w14:textId="7A781A4A" w:rsidR="008A608D" w:rsidRPr="0029669E" w:rsidRDefault="001979DF" w:rsidP="008434A6">
      <w:pPr>
        <w:pStyle w:val="Instructionaltext-bullet"/>
        <w:numPr>
          <w:ilvl w:val="0"/>
          <w:numId w:val="0"/>
        </w:numPr>
        <w:spacing w:before="120"/>
        <w:rPr>
          <w:bCs/>
          <w:iCs/>
          <w:color w:val="auto"/>
        </w:rPr>
      </w:pPr>
      <w:r>
        <w:rPr>
          <w:bCs/>
          <w:iCs/>
          <w:color w:val="auto"/>
        </w:rPr>
        <w:t>The Department of Health and Aged Care</w:t>
      </w:r>
      <w:r w:rsidR="00047FC9">
        <w:rPr>
          <w:bCs/>
          <w:iCs/>
          <w:color w:val="auto"/>
        </w:rPr>
        <w:t xml:space="preserve"> (the department)</w:t>
      </w:r>
      <w:r>
        <w:rPr>
          <w:bCs/>
          <w:iCs/>
          <w:color w:val="auto"/>
        </w:rPr>
        <w:t xml:space="preserve"> would like to acknowledge the contribution of the </w:t>
      </w:r>
      <w:r w:rsidR="00047FC9" w:rsidRPr="00047FC9">
        <w:rPr>
          <w:bCs/>
          <w:iCs/>
          <w:color w:val="auto"/>
        </w:rPr>
        <w:t>Dubbo Osteoporosis Epidemiology Study (DOES)</w:t>
      </w:r>
      <w:r w:rsidR="00047FC9">
        <w:rPr>
          <w:bCs/>
          <w:iCs/>
          <w:color w:val="auto"/>
        </w:rPr>
        <w:t xml:space="preserve"> and their provision of invaluable clinical data that was used </w:t>
      </w:r>
      <w:r w:rsidR="00924F5E">
        <w:rPr>
          <w:bCs/>
          <w:iCs/>
          <w:color w:val="auto"/>
        </w:rPr>
        <w:t xml:space="preserve">for the purposes of informing the MSAC consideration. </w:t>
      </w:r>
      <w:r w:rsidR="00E3686F">
        <w:rPr>
          <w:bCs/>
          <w:iCs/>
          <w:color w:val="auto"/>
        </w:rPr>
        <w:t>However,</w:t>
      </w:r>
      <w:r w:rsidR="00B44B13">
        <w:rPr>
          <w:bCs/>
          <w:iCs/>
          <w:color w:val="auto"/>
        </w:rPr>
        <w:t xml:space="preserve"> t</w:t>
      </w:r>
      <w:r w:rsidR="006B196A">
        <w:rPr>
          <w:bCs/>
          <w:iCs/>
          <w:color w:val="auto"/>
        </w:rPr>
        <w:t xml:space="preserve">he </w:t>
      </w:r>
      <w:r w:rsidR="007D738E">
        <w:rPr>
          <w:bCs/>
          <w:iCs/>
          <w:color w:val="auto"/>
        </w:rPr>
        <w:t xml:space="preserve">department notes that the </w:t>
      </w:r>
      <w:r w:rsidR="006B196A">
        <w:rPr>
          <w:bCs/>
          <w:iCs/>
          <w:color w:val="auto"/>
        </w:rPr>
        <w:t xml:space="preserve">DOES authors were not </w:t>
      </w:r>
      <w:r w:rsidR="00B44B13">
        <w:rPr>
          <w:bCs/>
          <w:iCs/>
          <w:color w:val="auto"/>
        </w:rPr>
        <w:t>involved</w:t>
      </w:r>
      <w:r w:rsidR="000A02B2">
        <w:rPr>
          <w:bCs/>
          <w:iCs/>
          <w:color w:val="auto"/>
        </w:rPr>
        <w:t xml:space="preserve"> </w:t>
      </w:r>
      <w:r w:rsidR="007D738E">
        <w:rPr>
          <w:bCs/>
          <w:iCs/>
          <w:color w:val="auto"/>
        </w:rPr>
        <w:t xml:space="preserve">in the MSAC process </w:t>
      </w:r>
      <w:r w:rsidR="000A02B2">
        <w:rPr>
          <w:bCs/>
          <w:iCs/>
          <w:color w:val="auto"/>
        </w:rPr>
        <w:t>beyond the provision of the original clinical data</w:t>
      </w:r>
      <w:r w:rsidR="004D1732">
        <w:rPr>
          <w:bCs/>
          <w:iCs/>
          <w:color w:val="auto"/>
        </w:rPr>
        <w:t>.</w:t>
      </w:r>
      <w:r w:rsidR="00E3686F">
        <w:rPr>
          <w:bCs/>
          <w:iCs/>
          <w:color w:val="auto"/>
        </w:rPr>
        <w:t xml:space="preserve"> Interpretation of the </w:t>
      </w:r>
      <w:r w:rsidR="008434A6">
        <w:rPr>
          <w:bCs/>
          <w:iCs/>
          <w:color w:val="auto"/>
        </w:rPr>
        <w:t xml:space="preserve">MSAC consideration should therefore be </w:t>
      </w:r>
      <w:r w:rsidR="00E23418">
        <w:rPr>
          <w:bCs/>
          <w:iCs/>
          <w:color w:val="auto"/>
        </w:rPr>
        <w:t xml:space="preserve">limited to seeking to understand the basis for the MSAC outcome and not </w:t>
      </w:r>
      <w:r w:rsidR="007D738E">
        <w:rPr>
          <w:bCs/>
          <w:iCs/>
          <w:color w:val="auto"/>
        </w:rPr>
        <w:t xml:space="preserve">used </w:t>
      </w:r>
      <w:r w:rsidR="00E23418">
        <w:rPr>
          <w:bCs/>
          <w:iCs/>
          <w:color w:val="auto"/>
        </w:rPr>
        <w:t xml:space="preserve">in conjunction with the DOES clinical </w:t>
      </w:r>
      <w:r w:rsidR="007D738E">
        <w:rPr>
          <w:bCs/>
          <w:iCs/>
          <w:color w:val="auto"/>
        </w:rPr>
        <w:t>study</w:t>
      </w:r>
      <w:r w:rsidR="00E23418">
        <w:rPr>
          <w:bCs/>
          <w:iCs/>
          <w:color w:val="auto"/>
        </w:rPr>
        <w:t xml:space="preserve">. </w:t>
      </w:r>
    </w:p>
    <w:p w14:paraId="69B4A8BD" w14:textId="1BA9776A" w:rsidR="001E4D18" w:rsidRDefault="001E4D18" w:rsidP="001E4D18">
      <w:pPr>
        <w:pStyle w:val="Heading2"/>
      </w:pPr>
      <w:r>
        <w:t>1</w:t>
      </w:r>
      <w:r w:rsidR="000B0EC4">
        <w:t>4</w:t>
      </w:r>
      <w:r>
        <w:t>.</w:t>
      </w:r>
      <w:r>
        <w:tab/>
        <w:t>Further information on MSAC</w:t>
      </w:r>
    </w:p>
    <w:p w14:paraId="618D310B" w14:textId="6CC5C71A" w:rsidR="00F91CF6" w:rsidRPr="001E4D18" w:rsidRDefault="001E4D18" w:rsidP="001E4D18">
      <w:pPr>
        <w:pStyle w:val="BodyText"/>
        <w:rPr>
          <w:rFonts w:ascii="Franklin Gothic Book" w:hAnsi="Franklin Gothic Book" w:cstheme="minorBidi"/>
          <w:b/>
          <w:bCs/>
          <w:i/>
          <w:iCs/>
          <w:sz w:val="22"/>
        </w:rPr>
      </w:pPr>
      <w:r w:rsidRPr="00F309FA">
        <w:rPr>
          <w:rFonts w:ascii="Franklin Gothic Book" w:hAnsi="Franklin Gothic Book"/>
          <w:bCs/>
          <w:iCs/>
          <w:sz w:val="22"/>
        </w:rPr>
        <w:t xml:space="preserve">MSAC Terms of Reference and other information are available on the MSAC Website: </w:t>
      </w:r>
      <w:hyperlink r:id="rId13" w:tooltip="Link to the MSAC website" w:history="1">
        <w:r w:rsidRPr="00F309FA">
          <w:rPr>
            <w:rStyle w:val="Hyperlink"/>
            <w:rFonts w:ascii="Franklin Gothic Book" w:hAnsi="Franklin Gothic Book"/>
            <w:iCs/>
            <w:sz w:val="22"/>
          </w:rPr>
          <w:t>visit the MSAC website</w:t>
        </w:r>
      </w:hyperlink>
      <w:r w:rsidR="00F91CF6">
        <w:br w:type="page"/>
      </w:r>
    </w:p>
    <w:p w14:paraId="64EFC4DC" w14:textId="39122A73" w:rsidR="00B0300D" w:rsidRDefault="00170BD6" w:rsidP="00D82DF7">
      <w:pPr>
        <w:pStyle w:val="Heading1"/>
        <w:numPr>
          <w:ilvl w:val="0"/>
          <w:numId w:val="0"/>
        </w:numPr>
        <w:rPr>
          <w:b/>
        </w:rPr>
      </w:pPr>
      <w:r>
        <w:lastRenderedPageBreak/>
        <w:t>Appendix</w:t>
      </w:r>
    </w:p>
    <w:p w14:paraId="1E6E8330" w14:textId="4800E220" w:rsidR="00B0300D" w:rsidRPr="00745006" w:rsidRDefault="00B0300D" w:rsidP="00B0300D">
      <w:pPr>
        <w:keepNext/>
        <w:keepLines/>
        <w:spacing w:before="40" w:after="0"/>
        <w:outlineLvl w:val="4"/>
        <w:rPr>
          <w:rFonts w:ascii="Franklin Gothic Book" w:eastAsia="Times New Roman" w:hAnsi="Franklin Gothic Book" w:cs="Calibri"/>
          <w:b/>
        </w:rPr>
      </w:pPr>
      <w:r w:rsidRPr="00745006">
        <w:rPr>
          <w:rFonts w:ascii="Franklin Gothic Book" w:hAnsi="Franklin Gothic Book"/>
          <w:b/>
        </w:rPr>
        <w:t>MSAC ESC – February 2024</w:t>
      </w:r>
    </w:p>
    <w:p w14:paraId="10AB885B" w14:textId="77777777" w:rsidR="00B0300D" w:rsidRPr="00745006" w:rsidRDefault="00B0300D" w:rsidP="00B0300D">
      <w:pPr>
        <w:rPr>
          <w:rFonts w:ascii="Franklin Gothic Book" w:hAnsi="Franklin Gothic Book"/>
        </w:rPr>
      </w:pPr>
      <w:r w:rsidRPr="00745006">
        <w:rPr>
          <w:rFonts w:ascii="Franklin Gothic Book" w:hAnsi="Franklin Gothic Book"/>
        </w:rPr>
        <w:t>MSAC ESC noted that the Medical Services Advisory Committee (MSAC) Executive requested the Department of Health and Aged Care to undertake a fit-for-purpose assessment of bone mineral density (BMD) testing in individuals aged 60–69 years. The aim is to assess the economic and financial implications associated with amending the current age restriction for MBS items 12320 and 12322 from age 70 years and above to age 60 years and above, to align with proposals to amend the age restriction for Pharmaceutical Benefits Scheme (PBS)-listed osteoporosis medicines for primary prevention of fractures.</w:t>
      </w:r>
    </w:p>
    <w:p w14:paraId="1F9ABC37"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the Pharmaceutical Benefits Advisory Committee (PBAC) had considered:</w:t>
      </w:r>
    </w:p>
    <w:p w14:paraId="0E334374" w14:textId="77777777" w:rsidR="00B0300D" w:rsidRPr="00745006" w:rsidRDefault="00B0300D" w:rsidP="00B0300D">
      <w:pPr>
        <w:pStyle w:val="ListParagraph"/>
        <w:numPr>
          <w:ilvl w:val="0"/>
          <w:numId w:val="9"/>
        </w:numPr>
        <w:rPr>
          <w:rFonts w:ascii="Franklin Gothic Book" w:hAnsi="Franklin Gothic Book" w:cstheme="minorHAnsi"/>
        </w:rPr>
      </w:pPr>
      <w:r w:rsidRPr="00745006">
        <w:rPr>
          <w:rFonts w:ascii="Franklin Gothic Book" w:hAnsi="Franklin Gothic Book" w:cstheme="minorHAnsi"/>
        </w:rPr>
        <w:t>expanding the current age range for PBS-listed osteoporosis medications for primary prevention of fractures to those under 70 years of age (see PBAC outcome for Osteoporosis Therapy Restrictions Review, September 2021 PBAC meeting</w:t>
      </w:r>
      <w:r w:rsidRPr="00745006">
        <w:rPr>
          <w:rStyle w:val="FootnoteReference"/>
          <w:rFonts w:ascii="Franklin Gothic Book" w:hAnsi="Franklin Gothic Book" w:cstheme="minorHAnsi"/>
        </w:rPr>
        <w:footnoteReference w:id="11"/>
      </w:r>
      <w:r w:rsidRPr="00745006">
        <w:rPr>
          <w:rFonts w:ascii="Franklin Gothic Book" w:hAnsi="Franklin Gothic Book" w:cstheme="minorHAnsi"/>
        </w:rPr>
        <w:t xml:space="preserve">). </w:t>
      </w:r>
    </w:p>
    <w:p w14:paraId="5FAF78D4" w14:textId="77777777" w:rsidR="00B0300D" w:rsidRPr="00745006" w:rsidRDefault="00B0300D" w:rsidP="00B0300D">
      <w:pPr>
        <w:pStyle w:val="ListParagraph"/>
        <w:numPr>
          <w:ilvl w:val="0"/>
          <w:numId w:val="9"/>
        </w:numPr>
        <w:rPr>
          <w:rFonts w:ascii="Franklin Gothic Book" w:hAnsi="Franklin Gothic Book" w:cstheme="minorHAnsi"/>
        </w:rPr>
      </w:pPr>
      <w:r w:rsidRPr="00745006">
        <w:rPr>
          <w:rFonts w:ascii="Franklin Gothic Book" w:hAnsi="Franklin Gothic Book" w:cstheme="minorHAnsi"/>
        </w:rPr>
        <w:t>expanding the age restriction for risedronic acid (risedronate) to include patients aged 60 to 69 years (see Public Summary Document [PSD] for risedronic acid, November 2022 PBAC meeting with March 2023 Addendum</w:t>
      </w:r>
      <w:r w:rsidRPr="00745006">
        <w:rPr>
          <w:rStyle w:val="FootnoteReference"/>
          <w:rFonts w:ascii="Franklin Gothic Book" w:hAnsi="Franklin Gothic Book" w:cstheme="minorHAnsi"/>
        </w:rPr>
        <w:footnoteReference w:id="12"/>
      </w:r>
      <w:r w:rsidRPr="00745006">
        <w:rPr>
          <w:rFonts w:ascii="Franklin Gothic Book" w:hAnsi="Franklin Gothic Book" w:cstheme="minorHAnsi"/>
        </w:rPr>
        <w:t>).</w:t>
      </w:r>
    </w:p>
    <w:p w14:paraId="69BB45FD" w14:textId="77777777" w:rsidR="00B0300D" w:rsidRPr="00745006" w:rsidRDefault="00B0300D" w:rsidP="00B0300D">
      <w:pPr>
        <w:rPr>
          <w:rFonts w:ascii="Franklin Gothic Book" w:hAnsi="Franklin Gothic Book"/>
        </w:rPr>
      </w:pPr>
      <w:r w:rsidRPr="00745006">
        <w:rPr>
          <w:rFonts w:ascii="Franklin Gothic Book" w:hAnsi="Franklin Gothic Book"/>
        </w:rPr>
        <w:t>In both instances, the PBAC was of a mind to support these changes but deferred making a recommendation regarding expanding the age restriction for PBS-listed osteoporosis medications pending a review of the MBS implications, to ensure that the MBS items for bone densitometry could be aligned with the PBAC recommendations. However, MSAC ESC noted that the PBAC had multiple concerns with the risedronate economic model and considered it may not be reliable for decision making. Based on advice that the sponsor for the risedronic acid PBAC submission would not pursue a codependent submission to assess the MBS implications, the PBAC subsequently updated their advice to not recommend the risedronic acid (risedronate) submission, noting the MSAC Executive advice that the department would independently progress the PBAC advice from the Osteoporosis Therapy Restrictions Review in September 2021.</w:t>
      </w:r>
    </w:p>
    <w:p w14:paraId="5078E71B"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during the MBS Review Taskforce’s review, two time-restricted MBS items were introduced for BMD testing for people aged 70 years and above (MBS items 12320 and 12322) to replace existing MBS item 12323, which was not time-restricted. Individuals aged 70 years or over would continue to be eligible for an initial test using MBS item 12320. Individuals with a BMD T-score of –1.5 or above would be eligible for repeat testing every five years, and individuals with a BMD T-score less than –1.5 and above –2.5 would be eligible for repeat testing every two years.</w:t>
      </w:r>
    </w:p>
    <w:p w14:paraId="4946DBBD" w14:textId="0CFD530F"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although the current application focussed on amending MBS items 12320 and 12322, there are other MBS items available that facilitate conditional access to bone densitometry (dual energy Xray [</w:t>
      </w:r>
      <w:r w:rsidR="00985F0E">
        <w:rPr>
          <w:rFonts w:ascii="Franklin Gothic Book" w:hAnsi="Franklin Gothic Book" w:cstheme="minorHAnsi"/>
        </w:rPr>
        <w:t>DEXA</w:t>
      </w:r>
      <w:r w:rsidRPr="00745006">
        <w:rPr>
          <w:rFonts w:ascii="Franklin Gothic Book" w:hAnsi="Franklin Gothic Book" w:cstheme="minorHAnsi"/>
        </w:rPr>
        <w:t xml:space="preserve">] only) for patients with minimal trauma fracture (MBS item 12306), conditions associated with more rapid bone loss (MBS items 12312 and 12315) and monitoring of patients after a significant change in therapy (MBS item 12321). MSAC ESC also noted that MBS items 12312 and 12315 are not age restricted and therefore, some of the </w:t>
      </w:r>
      <w:r w:rsidRPr="00745006">
        <w:rPr>
          <w:rFonts w:ascii="Franklin Gothic Book" w:hAnsi="Franklin Gothic Book" w:cstheme="minorHAnsi"/>
        </w:rPr>
        <w:lastRenderedPageBreak/>
        <w:t>proposed population who may have a specific condition known to increase bone loss may already be receiving BMD testing via these items.</w:t>
      </w:r>
    </w:p>
    <w:p w14:paraId="3E68AED6" w14:textId="6D68137B" w:rsidR="00B0300D" w:rsidRPr="00745006" w:rsidRDefault="00B0300D" w:rsidP="00B0300D">
      <w:pPr>
        <w:tabs>
          <w:tab w:val="left" w:pos="3686"/>
        </w:tabs>
        <w:spacing w:before="120" w:line="256" w:lineRule="auto"/>
        <w:rPr>
          <w:rFonts w:ascii="Franklin Gothic Book" w:hAnsi="Franklin Gothic Book" w:cstheme="minorHAnsi"/>
        </w:rPr>
      </w:pPr>
      <w:r w:rsidRPr="00745006">
        <w:rPr>
          <w:rFonts w:ascii="Franklin Gothic Book" w:hAnsi="Franklin Gothic Book" w:cstheme="minorHAnsi"/>
        </w:rPr>
        <w:t>MSAC</w:t>
      </w:r>
      <w:r w:rsidRPr="00745006">
        <w:rPr>
          <w:rFonts w:ascii="Franklin Gothic Book" w:eastAsia="Calibri" w:hAnsi="Franklin Gothic Book" w:cstheme="minorHAnsi"/>
        </w:rPr>
        <w:t xml:space="preserve"> ESC noted and welcomed consultation input from 4 professional organisations and 1 consumer organisation.</w:t>
      </w:r>
      <w:r w:rsidRPr="00745006">
        <w:rPr>
          <w:rFonts w:ascii="Franklin Gothic Book" w:hAnsi="Franklin Gothic Book" w:cstheme="minorHAnsi"/>
        </w:rPr>
        <w:t xml:space="preserve"> MSAC ESC noted that the consumer feedback provided mixed support for the application. MSAC ESC noted from feedback provided by the Royal College of General Practitioners (RACGP) that per RACGP’s guidelines for Osteoporosis prevention, diagnosis and management in postmenopausal women and men over 50 years of age, GPs are already assessing osteoporosis risk in the proposed population. MSAC ESC noted the RACGP stated that this guideline directed case-finding process used by GPs avoids the potential patient harms of over-screening and ensure there is access for those who need it. However, MSAC ESC noted other feedback supported lowering the age to include the 60–69 age group, citing an increased risk of fracture in that age group. MSAC ESC also noted several consultation inputs raised matters around radiation safety/dose of quantitative computed tomography (QCT) versus </w:t>
      </w:r>
      <w:r w:rsidR="00985F0E">
        <w:rPr>
          <w:rFonts w:ascii="Franklin Gothic Book" w:hAnsi="Franklin Gothic Book" w:cstheme="minorHAnsi"/>
        </w:rPr>
        <w:t>DEXA</w:t>
      </w:r>
      <w:r w:rsidRPr="00745006">
        <w:rPr>
          <w:rFonts w:ascii="Franklin Gothic Book" w:hAnsi="Franklin Gothic Book" w:cstheme="minorHAnsi"/>
        </w:rPr>
        <w:t xml:space="preserve"> for assessing bone densitometry in the proposed MBS items.</w:t>
      </w:r>
    </w:p>
    <w:p w14:paraId="51082507"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consistent with the MSAC Executive advice, a clinical evaluation was not conducted for this fit-for-purpose department-contracted assessment report.</w:t>
      </w:r>
    </w:p>
    <w:p w14:paraId="40815CDA"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 xml:space="preserve">MSAC ESC noted that the economic evaluation was a two-part analysis based on a cost-effectiveness analysis (CEA) of universal BMD testing versus no BMD testing in individuals aged 60–69 years (Part A), linked to a separate cost-utility analysis (CUA) of early versus delayed osteoporosis treatment (Parts A &amp; B). The results from Part A were presented as the main analysis that provided an estimated upfront testing cost (including repeat testing) per additional patient diagnosed with osteoporosis, defined by either BMD criteria or fracture. A supplementary analysis that applied the results of Part A as additional costs at entry of patients into the Part B CUA model assessed the cost-effectiveness of early initiation of osteoporosis treatment (detected via BMD testing) in patients aged 60–69 years without fracture versus delayed treatment of patients who have a fracture or reach age 70 years. MSAC ESC noted that while both the CEA (Part A) and CUA (Parts A &amp; B) are relevant for informing MSAC’s advice, MSAC ESC advised that the CUA which linked test results to health outcomes and estimated the incremental cost per quality adjusted life year (QALY) gained is </w:t>
      </w:r>
      <w:r w:rsidRPr="00745006" w:rsidDel="00FA219C">
        <w:rPr>
          <w:rFonts w:ascii="Franklin Gothic Book" w:hAnsi="Franklin Gothic Book" w:cstheme="minorHAnsi"/>
        </w:rPr>
        <w:t xml:space="preserve">likely </w:t>
      </w:r>
      <w:r w:rsidRPr="00745006">
        <w:rPr>
          <w:rFonts w:ascii="Franklin Gothic Book" w:hAnsi="Franklin Gothic Book" w:cstheme="minorHAnsi"/>
        </w:rPr>
        <w:t>more informative for decision making than the CEA that estimated the incremental cost per additional osteoporosis diagnosis.</w:t>
      </w:r>
    </w:p>
    <w:p w14:paraId="3DD3F2D5"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 xml:space="preserve">MSAC ESC noted that the comparator for Part A of the economic analysis was standard care (i.e. no testing and standard medical management), including age-appropriate general lifestyle and bone health advice (e.g. exercise, sunshine, diet, </w:t>
      </w:r>
      <w:proofErr w:type="gramStart"/>
      <w:r w:rsidRPr="00745006">
        <w:rPr>
          <w:rFonts w:ascii="Franklin Gothic Book" w:hAnsi="Franklin Gothic Book" w:cstheme="minorHAnsi"/>
        </w:rPr>
        <w:t>calcium</w:t>
      </w:r>
      <w:proofErr w:type="gramEnd"/>
      <w:r w:rsidRPr="00745006">
        <w:rPr>
          <w:rFonts w:ascii="Franklin Gothic Book" w:hAnsi="Franklin Gothic Book" w:cstheme="minorHAnsi"/>
        </w:rPr>
        <w:t xml:space="preserve"> and vitamin D supplements when required).</w:t>
      </w:r>
    </w:p>
    <w:p w14:paraId="0717B4D7"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 xml:space="preserve">Regarding cost-effectiveness of BMD test versus no testing (Part A CEA), MSAC ESC noted that the structure of the economic evaluation was based on a Markov microsimulation, consistent with published economic evaluations identified in the literature review. However, a bespoke structure was required, to model patient trajectories according to BMD T-score categories that determined eligibility for repeat testing as per the proposed MBS items. MSAC ESC noted that there was no published data regarding rate of decline using BMD T-score </w:t>
      </w:r>
      <w:proofErr w:type="gramStart"/>
      <w:r w:rsidRPr="00745006">
        <w:rPr>
          <w:rFonts w:ascii="Franklin Gothic Book" w:hAnsi="Franklin Gothic Book" w:cstheme="minorHAnsi"/>
        </w:rPr>
        <w:t>categories</w:t>
      </w:r>
      <w:proofErr w:type="gramEnd"/>
      <w:r w:rsidRPr="00745006">
        <w:rPr>
          <w:rFonts w:ascii="Franklin Gothic Book" w:hAnsi="Franklin Gothic Book" w:cstheme="minorHAnsi"/>
        </w:rPr>
        <w:t xml:space="preserve"> so an </w:t>
      </w:r>
      <w:r w:rsidRPr="00745006">
        <w:rPr>
          <w:rFonts w:ascii="Franklin Gothic Book" w:hAnsi="Franklin Gothic Book" w:cstheme="minorHAnsi"/>
          <w:i/>
        </w:rPr>
        <w:t>ad hoc</w:t>
      </w:r>
      <w:r w:rsidRPr="00745006">
        <w:rPr>
          <w:rFonts w:ascii="Franklin Gothic Book" w:hAnsi="Franklin Gothic Book" w:cstheme="minorHAnsi"/>
        </w:rPr>
        <w:t xml:space="preserve"> analysis was conducted of epidemiological data from the Dubbo Osteoporosis Epidemiology Study (DOES).</w:t>
      </w:r>
    </w:p>
    <w:p w14:paraId="33815F51"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the assumptions of 100% test uptake and 100% test accuracy are unlikely to be applicable to clinical practice. However, there were no available data to reliably estimate initial and repeat testing rates or test accuracy in the eligible population without fracture or rapid bone loss conditions. Consequently, MSAC ESC agreed the results should be considered the most optimistic estimate of upfront costs based on the incremental cost per additional patient diagnosed with osteoporosis.</w:t>
      </w:r>
    </w:p>
    <w:p w14:paraId="05327DA5"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lastRenderedPageBreak/>
        <w:t xml:space="preserve">MSAC ESC noted that the model also assumed that BMD testing does not have any impact on standard care. For example, having detected osteopenia was assumed to have no impact on use of calcium and vitamin D supplements or non-pharmacological interventions such as exercise or smoking cessation. MSAC ESC noted that there are known benefits associated with these interventions in terms of fracture prevention that were not captured in this analysis. </w:t>
      </w:r>
    </w:p>
    <w:p w14:paraId="7D0AE6E6"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 xml:space="preserve">MSAC ESC noted that the CEA results indicate that BMD testing versus no BMD testing, in patients aged 60–69 years without fracture or conditions associated with rapid bone loss, is associated with an incremental cost of $4,673 per additional patient diagnosed with osteoporosis. </w:t>
      </w:r>
    </w:p>
    <w:p w14:paraId="2648FC18" w14:textId="3BF8CDEF"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 xml:space="preserve">MSAC ESC noted that based on the modelling, the number needed to test to identify an additional patient with osteoporosis was 47 (calculated as the undiscounted incremental cost per additional patient diagnosed with osteoporosis, $5,278, divided by the MBS cost per BMD test of $112.15). This estimate was considerably higher than previously noted by the MSAC Executive based on prevalence data presented in the November 2022 risedronic acid submission (approximate number needed to test of 7 using a rough osteoporosis prevalence of 14.3% weighted by gender in 60–69-year-olds assuming one test per person). The number needed to test in the economic evaluation is based on lower prevalence estimates from the Dubbo Osteoporosis Epidemiology Study (DOES) analysis in individuals without fracture (between </w:t>
      </w:r>
      <w:r w:rsidR="00A00641" w:rsidRPr="004434FE">
        <w:rPr>
          <w:rFonts w:ascii="Franklin Gothic Book" w:hAnsi="Franklin Gothic Book" w:cstheme="minorHAnsi"/>
          <w:b/>
          <w:bCs/>
        </w:rPr>
        <w:t>Redacted</w:t>
      </w:r>
      <w:r w:rsidRPr="0029669E">
        <w:rPr>
          <w:rFonts w:ascii="Franklin Gothic Book" w:hAnsi="Franklin Gothic Book" w:cstheme="minorHAnsi"/>
        </w:rPr>
        <w:t>%</w:t>
      </w:r>
      <w:r w:rsidRPr="004434FE">
        <w:rPr>
          <w:rFonts w:ascii="Franklin Gothic Book" w:hAnsi="Franklin Gothic Book" w:cstheme="minorHAnsi"/>
        </w:rPr>
        <w:t xml:space="preserve"> and </w:t>
      </w:r>
      <w:r w:rsidR="00A00641" w:rsidRPr="004434FE">
        <w:rPr>
          <w:rFonts w:ascii="Franklin Gothic Book" w:hAnsi="Franklin Gothic Book" w:cstheme="minorHAnsi"/>
          <w:b/>
          <w:bCs/>
        </w:rPr>
        <w:t>Redacted</w:t>
      </w:r>
      <w:r w:rsidRPr="0029669E">
        <w:rPr>
          <w:rFonts w:ascii="Franklin Gothic Book" w:hAnsi="Franklin Gothic Book" w:cstheme="minorHAnsi"/>
        </w:rPr>
        <w:t>%</w:t>
      </w:r>
      <w:r w:rsidRPr="004434FE">
        <w:rPr>
          <w:rFonts w:ascii="Franklin Gothic Book" w:hAnsi="Franklin Gothic Book" w:cstheme="minorHAnsi"/>
        </w:rPr>
        <w:t xml:space="preserve">, </w:t>
      </w:r>
      <w:r w:rsidRPr="00745006">
        <w:rPr>
          <w:rFonts w:ascii="Franklin Gothic Book" w:hAnsi="Franklin Gothic Book" w:cstheme="minorHAnsi"/>
        </w:rPr>
        <w:t>weighted by gender in 60–69-year-olds) but also included the impact of repeat testing.</w:t>
      </w:r>
    </w:p>
    <w:p w14:paraId="58FBE5FB"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the incremental cost in the CEA was driven by costs associated with BMD testing, with no other costs included in the base case. A greater proportion of the incremental cost was associated with repeat testing, particularly 2-yearly repeat testing. MSAC ESC questioned the value of repeat testing in this cohort given the low numbers of additional patients with osteoporosis detected via BMD testing beyond the initial test at baseline</w:t>
      </w:r>
      <w:r w:rsidRPr="00745006">
        <w:rPr>
          <w:rFonts w:ascii="Franklin Gothic Book" w:hAnsi="Franklin Gothic Book"/>
          <w:lang w:val="en-US"/>
        </w:rPr>
        <w:t>.</w:t>
      </w:r>
    </w:p>
    <w:p w14:paraId="52B2B00A"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the difference in health outcomes was driven by the increased proportion of patients diagnosed with osteoporosis through BMD testing. The proportion of patients with undiagnosed osteoporosis in the BMD test arm was relatively small given the assumption of 100% test uptake and 100% test accuracy.</w:t>
      </w:r>
    </w:p>
    <w:p w14:paraId="2C185204"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 xml:space="preserve">MSAC ESC noted that the Part A CEA was most sensitive to alternative testing intervals and the time horizon. </w:t>
      </w:r>
      <w:r w:rsidRPr="00745006">
        <w:rPr>
          <w:rFonts w:ascii="Franklin Gothic Book" w:eastAsia="Calibri" w:hAnsi="Franklin Gothic Book" w:cstheme="minorHAnsi"/>
        </w:rPr>
        <w:t xml:space="preserve">The scenario analyses using an older age band (65–69 years) and alternative testing intervals </w:t>
      </w:r>
      <w:r w:rsidRPr="00745006">
        <w:rPr>
          <w:rFonts w:ascii="Franklin Gothic Book" w:hAnsi="Franklin Gothic Book" w:cstheme="minorHAnsi"/>
        </w:rPr>
        <w:t>indicated improved cost-effectiveness when the age threshold is increased to 65 years, particularly when testing is based on a single test at the qualifying age only.</w:t>
      </w:r>
    </w:p>
    <w:p w14:paraId="3C0F29E3"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 xml:space="preserve">Regarding the cost-effectiveness of early versus delayed treatment of osteoporosis (Part A &amp; B supplementary analysis), MSAC ESC noted that the economic model was based on the model presented in the November 2022 risedronic acid submission to the PBAC. ESC noted that the PBAC previously considered the risedronic acid economic model to be problematic and that it may not be reliable for decision making due to multiple concerns with assumptions and inputs, as well as the lack of BMD testing costs. MSAC ESC noted most (but not all) of the issues with the risedronic acid economic model appeared to have been addressed in this assessment. </w:t>
      </w:r>
    </w:p>
    <w:p w14:paraId="2CC6B96A"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the previous PBAC risedronic acid submission’s economic evaluation was based on early initiation of treatment with risedronic acid</w:t>
      </w:r>
      <w:r w:rsidRPr="00745006" w:rsidDel="00D5213A">
        <w:rPr>
          <w:rFonts w:ascii="Franklin Gothic Book" w:hAnsi="Franklin Gothic Book" w:cstheme="minorHAnsi"/>
        </w:rPr>
        <w:t xml:space="preserve"> </w:t>
      </w:r>
      <w:r w:rsidRPr="00745006">
        <w:rPr>
          <w:rFonts w:ascii="Franklin Gothic Book" w:hAnsi="Franklin Gothic Book" w:cstheme="minorHAnsi"/>
        </w:rPr>
        <w:t xml:space="preserve">in patients aged less than 70 years with a BMD T-score of −2.5 or less, who are without fracture, versus delayed treatment with standard care therapies (predominantly denosumab) in patients who fracture or reach the age of 70 years. The modelled population was synthesised using epidemiological data, with fracture risks estimated using the </w:t>
      </w:r>
      <w:proofErr w:type="spellStart"/>
      <w:r w:rsidRPr="00745006">
        <w:rPr>
          <w:rFonts w:ascii="Franklin Gothic Book" w:hAnsi="Franklin Gothic Book" w:cstheme="minorHAnsi"/>
        </w:rPr>
        <w:t>Garvan</w:t>
      </w:r>
      <w:proofErr w:type="spellEnd"/>
      <w:r w:rsidRPr="00745006">
        <w:rPr>
          <w:rFonts w:ascii="Franklin Gothic Book" w:hAnsi="Franklin Gothic Book" w:cstheme="minorHAnsi"/>
        </w:rPr>
        <w:t xml:space="preserve"> risk calculator, treatment effects derived from subgroups of the alendronate (FIT-CFA) and denosumab (FREEDOM) placebo-controlled trials as well as other modelled variables. ESC noted the </w:t>
      </w:r>
      <w:proofErr w:type="spellStart"/>
      <w:r w:rsidRPr="00745006">
        <w:rPr>
          <w:rFonts w:ascii="Franklin Gothic Book" w:hAnsi="Franklin Gothic Book" w:cstheme="minorHAnsi"/>
        </w:rPr>
        <w:t>Garvan</w:t>
      </w:r>
      <w:proofErr w:type="spellEnd"/>
      <w:r w:rsidRPr="00745006">
        <w:rPr>
          <w:rFonts w:ascii="Franklin Gothic Book" w:hAnsi="Franklin Gothic Book" w:cstheme="minorHAnsi"/>
        </w:rPr>
        <w:t xml:space="preserve"> validation studies (based on DOES cohort started in 1989) may not reflect contemporary fracture risks and standards of care. In addition, MSAC ESC </w:t>
      </w:r>
      <w:r w:rsidRPr="00745006">
        <w:rPr>
          <w:rFonts w:ascii="Franklin Gothic Book" w:hAnsi="Franklin Gothic Book" w:cstheme="minorHAnsi"/>
        </w:rPr>
        <w:lastRenderedPageBreak/>
        <w:t xml:space="preserve">noted that the </w:t>
      </w:r>
      <w:proofErr w:type="spellStart"/>
      <w:r w:rsidRPr="00745006">
        <w:rPr>
          <w:rFonts w:ascii="Franklin Gothic Book" w:hAnsi="Franklin Gothic Book" w:cstheme="minorHAnsi"/>
        </w:rPr>
        <w:t>Garvan</w:t>
      </w:r>
      <w:proofErr w:type="spellEnd"/>
      <w:r w:rsidRPr="00745006">
        <w:rPr>
          <w:rFonts w:ascii="Franklin Gothic Book" w:hAnsi="Franklin Gothic Book" w:cstheme="minorHAnsi"/>
        </w:rPr>
        <w:t xml:space="preserve"> study included a mixed cohort of primary and secondary prevention compared with the proposed primary prevention population. However, MSAC ESC noted the osteoporosis incidence rates by gender and T-score predicted in the Part A model are consistent with published estimates from the DOES study</w:t>
      </w:r>
      <w:r w:rsidRPr="00745006">
        <w:rPr>
          <w:rStyle w:val="FootnoteReference"/>
          <w:rFonts w:ascii="Franklin Gothic Book" w:hAnsi="Franklin Gothic Book" w:cstheme="minorHAnsi"/>
        </w:rPr>
        <w:footnoteReference w:id="13"/>
      </w:r>
      <w:r w:rsidRPr="00745006">
        <w:rPr>
          <w:rFonts w:ascii="Franklin Gothic Book" w:hAnsi="Franklin Gothic Book" w:cstheme="minorHAnsi"/>
        </w:rPr>
        <w:t>.</w:t>
      </w:r>
    </w:p>
    <w:p w14:paraId="5EC3EA14"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key differences with the November 2022 risedronic acid PBAC submission were the inclusion of the costs associated with BMD testing to identify patients with osteoporosis eligible for treatment, and amendment of the modelled population characteristics to be consistent with the proposed population.</w:t>
      </w:r>
    </w:p>
    <w:p w14:paraId="1CF7E18D" w14:textId="19E8E4EA" w:rsidR="00B0300D" w:rsidRPr="00745006" w:rsidRDefault="00B0300D" w:rsidP="00B0300D">
      <w:pPr>
        <w:rPr>
          <w:rFonts w:ascii="Franklin Gothic Book" w:hAnsi="Franklin Gothic Book"/>
        </w:rPr>
      </w:pPr>
      <w:r w:rsidRPr="00745006">
        <w:rPr>
          <w:rFonts w:ascii="Franklin Gothic Book" w:hAnsi="Franklin Gothic Book" w:cstheme="minorHAnsi"/>
        </w:rPr>
        <w:t>MSAC</w:t>
      </w:r>
      <w:r w:rsidRPr="00745006">
        <w:rPr>
          <w:rFonts w:ascii="Franklin Gothic Book" w:hAnsi="Franklin Gothic Book"/>
        </w:rPr>
        <w:t xml:space="preserve"> ESC noted that the modelled cost-effectiveness of early vs delayed osteoporosis treatments (Part A &amp; B supplementary analysis) indicated that, early initiation of risedronic acid treatment</w:t>
      </w:r>
      <w:r w:rsidRPr="00745006" w:rsidDel="0028543D">
        <w:rPr>
          <w:rFonts w:ascii="Franklin Gothic Book" w:hAnsi="Franklin Gothic Book"/>
        </w:rPr>
        <w:t xml:space="preserve"> </w:t>
      </w:r>
      <w:r w:rsidRPr="00745006">
        <w:rPr>
          <w:rFonts w:ascii="Franklin Gothic Book" w:hAnsi="Franklin Gothic Book"/>
        </w:rPr>
        <w:t xml:space="preserve">was associated with an incremental cost effectiveness ratio (ICER) of $146,387 per QALY gained compared to delayed initiation of treatment with standard care for osteoporosis in patients aged 60–69 years. </w:t>
      </w:r>
      <w:r w:rsidRPr="00745006">
        <w:rPr>
          <w:rFonts w:ascii="Franklin Gothic Book" w:hAnsi="Franklin Gothic Book" w:cstheme="minorHAnsi"/>
        </w:rPr>
        <w:t>MSAC</w:t>
      </w:r>
      <w:r w:rsidRPr="00745006">
        <w:rPr>
          <w:rFonts w:ascii="Franklin Gothic Book" w:hAnsi="Franklin Gothic Book"/>
        </w:rPr>
        <w:t xml:space="preserve"> ESC considered that this estimate should be considered optimistic, given the model base case assumed perfect treatment persistence over the 20-year time horizon, included upfront BMD testing costs assuming 100% uptake and 100% accuracy, and assumed 100% treatment uptake in patients diagnosed with osteoporosis. This compared to an ICER of $</w:t>
      </w:r>
      <w:r w:rsidR="00A01442" w:rsidRPr="00A01442">
        <w:rPr>
          <w:rFonts w:ascii="Franklin Gothic Book" w:hAnsi="Franklin Gothic Book"/>
          <w:b/>
          <w:bCs/>
        </w:rPr>
        <w:t>redacted</w:t>
      </w:r>
      <w:r w:rsidRPr="00A01442">
        <w:rPr>
          <w:rFonts w:ascii="Franklin Gothic Book" w:hAnsi="Franklin Gothic Book"/>
        </w:rPr>
        <w:t xml:space="preserve"> per </w:t>
      </w:r>
      <w:r w:rsidRPr="00745006">
        <w:rPr>
          <w:rFonts w:ascii="Franklin Gothic Book" w:hAnsi="Franklin Gothic Book"/>
        </w:rPr>
        <w:t>QALY gained in the November 2022 risedronic acid PBAC submission, which did not include the costs of BMD testing to identify patients with osteoporosis; included a younger population (62 versus 65 years), with a smaller proportion of males (15% versus 29%); and was based on a higher price of risedronic acid (Dispensed Price for Maximum Quantity</w:t>
      </w:r>
      <w:r w:rsidRPr="00745006" w:rsidDel="007E5CD7">
        <w:rPr>
          <w:rFonts w:ascii="Franklin Gothic Book" w:hAnsi="Franklin Gothic Book"/>
        </w:rPr>
        <w:t xml:space="preserve"> </w:t>
      </w:r>
      <w:r w:rsidRPr="00745006">
        <w:rPr>
          <w:rFonts w:ascii="Franklin Gothic Book" w:hAnsi="Franklin Gothic Book"/>
        </w:rPr>
        <w:t xml:space="preserve">of $36.09 in April 2022 compared with $33.41 in October 2023). Given the substantial change in the modelled cost-effectiveness of risedronate for people aged 60–69 years, and the likely impact on the PBAC’s previous advice, </w:t>
      </w:r>
      <w:r w:rsidRPr="00745006">
        <w:rPr>
          <w:rFonts w:ascii="Franklin Gothic Book" w:hAnsi="Franklin Gothic Book" w:cstheme="minorHAnsi"/>
        </w:rPr>
        <w:t>MSAC</w:t>
      </w:r>
      <w:r w:rsidRPr="00745006">
        <w:rPr>
          <w:rFonts w:ascii="Franklin Gothic Book" w:hAnsi="Franklin Gothic Book"/>
        </w:rPr>
        <w:t xml:space="preserve"> ESC advised that there may be value in seeking input from the PBAC Economics Sub Committee (ESC) to ensure that the revisions to the risedronate model are a reasonable reflection of the previous advice from that subcommittee. In particular, to ask whether the PBAC ESC is of the view that the base case analysis should instead have a time horizon of 10 years (not 20 years) and/or should include imperfect (not perfect) persistence/adherence to osteoporosis medications. </w:t>
      </w:r>
      <w:r w:rsidRPr="00745006">
        <w:rPr>
          <w:rFonts w:ascii="Franklin Gothic Book" w:hAnsi="Franklin Gothic Book" w:cstheme="minorHAnsi"/>
        </w:rPr>
        <w:t>MSAC</w:t>
      </w:r>
      <w:r w:rsidRPr="00745006">
        <w:rPr>
          <w:rFonts w:ascii="Franklin Gothic Book" w:hAnsi="Franklin Gothic Book"/>
        </w:rPr>
        <w:t xml:space="preserve"> ESC noted the results from sensitivity analyses showed that the ICER was highly sensitive to variations in each of these assumptions (see </w:t>
      </w:r>
      <w:r w:rsidRPr="00745006">
        <w:rPr>
          <w:rFonts w:ascii="Franklin Gothic Book" w:hAnsi="Franklin Gothic Book"/>
        </w:rPr>
        <w:fldChar w:fldCharType="begin"/>
      </w:r>
      <w:r w:rsidRPr="00745006">
        <w:rPr>
          <w:rFonts w:ascii="Franklin Gothic Book" w:hAnsi="Franklin Gothic Book"/>
        </w:rPr>
        <w:instrText xml:space="preserve"> REF _Ref146897191 \h  \* MERGEFORMAT </w:instrText>
      </w:r>
      <w:r w:rsidRPr="00745006">
        <w:rPr>
          <w:rFonts w:ascii="Franklin Gothic Book" w:hAnsi="Franklin Gothic Book"/>
        </w:rPr>
      </w:r>
      <w:r w:rsidRPr="00745006">
        <w:rPr>
          <w:rFonts w:ascii="Franklin Gothic Book" w:hAnsi="Franklin Gothic Book"/>
        </w:rPr>
        <w:fldChar w:fldCharType="separate"/>
      </w:r>
      <w:r w:rsidRPr="00745006">
        <w:rPr>
          <w:rFonts w:ascii="Franklin Gothic Book" w:hAnsi="Franklin Gothic Book"/>
        </w:rPr>
        <w:t>Table 11</w:t>
      </w:r>
      <w:r w:rsidRPr="00745006">
        <w:rPr>
          <w:rFonts w:ascii="Franklin Gothic Book" w:hAnsi="Franklin Gothic Book"/>
        </w:rPr>
        <w:fldChar w:fldCharType="end"/>
      </w:r>
      <w:r w:rsidRPr="00745006">
        <w:rPr>
          <w:rFonts w:ascii="Franklin Gothic Book" w:hAnsi="Franklin Gothic Book"/>
        </w:rPr>
        <w:t>).</w:t>
      </w:r>
    </w:p>
    <w:p w14:paraId="6C94A15B"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 xml:space="preserve">MSAC ESC queried whether a 20-year time horizon was suitable, given that everyone in the 60–69-year-old cohort will be eligible for testing within less than 10 years (i.e. when they turn 70) and noting that PBAC ESC had advised the risedronic acid economic evaluation should have been revised to have a </w:t>
      </w:r>
      <w:proofErr w:type="gramStart"/>
      <w:r w:rsidRPr="00745006">
        <w:rPr>
          <w:rFonts w:ascii="Franklin Gothic Book" w:hAnsi="Franklin Gothic Book" w:cstheme="minorHAnsi"/>
        </w:rPr>
        <w:t>10 year</w:t>
      </w:r>
      <w:proofErr w:type="gramEnd"/>
      <w:r w:rsidRPr="00745006">
        <w:rPr>
          <w:rFonts w:ascii="Franklin Gothic Book" w:hAnsi="Franklin Gothic Book" w:cstheme="minorHAnsi"/>
        </w:rPr>
        <w:t xml:space="preserve"> time horizon.</w:t>
      </w:r>
    </w:p>
    <w:p w14:paraId="1CFF16AC"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the incremental cost was driven by the costs associated with BMD testing to identify patients with osteoporosis. Scenario analyses using alternative BMD testing scenarios and/or limiting the population to patients aged 65 to 69 years resulted in more favourable ICERs (consistent with the results of the Part A economic analysis).</w:t>
      </w:r>
    </w:p>
    <w:p w14:paraId="01158CA5"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based on the model output, the number needed to treat (NNT) to prevent any fracture was 39, the NNT to prevent a hip fracture was 97, and to prevent a non-hip fracture was 65. These estimates were considerably higher than the NNTs reported in the November 2022 risedronic acid submission (NNT to prevent any fracture 20; hip fracture 57; non-hip fracture 31) due to differences in patient characteristics (mean age 65 years and 29% male in the current model, compared with a mean age of 62 years and 15% male in the November 2022 risedronic acid PBAC submission).</w:t>
      </w:r>
    </w:p>
    <w:p w14:paraId="32C14659"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lastRenderedPageBreak/>
        <w:t>MSAC ESC noted that an epidemiological approach was used to estimate the extent of use and financial implications of extending BMD testing to individuals aged 60–69 years under the MBS.</w:t>
      </w:r>
    </w:p>
    <w:p w14:paraId="3BB484D9"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there were insufficient contemporary Australian data to inform a detailed epidemiology-based model on expected utilisation. Therefore, a simplified approach was taken by extrapolating testing rates in the existing population (individuals aged 70 years or older) and applying these estimates to the target population (individuals aged 60–69 years). Testing rates in the existing population were estimated based on Australian Bureau of Statistics data on the size of the Australian population by age and gender in 2018–2022. These estimates were then compared with MBS data on the age and gender of individuals using BMD scanning items (MBS 12320, MBS 12322) over the same time period.</w:t>
      </w:r>
    </w:p>
    <w:p w14:paraId="175946DF"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expanding the population eligible for BMD testing would increase the annual number of scans conducted from 230,771 in Year 1 to 239,028 in Year 6. For comparison, the total number of BMD scans conducted in 2022 for the existing population aged 70 years or older was 249,996.</w:t>
      </w:r>
    </w:p>
    <w:p w14:paraId="5700A67D"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 ESC noted that the estimated net cost to the MBS for extending BMD testing to a younger population was $22.0 million in Year 1, increasing to $22.8 million in Year 6, with a cumulative total of $134.5 million over 6 years.</w:t>
      </w:r>
    </w:p>
    <w:p w14:paraId="4EFFDC35" w14:textId="77777777" w:rsidR="00B0300D" w:rsidRPr="00745006" w:rsidRDefault="00B0300D" w:rsidP="00B0300D">
      <w:pPr>
        <w:rPr>
          <w:rFonts w:ascii="Franklin Gothic Book" w:hAnsi="Franklin Gothic Book" w:cstheme="minorHAnsi"/>
        </w:rPr>
      </w:pPr>
      <w:r w:rsidRPr="00745006">
        <w:rPr>
          <w:rFonts w:ascii="Franklin Gothic Book" w:hAnsi="Franklin Gothic Book" w:cstheme="minorHAnsi"/>
        </w:rPr>
        <w:t>MSAC</w:t>
      </w:r>
      <w:r w:rsidRPr="00745006">
        <w:rPr>
          <w:rFonts w:ascii="Franklin Gothic Book" w:eastAsia="Calibri" w:hAnsi="Franklin Gothic Book" w:cstheme="minorHAnsi"/>
        </w:rPr>
        <w:t xml:space="preserve"> ESC noted the uncertainty associated with the estimated budget impact of expanded BMD testing was explored in sensitivity analyses, which </w:t>
      </w:r>
      <w:r w:rsidRPr="00745006">
        <w:rPr>
          <w:rFonts w:ascii="Franklin Gothic Book" w:hAnsi="Franklin Gothic Book" w:cstheme="minorHAnsi"/>
        </w:rPr>
        <w:t xml:space="preserve">indicated that the budget impact estimate was most sensitive to the uptake rate of BMD testing over time, and the age band eligible for testing. </w:t>
      </w:r>
    </w:p>
    <w:p w14:paraId="48AFAC14" w14:textId="77777777" w:rsidR="00B0300D" w:rsidRPr="00745006" w:rsidRDefault="00B0300D" w:rsidP="00B0300D">
      <w:pPr>
        <w:spacing w:after="160" w:line="259" w:lineRule="auto"/>
        <w:rPr>
          <w:rFonts w:ascii="Franklin Gothic Book" w:hAnsi="Franklin Gothic Book" w:cstheme="minorHAnsi"/>
        </w:rPr>
      </w:pPr>
      <w:r w:rsidRPr="00745006">
        <w:rPr>
          <w:rFonts w:ascii="Franklin Gothic Book" w:hAnsi="Franklin Gothic Book" w:cstheme="minorHAnsi"/>
        </w:rPr>
        <w:t>To address some outstanding uncertainties, MSAC ESC requested the following additional work for the assessment to subsequently be jointly considered by the PBAC/MSAC ESCs:</w:t>
      </w:r>
    </w:p>
    <w:p w14:paraId="16695868" w14:textId="77777777" w:rsidR="00B0300D" w:rsidRPr="00745006" w:rsidRDefault="00B0300D" w:rsidP="00B0300D">
      <w:pPr>
        <w:pStyle w:val="ListParagraph"/>
        <w:numPr>
          <w:ilvl w:val="0"/>
          <w:numId w:val="7"/>
        </w:numPr>
        <w:spacing w:after="160" w:line="259" w:lineRule="auto"/>
        <w:rPr>
          <w:rFonts w:ascii="Franklin Gothic Book" w:hAnsi="Franklin Gothic Book" w:cstheme="minorHAnsi"/>
        </w:rPr>
      </w:pPr>
      <w:r w:rsidRPr="00745006">
        <w:rPr>
          <w:rFonts w:ascii="Franklin Gothic Book" w:hAnsi="Franklin Gothic Book" w:cstheme="minorHAnsi"/>
        </w:rPr>
        <w:t>MSAC ESC advised a summary table of ICERs and budget impact analyses to be completed by the assessment group to inform MSAC advice on expanding MBS items 13230 and 12322, and the PBAC’s reconsideration of its deferred advice from the Osteoporosis Therapy Restrictions Review in September 2021.</w:t>
      </w:r>
    </w:p>
    <w:p w14:paraId="627138CA" w14:textId="3282E0BB" w:rsidR="00B0300D" w:rsidRPr="00745006" w:rsidRDefault="00B0300D" w:rsidP="00B0300D">
      <w:pPr>
        <w:pStyle w:val="ListParagraph"/>
        <w:numPr>
          <w:ilvl w:val="1"/>
          <w:numId w:val="7"/>
        </w:numPr>
        <w:spacing w:after="160" w:line="259" w:lineRule="auto"/>
        <w:rPr>
          <w:rFonts w:ascii="Franklin Gothic Book" w:hAnsi="Franklin Gothic Book" w:cstheme="minorHAnsi"/>
        </w:rPr>
      </w:pPr>
      <w:r w:rsidRPr="00745006">
        <w:rPr>
          <w:rFonts w:ascii="Franklin Gothic Book" w:hAnsi="Franklin Gothic Book" w:cstheme="minorHAnsi"/>
        </w:rPr>
        <w:t>The ICERs in the requested summary table to be presented for the base case (</w:t>
      </w:r>
      <w:proofErr w:type="gramStart"/>
      <w:r w:rsidRPr="00745006">
        <w:rPr>
          <w:rFonts w:ascii="Franklin Gothic Book" w:hAnsi="Franklin Gothic Book" w:cstheme="minorHAnsi"/>
        </w:rPr>
        <w:t>20</w:t>
      </w:r>
      <w:r w:rsidR="00A01442">
        <w:rPr>
          <w:rFonts w:ascii="Franklin Gothic Book" w:hAnsi="Franklin Gothic Book" w:cstheme="minorHAnsi"/>
        </w:rPr>
        <w:t> </w:t>
      </w:r>
      <w:r w:rsidRPr="00745006">
        <w:rPr>
          <w:rFonts w:ascii="Franklin Gothic Book" w:hAnsi="Franklin Gothic Book" w:cstheme="minorHAnsi"/>
        </w:rPr>
        <w:t>year</w:t>
      </w:r>
      <w:proofErr w:type="gramEnd"/>
      <w:r w:rsidRPr="00745006">
        <w:rPr>
          <w:rFonts w:ascii="Franklin Gothic Book" w:hAnsi="Franklin Gothic Book" w:cstheme="minorHAnsi"/>
        </w:rPr>
        <w:t xml:space="preserve"> time horizon and assumption of perfect persistence to treatment); and additionally presented for an alternative base case with a time horizon of 10 years as preferred by PBAC ESC (para 6.54 risedronic acid PSD) AND/OR assuming imperfect treatment persistence/adherence patterns.</w:t>
      </w:r>
    </w:p>
    <w:p w14:paraId="2C9C8144" w14:textId="77777777" w:rsidR="00B0300D" w:rsidRPr="00745006" w:rsidRDefault="00B0300D" w:rsidP="00B0300D">
      <w:pPr>
        <w:pStyle w:val="ListParagraph"/>
        <w:numPr>
          <w:ilvl w:val="1"/>
          <w:numId w:val="7"/>
        </w:numPr>
        <w:spacing w:after="160" w:line="259" w:lineRule="auto"/>
        <w:rPr>
          <w:rFonts w:ascii="Franklin Gothic Book" w:hAnsi="Franklin Gothic Book" w:cstheme="minorHAnsi"/>
        </w:rPr>
      </w:pPr>
      <w:r w:rsidRPr="00745006">
        <w:rPr>
          <w:rFonts w:ascii="Franklin Gothic Book" w:hAnsi="Franklin Gothic Book" w:cstheme="minorHAnsi"/>
        </w:rPr>
        <w:t>The budget impact analyses in the requested summary table could include an additional column presenting the financial impacts to the PBS.</w:t>
      </w:r>
    </w:p>
    <w:p w14:paraId="0B17C60E" w14:textId="77777777" w:rsidR="00B0300D" w:rsidRPr="00745006" w:rsidRDefault="00B0300D" w:rsidP="00B0300D">
      <w:pPr>
        <w:pStyle w:val="ListParagraph"/>
        <w:numPr>
          <w:ilvl w:val="0"/>
          <w:numId w:val="7"/>
        </w:numPr>
        <w:spacing w:after="160" w:line="259" w:lineRule="auto"/>
        <w:rPr>
          <w:rFonts w:ascii="Franklin Gothic Book" w:hAnsi="Franklin Gothic Book" w:cstheme="minorHAnsi"/>
        </w:rPr>
      </w:pPr>
      <w:r w:rsidRPr="00745006">
        <w:rPr>
          <w:rFonts w:ascii="Franklin Gothic Book" w:hAnsi="Franklin Gothic Book" w:cstheme="minorHAnsi"/>
        </w:rPr>
        <w:t>MSAC ESC requested further clarification regarding methodology used for the financial analyses, including:</w:t>
      </w:r>
    </w:p>
    <w:p w14:paraId="2A15AAFA" w14:textId="77777777" w:rsidR="00B0300D" w:rsidRPr="00745006" w:rsidRDefault="00B0300D" w:rsidP="00B0300D">
      <w:pPr>
        <w:pStyle w:val="ListParagraph"/>
        <w:numPr>
          <w:ilvl w:val="1"/>
          <w:numId w:val="7"/>
        </w:numPr>
        <w:spacing w:after="160" w:line="259" w:lineRule="auto"/>
        <w:rPr>
          <w:rFonts w:ascii="Franklin Gothic Book" w:hAnsi="Franklin Gothic Book" w:cstheme="minorHAnsi"/>
        </w:rPr>
      </w:pPr>
      <w:r w:rsidRPr="00745006">
        <w:rPr>
          <w:rFonts w:ascii="Franklin Gothic Book" w:hAnsi="Franklin Gothic Book" w:cstheme="minorHAnsi"/>
        </w:rPr>
        <w:t xml:space="preserve">whether it could be separated for repeat testing at </w:t>
      </w:r>
      <w:proofErr w:type="gramStart"/>
      <w:r w:rsidRPr="00745006">
        <w:rPr>
          <w:rFonts w:ascii="Franklin Gothic Book" w:hAnsi="Franklin Gothic Book" w:cstheme="minorHAnsi"/>
        </w:rPr>
        <w:t>2 and 5 year</w:t>
      </w:r>
      <w:proofErr w:type="gramEnd"/>
      <w:r w:rsidRPr="00745006">
        <w:rPr>
          <w:rFonts w:ascii="Franklin Gothic Book" w:hAnsi="Franklin Gothic Book" w:cstheme="minorHAnsi"/>
        </w:rPr>
        <w:t xml:space="preserve"> intervals which would improve transparency of the modelling of initial and repeat testing</w:t>
      </w:r>
    </w:p>
    <w:p w14:paraId="1C4D12E3" w14:textId="77777777" w:rsidR="00B0300D" w:rsidRPr="00745006" w:rsidRDefault="00B0300D" w:rsidP="00B0300D">
      <w:pPr>
        <w:pStyle w:val="ListParagraph"/>
        <w:numPr>
          <w:ilvl w:val="1"/>
          <w:numId w:val="7"/>
        </w:numPr>
        <w:spacing w:after="160" w:line="259" w:lineRule="auto"/>
        <w:rPr>
          <w:rFonts w:ascii="Franklin Gothic Book" w:hAnsi="Franklin Gothic Book" w:cstheme="minorHAnsi"/>
        </w:rPr>
      </w:pPr>
      <w:r w:rsidRPr="00745006">
        <w:rPr>
          <w:rFonts w:ascii="Franklin Gothic Book" w:hAnsi="Franklin Gothic Book" w:cstheme="minorHAnsi"/>
        </w:rPr>
        <w:t>whether utilisation of MBS items 12315, 12321 (by respective age groups) needed to be accounted for (i.e. excluded) in the utilisation estimates as some patients in the proposed expanded population may be able to already access BMD testing under these items.</w:t>
      </w:r>
    </w:p>
    <w:p w14:paraId="4B2F8593" w14:textId="54D6FC46" w:rsidR="001820AB" w:rsidRPr="00745006" w:rsidRDefault="00B0300D" w:rsidP="00C96AC6">
      <w:pPr>
        <w:pStyle w:val="ListParagraph"/>
        <w:numPr>
          <w:ilvl w:val="0"/>
          <w:numId w:val="7"/>
        </w:numPr>
        <w:spacing w:after="160" w:line="259" w:lineRule="auto"/>
        <w:rPr>
          <w:rFonts w:ascii="Franklin Gothic Book" w:hAnsi="Franklin Gothic Book" w:cstheme="minorHAnsi"/>
        </w:rPr>
      </w:pPr>
      <w:r w:rsidRPr="00745006">
        <w:rPr>
          <w:rFonts w:ascii="Franklin Gothic Book" w:hAnsi="Franklin Gothic Book" w:cstheme="minorHAnsi"/>
        </w:rPr>
        <w:t>MSAC ESC requested the department provide further information on the ICERs and financial estimates that informed past MSAC advice for Applications 1162, 1313, and 1665 as a potential frame of reference for MSAC consideration.</w:t>
      </w:r>
    </w:p>
    <w:sectPr w:rsidR="001820AB" w:rsidRPr="00745006">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C2C59" w14:textId="77777777" w:rsidR="00401C3B" w:rsidRDefault="00401C3B" w:rsidP="008979C9">
      <w:pPr>
        <w:spacing w:after="0"/>
      </w:pPr>
      <w:r>
        <w:separator/>
      </w:r>
    </w:p>
  </w:endnote>
  <w:endnote w:type="continuationSeparator" w:id="0">
    <w:p w14:paraId="7B7C17E3" w14:textId="77777777" w:rsidR="00401C3B" w:rsidRDefault="00401C3B" w:rsidP="008979C9">
      <w:pPr>
        <w:spacing w:after="0"/>
      </w:pPr>
      <w:r>
        <w:continuationSeparator/>
      </w:r>
    </w:p>
  </w:endnote>
  <w:endnote w:type="continuationNotice" w:id="1">
    <w:p w14:paraId="31024BDF" w14:textId="77777777" w:rsidR="00401C3B" w:rsidRDefault="00401C3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10358"/>
      <w:docPartObj>
        <w:docPartGallery w:val="Page Numbers (Bottom of Page)"/>
        <w:docPartUnique/>
      </w:docPartObj>
    </w:sdtPr>
    <w:sdtEndPr>
      <w:rPr>
        <w:noProof/>
      </w:rPr>
    </w:sdtEndPr>
    <w:sdtContent>
      <w:p w14:paraId="5A628554" w14:textId="1DF66365" w:rsidR="00C80095" w:rsidRDefault="00F843C4" w:rsidP="006667AC">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DEBFF" w14:textId="77777777" w:rsidR="00401C3B" w:rsidRDefault="00401C3B" w:rsidP="008979C9">
      <w:pPr>
        <w:spacing w:after="0"/>
      </w:pPr>
      <w:r>
        <w:separator/>
      </w:r>
    </w:p>
  </w:footnote>
  <w:footnote w:type="continuationSeparator" w:id="0">
    <w:p w14:paraId="614EF9FB" w14:textId="77777777" w:rsidR="00401C3B" w:rsidRDefault="00401C3B" w:rsidP="008979C9">
      <w:pPr>
        <w:spacing w:after="0"/>
      </w:pPr>
      <w:r>
        <w:continuationSeparator/>
      </w:r>
    </w:p>
  </w:footnote>
  <w:footnote w:type="continuationNotice" w:id="1">
    <w:p w14:paraId="7705C6C9" w14:textId="77777777" w:rsidR="00401C3B" w:rsidRDefault="00401C3B">
      <w:pPr>
        <w:spacing w:after="0"/>
      </w:pPr>
    </w:p>
  </w:footnote>
  <w:footnote w:id="2">
    <w:p w14:paraId="5BAF1FB6" w14:textId="0BE6B08F" w:rsidR="008A75D9" w:rsidRDefault="008A75D9">
      <w:pPr>
        <w:pStyle w:val="FootnoteText"/>
      </w:pPr>
      <w:r>
        <w:rPr>
          <w:rStyle w:val="FootnoteReference"/>
        </w:rPr>
        <w:footnoteRef/>
      </w:r>
      <w:r>
        <w:t xml:space="preserve"> </w:t>
      </w:r>
      <w:r w:rsidR="000A59F5" w:rsidRPr="000A59F5">
        <w:t>Osteoporosis Therapy Restrictions Review, September 2021</w:t>
      </w:r>
      <w:r w:rsidR="00F45F0D">
        <w:t xml:space="preserve">, </w:t>
      </w:r>
      <w:r w:rsidR="000A59F5" w:rsidRPr="000A59F5">
        <w:t>PBAC meeting</w:t>
      </w:r>
      <w:r w:rsidR="00F45F0D">
        <w:t xml:space="preserve"> - </w:t>
      </w:r>
      <w:hyperlink r:id="rId1" w:history="1">
        <w:r w:rsidR="00745006" w:rsidRPr="00FA7C9F">
          <w:rPr>
            <w:rStyle w:val="Hyperlink"/>
          </w:rPr>
          <w:t>https://www.pbs.gov.au/industry/listing/elements/pbac-meetings/pbac-outcomes/2021-09/September-2021-pbac-web-outcomes.pdf</w:t>
        </w:r>
      </w:hyperlink>
      <w:r w:rsidR="00745006">
        <w:t xml:space="preserve"> </w:t>
      </w:r>
    </w:p>
  </w:footnote>
  <w:footnote w:id="3">
    <w:p w14:paraId="749B3BC4" w14:textId="7AE5CA9E" w:rsidR="00993DAC" w:rsidRDefault="00993DAC">
      <w:pPr>
        <w:pStyle w:val="FootnoteText"/>
      </w:pPr>
      <w:r>
        <w:rPr>
          <w:rStyle w:val="FootnoteReference"/>
        </w:rPr>
        <w:footnoteRef/>
      </w:r>
      <w:r>
        <w:t xml:space="preserve"> </w:t>
      </w:r>
      <w:r w:rsidRPr="000A59F5">
        <w:t xml:space="preserve">Osteoporosis Therapy Restrictions Review, </w:t>
      </w:r>
      <w:r>
        <w:t xml:space="preserve">July 2024, </w:t>
      </w:r>
      <w:r w:rsidRPr="000A59F5">
        <w:t>PBAC meeting</w:t>
      </w:r>
      <w:r>
        <w:t xml:space="preserve"> -</w:t>
      </w:r>
      <w:r w:rsidR="00FA6FD2">
        <w:t xml:space="preserve"> </w:t>
      </w:r>
      <w:hyperlink r:id="rId2" w:history="1">
        <w:r w:rsidR="00FA6FD2" w:rsidRPr="001E5E38">
          <w:rPr>
            <w:rStyle w:val="Hyperlink"/>
          </w:rPr>
          <w:t>https://m.pbs.gov.au/industry/listing/elements/pbac-meetings/pbac-outcomes/2024-07/pbac-web-outcomes-07-2024.pdf</w:t>
        </w:r>
      </w:hyperlink>
      <w:r w:rsidR="00FA6FD2">
        <w:t xml:space="preserve"> </w:t>
      </w:r>
    </w:p>
  </w:footnote>
  <w:footnote w:id="4">
    <w:p w14:paraId="7B37CFAE" w14:textId="7CE05076" w:rsidR="00EF506A" w:rsidRDefault="00EF506A">
      <w:pPr>
        <w:pStyle w:val="FootnoteText"/>
      </w:pPr>
      <w:r>
        <w:rPr>
          <w:rStyle w:val="FootnoteReference"/>
        </w:rPr>
        <w:footnoteRef/>
      </w:r>
      <w:r>
        <w:t xml:space="preserve"> </w:t>
      </w:r>
      <w:hyperlink r:id="rId3" w:history="1">
        <w:r w:rsidR="00CC5B1B" w:rsidRPr="002876F3">
          <w:rPr>
            <w:rStyle w:val="Hyperlink"/>
          </w:rPr>
          <w:t>https://www.racgp.org.au/clinical-resources/clinical-guidelines/key-racgp-guidelines/view-all-racgp-guidelines/osteoporosis/executive-summary</w:t>
        </w:r>
      </w:hyperlink>
      <w:r w:rsidR="00CC5B1B">
        <w:t xml:space="preserve"> </w:t>
      </w:r>
    </w:p>
  </w:footnote>
  <w:footnote w:id="5">
    <w:p w14:paraId="4746D5A8" w14:textId="36EB907F" w:rsidR="00401357" w:rsidRDefault="00401357">
      <w:pPr>
        <w:pStyle w:val="FootnoteText"/>
      </w:pPr>
      <w:r>
        <w:rPr>
          <w:rStyle w:val="FootnoteReference"/>
        </w:rPr>
        <w:footnoteRef/>
      </w:r>
      <w:r>
        <w:t xml:space="preserve"> </w:t>
      </w:r>
      <w:r w:rsidR="00745006" w:rsidRPr="00745006">
        <w:t xml:space="preserve">PBAC outcome for Osteoporosis Therapy Restrictions Review, September 2021 PBAC meeting </w:t>
      </w:r>
      <w:r w:rsidR="00745006">
        <w:t xml:space="preserve"> - </w:t>
      </w:r>
      <w:hyperlink r:id="rId4" w:history="1">
        <w:r w:rsidR="00745006" w:rsidRPr="00FA7C9F">
          <w:rPr>
            <w:rStyle w:val="Hyperlink"/>
          </w:rPr>
          <w:t>https://m.pbs.gov.au/industry/listing/elements/pbac-meetings/pbac-outcomes/2021-09/September-2021-pbac-web-outcomes.pdf</w:t>
        </w:r>
      </w:hyperlink>
      <w:r w:rsidR="00745006">
        <w:t xml:space="preserve"> </w:t>
      </w:r>
    </w:p>
  </w:footnote>
  <w:footnote w:id="6">
    <w:p w14:paraId="3CA4B6DC" w14:textId="72862311" w:rsidR="00A81584" w:rsidRDefault="00A81584">
      <w:pPr>
        <w:pStyle w:val="FootnoteText"/>
      </w:pPr>
      <w:r>
        <w:rPr>
          <w:rStyle w:val="FootnoteReference"/>
        </w:rPr>
        <w:footnoteRef/>
      </w:r>
      <w:r>
        <w:t xml:space="preserve"> </w:t>
      </w:r>
      <w:r w:rsidR="00745006" w:rsidRPr="00745006">
        <w:t>P</w:t>
      </w:r>
      <w:r w:rsidR="00745006">
        <w:t xml:space="preserve">ublic </w:t>
      </w:r>
      <w:r w:rsidR="00745006" w:rsidRPr="00745006">
        <w:t>S</w:t>
      </w:r>
      <w:r w:rsidR="00745006">
        <w:t xml:space="preserve">ummary </w:t>
      </w:r>
      <w:r w:rsidR="00745006" w:rsidRPr="00745006">
        <w:t>D</w:t>
      </w:r>
      <w:r w:rsidR="00745006">
        <w:t>ocument</w:t>
      </w:r>
      <w:r w:rsidR="00745006" w:rsidRPr="00745006">
        <w:t xml:space="preserve"> for risedronic acid, November 2022 PBAC meeting with March 2023 Addendum</w:t>
      </w:r>
      <w:r w:rsidR="00745006">
        <w:t xml:space="preserve"> - </w:t>
      </w:r>
      <w:hyperlink r:id="rId5" w:history="1">
        <w:r w:rsidR="00745006" w:rsidRPr="00FA7C9F">
          <w:rPr>
            <w:rStyle w:val="Hyperlink"/>
          </w:rPr>
          <w:t>https://m.pbs.gov.au/industry/listing/elements/pbac-meetings/psd/2022-11/files/risedronic-acid-psd-11-2022-03-2023.pdf</w:t>
        </w:r>
      </w:hyperlink>
      <w:r w:rsidR="00745006">
        <w:t xml:space="preserve"> </w:t>
      </w:r>
    </w:p>
  </w:footnote>
  <w:footnote w:id="7">
    <w:p w14:paraId="71B61B2B" w14:textId="1119145B" w:rsidR="007934B0" w:rsidRDefault="007934B0">
      <w:pPr>
        <w:pStyle w:val="FootnoteText"/>
      </w:pPr>
      <w:r>
        <w:rPr>
          <w:rStyle w:val="FootnoteReference"/>
        </w:rPr>
        <w:footnoteRef/>
      </w:r>
      <w:r>
        <w:t xml:space="preserve"> </w:t>
      </w:r>
      <w:r w:rsidR="00765583" w:rsidRPr="000A59F5">
        <w:t xml:space="preserve">Osteoporosis Therapy Restrictions Review, </w:t>
      </w:r>
      <w:r w:rsidR="00765583">
        <w:t xml:space="preserve">July 2024, </w:t>
      </w:r>
      <w:r w:rsidR="00765583" w:rsidRPr="000A59F5">
        <w:t>PBAC meeting</w:t>
      </w:r>
      <w:r w:rsidR="00765583">
        <w:t xml:space="preserve"> -</w:t>
      </w:r>
      <w:r w:rsidR="003C77C1">
        <w:t xml:space="preserve"> </w:t>
      </w:r>
      <w:hyperlink r:id="rId6" w:history="1">
        <w:r w:rsidR="003C77C1" w:rsidRPr="001E5E38">
          <w:rPr>
            <w:rStyle w:val="Hyperlink"/>
          </w:rPr>
          <w:t>https://m.pbs.gov.au/industry/listing/elements/pbac-meetings/pbac-outcomes/2024-07/pbac-web-outcomes-07-2024.pdf</w:t>
        </w:r>
      </w:hyperlink>
      <w:r w:rsidR="003C77C1">
        <w:t xml:space="preserve"> </w:t>
      </w:r>
    </w:p>
  </w:footnote>
  <w:footnote w:id="8">
    <w:p w14:paraId="155562E5" w14:textId="77777777" w:rsidR="008979C9" w:rsidRDefault="008979C9" w:rsidP="008979C9">
      <w:pPr>
        <w:pStyle w:val="FootnoteText"/>
      </w:pPr>
      <w:r>
        <w:rPr>
          <w:rStyle w:val="FootnoteReference"/>
        </w:rPr>
        <w:footnoteRef/>
      </w:r>
      <w:r>
        <w:t xml:space="preserve"> </w:t>
      </w:r>
      <w:hyperlink r:id="rId7" w:history="1">
        <w:r w:rsidRPr="00C102E1">
          <w:rPr>
            <w:rStyle w:val="Hyperlink"/>
          </w:rPr>
          <w:t>https://www.health.gov.au/resources/publications/final-clinical-committee-report-for-diagnostic-imaging-bone-densitometry?language=en</w:t>
        </w:r>
      </w:hyperlink>
    </w:p>
  </w:footnote>
  <w:footnote w:id="9">
    <w:p w14:paraId="53653F50" w14:textId="77777777" w:rsidR="006667AC" w:rsidRDefault="006667AC" w:rsidP="006667AC">
      <w:pPr>
        <w:pStyle w:val="FootnoteText"/>
      </w:pPr>
      <w:r>
        <w:rPr>
          <w:rStyle w:val="FootnoteReference"/>
        </w:rPr>
        <w:footnoteRef/>
      </w:r>
      <w:r>
        <w:t xml:space="preserve"> </w:t>
      </w:r>
      <w:hyperlink r:id="rId8" w:history="1">
        <w:r w:rsidRPr="00372C08">
          <w:rPr>
            <w:rStyle w:val="Hyperlink"/>
          </w:rPr>
          <w:t>https://www.racgp.org.au/clinical-resources/clinical-guidelines/key-racgp-guidelines/view-all-racgp-guidelines/osteoporosis/executive-summary</w:t>
        </w:r>
      </w:hyperlink>
    </w:p>
  </w:footnote>
  <w:footnote w:id="10">
    <w:p w14:paraId="6E3AB6AD" w14:textId="77777777" w:rsidR="006667AC" w:rsidRDefault="006667AC" w:rsidP="006667AC">
      <w:pPr>
        <w:pStyle w:val="FootnoteText"/>
      </w:pPr>
      <w:r>
        <w:rPr>
          <w:rStyle w:val="FootnoteReference"/>
        </w:rPr>
        <w:footnoteRef/>
      </w:r>
      <w:r>
        <w:t xml:space="preserve"> </w:t>
      </w:r>
      <w:hyperlink r:id="rId9" w:history="1">
        <w:r w:rsidRPr="00372C08">
          <w:rPr>
            <w:rStyle w:val="Hyperlink"/>
          </w:rPr>
          <w:t>https://www.racgp.org.au/FSDEDEV/media/documents/Clinical%20Resources/Guidelines/Red%20Book/Guidelines-for-preventive-activities-in-general-practice.pdf</w:t>
        </w:r>
      </w:hyperlink>
    </w:p>
  </w:footnote>
  <w:footnote w:id="11">
    <w:p w14:paraId="7909363C" w14:textId="77777777" w:rsidR="00B0300D" w:rsidRDefault="00B0300D" w:rsidP="00B0300D">
      <w:pPr>
        <w:pStyle w:val="FootnoteText"/>
      </w:pPr>
      <w:r>
        <w:rPr>
          <w:rStyle w:val="FootnoteReference"/>
        </w:rPr>
        <w:footnoteRef/>
      </w:r>
      <w:r>
        <w:t xml:space="preserve"> </w:t>
      </w:r>
      <w:r w:rsidRPr="006F1BD0">
        <w:t>https://www.pbs.gov.au/industry/listing/elements/pbac-meetings/pbac-outcomes/2021-09/September-2021-pbac-web-outcomes.pdf</w:t>
      </w:r>
    </w:p>
  </w:footnote>
  <w:footnote w:id="12">
    <w:p w14:paraId="71729182" w14:textId="77777777" w:rsidR="00B0300D" w:rsidRDefault="00B0300D" w:rsidP="00B0300D">
      <w:pPr>
        <w:pStyle w:val="FootnoteText"/>
      </w:pPr>
      <w:r>
        <w:rPr>
          <w:rStyle w:val="FootnoteReference"/>
        </w:rPr>
        <w:footnoteRef/>
      </w:r>
      <w:r>
        <w:t xml:space="preserve"> </w:t>
      </w:r>
      <w:r w:rsidRPr="007331A1">
        <w:t>https://www.pbs.gov.au/industry/listing/elements/pbac-meetings/psd/2022-11/files/risedronic-acid-psd-11-2022-03-2023.docx</w:t>
      </w:r>
    </w:p>
  </w:footnote>
  <w:footnote w:id="13">
    <w:p w14:paraId="53450FDA" w14:textId="77777777" w:rsidR="00B0300D" w:rsidRDefault="00B0300D" w:rsidP="00B0300D">
      <w:pPr>
        <w:pStyle w:val="FootnoteText"/>
      </w:pPr>
      <w:r>
        <w:rPr>
          <w:rStyle w:val="FootnoteReference"/>
        </w:rPr>
        <w:footnoteRef/>
      </w:r>
      <w:r>
        <w:t xml:space="preserve"> </w:t>
      </w:r>
      <w:r w:rsidRPr="001A5D1E">
        <w:t xml:space="preserve">Jones, G., Nguyen, T. V., Sambrook, P. N., Kelly, P. J., Gilbert, C., &amp; Eisman, J. A. (1994). Symptomatic Fracture Incidence in Elderly Men and Women: The </w:t>
      </w:r>
      <w:proofErr w:type="spellStart"/>
      <w:r w:rsidRPr="001A5D1E">
        <w:t>Duboo</w:t>
      </w:r>
      <w:proofErr w:type="spellEnd"/>
      <w:r w:rsidRPr="001A5D1E">
        <w:t xml:space="preserve"> Osteoporosis Epidemiology Study (DOES). </w:t>
      </w:r>
      <w:proofErr w:type="spellStart"/>
      <w:r w:rsidRPr="001A5D1E">
        <w:t>Osteoporos</w:t>
      </w:r>
      <w:proofErr w:type="spellEnd"/>
      <w:r w:rsidRPr="001A5D1E">
        <w:t xml:space="preserve"> Int, 4, 277-282.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3EC6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794F8D"/>
    <w:multiLevelType w:val="hybridMultilevel"/>
    <w:tmpl w:val="25467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8735E6"/>
    <w:multiLevelType w:val="hybridMultilevel"/>
    <w:tmpl w:val="0C4C1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969EE"/>
    <w:multiLevelType w:val="hybridMultilevel"/>
    <w:tmpl w:val="4918A6DE"/>
    <w:lvl w:ilvl="0" w:tplc="02D85FE4">
      <w:start w:val="1"/>
      <w:numFmt w:val="bullet"/>
      <w:lvlText w:val=""/>
      <w:lvlJc w:val="left"/>
      <w:pPr>
        <w:ind w:left="720" w:hanging="360"/>
      </w:pPr>
      <w:rPr>
        <w:rFonts w:ascii="Symbol" w:hAnsi="Symbol"/>
      </w:rPr>
    </w:lvl>
    <w:lvl w:ilvl="1" w:tplc="11BA934C">
      <w:start w:val="1"/>
      <w:numFmt w:val="bullet"/>
      <w:lvlText w:val=""/>
      <w:lvlJc w:val="left"/>
      <w:pPr>
        <w:ind w:left="720" w:hanging="360"/>
      </w:pPr>
      <w:rPr>
        <w:rFonts w:ascii="Symbol" w:hAnsi="Symbol"/>
      </w:rPr>
    </w:lvl>
    <w:lvl w:ilvl="2" w:tplc="353A393A">
      <w:start w:val="1"/>
      <w:numFmt w:val="bullet"/>
      <w:lvlText w:val=""/>
      <w:lvlJc w:val="left"/>
      <w:pPr>
        <w:ind w:left="720" w:hanging="360"/>
      </w:pPr>
      <w:rPr>
        <w:rFonts w:ascii="Symbol" w:hAnsi="Symbol"/>
      </w:rPr>
    </w:lvl>
    <w:lvl w:ilvl="3" w:tplc="C484B6F4">
      <w:start w:val="1"/>
      <w:numFmt w:val="bullet"/>
      <w:lvlText w:val=""/>
      <w:lvlJc w:val="left"/>
      <w:pPr>
        <w:ind w:left="720" w:hanging="360"/>
      </w:pPr>
      <w:rPr>
        <w:rFonts w:ascii="Symbol" w:hAnsi="Symbol"/>
      </w:rPr>
    </w:lvl>
    <w:lvl w:ilvl="4" w:tplc="5E36A1AA">
      <w:start w:val="1"/>
      <w:numFmt w:val="bullet"/>
      <w:lvlText w:val=""/>
      <w:lvlJc w:val="left"/>
      <w:pPr>
        <w:ind w:left="720" w:hanging="360"/>
      </w:pPr>
      <w:rPr>
        <w:rFonts w:ascii="Symbol" w:hAnsi="Symbol"/>
      </w:rPr>
    </w:lvl>
    <w:lvl w:ilvl="5" w:tplc="A414012E">
      <w:start w:val="1"/>
      <w:numFmt w:val="bullet"/>
      <w:lvlText w:val=""/>
      <w:lvlJc w:val="left"/>
      <w:pPr>
        <w:ind w:left="720" w:hanging="360"/>
      </w:pPr>
      <w:rPr>
        <w:rFonts w:ascii="Symbol" w:hAnsi="Symbol"/>
      </w:rPr>
    </w:lvl>
    <w:lvl w:ilvl="6" w:tplc="84C28462">
      <w:start w:val="1"/>
      <w:numFmt w:val="bullet"/>
      <w:lvlText w:val=""/>
      <w:lvlJc w:val="left"/>
      <w:pPr>
        <w:ind w:left="720" w:hanging="360"/>
      </w:pPr>
      <w:rPr>
        <w:rFonts w:ascii="Symbol" w:hAnsi="Symbol"/>
      </w:rPr>
    </w:lvl>
    <w:lvl w:ilvl="7" w:tplc="3B628B58">
      <w:start w:val="1"/>
      <w:numFmt w:val="bullet"/>
      <w:lvlText w:val=""/>
      <w:lvlJc w:val="left"/>
      <w:pPr>
        <w:ind w:left="720" w:hanging="360"/>
      </w:pPr>
      <w:rPr>
        <w:rFonts w:ascii="Symbol" w:hAnsi="Symbol"/>
      </w:rPr>
    </w:lvl>
    <w:lvl w:ilvl="8" w:tplc="3C76006C">
      <w:start w:val="1"/>
      <w:numFmt w:val="bullet"/>
      <w:lvlText w:val=""/>
      <w:lvlJc w:val="left"/>
      <w:pPr>
        <w:ind w:left="720" w:hanging="360"/>
      </w:pPr>
      <w:rPr>
        <w:rFonts w:ascii="Symbol" w:hAnsi="Symbol"/>
      </w:rPr>
    </w:lvl>
  </w:abstractNum>
  <w:abstractNum w:abstractNumId="4" w15:restartNumberingAfterBreak="0">
    <w:nsid w:val="0F1C644B"/>
    <w:multiLevelType w:val="hybridMultilevel"/>
    <w:tmpl w:val="977844E6"/>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F305233"/>
    <w:multiLevelType w:val="hybridMultilevel"/>
    <w:tmpl w:val="8CE46B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F43E77"/>
    <w:multiLevelType w:val="multilevel"/>
    <w:tmpl w:val="8B689902"/>
    <w:lvl w:ilvl="0">
      <w:start w:val="1"/>
      <w:numFmt w:val="decimal"/>
      <w:lvlText w:val="Section %1"/>
      <w:lvlJc w:val="left"/>
      <w:pPr>
        <w:ind w:left="786" w:hanging="360"/>
      </w:pPr>
      <w:rPr>
        <w:rFonts w:hint="default"/>
      </w:rPr>
    </w:lvl>
    <w:lvl w:ilvl="1">
      <w:start w:val="1"/>
      <w:numFmt w:val="decimal"/>
      <w:pStyle w:val="PBACESHeading1"/>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3B6535"/>
    <w:multiLevelType w:val="hybridMultilevel"/>
    <w:tmpl w:val="FD80E0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3C64E19"/>
    <w:multiLevelType w:val="hybridMultilevel"/>
    <w:tmpl w:val="FA52A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3EF5FEB"/>
    <w:multiLevelType w:val="multilevel"/>
    <w:tmpl w:val="0C544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56921A5"/>
    <w:multiLevelType w:val="hybridMultilevel"/>
    <w:tmpl w:val="B9127BC8"/>
    <w:lvl w:ilvl="0" w:tplc="19E24740">
      <w:start w:val="1"/>
      <w:numFmt w:val="bullet"/>
      <w:lvlText w:val=""/>
      <w:lvlJc w:val="left"/>
      <w:pPr>
        <w:ind w:left="720" w:hanging="360"/>
      </w:pPr>
      <w:rPr>
        <w:rFonts w:ascii="Symbol" w:hAnsi="Symbol"/>
      </w:rPr>
    </w:lvl>
    <w:lvl w:ilvl="1" w:tplc="F2A2DC3C">
      <w:start w:val="1"/>
      <w:numFmt w:val="bullet"/>
      <w:lvlText w:val=""/>
      <w:lvlJc w:val="left"/>
      <w:pPr>
        <w:ind w:left="720" w:hanging="360"/>
      </w:pPr>
      <w:rPr>
        <w:rFonts w:ascii="Symbol" w:hAnsi="Symbol"/>
      </w:rPr>
    </w:lvl>
    <w:lvl w:ilvl="2" w:tplc="9C609536">
      <w:start w:val="1"/>
      <w:numFmt w:val="bullet"/>
      <w:lvlText w:val=""/>
      <w:lvlJc w:val="left"/>
      <w:pPr>
        <w:ind w:left="720" w:hanging="360"/>
      </w:pPr>
      <w:rPr>
        <w:rFonts w:ascii="Symbol" w:hAnsi="Symbol"/>
      </w:rPr>
    </w:lvl>
    <w:lvl w:ilvl="3" w:tplc="E3B080DA">
      <w:start w:val="1"/>
      <w:numFmt w:val="bullet"/>
      <w:lvlText w:val=""/>
      <w:lvlJc w:val="left"/>
      <w:pPr>
        <w:ind w:left="720" w:hanging="360"/>
      </w:pPr>
      <w:rPr>
        <w:rFonts w:ascii="Symbol" w:hAnsi="Symbol"/>
      </w:rPr>
    </w:lvl>
    <w:lvl w:ilvl="4" w:tplc="8A02E1A2">
      <w:start w:val="1"/>
      <w:numFmt w:val="bullet"/>
      <w:lvlText w:val=""/>
      <w:lvlJc w:val="left"/>
      <w:pPr>
        <w:ind w:left="720" w:hanging="360"/>
      </w:pPr>
      <w:rPr>
        <w:rFonts w:ascii="Symbol" w:hAnsi="Symbol"/>
      </w:rPr>
    </w:lvl>
    <w:lvl w:ilvl="5" w:tplc="C69856E8">
      <w:start w:val="1"/>
      <w:numFmt w:val="bullet"/>
      <w:lvlText w:val=""/>
      <w:lvlJc w:val="left"/>
      <w:pPr>
        <w:ind w:left="720" w:hanging="360"/>
      </w:pPr>
      <w:rPr>
        <w:rFonts w:ascii="Symbol" w:hAnsi="Symbol"/>
      </w:rPr>
    </w:lvl>
    <w:lvl w:ilvl="6" w:tplc="9E0C99E4">
      <w:start w:val="1"/>
      <w:numFmt w:val="bullet"/>
      <w:lvlText w:val=""/>
      <w:lvlJc w:val="left"/>
      <w:pPr>
        <w:ind w:left="720" w:hanging="360"/>
      </w:pPr>
      <w:rPr>
        <w:rFonts w:ascii="Symbol" w:hAnsi="Symbol"/>
      </w:rPr>
    </w:lvl>
    <w:lvl w:ilvl="7" w:tplc="2F60E188">
      <w:start w:val="1"/>
      <w:numFmt w:val="bullet"/>
      <w:lvlText w:val=""/>
      <w:lvlJc w:val="left"/>
      <w:pPr>
        <w:ind w:left="720" w:hanging="360"/>
      </w:pPr>
      <w:rPr>
        <w:rFonts w:ascii="Symbol" w:hAnsi="Symbol"/>
      </w:rPr>
    </w:lvl>
    <w:lvl w:ilvl="8" w:tplc="CA9A32F0">
      <w:start w:val="1"/>
      <w:numFmt w:val="bullet"/>
      <w:lvlText w:val=""/>
      <w:lvlJc w:val="left"/>
      <w:pPr>
        <w:ind w:left="720" w:hanging="360"/>
      </w:pPr>
      <w:rPr>
        <w:rFonts w:ascii="Symbol" w:hAnsi="Symbol"/>
      </w:rPr>
    </w:lvl>
  </w:abstractNum>
  <w:abstractNum w:abstractNumId="11" w15:restartNumberingAfterBreak="0">
    <w:nsid w:val="158C457E"/>
    <w:multiLevelType w:val="hybridMultilevel"/>
    <w:tmpl w:val="5B182DFE"/>
    <w:lvl w:ilvl="0" w:tplc="CF6CEE1A">
      <w:start w:val="1"/>
      <w:numFmt w:val="bullet"/>
      <w:lvlText w:val=""/>
      <w:lvlJc w:val="left"/>
      <w:pPr>
        <w:ind w:left="720" w:hanging="360"/>
      </w:pPr>
      <w:rPr>
        <w:rFonts w:ascii="Symbol" w:hAnsi="Symbol"/>
      </w:rPr>
    </w:lvl>
    <w:lvl w:ilvl="1" w:tplc="ECA03FA4">
      <w:start w:val="1"/>
      <w:numFmt w:val="bullet"/>
      <w:lvlText w:val=""/>
      <w:lvlJc w:val="left"/>
      <w:pPr>
        <w:ind w:left="720" w:hanging="360"/>
      </w:pPr>
      <w:rPr>
        <w:rFonts w:ascii="Symbol" w:hAnsi="Symbol"/>
      </w:rPr>
    </w:lvl>
    <w:lvl w:ilvl="2" w:tplc="0966C9F0">
      <w:start w:val="1"/>
      <w:numFmt w:val="bullet"/>
      <w:lvlText w:val=""/>
      <w:lvlJc w:val="left"/>
      <w:pPr>
        <w:ind w:left="720" w:hanging="360"/>
      </w:pPr>
      <w:rPr>
        <w:rFonts w:ascii="Symbol" w:hAnsi="Symbol"/>
      </w:rPr>
    </w:lvl>
    <w:lvl w:ilvl="3" w:tplc="750E1CDA">
      <w:start w:val="1"/>
      <w:numFmt w:val="bullet"/>
      <w:lvlText w:val=""/>
      <w:lvlJc w:val="left"/>
      <w:pPr>
        <w:ind w:left="720" w:hanging="360"/>
      </w:pPr>
      <w:rPr>
        <w:rFonts w:ascii="Symbol" w:hAnsi="Symbol"/>
      </w:rPr>
    </w:lvl>
    <w:lvl w:ilvl="4" w:tplc="494EB3FE">
      <w:start w:val="1"/>
      <w:numFmt w:val="bullet"/>
      <w:lvlText w:val=""/>
      <w:lvlJc w:val="left"/>
      <w:pPr>
        <w:ind w:left="720" w:hanging="360"/>
      </w:pPr>
      <w:rPr>
        <w:rFonts w:ascii="Symbol" w:hAnsi="Symbol"/>
      </w:rPr>
    </w:lvl>
    <w:lvl w:ilvl="5" w:tplc="C8EEE000">
      <w:start w:val="1"/>
      <w:numFmt w:val="bullet"/>
      <w:lvlText w:val=""/>
      <w:lvlJc w:val="left"/>
      <w:pPr>
        <w:ind w:left="720" w:hanging="360"/>
      </w:pPr>
      <w:rPr>
        <w:rFonts w:ascii="Symbol" w:hAnsi="Symbol"/>
      </w:rPr>
    </w:lvl>
    <w:lvl w:ilvl="6" w:tplc="1EA628A4">
      <w:start w:val="1"/>
      <w:numFmt w:val="bullet"/>
      <w:lvlText w:val=""/>
      <w:lvlJc w:val="left"/>
      <w:pPr>
        <w:ind w:left="720" w:hanging="360"/>
      </w:pPr>
      <w:rPr>
        <w:rFonts w:ascii="Symbol" w:hAnsi="Symbol"/>
      </w:rPr>
    </w:lvl>
    <w:lvl w:ilvl="7" w:tplc="5EDED8CC">
      <w:start w:val="1"/>
      <w:numFmt w:val="bullet"/>
      <w:lvlText w:val=""/>
      <w:lvlJc w:val="left"/>
      <w:pPr>
        <w:ind w:left="720" w:hanging="360"/>
      </w:pPr>
      <w:rPr>
        <w:rFonts w:ascii="Symbol" w:hAnsi="Symbol"/>
      </w:rPr>
    </w:lvl>
    <w:lvl w:ilvl="8" w:tplc="B30A2EFC">
      <w:start w:val="1"/>
      <w:numFmt w:val="bullet"/>
      <w:lvlText w:val=""/>
      <w:lvlJc w:val="left"/>
      <w:pPr>
        <w:ind w:left="720" w:hanging="360"/>
      </w:pPr>
      <w:rPr>
        <w:rFonts w:ascii="Symbol" w:hAnsi="Symbol"/>
      </w:rPr>
    </w:lvl>
  </w:abstractNum>
  <w:abstractNum w:abstractNumId="12" w15:restartNumberingAfterBreak="0">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6B1994"/>
    <w:multiLevelType w:val="hybridMultilevel"/>
    <w:tmpl w:val="F87E8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F192C79"/>
    <w:multiLevelType w:val="hybridMultilevel"/>
    <w:tmpl w:val="3B9AD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EA65FD"/>
    <w:multiLevelType w:val="hybridMultilevel"/>
    <w:tmpl w:val="C7F814E2"/>
    <w:lvl w:ilvl="0" w:tplc="79760800">
      <w:start w:val="1"/>
      <w:numFmt w:val="bullet"/>
      <w:lvlText w:val=""/>
      <w:lvlJc w:val="left"/>
      <w:pPr>
        <w:ind w:left="1440" w:hanging="360"/>
      </w:pPr>
      <w:rPr>
        <w:rFonts w:ascii="Symbol" w:hAnsi="Symbol"/>
      </w:rPr>
    </w:lvl>
    <w:lvl w:ilvl="1" w:tplc="4F3882A4">
      <w:start w:val="1"/>
      <w:numFmt w:val="bullet"/>
      <w:lvlText w:val=""/>
      <w:lvlJc w:val="left"/>
      <w:pPr>
        <w:ind w:left="1440" w:hanging="360"/>
      </w:pPr>
      <w:rPr>
        <w:rFonts w:ascii="Symbol" w:hAnsi="Symbol"/>
      </w:rPr>
    </w:lvl>
    <w:lvl w:ilvl="2" w:tplc="73924162">
      <w:start w:val="1"/>
      <w:numFmt w:val="bullet"/>
      <w:lvlText w:val=""/>
      <w:lvlJc w:val="left"/>
      <w:pPr>
        <w:ind w:left="1440" w:hanging="360"/>
      </w:pPr>
      <w:rPr>
        <w:rFonts w:ascii="Symbol" w:hAnsi="Symbol"/>
      </w:rPr>
    </w:lvl>
    <w:lvl w:ilvl="3" w:tplc="C01A34C6">
      <w:start w:val="1"/>
      <w:numFmt w:val="bullet"/>
      <w:lvlText w:val=""/>
      <w:lvlJc w:val="left"/>
      <w:pPr>
        <w:ind w:left="1440" w:hanging="360"/>
      </w:pPr>
      <w:rPr>
        <w:rFonts w:ascii="Symbol" w:hAnsi="Symbol"/>
      </w:rPr>
    </w:lvl>
    <w:lvl w:ilvl="4" w:tplc="09CE7FF6">
      <w:start w:val="1"/>
      <w:numFmt w:val="bullet"/>
      <w:lvlText w:val=""/>
      <w:lvlJc w:val="left"/>
      <w:pPr>
        <w:ind w:left="1440" w:hanging="360"/>
      </w:pPr>
      <w:rPr>
        <w:rFonts w:ascii="Symbol" w:hAnsi="Symbol"/>
      </w:rPr>
    </w:lvl>
    <w:lvl w:ilvl="5" w:tplc="9FCC03FA">
      <w:start w:val="1"/>
      <w:numFmt w:val="bullet"/>
      <w:lvlText w:val=""/>
      <w:lvlJc w:val="left"/>
      <w:pPr>
        <w:ind w:left="1440" w:hanging="360"/>
      </w:pPr>
      <w:rPr>
        <w:rFonts w:ascii="Symbol" w:hAnsi="Symbol"/>
      </w:rPr>
    </w:lvl>
    <w:lvl w:ilvl="6" w:tplc="E2C8942A">
      <w:start w:val="1"/>
      <w:numFmt w:val="bullet"/>
      <w:lvlText w:val=""/>
      <w:lvlJc w:val="left"/>
      <w:pPr>
        <w:ind w:left="1440" w:hanging="360"/>
      </w:pPr>
      <w:rPr>
        <w:rFonts w:ascii="Symbol" w:hAnsi="Symbol"/>
      </w:rPr>
    </w:lvl>
    <w:lvl w:ilvl="7" w:tplc="ADB0D2B0">
      <w:start w:val="1"/>
      <w:numFmt w:val="bullet"/>
      <w:lvlText w:val=""/>
      <w:lvlJc w:val="left"/>
      <w:pPr>
        <w:ind w:left="1440" w:hanging="360"/>
      </w:pPr>
      <w:rPr>
        <w:rFonts w:ascii="Symbol" w:hAnsi="Symbol"/>
      </w:rPr>
    </w:lvl>
    <w:lvl w:ilvl="8" w:tplc="275C7C14">
      <w:start w:val="1"/>
      <w:numFmt w:val="bullet"/>
      <w:lvlText w:val=""/>
      <w:lvlJc w:val="left"/>
      <w:pPr>
        <w:ind w:left="1440" w:hanging="360"/>
      </w:pPr>
      <w:rPr>
        <w:rFonts w:ascii="Symbol" w:hAnsi="Symbol"/>
      </w:rPr>
    </w:lvl>
  </w:abstractNum>
  <w:abstractNum w:abstractNumId="16" w15:restartNumberingAfterBreak="0">
    <w:nsid w:val="25B3793F"/>
    <w:multiLevelType w:val="hybridMultilevel"/>
    <w:tmpl w:val="7CF417E6"/>
    <w:lvl w:ilvl="0" w:tplc="4A0E619A">
      <w:start w:val="1"/>
      <w:numFmt w:val="bullet"/>
      <w:lvlText w:val=""/>
      <w:lvlJc w:val="left"/>
      <w:pPr>
        <w:ind w:left="720" w:hanging="360"/>
      </w:pPr>
      <w:rPr>
        <w:rFonts w:ascii="Symbol" w:hAnsi="Symbol"/>
      </w:rPr>
    </w:lvl>
    <w:lvl w:ilvl="1" w:tplc="C7A20E4C">
      <w:start w:val="1"/>
      <w:numFmt w:val="bullet"/>
      <w:lvlText w:val=""/>
      <w:lvlJc w:val="left"/>
      <w:pPr>
        <w:ind w:left="720" w:hanging="360"/>
      </w:pPr>
      <w:rPr>
        <w:rFonts w:ascii="Symbol" w:hAnsi="Symbol"/>
      </w:rPr>
    </w:lvl>
    <w:lvl w:ilvl="2" w:tplc="DDE653A2">
      <w:start w:val="1"/>
      <w:numFmt w:val="bullet"/>
      <w:lvlText w:val=""/>
      <w:lvlJc w:val="left"/>
      <w:pPr>
        <w:ind w:left="720" w:hanging="360"/>
      </w:pPr>
      <w:rPr>
        <w:rFonts w:ascii="Symbol" w:hAnsi="Symbol"/>
      </w:rPr>
    </w:lvl>
    <w:lvl w:ilvl="3" w:tplc="CF100E0E">
      <w:start w:val="1"/>
      <w:numFmt w:val="bullet"/>
      <w:lvlText w:val=""/>
      <w:lvlJc w:val="left"/>
      <w:pPr>
        <w:ind w:left="720" w:hanging="360"/>
      </w:pPr>
      <w:rPr>
        <w:rFonts w:ascii="Symbol" w:hAnsi="Symbol"/>
      </w:rPr>
    </w:lvl>
    <w:lvl w:ilvl="4" w:tplc="AA40D776">
      <w:start w:val="1"/>
      <w:numFmt w:val="bullet"/>
      <w:lvlText w:val=""/>
      <w:lvlJc w:val="left"/>
      <w:pPr>
        <w:ind w:left="720" w:hanging="360"/>
      </w:pPr>
      <w:rPr>
        <w:rFonts w:ascii="Symbol" w:hAnsi="Symbol"/>
      </w:rPr>
    </w:lvl>
    <w:lvl w:ilvl="5" w:tplc="81C6029E">
      <w:start w:val="1"/>
      <w:numFmt w:val="bullet"/>
      <w:lvlText w:val=""/>
      <w:lvlJc w:val="left"/>
      <w:pPr>
        <w:ind w:left="720" w:hanging="360"/>
      </w:pPr>
      <w:rPr>
        <w:rFonts w:ascii="Symbol" w:hAnsi="Symbol"/>
      </w:rPr>
    </w:lvl>
    <w:lvl w:ilvl="6" w:tplc="E4E24214">
      <w:start w:val="1"/>
      <w:numFmt w:val="bullet"/>
      <w:lvlText w:val=""/>
      <w:lvlJc w:val="left"/>
      <w:pPr>
        <w:ind w:left="720" w:hanging="360"/>
      </w:pPr>
      <w:rPr>
        <w:rFonts w:ascii="Symbol" w:hAnsi="Symbol"/>
      </w:rPr>
    </w:lvl>
    <w:lvl w:ilvl="7" w:tplc="5952F0D6">
      <w:start w:val="1"/>
      <w:numFmt w:val="bullet"/>
      <w:lvlText w:val=""/>
      <w:lvlJc w:val="left"/>
      <w:pPr>
        <w:ind w:left="720" w:hanging="360"/>
      </w:pPr>
      <w:rPr>
        <w:rFonts w:ascii="Symbol" w:hAnsi="Symbol"/>
      </w:rPr>
    </w:lvl>
    <w:lvl w:ilvl="8" w:tplc="CF3E0AD0">
      <w:start w:val="1"/>
      <w:numFmt w:val="bullet"/>
      <w:lvlText w:val=""/>
      <w:lvlJc w:val="left"/>
      <w:pPr>
        <w:ind w:left="720" w:hanging="360"/>
      </w:pPr>
      <w:rPr>
        <w:rFonts w:ascii="Symbol" w:hAnsi="Symbol"/>
      </w:rPr>
    </w:lvl>
  </w:abstractNum>
  <w:abstractNum w:abstractNumId="17" w15:restartNumberingAfterBreak="0">
    <w:nsid w:val="272271D8"/>
    <w:multiLevelType w:val="hybridMultilevel"/>
    <w:tmpl w:val="0622A5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7385A74"/>
    <w:multiLevelType w:val="hybridMultilevel"/>
    <w:tmpl w:val="DEB44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8FB4EE0"/>
    <w:multiLevelType w:val="hybridMultilevel"/>
    <w:tmpl w:val="FF4CC16C"/>
    <w:lvl w:ilvl="0" w:tplc="FEFA458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AD79BE"/>
    <w:multiLevelType w:val="multilevel"/>
    <w:tmpl w:val="A62C56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751449"/>
    <w:multiLevelType w:val="hybridMultilevel"/>
    <w:tmpl w:val="D9423B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24371DC"/>
    <w:multiLevelType w:val="multilevel"/>
    <w:tmpl w:val="18E8D8A4"/>
    <w:lvl w:ilvl="0">
      <w:start w:val="1"/>
      <w:numFmt w:val="decimal"/>
      <w:lvlText w:val="Section %1"/>
      <w:lvlJc w:val="left"/>
      <w:pPr>
        <w:ind w:left="786" w:hanging="360"/>
      </w:pPr>
      <w:rPr>
        <w:rFonts w:hint="default"/>
      </w:rPr>
    </w:lvl>
    <w:lvl w:ilvl="1">
      <w:start w:val="1"/>
      <w:numFmt w:val="decimal"/>
      <w:lvlText w:val="%1.%2"/>
      <w:lvlJc w:val="left"/>
      <w:pPr>
        <w:ind w:left="720" w:hanging="360"/>
      </w:pPr>
      <w:rPr>
        <w:specVanish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2441D8B"/>
    <w:multiLevelType w:val="hybridMultilevel"/>
    <w:tmpl w:val="FB0242E6"/>
    <w:lvl w:ilvl="0" w:tplc="212E47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5757F07"/>
    <w:multiLevelType w:val="multilevel"/>
    <w:tmpl w:val="ECAC1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60F0B2B"/>
    <w:multiLevelType w:val="hybridMultilevel"/>
    <w:tmpl w:val="4210E242"/>
    <w:lvl w:ilvl="0" w:tplc="8C88B28C">
      <w:start w:val="1"/>
      <w:numFmt w:val="bullet"/>
      <w:lvlText w:val=""/>
      <w:lvlJc w:val="left"/>
      <w:pPr>
        <w:ind w:left="720" w:hanging="360"/>
      </w:pPr>
      <w:rPr>
        <w:rFonts w:ascii="Symbol" w:hAnsi="Symbol"/>
      </w:rPr>
    </w:lvl>
    <w:lvl w:ilvl="1" w:tplc="3904B98C">
      <w:start w:val="1"/>
      <w:numFmt w:val="bullet"/>
      <w:lvlText w:val=""/>
      <w:lvlJc w:val="left"/>
      <w:pPr>
        <w:ind w:left="720" w:hanging="360"/>
      </w:pPr>
      <w:rPr>
        <w:rFonts w:ascii="Symbol" w:hAnsi="Symbol"/>
      </w:rPr>
    </w:lvl>
    <w:lvl w:ilvl="2" w:tplc="B598295A">
      <w:start w:val="1"/>
      <w:numFmt w:val="bullet"/>
      <w:lvlText w:val=""/>
      <w:lvlJc w:val="left"/>
      <w:pPr>
        <w:ind w:left="720" w:hanging="360"/>
      </w:pPr>
      <w:rPr>
        <w:rFonts w:ascii="Symbol" w:hAnsi="Symbol"/>
      </w:rPr>
    </w:lvl>
    <w:lvl w:ilvl="3" w:tplc="D2161258">
      <w:start w:val="1"/>
      <w:numFmt w:val="bullet"/>
      <w:lvlText w:val=""/>
      <w:lvlJc w:val="left"/>
      <w:pPr>
        <w:ind w:left="720" w:hanging="360"/>
      </w:pPr>
      <w:rPr>
        <w:rFonts w:ascii="Symbol" w:hAnsi="Symbol"/>
      </w:rPr>
    </w:lvl>
    <w:lvl w:ilvl="4" w:tplc="2A1A8FFC">
      <w:start w:val="1"/>
      <w:numFmt w:val="bullet"/>
      <w:lvlText w:val=""/>
      <w:lvlJc w:val="left"/>
      <w:pPr>
        <w:ind w:left="720" w:hanging="360"/>
      </w:pPr>
      <w:rPr>
        <w:rFonts w:ascii="Symbol" w:hAnsi="Symbol"/>
      </w:rPr>
    </w:lvl>
    <w:lvl w:ilvl="5" w:tplc="3276236C">
      <w:start w:val="1"/>
      <w:numFmt w:val="bullet"/>
      <w:lvlText w:val=""/>
      <w:lvlJc w:val="left"/>
      <w:pPr>
        <w:ind w:left="720" w:hanging="360"/>
      </w:pPr>
      <w:rPr>
        <w:rFonts w:ascii="Symbol" w:hAnsi="Symbol"/>
      </w:rPr>
    </w:lvl>
    <w:lvl w:ilvl="6" w:tplc="4544C74E">
      <w:start w:val="1"/>
      <w:numFmt w:val="bullet"/>
      <w:lvlText w:val=""/>
      <w:lvlJc w:val="left"/>
      <w:pPr>
        <w:ind w:left="720" w:hanging="360"/>
      </w:pPr>
      <w:rPr>
        <w:rFonts w:ascii="Symbol" w:hAnsi="Symbol"/>
      </w:rPr>
    </w:lvl>
    <w:lvl w:ilvl="7" w:tplc="7B142F62">
      <w:start w:val="1"/>
      <w:numFmt w:val="bullet"/>
      <w:lvlText w:val=""/>
      <w:lvlJc w:val="left"/>
      <w:pPr>
        <w:ind w:left="720" w:hanging="360"/>
      </w:pPr>
      <w:rPr>
        <w:rFonts w:ascii="Symbol" w:hAnsi="Symbol"/>
      </w:rPr>
    </w:lvl>
    <w:lvl w:ilvl="8" w:tplc="4AAAF2AC">
      <w:start w:val="1"/>
      <w:numFmt w:val="bullet"/>
      <w:lvlText w:val=""/>
      <w:lvlJc w:val="left"/>
      <w:pPr>
        <w:ind w:left="720" w:hanging="360"/>
      </w:pPr>
      <w:rPr>
        <w:rFonts w:ascii="Symbol" w:hAnsi="Symbol"/>
      </w:rPr>
    </w:lvl>
  </w:abstractNum>
  <w:abstractNum w:abstractNumId="26" w15:restartNumberingAfterBreak="0">
    <w:nsid w:val="3BAD28C2"/>
    <w:multiLevelType w:val="hybridMultilevel"/>
    <w:tmpl w:val="BE8A2DCA"/>
    <w:lvl w:ilvl="0" w:tplc="F9782162">
      <w:start w:val="1"/>
      <w:numFmt w:val="bullet"/>
      <w:lvlText w:val=""/>
      <w:lvlJc w:val="left"/>
      <w:pPr>
        <w:ind w:left="720" w:hanging="360"/>
      </w:pPr>
      <w:rPr>
        <w:rFonts w:ascii="Symbol" w:hAnsi="Symbol"/>
      </w:rPr>
    </w:lvl>
    <w:lvl w:ilvl="1" w:tplc="38521D72">
      <w:start w:val="1"/>
      <w:numFmt w:val="bullet"/>
      <w:lvlText w:val=""/>
      <w:lvlJc w:val="left"/>
      <w:pPr>
        <w:ind w:left="720" w:hanging="360"/>
      </w:pPr>
      <w:rPr>
        <w:rFonts w:ascii="Symbol" w:hAnsi="Symbol"/>
      </w:rPr>
    </w:lvl>
    <w:lvl w:ilvl="2" w:tplc="03BC9742">
      <w:start w:val="1"/>
      <w:numFmt w:val="bullet"/>
      <w:lvlText w:val=""/>
      <w:lvlJc w:val="left"/>
      <w:pPr>
        <w:ind w:left="720" w:hanging="360"/>
      </w:pPr>
      <w:rPr>
        <w:rFonts w:ascii="Symbol" w:hAnsi="Symbol"/>
      </w:rPr>
    </w:lvl>
    <w:lvl w:ilvl="3" w:tplc="6A18B87C">
      <w:start w:val="1"/>
      <w:numFmt w:val="bullet"/>
      <w:lvlText w:val=""/>
      <w:lvlJc w:val="left"/>
      <w:pPr>
        <w:ind w:left="720" w:hanging="360"/>
      </w:pPr>
      <w:rPr>
        <w:rFonts w:ascii="Symbol" w:hAnsi="Symbol"/>
      </w:rPr>
    </w:lvl>
    <w:lvl w:ilvl="4" w:tplc="22B623CE">
      <w:start w:val="1"/>
      <w:numFmt w:val="bullet"/>
      <w:lvlText w:val=""/>
      <w:lvlJc w:val="left"/>
      <w:pPr>
        <w:ind w:left="720" w:hanging="360"/>
      </w:pPr>
      <w:rPr>
        <w:rFonts w:ascii="Symbol" w:hAnsi="Symbol"/>
      </w:rPr>
    </w:lvl>
    <w:lvl w:ilvl="5" w:tplc="142062D6">
      <w:start w:val="1"/>
      <w:numFmt w:val="bullet"/>
      <w:lvlText w:val=""/>
      <w:lvlJc w:val="left"/>
      <w:pPr>
        <w:ind w:left="720" w:hanging="360"/>
      </w:pPr>
      <w:rPr>
        <w:rFonts w:ascii="Symbol" w:hAnsi="Symbol"/>
      </w:rPr>
    </w:lvl>
    <w:lvl w:ilvl="6" w:tplc="12A81022">
      <w:start w:val="1"/>
      <w:numFmt w:val="bullet"/>
      <w:lvlText w:val=""/>
      <w:lvlJc w:val="left"/>
      <w:pPr>
        <w:ind w:left="720" w:hanging="360"/>
      </w:pPr>
      <w:rPr>
        <w:rFonts w:ascii="Symbol" w:hAnsi="Symbol"/>
      </w:rPr>
    </w:lvl>
    <w:lvl w:ilvl="7" w:tplc="3F92530A">
      <w:start w:val="1"/>
      <w:numFmt w:val="bullet"/>
      <w:lvlText w:val=""/>
      <w:lvlJc w:val="left"/>
      <w:pPr>
        <w:ind w:left="720" w:hanging="360"/>
      </w:pPr>
      <w:rPr>
        <w:rFonts w:ascii="Symbol" w:hAnsi="Symbol"/>
      </w:rPr>
    </w:lvl>
    <w:lvl w:ilvl="8" w:tplc="02A0F67A">
      <w:start w:val="1"/>
      <w:numFmt w:val="bullet"/>
      <w:lvlText w:val=""/>
      <w:lvlJc w:val="left"/>
      <w:pPr>
        <w:ind w:left="720" w:hanging="360"/>
      </w:pPr>
      <w:rPr>
        <w:rFonts w:ascii="Symbol" w:hAnsi="Symbol"/>
      </w:rPr>
    </w:lvl>
  </w:abstractNum>
  <w:abstractNum w:abstractNumId="27" w15:restartNumberingAfterBreak="0">
    <w:nsid w:val="3C4977FB"/>
    <w:multiLevelType w:val="hybridMultilevel"/>
    <w:tmpl w:val="31366562"/>
    <w:lvl w:ilvl="0" w:tplc="EA08E9AA">
      <w:start w:val="1"/>
      <w:numFmt w:val="bullet"/>
      <w:lvlText w:val=""/>
      <w:lvlJc w:val="left"/>
      <w:pPr>
        <w:ind w:left="720" w:hanging="360"/>
      </w:pPr>
      <w:rPr>
        <w:rFonts w:ascii="Symbol" w:hAnsi="Symbol"/>
      </w:rPr>
    </w:lvl>
    <w:lvl w:ilvl="1" w:tplc="AED0D176">
      <w:start w:val="1"/>
      <w:numFmt w:val="bullet"/>
      <w:lvlText w:val=""/>
      <w:lvlJc w:val="left"/>
      <w:pPr>
        <w:ind w:left="720" w:hanging="360"/>
      </w:pPr>
      <w:rPr>
        <w:rFonts w:ascii="Symbol" w:hAnsi="Symbol"/>
      </w:rPr>
    </w:lvl>
    <w:lvl w:ilvl="2" w:tplc="549A086A">
      <w:start w:val="1"/>
      <w:numFmt w:val="bullet"/>
      <w:lvlText w:val=""/>
      <w:lvlJc w:val="left"/>
      <w:pPr>
        <w:ind w:left="720" w:hanging="360"/>
      </w:pPr>
      <w:rPr>
        <w:rFonts w:ascii="Symbol" w:hAnsi="Symbol"/>
      </w:rPr>
    </w:lvl>
    <w:lvl w:ilvl="3" w:tplc="2B5A7768">
      <w:start w:val="1"/>
      <w:numFmt w:val="bullet"/>
      <w:lvlText w:val=""/>
      <w:lvlJc w:val="left"/>
      <w:pPr>
        <w:ind w:left="720" w:hanging="360"/>
      </w:pPr>
      <w:rPr>
        <w:rFonts w:ascii="Symbol" w:hAnsi="Symbol"/>
      </w:rPr>
    </w:lvl>
    <w:lvl w:ilvl="4" w:tplc="64940978">
      <w:start w:val="1"/>
      <w:numFmt w:val="bullet"/>
      <w:lvlText w:val=""/>
      <w:lvlJc w:val="left"/>
      <w:pPr>
        <w:ind w:left="720" w:hanging="360"/>
      </w:pPr>
      <w:rPr>
        <w:rFonts w:ascii="Symbol" w:hAnsi="Symbol"/>
      </w:rPr>
    </w:lvl>
    <w:lvl w:ilvl="5" w:tplc="79CAABB6">
      <w:start w:val="1"/>
      <w:numFmt w:val="bullet"/>
      <w:lvlText w:val=""/>
      <w:lvlJc w:val="left"/>
      <w:pPr>
        <w:ind w:left="720" w:hanging="360"/>
      </w:pPr>
      <w:rPr>
        <w:rFonts w:ascii="Symbol" w:hAnsi="Symbol"/>
      </w:rPr>
    </w:lvl>
    <w:lvl w:ilvl="6" w:tplc="1AAA6CAE">
      <w:start w:val="1"/>
      <w:numFmt w:val="bullet"/>
      <w:lvlText w:val=""/>
      <w:lvlJc w:val="left"/>
      <w:pPr>
        <w:ind w:left="720" w:hanging="360"/>
      </w:pPr>
      <w:rPr>
        <w:rFonts w:ascii="Symbol" w:hAnsi="Symbol"/>
      </w:rPr>
    </w:lvl>
    <w:lvl w:ilvl="7" w:tplc="F02E9F52">
      <w:start w:val="1"/>
      <w:numFmt w:val="bullet"/>
      <w:lvlText w:val=""/>
      <w:lvlJc w:val="left"/>
      <w:pPr>
        <w:ind w:left="720" w:hanging="360"/>
      </w:pPr>
      <w:rPr>
        <w:rFonts w:ascii="Symbol" w:hAnsi="Symbol"/>
      </w:rPr>
    </w:lvl>
    <w:lvl w:ilvl="8" w:tplc="9EB4DEDC">
      <w:start w:val="1"/>
      <w:numFmt w:val="bullet"/>
      <w:lvlText w:val=""/>
      <w:lvlJc w:val="left"/>
      <w:pPr>
        <w:ind w:left="720" w:hanging="360"/>
      </w:pPr>
      <w:rPr>
        <w:rFonts w:ascii="Symbol" w:hAnsi="Symbol"/>
      </w:rPr>
    </w:lvl>
  </w:abstractNum>
  <w:abstractNum w:abstractNumId="28" w15:restartNumberingAfterBreak="0">
    <w:nsid w:val="3DF803F0"/>
    <w:multiLevelType w:val="hybridMultilevel"/>
    <w:tmpl w:val="890C0EFC"/>
    <w:lvl w:ilvl="0" w:tplc="56BAAC06">
      <w:start w:val="1"/>
      <w:numFmt w:val="bullet"/>
      <w:lvlText w:val=""/>
      <w:lvlJc w:val="left"/>
      <w:pPr>
        <w:ind w:left="720" w:hanging="360"/>
      </w:pPr>
      <w:rPr>
        <w:rFonts w:ascii="Symbol" w:hAnsi="Symbol"/>
      </w:rPr>
    </w:lvl>
    <w:lvl w:ilvl="1" w:tplc="F9B2CC04">
      <w:start w:val="1"/>
      <w:numFmt w:val="bullet"/>
      <w:lvlText w:val=""/>
      <w:lvlJc w:val="left"/>
      <w:pPr>
        <w:ind w:left="720" w:hanging="360"/>
      </w:pPr>
      <w:rPr>
        <w:rFonts w:ascii="Symbol" w:hAnsi="Symbol"/>
      </w:rPr>
    </w:lvl>
    <w:lvl w:ilvl="2" w:tplc="3D08E606">
      <w:start w:val="1"/>
      <w:numFmt w:val="bullet"/>
      <w:lvlText w:val=""/>
      <w:lvlJc w:val="left"/>
      <w:pPr>
        <w:ind w:left="720" w:hanging="360"/>
      </w:pPr>
      <w:rPr>
        <w:rFonts w:ascii="Symbol" w:hAnsi="Symbol"/>
      </w:rPr>
    </w:lvl>
    <w:lvl w:ilvl="3" w:tplc="0F5EEE0E">
      <w:start w:val="1"/>
      <w:numFmt w:val="bullet"/>
      <w:lvlText w:val=""/>
      <w:lvlJc w:val="left"/>
      <w:pPr>
        <w:ind w:left="720" w:hanging="360"/>
      </w:pPr>
      <w:rPr>
        <w:rFonts w:ascii="Symbol" w:hAnsi="Symbol"/>
      </w:rPr>
    </w:lvl>
    <w:lvl w:ilvl="4" w:tplc="444A2C62">
      <w:start w:val="1"/>
      <w:numFmt w:val="bullet"/>
      <w:lvlText w:val=""/>
      <w:lvlJc w:val="left"/>
      <w:pPr>
        <w:ind w:left="720" w:hanging="360"/>
      </w:pPr>
      <w:rPr>
        <w:rFonts w:ascii="Symbol" w:hAnsi="Symbol"/>
      </w:rPr>
    </w:lvl>
    <w:lvl w:ilvl="5" w:tplc="F83CA81A">
      <w:start w:val="1"/>
      <w:numFmt w:val="bullet"/>
      <w:lvlText w:val=""/>
      <w:lvlJc w:val="left"/>
      <w:pPr>
        <w:ind w:left="720" w:hanging="360"/>
      </w:pPr>
      <w:rPr>
        <w:rFonts w:ascii="Symbol" w:hAnsi="Symbol"/>
      </w:rPr>
    </w:lvl>
    <w:lvl w:ilvl="6" w:tplc="8E6C35CE">
      <w:start w:val="1"/>
      <w:numFmt w:val="bullet"/>
      <w:lvlText w:val=""/>
      <w:lvlJc w:val="left"/>
      <w:pPr>
        <w:ind w:left="720" w:hanging="360"/>
      </w:pPr>
      <w:rPr>
        <w:rFonts w:ascii="Symbol" w:hAnsi="Symbol"/>
      </w:rPr>
    </w:lvl>
    <w:lvl w:ilvl="7" w:tplc="9D66FDA0">
      <w:start w:val="1"/>
      <w:numFmt w:val="bullet"/>
      <w:lvlText w:val=""/>
      <w:lvlJc w:val="left"/>
      <w:pPr>
        <w:ind w:left="720" w:hanging="360"/>
      </w:pPr>
      <w:rPr>
        <w:rFonts w:ascii="Symbol" w:hAnsi="Symbol"/>
      </w:rPr>
    </w:lvl>
    <w:lvl w:ilvl="8" w:tplc="7C4607F6">
      <w:start w:val="1"/>
      <w:numFmt w:val="bullet"/>
      <w:lvlText w:val=""/>
      <w:lvlJc w:val="left"/>
      <w:pPr>
        <w:ind w:left="720" w:hanging="360"/>
      </w:pPr>
      <w:rPr>
        <w:rFonts w:ascii="Symbol" w:hAnsi="Symbol"/>
      </w:rPr>
    </w:lvl>
  </w:abstractNum>
  <w:abstractNum w:abstractNumId="29" w15:restartNumberingAfterBreak="0">
    <w:nsid w:val="47095746"/>
    <w:multiLevelType w:val="hybridMultilevel"/>
    <w:tmpl w:val="9D287834"/>
    <w:lvl w:ilvl="0" w:tplc="E18AF33C">
      <w:start w:val="1"/>
      <w:numFmt w:val="bullet"/>
      <w:pStyle w:val="Instructionaltext-bullet"/>
      <w:lvlText w:val=""/>
      <w:lvlJc w:val="left"/>
      <w:pPr>
        <w:ind w:left="720" w:hanging="360"/>
      </w:pPr>
      <w:rPr>
        <w:rFonts w:ascii="Symbol" w:hAnsi="Symbol" w:cs="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47E9091C"/>
    <w:multiLevelType w:val="multilevel"/>
    <w:tmpl w:val="4280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8A19B6"/>
    <w:multiLevelType w:val="hybridMultilevel"/>
    <w:tmpl w:val="00C04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80D2CE2"/>
    <w:multiLevelType w:val="hybridMultilevel"/>
    <w:tmpl w:val="313E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E7E6095"/>
    <w:multiLevelType w:val="hybridMultilevel"/>
    <w:tmpl w:val="E334FAA4"/>
    <w:lvl w:ilvl="0" w:tplc="3182BB84">
      <w:start w:val="1"/>
      <w:numFmt w:val="bullet"/>
      <w:lvlText w:val=""/>
      <w:lvlJc w:val="left"/>
      <w:pPr>
        <w:ind w:left="1440" w:hanging="360"/>
      </w:pPr>
      <w:rPr>
        <w:rFonts w:ascii="Symbol" w:hAnsi="Symbol"/>
      </w:rPr>
    </w:lvl>
    <w:lvl w:ilvl="1" w:tplc="67AEF634">
      <w:start w:val="1"/>
      <w:numFmt w:val="bullet"/>
      <w:lvlText w:val=""/>
      <w:lvlJc w:val="left"/>
      <w:pPr>
        <w:ind w:left="1440" w:hanging="360"/>
      </w:pPr>
      <w:rPr>
        <w:rFonts w:ascii="Symbol" w:hAnsi="Symbol"/>
      </w:rPr>
    </w:lvl>
    <w:lvl w:ilvl="2" w:tplc="D49881A6">
      <w:start w:val="1"/>
      <w:numFmt w:val="bullet"/>
      <w:lvlText w:val=""/>
      <w:lvlJc w:val="left"/>
      <w:pPr>
        <w:ind w:left="1440" w:hanging="360"/>
      </w:pPr>
      <w:rPr>
        <w:rFonts w:ascii="Symbol" w:hAnsi="Symbol"/>
      </w:rPr>
    </w:lvl>
    <w:lvl w:ilvl="3" w:tplc="289C55C6">
      <w:start w:val="1"/>
      <w:numFmt w:val="bullet"/>
      <w:lvlText w:val=""/>
      <w:lvlJc w:val="left"/>
      <w:pPr>
        <w:ind w:left="1440" w:hanging="360"/>
      </w:pPr>
      <w:rPr>
        <w:rFonts w:ascii="Symbol" w:hAnsi="Symbol"/>
      </w:rPr>
    </w:lvl>
    <w:lvl w:ilvl="4" w:tplc="E746EE58">
      <w:start w:val="1"/>
      <w:numFmt w:val="bullet"/>
      <w:lvlText w:val=""/>
      <w:lvlJc w:val="left"/>
      <w:pPr>
        <w:ind w:left="1440" w:hanging="360"/>
      </w:pPr>
      <w:rPr>
        <w:rFonts w:ascii="Symbol" w:hAnsi="Symbol"/>
      </w:rPr>
    </w:lvl>
    <w:lvl w:ilvl="5" w:tplc="662AC802">
      <w:start w:val="1"/>
      <w:numFmt w:val="bullet"/>
      <w:lvlText w:val=""/>
      <w:lvlJc w:val="left"/>
      <w:pPr>
        <w:ind w:left="1440" w:hanging="360"/>
      </w:pPr>
      <w:rPr>
        <w:rFonts w:ascii="Symbol" w:hAnsi="Symbol"/>
      </w:rPr>
    </w:lvl>
    <w:lvl w:ilvl="6" w:tplc="82B4D842">
      <w:start w:val="1"/>
      <w:numFmt w:val="bullet"/>
      <w:lvlText w:val=""/>
      <w:lvlJc w:val="left"/>
      <w:pPr>
        <w:ind w:left="1440" w:hanging="360"/>
      </w:pPr>
      <w:rPr>
        <w:rFonts w:ascii="Symbol" w:hAnsi="Symbol"/>
      </w:rPr>
    </w:lvl>
    <w:lvl w:ilvl="7" w:tplc="1864F838">
      <w:start w:val="1"/>
      <w:numFmt w:val="bullet"/>
      <w:lvlText w:val=""/>
      <w:lvlJc w:val="left"/>
      <w:pPr>
        <w:ind w:left="1440" w:hanging="360"/>
      </w:pPr>
      <w:rPr>
        <w:rFonts w:ascii="Symbol" w:hAnsi="Symbol"/>
      </w:rPr>
    </w:lvl>
    <w:lvl w:ilvl="8" w:tplc="1B40B900">
      <w:start w:val="1"/>
      <w:numFmt w:val="bullet"/>
      <w:lvlText w:val=""/>
      <w:lvlJc w:val="left"/>
      <w:pPr>
        <w:ind w:left="1440" w:hanging="360"/>
      </w:pPr>
      <w:rPr>
        <w:rFonts w:ascii="Symbol" w:hAnsi="Symbol"/>
      </w:rPr>
    </w:lvl>
  </w:abstractNum>
  <w:abstractNum w:abstractNumId="34" w15:restartNumberingAfterBreak="0">
    <w:nsid w:val="66312857"/>
    <w:multiLevelType w:val="hybridMultilevel"/>
    <w:tmpl w:val="B7C0E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075560"/>
    <w:multiLevelType w:val="hybridMultilevel"/>
    <w:tmpl w:val="227A23DA"/>
    <w:lvl w:ilvl="0" w:tplc="E2CE9E52">
      <w:start w:val="1"/>
      <w:numFmt w:val="bullet"/>
      <w:lvlText w:val=""/>
      <w:lvlJc w:val="left"/>
      <w:pPr>
        <w:ind w:left="720" w:hanging="360"/>
      </w:pPr>
      <w:rPr>
        <w:rFonts w:ascii="Symbol" w:hAnsi="Symbol"/>
      </w:rPr>
    </w:lvl>
    <w:lvl w:ilvl="1" w:tplc="2C144600">
      <w:start w:val="1"/>
      <w:numFmt w:val="bullet"/>
      <w:lvlText w:val=""/>
      <w:lvlJc w:val="left"/>
      <w:pPr>
        <w:ind w:left="720" w:hanging="360"/>
      </w:pPr>
      <w:rPr>
        <w:rFonts w:ascii="Symbol" w:hAnsi="Symbol"/>
      </w:rPr>
    </w:lvl>
    <w:lvl w:ilvl="2" w:tplc="F52AE6E6">
      <w:start w:val="1"/>
      <w:numFmt w:val="bullet"/>
      <w:lvlText w:val=""/>
      <w:lvlJc w:val="left"/>
      <w:pPr>
        <w:ind w:left="720" w:hanging="360"/>
      </w:pPr>
      <w:rPr>
        <w:rFonts w:ascii="Symbol" w:hAnsi="Symbol"/>
      </w:rPr>
    </w:lvl>
    <w:lvl w:ilvl="3" w:tplc="A8E0182E">
      <w:start w:val="1"/>
      <w:numFmt w:val="bullet"/>
      <w:lvlText w:val=""/>
      <w:lvlJc w:val="left"/>
      <w:pPr>
        <w:ind w:left="720" w:hanging="360"/>
      </w:pPr>
      <w:rPr>
        <w:rFonts w:ascii="Symbol" w:hAnsi="Symbol"/>
      </w:rPr>
    </w:lvl>
    <w:lvl w:ilvl="4" w:tplc="245E9352">
      <w:start w:val="1"/>
      <w:numFmt w:val="bullet"/>
      <w:lvlText w:val=""/>
      <w:lvlJc w:val="left"/>
      <w:pPr>
        <w:ind w:left="720" w:hanging="360"/>
      </w:pPr>
      <w:rPr>
        <w:rFonts w:ascii="Symbol" w:hAnsi="Symbol"/>
      </w:rPr>
    </w:lvl>
    <w:lvl w:ilvl="5" w:tplc="541E8B6A">
      <w:start w:val="1"/>
      <w:numFmt w:val="bullet"/>
      <w:lvlText w:val=""/>
      <w:lvlJc w:val="left"/>
      <w:pPr>
        <w:ind w:left="720" w:hanging="360"/>
      </w:pPr>
      <w:rPr>
        <w:rFonts w:ascii="Symbol" w:hAnsi="Symbol"/>
      </w:rPr>
    </w:lvl>
    <w:lvl w:ilvl="6" w:tplc="E3CE1BB6">
      <w:start w:val="1"/>
      <w:numFmt w:val="bullet"/>
      <w:lvlText w:val=""/>
      <w:lvlJc w:val="left"/>
      <w:pPr>
        <w:ind w:left="720" w:hanging="360"/>
      </w:pPr>
      <w:rPr>
        <w:rFonts w:ascii="Symbol" w:hAnsi="Symbol"/>
      </w:rPr>
    </w:lvl>
    <w:lvl w:ilvl="7" w:tplc="8E0E27C2">
      <w:start w:val="1"/>
      <w:numFmt w:val="bullet"/>
      <w:lvlText w:val=""/>
      <w:lvlJc w:val="left"/>
      <w:pPr>
        <w:ind w:left="720" w:hanging="360"/>
      </w:pPr>
      <w:rPr>
        <w:rFonts w:ascii="Symbol" w:hAnsi="Symbol"/>
      </w:rPr>
    </w:lvl>
    <w:lvl w:ilvl="8" w:tplc="BE66D96E">
      <w:start w:val="1"/>
      <w:numFmt w:val="bullet"/>
      <w:lvlText w:val=""/>
      <w:lvlJc w:val="left"/>
      <w:pPr>
        <w:ind w:left="720" w:hanging="360"/>
      </w:pPr>
      <w:rPr>
        <w:rFonts w:ascii="Symbol" w:hAnsi="Symbol"/>
      </w:rPr>
    </w:lvl>
  </w:abstractNum>
  <w:abstractNum w:abstractNumId="36" w15:restartNumberingAfterBreak="0">
    <w:nsid w:val="6796257C"/>
    <w:multiLevelType w:val="hybridMultilevel"/>
    <w:tmpl w:val="9A10F932"/>
    <w:lvl w:ilvl="0" w:tplc="7A36D370">
      <w:start w:val="1"/>
      <w:numFmt w:val="bullet"/>
      <w:lvlText w:val=""/>
      <w:lvlJc w:val="left"/>
      <w:pPr>
        <w:ind w:left="1080" w:hanging="360"/>
      </w:pPr>
      <w:rPr>
        <w:rFonts w:ascii="Symbol" w:hAnsi="Symbol"/>
      </w:rPr>
    </w:lvl>
    <w:lvl w:ilvl="1" w:tplc="0884FD4A">
      <w:start w:val="1"/>
      <w:numFmt w:val="bullet"/>
      <w:lvlText w:val=""/>
      <w:lvlJc w:val="left"/>
      <w:pPr>
        <w:ind w:left="1080" w:hanging="360"/>
      </w:pPr>
      <w:rPr>
        <w:rFonts w:ascii="Symbol" w:hAnsi="Symbol"/>
      </w:rPr>
    </w:lvl>
    <w:lvl w:ilvl="2" w:tplc="9AA8A0EE">
      <w:start w:val="1"/>
      <w:numFmt w:val="bullet"/>
      <w:lvlText w:val=""/>
      <w:lvlJc w:val="left"/>
      <w:pPr>
        <w:ind w:left="1080" w:hanging="360"/>
      </w:pPr>
      <w:rPr>
        <w:rFonts w:ascii="Symbol" w:hAnsi="Symbol"/>
      </w:rPr>
    </w:lvl>
    <w:lvl w:ilvl="3" w:tplc="557E2694">
      <w:start w:val="1"/>
      <w:numFmt w:val="bullet"/>
      <w:lvlText w:val=""/>
      <w:lvlJc w:val="left"/>
      <w:pPr>
        <w:ind w:left="1080" w:hanging="360"/>
      </w:pPr>
      <w:rPr>
        <w:rFonts w:ascii="Symbol" w:hAnsi="Symbol"/>
      </w:rPr>
    </w:lvl>
    <w:lvl w:ilvl="4" w:tplc="51ACBC08">
      <w:start w:val="1"/>
      <w:numFmt w:val="bullet"/>
      <w:lvlText w:val=""/>
      <w:lvlJc w:val="left"/>
      <w:pPr>
        <w:ind w:left="1080" w:hanging="360"/>
      </w:pPr>
      <w:rPr>
        <w:rFonts w:ascii="Symbol" w:hAnsi="Symbol"/>
      </w:rPr>
    </w:lvl>
    <w:lvl w:ilvl="5" w:tplc="09E02196">
      <w:start w:val="1"/>
      <w:numFmt w:val="bullet"/>
      <w:lvlText w:val=""/>
      <w:lvlJc w:val="left"/>
      <w:pPr>
        <w:ind w:left="1080" w:hanging="360"/>
      </w:pPr>
      <w:rPr>
        <w:rFonts w:ascii="Symbol" w:hAnsi="Symbol"/>
      </w:rPr>
    </w:lvl>
    <w:lvl w:ilvl="6" w:tplc="C2C0D58E">
      <w:start w:val="1"/>
      <w:numFmt w:val="bullet"/>
      <w:lvlText w:val=""/>
      <w:lvlJc w:val="left"/>
      <w:pPr>
        <w:ind w:left="1080" w:hanging="360"/>
      </w:pPr>
      <w:rPr>
        <w:rFonts w:ascii="Symbol" w:hAnsi="Symbol"/>
      </w:rPr>
    </w:lvl>
    <w:lvl w:ilvl="7" w:tplc="1F1A6F84">
      <w:start w:val="1"/>
      <w:numFmt w:val="bullet"/>
      <w:lvlText w:val=""/>
      <w:lvlJc w:val="left"/>
      <w:pPr>
        <w:ind w:left="1080" w:hanging="360"/>
      </w:pPr>
      <w:rPr>
        <w:rFonts w:ascii="Symbol" w:hAnsi="Symbol"/>
      </w:rPr>
    </w:lvl>
    <w:lvl w:ilvl="8" w:tplc="795AE894">
      <w:start w:val="1"/>
      <w:numFmt w:val="bullet"/>
      <w:lvlText w:val=""/>
      <w:lvlJc w:val="left"/>
      <w:pPr>
        <w:ind w:left="1080" w:hanging="360"/>
      </w:pPr>
      <w:rPr>
        <w:rFonts w:ascii="Symbol" w:hAnsi="Symbol"/>
      </w:rPr>
    </w:lvl>
  </w:abstractNum>
  <w:abstractNum w:abstractNumId="37" w15:restartNumberingAfterBreak="0">
    <w:nsid w:val="6A2B34D9"/>
    <w:multiLevelType w:val="hybridMultilevel"/>
    <w:tmpl w:val="0C428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384A67"/>
    <w:multiLevelType w:val="multilevel"/>
    <w:tmpl w:val="A5FEA4E2"/>
    <w:lvl w:ilvl="0">
      <w:start w:val="1"/>
      <w:numFmt w:val="decimal"/>
      <w:pStyle w:val="Heading1"/>
      <w:lvlText w:val="Section %1"/>
      <w:lvlJc w:val="left"/>
      <w:pPr>
        <w:ind w:left="0" w:firstLine="0"/>
      </w:pPr>
      <w:rPr>
        <w:rFonts w:hint="default"/>
      </w:rPr>
    </w:lvl>
    <w:lvl w:ilvl="1">
      <w:start w:val="1"/>
      <w:numFmt w:val="decimal"/>
      <w:lvlText w:val="%1.%2"/>
      <w:lvlJc w:val="left"/>
      <w:pPr>
        <w:ind w:left="0" w:firstLine="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1"/>
      <w:pStyle w:val="Heading3"/>
      <w:lvlText w:val="%1.%2.%3"/>
      <w:lvlJc w:val="left"/>
      <w:pPr>
        <w:ind w:left="284" w:firstLine="0"/>
      </w:pPr>
      <w:rPr>
        <w:rFonts w:hint="default"/>
      </w:rPr>
    </w:lvl>
    <w:lvl w:ilvl="3">
      <w:start w:val="1"/>
      <w:numFmt w:val="decimal"/>
      <w:lvlText w:val="(%4)"/>
      <w:lvlJc w:val="left"/>
      <w:pPr>
        <w:ind w:left="81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84D033C"/>
    <w:multiLevelType w:val="multilevel"/>
    <w:tmpl w:val="CC92A716"/>
    <w:lvl w:ilvl="0">
      <w:start w:val="1"/>
      <w:numFmt w:val="decimal"/>
      <w:lvlText w:val="%1"/>
      <w:lvlJc w:val="left"/>
      <w:pPr>
        <w:ind w:left="720" w:hanging="720"/>
      </w:pPr>
      <w:rPr>
        <w:rFonts w:hint="default"/>
        <w:b/>
      </w:rPr>
    </w:lvl>
    <w:lvl w:ilvl="1">
      <w:start w:val="1"/>
      <w:numFmt w:val="decimal"/>
      <w:lvlText w:val="%1.%2"/>
      <w:lvlJc w:val="left"/>
      <w:pPr>
        <w:ind w:left="720" w:hanging="720"/>
      </w:pPr>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9E21A1F"/>
    <w:multiLevelType w:val="hybridMultilevel"/>
    <w:tmpl w:val="AAD8A1C4"/>
    <w:lvl w:ilvl="0" w:tplc="594AFCF8">
      <w:start w:val="1"/>
      <w:numFmt w:val="bullet"/>
      <w:lvlText w:val=""/>
      <w:lvlJc w:val="left"/>
      <w:pPr>
        <w:ind w:left="720" w:hanging="360"/>
      </w:pPr>
      <w:rPr>
        <w:rFonts w:ascii="Symbol" w:hAnsi="Symbol"/>
      </w:rPr>
    </w:lvl>
    <w:lvl w:ilvl="1" w:tplc="4626B78C">
      <w:start w:val="1"/>
      <w:numFmt w:val="bullet"/>
      <w:lvlText w:val=""/>
      <w:lvlJc w:val="left"/>
      <w:pPr>
        <w:ind w:left="720" w:hanging="360"/>
      </w:pPr>
      <w:rPr>
        <w:rFonts w:ascii="Symbol" w:hAnsi="Symbol"/>
      </w:rPr>
    </w:lvl>
    <w:lvl w:ilvl="2" w:tplc="FD02E2BE">
      <w:start w:val="1"/>
      <w:numFmt w:val="bullet"/>
      <w:lvlText w:val=""/>
      <w:lvlJc w:val="left"/>
      <w:pPr>
        <w:ind w:left="720" w:hanging="360"/>
      </w:pPr>
      <w:rPr>
        <w:rFonts w:ascii="Symbol" w:hAnsi="Symbol"/>
      </w:rPr>
    </w:lvl>
    <w:lvl w:ilvl="3" w:tplc="2FB82354">
      <w:start w:val="1"/>
      <w:numFmt w:val="bullet"/>
      <w:lvlText w:val=""/>
      <w:lvlJc w:val="left"/>
      <w:pPr>
        <w:ind w:left="720" w:hanging="360"/>
      </w:pPr>
      <w:rPr>
        <w:rFonts w:ascii="Symbol" w:hAnsi="Symbol"/>
      </w:rPr>
    </w:lvl>
    <w:lvl w:ilvl="4" w:tplc="BC242DEA">
      <w:start w:val="1"/>
      <w:numFmt w:val="bullet"/>
      <w:lvlText w:val=""/>
      <w:lvlJc w:val="left"/>
      <w:pPr>
        <w:ind w:left="720" w:hanging="360"/>
      </w:pPr>
      <w:rPr>
        <w:rFonts w:ascii="Symbol" w:hAnsi="Symbol"/>
      </w:rPr>
    </w:lvl>
    <w:lvl w:ilvl="5" w:tplc="F23A390A">
      <w:start w:val="1"/>
      <w:numFmt w:val="bullet"/>
      <w:lvlText w:val=""/>
      <w:lvlJc w:val="left"/>
      <w:pPr>
        <w:ind w:left="720" w:hanging="360"/>
      </w:pPr>
      <w:rPr>
        <w:rFonts w:ascii="Symbol" w:hAnsi="Symbol"/>
      </w:rPr>
    </w:lvl>
    <w:lvl w:ilvl="6" w:tplc="A18CE934">
      <w:start w:val="1"/>
      <w:numFmt w:val="bullet"/>
      <w:lvlText w:val=""/>
      <w:lvlJc w:val="left"/>
      <w:pPr>
        <w:ind w:left="720" w:hanging="360"/>
      </w:pPr>
      <w:rPr>
        <w:rFonts w:ascii="Symbol" w:hAnsi="Symbol"/>
      </w:rPr>
    </w:lvl>
    <w:lvl w:ilvl="7" w:tplc="282CA976">
      <w:start w:val="1"/>
      <w:numFmt w:val="bullet"/>
      <w:lvlText w:val=""/>
      <w:lvlJc w:val="left"/>
      <w:pPr>
        <w:ind w:left="720" w:hanging="360"/>
      </w:pPr>
      <w:rPr>
        <w:rFonts w:ascii="Symbol" w:hAnsi="Symbol"/>
      </w:rPr>
    </w:lvl>
    <w:lvl w:ilvl="8" w:tplc="A824E9EE">
      <w:start w:val="1"/>
      <w:numFmt w:val="bullet"/>
      <w:lvlText w:val=""/>
      <w:lvlJc w:val="left"/>
      <w:pPr>
        <w:ind w:left="720" w:hanging="360"/>
      </w:pPr>
      <w:rPr>
        <w:rFonts w:ascii="Symbol" w:hAnsi="Symbol"/>
      </w:rPr>
    </w:lvl>
  </w:abstractNum>
  <w:num w:numId="1" w16cid:durableId="1029987801">
    <w:abstractNumId w:val="29"/>
  </w:num>
  <w:num w:numId="2" w16cid:durableId="733504836">
    <w:abstractNumId w:val="38"/>
  </w:num>
  <w:num w:numId="3" w16cid:durableId="1451780567">
    <w:abstractNumId w:val="22"/>
  </w:num>
  <w:num w:numId="4" w16cid:durableId="755713676">
    <w:abstractNumId w:val="0"/>
  </w:num>
  <w:num w:numId="5" w16cid:durableId="860436155">
    <w:abstractNumId w:val="6"/>
  </w:num>
  <w:num w:numId="6" w16cid:durableId="125634181">
    <w:abstractNumId w:val="12"/>
  </w:num>
  <w:num w:numId="7" w16cid:durableId="1057050292">
    <w:abstractNumId w:val="17"/>
  </w:num>
  <w:num w:numId="8" w16cid:durableId="737485646">
    <w:abstractNumId w:val="32"/>
  </w:num>
  <w:num w:numId="9" w16cid:durableId="1278022676">
    <w:abstractNumId w:val="4"/>
  </w:num>
  <w:num w:numId="10" w16cid:durableId="1667247640">
    <w:abstractNumId w:val="5"/>
  </w:num>
  <w:num w:numId="11" w16cid:durableId="36979399">
    <w:abstractNumId w:val="14"/>
  </w:num>
  <w:num w:numId="12" w16cid:durableId="1832453440">
    <w:abstractNumId w:val="39"/>
  </w:num>
  <w:num w:numId="13" w16cid:durableId="487988180">
    <w:abstractNumId w:val="19"/>
  </w:num>
  <w:num w:numId="14" w16cid:durableId="159320131">
    <w:abstractNumId w:val="20"/>
  </w:num>
  <w:num w:numId="15" w16cid:durableId="272519394">
    <w:abstractNumId w:val="7"/>
  </w:num>
  <w:num w:numId="16" w16cid:durableId="395904749">
    <w:abstractNumId w:val="31"/>
  </w:num>
  <w:num w:numId="17" w16cid:durableId="1305349710">
    <w:abstractNumId w:val="2"/>
  </w:num>
  <w:num w:numId="18" w16cid:durableId="1493915000">
    <w:abstractNumId w:val="8"/>
  </w:num>
  <w:num w:numId="19" w16cid:durableId="1547331285">
    <w:abstractNumId w:val="35"/>
  </w:num>
  <w:num w:numId="20" w16cid:durableId="1284925091">
    <w:abstractNumId w:val="11"/>
  </w:num>
  <w:num w:numId="21" w16cid:durableId="1461343176">
    <w:abstractNumId w:val="10"/>
  </w:num>
  <w:num w:numId="22" w16cid:durableId="1715496982">
    <w:abstractNumId w:val="28"/>
  </w:num>
  <w:num w:numId="23" w16cid:durableId="1450784634">
    <w:abstractNumId w:val="33"/>
  </w:num>
  <w:num w:numId="24" w16cid:durableId="285624365">
    <w:abstractNumId w:val="3"/>
  </w:num>
  <w:num w:numId="25" w16cid:durableId="1753820795">
    <w:abstractNumId w:val="27"/>
  </w:num>
  <w:num w:numId="26" w16cid:durableId="1608611199">
    <w:abstractNumId w:val="16"/>
  </w:num>
  <w:num w:numId="27" w16cid:durableId="1714498455">
    <w:abstractNumId w:val="26"/>
  </w:num>
  <w:num w:numId="28" w16cid:durableId="51737130">
    <w:abstractNumId w:val="25"/>
  </w:num>
  <w:num w:numId="29" w16cid:durableId="2109571014">
    <w:abstractNumId w:val="15"/>
  </w:num>
  <w:num w:numId="30" w16cid:durableId="856501811">
    <w:abstractNumId w:val="40"/>
  </w:num>
  <w:num w:numId="31" w16cid:durableId="1703356732">
    <w:abstractNumId w:val="9"/>
  </w:num>
  <w:num w:numId="32" w16cid:durableId="1283683075">
    <w:abstractNumId w:val="23"/>
  </w:num>
  <w:num w:numId="33" w16cid:durableId="689070994">
    <w:abstractNumId w:val="13"/>
  </w:num>
  <w:num w:numId="34" w16cid:durableId="481048470">
    <w:abstractNumId w:val="18"/>
  </w:num>
  <w:num w:numId="35" w16cid:durableId="70926743">
    <w:abstractNumId w:val="1"/>
  </w:num>
  <w:num w:numId="36" w16cid:durableId="542644784">
    <w:abstractNumId w:val="36"/>
  </w:num>
  <w:num w:numId="37" w16cid:durableId="2027898134">
    <w:abstractNumId w:val="6"/>
    <w:lvlOverride w:ilvl="0">
      <w:startOverride w:val="1"/>
    </w:lvlOverride>
    <w:lvlOverride w:ilvl="1">
      <w:startOverride w:val="4"/>
    </w:lvlOverride>
  </w:num>
  <w:num w:numId="38" w16cid:durableId="386538013">
    <w:abstractNumId w:val="30"/>
  </w:num>
  <w:num w:numId="39" w16cid:durableId="2111392293">
    <w:abstractNumId w:val="24"/>
  </w:num>
  <w:num w:numId="40" w16cid:durableId="425394231">
    <w:abstractNumId w:val="37"/>
  </w:num>
  <w:num w:numId="41" w16cid:durableId="1497190150">
    <w:abstractNumId w:val="34"/>
  </w:num>
  <w:num w:numId="42" w16cid:durableId="42561768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3FE"/>
    <w:rsid w:val="00000DA8"/>
    <w:rsid w:val="000011B9"/>
    <w:rsid w:val="00001565"/>
    <w:rsid w:val="00002315"/>
    <w:rsid w:val="00002348"/>
    <w:rsid w:val="000023B2"/>
    <w:rsid w:val="00002448"/>
    <w:rsid w:val="000029AF"/>
    <w:rsid w:val="0000393E"/>
    <w:rsid w:val="00003B29"/>
    <w:rsid w:val="00003DF9"/>
    <w:rsid w:val="00003EBD"/>
    <w:rsid w:val="00004908"/>
    <w:rsid w:val="0000613C"/>
    <w:rsid w:val="00006B2D"/>
    <w:rsid w:val="000074BA"/>
    <w:rsid w:val="00007B3C"/>
    <w:rsid w:val="0001054C"/>
    <w:rsid w:val="000109E4"/>
    <w:rsid w:val="00010D09"/>
    <w:rsid w:val="0001356B"/>
    <w:rsid w:val="00013776"/>
    <w:rsid w:val="0001562A"/>
    <w:rsid w:val="00015DDD"/>
    <w:rsid w:val="000165A3"/>
    <w:rsid w:val="00016879"/>
    <w:rsid w:val="000169D5"/>
    <w:rsid w:val="00017776"/>
    <w:rsid w:val="00017BCC"/>
    <w:rsid w:val="00020386"/>
    <w:rsid w:val="00021C9D"/>
    <w:rsid w:val="00021E42"/>
    <w:rsid w:val="00021FD9"/>
    <w:rsid w:val="00023360"/>
    <w:rsid w:val="00023426"/>
    <w:rsid w:val="0002399B"/>
    <w:rsid w:val="00024873"/>
    <w:rsid w:val="00027043"/>
    <w:rsid w:val="00027C27"/>
    <w:rsid w:val="00027F78"/>
    <w:rsid w:val="00030101"/>
    <w:rsid w:val="00030D63"/>
    <w:rsid w:val="00032E5C"/>
    <w:rsid w:val="0003308B"/>
    <w:rsid w:val="00033960"/>
    <w:rsid w:val="00034A66"/>
    <w:rsid w:val="0003592E"/>
    <w:rsid w:val="000360BF"/>
    <w:rsid w:val="0003611C"/>
    <w:rsid w:val="00037504"/>
    <w:rsid w:val="000377A3"/>
    <w:rsid w:val="00041926"/>
    <w:rsid w:val="00041DED"/>
    <w:rsid w:val="00044373"/>
    <w:rsid w:val="00044E29"/>
    <w:rsid w:val="00044FD4"/>
    <w:rsid w:val="00047FC9"/>
    <w:rsid w:val="00050395"/>
    <w:rsid w:val="00050DDD"/>
    <w:rsid w:val="000510AC"/>
    <w:rsid w:val="00051258"/>
    <w:rsid w:val="000513E0"/>
    <w:rsid w:val="00051546"/>
    <w:rsid w:val="00051D7F"/>
    <w:rsid w:val="000521FB"/>
    <w:rsid w:val="00053320"/>
    <w:rsid w:val="00053633"/>
    <w:rsid w:val="00053BA8"/>
    <w:rsid w:val="00053FDA"/>
    <w:rsid w:val="00054BD7"/>
    <w:rsid w:val="00056DE0"/>
    <w:rsid w:val="00057729"/>
    <w:rsid w:val="00057AF2"/>
    <w:rsid w:val="0006111A"/>
    <w:rsid w:val="00061D14"/>
    <w:rsid w:val="00061DFC"/>
    <w:rsid w:val="00061EEC"/>
    <w:rsid w:val="00061FEA"/>
    <w:rsid w:val="00062031"/>
    <w:rsid w:val="000624B2"/>
    <w:rsid w:val="00062CB5"/>
    <w:rsid w:val="00063B2D"/>
    <w:rsid w:val="00063F43"/>
    <w:rsid w:val="00065383"/>
    <w:rsid w:val="00065E05"/>
    <w:rsid w:val="000662EC"/>
    <w:rsid w:val="0006681D"/>
    <w:rsid w:val="00066D0D"/>
    <w:rsid w:val="00067DAE"/>
    <w:rsid w:val="0007061D"/>
    <w:rsid w:val="00071BA3"/>
    <w:rsid w:val="00071C02"/>
    <w:rsid w:val="00072585"/>
    <w:rsid w:val="000728D8"/>
    <w:rsid w:val="0007290F"/>
    <w:rsid w:val="00073F68"/>
    <w:rsid w:val="0007626F"/>
    <w:rsid w:val="000763CC"/>
    <w:rsid w:val="00077084"/>
    <w:rsid w:val="0007714E"/>
    <w:rsid w:val="00077FD7"/>
    <w:rsid w:val="0008024A"/>
    <w:rsid w:val="00080A9F"/>
    <w:rsid w:val="000811BB"/>
    <w:rsid w:val="000812B8"/>
    <w:rsid w:val="000835B4"/>
    <w:rsid w:val="00083C50"/>
    <w:rsid w:val="00083E58"/>
    <w:rsid w:val="00083E78"/>
    <w:rsid w:val="00083F6D"/>
    <w:rsid w:val="000841E9"/>
    <w:rsid w:val="000847F8"/>
    <w:rsid w:val="000850E2"/>
    <w:rsid w:val="00085599"/>
    <w:rsid w:val="00087374"/>
    <w:rsid w:val="0009022D"/>
    <w:rsid w:val="00090261"/>
    <w:rsid w:val="00090445"/>
    <w:rsid w:val="000904C2"/>
    <w:rsid w:val="00091213"/>
    <w:rsid w:val="00091407"/>
    <w:rsid w:val="0009217C"/>
    <w:rsid w:val="00092CED"/>
    <w:rsid w:val="00094043"/>
    <w:rsid w:val="0009486A"/>
    <w:rsid w:val="000948B0"/>
    <w:rsid w:val="00094ADD"/>
    <w:rsid w:val="00094C75"/>
    <w:rsid w:val="0009655D"/>
    <w:rsid w:val="000972FB"/>
    <w:rsid w:val="0009762E"/>
    <w:rsid w:val="0009795D"/>
    <w:rsid w:val="00097F97"/>
    <w:rsid w:val="000A02A3"/>
    <w:rsid w:val="000A02B2"/>
    <w:rsid w:val="000A068E"/>
    <w:rsid w:val="000A0B5B"/>
    <w:rsid w:val="000A10DB"/>
    <w:rsid w:val="000A117F"/>
    <w:rsid w:val="000A13D7"/>
    <w:rsid w:val="000A1650"/>
    <w:rsid w:val="000A195C"/>
    <w:rsid w:val="000A1E39"/>
    <w:rsid w:val="000A2145"/>
    <w:rsid w:val="000A2299"/>
    <w:rsid w:val="000A3396"/>
    <w:rsid w:val="000A3C21"/>
    <w:rsid w:val="000A46C7"/>
    <w:rsid w:val="000A471D"/>
    <w:rsid w:val="000A4AF5"/>
    <w:rsid w:val="000A5251"/>
    <w:rsid w:val="000A5277"/>
    <w:rsid w:val="000A5292"/>
    <w:rsid w:val="000A5567"/>
    <w:rsid w:val="000A5741"/>
    <w:rsid w:val="000A59F5"/>
    <w:rsid w:val="000A5D32"/>
    <w:rsid w:val="000A5FFD"/>
    <w:rsid w:val="000A6387"/>
    <w:rsid w:val="000A6B25"/>
    <w:rsid w:val="000A6BAC"/>
    <w:rsid w:val="000B0EC4"/>
    <w:rsid w:val="000B1BF2"/>
    <w:rsid w:val="000B1FA4"/>
    <w:rsid w:val="000B2CC2"/>
    <w:rsid w:val="000B3027"/>
    <w:rsid w:val="000B3B9D"/>
    <w:rsid w:val="000B3E26"/>
    <w:rsid w:val="000B43AE"/>
    <w:rsid w:val="000B442B"/>
    <w:rsid w:val="000B5092"/>
    <w:rsid w:val="000B597A"/>
    <w:rsid w:val="000B7446"/>
    <w:rsid w:val="000B76CC"/>
    <w:rsid w:val="000B7EB6"/>
    <w:rsid w:val="000C0884"/>
    <w:rsid w:val="000C0BCB"/>
    <w:rsid w:val="000C1956"/>
    <w:rsid w:val="000C19EA"/>
    <w:rsid w:val="000C1A50"/>
    <w:rsid w:val="000C1D6A"/>
    <w:rsid w:val="000C3B6D"/>
    <w:rsid w:val="000C44CA"/>
    <w:rsid w:val="000C5D64"/>
    <w:rsid w:val="000C6645"/>
    <w:rsid w:val="000C6766"/>
    <w:rsid w:val="000C6A57"/>
    <w:rsid w:val="000C7E4B"/>
    <w:rsid w:val="000D11D9"/>
    <w:rsid w:val="000D1787"/>
    <w:rsid w:val="000D1CC7"/>
    <w:rsid w:val="000D2251"/>
    <w:rsid w:val="000D27E4"/>
    <w:rsid w:val="000D4FA9"/>
    <w:rsid w:val="000D5051"/>
    <w:rsid w:val="000D5A37"/>
    <w:rsid w:val="000D6629"/>
    <w:rsid w:val="000D69C5"/>
    <w:rsid w:val="000D72C6"/>
    <w:rsid w:val="000D7B03"/>
    <w:rsid w:val="000E0408"/>
    <w:rsid w:val="000E0B03"/>
    <w:rsid w:val="000E1943"/>
    <w:rsid w:val="000E1A94"/>
    <w:rsid w:val="000E2CD0"/>
    <w:rsid w:val="000E2CD3"/>
    <w:rsid w:val="000E37BE"/>
    <w:rsid w:val="000E37D5"/>
    <w:rsid w:val="000E3B6C"/>
    <w:rsid w:val="000E41E0"/>
    <w:rsid w:val="000E44CE"/>
    <w:rsid w:val="000E4A5A"/>
    <w:rsid w:val="000E4E55"/>
    <w:rsid w:val="000F04FB"/>
    <w:rsid w:val="000F11D9"/>
    <w:rsid w:val="000F1418"/>
    <w:rsid w:val="000F16BD"/>
    <w:rsid w:val="000F2727"/>
    <w:rsid w:val="000F2E34"/>
    <w:rsid w:val="000F34D6"/>
    <w:rsid w:val="000F3A57"/>
    <w:rsid w:val="000F4144"/>
    <w:rsid w:val="000F4E56"/>
    <w:rsid w:val="000F61F3"/>
    <w:rsid w:val="000F7CF6"/>
    <w:rsid w:val="000F7FE4"/>
    <w:rsid w:val="0010046E"/>
    <w:rsid w:val="00100947"/>
    <w:rsid w:val="001010BD"/>
    <w:rsid w:val="001014E2"/>
    <w:rsid w:val="00101CA0"/>
    <w:rsid w:val="0010204B"/>
    <w:rsid w:val="001022F9"/>
    <w:rsid w:val="0010275F"/>
    <w:rsid w:val="00103CBB"/>
    <w:rsid w:val="00103DBF"/>
    <w:rsid w:val="00104083"/>
    <w:rsid w:val="00104257"/>
    <w:rsid w:val="00104B3D"/>
    <w:rsid w:val="00105AC8"/>
    <w:rsid w:val="00105BE5"/>
    <w:rsid w:val="00105E32"/>
    <w:rsid w:val="0010645E"/>
    <w:rsid w:val="00106D5D"/>
    <w:rsid w:val="00107C0C"/>
    <w:rsid w:val="0011016C"/>
    <w:rsid w:val="001114CF"/>
    <w:rsid w:val="00111A99"/>
    <w:rsid w:val="00111B16"/>
    <w:rsid w:val="00112969"/>
    <w:rsid w:val="00113259"/>
    <w:rsid w:val="0011349F"/>
    <w:rsid w:val="00113A32"/>
    <w:rsid w:val="001140B5"/>
    <w:rsid w:val="0011465D"/>
    <w:rsid w:val="0011519C"/>
    <w:rsid w:val="00115580"/>
    <w:rsid w:val="00115819"/>
    <w:rsid w:val="001160EB"/>
    <w:rsid w:val="001176D4"/>
    <w:rsid w:val="00117781"/>
    <w:rsid w:val="0011791E"/>
    <w:rsid w:val="00117C03"/>
    <w:rsid w:val="00120765"/>
    <w:rsid w:val="00120BB3"/>
    <w:rsid w:val="00120BDD"/>
    <w:rsid w:val="0012175F"/>
    <w:rsid w:val="00122140"/>
    <w:rsid w:val="00122358"/>
    <w:rsid w:val="00122E06"/>
    <w:rsid w:val="00123135"/>
    <w:rsid w:val="0012336B"/>
    <w:rsid w:val="00123DBA"/>
    <w:rsid w:val="00123E3B"/>
    <w:rsid w:val="001242C5"/>
    <w:rsid w:val="001245EC"/>
    <w:rsid w:val="00125A36"/>
    <w:rsid w:val="00125ADB"/>
    <w:rsid w:val="00125F96"/>
    <w:rsid w:val="001262B7"/>
    <w:rsid w:val="001265A0"/>
    <w:rsid w:val="00126754"/>
    <w:rsid w:val="001269F8"/>
    <w:rsid w:val="00126A51"/>
    <w:rsid w:val="00127323"/>
    <w:rsid w:val="00127CD6"/>
    <w:rsid w:val="00130A0A"/>
    <w:rsid w:val="00130DA4"/>
    <w:rsid w:val="001311D7"/>
    <w:rsid w:val="001314D9"/>
    <w:rsid w:val="00131879"/>
    <w:rsid w:val="001318C7"/>
    <w:rsid w:val="001323FB"/>
    <w:rsid w:val="00132E85"/>
    <w:rsid w:val="0013302F"/>
    <w:rsid w:val="00133A80"/>
    <w:rsid w:val="00133E4C"/>
    <w:rsid w:val="00134695"/>
    <w:rsid w:val="00134CDE"/>
    <w:rsid w:val="00134D00"/>
    <w:rsid w:val="001352BA"/>
    <w:rsid w:val="0013552C"/>
    <w:rsid w:val="0013585F"/>
    <w:rsid w:val="00135D5F"/>
    <w:rsid w:val="001364F7"/>
    <w:rsid w:val="0013715A"/>
    <w:rsid w:val="00137167"/>
    <w:rsid w:val="0013753F"/>
    <w:rsid w:val="001375A4"/>
    <w:rsid w:val="00137B43"/>
    <w:rsid w:val="00137FF0"/>
    <w:rsid w:val="00140499"/>
    <w:rsid w:val="00140674"/>
    <w:rsid w:val="0014091B"/>
    <w:rsid w:val="0014131F"/>
    <w:rsid w:val="00142791"/>
    <w:rsid w:val="00142C06"/>
    <w:rsid w:val="0014300B"/>
    <w:rsid w:val="0014362C"/>
    <w:rsid w:val="0014370E"/>
    <w:rsid w:val="00143BBC"/>
    <w:rsid w:val="001440B2"/>
    <w:rsid w:val="0014460C"/>
    <w:rsid w:val="00144CD9"/>
    <w:rsid w:val="00145430"/>
    <w:rsid w:val="0014670F"/>
    <w:rsid w:val="0014778E"/>
    <w:rsid w:val="001507D7"/>
    <w:rsid w:val="00150C87"/>
    <w:rsid w:val="00150D8C"/>
    <w:rsid w:val="00151642"/>
    <w:rsid w:val="00152420"/>
    <w:rsid w:val="001526BA"/>
    <w:rsid w:val="00152719"/>
    <w:rsid w:val="0015284E"/>
    <w:rsid w:val="00152E13"/>
    <w:rsid w:val="00153049"/>
    <w:rsid w:val="001533F8"/>
    <w:rsid w:val="00153CB0"/>
    <w:rsid w:val="00155330"/>
    <w:rsid w:val="00155B6E"/>
    <w:rsid w:val="00156047"/>
    <w:rsid w:val="001573C8"/>
    <w:rsid w:val="00157930"/>
    <w:rsid w:val="00157962"/>
    <w:rsid w:val="00157AEC"/>
    <w:rsid w:val="00160386"/>
    <w:rsid w:val="001606CD"/>
    <w:rsid w:val="00162E84"/>
    <w:rsid w:val="001639DF"/>
    <w:rsid w:val="00163DB4"/>
    <w:rsid w:val="001642EB"/>
    <w:rsid w:val="00164645"/>
    <w:rsid w:val="0016477C"/>
    <w:rsid w:val="0016491C"/>
    <w:rsid w:val="00164F31"/>
    <w:rsid w:val="00165417"/>
    <w:rsid w:val="0016549D"/>
    <w:rsid w:val="00165676"/>
    <w:rsid w:val="00165855"/>
    <w:rsid w:val="00166371"/>
    <w:rsid w:val="00166587"/>
    <w:rsid w:val="001668F7"/>
    <w:rsid w:val="0016691A"/>
    <w:rsid w:val="00166BA3"/>
    <w:rsid w:val="00166C1A"/>
    <w:rsid w:val="00166E25"/>
    <w:rsid w:val="00167048"/>
    <w:rsid w:val="001700EC"/>
    <w:rsid w:val="001702F7"/>
    <w:rsid w:val="00170710"/>
    <w:rsid w:val="0017079A"/>
    <w:rsid w:val="00170BD6"/>
    <w:rsid w:val="001712CE"/>
    <w:rsid w:val="001713A8"/>
    <w:rsid w:val="00171422"/>
    <w:rsid w:val="00171BB2"/>
    <w:rsid w:val="00171FE0"/>
    <w:rsid w:val="001736D9"/>
    <w:rsid w:val="00173A77"/>
    <w:rsid w:val="0017427C"/>
    <w:rsid w:val="00175FC5"/>
    <w:rsid w:val="00176C0F"/>
    <w:rsid w:val="00177160"/>
    <w:rsid w:val="00177420"/>
    <w:rsid w:val="0017744F"/>
    <w:rsid w:val="00177558"/>
    <w:rsid w:val="001777CA"/>
    <w:rsid w:val="0018024F"/>
    <w:rsid w:val="0018099B"/>
    <w:rsid w:val="001820AB"/>
    <w:rsid w:val="00182DEC"/>
    <w:rsid w:val="001836E1"/>
    <w:rsid w:val="00183EC8"/>
    <w:rsid w:val="00184A02"/>
    <w:rsid w:val="00184C9B"/>
    <w:rsid w:val="001857F2"/>
    <w:rsid w:val="00185D0D"/>
    <w:rsid w:val="00185EB6"/>
    <w:rsid w:val="00186781"/>
    <w:rsid w:val="0018731E"/>
    <w:rsid w:val="001874DC"/>
    <w:rsid w:val="0019015A"/>
    <w:rsid w:val="0019016B"/>
    <w:rsid w:val="0019143D"/>
    <w:rsid w:val="00192E78"/>
    <w:rsid w:val="00193F75"/>
    <w:rsid w:val="00194305"/>
    <w:rsid w:val="001943B0"/>
    <w:rsid w:val="001979DF"/>
    <w:rsid w:val="00197A9B"/>
    <w:rsid w:val="00197DA4"/>
    <w:rsid w:val="001A001A"/>
    <w:rsid w:val="001A0219"/>
    <w:rsid w:val="001A041E"/>
    <w:rsid w:val="001A1475"/>
    <w:rsid w:val="001A32E6"/>
    <w:rsid w:val="001A3463"/>
    <w:rsid w:val="001A3BBC"/>
    <w:rsid w:val="001A3FAA"/>
    <w:rsid w:val="001A3FED"/>
    <w:rsid w:val="001A44B9"/>
    <w:rsid w:val="001A473C"/>
    <w:rsid w:val="001A4E31"/>
    <w:rsid w:val="001A54E3"/>
    <w:rsid w:val="001A5D1E"/>
    <w:rsid w:val="001A6397"/>
    <w:rsid w:val="001A7F02"/>
    <w:rsid w:val="001B07BB"/>
    <w:rsid w:val="001B11C7"/>
    <w:rsid w:val="001B12EC"/>
    <w:rsid w:val="001B1DFD"/>
    <w:rsid w:val="001B212C"/>
    <w:rsid w:val="001B2883"/>
    <w:rsid w:val="001B3016"/>
    <w:rsid w:val="001B34BA"/>
    <w:rsid w:val="001B3AE4"/>
    <w:rsid w:val="001B3DAB"/>
    <w:rsid w:val="001B521F"/>
    <w:rsid w:val="001B57D1"/>
    <w:rsid w:val="001B5BC5"/>
    <w:rsid w:val="001B6A34"/>
    <w:rsid w:val="001B6A5E"/>
    <w:rsid w:val="001B705F"/>
    <w:rsid w:val="001B7106"/>
    <w:rsid w:val="001B76ED"/>
    <w:rsid w:val="001C028B"/>
    <w:rsid w:val="001C131C"/>
    <w:rsid w:val="001C23D7"/>
    <w:rsid w:val="001C24A8"/>
    <w:rsid w:val="001C4231"/>
    <w:rsid w:val="001C4806"/>
    <w:rsid w:val="001C4FB2"/>
    <w:rsid w:val="001C5508"/>
    <w:rsid w:val="001C630D"/>
    <w:rsid w:val="001C6424"/>
    <w:rsid w:val="001C64D6"/>
    <w:rsid w:val="001C694B"/>
    <w:rsid w:val="001C7345"/>
    <w:rsid w:val="001C73C0"/>
    <w:rsid w:val="001C7832"/>
    <w:rsid w:val="001D002E"/>
    <w:rsid w:val="001D03C2"/>
    <w:rsid w:val="001D0F43"/>
    <w:rsid w:val="001D17F0"/>
    <w:rsid w:val="001D186C"/>
    <w:rsid w:val="001D2513"/>
    <w:rsid w:val="001D314F"/>
    <w:rsid w:val="001D5590"/>
    <w:rsid w:val="001D59E3"/>
    <w:rsid w:val="001D5A02"/>
    <w:rsid w:val="001D5A80"/>
    <w:rsid w:val="001D5CF3"/>
    <w:rsid w:val="001D5DD7"/>
    <w:rsid w:val="001D65EB"/>
    <w:rsid w:val="001D6E70"/>
    <w:rsid w:val="001D7175"/>
    <w:rsid w:val="001D7917"/>
    <w:rsid w:val="001D7CAF"/>
    <w:rsid w:val="001E046C"/>
    <w:rsid w:val="001E0828"/>
    <w:rsid w:val="001E0914"/>
    <w:rsid w:val="001E0CDC"/>
    <w:rsid w:val="001E0DC1"/>
    <w:rsid w:val="001E0E1A"/>
    <w:rsid w:val="001E11D0"/>
    <w:rsid w:val="001E1298"/>
    <w:rsid w:val="001E282E"/>
    <w:rsid w:val="001E3423"/>
    <w:rsid w:val="001E41D5"/>
    <w:rsid w:val="001E4251"/>
    <w:rsid w:val="001E44EF"/>
    <w:rsid w:val="001E4D18"/>
    <w:rsid w:val="001E62AB"/>
    <w:rsid w:val="001E63E8"/>
    <w:rsid w:val="001E6B56"/>
    <w:rsid w:val="001E7FDE"/>
    <w:rsid w:val="001F001B"/>
    <w:rsid w:val="001F16AD"/>
    <w:rsid w:val="001F17E5"/>
    <w:rsid w:val="001F1988"/>
    <w:rsid w:val="001F1AD4"/>
    <w:rsid w:val="001F2B49"/>
    <w:rsid w:val="001F3AB2"/>
    <w:rsid w:val="001F3B8C"/>
    <w:rsid w:val="001F4023"/>
    <w:rsid w:val="001F41C6"/>
    <w:rsid w:val="001F44A2"/>
    <w:rsid w:val="001F52BE"/>
    <w:rsid w:val="001F5921"/>
    <w:rsid w:val="001F6183"/>
    <w:rsid w:val="001F69B6"/>
    <w:rsid w:val="001F6D02"/>
    <w:rsid w:val="001F799F"/>
    <w:rsid w:val="002002BC"/>
    <w:rsid w:val="00200BC8"/>
    <w:rsid w:val="00200DEC"/>
    <w:rsid w:val="002021AE"/>
    <w:rsid w:val="00202F17"/>
    <w:rsid w:val="00203955"/>
    <w:rsid w:val="00203980"/>
    <w:rsid w:val="00203EA5"/>
    <w:rsid w:val="00204355"/>
    <w:rsid w:val="00204CF1"/>
    <w:rsid w:val="00204DEB"/>
    <w:rsid w:val="00205877"/>
    <w:rsid w:val="0020663C"/>
    <w:rsid w:val="002067C0"/>
    <w:rsid w:val="00206EEB"/>
    <w:rsid w:val="002073F6"/>
    <w:rsid w:val="00207534"/>
    <w:rsid w:val="0020779B"/>
    <w:rsid w:val="002078E2"/>
    <w:rsid w:val="00210BF7"/>
    <w:rsid w:val="00211774"/>
    <w:rsid w:val="00211C4D"/>
    <w:rsid w:val="00212183"/>
    <w:rsid w:val="002121F9"/>
    <w:rsid w:val="00212541"/>
    <w:rsid w:val="00213FB5"/>
    <w:rsid w:val="00214250"/>
    <w:rsid w:val="00214475"/>
    <w:rsid w:val="002149BA"/>
    <w:rsid w:val="00214BBA"/>
    <w:rsid w:val="00214BDF"/>
    <w:rsid w:val="00215D50"/>
    <w:rsid w:val="00216722"/>
    <w:rsid w:val="00216BC8"/>
    <w:rsid w:val="0021777F"/>
    <w:rsid w:val="002179B5"/>
    <w:rsid w:val="00217F74"/>
    <w:rsid w:val="00220565"/>
    <w:rsid w:val="00220C76"/>
    <w:rsid w:val="002214EC"/>
    <w:rsid w:val="002216F5"/>
    <w:rsid w:val="002219BB"/>
    <w:rsid w:val="00221B49"/>
    <w:rsid w:val="00221D27"/>
    <w:rsid w:val="00221F0E"/>
    <w:rsid w:val="0022235A"/>
    <w:rsid w:val="00222A6B"/>
    <w:rsid w:val="002235AB"/>
    <w:rsid w:val="00224428"/>
    <w:rsid w:val="00224719"/>
    <w:rsid w:val="00224746"/>
    <w:rsid w:val="00224BD5"/>
    <w:rsid w:val="002250EE"/>
    <w:rsid w:val="0022565A"/>
    <w:rsid w:val="00226B17"/>
    <w:rsid w:val="00227AA2"/>
    <w:rsid w:val="0023063D"/>
    <w:rsid w:val="00230875"/>
    <w:rsid w:val="00230BE2"/>
    <w:rsid w:val="002311A6"/>
    <w:rsid w:val="00231747"/>
    <w:rsid w:val="00231BA5"/>
    <w:rsid w:val="00231DEC"/>
    <w:rsid w:val="00233663"/>
    <w:rsid w:val="002337AE"/>
    <w:rsid w:val="00235B2C"/>
    <w:rsid w:val="00235C51"/>
    <w:rsid w:val="0023670A"/>
    <w:rsid w:val="0024009B"/>
    <w:rsid w:val="00240DC6"/>
    <w:rsid w:val="00240E9F"/>
    <w:rsid w:val="00241896"/>
    <w:rsid w:val="00241CA8"/>
    <w:rsid w:val="00242E8F"/>
    <w:rsid w:val="00244B51"/>
    <w:rsid w:val="00245356"/>
    <w:rsid w:val="002454F6"/>
    <w:rsid w:val="00245739"/>
    <w:rsid w:val="00247036"/>
    <w:rsid w:val="002478F0"/>
    <w:rsid w:val="00247F10"/>
    <w:rsid w:val="0025003C"/>
    <w:rsid w:val="00250EA0"/>
    <w:rsid w:val="00251665"/>
    <w:rsid w:val="00251BC6"/>
    <w:rsid w:val="00252008"/>
    <w:rsid w:val="0025282F"/>
    <w:rsid w:val="00253164"/>
    <w:rsid w:val="002536A6"/>
    <w:rsid w:val="00253AD2"/>
    <w:rsid w:val="00253B65"/>
    <w:rsid w:val="00253FF0"/>
    <w:rsid w:val="002554C2"/>
    <w:rsid w:val="002559C7"/>
    <w:rsid w:val="00255B94"/>
    <w:rsid w:val="002562B6"/>
    <w:rsid w:val="002570A9"/>
    <w:rsid w:val="00257562"/>
    <w:rsid w:val="002576E7"/>
    <w:rsid w:val="00260038"/>
    <w:rsid w:val="002604EC"/>
    <w:rsid w:val="0026087C"/>
    <w:rsid w:val="00260A31"/>
    <w:rsid w:val="00261B10"/>
    <w:rsid w:val="00261F53"/>
    <w:rsid w:val="00262CF4"/>
    <w:rsid w:val="0026306A"/>
    <w:rsid w:val="002635B7"/>
    <w:rsid w:val="00263C03"/>
    <w:rsid w:val="00264107"/>
    <w:rsid w:val="002653F9"/>
    <w:rsid w:val="00265A71"/>
    <w:rsid w:val="002661B8"/>
    <w:rsid w:val="00266716"/>
    <w:rsid w:val="00266788"/>
    <w:rsid w:val="002667D7"/>
    <w:rsid w:val="00266FAB"/>
    <w:rsid w:val="00267F06"/>
    <w:rsid w:val="00267F71"/>
    <w:rsid w:val="002704C8"/>
    <w:rsid w:val="002707D7"/>
    <w:rsid w:val="002709C7"/>
    <w:rsid w:val="00271690"/>
    <w:rsid w:val="00271B9E"/>
    <w:rsid w:val="00271CB7"/>
    <w:rsid w:val="00272D3B"/>
    <w:rsid w:val="00273478"/>
    <w:rsid w:val="002737F9"/>
    <w:rsid w:val="00275177"/>
    <w:rsid w:val="00275318"/>
    <w:rsid w:val="00277193"/>
    <w:rsid w:val="00277328"/>
    <w:rsid w:val="00280417"/>
    <w:rsid w:val="00280DC6"/>
    <w:rsid w:val="00280FED"/>
    <w:rsid w:val="002810D5"/>
    <w:rsid w:val="002813D7"/>
    <w:rsid w:val="00281A5A"/>
    <w:rsid w:val="00281AE9"/>
    <w:rsid w:val="002820E0"/>
    <w:rsid w:val="00282E80"/>
    <w:rsid w:val="00283C78"/>
    <w:rsid w:val="002842C4"/>
    <w:rsid w:val="002851E3"/>
    <w:rsid w:val="002855EE"/>
    <w:rsid w:val="00285DDD"/>
    <w:rsid w:val="0028629E"/>
    <w:rsid w:val="00286602"/>
    <w:rsid w:val="00286F4A"/>
    <w:rsid w:val="00287092"/>
    <w:rsid w:val="002874FB"/>
    <w:rsid w:val="002904A4"/>
    <w:rsid w:val="00290686"/>
    <w:rsid w:val="002909DB"/>
    <w:rsid w:val="00290B26"/>
    <w:rsid w:val="00290D58"/>
    <w:rsid w:val="00291351"/>
    <w:rsid w:val="00292F49"/>
    <w:rsid w:val="00293E06"/>
    <w:rsid w:val="00293FB2"/>
    <w:rsid w:val="002944E9"/>
    <w:rsid w:val="0029452B"/>
    <w:rsid w:val="0029489D"/>
    <w:rsid w:val="00295E66"/>
    <w:rsid w:val="0029669E"/>
    <w:rsid w:val="00297144"/>
    <w:rsid w:val="00297856"/>
    <w:rsid w:val="00297BCB"/>
    <w:rsid w:val="002A0041"/>
    <w:rsid w:val="002A1E15"/>
    <w:rsid w:val="002A2443"/>
    <w:rsid w:val="002A2860"/>
    <w:rsid w:val="002A368B"/>
    <w:rsid w:val="002A4201"/>
    <w:rsid w:val="002A44D0"/>
    <w:rsid w:val="002A44DE"/>
    <w:rsid w:val="002A4583"/>
    <w:rsid w:val="002A45AF"/>
    <w:rsid w:val="002A45C5"/>
    <w:rsid w:val="002A5381"/>
    <w:rsid w:val="002A55C6"/>
    <w:rsid w:val="002A5A67"/>
    <w:rsid w:val="002A5E8E"/>
    <w:rsid w:val="002A6849"/>
    <w:rsid w:val="002A747E"/>
    <w:rsid w:val="002A7587"/>
    <w:rsid w:val="002A75E8"/>
    <w:rsid w:val="002A7C47"/>
    <w:rsid w:val="002A7D93"/>
    <w:rsid w:val="002B01A8"/>
    <w:rsid w:val="002B0741"/>
    <w:rsid w:val="002B0AA1"/>
    <w:rsid w:val="002B0F12"/>
    <w:rsid w:val="002B1392"/>
    <w:rsid w:val="002B1907"/>
    <w:rsid w:val="002B1C5D"/>
    <w:rsid w:val="002B25B8"/>
    <w:rsid w:val="002B341C"/>
    <w:rsid w:val="002B3986"/>
    <w:rsid w:val="002B3CCB"/>
    <w:rsid w:val="002B3D54"/>
    <w:rsid w:val="002B5407"/>
    <w:rsid w:val="002B65D2"/>
    <w:rsid w:val="002B681D"/>
    <w:rsid w:val="002B7C5A"/>
    <w:rsid w:val="002C0743"/>
    <w:rsid w:val="002C0E20"/>
    <w:rsid w:val="002C1316"/>
    <w:rsid w:val="002C1A69"/>
    <w:rsid w:val="002C1B22"/>
    <w:rsid w:val="002C1F27"/>
    <w:rsid w:val="002C26C8"/>
    <w:rsid w:val="002C2AA8"/>
    <w:rsid w:val="002C2C03"/>
    <w:rsid w:val="002C2D08"/>
    <w:rsid w:val="002C2F93"/>
    <w:rsid w:val="002C3FC2"/>
    <w:rsid w:val="002C426A"/>
    <w:rsid w:val="002C47C4"/>
    <w:rsid w:val="002C52F9"/>
    <w:rsid w:val="002C5335"/>
    <w:rsid w:val="002C5866"/>
    <w:rsid w:val="002C5968"/>
    <w:rsid w:val="002C63BA"/>
    <w:rsid w:val="002C7CB9"/>
    <w:rsid w:val="002D02BA"/>
    <w:rsid w:val="002D0EBC"/>
    <w:rsid w:val="002D163F"/>
    <w:rsid w:val="002D354F"/>
    <w:rsid w:val="002D3AC8"/>
    <w:rsid w:val="002D4268"/>
    <w:rsid w:val="002D43B0"/>
    <w:rsid w:val="002D51B4"/>
    <w:rsid w:val="002D62AF"/>
    <w:rsid w:val="002D6618"/>
    <w:rsid w:val="002D6910"/>
    <w:rsid w:val="002D6913"/>
    <w:rsid w:val="002D6F22"/>
    <w:rsid w:val="002D7139"/>
    <w:rsid w:val="002D7637"/>
    <w:rsid w:val="002E0D2E"/>
    <w:rsid w:val="002E1705"/>
    <w:rsid w:val="002E1804"/>
    <w:rsid w:val="002E1CFD"/>
    <w:rsid w:val="002E1F92"/>
    <w:rsid w:val="002E2030"/>
    <w:rsid w:val="002E3245"/>
    <w:rsid w:val="002E3D36"/>
    <w:rsid w:val="002E45AC"/>
    <w:rsid w:val="002E45B5"/>
    <w:rsid w:val="002E4B35"/>
    <w:rsid w:val="002E5247"/>
    <w:rsid w:val="002E64C7"/>
    <w:rsid w:val="002E6F60"/>
    <w:rsid w:val="002F174C"/>
    <w:rsid w:val="002F2058"/>
    <w:rsid w:val="002F2788"/>
    <w:rsid w:val="002F2880"/>
    <w:rsid w:val="002F33E9"/>
    <w:rsid w:val="002F389B"/>
    <w:rsid w:val="002F44FD"/>
    <w:rsid w:val="002F53E2"/>
    <w:rsid w:val="002F6A85"/>
    <w:rsid w:val="002F7242"/>
    <w:rsid w:val="002F72AC"/>
    <w:rsid w:val="00300919"/>
    <w:rsid w:val="00302148"/>
    <w:rsid w:val="003026B2"/>
    <w:rsid w:val="00302CEF"/>
    <w:rsid w:val="003035E4"/>
    <w:rsid w:val="00303A19"/>
    <w:rsid w:val="00303DC8"/>
    <w:rsid w:val="00304960"/>
    <w:rsid w:val="00304A4B"/>
    <w:rsid w:val="00304AA0"/>
    <w:rsid w:val="00305042"/>
    <w:rsid w:val="00305489"/>
    <w:rsid w:val="0030627B"/>
    <w:rsid w:val="003066A7"/>
    <w:rsid w:val="00307481"/>
    <w:rsid w:val="00307C58"/>
    <w:rsid w:val="00311BF2"/>
    <w:rsid w:val="00312918"/>
    <w:rsid w:val="00313FA7"/>
    <w:rsid w:val="00314708"/>
    <w:rsid w:val="00314C75"/>
    <w:rsid w:val="00314D59"/>
    <w:rsid w:val="003157D6"/>
    <w:rsid w:val="0031597A"/>
    <w:rsid w:val="00315BCC"/>
    <w:rsid w:val="003179C4"/>
    <w:rsid w:val="00321FFB"/>
    <w:rsid w:val="00322253"/>
    <w:rsid w:val="003227F9"/>
    <w:rsid w:val="0032282F"/>
    <w:rsid w:val="00322B02"/>
    <w:rsid w:val="003245CD"/>
    <w:rsid w:val="00324D47"/>
    <w:rsid w:val="00324E54"/>
    <w:rsid w:val="003262D9"/>
    <w:rsid w:val="0032667D"/>
    <w:rsid w:val="003268E5"/>
    <w:rsid w:val="00326AE3"/>
    <w:rsid w:val="00326B74"/>
    <w:rsid w:val="00326F40"/>
    <w:rsid w:val="003277BD"/>
    <w:rsid w:val="00330400"/>
    <w:rsid w:val="00330922"/>
    <w:rsid w:val="00330BBF"/>
    <w:rsid w:val="00331708"/>
    <w:rsid w:val="003327B3"/>
    <w:rsid w:val="00332A73"/>
    <w:rsid w:val="00332EDF"/>
    <w:rsid w:val="00333A9B"/>
    <w:rsid w:val="00333EC4"/>
    <w:rsid w:val="0033466B"/>
    <w:rsid w:val="0033550B"/>
    <w:rsid w:val="00335726"/>
    <w:rsid w:val="003358DB"/>
    <w:rsid w:val="003363DC"/>
    <w:rsid w:val="003368AC"/>
    <w:rsid w:val="00336C53"/>
    <w:rsid w:val="003401F7"/>
    <w:rsid w:val="00340A71"/>
    <w:rsid w:val="00340FC2"/>
    <w:rsid w:val="00341A47"/>
    <w:rsid w:val="003426DD"/>
    <w:rsid w:val="00343F9D"/>
    <w:rsid w:val="0034482A"/>
    <w:rsid w:val="0034484E"/>
    <w:rsid w:val="00344A78"/>
    <w:rsid w:val="00344B6F"/>
    <w:rsid w:val="00344C7F"/>
    <w:rsid w:val="003453F6"/>
    <w:rsid w:val="003455C5"/>
    <w:rsid w:val="0034571D"/>
    <w:rsid w:val="00345C5B"/>
    <w:rsid w:val="00345E0A"/>
    <w:rsid w:val="00346CD1"/>
    <w:rsid w:val="00346E00"/>
    <w:rsid w:val="00346F2A"/>
    <w:rsid w:val="00346FDC"/>
    <w:rsid w:val="00347218"/>
    <w:rsid w:val="003473F4"/>
    <w:rsid w:val="00347B89"/>
    <w:rsid w:val="00347C54"/>
    <w:rsid w:val="00351E94"/>
    <w:rsid w:val="00352C25"/>
    <w:rsid w:val="00352FDC"/>
    <w:rsid w:val="0035359E"/>
    <w:rsid w:val="00353EA9"/>
    <w:rsid w:val="00354B5E"/>
    <w:rsid w:val="0035541B"/>
    <w:rsid w:val="003556E6"/>
    <w:rsid w:val="003569B1"/>
    <w:rsid w:val="00356AEC"/>
    <w:rsid w:val="00356E94"/>
    <w:rsid w:val="00360A6B"/>
    <w:rsid w:val="00360B64"/>
    <w:rsid w:val="00360DA8"/>
    <w:rsid w:val="0036162E"/>
    <w:rsid w:val="00361F7E"/>
    <w:rsid w:val="00362DC4"/>
    <w:rsid w:val="00362DFE"/>
    <w:rsid w:val="00363153"/>
    <w:rsid w:val="00363543"/>
    <w:rsid w:val="0036498B"/>
    <w:rsid w:val="00365977"/>
    <w:rsid w:val="003666CA"/>
    <w:rsid w:val="0036725E"/>
    <w:rsid w:val="003673CB"/>
    <w:rsid w:val="003700D0"/>
    <w:rsid w:val="003706C0"/>
    <w:rsid w:val="0037154A"/>
    <w:rsid w:val="00371EE4"/>
    <w:rsid w:val="0037244F"/>
    <w:rsid w:val="003726B6"/>
    <w:rsid w:val="00374B54"/>
    <w:rsid w:val="003754FE"/>
    <w:rsid w:val="00375B64"/>
    <w:rsid w:val="003760FB"/>
    <w:rsid w:val="003765F9"/>
    <w:rsid w:val="003779B3"/>
    <w:rsid w:val="00377B75"/>
    <w:rsid w:val="00377CFD"/>
    <w:rsid w:val="00381336"/>
    <w:rsid w:val="00381647"/>
    <w:rsid w:val="00382819"/>
    <w:rsid w:val="00382DA6"/>
    <w:rsid w:val="00384A8F"/>
    <w:rsid w:val="00384CD3"/>
    <w:rsid w:val="00385120"/>
    <w:rsid w:val="00385E91"/>
    <w:rsid w:val="0038678F"/>
    <w:rsid w:val="00386A85"/>
    <w:rsid w:val="00386D3B"/>
    <w:rsid w:val="0038766A"/>
    <w:rsid w:val="00387D0A"/>
    <w:rsid w:val="00390198"/>
    <w:rsid w:val="003907B6"/>
    <w:rsid w:val="00390932"/>
    <w:rsid w:val="00390BC4"/>
    <w:rsid w:val="00390CBD"/>
    <w:rsid w:val="00390E24"/>
    <w:rsid w:val="00391208"/>
    <w:rsid w:val="003914C8"/>
    <w:rsid w:val="00391C87"/>
    <w:rsid w:val="00391C8F"/>
    <w:rsid w:val="00391D68"/>
    <w:rsid w:val="00391FCD"/>
    <w:rsid w:val="00392221"/>
    <w:rsid w:val="00392C01"/>
    <w:rsid w:val="00393001"/>
    <w:rsid w:val="0039370B"/>
    <w:rsid w:val="00393791"/>
    <w:rsid w:val="003940EC"/>
    <w:rsid w:val="0039489F"/>
    <w:rsid w:val="00394A31"/>
    <w:rsid w:val="003950CC"/>
    <w:rsid w:val="00395B88"/>
    <w:rsid w:val="00396A94"/>
    <w:rsid w:val="00396C14"/>
    <w:rsid w:val="00396CC8"/>
    <w:rsid w:val="00397394"/>
    <w:rsid w:val="003A00AA"/>
    <w:rsid w:val="003A0572"/>
    <w:rsid w:val="003A088A"/>
    <w:rsid w:val="003A0A69"/>
    <w:rsid w:val="003A1B29"/>
    <w:rsid w:val="003A2476"/>
    <w:rsid w:val="003A2F24"/>
    <w:rsid w:val="003A3040"/>
    <w:rsid w:val="003A3732"/>
    <w:rsid w:val="003A4149"/>
    <w:rsid w:val="003A45A4"/>
    <w:rsid w:val="003A4E28"/>
    <w:rsid w:val="003A621E"/>
    <w:rsid w:val="003A62A6"/>
    <w:rsid w:val="003A6368"/>
    <w:rsid w:val="003A644E"/>
    <w:rsid w:val="003A6B22"/>
    <w:rsid w:val="003A7013"/>
    <w:rsid w:val="003A70BD"/>
    <w:rsid w:val="003A73E4"/>
    <w:rsid w:val="003A74D1"/>
    <w:rsid w:val="003A7FAE"/>
    <w:rsid w:val="003B0C7C"/>
    <w:rsid w:val="003B1901"/>
    <w:rsid w:val="003B1D0E"/>
    <w:rsid w:val="003B2050"/>
    <w:rsid w:val="003B24F9"/>
    <w:rsid w:val="003B307F"/>
    <w:rsid w:val="003B3741"/>
    <w:rsid w:val="003B3DBA"/>
    <w:rsid w:val="003B421B"/>
    <w:rsid w:val="003B435F"/>
    <w:rsid w:val="003B4524"/>
    <w:rsid w:val="003B4C5B"/>
    <w:rsid w:val="003B54D2"/>
    <w:rsid w:val="003B6FD0"/>
    <w:rsid w:val="003B729E"/>
    <w:rsid w:val="003B7B32"/>
    <w:rsid w:val="003C07A4"/>
    <w:rsid w:val="003C1458"/>
    <w:rsid w:val="003C14C6"/>
    <w:rsid w:val="003C1844"/>
    <w:rsid w:val="003C1A3B"/>
    <w:rsid w:val="003C1EAF"/>
    <w:rsid w:val="003C214F"/>
    <w:rsid w:val="003C2859"/>
    <w:rsid w:val="003C2DAF"/>
    <w:rsid w:val="003C2DF8"/>
    <w:rsid w:val="003C31DB"/>
    <w:rsid w:val="003C3C95"/>
    <w:rsid w:val="003C3FA9"/>
    <w:rsid w:val="003C41D4"/>
    <w:rsid w:val="003C45FD"/>
    <w:rsid w:val="003C4FD7"/>
    <w:rsid w:val="003C6479"/>
    <w:rsid w:val="003C68CC"/>
    <w:rsid w:val="003C6E19"/>
    <w:rsid w:val="003C77C1"/>
    <w:rsid w:val="003D25BB"/>
    <w:rsid w:val="003D2677"/>
    <w:rsid w:val="003D3772"/>
    <w:rsid w:val="003D3FC8"/>
    <w:rsid w:val="003D4144"/>
    <w:rsid w:val="003D4C5E"/>
    <w:rsid w:val="003D4CD6"/>
    <w:rsid w:val="003D4F9E"/>
    <w:rsid w:val="003D5585"/>
    <w:rsid w:val="003D58AB"/>
    <w:rsid w:val="003D592A"/>
    <w:rsid w:val="003D6129"/>
    <w:rsid w:val="003D6154"/>
    <w:rsid w:val="003D634C"/>
    <w:rsid w:val="003D67BB"/>
    <w:rsid w:val="003D7177"/>
    <w:rsid w:val="003D754C"/>
    <w:rsid w:val="003E0F18"/>
    <w:rsid w:val="003E13BC"/>
    <w:rsid w:val="003E1ABB"/>
    <w:rsid w:val="003E1E9C"/>
    <w:rsid w:val="003E27B9"/>
    <w:rsid w:val="003E2C56"/>
    <w:rsid w:val="003E2C75"/>
    <w:rsid w:val="003E2C8D"/>
    <w:rsid w:val="003E5F73"/>
    <w:rsid w:val="003E6E18"/>
    <w:rsid w:val="003E714C"/>
    <w:rsid w:val="003E7FDC"/>
    <w:rsid w:val="003F04EB"/>
    <w:rsid w:val="003F0C40"/>
    <w:rsid w:val="003F0DD2"/>
    <w:rsid w:val="003F11B2"/>
    <w:rsid w:val="003F11F5"/>
    <w:rsid w:val="003F126B"/>
    <w:rsid w:val="003F145D"/>
    <w:rsid w:val="003F31B9"/>
    <w:rsid w:val="003F593B"/>
    <w:rsid w:val="003F5E19"/>
    <w:rsid w:val="003F6430"/>
    <w:rsid w:val="003F73A0"/>
    <w:rsid w:val="003F76CE"/>
    <w:rsid w:val="004009C3"/>
    <w:rsid w:val="00400C32"/>
    <w:rsid w:val="00400F79"/>
    <w:rsid w:val="00401357"/>
    <w:rsid w:val="00401B0E"/>
    <w:rsid w:val="00401C3B"/>
    <w:rsid w:val="00401FDD"/>
    <w:rsid w:val="004021DB"/>
    <w:rsid w:val="0040236E"/>
    <w:rsid w:val="00402D8B"/>
    <w:rsid w:val="004030C0"/>
    <w:rsid w:val="00403B49"/>
    <w:rsid w:val="00403B86"/>
    <w:rsid w:val="00404A8E"/>
    <w:rsid w:val="00405653"/>
    <w:rsid w:val="00405690"/>
    <w:rsid w:val="004056C5"/>
    <w:rsid w:val="004061AF"/>
    <w:rsid w:val="00407199"/>
    <w:rsid w:val="00407E06"/>
    <w:rsid w:val="00410C96"/>
    <w:rsid w:val="00410F6B"/>
    <w:rsid w:val="00411056"/>
    <w:rsid w:val="00411348"/>
    <w:rsid w:val="00411A8D"/>
    <w:rsid w:val="00412099"/>
    <w:rsid w:val="00412263"/>
    <w:rsid w:val="0041263C"/>
    <w:rsid w:val="00412879"/>
    <w:rsid w:val="00412C5A"/>
    <w:rsid w:val="004130AB"/>
    <w:rsid w:val="0041331A"/>
    <w:rsid w:val="00413C39"/>
    <w:rsid w:val="00414149"/>
    <w:rsid w:val="004154BF"/>
    <w:rsid w:val="00415819"/>
    <w:rsid w:val="004158E9"/>
    <w:rsid w:val="00415B69"/>
    <w:rsid w:val="0041629D"/>
    <w:rsid w:val="00416C3D"/>
    <w:rsid w:val="004173BB"/>
    <w:rsid w:val="0042006A"/>
    <w:rsid w:val="00420187"/>
    <w:rsid w:val="004207C8"/>
    <w:rsid w:val="00420AC6"/>
    <w:rsid w:val="00420B6A"/>
    <w:rsid w:val="004212B7"/>
    <w:rsid w:val="00421920"/>
    <w:rsid w:val="00422089"/>
    <w:rsid w:val="0042221F"/>
    <w:rsid w:val="00422CB2"/>
    <w:rsid w:val="00423307"/>
    <w:rsid w:val="0042594B"/>
    <w:rsid w:val="00425DAE"/>
    <w:rsid w:val="00426CC0"/>
    <w:rsid w:val="0042719A"/>
    <w:rsid w:val="00427AD9"/>
    <w:rsid w:val="00427CB3"/>
    <w:rsid w:val="00430244"/>
    <w:rsid w:val="004304C0"/>
    <w:rsid w:val="00430A00"/>
    <w:rsid w:val="00431A4F"/>
    <w:rsid w:val="00431BA8"/>
    <w:rsid w:val="004323D7"/>
    <w:rsid w:val="00432BFC"/>
    <w:rsid w:val="00432C4A"/>
    <w:rsid w:val="00433417"/>
    <w:rsid w:val="0043390D"/>
    <w:rsid w:val="0043425A"/>
    <w:rsid w:val="0043488D"/>
    <w:rsid w:val="00435AF3"/>
    <w:rsid w:val="00437292"/>
    <w:rsid w:val="004378A4"/>
    <w:rsid w:val="00440E92"/>
    <w:rsid w:val="004413E4"/>
    <w:rsid w:val="00442010"/>
    <w:rsid w:val="00442800"/>
    <w:rsid w:val="00442857"/>
    <w:rsid w:val="004434FE"/>
    <w:rsid w:val="00443571"/>
    <w:rsid w:val="0044402B"/>
    <w:rsid w:val="00444561"/>
    <w:rsid w:val="00444D8F"/>
    <w:rsid w:val="00445236"/>
    <w:rsid w:val="004455F7"/>
    <w:rsid w:val="00445A56"/>
    <w:rsid w:val="00445C1E"/>
    <w:rsid w:val="00445D3B"/>
    <w:rsid w:val="00446BCB"/>
    <w:rsid w:val="00446BE0"/>
    <w:rsid w:val="00446E1F"/>
    <w:rsid w:val="00447268"/>
    <w:rsid w:val="00447769"/>
    <w:rsid w:val="00447990"/>
    <w:rsid w:val="00450065"/>
    <w:rsid w:val="00452C35"/>
    <w:rsid w:val="00453D37"/>
    <w:rsid w:val="004540A8"/>
    <w:rsid w:val="004548FA"/>
    <w:rsid w:val="004552E2"/>
    <w:rsid w:val="004558F8"/>
    <w:rsid w:val="00455CB4"/>
    <w:rsid w:val="00456220"/>
    <w:rsid w:val="004564B5"/>
    <w:rsid w:val="0045676A"/>
    <w:rsid w:val="00456C38"/>
    <w:rsid w:val="00457F16"/>
    <w:rsid w:val="00460059"/>
    <w:rsid w:val="00460108"/>
    <w:rsid w:val="00460EFC"/>
    <w:rsid w:val="00461532"/>
    <w:rsid w:val="0046172A"/>
    <w:rsid w:val="004617BC"/>
    <w:rsid w:val="00461A54"/>
    <w:rsid w:val="004620E2"/>
    <w:rsid w:val="00462932"/>
    <w:rsid w:val="00462E4F"/>
    <w:rsid w:val="00462F8E"/>
    <w:rsid w:val="00463246"/>
    <w:rsid w:val="00463B39"/>
    <w:rsid w:val="0046486B"/>
    <w:rsid w:val="00465258"/>
    <w:rsid w:val="00465DDA"/>
    <w:rsid w:val="00465F72"/>
    <w:rsid w:val="00466358"/>
    <w:rsid w:val="00466773"/>
    <w:rsid w:val="00466A64"/>
    <w:rsid w:val="00470499"/>
    <w:rsid w:val="00470A44"/>
    <w:rsid w:val="0047121C"/>
    <w:rsid w:val="00471812"/>
    <w:rsid w:val="0047365E"/>
    <w:rsid w:val="0047585D"/>
    <w:rsid w:val="0048005C"/>
    <w:rsid w:val="004809F3"/>
    <w:rsid w:val="00481982"/>
    <w:rsid w:val="00481FF0"/>
    <w:rsid w:val="004821C8"/>
    <w:rsid w:val="00483252"/>
    <w:rsid w:val="004833DE"/>
    <w:rsid w:val="00483D9C"/>
    <w:rsid w:val="00484105"/>
    <w:rsid w:val="00484273"/>
    <w:rsid w:val="004853A3"/>
    <w:rsid w:val="00485733"/>
    <w:rsid w:val="0048791F"/>
    <w:rsid w:val="00490356"/>
    <w:rsid w:val="00490464"/>
    <w:rsid w:val="0049052A"/>
    <w:rsid w:val="0049170E"/>
    <w:rsid w:val="00491873"/>
    <w:rsid w:val="00491ABF"/>
    <w:rsid w:val="00492A59"/>
    <w:rsid w:val="00492D18"/>
    <w:rsid w:val="0049419D"/>
    <w:rsid w:val="004949C1"/>
    <w:rsid w:val="00494B7E"/>
    <w:rsid w:val="00494EFD"/>
    <w:rsid w:val="00495271"/>
    <w:rsid w:val="00495645"/>
    <w:rsid w:val="004956E8"/>
    <w:rsid w:val="004959E8"/>
    <w:rsid w:val="00495AB9"/>
    <w:rsid w:val="00495AE1"/>
    <w:rsid w:val="00496F55"/>
    <w:rsid w:val="00497E5D"/>
    <w:rsid w:val="00497F08"/>
    <w:rsid w:val="004A0004"/>
    <w:rsid w:val="004A0461"/>
    <w:rsid w:val="004A097B"/>
    <w:rsid w:val="004A0BF7"/>
    <w:rsid w:val="004A0C99"/>
    <w:rsid w:val="004A1048"/>
    <w:rsid w:val="004A16A1"/>
    <w:rsid w:val="004A1D04"/>
    <w:rsid w:val="004A21AC"/>
    <w:rsid w:val="004A226D"/>
    <w:rsid w:val="004A25D8"/>
    <w:rsid w:val="004A28FC"/>
    <w:rsid w:val="004A4149"/>
    <w:rsid w:val="004A498F"/>
    <w:rsid w:val="004A4CAE"/>
    <w:rsid w:val="004A56FA"/>
    <w:rsid w:val="004A5BED"/>
    <w:rsid w:val="004A66BB"/>
    <w:rsid w:val="004A739A"/>
    <w:rsid w:val="004A7461"/>
    <w:rsid w:val="004A75AE"/>
    <w:rsid w:val="004A7C9E"/>
    <w:rsid w:val="004B0438"/>
    <w:rsid w:val="004B08D0"/>
    <w:rsid w:val="004B0914"/>
    <w:rsid w:val="004B0E19"/>
    <w:rsid w:val="004B0F1C"/>
    <w:rsid w:val="004B126D"/>
    <w:rsid w:val="004B191F"/>
    <w:rsid w:val="004B278C"/>
    <w:rsid w:val="004B4CB7"/>
    <w:rsid w:val="004B5718"/>
    <w:rsid w:val="004B57BC"/>
    <w:rsid w:val="004B66EE"/>
    <w:rsid w:val="004B6864"/>
    <w:rsid w:val="004B68DD"/>
    <w:rsid w:val="004B7514"/>
    <w:rsid w:val="004B7E0C"/>
    <w:rsid w:val="004C0B5C"/>
    <w:rsid w:val="004C1DCD"/>
    <w:rsid w:val="004C2E00"/>
    <w:rsid w:val="004C333B"/>
    <w:rsid w:val="004C3554"/>
    <w:rsid w:val="004C3F3A"/>
    <w:rsid w:val="004C409B"/>
    <w:rsid w:val="004C5450"/>
    <w:rsid w:val="004C56F6"/>
    <w:rsid w:val="004C6BFD"/>
    <w:rsid w:val="004C72AE"/>
    <w:rsid w:val="004C7994"/>
    <w:rsid w:val="004C7A6B"/>
    <w:rsid w:val="004C7B01"/>
    <w:rsid w:val="004C7D81"/>
    <w:rsid w:val="004D090A"/>
    <w:rsid w:val="004D0B7D"/>
    <w:rsid w:val="004D1732"/>
    <w:rsid w:val="004D1951"/>
    <w:rsid w:val="004D1A78"/>
    <w:rsid w:val="004D1F09"/>
    <w:rsid w:val="004D2846"/>
    <w:rsid w:val="004D2EA2"/>
    <w:rsid w:val="004D34FB"/>
    <w:rsid w:val="004D4FED"/>
    <w:rsid w:val="004D5C3A"/>
    <w:rsid w:val="004D694B"/>
    <w:rsid w:val="004D6FFA"/>
    <w:rsid w:val="004D7B64"/>
    <w:rsid w:val="004D7C37"/>
    <w:rsid w:val="004E0099"/>
    <w:rsid w:val="004E1677"/>
    <w:rsid w:val="004E16B4"/>
    <w:rsid w:val="004E3947"/>
    <w:rsid w:val="004E3EF8"/>
    <w:rsid w:val="004E3FF9"/>
    <w:rsid w:val="004E4826"/>
    <w:rsid w:val="004E4C57"/>
    <w:rsid w:val="004E50E9"/>
    <w:rsid w:val="004E5441"/>
    <w:rsid w:val="004E7103"/>
    <w:rsid w:val="004E73F9"/>
    <w:rsid w:val="004E7E3C"/>
    <w:rsid w:val="004F0178"/>
    <w:rsid w:val="004F0C98"/>
    <w:rsid w:val="004F214C"/>
    <w:rsid w:val="004F2BD3"/>
    <w:rsid w:val="004F33D5"/>
    <w:rsid w:val="004F3896"/>
    <w:rsid w:val="004F3C0E"/>
    <w:rsid w:val="004F4455"/>
    <w:rsid w:val="004F47BE"/>
    <w:rsid w:val="004F5072"/>
    <w:rsid w:val="004F58C4"/>
    <w:rsid w:val="004F6102"/>
    <w:rsid w:val="004F659D"/>
    <w:rsid w:val="004F6AAE"/>
    <w:rsid w:val="004F6F02"/>
    <w:rsid w:val="004F7778"/>
    <w:rsid w:val="004F7C9F"/>
    <w:rsid w:val="00501392"/>
    <w:rsid w:val="00502BB8"/>
    <w:rsid w:val="00502DA8"/>
    <w:rsid w:val="00503230"/>
    <w:rsid w:val="0050516E"/>
    <w:rsid w:val="005063A2"/>
    <w:rsid w:val="00507336"/>
    <w:rsid w:val="005108B1"/>
    <w:rsid w:val="0051154D"/>
    <w:rsid w:val="00511DEF"/>
    <w:rsid w:val="00512583"/>
    <w:rsid w:val="00512872"/>
    <w:rsid w:val="00512C01"/>
    <w:rsid w:val="00513753"/>
    <w:rsid w:val="00514D5E"/>
    <w:rsid w:val="0051601D"/>
    <w:rsid w:val="005168D6"/>
    <w:rsid w:val="0051785F"/>
    <w:rsid w:val="00517C2E"/>
    <w:rsid w:val="00517DDC"/>
    <w:rsid w:val="005207C8"/>
    <w:rsid w:val="00520AB6"/>
    <w:rsid w:val="00520C4C"/>
    <w:rsid w:val="00520E85"/>
    <w:rsid w:val="00520FFB"/>
    <w:rsid w:val="00521B90"/>
    <w:rsid w:val="00521CBC"/>
    <w:rsid w:val="00522242"/>
    <w:rsid w:val="005228E8"/>
    <w:rsid w:val="0052292A"/>
    <w:rsid w:val="00523C7E"/>
    <w:rsid w:val="0052429C"/>
    <w:rsid w:val="00524448"/>
    <w:rsid w:val="00524ACD"/>
    <w:rsid w:val="00524B18"/>
    <w:rsid w:val="00524FC2"/>
    <w:rsid w:val="00525EC2"/>
    <w:rsid w:val="00526F56"/>
    <w:rsid w:val="00527234"/>
    <w:rsid w:val="00527320"/>
    <w:rsid w:val="005273EA"/>
    <w:rsid w:val="00527613"/>
    <w:rsid w:val="0053041B"/>
    <w:rsid w:val="00531BBD"/>
    <w:rsid w:val="005326D8"/>
    <w:rsid w:val="005330D5"/>
    <w:rsid w:val="0053385F"/>
    <w:rsid w:val="00533D57"/>
    <w:rsid w:val="00534C97"/>
    <w:rsid w:val="00534EBD"/>
    <w:rsid w:val="005355B3"/>
    <w:rsid w:val="00537473"/>
    <w:rsid w:val="0053774B"/>
    <w:rsid w:val="00537D82"/>
    <w:rsid w:val="00540BE6"/>
    <w:rsid w:val="0054187D"/>
    <w:rsid w:val="00541E5A"/>
    <w:rsid w:val="00542455"/>
    <w:rsid w:val="00542F2B"/>
    <w:rsid w:val="00543E2D"/>
    <w:rsid w:val="00543F29"/>
    <w:rsid w:val="005441B1"/>
    <w:rsid w:val="005442CF"/>
    <w:rsid w:val="005445DD"/>
    <w:rsid w:val="00546197"/>
    <w:rsid w:val="00550B4F"/>
    <w:rsid w:val="0055166B"/>
    <w:rsid w:val="0055187E"/>
    <w:rsid w:val="005523EE"/>
    <w:rsid w:val="00552695"/>
    <w:rsid w:val="005528F4"/>
    <w:rsid w:val="00552F65"/>
    <w:rsid w:val="00552F73"/>
    <w:rsid w:val="0055303A"/>
    <w:rsid w:val="00553661"/>
    <w:rsid w:val="005539D5"/>
    <w:rsid w:val="005546D8"/>
    <w:rsid w:val="00554D3A"/>
    <w:rsid w:val="005552C4"/>
    <w:rsid w:val="005555BA"/>
    <w:rsid w:val="0055563B"/>
    <w:rsid w:val="005557E1"/>
    <w:rsid w:val="00557D09"/>
    <w:rsid w:val="0056020B"/>
    <w:rsid w:val="005606EA"/>
    <w:rsid w:val="00560B45"/>
    <w:rsid w:val="0056166C"/>
    <w:rsid w:val="0056186D"/>
    <w:rsid w:val="005627FC"/>
    <w:rsid w:val="0056330C"/>
    <w:rsid w:val="005640BB"/>
    <w:rsid w:val="0056450C"/>
    <w:rsid w:val="00564DD9"/>
    <w:rsid w:val="00564F71"/>
    <w:rsid w:val="0056530E"/>
    <w:rsid w:val="00565783"/>
    <w:rsid w:val="00565BD4"/>
    <w:rsid w:val="00570E91"/>
    <w:rsid w:val="005713F4"/>
    <w:rsid w:val="00571677"/>
    <w:rsid w:val="00572290"/>
    <w:rsid w:val="0057278D"/>
    <w:rsid w:val="00574BE7"/>
    <w:rsid w:val="00575485"/>
    <w:rsid w:val="00577101"/>
    <w:rsid w:val="0058050D"/>
    <w:rsid w:val="005805B2"/>
    <w:rsid w:val="00580668"/>
    <w:rsid w:val="00580C6E"/>
    <w:rsid w:val="00581873"/>
    <w:rsid w:val="00582467"/>
    <w:rsid w:val="00583316"/>
    <w:rsid w:val="0058367F"/>
    <w:rsid w:val="0058369A"/>
    <w:rsid w:val="00583CC2"/>
    <w:rsid w:val="0058439B"/>
    <w:rsid w:val="005844D8"/>
    <w:rsid w:val="00584A4F"/>
    <w:rsid w:val="00584FE8"/>
    <w:rsid w:val="00585EF7"/>
    <w:rsid w:val="0058635D"/>
    <w:rsid w:val="00586661"/>
    <w:rsid w:val="005875DB"/>
    <w:rsid w:val="0059008F"/>
    <w:rsid w:val="005900E0"/>
    <w:rsid w:val="00590573"/>
    <w:rsid w:val="005909B8"/>
    <w:rsid w:val="00590DA2"/>
    <w:rsid w:val="005918D8"/>
    <w:rsid w:val="005924A4"/>
    <w:rsid w:val="00594C90"/>
    <w:rsid w:val="005961D9"/>
    <w:rsid w:val="0059725E"/>
    <w:rsid w:val="0059778A"/>
    <w:rsid w:val="00597BFC"/>
    <w:rsid w:val="00597D9A"/>
    <w:rsid w:val="005A07F0"/>
    <w:rsid w:val="005A0C7A"/>
    <w:rsid w:val="005A0CBA"/>
    <w:rsid w:val="005A2336"/>
    <w:rsid w:val="005A2CB6"/>
    <w:rsid w:val="005A31B0"/>
    <w:rsid w:val="005A32DA"/>
    <w:rsid w:val="005A4584"/>
    <w:rsid w:val="005A61C6"/>
    <w:rsid w:val="005A6A47"/>
    <w:rsid w:val="005A708B"/>
    <w:rsid w:val="005A7379"/>
    <w:rsid w:val="005B010D"/>
    <w:rsid w:val="005B02C2"/>
    <w:rsid w:val="005B08F1"/>
    <w:rsid w:val="005B185C"/>
    <w:rsid w:val="005B291A"/>
    <w:rsid w:val="005B2933"/>
    <w:rsid w:val="005B3B08"/>
    <w:rsid w:val="005B5495"/>
    <w:rsid w:val="005B5DD7"/>
    <w:rsid w:val="005B5EAF"/>
    <w:rsid w:val="005B7271"/>
    <w:rsid w:val="005B7AEB"/>
    <w:rsid w:val="005C060D"/>
    <w:rsid w:val="005C0646"/>
    <w:rsid w:val="005C1191"/>
    <w:rsid w:val="005C1548"/>
    <w:rsid w:val="005C17BB"/>
    <w:rsid w:val="005C184A"/>
    <w:rsid w:val="005C21C2"/>
    <w:rsid w:val="005C2BD7"/>
    <w:rsid w:val="005C2E67"/>
    <w:rsid w:val="005C34ED"/>
    <w:rsid w:val="005C3DB5"/>
    <w:rsid w:val="005C4F69"/>
    <w:rsid w:val="005C5140"/>
    <w:rsid w:val="005C5664"/>
    <w:rsid w:val="005C5B02"/>
    <w:rsid w:val="005C5D7B"/>
    <w:rsid w:val="005C64B1"/>
    <w:rsid w:val="005C759D"/>
    <w:rsid w:val="005C7ABD"/>
    <w:rsid w:val="005C7D44"/>
    <w:rsid w:val="005D00FB"/>
    <w:rsid w:val="005D02C7"/>
    <w:rsid w:val="005D052E"/>
    <w:rsid w:val="005D05CC"/>
    <w:rsid w:val="005D2097"/>
    <w:rsid w:val="005D25F7"/>
    <w:rsid w:val="005D28A6"/>
    <w:rsid w:val="005D2982"/>
    <w:rsid w:val="005D395A"/>
    <w:rsid w:val="005D472B"/>
    <w:rsid w:val="005D4D84"/>
    <w:rsid w:val="005D55F9"/>
    <w:rsid w:val="005D5FF8"/>
    <w:rsid w:val="005D603E"/>
    <w:rsid w:val="005D6C8C"/>
    <w:rsid w:val="005D6E07"/>
    <w:rsid w:val="005D7682"/>
    <w:rsid w:val="005D7BA9"/>
    <w:rsid w:val="005E0DDC"/>
    <w:rsid w:val="005E1281"/>
    <w:rsid w:val="005E16D4"/>
    <w:rsid w:val="005E17EF"/>
    <w:rsid w:val="005E211D"/>
    <w:rsid w:val="005E212A"/>
    <w:rsid w:val="005E34BC"/>
    <w:rsid w:val="005E37D6"/>
    <w:rsid w:val="005E4554"/>
    <w:rsid w:val="005E5351"/>
    <w:rsid w:val="005E53DC"/>
    <w:rsid w:val="005E5626"/>
    <w:rsid w:val="005E566F"/>
    <w:rsid w:val="005E5AC4"/>
    <w:rsid w:val="005E6EE1"/>
    <w:rsid w:val="005E778E"/>
    <w:rsid w:val="005F0A94"/>
    <w:rsid w:val="005F0DC0"/>
    <w:rsid w:val="005F0E61"/>
    <w:rsid w:val="005F21ED"/>
    <w:rsid w:val="005F2CD2"/>
    <w:rsid w:val="005F3222"/>
    <w:rsid w:val="005F3FD3"/>
    <w:rsid w:val="005F4590"/>
    <w:rsid w:val="005F4965"/>
    <w:rsid w:val="005F50BA"/>
    <w:rsid w:val="005F5C86"/>
    <w:rsid w:val="005F5F1E"/>
    <w:rsid w:val="005F7800"/>
    <w:rsid w:val="005F7916"/>
    <w:rsid w:val="00600B4D"/>
    <w:rsid w:val="00600C0E"/>
    <w:rsid w:val="00600C15"/>
    <w:rsid w:val="00600F0B"/>
    <w:rsid w:val="00600F57"/>
    <w:rsid w:val="00600F86"/>
    <w:rsid w:val="0060182A"/>
    <w:rsid w:val="00602332"/>
    <w:rsid w:val="0060321A"/>
    <w:rsid w:val="00603D74"/>
    <w:rsid w:val="006041C5"/>
    <w:rsid w:val="00605025"/>
    <w:rsid w:val="0060588A"/>
    <w:rsid w:val="00605F5A"/>
    <w:rsid w:val="00606117"/>
    <w:rsid w:val="00607381"/>
    <w:rsid w:val="00607FC5"/>
    <w:rsid w:val="0061044F"/>
    <w:rsid w:val="0061102F"/>
    <w:rsid w:val="00611163"/>
    <w:rsid w:val="006115A8"/>
    <w:rsid w:val="00611708"/>
    <w:rsid w:val="0061203B"/>
    <w:rsid w:val="006123D0"/>
    <w:rsid w:val="00612D8F"/>
    <w:rsid w:val="00612F58"/>
    <w:rsid w:val="006130F3"/>
    <w:rsid w:val="0061355B"/>
    <w:rsid w:val="006138D4"/>
    <w:rsid w:val="00614050"/>
    <w:rsid w:val="00614E3D"/>
    <w:rsid w:val="0061512B"/>
    <w:rsid w:val="006155F3"/>
    <w:rsid w:val="00615C29"/>
    <w:rsid w:val="006163AD"/>
    <w:rsid w:val="00616BC0"/>
    <w:rsid w:val="0061703D"/>
    <w:rsid w:val="00617D86"/>
    <w:rsid w:val="00621122"/>
    <w:rsid w:val="006211FC"/>
    <w:rsid w:val="006212C5"/>
    <w:rsid w:val="00622BB7"/>
    <w:rsid w:val="006243EB"/>
    <w:rsid w:val="00624EDD"/>
    <w:rsid w:val="00624FDB"/>
    <w:rsid w:val="0062568D"/>
    <w:rsid w:val="00625A49"/>
    <w:rsid w:val="00625BD7"/>
    <w:rsid w:val="00625E5C"/>
    <w:rsid w:val="00625F28"/>
    <w:rsid w:val="006260C8"/>
    <w:rsid w:val="0062670A"/>
    <w:rsid w:val="0062758E"/>
    <w:rsid w:val="00627814"/>
    <w:rsid w:val="006306D3"/>
    <w:rsid w:val="00632252"/>
    <w:rsid w:val="00634BEB"/>
    <w:rsid w:val="00637562"/>
    <w:rsid w:val="00637B61"/>
    <w:rsid w:val="0064054B"/>
    <w:rsid w:val="00641598"/>
    <w:rsid w:val="006418F8"/>
    <w:rsid w:val="006422B5"/>
    <w:rsid w:val="0064242A"/>
    <w:rsid w:val="00642AB6"/>
    <w:rsid w:val="00642B66"/>
    <w:rsid w:val="00643D14"/>
    <w:rsid w:val="006448A9"/>
    <w:rsid w:val="00644B4B"/>
    <w:rsid w:val="00645260"/>
    <w:rsid w:val="006459DE"/>
    <w:rsid w:val="0064647B"/>
    <w:rsid w:val="00646849"/>
    <w:rsid w:val="00646A02"/>
    <w:rsid w:val="00650140"/>
    <w:rsid w:val="00650381"/>
    <w:rsid w:val="0065057F"/>
    <w:rsid w:val="00650E09"/>
    <w:rsid w:val="00651861"/>
    <w:rsid w:val="00651FD9"/>
    <w:rsid w:val="0065207C"/>
    <w:rsid w:val="00652986"/>
    <w:rsid w:val="00653E36"/>
    <w:rsid w:val="0065465C"/>
    <w:rsid w:val="00654CC8"/>
    <w:rsid w:val="00654CD9"/>
    <w:rsid w:val="00655E31"/>
    <w:rsid w:val="00656419"/>
    <w:rsid w:val="006564FA"/>
    <w:rsid w:val="00656E7D"/>
    <w:rsid w:val="00657D3E"/>
    <w:rsid w:val="00657D6B"/>
    <w:rsid w:val="00660033"/>
    <w:rsid w:val="00660573"/>
    <w:rsid w:val="006609EC"/>
    <w:rsid w:val="006610F8"/>
    <w:rsid w:val="00661557"/>
    <w:rsid w:val="00661A25"/>
    <w:rsid w:val="00661B4A"/>
    <w:rsid w:val="006620F5"/>
    <w:rsid w:val="00662C97"/>
    <w:rsid w:val="006634B0"/>
    <w:rsid w:val="0066359C"/>
    <w:rsid w:val="006635C7"/>
    <w:rsid w:val="006636BD"/>
    <w:rsid w:val="0066479A"/>
    <w:rsid w:val="00664F19"/>
    <w:rsid w:val="0066532E"/>
    <w:rsid w:val="006667AC"/>
    <w:rsid w:val="006677B7"/>
    <w:rsid w:val="00667C76"/>
    <w:rsid w:val="006700DF"/>
    <w:rsid w:val="0067014A"/>
    <w:rsid w:val="00670893"/>
    <w:rsid w:val="00670DAA"/>
    <w:rsid w:val="0067228E"/>
    <w:rsid w:val="006738A1"/>
    <w:rsid w:val="00675060"/>
    <w:rsid w:val="00675160"/>
    <w:rsid w:val="006753F2"/>
    <w:rsid w:val="00675F29"/>
    <w:rsid w:val="00675F41"/>
    <w:rsid w:val="00676188"/>
    <w:rsid w:val="00676D6B"/>
    <w:rsid w:val="00677556"/>
    <w:rsid w:val="00680069"/>
    <w:rsid w:val="00680422"/>
    <w:rsid w:val="00680D19"/>
    <w:rsid w:val="0068225B"/>
    <w:rsid w:val="00682504"/>
    <w:rsid w:val="00682A54"/>
    <w:rsid w:val="00682DFE"/>
    <w:rsid w:val="00683320"/>
    <w:rsid w:val="00683BD2"/>
    <w:rsid w:val="00683BDD"/>
    <w:rsid w:val="00684FFE"/>
    <w:rsid w:val="006851B3"/>
    <w:rsid w:val="006851C6"/>
    <w:rsid w:val="00685C4F"/>
    <w:rsid w:val="006861CF"/>
    <w:rsid w:val="00686AAF"/>
    <w:rsid w:val="006878D3"/>
    <w:rsid w:val="00687916"/>
    <w:rsid w:val="00690A3B"/>
    <w:rsid w:val="006915FB"/>
    <w:rsid w:val="00691CA8"/>
    <w:rsid w:val="00691FAE"/>
    <w:rsid w:val="00692608"/>
    <w:rsid w:val="00692D3B"/>
    <w:rsid w:val="006933F0"/>
    <w:rsid w:val="00695342"/>
    <w:rsid w:val="006955AE"/>
    <w:rsid w:val="006955B1"/>
    <w:rsid w:val="006960B4"/>
    <w:rsid w:val="006963C2"/>
    <w:rsid w:val="00697267"/>
    <w:rsid w:val="006A0807"/>
    <w:rsid w:val="006A0B86"/>
    <w:rsid w:val="006A12F4"/>
    <w:rsid w:val="006A1730"/>
    <w:rsid w:val="006A1D6E"/>
    <w:rsid w:val="006A1E52"/>
    <w:rsid w:val="006A22E5"/>
    <w:rsid w:val="006A24DE"/>
    <w:rsid w:val="006A28D2"/>
    <w:rsid w:val="006A2E49"/>
    <w:rsid w:val="006A3353"/>
    <w:rsid w:val="006A3556"/>
    <w:rsid w:val="006A367B"/>
    <w:rsid w:val="006A4C33"/>
    <w:rsid w:val="006A4EBE"/>
    <w:rsid w:val="006A5821"/>
    <w:rsid w:val="006A5A86"/>
    <w:rsid w:val="006A6097"/>
    <w:rsid w:val="006A6286"/>
    <w:rsid w:val="006A69FF"/>
    <w:rsid w:val="006A6D5B"/>
    <w:rsid w:val="006A705C"/>
    <w:rsid w:val="006A72B5"/>
    <w:rsid w:val="006A7A64"/>
    <w:rsid w:val="006B003C"/>
    <w:rsid w:val="006B196A"/>
    <w:rsid w:val="006B21B1"/>
    <w:rsid w:val="006B239D"/>
    <w:rsid w:val="006B23BE"/>
    <w:rsid w:val="006B24CC"/>
    <w:rsid w:val="006B4014"/>
    <w:rsid w:val="006B4092"/>
    <w:rsid w:val="006B4957"/>
    <w:rsid w:val="006B4E4A"/>
    <w:rsid w:val="006B5375"/>
    <w:rsid w:val="006B537D"/>
    <w:rsid w:val="006B6B60"/>
    <w:rsid w:val="006B75D7"/>
    <w:rsid w:val="006B7A5E"/>
    <w:rsid w:val="006C07E4"/>
    <w:rsid w:val="006C22B4"/>
    <w:rsid w:val="006C3285"/>
    <w:rsid w:val="006C3A11"/>
    <w:rsid w:val="006C43B2"/>
    <w:rsid w:val="006C4491"/>
    <w:rsid w:val="006C4EF3"/>
    <w:rsid w:val="006C528A"/>
    <w:rsid w:val="006C5776"/>
    <w:rsid w:val="006C6968"/>
    <w:rsid w:val="006C77A4"/>
    <w:rsid w:val="006C78B9"/>
    <w:rsid w:val="006C7B86"/>
    <w:rsid w:val="006C7C13"/>
    <w:rsid w:val="006D01A6"/>
    <w:rsid w:val="006D05FD"/>
    <w:rsid w:val="006D10EB"/>
    <w:rsid w:val="006D1AAD"/>
    <w:rsid w:val="006D1BBF"/>
    <w:rsid w:val="006D1E91"/>
    <w:rsid w:val="006D21A7"/>
    <w:rsid w:val="006D2365"/>
    <w:rsid w:val="006D3022"/>
    <w:rsid w:val="006D4534"/>
    <w:rsid w:val="006D4B99"/>
    <w:rsid w:val="006D54AA"/>
    <w:rsid w:val="006D631F"/>
    <w:rsid w:val="006D654C"/>
    <w:rsid w:val="006D68AB"/>
    <w:rsid w:val="006D691C"/>
    <w:rsid w:val="006D6BF8"/>
    <w:rsid w:val="006D6D9A"/>
    <w:rsid w:val="006D744B"/>
    <w:rsid w:val="006D7CBC"/>
    <w:rsid w:val="006E0020"/>
    <w:rsid w:val="006E029B"/>
    <w:rsid w:val="006E0592"/>
    <w:rsid w:val="006E0A80"/>
    <w:rsid w:val="006E0CE6"/>
    <w:rsid w:val="006E37AF"/>
    <w:rsid w:val="006E42AD"/>
    <w:rsid w:val="006E538E"/>
    <w:rsid w:val="006E54D3"/>
    <w:rsid w:val="006E70BF"/>
    <w:rsid w:val="006E7258"/>
    <w:rsid w:val="006E7343"/>
    <w:rsid w:val="006E7B0E"/>
    <w:rsid w:val="006F04C4"/>
    <w:rsid w:val="006F0F66"/>
    <w:rsid w:val="006F1BD0"/>
    <w:rsid w:val="006F1DD2"/>
    <w:rsid w:val="006F1DEF"/>
    <w:rsid w:val="006F23F5"/>
    <w:rsid w:val="006F2A27"/>
    <w:rsid w:val="006F3AA6"/>
    <w:rsid w:val="006F45FF"/>
    <w:rsid w:val="006F474C"/>
    <w:rsid w:val="006F4E1B"/>
    <w:rsid w:val="006F5156"/>
    <w:rsid w:val="006F525B"/>
    <w:rsid w:val="006F58CF"/>
    <w:rsid w:val="006F5A5E"/>
    <w:rsid w:val="006F684F"/>
    <w:rsid w:val="006F6CE8"/>
    <w:rsid w:val="006F70E4"/>
    <w:rsid w:val="006F7A15"/>
    <w:rsid w:val="006F7A5B"/>
    <w:rsid w:val="006F7BB2"/>
    <w:rsid w:val="006F7EB1"/>
    <w:rsid w:val="0070000C"/>
    <w:rsid w:val="00702A90"/>
    <w:rsid w:val="00703329"/>
    <w:rsid w:val="00704424"/>
    <w:rsid w:val="007048EE"/>
    <w:rsid w:val="007055BA"/>
    <w:rsid w:val="00705950"/>
    <w:rsid w:val="00705BA9"/>
    <w:rsid w:val="00705D95"/>
    <w:rsid w:val="00705DE7"/>
    <w:rsid w:val="00706921"/>
    <w:rsid w:val="00706A18"/>
    <w:rsid w:val="00706BF8"/>
    <w:rsid w:val="0070750E"/>
    <w:rsid w:val="00707A2D"/>
    <w:rsid w:val="007113A1"/>
    <w:rsid w:val="00711820"/>
    <w:rsid w:val="007119E4"/>
    <w:rsid w:val="00711A68"/>
    <w:rsid w:val="00711CFF"/>
    <w:rsid w:val="0071296A"/>
    <w:rsid w:val="007129DC"/>
    <w:rsid w:val="00712C62"/>
    <w:rsid w:val="00712F38"/>
    <w:rsid w:val="00713C8C"/>
    <w:rsid w:val="007149FF"/>
    <w:rsid w:val="00714CB2"/>
    <w:rsid w:val="00714F14"/>
    <w:rsid w:val="007151EB"/>
    <w:rsid w:val="00715A4B"/>
    <w:rsid w:val="00715EB4"/>
    <w:rsid w:val="00716B62"/>
    <w:rsid w:val="007171F9"/>
    <w:rsid w:val="007200E6"/>
    <w:rsid w:val="007203C3"/>
    <w:rsid w:val="00720860"/>
    <w:rsid w:val="00720D74"/>
    <w:rsid w:val="00720F00"/>
    <w:rsid w:val="00721387"/>
    <w:rsid w:val="007216B7"/>
    <w:rsid w:val="00721FC9"/>
    <w:rsid w:val="00722283"/>
    <w:rsid w:val="00722EC3"/>
    <w:rsid w:val="00723BC2"/>
    <w:rsid w:val="00724992"/>
    <w:rsid w:val="00724E16"/>
    <w:rsid w:val="0072601B"/>
    <w:rsid w:val="00727954"/>
    <w:rsid w:val="00727E9B"/>
    <w:rsid w:val="00730858"/>
    <w:rsid w:val="00730BFE"/>
    <w:rsid w:val="00731463"/>
    <w:rsid w:val="00731985"/>
    <w:rsid w:val="00732861"/>
    <w:rsid w:val="007331A1"/>
    <w:rsid w:val="00733203"/>
    <w:rsid w:val="00734437"/>
    <w:rsid w:val="00735BAF"/>
    <w:rsid w:val="00735CCC"/>
    <w:rsid w:val="00735FAA"/>
    <w:rsid w:val="0073607B"/>
    <w:rsid w:val="00736128"/>
    <w:rsid w:val="00740520"/>
    <w:rsid w:val="007406FB"/>
    <w:rsid w:val="007408EB"/>
    <w:rsid w:val="007413EA"/>
    <w:rsid w:val="007414C2"/>
    <w:rsid w:val="00741620"/>
    <w:rsid w:val="0074166A"/>
    <w:rsid w:val="00742495"/>
    <w:rsid w:val="00742BBD"/>
    <w:rsid w:val="007445BC"/>
    <w:rsid w:val="00744818"/>
    <w:rsid w:val="00745006"/>
    <w:rsid w:val="007454E1"/>
    <w:rsid w:val="007454E4"/>
    <w:rsid w:val="00747A51"/>
    <w:rsid w:val="0075000A"/>
    <w:rsid w:val="00750400"/>
    <w:rsid w:val="007509AC"/>
    <w:rsid w:val="00751ECB"/>
    <w:rsid w:val="00751F0D"/>
    <w:rsid w:val="00752B52"/>
    <w:rsid w:val="007535A3"/>
    <w:rsid w:val="0075363B"/>
    <w:rsid w:val="00753B38"/>
    <w:rsid w:val="00753BAC"/>
    <w:rsid w:val="00753D75"/>
    <w:rsid w:val="0075450B"/>
    <w:rsid w:val="007545B0"/>
    <w:rsid w:val="00756E33"/>
    <w:rsid w:val="00756F23"/>
    <w:rsid w:val="007573C6"/>
    <w:rsid w:val="007603A5"/>
    <w:rsid w:val="00761637"/>
    <w:rsid w:val="00762099"/>
    <w:rsid w:val="00762253"/>
    <w:rsid w:val="00762256"/>
    <w:rsid w:val="00762959"/>
    <w:rsid w:val="00762D10"/>
    <w:rsid w:val="00762FAB"/>
    <w:rsid w:val="00764095"/>
    <w:rsid w:val="007642B8"/>
    <w:rsid w:val="007651D2"/>
    <w:rsid w:val="007654FD"/>
    <w:rsid w:val="00765583"/>
    <w:rsid w:val="00765EB6"/>
    <w:rsid w:val="00766664"/>
    <w:rsid w:val="007671CD"/>
    <w:rsid w:val="007703E6"/>
    <w:rsid w:val="0077042C"/>
    <w:rsid w:val="00770BF7"/>
    <w:rsid w:val="00771183"/>
    <w:rsid w:val="00773B97"/>
    <w:rsid w:val="00773F68"/>
    <w:rsid w:val="007741BC"/>
    <w:rsid w:val="0077451B"/>
    <w:rsid w:val="007750CE"/>
    <w:rsid w:val="00775F57"/>
    <w:rsid w:val="00776ECC"/>
    <w:rsid w:val="00780697"/>
    <w:rsid w:val="007808A8"/>
    <w:rsid w:val="0078109D"/>
    <w:rsid w:val="00781A0C"/>
    <w:rsid w:val="00782935"/>
    <w:rsid w:val="00782FD0"/>
    <w:rsid w:val="00783862"/>
    <w:rsid w:val="00784A3A"/>
    <w:rsid w:val="00785A28"/>
    <w:rsid w:val="007877A1"/>
    <w:rsid w:val="00787852"/>
    <w:rsid w:val="007902B2"/>
    <w:rsid w:val="0079131B"/>
    <w:rsid w:val="00791392"/>
    <w:rsid w:val="00791AF9"/>
    <w:rsid w:val="00791B20"/>
    <w:rsid w:val="00791B96"/>
    <w:rsid w:val="00792D43"/>
    <w:rsid w:val="007934B0"/>
    <w:rsid w:val="00793F7A"/>
    <w:rsid w:val="0079475C"/>
    <w:rsid w:val="00794957"/>
    <w:rsid w:val="00794C93"/>
    <w:rsid w:val="00794D09"/>
    <w:rsid w:val="00794DDF"/>
    <w:rsid w:val="00795198"/>
    <w:rsid w:val="007959A7"/>
    <w:rsid w:val="00795B68"/>
    <w:rsid w:val="00796242"/>
    <w:rsid w:val="00796AA9"/>
    <w:rsid w:val="0079743A"/>
    <w:rsid w:val="007A00AB"/>
    <w:rsid w:val="007A0CCB"/>
    <w:rsid w:val="007A0F81"/>
    <w:rsid w:val="007A158D"/>
    <w:rsid w:val="007A22E0"/>
    <w:rsid w:val="007A23E5"/>
    <w:rsid w:val="007A2411"/>
    <w:rsid w:val="007A3352"/>
    <w:rsid w:val="007A48F7"/>
    <w:rsid w:val="007A5223"/>
    <w:rsid w:val="007A56F0"/>
    <w:rsid w:val="007A73BA"/>
    <w:rsid w:val="007A762C"/>
    <w:rsid w:val="007A7C2D"/>
    <w:rsid w:val="007B02A9"/>
    <w:rsid w:val="007B0777"/>
    <w:rsid w:val="007B1877"/>
    <w:rsid w:val="007B1E9F"/>
    <w:rsid w:val="007B3954"/>
    <w:rsid w:val="007B56E7"/>
    <w:rsid w:val="007B57E9"/>
    <w:rsid w:val="007B593A"/>
    <w:rsid w:val="007B625D"/>
    <w:rsid w:val="007B688A"/>
    <w:rsid w:val="007B6AD9"/>
    <w:rsid w:val="007B6BE8"/>
    <w:rsid w:val="007B713D"/>
    <w:rsid w:val="007B74D2"/>
    <w:rsid w:val="007B7582"/>
    <w:rsid w:val="007B7B59"/>
    <w:rsid w:val="007C012D"/>
    <w:rsid w:val="007C11A8"/>
    <w:rsid w:val="007C1EC5"/>
    <w:rsid w:val="007C28ED"/>
    <w:rsid w:val="007C2C42"/>
    <w:rsid w:val="007C37B2"/>
    <w:rsid w:val="007C39BC"/>
    <w:rsid w:val="007C49DF"/>
    <w:rsid w:val="007C49ED"/>
    <w:rsid w:val="007C5283"/>
    <w:rsid w:val="007C54E3"/>
    <w:rsid w:val="007C569C"/>
    <w:rsid w:val="007C6052"/>
    <w:rsid w:val="007C6E61"/>
    <w:rsid w:val="007C6EFB"/>
    <w:rsid w:val="007C7169"/>
    <w:rsid w:val="007D0131"/>
    <w:rsid w:val="007D0526"/>
    <w:rsid w:val="007D057D"/>
    <w:rsid w:val="007D0EFD"/>
    <w:rsid w:val="007D136C"/>
    <w:rsid w:val="007D19BE"/>
    <w:rsid w:val="007D1A32"/>
    <w:rsid w:val="007D26B6"/>
    <w:rsid w:val="007D285C"/>
    <w:rsid w:val="007D3278"/>
    <w:rsid w:val="007D3668"/>
    <w:rsid w:val="007D4244"/>
    <w:rsid w:val="007D44DB"/>
    <w:rsid w:val="007D4B87"/>
    <w:rsid w:val="007D5D04"/>
    <w:rsid w:val="007D66A0"/>
    <w:rsid w:val="007D6880"/>
    <w:rsid w:val="007D69FE"/>
    <w:rsid w:val="007D738E"/>
    <w:rsid w:val="007E0389"/>
    <w:rsid w:val="007E062F"/>
    <w:rsid w:val="007E11C0"/>
    <w:rsid w:val="007E1291"/>
    <w:rsid w:val="007E17E4"/>
    <w:rsid w:val="007E1F8E"/>
    <w:rsid w:val="007E2569"/>
    <w:rsid w:val="007E2904"/>
    <w:rsid w:val="007E2CA2"/>
    <w:rsid w:val="007E2CD7"/>
    <w:rsid w:val="007E308B"/>
    <w:rsid w:val="007E3EFB"/>
    <w:rsid w:val="007E4697"/>
    <w:rsid w:val="007E492C"/>
    <w:rsid w:val="007E5AAA"/>
    <w:rsid w:val="007E6F1D"/>
    <w:rsid w:val="007E6F5A"/>
    <w:rsid w:val="007E6F7F"/>
    <w:rsid w:val="007E77DA"/>
    <w:rsid w:val="007E7BAF"/>
    <w:rsid w:val="007E7D6E"/>
    <w:rsid w:val="007E7D95"/>
    <w:rsid w:val="007E7EA0"/>
    <w:rsid w:val="007E7FD3"/>
    <w:rsid w:val="007F02E9"/>
    <w:rsid w:val="007F0B36"/>
    <w:rsid w:val="007F0F67"/>
    <w:rsid w:val="007F10AE"/>
    <w:rsid w:val="007F1441"/>
    <w:rsid w:val="007F1968"/>
    <w:rsid w:val="007F1BEA"/>
    <w:rsid w:val="007F236A"/>
    <w:rsid w:val="007F35FB"/>
    <w:rsid w:val="007F3658"/>
    <w:rsid w:val="007F4160"/>
    <w:rsid w:val="007F4650"/>
    <w:rsid w:val="007F4D44"/>
    <w:rsid w:val="007F53A5"/>
    <w:rsid w:val="007F573C"/>
    <w:rsid w:val="007F5D1B"/>
    <w:rsid w:val="007F611C"/>
    <w:rsid w:val="007F6526"/>
    <w:rsid w:val="007F6B6C"/>
    <w:rsid w:val="007F6C8C"/>
    <w:rsid w:val="007F6EFE"/>
    <w:rsid w:val="00800BBD"/>
    <w:rsid w:val="00800E15"/>
    <w:rsid w:val="00800F10"/>
    <w:rsid w:val="008012A2"/>
    <w:rsid w:val="008019C1"/>
    <w:rsid w:val="0080351C"/>
    <w:rsid w:val="00803C83"/>
    <w:rsid w:val="00803D3A"/>
    <w:rsid w:val="0080426F"/>
    <w:rsid w:val="00804B33"/>
    <w:rsid w:val="00804F4E"/>
    <w:rsid w:val="0080685B"/>
    <w:rsid w:val="00806EBD"/>
    <w:rsid w:val="00807C0B"/>
    <w:rsid w:val="008102CA"/>
    <w:rsid w:val="00812233"/>
    <w:rsid w:val="00812439"/>
    <w:rsid w:val="0081393D"/>
    <w:rsid w:val="008145B8"/>
    <w:rsid w:val="00814989"/>
    <w:rsid w:val="00815B1A"/>
    <w:rsid w:val="00815B35"/>
    <w:rsid w:val="008163B7"/>
    <w:rsid w:val="008166C1"/>
    <w:rsid w:val="00816E1A"/>
    <w:rsid w:val="0081741D"/>
    <w:rsid w:val="00817750"/>
    <w:rsid w:val="00817D26"/>
    <w:rsid w:val="0082029A"/>
    <w:rsid w:val="00820480"/>
    <w:rsid w:val="00821300"/>
    <w:rsid w:val="008229CA"/>
    <w:rsid w:val="00822E3A"/>
    <w:rsid w:val="00822FF3"/>
    <w:rsid w:val="00823274"/>
    <w:rsid w:val="008236FC"/>
    <w:rsid w:val="00823FC2"/>
    <w:rsid w:val="0082442F"/>
    <w:rsid w:val="008244BE"/>
    <w:rsid w:val="00824A33"/>
    <w:rsid w:val="00824AA6"/>
    <w:rsid w:val="00825304"/>
    <w:rsid w:val="00825397"/>
    <w:rsid w:val="00825981"/>
    <w:rsid w:val="00825BAD"/>
    <w:rsid w:val="0082655F"/>
    <w:rsid w:val="00826608"/>
    <w:rsid w:val="00826CC8"/>
    <w:rsid w:val="00827090"/>
    <w:rsid w:val="00827245"/>
    <w:rsid w:val="008301C6"/>
    <w:rsid w:val="0083056B"/>
    <w:rsid w:val="00830AE7"/>
    <w:rsid w:val="00830C1D"/>
    <w:rsid w:val="00831CE3"/>
    <w:rsid w:val="0083286B"/>
    <w:rsid w:val="00832BDD"/>
    <w:rsid w:val="008334D8"/>
    <w:rsid w:val="0083368B"/>
    <w:rsid w:val="00834124"/>
    <w:rsid w:val="00835AEA"/>
    <w:rsid w:val="00836A43"/>
    <w:rsid w:val="008374C8"/>
    <w:rsid w:val="008379AC"/>
    <w:rsid w:val="00837DD3"/>
    <w:rsid w:val="00837E84"/>
    <w:rsid w:val="008401A3"/>
    <w:rsid w:val="00840764"/>
    <w:rsid w:val="008415FA"/>
    <w:rsid w:val="00841EAC"/>
    <w:rsid w:val="0084230A"/>
    <w:rsid w:val="008424C7"/>
    <w:rsid w:val="008427F6"/>
    <w:rsid w:val="00842E57"/>
    <w:rsid w:val="008434A6"/>
    <w:rsid w:val="008449A6"/>
    <w:rsid w:val="00844E62"/>
    <w:rsid w:val="0084500E"/>
    <w:rsid w:val="0084521E"/>
    <w:rsid w:val="00845A1F"/>
    <w:rsid w:val="00846806"/>
    <w:rsid w:val="0084726B"/>
    <w:rsid w:val="00847461"/>
    <w:rsid w:val="008477F7"/>
    <w:rsid w:val="008503F5"/>
    <w:rsid w:val="00850CE2"/>
    <w:rsid w:val="00850F64"/>
    <w:rsid w:val="008519F7"/>
    <w:rsid w:val="00852B68"/>
    <w:rsid w:val="0085324D"/>
    <w:rsid w:val="00853295"/>
    <w:rsid w:val="00853944"/>
    <w:rsid w:val="00853AF5"/>
    <w:rsid w:val="00854AB1"/>
    <w:rsid w:val="0085530C"/>
    <w:rsid w:val="00855792"/>
    <w:rsid w:val="00855FFC"/>
    <w:rsid w:val="00856114"/>
    <w:rsid w:val="00856689"/>
    <w:rsid w:val="0085668C"/>
    <w:rsid w:val="00856E81"/>
    <w:rsid w:val="00856EF0"/>
    <w:rsid w:val="00857BBB"/>
    <w:rsid w:val="00860695"/>
    <w:rsid w:val="008610A1"/>
    <w:rsid w:val="00861771"/>
    <w:rsid w:val="00861CC8"/>
    <w:rsid w:val="00862405"/>
    <w:rsid w:val="00864876"/>
    <w:rsid w:val="00866BCB"/>
    <w:rsid w:val="00866EC2"/>
    <w:rsid w:val="00867032"/>
    <w:rsid w:val="00867DEC"/>
    <w:rsid w:val="00870711"/>
    <w:rsid w:val="0087076E"/>
    <w:rsid w:val="0087097D"/>
    <w:rsid w:val="008711BE"/>
    <w:rsid w:val="00871266"/>
    <w:rsid w:val="008715BF"/>
    <w:rsid w:val="00871AC1"/>
    <w:rsid w:val="00872539"/>
    <w:rsid w:val="00872B55"/>
    <w:rsid w:val="00872B96"/>
    <w:rsid w:val="00872F83"/>
    <w:rsid w:val="0087357C"/>
    <w:rsid w:val="00873C70"/>
    <w:rsid w:val="00874677"/>
    <w:rsid w:val="008746D9"/>
    <w:rsid w:val="00874DCC"/>
    <w:rsid w:val="00875FD5"/>
    <w:rsid w:val="008765B7"/>
    <w:rsid w:val="008766D1"/>
    <w:rsid w:val="00876D46"/>
    <w:rsid w:val="00876F94"/>
    <w:rsid w:val="008776E6"/>
    <w:rsid w:val="008779D9"/>
    <w:rsid w:val="00877F64"/>
    <w:rsid w:val="008801DF"/>
    <w:rsid w:val="00881375"/>
    <w:rsid w:val="00881784"/>
    <w:rsid w:val="008823E2"/>
    <w:rsid w:val="00883443"/>
    <w:rsid w:val="00884032"/>
    <w:rsid w:val="0088451A"/>
    <w:rsid w:val="008848DE"/>
    <w:rsid w:val="00884CE1"/>
    <w:rsid w:val="00885823"/>
    <w:rsid w:val="00885F46"/>
    <w:rsid w:val="00886153"/>
    <w:rsid w:val="008863F7"/>
    <w:rsid w:val="0088684D"/>
    <w:rsid w:val="0088711C"/>
    <w:rsid w:val="008875D4"/>
    <w:rsid w:val="00887EF5"/>
    <w:rsid w:val="00890623"/>
    <w:rsid w:val="00890BFB"/>
    <w:rsid w:val="00890F45"/>
    <w:rsid w:val="00891299"/>
    <w:rsid w:val="00891633"/>
    <w:rsid w:val="0089232A"/>
    <w:rsid w:val="008927D1"/>
    <w:rsid w:val="00892E7D"/>
    <w:rsid w:val="008933A6"/>
    <w:rsid w:val="008934F4"/>
    <w:rsid w:val="008935BD"/>
    <w:rsid w:val="0089394B"/>
    <w:rsid w:val="00894168"/>
    <w:rsid w:val="008948DB"/>
    <w:rsid w:val="00895297"/>
    <w:rsid w:val="00895477"/>
    <w:rsid w:val="00896095"/>
    <w:rsid w:val="00896855"/>
    <w:rsid w:val="008979C9"/>
    <w:rsid w:val="00897FFC"/>
    <w:rsid w:val="008A101D"/>
    <w:rsid w:val="008A1326"/>
    <w:rsid w:val="008A1A0A"/>
    <w:rsid w:val="008A1AF1"/>
    <w:rsid w:val="008A1DFC"/>
    <w:rsid w:val="008A26D2"/>
    <w:rsid w:val="008A2DF2"/>
    <w:rsid w:val="008A3363"/>
    <w:rsid w:val="008A369D"/>
    <w:rsid w:val="008A3C06"/>
    <w:rsid w:val="008A48F4"/>
    <w:rsid w:val="008A49EF"/>
    <w:rsid w:val="008A5773"/>
    <w:rsid w:val="008A5CC2"/>
    <w:rsid w:val="008A608D"/>
    <w:rsid w:val="008A694C"/>
    <w:rsid w:val="008A6C70"/>
    <w:rsid w:val="008A75D9"/>
    <w:rsid w:val="008B0827"/>
    <w:rsid w:val="008B1AAD"/>
    <w:rsid w:val="008B1F6A"/>
    <w:rsid w:val="008B21A3"/>
    <w:rsid w:val="008B3273"/>
    <w:rsid w:val="008B32F8"/>
    <w:rsid w:val="008B39C0"/>
    <w:rsid w:val="008B4D2D"/>
    <w:rsid w:val="008B6927"/>
    <w:rsid w:val="008B70EC"/>
    <w:rsid w:val="008B7224"/>
    <w:rsid w:val="008B7DB4"/>
    <w:rsid w:val="008C11F9"/>
    <w:rsid w:val="008C12BB"/>
    <w:rsid w:val="008C12DC"/>
    <w:rsid w:val="008C136B"/>
    <w:rsid w:val="008C1E12"/>
    <w:rsid w:val="008C232A"/>
    <w:rsid w:val="008C36FC"/>
    <w:rsid w:val="008C43F3"/>
    <w:rsid w:val="008C4DB0"/>
    <w:rsid w:val="008C536E"/>
    <w:rsid w:val="008C5A21"/>
    <w:rsid w:val="008D04DA"/>
    <w:rsid w:val="008D0A72"/>
    <w:rsid w:val="008D1334"/>
    <w:rsid w:val="008D2150"/>
    <w:rsid w:val="008D2255"/>
    <w:rsid w:val="008D23D4"/>
    <w:rsid w:val="008D3ACE"/>
    <w:rsid w:val="008D4F38"/>
    <w:rsid w:val="008D571D"/>
    <w:rsid w:val="008D6C97"/>
    <w:rsid w:val="008D6E5D"/>
    <w:rsid w:val="008D747F"/>
    <w:rsid w:val="008D7553"/>
    <w:rsid w:val="008D76A0"/>
    <w:rsid w:val="008D7BEA"/>
    <w:rsid w:val="008D7CB5"/>
    <w:rsid w:val="008E0429"/>
    <w:rsid w:val="008E055E"/>
    <w:rsid w:val="008E0C34"/>
    <w:rsid w:val="008E1A6E"/>
    <w:rsid w:val="008E2295"/>
    <w:rsid w:val="008E3EDD"/>
    <w:rsid w:val="008E4CA6"/>
    <w:rsid w:val="008E4ECC"/>
    <w:rsid w:val="008E4FDE"/>
    <w:rsid w:val="008E52D4"/>
    <w:rsid w:val="008E5BDC"/>
    <w:rsid w:val="008E5E1C"/>
    <w:rsid w:val="008E5EE8"/>
    <w:rsid w:val="008E6015"/>
    <w:rsid w:val="008F0262"/>
    <w:rsid w:val="008F0883"/>
    <w:rsid w:val="008F0FED"/>
    <w:rsid w:val="008F1171"/>
    <w:rsid w:val="008F1F9F"/>
    <w:rsid w:val="008F246E"/>
    <w:rsid w:val="008F253E"/>
    <w:rsid w:val="008F2798"/>
    <w:rsid w:val="008F36DB"/>
    <w:rsid w:val="008F36F1"/>
    <w:rsid w:val="008F3822"/>
    <w:rsid w:val="008F3889"/>
    <w:rsid w:val="008F42B7"/>
    <w:rsid w:val="008F44A8"/>
    <w:rsid w:val="008F4892"/>
    <w:rsid w:val="008F5B43"/>
    <w:rsid w:val="008F60F0"/>
    <w:rsid w:val="008F670A"/>
    <w:rsid w:val="008F71E7"/>
    <w:rsid w:val="008F7370"/>
    <w:rsid w:val="008F7BD9"/>
    <w:rsid w:val="009002A9"/>
    <w:rsid w:val="00900C16"/>
    <w:rsid w:val="00901B23"/>
    <w:rsid w:val="0090200D"/>
    <w:rsid w:val="009052E0"/>
    <w:rsid w:val="009059AF"/>
    <w:rsid w:val="0090604C"/>
    <w:rsid w:val="00906D96"/>
    <w:rsid w:val="00906EA5"/>
    <w:rsid w:val="009073B5"/>
    <w:rsid w:val="0090771B"/>
    <w:rsid w:val="00907D2E"/>
    <w:rsid w:val="00907D76"/>
    <w:rsid w:val="009103BD"/>
    <w:rsid w:val="00910C99"/>
    <w:rsid w:val="00911271"/>
    <w:rsid w:val="00911CDD"/>
    <w:rsid w:val="00912CB6"/>
    <w:rsid w:val="00913399"/>
    <w:rsid w:val="0091408E"/>
    <w:rsid w:val="0091413D"/>
    <w:rsid w:val="009148AB"/>
    <w:rsid w:val="00914A97"/>
    <w:rsid w:val="00914FC1"/>
    <w:rsid w:val="00915F89"/>
    <w:rsid w:val="00916195"/>
    <w:rsid w:val="00916757"/>
    <w:rsid w:val="00916CD2"/>
    <w:rsid w:val="00917573"/>
    <w:rsid w:val="009179CC"/>
    <w:rsid w:val="00917B92"/>
    <w:rsid w:val="00920034"/>
    <w:rsid w:val="00920251"/>
    <w:rsid w:val="00920394"/>
    <w:rsid w:val="0092272F"/>
    <w:rsid w:val="009227B9"/>
    <w:rsid w:val="00923935"/>
    <w:rsid w:val="00924005"/>
    <w:rsid w:val="00924F5E"/>
    <w:rsid w:val="00925098"/>
    <w:rsid w:val="0092539B"/>
    <w:rsid w:val="00925400"/>
    <w:rsid w:val="0092666A"/>
    <w:rsid w:val="00926EA7"/>
    <w:rsid w:val="00926EE4"/>
    <w:rsid w:val="009274E0"/>
    <w:rsid w:val="00927913"/>
    <w:rsid w:val="00931192"/>
    <w:rsid w:val="009318D3"/>
    <w:rsid w:val="009318EC"/>
    <w:rsid w:val="00931F16"/>
    <w:rsid w:val="00933998"/>
    <w:rsid w:val="009347B4"/>
    <w:rsid w:val="00934F25"/>
    <w:rsid w:val="00935268"/>
    <w:rsid w:val="00935E4D"/>
    <w:rsid w:val="009364B4"/>
    <w:rsid w:val="0093660E"/>
    <w:rsid w:val="00941206"/>
    <w:rsid w:val="00943806"/>
    <w:rsid w:val="00943F0C"/>
    <w:rsid w:val="00944FCE"/>
    <w:rsid w:val="00945004"/>
    <w:rsid w:val="0094556E"/>
    <w:rsid w:val="00947D39"/>
    <w:rsid w:val="00947E5C"/>
    <w:rsid w:val="00950993"/>
    <w:rsid w:val="00953311"/>
    <w:rsid w:val="00953698"/>
    <w:rsid w:val="00953B8E"/>
    <w:rsid w:val="00953FFE"/>
    <w:rsid w:val="009542CA"/>
    <w:rsid w:val="00954F3D"/>
    <w:rsid w:val="009554C5"/>
    <w:rsid w:val="009554E5"/>
    <w:rsid w:val="009556B1"/>
    <w:rsid w:val="00955A25"/>
    <w:rsid w:val="00955AB1"/>
    <w:rsid w:val="00955F98"/>
    <w:rsid w:val="00956BC6"/>
    <w:rsid w:val="00960374"/>
    <w:rsid w:val="00960652"/>
    <w:rsid w:val="009606BB"/>
    <w:rsid w:val="00960DE8"/>
    <w:rsid w:val="009616E9"/>
    <w:rsid w:val="00961B83"/>
    <w:rsid w:val="00961CC9"/>
    <w:rsid w:val="00962ACB"/>
    <w:rsid w:val="00962CAE"/>
    <w:rsid w:val="00965DCB"/>
    <w:rsid w:val="00966618"/>
    <w:rsid w:val="00966F0C"/>
    <w:rsid w:val="0096754E"/>
    <w:rsid w:val="00970ADC"/>
    <w:rsid w:val="0097168F"/>
    <w:rsid w:val="00971903"/>
    <w:rsid w:val="00971E6F"/>
    <w:rsid w:val="00974D4C"/>
    <w:rsid w:val="009754E6"/>
    <w:rsid w:val="009768FC"/>
    <w:rsid w:val="00977385"/>
    <w:rsid w:val="00977A2E"/>
    <w:rsid w:val="009805BC"/>
    <w:rsid w:val="00981196"/>
    <w:rsid w:val="009821AE"/>
    <w:rsid w:val="00982F21"/>
    <w:rsid w:val="009830D5"/>
    <w:rsid w:val="009831F8"/>
    <w:rsid w:val="009832CD"/>
    <w:rsid w:val="009832E8"/>
    <w:rsid w:val="009833FB"/>
    <w:rsid w:val="00984D60"/>
    <w:rsid w:val="00984D74"/>
    <w:rsid w:val="00984FB3"/>
    <w:rsid w:val="00985314"/>
    <w:rsid w:val="009855FA"/>
    <w:rsid w:val="009858EA"/>
    <w:rsid w:val="00985F0E"/>
    <w:rsid w:val="0098615E"/>
    <w:rsid w:val="00987B49"/>
    <w:rsid w:val="00987DB2"/>
    <w:rsid w:val="0099127D"/>
    <w:rsid w:val="0099184F"/>
    <w:rsid w:val="009927E5"/>
    <w:rsid w:val="009928C4"/>
    <w:rsid w:val="00993080"/>
    <w:rsid w:val="00993DAC"/>
    <w:rsid w:val="0099422F"/>
    <w:rsid w:val="00994230"/>
    <w:rsid w:val="0099508F"/>
    <w:rsid w:val="0099532A"/>
    <w:rsid w:val="00995977"/>
    <w:rsid w:val="00995A8E"/>
    <w:rsid w:val="00995F8E"/>
    <w:rsid w:val="009978F9"/>
    <w:rsid w:val="00997B14"/>
    <w:rsid w:val="009A001D"/>
    <w:rsid w:val="009A1B4E"/>
    <w:rsid w:val="009A1EB8"/>
    <w:rsid w:val="009A2612"/>
    <w:rsid w:val="009A291F"/>
    <w:rsid w:val="009A2F1F"/>
    <w:rsid w:val="009A33E2"/>
    <w:rsid w:val="009A341C"/>
    <w:rsid w:val="009A3B74"/>
    <w:rsid w:val="009A3C0B"/>
    <w:rsid w:val="009A3EE8"/>
    <w:rsid w:val="009A3F3A"/>
    <w:rsid w:val="009A4627"/>
    <w:rsid w:val="009A4B84"/>
    <w:rsid w:val="009A656B"/>
    <w:rsid w:val="009A68BC"/>
    <w:rsid w:val="009A6A60"/>
    <w:rsid w:val="009A6E08"/>
    <w:rsid w:val="009A79B2"/>
    <w:rsid w:val="009B0F93"/>
    <w:rsid w:val="009B1107"/>
    <w:rsid w:val="009B1C06"/>
    <w:rsid w:val="009B21B1"/>
    <w:rsid w:val="009B2370"/>
    <w:rsid w:val="009B23A6"/>
    <w:rsid w:val="009B388F"/>
    <w:rsid w:val="009B42E1"/>
    <w:rsid w:val="009B4CA3"/>
    <w:rsid w:val="009B4D8F"/>
    <w:rsid w:val="009B520C"/>
    <w:rsid w:val="009B5E2A"/>
    <w:rsid w:val="009B6079"/>
    <w:rsid w:val="009B66F8"/>
    <w:rsid w:val="009B69BB"/>
    <w:rsid w:val="009B6D86"/>
    <w:rsid w:val="009B76A7"/>
    <w:rsid w:val="009C044B"/>
    <w:rsid w:val="009C0F40"/>
    <w:rsid w:val="009C11CE"/>
    <w:rsid w:val="009C16D3"/>
    <w:rsid w:val="009C19B3"/>
    <w:rsid w:val="009C23E8"/>
    <w:rsid w:val="009C2418"/>
    <w:rsid w:val="009C25C1"/>
    <w:rsid w:val="009C261F"/>
    <w:rsid w:val="009C2A26"/>
    <w:rsid w:val="009C32F3"/>
    <w:rsid w:val="009C4712"/>
    <w:rsid w:val="009C4CA9"/>
    <w:rsid w:val="009C4CEF"/>
    <w:rsid w:val="009C5458"/>
    <w:rsid w:val="009C5C01"/>
    <w:rsid w:val="009C600E"/>
    <w:rsid w:val="009C672D"/>
    <w:rsid w:val="009C6BB0"/>
    <w:rsid w:val="009C76B8"/>
    <w:rsid w:val="009C773C"/>
    <w:rsid w:val="009D05CD"/>
    <w:rsid w:val="009D0BF4"/>
    <w:rsid w:val="009D13FA"/>
    <w:rsid w:val="009D143C"/>
    <w:rsid w:val="009D1B73"/>
    <w:rsid w:val="009D1FEC"/>
    <w:rsid w:val="009D2BB4"/>
    <w:rsid w:val="009D2BE2"/>
    <w:rsid w:val="009D3965"/>
    <w:rsid w:val="009D4184"/>
    <w:rsid w:val="009D41D2"/>
    <w:rsid w:val="009D4341"/>
    <w:rsid w:val="009D50B5"/>
    <w:rsid w:val="009D5869"/>
    <w:rsid w:val="009D58E3"/>
    <w:rsid w:val="009D6B6B"/>
    <w:rsid w:val="009D6CEC"/>
    <w:rsid w:val="009D73E6"/>
    <w:rsid w:val="009E0F6D"/>
    <w:rsid w:val="009E1429"/>
    <w:rsid w:val="009E1531"/>
    <w:rsid w:val="009E1E85"/>
    <w:rsid w:val="009E1F63"/>
    <w:rsid w:val="009E2926"/>
    <w:rsid w:val="009E2E5D"/>
    <w:rsid w:val="009E383F"/>
    <w:rsid w:val="009E4940"/>
    <w:rsid w:val="009E4C6A"/>
    <w:rsid w:val="009E50EF"/>
    <w:rsid w:val="009E5B94"/>
    <w:rsid w:val="009E6813"/>
    <w:rsid w:val="009E717D"/>
    <w:rsid w:val="009E719F"/>
    <w:rsid w:val="009E787C"/>
    <w:rsid w:val="009F13FD"/>
    <w:rsid w:val="009F1D95"/>
    <w:rsid w:val="009F2D5B"/>
    <w:rsid w:val="009F307E"/>
    <w:rsid w:val="009F3DBE"/>
    <w:rsid w:val="009F46A5"/>
    <w:rsid w:val="009F4951"/>
    <w:rsid w:val="009F4A33"/>
    <w:rsid w:val="009F4B46"/>
    <w:rsid w:val="009F4D90"/>
    <w:rsid w:val="009F50CF"/>
    <w:rsid w:val="009F5BAC"/>
    <w:rsid w:val="009F5FFC"/>
    <w:rsid w:val="009F64D0"/>
    <w:rsid w:val="009F6903"/>
    <w:rsid w:val="009F775A"/>
    <w:rsid w:val="009F7AFB"/>
    <w:rsid w:val="009F7D95"/>
    <w:rsid w:val="00A00641"/>
    <w:rsid w:val="00A00768"/>
    <w:rsid w:val="00A007FD"/>
    <w:rsid w:val="00A00BAD"/>
    <w:rsid w:val="00A01442"/>
    <w:rsid w:val="00A01A27"/>
    <w:rsid w:val="00A01DF4"/>
    <w:rsid w:val="00A02A33"/>
    <w:rsid w:val="00A034FA"/>
    <w:rsid w:val="00A03880"/>
    <w:rsid w:val="00A03C57"/>
    <w:rsid w:val="00A03FB7"/>
    <w:rsid w:val="00A04927"/>
    <w:rsid w:val="00A0556A"/>
    <w:rsid w:val="00A056E9"/>
    <w:rsid w:val="00A05CC1"/>
    <w:rsid w:val="00A06E20"/>
    <w:rsid w:val="00A0708E"/>
    <w:rsid w:val="00A102B3"/>
    <w:rsid w:val="00A10477"/>
    <w:rsid w:val="00A10C6A"/>
    <w:rsid w:val="00A11497"/>
    <w:rsid w:val="00A114D9"/>
    <w:rsid w:val="00A11A4B"/>
    <w:rsid w:val="00A13062"/>
    <w:rsid w:val="00A140AC"/>
    <w:rsid w:val="00A14659"/>
    <w:rsid w:val="00A14CAA"/>
    <w:rsid w:val="00A14CC3"/>
    <w:rsid w:val="00A14F80"/>
    <w:rsid w:val="00A1531A"/>
    <w:rsid w:val="00A15568"/>
    <w:rsid w:val="00A163BF"/>
    <w:rsid w:val="00A16EAC"/>
    <w:rsid w:val="00A17089"/>
    <w:rsid w:val="00A171E8"/>
    <w:rsid w:val="00A1724F"/>
    <w:rsid w:val="00A17FCB"/>
    <w:rsid w:val="00A2045A"/>
    <w:rsid w:val="00A20AF0"/>
    <w:rsid w:val="00A21418"/>
    <w:rsid w:val="00A216B1"/>
    <w:rsid w:val="00A21E9F"/>
    <w:rsid w:val="00A2216E"/>
    <w:rsid w:val="00A22225"/>
    <w:rsid w:val="00A22946"/>
    <w:rsid w:val="00A23619"/>
    <w:rsid w:val="00A23A4F"/>
    <w:rsid w:val="00A2633A"/>
    <w:rsid w:val="00A26A22"/>
    <w:rsid w:val="00A26E90"/>
    <w:rsid w:val="00A2711B"/>
    <w:rsid w:val="00A2738C"/>
    <w:rsid w:val="00A27680"/>
    <w:rsid w:val="00A2768E"/>
    <w:rsid w:val="00A276F3"/>
    <w:rsid w:val="00A27C1B"/>
    <w:rsid w:val="00A27FDC"/>
    <w:rsid w:val="00A30216"/>
    <w:rsid w:val="00A306B3"/>
    <w:rsid w:val="00A30E1F"/>
    <w:rsid w:val="00A319D9"/>
    <w:rsid w:val="00A31C13"/>
    <w:rsid w:val="00A32365"/>
    <w:rsid w:val="00A32931"/>
    <w:rsid w:val="00A32D31"/>
    <w:rsid w:val="00A33510"/>
    <w:rsid w:val="00A33E2A"/>
    <w:rsid w:val="00A33F78"/>
    <w:rsid w:val="00A367E1"/>
    <w:rsid w:val="00A37125"/>
    <w:rsid w:val="00A377EC"/>
    <w:rsid w:val="00A378B6"/>
    <w:rsid w:val="00A37E6C"/>
    <w:rsid w:val="00A40CE9"/>
    <w:rsid w:val="00A40FF1"/>
    <w:rsid w:val="00A4190B"/>
    <w:rsid w:val="00A41D87"/>
    <w:rsid w:val="00A420C7"/>
    <w:rsid w:val="00A43019"/>
    <w:rsid w:val="00A438C0"/>
    <w:rsid w:val="00A43AB0"/>
    <w:rsid w:val="00A44D61"/>
    <w:rsid w:val="00A45911"/>
    <w:rsid w:val="00A45B69"/>
    <w:rsid w:val="00A501B9"/>
    <w:rsid w:val="00A504F8"/>
    <w:rsid w:val="00A509CD"/>
    <w:rsid w:val="00A50BCD"/>
    <w:rsid w:val="00A51B3A"/>
    <w:rsid w:val="00A52AEE"/>
    <w:rsid w:val="00A53370"/>
    <w:rsid w:val="00A53CE0"/>
    <w:rsid w:val="00A53D8C"/>
    <w:rsid w:val="00A54854"/>
    <w:rsid w:val="00A54CB0"/>
    <w:rsid w:val="00A55AE2"/>
    <w:rsid w:val="00A5639E"/>
    <w:rsid w:val="00A56448"/>
    <w:rsid w:val="00A56CF5"/>
    <w:rsid w:val="00A5707C"/>
    <w:rsid w:val="00A578A4"/>
    <w:rsid w:val="00A60594"/>
    <w:rsid w:val="00A60B3D"/>
    <w:rsid w:val="00A60DDC"/>
    <w:rsid w:val="00A610C7"/>
    <w:rsid w:val="00A61249"/>
    <w:rsid w:val="00A61B17"/>
    <w:rsid w:val="00A61CA1"/>
    <w:rsid w:val="00A626F9"/>
    <w:rsid w:val="00A6298D"/>
    <w:rsid w:val="00A62E6D"/>
    <w:rsid w:val="00A63D0E"/>
    <w:rsid w:val="00A64D15"/>
    <w:rsid w:val="00A653A7"/>
    <w:rsid w:val="00A66857"/>
    <w:rsid w:val="00A66FF0"/>
    <w:rsid w:val="00A701AD"/>
    <w:rsid w:val="00A7037F"/>
    <w:rsid w:val="00A705A1"/>
    <w:rsid w:val="00A70F1E"/>
    <w:rsid w:val="00A70F57"/>
    <w:rsid w:val="00A711C9"/>
    <w:rsid w:val="00A724BF"/>
    <w:rsid w:val="00A74B42"/>
    <w:rsid w:val="00A75717"/>
    <w:rsid w:val="00A759CB"/>
    <w:rsid w:val="00A7611D"/>
    <w:rsid w:val="00A7688F"/>
    <w:rsid w:val="00A770B0"/>
    <w:rsid w:val="00A805CE"/>
    <w:rsid w:val="00A81407"/>
    <w:rsid w:val="00A81584"/>
    <w:rsid w:val="00A8177D"/>
    <w:rsid w:val="00A82238"/>
    <w:rsid w:val="00A83141"/>
    <w:rsid w:val="00A83FEF"/>
    <w:rsid w:val="00A83FF8"/>
    <w:rsid w:val="00A8512A"/>
    <w:rsid w:val="00A86761"/>
    <w:rsid w:val="00A868C4"/>
    <w:rsid w:val="00A86BA0"/>
    <w:rsid w:val="00A86CB2"/>
    <w:rsid w:val="00A86E64"/>
    <w:rsid w:val="00A8718B"/>
    <w:rsid w:val="00A875BB"/>
    <w:rsid w:val="00A87C9E"/>
    <w:rsid w:val="00A9059D"/>
    <w:rsid w:val="00A906F5"/>
    <w:rsid w:val="00A91B81"/>
    <w:rsid w:val="00A91BEE"/>
    <w:rsid w:val="00A92C18"/>
    <w:rsid w:val="00A94E71"/>
    <w:rsid w:val="00A95659"/>
    <w:rsid w:val="00A95A28"/>
    <w:rsid w:val="00A95D0B"/>
    <w:rsid w:val="00A966F4"/>
    <w:rsid w:val="00A969B0"/>
    <w:rsid w:val="00A96B91"/>
    <w:rsid w:val="00A974DC"/>
    <w:rsid w:val="00A97655"/>
    <w:rsid w:val="00AA0124"/>
    <w:rsid w:val="00AA031F"/>
    <w:rsid w:val="00AA1BCF"/>
    <w:rsid w:val="00AA203B"/>
    <w:rsid w:val="00AA3104"/>
    <w:rsid w:val="00AA5A2B"/>
    <w:rsid w:val="00AA69DA"/>
    <w:rsid w:val="00AA6D41"/>
    <w:rsid w:val="00AA70F3"/>
    <w:rsid w:val="00AA7F28"/>
    <w:rsid w:val="00AB0F1E"/>
    <w:rsid w:val="00AB16D9"/>
    <w:rsid w:val="00AB3362"/>
    <w:rsid w:val="00AB3A12"/>
    <w:rsid w:val="00AB3B23"/>
    <w:rsid w:val="00AB455B"/>
    <w:rsid w:val="00AB46CA"/>
    <w:rsid w:val="00AB4C71"/>
    <w:rsid w:val="00AB55E8"/>
    <w:rsid w:val="00AB5C33"/>
    <w:rsid w:val="00AB6123"/>
    <w:rsid w:val="00AB6FEA"/>
    <w:rsid w:val="00AB72F8"/>
    <w:rsid w:val="00AC07F3"/>
    <w:rsid w:val="00AC16B4"/>
    <w:rsid w:val="00AC1A5E"/>
    <w:rsid w:val="00AC2F3B"/>
    <w:rsid w:val="00AC3AC9"/>
    <w:rsid w:val="00AC4EC6"/>
    <w:rsid w:val="00AC525F"/>
    <w:rsid w:val="00AC69CF"/>
    <w:rsid w:val="00AC7442"/>
    <w:rsid w:val="00AC79D4"/>
    <w:rsid w:val="00AD037B"/>
    <w:rsid w:val="00AD0583"/>
    <w:rsid w:val="00AD06DE"/>
    <w:rsid w:val="00AD0ADB"/>
    <w:rsid w:val="00AD0E7C"/>
    <w:rsid w:val="00AD228B"/>
    <w:rsid w:val="00AD22C9"/>
    <w:rsid w:val="00AD3C7C"/>
    <w:rsid w:val="00AD47A6"/>
    <w:rsid w:val="00AD5077"/>
    <w:rsid w:val="00AD65B0"/>
    <w:rsid w:val="00AE09AC"/>
    <w:rsid w:val="00AE137E"/>
    <w:rsid w:val="00AE1C42"/>
    <w:rsid w:val="00AE2040"/>
    <w:rsid w:val="00AE20BD"/>
    <w:rsid w:val="00AE269D"/>
    <w:rsid w:val="00AE2937"/>
    <w:rsid w:val="00AE317A"/>
    <w:rsid w:val="00AE3F04"/>
    <w:rsid w:val="00AE46A1"/>
    <w:rsid w:val="00AE4B99"/>
    <w:rsid w:val="00AE512D"/>
    <w:rsid w:val="00AE5B9D"/>
    <w:rsid w:val="00AE5F4E"/>
    <w:rsid w:val="00AE5FD3"/>
    <w:rsid w:val="00AE668A"/>
    <w:rsid w:val="00AE71D9"/>
    <w:rsid w:val="00AE7EBA"/>
    <w:rsid w:val="00AE7F8A"/>
    <w:rsid w:val="00AF066E"/>
    <w:rsid w:val="00AF0E98"/>
    <w:rsid w:val="00AF1E7D"/>
    <w:rsid w:val="00AF1FBD"/>
    <w:rsid w:val="00AF2160"/>
    <w:rsid w:val="00AF3954"/>
    <w:rsid w:val="00AF5538"/>
    <w:rsid w:val="00AF5BA7"/>
    <w:rsid w:val="00AF5CD6"/>
    <w:rsid w:val="00AF6036"/>
    <w:rsid w:val="00AF7742"/>
    <w:rsid w:val="00B000E1"/>
    <w:rsid w:val="00B00405"/>
    <w:rsid w:val="00B00AED"/>
    <w:rsid w:val="00B00BC7"/>
    <w:rsid w:val="00B00C5D"/>
    <w:rsid w:val="00B01F09"/>
    <w:rsid w:val="00B022C5"/>
    <w:rsid w:val="00B02507"/>
    <w:rsid w:val="00B02536"/>
    <w:rsid w:val="00B02B23"/>
    <w:rsid w:val="00B0300D"/>
    <w:rsid w:val="00B03CF8"/>
    <w:rsid w:val="00B04B54"/>
    <w:rsid w:val="00B05001"/>
    <w:rsid w:val="00B055BA"/>
    <w:rsid w:val="00B057A5"/>
    <w:rsid w:val="00B06696"/>
    <w:rsid w:val="00B06D95"/>
    <w:rsid w:val="00B06DCC"/>
    <w:rsid w:val="00B0788D"/>
    <w:rsid w:val="00B100DA"/>
    <w:rsid w:val="00B10445"/>
    <w:rsid w:val="00B108B5"/>
    <w:rsid w:val="00B10D97"/>
    <w:rsid w:val="00B118DB"/>
    <w:rsid w:val="00B11E54"/>
    <w:rsid w:val="00B12066"/>
    <w:rsid w:val="00B1213C"/>
    <w:rsid w:val="00B13883"/>
    <w:rsid w:val="00B13B14"/>
    <w:rsid w:val="00B13BE9"/>
    <w:rsid w:val="00B14074"/>
    <w:rsid w:val="00B15599"/>
    <w:rsid w:val="00B15C40"/>
    <w:rsid w:val="00B15F54"/>
    <w:rsid w:val="00B167F9"/>
    <w:rsid w:val="00B16FA1"/>
    <w:rsid w:val="00B17686"/>
    <w:rsid w:val="00B20110"/>
    <w:rsid w:val="00B20863"/>
    <w:rsid w:val="00B208E0"/>
    <w:rsid w:val="00B20CD1"/>
    <w:rsid w:val="00B20D2D"/>
    <w:rsid w:val="00B21399"/>
    <w:rsid w:val="00B21452"/>
    <w:rsid w:val="00B22434"/>
    <w:rsid w:val="00B23845"/>
    <w:rsid w:val="00B23F19"/>
    <w:rsid w:val="00B2401D"/>
    <w:rsid w:val="00B24708"/>
    <w:rsid w:val="00B248E0"/>
    <w:rsid w:val="00B2598E"/>
    <w:rsid w:val="00B26073"/>
    <w:rsid w:val="00B26170"/>
    <w:rsid w:val="00B26F11"/>
    <w:rsid w:val="00B3007D"/>
    <w:rsid w:val="00B30805"/>
    <w:rsid w:val="00B3172E"/>
    <w:rsid w:val="00B32516"/>
    <w:rsid w:val="00B331AB"/>
    <w:rsid w:val="00B331F3"/>
    <w:rsid w:val="00B33271"/>
    <w:rsid w:val="00B33852"/>
    <w:rsid w:val="00B34B67"/>
    <w:rsid w:val="00B3527B"/>
    <w:rsid w:val="00B35BD9"/>
    <w:rsid w:val="00B362C9"/>
    <w:rsid w:val="00B36B63"/>
    <w:rsid w:val="00B36C59"/>
    <w:rsid w:val="00B372DC"/>
    <w:rsid w:val="00B377CB"/>
    <w:rsid w:val="00B37835"/>
    <w:rsid w:val="00B37F31"/>
    <w:rsid w:val="00B407EF"/>
    <w:rsid w:val="00B40B0D"/>
    <w:rsid w:val="00B41859"/>
    <w:rsid w:val="00B4282E"/>
    <w:rsid w:val="00B44B13"/>
    <w:rsid w:val="00B4545C"/>
    <w:rsid w:val="00B4549C"/>
    <w:rsid w:val="00B460A6"/>
    <w:rsid w:val="00B4676B"/>
    <w:rsid w:val="00B46808"/>
    <w:rsid w:val="00B46972"/>
    <w:rsid w:val="00B46EA8"/>
    <w:rsid w:val="00B471A9"/>
    <w:rsid w:val="00B47422"/>
    <w:rsid w:val="00B50630"/>
    <w:rsid w:val="00B50760"/>
    <w:rsid w:val="00B522C7"/>
    <w:rsid w:val="00B53753"/>
    <w:rsid w:val="00B549C2"/>
    <w:rsid w:val="00B54AB5"/>
    <w:rsid w:val="00B5522B"/>
    <w:rsid w:val="00B55DA0"/>
    <w:rsid w:val="00B560C3"/>
    <w:rsid w:val="00B56672"/>
    <w:rsid w:val="00B56B89"/>
    <w:rsid w:val="00B57A76"/>
    <w:rsid w:val="00B601FE"/>
    <w:rsid w:val="00B6084B"/>
    <w:rsid w:val="00B60AED"/>
    <w:rsid w:val="00B60E2A"/>
    <w:rsid w:val="00B615FD"/>
    <w:rsid w:val="00B62605"/>
    <w:rsid w:val="00B62999"/>
    <w:rsid w:val="00B62A18"/>
    <w:rsid w:val="00B6347F"/>
    <w:rsid w:val="00B6384C"/>
    <w:rsid w:val="00B63859"/>
    <w:rsid w:val="00B63FBA"/>
    <w:rsid w:val="00B64DFB"/>
    <w:rsid w:val="00B64F45"/>
    <w:rsid w:val="00B65EBA"/>
    <w:rsid w:val="00B669B6"/>
    <w:rsid w:val="00B66A59"/>
    <w:rsid w:val="00B67241"/>
    <w:rsid w:val="00B67EAD"/>
    <w:rsid w:val="00B70A10"/>
    <w:rsid w:val="00B72489"/>
    <w:rsid w:val="00B7377E"/>
    <w:rsid w:val="00B745C3"/>
    <w:rsid w:val="00B75368"/>
    <w:rsid w:val="00B75B2E"/>
    <w:rsid w:val="00B75BBD"/>
    <w:rsid w:val="00B7647A"/>
    <w:rsid w:val="00B76E1D"/>
    <w:rsid w:val="00B76E9A"/>
    <w:rsid w:val="00B7739C"/>
    <w:rsid w:val="00B779A3"/>
    <w:rsid w:val="00B8014E"/>
    <w:rsid w:val="00B817CF"/>
    <w:rsid w:val="00B82EDC"/>
    <w:rsid w:val="00B8301B"/>
    <w:rsid w:val="00B83034"/>
    <w:rsid w:val="00B83E40"/>
    <w:rsid w:val="00B83F01"/>
    <w:rsid w:val="00B84580"/>
    <w:rsid w:val="00B84A58"/>
    <w:rsid w:val="00B858CD"/>
    <w:rsid w:val="00B85B08"/>
    <w:rsid w:val="00B85CFE"/>
    <w:rsid w:val="00B862F5"/>
    <w:rsid w:val="00B867B2"/>
    <w:rsid w:val="00B86E31"/>
    <w:rsid w:val="00B87ECB"/>
    <w:rsid w:val="00B9032A"/>
    <w:rsid w:val="00B907DA"/>
    <w:rsid w:val="00B9086E"/>
    <w:rsid w:val="00B90F31"/>
    <w:rsid w:val="00B91616"/>
    <w:rsid w:val="00B9168C"/>
    <w:rsid w:val="00B91D52"/>
    <w:rsid w:val="00B91D80"/>
    <w:rsid w:val="00B91DDD"/>
    <w:rsid w:val="00B92960"/>
    <w:rsid w:val="00B9296A"/>
    <w:rsid w:val="00B9372B"/>
    <w:rsid w:val="00B939A1"/>
    <w:rsid w:val="00B95963"/>
    <w:rsid w:val="00B95CD9"/>
    <w:rsid w:val="00B95F51"/>
    <w:rsid w:val="00B964B8"/>
    <w:rsid w:val="00B9764A"/>
    <w:rsid w:val="00BA0995"/>
    <w:rsid w:val="00BA121D"/>
    <w:rsid w:val="00BA14A5"/>
    <w:rsid w:val="00BA1C81"/>
    <w:rsid w:val="00BA232A"/>
    <w:rsid w:val="00BA37AD"/>
    <w:rsid w:val="00BA38A5"/>
    <w:rsid w:val="00BA39C2"/>
    <w:rsid w:val="00BA3D9A"/>
    <w:rsid w:val="00BA3E2B"/>
    <w:rsid w:val="00BA5699"/>
    <w:rsid w:val="00BA590F"/>
    <w:rsid w:val="00BA5B39"/>
    <w:rsid w:val="00BA5BE7"/>
    <w:rsid w:val="00BA66DF"/>
    <w:rsid w:val="00BA6BD7"/>
    <w:rsid w:val="00BA77CB"/>
    <w:rsid w:val="00BA7BE7"/>
    <w:rsid w:val="00BA7FE4"/>
    <w:rsid w:val="00BB03AA"/>
    <w:rsid w:val="00BB03C1"/>
    <w:rsid w:val="00BB0C4D"/>
    <w:rsid w:val="00BB136D"/>
    <w:rsid w:val="00BB17E3"/>
    <w:rsid w:val="00BB1A54"/>
    <w:rsid w:val="00BB21A2"/>
    <w:rsid w:val="00BB3403"/>
    <w:rsid w:val="00BB3847"/>
    <w:rsid w:val="00BB3AE4"/>
    <w:rsid w:val="00BB4878"/>
    <w:rsid w:val="00BB567C"/>
    <w:rsid w:val="00BB5A3A"/>
    <w:rsid w:val="00BB5A95"/>
    <w:rsid w:val="00BB5CB2"/>
    <w:rsid w:val="00BB5F77"/>
    <w:rsid w:val="00BB6348"/>
    <w:rsid w:val="00BB6A70"/>
    <w:rsid w:val="00BB6C2E"/>
    <w:rsid w:val="00BB708C"/>
    <w:rsid w:val="00BB71C1"/>
    <w:rsid w:val="00BB759C"/>
    <w:rsid w:val="00BB791B"/>
    <w:rsid w:val="00BC0240"/>
    <w:rsid w:val="00BC0646"/>
    <w:rsid w:val="00BC0756"/>
    <w:rsid w:val="00BC157E"/>
    <w:rsid w:val="00BC1B0C"/>
    <w:rsid w:val="00BC1D93"/>
    <w:rsid w:val="00BC1E18"/>
    <w:rsid w:val="00BC318D"/>
    <w:rsid w:val="00BC33CE"/>
    <w:rsid w:val="00BC4053"/>
    <w:rsid w:val="00BC43E4"/>
    <w:rsid w:val="00BC4F5B"/>
    <w:rsid w:val="00BC54E7"/>
    <w:rsid w:val="00BC55C4"/>
    <w:rsid w:val="00BC606F"/>
    <w:rsid w:val="00BC62D3"/>
    <w:rsid w:val="00BC683E"/>
    <w:rsid w:val="00BC6E25"/>
    <w:rsid w:val="00BC7840"/>
    <w:rsid w:val="00BC78B1"/>
    <w:rsid w:val="00BD0BC5"/>
    <w:rsid w:val="00BD1B53"/>
    <w:rsid w:val="00BD2767"/>
    <w:rsid w:val="00BD2BAD"/>
    <w:rsid w:val="00BD2E85"/>
    <w:rsid w:val="00BD3B17"/>
    <w:rsid w:val="00BD3B92"/>
    <w:rsid w:val="00BD3BFE"/>
    <w:rsid w:val="00BD3F75"/>
    <w:rsid w:val="00BD4D9F"/>
    <w:rsid w:val="00BD52CF"/>
    <w:rsid w:val="00BD574C"/>
    <w:rsid w:val="00BD58F4"/>
    <w:rsid w:val="00BD5B0B"/>
    <w:rsid w:val="00BD6036"/>
    <w:rsid w:val="00BD6A3D"/>
    <w:rsid w:val="00BD70BC"/>
    <w:rsid w:val="00BD72C8"/>
    <w:rsid w:val="00BD76F3"/>
    <w:rsid w:val="00BE0201"/>
    <w:rsid w:val="00BE11A2"/>
    <w:rsid w:val="00BE2F12"/>
    <w:rsid w:val="00BE2F70"/>
    <w:rsid w:val="00BE3B26"/>
    <w:rsid w:val="00BE58F1"/>
    <w:rsid w:val="00BE5B63"/>
    <w:rsid w:val="00BE5BC2"/>
    <w:rsid w:val="00BE5DB8"/>
    <w:rsid w:val="00BE6759"/>
    <w:rsid w:val="00BE68EC"/>
    <w:rsid w:val="00BE6D0F"/>
    <w:rsid w:val="00BE6E6B"/>
    <w:rsid w:val="00BE7AA1"/>
    <w:rsid w:val="00BE7F2B"/>
    <w:rsid w:val="00BF0D59"/>
    <w:rsid w:val="00BF242F"/>
    <w:rsid w:val="00BF3362"/>
    <w:rsid w:val="00BF3927"/>
    <w:rsid w:val="00BF3ED3"/>
    <w:rsid w:val="00BF4079"/>
    <w:rsid w:val="00BF40C5"/>
    <w:rsid w:val="00BF4C34"/>
    <w:rsid w:val="00BF5A24"/>
    <w:rsid w:val="00BF74D2"/>
    <w:rsid w:val="00BF76FE"/>
    <w:rsid w:val="00BF7CEC"/>
    <w:rsid w:val="00C0132B"/>
    <w:rsid w:val="00C01716"/>
    <w:rsid w:val="00C01AB7"/>
    <w:rsid w:val="00C02190"/>
    <w:rsid w:val="00C02CA1"/>
    <w:rsid w:val="00C043ED"/>
    <w:rsid w:val="00C04A70"/>
    <w:rsid w:val="00C05684"/>
    <w:rsid w:val="00C0572B"/>
    <w:rsid w:val="00C05F15"/>
    <w:rsid w:val="00C07162"/>
    <w:rsid w:val="00C074CE"/>
    <w:rsid w:val="00C0776B"/>
    <w:rsid w:val="00C077CD"/>
    <w:rsid w:val="00C1028C"/>
    <w:rsid w:val="00C10331"/>
    <w:rsid w:val="00C1035A"/>
    <w:rsid w:val="00C10489"/>
    <w:rsid w:val="00C10A94"/>
    <w:rsid w:val="00C11084"/>
    <w:rsid w:val="00C11093"/>
    <w:rsid w:val="00C112E4"/>
    <w:rsid w:val="00C12ADC"/>
    <w:rsid w:val="00C12B20"/>
    <w:rsid w:val="00C12BD8"/>
    <w:rsid w:val="00C12D1B"/>
    <w:rsid w:val="00C13603"/>
    <w:rsid w:val="00C137E4"/>
    <w:rsid w:val="00C13C0F"/>
    <w:rsid w:val="00C13EB6"/>
    <w:rsid w:val="00C141F3"/>
    <w:rsid w:val="00C149FD"/>
    <w:rsid w:val="00C14A7E"/>
    <w:rsid w:val="00C14D30"/>
    <w:rsid w:val="00C1605A"/>
    <w:rsid w:val="00C16773"/>
    <w:rsid w:val="00C16AE7"/>
    <w:rsid w:val="00C17ED8"/>
    <w:rsid w:val="00C20621"/>
    <w:rsid w:val="00C206DF"/>
    <w:rsid w:val="00C20BDC"/>
    <w:rsid w:val="00C215D7"/>
    <w:rsid w:val="00C216B9"/>
    <w:rsid w:val="00C21F8D"/>
    <w:rsid w:val="00C24AD8"/>
    <w:rsid w:val="00C255F1"/>
    <w:rsid w:val="00C2742D"/>
    <w:rsid w:val="00C27740"/>
    <w:rsid w:val="00C3079A"/>
    <w:rsid w:val="00C31174"/>
    <w:rsid w:val="00C3123B"/>
    <w:rsid w:val="00C32493"/>
    <w:rsid w:val="00C337BF"/>
    <w:rsid w:val="00C33D59"/>
    <w:rsid w:val="00C33DF2"/>
    <w:rsid w:val="00C33E1A"/>
    <w:rsid w:val="00C33F66"/>
    <w:rsid w:val="00C344F4"/>
    <w:rsid w:val="00C34C88"/>
    <w:rsid w:val="00C34F0A"/>
    <w:rsid w:val="00C3518D"/>
    <w:rsid w:val="00C3535E"/>
    <w:rsid w:val="00C35507"/>
    <w:rsid w:val="00C36C69"/>
    <w:rsid w:val="00C36F98"/>
    <w:rsid w:val="00C3712D"/>
    <w:rsid w:val="00C37E07"/>
    <w:rsid w:val="00C41496"/>
    <w:rsid w:val="00C41697"/>
    <w:rsid w:val="00C421CA"/>
    <w:rsid w:val="00C42228"/>
    <w:rsid w:val="00C434FF"/>
    <w:rsid w:val="00C4366A"/>
    <w:rsid w:val="00C44193"/>
    <w:rsid w:val="00C44391"/>
    <w:rsid w:val="00C44539"/>
    <w:rsid w:val="00C44609"/>
    <w:rsid w:val="00C447E6"/>
    <w:rsid w:val="00C44CC9"/>
    <w:rsid w:val="00C45616"/>
    <w:rsid w:val="00C45CC1"/>
    <w:rsid w:val="00C46C44"/>
    <w:rsid w:val="00C47B7D"/>
    <w:rsid w:val="00C50006"/>
    <w:rsid w:val="00C51BB4"/>
    <w:rsid w:val="00C51C0E"/>
    <w:rsid w:val="00C52693"/>
    <w:rsid w:val="00C532C0"/>
    <w:rsid w:val="00C538BE"/>
    <w:rsid w:val="00C5421B"/>
    <w:rsid w:val="00C55164"/>
    <w:rsid w:val="00C552C6"/>
    <w:rsid w:val="00C560E6"/>
    <w:rsid w:val="00C5672D"/>
    <w:rsid w:val="00C56DBD"/>
    <w:rsid w:val="00C57BA0"/>
    <w:rsid w:val="00C60668"/>
    <w:rsid w:val="00C6071F"/>
    <w:rsid w:val="00C61C89"/>
    <w:rsid w:val="00C61DF3"/>
    <w:rsid w:val="00C623CE"/>
    <w:rsid w:val="00C62A99"/>
    <w:rsid w:val="00C63866"/>
    <w:rsid w:val="00C63A37"/>
    <w:rsid w:val="00C6441F"/>
    <w:rsid w:val="00C64695"/>
    <w:rsid w:val="00C647FF"/>
    <w:rsid w:val="00C65D2B"/>
    <w:rsid w:val="00C66BE6"/>
    <w:rsid w:val="00C70859"/>
    <w:rsid w:val="00C7118A"/>
    <w:rsid w:val="00C714E8"/>
    <w:rsid w:val="00C71C36"/>
    <w:rsid w:val="00C71F07"/>
    <w:rsid w:val="00C73BFB"/>
    <w:rsid w:val="00C74077"/>
    <w:rsid w:val="00C740C6"/>
    <w:rsid w:val="00C74464"/>
    <w:rsid w:val="00C74D6D"/>
    <w:rsid w:val="00C75136"/>
    <w:rsid w:val="00C756D2"/>
    <w:rsid w:val="00C759C7"/>
    <w:rsid w:val="00C75BDF"/>
    <w:rsid w:val="00C75D71"/>
    <w:rsid w:val="00C8001E"/>
    <w:rsid w:val="00C80095"/>
    <w:rsid w:val="00C8095B"/>
    <w:rsid w:val="00C81217"/>
    <w:rsid w:val="00C8193E"/>
    <w:rsid w:val="00C81945"/>
    <w:rsid w:val="00C81B63"/>
    <w:rsid w:val="00C821C0"/>
    <w:rsid w:val="00C82D28"/>
    <w:rsid w:val="00C82E45"/>
    <w:rsid w:val="00C836A4"/>
    <w:rsid w:val="00C837CB"/>
    <w:rsid w:val="00C8630D"/>
    <w:rsid w:val="00C8656B"/>
    <w:rsid w:val="00C86755"/>
    <w:rsid w:val="00C904A3"/>
    <w:rsid w:val="00C90EC4"/>
    <w:rsid w:val="00C9126C"/>
    <w:rsid w:val="00C91626"/>
    <w:rsid w:val="00C92893"/>
    <w:rsid w:val="00C93873"/>
    <w:rsid w:val="00C938A6"/>
    <w:rsid w:val="00C93D26"/>
    <w:rsid w:val="00C951EB"/>
    <w:rsid w:val="00C95F88"/>
    <w:rsid w:val="00C96207"/>
    <w:rsid w:val="00C966E6"/>
    <w:rsid w:val="00C9689A"/>
    <w:rsid w:val="00C96AC6"/>
    <w:rsid w:val="00C96C61"/>
    <w:rsid w:val="00C96FFE"/>
    <w:rsid w:val="00C975B9"/>
    <w:rsid w:val="00C97B68"/>
    <w:rsid w:val="00CA1AA4"/>
    <w:rsid w:val="00CA2612"/>
    <w:rsid w:val="00CA430E"/>
    <w:rsid w:val="00CA4F0C"/>
    <w:rsid w:val="00CA506B"/>
    <w:rsid w:val="00CA59A9"/>
    <w:rsid w:val="00CA5A83"/>
    <w:rsid w:val="00CA5B28"/>
    <w:rsid w:val="00CA62E2"/>
    <w:rsid w:val="00CA6EC6"/>
    <w:rsid w:val="00CB020A"/>
    <w:rsid w:val="00CB0D54"/>
    <w:rsid w:val="00CB123B"/>
    <w:rsid w:val="00CB282E"/>
    <w:rsid w:val="00CB2FFF"/>
    <w:rsid w:val="00CB4B10"/>
    <w:rsid w:val="00CB4F53"/>
    <w:rsid w:val="00CB5E5D"/>
    <w:rsid w:val="00CB6157"/>
    <w:rsid w:val="00CB6287"/>
    <w:rsid w:val="00CB637B"/>
    <w:rsid w:val="00CB646A"/>
    <w:rsid w:val="00CB6B8D"/>
    <w:rsid w:val="00CB6C45"/>
    <w:rsid w:val="00CB70B5"/>
    <w:rsid w:val="00CB73D6"/>
    <w:rsid w:val="00CB7F66"/>
    <w:rsid w:val="00CC0700"/>
    <w:rsid w:val="00CC12A9"/>
    <w:rsid w:val="00CC147E"/>
    <w:rsid w:val="00CC1B64"/>
    <w:rsid w:val="00CC2952"/>
    <w:rsid w:val="00CC2C7D"/>
    <w:rsid w:val="00CC3263"/>
    <w:rsid w:val="00CC33B0"/>
    <w:rsid w:val="00CC3691"/>
    <w:rsid w:val="00CC3C9C"/>
    <w:rsid w:val="00CC3E24"/>
    <w:rsid w:val="00CC415B"/>
    <w:rsid w:val="00CC50A0"/>
    <w:rsid w:val="00CC5A44"/>
    <w:rsid w:val="00CC5B1B"/>
    <w:rsid w:val="00CC5C49"/>
    <w:rsid w:val="00CC7254"/>
    <w:rsid w:val="00CC77FF"/>
    <w:rsid w:val="00CC7CE6"/>
    <w:rsid w:val="00CD00AC"/>
    <w:rsid w:val="00CD17AA"/>
    <w:rsid w:val="00CD1BEC"/>
    <w:rsid w:val="00CD29A5"/>
    <w:rsid w:val="00CD34B8"/>
    <w:rsid w:val="00CD3E61"/>
    <w:rsid w:val="00CD493A"/>
    <w:rsid w:val="00CD535C"/>
    <w:rsid w:val="00CD57DA"/>
    <w:rsid w:val="00CD5D0F"/>
    <w:rsid w:val="00CD7001"/>
    <w:rsid w:val="00CD777B"/>
    <w:rsid w:val="00CE04CA"/>
    <w:rsid w:val="00CE1051"/>
    <w:rsid w:val="00CE108A"/>
    <w:rsid w:val="00CE1B9D"/>
    <w:rsid w:val="00CE2F3E"/>
    <w:rsid w:val="00CE3103"/>
    <w:rsid w:val="00CE33DA"/>
    <w:rsid w:val="00CE5FA0"/>
    <w:rsid w:val="00CE668A"/>
    <w:rsid w:val="00CE6902"/>
    <w:rsid w:val="00CE6F07"/>
    <w:rsid w:val="00CE7193"/>
    <w:rsid w:val="00CE74C9"/>
    <w:rsid w:val="00CF068D"/>
    <w:rsid w:val="00CF0EB1"/>
    <w:rsid w:val="00CF2911"/>
    <w:rsid w:val="00CF2C5B"/>
    <w:rsid w:val="00CF311C"/>
    <w:rsid w:val="00CF319B"/>
    <w:rsid w:val="00CF31A0"/>
    <w:rsid w:val="00CF383A"/>
    <w:rsid w:val="00CF3A2C"/>
    <w:rsid w:val="00CF4519"/>
    <w:rsid w:val="00CF4F07"/>
    <w:rsid w:val="00CF5042"/>
    <w:rsid w:val="00CF5C10"/>
    <w:rsid w:val="00CF698B"/>
    <w:rsid w:val="00D00143"/>
    <w:rsid w:val="00D00DCA"/>
    <w:rsid w:val="00D00FCC"/>
    <w:rsid w:val="00D02948"/>
    <w:rsid w:val="00D030F5"/>
    <w:rsid w:val="00D03208"/>
    <w:rsid w:val="00D03E7A"/>
    <w:rsid w:val="00D03FFE"/>
    <w:rsid w:val="00D0538F"/>
    <w:rsid w:val="00D0584D"/>
    <w:rsid w:val="00D05C8B"/>
    <w:rsid w:val="00D06D63"/>
    <w:rsid w:val="00D06F5B"/>
    <w:rsid w:val="00D072B2"/>
    <w:rsid w:val="00D07B79"/>
    <w:rsid w:val="00D105C7"/>
    <w:rsid w:val="00D10624"/>
    <w:rsid w:val="00D11302"/>
    <w:rsid w:val="00D1199D"/>
    <w:rsid w:val="00D12158"/>
    <w:rsid w:val="00D15B1D"/>
    <w:rsid w:val="00D16694"/>
    <w:rsid w:val="00D1739E"/>
    <w:rsid w:val="00D17869"/>
    <w:rsid w:val="00D17DEC"/>
    <w:rsid w:val="00D17FCA"/>
    <w:rsid w:val="00D20C5E"/>
    <w:rsid w:val="00D20D97"/>
    <w:rsid w:val="00D21187"/>
    <w:rsid w:val="00D22808"/>
    <w:rsid w:val="00D22892"/>
    <w:rsid w:val="00D239AE"/>
    <w:rsid w:val="00D23A2F"/>
    <w:rsid w:val="00D23B3D"/>
    <w:rsid w:val="00D26FB9"/>
    <w:rsid w:val="00D275EF"/>
    <w:rsid w:val="00D27600"/>
    <w:rsid w:val="00D31918"/>
    <w:rsid w:val="00D33A94"/>
    <w:rsid w:val="00D33F8C"/>
    <w:rsid w:val="00D34AB1"/>
    <w:rsid w:val="00D35E26"/>
    <w:rsid w:val="00D40095"/>
    <w:rsid w:val="00D41094"/>
    <w:rsid w:val="00D42BDB"/>
    <w:rsid w:val="00D445C0"/>
    <w:rsid w:val="00D453D0"/>
    <w:rsid w:val="00D45743"/>
    <w:rsid w:val="00D4574E"/>
    <w:rsid w:val="00D45A8D"/>
    <w:rsid w:val="00D463CC"/>
    <w:rsid w:val="00D46C8B"/>
    <w:rsid w:val="00D503F9"/>
    <w:rsid w:val="00D50B2F"/>
    <w:rsid w:val="00D50B82"/>
    <w:rsid w:val="00D5176E"/>
    <w:rsid w:val="00D52063"/>
    <w:rsid w:val="00D532BF"/>
    <w:rsid w:val="00D5352D"/>
    <w:rsid w:val="00D536A3"/>
    <w:rsid w:val="00D53F12"/>
    <w:rsid w:val="00D5486C"/>
    <w:rsid w:val="00D5502E"/>
    <w:rsid w:val="00D56364"/>
    <w:rsid w:val="00D564FD"/>
    <w:rsid w:val="00D573C7"/>
    <w:rsid w:val="00D57452"/>
    <w:rsid w:val="00D5747F"/>
    <w:rsid w:val="00D57491"/>
    <w:rsid w:val="00D6156A"/>
    <w:rsid w:val="00D622F4"/>
    <w:rsid w:val="00D6253A"/>
    <w:rsid w:val="00D627FD"/>
    <w:rsid w:val="00D63021"/>
    <w:rsid w:val="00D631A3"/>
    <w:rsid w:val="00D644B0"/>
    <w:rsid w:val="00D65B6F"/>
    <w:rsid w:val="00D6627C"/>
    <w:rsid w:val="00D6686A"/>
    <w:rsid w:val="00D67608"/>
    <w:rsid w:val="00D67680"/>
    <w:rsid w:val="00D67B33"/>
    <w:rsid w:val="00D67C19"/>
    <w:rsid w:val="00D70D85"/>
    <w:rsid w:val="00D70FF8"/>
    <w:rsid w:val="00D71085"/>
    <w:rsid w:val="00D7108E"/>
    <w:rsid w:val="00D71C89"/>
    <w:rsid w:val="00D723E4"/>
    <w:rsid w:val="00D73468"/>
    <w:rsid w:val="00D735E6"/>
    <w:rsid w:val="00D74773"/>
    <w:rsid w:val="00D747D7"/>
    <w:rsid w:val="00D74DE5"/>
    <w:rsid w:val="00D757F4"/>
    <w:rsid w:val="00D75AA1"/>
    <w:rsid w:val="00D76C02"/>
    <w:rsid w:val="00D76D26"/>
    <w:rsid w:val="00D76DFA"/>
    <w:rsid w:val="00D77A38"/>
    <w:rsid w:val="00D77C5D"/>
    <w:rsid w:val="00D8019E"/>
    <w:rsid w:val="00D805DE"/>
    <w:rsid w:val="00D806F9"/>
    <w:rsid w:val="00D817F8"/>
    <w:rsid w:val="00D81E0E"/>
    <w:rsid w:val="00D8223A"/>
    <w:rsid w:val="00D82B57"/>
    <w:rsid w:val="00D82C25"/>
    <w:rsid w:val="00D82DF7"/>
    <w:rsid w:val="00D834B3"/>
    <w:rsid w:val="00D839E6"/>
    <w:rsid w:val="00D83F09"/>
    <w:rsid w:val="00D860B0"/>
    <w:rsid w:val="00D86BD0"/>
    <w:rsid w:val="00D871BD"/>
    <w:rsid w:val="00D8741E"/>
    <w:rsid w:val="00D8788C"/>
    <w:rsid w:val="00D90038"/>
    <w:rsid w:val="00D905FA"/>
    <w:rsid w:val="00D90CD6"/>
    <w:rsid w:val="00D90D4E"/>
    <w:rsid w:val="00D90E70"/>
    <w:rsid w:val="00D910DF"/>
    <w:rsid w:val="00D913CE"/>
    <w:rsid w:val="00D915F9"/>
    <w:rsid w:val="00D9250D"/>
    <w:rsid w:val="00D926B3"/>
    <w:rsid w:val="00D92962"/>
    <w:rsid w:val="00D92CE5"/>
    <w:rsid w:val="00D92FD5"/>
    <w:rsid w:val="00D93198"/>
    <w:rsid w:val="00D934E2"/>
    <w:rsid w:val="00D937FF"/>
    <w:rsid w:val="00D94940"/>
    <w:rsid w:val="00D9507B"/>
    <w:rsid w:val="00D95223"/>
    <w:rsid w:val="00D95AAB"/>
    <w:rsid w:val="00D960AE"/>
    <w:rsid w:val="00D96199"/>
    <w:rsid w:val="00D964E6"/>
    <w:rsid w:val="00D97D40"/>
    <w:rsid w:val="00D97FE3"/>
    <w:rsid w:val="00DA0AE6"/>
    <w:rsid w:val="00DA151C"/>
    <w:rsid w:val="00DA1A68"/>
    <w:rsid w:val="00DA41B0"/>
    <w:rsid w:val="00DA4361"/>
    <w:rsid w:val="00DA57A8"/>
    <w:rsid w:val="00DA5CC3"/>
    <w:rsid w:val="00DA682A"/>
    <w:rsid w:val="00DA6EEE"/>
    <w:rsid w:val="00DA710F"/>
    <w:rsid w:val="00DA74AC"/>
    <w:rsid w:val="00DA7DE6"/>
    <w:rsid w:val="00DB0AAE"/>
    <w:rsid w:val="00DB1C8D"/>
    <w:rsid w:val="00DB27AF"/>
    <w:rsid w:val="00DB3B6C"/>
    <w:rsid w:val="00DB4478"/>
    <w:rsid w:val="00DB52DD"/>
    <w:rsid w:val="00DB645D"/>
    <w:rsid w:val="00DB68B7"/>
    <w:rsid w:val="00DB794C"/>
    <w:rsid w:val="00DC03BB"/>
    <w:rsid w:val="00DC2E9D"/>
    <w:rsid w:val="00DC4783"/>
    <w:rsid w:val="00DC4E86"/>
    <w:rsid w:val="00DC58EF"/>
    <w:rsid w:val="00DC5B09"/>
    <w:rsid w:val="00DC5CF8"/>
    <w:rsid w:val="00DC6007"/>
    <w:rsid w:val="00DC6020"/>
    <w:rsid w:val="00DC6030"/>
    <w:rsid w:val="00DC60BA"/>
    <w:rsid w:val="00DC6856"/>
    <w:rsid w:val="00DC69D0"/>
    <w:rsid w:val="00DC6D99"/>
    <w:rsid w:val="00DC7482"/>
    <w:rsid w:val="00DC7553"/>
    <w:rsid w:val="00DC7AA9"/>
    <w:rsid w:val="00DD065B"/>
    <w:rsid w:val="00DD1211"/>
    <w:rsid w:val="00DD1C03"/>
    <w:rsid w:val="00DD2121"/>
    <w:rsid w:val="00DD23C8"/>
    <w:rsid w:val="00DD307B"/>
    <w:rsid w:val="00DD31C6"/>
    <w:rsid w:val="00DD43F9"/>
    <w:rsid w:val="00DD4B14"/>
    <w:rsid w:val="00DD4E5F"/>
    <w:rsid w:val="00DD4F6D"/>
    <w:rsid w:val="00DD5002"/>
    <w:rsid w:val="00DD5249"/>
    <w:rsid w:val="00DD61E4"/>
    <w:rsid w:val="00DD631A"/>
    <w:rsid w:val="00DD6E43"/>
    <w:rsid w:val="00DD7EE2"/>
    <w:rsid w:val="00DE0748"/>
    <w:rsid w:val="00DE0E06"/>
    <w:rsid w:val="00DE0E45"/>
    <w:rsid w:val="00DE1FB0"/>
    <w:rsid w:val="00DE2233"/>
    <w:rsid w:val="00DE2299"/>
    <w:rsid w:val="00DE38BE"/>
    <w:rsid w:val="00DE3AEE"/>
    <w:rsid w:val="00DE3BCB"/>
    <w:rsid w:val="00DE43EF"/>
    <w:rsid w:val="00DE49EE"/>
    <w:rsid w:val="00DE50B9"/>
    <w:rsid w:val="00DE5D93"/>
    <w:rsid w:val="00DE5E1A"/>
    <w:rsid w:val="00DE6D35"/>
    <w:rsid w:val="00DE71C3"/>
    <w:rsid w:val="00DE73CE"/>
    <w:rsid w:val="00DE7612"/>
    <w:rsid w:val="00DF12F7"/>
    <w:rsid w:val="00DF14BD"/>
    <w:rsid w:val="00DF15B5"/>
    <w:rsid w:val="00DF2C0D"/>
    <w:rsid w:val="00DF2C92"/>
    <w:rsid w:val="00DF31B0"/>
    <w:rsid w:val="00DF4060"/>
    <w:rsid w:val="00DF4607"/>
    <w:rsid w:val="00DF57B8"/>
    <w:rsid w:val="00DF6BCB"/>
    <w:rsid w:val="00DF7201"/>
    <w:rsid w:val="00E00150"/>
    <w:rsid w:val="00E005A9"/>
    <w:rsid w:val="00E00BB2"/>
    <w:rsid w:val="00E01232"/>
    <w:rsid w:val="00E01A18"/>
    <w:rsid w:val="00E01D80"/>
    <w:rsid w:val="00E0449F"/>
    <w:rsid w:val="00E068C3"/>
    <w:rsid w:val="00E071EB"/>
    <w:rsid w:val="00E07951"/>
    <w:rsid w:val="00E115BF"/>
    <w:rsid w:val="00E1232B"/>
    <w:rsid w:val="00E12337"/>
    <w:rsid w:val="00E13318"/>
    <w:rsid w:val="00E13B21"/>
    <w:rsid w:val="00E14036"/>
    <w:rsid w:val="00E1469D"/>
    <w:rsid w:val="00E15F2E"/>
    <w:rsid w:val="00E15F52"/>
    <w:rsid w:val="00E17CC5"/>
    <w:rsid w:val="00E200BA"/>
    <w:rsid w:val="00E20193"/>
    <w:rsid w:val="00E20535"/>
    <w:rsid w:val="00E205B6"/>
    <w:rsid w:val="00E209FF"/>
    <w:rsid w:val="00E22A45"/>
    <w:rsid w:val="00E23418"/>
    <w:rsid w:val="00E23800"/>
    <w:rsid w:val="00E246EB"/>
    <w:rsid w:val="00E26B0D"/>
    <w:rsid w:val="00E2719F"/>
    <w:rsid w:val="00E2760F"/>
    <w:rsid w:val="00E301B9"/>
    <w:rsid w:val="00E303A1"/>
    <w:rsid w:val="00E30680"/>
    <w:rsid w:val="00E3119D"/>
    <w:rsid w:val="00E319F2"/>
    <w:rsid w:val="00E32216"/>
    <w:rsid w:val="00E32926"/>
    <w:rsid w:val="00E32C4D"/>
    <w:rsid w:val="00E33FF8"/>
    <w:rsid w:val="00E343B3"/>
    <w:rsid w:val="00E359BA"/>
    <w:rsid w:val="00E3650B"/>
    <w:rsid w:val="00E3686F"/>
    <w:rsid w:val="00E3715D"/>
    <w:rsid w:val="00E411EB"/>
    <w:rsid w:val="00E417DE"/>
    <w:rsid w:val="00E41A2F"/>
    <w:rsid w:val="00E41A32"/>
    <w:rsid w:val="00E42554"/>
    <w:rsid w:val="00E4256C"/>
    <w:rsid w:val="00E42D48"/>
    <w:rsid w:val="00E44B60"/>
    <w:rsid w:val="00E45122"/>
    <w:rsid w:val="00E453AE"/>
    <w:rsid w:val="00E45F41"/>
    <w:rsid w:val="00E468D7"/>
    <w:rsid w:val="00E4709D"/>
    <w:rsid w:val="00E4724C"/>
    <w:rsid w:val="00E4738C"/>
    <w:rsid w:val="00E5053C"/>
    <w:rsid w:val="00E51AD4"/>
    <w:rsid w:val="00E52A90"/>
    <w:rsid w:val="00E538E8"/>
    <w:rsid w:val="00E53DE4"/>
    <w:rsid w:val="00E5406D"/>
    <w:rsid w:val="00E54C73"/>
    <w:rsid w:val="00E54D27"/>
    <w:rsid w:val="00E551E5"/>
    <w:rsid w:val="00E56A78"/>
    <w:rsid w:val="00E56F75"/>
    <w:rsid w:val="00E57352"/>
    <w:rsid w:val="00E57F9F"/>
    <w:rsid w:val="00E60059"/>
    <w:rsid w:val="00E60C08"/>
    <w:rsid w:val="00E61529"/>
    <w:rsid w:val="00E61A42"/>
    <w:rsid w:val="00E62031"/>
    <w:rsid w:val="00E62665"/>
    <w:rsid w:val="00E62D02"/>
    <w:rsid w:val="00E63D7F"/>
    <w:rsid w:val="00E63F37"/>
    <w:rsid w:val="00E642EC"/>
    <w:rsid w:val="00E643C2"/>
    <w:rsid w:val="00E66351"/>
    <w:rsid w:val="00E66388"/>
    <w:rsid w:val="00E664A7"/>
    <w:rsid w:val="00E66AFC"/>
    <w:rsid w:val="00E671C5"/>
    <w:rsid w:val="00E67746"/>
    <w:rsid w:val="00E67A72"/>
    <w:rsid w:val="00E701D7"/>
    <w:rsid w:val="00E7101B"/>
    <w:rsid w:val="00E71324"/>
    <w:rsid w:val="00E71659"/>
    <w:rsid w:val="00E7230F"/>
    <w:rsid w:val="00E75290"/>
    <w:rsid w:val="00E75374"/>
    <w:rsid w:val="00E756A1"/>
    <w:rsid w:val="00E75B42"/>
    <w:rsid w:val="00E75FD2"/>
    <w:rsid w:val="00E760B7"/>
    <w:rsid w:val="00E774D3"/>
    <w:rsid w:val="00E775E9"/>
    <w:rsid w:val="00E77C6B"/>
    <w:rsid w:val="00E80853"/>
    <w:rsid w:val="00E809E9"/>
    <w:rsid w:val="00E80C8C"/>
    <w:rsid w:val="00E80DC5"/>
    <w:rsid w:val="00E8129D"/>
    <w:rsid w:val="00E817C8"/>
    <w:rsid w:val="00E81DD9"/>
    <w:rsid w:val="00E81E4F"/>
    <w:rsid w:val="00E81EFF"/>
    <w:rsid w:val="00E82069"/>
    <w:rsid w:val="00E823F0"/>
    <w:rsid w:val="00E825D7"/>
    <w:rsid w:val="00E82F74"/>
    <w:rsid w:val="00E83795"/>
    <w:rsid w:val="00E83FB1"/>
    <w:rsid w:val="00E842E3"/>
    <w:rsid w:val="00E84409"/>
    <w:rsid w:val="00E84552"/>
    <w:rsid w:val="00E84CD6"/>
    <w:rsid w:val="00E85014"/>
    <w:rsid w:val="00E85565"/>
    <w:rsid w:val="00E85BBB"/>
    <w:rsid w:val="00E868E7"/>
    <w:rsid w:val="00E86E55"/>
    <w:rsid w:val="00E87379"/>
    <w:rsid w:val="00E9026F"/>
    <w:rsid w:val="00E90EC4"/>
    <w:rsid w:val="00E91D44"/>
    <w:rsid w:val="00E92009"/>
    <w:rsid w:val="00E93190"/>
    <w:rsid w:val="00E93CE0"/>
    <w:rsid w:val="00E93E68"/>
    <w:rsid w:val="00E942A9"/>
    <w:rsid w:val="00E94CEE"/>
    <w:rsid w:val="00E961F6"/>
    <w:rsid w:val="00E9656D"/>
    <w:rsid w:val="00E96706"/>
    <w:rsid w:val="00E96A85"/>
    <w:rsid w:val="00E96F53"/>
    <w:rsid w:val="00E96F6E"/>
    <w:rsid w:val="00E979D3"/>
    <w:rsid w:val="00EA0D27"/>
    <w:rsid w:val="00EA1C37"/>
    <w:rsid w:val="00EA1C9F"/>
    <w:rsid w:val="00EA274E"/>
    <w:rsid w:val="00EA2ADF"/>
    <w:rsid w:val="00EA2EED"/>
    <w:rsid w:val="00EA6A6F"/>
    <w:rsid w:val="00EA7202"/>
    <w:rsid w:val="00EA7383"/>
    <w:rsid w:val="00EA757B"/>
    <w:rsid w:val="00EB00F9"/>
    <w:rsid w:val="00EB06D8"/>
    <w:rsid w:val="00EB2431"/>
    <w:rsid w:val="00EB3BD8"/>
    <w:rsid w:val="00EB4005"/>
    <w:rsid w:val="00EB403A"/>
    <w:rsid w:val="00EB458E"/>
    <w:rsid w:val="00EB47A8"/>
    <w:rsid w:val="00EB4A9B"/>
    <w:rsid w:val="00EB5F6E"/>
    <w:rsid w:val="00EB5F95"/>
    <w:rsid w:val="00EB6DF6"/>
    <w:rsid w:val="00EB71E3"/>
    <w:rsid w:val="00EB752F"/>
    <w:rsid w:val="00EB7803"/>
    <w:rsid w:val="00EB7AED"/>
    <w:rsid w:val="00EC0042"/>
    <w:rsid w:val="00EC0801"/>
    <w:rsid w:val="00EC0EEF"/>
    <w:rsid w:val="00EC1847"/>
    <w:rsid w:val="00EC227C"/>
    <w:rsid w:val="00EC23BF"/>
    <w:rsid w:val="00EC24FD"/>
    <w:rsid w:val="00EC2625"/>
    <w:rsid w:val="00EC2E30"/>
    <w:rsid w:val="00EC3517"/>
    <w:rsid w:val="00EC4758"/>
    <w:rsid w:val="00EC60D3"/>
    <w:rsid w:val="00EC7922"/>
    <w:rsid w:val="00ED04E5"/>
    <w:rsid w:val="00ED1062"/>
    <w:rsid w:val="00ED1922"/>
    <w:rsid w:val="00ED1CF2"/>
    <w:rsid w:val="00ED2EA8"/>
    <w:rsid w:val="00ED33B8"/>
    <w:rsid w:val="00ED381A"/>
    <w:rsid w:val="00ED40AD"/>
    <w:rsid w:val="00ED43F7"/>
    <w:rsid w:val="00ED465D"/>
    <w:rsid w:val="00ED4F80"/>
    <w:rsid w:val="00ED593D"/>
    <w:rsid w:val="00ED7489"/>
    <w:rsid w:val="00ED79D9"/>
    <w:rsid w:val="00ED7AD9"/>
    <w:rsid w:val="00EE0600"/>
    <w:rsid w:val="00EE080F"/>
    <w:rsid w:val="00EE1C25"/>
    <w:rsid w:val="00EE1DBF"/>
    <w:rsid w:val="00EE246F"/>
    <w:rsid w:val="00EE37EF"/>
    <w:rsid w:val="00EE43CA"/>
    <w:rsid w:val="00EE5143"/>
    <w:rsid w:val="00EE5306"/>
    <w:rsid w:val="00EE55A0"/>
    <w:rsid w:val="00EE6175"/>
    <w:rsid w:val="00EE64EF"/>
    <w:rsid w:val="00EE6524"/>
    <w:rsid w:val="00EE704B"/>
    <w:rsid w:val="00EE7C2B"/>
    <w:rsid w:val="00EE7C99"/>
    <w:rsid w:val="00EF15E6"/>
    <w:rsid w:val="00EF1DAF"/>
    <w:rsid w:val="00EF1E7D"/>
    <w:rsid w:val="00EF239A"/>
    <w:rsid w:val="00EF2662"/>
    <w:rsid w:val="00EF2B98"/>
    <w:rsid w:val="00EF36CD"/>
    <w:rsid w:val="00EF506A"/>
    <w:rsid w:val="00EF5DFD"/>
    <w:rsid w:val="00EF6B1C"/>
    <w:rsid w:val="00EF6CF1"/>
    <w:rsid w:val="00EF7025"/>
    <w:rsid w:val="00EF7858"/>
    <w:rsid w:val="00EF786C"/>
    <w:rsid w:val="00F001BA"/>
    <w:rsid w:val="00F01458"/>
    <w:rsid w:val="00F0167C"/>
    <w:rsid w:val="00F022D5"/>
    <w:rsid w:val="00F02B18"/>
    <w:rsid w:val="00F0332F"/>
    <w:rsid w:val="00F033B3"/>
    <w:rsid w:val="00F040BA"/>
    <w:rsid w:val="00F04127"/>
    <w:rsid w:val="00F06518"/>
    <w:rsid w:val="00F067EA"/>
    <w:rsid w:val="00F073E6"/>
    <w:rsid w:val="00F074C6"/>
    <w:rsid w:val="00F07549"/>
    <w:rsid w:val="00F0793A"/>
    <w:rsid w:val="00F105AA"/>
    <w:rsid w:val="00F1065D"/>
    <w:rsid w:val="00F11463"/>
    <w:rsid w:val="00F120C5"/>
    <w:rsid w:val="00F12616"/>
    <w:rsid w:val="00F12E6C"/>
    <w:rsid w:val="00F1315B"/>
    <w:rsid w:val="00F131CF"/>
    <w:rsid w:val="00F13302"/>
    <w:rsid w:val="00F1391C"/>
    <w:rsid w:val="00F1393C"/>
    <w:rsid w:val="00F13DB6"/>
    <w:rsid w:val="00F14432"/>
    <w:rsid w:val="00F15041"/>
    <w:rsid w:val="00F17334"/>
    <w:rsid w:val="00F17E0A"/>
    <w:rsid w:val="00F20437"/>
    <w:rsid w:val="00F21236"/>
    <w:rsid w:val="00F229F2"/>
    <w:rsid w:val="00F230D7"/>
    <w:rsid w:val="00F237C3"/>
    <w:rsid w:val="00F23E22"/>
    <w:rsid w:val="00F24397"/>
    <w:rsid w:val="00F2442D"/>
    <w:rsid w:val="00F24AF8"/>
    <w:rsid w:val="00F24C07"/>
    <w:rsid w:val="00F24CD1"/>
    <w:rsid w:val="00F24D21"/>
    <w:rsid w:val="00F24E3D"/>
    <w:rsid w:val="00F250B9"/>
    <w:rsid w:val="00F26613"/>
    <w:rsid w:val="00F2676F"/>
    <w:rsid w:val="00F271ED"/>
    <w:rsid w:val="00F27426"/>
    <w:rsid w:val="00F279A6"/>
    <w:rsid w:val="00F32FA9"/>
    <w:rsid w:val="00F3317D"/>
    <w:rsid w:val="00F33427"/>
    <w:rsid w:val="00F3384E"/>
    <w:rsid w:val="00F34905"/>
    <w:rsid w:val="00F35B5F"/>
    <w:rsid w:val="00F35F7C"/>
    <w:rsid w:val="00F35FD5"/>
    <w:rsid w:val="00F3702D"/>
    <w:rsid w:val="00F37238"/>
    <w:rsid w:val="00F37CEC"/>
    <w:rsid w:val="00F406E0"/>
    <w:rsid w:val="00F414F8"/>
    <w:rsid w:val="00F41E24"/>
    <w:rsid w:val="00F41E3E"/>
    <w:rsid w:val="00F4207A"/>
    <w:rsid w:val="00F4260B"/>
    <w:rsid w:val="00F42816"/>
    <w:rsid w:val="00F432FC"/>
    <w:rsid w:val="00F434C0"/>
    <w:rsid w:val="00F4510F"/>
    <w:rsid w:val="00F45262"/>
    <w:rsid w:val="00F4548B"/>
    <w:rsid w:val="00F45594"/>
    <w:rsid w:val="00F457A0"/>
    <w:rsid w:val="00F45F0D"/>
    <w:rsid w:val="00F475FD"/>
    <w:rsid w:val="00F51090"/>
    <w:rsid w:val="00F51DD6"/>
    <w:rsid w:val="00F5239B"/>
    <w:rsid w:val="00F52B7F"/>
    <w:rsid w:val="00F537A2"/>
    <w:rsid w:val="00F5535F"/>
    <w:rsid w:val="00F5567E"/>
    <w:rsid w:val="00F556E7"/>
    <w:rsid w:val="00F55AB1"/>
    <w:rsid w:val="00F55BCF"/>
    <w:rsid w:val="00F55CC6"/>
    <w:rsid w:val="00F56347"/>
    <w:rsid w:val="00F56524"/>
    <w:rsid w:val="00F56DBA"/>
    <w:rsid w:val="00F57449"/>
    <w:rsid w:val="00F576E4"/>
    <w:rsid w:val="00F578C3"/>
    <w:rsid w:val="00F57AEA"/>
    <w:rsid w:val="00F60E7F"/>
    <w:rsid w:val="00F611A3"/>
    <w:rsid w:val="00F6237E"/>
    <w:rsid w:val="00F629C6"/>
    <w:rsid w:val="00F646BA"/>
    <w:rsid w:val="00F65F57"/>
    <w:rsid w:val="00F66901"/>
    <w:rsid w:val="00F66960"/>
    <w:rsid w:val="00F66B9E"/>
    <w:rsid w:val="00F6716A"/>
    <w:rsid w:val="00F70813"/>
    <w:rsid w:val="00F7091E"/>
    <w:rsid w:val="00F718B2"/>
    <w:rsid w:val="00F71DD6"/>
    <w:rsid w:val="00F72079"/>
    <w:rsid w:val="00F72CAA"/>
    <w:rsid w:val="00F72D32"/>
    <w:rsid w:val="00F73197"/>
    <w:rsid w:val="00F73801"/>
    <w:rsid w:val="00F739C5"/>
    <w:rsid w:val="00F73C12"/>
    <w:rsid w:val="00F73FE6"/>
    <w:rsid w:val="00F754FC"/>
    <w:rsid w:val="00F75631"/>
    <w:rsid w:val="00F75A8C"/>
    <w:rsid w:val="00F75B23"/>
    <w:rsid w:val="00F7699A"/>
    <w:rsid w:val="00F76F55"/>
    <w:rsid w:val="00F770E6"/>
    <w:rsid w:val="00F77151"/>
    <w:rsid w:val="00F7752F"/>
    <w:rsid w:val="00F77A57"/>
    <w:rsid w:val="00F8038E"/>
    <w:rsid w:val="00F80840"/>
    <w:rsid w:val="00F81213"/>
    <w:rsid w:val="00F81579"/>
    <w:rsid w:val="00F81627"/>
    <w:rsid w:val="00F81F37"/>
    <w:rsid w:val="00F825BD"/>
    <w:rsid w:val="00F83BA2"/>
    <w:rsid w:val="00F83D40"/>
    <w:rsid w:val="00F842F5"/>
    <w:rsid w:val="00F843C4"/>
    <w:rsid w:val="00F8599C"/>
    <w:rsid w:val="00F86051"/>
    <w:rsid w:val="00F860A9"/>
    <w:rsid w:val="00F868B5"/>
    <w:rsid w:val="00F86D96"/>
    <w:rsid w:val="00F86DA0"/>
    <w:rsid w:val="00F86F8D"/>
    <w:rsid w:val="00F86FCD"/>
    <w:rsid w:val="00F87172"/>
    <w:rsid w:val="00F87874"/>
    <w:rsid w:val="00F90204"/>
    <w:rsid w:val="00F906F1"/>
    <w:rsid w:val="00F90E49"/>
    <w:rsid w:val="00F914FE"/>
    <w:rsid w:val="00F91CF6"/>
    <w:rsid w:val="00F91DC2"/>
    <w:rsid w:val="00F92789"/>
    <w:rsid w:val="00F928CF"/>
    <w:rsid w:val="00F93061"/>
    <w:rsid w:val="00F933F8"/>
    <w:rsid w:val="00F9395E"/>
    <w:rsid w:val="00F93AB7"/>
    <w:rsid w:val="00F93E3C"/>
    <w:rsid w:val="00F94211"/>
    <w:rsid w:val="00F942CB"/>
    <w:rsid w:val="00F9431C"/>
    <w:rsid w:val="00F945F8"/>
    <w:rsid w:val="00F9471D"/>
    <w:rsid w:val="00F94AF2"/>
    <w:rsid w:val="00F9595A"/>
    <w:rsid w:val="00F95BB4"/>
    <w:rsid w:val="00F97E0F"/>
    <w:rsid w:val="00F97F92"/>
    <w:rsid w:val="00FA1840"/>
    <w:rsid w:val="00FA1E2E"/>
    <w:rsid w:val="00FA216C"/>
    <w:rsid w:val="00FA219C"/>
    <w:rsid w:val="00FA2784"/>
    <w:rsid w:val="00FA28CD"/>
    <w:rsid w:val="00FA2B0C"/>
    <w:rsid w:val="00FA2FB9"/>
    <w:rsid w:val="00FA3486"/>
    <w:rsid w:val="00FA378B"/>
    <w:rsid w:val="00FA3943"/>
    <w:rsid w:val="00FA3983"/>
    <w:rsid w:val="00FA4B1E"/>
    <w:rsid w:val="00FA5B87"/>
    <w:rsid w:val="00FA65CF"/>
    <w:rsid w:val="00FA6772"/>
    <w:rsid w:val="00FA6FD2"/>
    <w:rsid w:val="00FA7DF6"/>
    <w:rsid w:val="00FB030A"/>
    <w:rsid w:val="00FB083C"/>
    <w:rsid w:val="00FB1448"/>
    <w:rsid w:val="00FB22E3"/>
    <w:rsid w:val="00FB28B9"/>
    <w:rsid w:val="00FB28D0"/>
    <w:rsid w:val="00FB39D5"/>
    <w:rsid w:val="00FB5FF1"/>
    <w:rsid w:val="00FB6509"/>
    <w:rsid w:val="00FB6665"/>
    <w:rsid w:val="00FB7278"/>
    <w:rsid w:val="00FB7DA3"/>
    <w:rsid w:val="00FB7FD0"/>
    <w:rsid w:val="00FC0649"/>
    <w:rsid w:val="00FC07AA"/>
    <w:rsid w:val="00FC0B3E"/>
    <w:rsid w:val="00FC0B5F"/>
    <w:rsid w:val="00FC0EFE"/>
    <w:rsid w:val="00FC12EE"/>
    <w:rsid w:val="00FC1DB1"/>
    <w:rsid w:val="00FC3B5C"/>
    <w:rsid w:val="00FC4D4A"/>
    <w:rsid w:val="00FC5CAF"/>
    <w:rsid w:val="00FC5EE6"/>
    <w:rsid w:val="00FC6247"/>
    <w:rsid w:val="00FC7455"/>
    <w:rsid w:val="00FD09D1"/>
    <w:rsid w:val="00FD1055"/>
    <w:rsid w:val="00FD11A3"/>
    <w:rsid w:val="00FD16C3"/>
    <w:rsid w:val="00FD36EF"/>
    <w:rsid w:val="00FD4630"/>
    <w:rsid w:val="00FD4FFC"/>
    <w:rsid w:val="00FD5403"/>
    <w:rsid w:val="00FD5D9C"/>
    <w:rsid w:val="00FD5DA5"/>
    <w:rsid w:val="00FD7464"/>
    <w:rsid w:val="00FD75BE"/>
    <w:rsid w:val="00FD7F15"/>
    <w:rsid w:val="00FE0061"/>
    <w:rsid w:val="00FE03FE"/>
    <w:rsid w:val="00FE0BD2"/>
    <w:rsid w:val="00FE15A3"/>
    <w:rsid w:val="00FE1710"/>
    <w:rsid w:val="00FE1C9F"/>
    <w:rsid w:val="00FE26A4"/>
    <w:rsid w:val="00FE29AA"/>
    <w:rsid w:val="00FE2CD4"/>
    <w:rsid w:val="00FE45B0"/>
    <w:rsid w:val="00FE555B"/>
    <w:rsid w:val="00FE58C2"/>
    <w:rsid w:val="00FE5A70"/>
    <w:rsid w:val="00FE5C90"/>
    <w:rsid w:val="00FE6F52"/>
    <w:rsid w:val="00FF037E"/>
    <w:rsid w:val="00FF03B2"/>
    <w:rsid w:val="00FF058D"/>
    <w:rsid w:val="00FF0FF4"/>
    <w:rsid w:val="00FF1C7D"/>
    <w:rsid w:val="00FF1F9C"/>
    <w:rsid w:val="00FF20D6"/>
    <w:rsid w:val="00FF24C9"/>
    <w:rsid w:val="00FF304E"/>
    <w:rsid w:val="00FF34EE"/>
    <w:rsid w:val="00FF354A"/>
    <w:rsid w:val="00FF3B8D"/>
    <w:rsid w:val="00FF425A"/>
    <w:rsid w:val="00FF445D"/>
    <w:rsid w:val="00FF5C3D"/>
    <w:rsid w:val="00FF6277"/>
    <w:rsid w:val="00FF6B2A"/>
    <w:rsid w:val="00FF726F"/>
    <w:rsid w:val="00FF7638"/>
    <w:rsid w:val="00FF7677"/>
    <w:rsid w:val="00FF77FC"/>
    <w:rsid w:val="01095175"/>
    <w:rsid w:val="0139F54F"/>
    <w:rsid w:val="019CA328"/>
    <w:rsid w:val="020DB381"/>
    <w:rsid w:val="02557834"/>
    <w:rsid w:val="027B961F"/>
    <w:rsid w:val="02D5DACA"/>
    <w:rsid w:val="03934654"/>
    <w:rsid w:val="03BA8E9D"/>
    <w:rsid w:val="04364637"/>
    <w:rsid w:val="0480639F"/>
    <w:rsid w:val="066E0EB5"/>
    <w:rsid w:val="06719B29"/>
    <w:rsid w:val="06D89648"/>
    <w:rsid w:val="06F72B1C"/>
    <w:rsid w:val="072B6046"/>
    <w:rsid w:val="072E123D"/>
    <w:rsid w:val="083B405B"/>
    <w:rsid w:val="09020D1B"/>
    <w:rsid w:val="09337357"/>
    <w:rsid w:val="0998415C"/>
    <w:rsid w:val="09AA3A2C"/>
    <w:rsid w:val="09BD33D9"/>
    <w:rsid w:val="0A006D22"/>
    <w:rsid w:val="0A77ECFB"/>
    <w:rsid w:val="0B754EC5"/>
    <w:rsid w:val="0B95BF67"/>
    <w:rsid w:val="0B9D21EA"/>
    <w:rsid w:val="0BB7B636"/>
    <w:rsid w:val="0C0D5B38"/>
    <w:rsid w:val="0C8B1AE0"/>
    <w:rsid w:val="0D2256C8"/>
    <w:rsid w:val="0D9DB483"/>
    <w:rsid w:val="0DAC5742"/>
    <w:rsid w:val="0DD46424"/>
    <w:rsid w:val="0EAEF27A"/>
    <w:rsid w:val="0EE9E8CC"/>
    <w:rsid w:val="0EF4010A"/>
    <w:rsid w:val="0F298271"/>
    <w:rsid w:val="0F33C1AF"/>
    <w:rsid w:val="1019A2B1"/>
    <w:rsid w:val="10F13872"/>
    <w:rsid w:val="11486E4D"/>
    <w:rsid w:val="115FA428"/>
    <w:rsid w:val="11C55296"/>
    <w:rsid w:val="11DFD091"/>
    <w:rsid w:val="12CADA35"/>
    <w:rsid w:val="13A4FD10"/>
    <w:rsid w:val="140322E7"/>
    <w:rsid w:val="145F9F2C"/>
    <w:rsid w:val="14723DCA"/>
    <w:rsid w:val="14974C03"/>
    <w:rsid w:val="15235206"/>
    <w:rsid w:val="152C0B1C"/>
    <w:rsid w:val="1539D642"/>
    <w:rsid w:val="15F1A35A"/>
    <w:rsid w:val="160690BC"/>
    <w:rsid w:val="160BE16A"/>
    <w:rsid w:val="1644BAAA"/>
    <w:rsid w:val="1645C7AE"/>
    <w:rsid w:val="1704EBC7"/>
    <w:rsid w:val="1734E9E5"/>
    <w:rsid w:val="18CC26A1"/>
    <w:rsid w:val="19352E90"/>
    <w:rsid w:val="194A78E9"/>
    <w:rsid w:val="1A3C77F6"/>
    <w:rsid w:val="1B6EC39D"/>
    <w:rsid w:val="1C1CCEFA"/>
    <w:rsid w:val="1C3E9434"/>
    <w:rsid w:val="1C4EB5DD"/>
    <w:rsid w:val="1CADAA3D"/>
    <w:rsid w:val="1CCD9ECC"/>
    <w:rsid w:val="1D0A3003"/>
    <w:rsid w:val="1D531586"/>
    <w:rsid w:val="1DAB07DB"/>
    <w:rsid w:val="1DF1C76A"/>
    <w:rsid w:val="1E57EDE3"/>
    <w:rsid w:val="1E958E6D"/>
    <w:rsid w:val="1EACDACB"/>
    <w:rsid w:val="2036E1C4"/>
    <w:rsid w:val="2083135A"/>
    <w:rsid w:val="20907AF2"/>
    <w:rsid w:val="20F9EC5B"/>
    <w:rsid w:val="211574AB"/>
    <w:rsid w:val="2133B05F"/>
    <w:rsid w:val="21602D2F"/>
    <w:rsid w:val="21AB8F1F"/>
    <w:rsid w:val="21E67FFE"/>
    <w:rsid w:val="229DBA01"/>
    <w:rsid w:val="231A4598"/>
    <w:rsid w:val="231B1AA7"/>
    <w:rsid w:val="2322FF31"/>
    <w:rsid w:val="2360B6BE"/>
    <w:rsid w:val="23B8061A"/>
    <w:rsid w:val="2436FA4F"/>
    <w:rsid w:val="2441F2B1"/>
    <w:rsid w:val="247AC765"/>
    <w:rsid w:val="247F1898"/>
    <w:rsid w:val="24A6CE9D"/>
    <w:rsid w:val="24BD8534"/>
    <w:rsid w:val="2551D2FE"/>
    <w:rsid w:val="2596AE76"/>
    <w:rsid w:val="26733745"/>
    <w:rsid w:val="272E7E3E"/>
    <w:rsid w:val="2786F634"/>
    <w:rsid w:val="296BA36B"/>
    <w:rsid w:val="29B77217"/>
    <w:rsid w:val="29E6B08E"/>
    <w:rsid w:val="29F43FD2"/>
    <w:rsid w:val="2A29A5B1"/>
    <w:rsid w:val="2AAFC87A"/>
    <w:rsid w:val="2B59E9AB"/>
    <w:rsid w:val="2B9001CB"/>
    <w:rsid w:val="2C1A4960"/>
    <w:rsid w:val="2C2E93C3"/>
    <w:rsid w:val="2C7869B8"/>
    <w:rsid w:val="2CDCBE63"/>
    <w:rsid w:val="2CF0557B"/>
    <w:rsid w:val="2D0CD93C"/>
    <w:rsid w:val="2D0D591F"/>
    <w:rsid w:val="2D891418"/>
    <w:rsid w:val="2E05DA45"/>
    <w:rsid w:val="2E06DF63"/>
    <w:rsid w:val="2E7DC21F"/>
    <w:rsid w:val="2E826DDD"/>
    <w:rsid w:val="2EA6A1DE"/>
    <w:rsid w:val="2EDDBDBC"/>
    <w:rsid w:val="2EFBBE1E"/>
    <w:rsid w:val="2F418F2F"/>
    <w:rsid w:val="2FEE577F"/>
    <w:rsid w:val="300CF348"/>
    <w:rsid w:val="30E1BA6E"/>
    <w:rsid w:val="30F16E8C"/>
    <w:rsid w:val="3227C359"/>
    <w:rsid w:val="322F8B51"/>
    <w:rsid w:val="323C4969"/>
    <w:rsid w:val="32A9BF1B"/>
    <w:rsid w:val="32B0BFC7"/>
    <w:rsid w:val="32F3D77D"/>
    <w:rsid w:val="331BF810"/>
    <w:rsid w:val="33536AF8"/>
    <w:rsid w:val="33C28E8C"/>
    <w:rsid w:val="35246150"/>
    <w:rsid w:val="35FCDB0D"/>
    <w:rsid w:val="361B574D"/>
    <w:rsid w:val="363431D9"/>
    <w:rsid w:val="3656B7B8"/>
    <w:rsid w:val="3659A658"/>
    <w:rsid w:val="36A62F17"/>
    <w:rsid w:val="36B6B5F7"/>
    <w:rsid w:val="36D58FC8"/>
    <w:rsid w:val="36EA1305"/>
    <w:rsid w:val="373F5533"/>
    <w:rsid w:val="37B77C4B"/>
    <w:rsid w:val="37D98EF1"/>
    <w:rsid w:val="383F8E48"/>
    <w:rsid w:val="38F48466"/>
    <w:rsid w:val="392C3B78"/>
    <w:rsid w:val="394CFA31"/>
    <w:rsid w:val="3952B62E"/>
    <w:rsid w:val="39D1E34F"/>
    <w:rsid w:val="3A065C35"/>
    <w:rsid w:val="3ABCE2BE"/>
    <w:rsid w:val="3BCD76BE"/>
    <w:rsid w:val="3C45302E"/>
    <w:rsid w:val="3CFDB29D"/>
    <w:rsid w:val="3DBB957E"/>
    <w:rsid w:val="3E08D5CC"/>
    <w:rsid w:val="3E2C7BB4"/>
    <w:rsid w:val="3E4E9DEE"/>
    <w:rsid w:val="3E81BA1D"/>
    <w:rsid w:val="3E97D0FB"/>
    <w:rsid w:val="3ED1690B"/>
    <w:rsid w:val="3ED75E21"/>
    <w:rsid w:val="3EF60AD2"/>
    <w:rsid w:val="3F71B298"/>
    <w:rsid w:val="3FBE20D2"/>
    <w:rsid w:val="3FC8E13E"/>
    <w:rsid w:val="3FCA9D6D"/>
    <w:rsid w:val="40628C6A"/>
    <w:rsid w:val="408727A0"/>
    <w:rsid w:val="40CDE665"/>
    <w:rsid w:val="4127A18F"/>
    <w:rsid w:val="4186C347"/>
    <w:rsid w:val="41931A0D"/>
    <w:rsid w:val="424776D5"/>
    <w:rsid w:val="42561427"/>
    <w:rsid w:val="427087D0"/>
    <w:rsid w:val="42820F5D"/>
    <w:rsid w:val="429AA878"/>
    <w:rsid w:val="4385D35F"/>
    <w:rsid w:val="439D6892"/>
    <w:rsid w:val="440815C1"/>
    <w:rsid w:val="4414DD45"/>
    <w:rsid w:val="444F0909"/>
    <w:rsid w:val="44A6AB79"/>
    <w:rsid w:val="44B4B282"/>
    <w:rsid w:val="44F09CA7"/>
    <w:rsid w:val="450FAEF6"/>
    <w:rsid w:val="45175128"/>
    <w:rsid w:val="45506591"/>
    <w:rsid w:val="4562FCFA"/>
    <w:rsid w:val="4656A1FA"/>
    <w:rsid w:val="46B46984"/>
    <w:rsid w:val="470B21A9"/>
    <w:rsid w:val="471B0120"/>
    <w:rsid w:val="47459BD3"/>
    <w:rsid w:val="475F7022"/>
    <w:rsid w:val="4761EF82"/>
    <w:rsid w:val="47769104"/>
    <w:rsid w:val="47972BAA"/>
    <w:rsid w:val="47EBC8B3"/>
    <w:rsid w:val="481C7604"/>
    <w:rsid w:val="483AE08F"/>
    <w:rsid w:val="485E4DDB"/>
    <w:rsid w:val="486D9A61"/>
    <w:rsid w:val="489B3995"/>
    <w:rsid w:val="489FC391"/>
    <w:rsid w:val="48C745C0"/>
    <w:rsid w:val="48D14485"/>
    <w:rsid w:val="4935FFE6"/>
    <w:rsid w:val="49511545"/>
    <w:rsid w:val="49E2CE4E"/>
    <w:rsid w:val="4A3F69C8"/>
    <w:rsid w:val="4AAF9A5F"/>
    <w:rsid w:val="4AD12383"/>
    <w:rsid w:val="4BA40990"/>
    <w:rsid w:val="4BB68832"/>
    <w:rsid w:val="4C01B740"/>
    <w:rsid w:val="4C5F2711"/>
    <w:rsid w:val="4C631364"/>
    <w:rsid w:val="4CB3E8BF"/>
    <w:rsid w:val="4CD28BC6"/>
    <w:rsid w:val="4CD3B172"/>
    <w:rsid w:val="4CD6D54C"/>
    <w:rsid w:val="4CFC9508"/>
    <w:rsid w:val="4D3B4387"/>
    <w:rsid w:val="4D4A3514"/>
    <w:rsid w:val="4D8231AF"/>
    <w:rsid w:val="4D91F5D1"/>
    <w:rsid w:val="4D9F81BE"/>
    <w:rsid w:val="4DD738C8"/>
    <w:rsid w:val="4DE50CBB"/>
    <w:rsid w:val="4E577A6C"/>
    <w:rsid w:val="4ECFBB10"/>
    <w:rsid w:val="4FA86E98"/>
    <w:rsid w:val="501A3057"/>
    <w:rsid w:val="5079EEEA"/>
    <w:rsid w:val="50C910AF"/>
    <w:rsid w:val="51261BD9"/>
    <w:rsid w:val="5183AC68"/>
    <w:rsid w:val="51935D2C"/>
    <w:rsid w:val="52262C93"/>
    <w:rsid w:val="5266C002"/>
    <w:rsid w:val="52ABCD6B"/>
    <w:rsid w:val="52D4DF97"/>
    <w:rsid w:val="52E8CC06"/>
    <w:rsid w:val="53895C73"/>
    <w:rsid w:val="538C646E"/>
    <w:rsid w:val="53AEB72A"/>
    <w:rsid w:val="53D01F9B"/>
    <w:rsid w:val="5419BFE2"/>
    <w:rsid w:val="5426B8BC"/>
    <w:rsid w:val="54FD42A5"/>
    <w:rsid w:val="55321124"/>
    <w:rsid w:val="553A81E2"/>
    <w:rsid w:val="55A6ECE8"/>
    <w:rsid w:val="566DE600"/>
    <w:rsid w:val="568B1319"/>
    <w:rsid w:val="572AA5E2"/>
    <w:rsid w:val="57C34E57"/>
    <w:rsid w:val="57E26374"/>
    <w:rsid w:val="586A7FE2"/>
    <w:rsid w:val="58A1589D"/>
    <w:rsid w:val="59A0A255"/>
    <w:rsid w:val="59B7395E"/>
    <w:rsid w:val="59B7CC28"/>
    <w:rsid w:val="5A0A0604"/>
    <w:rsid w:val="5A4419A3"/>
    <w:rsid w:val="5AEE1441"/>
    <w:rsid w:val="5B9D0362"/>
    <w:rsid w:val="5C224960"/>
    <w:rsid w:val="5C263290"/>
    <w:rsid w:val="5C6C5017"/>
    <w:rsid w:val="5DA07017"/>
    <w:rsid w:val="5E012AFF"/>
    <w:rsid w:val="5E853953"/>
    <w:rsid w:val="5EE30C09"/>
    <w:rsid w:val="5F041899"/>
    <w:rsid w:val="5F6FF008"/>
    <w:rsid w:val="5F7869D5"/>
    <w:rsid w:val="5FEBA230"/>
    <w:rsid w:val="6053F0F4"/>
    <w:rsid w:val="606048AD"/>
    <w:rsid w:val="6087D0E4"/>
    <w:rsid w:val="6101D036"/>
    <w:rsid w:val="6116A66D"/>
    <w:rsid w:val="612592EC"/>
    <w:rsid w:val="61483CAB"/>
    <w:rsid w:val="61C97D59"/>
    <w:rsid w:val="626C628C"/>
    <w:rsid w:val="629706C4"/>
    <w:rsid w:val="629EC3B2"/>
    <w:rsid w:val="62E469E4"/>
    <w:rsid w:val="6312E293"/>
    <w:rsid w:val="6334252B"/>
    <w:rsid w:val="635BB710"/>
    <w:rsid w:val="63E23A4F"/>
    <w:rsid w:val="63F0A4E6"/>
    <w:rsid w:val="645BD078"/>
    <w:rsid w:val="649FF8E6"/>
    <w:rsid w:val="6508638F"/>
    <w:rsid w:val="654D1F7B"/>
    <w:rsid w:val="65CBC0CB"/>
    <w:rsid w:val="65FDC452"/>
    <w:rsid w:val="66B00043"/>
    <w:rsid w:val="675C456D"/>
    <w:rsid w:val="67D758C2"/>
    <w:rsid w:val="6838EE84"/>
    <w:rsid w:val="68B4519D"/>
    <w:rsid w:val="68CC42B0"/>
    <w:rsid w:val="69095097"/>
    <w:rsid w:val="6919ED1F"/>
    <w:rsid w:val="6937BB03"/>
    <w:rsid w:val="695925F4"/>
    <w:rsid w:val="69F6481B"/>
    <w:rsid w:val="6A0E6BBC"/>
    <w:rsid w:val="6A634076"/>
    <w:rsid w:val="6A672C48"/>
    <w:rsid w:val="6A8CB553"/>
    <w:rsid w:val="6AA0C9FF"/>
    <w:rsid w:val="6B2EA646"/>
    <w:rsid w:val="6B2F4120"/>
    <w:rsid w:val="6B651193"/>
    <w:rsid w:val="6B87960F"/>
    <w:rsid w:val="6C4B1A19"/>
    <w:rsid w:val="6C63F2B9"/>
    <w:rsid w:val="6CC6FB01"/>
    <w:rsid w:val="6CE479CC"/>
    <w:rsid w:val="6D1F328B"/>
    <w:rsid w:val="6D28A9E6"/>
    <w:rsid w:val="6D9EF26B"/>
    <w:rsid w:val="6DA6DCAF"/>
    <w:rsid w:val="6DAEF1DA"/>
    <w:rsid w:val="6DD9ACFA"/>
    <w:rsid w:val="6E11B912"/>
    <w:rsid w:val="6E46ED7F"/>
    <w:rsid w:val="6EAB2440"/>
    <w:rsid w:val="6EB0BCCA"/>
    <w:rsid w:val="6F2F9CBD"/>
    <w:rsid w:val="6F564183"/>
    <w:rsid w:val="6FAA3487"/>
    <w:rsid w:val="6FABECE0"/>
    <w:rsid w:val="70066C40"/>
    <w:rsid w:val="703A1B94"/>
    <w:rsid w:val="706DD7B7"/>
    <w:rsid w:val="709D2530"/>
    <w:rsid w:val="70B1B8B4"/>
    <w:rsid w:val="70B4BCC8"/>
    <w:rsid w:val="70DF74CB"/>
    <w:rsid w:val="71472D1B"/>
    <w:rsid w:val="7150B58B"/>
    <w:rsid w:val="71EA4A3C"/>
    <w:rsid w:val="71F43A87"/>
    <w:rsid w:val="725F60DD"/>
    <w:rsid w:val="72BA01DC"/>
    <w:rsid w:val="72D01AC4"/>
    <w:rsid w:val="7305BE07"/>
    <w:rsid w:val="731B6A9A"/>
    <w:rsid w:val="735F3806"/>
    <w:rsid w:val="73D1A477"/>
    <w:rsid w:val="741CC438"/>
    <w:rsid w:val="7421DD42"/>
    <w:rsid w:val="743BC113"/>
    <w:rsid w:val="7469C9A7"/>
    <w:rsid w:val="747A81FF"/>
    <w:rsid w:val="74B519DE"/>
    <w:rsid w:val="74CCF38E"/>
    <w:rsid w:val="754851E8"/>
    <w:rsid w:val="7603E526"/>
    <w:rsid w:val="765A6C7F"/>
    <w:rsid w:val="767C8323"/>
    <w:rsid w:val="769B30A4"/>
    <w:rsid w:val="774F9603"/>
    <w:rsid w:val="776B058F"/>
    <w:rsid w:val="77D5EC6C"/>
    <w:rsid w:val="785E56C2"/>
    <w:rsid w:val="788AB050"/>
    <w:rsid w:val="789084F6"/>
    <w:rsid w:val="78960922"/>
    <w:rsid w:val="79357F5C"/>
    <w:rsid w:val="797F401A"/>
    <w:rsid w:val="79E99DBD"/>
    <w:rsid w:val="7AAE4345"/>
    <w:rsid w:val="7AE688C3"/>
    <w:rsid w:val="7B1C96A7"/>
    <w:rsid w:val="7B70B2F5"/>
    <w:rsid w:val="7B78EACF"/>
    <w:rsid w:val="7C0736E5"/>
    <w:rsid w:val="7C1642C6"/>
    <w:rsid w:val="7C428F21"/>
    <w:rsid w:val="7CE244F6"/>
    <w:rsid w:val="7CFDB67E"/>
    <w:rsid w:val="7D59097B"/>
    <w:rsid w:val="7DBF222F"/>
    <w:rsid w:val="7DC97911"/>
    <w:rsid w:val="7E3C906A"/>
    <w:rsid w:val="7E58B21A"/>
    <w:rsid w:val="7F042F62"/>
    <w:rsid w:val="7F6E61DD"/>
    <w:rsid w:val="7F8740CC"/>
    <w:rsid w:val="7FBC2D5B"/>
    <w:rsid w:val="7FDEE5F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CC75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3FE"/>
    <w:pPr>
      <w:spacing w:after="240" w:line="240" w:lineRule="auto"/>
    </w:pPr>
  </w:style>
  <w:style w:type="paragraph" w:styleId="Heading1">
    <w:name w:val="heading 1"/>
    <w:basedOn w:val="Normal"/>
    <w:next w:val="Normal"/>
    <w:link w:val="Heading1Char"/>
    <w:uiPriority w:val="9"/>
    <w:qFormat/>
    <w:rsid w:val="00F57449"/>
    <w:pPr>
      <w:keepNext/>
      <w:keepLines/>
      <w:numPr>
        <w:numId w:val="2"/>
      </w:numPr>
      <w:pBdr>
        <w:bottom w:val="single" w:sz="4" w:space="1" w:color="auto"/>
      </w:pBdr>
      <w:spacing w:before="600" w:after="480"/>
      <w:outlineLvl w:val="0"/>
    </w:pPr>
    <w:rPr>
      <w:rFonts w:ascii="Franklin Gothic Medium" w:eastAsiaTheme="majorEastAsia" w:hAnsi="Franklin Gothic Medium" w:cstheme="majorBidi"/>
      <w:sz w:val="44"/>
      <w:szCs w:val="32"/>
    </w:rPr>
  </w:style>
  <w:style w:type="paragraph" w:styleId="Heading2">
    <w:name w:val="heading 2"/>
    <w:basedOn w:val="Normal"/>
    <w:next w:val="Normal"/>
    <w:link w:val="Heading2Char"/>
    <w:uiPriority w:val="9"/>
    <w:unhideWhenUsed/>
    <w:qFormat/>
    <w:rsid w:val="00F57449"/>
    <w:pPr>
      <w:keepNext/>
      <w:keepLines/>
      <w:spacing w:before="360"/>
      <w:outlineLvl w:val="1"/>
    </w:pPr>
    <w:rPr>
      <w:rFonts w:ascii="Franklin Gothic Medium" w:eastAsiaTheme="majorEastAsia" w:hAnsi="Franklin Gothic Medium" w:cstheme="majorBidi"/>
      <w:color w:val="000000" w:themeColor="text1"/>
      <w:sz w:val="32"/>
      <w:szCs w:val="26"/>
    </w:rPr>
  </w:style>
  <w:style w:type="paragraph" w:styleId="Heading3">
    <w:name w:val="heading 3"/>
    <w:basedOn w:val="Normal"/>
    <w:next w:val="Normal"/>
    <w:link w:val="Heading3Char"/>
    <w:uiPriority w:val="9"/>
    <w:unhideWhenUsed/>
    <w:qFormat/>
    <w:rsid w:val="00F57449"/>
    <w:pPr>
      <w:keepNext/>
      <w:keepLines/>
      <w:numPr>
        <w:ilvl w:val="2"/>
        <w:numId w:val="2"/>
      </w:numPr>
      <w:tabs>
        <w:tab w:val="left" w:pos="851"/>
      </w:tabs>
      <w:spacing w:before="360" w:after="200"/>
      <w:outlineLvl w:val="2"/>
    </w:pPr>
    <w:rPr>
      <w:rFonts w:ascii="Franklin Gothic Medium" w:eastAsiaTheme="majorEastAsia" w:hAnsi="Franklin Gothic Medium" w:cstheme="majorBidi"/>
      <w:sz w:val="24"/>
      <w:szCs w:val="24"/>
    </w:rPr>
  </w:style>
  <w:style w:type="paragraph" w:styleId="Heading4">
    <w:name w:val="heading 4"/>
    <w:basedOn w:val="Normal"/>
    <w:next w:val="Normal"/>
    <w:link w:val="Heading4Char"/>
    <w:uiPriority w:val="9"/>
    <w:semiHidden/>
    <w:unhideWhenUsed/>
    <w:qFormat/>
    <w:rsid w:val="008979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Summary box,Table Gridbeth,RTI AMCP Table,new style,ASD Table,HealthConsult,CMA Table Template,Conclusion box,Table Grid nm,PBAC table,HTAtableplain,MSD Table Grid,Dossier table,Summary Table,PHE Table Grid,Lash Style Table,Section 3- footnot"/>
    <w:basedOn w:val="TableNormal"/>
    <w:rsid w:val="00FE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ctionaltext">
    <w:name w:val="Instructional text"/>
    <w:basedOn w:val="Normal"/>
    <w:link w:val="InstructionaltextChar"/>
    <w:qFormat/>
    <w:rsid w:val="00FE03FE"/>
    <w:pPr>
      <w:spacing w:before="120" w:after="160" w:line="259" w:lineRule="auto"/>
    </w:pPr>
    <w:rPr>
      <w:rFonts w:ascii="Franklin Gothic Book" w:hAnsi="Franklin Gothic Book"/>
      <w:color w:val="258221"/>
    </w:rPr>
  </w:style>
  <w:style w:type="character" w:customStyle="1" w:styleId="InstructionaltextChar">
    <w:name w:val="Instructional text Char"/>
    <w:basedOn w:val="DefaultParagraphFont"/>
    <w:link w:val="Instructionaltext"/>
    <w:rsid w:val="00FE03FE"/>
    <w:rPr>
      <w:rFonts w:ascii="Franklin Gothic Book" w:hAnsi="Franklin Gothic Book"/>
      <w:color w:val="258221"/>
    </w:rPr>
  </w:style>
  <w:style w:type="paragraph" w:customStyle="1" w:styleId="Instructionaltext-bullet">
    <w:name w:val="Instructional text - bullet"/>
    <w:basedOn w:val="Instructionaltext"/>
    <w:qFormat/>
    <w:rsid w:val="00FE03FE"/>
    <w:pPr>
      <w:numPr>
        <w:numId w:val="1"/>
      </w:numPr>
      <w:tabs>
        <w:tab w:val="num" w:pos="360"/>
      </w:tabs>
      <w:spacing w:before="0" w:after="0"/>
      <w:ind w:left="714" w:hanging="357"/>
    </w:pPr>
  </w:style>
  <w:style w:type="character" w:customStyle="1" w:styleId="Heading1Char">
    <w:name w:val="Heading 1 Char"/>
    <w:basedOn w:val="DefaultParagraphFont"/>
    <w:link w:val="Heading1"/>
    <w:uiPriority w:val="9"/>
    <w:rsid w:val="00F57449"/>
    <w:rPr>
      <w:rFonts w:ascii="Franklin Gothic Medium" w:eastAsiaTheme="majorEastAsia" w:hAnsi="Franklin Gothic Medium" w:cstheme="majorBidi"/>
      <w:sz w:val="44"/>
      <w:szCs w:val="32"/>
    </w:rPr>
  </w:style>
  <w:style w:type="character" w:customStyle="1" w:styleId="Heading2Char">
    <w:name w:val="Heading 2 Char"/>
    <w:basedOn w:val="DefaultParagraphFont"/>
    <w:link w:val="Heading2"/>
    <w:uiPriority w:val="9"/>
    <w:rsid w:val="00F57449"/>
    <w:rPr>
      <w:rFonts w:ascii="Franklin Gothic Medium" w:eastAsiaTheme="majorEastAsia" w:hAnsi="Franklin Gothic Medium" w:cstheme="majorBidi"/>
      <w:color w:val="000000" w:themeColor="text1"/>
      <w:sz w:val="32"/>
      <w:szCs w:val="26"/>
    </w:rPr>
  </w:style>
  <w:style w:type="character" w:customStyle="1" w:styleId="Heading3Char">
    <w:name w:val="Heading 3 Char"/>
    <w:basedOn w:val="DefaultParagraphFont"/>
    <w:link w:val="Heading3"/>
    <w:uiPriority w:val="9"/>
    <w:rsid w:val="00F57449"/>
    <w:rPr>
      <w:rFonts w:ascii="Franklin Gothic Medium" w:eastAsiaTheme="majorEastAsia" w:hAnsi="Franklin Gothic Medium" w:cstheme="majorBidi"/>
      <w:sz w:val="24"/>
      <w:szCs w:val="24"/>
    </w:rPr>
  </w:style>
  <w:style w:type="paragraph" w:styleId="FootnoteText">
    <w:name w:val="footnote text"/>
    <w:basedOn w:val="Normal"/>
    <w:link w:val="FootnoteTextChar"/>
    <w:uiPriority w:val="99"/>
    <w:unhideWhenUsed/>
    <w:rsid w:val="008979C9"/>
    <w:pPr>
      <w:spacing w:before="120" w:after="0"/>
    </w:pPr>
    <w:rPr>
      <w:sz w:val="18"/>
      <w:szCs w:val="20"/>
    </w:rPr>
  </w:style>
  <w:style w:type="character" w:customStyle="1" w:styleId="FootnoteTextChar">
    <w:name w:val="Footnote Text Char"/>
    <w:basedOn w:val="DefaultParagraphFont"/>
    <w:link w:val="FootnoteText"/>
    <w:uiPriority w:val="99"/>
    <w:rsid w:val="008979C9"/>
    <w:rPr>
      <w:sz w:val="18"/>
      <w:szCs w:val="20"/>
    </w:rPr>
  </w:style>
  <w:style w:type="character" w:styleId="FootnoteReference">
    <w:name w:val="footnote reference"/>
    <w:basedOn w:val="DefaultParagraphFont"/>
    <w:unhideWhenUsed/>
    <w:rsid w:val="008979C9"/>
    <w:rPr>
      <w:vertAlign w:val="superscript"/>
    </w:rPr>
  </w:style>
  <w:style w:type="paragraph" w:customStyle="1" w:styleId="COMBody">
    <w:name w:val="COM Body"/>
    <w:basedOn w:val="Normal"/>
    <w:link w:val="COMBodyChar"/>
    <w:qFormat/>
    <w:rsid w:val="008979C9"/>
    <w:pPr>
      <w:spacing w:before="120" w:after="160"/>
      <w:jc w:val="both"/>
    </w:pPr>
    <w:rPr>
      <w:rFonts w:ascii="Franklin Gothic Book" w:eastAsia="Times New Roman" w:hAnsi="Franklin Gothic Book" w:cs="Arial"/>
      <w:szCs w:val="24"/>
      <w:lang w:eastAsia="en-AU"/>
    </w:rPr>
  </w:style>
  <w:style w:type="character" w:customStyle="1" w:styleId="COMBodyChar">
    <w:name w:val="COM Body Char"/>
    <w:basedOn w:val="DefaultParagraphFont"/>
    <w:link w:val="COMBody"/>
    <w:rsid w:val="008979C9"/>
    <w:rPr>
      <w:rFonts w:ascii="Franklin Gothic Book" w:eastAsia="Times New Roman" w:hAnsi="Franklin Gothic Book" w:cs="Arial"/>
      <w:szCs w:val="24"/>
      <w:lang w:eastAsia="en-AU"/>
    </w:rPr>
  </w:style>
  <w:style w:type="paragraph" w:customStyle="1" w:styleId="COMbodybulletlist">
    <w:name w:val="COM body bullet list"/>
    <w:basedOn w:val="ListBullet"/>
    <w:link w:val="COMbodybulletlistChar"/>
    <w:qFormat/>
    <w:rsid w:val="00B30805"/>
    <w:pPr>
      <w:numPr>
        <w:numId w:val="0"/>
      </w:numPr>
      <w:spacing w:before="0" w:after="0" w:line="240" w:lineRule="auto"/>
      <w:jc w:val="both"/>
    </w:pPr>
    <w:rPr>
      <w:rFonts w:ascii="Calibri" w:eastAsia="Calibri" w:hAnsi="Calibri" w:cs="Calibri"/>
      <w:color w:val="000000"/>
      <w:sz w:val="24"/>
      <w:szCs w:val="24"/>
    </w:rPr>
  </w:style>
  <w:style w:type="character" w:customStyle="1" w:styleId="COMbodybulletlistChar">
    <w:name w:val="COM body bullet list Char"/>
    <w:basedOn w:val="DefaultParagraphFont"/>
    <w:link w:val="COMbodybulletlist"/>
    <w:rsid w:val="008979C9"/>
    <w:rPr>
      <w:rFonts w:ascii="Calibri" w:eastAsia="Calibri" w:hAnsi="Calibri" w:cs="Calibri"/>
      <w:color w:val="000000"/>
      <w:sz w:val="24"/>
      <w:szCs w:val="24"/>
    </w:rPr>
  </w:style>
  <w:style w:type="paragraph" w:styleId="ListBullet">
    <w:name w:val="List Bullet"/>
    <w:basedOn w:val="Normal"/>
    <w:uiPriority w:val="99"/>
    <w:semiHidden/>
    <w:unhideWhenUsed/>
    <w:rsid w:val="008979C9"/>
    <w:pPr>
      <w:numPr>
        <w:numId w:val="4"/>
      </w:numPr>
      <w:spacing w:before="120" w:after="160" w:line="259" w:lineRule="auto"/>
      <w:contextualSpacing/>
    </w:pPr>
    <w:rPr>
      <w:rFonts w:ascii="Franklin Gothic Book" w:hAnsi="Franklin Gothic Book"/>
    </w:rPr>
  </w:style>
  <w:style w:type="paragraph" w:customStyle="1" w:styleId="COMH2-numbered">
    <w:name w:val="COM H2 - numbered"/>
    <w:basedOn w:val="Heading2"/>
    <w:link w:val="COMH2-numberedChar"/>
    <w:qFormat/>
    <w:rsid w:val="008979C9"/>
    <w:pPr>
      <w:ind w:left="720" w:hanging="720"/>
    </w:pPr>
  </w:style>
  <w:style w:type="character" w:customStyle="1" w:styleId="COMH2-numberedChar">
    <w:name w:val="COM H2 - numbered Char"/>
    <w:basedOn w:val="Heading2Char"/>
    <w:link w:val="COMH2-numbered"/>
    <w:rsid w:val="008979C9"/>
    <w:rPr>
      <w:rFonts w:ascii="Franklin Gothic Medium" w:eastAsiaTheme="majorEastAsia" w:hAnsi="Franklin Gothic Medium" w:cstheme="majorBidi"/>
      <w:color w:val="000000" w:themeColor="text1"/>
      <w:sz w:val="32"/>
      <w:szCs w:val="26"/>
    </w:rPr>
  </w:style>
  <w:style w:type="paragraph" w:customStyle="1" w:styleId="COMH4">
    <w:name w:val="COM H4"/>
    <w:basedOn w:val="Heading4"/>
    <w:link w:val="COMH4Char"/>
    <w:qFormat/>
    <w:rsid w:val="008979C9"/>
    <w:pPr>
      <w:tabs>
        <w:tab w:val="left" w:pos="851"/>
      </w:tabs>
      <w:spacing w:before="360" w:after="200"/>
    </w:pPr>
    <w:rPr>
      <w:rFonts w:ascii="Franklin Gothic Medium" w:hAnsi="Franklin Gothic Medium"/>
      <w:iCs w:val="0"/>
      <w:color w:val="auto"/>
      <w:sz w:val="24"/>
      <w:szCs w:val="24"/>
    </w:rPr>
  </w:style>
  <w:style w:type="character" w:customStyle="1" w:styleId="COMH4Char">
    <w:name w:val="COM H4 Char"/>
    <w:basedOn w:val="DefaultParagraphFont"/>
    <w:link w:val="COMH4"/>
    <w:rsid w:val="008979C9"/>
    <w:rPr>
      <w:rFonts w:ascii="Franklin Gothic Medium" w:eastAsiaTheme="majorEastAsia" w:hAnsi="Franklin Gothic Medium" w:cstheme="majorBidi"/>
      <w:i/>
      <w:sz w:val="24"/>
      <w:szCs w:val="24"/>
    </w:rPr>
  </w:style>
  <w:style w:type="paragraph" w:customStyle="1" w:styleId="COMTablefooter">
    <w:name w:val="COM Table footer"/>
    <w:basedOn w:val="Normal"/>
    <w:next w:val="Normal"/>
    <w:link w:val="COMTablefooterChar"/>
    <w:qFormat/>
    <w:rsid w:val="008979C9"/>
    <w:pPr>
      <w:spacing w:after="120"/>
      <w:contextualSpacing/>
      <w:jc w:val="both"/>
    </w:pPr>
    <w:rPr>
      <w:rFonts w:ascii="Arial Narrow" w:eastAsia="Times New Roman" w:hAnsi="Arial Narrow" w:cs="Arial"/>
      <w:snapToGrid w:val="0"/>
      <w:sz w:val="18"/>
      <w:lang w:eastAsia="en-AU"/>
    </w:rPr>
  </w:style>
  <w:style w:type="character" w:customStyle="1" w:styleId="COMTablefooterChar">
    <w:name w:val="COM Table footer Char"/>
    <w:link w:val="COMTablefooter"/>
    <w:rsid w:val="008979C9"/>
    <w:rPr>
      <w:rFonts w:ascii="Arial Narrow" w:eastAsia="Times New Roman" w:hAnsi="Arial Narrow" w:cs="Arial"/>
      <w:snapToGrid w:val="0"/>
      <w:sz w:val="18"/>
      <w:lang w:eastAsia="en-AU"/>
    </w:rPr>
  </w:style>
  <w:style w:type="paragraph" w:customStyle="1" w:styleId="COMTableheadingrow">
    <w:name w:val="COM Table heading row"/>
    <w:qFormat/>
    <w:rsid w:val="008979C9"/>
    <w:pPr>
      <w:keepNext/>
      <w:spacing w:after="0" w:line="240" w:lineRule="auto"/>
      <w:jc w:val="center"/>
    </w:pPr>
    <w:rPr>
      <w:rFonts w:ascii="Arial Narrow" w:eastAsiaTheme="majorEastAsia" w:hAnsi="Arial Narrow" w:cs="Times New Roman"/>
      <w:b/>
      <w:sz w:val="20"/>
      <w:szCs w:val="24"/>
      <w:lang w:val="en-US" w:eastAsia="en-AU"/>
    </w:rPr>
  </w:style>
  <w:style w:type="paragraph" w:customStyle="1" w:styleId="COMTabletext">
    <w:name w:val="COM Table text"/>
    <w:link w:val="COMTabletextChar"/>
    <w:qFormat/>
    <w:rsid w:val="008979C9"/>
    <w:pPr>
      <w:keepNext/>
      <w:spacing w:after="0" w:line="240" w:lineRule="auto"/>
    </w:pPr>
    <w:rPr>
      <w:rFonts w:ascii="Arial Narrow" w:eastAsiaTheme="majorEastAsia" w:hAnsi="Arial Narrow" w:cstheme="majorBidi"/>
      <w:bCs/>
      <w:sz w:val="20"/>
      <w:szCs w:val="24"/>
      <w:lang w:eastAsia="en-AU"/>
    </w:rPr>
  </w:style>
  <w:style w:type="character" w:customStyle="1" w:styleId="COMTabletextChar">
    <w:name w:val="COM Table text Char"/>
    <w:basedOn w:val="DefaultParagraphFont"/>
    <w:link w:val="COMTabletext"/>
    <w:rsid w:val="008979C9"/>
    <w:rPr>
      <w:rFonts w:ascii="Arial Narrow" w:eastAsiaTheme="majorEastAsia" w:hAnsi="Arial Narrow" w:cstheme="majorBidi"/>
      <w:bCs/>
      <w:sz w:val="20"/>
      <w:szCs w:val="24"/>
      <w:lang w:eastAsia="en-AU"/>
    </w:rPr>
  </w:style>
  <w:style w:type="paragraph" w:customStyle="1" w:styleId="COMtablefigcaption">
    <w:name w:val="COM table/fig caption"/>
    <w:next w:val="COMTableheadingrow"/>
    <w:link w:val="COMtablefigcaptionChar"/>
    <w:qFormat/>
    <w:rsid w:val="001D002E"/>
    <w:pPr>
      <w:keepNext/>
      <w:spacing w:after="0" w:line="240" w:lineRule="auto"/>
      <w:outlineLvl w:val="4"/>
    </w:pPr>
    <w:rPr>
      <w:rFonts w:ascii="Arial Narrow" w:eastAsiaTheme="majorEastAsia" w:hAnsi="Arial Narrow" w:cstheme="majorBidi"/>
      <w:b/>
      <w:bCs/>
      <w:sz w:val="20"/>
      <w:szCs w:val="24"/>
      <w:lang w:eastAsia="en-AU"/>
    </w:rPr>
  </w:style>
  <w:style w:type="character" w:customStyle="1" w:styleId="COMtablefigcaptionChar">
    <w:name w:val="COM table/fig caption Char"/>
    <w:basedOn w:val="DefaultParagraphFont"/>
    <w:link w:val="COMtablefigcaption"/>
    <w:rsid w:val="001D002E"/>
    <w:rPr>
      <w:rFonts w:ascii="Arial Narrow" w:eastAsiaTheme="majorEastAsia" w:hAnsi="Arial Narrow" w:cstheme="majorBidi"/>
      <w:b/>
      <w:bCs/>
      <w:sz w:val="20"/>
      <w:szCs w:val="24"/>
      <w:lang w:eastAsia="en-AU"/>
    </w:rPr>
  </w:style>
  <w:style w:type="character" w:styleId="Hyperlink">
    <w:name w:val="Hyperlink"/>
    <w:basedOn w:val="DefaultParagraphFont"/>
    <w:uiPriority w:val="99"/>
    <w:unhideWhenUsed/>
    <w:rsid w:val="008979C9"/>
    <w:rPr>
      <w:color w:val="0563C1" w:themeColor="hyperlink"/>
      <w:u w:val="single"/>
    </w:rPr>
  </w:style>
  <w:style w:type="table" w:customStyle="1" w:styleId="ASDTable2">
    <w:name w:val="ASD Table2"/>
    <w:basedOn w:val="TableNormal"/>
    <w:next w:val="TableGrid"/>
    <w:uiPriority w:val="39"/>
    <w:rsid w:val="008979C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979C9"/>
    <w:rPr>
      <w:rFonts w:asciiTheme="majorHAnsi" w:eastAsiaTheme="majorEastAsia" w:hAnsiTheme="majorHAnsi" w:cstheme="majorBidi"/>
      <w:i/>
      <w:iCs/>
      <w:color w:val="2F5496" w:themeColor="accent1" w:themeShade="BF"/>
    </w:rPr>
  </w:style>
  <w:style w:type="paragraph" w:customStyle="1" w:styleId="BoxName">
    <w:name w:val="BoxName"/>
    <w:basedOn w:val="Normal"/>
    <w:rsid w:val="00D94940"/>
    <w:pPr>
      <w:keepNext/>
      <w:pBdr>
        <w:top w:val="single" w:sz="4" w:space="4" w:color="000000"/>
        <w:left w:val="single" w:sz="4" w:space="4" w:color="000000"/>
        <w:bottom w:val="single" w:sz="4" w:space="4" w:color="000000"/>
        <w:right w:val="single" w:sz="4" w:space="4" w:color="000000"/>
      </w:pBdr>
      <w:spacing w:before="240"/>
      <w:ind w:left="1077" w:hanging="1077"/>
    </w:pPr>
    <w:rPr>
      <w:rFonts w:ascii="Franklin Gothic Book" w:eastAsia="Times New Roman" w:hAnsi="Franklin Gothic Book" w:cs="Times New Roman"/>
      <w:b/>
      <w:bCs/>
      <w:color w:val="000000"/>
      <w:sz w:val="24"/>
      <w:szCs w:val="20"/>
      <w:lang w:eastAsia="en-AU"/>
    </w:rPr>
  </w:style>
  <w:style w:type="paragraph" w:customStyle="1" w:styleId="BoxHeading">
    <w:name w:val="BoxHeading"/>
    <w:basedOn w:val="Normal"/>
    <w:rsid w:val="00D94940"/>
    <w:pPr>
      <w:keepNext/>
      <w:pBdr>
        <w:top w:val="single" w:sz="4" w:space="4" w:color="000000"/>
        <w:left w:val="single" w:sz="4" w:space="4" w:color="000000"/>
        <w:bottom w:val="single" w:sz="4" w:space="4" w:color="000000"/>
        <w:right w:val="single" w:sz="4" w:space="4" w:color="000000"/>
      </w:pBdr>
      <w:spacing w:before="120" w:after="60"/>
    </w:pPr>
    <w:rPr>
      <w:rFonts w:ascii="Franklin Gothic Book" w:eastAsia="Times New Roman" w:hAnsi="Franklin Gothic Book" w:cs="Times New Roman"/>
      <w:b/>
      <w:bCs/>
      <w:color w:val="000000"/>
      <w:szCs w:val="20"/>
      <w:lang w:eastAsia="en-AU"/>
    </w:rPr>
  </w:style>
  <w:style w:type="paragraph" w:customStyle="1" w:styleId="BoxBullet">
    <w:name w:val="BoxBullet"/>
    <w:basedOn w:val="Normal"/>
    <w:rsid w:val="00D94940"/>
    <w:pPr>
      <w:numPr>
        <w:numId w:val="6"/>
      </w:numPr>
      <w:pBdr>
        <w:top w:val="single" w:sz="4" w:space="4" w:color="000000"/>
        <w:left w:val="single" w:sz="4" w:space="4" w:color="000000"/>
        <w:bottom w:val="single" w:sz="4" w:space="4" w:color="000000"/>
        <w:right w:val="single" w:sz="4" w:space="4" w:color="000000"/>
      </w:pBdr>
      <w:spacing w:after="120"/>
    </w:pPr>
    <w:rPr>
      <w:rFonts w:ascii="Franklin Gothic Book" w:eastAsia="Times New Roman" w:hAnsi="Franklin Gothic Book" w:cs="Times New Roman"/>
      <w:color w:val="000000"/>
      <w:szCs w:val="20"/>
      <w:lang w:eastAsia="en-AU"/>
    </w:rPr>
  </w:style>
  <w:style w:type="paragraph" w:styleId="Revision">
    <w:name w:val="Revision"/>
    <w:hidden/>
    <w:uiPriority w:val="99"/>
    <w:semiHidden/>
    <w:rsid w:val="000D69C5"/>
    <w:pPr>
      <w:spacing w:after="0" w:line="240" w:lineRule="auto"/>
    </w:pPr>
  </w:style>
  <w:style w:type="character" w:styleId="CommentReference">
    <w:name w:val="annotation reference"/>
    <w:basedOn w:val="DefaultParagraphFont"/>
    <w:uiPriority w:val="99"/>
    <w:semiHidden/>
    <w:unhideWhenUsed/>
    <w:rsid w:val="00867DEC"/>
    <w:rPr>
      <w:sz w:val="16"/>
      <w:szCs w:val="16"/>
    </w:rPr>
  </w:style>
  <w:style w:type="paragraph" w:styleId="CommentText">
    <w:name w:val="annotation text"/>
    <w:basedOn w:val="Normal"/>
    <w:link w:val="CommentTextChar"/>
    <w:uiPriority w:val="99"/>
    <w:unhideWhenUsed/>
    <w:rsid w:val="00867DEC"/>
    <w:rPr>
      <w:sz w:val="20"/>
      <w:szCs w:val="20"/>
    </w:rPr>
  </w:style>
  <w:style w:type="character" w:customStyle="1" w:styleId="CommentTextChar">
    <w:name w:val="Comment Text Char"/>
    <w:basedOn w:val="DefaultParagraphFont"/>
    <w:link w:val="CommentText"/>
    <w:uiPriority w:val="99"/>
    <w:rsid w:val="00867DEC"/>
    <w:rPr>
      <w:sz w:val="20"/>
      <w:szCs w:val="20"/>
    </w:rPr>
  </w:style>
  <w:style w:type="paragraph" w:styleId="CommentSubject">
    <w:name w:val="annotation subject"/>
    <w:basedOn w:val="CommentText"/>
    <w:next w:val="CommentText"/>
    <w:link w:val="CommentSubjectChar"/>
    <w:uiPriority w:val="99"/>
    <w:semiHidden/>
    <w:unhideWhenUsed/>
    <w:rsid w:val="00867DEC"/>
    <w:rPr>
      <w:b/>
      <w:bCs/>
    </w:rPr>
  </w:style>
  <w:style w:type="character" w:customStyle="1" w:styleId="CommentSubjectChar">
    <w:name w:val="Comment Subject Char"/>
    <w:basedOn w:val="CommentTextChar"/>
    <w:link w:val="CommentSubject"/>
    <w:uiPriority w:val="99"/>
    <w:semiHidden/>
    <w:rsid w:val="00867DEC"/>
    <w:rPr>
      <w:b/>
      <w:bCs/>
      <w:sz w:val="20"/>
      <w:szCs w:val="20"/>
    </w:rPr>
  </w:style>
  <w:style w:type="character" w:styleId="UnresolvedMention">
    <w:name w:val="Unresolved Mention"/>
    <w:basedOn w:val="DefaultParagraphFont"/>
    <w:uiPriority w:val="99"/>
    <w:semiHidden/>
    <w:unhideWhenUsed/>
    <w:rsid w:val="00A37E6C"/>
    <w:rPr>
      <w:color w:val="605E5C"/>
      <w:shd w:val="clear" w:color="auto" w:fill="E1DFDD"/>
    </w:rPr>
  </w:style>
  <w:style w:type="paragraph" w:styleId="ListParagraph">
    <w:name w:val="List Paragraph"/>
    <w:basedOn w:val="Normal"/>
    <w:link w:val="ListParagraphChar"/>
    <w:uiPriority w:val="34"/>
    <w:qFormat/>
    <w:rsid w:val="00CD29A5"/>
    <w:pPr>
      <w:ind w:left="720"/>
      <w:contextualSpacing/>
    </w:pPr>
  </w:style>
  <w:style w:type="paragraph" w:styleId="Header">
    <w:name w:val="header"/>
    <w:basedOn w:val="Normal"/>
    <w:link w:val="HeaderChar"/>
    <w:uiPriority w:val="99"/>
    <w:unhideWhenUsed/>
    <w:rsid w:val="00A7688F"/>
    <w:pPr>
      <w:tabs>
        <w:tab w:val="center" w:pos="4513"/>
        <w:tab w:val="right" w:pos="9026"/>
      </w:tabs>
      <w:spacing w:after="0"/>
    </w:pPr>
  </w:style>
  <w:style w:type="character" w:customStyle="1" w:styleId="HeaderChar">
    <w:name w:val="Header Char"/>
    <w:basedOn w:val="DefaultParagraphFont"/>
    <w:link w:val="Header"/>
    <w:uiPriority w:val="99"/>
    <w:rsid w:val="00A7688F"/>
  </w:style>
  <w:style w:type="paragraph" w:styleId="Footer">
    <w:name w:val="footer"/>
    <w:basedOn w:val="Normal"/>
    <w:link w:val="FooterChar"/>
    <w:uiPriority w:val="99"/>
    <w:unhideWhenUsed/>
    <w:rsid w:val="00A7688F"/>
    <w:pPr>
      <w:tabs>
        <w:tab w:val="center" w:pos="4513"/>
        <w:tab w:val="right" w:pos="9026"/>
      </w:tabs>
      <w:spacing w:after="0"/>
    </w:pPr>
  </w:style>
  <w:style w:type="character" w:customStyle="1" w:styleId="FooterChar">
    <w:name w:val="Footer Char"/>
    <w:basedOn w:val="DefaultParagraphFont"/>
    <w:link w:val="Footer"/>
    <w:uiPriority w:val="99"/>
    <w:rsid w:val="00A7688F"/>
  </w:style>
  <w:style w:type="character" w:styleId="Mention">
    <w:name w:val="Mention"/>
    <w:basedOn w:val="DefaultParagraphFont"/>
    <w:uiPriority w:val="99"/>
    <w:unhideWhenUsed/>
    <w:rsid w:val="004D1F09"/>
    <w:rPr>
      <w:color w:val="2B579A"/>
      <w:shd w:val="clear" w:color="auto" w:fill="E1DFDD"/>
    </w:rPr>
  </w:style>
  <w:style w:type="paragraph" w:customStyle="1" w:styleId="ExecSumBodyText">
    <w:name w:val="Exec Sum Body Text"/>
    <w:basedOn w:val="Normal"/>
    <w:qFormat/>
    <w:rsid w:val="0007626F"/>
    <w:pPr>
      <w:spacing w:after="120"/>
      <w:jc w:val="both"/>
    </w:pPr>
    <w:rPr>
      <w:rFonts w:eastAsia="Times New Roman" w:cs="Arial"/>
      <w:snapToGrid w:val="0"/>
      <w:sz w:val="24"/>
      <w:szCs w:val="24"/>
      <w:lang w:eastAsia="en-AU"/>
      <w14:ligatures w14:val="standardContextual"/>
    </w:rPr>
  </w:style>
  <w:style w:type="table" w:customStyle="1" w:styleId="newstyle1">
    <w:name w:val="new style1"/>
    <w:basedOn w:val="TableNormal"/>
    <w:next w:val="TableGrid"/>
    <w:uiPriority w:val="59"/>
    <w:rsid w:val="00DE0E06"/>
    <w:pPr>
      <w:spacing w:after="0" w:line="240" w:lineRule="auto"/>
    </w:pPr>
    <w:rPr>
      <w:rFonts w:ascii="Times New Roman" w:eastAsia="Times New Roman" w:hAnsi="Times New Roman" w:cs="Times New Roman"/>
      <w:kern w:val="2"/>
      <w:sz w:val="20"/>
      <w:szCs w:val="20"/>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131879"/>
    <w:pPr>
      <w:spacing w:after="0"/>
      <w:ind w:left="720"/>
    </w:pPr>
    <w:rPr>
      <w:rFonts w:ascii="Calibri" w:hAnsi="Calibri" w:cs="Calibri"/>
      <w:lang w:eastAsia="en-AU"/>
    </w:rPr>
  </w:style>
  <w:style w:type="character" w:customStyle="1" w:styleId="TableTextChar">
    <w:name w:val="TableText Char"/>
    <w:link w:val="TableText"/>
    <w:uiPriority w:val="99"/>
    <w:locked/>
    <w:rsid w:val="00386D3B"/>
    <w:rPr>
      <w:rFonts w:ascii="Arial Narrow" w:eastAsia="Times New Roman" w:hAnsi="Arial Narrow"/>
      <w:sz w:val="18"/>
      <w:szCs w:val="20"/>
      <w:lang w:eastAsia="ja-JP"/>
    </w:rPr>
  </w:style>
  <w:style w:type="paragraph" w:customStyle="1" w:styleId="TableText">
    <w:name w:val="TableText"/>
    <w:basedOn w:val="Normal"/>
    <w:link w:val="TableTextChar"/>
    <w:uiPriority w:val="99"/>
    <w:rsid w:val="00386D3B"/>
    <w:pPr>
      <w:keepNext/>
      <w:spacing w:before="40" w:after="40"/>
    </w:pPr>
    <w:rPr>
      <w:rFonts w:ascii="Arial Narrow" w:eastAsia="Times New Roman" w:hAnsi="Arial Narrow"/>
      <w:sz w:val="18"/>
      <w:szCs w:val="20"/>
      <w:lang w:eastAsia="ja-JP"/>
    </w:rPr>
  </w:style>
  <w:style w:type="paragraph" w:styleId="Caption">
    <w:name w:val="caption"/>
    <w:basedOn w:val="Normal"/>
    <w:next w:val="Normal"/>
    <w:uiPriority w:val="35"/>
    <w:unhideWhenUsed/>
    <w:qFormat/>
    <w:rsid w:val="001D002E"/>
    <w:pPr>
      <w:keepNext/>
      <w:spacing w:after="0"/>
      <w:outlineLvl w:val="4"/>
    </w:pPr>
    <w:rPr>
      <w:rFonts w:ascii="Arial Narrow" w:hAnsi="Arial Narrow"/>
      <w:b/>
      <w:bCs/>
      <w:sz w:val="20"/>
      <w:szCs w:val="20"/>
    </w:rPr>
  </w:style>
  <w:style w:type="paragraph" w:customStyle="1" w:styleId="OutlineHeading1">
    <w:name w:val="Outline Heading 1"/>
    <w:basedOn w:val="Heading1"/>
    <w:next w:val="Normal"/>
    <w:link w:val="OutlineHeading1Char"/>
    <w:uiPriority w:val="3"/>
    <w:qFormat/>
    <w:rsid w:val="00CD7001"/>
    <w:pPr>
      <w:numPr>
        <w:numId w:val="0"/>
      </w:numPr>
      <w:pBdr>
        <w:bottom w:val="none" w:sz="0" w:space="0" w:color="auto"/>
      </w:pBdr>
      <w:spacing w:before="400" w:after="120" w:line="259" w:lineRule="auto"/>
    </w:pPr>
    <w:rPr>
      <w:b/>
      <w:sz w:val="32"/>
      <w:szCs w:val="28"/>
    </w:rPr>
  </w:style>
  <w:style w:type="character" w:customStyle="1" w:styleId="OutlineHeading1Char">
    <w:name w:val="Outline Heading 1 Char"/>
    <w:basedOn w:val="Heading1Char"/>
    <w:link w:val="OutlineHeading1"/>
    <w:uiPriority w:val="3"/>
    <w:rsid w:val="00CD7001"/>
    <w:rPr>
      <w:rFonts w:ascii="Franklin Gothic Medium" w:eastAsiaTheme="majorEastAsia" w:hAnsi="Franklin Gothic Medium" w:cstheme="majorBidi"/>
      <w:b/>
      <w:sz w:val="32"/>
      <w:szCs w:val="28"/>
    </w:rPr>
  </w:style>
  <w:style w:type="paragraph" w:customStyle="1" w:styleId="PBACESHeading1">
    <w:name w:val="PBAC ES Heading 1"/>
    <w:basedOn w:val="Heading1"/>
    <w:next w:val="ListParagraph"/>
    <w:link w:val="PBACESHeading1Char"/>
    <w:uiPriority w:val="1"/>
    <w:qFormat/>
    <w:rsid w:val="00494EFD"/>
    <w:pPr>
      <w:numPr>
        <w:ilvl w:val="1"/>
        <w:numId w:val="5"/>
      </w:numPr>
      <w:pBdr>
        <w:bottom w:val="none" w:sz="0" w:space="0" w:color="auto"/>
      </w:pBdr>
      <w:tabs>
        <w:tab w:val="left" w:pos="1077"/>
      </w:tabs>
      <w:spacing w:before="160" w:after="240" w:line="259" w:lineRule="auto"/>
      <w:ind w:hanging="720"/>
    </w:pPr>
    <w:rPr>
      <w:rFonts w:ascii="Arial" w:eastAsia="Times New Roman" w:hAnsi="Arial" w:cs="Times New Roman"/>
      <w:b/>
      <w:snapToGrid w:val="0"/>
      <w:sz w:val="24"/>
      <w:szCs w:val="24"/>
    </w:rPr>
  </w:style>
  <w:style w:type="character" w:customStyle="1" w:styleId="PBACESHeading1Char">
    <w:name w:val="PBAC ES Heading 1 Char"/>
    <w:basedOn w:val="Heading1Char"/>
    <w:link w:val="PBACESHeading1"/>
    <w:uiPriority w:val="1"/>
    <w:rsid w:val="00122E06"/>
    <w:rPr>
      <w:rFonts w:ascii="Arial" w:eastAsia="Times New Roman" w:hAnsi="Arial" w:cs="Times New Roman"/>
      <w:b/>
      <w:snapToGrid w:val="0"/>
      <w:sz w:val="24"/>
      <w:szCs w:val="24"/>
    </w:rPr>
  </w:style>
  <w:style w:type="paragraph" w:customStyle="1" w:styleId="pf0">
    <w:name w:val="pf0"/>
    <w:basedOn w:val="Normal"/>
    <w:rsid w:val="00705BA9"/>
    <w:pPr>
      <w:spacing w:before="100" w:beforeAutospacing="1" w:after="100" w:afterAutospacing="1"/>
      <w:ind w:left="720"/>
    </w:pPr>
    <w:rPr>
      <w:rFonts w:ascii="Times New Roman" w:eastAsia="Times New Roman" w:hAnsi="Times New Roman" w:cs="Times New Roman"/>
      <w:sz w:val="24"/>
      <w:szCs w:val="24"/>
      <w:lang w:eastAsia="en-AU"/>
    </w:rPr>
  </w:style>
  <w:style w:type="character" w:customStyle="1" w:styleId="cf01">
    <w:name w:val="cf01"/>
    <w:basedOn w:val="DefaultParagraphFont"/>
    <w:rsid w:val="00705BA9"/>
    <w:rPr>
      <w:rFonts w:ascii="Segoe UI" w:hAnsi="Segoe UI" w:cs="Segoe UI" w:hint="default"/>
      <w:sz w:val="18"/>
      <w:szCs w:val="18"/>
    </w:rPr>
  </w:style>
  <w:style w:type="paragraph" w:styleId="NormalWeb">
    <w:name w:val="Normal (Web)"/>
    <w:basedOn w:val="Normal"/>
    <w:uiPriority w:val="99"/>
    <w:semiHidden/>
    <w:unhideWhenUsed/>
    <w:rsid w:val="001D7CAF"/>
    <w:pPr>
      <w:spacing w:before="100" w:beforeAutospacing="1" w:after="100" w:afterAutospacing="1"/>
    </w:pPr>
    <w:rPr>
      <w:rFonts w:ascii="Times New Roman" w:eastAsia="Times New Roman" w:hAnsi="Times New Roman" w:cs="Times New Roman"/>
      <w:sz w:val="24"/>
      <w:szCs w:val="24"/>
      <w:lang w:eastAsia="en-AU"/>
    </w:rPr>
  </w:style>
  <w:style w:type="table" w:customStyle="1" w:styleId="newstyle2">
    <w:name w:val="new style2"/>
    <w:basedOn w:val="TableNormal"/>
    <w:next w:val="TableGrid"/>
    <w:uiPriority w:val="59"/>
    <w:rsid w:val="00660033"/>
    <w:pPr>
      <w:spacing w:after="0" w:line="240" w:lineRule="auto"/>
    </w:pPr>
    <w:rPr>
      <w:rFonts w:ascii="Times New Roman" w:eastAsia="Times New Roman" w:hAnsi="Times New Roman" w:cs="Times New Roman"/>
      <w:kern w:val="2"/>
      <w:sz w:val="20"/>
      <w:szCs w:val="20"/>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row">
    <w:name w:val="Table heading row"/>
    <w:qFormat/>
    <w:rsid w:val="00660033"/>
    <w:pPr>
      <w:keepNext/>
      <w:spacing w:after="0" w:line="240" w:lineRule="auto"/>
    </w:pPr>
    <w:rPr>
      <w:rFonts w:ascii="Arial Narrow" w:eastAsiaTheme="majorEastAsia" w:hAnsi="Arial Narrow" w:cs="Times New Roman"/>
      <w:b/>
      <w:kern w:val="2"/>
      <w:sz w:val="20"/>
      <w:szCs w:val="24"/>
      <w:lang w:val="en-US" w:eastAsia="en-AU"/>
      <w14:ligatures w14:val="standardContextual"/>
    </w:rPr>
  </w:style>
  <w:style w:type="table" w:customStyle="1" w:styleId="newstyle3">
    <w:name w:val="new style3"/>
    <w:basedOn w:val="TableNormal"/>
    <w:next w:val="TableGrid"/>
    <w:uiPriority w:val="59"/>
    <w:rsid w:val="00DC4E86"/>
    <w:pPr>
      <w:spacing w:after="0" w:line="240" w:lineRule="auto"/>
    </w:pPr>
    <w:rPr>
      <w:rFonts w:ascii="Times New Roman" w:eastAsia="Times New Roman" w:hAnsi="Times New Roman" w:cs="Times New Roman"/>
      <w:kern w:val="2"/>
      <w:sz w:val="20"/>
      <w:szCs w:val="20"/>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4">
    <w:name w:val="new style4"/>
    <w:basedOn w:val="TableNormal"/>
    <w:next w:val="TableGrid"/>
    <w:uiPriority w:val="59"/>
    <w:rsid w:val="008776E6"/>
    <w:pPr>
      <w:spacing w:after="0" w:line="240" w:lineRule="auto"/>
    </w:pPr>
    <w:rPr>
      <w:rFonts w:ascii="Times New Roman" w:eastAsia="Times New Roman" w:hAnsi="Times New Roman" w:cs="Times New Roman"/>
      <w:kern w:val="2"/>
      <w:sz w:val="20"/>
      <w:szCs w:val="20"/>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5">
    <w:name w:val="new style5"/>
    <w:basedOn w:val="TableNormal"/>
    <w:next w:val="TableGrid"/>
    <w:uiPriority w:val="59"/>
    <w:rsid w:val="009B2370"/>
    <w:pPr>
      <w:spacing w:after="0" w:line="240" w:lineRule="auto"/>
    </w:pPr>
    <w:rPr>
      <w:rFonts w:ascii="Times New Roman" w:eastAsia="Times New Roman" w:hAnsi="Times New Roman" w:cs="Times New Roman"/>
      <w:kern w:val="2"/>
      <w:sz w:val="20"/>
      <w:szCs w:val="20"/>
      <w:lang w:eastAsia="en-AU"/>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83FB1"/>
    <w:rPr>
      <w:color w:val="954F72" w:themeColor="followedHyperlink"/>
      <w:u w:val="single"/>
    </w:rPr>
  </w:style>
  <w:style w:type="paragraph" w:styleId="Subtitle">
    <w:name w:val="Subtitle"/>
    <w:basedOn w:val="Normal"/>
    <w:next w:val="Normal"/>
    <w:link w:val="SubtitleChar"/>
    <w:qFormat/>
    <w:rsid w:val="006667AC"/>
    <w:pPr>
      <w:widowControl w:val="0"/>
      <w:spacing w:before="120"/>
      <w:jc w:val="center"/>
    </w:pPr>
    <w:rPr>
      <w:rFonts w:ascii="Arial" w:eastAsia="Times New Roman" w:hAnsi="Arial" w:cs="Arial"/>
      <w:b/>
      <w:bCs/>
      <w:i/>
      <w:color w:val="000080"/>
      <w:sz w:val="28"/>
      <w:szCs w:val="28"/>
      <w:lang w:eastAsia="en-AU"/>
    </w:rPr>
  </w:style>
  <w:style w:type="character" w:customStyle="1" w:styleId="SubtitleChar">
    <w:name w:val="Subtitle Char"/>
    <w:basedOn w:val="DefaultParagraphFont"/>
    <w:link w:val="Subtitle"/>
    <w:rsid w:val="006667AC"/>
    <w:rPr>
      <w:rFonts w:ascii="Arial" w:eastAsia="Times New Roman" w:hAnsi="Arial" w:cs="Arial"/>
      <w:b/>
      <w:bCs/>
      <w:i/>
      <w:color w:val="000080"/>
      <w:sz w:val="28"/>
      <w:szCs w:val="28"/>
      <w:lang w:eastAsia="en-AU"/>
    </w:rPr>
  </w:style>
  <w:style w:type="paragraph" w:customStyle="1" w:styleId="paragraph">
    <w:name w:val="paragraph"/>
    <w:basedOn w:val="Normal"/>
    <w:rsid w:val="00E87379"/>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E87379"/>
  </w:style>
  <w:style w:type="character" w:customStyle="1" w:styleId="eop">
    <w:name w:val="eop"/>
    <w:basedOn w:val="DefaultParagraphFont"/>
    <w:rsid w:val="00E87379"/>
  </w:style>
  <w:style w:type="paragraph" w:styleId="BodyText">
    <w:name w:val="Body Text"/>
    <w:basedOn w:val="Normal"/>
    <w:link w:val="BodyTextChar"/>
    <w:rsid w:val="001E4D18"/>
    <w:pPr>
      <w:widowControl w:val="0"/>
      <w:spacing w:before="120" w:after="0"/>
      <w:jc w:val="both"/>
    </w:pPr>
    <w:rPr>
      <w:rFonts w:ascii="Book Antiqua" w:eastAsia="Times New Roman" w:hAnsi="Book Antiqua" w:cs="Times New Roman"/>
      <w:sz w:val="24"/>
      <w:szCs w:val="20"/>
    </w:rPr>
  </w:style>
  <w:style w:type="character" w:customStyle="1" w:styleId="BodyTextChar">
    <w:name w:val="Body Text Char"/>
    <w:basedOn w:val="DefaultParagraphFont"/>
    <w:link w:val="BodyText"/>
    <w:rsid w:val="001E4D18"/>
    <w:rPr>
      <w:rFonts w:ascii="Book Antiqua" w:eastAsia="Times New Roman" w:hAnsi="Book Antiqua" w:cs="Times New Roman"/>
      <w:sz w:val="24"/>
      <w:szCs w:val="20"/>
    </w:rPr>
  </w:style>
  <w:style w:type="character" w:customStyle="1" w:styleId="ListParagraphChar">
    <w:name w:val="List Paragraph Char"/>
    <w:basedOn w:val="DefaultParagraphFont"/>
    <w:link w:val="ListParagraph"/>
    <w:uiPriority w:val="34"/>
    <w:locked/>
    <w:rsid w:val="00EA7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80595">
      <w:bodyDiv w:val="1"/>
      <w:marLeft w:val="0"/>
      <w:marRight w:val="0"/>
      <w:marTop w:val="0"/>
      <w:marBottom w:val="0"/>
      <w:divBdr>
        <w:top w:val="none" w:sz="0" w:space="0" w:color="auto"/>
        <w:left w:val="none" w:sz="0" w:space="0" w:color="auto"/>
        <w:bottom w:val="none" w:sz="0" w:space="0" w:color="auto"/>
        <w:right w:val="none" w:sz="0" w:space="0" w:color="auto"/>
      </w:divBdr>
    </w:div>
    <w:div w:id="763499189">
      <w:bodyDiv w:val="1"/>
      <w:marLeft w:val="0"/>
      <w:marRight w:val="0"/>
      <w:marTop w:val="0"/>
      <w:marBottom w:val="0"/>
      <w:divBdr>
        <w:top w:val="none" w:sz="0" w:space="0" w:color="auto"/>
        <w:left w:val="none" w:sz="0" w:space="0" w:color="auto"/>
        <w:bottom w:val="none" w:sz="0" w:space="0" w:color="auto"/>
        <w:right w:val="none" w:sz="0" w:space="0" w:color="auto"/>
      </w:divBdr>
    </w:div>
    <w:div w:id="141289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ac.gov.au/" TargetMode="External"/><Relationship Id="rId13" Type="http://schemas.openxmlformats.org/officeDocument/2006/relationships/hyperlink" Target="http://msac.gov.au/internet/msac/publishing.nsf/Content/Home-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ac.gov.au/internet/msac/publishing.nsf/Content/25E234BFE807547ACA25873900833361/$File/1665%20Final%20PSD_Jul2022.doc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ac.gov.au/internet/msac/publishing.nsf/Content/0267C90C3BD27AC5CA25801000123BBA/$File/1313-FinalPSD-BMD-DXA-accessible.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sac.gov.au/internet/msac/publishing.nsf/Content/0267C90C3BD27AC5CA25801000123BBA/$File/1313%20-%20Final%20PSD%20-%20BMD%20for%20breast%20cancer%20pts%20receiving%20AI%20treatment%20-accessible.DOCX" TargetMode="External"/><Relationship Id="rId4" Type="http://schemas.openxmlformats.org/officeDocument/2006/relationships/settings" Target="settings.xml"/><Relationship Id="rId9" Type="http://schemas.openxmlformats.org/officeDocument/2006/relationships/hyperlink" Target="http://www.msac.gov.au/internet/msac/publishing.nsf/Content/2A2CCAD19D7F103ECA25801000123BB8/$File/1162-Final-PSD-accessible.DOCX"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racgp.org.au/clinical-resources/clinical-guidelines/key-racgp-guidelines/view-all-racgp-guidelines/osteoporosis/executive-summary" TargetMode="External"/><Relationship Id="rId3" Type="http://schemas.openxmlformats.org/officeDocument/2006/relationships/hyperlink" Target="https://www.racgp.org.au/clinical-resources/clinical-guidelines/key-racgp-guidelines/view-all-racgp-guidelines/osteoporosis/executive-summary" TargetMode="External"/><Relationship Id="rId7" Type="http://schemas.openxmlformats.org/officeDocument/2006/relationships/hyperlink" Target="https://www.health.gov.au/resources/publications/final-clinical-committee-report-for-diagnostic-imaging-bone-densitometry?language=en" TargetMode="External"/><Relationship Id="rId2" Type="http://schemas.openxmlformats.org/officeDocument/2006/relationships/hyperlink" Target="https://m.pbs.gov.au/industry/listing/elements/pbac-meetings/pbac-outcomes/2024-07/pbac-web-outcomes-07-2024.pdf" TargetMode="External"/><Relationship Id="rId1" Type="http://schemas.openxmlformats.org/officeDocument/2006/relationships/hyperlink" Target="https://www.pbs.gov.au/industry/listing/elements/pbac-meetings/pbac-outcomes/2021-09/September-2021-pbac-web-outcomes.pdf" TargetMode="External"/><Relationship Id="rId6" Type="http://schemas.openxmlformats.org/officeDocument/2006/relationships/hyperlink" Target="https://m.pbs.gov.au/industry/listing/elements/pbac-meetings/pbac-outcomes/2024-07/pbac-web-outcomes-07-2024.pdf" TargetMode="External"/><Relationship Id="rId5" Type="http://schemas.openxmlformats.org/officeDocument/2006/relationships/hyperlink" Target="https://m.pbs.gov.au/industry/listing/elements/pbac-meetings/psd/2022-11/files/risedronic-acid-psd-11-2022-03-2023.pdf" TargetMode="External"/><Relationship Id="rId4" Type="http://schemas.openxmlformats.org/officeDocument/2006/relationships/hyperlink" Target="https://m.pbs.gov.au/industry/listing/elements/pbac-meetings/pbac-outcomes/2021-09/September-2021-pbac-web-outcomes.pdf" TargetMode="External"/><Relationship Id="rId9" Type="http://schemas.openxmlformats.org/officeDocument/2006/relationships/hyperlink" Target="https://www.racgp.org.au/FSDEDEV/media/documents/Clinical%20Resources/Guidelines/Red%20Book/Guidelines-for-preventive-activities-in-general-practi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DB95F-A938-4DFF-A3A7-3AEC20867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16222</Words>
  <Characters>97009</Characters>
  <Application>Microsoft Office Word</Application>
  <DocSecurity>2</DocSecurity>
  <Lines>2487</Lines>
  <Paragraphs>1433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111798</CharactersWithSpaces>
  <SharedDoc>false</SharedDoc>
  <HLinks>
    <vt:vector size="102" baseType="variant">
      <vt:variant>
        <vt:i4>6684716</vt:i4>
      </vt:variant>
      <vt:variant>
        <vt:i4>174</vt:i4>
      </vt:variant>
      <vt:variant>
        <vt:i4>0</vt:i4>
      </vt:variant>
      <vt:variant>
        <vt:i4>5</vt:i4>
      </vt:variant>
      <vt:variant>
        <vt:lpwstr>http://msac.gov.au/internet/msac/publishing.nsf/Content/Home-1</vt:lpwstr>
      </vt:variant>
      <vt:variant>
        <vt:lpwstr/>
      </vt:variant>
      <vt:variant>
        <vt:i4>4456459</vt:i4>
      </vt:variant>
      <vt:variant>
        <vt:i4>120</vt:i4>
      </vt:variant>
      <vt:variant>
        <vt:i4>0</vt:i4>
      </vt:variant>
      <vt:variant>
        <vt:i4>5</vt:i4>
      </vt:variant>
      <vt:variant>
        <vt:lpwstr/>
      </vt:variant>
      <vt:variant>
        <vt:lpwstr>_ENREF_5</vt:lpwstr>
      </vt:variant>
      <vt:variant>
        <vt:i4>4456459</vt:i4>
      </vt:variant>
      <vt:variant>
        <vt:i4>112</vt:i4>
      </vt:variant>
      <vt:variant>
        <vt:i4>0</vt:i4>
      </vt:variant>
      <vt:variant>
        <vt:i4>5</vt:i4>
      </vt:variant>
      <vt:variant>
        <vt:lpwstr/>
      </vt:variant>
      <vt:variant>
        <vt:lpwstr>_ENREF_5</vt:lpwstr>
      </vt:variant>
      <vt:variant>
        <vt:i4>5111841</vt:i4>
      </vt:variant>
      <vt:variant>
        <vt:i4>45</vt:i4>
      </vt:variant>
      <vt:variant>
        <vt:i4>0</vt:i4>
      </vt:variant>
      <vt:variant>
        <vt:i4>5</vt:i4>
      </vt:variant>
      <vt:variant>
        <vt:lpwstr>http://www.msac.gov.au/internet/msac/publishing.nsf/Content/25E234BFE807547ACA25873900833361/$File/1665 Final PSD_Jul2022.docx</vt:lpwstr>
      </vt:variant>
      <vt:variant>
        <vt:lpwstr/>
      </vt:variant>
      <vt:variant>
        <vt:i4>262227</vt:i4>
      </vt:variant>
      <vt:variant>
        <vt:i4>42</vt:i4>
      </vt:variant>
      <vt:variant>
        <vt:i4>0</vt:i4>
      </vt:variant>
      <vt:variant>
        <vt:i4>5</vt:i4>
      </vt:variant>
      <vt:variant>
        <vt:lpwstr>http://www.msac.gov.au/internet/msac/publishing.nsf/Content/0267C90C3BD27AC5CA25801000123BBA/$File/1313-FinalPSD-BMD-DXA-accessible.docx</vt:lpwstr>
      </vt:variant>
      <vt:variant>
        <vt:lpwstr/>
      </vt:variant>
      <vt:variant>
        <vt:i4>2359422</vt:i4>
      </vt:variant>
      <vt:variant>
        <vt:i4>39</vt:i4>
      </vt:variant>
      <vt:variant>
        <vt:i4>0</vt:i4>
      </vt:variant>
      <vt:variant>
        <vt:i4>5</vt:i4>
      </vt:variant>
      <vt:variant>
        <vt:lpwstr>http://www.msac.gov.au/internet/msac/publishing.nsf/Content/0267C90C3BD27AC5CA25801000123BBA/$File/1313 - Final PSD - BMD for breast cancer pts receiving AI treatment -accessible.DOCX</vt:lpwstr>
      </vt:variant>
      <vt:variant>
        <vt:lpwstr/>
      </vt:variant>
      <vt:variant>
        <vt:i4>5767186</vt:i4>
      </vt:variant>
      <vt:variant>
        <vt:i4>36</vt:i4>
      </vt:variant>
      <vt:variant>
        <vt:i4>0</vt:i4>
      </vt:variant>
      <vt:variant>
        <vt:i4>5</vt:i4>
      </vt:variant>
      <vt:variant>
        <vt:lpwstr>http://www.msac.gov.au/internet/msac/publishing.nsf/Content/2A2CCAD19D7F103ECA25801000123BB8/$File/1162-Final-PSD-accessible.DOCX</vt:lpwstr>
      </vt:variant>
      <vt:variant>
        <vt:lpwstr/>
      </vt:variant>
      <vt:variant>
        <vt:i4>3997744</vt:i4>
      </vt:variant>
      <vt:variant>
        <vt:i4>0</vt:i4>
      </vt:variant>
      <vt:variant>
        <vt:i4>0</vt:i4>
      </vt:variant>
      <vt:variant>
        <vt:i4>5</vt:i4>
      </vt:variant>
      <vt:variant>
        <vt:lpwstr>http://www.msac.gov.au/</vt:lpwstr>
      </vt:variant>
      <vt:variant>
        <vt:lpwstr/>
      </vt:variant>
      <vt:variant>
        <vt:i4>5439576</vt:i4>
      </vt:variant>
      <vt:variant>
        <vt:i4>24</vt:i4>
      </vt:variant>
      <vt:variant>
        <vt:i4>0</vt:i4>
      </vt:variant>
      <vt:variant>
        <vt:i4>5</vt:i4>
      </vt:variant>
      <vt:variant>
        <vt:lpwstr>https://www.racgp.org.au/FSDEDEV/media/documents/Clinical Resources/Guidelines/Red Book/Guidelines-for-preventive-activities-in-general-practice.pdf</vt:lpwstr>
      </vt:variant>
      <vt:variant>
        <vt:lpwstr/>
      </vt:variant>
      <vt:variant>
        <vt:i4>4849746</vt:i4>
      </vt:variant>
      <vt:variant>
        <vt:i4>21</vt:i4>
      </vt:variant>
      <vt:variant>
        <vt:i4>0</vt:i4>
      </vt:variant>
      <vt:variant>
        <vt:i4>5</vt:i4>
      </vt:variant>
      <vt:variant>
        <vt:lpwstr>https://www.racgp.org.au/clinical-resources/clinical-guidelines/key-racgp-guidelines/view-all-racgp-guidelines/osteoporosis/executive-summary</vt:lpwstr>
      </vt:variant>
      <vt:variant>
        <vt:lpwstr/>
      </vt:variant>
      <vt:variant>
        <vt:i4>1376334</vt:i4>
      </vt:variant>
      <vt:variant>
        <vt:i4>18</vt:i4>
      </vt:variant>
      <vt:variant>
        <vt:i4>0</vt:i4>
      </vt:variant>
      <vt:variant>
        <vt:i4>5</vt:i4>
      </vt:variant>
      <vt:variant>
        <vt:lpwstr>https://www.health.gov.au/resources/publications/final-clinical-committee-report-for-diagnostic-imaging-bone-densitometry?language=en</vt:lpwstr>
      </vt:variant>
      <vt:variant>
        <vt:lpwstr/>
      </vt:variant>
      <vt:variant>
        <vt:i4>4784145</vt:i4>
      </vt:variant>
      <vt:variant>
        <vt:i4>15</vt:i4>
      </vt:variant>
      <vt:variant>
        <vt:i4>0</vt:i4>
      </vt:variant>
      <vt:variant>
        <vt:i4>5</vt:i4>
      </vt:variant>
      <vt:variant>
        <vt:lpwstr>https://m.pbs.gov.au/industry/listing/elements/pbac-meetings/pbac-outcomes/2024-07/pbac-web-outcomes-07-2024.pdf</vt:lpwstr>
      </vt:variant>
      <vt:variant>
        <vt:lpwstr/>
      </vt:variant>
      <vt:variant>
        <vt:i4>3014766</vt:i4>
      </vt:variant>
      <vt:variant>
        <vt:i4>12</vt:i4>
      </vt:variant>
      <vt:variant>
        <vt:i4>0</vt:i4>
      </vt:variant>
      <vt:variant>
        <vt:i4>5</vt:i4>
      </vt:variant>
      <vt:variant>
        <vt:lpwstr>https://m.pbs.gov.au/industry/listing/elements/pbac-meetings/psd/2022-11/files/risedronic-acid-psd-11-2022-03-2023.pdf</vt:lpwstr>
      </vt:variant>
      <vt:variant>
        <vt:lpwstr/>
      </vt:variant>
      <vt:variant>
        <vt:i4>2097272</vt:i4>
      </vt:variant>
      <vt:variant>
        <vt:i4>9</vt:i4>
      </vt:variant>
      <vt:variant>
        <vt:i4>0</vt:i4>
      </vt:variant>
      <vt:variant>
        <vt:i4>5</vt:i4>
      </vt:variant>
      <vt:variant>
        <vt:lpwstr>https://m.pbs.gov.au/industry/listing/elements/pbac-meetings/pbac-outcomes/2021-09/September-2021-pbac-web-outcomes.pdf</vt:lpwstr>
      </vt:variant>
      <vt:variant>
        <vt:lpwstr/>
      </vt:variant>
      <vt:variant>
        <vt:i4>4849746</vt:i4>
      </vt:variant>
      <vt:variant>
        <vt:i4>6</vt:i4>
      </vt:variant>
      <vt:variant>
        <vt:i4>0</vt:i4>
      </vt:variant>
      <vt:variant>
        <vt:i4>5</vt:i4>
      </vt:variant>
      <vt:variant>
        <vt:lpwstr>https://www.racgp.org.au/clinical-resources/clinical-guidelines/key-racgp-guidelines/view-all-racgp-guidelines/osteoporosis/executive-summary</vt:lpwstr>
      </vt:variant>
      <vt:variant>
        <vt:lpwstr/>
      </vt:variant>
      <vt:variant>
        <vt:i4>4784145</vt:i4>
      </vt:variant>
      <vt:variant>
        <vt:i4>3</vt:i4>
      </vt:variant>
      <vt:variant>
        <vt:i4>0</vt:i4>
      </vt:variant>
      <vt:variant>
        <vt:i4>5</vt:i4>
      </vt:variant>
      <vt:variant>
        <vt:lpwstr>https://m.pbs.gov.au/industry/listing/elements/pbac-meetings/pbac-outcomes/2024-07/pbac-web-outcomes-07-2024.pdf</vt:lpwstr>
      </vt:variant>
      <vt:variant>
        <vt:lpwstr/>
      </vt:variant>
      <vt:variant>
        <vt:i4>5701653</vt:i4>
      </vt:variant>
      <vt:variant>
        <vt:i4>0</vt:i4>
      </vt:variant>
      <vt:variant>
        <vt:i4>0</vt:i4>
      </vt:variant>
      <vt:variant>
        <vt:i4>5</vt:i4>
      </vt:variant>
      <vt:variant>
        <vt:lpwstr>https://www.pbs.gov.au/industry/listing/elements/pbac-meetings/pbac-outcomes/2021-09/September-2021-pbac-web-outcomes.pdf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2024-10-09T03:50:00Z</dcterms:created>
  <dcterms:modified xsi:type="dcterms:W3CDTF">2024-10-09T03:50:00Z</dcterms:modified>
</cp:coreProperties>
</file>