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E1" w:rsidRDefault="002606E1" w:rsidP="002606E1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084830" cy="516890"/>
            <wp:effectExtent l="0" t="0" r="1270" b="0"/>
            <wp:docPr id="1" name="Picture 1" descr="Australian Government Medical Services Advisory Committee" title="M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E1" w:rsidRDefault="002606E1" w:rsidP="002606E1">
      <w:pPr>
        <w:rPr>
          <w:b/>
          <w:szCs w:val="24"/>
        </w:rPr>
      </w:pPr>
    </w:p>
    <w:p w:rsidR="002606E1" w:rsidRDefault="00345463" w:rsidP="002606E1">
      <w:pPr>
        <w:rPr>
          <w:b/>
          <w:szCs w:val="24"/>
        </w:rPr>
      </w:pPr>
      <w:r>
        <w:rPr>
          <w:b/>
          <w:szCs w:val="24"/>
        </w:rPr>
        <w:t>60</w:t>
      </w:r>
      <w:r w:rsidR="002606E1">
        <w:rPr>
          <w:b/>
          <w:szCs w:val="24"/>
          <w:vertAlign w:val="superscript"/>
        </w:rPr>
        <w:t>th</w:t>
      </w:r>
      <w:r w:rsidR="002606E1">
        <w:rPr>
          <w:b/>
          <w:szCs w:val="24"/>
        </w:rPr>
        <w:t xml:space="preserve"> MSAC Meeting</w:t>
      </w:r>
    </w:p>
    <w:p w:rsidR="002606E1" w:rsidRDefault="000D7479" w:rsidP="002606E1">
      <w:pPr>
        <w:rPr>
          <w:szCs w:val="24"/>
        </w:rPr>
      </w:pPr>
      <w:r>
        <w:rPr>
          <w:b/>
          <w:szCs w:val="24"/>
        </w:rPr>
        <w:t xml:space="preserve">28 </w:t>
      </w:r>
      <w:r w:rsidR="00345463">
        <w:rPr>
          <w:b/>
          <w:szCs w:val="24"/>
        </w:rPr>
        <w:t>November</w:t>
      </w:r>
      <w:r w:rsidR="002606E1">
        <w:rPr>
          <w:b/>
          <w:szCs w:val="24"/>
        </w:rPr>
        <w:t xml:space="preserve"> 2013</w:t>
      </w:r>
    </w:p>
    <w:p w:rsidR="002606E1" w:rsidRDefault="002606E1" w:rsidP="002606E1">
      <w:pPr>
        <w:rPr>
          <w:b/>
          <w:szCs w:val="24"/>
        </w:rPr>
      </w:pPr>
    </w:p>
    <w:p w:rsidR="00F16808" w:rsidRPr="00AF5CA1" w:rsidRDefault="006E306A" w:rsidP="00C0698C">
      <w:pPr>
        <w:rPr>
          <w:b/>
          <w:color w:val="000000"/>
          <w:szCs w:val="24"/>
        </w:rPr>
      </w:pPr>
      <w:r>
        <w:rPr>
          <w:rStyle w:val="Strong"/>
          <w:szCs w:val="24"/>
        </w:rPr>
        <w:t xml:space="preserve">PBAC referral relevant to </w:t>
      </w:r>
      <w:r w:rsidR="00697156" w:rsidRPr="00CB4F82">
        <w:rPr>
          <w:rStyle w:val="Strong"/>
          <w:szCs w:val="24"/>
        </w:rPr>
        <w:t>Application</w:t>
      </w:r>
      <w:r>
        <w:rPr>
          <w:rStyle w:val="Strong"/>
          <w:szCs w:val="24"/>
        </w:rPr>
        <w:t>s</w:t>
      </w:r>
      <w:r w:rsidR="00697156" w:rsidRPr="00CB4F82">
        <w:rPr>
          <w:rStyle w:val="Strong"/>
          <w:szCs w:val="24"/>
        </w:rPr>
        <w:t xml:space="preserve"> </w:t>
      </w:r>
      <w:r w:rsidR="000D7479">
        <w:rPr>
          <w:rStyle w:val="Strong"/>
          <w:szCs w:val="24"/>
        </w:rPr>
        <w:t>1</w:t>
      </w:r>
      <w:r>
        <w:rPr>
          <w:rStyle w:val="Strong"/>
          <w:szCs w:val="24"/>
        </w:rPr>
        <w:t>36</w:t>
      </w:r>
      <w:r w:rsidR="000D7479">
        <w:rPr>
          <w:rStyle w:val="Strong"/>
          <w:szCs w:val="24"/>
        </w:rPr>
        <w:t>2</w:t>
      </w:r>
      <w:r>
        <w:rPr>
          <w:rStyle w:val="Strong"/>
          <w:szCs w:val="24"/>
        </w:rPr>
        <w:t xml:space="preserve"> and 136</w:t>
      </w:r>
      <w:r w:rsidR="00E37DEC">
        <w:rPr>
          <w:rStyle w:val="Strong"/>
          <w:szCs w:val="24"/>
        </w:rPr>
        <w:t>3</w:t>
      </w:r>
      <w:r w:rsidR="007C44F2">
        <w:rPr>
          <w:rStyle w:val="Strong"/>
          <w:szCs w:val="24"/>
        </w:rPr>
        <w:t xml:space="preserve"> –</w:t>
      </w:r>
      <w:r w:rsidR="00345463">
        <w:rPr>
          <w:rStyle w:val="Strong"/>
          <w:szCs w:val="24"/>
        </w:rPr>
        <w:t xml:space="preserve"> </w:t>
      </w:r>
      <w:r>
        <w:rPr>
          <w:rStyle w:val="Strong"/>
          <w:szCs w:val="24"/>
        </w:rPr>
        <w:t>KRAS/RAS testing under MBS item 73330 for access to cetuximab/panitumumab</w:t>
      </w:r>
    </w:p>
    <w:p w:rsidR="00C0698C" w:rsidRDefault="00C0698C" w:rsidP="00C0698C">
      <w:pPr>
        <w:rPr>
          <w:b/>
        </w:rPr>
      </w:pPr>
    </w:p>
    <w:p w:rsidR="00C0698C" w:rsidRDefault="00C0698C" w:rsidP="00C0698C">
      <w:pPr>
        <w:rPr>
          <w:b/>
          <w:bCs/>
          <w:szCs w:val="24"/>
        </w:rPr>
      </w:pPr>
      <w:r>
        <w:rPr>
          <w:b/>
          <w:bCs/>
          <w:szCs w:val="24"/>
        </w:rPr>
        <w:t>Sum</w:t>
      </w:r>
      <w:r>
        <w:rPr>
          <w:b/>
          <w:bCs/>
          <w:spacing w:val="-5"/>
          <w:szCs w:val="24"/>
        </w:rPr>
        <w:t>m</w:t>
      </w:r>
      <w:r>
        <w:rPr>
          <w:b/>
          <w:bCs/>
          <w:spacing w:val="5"/>
          <w:szCs w:val="24"/>
        </w:rPr>
        <w:t>a</w:t>
      </w:r>
      <w:r>
        <w:rPr>
          <w:b/>
          <w:bCs/>
          <w:spacing w:val="-6"/>
          <w:szCs w:val="24"/>
        </w:rPr>
        <w:t>r</w:t>
      </w:r>
      <w:r>
        <w:rPr>
          <w:b/>
          <w:bCs/>
          <w:szCs w:val="24"/>
        </w:rPr>
        <w:t>y of consid</w:t>
      </w:r>
      <w:r>
        <w:rPr>
          <w:b/>
          <w:bCs/>
          <w:spacing w:val="3"/>
          <w:szCs w:val="24"/>
        </w:rPr>
        <w:t>e</w:t>
      </w:r>
      <w:r>
        <w:rPr>
          <w:b/>
          <w:bCs/>
          <w:spacing w:val="-6"/>
          <w:szCs w:val="24"/>
        </w:rPr>
        <w:t>r</w:t>
      </w:r>
      <w:r>
        <w:rPr>
          <w:b/>
          <w:bCs/>
          <w:szCs w:val="24"/>
        </w:rPr>
        <w:t>ation</w:t>
      </w:r>
      <w:r>
        <w:rPr>
          <w:b/>
          <w:bCs/>
          <w:spacing w:val="5"/>
          <w:szCs w:val="24"/>
        </w:rPr>
        <w:t xml:space="preserve"> </w:t>
      </w:r>
      <w:r>
        <w:rPr>
          <w:b/>
          <w:bCs/>
          <w:szCs w:val="24"/>
        </w:rPr>
        <w:t>and</w:t>
      </w:r>
      <w:r>
        <w:rPr>
          <w:b/>
          <w:bCs/>
          <w:spacing w:val="4"/>
          <w:szCs w:val="24"/>
        </w:rPr>
        <w:t xml:space="preserve"> </w:t>
      </w:r>
      <w:r>
        <w:rPr>
          <w:b/>
          <w:bCs/>
          <w:spacing w:val="-6"/>
          <w:szCs w:val="24"/>
        </w:rPr>
        <w:t>r</w:t>
      </w:r>
      <w:r>
        <w:rPr>
          <w:b/>
          <w:bCs/>
          <w:szCs w:val="24"/>
        </w:rPr>
        <w:t>ationale</w:t>
      </w:r>
      <w:r>
        <w:rPr>
          <w:b/>
          <w:bCs/>
          <w:spacing w:val="-3"/>
          <w:szCs w:val="24"/>
        </w:rPr>
        <w:t xml:space="preserve"> </w:t>
      </w:r>
      <w:r>
        <w:rPr>
          <w:b/>
          <w:bCs/>
          <w:szCs w:val="24"/>
        </w:rPr>
        <w:t>f</w:t>
      </w:r>
      <w:r>
        <w:rPr>
          <w:b/>
          <w:bCs/>
          <w:spacing w:val="4"/>
          <w:szCs w:val="24"/>
        </w:rPr>
        <w:t>o</w:t>
      </w:r>
      <w:r>
        <w:rPr>
          <w:b/>
          <w:bCs/>
          <w:szCs w:val="24"/>
        </w:rPr>
        <w:t>r</w:t>
      </w:r>
      <w:r>
        <w:rPr>
          <w:b/>
          <w:bCs/>
          <w:spacing w:val="-6"/>
          <w:szCs w:val="24"/>
        </w:rPr>
        <w:t xml:space="preserve"> </w:t>
      </w:r>
      <w:r>
        <w:rPr>
          <w:b/>
          <w:bCs/>
          <w:spacing w:val="6"/>
          <w:szCs w:val="24"/>
        </w:rPr>
        <w:t>M</w:t>
      </w:r>
      <w:r>
        <w:rPr>
          <w:b/>
          <w:bCs/>
          <w:szCs w:val="24"/>
        </w:rPr>
        <w:t>SAC’s advice</w:t>
      </w:r>
    </w:p>
    <w:p w:rsidR="00F145DA" w:rsidRDefault="002D4B11" w:rsidP="00C0698C">
      <w:pPr>
        <w:rPr>
          <w:bCs/>
          <w:szCs w:val="24"/>
        </w:rPr>
      </w:pPr>
      <w:r>
        <w:rPr>
          <w:bCs/>
          <w:szCs w:val="24"/>
        </w:rPr>
        <w:t xml:space="preserve">MSAC </w:t>
      </w:r>
      <w:r w:rsidR="00F145DA">
        <w:rPr>
          <w:bCs/>
          <w:szCs w:val="24"/>
        </w:rPr>
        <w:t xml:space="preserve">noted that the applicant (Merck </w:t>
      </w:r>
      <w:proofErr w:type="spellStart"/>
      <w:r w:rsidR="00F145DA">
        <w:rPr>
          <w:bCs/>
          <w:szCs w:val="24"/>
        </w:rPr>
        <w:t>Serono</w:t>
      </w:r>
      <w:proofErr w:type="spellEnd"/>
      <w:r w:rsidR="00F145DA">
        <w:rPr>
          <w:bCs/>
          <w:szCs w:val="24"/>
        </w:rPr>
        <w:t xml:space="preserve">) had withdrawn its Application 1362 for </w:t>
      </w:r>
      <w:r w:rsidR="00F145DA" w:rsidRPr="006F308D">
        <w:rPr>
          <w:bCs/>
          <w:i/>
          <w:szCs w:val="24"/>
        </w:rPr>
        <w:t>KRAS</w:t>
      </w:r>
      <w:r w:rsidR="00F145DA">
        <w:rPr>
          <w:bCs/>
          <w:szCs w:val="24"/>
        </w:rPr>
        <w:t xml:space="preserve"> </w:t>
      </w:r>
      <w:r w:rsidR="006F308D">
        <w:rPr>
          <w:bCs/>
          <w:szCs w:val="24"/>
        </w:rPr>
        <w:t xml:space="preserve">mutation </w:t>
      </w:r>
      <w:r w:rsidR="00F145DA">
        <w:rPr>
          <w:bCs/>
          <w:szCs w:val="24"/>
        </w:rPr>
        <w:t xml:space="preserve">testing under MBS item </w:t>
      </w:r>
      <w:r w:rsidR="00BE2DC3">
        <w:rPr>
          <w:bCs/>
          <w:szCs w:val="24"/>
        </w:rPr>
        <w:t xml:space="preserve">73330 </w:t>
      </w:r>
      <w:r w:rsidR="00F145DA">
        <w:rPr>
          <w:bCs/>
          <w:szCs w:val="24"/>
        </w:rPr>
        <w:t>for access to cetuximab in the first-line setting of metastatic colorectal cancer (</w:t>
      </w:r>
      <w:proofErr w:type="spellStart"/>
      <w:r w:rsidR="00F145DA">
        <w:rPr>
          <w:bCs/>
          <w:szCs w:val="24"/>
        </w:rPr>
        <w:t>mCRC</w:t>
      </w:r>
      <w:proofErr w:type="spellEnd"/>
      <w:r w:rsidR="00F145DA">
        <w:rPr>
          <w:bCs/>
          <w:szCs w:val="24"/>
        </w:rPr>
        <w:t>). This corresponded to a withdrawal of the co-dependent submission to the 6-8 November 2013 Ph</w:t>
      </w:r>
      <w:bookmarkStart w:id="0" w:name="_GoBack"/>
      <w:bookmarkEnd w:id="0"/>
      <w:r w:rsidR="00F145DA">
        <w:rPr>
          <w:bCs/>
          <w:szCs w:val="24"/>
        </w:rPr>
        <w:t xml:space="preserve">armaceutical Benefits Advisory Committee (PBAC) meeting for cetuximab in the first-line setting of </w:t>
      </w:r>
      <w:proofErr w:type="spellStart"/>
      <w:r w:rsidR="00F145DA">
        <w:rPr>
          <w:bCs/>
          <w:szCs w:val="24"/>
        </w:rPr>
        <w:t>mCRC</w:t>
      </w:r>
      <w:proofErr w:type="spellEnd"/>
      <w:r w:rsidR="00F145DA">
        <w:rPr>
          <w:bCs/>
          <w:szCs w:val="24"/>
        </w:rPr>
        <w:t xml:space="preserve">. MSAC also noted that </w:t>
      </w:r>
      <w:r w:rsidR="00BE2DC3">
        <w:rPr>
          <w:bCs/>
          <w:szCs w:val="24"/>
        </w:rPr>
        <w:t xml:space="preserve">an assessment report had not yet been received to enable consideration of Application 1363 for </w:t>
      </w:r>
      <w:r w:rsidR="00BE2DC3" w:rsidRPr="006F308D">
        <w:rPr>
          <w:bCs/>
          <w:i/>
          <w:szCs w:val="24"/>
        </w:rPr>
        <w:t>RAS</w:t>
      </w:r>
      <w:r w:rsidR="00BE2DC3">
        <w:rPr>
          <w:bCs/>
          <w:szCs w:val="24"/>
        </w:rPr>
        <w:t xml:space="preserve"> </w:t>
      </w:r>
      <w:r w:rsidR="006F308D">
        <w:rPr>
          <w:bCs/>
          <w:szCs w:val="24"/>
        </w:rPr>
        <w:t xml:space="preserve">mutation </w:t>
      </w:r>
      <w:r w:rsidR="00BE2DC3">
        <w:rPr>
          <w:bCs/>
          <w:szCs w:val="24"/>
        </w:rPr>
        <w:t xml:space="preserve">testing under MBS item 73330 for access to panitumumab in the first-line setting of </w:t>
      </w:r>
      <w:proofErr w:type="spellStart"/>
      <w:r w:rsidR="00BE2DC3">
        <w:rPr>
          <w:bCs/>
          <w:szCs w:val="24"/>
        </w:rPr>
        <w:t>mCRC</w:t>
      </w:r>
      <w:proofErr w:type="spellEnd"/>
      <w:r w:rsidR="00BE2DC3">
        <w:rPr>
          <w:bCs/>
          <w:szCs w:val="24"/>
        </w:rPr>
        <w:t>.</w:t>
      </w:r>
    </w:p>
    <w:p w:rsidR="00F145DA" w:rsidRDefault="00F145DA" w:rsidP="00C0698C">
      <w:pPr>
        <w:rPr>
          <w:bCs/>
          <w:szCs w:val="24"/>
        </w:rPr>
      </w:pPr>
    </w:p>
    <w:p w:rsidR="00F145DA" w:rsidRDefault="00BE2DC3" w:rsidP="00F145DA">
      <w:r>
        <w:t xml:space="preserve">However, </w:t>
      </w:r>
      <w:r w:rsidR="00F145DA">
        <w:t xml:space="preserve">MSAC </w:t>
      </w:r>
      <w:r>
        <w:t xml:space="preserve">undertook a preliminary consideration of these matters in response to a referral from </w:t>
      </w:r>
      <w:r w:rsidR="00F145DA">
        <w:t xml:space="preserve">the 6-8 November 2013 PBAC meeting </w:t>
      </w:r>
      <w:r>
        <w:t xml:space="preserve">which raised </w:t>
      </w:r>
      <w:r w:rsidR="00F145DA">
        <w:t xml:space="preserve">several matters for MSAC consideration in relation to the emerging data on variable treatment effect of panitumumab and cetuximab associated with a broader range of RAS mutations than the exon 2 mutation currently detected with </w:t>
      </w:r>
      <w:r w:rsidR="00F145DA" w:rsidRPr="006F308D">
        <w:rPr>
          <w:i/>
        </w:rPr>
        <w:t>KRAS</w:t>
      </w:r>
      <w:r w:rsidR="00F145DA">
        <w:t xml:space="preserve"> mutation testing. Specifically, PBAC had sought advice from MSAC and the sponsor companies (Merck </w:t>
      </w:r>
      <w:proofErr w:type="spellStart"/>
      <w:r w:rsidR="00F145DA">
        <w:t>Serono</w:t>
      </w:r>
      <w:proofErr w:type="spellEnd"/>
      <w:r w:rsidR="00F145DA">
        <w:t xml:space="preserve"> for cetuximab and Amgen for panitumumab) regarding the need for wider </w:t>
      </w:r>
      <w:r w:rsidR="00F145DA" w:rsidRPr="006F308D">
        <w:rPr>
          <w:i/>
        </w:rPr>
        <w:t>RAS</w:t>
      </w:r>
      <w:r w:rsidR="00F145DA">
        <w:t xml:space="preserve"> mutation testing (and other mutation testing) to better select patients.</w:t>
      </w:r>
    </w:p>
    <w:p w:rsidR="00F145DA" w:rsidRPr="00002AEA" w:rsidRDefault="00F145DA" w:rsidP="00F145DA">
      <w:pPr>
        <w:rPr>
          <w:rFonts w:eastAsiaTheme="minorHAnsi"/>
          <w:szCs w:val="24"/>
          <w:lang w:eastAsia="en-US"/>
        </w:rPr>
      </w:pPr>
    </w:p>
    <w:p w:rsidR="00372EDE" w:rsidRDefault="005658CC" w:rsidP="00C0698C">
      <w:pPr>
        <w:rPr>
          <w:bCs/>
          <w:szCs w:val="24"/>
        </w:rPr>
      </w:pPr>
      <w:r>
        <w:rPr>
          <w:bCs/>
          <w:szCs w:val="24"/>
        </w:rPr>
        <w:t xml:space="preserve">MBS item 73330 was created following December 2010 MSAC advice to fund testing of tumour tissue from a patient with metastatic colorectal cancer requested by, or on behalf of, a specialist or consultant physician to determine if the requirements relating to Kirsten </w:t>
      </w:r>
      <w:proofErr w:type="spellStart"/>
      <w:r>
        <w:rPr>
          <w:bCs/>
          <w:szCs w:val="24"/>
        </w:rPr>
        <w:t>ras</w:t>
      </w:r>
      <w:proofErr w:type="spellEnd"/>
      <w:r>
        <w:rPr>
          <w:bCs/>
          <w:szCs w:val="24"/>
        </w:rPr>
        <w:t xml:space="preserve"> (</w:t>
      </w:r>
      <w:r w:rsidRPr="006F308D">
        <w:rPr>
          <w:bCs/>
          <w:i/>
          <w:szCs w:val="24"/>
        </w:rPr>
        <w:t>KRAS</w:t>
      </w:r>
      <w:r>
        <w:rPr>
          <w:bCs/>
          <w:szCs w:val="24"/>
        </w:rPr>
        <w:t xml:space="preserve">) gene mutation status for access to cetuximab under the Pharmaceutical Benefits Scheme (PBS) are fulfilled. Testing is of codons 12 and 13 on exon 2 and is conducted in the context of a quality assurance program. Prior to listing on the MBS, </w:t>
      </w:r>
      <w:r w:rsidRPr="006F308D">
        <w:rPr>
          <w:bCs/>
          <w:i/>
          <w:szCs w:val="24"/>
        </w:rPr>
        <w:t>KRAS</w:t>
      </w:r>
      <w:r>
        <w:rPr>
          <w:bCs/>
          <w:szCs w:val="24"/>
        </w:rPr>
        <w:t xml:space="preserve"> </w:t>
      </w:r>
      <w:r w:rsidR="006F308D">
        <w:rPr>
          <w:bCs/>
          <w:szCs w:val="24"/>
        </w:rPr>
        <w:t xml:space="preserve">mutation </w:t>
      </w:r>
      <w:r>
        <w:rPr>
          <w:bCs/>
          <w:szCs w:val="24"/>
        </w:rPr>
        <w:t>testing was available in two specialised laboratories; it is now available in more than 12 NATA-accredited pathology centres across Australia.</w:t>
      </w:r>
    </w:p>
    <w:p w:rsidR="00C0698C" w:rsidRDefault="00C0698C" w:rsidP="00C659DF"/>
    <w:p w:rsidR="005658CC" w:rsidRDefault="00BD0CDC" w:rsidP="00C659DF">
      <w:r>
        <w:t>As indicated by PBAC in its referral, e</w:t>
      </w:r>
      <w:r w:rsidR="005658CC">
        <w:t xml:space="preserve">xtended analyses of the PRIME </w:t>
      </w:r>
      <w:r w:rsidR="00950422">
        <w:t xml:space="preserve">randomised </w:t>
      </w:r>
      <w:r w:rsidR="005658CC">
        <w:t xml:space="preserve">trial of first-line panitumumab published </w:t>
      </w:r>
      <w:r>
        <w:t xml:space="preserve">by </w:t>
      </w:r>
      <w:proofErr w:type="spellStart"/>
      <w:r>
        <w:t>Douillard</w:t>
      </w:r>
      <w:proofErr w:type="spellEnd"/>
      <w:r>
        <w:t xml:space="preserve"> et al in the </w:t>
      </w:r>
      <w:r w:rsidR="005658CC">
        <w:t xml:space="preserve">September 2013 </w:t>
      </w:r>
      <w:r>
        <w:t xml:space="preserve">issue of the New England Journal of Medicine </w:t>
      </w:r>
      <w:r w:rsidR="005658CC">
        <w:t xml:space="preserve">raised concerns that other activating </w:t>
      </w:r>
      <w:r w:rsidR="005658CC" w:rsidRPr="00BD0CDC">
        <w:rPr>
          <w:i/>
        </w:rPr>
        <w:t>RAS</w:t>
      </w:r>
      <w:r w:rsidR="005658CC">
        <w:t xml:space="preserve"> mutations </w:t>
      </w:r>
      <w:r>
        <w:t xml:space="preserve">beyond </w:t>
      </w:r>
      <w:r w:rsidRPr="00BD0CDC">
        <w:rPr>
          <w:i/>
        </w:rPr>
        <w:t>KRAS</w:t>
      </w:r>
      <w:r>
        <w:t xml:space="preserve"> mutations in exon 2 may also be negative predictive biomarkers for anti-EGFR therapy (e.g., panitumumab and cetuximab). </w:t>
      </w:r>
      <w:r w:rsidR="005A1A1A">
        <w:t xml:space="preserve">The additional activating mutations occurred in 16% of PRIME participants and were found as </w:t>
      </w:r>
      <w:r w:rsidR="005A1A1A" w:rsidRPr="005A1A1A">
        <w:rPr>
          <w:i/>
        </w:rPr>
        <w:t>KRAS</w:t>
      </w:r>
      <w:r w:rsidR="005A1A1A">
        <w:t xml:space="preserve"> mutations outside exon 2 and </w:t>
      </w:r>
      <w:r w:rsidR="005A1A1A" w:rsidRPr="005A1A1A">
        <w:rPr>
          <w:i/>
        </w:rPr>
        <w:t>NRAS</w:t>
      </w:r>
      <w:r w:rsidR="005A1A1A">
        <w:t xml:space="preserve"> mutations on exons 2, 3 and 4. </w:t>
      </w:r>
      <w:r>
        <w:t xml:space="preserve">These analyses contributed to a safety-related change in the TGA-approved indication for panitumumab for the treatment of </w:t>
      </w:r>
      <w:r w:rsidR="00950422">
        <w:t xml:space="preserve">patients with </w:t>
      </w:r>
      <w:r w:rsidR="00950422" w:rsidRPr="006F308D">
        <w:rPr>
          <w:i/>
        </w:rPr>
        <w:t>RAS</w:t>
      </w:r>
      <w:r w:rsidR="00950422">
        <w:t xml:space="preserve"> wild-type (rather than </w:t>
      </w:r>
      <w:r w:rsidR="00950422" w:rsidRPr="006F308D">
        <w:rPr>
          <w:i/>
        </w:rPr>
        <w:t>KRAS</w:t>
      </w:r>
      <w:r w:rsidR="00950422">
        <w:t xml:space="preserve"> wild-type) </w:t>
      </w:r>
      <w:proofErr w:type="spellStart"/>
      <w:r>
        <w:t>mCRC</w:t>
      </w:r>
      <w:proofErr w:type="spellEnd"/>
      <w:r w:rsidR="00950422">
        <w:t xml:space="preserve"> as first-line combination therapy.</w:t>
      </w:r>
    </w:p>
    <w:p w:rsidR="00950422" w:rsidRDefault="00950422" w:rsidP="00C659DF"/>
    <w:p w:rsidR="00950422" w:rsidRDefault="00950422" w:rsidP="00C659DF">
      <w:r>
        <w:t xml:space="preserve">The results of similar analyses in </w:t>
      </w:r>
      <w:proofErr w:type="spellStart"/>
      <w:r>
        <w:t>mCRC</w:t>
      </w:r>
      <w:proofErr w:type="spellEnd"/>
      <w:r>
        <w:t xml:space="preserve"> are becoming available from the PEAK randomised trial of panitumumab as combination therapy and from the OPUS, </w:t>
      </w:r>
      <w:r w:rsidR="00506594">
        <w:rPr>
          <w:b/>
        </w:rPr>
        <w:t>(redacted information)</w:t>
      </w:r>
      <w:r>
        <w:t xml:space="preserve"> </w:t>
      </w:r>
      <w:r>
        <w:lastRenderedPageBreak/>
        <w:t xml:space="preserve">and FIRE 3 randomised trials of cetuximab as combination therapy. Other emerging analyses in </w:t>
      </w:r>
      <w:proofErr w:type="spellStart"/>
      <w:r>
        <w:t>mCRC</w:t>
      </w:r>
      <w:proofErr w:type="spellEnd"/>
      <w:r>
        <w:t xml:space="preserve"> are coming from the Piccolo (panitumumab as combination therapy)</w:t>
      </w:r>
      <w:r w:rsidR="00614334">
        <w:t>, CAPRI (cetuximab as combination therapy), Study 408 (panitumumab as monotherapy), and Consortium (cetuximab as combination therapy) studies.</w:t>
      </w:r>
    </w:p>
    <w:p w:rsidR="005658CC" w:rsidRDefault="005658CC" w:rsidP="00C659DF"/>
    <w:p w:rsidR="005A1A1A" w:rsidRDefault="005A1A1A" w:rsidP="00C659DF">
      <w:r>
        <w:t>MSAC identified four questions which needed to be addressed:</w:t>
      </w:r>
    </w:p>
    <w:p w:rsidR="005A1A1A" w:rsidRDefault="005A1A1A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 xml:space="preserve">Is the identified </w:t>
      </w:r>
      <w:r w:rsidR="00AC2C5E">
        <w:t xml:space="preserve">effect </w:t>
      </w:r>
      <w:r>
        <w:t xml:space="preserve">of </w:t>
      </w:r>
      <w:r w:rsidRPr="00401C66">
        <w:rPr>
          <w:i/>
        </w:rPr>
        <w:t>RAS</w:t>
      </w:r>
      <w:r>
        <w:t xml:space="preserve"> mutation status </w:t>
      </w:r>
      <w:r w:rsidR="00AC2C5E">
        <w:t xml:space="preserve">(in predicting a reduced treatment effect) operating </w:t>
      </w:r>
      <w:r>
        <w:t>as a class effect</w:t>
      </w:r>
      <w:r w:rsidR="00AC2C5E">
        <w:t xml:space="preserve"> across anti-EGFR antibodies</w:t>
      </w:r>
      <w:r>
        <w:t xml:space="preserve">, i.e., does it </w:t>
      </w:r>
      <w:r w:rsidR="00AC2C5E">
        <w:t xml:space="preserve">similarly </w:t>
      </w:r>
      <w:r>
        <w:t>affect both panitumumab and cetuximab?</w:t>
      </w:r>
    </w:p>
    <w:p w:rsidR="005A1A1A" w:rsidRDefault="005A1A1A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Is this effect consistent irrespective of the chemotherapy partner with the anti-EGFR antibody, including anti-EGFR antibody used as monotherapy?</w:t>
      </w:r>
    </w:p>
    <w:p w:rsidR="005A1A1A" w:rsidRDefault="00AC2C5E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 xml:space="preserve">Is this effect consistent across all lines of therapy, noting that there are more clearly effective alternatives to anti-EGFR antibodies in earlier lines of therapy which may affect the consequences of this effect for an assessment </w:t>
      </w:r>
      <w:r w:rsidR="00AD324D">
        <w:t xml:space="preserve">of the </w:t>
      </w:r>
      <w:r>
        <w:t>health benefits and harms</w:t>
      </w:r>
      <w:r w:rsidR="00AD324D">
        <w:t xml:space="preserve"> comparing anti-EGFR antibody</w:t>
      </w:r>
      <w:r w:rsidR="00723D54">
        <w:t xml:space="preserve"> based therapies with </w:t>
      </w:r>
      <w:r w:rsidR="00AD324D">
        <w:t>these alternative therapy options</w:t>
      </w:r>
      <w:r>
        <w:t>?</w:t>
      </w:r>
    </w:p>
    <w:p w:rsidR="00AC2C5E" w:rsidRDefault="00102EF5" w:rsidP="003F1984">
      <w:pPr>
        <w:pStyle w:val="ListParagraph"/>
        <w:numPr>
          <w:ilvl w:val="0"/>
          <w:numId w:val="10"/>
        </w:numPr>
        <w:spacing w:after="0" w:line="240" w:lineRule="auto"/>
        <w:ind w:left="425" w:hanging="357"/>
      </w:pPr>
      <w:r>
        <w:t xml:space="preserve">What is the full spectrum of mutations which </w:t>
      </w:r>
      <w:r w:rsidR="00AC2C5E">
        <w:t xml:space="preserve">predict a reduced treatment effect of anti-EGFR antibodies, e.g., </w:t>
      </w:r>
      <w:r w:rsidR="00AC2C5E" w:rsidRPr="00401C66">
        <w:rPr>
          <w:i/>
        </w:rPr>
        <w:t>HRAS</w:t>
      </w:r>
      <w:r w:rsidR="006F308D">
        <w:t xml:space="preserve">, </w:t>
      </w:r>
      <w:r w:rsidR="00AC2C5E" w:rsidRPr="00401C66">
        <w:rPr>
          <w:i/>
        </w:rPr>
        <w:t>BRAF</w:t>
      </w:r>
      <w:r w:rsidRPr="006F308D">
        <w:t xml:space="preserve">, </w:t>
      </w:r>
      <w:r>
        <w:rPr>
          <w:i/>
        </w:rPr>
        <w:t>PIK3CA</w:t>
      </w:r>
      <w:r w:rsidR="00401C66">
        <w:t xml:space="preserve"> mutations</w:t>
      </w:r>
      <w:r>
        <w:t xml:space="preserve"> and others</w:t>
      </w:r>
      <w:r w:rsidR="006F308D">
        <w:t>?</w:t>
      </w:r>
    </w:p>
    <w:p w:rsidR="005A1A1A" w:rsidRDefault="005A1A1A" w:rsidP="00C659DF"/>
    <w:p w:rsidR="00401C66" w:rsidRDefault="00AC2C5E" w:rsidP="00C659DF">
      <w:r>
        <w:t>MSAC also sought an update on how regulatory agencies in Australia, Europe, Canada and the United States of America were responding to the emerging evidence</w:t>
      </w:r>
      <w:r w:rsidR="00401C66">
        <w:t xml:space="preserve"> and the evidentiary basis they were relying on for any regulatory changes.</w:t>
      </w:r>
    </w:p>
    <w:p w:rsidR="00401C66" w:rsidRDefault="00401C66" w:rsidP="00C659DF"/>
    <w:p w:rsidR="00401C66" w:rsidRDefault="00401C66" w:rsidP="00C659DF">
      <w:r>
        <w:t>Similarly, MSAC sought an update on whether and how pathology laboratories were modifying their testing strategies in response to the emerging evidence. Relevant information in this update would include identifying:</w:t>
      </w:r>
    </w:p>
    <w:p w:rsidR="00401C66" w:rsidRDefault="006F308D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w</w:t>
      </w:r>
      <w:r w:rsidR="00401C66">
        <w:t>hat additional tests are being conducted</w:t>
      </w:r>
    </w:p>
    <w:p w:rsidR="00401C66" w:rsidRDefault="00401C66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what order testing</w:t>
      </w:r>
      <w:r w:rsidR="00102EF5">
        <w:t xml:space="preserve"> </w:t>
      </w:r>
      <w:r w:rsidR="006F308D">
        <w:t xml:space="preserve">is </w:t>
      </w:r>
      <w:r w:rsidR="00102EF5">
        <w:t>occurring</w:t>
      </w:r>
    </w:p>
    <w:p w:rsidR="00102EF5" w:rsidRDefault="006F308D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 xml:space="preserve">whether </w:t>
      </w:r>
      <w:r w:rsidR="00102EF5">
        <w:t xml:space="preserve">mutation load </w:t>
      </w:r>
      <w:r>
        <w:t xml:space="preserve">is </w:t>
      </w:r>
      <w:r w:rsidR="00102EF5">
        <w:t>being estimated</w:t>
      </w:r>
    </w:p>
    <w:p w:rsidR="00401C66" w:rsidRDefault="006F308D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w</w:t>
      </w:r>
      <w:r w:rsidR="00401C66">
        <w:t xml:space="preserve">ith what consequence for MBS billing practice (e.g., is item 73330 being billed on multiple occasions to look for </w:t>
      </w:r>
      <w:r w:rsidR="00401C66" w:rsidRPr="00401C66">
        <w:rPr>
          <w:i/>
        </w:rPr>
        <w:t>KRAS</w:t>
      </w:r>
      <w:r>
        <w:t xml:space="preserve"> mutations beyond exon 2?</w:t>
      </w:r>
      <w:r w:rsidR="00401C66">
        <w:t>)</w:t>
      </w:r>
      <w:r>
        <w:t xml:space="preserve"> and</w:t>
      </w:r>
    </w:p>
    <w:p w:rsidR="00AC2C5E" w:rsidRDefault="006F308D" w:rsidP="003F1984">
      <w:pPr>
        <w:pStyle w:val="ListParagraph"/>
        <w:numPr>
          <w:ilvl w:val="0"/>
          <w:numId w:val="10"/>
        </w:numPr>
        <w:spacing w:after="0" w:line="240" w:lineRule="auto"/>
        <w:ind w:left="425" w:hanging="357"/>
      </w:pPr>
      <w:proofErr w:type="gramStart"/>
      <w:r>
        <w:t>at</w:t>
      </w:r>
      <w:proofErr w:type="gramEnd"/>
      <w:r>
        <w:t xml:space="preserve"> what additional cost.</w:t>
      </w:r>
    </w:p>
    <w:p w:rsidR="003F1984" w:rsidRDefault="003F1984" w:rsidP="00C659DF"/>
    <w:p w:rsidR="003F1984" w:rsidRDefault="00401C66" w:rsidP="00C659DF">
      <w:r>
        <w:t xml:space="preserve">This information (and the rationale for these changes) is needed to identify the most cost-effective way of covering these </w:t>
      </w:r>
      <w:r w:rsidR="00723D54">
        <w:t xml:space="preserve">additional </w:t>
      </w:r>
      <w:r>
        <w:t>genes</w:t>
      </w:r>
      <w:r w:rsidR="003F1984">
        <w:t>, such as</w:t>
      </w:r>
      <w:r w:rsidR="00443F1A">
        <w:t>:</w:t>
      </w:r>
    </w:p>
    <w:p w:rsidR="00401C66" w:rsidRDefault="00401C66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in a cascade</w:t>
      </w:r>
      <w:r w:rsidR="003F1984">
        <w:t xml:space="preserve"> of testing given that </w:t>
      </w:r>
      <w:r w:rsidR="003F1984" w:rsidRPr="006F308D">
        <w:rPr>
          <w:i/>
        </w:rPr>
        <w:t>KRAS</w:t>
      </w:r>
      <w:r w:rsidR="003F1984">
        <w:t xml:space="preserve"> and </w:t>
      </w:r>
      <w:r w:rsidR="003F1984" w:rsidRPr="006F308D">
        <w:rPr>
          <w:i/>
        </w:rPr>
        <w:t>NRAS</w:t>
      </w:r>
      <w:r w:rsidR="003F1984">
        <w:t xml:space="preserve"> mutations are mutually e</w:t>
      </w:r>
      <w:r w:rsidR="00723D54">
        <w:t>x</w:t>
      </w:r>
      <w:r w:rsidR="003F1984">
        <w:t>clusive</w:t>
      </w:r>
    </w:p>
    <w:p w:rsidR="003F1984" w:rsidRDefault="003F1984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using multiplex testing</w:t>
      </w:r>
    </w:p>
    <w:p w:rsidR="003F1984" w:rsidRDefault="00102EF5" w:rsidP="003F1984">
      <w:pPr>
        <w:pStyle w:val="ListParagraph"/>
        <w:numPr>
          <w:ilvl w:val="0"/>
          <w:numId w:val="10"/>
        </w:numPr>
        <w:spacing w:line="240" w:lineRule="auto"/>
        <w:ind w:left="426"/>
      </w:pPr>
      <w:r>
        <w:t>mutation screening for multiple genes followed by confirmation of specific gene mutations</w:t>
      </w:r>
    </w:p>
    <w:p w:rsidR="003F1984" w:rsidRDefault="003F1984" w:rsidP="003F1984">
      <w:pPr>
        <w:pStyle w:val="ListParagraph"/>
        <w:numPr>
          <w:ilvl w:val="0"/>
          <w:numId w:val="10"/>
        </w:numPr>
        <w:spacing w:after="0" w:line="240" w:lineRule="auto"/>
        <w:ind w:left="425" w:hanging="357"/>
      </w:pPr>
      <w:proofErr w:type="gramStart"/>
      <w:r>
        <w:t>some</w:t>
      </w:r>
      <w:proofErr w:type="gramEnd"/>
      <w:r>
        <w:t xml:space="preserve"> other approach?</w:t>
      </w:r>
    </w:p>
    <w:p w:rsidR="00401C66" w:rsidRDefault="00401C66" w:rsidP="00C659DF"/>
    <w:p w:rsidR="003F1984" w:rsidRDefault="003F1984" w:rsidP="00C659DF">
      <w:r>
        <w:t xml:space="preserve">MSAC considered that the emerging evidence indicated that maintaining the status quo means that some patients with </w:t>
      </w:r>
      <w:proofErr w:type="spellStart"/>
      <w:r>
        <w:t>mCRC</w:t>
      </w:r>
      <w:proofErr w:type="spellEnd"/>
      <w:r>
        <w:t xml:space="preserve"> are unnecessarily being exposed to side effects and reduced treatment outcomes. MSAC therefore considered that the review of the evidence and its consequences sho</w:t>
      </w:r>
      <w:r w:rsidR="001946AB">
        <w:t xml:space="preserve">uld be conducted as a matter of </w:t>
      </w:r>
      <w:r>
        <w:t>urgency.</w:t>
      </w:r>
    </w:p>
    <w:p w:rsidR="003F1984" w:rsidRDefault="003F1984" w:rsidP="00C659DF"/>
    <w:p w:rsidR="003F1984" w:rsidRDefault="003F1984" w:rsidP="00C659DF">
      <w:r>
        <w:t xml:space="preserve">Accordingly, MSAC requested that the sponsors of panitumumab (Amgen) and cetuximab (Merck </w:t>
      </w:r>
      <w:proofErr w:type="spellStart"/>
      <w:r>
        <w:t>Serono</w:t>
      </w:r>
      <w:proofErr w:type="spellEnd"/>
      <w:r>
        <w:t>) provide the requested information in submissions to be assessed via the Evaluation Sub-Committee. MSAC further requested that TGA be requested to provide updated advice for MSAC consideration alongside its consideration of these submissions.</w:t>
      </w:r>
      <w:r w:rsidR="00237CF6">
        <w:t xml:space="preserve"> </w:t>
      </w:r>
      <w:r w:rsidR="00237CF6">
        <w:lastRenderedPageBreak/>
        <w:t xml:space="preserve">MSAC recalled that these requests were consistent with its December 2010 advice to review the MBS funding of </w:t>
      </w:r>
      <w:r w:rsidR="00237CF6" w:rsidRPr="00237CF6">
        <w:rPr>
          <w:i/>
        </w:rPr>
        <w:t>KRAS</w:t>
      </w:r>
      <w:r w:rsidR="00237CF6">
        <w:t xml:space="preserve"> mutation testing two years after it started.</w:t>
      </w:r>
      <w:r w:rsidR="00102EF5">
        <w:t xml:space="preserve"> MSAC also requested that the sponsors provide</w:t>
      </w:r>
      <w:r w:rsidR="00FA6281">
        <w:t xml:space="preserve"> a plan for providing </w:t>
      </w:r>
      <w:r w:rsidR="00102EF5">
        <w:t>timely updates on new molecular data which</w:t>
      </w:r>
      <w:r w:rsidR="00FA6281">
        <w:t xml:space="preserve"> may alter the testing requirements for the anti-EGFR antibodies.</w:t>
      </w:r>
    </w:p>
    <w:p w:rsidR="00AC2C5E" w:rsidRDefault="00AC2C5E" w:rsidP="00C659DF"/>
    <w:p w:rsidR="00C0698C" w:rsidRDefault="00C0698C" w:rsidP="00C0698C">
      <w:pPr>
        <w:rPr>
          <w:b/>
        </w:rPr>
      </w:pPr>
      <w:r w:rsidRPr="00C0698C">
        <w:rPr>
          <w:b/>
        </w:rPr>
        <w:t>MSAC’s advice to the Minister</w:t>
      </w:r>
    </w:p>
    <w:p w:rsidR="00FB4C01" w:rsidRPr="00FB4C01" w:rsidRDefault="009E78E3" w:rsidP="00BE2DC3">
      <w:r>
        <w:t xml:space="preserve">MSAC has not yet finalised its advice to the Minister. </w:t>
      </w:r>
      <w:r w:rsidR="00CD60EF">
        <w:t xml:space="preserve">As a matter of urgency, </w:t>
      </w:r>
      <w:r w:rsidR="00D35529">
        <w:t xml:space="preserve">MSAC </w:t>
      </w:r>
      <w:r w:rsidR="007E1120">
        <w:t xml:space="preserve">seeks further information from the sponsors, Amgen and Merck </w:t>
      </w:r>
      <w:proofErr w:type="spellStart"/>
      <w:r w:rsidR="007E1120">
        <w:t>Serono</w:t>
      </w:r>
      <w:proofErr w:type="spellEnd"/>
      <w:r w:rsidR="007E1120">
        <w:t>, and from the TGA, on matters related to re-defining the appropriate biomarker testing in metastatic colorectal cancer to guide treatment with cetuximab and panitumumab.</w:t>
      </w:r>
      <w:r w:rsidR="00CD60EF">
        <w:t xml:space="preserve"> On the basis of this information, MSAC intends to be in a position to update its advice </w:t>
      </w:r>
      <w:r w:rsidR="00723D54">
        <w:t xml:space="preserve">to the Minister </w:t>
      </w:r>
      <w:r w:rsidR="00CD60EF">
        <w:t>to optimise mutation testing in this context.</w:t>
      </w:r>
    </w:p>
    <w:p w:rsidR="00D86C3B" w:rsidRDefault="00D86C3B" w:rsidP="00B50EEF"/>
    <w:p w:rsidR="00D86C3B" w:rsidRPr="00D86C3B" w:rsidRDefault="00A03F9B" w:rsidP="00B50EEF">
      <w:pPr>
        <w:rPr>
          <w:b/>
        </w:rPr>
      </w:pPr>
      <w:r>
        <w:rPr>
          <w:b/>
        </w:rPr>
        <w:t>S</w:t>
      </w:r>
      <w:r w:rsidR="00D86C3B" w:rsidRPr="00D86C3B">
        <w:rPr>
          <w:b/>
        </w:rPr>
        <w:t>ummary</w:t>
      </w:r>
    </w:p>
    <w:p w:rsidR="00125957" w:rsidRDefault="007E1120" w:rsidP="00B50EEF">
      <w:r>
        <w:t xml:space="preserve">The selection of patients with metastatic colorectal cancer for treatment with panitumumab or cetuximab is currently guided by </w:t>
      </w:r>
      <w:r w:rsidR="00CD60EF">
        <w:t>pathology testing to ensure</w:t>
      </w:r>
      <w:r>
        <w:t xml:space="preserve"> that the</w:t>
      </w:r>
      <w:r w:rsidR="00CD60EF">
        <w:t>ir cancer</w:t>
      </w:r>
      <w:r>
        <w:t xml:space="preserve"> do</w:t>
      </w:r>
      <w:r w:rsidR="00CD60EF">
        <w:t>es</w:t>
      </w:r>
      <w:r>
        <w:t xml:space="preserve"> not have a particular </w:t>
      </w:r>
      <w:r w:rsidRPr="007E1120">
        <w:rPr>
          <w:i/>
        </w:rPr>
        <w:t>KRAS</w:t>
      </w:r>
      <w:r>
        <w:t xml:space="preserve"> gene mutation which predicts reduced effectiveness to these medicines. Emerging evidence suggests that other gene mutations are also likely to predict reduced effectiveness and so </w:t>
      </w:r>
      <w:r w:rsidR="00CD60EF">
        <w:t xml:space="preserve">that </w:t>
      </w:r>
      <w:r>
        <w:t xml:space="preserve">mutation testing should be extended. As a matter of urgency, MSAC is requesting information to </w:t>
      </w:r>
      <w:proofErr w:type="gramStart"/>
      <w:r>
        <w:t>advise</w:t>
      </w:r>
      <w:proofErr w:type="gramEnd"/>
      <w:r>
        <w:t xml:space="preserve"> on the MBS funding arrangements which would optimise the mutation testing performed for these patients.</w:t>
      </w:r>
    </w:p>
    <w:sectPr w:rsidR="00125957" w:rsidSect="00BF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FD" w:rsidRDefault="00EC10FD" w:rsidP="00AB6853">
      <w:r>
        <w:separator/>
      </w:r>
    </w:p>
  </w:endnote>
  <w:endnote w:type="continuationSeparator" w:id="0">
    <w:p w:rsidR="00EC10FD" w:rsidRDefault="00EC10FD" w:rsidP="00AB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FD" w:rsidRDefault="00EC10FD" w:rsidP="00AB6853">
      <w:r>
        <w:separator/>
      </w:r>
    </w:p>
  </w:footnote>
  <w:footnote w:type="continuationSeparator" w:id="0">
    <w:p w:rsidR="00EC10FD" w:rsidRDefault="00EC10FD" w:rsidP="00AB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CE9"/>
    <w:multiLevelType w:val="hybridMultilevel"/>
    <w:tmpl w:val="C78CDFE4"/>
    <w:lvl w:ilvl="0" w:tplc="6C16F6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6C9F"/>
    <w:multiLevelType w:val="hybridMultilevel"/>
    <w:tmpl w:val="BC9E8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A57E4"/>
    <w:multiLevelType w:val="hybridMultilevel"/>
    <w:tmpl w:val="422C1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4FF6"/>
    <w:multiLevelType w:val="hybridMultilevel"/>
    <w:tmpl w:val="AFAE1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72E7F"/>
    <w:multiLevelType w:val="hybridMultilevel"/>
    <w:tmpl w:val="F9B0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4521E"/>
    <w:multiLevelType w:val="hybridMultilevel"/>
    <w:tmpl w:val="C78CDFE4"/>
    <w:lvl w:ilvl="0" w:tplc="6C16F6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94A"/>
    <w:multiLevelType w:val="hybridMultilevel"/>
    <w:tmpl w:val="7C347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26E15"/>
    <w:multiLevelType w:val="hybridMultilevel"/>
    <w:tmpl w:val="C78CDFE4"/>
    <w:lvl w:ilvl="0" w:tplc="6C16F6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52"/>
    <w:multiLevelType w:val="hybridMultilevel"/>
    <w:tmpl w:val="F752BD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204EB6"/>
    <w:multiLevelType w:val="hybridMultilevel"/>
    <w:tmpl w:val="C78CDFE4"/>
    <w:lvl w:ilvl="0" w:tplc="6C16F6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6"/>
    <w:rsid w:val="00002558"/>
    <w:rsid w:val="000449E2"/>
    <w:rsid w:val="000966EF"/>
    <w:rsid w:val="000A6C6B"/>
    <w:rsid w:val="000D7479"/>
    <w:rsid w:val="00102EF5"/>
    <w:rsid w:val="00122C5A"/>
    <w:rsid w:val="00125957"/>
    <w:rsid w:val="001726D6"/>
    <w:rsid w:val="00182FF8"/>
    <w:rsid w:val="001946AB"/>
    <w:rsid w:val="001B1D02"/>
    <w:rsid w:val="00232999"/>
    <w:rsid w:val="00237CF6"/>
    <w:rsid w:val="002500F5"/>
    <w:rsid w:val="00251443"/>
    <w:rsid w:val="002606E1"/>
    <w:rsid w:val="002D4B11"/>
    <w:rsid w:val="002E6A7D"/>
    <w:rsid w:val="00341F26"/>
    <w:rsid w:val="00345463"/>
    <w:rsid w:val="00372EDE"/>
    <w:rsid w:val="003965F6"/>
    <w:rsid w:val="003B1512"/>
    <w:rsid w:val="003F1984"/>
    <w:rsid w:val="00401C66"/>
    <w:rsid w:val="00443F1A"/>
    <w:rsid w:val="004A40D4"/>
    <w:rsid w:val="004C5235"/>
    <w:rsid w:val="00506594"/>
    <w:rsid w:val="0053758E"/>
    <w:rsid w:val="0055495D"/>
    <w:rsid w:val="005658CC"/>
    <w:rsid w:val="005A1A1A"/>
    <w:rsid w:val="005A1C33"/>
    <w:rsid w:val="005D5A05"/>
    <w:rsid w:val="006123AD"/>
    <w:rsid w:val="00614334"/>
    <w:rsid w:val="00652ADB"/>
    <w:rsid w:val="00697156"/>
    <w:rsid w:val="006C2DFB"/>
    <w:rsid w:val="006E306A"/>
    <w:rsid w:val="006F308D"/>
    <w:rsid w:val="006F398A"/>
    <w:rsid w:val="006F5118"/>
    <w:rsid w:val="006F7FA4"/>
    <w:rsid w:val="00723D54"/>
    <w:rsid w:val="00756591"/>
    <w:rsid w:val="00765C60"/>
    <w:rsid w:val="00774AAD"/>
    <w:rsid w:val="007A4B6D"/>
    <w:rsid w:val="007C44F2"/>
    <w:rsid w:val="007D195A"/>
    <w:rsid w:val="007E1120"/>
    <w:rsid w:val="007F4E20"/>
    <w:rsid w:val="007F5ACD"/>
    <w:rsid w:val="0088083C"/>
    <w:rsid w:val="008C266C"/>
    <w:rsid w:val="008D3655"/>
    <w:rsid w:val="00901BD0"/>
    <w:rsid w:val="00930128"/>
    <w:rsid w:val="00950422"/>
    <w:rsid w:val="009E78E3"/>
    <w:rsid w:val="00A03F9B"/>
    <w:rsid w:val="00A7552A"/>
    <w:rsid w:val="00AB6853"/>
    <w:rsid w:val="00AC2C5E"/>
    <w:rsid w:val="00AD324D"/>
    <w:rsid w:val="00AF5CA1"/>
    <w:rsid w:val="00B14DCD"/>
    <w:rsid w:val="00B45680"/>
    <w:rsid w:val="00B50EEF"/>
    <w:rsid w:val="00B8143C"/>
    <w:rsid w:val="00BD0CDC"/>
    <w:rsid w:val="00BE2DC3"/>
    <w:rsid w:val="00BF30E6"/>
    <w:rsid w:val="00C0698C"/>
    <w:rsid w:val="00C659DF"/>
    <w:rsid w:val="00CD60EF"/>
    <w:rsid w:val="00CF7226"/>
    <w:rsid w:val="00D312AC"/>
    <w:rsid w:val="00D35529"/>
    <w:rsid w:val="00D558F7"/>
    <w:rsid w:val="00D86C3B"/>
    <w:rsid w:val="00DC5BE2"/>
    <w:rsid w:val="00DC5DDE"/>
    <w:rsid w:val="00DD3739"/>
    <w:rsid w:val="00E33B8A"/>
    <w:rsid w:val="00E37DEC"/>
    <w:rsid w:val="00EC10FD"/>
    <w:rsid w:val="00EE12A6"/>
    <w:rsid w:val="00F145DA"/>
    <w:rsid w:val="00F16808"/>
    <w:rsid w:val="00F472B2"/>
    <w:rsid w:val="00F9007E"/>
    <w:rsid w:val="00FA4EA9"/>
    <w:rsid w:val="00FA6281"/>
    <w:rsid w:val="00FB4C01"/>
    <w:rsid w:val="00FB5FC1"/>
    <w:rsid w:val="00FC5981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56"/>
    <w:pPr>
      <w:spacing w:after="0" w:line="240" w:lineRule="auto"/>
    </w:pPr>
    <w:rPr>
      <w:rFonts w:eastAsia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15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Strong">
    <w:name w:val="Strong"/>
    <w:basedOn w:val="DefaultParagraphFont"/>
    <w:qFormat/>
    <w:rsid w:val="00697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53"/>
    <w:rPr>
      <w:rFonts w:eastAsia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B6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53"/>
    <w:rPr>
      <w:rFonts w:eastAsia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E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6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4C01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39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39"/>
    <w:rPr>
      <w:rFonts w:eastAsia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56"/>
    <w:pPr>
      <w:spacing w:after="0" w:line="240" w:lineRule="auto"/>
    </w:pPr>
    <w:rPr>
      <w:rFonts w:eastAsia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15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Strong">
    <w:name w:val="Strong"/>
    <w:basedOn w:val="DefaultParagraphFont"/>
    <w:qFormat/>
    <w:rsid w:val="00697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6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53"/>
    <w:rPr>
      <w:rFonts w:eastAsia="Times New Roman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B6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53"/>
    <w:rPr>
      <w:rFonts w:eastAsia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E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6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4C01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39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39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Hambley Carolyn</dc:creator>
  <cp:lastModifiedBy>Hambley Carolyn</cp:lastModifiedBy>
  <cp:revision>3</cp:revision>
  <cp:lastPrinted>2013-12-17T22:27:00Z</cp:lastPrinted>
  <dcterms:created xsi:type="dcterms:W3CDTF">2014-02-21T00:30:00Z</dcterms:created>
  <dcterms:modified xsi:type="dcterms:W3CDTF">2014-02-21T00:49:00Z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