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9E8DF" w14:textId="16FCB69D" w:rsidR="00772829" w:rsidRPr="009645D7" w:rsidRDefault="00772829" w:rsidP="006F3284">
      <w:pPr>
        <w:spacing w:after="240"/>
        <w:rPr>
          <w:bCs/>
          <w:iCs/>
          <w:szCs w:val="24"/>
          <w:highlight w:val="yellow"/>
        </w:rPr>
      </w:pPr>
    </w:p>
    <w:p w14:paraId="78247028" w14:textId="77777777" w:rsidR="000B228E" w:rsidRDefault="000B228E" w:rsidP="000B228E">
      <w:pPr>
        <w:pStyle w:val="Heading1"/>
        <w:numPr>
          <w:ilvl w:val="0"/>
          <w:numId w:val="0"/>
        </w:numPr>
        <w:pBdr>
          <w:bottom w:val="none" w:sz="0" w:space="0" w:color="auto"/>
        </w:pBdr>
        <w:spacing w:before="0" w:after="360"/>
        <w:ind w:left="788"/>
        <w:jc w:val="center"/>
        <w:rPr>
          <w:rFonts w:ascii="Arial" w:hAnsi="Arial" w:cs="Arial"/>
          <w:b/>
          <w:bCs/>
          <w:color w:val="000080"/>
          <w:sz w:val="36"/>
          <w:szCs w:val="36"/>
        </w:rPr>
      </w:pPr>
      <w:r>
        <w:rPr>
          <w:rFonts w:ascii="Arial" w:hAnsi="Arial" w:cs="Arial"/>
          <w:b/>
          <w:bCs/>
          <w:color w:val="000080"/>
          <w:sz w:val="36"/>
          <w:szCs w:val="36"/>
        </w:rPr>
        <w:t>Medical Services Advisory Committee (MSAC)</w:t>
      </w:r>
      <w:r>
        <w:rPr>
          <w:rFonts w:ascii="Arial" w:hAnsi="Arial" w:cs="Arial"/>
          <w:b/>
          <w:bCs/>
          <w:color w:val="000080"/>
          <w:sz w:val="36"/>
          <w:szCs w:val="36"/>
        </w:rPr>
        <w:br/>
      </w:r>
      <w:r w:rsidRPr="00F76D74">
        <w:rPr>
          <w:rFonts w:ascii="Arial" w:hAnsi="Arial" w:cs="Arial"/>
          <w:b/>
          <w:bCs/>
          <w:color w:val="000080"/>
          <w:sz w:val="36"/>
          <w:szCs w:val="36"/>
        </w:rPr>
        <w:t>Public Summary Document</w:t>
      </w:r>
    </w:p>
    <w:p w14:paraId="2872926B" w14:textId="10F285F4" w:rsidR="0025692F" w:rsidRDefault="00772829" w:rsidP="00515AC2">
      <w:pPr>
        <w:pStyle w:val="Subtitle"/>
      </w:pPr>
      <w:r w:rsidRPr="00CE28E3">
        <w:t xml:space="preserve">Application No. </w:t>
      </w:r>
      <w:r w:rsidR="00787D07" w:rsidRPr="001A0EB7">
        <w:t>1744</w:t>
      </w:r>
      <w:r w:rsidRPr="001A0EB7">
        <w:t xml:space="preserve"> – </w:t>
      </w:r>
      <w:r w:rsidR="00FA27EC" w:rsidRPr="000D4A1C">
        <w:rPr>
          <w:rFonts w:ascii="Arial Bold" w:hAnsi="Arial Bold"/>
          <w:vertAlign w:val="superscript"/>
        </w:rPr>
        <w:t>177</w:t>
      </w:r>
      <w:r w:rsidR="00FA27EC" w:rsidRPr="00FA27EC">
        <w:t>Lutetium</w:t>
      </w:r>
      <w:r w:rsidR="00DB483D" w:rsidRPr="001A0EB7">
        <w:t>-</w:t>
      </w:r>
      <w:r w:rsidR="00607D95">
        <w:t xml:space="preserve">DOTA-octreotate </w:t>
      </w:r>
      <w:r w:rsidR="00FA27EC" w:rsidRPr="00FA27EC">
        <w:t xml:space="preserve">treatment for advanced neuroendocrine </w:t>
      </w:r>
      <w:r w:rsidR="00DB483D" w:rsidRPr="001A0EB7">
        <w:t>neoplasms with</w:t>
      </w:r>
      <w:r w:rsidR="00FA27EC" w:rsidRPr="00FA27EC">
        <w:t xml:space="preserve"> high somatostatin receptor </w:t>
      </w:r>
      <w:r w:rsidR="00DB483D" w:rsidRPr="001A0EB7">
        <w:t>expression</w:t>
      </w:r>
    </w:p>
    <w:p w14:paraId="0776D8FF" w14:textId="26F0F58E" w:rsidR="00D934CD" w:rsidRPr="00D934CD" w:rsidRDefault="00D934CD" w:rsidP="000B228E">
      <w:pPr>
        <w:tabs>
          <w:tab w:val="left" w:pos="3686"/>
        </w:tabs>
        <w:spacing w:after="240"/>
        <w:rPr>
          <w:rFonts w:ascii="Arial" w:eastAsia="Times New Roman" w:hAnsi="Arial" w:cs="Arial"/>
          <w:b/>
          <w:bCs/>
          <w:color w:val="000000"/>
          <w:szCs w:val="20"/>
          <w:lang w:eastAsia="en-AU"/>
        </w:rPr>
      </w:pPr>
      <w:bookmarkStart w:id="0" w:name="_Toc161841928"/>
      <w:bookmarkStart w:id="1" w:name="_Toc165275513"/>
      <w:r w:rsidRPr="00D934CD">
        <w:rPr>
          <w:rFonts w:ascii="Arial" w:eastAsia="Times New Roman" w:hAnsi="Arial" w:cs="Arial"/>
          <w:b/>
          <w:bCs/>
          <w:color w:val="000000"/>
          <w:szCs w:val="20"/>
          <w:lang w:eastAsia="en-AU"/>
        </w:rPr>
        <w:t>Applicant:</w:t>
      </w:r>
      <w:r w:rsidRPr="00D934CD">
        <w:rPr>
          <w:rFonts w:ascii="Arial" w:eastAsia="Times New Roman" w:hAnsi="Arial" w:cs="Arial"/>
          <w:b/>
          <w:bCs/>
          <w:color w:val="000000"/>
          <w:szCs w:val="20"/>
          <w:lang w:eastAsia="en-AU"/>
        </w:rPr>
        <w:tab/>
        <w:t>Applied Molecular Therapies (AMT) Pty Ltd</w:t>
      </w:r>
    </w:p>
    <w:p w14:paraId="756F7118" w14:textId="0EF1545B" w:rsidR="00D934CD" w:rsidRPr="00D934CD" w:rsidRDefault="00D934CD" w:rsidP="00D934CD">
      <w:pPr>
        <w:spacing w:before="320" w:after="240"/>
        <w:rPr>
          <w:rFonts w:ascii="Arial" w:eastAsia="Times New Roman" w:hAnsi="Arial" w:cs="Arial"/>
          <w:b/>
          <w:bCs/>
          <w:color w:val="000000"/>
          <w:szCs w:val="20"/>
          <w:lang w:eastAsia="en-AU"/>
        </w:rPr>
      </w:pPr>
      <w:r w:rsidRPr="00D934CD">
        <w:rPr>
          <w:rFonts w:ascii="Arial" w:eastAsia="Times New Roman" w:hAnsi="Arial" w:cs="Arial"/>
          <w:b/>
          <w:bCs/>
          <w:color w:val="000000"/>
          <w:szCs w:val="20"/>
          <w:lang w:eastAsia="en-AU"/>
        </w:rPr>
        <w:t xml:space="preserve">Date of </w:t>
      </w:r>
      <w:r w:rsidR="000B228E">
        <w:rPr>
          <w:rFonts w:ascii="Arial" w:eastAsia="Times New Roman" w:hAnsi="Arial" w:cs="Arial"/>
          <w:b/>
          <w:bCs/>
          <w:color w:val="000000"/>
          <w:szCs w:val="20"/>
          <w:lang w:eastAsia="en-AU"/>
        </w:rPr>
        <w:t>MSAC</w:t>
      </w:r>
      <w:r w:rsidRPr="00D934CD">
        <w:rPr>
          <w:rFonts w:ascii="Arial" w:eastAsia="Times New Roman" w:hAnsi="Arial" w:cs="Arial"/>
          <w:b/>
          <w:bCs/>
          <w:color w:val="000000"/>
          <w:szCs w:val="20"/>
          <w:lang w:eastAsia="en-AU"/>
        </w:rPr>
        <w:t xml:space="preserve"> consideration:</w:t>
      </w:r>
      <w:r w:rsidRPr="00D934CD">
        <w:rPr>
          <w:rFonts w:ascii="Arial" w:eastAsia="Times New Roman" w:hAnsi="Arial" w:cs="Arial"/>
          <w:b/>
          <w:bCs/>
          <w:color w:val="000000"/>
          <w:szCs w:val="20"/>
          <w:lang w:eastAsia="en-AU"/>
        </w:rPr>
        <w:tab/>
      </w:r>
      <w:r w:rsidR="000B228E">
        <w:rPr>
          <w:rFonts w:ascii="Arial" w:eastAsia="Times New Roman" w:hAnsi="Arial" w:cs="Arial"/>
          <w:b/>
          <w:bCs/>
          <w:color w:val="000000"/>
          <w:szCs w:val="20"/>
          <w:lang w:eastAsia="en-AU"/>
        </w:rPr>
        <w:t>1-2 August</w:t>
      </w:r>
      <w:r w:rsidRPr="00D934CD">
        <w:rPr>
          <w:rFonts w:ascii="Arial" w:eastAsia="Times New Roman" w:hAnsi="Arial" w:cs="Arial"/>
          <w:b/>
          <w:bCs/>
          <w:color w:val="000000"/>
          <w:szCs w:val="20"/>
          <w:lang w:eastAsia="en-AU"/>
        </w:rPr>
        <w:t xml:space="preserve"> 2024</w:t>
      </w:r>
    </w:p>
    <w:p w14:paraId="3C12774A" w14:textId="77777777" w:rsidR="000B228E" w:rsidRPr="00415A9B" w:rsidRDefault="000B228E" w:rsidP="000B228E">
      <w:pPr>
        <w:rPr>
          <w:color w:val="0000FF"/>
          <w:szCs w:val="24"/>
          <w:u w:val="single"/>
        </w:rPr>
      </w:pPr>
      <w:r w:rsidRPr="00F715D1">
        <w:rPr>
          <w:szCs w:val="24"/>
        </w:rPr>
        <w:t>Context for decision: MSAC makes its advice in accordance wit</w:t>
      </w:r>
      <w:r>
        <w:rPr>
          <w:szCs w:val="24"/>
        </w:rPr>
        <w:t>h its Terms of Reference,</w:t>
      </w:r>
      <w:r w:rsidRPr="00F715D1">
        <w:rPr>
          <w:szCs w:val="24"/>
        </w:rPr>
        <w:t xml:space="preserve"> </w:t>
      </w:r>
      <w:hyperlink r:id="rId8" w:tooltip="Link to Medical Services Advisory Committee website" w:history="1">
        <w:r w:rsidRPr="00F715D1">
          <w:rPr>
            <w:rStyle w:val="Hyperlink"/>
            <w:szCs w:val="24"/>
          </w:rPr>
          <w:t>visit the MSAC website</w:t>
        </w:r>
      </w:hyperlink>
    </w:p>
    <w:p w14:paraId="7EAA7262" w14:textId="26997A7E" w:rsidR="00772829" w:rsidRPr="00CE28E3" w:rsidRDefault="00C36633" w:rsidP="00C36633">
      <w:pPr>
        <w:pStyle w:val="Heading2"/>
        <w:numPr>
          <w:ilvl w:val="0"/>
          <w:numId w:val="0"/>
        </w:numPr>
      </w:pPr>
      <w:r>
        <w:t>1.</w:t>
      </w:r>
      <w:r>
        <w:tab/>
      </w:r>
      <w:r w:rsidR="00772829" w:rsidRPr="00CE28E3">
        <w:t xml:space="preserve">Purpose </w:t>
      </w:r>
      <w:r w:rsidR="00772829" w:rsidRPr="00CE28E3">
        <w:rPr>
          <w:szCs w:val="32"/>
        </w:rPr>
        <w:t>of</w:t>
      </w:r>
      <w:r w:rsidR="00772829" w:rsidRPr="00CE28E3">
        <w:t xml:space="preserve"> application</w:t>
      </w:r>
      <w:bookmarkEnd w:id="0"/>
      <w:bookmarkEnd w:id="1"/>
    </w:p>
    <w:p w14:paraId="2E964B78" w14:textId="3C6945BE" w:rsidR="00771A72" w:rsidRDefault="00C5159E" w:rsidP="00771A72">
      <w:pPr>
        <w:spacing w:after="240"/>
        <w:rPr>
          <w:color w:val="000000" w:themeColor="text1"/>
        </w:rPr>
      </w:pPr>
      <w:bookmarkStart w:id="2" w:name="_Hlk69734469"/>
      <w:r>
        <w:rPr>
          <w:iCs/>
        </w:rPr>
        <w:t xml:space="preserve">An </w:t>
      </w:r>
      <w:r w:rsidR="004F3649">
        <w:rPr>
          <w:iCs/>
        </w:rPr>
        <w:t xml:space="preserve">application was received </w:t>
      </w:r>
      <w:r w:rsidR="00CC5715" w:rsidRPr="00C06124">
        <w:rPr>
          <w:iCs/>
        </w:rPr>
        <w:t>from Applied Molecular Therapies (AMT) Pty Ltd by the Department of Health</w:t>
      </w:r>
      <w:r w:rsidR="00E15EB7">
        <w:rPr>
          <w:iCs/>
        </w:rPr>
        <w:t xml:space="preserve"> and Aged Care</w:t>
      </w:r>
      <w:r w:rsidR="00CC5715" w:rsidRPr="00C06124">
        <w:rPr>
          <w:iCs/>
        </w:rPr>
        <w:t xml:space="preserve">, requesting </w:t>
      </w:r>
      <w:r w:rsidR="00FB3431">
        <w:rPr>
          <w:iCs/>
        </w:rPr>
        <w:t>Medicare Benefits Schedule (</w:t>
      </w:r>
      <w:r w:rsidR="00CC5715" w:rsidRPr="00C06124">
        <w:rPr>
          <w:iCs/>
        </w:rPr>
        <w:t>MBS</w:t>
      </w:r>
      <w:r w:rsidR="00FB3431">
        <w:rPr>
          <w:iCs/>
        </w:rPr>
        <w:t>)</w:t>
      </w:r>
      <w:r w:rsidR="00CC5715">
        <w:rPr>
          <w:iCs/>
        </w:rPr>
        <w:t xml:space="preserve"> listing of </w:t>
      </w:r>
      <w:r w:rsidR="00461E09" w:rsidRPr="00EE774C">
        <w:rPr>
          <w:vertAlign w:val="superscript"/>
        </w:rPr>
        <w:t>177</w:t>
      </w:r>
      <w:r w:rsidR="000F10D3" w:rsidRPr="21328503">
        <w:rPr>
          <w:lang w:val="en-US"/>
        </w:rPr>
        <w:t>Lutetium</w:t>
      </w:r>
      <w:r w:rsidR="00EB2EB7">
        <w:rPr>
          <w:iCs/>
        </w:rPr>
        <w:t xml:space="preserve"> (no carrier added)</w:t>
      </w:r>
      <w:r w:rsidR="00461E09" w:rsidRPr="00461E09">
        <w:rPr>
          <w:iCs/>
        </w:rPr>
        <w:t>-</w:t>
      </w:r>
      <w:r w:rsidR="00607D95">
        <w:rPr>
          <w:iCs/>
        </w:rPr>
        <w:t>DOTA-</w:t>
      </w:r>
      <w:proofErr w:type="spellStart"/>
      <w:r w:rsidR="00607D95">
        <w:rPr>
          <w:iCs/>
        </w:rPr>
        <w:t>octreotate</w:t>
      </w:r>
      <w:proofErr w:type="spellEnd"/>
      <w:r w:rsidR="00607D95">
        <w:rPr>
          <w:iCs/>
        </w:rPr>
        <w:t xml:space="preserve"> </w:t>
      </w:r>
      <w:r w:rsidR="008017BD">
        <w:rPr>
          <w:iCs/>
        </w:rPr>
        <w:t>(</w:t>
      </w:r>
      <w:r w:rsidR="00EB2EB7" w:rsidRPr="00EE774C">
        <w:rPr>
          <w:iCs/>
          <w:vertAlign w:val="superscript"/>
        </w:rPr>
        <w:t>177</w:t>
      </w:r>
      <w:r w:rsidR="00EB2EB7" w:rsidRPr="00461E09">
        <w:rPr>
          <w:iCs/>
        </w:rPr>
        <w:t>Lu</w:t>
      </w:r>
      <w:r w:rsidR="008017BD">
        <w:rPr>
          <w:iCs/>
        </w:rPr>
        <w:t xml:space="preserve"> </w:t>
      </w:r>
      <w:r w:rsidR="00461E09" w:rsidRPr="00461E09">
        <w:rPr>
          <w:iCs/>
        </w:rPr>
        <w:t>(</w:t>
      </w:r>
      <w:proofErr w:type="spellStart"/>
      <w:r w:rsidR="00461E09" w:rsidRPr="00461E09">
        <w:rPr>
          <w:iCs/>
        </w:rPr>
        <w:t>nca</w:t>
      </w:r>
      <w:proofErr w:type="spellEnd"/>
      <w:r w:rsidR="00461E09" w:rsidRPr="00461E09">
        <w:rPr>
          <w:iCs/>
        </w:rPr>
        <w:t>)-</w:t>
      </w:r>
      <w:r w:rsidR="00607D95">
        <w:rPr>
          <w:iCs/>
        </w:rPr>
        <w:t>DOTA-</w:t>
      </w:r>
      <w:proofErr w:type="spellStart"/>
      <w:r w:rsidR="00607D95">
        <w:rPr>
          <w:iCs/>
        </w:rPr>
        <w:t>octreotate</w:t>
      </w:r>
      <w:proofErr w:type="spellEnd"/>
      <w:r w:rsidR="008017BD">
        <w:rPr>
          <w:iCs/>
        </w:rPr>
        <w:t>)</w:t>
      </w:r>
      <w:r w:rsidR="00461E09" w:rsidRPr="00461E09">
        <w:rPr>
          <w:iCs/>
        </w:rPr>
        <w:t xml:space="preserve"> for the treatment of advanced neuroendocrine </w:t>
      </w:r>
      <w:r w:rsidR="0059745E">
        <w:rPr>
          <w:iCs/>
        </w:rPr>
        <w:t>neopl</w:t>
      </w:r>
      <w:r w:rsidR="006B7A12">
        <w:rPr>
          <w:iCs/>
        </w:rPr>
        <w:t>asms</w:t>
      </w:r>
      <w:r w:rsidR="00461E09" w:rsidRPr="00461E09">
        <w:rPr>
          <w:iCs/>
          <w:color w:val="000000" w:themeColor="text1"/>
        </w:rPr>
        <w:t xml:space="preserve"> </w:t>
      </w:r>
      <w:r w:rsidR="007F3BE6">
        <w:rPr>
          <w:iCs/>
          <w:color w:val="000000" w:themeColor="text1"/>
        </w:rPr>
        <w:t>(NE</w:t>
      </w:r>
      <w:r w:rsidR="00775CB5">
        <w:rPr>
          <w:iCs/>
          <w:color w:val="000000" w:themeColor="text1"/>
        </w:rPr>
        <w:t>T</w:t>
      </w:r>
      <w:r w:rsidR="007F3BE6">
        <w:rPr>
          <w:iCs/>
          <w:color w:val="000000" w:themeColor="text1"/>
        </w:rPr>
        <w:t xml:space="preserve">s) </w:t>
      </w:r>
      <w:r w:rsidR="00461E09" w:rsidRPr="00C06124">
        <w:rPr>
          <w:iCs/>
          <w:color w:val="000000" w:themeColor="text1"/>
        </w:rPr>
        <w:t>with high somatostatin receptor (H-SSTR) expression</w:t>
      </w:r>
      <w:r w:rsidR="00461E09">
        <w:rPr>
          <w:iCs/>
          <w:color w:val="000000" w:themeColor="text1"/>
        </w:rPr>
        <w:t>.</w:t>
      </w:r>
      <w:r w:rsidR="00EB1C5E">
        <w:rPr>
          <w:iCs/>
          <w:color w:val="000000" w:themeColor="text1"/>
        </w:rPr>
        <w:t xml:space="preserve"> </w:t>
      </w:r>
      <w:r w:rsidR="00165A59">
        <w:rPr>
          <w:iCs/>
          <w:color w:val="000000" w:themeColor="text1"/>
        </w:rPr>
        <w:t xml:space="preserve">As </w:t>
      </w:r>
      <w:r w:rsidR="00892030">
        <w:rPr>
          <w:iCs/>
          <w:color w:val="000000" w:themeColor="text1"/>
        </w:rPr>
        <w:t xml:space="preserve">noted in the ratified </w:t>
      </w:r>
      <w:r w:rsidR="003D1ED3">
        <w:rPr>
          <w:iCs/>
          <w:color w:val="000000" w:themeColor="text1"/>
        </w:rPr>
        <w:t>PICO</w:t>
      </w:r>
      <w:r w:rsidR="0077631A">
        <w:rPr>
          <w:iCs/>
          <w:color w:val="000000" w:themeColor="text1"/>
        </w:rPr>
        <w:t xml:space="preserve"> </w:t>
      </w:r>
      <w:r w:rsidR="0077631A">
        <w:t>(Population, Intervention, Comparator, Outcomes)</w:t>
      </w:r>
      <w:r w:rsidR="003D1ED3">
        <w:rPr>
          <w:iCs/>
          <w:color w:val="000000" w:themeColor="text1"/>
        </w:rPr>
        <w:t xml:space="preserve">, </w:t>
      </w:r>
      <w:r w:rsidR="00775CB5">
        <w:rPr>
          <w:iCs/>
          <w:color w:val="000000" w:themeColor="text1"/>
        </w:rPr>
        <w:t>NETs</w:t>
      </w:r>
      <w:r w:rsidR="00E123AE">
        <w:rPr>
          <w:iCs/>
          <w:color w:val="000000" w:themeColor="text1"/>
        </w:rPr>
        <w:t xml:space="preserve"> have been recently reclassified as neuroendocrine neoplasms (NENs), and these terms are used interchangeably in the assessment report. </w:t>
      </w:r>
      <w:r w:rsidR="007D66CB">
        <w:rPr>
          <w:iCs/>
          <w:color w:val="000000" w:themeColor="text1"/>
        </w:rPr>
        <w:t>In general,</w:t>
      </w:r>
      <w:r w:rsidR="00771A72">
        <w:rPr>
          <w:iCs/>
          <w:color w:val="000000" w:themeColor="text1"/>
        </w:rPr>
        <w:t xml:space="preserve"> the term NEN is preferred except when referring to a specific reference</w:t>
      </w:r>
      <w:r w:rsidR="002C69CC">
        <w:rPr>
          <w:iCs/>
          <w:color w:val="000000" w:themeColor="text1"/>
        </w:rPr>
        <w:t>, study,</w:t>
      </w:r>
      <w:r w:rsidR="00771A72">
        <w:rPr>
          <w:iCs/>
          <w:color w:val="000000" w:themeColor="text1"/>
        </w:rPr>
        <w:t xml:space="preserve"> or trial inclusion/exclusion criteria, where the term NET </w:t>
      </w:r>
      <w:r w:rsidR="00D23674">
        <w:rPr>
          <w:iCs/>
          <w:color w:val="000000" w:themeColor="text1"/>
        </w:rPr>
        <w:t>may be</w:t>
      </w:r>
      <w:r w:rsidR="00771A72">
        <w:rPr>
          <w:iCs/>
          <w:color w:val="000000" w:themeColor="text1"/>
        </w:rPr>
        <w:t xml:space="preserve"> used.</w:t>
      </w:r>
    </w:p>
    <w:p w14:paraId="40719EC1" w14:textId="56DA10FC" w:rsidR="009F5336" w:rsidRPr="00C06124" w:rsidRDefault="00740400" w:rsidP="0039778A">
      <w:pPr>
        <w:spacing w:after="240"/>
      </w:pPr>
      <w:r>
        <w:rPr>
          <w:iCs/>
          <w:color w:val="000000" w:themeColor="text1"/>
        </w:rPr>
        <w:t>The application also request</w:t>
      </w:r>
      <w:r w:rsidR="00D9592E">
        <w:rPr>
          <w:iCs/>
          <w:color w:val="000000" w:themeColor="text1"/>
        </w:rPr>
        <w:t>ed</w:t>
      </w:r>
      <w:r>
        <w:rPr>
          <w:iCs/>
          <w:color w:val="000000" w:themeColor="text1"/>
        </w:rPr>
        <w:t xml:space="preserve"> </w:t>
      </w:r>
      <w:r w:rsidR="0039778A">
        <w:rPr>
          <w:iCs/>
          <w:color w:val="000000" w:themeColor="text1"/>
        </w:rPr>
        <w:t xml:space="preserve">a new MBS listing for </w:t>
      </w:r>
      <w:r w:rsidR="00963A7D" w:rsidRPr="00C06124">
        <w:rPr>
          <w:vertAlign w:val="superscript"/>
        </w:rPr>
        <w:t>68</w:t>
      </w:r>
      <w:r w:rsidR="00963A7D" w:rsidRPr="00C06124">
        <w:t>Ga</w:t>
      </w:r>
      <w:r w:rsidR="00AB28FD">
        <w:t>llium</w:t>
      </w:r>
      <w:r w:rsidR="00621E70">
        <w:t xml:space="preserve"> </w:t>
      </w:r>
      <w:r w:rsidR="00981063">
        <w:t>(</w:t>
      </w:r>
      <w:r w:rsidR="00621E70">
        <w:t>Ga</w:t>
      </w:r>
      <w:r w:rsidR="00981063">
        <w:t>)</w:t>
      </w:r>
      <w:r w:rsidR="00963A7D" w:rsidRPr="00C06124">
        <w:t>-</w:t>
      </w:r>
      <w:r w:rsidR="00607D95">
        <w:t xml:space="preserve">DOTA-octreotate </w:t>
      </w:r>
      <w:r w:rsidR="00963A7D" w:rsidRPr="00C06124">
        <w:t>SSTR-</w:t>
      </w:r>
      <w:r w:rsidR="00BF366F">
        <w:t>positron emission tomography (</w:t>
      </w:r>
      <w:r w:rsidR="00963A7D" w:rsidRPr="00C06124">
        <w:t>PET</w:t>
      </w:r>
      <w:r w:rsidR="00BF366F">
        <w:t>)</w:t>
      </w:r>
      <w:r w:rsidR="00963A7D" w:rsidRPr="00C06124">
        <w:t>/</w:t>
      </w:r>
      <w:r w:rsidR="00CF060F">
        <w:t>computed tomography (</w:t>
      </w:r>
      <w:r w:rsidR="00963A7D" w:rsidRPr="00C06124">
        <w:t>CT</w:t>
      </w:r>
      <w:r w:rsidR="00CF060F">
        <w:t>)</w:t>
      </w:r>
      <w:r w:rsidR="006E476F">
        <w:t>—</w:t>
      </w:r>
      <w:r w:rsidR="00BF366F" w:rsidRPr="00C06124">
        <w:rPr>
          <w:vertAlign w:val="superscript"/>
        </w:rPr>
        <w:t>68</w:t>
      </w:r>
      <w:r w:rsidR="00BF366F" w:rsidRPr="00C06124">
        <w:t>Ga-</w:t>
      </w:r>
      <w:r w:rsidR="00607D95">
        <w:t xml:space="preserve">DOTA-octreotate </w:t>
      </w:r>
      <w:r w:rsidR="00BF366F">
        <w:t>PET/CT</w:t>
      </w:r>
      <w:r w:rsidR="006E476F">
        <w:t>—</w:t>
      </w:r>
      <w:r w:rsidR="000D7D01" w:rsidRPr="00C06124">
        <w:t xml:space="preserve">to </w:t>
      </w:r>
      <w:r w:rsidR="00AC170E" w:rsidRPr="00C06124">
        <w:t>determine eligibility</w:t>
      </w:r>
      <w:r w:rsidR="009F5336" w:rsidRPr="00C06124">
        <w:t xml:space="preserve"> for</w:t>
      </w:r>
      <w:r w:rsidR="00DB085C" w:rsidRPr="00C06124">
        <w:t xml:space="preserve"> </w:t>
      </w:r>
      <w:r w:rsidR="009F5336" w:rsidRPr="00C06124">
        <w:rPr>
          <w:vertAlign w:val="superscript"/>
        </w:rPr>
        <w:t>177</w:t>
      </w:r>
      <w:r w:rsidR="009F5336" w:rsidRPr="00C06124">
        <w:t>Lu</w:t>
      </w:r>
      <w:r w:rsidR="00D24AB1">
        <w:t xml:space="preserve"> </w:t>
      </w:r>
      <w:r w:rsidR="004D01AF" w:rsidRPr="00C06124">
        <w:t>(</w:t>
      </w:r>
      <w:proofErr w:type="spellStart"/>
      <w:r w:rsidR="004D01AF" w:rsidRPr="00C06124">
        <w:t>nca</w:t>
      </w:r>
      <w:proofErr w:type="spellEnd"/>
      <w:r w:rsidR="004D01AF" w:rsidRPr="00C06124">
        <w:t>)</w:t>
      </w:r>
      <w:r w:rsidR="009F5336" w:rsidRPr="00C06124">
        <w:t>-</w:t>
      </w:r>
      <w:r w:rsidR="00607D95">
        <w:t>DOTA-</w:t>
      </w:r>
      <w:proofErr w:type="spellStart"/>
      <w:r w:rsidR="00607D95">
        <w:t>octreotate</w:t>
      </w:r>
      <w:proofErr w:type="spellEnd"/>
      <w:r w:rsidR="00607D95">
        <w:t xml:space="preserve"> </w:t>
      </w:r>
      <w:r w:rsidR="009F5336" w:rsidRPr="00C06124">
        <w:t>treatment</w:t>
      </w:r>
      <w:r w:rsidR="00171D1B" w:rsidRPr="00C06124">
        <w:t>, as well as</w:t>
      </w:r>
      <w:r w:rsidR="00D46244">
        <w:t xml:space="preserve"> for monitoring</w:t>
      </w:r>
      <w:r w:rsidR="00171D1B" w:rsidRPr="00C06124">
        <w:t xml:space="preserve"> the post-treatment effect of </w:t>
      </w:r>
      <w:r w:rsidR="00171D1B" w:rsidRPr="00C06124">
        <w:rPr>
          <w:vertAlign w:val="superscript"/>
        </w:rPr>
        <w:t>177</w:t>
      </w:r>
      <w:r w:rsidR="00171D1B" w:rsidRPr="00C06124">
        <w:t>Lu</w:t>
      </w:r>
      <w:r w:rsidR="00D24AB1">
        <w:t xml:space="preserve"> </w:t>
      </w:r>
      <w:r w:rsidR="00996917">
        <w:t>(</w:t>
      </w:r>
      <w:proofErr w:type="spellStart"/>
      <w:r w:rsidR="00996917">
        <w:t>nca</w:t>
      </w:r>
      <w:proofErr w:type="spellEnd"/>
      <w:r w:rsidR="00996917">
        <w:t>)</w:t>
      </w:r>
      <w:r w:rsidR="00171D1B" w:rsidRPr="00C06124">
        <w:t>-</w:t>
      </w:r>
      <w:r w:rsidR="00607D95">
        <w:t>DOTA-</w:t>
      </w:r>
      <w:proofErr w:type="spellStart"/>
      <w:r w:rsidR="00607D95">
        <w:t>octreotate</w:t>
      </w:r>
      <w:proofErr w:type="spellEnd"/>
      <w:r w:rsidR="00607D95">
        <w:t xml:space="preserve"> </w:t>
      </w:r>
      <w:r w:rsidR="00171D1B" w:rsidRPr="00C06124">
        <w:t>treatment.</w:t>
      </w:r>
    </w:p>
    <w:p w14:paraId="792184CC" w14:textId="66A55890" w:rsidR="005814B8" w:rsidRPr="005814B8" w:rsidRDefault="005173BA" w:rsidP="00C06124">
      <w:pPr>
        <w:spacing w:after="240"/>
        <w:rPr>
          <w:iCs/>
        </w:rPr>
      </w:pPr>
      <w:r>
        <w:t xml:space="preserve">The </w:t>
      </w:r>
      <w:r w:rsidR="009677EB">
        <w:t>original</w:t>
      </w:r>
      <w:r>
        <w:t xml:space="preserve"> </w:t>
      </w:r>
      <w:r w:rsidRPr="00A33952">
        <w:t xml:space="preserve">application </w:t>
      </w:r>
      <w:r w:rsidR="00A33952" w:rsidRPr="00A33952">
        <w:t>requested a</w:t>
      </w:r>
      <w:r w:rsidR="00FC1FB9" w:rsidRPr="00A33952">
        <w:t xml:space="preserve"> </w:t>
      </w:r>
      <w:r w:rsidRPr="00A33952">
        <w:t>restrict</w:t>
      </w:r>
      <w:r w:rsidR="00A33952" w:rsidRPr="004B6916">
        <w:t>ion</w:t>
      </w:r>
      <w:r w:rsidRPr="00A33952">
        <w:t xml:space="preserve"> to the ‘</w:t>
      </w:r>
      <w:proofErr w:type="spellStart"/>
      <w:r w:rsidRPr="00A33952">
        <w:t>nca</w:t>
      </w:r>
      <w:proofErr w:type="spellEnd"/>
      <w:r w:rsidRPr="00A33952">
        <w:t>’ product</w:t>
      </w:r>
      <w:r w:rsidR="007F35A3">
        <w:t>.</w:t>
      </w:r>
      <w:r w:rsidR="00A349F6">
        <w:t xml:space="preserve"> </w:t>
      </w:r>
      <w:r w:rsidR="007F35A3">
        <w:t>H</w:t>
      </w:r>
      <w:r w:rsidRPr="00A33952">
        <w:t xml:space="preserve">owever, </w:t>
      </w:r>
      <w:r w:rsidR="007F35A3">
        <w:t xml:space="preserve">as noted by the </w:t>
      </w:r>
      <w:r w:rsidR="007F35A3" w:rsidRPr="00A33952">
        <w:t xml:space="preserve">PICO Advisory Sub-Committee (PASC) </w:t>
      </w:r>
      <w:r w:rsidRPr="00A33952">
        <w:t xml:space="preserve">there is no available evidence </w:t>
      </w:r>
      <w:r w:rsidR="00ED046C" w:rsidRPr="00A33952">
        <w:t>to support</w:t>
      </w:r>
      <w:r w:rsidRPr="00A33952">
        <w:t xml:space="preserve"> the superior safety and effectiveness of the </w:t>
      </w:r>
      <w:proofErr w:type="spellStart"/>
      <w:r w:rsidRPr="00A33952">
        <w:t>nca</w:t>
      </w:r>
      <w:proofErr w:type="spellEnd"/>
      <w:r w:rsidRPr="00A33952">
        <w:t xml:space="preserve"> product compared to the ‘</w:t>
      </w:r>
      <w:r w:rsidR="008017BD" w:rsidRPr="00A33952">
        <w:t>carrier added’</w:t>
      </w:r>
      <w:r w:rsidRPr="00A33952">
        <w:t xml:space="preserve"> </w:t>
      </w:r>
      <w:r w:rsidR="008017BD" w:rsidRPr="00A33952">
        <w:t>(</w:t>
      </w:r>
      <w:r w:rsidRPr="00A33952">
        <w:t>ca</w:t>
      </w:r>
      <w:r w:rsidR="008017BD" w:rsidRPr="00A33952">
        <w:t>)</w:t>
      </w:r>
      <w:r w:rsidRPr="00A33952">
        <w:t xml:space="preserve"> product to justify restriction of the benefit to the </w:t>
      </w:r>
      <w:proofErr w:type="spellStart"/>
      <w:r w:rsidRPr="00A33952">
        <w:t>nca</w:t>
      </w:r>
      <w:proofErr w:type="spellEnd"/>
      <w:r w:rsidRPr="00A33952">
        <w:t xml:space="preserve"> product.</w:t>
      </w:r>
      <w:r w:rsidR="006F6373" w:rsidRPr="00A33952">
        <w:t xml:space="preserve"> Therefore</w:t>
      </w:r>
      <w:proofErr w:type="gramStart"/>
      <w:r w:rsidR="006F6373" w:rsidRPr="00A33952">
        <w:t>,</w:t>
      </w:r>
      <w:r w:rsidR="004E122A" w:rsidRPr="00A33952">
        <w:t xml:space="preserve"> </w:t>
      </w:r>
      <w:r w:rsidR="006F6373" w:rsidRPr="00A33952">
        <w:t>,</w:t>
      </w:r>
      <w:proofErr w:type="gramEnd"/>
      <w:r w:rsidR="006F6373" w:rsidRPr="00A33952">
        <w:t xml:space="preserve"> </w:t>
      </w:r>
      <w:r w:rsidR="003C6053" w:rsidRPr="00A33952">
        <w:t>the intervention</w:t>
      </w:r>
      <w:r w:rsidR="00790C25" w:rsidRPr="00A33952">
        <w:t xml:space="preserve"> </w:t>
      </w:r>
      <w:r w:rsidR="00A85E90" w:rsidRPr="00A33952">
        <w:t>described in this assessment report</w:t>
      </w:r>
      <w:r w:rsidR="005F289A" w:rsidRPr="00A33952">
        <w:t xml:space="preserve"> refers</w:t>
      </w:r>
      <w:r w:rsidR="00790C25" w:rsidRPr="00A33952">
        <w:t xml:space="preserve"> to </w:t>
      </w:r>
      <w:r w:rsidR="005F289A" w:rsidRPr="00A33952">
        <w:t>the more generic</w:t>
      </w:r>
      <w:r w:rsidR="00790C25" w:rsidRPr="00A33952">
        <w:t xml:space="preserve"> </w:t>
      </w:r>
      <w:r w:rsidR="00790C25" w:rsidRPr="00A33952">
        <w:rPr>
          <w:vertAlign w:val="superscript"/>
        </w:rPr>
        <w:t>177</w:t>
      </w:r>
      <w:r w:rsidR="00790C25" w:rsidRPr="00A33952">
        <w:t>Lu-</w:t>
      </w:r>
      <w:r w:rsidR="00607D95" w:rsidRPr="00A33952">
        <w:t>DOTA-octreotate</w:t>
      </w:r>
      <w:r w:rsidR="00F14528">
        <w:t>.</w:t>
      </w:r>
    </w:p>
    <w:p w14:paraId="38902B58" w14:textId="3D50A466" w:rsidR="00912778" w:rsidRDefault="005819A6" w:rsidP="00C06124">
      <w:pPr>
        <w:spacing w:after="240"/>
      </w:pPr>
      <w:r>
        <w:t>Furthermore,</w:t>
      </w:r>
      <w:r w:rsidR="00765445">
        <w:t xml:space="preserve"> the original application </w:t>
      </w:r>
      <w:r w:rsidR="00CB15FE">
        <w:t xml:space="preserve">included </w:t>
      </w:r>
      <w:r w:rsidR="00E01C64">
        <w:t xml:space="preserve">the requirement for </w:t>
      </w:r>
      <w:r w:rsidR="00CB15FE">
        <w:t xml:space="preserve">an </w:t>
      </w:r>
      <w:r w:rsidR="00F0186E">
        <w:t>additional</w:t>
      </w:r>
      <w:r w:rsidR="00CB15FE">
        <w:t xml:space="preserve"> test, </w:t>
      </w:r>
      <w:r w:rsidR="00090B55" w:rsidRPr="00090B55">
        <w:rPr>
          <w:vertAlign w:val="superscript"/>
        </w:rPr>
        <w:t>18</w:t>
      </w:r>
      <w:r w:rsidR="00090B55">
        <w:t>F-</w:t>
      </w:r>
      <w:r w:rsidR="009B5574">
        <w:t>FDG</w:t>
      </w:r>
      <w:r w:rsidR="00C97247">
        <w:t xml:space="preserve"> </w:t>
      </w:r>
      <w:r w:rsidR="007014A3">
        <w:t>(</w:t>
      </w:r>
      <w:r w:rsidR="007014A3" w:rsidRPr="00FF47BD">
        <w:t>fluorodeoxyglucose)</w:t>
      </w:r>
      <w:r w:rsidR="007014A3" w:rsidRPr="007014A3">
        <w:t xml:space="preserve"> </w:t>
      </w:r>
      <w:r w:rsidR="009B5574">
        <w:t>PET/CT</w:t>
      </w:r>
      <w:r w:rsidR="00090B55">
        <w:t xml:space="preserve"> (FDG PET/CT)</w:t>
      </w:r>
      <w:r w:rsidR="00880F58">
        <w:t xml:space="preserve">, </w:t>
      </w:r>
      <w:r w:rsidR="00B5541E">
        <w:t>to assist in therapeutic decision</w:t>
      </w:r>
      <w:r w:rsidR="00CF48BE">
        <w:t>-</w:t>
      </w:r>
      <w:r w:rsidR="00B5541E">
        <w:t xml:space="preserve">making for some patients. </w:t>
      </w:r>
      <w:r w:rsidR="00AE77C5">
        <w:t xml:space="preserve">The application </w:t>
      </w:r>
      <w:r w:rsidR="00765445">
        <w:t xml:space="preserve">requested the </w:t>
      </w:r>
      <w:r w:rsidR="008006A0">
        <w:t>amendment of</w:t>
      </w:r>
      <w:r w:rsidR="00146536">
        <w:t xml:space="preserve"> existing MBS item </w:t>
      </w:r>
      <w:r w:rsidR="00F5057E">
        <w:t xml:space="preserve">61612 </w:t>
      </w:r>
      <w:r w:rsidR="00276364">
        <w:t xml:space="preserve">for whole body </w:t>
      </w:r>
      <w:r w:rsidR="00642FA3">
        <w:t>FDG</w:t>
      </w:r>
      <w:r w:rsidR="00070D3F">
        <w:t xml:space="preserve"> </w:t>
      </w:r>
      <w:r w:rsidR="00642FA3">
        <w:t>PET</w:t>
      </w:r>
      <w:r w:rsidR="001340AF">
        <w:t xml:space="preserve"> study </w:t>
      </w:r>
      <w:r w:rsidR="00346ABB">
        <w:t xml:space="preserve">to include </w:t>
      </w:r>
      <w:r w:rsidR="005804FE">
        <w:t xml:space="preserve">assessing </w:t>
      </w:r>
      <w:r w:rsidR="00102D37">
        <w:t xml:space="preserve">eligibility for </w:t>
      </w:r>
      <w:r w:rsidR="00102D37">
        <w:rPr>
          <w:vertAlign w:val="superscript"/>
        </w:rPr>
        <w:t>177</w:t>
      </w:r>
      <w:r w:rsidR="00102D37">
        <w:t>Lu-</w:t>
      </w:r>
      <w:r w:rsidR="00607D95">
        <w:t xml:space="preserve">DOTA-octreotate </w:t>
      </w:r>
      <w:r w:rsidR="00102D37">
        <w:t>treatment.</w:t>
      </w:r>
      <w:r w:rsidR="00C45001">
        <w:t xml:space="preserve"> </w:t>
      </w:r>
      <w:r w:rsidR="003E482B">
        <w:t xml:space="preserve">This item is used for initial staging of rare or uncommon cancers </w:t>
      </w:r>
      <w:r w:rsidR="007070FF">
        <w:t xml:space="preserve">for a patient considered suitable for active therapy. </w:t>
      </w:r>
      <w:r w:rsidR="00AA2DB4">
        <w:t xml:space="preserve">PASC </w:t>
      </w:r>
      <w:r w:rsidR="00912778">
        <w:t xml:space="preserve">considered that existing item MBS </w:t>
      </w:r>
      <w:r w:rsidR="003C2F11">
        <w:t>61612 would not require amend</w:t>
      </w:r>
      <w:r w:rsidR="00297EC0">
        <w:t>ment</w:t>
      </w:r>
      <w:r w:rsidR="00D27351">
        <w:t xml:space="preserve">, as NENs are considered rare or uncommon cancers. </w:t>
      </w:r>
    </w:p>
    <w:p w14:paraId="0ACC7EAE" w14:textId="77777777" w:rsidR="000B228E" w:rsidRDefault="000B228E" w:rsidP="000B228E">
      <w:pPr>
        <w:pStyle w:val="Heading2"/>
        <w:numPr>
          <w:ilvl w:val="0"/>
          <w:numId w:val="0"/>
        </w:numPr>
      </w:pPr>
      <w:r>
        <w:lastRenderedPageBreak/>
        <w:t>2.</w:t>
      </w:r>
      <w:r>
        <w:tab/>
        <w:t>MSAC’s advice to the Minister</w:t>
      </w:r>
    </w:p>
    <w:p w14:paraId="4CAB913E" w14:textId="7F0F392D" w:rsidR="00FD0B1B" w:rsidRDefault="000B228E" w:rsidP="00FD0B1B">
      <w:pPr>
        <w:spacing w:after="240" w:line="240" w:lineRule="auto"/>
        <w:rPr>
          <w:rFonts w:eastAsia="Calibri" w:cs="Times New Roman"/>
        </w:rPr>
      </w:pPr>
      <w:r w:rsidRPr="00C86E49">
        <w:rPr>
          <w:rFonts w:eastAsia="Calibri" w:cs="Times New Roman"/>
        </w:rPr>
        <w:t xml:space="preserve">After considering the strength of the available evidence in relation to comparative safety, clinical effectiveness, cost-effectiveness and total cost, </w:t>
      </w:r>
      <w:r w:rsidR="00F76545" w:rsidRPr="0A3B44D0">
        <w:t>MSAC deferred its advice on the public funding of 1)</w:t>
      </w:r>
      <w:r w:rsidR="00F76545">
        <w:t xml:space="preserve"> </w:t>
      </w:r>
      <w:r w:rsidR="00F76545" w:rsidRPr="00592E75">
        <w:rPr>
          <w:vertAlign w:val="superscript"/>
        </w:rPr>
        <w:t>177</w:t>
      </w:r>
      <w:r w:rsidR="00F76545" w:rsidRPr="0A3B44D0">
        <w:t>Lutetium</w:t>
      </w:r>
      <w:r w:rsidR="00F76545">
        <w:t> </w:t>
      </w:r>
      <w:r w:rsidR="00F76545" w:rsidRPr="0A3B44D0">
        <w:t xml:space="preserve">Octreotate </w:t>
      </w:r>
      <w:r w:rsidR="00F76545">
        <w:t>(</w:t>
      </w:r>
      <w:r w:rsidR="00F76545" w:rsidRPr="00592E75">
        <w:rPr>
          <w:vertAlign w:val="superscript"/>
        </w:rPr>
        <w:t>177</w:t>
      </w:r>
      <w:r w:rsidR="00F76545" w:rsidRPr="006A1B53">
        <w:t>Lu-DOTA-octreotate</w:t>
      </w:r>
      <w:r w:rsidR="00F76545">
        <w:t>)</w:t>
      </w:r>
      <w:r w:rsidR="00F76545" w:rsidRPr="0A3B44D0">
        <w:t xml:space="preserve"> treatment of advanced neuroendocrine neoplasms </w:t>
      </w:r>
      <w:r w:rsidR="00F76545">
        <w:t>(NENs)</w:t>
      </w:r>
      <w:r w:rsidR="00F76545" w:rsidRPr="0A3B44D0">
        <w:t xml:space="preserve"> with high somatostatin receptor (H-SSTR) expression and 2) whole body </w:t>
      </w:r>
      <w:r w:rsidR="00F76545" w:rsidRPr="00592E75">
        <w:rPr>
          <w:vertAlign w:val="superscript"/>
        </w:rPr>
        <w:t>68</w:t>
      </w:r>
      <w:r w:rsidR="00F76545" w:rsidRPr="0A3B44D0">
        <w:t xml:space="preserve">Gallium (Ga)-DOTA-octreotate SSTR-positron emission tomography (PET)/computed tomography (CT) </w:t>
      </w:r>
      <w:r w:rsidR="00F76545">
        <w:t>(</w:t>
      </w:r>
      <w:r w:rsidR="00F76545" w:rsidRPr="00592E75">
        <w:rPr>
          <w:vertAlign w:val="superscript"/>
        </w:rPr>
        <w:t>68</w:t>
      </w:r>
      <w:r w:rsidR="00F76545" w:rsidRPr="0A3B44D0">
        <w:t>Ga-DOTA-octreotate PET/CT</w:t>
      </w:r>
      <w:r w:rsidR="00F76545">
        <w:t>)</w:t>
      </w:r>
      <w:r w:rsidR="00F76545" w:rsidRPr="0A3B44D0">
        <w:t xml:space="preserve"> to identify those eligible for </w:t>
      </w:r>
      <w:r w:rsidR="00F76545" w:rsidRPr="0A3B44D0">
        <w:rPr>
          <w:vertAlign w:val="superscript"/>
        </w:rPr>
        <w:t>177</w:t>
      </w:r>
      <w:r w:rsidR="00F76545" w:rsidRPr="0A3B44D0">
        <w:t>Lu</w:t>
      </w:r>
      <w:r w:rsidR="00F76545">
        <w:t>-DOTA-o</w:t>
      </w:r>
      <w:r w:rsidR="00F76545" w:rsidRPr="0A3B44D0">
        <w:t>ctreotate</w:t>
      </w:r>
      <w:r w:rsidR="009A6081">
        <w:t>.</w:t>
      </w:r>
      <w:r w:rsidR="00FD0B1B" w:rsidRPr="00FD0B1B">
        <w:rPr>
          <w:rFonts w:eastAsia="Calibri" w:cs="Times New Roman"/>
        </w:rPr>
        <w:t xml:space="preserve"> </w:t>
      </w:r>
    </w:p>
    <w:p w14:paraId="60D3DC4E" w14:textId="33974129" w:rsidR="00FD0B1B" w:rsidRPr="00FD0B1B" w:rsidRDefault="00FD0B1B" w:rsidP="00FD0B1B">
      <w:pPr>
        <w:spacing w:after="240" w:line="240" w:lineRule="auto"/>
        <w:rPr>
          <w:rFonts w:eastAsia="Calibri" w:cs="Times New Roman"/>
        </w:rPr>
      </w:pPr>
      <w:r w:rsidRPr="00FD0B1B">
        <w:rPr>
          <w:rFonts w:eastAsia="Calibri" w:cs="Times New Roman"/>
        </w:rPr>
        <w:t xml:space="preserve">MSAC accepted the high clinical need for this population with advanced disease. MSAC also noted there is an equity of access issue as the proposed intervention is standard of care in Australian practice and some patients are currently paying privately for the treatment or are receiving the treatment funded through the Department of Veterans' Affairs. </w:t>
      </w:r>
    </w:p>
    <w:p w14:paraId="44900379" w14:textId="652B7268" w:rsidR="00F64E65" w:rsidRDefault="00F64E65" w:rsidP="00F64E65">
      <w:r w:rsidRPr="0A3B44D0">
        <w:t>MSAC considered the evidence base</w:t>
      </w:r>
      <w:r>
        <w:t xml:space="preserve"> </w:t>
      </w:r>
      <w:r w:rsidRPr="0A3B44D0">
        <w:t>and</w:t>
      </w:r>
      <w:r>
        <w:t xml:space="preserve"> the additional perspectives comparing </w:t>
      </w:r>
      <w:r w:rsidRPr="00592E75">
        <w:rPr>
          <w:vertAlign w:val="superscript"/>
        </w:rPr>
        <w:t>177</w:t>
      </w:r>
      <w:r w:rsidRPr="006A1B53">
        <w:t>Lu-DOTA-octreotate</w:t>
      </w:r>
      <w:r>
        <w:t xml:space="preserve"> and </w:t>
      </w:r>
      <w:proofErr w:type="spellStart"/>
      <w:r w:rsidRPr="0A3B44D0">
        <w:t>Lutathera</w:t>
      </w:r>
      <w:proofErr w:type="spellEnd"/>
      <w:r w:rsidRPr="00592E75">
        <w:rPr>
          <w:vertAlign w:val="superscript"/>
        </w:rPr>
        <w:t>®</w:t>
      </w:r>
      <w:r w:rsidRPr="0A3B44D0">
        <w:t xml:space="preserve"> (</w:t>
      </w:r>
      <w:r w:rsidRPr="00592E75">
        <w:rPr>
          <w:vertAlign w:val="superscript"/>
        </w:rPr>
        <w:t>177</w:t>
      </w:r>
      <w:r w:rsidRPr="0A3B44D0">
        <w:t>Lu-DOTATATE)</w:t>
      </w:r>
      <w:r>
        <w:t xml:space="preserve">. MSAC noted that </w:t>
      </w:r>
      <w:r w:rsidRPr="0A3B44D0" w:rsidDel="00356338">
        <w:t xml:space="preserve">the </w:t>
      </w:r>
      <w:r>
        <w:t xml:space="preserve">assessment assumed </w:t>
      </w:r>
      <w:r w:rsidRPr="0A3B44D0">
        <w:t xml:space="preserve">noninferiority of </w:t>
      </w:r>
      <w:r w:rsidRPr="00592E75">
        <w:rPr>
          <w:vertAlign w:val="superscript"/>
        </w:rPr>
        <w:t>177</w:t>
      </w:r>
      <w:r w:rsidRPr="0A3B44D0">
        <w:t xml:space="preserve">Lu-DOTA-octreotate and </w:t>
      </w:r>
      <w:proofErr w:type="spellStart"/>
      <w:r w:rsidRPr="0A3B44D0">
        <w:t>Lutathera</w:t>
      </w:r>
      <w:proofErr w:type="spellEnd"/>
      <w:r w:rsidRPr="00592E75">
        <w:rPr>
          <w:vertAlign w:val="superscript"/>
        </w:rPr>
        <w:t>®</w:t>
      </w:r>
      <w:r w:rsidRPr="0A3B44D0">
        <w:t xml:space="preserve"> (</w:t>
      </w:r>
      <w:r w:rsidRPr="00592E75">
        <w:rPr>
          <w:vertAlign w:val="superscript"/>
        </w:rPr>
        <w:t>177</w:t>
      </w:r>
      <w:r w:rsidRPr="0A3B44D0">
        <w:t>Lu-DOTATATE)</w:t>
      </w:r>
      <w:r>
        <w:t>,</w:t>
      </w:r>
      <w:r w:rsidRPr="0A3B44D0" w:rsidDel="0086424C">
        <w:t xml:space="preserve"> </w:t>
      </w:r>
      <w:r>
        <w:t xml:space="preserve">and therefore assumed that the randomised controlled trial (RCT) data presented for </w:t>
      </w:r>
      <w:proofErr w:type="spellStart"/>
      <w:r w:rsidRPr="0A3B44D0">
        <w:t>Lutathera</w:t>
      </w:r>
      <w:proofErr w:type="spellEnd"/>
      <w:r w:rsidRPr="00592E75">
        <w:rPr>
          <w:vertAlign w:val="superscript"/>
        </w:rPr>
        <w:t>®</w:t>
      </w:r>
      <w:r w:rsidRPr="0A3B44D0">
        <w:t xml:space="preserve"> (</w:t>
      </w:r>
      <w:r w:rsidRPr="00592E75">
        <w:rPr>
          <w:vertAlign w:val="superscript"/>
        </w:rPr>
        <w:t>177</w:t>
      </w:r>
      <w:r w:rsidRPr="0A3B44D0">
        <w:t>Lu-DOTATATE)</w:t>
      </w:r>
      <w:r>
        <w:t xml:space="preserve"> would be relevant to</w:t>
      </w:r>
      <w:r w:rsidDel="004F62E1">
        <w:t xml:space="preserve"> </w:t>
      </w:r>
      <w:r w:rsidRPr="00592E75">
        <w:rPr>
          <w:vertAlign w:val="superscript"/>
        </w:rPr>
        <w:t>177</w:t>
      </w:r>
      <w:r w:rsidRPr="006A1B53">
        <w:t>Lu-DOTA-octreotate</w:t>
      </w:r>
      <w:r>
        <w:t>.</w:t>
      </w:r>
      <w:r w:rsidRPr="0A3B44D0" w:rsidDel="00D825C9">
        <w:t xml:space="preserve"> MSAC considered that </w:t>
      </w:r>
      <w:r>
        <w:t xml:space="preserve">whilst </w:t>
      </w:r>
      <w:r w:rsidRPr="0A3B44D0" w:rsidDel="00D825C9">
        <w:t xml:space="preserve">it appeared </w:t>
      </w:r>
      <w:r w:rsidDel="00D825C9">
        <w:t xml:space="preserve">that </w:t>
      </w:r>
      <w:r w:rsidRPr="0A3B44D0" w:rsidDel="00D825C9">
        <w:t xml:space="preserve">the products </w:t>
      </w:r>
      <w:r>
        <w:t xml:space="preserve">may be </w:t>
      </w:r>
      <w:r w:rsidRPr="0A3B44D0" w:rsidDel="00D825C9">
        <w:t>two formulations of the same active compound [(Tyr</w:t>
      </w:r>
      <w:proofErr w:type="gramStart"/>
      <w:r w:rsidRPr="0A3B44D0" w:rsidDel="00D825C9">
        <w:t>3)Octreotate</w:t>
      </w:r>
      <w:proofErr w:type="gramEnd"/>
      <w:r w:rsidRPr="0A3B44D0" w:rsidDel="00D825C9">
        <w:t xml:space="preserve">-Dota-Lu, i.e., </w:t>
      </w:r>
      <w:r w:rsidRPr="00592E75" w:rsidDel="00D825C9">
        <w:rPr>
          <w:vertAlign w:val="superscript"/>
        </w:rPr>
        <w:t>177</w:t>
      </w:r>
      <w:r w:rsidRPr="0A3B44D0" w:rsidDel="00D825C9">
        <w:t>Lu-DOTATATE</w:t>
      </w:r>
      <w:r w:rsidR="00986640">
        <w:t>]</w:t>
      </w:r>
      <w:r>
        <w:t>,</w:t>
      </w:r>
      <w:r w:rsidRPr="0A3B44D0" w:rsidDel="00D825C9">
        <w:t xml:space="preserve"> </w:t>
      </w:r>
      <w:r w:rsidRPr="00C05A3E">
        <w:t xml:space="preserve">no </w:t>
      </w:r>
      <w:r>
        <w:t xml:space="preserve">reliable data were </w:t>
      </w:r>
      <w:r w:rsidRPr="00C05A3E">
        <w:t>presented</w:t>
      </w:r>
      <w:r>
        <w:t xml:space="preserve"> </w:t>
      </w:r>
      <w:r w:rsidR="00DF468A">
        <w:t xml:space="preserve">in the </w:t>
      </w:r>
      <w:r w:rsidR="00A60A30">
        <w:t>assessment</w:t>
      </w:r>
      <w:r w:rsidR="007F35A3">
        <w:t xml:space="preserve"> </w:t>
      </w:r>
      <w:r>
        <w:t xml:space="preserve">to establish whether or not </w:t>
      </w:r>
      <w:r w:rsidRPr="00C05A3E">
        <w:t xml:space="preserve">the </w:t>
      </w:r>
      <w:r>
        <w:t xml:space="preserve">products </w:t>
      </w:r>
      <w:r w:rsidRPr="0A3B44D0" w:rsidDel="00D825C9">
        <w:t>ha</w:t>
      </w:r>
      <w:r>
        <w:t>ve</w:t>
      </w:r>
      <w:r w:rsidRPr="0A3B44D0" w:rsidDel="00D825C9">
        <w:t xml:space="preserve"> similar </w:t>
      </w:r>
      <w:r w:rsidDel="00D825C9">
        <w:t xml:space="preserve">chemical structures </w:t>
      </w:r>
      <w:r>
        <w:t xml:space="preserve">and/or </w:t>
      </w:r>
      <w:r w:rsidDel="00D825C9">
        <w:t xml:space="preserve"> </w:t>
      </w:r>
      <w:r w:rsidRPr="0A3B44D0" w:rsidDel="00D825C9">
        <w:t>biodistribution</w:t>
      </w:r>
      <w:r w:rsidR="007F35A3">
        <w:t xml:space="preserve"> -</w:t>
      </w:r>
      <w:r>
        <w:t xml:space="preserve"> characteristics which are expected to affect the relative efficacy and safety of the products</w:t>
      </w:r>
      <w:r w:rsidDel="00913677">
        <w:t>.</w:t>
      </w:r>
    </w:p>
    <w:p w14:paraId="3AB787DC" w14:textId="3FF6DAE1" w:rsidR="00FD0B1B" w:rsidRPr="00852103" w:rsidRDefault="008E4246" w:rsidP="00852103">
      <w:r>
        <w:t xml:space="preserve">MSAC deferred its advice and requested that further consultation is required to ascertain the extent of similarity of the chemical structure of </w:t>
      </w:r>
      <w:r w:rsidRPr="00592E75">
        <w:rPr>
          <w:vertAlign w:val="superscript"/>
        </w:rPr>
        <w:t>177</w:t>
      </w:r>
      <w:r w:rsidRPr="0A3B44D0">
        <w:t xml:space="preserve">Lu-DOTA-octreotate and </w:t>
      </w:r>
      <w:proofErr w:type="spellStart"/>
      <w:r w:rsidRPr="0A3B44D0">
        <w:t>Lutathera</w:t>
      </w:r>
      <w:proofErr w:type="spellEnd"/>
      <w:r w:rsidRPr="00592E75">
        <w:rPr>
          <w:vertAlign w:val="superscript"/>
        </w:rPr>
        <w:t>®</w:t>
      </w:r>
      <w:r w:rsidRPr="0A3B44D0">
        <w:t xml:space="preserve"> (</w:t>
      </w:r>
      <w:r w:rsidRPr="00592E75">
        <w:rPr>
          <w:vertAlign w:val="superscript"/>
        </w:rPr>
        <w:t>177</w:t>
      </w:r>
      <w:r w:rsidRPr="0A3B44D0">
        <w:t>Lu-DOTATATE)</w:t>
      </w:r>
      <w:r>
        <w:t xml:space="preserve"> as this has implications for whether the two products have similar biodistribution and therefore similar efficacy and safety. MSAC advised that if the similarity of chemical structure between the two products is not </w:t>
      </w:r>
      <w:r w:rsidR="00DF468A">
        <w:t xml:space="preserve">adequately </w:t>
      </w:r>
      <w:r>
        <w:t>established, then additional evidence is required to establish similar biodistribution, efficacy and safety between the two products.  I</w:t>
      </w:r>
      <w:r w:rsidR="009D0CFF">
        <w:t xml:space="preserve">f </w:t>
      </w:r>
      <w:r w:rsidR="00615D79">
        <w:t>the chemical simi</w:t>
      </w:r>
      <w:r w:rsidR="002B61EA">
        <w:t>larity of the two products cannot be established</w:t>
      </w:r>
      <w:r w:rsidRPr="0A3B44D0">
        <w:t>,</w:t>
      </w:r>
      <w:r>
        <w:t xml:space="preserve"> MSAC </w:t>
      </w:r>
      <w:r w:rsidRPr="007D5FE3">
        <w:t>requested that a more comprehensive assessment of the efficacy and safety</w:t>
      </w:r>
      <w:r>
        <w:t xml:space="preserve"> </w:t>
      </w:r>
      <w:r w:rsidRPr="007D5FE3">
        <w:t xml:space="preserve">of </w:t>
      </w:r>
      <w:r w:rsidRPr="00483F1D">
        <w:rPr>
          <w:vertAlign w:val="superscript"/>
        </w:rPr>
        <w:t>177</w:t>
      </w:r>
      <w:r w:rsidRPr="007D5FE3">
        <w:t xml:space="preserve">Lu-DOTA-octreotate and </w:t>
      </w:r>
      <w:proofErr w:type="spellStart"/>
      <w:r w:rsidRPr="007D5FE3">
        <w:t>Lutathera</w:t>
      </w:r>
      <w:proofErr w:type="spellEnd"/>
      <w:r w:rsidRPr="007D5FE3">
        <w:t>® (</w:t>
      </w:r>
      <w:r w:rsidRPr="00483F1D">
        <w:rPr>
          <w:vertAlign w:val="superscript"/>
        </w:rPr>
        <w:t>177</w:t>
      </w:r>
      <w:r w:rsidRPr="007D5FE3">
        <w:t>Lu-DOTATATE) be conducted</w:t>
      </w:r>
      <w:r>
        <w:t xml:space="preserve"> </w:t>
      </w:r>
      <w:proofErr w:type="gramStart"/>
      <w:r>
        <w:t>in order to</w:t>
      </w:r>
      <w:proofErr w:type="gramEnd"/>
      <w:r>
        <w:t xml:space="preserve"> demonstrate that the two products are noninferior in terms of health outcomes</w:t>
      </w:r>
      <w:r w:rsidRPr="007D5FE3">
        <w:t xml:space="preserve">. Specifically, MSAC noted that published observational data (including studies from Australia) of these products </w:t>
      </w:r>
      <w:r>
        <w:t>were</w:t>
      </w:r>
      <w:r w:rsidRPr="007D5FE3">
        <w:t xml:space="preserve"> not included in the </w:t>
      </w:r>
      <w:r>
        <w:t xml:space="preserve">assessment </w:t>
      </w:r>
      <w:r w:rsidRPr="007D5FE3">
        <w:t>and that this evidence was likely to be relevant to the Committee in providing its advice</w:t>
      </w:r>
      <w:r>
        <w:t>.</w:t>
      </w:r>
    </w:p>
    <w:p w14:paraId="425D0265" w14:textId="25B173CE" w:rsidR="00B45DFA" w:rsidRDefault="00B45DFA" w:rsidP="00B45DFA">
      <w:r w:rsidRPr="0A3B44D0">
        <w:t>MSAC foreshadowed it was of</w:t>
      </w:r>
      <w:r w:rsidR="001D2754">
        <w:t xml:space="preserve"> a</w:t>
      </w:r>
      <w:r w:rsidRPr="0A3B44D0">
        <w:t xml:space="preserve"> mind to support public funding if </w:t>
      </w:r>
      <w:r>
        <w:t xml:space="preserve">the </w:t>
      </w:r>
      <w:r w:rsidRPr="0A3B44D0">
        <w:t xml:space="preserve">noninferiority between </w:t>
      </w:r>
      <w:r w:rsidRPr="00592E75">
        <w:rPr>
          <w:vertAlign w:val="superscript"/>
        </w:rPr>
        <w:t>177</w:t>
      </w:r>
      <w:r w:rsidRPr="006A1B53">
        <w:t>Lu-DOTA-octreotate</w:t>
      </w:r>
      <w:r>
        <w:t xml:space="preserve"> and </w:t>
      </w:r>
      <w:proofErr w:type="spellStart"/>
      <w:r w:rsidRPr="0A3B44D0">
        <w:t>Lutathera</w:t>
      </w:r>
      <w:proofErr w:type="spellEnd"/>
      <w:r w:rsidRPr="00592E75">
        <w:rPr>
          <w:vertAlign w:val="superscript"/>
        </w:rPr>
        <w:t>®</w:t>
      </w:r>
      <w:r w:rsidRPr="0A3B44D0">
        <w:t xml:space="preserve"> (</w:t>
      </w:r>
      <w:r w:rsidRPr="00592E75">
        <w:rPr>
          <w:vertAlign w:val="superscript"/>
        </w:rPr>
        <w:t>177</w:t>
      </w:r>
      <w:r w:rsidRPr="0A3B44D0">
        <w:t>Lu-DOTATATE)</w:t>
      </w:r>
      <w:r>
        <w:t xml:space="preserve"> </w:t>
      </w:r>
      <w:r w:rsidRPr="0A3B44D0">
        <w:t>products</w:t>
      </w:r>
      <w:r>
        <w:t xml:space="preserve"> </w:t>
      </w:r>
      <w:r w:rsidRPr="0A3B44D0">
        <w:t>was subsequently accepted</w:t>
      </w:r>
      <w:r>
        <w:t xml:space="preserve">. </w:t>
      </w:r>
      <w:r w:rsidRPr="0A3B44D0">
        <w:t xml:space="preserve">This was because MSAC </w:t>
      </w:r>
      <w:r>
        <w:t xml:space="preserve">concluded from the evidence presented that </w:t>
      </w:r>
      <w:r w:rsidRPr="0A3B44D0">
        <w:rPr>
          <w:vertAlign w:val="superscript"/>
        </w:rPr>
        <w:t>177</w:t>
      </w:r>
      <w:r w:rsidRPr="0A3B44D0">
        <w:t>Lu</w:t>
      </w:r>
      <w:r>
        <w:t>-</w:t>
      </w:r>
      <w:r w:rsidRPr="0A3B44D0">
        <w:t>DOTATATE</w:t>
      </w:r>
      <w:r>
        <w:t xml:space="preserve">, and thus </w:t>
      </w:r>
      <w:r w:rsidRPr="00592E75">
        <w:rPr>
          <w:vertAlign w:val="superscript"/>
        </w:rPr>
        <w:t>177</w:t>
      </w:r>
      <w:r w:rsidRPr="006A1B53">
        <w:t>Lu-DOTA-octreotate</w:t>
      </w:r>
      <w:r>
        <w:t xml:space="preserve"> if noninferiority was subsequently accepted, was acceptably safe and effective compared with standard care and despite limitations in the economic evaluation, </w:t>
      </w:r>
      <w:r w:rsidRPr="00592E75">
        <w:rPr>
          <w:vertAlign w:val="superscript"/>
        </w:rPr>
        <w:t>177</w:t>
      </w:r>
      <w:r w:rsidRPr="006A1B53">
        <w:t>Lu-DOTA-octreotate</w:t>
      </w:r>
      <w:r>
        <w:t xml:space="preserve"> was acceptably cost-effective.</w:t>
      </w:r>
    </w:p>
    <w:p w14:paraId="0457555C" w14:textId="0508FBFC" w:rsidR="00395F59" w:rsidRDefault="00B45DFA" w:rsidP="00395F59">
      <w:pPr>
        <w:spacing w:after="240" w:line="240" w:lineRule="auto"/>
      </w:pPr>
      <w:r w:rsidRPr="006A77D3">
        <w:t xml:space="preserve">MSAC noted the patent related issues raised during the consultation process. MSAC referred to its Terms of Reference and concluded that patent related matters would require consideration by </w:t>
      </w:r>
      <w:r w:rsidRPr="2EE7FF25">
        <w:t>Government</w:t>
      </w:r>
      <w:r w:rsidRPr="006A77D3">
        <w:t xml:space="preserve"> prior to any decision to list the MBS items </w:t>
      </w:r>
      <w:proofErr w:type="gramStart"/>
      <w:r w:rsidRPr="006A77D3">
        <w:t>as a result of</w:t>
      </w:r>
      <w:proofErr w:type="gramEnd"/>
      <w:r w:rsidRPr="006A77D3">
        <w:t xml:space="preserve"> this application.</w:t>
      </w:r>
      <w:r w:rsidR="00395F59">
        <w:br w:type="page"/>
      </w:r>
    </w:p>
    <w:tbl>
      <w:tblPr>
        <w:tblStyle w:val="TableGrid"/>
        <w:tblW w:w="0" w:type="auto"/>
        <w:tblLook w:val="04A0" w:firstRow="1" w:lastRow="0" w:firstColumn="1" w:lastColumn="0" w:noHBand="0" w:noVBand="1"/>
        <w:tblDescription w:val="Consumer summary of MSAC consideration"/>
      </w:tblPr>
      <w:tblGrid>
        <w:gridCol w:w="9016"/>
      </w:tblGrid>
      <w:tr w:rsidR="000B228E" w:rsidRPr="00C86E49" w14:paraId="4F12491A" w14:textId="77777777" w:rsidTr="6A680B3E">
        <w:trPr>
          <w:tblHeader/>
        </w:trPr>
        <w:tc>
          <w:tcPr>
            <w:tcW w:w="9016" w:type="dxa"/>
          </w:tcPr>
          <w:p w14:paraId="3249AA2D" w14:textId="77777777" w:rsidR="000B228E" w:rsidRPr="00C86E49" w:rsidRDefault="000B228E" w:rsidP="00CD47D6">
            <w:pPr>
              <w:keepNext/>
              <w:keepLines/>
              <w:spacing w:after="200"/>
              <w:outlineLvl w:val="2"/>
              <w:rPr>
                <w:rFonts w:ascii="Franklin Gothic Medium" w:eastAsia="Calibri" w:hAnsi="Franklin Gothic Medium" w:cs="Times New Roman"/>
                <w:iCs/>
                <w:color w:val="1F3763"/>
                <w:sz w:val="24"/>
                <w:szCs w:val="24"/>
              </w:rPr>
            </w:pPr>
            <w:r w:rsidRPr="00C86E49">
              <w:rPr>
                <w:rFonts w:ascii="Franklin Gothic Medium" w:eastAsia="Times New Roman" w:hAnsi="Franklin Gothic Medium" w:cs="Times New Roman"/>
                <w:sz w:val="24"/>
                <w:szCs w:val="24"/>
              </w:rPr>
              <w:lastRenderedPageBreak/>
              <w:t>Consumer summary</w:t>
            </w:r>
          </w:p>
        </w:tc>
      </w:tr>
      <w:tr w:rsidR="000B228E" w:rsidRPr="00C86E49" w14:paraId="07596FC2" w14:textId="77777777" w:rsidTr="6A680B3E">
        <w:tc>
          <w:tcPr>
            <w:tcW w:w="9016" w:type="dxa"/>
          </w:tcPr>
          <w:p w14:paraId="47D795F4" w14:textId="1DD5EBE5" w:rsidR="003A6697" w:rsidRDefault="003A6697" w:rsidP="003A6697">
            <w:r w:rsidRPr="00AF46D8">
              <w:t xml:space="preserve">This is an application from </w:t>
            </w:r>
            <w:r>
              <w:t>Applied Molecular Therapies</w:t>
            </w:r>
            <w:r w:rsidRPr="00AF46D8">
              <w:t xml:space="preserve"> requesting Medicare Benefits Schedule (MBS) listing of</w:t>
            </w:r>
            <w:r>
              <w:t xml:space="preserve"> </w:t>
            </w:r>
            <w:r w:rsidRPr="00963BCF">
              <w:rPr>
                <w:vertAlign w:val="superscript"/>
              </w:rPr>
              <w:t>177</w:t>
            </w:r>
            <w:r>
              <w:t>Lutetium (no carrier added [</w:t>
            </w:r>
            <w:proofErr w:type="spellStart"/>
            <w:r>
              <w:t>nca</w:t>
            </w:r>
            <w:proofErr w:type="spellEnd"/>
            <w:r>
              <w:t>])-DOTA-</w:t>
            </w:r>
            <w:proofErr w:type="spellStart"/>
            <w:r>
              <w:t>octreotate</w:t>
            </w:r>
            <w:proofErr w:type="spellEnd"/>
            <w:r>
              <w:t xml:space="preserve"> (</w:t>
            </w:r>
            <w:r w:rsidRPr="00366BB8">
              <w:rPr>
                <w:vertAlign w:val="superscript"/>
              </w:rPr>
              <w:t>177</w:t>
            </w:r>
            <w:r>
              <w:t>Lu [</w:t>
            </w:r>
            <w:proofErr w:type="spellStart"/>
            <w:r>
              <w:t>nca</w:t>
            </w:r>
            <w:proofErr w:type="spellEnd"/>
            <w:r>
              <w:t>]-DOTA-</w:t>
            </w:r>
            <w:proofErr w:type="spellStart"/>
            <w:r>
              <w:t>octreotate</w:t>
            </w:r>
            <w:proofErr w:type="spellEnd"/>
            <w:r>
              <w:t>) for the treatment of advanced neuroendocrine neoplasms with high somatostatin receptor expression. This application also requests amendment of existing MBS item 61647 (</w:t>
            </w:r>
            <w:r w:rsidRPr="00A836D3">
              <w:rPr>
                <w:vertAlign w:val="superscript"/>
              </w:rPr>
              <w:t>68</w:t>
            </w:r>
            <w:proofErr w:type="gramStart"/>
            <w:r>
              <w:t>Gallium[</w:t>
            </w:r>
            <w:proofErr w:type="gramEnd"/>
            <w:r>
              <w:t>Ga]-DOTA-octreotate SSTR positron emission tomography [PET] / computed tomography [CT]) to determine eligibility for therapy and/or to monitor response</w:t>
            </w:r>
            <w:r w:rsidR="007F4623">
              <w:t xml:space="preserve"> to therapy</w:t>
            </w:r>
            <w:r>
              <w:t>.</w:t>
            </w:r>
          </w:p>
          <w:p w14:paraId="34A0869C" w14:textId="77777777" w:rsidR="003A6697" w:rsidRDefault="003A6697" w:rsidP="003A6697">
            <w:r>
              <w:t>Neuroendocrine neoplasms or tumours are a rare type of cancer that form in neuroendocrine cells, which are found throughout the body. Neuroendocrine cells are part of the neuroendocrine system, a network of glands and nerve cells that make hormones and release them into the bloodstream. Neuroendocrine tumours cause the cells to release more hormones than normal, which can worsen the person’s quality of life and, with high-grade tumours, affect organ function and lead to death.</w:t>
            </w:r>
          </w:p>
          <w:p w14:paraId="742204B6" w14:textId="457A69C0" w:rsidR="0095605A" w:rsidRDefault="003A6697" w:rsidP="003A6697">
            <w:r>
              <w:t xml:space="preserve">Some neuroendocrine tumour cells have </w:t>
            </w:r>
            <w:r w:rsidR="002301AC">
              <w:t xml:space="preserve">specific spots </w:t>
            </w:r>
            <w:r w:rsidR="00D20995">
              <w:t>on the</w:t>
            </w:r>
            <w:r w:rsidR="002301AC">
              <w:t>ir</w:t>
            </w:r>
            <w:r w:rsidR="00D20995">
              <w:t xml:space="preserve"> surface</w:t>
            </w:r>
            <w:r w:rsidR="00E32F5B">
              <w:t xml:space="preserve"> </w:t>
            </w:r>
            <w:r w:rsidR="00B2341B">
              <w:t>called somatostatin receptors</w:t>
            </w:r>
            <w:r w:rsidR="00734518">
              <w:t>.</w:t>
            </w:r>
            <w:r w:rsidR="00ED3EAD">
              <w:t xml:space="preserve"> </w:t>
            </w:r>
            <w:r w:rsidR="00891964">
              <w:t>The receptors</w:t>
            </w:r>
            <w:r w:rsidR="00ED3EAD">
              <w:t xml:space="preserve"> </w:t>
            </w:r>
            <w:r w:rsidR="000D0437">
              <w:t>can be detected by a special type of scan</w:t>
            </w:r>
            <w:r w:rsidR="00980447">
              <w:t xml:space="preserve"> (PET/CT scan)</w:t>
            </w:r>
            <w:r w:rsidR="000D0437">
              <w:t xml:space="preserve">. </w:t>
            </w:r>
            <w:r>
              <w:t xml:space="preserve">If </w:t>
            </w:r>
            <w:r w:rsidR="00CB3589">
              <w:t xml:space="preserve">the scan finds that </w:t>
            </w:r>
            <w:r>
              <w:t xml:space="preserve">a patient’s tumour cells are found to have a high number of somatostatin receptors, they may be eligible for </w:t>
            </w:r>
            <w:r w:rsidR="00D4247C">
              <w:t xml:space="preserve">a new </w:t>
            </w:r>
            <w:r w:rsidR="004F1A8D">
              <w:t>treatment</w:t>
            </w:r>
            <w:r w:rsidR="00D4247C">
              <w:t xml:space="preserve"> </w:t>
            </w:r>
            <w:r w:rsidR="00CA3E20">
              <w:t>containing</w:t>
            </w:r>
            <w:r w:rsidR="00D4247C">
              <w:t xml:space="preserve"> </w:t>
            </w:r>
            <w:r w:rsidR="00A849E0">
              <w:t>Lutetium</w:t>
            </w:r>
            <w:r w:rsidR="00510670">
              <w:t>.</w:t>
            </w:r>
            <w:r w:rsidR="00D4247C">
              <w:t xml:space="preserve"> </w:t>
            </w:r>
            <w:r w:rsidR="00510670">
              <w:t>Lutetium is a radioactive chemical</w:t>
            </w:r>
            <w:r w:rsidR="004F1A8D">
              <w:t>. The treatment containing Lutetium</w:t>
            </w:r>
            <w:r w:rsidR="002F5DEB">
              <w:t xml:space="preserve"> is designed to stick to the somatostatin receptor</w:t>
            </w:r>
            <w:r w:rsidR="00025D48">
              <w:t xml:space="preserve">s on the surface of the </w:t>
            </w:r>
            <w:r w:rsidR="00F95642">
              <w:t xml:space="preserve">tumour cells. </w:t>
            </w:r>
            <w:r w:rsidR="00181586">
              <w:t xml:space="preserve">The Lutetium is then able to enter the tumour cell and kill it. </w:t>
            </w:r>
            <w:r w:rsidR="00F06FA9">
              <w:t xml:space="preserve">The number </w:t>
            </w:r>
            <w:r w:rsidR="00181586">
              <w:t xml:space="preserve">of doses of </w:t>
            </w:r>
            <w:r w:rsidR="00567892">
              <w:t xml:space="preserve">the treatment </w:t>
            </w:r>
            <w:r w:rsidR="00F06FA9">
              <w:t>a person needs depends on the grade</w:t>
            </w:r>
            <w:r w:rsidR="00C272FB">
              <w:t xml:space="preserve"> or severity</w:t>
            </w:r>
            <w:r w:rsidR="00F06FA9">
              <w:t xml:space="preserve"> of their cancer.</w:t>
            </w:r>
          </w:p>
          <w:p w14:paraId="68D55156" w14:textId="77B17863" w:rsidR="00743E73" w:rsidRDefault="0050594A" w:rsidP="003A6697">
            <w:r>
              <w:t xml:space="preserve">The applicant’s product </w:t>
            </w:r>
            <w:r w:rsidR="0055300F">
              <w:t xml:space="preserve">is called </w:t>
            </w:r>
            <w:r w:rsidR="0055300F" w:rsidRPr="6A680B3E">
              <w:rPr>
                <w:vertAlign w:val="superscript"/>
              </w:rPr>
              <w:t>177</w:t>
            </w:r>
            <w:r w:rsidR="0055300F">
              <w:t>Lu</w:t>
            </w:r>
            <w:r w:rsidR="00416AA0">
              <w:t>tetium</w:t>
            </w:r>
            <w:r w:rsidR="0055300F">
              <w:t>(</w:t>
            </w:r>
            <w:proofErr w:type="spellStart"/>
            <w:r w:rsidR="0055300F">
              <w:t>nca</w:t>
            </w:r>
            <w:proofErr w:type="spellEnd"/>
            <w:r w:rsidR="0055300F">
              <w:t>)</w:t>
            </w:r>
            <w:r w:rsidR="00AF1BAC">
              <w:t>-</w:t>
            </w:r>
            <w:r w:rsidR="0055300F">
              <w:t>DOTA</w:t>
            </w:r>
            <w:r w:rsidR="00AF1BAC">
              <w:t>-</w:t>
            </w:r>
            <w:proofErr w:type="spellStart"/>
            <w:r w:rsidR="0055300F">
              <w:t>octreotate</w:t>
            </w:r>
            <w:proofErr w:type="spellEnd"/>
            <w:r w:rsidR="00416AA0">
              <w:t>. After the Lutetium</w:t>
            </w:r>
            <w:r w:rsidR="07DC0E82">
              <w:t xml:space="preserve"> in the product name,</w:t>
            </w:r>
            <w:r w:rsidR="00416AA0">
              <w:t xml:space="preserve"> you may notice </w:t>
            </w:r>
            <w:r w:rsidR="0066795D">
              <w:t>the wording ‘(</w:t>
            </w:r>
            <w:proofErr w:type="spellStart"/>
            <w:r w:rsidR="0066795D">
              <w:t>nca</w:t>
            </w:r>
            <w:proofErr w:type="spellEnd"/>
            <w:r w:rsidR="0066795D">
              <w:t>)’.</w:t>
            </w:r>
            <w:r w:rsidR="0055300F">
              <w:t xml:space="preserve"> </w:t>
            </w:r>
            <w:r w:rsidR="0066795D">
              <w:t>This</w:t>
            </w:r>
            <w:r w:rsidR="00575612">
              <w:t xml:space="preserve"> </w:t>
            </w:r>
            <w:r w:rsidR="003A1B8B">
              <w:t>is an abbreviation for</w:t>
            </w:r>
            <w:r w:rsidR="00575612">
              <w:t xml:space="preserve"> </w:t>
            </w:r>
            <w:r w:rsidR="003A6697">
              <w:t>“</w:t>
            </w:r>
            <w:r w:rsidR="003B704C">
              <w:t>n</w:t>
            </w:r>
            <w:r w:rsidR="003A6697">
              <w:t>o carrier added”</w:t>
            </w:r>
            <w:r w:rsidR="003A1B8B">
              <w:t xml:space="preserve"> which</w:t>
            </w:r>
            <w:r w:rsidR="003A6697">
              <w:t xml:space="preserve"> means that the </w:t>
            </w:r>
            <w:r w:rsidR="003458D3">
              <w:t xml:space="preserve">treatment </w:t>
            </w:r>
            <w:r w:rsidR="003A6697">
              <w:t>is free from byproducts of the production process</w:t>
            </w:r>
            <w:r w:rsidR="007F586F">
              <w:t>. However,</w:t>
            </w:r>
            <w:r w:rsidR="003A6697">
              <w:t xml:space="preserve"> whether a carrier is added</w:t>
            </w:r>
            <w:r w:rsidR="004F5068">
              <w:t xml:space="preserve"> or not</w:t>
            </w:r>
            <w:r w:rsidR="003A6697">
              <w:t xml:space="preserve"> does not affect how well the treatment works.</w:t>
            </w:r>
          </w:p>
          <w:p w14:paraId="26BFFC8F" w14:textId="227BCCFC" w:rsidR="003A6697" w:rsidRDefault="003A6697" w:rsidP="003A6697">
            <w:r w:rsidRPr="00366BB8">
              <w:rPr>
                <w:vertAlign w:val="superscript"/>
              </w:rPr>
              <w:t>177</w:t>
            </w:r>
            <w:r>
              <w:t>Lu-DOTA-</w:t>
            </w:r>
            <w:r w:rsidRPr="0056428C">
              <w:t>octreotate</w:t>
            </w:r>
            <w:r>
              <w:t xml:space="preserve"> treatment has been used in Australia for the past 10 years. It is currently funded for certain people through the Department of Veterans’ Affairs, or</w:t>
            </w:r>
            <w:r w:rsidR="00FC4098">
              <w:t xml:space="preserve"> other people</w:t>
            </w:r>
            <w:r>
              <w:t xml:space="preserve"> pa</w:t>
            </w:r>
            <w:r w:rsidR="00FC4098">
              <w:t>y</w:t>
            </w:r>
            <w:r>
              <w:t xml:space="preserve"> for</w:t>
            </w:r>
            <w:r w:rsidR="00FC4098">
              <w:t xml:space="preserve"> it</w:t>
            </w:r>
            <w:r>
              <w:t xml:space="preserve"> </w:t>
            </w:r>
            <w:r w:rsidR="00FC4098">
              <w:t>privately</w:t>
            </w:r>
            <w:r>
              <w:t>.</w:t>
            </w:r>
          </w:p>
          <w:p w14:paraId="0B8B5299" w14:textId="72AEC054" w:rsidR="000B228E" w:rsidRPr="003A6697" w:rsidRDefault="003A6697" w:rsidP="003A6697">
            <w:r>
              <w:t xml:space="preserve">MSAC acknowledged the high clinical need for this therapy, and that it has been used for several years in Australia and is considered standard of care for patients with neuroendocrine tumours. However, all the evidence presented in the application was for </w:t>
            </w:r>
            <w:r w:rsidRPr="005C0139">
              <w:rPr>
                <w:vertAlign w:val="superscript"/>
              </w:rPr>
              <w:t>177</w:t>
            </w:r>
            <w:r>
              <w:t xml:space="preserve">Lu-DOTATATE, not </w:t>
            </w:r>
            <w:r w:rsidRPr="00366BB8">
              <w:rPr>
                <w:vertAlign w:val="superscript"/>
              </w:rPr>
              <w:t>177</w:t>
            </w:r>
            <w:r>
              <w:t>Lu-DOTA-</w:t>
            </w:r>
            <w:r w:rsidRPr="0056428C">
              <w:t>octreotate</w:t>
            </w:r>
            <w:r w:rsidR="002E467C">
              <w:t xml:space="preserve"> (the applicant’s product)</w:t>
            </w:r>
            <w:r>
              <w:t>. Although the evidence suggested that</w:t>
            </w:r>
            <w:r w:rsidR="00416719">
              <w:t xml:space="preserve"> </w:t>
            </w:r>
            <w:r w:rsidR="00416719" w:rsidRPr="00366BB8">
              <w:rPr>
                <w:vertAlign w:val="superscript"/>
              </w:rPr>
              <w:t>177</w:t>
            </w:r>
            <w:r w:rsidR="00416719">
              <w:t>Lu-DOTA-</w:t>
            </w:r>
            <w:r w:rsidR="00416719" w:rsidRPr="0056428C">
              <w:t>octreotate</w:t>
            </w:r>
            <w:r>
              <w:t xml:space="preserve"> is more effective and just as safe as other treatments and is good value for money,</w:t>
            </w:r>
            <w:r w:rsidR="00596876">
              <w:t xml:space="preserve"> this </w:t>
            </w:r>
            <w:proofErr w:type="gramStart"/>
            <w:r w:rsidR="00596876">
              <w:t>was based on the assumption</w:t>
            </w:r>
            <w:proofErr w:type="gramEnd"/>
            <w:r w:rsidR="00596876">
              <w:t xml:space="preserve"> that</w:t>
            </w:r>
            <w:r w:rsidR="0091484C">
              <w:t xml:space="preserve"> </w:t>
            </w:r>
            <w:r w:rsidR="0091484C" w:rsidRPr="00366BB8">
              <w:rPr>
                <w:vertAlign w:val="superscript"/>
              </w:rPr>
              <w:t>177</w:t>
            </w:r>
            <w:r w:rsidR="0091484C">
              <w:t>Lu-DOTA-</w:t>
            </w:r>
            <w:r w:rsidR="0091484C" w:rsidRPr="0056428C">
              <w:t>octreotate</w:t>
            </w:r>
            <w:r w:rsidR="0091484C">
              <w:t xml:space="preserve"> was chemically similar to </w:t>
            </w:r>
            <w:r w:rsidR="0091484C" w:rsidRPr="005C0139">
              <w:rPr>
                <w:vertAlign w:val="superscript"/>
              </w:rPr>
              <w:t>177</w:t>
            </w:r>
            <w:r w:rsidR="0091484C">
              <w:t xml:space="preserve">Lu-DOTATATE or has the same impacts in terms of the uptake and delivery of Lutetium in the human body and </w:t>
            </w:r>
            <w:r>
              <w:t>MSAC could not be sure that</w:t>
            </w:r>
            <w:r w:rsidR="0091484C">
              <w:t xml:space="preserve"> this assumption was warranted</w:t>
            </w:r>
            <w:r w:rsidR="008C37B2">
              <w:t>.</w:t>
            </w:r>
            <w:r w:rsidR="00EE2E65">
              <w:t xml:space="preserve"> </w:t>
            </w:r>
            <w:r w:rsidR="00280D1D">
              <w:t xml:space="preserve">MSAC wanted to be certain that </w:t>
            </w:r>
            <w:r w:rsidR="000B73C4" w:rsidRPr="005C0139">
              <w:rPr>
                <w:vertAlign w:val="superscript"/>
              </w:rPr>
              <w:t>177</w:t>
            </w:r>
            <w:r w:rsidR="000B73C4">
              <w:t>Lu-DOTATATE</w:t>
            </w:r>
            <w:r w:rsidR="000B73C4" w:rsidDel="00E447FB">
              <w:t xml:space="preserve"> </w:t>
            </w:r>
            <w:r w:rsidR="000B73C4">
              <w:t xml:space="preserve">and </w:t>
            </w:r>
            <w:r w:rsidR="00C73B3C" w:rsidRPr="00366BB8">
              <w:rPr>
                <w:vertAlign w:val="superscript"/>
              </w:rPr>
              <w:t>177</w:t>
            </w:r>
            <w:r w:rsidR="00C73B3C">
              <w:t>Lu-DOTA-</w:t>
            </w:r>
            <w:r w:rsidR="00C73B3C" w:rsidRPr="0056428C">
              <w:t>octreotate</w:t>
            </w:r>
            <w:r w:rsidR="00C73B3C">
              <w:t xml:space="preserve"> </w:t>
            </w:r>
            <w:r w:rsidR="000B73C4">
              <w:t xml:space="preserve">are chemically similar and/or have the same effects on the body </w:t>
            </w:r>
            <w:r w:rsidR="00EE2E65">
              <w:t xml:space="preserve">before it can be assumed that </w:t>
            </w:r>
            <w:r w:rsidR="007711B3">
              <w:t xml:space="preserve">the evidence presented for </w:t>
            </w:r>
            <w:r w:rsidR="007711B3" w:rsidRPr="005C0139">
              <w:rPr>
                <w:vertAlign w:val="superscript"/>
              </w:rPr>
              <w:t>177</w:t>
            </w:r>
            <w:r w:rsidR="007711B3">
              <w:t xml:space="preserve">Lu-DOTATATE is also applicable to the </w:t>
            </w:r>
            <w:r w:rsidR="00762547">
              <w:t>applicant’s product.</w:t>
            </w:r>
            <w:r w:rsidR="007711B3">
              <w:t xml:space="preserve"> </w:t>
            </w:r>
            <w:r>
              <w:t xml:space="preserve">Therefore, MSAC could not </w:t>
            </w:r>
            <w:proofErr w:type="gramStart"/>
            <w:r>
              <w:t>make a decision</w:t>
            </w:r>
            <w:proofErr w:type="gramEnd"/>
            <w:r>
              <w:t xml:space="preserve"> without first seeking advice from an expert such as a radiochemist. Also, MSAC noted that </w:t>
            </w:r>
            <w:r w:rsidR="004E6644">
              <w:t>some studies</w:t>
            </w:r>
            <w:r w:rsidR="00055A42">
              <w:t xml:space="preserve"> had been</w:t>
            </w:r>
            <w:r w:rsidR="004E6644">
              <w:t xml:space="preserve"> omitted from the assessment report</w:t>
            </w:r>
            <w:r w:rsidR="00055A42">
              <w:t>. This</w:t>
            </w:r>
            <w:r w:rsidR="004E6644">
              <w:t xml:space="preserve"> </w:t>
            </w:r>
            <w:r w:rsidR="00C1139F">
              <w:t>includ</w:t>
            </w:r>
            <w:r w:rsidR="00055A42">
              <w:t>ed</w:t>
            </w:r>
            <w:r w:rsidR="00C1139F">
              <w:t xml:space="preserve"> studies which were </w:t>
            </w:r>
            <w:r w:rsidR="00076A2E">
              <w:t>focused</w:t>
            </w:r>
            <w:r w:rsidR="00C1139F">
              <w:t xml:space="preserve"> </w:t>
            </w:r>
            <w:r w:rsidR="00076A2E">
              <w:t xml:space="preserve">on </w:t>
            </w:r>
            <w:r w:rsidR="00C1139F">
              <w:t xml:space="preserve">the applicant’s product rather than </w:t>
            </w:r>
            <w:r w:rsidR="00C1139F" w:rsidRPr="005C0139">
              <w:rPr>
                <w:vertAlign w:val="superscript"/>
              </w:rPr>
              <w:t>177</w:t>
            </w:r>
            <w:r w:rsidR="00C1139F">
              <w:t>Lu-DOTATATE</w:t>
            </w:r>
            <w:r>
              <w:t xml:space="preserve">, so it requested that all </w:t>
            </w:r>
            <w:r w:rsidR="00C1139F">
              <w:t xml:space="preserve">such </w:t>
            </w:r>
            <w:r>
              <w:t xml:space="preserve">evidence be included </w:t>
            </w:r>
            <w:r w:rsidR="00C1139F">
              <w:t>for consideration</w:t>
            </w:r>
            <w:r>
              <w:t xml:space="preserve"> before it made its decision.</w:t>
            </w:r>
          </w:p>
          <w:p w14:paraId="7AEC7D7D" w14:textId="77777777" w:rsidR="000B228E" w:rsidRPr="00C86E49" w:rsidRDefault="000B228E" w:rsidP="00CD47D6">
            <w:pPr>
              <w:keepNext/>
              <w:keepLines/>
              <w:outlineLvl w:val="2"/>
              <w:rPr>
                <w:rFonts w:ascii="Franklin Gothic Medium" w:eastAsia="Times New Roman" w:hAnsi="Franklin Gothic Medium" w:cs="Times New Roman"/>
                <w:sz w:val="24"/>
                <w:szCs w:val="24"/>
              </w:rPr>
            </w:pPr>
            <w:r w:rsidRPr="00C86E49">
              <w:rPr>
                <w:rFonts w:ascii="Franklin Gothic Medium" w:eastAsia="Times New Roman" w:hAnsi="Franklin Gothic Medium" w:cs="Times New Roman"/>
                <w:sz w:val="24"/>
                <w:szCs w:val="24"/>
              </w:rPr>
              <w:t xml:space="preserve">MSAC’s advice to the </w:t>
            </w:r>
            <w:proofErr w:type="gramStart"/>
            <w:r w:rsidRPr="00C86E49">
              <w:rPr>
                <w:rFonts w:ascii="Franklin Gothic Medium" w:eastAsia="Times New Roman" w:hAnsi="Franklin Gothic Medium" w:cs="Times New Roman"/>
                <w:sz w:val="24"/>
                <w:szCs w:val="24"/>
              </w:rPr>
              <w:t>Commonwealth Minister</w:t>
            </w:r>
            <w:proofErr w:type="gramEnd"/>
            <w:r w:rsidRPr="00C86E49">
              <w:rPr>
                <w:rFonts w:ascii="Franklin Gothic Medium" w:eastAsia="Times New Roman" w:hAnsi="Franklin Gothic Medium" w:cs="Times New Roman"/>
                <w:sz w:val="24"/>
                <w:szCs w:val="24"/>
              </w:rPr>
              <w:t xml:space="preserve"> for Health and Aged Care</w:t>
            </w:r>
          </w:p>
          <w:p w14:paraId="34E4A916" w14:textId="758FD3DE" w:rsidR="009B15DB" w:rsidRDefault="009B15DB" w:rsidP="009B15DB">
            <w:r w:rsidRPr="00AF46D8">
              <w:t xml:space="preserve">MSAC deferred its </w:t>
            </w:r>
            <w:r w:rsidR="00FB706D">
              <w:t xml:space="preserve">advice </w:t>
            </w:r>
            <w:r>
              <w:t xml:space="preserve">on MBS listing of </w:t>
            </w:r>
            <w:r w:rsidRPr="00366BB8">
              <w:rPr>
                <w:vertAlign w:val="superscript"/>
              </w:rPr>
              <w:t>177</w:t>
            </w:r>
            <w:r>
              <w:t>Lu (</w:t>
            </w:r>
            <w:proofErr w:type="spellStart"/>
            <w:r>
              <w:t>nca</w:t>
            </w:r>
            <w:proofErr w:type="spellEnd"/>
            <w:r>
              <w:t>)-DOTA-</w:t>
            </w:r>
            <w:proofErr w:type="spellStart"/>
            <w:r>
              <w:t>octreotate</w:t>
            </w:r>
            <w:proofErr w:type="spellEnd"/>
            <w:r>
              <w:t xml:space="preserve"> treatment for advanced neuroendocrine neoplasms with high somatostatin receptor expression. The evidence presented was for another product, </w:t>
            </w:r>
            <w:r w:rsidRPr="005C0139">
              <w:rPr>
                <w:vertAlign w:val="superscript"/>
              </w:rPr>
              <w:t>177</w:t>
            </w:r>
            <w:r>
              <w:t xml:space="preserve">Lu-DOTATATE. Although </w:t>
            </w:r>
            <w:r w:rsidR="00B330A5" w:rsidRPr="00366BB8">
              <w:rPr>
                <w:vertAlign w:val="superscript"/>
              </w:rPr>
              <w:t>177</w:t>
            </w:r>
            <w:r w:rsidR="00B330A5">
              <w:t>Lu-DOTA-</w:t>
            </w:r>
            <w:r w:rsidR="00B330A5" w:rsidRPr="0056428C">
              <w:t>octreotate</w:t>
            </w:r>
            <w:r w:rsidR="00B330A5">
              <w:t xml:space="preserve"> </w:t>
            </w:r>
            <w:r>
              <w:t>appeared to be more effective and just as safe as other treatments and has good value for money,</w:t>
            </w:r>
            <w:r w:rsidR="00B330A5">
              <w:t xml:space="preserve"> this was based</w:t>
            </w:r>
            <w:r>
              <w:t xml:space="preserve"> </w:t>
            </w:r>
            <w:r w:rsidR="00B330A5">
              <w:t xml:space="preserve">on the assumption that </w:t>
            </w:r>
            <w:r>
              <w:t xml:space="preserve">it is </w:t>
            </w:r>
            <w:r w:rsidR="004721DD">
              <w:t xml:space="preserve">chemically similar </w:t>
            </w:r>
            <w:r w:rsidR="004D3105">
              <w:t>and/</w:t>
            </w:r>
            <w:r w:rsidR="004721DD">
              <w:t>or has the same</w:t>
            </w:r>
            <w:r w:rsidR="004D3105">
              <w:t xml:space="preserve"> effects on the body</w:t>
            </w:r>
            <w:r>
              <w:t xml:space="preserve"> as </w:t>
            </w:r>
            <w:r w:rsidR="001C4F6C" w:rsidRPr="005C0139">
              <w:rPr>
                <w:vertAlign w:val="superscript"/>
              </w:rPr>
              <w:t>177</w:t>
            </w:r>
            <w:r w:rsidR="001C4F6C">
              <w:t>Lu-</w:t>
            </w:r>
            <w:proofErr w:type="gramStart"/>
            <w:r w:rsidR="001C4F6C">
              <w:t>DOTATATE</w:t>
            </w:r>
            <w:r w:rsidR="001C4F6C" w:rsidRPr="00366BB8" w:rsidDel="001C4F6C">
              <w:rPr>
                <w:vertAlign w:val="superscript"/>
              </w:rPr>
              <w:t xml:space="preserve"> </w:t>
            </w:r>
            <w:r>
              <w:t>.</w:t>
            </w:r>
            <w:proofErr w:type="gramEnd"/>
            <w:r>
              <w:t xml:space="preserve"> Therefore, MSAC could not </w:t>
            </w:r>
            <w:proofErr w:type="gramStart"/>
            <w:r>
              <w:t>make a decision</w:t>
            </w:r>
            <w:proofErr w:type="gramEnd"/>
            <w:r>
              <w:t xml:space="preserve"> without </w:t>
            </w:r>
            <w:r>
              <w:lastRenderedPageBreak/>
              <w:t>first seeking advice from a radiochemist. MSAC also requested that all published studies be included in the application.</w:t>
            </w:r>
          </w:p>
          <w:p w14:paraId="5D97104E" w14:textId="0D4DED9B" w:rsidR="000B228E" w:rsidRPr="00C86E49" w:rsidRDefault="009B15DB" w:rsidP="009B15DB">
            <w:pPr>
              <w:spacing w:after="120"/>
              <w:rPr>
                <w:rFonts w:eastAsia="Calibri" w:cs="Times New Roman"/>
              </w:rPr>
            </w:pPr>
            <w:r>
              <w:t xml:space="preserve">If the products are found to be </w:t>
            </w:r>
            <w:r w:rsidR="004721DD">
              <w:t xml:space="preserve">chemically similar </w:t>
            </w:r>
            <w:r w:rsidR="003B30F2">
              <w:t>and/</w:t>
            </w:r>
            <w:r w:rsidR="004721DD">
              <w:t xml:space="preserve">or have </w:t>
            </w:r>
            <w:r w:rsidR="0086546B">
              <w:t>the same</w:t>
            </w:r>
            <w:r w:rsidR="003B30F2">
              <w:t xml:space="preserve"> effects on the body </w:t>
            </w:r>
            <w:r>
              <w:t>and MSAC approves MBS listing, MSAC advised that uptake and usage should be reviewed after 12 months. Patient out-of-pocket costs should also be monitored.</w:t>
            </w:r>
          </w:p>
        </w:tc>
      </w:tr>
    </w:tbl>
    <w:p w14:paraId="0D211CC7" w14:textId="77777777" w:rsidR="000B228E" w:rsidRPr="00C86E49" w:rsidRDefault="000B228E" w:rsidP="000B228E">
      <w:pPr>
        <w:pStyle w:val="Heading2"/>
        <w:numPr>
          <w:ilvl w:val="1"/>
          <w:numId w:val="0"/>
        </w:numPr>
      </w:pPr>
      <w:r w:rsidRPr="00C86E49">
        <w:lastRenderedPageBreak/>
        <w:t>3.</w:t>
      </w:r>
      <w:r w:rsidRPr="00C86E49">
        <w:tab/>
        <w:t>Summary of consideration and rationale for MSAC’s advice</w:t>
      </w:r>
    </w:p>
    <w:p w14:paraId="4F5439D6" w14:textId="1C515834" w:rsidR="00C561D7" w:rsidRDefault="00C561D7" w:rsidP="00C561D7">
      <w:r w:rsidRPr="00516D4E">
        <w:t>MSAC</w:t>
      </w:r>
      <w:r>
        <w:t xml:space="preserve"> noted that this application from Applied Molecular Therapies Pty Ltd was requesting Medicare Benefits Schedule (MBS) listing of </w:t>
      </w:r>
      <w:r w:rsidRPr="00963BCF">
        <w:rPr>
          <w:vertAlign w:val="superscript"/>
        </w:rPr>
        <w:t>177</w:t>
      </w:r>
      <w:r>
        <w:t>Lutetium (no carrier added)-DOTA-</w:t>
      </w:r>
      <w:proofErr w:type="spellStart"/>
      <w:r>
        <w:t>octreotate</w:t>
      </w:r>
      <w:proofErr w:type="spellEnd"/>
      <w:r>
        <w:t xml:space="preserve"> (</w:t>
      </w:r>
      <w:r w:rsidRPr="00366BB8">
        <w:rPr>
          <w:vertAlign w:val="superscript"/>
        </w:rPr>
        <w:t>177</w:t>
      </w:r>
      <w:r>
        <w:t>Lu (</w:t>
      </w:r>
      <w:proofErr w:type="spellStart"/>
      <w:r>
        <w:t>nca</w:t>
      </w:r>
      <w:proofErr w:type="spellEnd"/>
      <w:r>
        <w:t>)-DOTA-</w:t>
      </w:r>
      <w:proofErr w:type="spellStart"/>
      <w:r>
        <w:t>octreotate</w:t>
      </w:r>
      <w:proofErr w:type="spellEnd"/>
      <w:r>
        <w:t>) for the treatment of advanced neuroendocrine neoplasms (NENs) with high somatostatin receptor (H-SSTR) expression. The application was also requesting amendment of existing MBS item 61647 (</w:t>
      </w:r>
      <w:r w:rsidRPr="00A836D3">
        <w:rPr>
          <w:vertAlign w:val="superscript"/>
        </w:rPr>
        <w:t>68</w:t>
      </w:r>
      <w:r>
        <w:t>Gallium [Ga]-DOTA-octreotate SSTR positron emission tomography [PET] / computed tomography [CT]) to determine eligibility for therapy and/or to monitor response.</w:t>
      </w:r>
    </w:p>
    <w:p w14:paraId="25720FF2" w14:textId="68C65901" w:rsidR="00C561D7" w:rsidRDefault="00C561D7" w:rsidP="00C561D7">
      <w:r>
        <w:t xml:space="preserve">MSAC noted that NENs are a heterogenous tumour type with varied behaviour. Some are functional and </w:t>
      </w:r>
      <w:r w:rsidR="00AA0786">
        <w:t>release</w:t>
      </w:r>
      <w:r>
        <w:t xml:space="preserve"> hormones (e.g. insulin, serotonin, catecholamines) that can be life-threatening. The only cure is surgical resection, but NENs often present late when the disease is unresectable (e.g. due to metastatic disease). </w:t>
      </w:r>
      <w:r w:rsidR="004B68C6">
        <w:t>MSAC noted that t</w:t>
      </w:r>
      <w:r w:rsidR="004A30D0" w:rsidRPr="004A30D0">
        <w:t>reatment of NENs is not “one size fits all”</w:t>
      </w:r>
      <w:r w:rsidR="004B68C6">
        <w:t xml:space="preserve"> </w:t>
      </w:r>
      <w:r w:rsidR="00777223">
        <w:t>especially regarding</w:t>
      </w:r>
      <w:r w:rsidR="004B68C6">
        <w:t xml:space="preserve"> the t</w:t>
      </w:r>
      <w:r w:rsidR="004A30D0" w:rsidRPr="004A30D0">
        <w:t>iming of different treatments</w:t>
      </w:r>
      <w:r w:rsidR="00777223">
        <w:t>.</w:t>
      </w:r>
    </w:p>
    <w:p w14:paraId="1FE63C55" w14:textId="1762B60D" w:rsidR="003B4C6F" w:rsidRDefault="00C561D7" w:rsidP="00C561D7">
      <w:r>
        <w:t>MSAC noted that consultation feedback, received from eight professional organisations and one consumer organisation, was generally supportive. The consumer feedback highlighted the strong clinical need for this therapy, due to the condition b</w:t>
      </w:r>
      <w:r w:rsidR="004A1633">
        <w:t>e</w:t>
      </w:r>
      <w:r>
        <w:t xml:space="preserve">ing rare and often diagnosed late. The treatment has been successfully performed in Australia for the past 10 years and is currently funded through the Department of Veterans’ Affairs on a case-by-case basis, while other patients pay </w:t>
      </w:r>
      <w:r w:rsidR="00892692">
        <w:t xml:space="preserve">privately </w:t>
      </w:r>
      <w:r>
        <w:t>for the service. The feedback noted that both the “no carrier added” and “carrier added” treatment options are currently being used, and that having both options subsidised would enable clinicians to manage radiopharmaceutical shortages.</w:t>
      </w:r>
      <w:r w:rsidR="00E96C86">
        <w:t xml:space="preserve"> </w:t>
      </w:r>
      <w:r w:rsidR="003B4C6F">
        <w:t>MSAC also noted and considered the consultation input from those who were not supportive of the application</w:t>
      </w:r>
      <w:r w:rsidR="0080485D">
        <w:t>. MSAC noted that Novarti</w:t>
      </w:r>
      <w:r w:rsidR="00A37278">
        <w:t xml:space="preserve">s </w:t>
      </w:r>
      <w:r w:rsidR="003848F1">
        <w:t>considered that the proposed</w:t>
      </w:r>
      <w:r w:rsidR="00CE6DEE" w:rsidRPr="00787F82">
        <w:t xml:space="preserve"> </w:t>
      </w:r>
      <w:r w:rsidR="00CE6DEE" w:rsidRPr="00DA391E">
        <w:rPr>
          <w:vertAlign w:val="superscript"/>
        </w:rPr>
        <w:t>177</w:t>
      </w:r>
      <w:r w:rsidR="00CE6DEE" w:rsidRPr="00787F82">
        <w:t>Lu</w:t>
      </w:r>
      <w:r w:rsidR="00CE6DEE">
        <w:t>-</w:t>
      </w:r>
      <w:r w:rsidR="00CE6DEE" w:rsidRPr="00787F82">
        <w:t>DOTA</w:t>
      </w:r>
      <w:r w:rsidR="00E67263">
        <w:t>-</w:t>
      </w:r>
      <w:r w:rsidR="00CE6DEE" w:rsidRPr="00787F82">
        <w:t xml:space="preserve">ctreotate and </w:t>
      </w:r>
      <w:r w:rsidR="00CE6DEE" w:rsidRPr="00DA391E">
        <w:rPr>
          <w:vertAlign w:val="superscript"/>
        </w:rPr>
        <w:t>177</w:t>
      </w:r>
      <w:r w:rsidR="00CE6DEE" w:rsidRPr="00787F82">
        <w:t>Lu-DOTATATE (</w:t>
      </w:r>
      <w:proofErr w:type="spellStart"/>
      <w:r w:rsidR="00CE6DEE" w:rsidRPr="00787F82">
        <w:t>Lutathera</w:t>
      </w:r>
      <w:proofErr w:type="spellEnd"/>
      <w:r w:rsidR="00CE6DEE" w:rsidRPr="00787F82">
        <w:t>®)</w:t>
      </w:r>
      <w:r w:rsidR="00CE6DEE">
        <w:t xml:space="preserve"> may be two different drug products and there is no evidence to support the therapeutic equivalence between the two products. </w:t>
      </w:r>
      <w:r w:rsidR="00495F01">
        <w:t>No</w:t>
      </w:r>
      <w:r w:rsidR="00B83FB1">
        <w:t>v</w:t>
      </w:r>
      <w:r w:rsidR="00495F01">
        <w:t xml:space="preserve">artis also noted that </w:t>
      </w:r>
      <w:r w:rsidR="00B83FB1">
        <w:t>its</w:t>
      </w:r>
      <w:r w:rsidR="00A550C3">
        <w:t xml:space="preserve"> </w:t>
      </w:r>
      <w:r w:rsidR="00B83FB1" w:rsidRPr="00DA391E">
        <w:rPr>
          <w:vertAlign w:val="superscript"/>
        </w:rPr>
        <w:t>177</w:t>
      </w:r>
      <w:r w:rsidR="00B83FB1" w:rsidRPr="00AF0CE1">
        <w:t>Lu-DOTA</w:t>
      </w:r>
      <w:r w:rsidR="00B83FB1">
        <w:t>TA</w:t>
      </w:r>
      <w:r w:rsidR="00B83FB1" w:rsidRPr="00AF0CE1">
        <w:t>TE</w:t>
      </w:r>
      <w:r w:rsidR="00B83FB1">
        <w:t xml:space="preserve"> drug product </w:t>
      </w:r>
      <w:r w:rsidR="00B83FB1" w:rsidRPr="00AF0CE1">
        <w:t>is protected by a granted patent.</w:t>
      </w:r>
    </w:p>
    <w:p w14:paraId="1153FEDA" w14:textId="3048FF67" w:rsidR="00883C1B" w:rsidRDefault="00883C1B" w:rsidP="00BD172E">
      <w:r>
        <w:t xml:space="preserve">MSAC noted the patent-related issues </w:t>
      </w:r>
      <w:r w:rsidR="00E56039" w:rsidRPr="00E56039">
        <w:t>raised during the consultation process</w:t>
      </w:r>
      <w:r>
        <w:t>. MSAC noted that it was not within its Terms of Reference to reach a conclusion about the extent of the patent or the rights under it</w:t>
      </w:r>
      <w:r w:rsidR="00BD172E">
        <w:t xml:space="preserve"> and concluded that these matters would require consideration by government and in particular the Minister prior to and </w:t>
      </w:r>
      <w:proofErr w:type="gramStart"/>
      <w:r w:rsidR="00BD172E">
        <w:t>in the course of</w:t>
      </w:r>
      <w:proofErr w:type="gramEnd"/>
      <w:r w:rsidR="00BD172E">
        <w:t xml:space="preserve"> any decision in relation to whether to list new MBS items as a result of this application. Accordingly, MSAC conducted its analysis in relation to the comparative safety, clinical effectiveness, </w:t>
      </w:r>
      <w:proofErr w:type="gramStart"/>
      <w:r w:rsidR="00BD172E">
        <w:t>cost-effectiveness</w:t>
      </w:r>
      <w:proofErr w:type="gramEnd"/>
      <w:r w:rsidR="00BD172E">
        <w:t xml:space="preserve"> and total cost of the applicant’s product on the basis of the information and evidence before it, and on the premise that providers will have a legal right to use it in Australia if the application is approved.</w:t>
      </w:r>
    </w:p>
    <w:p w14:paraId="11FE98A7" w14:textId="27F0A76A" w:rsidR="00C561D7" w:rsidRDefault="00C561D7" w:rsidP="00C561D7">
      <w:r>
        <w:t xml:space="preserve">MSAC noted the clinical management algorithm. The proposed population </w:t>
      </w:r>
      <w:r w:rsidR="00905979">
        <w:t>is</w:t>
      </w:r>
      <w:r w:rsidR="0092040C">
        <w:t xml:space="preserve"> </w:t>
      </w:r>
      <w:r>
        <w:t xml:space="preserve">those with histologically confirmed, locally advanced or metastatic inoperable NENs with documented disease progression or uncontrolled NEN-related symptoms despite standard therapy. Patients first undergo whole-body </w:t>
      </w:r>
      <w:r w:rsidRPr="00A836D3">
        <w:rPr>
          <w:vertAlign w:val="superscript"/>
        </w:rPr>
        <w:t>68</w:t>
      </w:r>
      <w:r>
        <w:t xml:space="preserve">Ga-DOTA-octreotate SSTR PET/CT to determine if there is high SSTR expression. Patients with a positive result (i.e. modified </w:t>
      </w:r>
      <w:proofErr w:type="spellStart"/>
      <w:r>
        <w:t>Krenning</w:t>
      </w:r>
      <w:proofErr w:type="spellEnd"/>
      <w:r>
        <w:t xml:space="preserve"> score &gt;3) are potential candidates for peptide receptor radionuclide therapy (PRRT)</w:t>
      </w:r>
      <w:r w:rsidR="007576ED">
        <w:t xml:space="preserve">, which is proposed to be </w:t>
      </w:r>
      <w:r w:rsidR="007576ED" w:rsidRPr="00366BB8">
        <w:rPr>
          <w:vertAlign w:val="superscript"/>
        </w:rPr>
        <w:t>177</w:t>
      </w:r>
      <w:r w:rsidR="007576ED">
        <w:t>Lu (</w:t>
      </w:r>
      <w:proofErr w:type="spellStart"/>
      <w:r w:rsidR="007576ED">
        <w:t>nca</w:t>
      </w:r>
      <w:proofErr w:type="spellEnd"/>
      <w:r w:rsidR="007576ED">
        <w:t>)-</w:t>
      </w:r>
      <w:r w:rsidR="007576ED">
        <w:lastRenderedPageBreak/>
        <w:t>DOTA-</w:t>
      </w:r>
      <w:proofErr w:type="spellStart"/>
      <w:r w:rsidR="007576ED">
        <w:t>octreotate</w:t>
      </w:r>
      <w:proofErr w:type="spellEnd"/>
      <w:r>
        <w:t>. Approximately 30% of patients require an additional FDG PET/CT scan (</w:t>
      </w:r>
      <w:r w:rsidR="00DF468A">
        <w:t xml:space="preserve">already </w:t>
      </w:r>
      <w:r>
        <w:t xml:space="preserve">covered by MBS item 61612) to assess for concordance of lesions with the first scan. Discordance </w:t>
      </w:r>
      <w:r w:rsidR="00534304">
        <w:t>indicates a poorer</w:t>
      </w:r>
      <w:r>
        <w:t xml:space="preserve"> prognosis and </w:t>
      </w:r>
      <w:r w:rsidR="001E7766">
        <w:t xml:space="preserve">hence </w:t>
      </w:r>
      <w:r>
        <w:t>that the patient is unsuitable for PRRT.</w:t>
      </w:r>
    </w:p>
    <w:p w14:paraId="10918657" w14:textId="38AA0C52" w:rsidR="00C561D7" w:rsidRDefault="00C561D7" w:rsidP="00C561D7">
      <w:r>
        <w:t>MSAC noted that access to PET services</w:t>
      </w:r>
      <w:r w:rsidR="001614AE">
        <w:t xml:space="preserve"> in Australia</w:t>
      </w:r>
      <w:r>
        <w:t xml:space="preserve"> is limited based on the location of the PET machines. Most PRRT is </w:t>
      </w:r>
      <w:r w:rsidR="00DF468A">
        <w:t xml:space="preserve">currently </w:t>
      </w:r>
      <w:r>
        <w:t>administered in public hospitals, and nearly all state</w:t>
      </w:r>
      <w:r w:rsidR="00A87478">
        <w:t>s</w:t>
      </w:r>
      <w:r>
        <w:t xml:space="preserve"> and territories can provide PRRT to patients with NENs. The exception is the Northern Territory</w:t>
      </w:r>
      <w:r w:rsidR="0022045E">
        <w:t xml:space="preserve"> (NT)</w:t>
      </w:r>
      <w:r>
        <w:t xml:space="preserve">, </w:t>
      </w:r>
      <w:r w:rsidRPr="00FC2F9F">
        <w:t xml:space="preserve">whose patients </w:t>
      </w:r>
      <w:r w:rsidR="001614AE">
        <w:t>receive treatment in</w:t>
      </w:r>
      <w:r w:rsidRPr="00FC2F9F">
        <w:t xml:space="preserve"> Adelaide</w:t>
      </w:r>
      <w:r w:rsidR="001E7766">
        <w:t>, which</w:t>
      </w:r>
      <w:r w:rsidR="00607791">
        <w:t xml:space="preserve"> </w:t>
      </w:r>
      <w:r>
        <w:t>introduce</w:t>
      </w:r>
      <w:r w:rsidR="001E7766">
        <w:t>s</w:t>
      </w:r>
      <w:r>
        <w:t xml:space="preserve"> additional costs associated with travel and accommodation</w:t>
      </w:r>
      <w:r w:rsidR="0022045E">
        <w:t xml:space="preserve"> for NT patie</w:t>
      </w:r>
      <w:r w:rsidR="00A87478">
        <w:t>nts</w:t>
      </w:r>
      <w:r>
        <w:t>. MSAC noted that there is a PET department in the Northern Territory that is expected to offer therapeutic nuclear medicine</w:t>
      </w:r>
      <w:r w:rsidR="00EA6010">
        <w:t xml:space="preserve"> </w:t>
      </w:r>
      <w:proofErr w:type="gramStart"/>
      <w:r w:rsidR="00EA6010">
        <w:t>in the near future</w:t>
      </w:r>
      <w:proofErr w:type="gramEnd"/>
      <w:r>
        <w:t>.</w:t>
      </w:r>
    </w:p>
    <w:p w14:paraId="39DB7845" w14:textId="41CCDA51" w:rsidR="00C561D7" w:rsidRDefault="00C561D7" w:rsidP="00C561D7">
      <w:r>
        <w:t xml:space="preserve">MSAC noted the comparators include long-acting somatostatin analogues (SSAs) (octreotide depot and lanreotide), target therapies (everolimus and sunitinib), chemotherapy and best supportive care (BSC). MSAC noted that </w:t>
      </w:r>
      <w:r w:rsidRPr="00366BB8">
        <w:rPr>
          <w:vertAlign w:val="superscript"/>
        </w:rPr>
        <w:t>177</w:t>
      </w:r>
      <w:r>
        <w:t>Lu (</w:t>
      </w:r>
      <w:proofErr w:type="spellStart"/>
      <w:r>
        <w:t>nca</w:t>
      </w:r>
      <w:proofErr w:type="spellEnd"/>
      <w:r>
        <w:t>)-DOTA-</w:t>
      </w:r>
      <w:proofErr w:type="spellStart"/>
      <w:r>
        <w:t>octreotate</w:t>
      </w:r>
      <w:proofErr w:type="spellEnd"/>
      <w:r>
        <w:t xml:space="preserve"> will not displace other therapies but </w:t>
      </w:r>
      <w:r w:rsidR="00EB628D">
        <w:t>will</w:t>
      </w:r>
      <w:r>
        <w:t xml:space="preserve"> be used in addition to current treatments. Thresholds for treatment are presented in the clinical algorithm, but in clinical practice, a multidisciplinary team make</w:t>
      </w:r>
      <w:r w:rsidR="00EB628D">
        <w:t>s</w:t>
      </w:r>
      <w:r>
        <w:t xml:space="preserve"> treatment decisions, due to the high complexity of individual cases.</w:t>
      </w:r>
    </w:p>
    <w:p w14:paraId="33A1BF8A" w14:textId="6EA77822" w:rsidR="00C561D7" w:rsidRDefault="00C561D7" w:rsidP="00C561D7">
      <w:r>
        <w:t>MSAC noted that the outcomes</w:t>
      </w:r>
      <w:r w:rsidR="003D55ED">
        <w:t xml:space="preserve"> for the diagnostic test</w:t>
      </w:r>
      <w:r>
        <w:t xml:space="preserve"> were based on the clinical utility / diagnostic performance of </w:t>
      </w:r>
      <w:r w:rsidRPr="00A836D3">
        <w:rPr>
          <w:vertAlign w:val="superscript"/>
        </w:rPr>
        <w:t>68</w:t>
      </w:r>
      <w:r>
        <w:t>Ga-DOTA-octreotate PET/CT +/– FDG PET/CT, but that th</w:t>
      </w:r>
      <w:r w:rsidR="008F511C">
        <w:t xml:space="preserve">ere was very limited evidence </w:t>
      </w:r>
      <w:proofErr w:type="gramStart"/>
      <w:r w:rsidR="008F511C">
        <w:t xml:space="preserve">on </w:t>
      </w:r>
      <w:r>
        <w:t xml:space="preserve"> sensitivity</w:t>
      </w:r>
      <w:proofErr w:type="gramEnd"/>
      <w:r>
        <w:t xml:space="preserve"> and specificity </w:t>
      </w:r>
      <w:r w:rsidR="00121C4F">
        <w:t xml:space="preserve">for </w:t>
      </w:r>
      <w:r w:rsidR="00EA6010">
        <w:t>either</w:t>
      </w:r>
      <w:r w:rsidR="00121C4F">
        <w:t xml:space="preserve"> of </w:t>
      </w:r>
      <w:r w:rsidR="002F1718">
        <w:t xml:space="preserve">these </w:t>
      </w:r>
      <w:r w:rsidR="00121C4F">
        <w:t xml:space="preserve">tests </w:t>
      </w:r>
      <w:r>
        <w:t>compared to the reference standard</w:t>
      </w:r>
      <w:r w:rsidR="00576586">
        <w:t>s</w:t>
      </w:r>
      <w:r w:rsidR="00EA6010">
        <w:t>,</w:t>
      </w:r>
      <w:r>
        <w:t xml:space="preserve"> and no quantitative data were presented on change in clinical outcomes. However, MSAC noted that </w:t>
      </w:r>
      <w:r w:rsidRPr="00A836D3">
        <w:rPr>
          <w:vertAlign w:val="superscript"/>
        </w:rPr>
        <w:t>68</w:t>
      </w:r>
      <w:r>
        <w:t xml:space="preserve">Ga-DOTA-octreotate PET/CT is more accurate, easier for the patient, less expensive and has a lower radiation dose than the alternative, </w:t>
      </w:r>
      <w:r w:rsidRPr="0097312B">
        <w:rPr>
          <w:vertAlign w:val="superscript"/>
        </w:rPr>
        <w:t>111</w:t>
      </w:r>
      <w:r>
        <w:t>Indium-octreotide single-photon emission CT (SPECT). Also, some trials</w:t>
      </w:r>
      <w:r w:rsidR="008C2E0A">
        <w:t>,</w:t>
      </w:r>
      <w:r>
        <w:t xml:space="preserve"> </w:t>
      </w:r>
      <w:r w:rsidR="005F210A">
        <w:t xml:space="preserve">including </w:t>
      </w:r>
      <w:r w:rsidR="00C715F1">
        <w:t>CONTROL</w:t>
      </w:r>
      <w:r w:rsidR="00625994">
        <w:t xml:space="preserve"> </w:t>
      </w:r>
      <w:r w:rsidR="00C715F1">
        <w:t>NET</w:t>
      </w:r>
      <w:r w:rsidR="00EA5CBB">
        <w:t>S</w:t>
      </w:r>
      <w:r w:rsidR="001B795F">
        <w:t xml:space="preserve"> (which was omitted from the Department Commissioned Assessment Report</w:t>
      </w:r>
      <w:r w:rsidR="007C2380">
        <w:t xml:space="preserve"> [DCAR]</w:t>
      </w:r>
      <w:r w:rsidR="001B795F">
        <w:t>)</w:t>
      </w:r>
      <w:r w:rsidR="00C715F1">
        <w:t xml:space="preserve"> </w:t>
      </w:r>
      <w:r w:rsidR="001B795F">
        <w:t xml:space="preserve">have </w:t>
      </w:r>
      <w:r>
        <w:t>use</w:t>
      </w:r>
      <w:r w:rsidR="001B795F">
        <w:t>d</w:t>
      </w:r>
      <w:r>
        <w:t xml:space="preserve"> </w:t>
      </w:r>
      <w:r w:rsidRPr="00A836D3">
        <w:rPr>
          <w:vertAlign w:val="superscript"/>
        </w:rPr>
        <w:t>68</w:t>
      </w:r>
      <w:r>
        <w:t xml:space="preserve">Ga-DOTA-octreotate PET/CT to assess suitability for therapy. Regarding change in clinical outcomes, MSAC noted that </w:t>
      </w:r>
      <w:r w:rsidRPr="00366BB8">
        <w:rPr>
          <w:vertAlign w:val="superscript"/>
        </w:rPr>
        <w:t>177</w:t>
      </w:r>
      <w:r>
        <w:t>Lu-DOTA-octreotate treatment is only given when there is good evidence that most lesions express SSTR.</w:t>
      </w:r>
    </w:p>
    <w:p w14:paraId="2CE80E07" w14:textId="4F11ED35" w:rsidR="00107AFF" w:rsidRDefault="00107AFF" w:rsidP="00107AFF">
      <w:r>
        <w:t>MSAC noted there was no evidence presented for the safety of the diagnostic test</w:t>
      </w:r>
      <w:r w:rsidR="00F218F9">
        <w:t>, but</w:t>
      </w:r>
      <w:r w:rsidR="005E4083">
        <w:t xml:space="preserve"> </w:t>
      </w:r>
      <w:r w:rsidR="00F218F9">
        <w:t>a</w:t>
      </w:r>
      <w:r>
        <w:t xml:space="preserve">s both tests </w:t>
      </w:r>
      <w:r w:rsidR="00F218F9">
        <w:t xml:space="preserve">have previously undergone MSAC assessment and </w:t>
      </w:r>
      <w:r>
        <w:t xml:space="preserve">are already listed on the MBS, their safety profile </w:t>
      </w:r>
      <w:proofErr w:type="gramStart"/>
      <w:r>
        <w:t>has  been</w:t>
      </w:r>
      <w:proofErr w:type="gramEnd"/>
      <w:r>
        <w:t xml:space="preserve"> established. </w:t>
      </w:r>
    </w:p>
    <w:p w14:paraId="2D5B5F83" w14:textId="42543192" w:rsidR="006F774B" w:rsidRDefault="00012983" w:rsidP="006F774B">
      <w:r>
        <w:t xml:space="preserve">MSAC noted that although the applicant expressed a preference for the proposed MBS listing to be for </w:t>
      </w:r>
      <w:r w:rsidRPr="007A7786">
        <w:rPr>
          <w:vertAlign w:val="superscript"/>
        </w:rPr>
        <w:t>177</w:t>
      </w:r>
      <w:r>
        <w:t>Lu (</w:t>
      </w:r>
      <w:proofErr w:type="spellStart"/>
      <w:r>
        <w:t>nca</w:t>
      </w:r>
      <w:proofErr w:type="spellEnd"/>
      <w:r>
        <w:t>)-DOTA-</w:t>
      </w:r>
      <w:proofErr w:type="spellStart"/>
      <w:r>
        <w:t>octreotate</w:t>
      </w:r>
      <w:proofErr w:type="spellEnd"/>
      <w:r>
        <w:t xml:space="preserve">, there is no difference in biodistribution between the “carrier added” and “no carrier added” versions of </w:t>
      </w:r>
      <w:r w:rsidRPr="007A7786">
        <w:rPr>
          <w:vertAlign w:val="superscript"/>
        </w:rPr>
        <w:t>177</w:t>
      </w:r>
      <w:r>
        <w:t>Lu-DOTA-octreotate</w:t>
      </w:r>
      <w:r w:rsidR="00344894">
        <w:t>. The</w:t>
      </w:r>
      <w:r>
        <w:t xml:space="preserve"> main</w:t>
      </w:r>
      <w:r w:rsidR="00344894">
        <w:t xml:space="preserve"> difference</w:t>
      </w:r>
      <w:r w:rsidR="00820FAF">
        <w:t xml:space="preserve"> in the version</w:t>
      </w:r>
      <w:r>
        <w:t xml:space="preserve"> relates to waste disposal</w:t>
      </w:r>
      <w:r w:rsidR="00820FAF">
        <w:t xml:space="preserve"> rather than biodistribution or effectiveness</w:t>
      </w:r>
      <w:r>
        <w:t>. Therefore, MSAC agreed with ESC that it is appropriate to not stipulate “no carrier added” in the item descriptor (i.e. that the descriptor be carrier agnostic)</w:t>
      </w:r>
      <w:r w:rsidR="001847AE">
        <w:t xml:space="preserve">. </w:t>
      </w:r>
      <w:r w:rsidR="00926B3A">
        <w:t>MSAC</w:t>
      </w:r>
      <w:r w:rsidR="00926B3A" w:rsidRPr="00926B3A">
        <w:t xml:space="preserve"> also </w:t>
      </w:r>
      <w:r w:rsidR="00AE2A71">
        <w:t xml:space="preserve">agreed with </w:t>
      </w:r>
      <w:r w:rsidR="00926B3A">
        <w:t>ESC</w:t>
      </w:r>
      <w:r w:rsidR="00AE2A71">
        <w:t xml:space="preserve"> that the</w:t>
      </w:r>
      <w:r w:rsidR="00926B3A" w:rsidRPr="00926B3A">
        <w:t xml:space="preserve"> amended uniform fee of $10,000 for </w:t>
      </w:r>
      <w:r w:rsidR="00FB5717">
        <w:t>the proposed therapeutic item was appropriate.</w:t>
      </w:r>
    </w:p>
    <w:p w14:paraId="1556AAB2" w14:textId="32FE8C73" w:rsidR="0093656D" w:rsidRDefault="009D02BB" w:rsidP="00C561D7">
      <w:r>
        <w:t xml:space="preserve">MSAC noted that all evidence presented </w:t>
      </w:r>
      <w:r w:rsidR="00FD217B">
        <w:t xml:space="preserve">for the treatment </w:t>
      </w:r>
      <w:r>
        <w:t xml:space="preserve">related to another product, </w:t>
      </w:r>
      <w:r w:rsidRPr="005C0139">
        <w:rPr>
          <w:vertAlign w:val="superscript"/>
        </w:rPr>
        <w:t>177</w:t>
      </w:r>
      <w:r>
        <w:t>Lu-DOTATATE, and not</w:t>
      </w:r>
      <w:r w:rsidR="001D41E6">
        <w:t xml:space="preserve"> </w:t>
      </w:r>
      <w:r w:rsidR="00654993">
        <w:t xml:space="preserve">to </w:t>
      </w:r>
      <w:r w:rsidR="001D41E6" w:rsidRPr="007A7786">
        <w:rPr>
          <w:vertAlign w:val="superscript"/>
        </w:rPr>
        <w:t>177</w:t>
      </w:r>
      <w:r w:rsidR="001D41E6">
        <w:t>Lu-DOTA-octreotate</w:t>
      </w:r>
      <w:r w:rsidR="00820FAF">
        <w:t xml:space="preserve"> (the applicant’s product)</w:t>
      </w:r>
      <w:r w:rsidR="00FD217B">
        <w:t xml:space="preserve"> and therefore the </w:t>
      </w:r>
      <w:r w:rsidR="009D5FD9">
        <w:t xml:space="preserve">relevance of this evidence was premised on the assumed non-inferiority between </w:t>
      </w:r>
      <w:r w:rsidR="009D5FD9" w:rsidRPr="005C0139">
        <w:rPr>
          <w:vertAlign w:val="superscript"/>
        </w:rPr>
        <w:t>177</w:t>
      </w:r>
      <w:r w:rsidR="009D5FD9">
        <w:t xml:space="preserve">Lu-DOTATATE, and </w:t>
      </w:r>
      <w:r w:rsidR="009D5FD9" w:rsidRPr="007A7786">
        <w:rPr>
          <w:vertAlign w:val="superscript"/>
        </w:rPr>
        <w:t>177</w:t>
      </w:r>
      <w:r w:rsidR="009D5FD9">
        <w:t>Lu-DOTA-octreotate</w:t>
      </w:r>
      <w:r w:rsidR="001D41E6">
        <w:t>.</w:t>
      </w:r>
      <w:r w:rsidR="00C24862">
        <w:t xml:space="preserve"> </w:t>
      </w:r>
      <w:r w:rsidR="00E64CC0">
        <w:t xml:space="preserve">This was </w:t>
      </w:r>
      <w:r w:rsidR="004C2C8A">
        <w:t xml:space="preserve">because </w:t>
      </w:r>
      <w:r w:rsidR="00E64CC0">
        <w:t>the</w:t>
      </w:r>
      <w:r w:rsidR="00E47C4D">
        <w:t xml:space="preserve"> DCAR identified a</w:t>
      </w:r>
      <w:r w:rsidR="00E64CC0">
        <w:t xml:space="preserve"> lack of randomised controlled (RCT) data available for </w:t>
      </w:r>
      <w:r w:rsidR="00E64CC0" w:rsidRPr="00592E75">
        <w:rPr>
          <w:vertAlign w:val="superscript"/>
        </w:rPr>
        <w:t>177</w:t>
      </w:r>
      <w:r w:rsidR="00E64CC0" w:rsidRPr="0A3B44D0">
        <w:t>Lutetium</w:t>
      </w:r>
      <w:r w:rsidR="00E64CC0">
        <w:t> </w:t>
      </w:r>
      <w:r w:rsidR="00E64CC0" w:rsidRPr="0A3B44D0">
        <w:t xml:space="preserve">Octreotate </w:t>
      </w:r>
      <w:r w:rsidR="00E64CC0">
        <w:t>(</w:t>
      </w:r>
      <w:r w:rsidR="00E64CC0" w:rsidRPr="00592E75">
        <w:rPr>
          <w:vertAlign w:val="superscript"/>
        </w:rPr>
        <w:t>177</w:t>
      </w:r>
      <w:r w:rsidR="00E64CC0" w:rsidRPr="006A1B53">
        <w:t>Lu-DOTA-octreotate</w:t>
      </w:r>
      <w:r w:rsidR="00E64CC0">
        <w:t xml:space="preserve">). </w:t>
      </w:r>
      <w:r w:rsidR="00C24862">
        <w:t xml:space="preserve">MSAC noted that the </w:t>
      </w:r>
      <w:r w:rsidR="00C24862" w:rsidRPr="00C24862">
        <w:t xml:space="preserve">commercial therapeutic product, </w:t>
      </w:r>
      <w:r w:rsidR="00C24862" w:rsidRPr="00852103">
        <w:rPr>
          <w:vertAlign w:val="superscript"/>
        </w:rPr>
        <w:t>177</w:t>
      </w:r>
      <w:r w:rsidR="00C24862" w:rsidRPr="00C24862">
        <w:t xml:space="preserve">Lu-DOTATATE, </w:t>
      </w:r>
      <w:proofErr w:type="spellStart"/>
      <w:r w:rsidR="00C24862" w:rsidRPr="00C24862">
        <w:t>Lutathera</w:t>
      </w:r>
      <w:proofErr w:type="spellEnd"/>
      <w:r w:rsidR="00C24862" w:rsidRPr="00C24862">
        <w:t>® (Novartis)</w:t>
      </w:r>
      <w:r w:rsidR="00C24862">
        <w:t xml:space="preserve"> </w:t>
      </w:r>
      <w:r w:rsidR="008F50F8">
        <w:t>against which a claim of non-inferiority is being made</w:t>
      </w:r>
      <w:r w:rsidR="00C24862" w:rsidRPr="00C24862">
        <w:t>, is not currently registered in Australia.</w:t>
      </w:r>
    </w:p>
    <w:p w14:paraId="2C1BCB50" w14:textId="7B7ADD6B" w:rsidR="0093656D" w:rsidRDefault="0093656D" w:rsidP="0093656D">
      <w:r>
        <w:t>MSAC noted th</w:t>
      </w:r>
      <w:r w:rsidR="00C64B7B">
        <w:t>e</w:t>
      </w:r>
      <w:r>
        <w:t xml:space="preserve"> assumption of non-inferiority between </w:t>
      </w:r>
      <w:r w:rsidRPr="005C0139">
        <w:rPr>
          <w:vertAlign w:val="superscript"/>
        </w:rPr>
        <w:t>177</w:t>
      </w:r>
      <w:r>
        <w:t>Lu-DOTATATE</w:t>
      </w:r>
      <w:r w:rsidR="00CF78C8">
        <w:t xml:space="preserve"> (</w:t>
      </w:r>
      <w:proofErr w:type="spellStart"/>
      <w:r w:rsidR="00CF78C8" w:rsidRPr="00C24862">
        <w:t>Lutathera</w:t>
      </w:r>
      <w:proofErr w:type="spellEnd"/>
      <w:r w:rsidR="00CF78C8" w:rsidRPr="00C24862">
        <w:t>®</w:t>
      </w:r>
      <w:r w:rsidR="00CF78C8">
        <w:t>)</w:t>
      </w:r>
      <w:r>
        <w:t xml:space="preserve"> and </w:t>
      </w:r>
      <w:r w:rsidRPr="007A7786">
        <w:rPr>
          <w:vertAlign w:val="superscript"/>
        </w:rPr>
        <w:t>177</w:t>
      </w:r>
      <w:r>
        <w:t>Lu-DOTA-octreotate</w:t>
      </w:r>
      <w:r w:rsidR="00AB4E2A">
        <w:t xml:space="preserve"> which was based on </w:t>
      </w:r>
      <w:r w:rsidR="00D42857">
        <w:t xml:space="preserve">a comparison of pharmaceutical forms only </w:t>
      </w:r>
      <w:r>
        <w:t>was highlighted as a key uncertainty in the DCAR and was based solely on information provided in the product package inserts of the two products</w:t>
      </w:r>
      <w:r w:rsidR="0004163D">
        <w:t xml:space="preserve">. </w:t>
      </w:r>
      <w:r>
        <w:t>N</w:t>
      </w:r>
      <w:r w:rsidRPr="00307050">
        <w:t>o reliable data</w:t>
      </w:r>
      <w:r>
        <w:t xml:space="preserve"> </w:t>
      </w:r>
      <w:r w:rsidRPr="00307050">
        <w:t xml:space="preserve">were presented </w:t>
      </w:r>
      <w:r>
        <w:t xml:space="preserve">in the DCAR </w:t>
      </w:r>
      <w:r w:rsidR="004C2C8A">
        <w:t xml:space="preserve">itself </w:t>
      </w:r>
      <w:r w:rsidRPr="00307050">
        <w:t xml:space="preserve">to establish </w:t>
      </w:r>
      <w:proofErr w:type="gramStart"/>
      <w:r w:rsidRPr="00307050">
        <w:t>whether or not</w:t>
      </w:r>
      <w:proofErr w:type="gramEnd"/>
      <w:r w:rsidRPr="00307050">
        <w:t xml:space="preserve"> the products have similar chemical structure</w:t>
      </w:r>
      <w:r>
        <w:t xml:space="preserve"> or similar biodistributions, </w:t>
      </w:r>
      <w:r>
        <w:lastRenderedPageBreak/>
        <w:t xml:space="preserve">characteristics which are expected to affect the assessment of non-inferiority of the two products in terms of safety and efficacy. </w:t>
      </w:r>
      <w:r w:rsidR="004A3D7A">
        <w:t>MSAC noted the pre-</w:t>
      </w:r>
      <w:r w:rsidR="00505FAA">
        <w:t>MSAC response</w:t>
      </w:r>
      <w:r w:rsidR="00A54E52">
        <w:t xml:space="preserve">, </w:t>
      </w:r>
      <w:r w:rsidR="007B792D">
        <w:t xml:space="preserve">in </w:t>
      </w:r>
      <w:r w:rsidR="00505FAA">
        <w:t xml:space="preserve">which </w:t>
      </w:r>
      <w:r w:rsidR="004A3D7A">
        <w:rPr>
          <w:rFonts w:eastAsia="Calibri" w:cs="Times New Roman"/>
          <w:color w:val="000000"/>
          <w:szCs w:val="20"/>
        </w:rPr>
        <w:t xml:space="preserve">the applicant </w:t>
      </w:r>
      <w:r w:rsidR="00F11032">
        <w:rPr>
          <w:rFonts w:eastAsia="Calibri" w:cs="Times New Roman"/>
          <w:color w:val="000000"/>
          <w:szCs w:val="20"/>
        </w:rPr>
        <w:t xml:space="preserve">noted that the active ingredients of </w:t>
      </w:r>
      <w:r w:rsidR="00F11032" w:rsidRPr="007A7786">
        <w:rPr>
          <w:vertAlign w:val="superscript"/>
        </w:rPr>
        <w:t>177</w:t>
      </w:r>
      <w:r w:rsidR="00F11032">
        <w:t xml:space="preserve">Lu-DOTA-octreotate and </w:t>
      </w:r>
      <w:r w:rsidR="00F11032" w:rsidRPr="005C0139">
        <w:rPr>
          <w:vertAlign w:val="superscript"/>
        </w:rPr>
        <w:t>177</w:t>
      </w:r>
      <w:r w:rsidR="00F11032">
        <w:t xml:space="preserve">Lu-DOTATATE </w:t>
      </w:r>
      <w:r w:rsidR="00DA017A">
        <w:rPr>
          <w:rFonts w:eastAsia="Calibri" w:cs="Times New Roman"/>
          <w:color w:val="000000"/>
          <w:szCs w:val="20"/>
        </w:rPr>
        <w:t xml:space="preserve">are the same, </w:t>
      </w:r>
      <w:r w:rsidR="004A3D7A">
        <w:rPr>
          <w:rFonts w:eastAsia="Calibri" w:cs="Times New Roman"/>
          <w:color w:val="000000"/>
          <w:szCs w:val="20"/>
        </w:rPr>
        <w:t>the European Medicines Agency (EMA) accepted the evidence using different formulations of the active substance in Erasmus Phase I/II study and NETTER-I tria</w:t>
      </w:r>
      <w:r w:rsidR="00654F1F">
        <w:rPr>
          <w:rFonts w:eastAsia="Calibri" w:cs="Times New Roman"/>
          <w:color w:val="000000"/>
          <w:szCs w:val="20"/>
        </w:rPr>
        <w:t>l</w:t>
      </w:r>
      <w:r w:rsidR="007B792D">
        <w:rPr>
          <w:rFonts w:eastAsia="Calibri" w:cs="Times New Roman"/>
          <w:color w:val="000000"/>
          <w:szCs w:val="20"/>
        </w:rPr>
        <w:t>,</w:t>
      </w:r>
      <w:r w:rsidR="00DA017A">
        <w:rPr>
          <w:rFonts w:eastAsia="Calibri" w:cs="Times New Roman"/>
          <w:color w:val="000000"/>
          <w:szCs w:val="20"/>
        </w:rPr>
        <w:t xml:space="preserve"> and there are multiple trials</w:t>
      </w:r>
      <w:r w:rsidR="0042256E">
        <w:rPr>
          <w:rFonts w:eastAsia="Calibri" w:cs="Times New Roman"/>
          <w:color w:val="000000"/>
          <w:szCs w:val="20"/>
        </w:rPr>
        <w:t xml:space="preserve"> demonstrating improved patient outcomes with</w:t>
      </w:r>
      <w:r w:rsidR="00693FF6">
        <w:rPr>
          <w:rFonts w:eastAsia="Calibri" w:cs="Times New Roman"/>
          <w:color w:val="000000"/>
          <w:szCs w:val="20"/>
        </w:rPr>
        <w:t xml:space="preserve"> </w:t>
      </w:r>
      <w:r w:rsidR="00693FF6" w:rsidRPr="007A7786">
        <w:rPr>
          <w:vertAlign w:val="superscript"/>
        </w:rPr>
        <w:t>177</w:t>
      </w:r>
      <w:r w:rsidR="00693FF6">
        <w:t>Lu-DOTA-octreotate</w:t>
      </w:r>
      <w:r w:rsidR="004A3D7A">
        <w:rPr>
          <w:rFonts w:eastAsia="Calibri" w:cs="Times New Roman"/>
          <w:color w:val="000000"/>
          <w:szCs w:val="20"/>
        </w:rPr>
        <w:t>.</w:t>
      </w:r>
      <w:r w:rsidR="00505FAA">
        <w:rPr>
          <w:rFonts w:eastAsia="Calibri" w:cs="Times New Roman"/>
          <w:color w:val="000000"/>
          <w:szCs w:val="20"/>
        </w:rPr>
        <w:t xml:space="preserve"> In addition, </w:t>
      </w:r>
      <w:r>
        <w:t xml:space="preserve">MSAC noted the applicant tendered expert opinion from a biochemist that the structure of </w:t>
      </w:r>
      <w:r w:rsidR="00C30E7A">
        <w:t xml:space="preserve">the </w:t>
      </w:r>
      <w:r>
        <w:t xml:space="preserve">peptides in </w:t>
      </w:r>
      <w:r w:rsidRPr="005C0139">
        <w:rPr>
          <w:vertAlign w:val="superscript"/>
        </w:rPr>
        <w:t>177</w:t>
      </w:r>
      <w:r>
        <w:t>Lu-DOTATATE</w:t>
      </w:r>
      <w:r w:rsidR="00693FF6">
        <w:t xml:space="preserve"> </w:t>
      </w:r>
      <w:r>
        <w:t xml:space="preserve">and </w:t>
      </w:r>
      <w:r w:rsidRPr="007A7786">
        <w:rPr>
          <w:vertAlign w:val="superscript"/>
        </w:rPr>
        <w:t>177</w:t>
      </w:r>
      <w:r>
        <w:t xml:space="preserve">Lu-DOTA-octreotate information were similar. </w:t>
      </w:r>
      <w:r w:rsidRPr="001948A3">
        <w:t xml:space="preserve">MSAC considered that whilst it appeared that the products may be two </w:t>
      </w:r>
      <w:r>
        <w:t>formulations of the same active compound</w:t>
      </w:r>
      <w:r w:rsidRPr="001948A3">
        <w:t xml:space="preserve"> [(Tyr</w:t>
      </w:r>
      <w:proofErr w:type="gramStart"/>
      <w:r w:rsidRPr="001948A3">
        <w:t>3)Octreotate</w:t>
      </w:r>
      <w:proofErr w:type="gramEnd"/>
      <w:r w:rsidRPr="001948A3">
        <w:t xml:space="preserve">-Dota-Lu, i.e., </w:t>
      </w:r>
      <w:r w:rsidRPr="00852103">
        <w:rPr>
          <w:vertAlign w:val="superscript"/>
        </w:rPr>
        <w:t>177</w:t>
      </w:r>
      <w:r w:rsidRPr="001948A3">
        <w:t>Lu-DOTATATE</w:t>
      </w:r>
      <w:r w:rsidR="0097016C">
        <w:t>]</w:t>
      </w:r>
      <w:r>
        <w:t xml:space="preserve">, </w:t>
      </w:r>
      <w:r w:rsidRPr="00215205">
        <w:t xml:space="preserve">further </w:t>
      </w:r>
      <w:r w:rsidR="004C2C8A">
        <w:t xml:space="preserve">independent </w:t>
      </w:r>
      <w:r>
        <w:t xml:space="preserve">expert radiochemist </w:t>
      </w:r>
      <w:r w:rsidRPr="00215205">
        <w:t>advice</w:t>
      </w:r>
      <w:r>
        <w:t xml:space="preserve"> </w:t>
      </w:r>
      <w:r w:rsidRPr="00215205">
        <w:t xml:space="preserve">was needed before </w:t>
      </w:r>
      <w:r>
        <w:t xml:space="preserve">non-inferiority between the two products </w:t>
      </w:r>
      <w:r w:rsidRPr="00215205">
        <w:t>could be accepted</w:t>
      </w:r>
      <w:r>
        <w:t>, either on the basis of establishing chemical similarity or establishing similarity in biodistribution</w:t>
      </w:r>
      <w:r w:rsidR="000809EE">
        <w:t>.</w:t>
      </w:r>
    </w:p>
    <w:p w14:paraId="3FAC7DE7" w14:textId="25ACEE43" w:rsidR="00621C93" w:rsidRDefault="00675D2C" w:rsidP="00621C93">
      <w:r w:rsidRPr="0A3B44D0">
        <w:t>Additionally, MSAC noted that</w:t>
      </w:r>
      <w:r>
        <w:t xml:space="preserve"> the NENs are a heterogenous group of rare tumours, which limits the RCT data that </w:t>
      </w:r>
      <w:r w:rsidR="00C30E7A">
        <w:t>are</w:t>
      </w:r>
      <w:r>
        <w:t xml:space="preserve"> available. The evidence base presented to MSAC only included RCT data, however, </w:t>
      </w:r>
      <w:r w:rsidR="00621C93">
        <w:t xml:space="preserve">MSAC noted that there was both </w:t>
      </w:r>
      <w:r w:rsidR="00FB546D">
        <w:t xml:space="preserve">available </w:t>
      </w:r>
      <w:r w:rsidR="00621C93">
        <w:t xml:space="preserve">published observational studies and </w:t>
      </w:r>
      <w:r w:rsidR="009C161A">
        <w:t xml:space="preserve">Australian </w:t>
      </w:r>
      <w:r w:rsidR="00621C93">
        <w:t xml:space="preserve">RCTs </w:t>
      </w:r>
      <w:r w:rsidR="007E7DE8">
        <w:t>that</w:t>
      </w:r>
      <w:r w:rsidR="00621C93">
        <w:t xml:space="preserve"> had been omitted from the DCA</w:t>
      </w:r>
      <w:r w:rsidR="00130FA6">
        <w:t>R</w:t>
      </w:r>
      <w:r w:rsidR="007E7DE8">
        <w:t>,</w:t>
      </w:r>
      <w:r w:rsidR="00621C93">
        <w:t xml:space="preserve"> including studies which </w:t>
      </w:r>
      <w:r w:rsidR="001A1317">
        <w:t>used</w:t>
      </w:r>
      <w:r w:rsidR="00621C93">
        <w:t xml:space="preserve"> the applicant’s product rather than </w:t>
      </w:r>
      <w:r w:rsidR="00621C93" w:rsidRPr="005C0139">
        <w:rPr>
          <w:vertAlign w:val="superscript"/>
        </w:rPr>
        <w:t>177</w:t>
      </w:r>
      <w:r w:rsidR="00621C93">
        <w:t>Lu-DOTATATE</w:t>
      </w:r>
      <w:r w:rsidR="004B371B">
        <w:t xml:space="preserve"> (as noted above in </w:t>
      </w:r>
      <w:r w:rsidR="001A1317">
        <w:t xml:space="preserve">the </w:t>
      </w:r>
      <w:r w:rsidR="004B371B">
        <w:t>pre-MSAC response)</w:t>
      </w:r>
      <w:r w:rsidR="00AF15C0">
        <w:t>.</w:t>
      </w:r>
    </w:p>
    <w:p w14:paraId="70ADAE00" w14:textId="0697496A" w:rsidR="00621C93" w:rsidRDefault="00621C93" w:rsidP="0093656D">
      <w:r>
        <w:t xml:space="preserve">MSAC noted </w:t>
      </w:r>
      <w:r w:rsidR="00F365DD">
        <w:t>it was aware of at least one observational study and one RCT</w:t>
      </w:r>
      <w:r w:rsidR="00571405">
        <w:t xml:space="preserve"> from Australia that could have been considered for inclusion in the evidence base</w:t>
      </w:r>
      <w:r w:rsidR="00D0233F">
        <w:t xml:space="preserve"> presented in the DCAR. The first was </w:t>
      </w:r>
      <w:r w:rsidR="00E252E4">
        <w:t xml:space="preserve">a </w:t>
      </w:r>
      <w:r w:rsidR="0036461F">
        <w:t>clinical</w:t>
      </w:r>
      <w:r>
        <w:t xml:space="preserve"> audit of </w:t>
      </w:r>
      <w:r w:rsidRPr="005C0139">
        <w:rPr>
          <w:vertAlign w:val="superscript"/>
        </w:rPr>
        <w:t>177</w:t>
      </w:r>
      <w:r>
        <w:t>Lu-DOTATATE</w:t>
      </w:r>
      <w:r w:rsidR="0077046E">
        <w:t xml:space="preserve"> </w:t>
      </w:r>
      <w:r>
        <w:t xml:space="preserve">services at the </w:t>
      </w:r>
      <w:r w:rsidR="009205B2">
        <w:t>Royal Brisbane and Women’s Hospital (RBWH)</w:t>
      </w:r>
      <w:r w:rsidR="009205B2">
        <w:rPr>
          <w:rStyle w:val="FootnoteReference"/>
        </w:rPr>
        <w:footnoteReference w:id="2"/>
      </w:r>
      <w:r>
        <w:t xml:space="preserve">, consisting of 123 patients </w:t>
      </w:r>
      <w:r w:rsidR="00440741">
        <w:t xml:space="preserve">with </w:t>
      </w:r>
      <w:r>
        <w:t xml:space="preserve">a median follow up of 51 months. </w:t>
      </w:r>
      <w:r w:rsidR="00D0233F">
        <w:t>The second study</w:t>
      </w:r>
      <w:r w:rsidR="00BA48AF">
        <w:t xml:space="preserve"> was </w:t>
      </w:r>
      <w:proofErr w:type="gramStart"/>
      <w:r w:rsidR="00BA48AF">
        <w:t xml:space="preserve">the </w:t>
      </w:r>
      <w:r w:rsidR="005763A0">
        <w:t xml:space="preserve"> </w:t>
      </w:r>
      <w:r>
        <w:t>CONTROL</w:t>
      </w:r>
      <w:proofErr w:type="gramEnd"/>
      <w:r w:rsidR="00625994">
        <w:t xml:space="preserve"> </w:t>
      </w:r>
      <w:r>
        <w:t>NET</w:t>
      </w:r>
      <w:r w:rsidR="00EA5CBB">
        <w:t>S</w:t>
      </w:r>
      <w:r>
        <w:t xml:space="preserve"> </w:t>
      </w:r>
      <w:r w:rsidR="005763A0">
        <w:t xml:space="preserve">trial which </w:t>
      </w:r>
      <w:r>
        <w:t>us</w:t>
      </w:r>
      <w:r w:rsidR="005763A0">
        <w:t>ed</w:t>
      </w:r>
      <w:r>
        <w:t xml:space="preserve"> the </w:t>
      </w:r>
      <w:proofErr w:type="spellStart"/>
      <w:r>
        <w:t>nca</w:t>
      </w:r>
      <w:proofErr w:type="spellEnd"/>
      <w:r>
        <w:t xml:space="preserve"> produc</w:t>
      </w:r>
      <w:r w:rsidR="00962172">
        <w:t>t</w:t>
      </w:r>
      <w:r w:rsidR="00431C7A">
        <w:t xml:space="preserve">, </w:t>
      </w:r>
      <w:r w:rsidR="00431C7A" w:rsidRPr="00852103">
        <w:rPr>
          <w:vertAlign w:val="superscript"/>
        </w:rPr>
        <w:t>177</w:t>
      </w:r>
      <w:r w:rsidR="00431C7A" w:rsidRPr="00431C7A">
        <w:t>Lu</w:t>
      </w:r>
      <w:r w:rsidR="00540BA8">
        <w:t>-</w:t>
      </w:r>
      <w:r w:rsidR="00431C7A" w:rsidRPr="00431C7A">
        <w:t xml:space="preserve"> </w:t>
      </w:r>
      <w:proofErr w:type="spellStart"/>
      <w:r w:rsidR="00431C7A" w:rsidRPr="00431C7A">
        <w:t>Octreotate</w:t>
      </w:r>
      <w:proofErr w:type="spellEnd"/>
      <w:r w:rsidR="00431C7A" w:rsidRPr="00431C7A">
        <w:t xml:space="preserve"> </w:t>
      </w:r>
      <w:r w:rsidR="00431C7A">
        <w:t>[</w:t>
      </w:r>
      <w:proofErr w:type="spellStart"/>
      <w:r w:rsidR="00431C7A" w:rsidRPr="00431C7A">
        <w:t>Lutate</w:t>
      </w:r>
      <w:proofErr w:type="spellEnd"/>
      <w:r w:rsidR="00431C7A">
        <w:t>]</w:t>
      </w:r>
      <w:r>
        <w:t>.</w:t>
      </w:r>
    </w:p>
    <w:p w14:paraId="0EA432C5" w14:textId="548344D3" w:rsidR="00245347" w:rsidRDefault="00AB7093" w:rsidP="0093656D">
      <w:r>
        <w:t xml:space="preserve">MSAC noted that </w:t>
      </w:r>
      <w:r>
        <w:rPr>
          <w:rFonts w:eastAsia="Calibri" w:cs="Times New Roman"/>
        </w:rPr>
        <w:t xml:space="preserve">a claim of noninferiority needs to be accepted </w:t>
      </w:r>
      <w:proofErr w:type="gramStart"/>
      <w:r>
        <w:rPr>
          <w:rFonts w:eastAsia="Calibri" w:cs="Times New Roman"/>
        </w:rPr>
        <w:t>in order for</w:t>
      </w:r>
      <w:proofErr w:type="gramEnd"/>
      <w:r>
        <w:rPr>
          <w:rFonts w:eastAsia="Calibri" w:cs="Times New Roman"/>
        </w:rPr>
        <w:t xml:space="preserve"> the evidence for the </w:t>
      </w:r>
      <w:proofErr w:type="spellStart"/>
      <w:r w:rsidRPr="00B84E88">
        <w:rPr>
          <w:iCs/>
        </w:rPr>
        <w:t>Lutathera</w:t>
      </w:r>
      <w:proofErr w:type="spellEnd"/>
      <w:r w:rsidRPr="00B84E88">
        <w:rPr>
          <w:iCs/>
        </w:rPr>
        <w:t>® product (</w:t>
      </w:r>
      <w:r w:rsidRPr="00B84E88">
        <w:rPr>
          <w:iCs/>
          <w:vertAlign w:val="superscript"/>
        </w:rPr>
        <w:t>177</w:t>
      </w:r>
      <w:r w:rsidRPr="00B84E88">
        <w:rPr>
          <w:iCs/>
        </w:rPr>
        <w:t>Lu-DOTATATE; unspecified, used in the NETTER-1 trial)</w:t>
      </w:r>
      <w:r w:rsidRPr="00CD41F4">
        <w:rPr>
          <w:iCs/>
        </w:rPr>
        <w:t>,</w:t>
      </w:r>
      <w:r>
        <w:t xml:space="preserve"> </w:t>
      </w:r>
      <w:r>
        <w:rPr>
          <w:rFonts w:eastAsia="Calibri" w:cs="Times New Roman"/>
        </w:rPr>
        <w:t xml:space="preserve">to be considered relevant for </w:t>
      </w:r>
      <w:r w:rsidR="0015213C" w:rsidRPr="00852103">
        <w:rPr>
          <w:rFonts w:eastAsia="Calibri" w:cs="Times New Roman"/>
        </w:rPr>
        <w:t xml:space="preserve">the </w:t>
      </w:r>
      <w:r w:rsidR="0015213C">
        <w:t>applicant’s product (</w:t>
      </w:r>
      <w:r w:rsidR="0015213C" w:rsidRPr="007A7786">
        <w:rPr>
          <w:vertAlign w:val="superscript"/>
        </w:rPr>
        <w:t>177</w:t>
      </w:r>
      <w:r w:rsidR="0015213C">
        <w:t xml:space="preserve">Lu-DOTA-octreotate) </w:t>
      </w:r>
      <w:r>
        <w:rPr>
          <w:rFonts w:eastAsia="Calibri" w:cs="Times New Roman"/>
        </w:rPr>
        <w:t xml:space="preserve">or other </w:t>
      </w:r>
      <w:r w:rsidRPr="00852103">
        <w:rPr>
          <w:rFonts w:eastAsia="Calibri" w:cs="Times New Roman"/>
          <w:vertAlign w:val="superscript"/>
        </w:rPr>
        <w:t>177</w:t>
      </w:r>
      <w:r>
        <w:rPr>
          <w:rFonts w:eastAsia="Calibri" w:cs="Times New Roman"/>
        </w:rPr>
        <w:t>Lu </w:t>
      </w:r>
      <w:r w:rsidR="0015213C">
        <w:rPr>
          <w:rFonts w:eastAsia="Calibri" w:cs="Times New Roman"/>
        </w:rPr>
        <w:t>PRRT</w:t>
      </w:r>
      <w:r>
        <w:rPr>
          <w:rFonts w:eastAsia="Calibri" w:cs="Times New Roman"/>
        </w:rPr>
        <w:t xml:space="preserve"> product</w:t>
      </w:r>
      <w:r w:rsidR="004E16C1">
        <w:rPr>
          <w:rFonts w:eastAsia="Calibri" w:cs="Times New Roman"/>
        </w:rPr>
        <w:t>s</w:t>
      </w:r>
      <w:r w:rsidR="0072517F">
        <w:rPr>
          <w:rFonts w:eastAsia="Calibri" w:cs="Times New Roman"/>
        </w:rPr>
        <w:t>,</w:t>
      </w:r>
      <w:r>
        <w:rPr>
          <w:rFonts w:eastAsia="Calibri" w:cs="Times New Roman"/>
        </w:rPr>
        <w:t xml:space="preserve"> and for subsequent acceptance of the results of the modelled economic evaluation. </w:t>
      </w:r>
      <w:r w:rsidR="002D5D00">
        <w:t>MSAC considered that a</w:t>
      </w:r>
      <w:r w:rsidR="00245347">
        <w:t xml:space="preserve"> significant </w:t>
      </w:r>
      <w:r w:rsidR="00626139">
        <w:t>limitation</w:t>
      </w:r>
      <w:r w:rsidR="00581330">
        <w:t xml:space="preserve"> </w:t>
      </w:r>
      <w:r w:rsidR="008F61BF">
        <w:t>wa</w:t>
      </w:r>
      <w:r w:rsidR="006D5A48">
        <w:t xml:space="preserve">s </w:t>
      </w:r>
      <w:r w:rsidR="00581330">
        <w:t xml:space="preserve">that available data regarding the </w:t>
      </w:r>
      <w:r w:rsidR="00626139">
        <w:t>safety and efficacy of the applicant’s product</w:t>
      </w:r>
      <w:r w:rsidR="007426E0">
        <w:t xml:space="preserve"> (</w:t>
      </w:r>
      <w:r w:rsidR="007426E0" w:rsidRPr="007A7786">
        <w:rPr>
          <w:vertAlign w:val="superscript"/>
        </w:rPr>
        <w:t>177</w:t>
      </w:r>
      <w:r w:rsidR="007426E0">
        <w:t>Lu-DOTA-octreotate)</w:t>
      </w:r>
      <w:r w:rsidR="00626139">
        <w:t xml:space="preserve"> was n</w:t>
      </w:r>
      <w:r w:rsidR="007426E0">
        <w:t>ot assessed in the DCAR</w:t>
      </w:r>
      <w:r w:rsidR="00EE7198">
        <w:t>,</w:t>
      </w:r>
      <w:r w:rsidR="007426E0">
        <w:t xml:space="preserve"> including to inform the claim of noninferiority </w:t>
      </w:r>
      <w:r w:rsidR="00641164">
        <w:t xml:space="preserve">of </w:t>
      </w:r>
      <w:r w:rsidR="00641164" w:rsidRPr="007A7786">
        <w:rPr>
          <w:vertAlign w:val="superscript"/>
        </w:rPr>
        <w:t>177</w:t>
      </w:r>
      <w:r w:rsidR="00641164">
        <w:t xml:space="preserve">Lu-DOTA-octreotate versus </w:t>
      </w:r>
      <w:r w:rsidR="00CD41F4" w:rsidRPr="00852103">
        <w:rPr>
          <w:iCs/>
          <w:vertAlign w:val="superscript"/>
        </w:rPr>
        <w:t>177</w:t>
      </w:r>
      <w:r w:rsidR="00CD41F4" w:rsidRPr="00852103">
        <w:rPr>
          <w:iCs/>
        </w:rPr>
        <w:t>Lu-DOTATATE</w:t>
      </w:r>
      <w:r w:rsidR="00AC797B">
        <w:rPr>
          <w:iCs/>
        </w:rPr>
        <w:t>. However,</w:t>
      </w:r>
      <w:r w:rsidR="00245347">
        <w:t xml:space="preserve"> MSAC</w:t>
      </w:r>
      <w:r w:rsidR="005841DF">
        <w:t xml:space="preserve"> assessed </w:t>
      </w:r>
      <w:r w:rsidR="00012C2A">
        <w:t xml:space="preserve">the </w:t>
      </w:r>
      <w:proofErr w:type="gramStart"/>
      <w:r w:rsidR="00A83004">
        <w:t xml:space="preserve">comparative </w:t>
      </w:r>
      <w:r w:rsidR="00245347">
        <w:t xml:space="preserve"> safety</w:t>
      </w:r>
      <w:proofErr w:type="gramEnd"/>
      <w:r w:rsidR="00245347">
        <w:t xml:space="preserve"> and effectiveness </w:t>
      </w:r>
      <w:r w:rsidR="00A06CB7">
        <w:t>of</w:t>
      </w:r>
      <w:r w:rsidR="000C248C">
        <w:t xml:space="preserve"> </w:t>
      </w:r>
      <w:r w:rsidR="000C248C" w:rsidRPr="005C0139">
        <w:rPr>
          <w:vertAlign w:val="superscript"/>
        </w:rPr>
        <w:t>177</w:t>
      </w:r>
      <w:r w:rsidR="000C248C">
        <w:t>Lu-DOTATAT</w:t>
      </w:r>
      <w:r w:rsidR="00BD1CA8">
        <w:t xml:space="preserve">E and left for </w:t>
      </w:r>
      <w:r w:rsidR="00AD3A3C">
        <w:t>later</w:t>
      </w:r>
      <w:r w:rsidR="00BD1CA8">
        <w:t xml:space="preserve"> consideration (as discussed below)</w:t>
      </w:r>
      <w:r w:rsidR="00AD3A3C">
        <w:t xml:space="preserve">, the </w:t>
      </w:r>
      <w:r w:rsidR="00B540C9">
        <w:t xml:space="preserve">implications </w:t>
      </w:r>
      <w:r w:rsidR="00AD3A3C">
        <w:t xml:space="preserve">of this evidence </w:t>
      </w:r>
      <w:r w:rsidR="00B540C9">
        <w:t xml:space="preserve">for the </w:t>
      </w:r>
      <w:r w:rsidR="00A35D1B">
        <w:t>clinical safety and effectiveness</w:t>
      </w:r>
      <w:r w:rsidR="00A06CB7">
        <w:t xml:space="preserve"> and cost effectiveness</w:t>
      </w:r>
      <w:r w:rsidR="00A35D1B">
        <w:t xml:space="preserve"> of </w:t>
      </w:r>
      <w:r w:rsidR="00500947" w:rsidRPr="007A7786">
        <w:rPr>
          <w:vertAlign w:val="superscript"/>
        </w:rPr>
        <w:t>177</w:t>
      </w:r>
      <w:r w:rsidR="00500947">
        <w:t>Lu-DOTA-octreotate</w:t>
      </w:r>
      <w:r w:rsidR="00CA1862">
        <w:t>.</w:t>
      </w:r>
    </w:p>
    <w:p w14:paraId="03A633B6" w14:textId="0EA221F6" w:rsidR="009D5FD9" w:rsidRDefault="009D5FD9" w:rsidP="009D5FD9">
      <w:r>
        <w:t xml:space="preserve">Regarding </w:t>
      </w:r>
      <w:r w:rsidR="005F0E17">
        <w:t>comparative</w:t>
      </w:r>
      <w:r>
        <w:t xml:space="preserve"> safety, MSAC noted that a high number of patients (all pooled proportions and across all studies) experienced AEs, but the rates of serious AEs (SAEs) varied across treatments (including the comparators). The rates of SAEs for octreotide + everolimus (59%) were more than double those for </w:t>
      </w:r>
      <w:r w:rsidRPr="005C0139">
        <w:rPr>
          <w:vertAlign w:val="superscript"/>
        </w:rPr>
        <w:t>177</w:t>
      </w:r>
      <w:r>
        <w:t>Lu-DOTATATE (26%). The frequency of SAEs was no worse with PRRT treatment than other comparator treatments. The long-term side effects of PRRT included myelodysplastic syndrome, occurring in 2% (</w:t>
      </w:r>
      <w:r>
        <w:rPr>
          <w:i/>
          <w:iCs/>
        </w:rPr>
        <w:t>n</w:t>
      </w:r>
      <w:r>
        <w:t xml:space="preserve"> = 2) of patients in the NETTER-1 key pivotal trial. Limited evidence was presented demonstrating that </w:t>
      </w:r>
      <w:r w:rsidRPr="005C0139">
        <w:rPr>
          <w:vertAlign w:val="superscript"/>
        </w:rPr>
        <w:t>177</w:t>
      </w:r>
      <w:r>
        <w:t>Lu-DOTATATE had:</w:t>
      </w:r>
    </w:p>
    <w:p w14:paraId="1A1A85C4" w14:textId="34EF45C1" w:rsidR="009D5FD9" w:rsidRDefault="009D5FD9" w:rsidP="009D5FD9">
      <w:pPr>
        <w:pStyle w:val="ListParagraph"/>
        <w:numPr>
          <w:ilvl w:val="0"/>
          <w:numId w:val="32"/>
        </w:numPr>
        <w:spacing w:before="0" w:after="0" w:line="240" w:lineRule="auto"/>
      </w:pPr>
      <w:r>
        <w:t xml:space="preserve">non-inferior safety compared with octreotide monotherapy, everolimus monotherapy, sunitinib, lanreotide </w:t>
      </w:r>
      <w:r w:rsidR="008E1D2A">
        <w:t xml:space="preserve">or </w:t>
      </w:r>
      <w:r>
        <w:t>placebo/</w:t>
      </w:r>
      <w:proofErr w:type="gramStart"/>
      <w:r>
        <w:t>BSC</w:t>
      </w:r>
      <w:proofErr w:type="gramEnd"/>
    </w:p>
    <w:p w14:paraId="068A6FF9" w14:textId="77777777" w:rsidR="009D5FD9" w:rsidRDefault="009D5FD9" w:rsidP="009D5FD9">
      <w:pPr>
        <w:pStyle w:val="ListParagraph"/>
        <w:numPr>
          <w:ilvl w:val="0"/>
          <w:numId w:val="32"/>
        </w:numPr>
        <w:spacing w:before="0" w:after="0" w:line="240" w:lineRule="auto"/>
      </w:pPr>
      <w:r>
        <w:t>superior safety compared to octreotide + everolimus combination therapy.</w:t>
      </w:r>
    </w:p>
    <w:p w14:paraId="07F646AD" w14:textId="7122C217" w:rsidR="009D5FD9" w:rsidRPr="00882BA2" w:rsidRDefault="009D5FD9" w:rsidP="009D5FD9">
      <w:r>
        <w:t xml:space="preserve">MSAC noted that </w:t>
      </w:r>
      <w:r w:rsidR="008E1D2A" w:rsidRPr="005C0139">
        <w:rPr>
          <w:vertAlign w:val="superscript"/>
        </w:rPr>
        <w:t>177</w:t>
      </w:r>
      <w:r w:rsidR="008E1D2A">
        <w:t>Lu-DOTATATE</w:t>
      </w:r>
      <w:r>
        <w:t xml:space="preserve"> is a specialised form of therapy using unsealed radiopharmaceuticals, which are longer-acting beta-emitters</w:t>
      </w:r>
      <w:r w:rsidR="002936DF">
        <w:t>. Consequently</w:t>
      </w:r>
      <w:r>
        <w:t xml:space="preserve">, </w:t>
      </w:r>
      <w:r w:rsidR="002936DF">
        <w:t>the therapy</w:t>
      </w:r>
      <w:r>
        <w:t xml:space="preserve"> carries risks to the patient, and to a lesser extent, staff, </w:t>
      </w:r>
      <w:proofErr w:type="gramStart"/>
      <w:r>
        <w:t>carers</w:t>
      </w:r>
      <w:proofErr w:type="gramEnd"/>
      <w:r>
        <w:t xml:space="preserve"> and other members of the community, as </w:t>
      </w:r>
      <w:r>
        <w:lastRenderedPageBreak/>
        <w:t xml:space="preserve">well as the environment (waste disposal). There is also a small risk of carcinoid crises during </w:t>
      </w:r>
      <w:r w:rsidRPr="005C0139">
        <w:rPr>
          <w:vertAlign w:val="superscript"/>
        </w:rPr>
        <w:t>177</w:t>
      </w:r>
      <w:r>
        <w:t xml:space="preserve">Lu-DOTATATE therapy. However, MSAC considered that these risks can be mitigated if therapy is administered in appropriately equipped centres </w:t>
      </w:r>
      <w:r w:rsidR="002936DF">
        <w:t xml:space="preserve">with resuscitation capacity </w:t>
      </w:r>
      <w:r w:rsidR="00DE5609">
        <w:t xml:space="preserve">and </w:t>
      </w:r>
      <w:r>
        <w:t xml:space="preserve">with appropriately trained supervision. </w:t>
      </w:r>
      <w:r w:rsidR="00DE5609">
        <w:t>MSAC noted that a</w:t>
      </w:r>
      <w:r>
        <w:t xml:space="preserve"> NEN multidisciplinary team </w:t>
      </w:r>
      <w:r w:rsidR="00DE5609">
        <w:t xml:space="preserve">is </w:t>
      </w:r>
      <w:r>
        <w:t>need</w:t>
      </w:r>
      <w:r w:rsidR="00DE5609">
        <w:t>ed</w:t>
      </w:r>
      <w:r>
        <w:t xml:space="preserve"> to advise on management of therapy on a case-by-case basis.</w:t>
      </w:r>
    </w:p>
    <w:p w14:paraId="0E021C90" w14:textId="7ACAC0B0" w:rsidR="009D5FD9" w:rsidRDefault="009D5FD9" w:rsidP="009D5FD9">
      <w:r>
        <w:t xml:space="preserve">MSAC noted that comparative effectiveness evidence against </w:t>
      </w:r>
      <w:r w:rsidRPr="005C0139">
        <w:rPr>
          <w:vertAlign w:val="superscript"/>
        </w:rPr>
        <w:t>177</w:t>
      </w:r>
      <w:r>
        <w:t xml:space="preserve">Lu-DOTATATE was only found for two comparator treatments (octreotide and sunitinib). A network meta-analysis (NMA) was conducted to generate </w:t>
      </w:r>
      <w:r w:rsidR="00944653">
        <w:t xml:space="preserve">indirect </w:t>
      </w:r>
      <w:r>
        <w:t xml:space="preserve">evidence. Based on the NMA, </w:t>
      </w:r>
      <w:r w:rsidRPr="005C0139">
        <w:rPr>
          <w:vertAlign w:val="superscript"/>
        </w:rPr>
        <w:t>177</w:t>
      </w:r>
      <w:r>
        <w:t>Lu-DOTATATE was associated with:</w:t>
      </w:r>
    </w:p>
    <w:p w14:paraId="020E7F42" w14:textId="5D7CE237" w:rsidR="009D5FD9" w:rsidRDefault="009D5FD9" w:rsidP="009D5FD9">
      <w:pPr>
        <w:pStyle w:val="ListParagraph"/>
        <w:numPr>
          <w:ilvl w:val="0"/>
          <w:numId w:val="34"/>
        </w:numPr>
        <w:spacing w:before="0" w:after="0" w:line="240" w:lineRule="auto"/>
      </w:pPr>
      <w:r>
        <w:t xml:space="preserve">statistically significant improvements in progression-free survival (PFS) </w:t>
      </w:r>
      <w:r w:rsidR="00B91278">
        <w:t>versus</w:t>
      </w:r>
      <w:r>
        <w:t xml:space="preserve"> all examined comparators (however, this was based on indirect evidence)</w:t>
      </w:r>
    </w:p>
    <w:p w14:paraId="0134AA46" w14:textId="16BBFFCE" w:rsidR="009D5FD9" w:rsidRDefault="009D5FD9" w:rsidP="009D5FD9">
      <w:pPr>
        <w:pStyle w:val="ListParagraph"/>
        <w:numPr>
          <w:ilvl w:val="0"/>
          <w:numId w:val="34"/>
        </w:numPr>
        <w:spacing w:before="0" w:after="0" w:line="240" w:lineRule="auto"/>
      </w:pPr>
      <w:r>
        <w:t xml:space="preserve">non-significant improvement (i.e. no evidence of change) in overall survival (OS) compared to four comparators, </w:t>
      </w:r>
      <w:r w:rsidR="004F3B9C">
        <w:t xml:space="preserve">and inferior improvement compared </w:t>
      </w:r>
      <w:r w:rsidR="00B91278">
        <w:t>with</w:t>
      </w:r>
      <w:r>
        <w:t xml:space="preserve"> sunitinib.</w:t>
      </w:r>
    </w:p>
    <w:p w14:paraId="5C74E1BF" w14:textId="77777777" w:rsidR="009D5FD9" w:rsidRDefault="009D5FD9" w:rsidP="009D5FD9">
      <w:r>
        <w:t>However, MSAC noted that there were significant transitivity issues with the NMA that made the findings highly uncertain, including:</w:t>
      </w:r>
    </w:p>
    <w:p w14:paraId="0B055492" w14:textId="30C2926C" w:rsidR="009D5FD9" w:rsidRDefault="009D5FD9" w:rsidP="009D5FD9">
      <w:pPr>
        <w:pStyle w:val="ListParagraph"/>
        <w:numPr>
          <w:ilvl w:val="0"/>
          <w:numId w:val="33"/>
        </w:numPr>
        <w:spacing w:before="0" w:after="0" w:line="240" w:lineRule="auto"/>
      </w:pPr>
      <w:r>
        <w:t>only one o</w:t>
      </w:r>
      <w:r w:rsidR="00B4354F">
        <w:t xml:space="preserve">f </w:t>
      </w:r>
      <w:r>
        <w:t xml:space="preserve">two trials informed each pairwise connection, resulting in </w:t>
      </w:r>
      <w:proofErr w:type="gramStart"/>
      <w:r>
        <w:t>imprecision</w:t>
      </w:r>
      <w:proofErr w:type="gramEnd"/>
    </w:p>
    <w:p w14:paraId="668A12E5" w14:textId="77777777" w:rsidR="009D5FD9" w:rsidRDefault="009D5FD9" w:rsidP="009D5FD9">
      <w:pPr>
        <w:pStyle w:val="ListParagraph"/>
        <w:numPr>
          <w:ilvl w:val="0"/>
          <w:numId w:val="33"/>
        </w:numPr>
        <w:spacing w:before="0" w:after="0" w:line="240" w:lineRule="auto"/>
      </w:pPr>
      <w:r>
        <w:t xml:space="preserve">the key assumption of similarity and transitivity was </w:t>
      </w:r>
      <w:proofErr w:type="gramStart"/>
      <w:r>
        <w:t>breached</w:t>
      </w:r>
      <w:proofErr w:type="gramEnd"/>
    </w:p>
    <w:p w14:paraId="5A03BB53" w14:textId="425BB11E" w:rsidR="009D5FD9" w:rsidRDefault="009D5FD9" w:rsidP="009D5FD9">
      <w:pPr>
        <w:pStyle w:val="ListParagraph"/>
        <w:numPr>
          <w:ilvl w:val="0"/>
          <w:numId w:val="33"/>
        </w:numPr>
        <w:spacing w:before="0" w:after="0" w:line="240" w:lineRule="auto"/>
      </w:pPr>
      <w:r>
        <w:t>there were methodological issues associated with the individual studies, resulting in selection and measurement bias</w:t>
      </w:r>
      <w:r w:rsidDel="00417AFE">
        <w:t xml:space="preserve"> </w:t>
      </w:r>
      <w:r>
        <w:t xml:space="preserve">in individual studies, </w:t>
      </w:r>
      <w:r w:rsidR="00DC6E1E">
        <w:t>with</w:t>
      </w:r>
      <w:r w:rsidR="003A69F6">
        <w:t xml:space="preserve"> an unknown magnitude or</w:t>
      </w:r>
      <w:r w:rsidR="00D04433">
        <w:t xml:space="preserve"> </w:t>
      </w:r>
      <w:r>
        <w:t>direction of the biases</w:t>
      </w:r>
      <w:r w:rsidR="008C3910">
        <w:t>.</w:t>
      </w:r>
    </w:p>
    <w:p w14:paraId="5C363AB7" w14:textId="77777777" w:rsidR="009D5FD9" w:rsidRDefault="009D5FD9" w:rsidP="009D5FD9">
      <w:r>
        <w:t>MSAC noted that the transitivity and potential biases associated with the indirect treatment comparisons resulted in inconsistency between OS and PFS results across comparators. The uncertainty in the indirect evidence of comparative effectiveness had flow-on effects to the reliability of the inputs used in the economic model.</w:t>
      </w:r>
    </w:p>
    <w:p w14:paraId="0BA607CF" w14:textId="4B027358" w:rsidR="00C561D7" w:rsidRDefault="00C561D7" w:rsidP="00C561D7">
      <w:r>
        <w:t>MSAC noted that the economic evaluation was a cost-utility analysis considering lifetime quality-adjusted life years (QALYs) and healthcare costs. It used a partitioned survival approach, which MSAC considered appropriate. MSAC also considered the model structure to be reasonable. However, the model relie</w:t>
      </w:r>
      <w:r w:rsidR="002113E7">
        <w:t>d</w:t>
      </w:r>
      <w:r>
        <w:t xml:space="preserve"> on acceptance of the clinical evaluation assuming efficacy and safety of </w:t>
      </w:r>
      <w:r w:rsidRPr="007A7786">
        <w:rPr>
          <w:vertAlign w:val="superscript"/>
        </w:rPr>
        <w:t>177</w:t>
      </w:r>
      <w:r>
        <w:t xml:space="preserve">Lu-DOTA-octreotate is noninferior to </w:t>
      </w:r>
      <w:r w:rsidRPr="005C0139">
        <w:rPr>
          <w:vertAlign w:val="superscript"/>
        </w:rPr>
        <w:t>177</w:t>
      </w:r>
      <w:r>
        <w:t xml:space="preserve">Lu-DOTATATE, as well as acceptance of the results of the NMA. The economic evaluation used </w:t>
      </w:r>
      <w:r w:rsidRPr="007A7786">
        <w:rPr>
          <w:vertAlign w:val="superscript"/>
        </w:rPr>
        <w:t>177</w:t>
      </w:r>
      <w:r>
        <w:t>Lu-DOTA-octreotate as a first-line treatment against the six comparators, but MSAC considered it is more likely to be used as a second-line treatment in clinical practice.</w:t>
      </w:r>
    </w:p>
    <w:p w14:paraId="7B86482B" w14:textId="380FD6A7" w:rsidR="00C561D7" w:rsidRDefault="00C561D7" w:rsidP="00C561D7">
      <w:r>
        <w:t xml:space="preserve">MSAC noted that the incremental cost-effectiveness ratio (ICER) was highly uncertain and variable against the comparators. However, ICERs were &lt;$50,000 (most &lt;$35,000) per QALY for </w:t>
      </w:r>
      <w:proofErr w:type="gramStart"/>
      <w:r w:rsidR="00067EA6">
        <w:t>the majority of</w:t>
      </w:r>
      <w:proofErr w:type="gramEnd"/>
      <w:r w:rsidR="00D04433">
        <w:t xml:space="preserve"> </w:t>
      </w:r>
      <w:r>
        <w:t xml:space="preserve">modelled scenarios, which is in the range </w:t>
      </w:r>
      <w:r w:rsidR="00A150B4">
        <w:t>typically considered acceptable by</w:t>
      </w:r>
      <w:r w:rsidR="00D04433">
        <w:t xml:space="preserve"> </w:t>
      </w:r>
      <w:r>
        <w:t xml:space="preserve">MSAC. One scenario showed </w:t>
      </w:r>
      <w:r w:rsidRPr="00577B88">
        <w:rPr>
          <w:vertAlign w:val="superscript"/>
        </w:rPr>
        <w:t>177</w:t>
      </w:r>
      <w:r w:rsidRPr="00577B88">
        <w:t xml:space="preserve">Lu-DOTATATE </w:t>
      </w:r>
      <w:r>
        <w:t xml:space="preserve">to be dominated by sunitinib, which MSAC considered surprising from a clinical perspective as there is a lack of evidence that sunitinib prolongs OS in small bowel NENs; MSAC noted that the DCAR model appeared to have applied the same sunitinib efficacy to all NENs, overestimating likely response. Additionally, MSAC noted that the only head-to-head trial of sunitinib vs </w:t>
      </w:r>
      <w:r w:rsidRPr="005C0139">
        <w:rPr>
          <w:vertAlign w:val="superscript"/>
        </w:rPr>
        <w:t>177</w:t>
      </w:r>
      <w:r>
        <w:t>Lu-DOTATATE (</w:t>
      </w:r>
      <w:hyperlink r:id="rId9" w:history="1">
        <w:r w:rsidRPr="00886BD8">
          <w:rPr>
            <w:rStyle w:val="Hyperlink"/>
          </w:rPr>
          <w:t>OCCLURANDOM</w:t>
        </w:r>
      </w:hyperlink>
      <w:r>
        <w:t xml:space="preserve">) showed that </w:t>
      </w:r>
      <w:r w:rsidRPr="005C0139">
        <w:rPr>
          <w:vertAlign w:val="superscript"/>
        </w:rPr>
        <w:t>177</w:t>
      </w:r>
      <w:r>
        <w:t xml:space="preserve">Lu-DOTATATE had better PFS and fewer AEs. MSAC also questioned the conclusion that domination by sunitinib </w:t>
      </w:r>
      <w:r w:rsidR="00B85F69">
        <w:t>wa</w:t>
      </w:r>
      <w:r>
        <w:t xml:space="preserve">s related to better OS, as OS was not yet reported in the OCCLURANDOM trials; in recent published abstracts, there was only one death and that was in the sunitinib arm. </w:t>
      </w:r>
      <w:proofErr w:type="gramStart"/>
      <w:r w:rsidR="001A74EE">
        <w:t>However</w:t>
      </w:r>
      <w:proofErr w:type="gramEnd"/>
      <w:r w:rsidR="001A74EE">
        <w:t xml:space="preserve"> despite these limitations</w:t>
      </w:r>
      <w:r>
        <w:t xml:space="preserve">, MSAC considered that, due to the </w:t>
      </w:r>
      <w:r w:rsidR="001A74EE">
        <w:t xml:space="preserve">complexity of the clinical presentation of NENs and the </w:t>
      </w:r>
      <w:r w:rsidR="00E55988">
        <w:t xml:space="preserve">low </w:t>
      </w:r>
      <w:r>
        <w:t xml:space="preserve">likelihood of better-quality RCT evidence to reduce the uncertainty of the economic analysis, the current model is sufficient </w:t>
      </w:r>
      <w:r w:rsidR="00681526">
        <w:t>for exploring the likely</w:t>
      </w:r>
      <w:r>
        <w:t xml:space="preserve"> cost-effectiveness</w:t>
      </w:r>
      <w:r w:rsidR="00681526">
        <w:t xml:space="preserve"> of therapy with</w:t>
      </w:r>
      <w:r w:rsidR="00344123">
        <w:t xml:space="preserve"> </w:t>
      </w:r>
      <w:r w:rsidR="00344123" w:rsidRPr="00734D83">
        <w:rPr>
          <w:rFonts w:cs="Segoe UI"/>
          <w:vertAlign w:val="superscript"/>
        </w:rPr>
        <w:t>177</w:t>
      </w:r>
      <w:r w:rsidR="00344123" w:rsidRPr="00734D83">
        <w:rPr>
          <w:rFonts w:cs="Segoe UI"/>
        </w:rPr>
        <w:t>Lu-</w:t>
      </w:r>
      <w:r w:rsidR="00344123" w:rsidRPr="00982CA4">
        <w:rPr>
          <w:rFonts w:cs="Segoe UI"/>
        </w:rPr>
        <w:t>DOTA-octreotate</w:t>
      </w:r>
      <w:r w:rsidR="00344123">
        <w:rPr>
          <w:rFonts w:cs="Segoe UI"/>
        </w:rPr>
        <w:t xml:space="preserve"> (assuming </w:t>
      </w:r>
      <w:r w:rsidR="0066377F">
        <w:rPr>
          <w:rFonts w:cs="Segoe UI"/>
        </w:rPr>
        <w:t>noninferiority between</w:t>
      </w:r>
      <w:r w:rsidR="00C00CDF">
        <w:rPr>
          <w:rFonts w:cs="Segoe UI"/>
        </w:rPr>
        <w:t xml:space="preserve"> the applicant’s product and</w:t>
      </w:r>
      <w:r w:rsidR="00344123">
        <w:rPr>
          <w:vertAlign w:val="superscript"/>
        </w:rPr>
        <w:t xml:space="preserve"> </w:t>
      </w:r>
      <w:r w:rsidR="00681526" w:rsidRPr="005C0139">
        <w:rPr>
          <w:vertAlign w:val="superscript"/>
        </w:rPr>
        <w:t>177</w:t>
      </w:r>
      <w:r w:rsidR="00681526">
        <w:t>Lu-DOTATATE</w:t>
      </w:r>
      <w:r w:rsidR="00C00CDF">
        <w:t>)</w:t>
      </w:r>
      <w:r>
        <w:t>, and the ICERs appear acceptable.</w:t>
      </w:r>
    </w:p>
    <w:p w14:paraId="698B8DC2" w14:textId="77777777" w:rsidR="00C561D7" w:rsidRDefault="00C561D7" w:rsidP="00C561D7">
      <w:r>
        <w:lastRenderedPageBreak/>
        <w:t>The key drivers of the model were the comparative effectiveness relative to the six comparators (high impact), the choice of the health state utility values (high impact) and the choice of the parametric distribution for PFS and OS (moderate impact).</w:t>
      </w:r>
    </w:p>
    <w:p w14:paraId="29CA3A4C" w14:textId="77777777" w:rsidR="00C561D7" w:rsidRDefault="00C561D7" w:rsidP="00C561D7">
      <w:r>
        <w:t>MSAC noted that additional scenarios requested by ESC were included in the addendum. These were:</w:t>
      </w:r>
    </w:p>
    <w:p w14:paraId="4E2B41E3" w14:textId="77777777" w:rsidR="00C561D7" w:rsidRDefault="00C561D7" w:rsidP="00C561D7">
      <w:pPr>
        <w:pStyle w:val="ListParagraph"/>
        <w:numPr>
          <w:ilvl w:val="0"/>
          <w:numId w:val="35"/>
        </w:numPr>
        <w:spacing w:before="0" w:after="0" w:line="240" w:lineRule="auto"/>
      </w:pPr>
      <w:r>
        <w:t>converting the base case from average time on treatment based on 3.5 administrations to time based on dosing regimen in the NETTER-1 trial (4 infusions at 1 infusion every 8 weeks)</w:t>
      </w:r>
    </w:p>
    <w:p w14:paraId="6C8B77DB" w14:textId="77777777" w:rsidR="00C561D7" w:rsidRDefault="00C561D7" w:rsidP="00C561D7">
      <w:pPr>
        <w:pStyle w:val="ListParagraph"/>
        <w:numPr>
          <w:ilvl w:val="0"/>
          <w:numId w:val="35"/>
        </w:numPr>
        <w:spacing w:before="0" w:after="0" w:line="240" w:lineRule="auto"/>
      </w:pPr>
      <w:r>
        <w:t xml:space="preserve">including a scenario of 4 cycles over 8 months, which may be more realistic due to treatment being </w:t>
      </w:r>
      <w:proofErr w:type="gramStart"/>
      <w:r>
        <w:t>unrestricted</w:t>
      </w:r>
      <w:proofErr w:type="gramEnd"/>
    </w:p>
    <w:p w14:paraId="3D81F6F5" w14:textId="77777777" w:rsidR="00C561D7" w:rsidRDefault="00C561D7" w:rsidP="00C561D7">
      <w:pPr>
        <w:pStyle w:val="ListParagraph"/>
        <w:numPr>
          <w:ilvl w:val="0"/>
          <w:numId w:val="35"/>
        </w:numPr>
        <w:spacing w:before="0" w:after="0" w:line="240" w:lineRule="auto"/>
      </w:pPr>
      <w:r>
        <w:t>including an additional two consolidation cycles of therapy following progression of disease.</w:t>
      </w:r>
    </w:p>
    <w:p w14:paraId="3DEBEC25" w14:textId="77777777" w:rsidR="00C561D7" w:rsidRDefault="00C561D7" w:rsidP="00C561D7">
      <w:r>
        <w:t>MSAC noted that these scenarios had little impact on the ICER.</w:t>
      </w:r>
    </w:p>
    <w:p w14:paraId="1ECF2ACC" w14:textId="23D85375" w:rsidR="00C561D7" w:rsidRDefault="00C561D7" w:rsidP="00C561D7">
      <w:r>
        <w:t>MSAC noted that the estimated financial impacts to the MBS</w:t>
      </w:r>
      <w:r w:rsidR="00B3688C">
        <w:t xml:space="preserve"> under the scenario defined by ESC </w:t>
      </w:r>
      <w:r>
        <w:t xml:space="preserve">were $12,561,865 in </w:t>
      </w:r>
      <w:r w:rsidR="00575564">
        <w:t>Y</w:t>
      </w:r>
      <w:r>
        <w:t xml:space="preserve">ear 1 increasing to $14,053,288 in </w:t>
      </w:r>
      <w:r w:rsidR="00575564">
        <w:t>Y</w:t>
      </w:r>
      <w:r>
        <w:t xml:space="preserve">ear 4 (total of $53.2 million over 4 years), with the PRRT fee set at $10,000. The figures were based on approximately 80% of patients diagnosed with NENs receiving </w:t>
      </w:r>
      <w:r w:rsidRPr="00A836D3">
        <w:rPr>
          <w:vertAlign w:val="superscript"/>
        </w:rPr>
        <w:t>68</w:t>
      </w:r>
      <w:r>
        <w:t xml:space="preserve">Ga-DOTA-octreotate PET/CT, with 30% of these undergoing FDG PET/CT (as stated previously, this is already covered by MBS item 61612). It also assumed patients undergoing PRRT would require at least one follow-up </w:t>
      </w:r>
      <w:r w:rsidRPr="00A836D3">
        <w:rPr>
          <w:vertAlign w:val="superscript"/>
        </w:rPr>
        <w:t>68</w:t>
      </w:r>
      <w:r>
        <w:t xml:space="preserve">Ga-DOTA-octreotate PET/CT to determine treatment response or recurrence, as well as assuming no change in the use of comparator therapies. MSAC noted from ESC that the uptake rate and number of cycles of </w:t>
      </w:r>
      <w:r w:rsidRPr="007A7786">
        <w:rPr>
          <w:vertAlign w:val="superscript"/>
        </w:rPr>
        <w:t>177</w:t>
      </w:r>
      <w:r>
        <w:t xml:space="preserve">Lu-DOTA-octreotate are uncertain, and small changes affect the financial estimates. </w:t>
      </w:r>
      <w:r w:rsidR="00B3688C">
        <w:t>However</w:t>
      </w:r>
      <w:r w:rsidR="00FE1ED2">
        <w:t>,</w:t>
      </w:r>
      <w:r w:rsidR="00B3688C">
        <w:t xml:space="preserve"> MSAC considered that the financial estimates</w:t>
      </w:r>
      <w:r w:rsidR="00193268">
        <w:t xml:space="preserve"> prese</w:t>
      </w:r>
      <w:r w:rsidR="004B3402">
        <w:t>nted in the addendum</w:t>
      </w:r>
      <w:r w:rsidR="00B3688C">
        <w:t xml:space="preserve"> were likely to constitute the upper limit of the financial impacts of listing.</w:t>
      </w:r>
    </w:p>
    <w:p w14:paraId="0CA9A868" w14:textId="0CEFD5F5" w:rsidR="00C561D7" w:rsidRDefault="00C561D7" w:rsidP="00C561D7">
      <w:r>
        <w:t>MSAC considered it unlikely that 80% of the incident population will be assessed</w:t>
      </w:r>
      <w:r w:rsidR="004B3402">
        <w:t xml:space="preserve"> for therapy</w:t>
      </w:r>
      <w:r w:rsidR="006661A7">
        <w:t>:</w:t>
      </w:r>
      <w:r>
        <w:t xml:space="preserve"> MSAC noted that the </w:t>
      </w:r>
      <w:r w:rsidR="007C12D3">
        <w:t>RBWH</w:t>
      </w:r>
      <w:r w:rsidR="002A353D">
        <w:t xml:space="preserve"> </w:t>
      </w:r>
      <w:r>
        <w:t xml:space="preserve">currently treats </w:t>
      </w:r>
      <w:r w:rsidR="001A74EE">
        <w:t xml:space="preserve">in the order of </w:t>
      </w:r>
      <w:r>
        <w:t>35 new patients/year</w:t>
      </w:r>
      <w:r w:rsidR="002A353D">
        <w:t xml:space="preserve"> with </w:t>
      </w:r>
      <w:r w:rsidR="00D1448D" w:rsidRPr="005C0139">
        <w:rPr>
          <w:vertAlign w:val="superscript"/>
        </w:rPr>
        <w:t>177</w:t>
      </w:r>
      <w:r w:rsidR="00D1448D">
        <w:t>Lu-DOTATATE therapy</w:t>
      </w:r>
      <w:r>
        <w:t xml:space="preserve">, which </w:t>
      </w:r>
      <w:r w:rsidR="006661A7">
        <w:t>w</w:t>
      </w:r>
      <w:r>
        <w:t xml:space="preserve">ould equate to approximately 175 patients/year in Australia. MSAC also considered that there should be no restrictions on the number of treatment cycles, as neuroendocrine tumours behave differently depending on their </w:t>
      </w:r>
      <w:r w:rsidR="001A74EE">
        <w:t xml:space="preserve">subtype and </w:t>
      </w:r>
      <w:r>
        <w:t xml:space="preserve">grade. Including potential retreatment and additional </w:t>
      </w:r>
      <w:r w:rsidRPr="00A836D3">
        <w:rPr>
          <w:vertAlign w:val="superscript"/>
        </w:rPr>
        <w:t>68</w:t>
      </w:r>
      <w:r>
        <w:t>Ga-DOTA-octreotate PET/CT for response monitoring, using a treatment fee of $10,000 and excluding FDG PET/CT, MSAC noted that the estimated financial impact to the MBS is more likely to be approximately $8–10 million/year over 6 years.</w:t>
      </w:r>
    </w:p>
    <w:p w14:paraId="6A32F238" w14:textId="68AE474B" w:rsidR="00710079" w:rsidRDefault="00C561D7" w:rsidP="007D3D34">
      <w:r>
        <w:t xml:space="preserve">Overall, MSAC deferred </w:t>
      </w:r>
      <w:r w:rsidR="00171CBD">
        <w:t>its advice</w:t>
      </w:r>
      <w:r>
        <w:t xml:space="preserve"> on MBS listing of </w:t>
      </w:r>
      <w:r w:rsidRPr="00963BCF">
        <w:rPr>
          <w:vertAlign w:val="superscript"/>
        </w:rPr>
        <w:t>177</w:t>
      </w:r>
      <w:r>
        <w:t xml:space="preserve">Lu-DOTA-octreotate treatment for advanced NENs with H-SSTR expression. MSAC acknowledged the high clinical need for </w:t>
      </w:r>
      <w:r w:rsidR="00784E13">
        <w:t>a therapy for NENs</w:t>
      </w:r>
      <w:r>
        <w:t xml:space="preserve">, and that the rarity of the disease </w:t>
      </w:r>
      <w:r w:rsidR="00784E13">
        <w:t xml:space="preserve">presents challenges for </w:t>
      </w:r>
      <w:proofErr w:type="gramStart"/>
      <w:r w:rsidR="00784E13">
        <w:t xml:space="preserve">collecting </w:t>
      </w:r>
      <w:r>
        <w:t xml:space="preserve"> high</w:t>
      </w:r>
      <w:proofErr w:type="gramEnd"/>
      <w:r>
        <w:t xml:space="preserve">-quality evidence. MSAC also acknowledged that </w:t>
      </w:r>
      <w:r w:rsidR="00784E13" w:rsidRPr="00963BCF">
        <w:rPr>
          <w:vertAlign w:val="superscript"/>
        </w:rPr>
        <w:t>177</w:t>
      </w:r>
      <w:r w:rsidR="00784E13">
        <w:t xml:space="preserve">Lu-DOTA-octreotate </w:t>
      </w:r>
      <w:r>
        <w:t xml:space="preserve">has been used for the past 10 years in Australia and is considered standard of care for NEN patients. However, the evidence presented </w:t>
      </w:r>
      <w:r w:rsidR="001A74EE">
        <w:t xml:space="preserve">in the DCAR </w:t>
      </w:r>
      <w:r>
        <w:t xml:space="preserve">for comparative effectiveness and safety was for another product, </w:t>
      </w:r>
      <w:r w:rsidRPr="005C0139">
        <w:rPr>
          <w:vertAlign w:val="superscript"/>
        </w:rPr>
        <w:t>177</w:t>
      </w:r>
      <w:r>
        <w:t xml:space="preserve">Lu-DOTATATE. Although MSAC considered that this product appeared to have superior clinical effectiveness and non-inferior safety, the </w:t>
      </w:r>
      <w:r w:rsidR="00B3688C">
        <w:t xml:space="preserve">assumed non-inferiority </w:t>
      </w:r>
      <w:r>
        <w:t xml:space="preserve">between </w:t>
      </w:r>
      <w:r w:rsidR="00B3688C" w:rsidRPr="005C0139">
        <w:rPr>
          <w:vertAlign w:val="superscript"/>
        </w:rPr>
        <w:t>177</w:t>
      </w:r>
      <w:r w:rsidR="00B3688C">
        <w:t>Lu-</w:t>
      </w:r>
      <w:proofErr w:type="gramStart"/>
      <w:r w:rsidR="00B3688C">
        <w:t>DOTATATE</w:t>
      </w:r>
      <w:r w:rsidR="00B3688C" w:rsidDel="00B3688C">
        <w:t xml:space="preserve"> </w:t>
      </w:r>
      <w:r>
        <w:t xml:space="preserve"> and</w:t>
      </w:r>
      <w:proofErr w:type="gramEnd"/>
      <w:r>
        <w:t xml:space="preserve"> the proposed product, </w:t>
      </w:r>
      <w:r w:rsidRPr="00963BCF">
        <w:rPr>
          <w:vertAlign w:val="superscript"/>
        </w:rPr>
        <w:t>177</w:t>
      </w:r>
      <w:r>
        <w:t xml:space="preserve">Lu-DOTA-octreotate, </w:t>
      </w:r>
      <w:r w:rsidR="00B3688C">
        <w:t xml:space="preserve"> upon which the assessment of </w:t>
      </w:r>
      <w:r w:rsidR="00D26225">
        <w:t>comparative safety,</w:t>
      </w:r>
      <w:r w:rsidR="00B3688C">
        <w:t xml:space="preserve"> effectiveness and cost-effectiveness was premised </w:t>
      </w:r>
      <w:r>
        <w:t>was uncertain.</w:t>
      </w:r>
    </w:p>
    <w:p w14:paraId="2CA52AD0" w14:textId="5B27AFE7" w:rsidR="00710079" w:rsidRDefault="004B585D" w:rsidP="00E35197">
      <w:pPr>
        <w:keepNext/>
        <w:keepLines/>
      </w:pPr>
      <w:r>
        <w:lastRenderedPageBreak/>
        <w:t>MSAC was of the view that i</w:t>
      </w:r>
      <w:r w:rsidR="00C561D7">
        <w:t xml:space="preserve">ndependent radiochemist advice is needed to </w:t>
      </w:r>
      <w:r w:rsidR="00B3688C">
        <w:t xml:space="preserve">establish </w:t>
      </w:r>
      <w:r w:rsidR="00A80F6E">
        <w:t xml:space="preserve">either </w:t>
      </w:r>
      <w:r w:rsidR="001A74EE">
        <w:t xml:space="preserve">the degree of </w:t>
      </w:r>
      <w:r w:rsidR="00B3688C">
        <w:t xml:space="preserve">chemical similarity or similarity of </w:t>
      </w:r>
      <w:r w:rsidR="00A80F6E">
        <w:t xml:space="preserve">biodistribution between the two products </w:t>
      </w:r>
      <w:proofErr w:type="gramStart"/>
      <w:r w:rsidR="00A80F6E">
        <w:t>in order to</w:t>
      </w:r>
      <w:proofErr w:type="gramEnd"/>
      <w:r w:rsidR="00A80F6E">
        <w:t xml:space="preserve"> establish non-inferior</w:t>
      </w:r>
      <w:r>
        <w:t xml:space="preserve"> </w:t>
      </w:r>
      <w:r w:rsidR="00A80F6E">
        <w:t>safety and efficacy</w:t>
      </w:r>
      <w:r w:rsidR="00C561D7">
        <w:t xml:space="preserve">. </w:t>
      </w:r>
      <w:proofErr w:type="gramStart"/>
      <w:r w:rsidR="00710079">
        <w:t>In particular, MSAC</w:t>
      </w:r>
      <w:proofErr w:type="gramEnd"/>
      <w:r w:rsidR="00710079">
        <w:t xml:space="preserve"> considered that in order to establish </w:t>
      </w:r>
      <w:r w:rsidR="001A74EE">
        <w:t xml:space="preserve">the </w:t>
      </w:r>
      <w:r w:rsidR="00710079">
        <w:t xml:space="preserve">similarity of chemical structure between the two products, expert </w:t>
      </w:r>
      <w:r w:rsidR="00C45BB5">
        <w:t xml:space="preserve">independent </w:t>
      </w:r>
      <w:r w:rsidR="00710079">
        <w:t>radiochemist opinion w</w:t>
      </w:r>
      <w:r w:rsidR="00C45BB5">
        <w:t>ould be</w:t>
      </w:r>
      <w:r w:rsidR="00710079">
        <w:t xml:space="preserve"> needed to verify the similarity of the following in the two products:</w:t>
      </w:r>
    </w:p>
    <w:p w14:paraId="576840F5" w14:textId="77777777" w:rsidR="00710079" w:rsidRDefault="00710079" w:rsidP="00E35197">
      <w:pPr>
        <w:pStyle w:val="ListParagraph"/>
        <w:keepNext/>
        <w:keepLines/>
        <w:numPr>
          <w:ilvl w:val="0"/>
          <w:numId w:val="36"/>
        </w:numPr>
      </w:pPr>
      <w:r w:rsidRPr="00A52830">
        <w:t>targeting moiety (peptide</w:t>
      </w:r>
      <w:r>
        <w:t>s</w:t>
      </w:r>
      <w:r w:rsidRPr="00A52830">
        <w:t>)</w:t>
      </w:r>
    </w:p>
    <w:p w14:paraId="5590D736" w14:textId="77777777" w:rsidR="00710079" w:rsidRDefault="00710079" w:rsidP="00E35197">
      <w:pPr>
        <w:pStyle w:val="ListParagraph"/>
        <w:keepNext/>
        <w:keepLines/>
        <w:numPr>
          <w:ilvl w:val="0"/>
          <w:numId w:val="36"/>
        </w:numPr>
      </w:pPr>
      <w:r>
        <w:t xml:space="preserve">the chelators binding </w:t>
      </w:r>
      <w:r w:rsidRPr="005C0139">
        <w:rPr>
          <w:vertAlign w:val="superscript"/>
        </w:rPr>
        <w:t>177</w:t>
      </w:r>
      <w:r>
        <w:t xml:space="preserve">Lu-DOTATATE to the </w:t>
      </w:r>
      <w:proofErr w:type="gramStart"/>
      <w:r>
        <w:t>peptides</w:t>
      </w:r>
      <w:proofErr w:type="gramEnd"/>
    </w:p>
    <w:p w14:paraId="309D1526" w14:textId="77777777" w:rsidR="00710079" w:rsidRDefault="00710079" w:rsidP="00710079">
      <w:pPr>
        <w:pStyle w:val="ListParagraph"/>
        <w:numPr>
          <w:ilvl w:val="0"/>
          <w:numId w:val="36"/>
        </w:numPr>
      </w:pPr>
      <w:r>
        <w:t>the linker which joins the chelator to the targeting part of the peptides.</w:t>
      </w:r>
    </w:p>
    <w:p w14:paraId="14982634" w14:textId="03B2E2C8" w:rsidR="00710079" w:rsidRDefault="00710079" w:rsidP="00710079">
      <w:r>
        <w:t>If chemical similarity cannot be established,</w:t>
      </w:r>
      <w:r w:rsidR="005C0C79">
        <w:t xml:space="preserve"> </w:t>
      </w:r>
      <w:r>
        <w:t xml:space="preserve">similarity of biodistribution between the two products </w:t>
      </w:r>
      <w:r w:rsidR="00B10EF6">
        <w:t>would need to be established based on the following questions</w:t>
      </w:r>
      <w:r>
        <w:t>:</w:t>
      </w:r>
    </w:p>
    <w:p w14:paraId="2BFE5DE7" w14:textId="77777777" w:rsidR="00710079" w:rsidRPr="00845AEA" w:rsidRDefault="00710079" w:rsidP="00710079">
      <w:pPr>
        <w:pStyle w:val="ListParagraph"/>
        <w:numPr>
          <w:ilvl w:val="0"/>
          <w:numId w:val="36"/>
        </w:numPr>
      </w:pPr>
      <w:r w:rsidRPr="00845AEA">
        <w:t xml:space="preserve">Are the molecular kinetics (tissue uptake and washout) of these agents equivalent in human tissues? </w:t>
      </w:r>
    </w:p>
    <w:p w14:paraId="5865258F" w14:textId="77777777" w:rsidR="00710079" w:rsidRPr="00845AEA" w:rsidRDefault="00710079" w:rsidP="00710079">
      <w:pPr>
        <w:pStyle w:val="ListParagraph"/>
        <w:numPr>
          <w:ilvl w:val="0"/>
          <w:numId w:val="36"/>
        </w:numPr>
      </w:pPr>
      <w:r w:rsidRPr="00845AEA">
        <w:t>Is the measured radiation dose delivered equivalent in “at risk” healthy tissues?</w:t>
      </w:r>
    </w:p>
    <w:p w14:paraId="3B5EB318" w14:textId="77777777" w:rsidR="00710079" w:rsidRDefault="00710079" w:rsidP="00710079">
      <w:pPr>
        <w:pStyle w:val="ListParagraph"/>
        <w:numPr>
          <w:ilvl w:val="0"/>
          <w:numId w:val="36"/>
        </w:numPr>
      </w:pPr>
      <w:r w:rsidRPr="00845AEA">
        <w:t>Is the measured radiation dose delivered to the tumour tissue equivalent?</w:t>
      </w:r>
    </w:p>
    <w:p w14:paraId="32E01121" w14:textId="4F7C1DB9" w:rsidR="0045124C" w:rsidRDefault="005C0C79" w:rsidP="007C12D3">
      <w:r>
        <w:t>MSAC noted that information</w:t>
      </w:r>
      <w:r w:rsidR="00C45BB5">
        <w:t xml:space="preserve"> on the above </w:t>
      </w:r>
      <w:r w:rsidR="00DA7B46">
        <w:t xml:space="preserve">biodistribution </w:t>
      </w:r>
      <w:r w:rsidR="00C45BB5">
        <w:t>questions may be available from pre-clinical studies.</w:t>
      </w:r>
    </w:p>
    <w:p w14:paraId="4E66B5C2" w14:textId="5C402500" w:rsidR="007050F8" w:rsidRPr="00B84E88" w:rsidRDefault="007050F8" w:rsidP="007050F8">
      <w:r>
        <w:t>MSAC advised that if the similarity of chemical structure between the two products is not established, then additional evidence is required to establish similar biodistribution, efficacy and safety between the two products.  In this case</w:t>
      </w:r>
      <w:r w:rsidRPr="0A3B44D0">
        <w:t>,</w:t>
      </w:r>
      <w:r>
        <w:t xml:space="preserve"> MSAC </w:t>
      </w:r>
      <w:r w:rsidRPr="007D5FE3">
        <w:t>requested that a more comprehensive assessment of the efficacy and safety</w:t>
      </w:r>
      <w:r>
        <w:t xml:space="preserve"> </w:t>
      </w:r>
      <w:r w:rsidRPr="007D5FE3">
        <w:t xml:space="preserve">of </w:t>
      </w:r>
      <w:r w:rsidRPr="00483F1D">
        <w:rPr>
          <w:vertAlign w:val="superscript"/>
        </w:rPr>
        <w:t>177</w:t>
      </w:r>
      <w:r w:rsidRPr="007D5FE3">
        <w:t xml:space="preserve">Lu-DOTA-octreotate and </w:t>
      </w:r>
      <w:proofErr w:type="spellStart"/>
      <w:r w:rsidRPr="007D5FE3">
        <w:t>Lutathera</w:t>
      </w:r>
      <w:proofErr w:type="spellEnd"/>
      <w:r w:rsidRPr="007D5FE3">
        <w:t>® (</w:t>
      </w:r>
      <w:r w:rsidRPr="00483F1D">
        <w:rPr>
          <w:vertAlign w:val="superscript"/>
        </w:rPr>
        <w:t>177</w:t>
      </w:r>
      <w:r w:rsidRPr="007D5FE3">
        <w:t>Lu-DOTATATE) be conducted</w:t>
      </w:r>
      <w:r>
        <w:t xml:space="preserve"> </w:t>
      </w:r>
      <w:proofErr w:type="gramStart"/>
      <w:r>
        <w:t>in order to</w:t>
      </w:r>
      <w:proofErr w:type="gramEnd"/>
      <w:r>
        <w:t xml:space="preserve"> demonstrate that the two products are noninferior in terms of health outcomes</w:t>
      </w:r>
      <w:r w:rsidRPr="007D5FE3">
        <w:t xml:space="preserve">. </w:t>
      </w:r>
      <w:r w:rsidR="00942FD9">
        <w:t xml:space="preserve">MSAC noted that there was both available published observational studies and Australian RCTs </w:t>
      </w:r>
      <w:r w:rsidR="007D5578">
        <w:t>that used</w:t>
      </w:r>
      <w:r w:rsidR="00942FD9">
        <w:t xml:space="preserve"> the applicant’s product</w:t>
      </w:r>
      <w:r w:rsidR="00190AA7">
        <w:t xml:space="preserve"> (</w:t>
      </w:r>
      <w:r w:rsidR="00190AA7" w:rsidRPr="00963BCF">
        <w:rPr>
          <w:vertAlign w:val="superscript"/>
        </w:rPr>
        <w:t>177</w:t>
      </w:r>
      <w:r w:rsidR="00190AA7">
        <w:t>Lu-DOTA-octreotate)</w:t>
      </w:r>
      <w:r w:rsidR="007E415E">
        <w:t xml:space="preserve"> </w:t>
      </w:r>
      <w:r w:rsidR="00942FD9">
        <w:t xml:space="preserve">rather than </w:t>
      </w:r>
      <w:r w:rsidR="00942FD9" w:rsidRPr="005C0139">
        <w:rPr>
          <w:vertAlign w:val="superscript"/>
        </w:rPr>
        <w:t>177</w:t>
      </w:r>
      <w:r w:rsidR="00942FD9">
        <w:t>Lu-DOTATATE</w:t>
      </w:r>
      <w:r w:rsidR="00AC4882">
        <w:t xml:space="preserve"> (</w:t>
      </w:r>
      <w:proofErr w:type="spellStart"/>
      <w:r w:rsidR="00AC4882" w:rsidRPr="007D5FE3">
        <w:t>Lutathera</w:t>
      </w:r>
      <w:proofErr w:type="spellEnd"/>
      <w:r w:rsidR="00AC4882" w:rsidRPr="007D5FE3">
        <w:t>®</w:t>
      </w:r>
      <w:r w:rsidR="00AC4882">
        <w:t>)</w:t>
      </w:r>
      <w:r w:rsidR="00336972">
        <w:t xml:space="preserve"> </w:t>
      </w:r>
      <w:r w:rsidR="00D5001A">
        <w:t xml:space="preserve">but </w:t>
      </w:r>
      <w:r w:rsidR="009926D1">
        <w:t xml:space="preserve">that </w:t>
      </w:r>
      <w:r w:rsidR="00D5001A">
        <w:t>these studies were not evaluated in the DCAR.</w:t>
      </w:r>
    </w:p>
    <w:p w14:paraId="345588CA" w14:textId="0FBBA829" w:rsidR="003C7410" w:rsidRDefault="007D3D34" w:rsidP="00664474">
      <w:r w:rsidRPr="00215205">
        <w:t>MSAC also noted that there appeared to be several names used for the same product</w:t>
      </w:r>
      <w:r>
        <w:t xml:space="preserve">, so </w:t>
      </w:r>
      <w:r w:rsidRPr="00215205">
        <w:t xml:space="preserve">suggested consulting </w:t>
      </w:r>
      <w:r w:rsidR="001B68A8">
        <w:t xml:space="preserve">the applicant and </w:t>
      </w:r>
      <w:r w:rsidR="00AE053D">
        <w:t>appropriate clinicians and clinician organisations (e.g. the A</w:t>
      </w:r>
      <w:r w:rsidR="003C1D14">
        <w:t xml:space="preserve">ustralasian Association of Nuclear Medicine Specialists) to </w:t>
      </w:r>
      <w:r w:rsidR="00414737">
        <w:t xml:space="preserve">appropriately </w:t>
      </w:r>
      <w:r w:rsidR="00096508">
        <w:t xml:space="preserve">define the product </w:t>
      </w:r>
      <w:r w:rsidR="003C1D14">
        <w:t xml:space="preserve"> terminology</w:t>
      </w:r>
      <w:r w:rsidR="00043B25">
        <w:t xml:space="preserve"> to ensure </w:t>
      </w:r>
      <w:r w:rsidR="00037AF4">
        <w:t>appropriate</w:t>
      </w:r>
      <w:r w:rsidR="00C854B8">
        <w:t xml:space="preserve"> wording in the proposed </w:t>
      </w:r>
      <w:r>
        <w:t>agnostic item descriptor</w:t>
      </w:r>
      <w:r w:rsidR="00111A8D">
        <w:t xml:space="preserve"> </w:t>
      </w:r>
      <w:r w:rsidR="00FD5E0A">
        <w:t xml:space="preserve">for the proposed therapeutic service </w:t>
      </w:r>
      <w:r w:rsidR="00111A8D">
        <w:t>(</w:t>
      </w:r>
      <w:r w:rsidR="00111A8D" w:rsidRPr="00852103">
        <w:rPr>
          <w:vertAlign w:val="superscript"/>
        </w:rPr>
        <w:t>177</w:t>
      </w:r>
      <w:r w:rsidR="00111A8D" w:rsidRPr="00111A8D">
        <w:t>Lutetium-somastatin receptor agonist treatment</w:t>
      </w:r>
      <w:r w:rsidR="00037AF4">
        <w:t>)</w:t>
      </w:r>
      <w:r w:rsidR="0071066C">
        <w:t xml:space="preserve"> </w:t>
      </w:r>
      <w:r>
        <w:t xml:space="preserve">if this service is </w:t>
      </w:r>
      <w:r w:rsidR="00111A8D">
        <w:t>subsequently supported</w:t>
      </w:r>
      <w:r>
        <w:t xml:space="preserve"> for MBS listing.</w:t>
      </w:r>
    </w:p>
    <w:p w14:paraId="336CEBC2" w14:textId="65AF0BE4" w:rsidR="00C561D7" w:rsidRPr="00AF46D8" w:rsidRDefault="008F3D93" w:rsidP="00C561D7">
      <w:r>
        <w:t>MSAC considered that in drafting the item descriptor, the Department should ensure that patients with</w:t>
      </w:r>
      <w:r w:rsidR="00664474">
        <w:t xml:space="preserve"> </w:t>
      </w:r>
      <w:r>
        <w:t>phaeochromocytoma and paraganglioma are also eligible for this service.</w:t>
      </w:r>
      <w:r w:rsidR="00B70CFA">
        <w:t xml:space="preserve"> </w:t>
      </w:r>
      <w:r>
        <w:t xml:space="preserve">Due to </w:t>
      </w:r>
      <w:r w:rsidR="00C561D7">
        <w:t xml:space="preserve">the uncertainty in uptake and usage (i.e. number of cycles per patient), MSAC advised that, if the service is </w:t>
      </w:r>
      <w:r w:rsidR="00203E57">
        <w:t xml:space="preserve">subsequently </w:t>
      </w:r>
      <w:r w:rsidR="00C561D7">
        <w:t xml:space="preserve">listed, usage should be reviewed after 12 months. </w:t>
      </w:r>
      <w:r w:rsidR="00F4549A">
        <w:t xml:space="preserve">In addition, </w:t>
      </w:r>
      <w:r w:rsidR="00C561D7">
        <w:t>MSAC also supported the Department in monitoring the out-of-pocket costs for patients.</w:t>
      </w:r>
    </w:p>
    <w:p w14:paraId="6710B69D" w14:textId="58C3AB45" w:rsidR="00772829" w:rsidRDefault="000B228E" w:rsidP="002A18BE">
      <w:pPr>
        <w:pStyle w:val="Heading2"/>
        <w:numPr>
          <w:ilvl w:val="0"/>
          <w:numId w:val="0"/>
        </w:numPr>
      </w:pPr>
      <w:bookmarkStart w:id="3" w:name="_Toc161841929"/>
      <w:bookmarkStart w:id="4" w:name="_Toc165275514"/>
      <w:bookmarkEnd w:id="2"/>
      <w:r>
        <w:t>4</w:t>
      </w:r>
      <w:r w:rsidR="00C36633">
        <w:t>.</w:t>
      </w:r>
      <w:r w:rsidR="00C36633">
        <w:tab/>
      </w:r>
      <w:r w:rsidR="00772829" w:rsidRPr="00CE28E3">
        <w:t>Background</w:t>
      </w:r>
      <w:bookmarkEnd w:id="3"/>
      <w:bookmarkEnd w:id="4"/>
    </w:p>
    <w:p w14:paraId="048B9ECB" w14:textId="051A065B" w:rsidR="00034C5E" w:rsidRDefault="00034C5E" w:rsidP="00034C5E">
      <w:r w:rsidRPr="00B6133E">
        <w:t xml:space="preserve">MSAC has not previously considered </w:t>
      </w:r>
      <w:r w:rsidRPr="00B6133E">
        <w:rPr>
          <w:vertAlign w:val="superscript"/>
        </w:rPr>
        <w:t>177</w:t>
      </w:r>
      <w:r w:rsidRPr="00B6133E">
        <w:t>Lu-</w:t>
      </w:r>
      <w:r w:rsidR="00607D95">
        <w:t xml:space="preserve">DOTA-octreotate </w:t>
      </w:r>
      <w:r w:rsidRPr="00B6133E">
        <w:t xml:space="preserve">for the treatment of advanced NENs with </w:t>
      </w:r>
      <w:r w:rsidR="008C12A4">
        <w:t>H-</w:t>
      </w:r>
      <w:r w:rsidRPr="00B6133E">
        <w:t>SSTR expression</w:t>
      </w:r>
      <w:r w:rsidR="00FE0A55">
        <w:t>, n</w:t>
      </w:r>
      <w:r w:rsidRPr="00B6133E">
        <w:t>or has a similar technology been considered</w:t>
      </w:r>
      <w:r w:rsidR="00A628EF">
        <w:t xml:space="preserve"> for use in this treatment indication.</w:t>
      </w:r>
    </w:p>
    <w:p w14:paraId="7B5779C1" w14:textId="76E345A0" w:rsidR="00034C5E" w:rsidRDefault="00034C5E" w:rsidP="00034C5E">
      <w:r w:rsidRPr="00B6133E">
        <w:t xml:space="preserve">PASC ratified the PICO for </w:t>
      </w:r>
      <w:r w:rsidRPr="00B6133E">
        <w:rPr>
          <w:vertAlign w:val="superscript"/>
        </w:rPr>
        <w:t>177</w:t>
      </w:r>
      <w:r w:rsidRPr="00B6133E">
        <w:t>Lu-</w:t>
      </w:r>
      <w:r w:rsidR="00607D95">
        <w:t xml:space="preserve">DOTA-octreotate </w:t>
      </w:r>
      <w:r w:rsidR="007C549F">
        <w:t>at</w:t>
      </w:r>
      <w:r w:rsidRPr="00B6133E">
        <w:t xml:space="preserve"> its meeting </w:t>
      </w:r>
      <w:r w:rsidR="0065709A">
        <w:t>in</w:t>
      </w:r>
      <w:r w:rsidRPr="00B6133E">
        <w:t xml:space="preserve"> August 2023.</w:t>
      </w:r>
    </w:p>
    <w:p w14:paraId="6F52500A" w14:textId="231480FE" w:rsidR="00772829" w:rsidRPr="00CE28E3" w:rsidRDefault="000B228E" w:rsidP="00E35197">
      <w:pPr>
        <w:pStyle w:val="Heading2"/>
        <w:numPr>
          <w:ilvl w:val="0"/>
          <w:numId w:val="0"/>
        </w:numPr>
      </w:pPr>
      <w:bookmarkStart w:id="5" w:name="_Toc161841930"/>
      <w:bookmarkStart w:id="6" w:name="_Toc165275515"/>
      <w:r>
        <w:lastRenderedPageBreak/>
        <w:t>5</w:t>
      </w:r>
      <w:r w:rsidR="00C36633">
        <w:t>.</w:t>
      </w:r>
      <w:r w:rsidR="00C36633">
        <w:tab/>
      </w:r>
      <w:r w:rsidR="00772829" w:rsidRPr="00CE28E3">
        <w:t>Prerequisites to implementation of any funding advice</w:t>
      </w:r>
      <w:bookmarkEnd w:id="5"/>
      <w:bookmarkEnd w:id="6"/>
    </w:p>
    <w:p w14:paraId="5D084613" w14:textId="657BE80E" w:rsidR="00034C5E" w:rsidRPr="00FC6560" w:rsidRDefault="00034C5E" w:rsidP="00E35197">
      <w:pPr>
        <w:pStyle w:val="Instructionaltext"/>
        <w:keepNext/>
        <w:keepLines/>
        <w:rPr>
          <w:color w:val="auto"/>
        </w:rPr>
      </w:pPr>
      <w:r w:rsidRPr="00FC6560">
        <w:rPr>
          <w:color w:val="auto"/>
          <w:vertAlign w:val="superscript"/>
        </w:rPr>
        <w:t>177</w:t>
      </w:r>
      <w:r w:rsidRPr="00FC6560">
        <w:rPr>
          <w:color w:val="auto"/>
        </w:rPr>
        <w:t>Lu chloride was approved by the Therapeutic Goods Administration (TGA) on 8 December 2021, and was included on the Australian Register of Therapeutic Goods (ARTG) on 11 January 2022 (ARTG number: 352121).</w:t>
      </w:r>
      <w:r>
        <w:rPr>
          <w:color w:val="auto"/>
        </w:rPr>
        <w:t xml:space="preserve"> </w:t>
      </w:r>
      <w:r w:rsidRPr="003D711B">
        <w:rPr>
          <w:color w:val="auto"/>
        </w:rPr>
        <w:t>Its approved therapeutic use is as a radiopharmaceutical precursor</w:t>
      </w:r>
      <w:r w:rsidR="003D6144">
        <w:rPr>
          <w:color w:val="auto"/>
        </w:rPr>
        <w:t>;</w:t>
      </w:r>
      <w:r w:rsidRPr="003D711B">
        <w:rPr>
          <w:color w:val="auto"/>
        </w:rPr>
        <w:t xml:space="preserve"> it is not intended for direct use in patients. The registered use is: </w:t>
      </w:r>
      <w:r w:rsidR="003D6144">
        <w:rPr>
          <w:color w:val="auto"/>
        </w:rPr>
        <w:t>‘</w:t>
      </w:r>
      <w:r w:rsidRPr="003D711B">
        <w:rPr>
          <w:color w:val="auto"/>
        </w:rPr>
        <w:t>For the treatment of non</w:t>
      </w:r>
      <w:r w:rsidR="00213F70">
        <w:rPr>
          <w:color w:val="auto"/>
        </w:rPr>
        <w:t>-</w:t>
      </w:r>
      <w:proofErr w:type="spellStart"/>
      <w:r w:rsidRPr="003D711B">
        <w:rPr>
          <w:color w:val="auto"/>
        </w:rPr>
        <w:t>resectable</w:t>
      </w:r>
      <w:proofErr w:type="spellEnd"/>
      <w:r w:rsidRPr="003D711B">
        <w:rPr>
          <w:color w:val="auto"/>
        </w:rPr>
        <w:t xml:space="preserve"> or metastatic </w:t>
      </w:r>
      <w:r w:rsidR="00D82A28">
        <w:rPr>
          <w:color w:val="auto"/>
        </w:rPr>
        <w:t>NET</w:t>
      </w:r>
      <w:r w:rsidR="007718D2">
        <w:rPr>
          <w:color w:val="auto"/>
        </w:rPr>
        <w:t>s</w:t>
      </w:r>
      <w:r w:rsidRPr="003D711B">
        <w:rPr>
          <w:color w:val="auto"/>
        </w:rPr>
        <w:t xml:space="preserve"> expressing somatostatin subtype 2 receptors when coupled with a suitable carrier molecule</w:t>
      </w:r>
      <w:r>
        <w:rPr>
          <w:color w:val="auto"/>
        </w:rPr>
        <w:t>.</w:t>
      </w:r>
      <w:r w:rsidR="003D6144">
        <w:rPr>
          <w:color w:val="auto"/>
        </w:rPr>
        <w:t>’</w:t>
      </w:r>
    </w:p>
    <w:p w14:paraId="217533DA" w14:textId="1DD0BBDE" w:rsidR="00034C5E" w:rsidRPr="00FC6560" w:rsidRDefault="00034C5E" w:rsidP="00034C5E">
      <w:pPr>
        <w:pStyle w:val="Instructionaltext"/>
        <w:rPr>
          <w:color w:val="auto"/>
        </w:rPr>
      </w:pPr>
      <w:r w:rsidRPr="00FC6560">
        <w:rPr>
          <w:color w:val="auto"/>
        </w:rPr>
        <w:t xml:space="preserve">The </w:t>
      </w:r>
      <w:r w:rsidRPr="00FC6560">
        <w:rPr>
          <w:color w:val="auto"/>
          <w:vertAlign w:val="superscript"/>
        </w:rPr>
        <w:t>177</w:t>
      </w:r>
      <w:r w:rsidRPr="00FC6560">
        <w:rPr>
          <w:color w:val="auto"/>
        </w:rPr>
        <w:t>Lu</w:t>
      </w:r>
      <w:r w:rsidR="009740D5">
        <w:rPr>
          <w:color w:val="auto"/>
        </w:rPr>
        <w:t>-</w:t>
      </w:r>
      <w:r w:rsidR="00607D95">
        <w:rPr>
          <w:color w:val="auto"/>
        </w:rPr>
        <w:t xml:space="preserve">DOTA-octreotate </w:t>
      </w:r>
      <w:r w:rsidRPr="00FC6560">
        <w:rPr>
          <w:color w:val="auto"/>
        </w:rPr>
        <w:t xml:space="preserve">product </w:t>
      </w:r>
      <w:r w:rsidR="00EF6F7E" w:rsidRPr="00EF6F7E">
        <w:rPr>
          <w:color w:val="auto"/>
        </w:rPr>
        <w:t>is supplied as an extemporaneously manufactured medicine for individual patient use as prescribed by a medical practitioner. The product is exempt from ARTG entry</w:t>
      </w:r>
      <w:r w:rsidR="008A1C60">
        <w:rPr>
          <w:color w:val="auto"/>
        </w:rPr>
        <w:t>. The product</w:t>
      </w:r>
      <w:r w:rsidR="008A1C60">
        <w:t xml:space="preserve"> </w:t>
      </w:r>
      <w:r w:rsidRPr="00FC6560">
        <w:rPr>
          <w:color w:val="auto"/>
        </w:rPr>
        <w:t>that will be supplied by the applicant is produced by a TGA</w:t>
      </w:r>
      <w:r w:rsidR="00F9018C">
        <w:rPr>
          <w:color w:val="auto"/>
        </w:rPr>
        <w:t>-</w:t>
      </w:r>
      <w:r w:rsidRPr="00FC6560">
        <w:rPr>
          <w:color w:val="auto"/>
        </w:rPr>
        <w:t>licen</w:t>
      </w:r>
      <w:r w:rsidR="004A015A">
        <w:rPr>
          <w:color w:val="auto"/>
        </w:rPr>
        <w:t>s</w:t>
      </w:r>
      <w:r w:rsidRPr="00FC6560">
        <w:rPr>
          <w:color w:val="auto"/>
        </w:rPr>
        <w:t xml:space="preserve">ed manufacturer following </w:t>
      </w:r>
      <w:r w:rsidR="000F4337">
        <w:rPr>
          <w:color w:val="auto"/>
        </w:rPr>
        <w:t>g</w:t>
      </w:r>
      <w:r w:rsidRPr="00FC6560">
        <w:rPr>
          <w:color w:val="auto"/>
        </w:rPr>
        <w:t xml:space="preserve">ood </w:t>
      </w:r>
      <w:r w:rsidR="000F4337">
        <w:rPr>
          <w:color w:val="auto"/>
        </w:rPr>
        <w:t>m</w:t>
      </w:r>
      <w:r w:rsidRPr="00FC6560">
        <w:rPr>
          <w:color w:val="auto"/>
        </w:rPr>
        <w:t xml:space="preserve">anufacturing </w:t>
      </w:r>
      <w:r w:rsidR="000F4337">
        <w:rPr>
          <w:color w:val="auto"/>
        </w:rPr>
        <w:t>p</w:t>
      </w:r>
      <w:r w:rsidRPr="00FC6560">
        <w:rPr>
          <w:color w:val="auto"/>
        </w:rPr>
        <w:t xml:space="preserve">ractice (GMP). According to TGA </w:t>
      </w:r>
      <w:r w:rsidR="00B64830">
        <w:rPr>
          <w:color w:val="auto"/>
        </w:rPr>
        <w:t>g</w:t>
      </w:r>
      <w:r w:rsidRPr="00FC6560">
        <w:rPr>
          <w:color w:val="auto"/>
        </w:rPr>
        <w:t>uidance on GMP information for manufacturers of compounded medicines and dose administration aids</w:t>
      </w:r>
      <w:r w:rsidR="00EA1569">
        <w:rPr>
          <w:color w:val="auto"/>
        </w:rPr>
        <w:t>,</w:t>
      </w:r>
      <w:r w:rsidRPr="00FC6560">
        <w:rPr>
          <w:color w:val="auto"/>
        </w:rPr>
        <w:t xml:space="preserve"> a person with a TGA</w:t>
      </w:r>
      <w:r w:rsidR="00EA1569">
        <w:rPr>
          <w:color w:val="auto"/>
        </w:rPr>
        <w:t>-</w:t>
      </w:r>
      <w:r w:rsidRPr="00FC6560">
        <w:rPr>
          <w:color w:val="auto"/>
        </w:rPr>
        <w:t>issued manufacturing licence can supply a medicine that has been extemporaneously compounded for a particular person for therapeutic application to that person</w:t>
      </w:r>
      <w:r w:rsidR="00CD27FC">
        <w:rPr>
          <w:color w:val="auto"/>
        </w:rPr>
        <w:t>.</w:t>
      </w:r>
      <w:r w:rsidR="00CD27FC">
        <w:rPr>
          <w:rStyle w:val="FootnoteReference"/>
          <w:color w:val="auto"/>
        </w:rPr>
        <w:footnoteReference w:id="3"/>
      </w:r>
    </w:p>
    <w:p w14:paraId="44C3B242" w14:textId="37B6D9C9" w:rsidR="00772829" w:rsidRPr="00CE28E3" w:rsidRDefault="000B228E" w:rsidP="002A18BE">
      <w:pPr>
        <w:pStyle w:val="Heading2"/>
        <w:numPr>
          <w:ilvl w:val="0"/>
          <w:numId w:val="0"/>
        </w:numPr>
      </w:pPr>
      <w:bookmarkStart w:id="7" w:name="_Toc161841931"/>
      <w:bookmarkStart w:id="8" w:name="_Toc165275516"/>
      <w:r>
        <w:t>6</w:t>
      </w:r>
      <w:r w:rsidR="00C36633">
        <w:t>.</w:t>
      </w:r>
      <w:r w:rsidR="00C36633">
        <w:tab/>
      </w:r>
      <w:r w:rsidR="00772829" w:rsidRPr="00CE28E3">
        <w:t>Proposal for public funding</w:t>
      </w:r>
      <w:bookmarkEnd w:id="7"/>
      <w:bookmarkEnd w:id="8"/>
    </w:p>
    <w:p w14:paraId="2CD81E4E" w14:textId="68016253" w:rsidR="006C595D" w:rsidRPr="00CE28E3" w:rsidRDefault="006C595D" w:rsidP="00F27AD6">
      <w:pPr>
        <w:widowControl w:val="0"/>
        <w:spacing w:before="0" w:after="240" w:line="240" w:lineRule="auto"/>
      </w:pPr>
      <w:r w:rsidRPr="00C87A52">
        <w:rPr>
          <w:rFonts w:eastAsia="Times New Roman" w:cs="Arial"/>
          <w:snapToGrid w:val="0"/>
          <w:szCs w:val="24"/>
        </w:rPr>
        <w:t>The proposed funding arrangement is via the MBS</w:t>
      </w:r>
      <w:r>
        <w:rPr>
          <w:rFonts w:eastAsia="Times New Roman" w:cs="Arial"/>
          <w:snapToGrid w:val="0"/>
          <w:szCs w:val="24"/>
        </w:rPr>
        <w:t xml:space="preserve">, with listing of </w:t>
      </w:r>
      <w:r w:rsidR="00E66A53">
        <w:rPr>
          <w:rFonts w:eastAsia="Times New Roman" w:cs="Arial"/>
          <w:snapToGrid w:val="0"/>
          <w:szCs w:val="24"/>
        </w:rPr>
        <w:t>2</w:t>
      </w:r>
      <w:r>
        <w:rPr>
          <w:rFonts w:eastAsia="Times New Roman" w:cs="Arial"/>
          <w:snapToGrid w:val="0"/>
          <w:szCs w:val="24"/>
        </w:rPr>
        <w:t xml:space="preserve"> new MBS items being sought.</w:t>
      </w:r>
    </w:p>
    <w:p w14:paraId="6E5FFFFF" w14:textId="72682255" w:rsidR="005D2057" w:rsidRPr="00FB7119" w:rsidRDefault="005D2057" w:rsidP="00FB7119">
      <w:pPr>
        <w:pStyle w:val="Heading3"/>
      </w:pPr>
      <w:bookmarkStart w:id="9" w:name="_Toc161841932"/>
      <w:bookmarkStart w:id="10" w:name="_Toc165239038"/>
      <w:bookmarkStart w:id="11" w:name="_Toc165271868"/>
      <w:bookmarkStart w:id="12" w:name="_Toc165274294"/>
      <w:bookmarkStart w:id="13" w:name="_Toc165275517"/>
      <w:r w:rsidRPr="00FB7119">
        <w:t>New MBS item for 68Ga</w:t>
      </w:r>
      <w:r w:rsidR="00A342E6" w:rsidRPr="00FB7119">
        <w:t>-</w:t>
      </w:r>
      <w:r w:rsidRPr="00FB7119">
        <w:t>DOTA</w:t>
      </w:r>
      <w:r w:rsidR="00A342E6" w:rsidRPr="00FB7119">
        <w:t>-</w:t>
      </w:r>
      <w:r w:rsidRPr="00FB7119">
        <w:t>peptide PET</w:t>
      </w:r>
      <w:bookmarkEnd w:id="9"/>
      <w:bookmarkEnd w:id="10"/>
      <w:bookmarkEnd w:id="11"/>
      <w:bookmarkEnd w:id="12"/>
      <w:bookmarkEnd w:id="13"/>
    </w:p>
    <w:p w14:paraId="73ECCCF3" w14:textId="42E5103F" w:rsidR="005D2057" w:rsidRPr="009866A9" w:rsidRDefault="005D2057" w:rsidP="00F27AD6">
      <w:pPr>
        <w:autoSpaceDE w:val="0"/>
        <w:autoSpaceDN w:val="0"/>
        <w:adjustRightInd w:val="0"/>
        <w:rPr>
          <w:szCs w:val="24"/>
        </w:rPr>
      </w:pPr>
      <w:r w:rsidRPr="009233F9">
        <w:rPr>
          <w:rFonts w:eastAsia="Times New Roman" w:cs="Arial"/>
          <w:snapToGrid w:val="0"/>
          <w:szCs w:val="24"/>
        </w:rPr>
        <w:t xml:space="preserve">PASC recommended that the existing MBS item descriptor for </w:t>
      </w:r>
      <w:r w:rsidRPr="009447CA">
        <w:rPr>
          <w:szCs w:val="24"/>
          <w:vertAlign w:val="superscript"/>
        </w:rPr>
        <w:t>68</w:t>
      </w:r>
      <w:r w:rsidRPr="009233F9">
        <w:rPr>
          <w:szCs w:val="24"/>
        </w:rPr>
        <w:t>Ga</w:t>
      </w:r>
      <w:r w:rsidR="00B017D2">
        <w:rPr>
          <w:szCs w:val="24"/>
        </w:rPr>
        <w:t>-</w:t>
      </w:r>
      <w:r w:rsidRPr="009233F9">
        <w:rPr>
          <w:szCs w:val="24"/>
        </w:rPr>
        <w:t>DOTA</w:t>
      </w:r>
      <w:r w:rsidR="00B017D2">
        <w:rPr>
          <w:szCs w:val="24"/>
        </w:rPr>
        <w:t>-</w:t>
      </w:r>
      <w:r w:rsidRPr="009233F9">
        <w:rPr>
          <w:szCs w:val="24"/>
        </w:rPr>
        <w:t>peptide PET imaging</w:t>
      </w:r>
      <w:r w:rsidR="005068C8">
        <w:rPr>
          <w:szCs w:val="24"/>
        </w:rPr>
        <w:t xml:space="preserve"> </w:t>
      </w:r>
      <w:r w:rsidR="002B4975">
        <w:rPr>
          <w:szCs w:val="24"/>
        </w:rPr>
        <w:t>(</w:t>
      </w:r>
      <w:r w:rsidRPr="009233F9">
        <w:rPr>
          <w:szCs w:val="24"/>
        </w:rPr>
        <w:t>item 61647</w:t>
      </w:r>
      <w:r w:rsidR="002B4975">
        <w:rPr>
          <w:szCs w:val="24"/>
        </w:rPr>
        <w:t>)</w:t>
      </w:r>
      <w:r w:rsidR="00922B51">
        <w:rPr>
          <w:szCs w:val="24"/>
        </w:rPr>
        <w:t xml:space="preserve"> (</w:t>
      </w:r>
      <w:r w:rsidR="00922B51">
        <w:rPr>
          <w:szCs w:val="24"/>
        </w:rPr>
        <w:fldChar w:fldCharType="begin"/>
      </w:r>
      <w:r w:rsidR="00922B51">
        <w:rPr>
          <w:szCs w:val="24"/>
        </w:rPr>
        <w:instrText xml:space="preserve"> REF _Ref160035738 \h </w:instrText>
      </w:r>
      <w:r w:rsidR="00F27AD6">
        <w:rPr>
          <w:szCs w:val="24"/>
        </w:rPr>
        <w:instrText xml:space="preserve"> \* MERGEFORMAT </w:instrText>
      </w:r>
      <w:r w:rsidR="00922B51">
        <w:rPr>
          <w:szCs w:val="24"/>
        </w:rPr>
      </w:r>
      <w:r w:rsidR="00922B51">
        <w:rPr>
          <w:szCs w:val="24"/>
        </w:rPr>
        <w:fldChar w:fldCharType="separate"/>
      </w:r>
      <w:r w:rsidR="00674D5E" w:rsidRPr="00F65CC7">
        <w:t xml:space="preserve">Table </w:t>
      </w:r>
      <w:r w:rsidR="00674D5E">
        <w:rPr>
          <w:noProof/>
        </w:rPr>
        <w:t>1</w:t>
      </w:r>
      <w:r w:rsidR="00922B51">
        <w:rPr>
          <w:szCs w:val="24"/>
        </w:rPr>
        <w:fldChar w:fldCharType="end"/>
      </w:r>
      <w:r w:rsidR="00922B51">
        <w:rPr>
          <w:szCs w:val="24"/>
        </w:rPr>
        <w:t>)</w:t>
      </w:r>
      <w:r w:rsidR="005068C8">
        <w:rPr>
          <w:szCs w:val="24"/>
        </w:rPr>
        <w:t>,</w:t>
      </w:r>
      <w:r>
        <w:t xml:space="preserve"> </w:t>
      </w:r>
      <w:r w:rsidR="00124E3F">
        <w:rPr>
          <w:szCs w:val="24"/>
        </w:rPr>
        <w:t>would require</w:t>
      </w:r>
      <w:r w:rsidR="00124E3F" w:rsidRPr="009233F9">
        <w:rPr>
          <w:szCs w:val="24"/>
        </w:rPr>
        <w:t xml:space="preserve"> </w:t>
      </w:r>
      <w:r w:rsidRPr="009233F9">
        <w:rPr>
          <w:szCs w:val="24"/>
        </w:rPr>
        <w:t>revision</w:t>
      </w:r>
      <w:r w:rsidR="007B40E9">
        <w:rPr>
          <w:szCs w:val="24"/>
        </w:rPr>
        <w:t xml:space="preserve"> or </w:t>
      </w:r>
      <w:r w:rsidRPr="009233F9">
        <w:rPr>
          <w:szCs w:val="24"/>
        </w:rPr>
        <w:t>replacement</w:t>
      </w:r>
      <w:r w:rsidR="009B1B09">
        <w:rPr>
          <w:szCs w:val="24"/>
        </w:rPr>
        <w:t xml:space="preserve"> to accommodate the </w:t>
      </w:r>
      <w:r w:rsidR="00DF091F">
        <w:rPr>
          <w:rFonts w:cs="Calibri"/>
          <w:vertAlign w:val="superscript"/>
        </w:rPr>
        <w:t>68</w:t>
      </w:r>
      <w:r w:rsidR="00DF091F">
        <w:rPr>
          <w:rFonts w:cs="Calibri"/>
        </w:rPr>
        <w:t xml:space="preserve">Ga-DOTA-octreotate PET/CT imaging proposed </w:t>
      </w:r>
      <w:r w:rsidR="00FE4229">
        <w:rPr>
          <w:rFonts w:cs="Calibri"/>
        </w:rPr>
        <w:t>in this application</w:t>
      </w:r>
      <w:r w:rsidRPr="009233F9">
        <w:rPr>
          <w:szCs w:val="24"/>
        </w:rPr>
        <w:t xml:space="preserve">. </w:t>
      </w:r>
      <w:r w:rsidRPr="009866A9">
        <w:rPr>
          <w:szCs w:val="24"/>
        </w:rPr>
        <w:t xml:space="preserve">Specifically, the relevant radiopharmaceutical product should be a </w:t>
      </w:r>
      <w:r w:rsidRPr="009866A9">
        <w:rPr>
          <w:szCs w:val="24"/>
          <w:vertAlign w:val="superscript"/>
        </w:rPr>
        <w:t>68</w:t>
      </w:r>
      <w:r w:rsidRPr="009866A9">
        <w:rPr>
          <w:szCs w:val="24"/>
        </w:rPr>
        <w:t>Ga-</w:t>
      </w:r>
      <w:r w:rsidR="00607D95">
        <w:rPr>
          <w:szCs w:val="24"/>
        </w:rPr>
        <w:t xml:space="preserve">DOTA-octreotate </w:t>
      </w:r>
      <w:r w:rsidRPr="009866A9">
        <w:rPr>
          <w:szCs w:val="24"/>
        </w:rPr>
        <w:t xml:space="preserve">or </w:t>
      </w:r>
      <w:r w:rsidR="00BD608B">
        <w:rPr>
          <w:szCs w:val="24"/>
        </w:rPr>
        <w:t>SSTR</w:t>
      </w:r>
      <w:r w:rsidRPr="009866A9">
        <w:rPr>
          <w:szCs w:val="24"/>
        </w:rPr>
        <w:t xml:space="preserve"> agonist (excludes SSTR antagonists) and indications should be amended to include:</w:t>
      </w:r>
    </w:p>
    <w:p w14:paraId="5E7F7518" w14:textId="7D2E2AF4" w:rsidR="005D2057" w:rsidRPr="009866A9" w:rsidRDefault="00950AB7" w:rsidP="00D83E90">
      <w:pPr>
        <w:pStyle w:val="ListParagraph"/>
        <w:numPr>
          <w:ilvl w:val="1"/>
          <w:numId w:val="12"/>
        </w:numPr>
        <w:autoSpaceDE w:val="0"/>
        <w:autoSpaceDN w:val="0"/>
        <w:adjustRightInd w:val="0"/>
        <w:spacing w:before="0" w:after="200" w:line="276" w:lineRule="auto"/>
        <w:ind w:left="425" w:hanging="425"/>
        <w:rPr>
          <w:szCs w:val="24"/>
        </w:rPr>
      </w:pPr>
      <w:r>
        <w:rPr>
          <w:szCs w:val="24"/>
        </w:rPr>
        <w:t>l</w:t>
      </w:r>
      <w:r w:rsidR="005D2057" w:rsidRPr="009866A9">
        <w:rPr>
          <w:szCs w:val="24"/>
        </w:rPr>
        <w:t xml:space="preserve">ocalisation of functioning (hormonally active) NEN </w:t>
      </w:r>
      <w:r w:rsidR="00954A40">
        <w:rPr>
          <w:szCs w:val="24"/>
        </w:rPr>
        <w:t>w</w:t>
      </w:r>
      <w:r w:rsidR="005D2057" w:rsidRPr="009866A9">
        <w:rPr>
          <w:szCs w:val="24"/>
        </w:rPr>
        <w:t>hen conventional imaging is negative/</w:t>
      </w:r>
      <w:proofErr w:type="gramStart"/>
      <w:r w:rsidR="005D2057" w:rsidRPr="009866A9">
        <w:rPr>
          <w:szCs w:val="24"/>
        </w:rPr>
        <w:t>equivocal</w:t>
      </w:r>
      <w:proofErr w:type="gramEnd"/>
    </w:p>
    <w:p w14:paraId="5ABC0C6F" w14:textId="35206AFE" w:rsidR="005D2057" w:rsidRPr="009866A9" w:rsidRDefault="00950AB7" w:rsidP="00D83E90">
      <w:pPr>
        <w:pStyle w:val="ListParagraph"/>
        <w:numPr>
          <w:ilvl w:val="1"/>
          <w:numId w:val="12"/>
        </w:numPr>
        <w:autoSpaceDE w:val="0"/>
        <w:autoSpaceDN w:val="0"/>
        <w:adjustRightInd w:val="0"/>
        <w:spacing w:before="0" w:after="200" w:line="276" w:lineRule="auto"/>
        <w:ind w:left="425" w:hanging="425"/>
        <w:rPr>
          <w:szCs w:val="24"/>
        </w:rPr>
      </w:pPr>
      <w:r>
        <w:rPr>
          <w:szCs w:val="24"/>
        </w:rPr>
        <w:t>s</w:t>
      </w:r>
      <w:r w:rsidR="005D2057" w:rsidRPr="009866A9">
        <w:rPr>
          <w:szCs w:val="24"/>
        </w:rPr>
        <w:t xml:space="preserve">taging of histologically confirmed NEN considered surgically curable on conventional </w:t>
      </w:r>
      <w:proofErr w:type="gramStart"/>
      <w:r w:rsidR="005D2057" w:rsidRPr="009866A9">
        <w:rPr>
          <w:szCs w:val="24"/>
        </w:rPr>
        <w:t>imaging</w:t>
      </w:r>
      <w:proofErr w:type="gramEnd"/>
    </w:p>
    <w:p w14:paraId="7B35DBAE" w14:textId="18CBDB5A" w:rsidR="005D2057" w:rsidRPr="009866A9" w:rsidRDefault="00950AB7" w:rsidP="00D83E90">
      <w:pPr>
        <w:pStyle w:val="ListParagraph"/>
        <w:numPr>
          <w:ilvl w:val="1"/>
          <w:numId w:val="12"/>
        </w:numPr>
        <w:autoSpaceDE w:val="0"/>
        <w:autoSpaceDN w:val="0"/>
        <w:adjustRightInd w:val="0"/>
        <w:spacing w:before="0" w:after="200" w:line="276" w:lineRule="auto"/>
        <w:ind w:left="425" w:hanging="425"/>
        <w:rPr>
          <w:szCs w:val="24"/>
        </w:rPr>
      </w:pPr>
      <w:r>
        <w:rPr>
          <w:szCs w:val="24"/>
        </w:rPr>
        <w:t>e</w:t>
      </w:r>
      <w:r w:rsidR="005D2057" w:rsidRPr="009866A9">
        <w:rPr>
          <w:szCs w:val="24"/>
        </w:rPr>
        <w:t xml:space="preserve">valuation of somatostatin analogue (SSA) avidity (SSTR-2 expression) of NEN under consideration for </w:t>
      </w:r>
      <w:r w:rsidR="004F1ED7">
        <w:rPr>
          <w:szCs w:val="24"/>
        </w:rPr>
        <w:t>peptide receptor radionuclide therapy (</w:t>
      </w:r>
      <w:r w:rsidR="005D2057" w:rsidRPr="009866A9">
        <w:rPr>
          <w:szCs w:val="24"/>
        </w:rPr>
        <w:t>PRRT</w:t>
      </w:r>
      <w:r w:rsidR="004F1ED7">
        <w:rPr>
          <w:szCs w:val="24"/>
        </w:rPr>
        <w:t>)</w:t>
      </w:r>
    </w:p>
    <w:p w14:paraId="5C39AEDA" w14:textId="22F9825A" w:rsidR="005D2057" w:rsidRPr="009866A9" w:rsidRDefault="0039119B" w:rsidP="00D83E90">
      <w:pPr>
        <w:pStyle w:val="ListParagraph"/>
        <w:numPr>
          <w:ilvl w:val="1"/>
          <w:numId w:val="12"/>
        </w:numPr>
        <w:autoSpaceDE w:val="0"/>
        <w:autoSpaceDN w:val="0"/>
        <w:adjustRightInd w:val="0"/>
        <w:spacing w:before="0" w:after="200" w:line="276" w:lineRule="auto"/>
        <w:ind w:left="425" w:hanging="425"/>
        <w:rPr>
          <w:szCs w:val="24"/>
        </w:rPr>
      </w:pPr>
      <w:r>
        <w:rPr>
          <w:szCs w:val="24"/>
        </w:rPr>
        <w:t>e</w:t>
      </w:r>
      <w:r w:rsidR="005D2057" w:rsidRPr="009866A9">
        <w:rPr>
          <w:szCs w:val="24"/>
        </w:rPr>
        <w:t>valuation of response to therapy</w:t>
      </w:r>
    </w:p>
    <w:p w14:paraId="2BF5B8CA" w14:textId="6C68DFCD" w:rsidR="005D2057" w:rsidRPr="009866A9" w:rsidRDefault="0039119B" w:rsidP="00D83E90">
      <w:pPr>
        <w:pStyle w:val="ListParagraph"/>
        <w:numPr>
          <w:ilvl w:val="1"/>
          <w:numId w:val="12"/>
        </w:numPr>
        <w:autoSpaceDE w:val="0"/>
        <w:autoSpaceDN w:val="0"/>
        <w:adjustRightInd w:val="0"/>
        <w:spacing w:before="0" w:after="200" w:line="276" w:lineRule="auto"/>
        <w:ind w:left="425" w:hanging="425"/>
        <w:rPr>
          <w:szCs w:val="24"/>
        </w:rPr>
      </w:pPr>
      <w:r>
        <w:rPr>
          <w:szCs w:val="24"/>
        </w:rPr>
        <w:t>e</w:t>
      </w:r>
      <w:r w:rsidR="005D2057" w:rsidRPr="009866A9">
        <w:rPr>
          <w:szCs w:val="24"/>
        </w:rPr>
        <w:t>valuation of suspected recurrent/metastatic disease in known SSA-avid (H-SSTR) NEN</w:t>
      </w:r>
      <w:r w:rsidR="00753E91">
        <w:rPr>
          <w:szCs w:val="24"/>
        </w:rPr>
        <w:t>.</w:t>
      </w:r>
    </w:p>
    <w:p w14:paraId="0CBEDDD3" w14:textId="463EA06A" w:rsidR="005D2057" w:rsidRPr="009866A9" w:rsidRDefault="005D2057" w:rsidP="00861788">
      <w:r w:rsidRPr="009866A9">
        <w:t xml:space="preserve">PASC </w:t>
      </w:r>
      <w:r>
        <w:t xml:space="preserve">also </w:t>
      </w:r>
      <w:r w:rsidRPr="009866A9">
        <w:t xml:space="preserve">noted that a revised item for whole body </w:t>
      </w:r>
      <w:r w:rsidRPr="009866A9">
        <w:rPr>
          <w:vertAlign w:val="superscript"/>
        </w:rPr>
        <w:t>68</w:t>
      </w:r>
      <w:r w:rsidRPr="009866A9">
        <w:t>Ga-DOTA-peptide PET study should allow referral by a specialist or consultant physician rather than restrict referrals to a</w:t>
      </w:r>
      <w:r w:rsidR="002A31B9">
        <w:t xml:space="preserve"> </w:t>
      </w:r>
      <w:r w:rsidR="002A31B9" w:rsidRPr="002A31B9">
        <w:t>multidisciplinary team</w:t>
      </w:r>
      <w:r w:rsidR="002A31B9" w:rsidRPr="002A31B9" w:rsidDel="002A31B9">
        <w:t xml:space="preserve"> </w:t>
      </w:r>
      <w:r w:rsidR="002A31B9">
        <w:t>(</w:t>
      </w:r>
      <w:r w:rsidRPr="009866A9">
        <w:t>MDT</w:t>
      </w:r>
      <w:r w:rsidR="002A31B9">
        <w:t>)</w:t>
      </w:r>
      <w:r w:rsidRPr="009866A9">
        <w:t>.</w:t>
      </w:r>
    </w:p>
    <w:p w14:paraId="5678EF9D" w14:textId="53C4A4CB" w:rsidR="00322952" w:rsidRPr="00322952" w:rsidRDefault="00322952" w:rsidP="00861788">
      <w:r w:rsidRPr="00322952">
        <w:t>Item 61647 is often billed with item 61505</w:t>
      </w:r>
      <w:r>
        <w:t xml:space="preserve"> (</w:t>
      </w:r>
      <w:r>
        <w:fldChar w:fldCharType="begin"/>
      </w:r>
      <w:r>
        <w:instrText xml:space="preserve"> REF _Ref160035738 \h  \* MERGEFORMAT </w:instrText>
      </w:r>
      <w:r>
        <w:fldChar w:fldCharType="separate"/>
      </w:r>
      <w:r w:rsidR="00674D5E" w:rsidRPr="00F65CC7">
        <w:t xml:space="preserve">Table </w:t>
      </w:r>
      <w:r w:rsidR="00674D5E">
        <w:t>1</w:t>
      </w:r>
      <w:r>
        <w:fldChar w:fldCharType="end"/>
      </w:r>
      <w:r>
        <w:t>)</w:t>
      </w:r>
      <w:r w:rsidRPr="00322952">
        <w:t xml:space="preserve"> </w:t>
      </w:r>
      <w:r w:rsidR="004E3717">
        <w:t xml:space="preserve">for a CT scan performed at the same time and covering the same body as PET. </w:t>
      </w:r>
      <w:r w:rsidR="00034FDF">
        <w:t>T</w:t>
      </w:r>
      <w:r w:rsidRPr="00322952">
        <w:t>he wording for item 61505 w</w:t>
      </w:r>
      <w:r w:rsidR="00034FDF">
        <w:t>ill</w:t>
      </w:r>
      <w:r w:rsidRPr="00322952">
        <w:t xml:space="preserve"> not require amendment. </w:t>
      </w:r>
    </w:p>
    <w:p w14:paraId="1150A339" w14:textId="362A4ECD" w:rsidR="005D2057" w:rsidRPr="009233F9" w:rsidRDefault="005D2057" w:rsidP="00861788">
      <w:r w:rsidRPr="009233F9">
        <w:t xml:space="preserve">The proposed new MBS </w:t>
      </w:r>
      <w:r w:rsidR="002A48D2">
        <w:t>i</w:t>
      </w:r>
      <w:r w:rsidRPr="009233F9">
        <w:t xml:space="preserve">tem for </w:t>
      </w:r>
      <w:r w:rsidRPr="009447CA">
        <w:rPr>
          <w:vertAlign w:val="superscript"/>
        </w:rPr>
        <w:t>68</w:t>
      </w:r>
      <w:r w:rsidRPr="009233F9">
        <w:t>Ga DOTA</w:t>
      </w:r>
      <w:r w:rsidR="00A05E45">
        <w:t>-</w:t>
      </w:r>
      <w:r w:rsidRPr="009233F9">
        <w:t>peptide PET to determine SSTR expression, suggested by PASC at the August 2023 meeting</w:t>
      </w:r>
      <w:r w:rsidR="00F24214">
        <w:t>,</w:t>
      </w:r>
      <w:r w:rsidRPr="009233F9">
        <w:t xml:space="preserve"> is below (</w:t>
      </w:r>
      <w:r w:rsidR="000D0A78">
        <w:fldChar w:fldCharType="begin"/>
      </w:r>
      <w:r w:rsidR="000D0A78">
        <w:instrText xml:space="preserve"> REF _Ref160035807 \h  \* MERGEFORMAT </w:instrText>
      </w:r>
      <w:r w:rsidR="000D0A78">
        <w:fldChar w:fldCharType="separate"/>
      </w:r>
      <w:r w:rsidR="00674D5E" w:rsidRPr="00F65CC7">
        <w:t xml:space="preserve">Table </w:t>
      </w:r>
      <w:r w:rsidR="00674D5E">
        <w:t>2</w:t>
      </w:r>
      <w:r w:rsidR="000D0A78">
        <w:fldChar w:fldCharType="end"/>
      </w:r>
      <w:r w:rsidRPr="009233F9">
        <w:t>).</w:t>
      </w:r>
      <w:r>
        <w:t xml:space="preserve"> The proposed new MBS item has the same fee as existing item 61647.</w:t>
      </w:r>
    </w:p>
    <w:p w14:paraId="06DD32A2" w14:textId="36DEDF51" w:rsidR="00576B1A" w:rsidRPr="00ED4E95" w:rsidRDefault="005D2057" w:rsidP="005068C8">
      <w:pPr>
        <w:pStyle w:val="Caption"/>
      </w:pPr>
      <w:bookmarkStart w:id="14" w:name="_Ref159953793"/>
      <w:bookmarkStart w:id="15" w:name="_Ref160035738"/>
      <w:bookmarkStart w:id="16" w:name="_Toc161842038"/>
      <w:r w:rsidRPr="00F65CC7">
        <w:lastRenderedPageBreak/>
        <w:t xml:space="preserve">Table </w:t>
      </w:r>
      <w:r>
        <w:fldChar w:fldCharType="begin"/>
      </w:r>
      <w:r>
        <w:instrText xml:space="preserve"> SEQ Table \* ARABIC </w:instrText>
      </w:r>
      <w:r>
        <w:fldChar w:fldCharType="separate"/>
      </w:r>
      <w:r w:rsidR="006D13BC">
        <w:rPr>
          <w:noProof/>
        </w:rPr>
        <w:t>1</w:t>
      </w:r>
      <w:r>
        <w:rPr>
          <w:noProof/>
        </w:rPr>
        <w:fldChar w:fldCharType="end"/>
      </w:r>
      <w:bookmarkEnd w:id="14"/>
      <w:bookmarkEnd w:id="15"/>
      <w:r w:rsidR="00A03258">
        <w:tab/>
      </w:r>
      <w:r w:rsidR="00576B1A" w:rsidRPr="00ED4E95">
        <w:t xml:space="preserve">Current MBS item for </w:t>
      </w:r>
      <w:r w:rsidR="00576B1A" w:rsidRPr="00ED4E95">
        <w:rPr>
          <w:vertAlign w:val="superscript"/>
        </w:rPr>
        <w:t>68</w:t>
      </w:r>
      <w:r w:rsidR="00576B1A" w:rsidRPr="00ED4E95">
        <w:t>Ga</w:t>
      </w:r>
      <w:r w:rsidR="00576B1A">
        <w:t xml:space="preserve"> </w:t>
      </w:r>
      <w:r w:rsidR="00576B1A" w:rsidRPr="00ED4E95">
        <w:t>DOTA</w:t>
      </w:r>
      <w:r w:rsidR="00A05E45">
        <w:t>-</w:t>
      </w:r>
      <w:r w:rsidR="00576B1A">
        <w:t xml:space="preserve">peptide </w:t>
      </w:r>
      <w:r w:rsidR="00576B1A" w:rsidRPr="00ED4E95">
        <w:t>PET</w:t>
      </w:r>
      <w:bookmarkEnd w:id="16"/>
      <w:r w:rsidR="00576B1A" w:rsidRPr="00ED4E95">
        <w:t xml:space="preserve"> </w:t>
      </w:r>
    </w:p>
    <w:tbl>
      <w:tblPr>
        <w:tblStyle w:val="TableGrid"/>
        <w:tblW w:w="5000" w:type="pct"/>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5068C8" w:rsidRPr="00ED4E95" w14:paraId="2A4AD7BA"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hideMark/>
          </w:tcPr>
          <w:p w14:paraId="71B0E4EA" w14:textId="47720F19" w:rsidR="005068C8" w:rsidRPr="00922B1C" w:rsidRDefault="005068C8" w:rsidP="00ED0F7E">
            <w:pPr>
              <w:pStyle w:val="TableHeading0"/>
              <w:rPr>
                <w:b w:val="0"/>
                <w:bCs/>
                <w:szCs w:val="20"/>
              </w:rPr>
            </w:pPr>
            <w:r w:rsidRPr="00ED4E95">
              <w:t xml:space="preserve">Category 5 – Diagnostic </w:t>
            </w:r>
            <w:r w:rsidRPr="00ED4E95">
              <w:rPr>
                <w:bCs/>
                <w:szCs w:val="20"/>
              </w:rPr>
              <w:t>Imaging Services</w:t>
            </w:r>
          </w:p>
        </w:tc>
      </w:tr>
      <w:tr w:rsidR="00576B1A" w:rsidRPr="00ED4E95" w14:paraId="0A54FE99"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tcPr>
          <w:p w14:paraId="4C987E65" w14:textId="77777777" w:rsidR="00576B1A" w:rsidRPr="00ED4E95" w:rsidRDefault="00576B1A" w:rsidP="00ED0F7E">
            <w:pPr>
              <w:pStyle w:val="TableText"/>
              <w:rPr>
                <w:szCs w:val="20"/>
              </w:rPr>
            </w:pPr>
            <w:r w:rsidRPr="00ED4E95">
              <w:t>MBS item 61647</w:t>
            </w:r>
          </w:p>
          <w:p w14:paraId="1135B68C" w14:textId="62C0F05E" w:rsidR="00576B1A" w:rsidRPr="00ED4E95" w:rsidRDefault="00576B1A" w:rsidP="00ED0F7E">
            <w:pPr>
              <w:pStyle w:val="TableText"/>
              <w:rPr>
                <w:szCs w:val="20"/>
              </w:rPr>
            </w:pPr>
            <w:r w:rsidRPr="00ED4E95">
              <w:t xml:space="preserve">Whole body </w:t>
            </w:r>
            <w:r w:rsidRPr="00ED4E95">
              <w:rPr>
                <w:szCs w:val="20"/>
                <w:vertAlign w:val="superscript"/>
              </w:rPr>
              <w:t>68</w:t>
            </w:r>
            <w:r w:rsidRPr="00ED4E95">
              <w:rPr>
                <w:szCs w:val="20"/>
              </w:rPr>
              <w:t>Ga DOTA</w:t>
            </w:r>
            <w:r w:rsidR="00A05E45">
              <w:rPr>
                <w:szCs w:val="20"/>
              </w:rPr>
              <w:t>-</w:t>
            </w:r>
            <w:r w:rsidRPr="00ED4E95">
              <w:rPr>
                <w:szCs w:val="20"/>
              </w:rPr>
              <w:t>peptide PET study, if:</w:t>
            </w:r>
          </w:p>
          <w:p w14:paraId="54A8C1C5" w14:textId="77777777" w:rsidR="00576B1A" w:rsidRPr="00ED4E95" w:rsidRDefault="00576B1A" w:rsidP="00ED0F7E">
            <w:pPr>
              <w:pStyle w:val="TableText"/>
              <w:rPr>
                <w:szCs w:val="20"/>
              </w:rPr>
            </w:pPr>
            <w:r w:rsidRPr="00ED4E95">
              <w:t xml:space="preserve">(a) a gastro </w:t>
            </w:r>
            <w:proofErr w:type="spellStart"/>
            <w:r w:rsidRPr="00ED4E95">
              <w:t>entero</w:t>
            </w:r>
            <w:proofErr w:type="spellEnd"/>
            <w:r w:rsidRPr="00ED4E95">
              <w:t xml:space="preserve"> pancreatic neuroendocrine tumour is suspected </w:t>
            </w:r>
            <w:bookmarkStart w:id="17" w:name="_Int_bz0AuhPI"/>
            <w:proofErr w:type="gramStart"/>
            <w:r w:rsidRPr="00ED4E95">
              <w:t>on the basis of</w:t>
            </w:r>
            <w:bookmarkEnd w:id="17"/>
            <w:proofErr w:type="gramEnd"/>
            <w:r w:rsidRPr="00ED4E95">
              <w:t xml:space="preserve"> biochemical evidence with negative or equivocal conventional imaging; or</w:t>
            </w:r>
          </w:p>
          <w:p w14:paraId="691E8326" w14:textId="77777777" w:rsidR="00576B1A" w:rsidRPr="00ED4E95" w:rsidRDefault="00576B1A" w:rsidP="00ED0F7E">
            <w:pPr>
              <w:pStyle w:val="TableText"/>
              <w:rPr>
                <w:szCs w:val="20"/>
              </w:rPr>
            </w:pPr>
            <w:r w:rsidRPr="00ED4E95">
              <w:t>(b) both:</w:t>
            </w:r>
          </w:p>
          <w:p w14:paraId="529A27D0" w14:textId="77777777" w:rsidR="00576B1A" w:rsidRPr="00ED4E95" w:rsidRDefault="00576B1A" w:rsidP="00ED0F7E">
            <w:pPr>
              <w:pStyle w:val="TableText"/>
              <w:rPr>
                <w:szCs w:val="20"/>
              </w:rPr>
            </w:pPr>
            <w:r w:rsidRPr="00ED4E95">
              <w:t>(</w:t>
            </w:r>
            <w:proofErr w:type="spellStart"/>
            <w:r w:rsidRPr="00ED4E95">
              <w:t>i</w:t>
            </w:r>
            <w:proofErr w:type="spellEnd"/>
            <w:r w:rsidRPr="00ED4E95">
              <w:t xml:space="preserve">) a surgically amenable gastro </w:t>
            </w:r>
            <w:proofErr w:type="spellStart"/>
            <w:r w:rsidRPr="00ED4E95">
              <w:t>entero</w:t>
            </w:r>
            <w:proofErr w:type="spellEnd"/>
            <w:r w:rsidRPr="00ED4E95">
              <w:t xml:space="preserve"> pancreatic neuroendocrine tumour has been identified </w:t>
            </w:r>
            <w:bookmarkStart w:id="18" w:name="_Int_dALXl1Yt"/>
            <w:proofErr w:type="gramStart"/>
            <w:r w:rsidRPr="00ED4E95">
              <w:t>on the basis of</w:t>
            </w:r>
            <w:bookmarkEnd w:id="18"/>
            <w:proofErr w:type="gramEnd"/>
            <w:r w:rsidRPr="00ED4E95">
              <w:t xml:space="preserve"> conventional techniques; and</w:t>
            </w:r>
          </w:p>
          <w:p w14:paraId="63E2AEB3" w14:textId="473C5D72" w:rsidR="00576B1A" w:rsidRPr="00922B1C" w:rsidRDefault="00576B1A" w:rsidP="00ED0F7E">
            <w:pPr>
              <w:pStyle w:val="TableText"/>
              <w:rPr>
                <w:szCs w:val="20"/>
              </w:rPr>
            </w:pPr>
            <w:r w:rsidRPr="00ED4E95">
              <w:t>(ii) the study is for excluding additional disease sites (R)</w:t>
            </w:r>
          </w:p>
        </w:tc>
      </w:tr>
      <w:tr w:rsidR="005068C8" w:rsidRPr="00ED4E95" w14:paraId="42CA018B"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vAlign w:val="center"/>
          </w:tcPr>
          <w:p w14:paraId="1CD21706" w14:textId="0BC062D1" w:rsidR="005068C8" w:rsidRPr="00922B1C" w:rsidRDefault="005068C8" w:rsidP="00ED0F7E">
            <w:pPr>
              <w:pStyle w:val="TableText"/>
              <w:rPr>
                <w:szCs w:val="20"/>
              </w:rPr>
            </w:pPr>
            <w:r w:rsidRPr="00ED4E95">
              <w:t>Fee: $953.00</w:t>
            </w:r>
          </w:p>
        </w:tc>
      </w:tr>
      <w:tr w:rsidR="00576B1A" w:rsidRPr="00ED4E95" w14:paraId="48ACD1F9"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hideMark/>
          </w:tcPr>
          <w:p w14:paraId="5AAA0C75" w14:textId="77777777" w:rsidR="00576B1A" w:rsidRPr="00ED4E95" w:rsidRDefault="00576B1A" w:rsidP="00ED0F7E">
            <w:pPr>
              <w:pStyle w:val="TableHeading0"/>
              <w:rPr>
                <w:b w:val="0"/>
                <w:bCs/>
                <w:i/>
                <w:iCs/>
                <w:szCs w:val="20"/>
              </w:rPr>
            </w:pPr>
            <w:r w:rsidRPr="00ED4E95">
              <w:t>Category 5 – Diagnostic Imaging Services</w:t>
            </w:r>
          </w:p>
        </w:tc>
      </w:tr>
      <w:tr w:rsidR="00576B1A" w:rsidRPr="00ED4E95" w14:paraId="18E3C872"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tcPr>
          <w:p w14:paraId="290025C2" w14:textId="77777777" w:rsidR="00576B1A" w:rsidRPr="00ED4E95" w:rsidRDefault="00576B1A" w:rsidP="00ED0F7E">
            <w:pPr>
              <w:pStyle w:val="TableText"/>
              <w:rPr>
                <w:szCs w:val="20"/>
              </w:rPr>
            </w:pPr>
            <w:r w:rsidRPr="00ED4E95">
              <w:t xml:space="preserve">MBS item </w:t>
            </w:r>
            <w:r w:rsidRPr="00ED4E95">
              <w:rPr>
                <w:szCs w:val="20"/>
              </w:rPr>
              <w:t>61505</w:t>
            </w:r>
          </w:p>
          <w:p w14:paraId="05B55753" w14:textId="77777777" w:rsidR="00576B1A" w:rsidRPr="00ED4E95" w:rsidRDefault="00576B1A" w:rsidP="00ED0F7E">
            <w:pPr>
              <w:pStyle w:val="TableText"/>
              <w:rPr>
                <w:i/>
                <w:iCs/>
                <w:szCs w:val="20"/>
              </w:rPr>
            </w:pPr>
            <w:r w:rsidRPr="00ED4E95">
              <w:t xml:space="preserve">CT scan performed at the same time and covering the same body area as single photon emission tomography or positron emission tomography for the purpose of anatomic localisation or attenuation correction if no separate diagnostic CT report is </w:t>
            </w:r>
            <w:r w:rsidRPr="00ED4E95">
              <w:rPr>
                <w:szCs w:val="20"/>
              </w:rPr>
              <w:t>issued and performed in association with a service to which an item in Subgroup 1 or 2 of Group I4 applies (R)</w:t>
            </w:r>
          </w:p>
        </w:tc>
      </w:tr>
      <w:tr w:rsidR="00576B1A" w:rsidRPr="00ED4E95" w14:paraId="518945F6"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vAlign w:val="center"/>
          </w:tcPr>
          <w:p w14:paraId="758D8737" w14:textId="77777777" w:rsidR="00576B1A" w:rsidRPr="00ED4E95" w:rsidRDefault="00576B1A" w:rsidP="00ED0F7E">
            <w:pPr>
              <w:pStyle w:val="TableText"/>
              <w:rPr>
                <w:i/>
                <w:iCs/>
                <w:szCs w:val="20"/>
              </w:rPr>
            </w:pPr>
            <w:r w:rsidRPr="00ED4E95">
              <w:t>Fee: $100.00</w:t>
            </w:r>
          </w:p>
        </w:tc>
      </w:tr>
    </w:tbl>
    <w:p w14:paraId="34E3EC7B" w14:textId="1EE9424A" w:rsidR="00576B1A" w:rsidRDefault="00576B1A" w:rsidP="00861788">
      <w:pPr>
        <w:pStyle w:val="Tablenotes0"/>
      </w:pPr>
      <w:r w:rsidRPr="00A03258">
        <w:t>Abbreviations</w:t>
      </w:r>
      <w:r w:rsidRPr="00ED4E95">
        <w:t>: CT = computerised tomography; Ga = Gallium; MBS = Medicare Benefits Schedule; PET = positron emission tomography</w:t>
      </w:r>
    </w:p>
    <w:p w14:paraId="3335179C" w14:textId="0AAFC6F8" w:rsidR="00A84EA8" w:rsidRDefault="00A84EA8" w:rsidP="00861788">
      <w:pPr>
        <w:pStyle w:val="Tablenotes0"/>
      </w:pPr>
      <w:r w:rsidRPr="00ED4E95">
        <w:t>Source: MBS online</w:t>
      </w:r>
    </w:p>
    <w:p w14:paraId="5D9284B1" w14:textId="6BC1A1BD" w:rsidR="005D2057" w:rsidRPr="009233F9" w:rsidRDefault="005D2057" w:rsidP="005D2057">
      <w:pPr>
        <w:pStyle w:val="Caption"/>
        <w:rPr>
          <w:rFonts w:cs="Calibri"/>
          <w:lang w:val="en-GB" w:eastAsia="ja-JP"/>
        </w:rPr>
      </w:pPr>
      <w:bookmarkStart w:id="19" w:name="_Ref160035807"/>
      <w:bookmarkStart w:id="20" w:name="_Toc161842039"/>
      <w:r w:rsidRPr="00F65CC7">
        <w:t xml:space="preserve">Table </w:t>
      </w:r>
      <w:r>
        <w:fldChar w:fldCharType="begin"/>
      </w:r>
      <w:r>
        <w:instrText xml:space="preserve"> SEQ Table \* ARABIC </w:instrText>
      </w:r>
      <w:r>
        <w:fldChar w:fldCharType="separate"/>
      </w:r>
      <w:r w:rsidR="006D13BC">
        <w:rPr>
          <w:noProof/>
        </w:rPr>
        <w:t>2</w:t>
      </w:r>
      <w:r>
        <w:rPr>
          <w:noProof/>
        </w:rPr>
        <w:fldChar w:fldCharType="end"/>
      </w:r>
      <w:bookmarkEnd w:id="19"/>
      <w:r w:rsidR="00A03258">
        <w:tab/>
      </w:r>
      <w:r w:rsidRPr="009233F9">
        <w:rPr>
          <w:rFonts w:cs="Calibri"/>
          <w:lang w:val="en-GB" w:eastAsia="ja-JP"/>
        </w:rPr>
        <w:t xml:space="preserve">Proposed </w:t>
      </w:r>
      <w:r w:rsidRPr="00F65CC7">
        <w:rPr>
          <w:rFonts w:cs="Calibri"/>
          <w:lang w:val="en-GB" w:eastAsia="ja-JP"/>
        </w:rPr>
        <w:t>item descriptor</w:t>
      </w:r>
      <w:r w:rsidRPr="009233F9">
        <w:rPr>
          <w:rFonts w:cs="Calibri"/>
          <w:lang w:val="en-GB" w:eastAsia="ja-JP"/>
        </w:rPr>
        <w:t xml:space="preserve"> for </w:t>
      </w:r>
      <w:r w:rsidRPr="009233F9">
        <w:rPr>
          <w:rFonts w:cs="Calibri"/>
          <w:vertAlign w:val="superscript"/>
          <w:lang w:val="en-GB" w:eastAsia="ja-JP"/>
        </w:rPr>
        <w:t>68</w:t>
      </w:r>
      <w:r w:rsidRPr="009233F9">
        <w:rPr>
          <w:rFonts w:cs="Calibri"/>
          <w:lang w:val="en-GB" w:eastAsia="ja-JP"/>
        </w:rPr>
        <w:t>Ga DOTA</w:t>
      </w:r>
      <w:r w:rsidR="00A05E45">
        <w:rPr>
          <w:rFonts w:cs="Calibri"/>
          <w:lang w:val="en-GB" w:eastAsia="ja-JP"/>
        </w:rPr>
        <w:t>-</w:t>
      </w:r>
      <w:r w:rsidRPr="009233F9">
        <w:rPr>
          <w:rFonts w:cs="Calibri"/>
          <w:lang w:val="en-GB" w:eastAsia="ja-JP"/>
        </w:rPr>
        <w:t xml:space="preserve">peptide PET Study to determine SSTR </w:t>
      </w:r>
      <w:proofErr w:type="gramStart"/>
      <w:r w:rsidRPr="009233F9">
        <w:rPr>
          <w:rFonts w:cs="Calibri"/>
          <w:lang w:val="en-GB" w:eastAsia="ja-JP"/>
        </w:rPr>
        <w:t>expression</w:t>
      </w:r>
      <w:bookmarkEnd w:id="20"/>
      <w:proofErr w:type="gramEnd"/>
    </w:p>
    <w:tbl>
      <w:tblPr>
        <w:tblStyle w:val="ASDTable8"/>
        <w:tblW w:w="0" w:type="auto"/>
        <w:tblInd w:w="0" w:type="dxa"/>
        <w:tblLook w:val="04A0" w:firstRow="1" w:lastRow="0" w:firstColumn="1" w:lastColumn="0" w:noHBand="0" w:noVBand="1"/>
      </w:tblPr>
      <w:tblGrid>
        <w:gridCol w:w="9016"/>
      </w:tblGrid>
      <w:tr w:rsidR="005D2057" w:rsidRPr="009233F9" w14:paraId="7256E124" w14:textId="77777777">
        <w:tc>
          <w:tcPr>
            <w:tcW w:w="0" w:type="auto"/>
          </w:tcPr>
          <w:p w14:paraId="58F962F9" w14:textId="77777777" w:rsidR="005D2057" w:rsidRPr="009233F9" w:rsidRDefault="005D2057" w:rsidP="00ED0F7E">
            <w:pPr>
              <w:pStyle w:val="TableHeading0"/>
            </w:pPr>
            <w:r w:rsidRPr="009233F9">
              <w:t>Category 5 – Diagnostic Imaging Services</w:t>
            </w:r>
          </w:p>
        </w:tc>
      </w:tr>
      <w:tr w:rsidR="005D2057" w:rsidRPr="009233F9" w14:paraId="64B8038D" w14:textId="77777777">
        <w:tc>
          <w:tcPr>
            <w:tcW w:w="0" w:type="auto"/>
          </w:tcPr>
          <w:p w14:paraId="0A08177F" w14:textId="695F501F" w:rsidR="005D2057" w:rsidRPr="009233F9" w:rsidRDefault="005D2057" w:rsidP="00ED0F7E">
            <w:pPr>
              <w:pStyle w:val="TableText"/>
              <w:rPr>
                <w:rFonts w:eastAsia="Calibri" w:cs="Calibri"/>
                <w:szCs w:val="20"/>
              </w:rPr>
            </w:pPr>
            <w:r w:rsidRPr="009233F9">
              <w:t xml:space="preserve">MBS </w:t>
            </w:r>
            <w:r w:rsidR="002A48D2">
              <w:rPr>
                <w:rFonts w:eastAsia="Calibri" w:cs="Calibri"/>
                <w:szCs w:val="20"/>
              </w:rPr>
              <w:t>i</w:t>
            </w:r>
            <w:r w:rsidRPr="009233F9">
              <w:rPr>
                <w:rFonts w:eastAsia="Calibri" w:cs="Calibri"/>
                <w:szCs w:val="20"/>
              </w:rPr>
              <w:t xml:space="preserve">tem </w:t>
            </w:r>
            <w:r w:rsidR="009B0252">
              <w:rPr>
                <w:rFonts w:eastAsia="Calibri" w:cs="Calibri"/>
                <w:szCs w:val="20"/>
              </w:rPr>
              <w:t>[item number]</w:t>
            </w:r>
          </w:p>
          <w:p w14:paraId="737A0886" w14:textId="616F5BFE" w:rsidR="005D2057" w:rsidRPr="009233F9" w:rsidRDefault="005D2057" w:rsidP="00ED0F7E">
            <w:pPr>
              <w:pStyle w:val="TableText"/>
              <w:rPr>
                <w:rFonts w:eastAsia="Calibri" w:cs="Calibri"/>
                <w:szCs w:val="20"/>
              </w:rPr>
            </w:pPr>
            <w:r w:rsidRPr="009233F9">
              <w:t xml:space="preserve">Whole body </w:t>
            </w:r>
            <w:r w:rsidRPr="009233F9">
              <w:rPr>
                <w:rFonts w:eastAsia="Calibri" w:cs="Calibri"/>
                <w:szCs w:val="20"/>
                <w:vertAlign w:val="superscript"/>
              </w:rPr>
              <w:t>68</w:t>
            </w:r>
            <w:r w:rsidRPr="009233F9">
              <w:rPr>
                <w:rFonts w:eastAsia="Calibri" w:cs="Calibri"/>
                <w:szCs w:val="20"/>
              </w:rPr>
              <w:t>Ga-</w:t>
            </w:r>
            <w:r w:rsidR="00607D95">
              <w:rPr>
                <w:rFonts w:eastAsia="Calibri" w:cs="Calibri"/>
                <w:szCs w:val="20"/>
              </w:rPr>
              <w:t xml:space="preserve">DOTA-octreotate </w:t>
            </w:r>
            <w:r w:rsidRPr="009233F9">
              <w:rPr>
                <w:rFonts w:eastAsia="Calibri" w:cs="Calibri"/>
                <w:szCs w:val="20"/>
              </w:rPr>
              <w:t>or somatostatin receptor agonist PET study of patients with histologically confirmed, locally advanced or metastatic, and inoperable neuroendocrine neoplasms (NENs) with</w:t>
            </w:r>
          </w:p>
          <w:p w14:paraId="2BA5EF06" w14:textId="476C2A83" w:rsidR="005D2057" w:rsidRPr="009233F9" w:rsidRDefault="005D2057" w:rsidP="00D83E90">
            <w:pPr>
              <w:pStyle w:val="TableText"/>
              <w:numPr>
                <w:ilvl w:val="0"/>
                <w:numId w:val="18"/>
              </w:numPr>
              <w:rPr>
                <w:rFonts w:eastAsia="Calibri" w:cs="Calibri"/>
                <w:szCs w:val="20"/>
              </w:rPr>
            </w:pPr>
            <w:r w:rsidRPr="009233F9">
              <w:t>Localisation of functioning (hormonally active) NEN when conventional imaging negative or equivocal; or</w:t>
            </w:r>
          </w:p>
          <w:p w14:paraId="17CF73DA" w14:textId="77777777" w:rsidR="005D2057" w:rsidRPr="009233F9" w:rsidRDefault="005D2057" w:rsidP="00D83E90">
            <w:pPr>
              <w:pStyle w:val="TableText"/>
              <w:numPr>
                <w:ilvl w:val="0"/>
                <w:numId w:val="18"/>
              </w:numPr>
              <w:rPr>
                <w:rFonts w:eastAsia="Calibri" w:cs="Calibri"/>
                <w:szCs w:val="20"/>
              </w:rPr>
            </w:pPr>
            <w:r w:rsidRPr="009233F9">
              <w:t>Staging of histologically confirmed NEN considered surgically curable on conventional imaging, or</w:t>
            </w:r>
          </w:p>
          <w:p w14:paraId="0C9C2E4B" w14:textId="77777777" w:rsidR="005D2057" w:rsidRPr="009233F9" w:rsidRDefault="005D2057" w:rsidP="00D83E90">
            <w:pPr>
              <w:pStyle w:val="TableText"/>
              <w:numPr>
                <w:ilvl w:val="0"/>
                <w:numId w:val="18"/>
              </w:numPr>
              <w:rPr>
                <w:rFonts w:eastAsia="Calibri" w:cs="Calibri"/>
                <w:szCs w:val="20"/>
              </w:rPr>
            </w:pPr>
            <w:r w:rsidRPr="009233F9">
              <w:t>Evaluation of somatostatin analogue (SSA) avidity (SSTR-2 expression)</w:t>
            </w:r>
            <w:r w:rsidRPr="009233F9">
              <w:rPr>
                <w:rFonts w:eastAsia="Calibri" w:cs="Calibri"/>
                <w:szCs w:val="20"/>
              </w:rPr>
              <w:t xml:space="preserve"> of NEN under consideration for peptide receptor radionuclide therapy (PRRT); or</w:t>
            </w:r>
          </w:p>
          <w:p w14:paraId="60C6C508" w14:textId="77777777" w:rsidR="00AA3FA7" w:rsidRPr="00AA3FA7" w:rsidRDefault="005D2057" w:rsidP="00D83E90">
            <w:pPr>
              <w:pStyle w:val="TableText"/>
              <w:numPr>
                <w:ilvl w:val="0"/>
                <w:numId w:val="18"/>
              </w:numPr>
              <w:rPr>
                <w:rFonts w:eastAsia="Calibri" w:cs="Calibri"/>
                <w:szCs w:val="20"/>
              </w:rPr>
            </w:pPr>
            <w:r w:rsidRPr="009233F9">
              <w:t>Evaluation of response to PRRT therapy; or</w:t>
            </w:r>
          </w:p>
          <w:p w14:paraId="0533AE5A" w14:textId="603B5F60" w:rsidR="005D2057" w:rsidRPr="009233F9" w:rsidRDefault="005D2057" w:rsidP="00D83E90">
            <w:pPr>
              <w:pStyle w:val="TableText"/>
              <w:numPr>
                <w:ilvl w:val="0"/>
                <w:numId w:val="18"/>
              </w:numPr>
              <w:rPr>
                <w:rFonts w:eastAsia="Calibri" w:cs="Calibri"/>
                <w:szCs w:val="20"/>
              </w:rPr>
            </w:pPr>
            <w:r w:rsidRPr="009233F9">
              <w:t>Evaluation of suspected recurrent/metastatic disease in known SSA-avid (H-SSTR) NEN</w:t>
            </w:r>
            <w:r w:rsidRPr="009233F9">
              <w:rPr>
                <w:rFonts w:eastAsia="Calibri" w:cs="Calibri"/>
                <w:szCs w:val="20"/>
              </w:rPr>
              <w:t xml:space="preserve">. </w:t>
            </w:r>
          </w:p>
          <w:p w14:paraId="2AB45F47" w14:textId="2F8FF084" w:rsidR="005D2057" w:rsidRPr="009233F9" w:rsidRDefault="005D2057" w:rsidP="00ED0F7E">
            <w:pPr>
              <w:pStyle w:val="TableText"/>
            </w:pPr>
            <w:r w:rsidRPr="009233F9">
              <w:t xml:space="preserve">when referred by a specialist or consultant physician. </w:t>
            </w:r>
          </w:p>
        </w:tc>
      </w:tr>
      <w:tr w:rsidR="005D2057" w:rsidRPr="009233F9" w14:paraId="325CC7CE" w14:textId="77777777">
        <w:tc>
          <w:tcPr>
            <w:tcW w:w="0" w:type="auto"/>
          </w:tcPr>
          <w:p w14:paraId="026D337C" w14:textId="77777777" w:rsidR="005D2057" w:rsidRPr="009233F9" w:rsidRDefault="005D2057" w:rsidP="00ED0F7E">
            <w:pPr>
              <w:pStyle w:val="TableText"/>
            </w:pPr>
            <w:r w:rsidRPr="009233F9">
              <w:t>Fee: $953.00</w:t>
            </w:r>
          </w:p>
        </w:tc>
      </w:tr>
    </w:tbl>
    <w:p w14:paraId="352C689C" w14:textId="423CD256" w:rsidR="004D4D45" w:rsidRDefault="0093527F" w:rsidP="00FD6F5E">
      <w:pPr>
        <w:pStyle w:val="Tablenotes0"/>
      </w:pPr>
      <w:r>
        <w:t>Abbreviations:</w:t>
      </w:r>
      <w:r w:rsidRPr="0093527F">
        <w:t xml:space="preserve"> </w:t>
      </w:r>
      <w:r w:rsidRPr="00ED4E95">
        <w:t xml:space="preserve">Ga = Gallium; MBS = Medicare Benefits Schedule; </w:t>
      </w:r>
      <w:r w:rsidR="00464021">
        <w:t xml:space="preserve">NEN = </w:t>
      </w:r>
      <w:r w:rsidR="00464021" w:rsidRPr="00FD6F5E">
        <w:t xml:space="preserve">neuroendocrine neoplasm; </w:t>
      </w:r>
      <w:r w:rsidR="00B321BB" w:rsidRPr="00FD6F5E">
        <w:t>PRRT = peptide receptor radionuclide therapy;</w:t>
      </w:r>
      <w:r w:rsidR="00464021" w:rsidRPr="00FD6F5E">
        <w:t xml:space="preserve"> </w:t>
      </w:r>
      <w:r w:rsidRPr="00ED4E95">
        <w:t>PET = positron emission tomography;</w:t>
      </w:r>
      <w:r w:rsidR="00FA0284">
        <w:t xml:space="preserve"> SSA = somatostatin analogue;</w:t>
      </w:r>
      <w:r w:rsidRPr="00ED4E95">
        <w:t xml:space="preserve"> SSTR = somatostatin receptor</w:t>
      </w:r>
    </w:p>
    <w:p w14:paraId="0856FA2E" w14:textId="57024870" w:rsidR="00A84EA8" w:rsidRPr="00ED4E95" w:rsidRDefault="00A84EA8" w:rsidP="00FD6F5E">
      <w:pPr>
        <w:pStyle w:val="Tablenotes0"/>
      </w:pPr>
      <w:r w:rsidRPr="00ED4E95">
        <w:t xml:space="preserve">Source: </w:t>
      </w:r>
      <w:r>
        <w:t>Ratified PICO</w:t>
      </w:r>
    </w:p>
    <w:p w14:paraId="75087CA8" w14:textId="7EF768C8" w:rsidR="005D2057" w:rsidRDefault="005D2057" w:rsidP="002C6E7D">
      <w:pPr>
        <w:pStyle w:val="Heading3"/>
        <w:rPr>
          <w:snapToGrid w:val="0"/>
        </w:rPr>
      </w:pPr>
      <w:bookmarkStart w:id="21" w:name="_Toc161841933"/>
      <w:bookmarkStart w:id="22" w:name="_Toc165239039"/>
      <w:bookmarkStart w:id="23" w:name="_Toc165271869"/>
      <w:bookmarkStart w:id="24" w:name="_Toc165274295"/>
      <w:bookmarkStart w:id="25" w:name="_Toc165275518"/>
      <w:r>
        <w:rPr>
          <w:snapToGrid w:val="0"/>
        </w:rPr>
        <w:t xml:space="preserve">New </w:t>
      </w:r>
      <w:r w:rsidRPr="004979E3">
        <w:rPr>
          <w:snapToGrid w:val="0"/>
        </w:rPr>
        <w:t xml:space="preserve">MBS item for </w:t>
      </w:r>
      <w:r w:rsidRPr="00A14248">
        <w:rPr>
          <w:snapToGrid w:val="0"/>
          <w:vertAlign w:val="superscript"/>
        </w:rPr>
        <w:t>177</w:t>
      </w:r>
      <w:r w:rsidRPr="004979E3">
        <w:rPr>
          <w:snapToGrid w:val="0"/>
        </w:rPr>
        <w:t>Lu-</w:t>
      </w:r>
      <w:r w:rsidR="00607D95">
        <w:rPr>
          <w:snapToGrid w:val="0"/>
        </w:rPr>
        <w:t>DOTA-octreotate</w:t>
      </w:r>
      <w:bookmarkEnd w:id="21"/>
      <w:bookmarkEnd w:id="22"/>
      <w:bookmarkEnd w:id="23"/>
      <w:bookmarkEnd w:id="24"/>
      <w:bookmarkEnd w:id="25"/>
      <w:r w:rsidR="00607D95">
        <w:rPr>
          <w:snapToGrid w:val="0"/>
        </w:rPr>
        <w:t xml:space="preserve"> </w:t>
      </w:r>
    </w:p>
    <w:p w14:paraId="5FAA4802" w14:textId="64DF2852" w:rsidR="00DB69E2" w:rsidRDefault="0075756F" w:rsidP="005D2057">
      <w:pPr>
        <w:pStyle w:val="Instructionaltext"/>
        <w:rPr>
          <w:color w:val="auto"/>
        </w:rPr>
      </w:pPr>
      <w:r>
        <w:rPr>
          <w:rFonts w:eastAsia="Times New Roman" w:cs="Arial"/>
          <w:snapToGrid w:val="0"/>
          <w:color w:val="auto"/>
          <w:szCs w:val="24"/>
        </w:rPr>
        <w:fldChar w:fldCharType="begin"/>
      </w:r>
      <w:r>
        <w:rPr>
          <w:rFonts w:eastAsia="Times New Roman" w:cs="Arial"/>
          <w:snapToGrid w:val="0"/>
          <w:color w:val="auto"/>
          <w:szCs w:val="24"/>
        </w:rPr>
        <w:instrText xml:space="preserve"> REF _Ref159955739 \h  \* MERGEFORMAT </w:instrText>
      </w:r>
      <w:r>
        <w:rPr>
          <w:rFonts w:eastAsia="Times New Roman" w:cs="Arial"/>
          <w:snapToGrid w:val="0"/>
          <w:color w:val="auto"/>
          <w:szCs w:val="24"/>
        </w:rPr>
      </w:r>
      <w:r>
        <w:rPr>
          <w:rFonts w:eastAsia="Times New Roman" w:cs="Arial"/>
          <w:snapToGrid w:val="0"/>
          <w:color w:val="auto"/>
          <w:szCs w:val="24"/>
        </w:rPr>
        <w:fldChar w:fldCharType="separate"/>
      </w:r>
      <w:r w:rsidR="00674D5E" w:rsidRPr="00EF2D54">
        <w:rPr>
          <w:rFonts w:eastAsia="Times New Roman" w:cs="Arial"/>
          <w:snapToGrid w:val="0"/>
          <w:color w:val="auto"/>
          <w:szCs w:val="24"/>
        </w:rPr>
        <w:t>Table 3</w:t>
      </w:r>
      <w:r>
        <w:rPr>
          <w:rFonts w:eastAsia="Times New Roman" w:cs="Arial"/>
          <w:snapToGrid w:val="0"/>
          <w:color w:val="auto"/>
          <w:szCs w:val="24"/>
        </w:rPr>
        <w:fldChar w:fldCharType="end"/>
      </w:r>
      <w:r>
        <w:rPr>
          <w:rFonts w:eastAsia="Times New Roman" w:cs="Arial"/>
          <w:snapToGrid w:val="0"/>
          <w:color w:val="auto"/>
          <w:szCs w:val="24"/>
        </w:rPr>
        <w:t xml:space="preserve"> </w:t>
      </w:r>
      <w:r w:rsidR="005D2057">
        <w:rPr>
          <w:rFonts w:eastAsia="Times New Roman" w:cs="Arial"/>
          <w:snapToGrid w:val="0"/>
          <w:color w:val="auto"/>
          <w:szCs w:val="24"/>
        </w:rPr>
        <w:t>presents</w:t>
      </w:r>
      <w:r w:rsidR="005D2057" w:rsidRPr="000736B9">
        <w:rPr>
          <w:rFonts w:eastAsia="Times New Roman" w:cs="Arial"/>
          <w:snapToGrid w:val="0"/>
          <w:color w:val="auto"/>
          <w:szCs w:val="24"/>
        </w:rPr>
        <w:t xml:space="preserve"> the item descriptor </w:t>
      </w:r>
      <w:r w:rsidR="005D2057">
        <w:rPr>
          <w:rFonts w:eastAsia="Times New Roman" w:cs="Arial"/>
          <w:snapToGrid w:val="0"/>
          <w:color w:val="auto"/>
          <w:szCs w:val="24"/>
        </w:rPr>
        <w:t xml:space="preserve">suggested by PASC </w:t>
      </w:r>
      <w:r w:rsidR="005D2057" w:rsidRPr="000736B9">
        <w:rPr>
          <w:rFonts w:eastAsia="Times New Roman" w:cs="Arial"/>
          <w:snapToGrid w:val="0"/>
          <w:color w:val="auto"/>
          <w:szCs w:val="24"/>
        </w:rPr>
        <w:t xml:space="preserve">for the proposed new MBS item for </w:t>
      </w:r>
      <w:r w:rsidR="005D2057" w:rsidRPr="000736B9">
        <w:rPr>
          <w:color w:val="auto"/>
          <w:vertAlign w:val="superscript"/>
        </w:rPr>
        <w:t>177</w:t>
      </w:r>
      <w:r w:rsidR="005D2057" w:rsidRPr="000736B9">
        <w:rPr>
          <w:color w:val="auto"/>
        </w:rPr>
        <w:t>Lu-</w:t>
      </w:r>
      <w:r w:rsidR="00607D95">
        <w:rPr>
          <w:color w:val="auto"/>
        </w:rPr>
        <w:t>DOTA-octreotate</w:t>
      </w:r>
      <w:r w:rsidR="00A67F19">
        <w:rPr>
          <w:color w:val="auto"/>
        </w:rPr>
        <w:t>.</w:t>
      </w:r>
      <w:r w:rsidR="005D2057" w:rsidRPr="006F2D70">
        <w:rPr>
          <w:color w:val="auto"/>
        </w:rPr>
        <w:t xml:space="preserve"> </w:t>
      </w:r>
      <w:r w:rsidR="005D2057">
        <w:rPr>
          <w:color w:val="auto"/>
        </w:rPr>
        <w:t xml:space="preserve">It is proposed that the various service elements of </w:t>
      </w:r>
      <w:r w:rsidR="005D2057" w:rsidRPr="001A2DB7">
        <w:rPr>
          <w:color w:val="auto"/>
          <w:vertAlign w:val="superscript"/>
        </w:rPr>
        <w:t>177</w:t>
      </w:r>
      <w:r w:rsidR="005D2057" w:rsidRPr="001A2DB7">
        <w:rPr>
          <w:color w:val="auto"/>
        </w:rPr>
        <w:t>Lu-</w:t>
      </w:r>
      <w:r w:rsidR="00607D95">
        <w:rPr>
          <w:color w:val="auto"/>
        </w:rPr>
        <w:t xml:space="preserve">DOTA-octreotate </w:t>
      </w:r>
      <w:r w:rsidR="005D2057">
        <w:rPr>
          <w:color w:val="auto"/>
        </w:rPr>
        <w:t>treatment administration be bundled together into the per</w:t>
      </w:r>
      <w:r w:rsidR="00B2605B">
        <w:rPr>
          <w:color w:val="auto"/>
        </w:rPr>
        <w:t>-</w:t>
      </w:r>
      <w:r w:rsidR="005D2057">
        <w:rPr>
          <w:color w:val="auto"/>
        </w:rPr>
        <w:t xml:space="preserve">cycle fee for </w:t>
      </w:r>
      <w:r w:rsidR="005D2057" w:rsidRPr="001A2DB7">
        <w:rPr>
          <w:color w:val="auto"/>
          <w:vertAlign w:val="superscript"/>
        </w:rPr>
        <w:t>177</w:t>
      </w:r>
      <w:r w:rsidR="005D2057" w:rsidRPr="001A2DB7">
        <w:rPr>
          <w:color w:val="auto"/>
        </w:rPr>
        <w:t>Lu-</w:t>
      </w:r>
      <w:r w:rsidR="00607D95">
        <w:rPr>
          <w:color w:val="auto"/>
        </w:rPr>
        <w:t xml:space="preserve">DOTA-octreotate </w:t>
      </w:r>
      <w:r w:rsidR="005D2057">
        <w:rPr>
          <w:color w:val="auto"/>
        </w:rPr>
        <w:t>treatment (</w:t>
      </w:r>
      <w:r>
        <w:rPr>
          <w:color w:val="auto"/>
        </w:rPr>
        <w:fldChar w:fldCharType="begin"/>
      </w:r>
      <w:r>
        <w:rPr>
          <w:color w:val="auto"/>
        </w:rPr>
        <w:instrText xml:space="preserve"> REF _Ref159955764 \h  \* MERGEFORMAT </w:instrText>
      </w:r>
      <w:r>
        <w:rPr>
          <w:color w:val="auto"/>
        </w:rPr>
      </w:r>
      <w:r>
        <w:rPr>
          <w:color w:val="auto"/>
        </w:rPr>
        <w:fldChar w:fldCharType="separate"/>
      </w:r>
      <w:r w:rsidR="00674D5E" w:rsidRPr="00EF2D54">
        <w:rPr>
          <w:color w:val="auto"/>
        </w:rPr>
        <w:t>Table 4</w:t>
      </w:r>
      <w:r>
        <w:rPr>
          <w:color w:val="auto"/>
        </w:rPr>
        <w:fldChar w:fldCharType="end"/>
      </w:r>
      <w:r w:rsidR="005D2057">
        <w:rPr>
          <w:color w:val="auto"/>
        </w:rPr>
        <w:t>).</w:t>
      </w:r>
      <w:r w:rsidR="006117E5">
        <w:rPr>
          <w:color w:val="auto"/>
        </w:rPr>
        <w:t xml:space="preserve"> </w:t>
      </w:r>
      <w:r w:rsidR="005F5A3D">
        <w:rPr>
          <w:color w:val="auto"/>
        </w:rPr>
        <w:t xml:space="preserve">If this item is recommended for MBS listing, the item descriptor should </w:t>
      </w:r>
      <w:r w:rsidR="00986A81">
        <w:rPr>
          <w:color w:val="auto"/>
        </w:rPr>
        <w:t xml:space="preserve">be accompanied by </w:t>
      </w:r>
      <w:r w:rsidR="005F5A3D">
        <w:rPr>
          <w:color w:val="auto"/>
        </w:rPr>
        <w:t xml:space="preserve">an explanatory note </w:t>
      </w:r>
      <w:r w:rsidR="00E004DD">
        <w:rPr>
          <w:color w:val="auto"/>
        </w:rPr>
        <w:t xml:space="preserve">that </w:t>
      </w:r>
      <w:r w:rsidR="00130173">
        <w:rPr>
          <w:color w:val="auto"/>
        </w:rPr>
        <w:t xml:space="preserve">provides guidance to clinicians regarding the use of the item, including the </w:t>
      </w:r>
      <w:r w:rsidR="005F5A3D">
        <w:rPr>
          <w:color w:val="auto"/>
        </w:rPr>
        <w:t xml:space="preserve">provider’s qualifications </w:t>
      </w:r>
      <w:r w:rsidR="00112D58">
        <w:rPr>
          <w:color w:val="auto"/>
        </w:rPr>
        <w:t>(</w:t>
      </w:r>
      <w:r w:rsidR="005F5A3D">
        <w:rPr>
          <w:color w:val="auto"/>
        </w:rPr>
        <w:t xml:space="preserve">i.e. a </w:t>
      </w:r>
      <w:proofErr w:type="spellStart"/>
      <w:r w:rsidR="005F5A3D">
        <w:rPr>
          <w:color w:val="auto"/>
        </w:rPr>
        <w:t>theranostic</w:t>
      </w:r>
      <w:proofErr w:type="spellEnd"/>
      <w:r w:rsidR="005F5A3D">
        <w:rPr>
          <w:color w:val="auto"/>
        </w:rPr>
        <w:t xml:space="preserve"> specialist</w:t>
      </w:r>
      <w:r w:rsidR="00112D58">
        <w:rPr>
          <w:color w:val="auto"/>
        </w:rPr>
        <w:t>)</w:t>
      </w:r>
      <w:r w:rsidR="005F5A3D">
        <w:rPr>
          <w:color w:val="auto"/>
        </w:rPr>
        <w:t xml:space="preserve">. The credentialing requirements of service providers and facilities will be developed in consultation with stakeholders and will further </w:t>
      </w:r>
      <w:r w:rsidR="00BD2DDE">
        <w:rPr>
          <w:color w:val="auto"/>
        </w:rPr>
        <w:t xml:space="preserve">develop how </w:t>
      </w:r>
      <w:r w:rsidR="005F5A3D">
        <w:rPr>
          <w:color w:val="auto"/>
        </w:rPr>
        <w:t>a ‘</w:t>
      </w:r>
      <w:proofErr w:type="spellStart"/>
      <w:r w:rsidR="005F5A3D">
        <w:rPr>
          <w:color w:val="auto"/>
        </w:rPr>
        <w:t>theranostic</w:t>
      </w:r>
      <w:proofErr w:type="spellEnd"/>
      <w:r w:rsidR="005F5A3D">
        <w:rPr>
          <w:color w:val="auto"/>
        </w:rPr>
        <w:t xml:space="preserve"> specialist’</w:t>
      </w:r>
      <w:r w:rsidR="00BD2DDE">
        <w:rPr>
          <w:color w:val="auto"/>
        </w:rPr>
        <w:t xml:space="preserve"> should be defined</w:t>
      </w:r>
      <w:r w:rsidR="005F5A3D">
        <w:rPr>
          <w:color w:val="auto"/>
        </w:rPr>
        <w:t>.</w:t>
      </w:r>
      <w:r w:rsidR="00556E3E">
        <w:rPr>
          <w:color w:val="auto"/>
        </w:rPr>
        <w:t xml:space="preserve"> </w:t>
      </w:r>
      <w:r w:rsidR="00F73681">
        <w:rPr>
          <w:color w:val="auto"/>
        </w:rPr>
        <w:t xml:space="preserve">The fee for the proposed new MBS item should reflect the final definition of the provider’s qualifications. </w:t>
      </w:r>
    </w:p>
    <w:p w14:paraId="61A33FFA" w14:textId="601AC28E" w:rsidR="005D2057" w:rsidRPr="00CB48A5" w:rsidRDefault="00EB3221" w:rsidP="005D2057">
      <w:pPr>
        <w:pStyle w:val="Instructionaltext"/>
        <w:rPr>
          <w:color w:val="auto"/>
        </w:rPr>
      </w:pPr>
      <w:r>
        <w:rPr>
          <w:color w:val="auto"/>
        </w:rPr>
        <w:lastRenderedPageBreak/>
        <w:t>T</w:t>
      </w:r>
      <w:r w:rsidR="001E28D6">
        <w:rPr>
          <w:color w:val="auto"/>
        </w:rPr>
        <w:t xml:space="preserve">he </w:t>
      </w:r>
      <w:r>
        <w:rPr>
          <w:color w:val="auto"/>
        </w:rPr>
        <w:t xml:space="preserve">bundled fee elements for the proposed MBS item provided in the ratified PICO includes a </w:t>
      </w:r>
      <w:proofErr w:type="spellStart"/>
      <w:r>
        <w:rPr>
          <w:color w:val="auto"/>
        </w:rPr>
        <w:t>theranostic</w:t>
      </w:r>
      <w:proofErr w:type="spellEnd"/>
      <w:r>
        <w:rPr>
          <w:color w:val="auto"/>
        </w:rPr>
        <w:t xml:space="preserve"> specialist pre-treatment consult fee aligned with MBS item 110</w:t>
      </w:r>
      <w:r w:rsidR="00B069CD">
        <w:rPr>
          <w:color w:val="auto"/>
        </w:rPr>
        <w:t xml:space="preserve"> ($167.75)</w:t>
      </w:r>
      <w:r>
        <w:rPr>
          <w:color w:val="auto"/>
        </w:rPr>
        <w:t xml:space="preserve">, which represents the </w:t>
      </w:r>
      <w:r w:rsidR="00194E6D">
        <w:rPr>
          <w:color w:val="auto"/>
        </w:rPr>
        <w:t xml:space="preserve">fee for the </w:t>
      </w:r>
      <w:r w:rsidR="00C03EB8">
        <w:rPr>
          <w:color w:val="auto"/>
        </w:rPr>
        <w:t xml:space="preserve">initial </w:t>
      </w:r>
      <w:r w:rsidR="00194E6D">
        <w:rPr>
          <w:color w:val="auto"/>
        </w:rPr>
        <w:t xml:space="preserve">attendance of a </w:t>
      </w:r>
      <w:r>
        <w:rPr>
          <w:color w:val="auto"/>
        </w:rPr>
        <w:t>c</w:t>
      </w:r>
      <w:r w:rsidR="00613DB8">
        <w:rPr>
          <w:color w:val="auto"/>
        </w:rPr>
        <w:t>onsultant physician</w:t>
      </w:r>
      <w:r w:rsidR="00CC512A">
        <w:rPr>
          <w:color w:val="auto"/>
        </w:rPr>
        <w:t xml:space="preserve"> (</w:t>
      </w:r>
      <w:r w:rsidR="00CC512A">
        <w:rPr>
          <w:color w:val="auto"/>
        </w:rPr>
        <w:fldChar w:fldCharType="begin"/>
      </w:r>
      <w:r w:rsidR="00CC512A">
        <w:rPr>
          <w:color w:val="auto"/>
        </w:rPr>
        <w:instrText xml:space="preserve"> REF _Ref159955764 \h  \* MERGEFORMAT </w:instrText>
      </w:r>
      <w:r w:rsidR="00CC512A">
        <w:rPr>
          <w:color w:val="auto"/>
        </w:rPr>
      </w:r>
      <w:r w:rsidR="00CC512A">
        <w:rPr>
          <w:color w:val="auto"/>
        </w:rPr>
        <w:fldChar w:fldCharType="separate"/>
      </w:r>
      <w:r w:rsidR="00674D5E" w:rsidRPr="00EF2D54">
        <w:rPr>
          <w:color w:val="auto"/>
        </w:rPr>
        <w:t>Table 4</w:t>
      </w:r>
      <w:r w:rsidR="00CC512A">
        <w:rPr>
          <w:color w:val="auto"/>
        </w:rPr>
        <w:fldChar w:fldCharType="end"/>
      </w:r>
      <w:r w:rsidR="00CC512A">
        <w:rPr>
          <w:color w:val="auto"/>
        </w:rPr>
        <w:t>)</w:t>
      </w:r>
      <w:r w:rsidR="00EE7BFB">
        <w:rPr>
          <w:color w:val="auto"/>
        </w:rPr>
        <w:t>.</w:t>
      </w:r>
      <w:r w:rsidR="00613DB8">
        <w:rPr>
          <w:color w:val="auto"/>
        </w:rPr>
        <w:t xml:space="preserve"> </w:t>
      </w:r>
      <w:r w:rsidR="00E92ADB">
        <w:rPr>
          <w:color w:val="auto"/>
        </w:rPr>
        <w:t>Alternatively, the fee for this service element could be aligned to MBS item 104 (</w:t>
      </w:r>
      <w:r w:rsidR="00C03EB8">
        <w:rPr>
          <w:color w:val="auto"/>
        </w:rPr>
        <w:t>$95.60)</w:t>
      </w:r>
      <w:r w:rsidR="000C19A7">
        <w:rPr>
          <w:color w:val="auto"/>
        </w:rPr>
        <w:t xml:space="preserve"> </w:t>
      </w:r>
      <w:r w:rsidR="00854CF2">
        <w:rPr>
          <w:color w:val="auto"/>
        </w:rPr>
        <w:t xml:space="preserve">for the initial attendance </w:t>
      </w:r>
      <w:r w:rsidR="00D777BC">
        <w:rPr>
          <w:color w:val="auto"/>
        </w:rPr>
        <w:t>of a specialist</w:t>
      </w:r>
      <w:r w:rsidR="00EF0AD7">
        <w:rPr>
          <w:color w:val="auto"/>
        </w:rPr>
        <w:t xml:space="preserve">. Furthermore, </w:t>
      </w:r>
      <w:r w:rsidR="00AC1F4B">
        <w:rPr>
          <w:color w:val="auto"/>
        </w:rPr>
        <w:t>the fee</w:t>
      </w:r>
      <w:r w:rsidR="00B366F4">
        <w:rPr>
          <w:color w:val="auto"/>
        </w:rPr>
        <w:t>s</w:t>
      </w:r>
      <w:r w:rsidR="00AC1F4B">
        <w:rPr>
          <w:color w:val="auto"/>
        </w:rPr>
        <w:t xml:space="preserve"> for</w:t>
      </w:r>
      <w:r w:rsidR="00EF0AD7">
        <w:rPr>
          <w:color w:val="auto"/>
        </w:rPr>
        <w:t xml:space="preserve"> </w:t>
      </w:r>
      <w:r w:rsidR="00AC1D07">
        <w:rPr>
          <w:color w:val="auto"/>
        </w:rPr>
        <w:t>MBS item 1</w:t>
      </w:r>
      <w:r w:rsidR="00D13E1B">
        <w:rPr>
          <w:color w:val="auto"/>
        </w:rPr>
        <w:t>16</w:t>
      </w:r>
      <w:r w:rsidR="001A7E4F">
        <w:rPr>
          <w:color w:val="auto"/>
        </w:rPr>
        <w:t xml:space="preserve"> </w:t>
      </w:r>
      <w:r w:rsidR="005B0A73">
        <w:rPr>
          <w:color w:val="auto"/>
        </w:rPr>
        <w:t>($84.35)</w:t>
      </w:r>
      <w:r w:rsidR="001A7E4F">
        <w:rPr>
          <w:color w:val="auto"/>
        </w:rPr>
        <w:t xml:space="preserve"> </w:t>
      </w:r>
      <w:r w:rsidR="003A4924">
        <w:rPr>
          <w:color w:val="auto"/>
        </w:rPr>
        <w:t xml:space="preserve">for </w:t>
      </w:r>
      <w:r w:rsidR="005D6A87">
        <w:rPr>
          <w:color w:val="auto"/>
        </w:rPr>
        <w:t xml:space="preserve">the </w:t>
      </w:r>
      <w:r w:rsidR="002E12F5">
        <w:rPr>
          <w:color w:val="auto"/>
        </w:rPr>
        <w:t xml:space="preserve">subsequent </w:t>
      </w:r>
      <w:r w:rsidR="00AC1F4B">
        <w:rPr>
          <w:color w:val="auto"/>
        </w:rPr>
        <w:t xml:space="preserve">attendance of </w:t>
      </w:r>
      <w:r w:rsidR="005B0A73">
        <w:rPr>
          <w:color w:val="auto"/>
        </w:rPr>
        <w:t xml:space="preserve">a </w:t>
      </w:r>
      <w:r w:rsidR="002E12F5">
        <w:rPr>
          <w:color w:val="auto"/>
        </w:rPr>
        <w:t>consultant p</w:t>
      </w:r>
      <w:r w:rsidR="00AC1F4B">
        <w:rPr>
          <w:color w:val="auto"/>
        </w:rPr>
        <w:t>hysician</w:t>
      </w:r>
      <w:r w:rsidR="005B0A73">
        <w:rPr>
          <w:color w:val="auto"/>
        </w:rPr>
        <w:t xml:space="preserve">, </w:t>
      </w:r>
      <w:r w:rsidR="000F3088">
        <w:rPr>
          <w:color w:val="auto"/>
        </w:rPr>
        <w:t>and</w:t>
      </w:r>
      <w:r w:rsidR="005B0A73">
        <w:rPr>
          <w:color w:val="auto"/>
        </w:rPr>
        <w:t xml:space="preserve"> </w:t>
      </w:r>
      <w:r w:rsidR="00F50177">
        <w:rPr>
          <w:color w:val="auto"/>
        </w:rPr>
        <w:t>for MBS item 105 (</w:t>
      </w:r>
      <w:r w:rsidR="00866BD8">
        <w:rPr>
          <w:color w:val="auto"/>
        </w:rPr>
        <w:t>$48.05)</w:t>
      </w:r>
      <w:r w:rsidR="000F103F">
        <w:rPr>
          <w:color w:val="auto"/>
        </w:rPr>
        <w:t xml:space="preserve"> for the subsequent attendance of a specialist</w:t>
      </w:r>
      <w:r w:rsidR="000F3088">
        <w:rPr>
          <w:color w:val="auto"/>
        </w:rPr>
        <w:t xml:space="preserve">, are also relevant in this context. </w:t>
      </w:r>
      <w:r w:rsidR="00807839">
        <w:rPr>
          <w:color w:val="auto"/>
        </w:rPr>
        <w:t>The most relevant MBS item</w:t>
      </w:r>
      <w:r w:rsidR="00D26F53">
        <w:rPr>
          <w:color w:val="auto"/>
        </w:rPr>
        <w:t xml:space="preserve"> for this service element</w:t>
      </w:r>
      <w:r w:rsidR="00807839">
        <w:rPr>
          <w:color w:val="auto"/>
        </w:rPr>
        <w:t xml:space="preserve"> </w:t>
      </w:r>
      <w:r w:rsidR="00121BD4">
        <w:rPr>
          <w:color w:val="auto"/>
        </w:rPr>
        <w:t xml:space="preserve">depends on </w:t>
      </w:r>
      <w:r w:rsidR="009F70C1">
        <w:rPr>
          <w:color w:val="auto"/>
        </w:rPr>
        <w:t>who is most likely to be delivering this item, as nuc</w:t>
      </w:r>
      <w:r w:rsidR="002B74C6">
        <w:rPr>
          <w:color w:val="auto"/>
        </w:rPr>
        <w:t>lear medicine physicians (</w:t>
      </w:r>
      <w:r w:rsidR="00513636">
        <w:rPr>
          <w:color w:val="auto"/>
        </w:rPr>
        <w:t xml:space="preserve">classified as </w:t>
      </w:r>
      <w:r w:rsidR="002B74C6">
        <w:rPr>
          <w:color w:val="auto"/>
        </w:rPr>
        <w:t>consultant physicians) could claim items 110/116</w:t>
      </w:r>
      <w:r w:rsidR="003C32E8">
        <w:rPr>
          <w:color w:val="auto"/>
        </w:rPr>
        <w:t xml:space="preserve"> </w:t>
      </w:r>
      <w:r w:rsidR="007E6641">
        <w:rPr>
          <w:color w:val="auto"/>
        </w:rPr>
        <w:t>whereas</w:t>
      </w:r>
      <w:r w:rsidR="003C32E8">
        <w:rPr>
          <w:color w:val="auto"/>
        </w:rPr>
        <w:t xml:space="preserve"> </w:t>
      </w:r>
      <w:r w:rsidR="0021375C">
        <w:rPr>
          <w:color w:val="auto"/>
        </w:rPr>
        <w:t>items 104/105 are more relevant if</w:t>
      </w:r>
      <w:r w:rsidR="003C32E8">
        <w:rPr>
          <w:color w:val="auto"/>
        </w:rPr>
        <w:t xml:space="preserve"> radiologists (</w:t>
      </w:r>
      <w:r w:rsidR="00513636">
        <w:rPr>
          <w:color w:val="auto"/>
        </w:rPr>
        <w:t xml:space="preserve">classified as </w:t>
      </w:r>
      <w:r w:rsidR="003C32E8">
        <w:rPr>
          <w:color w:val="auto"/>
        </w:rPr>
        <w:t>s</w:t>
      </w:r>
      <w:r w:rsidR="00513636">
        <w:rPr>
          <w:color w:val="auto"/>
        </w:rPr>
        <w:t xml:space="preserve">pecialists) </w:t>
      </w:r>
      <w:r w:rsidR="0021375C">
        <w:rPr>
          <w:color w:val="auto"/>
        </w:rPr>
        <w:t>are involved.</w:t>
      </w:r>
    </w:p>
    <w:p w14:paraId="24C5E304" w14:textId="4CFC0204" w:rsidR="005D2057" w:rsidRPr="0023570A" w:rsidRDefault="005D2057" w:rsidP="005D2057">
      <w:pPr>
        <w:pStyle w:val="Caption"/>
        <w:rPr>
          <w:rFonts w:cs="Tahoma"/>
          <w:b w:val="0"/>
          <w:lang w:val="en-GB" w:eastAsia="ja-JP"/>
        </w:rPr>
      </w:pPr>
      <w:bookmarkStart w:id="26" w:name="_Ref159955739"/>
      <w:bookmarkStart w:id="27" w:name="_Toc161842040"/>
      <w:r>
        <w:t xml:space="preserve">Table </w:t>
      </w:r>
      <w:r>
        <w:fldChar w:fldCharType="begin"/>
      </w:r>
      <w:r>
        <w:instrText xml:space="preserve"> SEQ Table \* ARABIC </w:instrText>
      </w:r>
      <w:r>
        <w:fldChar w:fldCharType="separate"/>
      </w:r>
      <w:r w:rsidR="006D13BC">
        <w:rPr>
          <w:noProof/>
        </w:rPr>
        <w:t>3</w:t>
      </w:r>
      <w:r>
        <w:rPr>
          <w:noProof/>
        </w:rPr>
        <w:fldChar w:fldCharType="end"/>
      </w:r>
      <w:bookmarkEnd w:id="26"/>
      <w:r>
        <w:t xml:space="preserve">: </w:t>
      </w:r>
      <w:r w:rsidRPr="0023570A">
        <w:rPr>
          <w:rFonts w:cs="Tahoma"/>
          <w:lang w:val="en-GB" w:eastAsia="ja-JP"/>
        </w:rPr>
        <w:t xml:space="preserve">Proposed item </w:t>
      </w:r>
      <w:r>
        <w:rPr>
          <w:rFonts w:cs="Tahoma"/>
          <w:lang w:val="en-GB" w:eastAsia="ja-JP"/>
        </w:rPr>
        <w:t xml:space="preserve">descriptor </w:t>
      </w:r>
      <w:r w:rsidRPr="0023570A">
        <w:rPr>
          <w:rFonts w:cs="Tahoma"/>
          <w:lang w:val="en-GB" w:eastAsia="ja-JP"/>
        </w:rPr>
        <w:t xml:space="preserve">for </w:t>
      </w:r>
      <w:r w:rsidRPr="0023570A">
        <w:rPr>
          <w:rFonts w:cs="Tahoma"/>
          <w:vertAlign w:val="superscript"/>
          <w:lang w:val="en-GB" w:eastAsia="ja-JP"/>
        </w:rPr>
        <w:t>177</w:t>
      </w:r>
      <w:r w:rsidRPr="0023570A">
        <w:rPr>
          <w:rFonts w:cs="Tahoma"/>
          <w:lang w:val="en-GB" w:eastAsia="ja-JP"/>
        </w:rPr>
        <w:t>Lu-</w:t>
      </w:r>
      <w:r w:rsidR="00607D95">
        <w:rPr>
          <w:rFonts w:cs="Tahoma"/>
          <w:lang w:val="en-GB" w:eastAsia="ja-JP"/>
        </w:rPr>
        <w:t>DOTA-octreotate</w:t>
      </w:r>
      <w:bookmarkEnd w:id="27"/>
      <w:r w:rsidR="00607D95">
        <w:rPr>
          <w:rFonts w:cs="Tahoma"/>
          <w:lang w:val="en-GB" w:eastAsia="ja-JP"/>
        </w:rPr>
        <w:t xml:space="preserve"> </w:t>
      </w:r>
    </w:p>
    <w:tbl>
      <w:tblPr>
        <w:tblStyle w:val="ASDTable5"/>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5D2057" w:rsidRPr="0023570A" w14:paraId="3FF53418" w14:textId="77777777">
        <w:trPr>
          <w:cantSplit/>
          <w:tblHeader/>
        </w:trPr>
        <w:tc>
          <w:tcPr>
            <w:tcW w:w="9016" w:type="dxa"/>
            <w:tcBorders>
              <w:top w:val="single" w:sz="4" w:space="0" w:color="auto"/>
              <w:left w:val="single" w:sz="4" w:space="0" w:color="auto"/>
              <w:bottom w:val="single" w:sz="4" w:space="0" w:color="auto"/>
              <w:right w:val="single" w:sz="4" w:space="0" w:color="auto"/>
            </w:tcBorders>
            <w:hideMark/>
          </w:tcPr>
          <w:p w14:paraId="56A2D5E9" w14:textId="77777777" w:rsidR="005D2057" w:rsidRPr="003477F1" w:rsidRDefault="005D2057" w:rsidP="00FD6F5E">
            <w:pPr>
              <w:pStyle w:val="TableHeading0"/>
            </w:pPr>
            <w:r w:rsidRPr="003477F1">
              <w:t>Category T3-Therapeutic Nuclear Medicine</w:t>
            </w:r>
          </w:p>
        </w:tc>
      </w:tr>
      <w:tr w:rsidR="005D2057" w:rsidRPr="0023570A" w14:paraId="15E01473" w14:textId="77777777">
        <w:trPr>
          <w:cantSplit/>
          <w:tblHeader/>
        </w:trPr>
        <w:tc>
          <w:tcPr>
            <w:tcW w:w="9016" w:type="dxa"/>
            <w:tcBorders>
              <w:top w:val="single" w:sz="4" w:space="0" w:color="auto"/>
              <w:left w:val="single" w:sz="4" w:space="0" w:color="auto"/>
              <w:bottom w:val="single" w:sz="4" w:space="0" w:color="auto"/>
              <w:right w:val="single" w:sz="4" w:space="0" w:color="auto"/>
            </w:tcBorders>
          </w:tcPr>
          <w:p w14:paraId="3CDC5E80" w14:textId="6CE103AB" w:rsidR="005D2057" w:rsidRPr="003477F1" w:rsidRDefault="005D2057">
            <w:pPr>
              <w:spacing w:after="120"/>
              <w:rPr>
                <w:rFonts w:ascii="Arial Narrow" w:eastAsia="Calibri" w:hAnsi="Arial Narrow" w:cs="Times New Roman"/>
                <w:sz w:val="20"/>
                <w:szCs w:val="20"/>
              </w:rPr>
            </w:pPr>
            <w:r w:rsidRPr="003477F1">
              <w:rPr>
                <w:rFonts w:ascii="Arial Narrow" w:eastAsia="Calibri" w:hAnsi="Arial Narrow" w:cs="Times New Roman"/>
                <w:sz w:val="20"/>
                <w:szCs w:val="20"/>
              </w:rPr>
              <w:t xml:space="preserve">MBS item </w:t>
            </w:r>
            <w:r w:rsidR="009B0252">
              <w:rPr>
                <w:rFonts w:ascii="Arial Narrow" w:eastAsia="Calibri" w:hAnsi="Arial Narrow" w:cs="Calibri"/>
                <w:sz w:val="20"/>
                <w:szCs w:val="20"/>
              </w:rPr>
              <w:t>[item number]</w:t>
            </w:r>
          </w:p>
          <w:p w14:paraId="6D222FE9" w14:textId="44B4D442" w:rsidR="005D2057" w:rsidRPr="003477F1" w:rsidRDefault="005D2057">
            <w:pPr>
              <w:spacing w:after="120"/>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vertAlign w:val="superscript"/>
              </w:rPr>
              <w:t>177</w:t>
            </w:r>
            <w:r w:rsidRPr="003477F1">
              <w:rPr>
                <w:rFonts w:ascii="Arial Narrow" w:eastAsia="Calibri" w:hAnsi="Arial Narrow" w:cs="Times New Roman"/>
                <w:sz w:val="20"/>
                <w:szCs w:val="20"/>
              </w:rPr>
              <w:t xml:space="preserve">Lutetium-somastatin receptor agonist treatment for patients with histologically confirmed, locally advanced or metastatic, and inoperable neuroendocrine </w:t>
            </w:r>
            <w:r w:rsidR="00B97ACC">
              <w:rPr>
                <w:rFonts w:ascii="Arial Narrow" w:eastAsia="Calibri" w:hAnsi="Arial Narrow" w:cs="Times New Roman"/>
                <w:sz w:val="20"/>
                <w:szCs w:val="20"/>
              </w:rPr>
              <w:t>neoplasms</w:t>
            </w:r>
            <w:r w:rsidRPr="003477F1">
              <w:rPr>
                <w:rFonts w:ascii="Arial Narrow" w:eastAsia="Calibri" w:hAnsi="Arial Narrow" w:cs="Times New Roman"/>
                <w:sz w:val="20"/>
                <w:szCs w:val="20"/>
              </w:rPr>
              <w:t xml:space="preserve"> (NENs) with documented disease progression or uncontrolled symptoms related to their NEN despite standard therapy who:</w:t>
            </w:r>
          </w:p>
          <w:p w14:paraId="5394EE90" w14:textId="68AF87FD" w:rsidR="005D2057" w:rsidRPr="003477F1" w:rsidRDefault="005D2057" w:rsidP="00D83E90">
            <w:pPr>
              <w:numPr>
                <w:ilvl w:val="0"/>
                <w:numId w:val="10"/>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 xml:space="preserve">have high tumour somatostatin receptor expression demonstrated on whole body </w:t>
            </w:r>
            <w:r w:rsidRPr="003477F1">
              <w:rPr>
                <w:rFonts w:ascii="Arial Narrow" w:eastAsia="Calibri" w:hAnsi="Arial Narrow" w:cs="Times New Roman"/>
                <w:sz w:val="20"/>
                <w:szCs w:val="20"/>
                <w:vertAlign w:val="superscript"/>
              </w:rPr>
              <w:t>68</w:t>
            </w:r>
            <w:r w:rsidRPr="003477F1">
              <w:rPr>
                <w:rFonts w:ascii="Arial Narrow" w:eastAsia="Calibri" w:hAnsi="Arial Narrow" w:cs="Times New Roman"/>
                <w:sz w:val="20"/>
                <w:szCs w:val="20"/>
              </w:rPr>
              <w:t>Ga DOTA somatostatin agonist PET study; and</w:t>
            </w:r>
          </w:p>
          <w:p w14:paraId="1390D9F7" w14:textId="683FCCC1" w:rsidR="005D2057" w:rsidRPr="003477F1" w:rsidRDefault="005D2057" w:rsidP="00D83E90">
            <w:pPr>
              <w:numPr>
                <w:ilvl w:val="0"/>
                <w:numId w:val="10"/>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 xml:space="preserve">are considered suitable for </w:t>
            </w:r>
            <w:r w:rsidRPr="003477F1">
              <w:rPr>
                <w:rFonts w:ascii="Arial Narrow" w:eastAsia="Calibri" w:hAnsi="Arial Narrow" w:cs="Times New Roman"/>
                <w:sz w:val="20"/>
                <w:szCs w:val="20"/>
                <w:vertAlign w:val="superscript"/>
              </w:rPr>
              <w:t>177</w:t>
            </w:r>
            <w:r w:rsidRPr="003477F1">
              <w:rPr>
                <w:rFonts w:ascii="Arial Narrow" w:eastAsia="Calibri" w:hAnsi="Arial Narrow" w:cs="Times New Roman"/>
                <w:sz w:val="20"/>
                <w:szCs w:val="20"/>
              </w:rPr>
              <w:t xml:space="preserve">Lu-somatostatin agonist therapy by a formally convened </w:t>
            </w:r>
            <w:r w:rsidR="00B97ACC">
              <w:rPr>
                <w:rFonts w:ascii="Arial Narrow" w:eastAsia="Calibri" w:hAnsi="Arial Narrow" w:cs="Times New Roman"/>
                <w:sz w:val="20"/>
                <w:szCs w:val="20"/>
              </w:rPr>
              <w:t>neuroendocrine neoplasm</w:t>
            </w:r>
            <w:r w:rsidRPr="003477F1">
              <w:rPr>
                <w:rFonts w:ascii="Arial Narrow" w:eastAsia="Calibri" w:hAnsi="Arial Narrow" w:cs="Times New Roman"/>
                <w:sz w:val="20"/>
                <w:szCs w:val="20"/>
              </w:rPr>
              <w:t xml:space="preserve"> multidisciplinary board.</w:t>
            </w:r>
          </w:p>
          <w:p w14:paraId="37068F6E" w14:textId="77777777" w:rsidR="005D2057" w:rsidRPr="003477F1" w:rsidRDefault="005D2057">
            <w:pPr>
              <w:spacing w:before="0" w:after="120"/>
              <w:ind w:left="319"/>
              <w:contextualSpacing/>
              <w:jc w:val="both"/>
              <w:rPr>
                <w:rFonts w:ascii="Arial Narrow" w:eastAsia="Calibri" w:hAnsi="Arial Narrow" w:cs="Times New Roman"/>
                <w:sz w:val="20"/>
                <w:szCs w:val="20"/>
              </w:rPr>
            </w:pPr>
          </w:p>
          <w:p w14:paraId="11B9395E" w14:textId="77777777" w:rsidR="005D2057" w:rsidRPr="003477F1" w:rsidRDefault="005D2057">
            <w:pPr>
              <w:spacing w:after="120"/>
              <w:jc w:val="both"/>
              <w:rPr>
                <w:rFonts w:ascii="Arial Narrow" w:eastAsia="Calibri" w:hAnsi="Arial Narrow" w:cs="Times New Roman"/>
                <w:sz w:val="20"/>
                <w:szCs w:val="20"/>
              </w:rPr>
            </w:pPr>
            <w:r w:rsidRPr="003477F1">
              <w:rPr>
                <w:rFonts w:ascii="Arial Narrow" w:eastAsia="Calibri" w:hAnsi="Arial Narrow" w:cs="Times New Roman"/>
                <w:sz w:val="20"/>
                <w:szCs w:val="20"/>
              </w:rPr>
              <w:t>The item fee is inclusive of necessary patient preparation such as:</w:t>
            </w:r>
          </w:p>
          <w:p w14:paraId="09DA8CCA" w14:textId="77777777" w:rsidR="005D2057" w:rsidRPr="003477F1" w:rsidRDefault="005D2057" w:rsidP="00D83E90">
            <w:pPr>
              <w:numPr>
                <w:ilvl w:val="0"/>
                <w:numId w:val="11"/>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patient preparation (including cost of amino acid infusion),</w:t>
            </w:r>
          </w:p>
          <w:p w14:paraId="2057D95B" w14:textId="77777777" w:rsidR="005D2057" w:rsidRPr="003477F1" w:rsidRDefault="005D2057" w:rsidP="00D83E90">
            <w:pPr>
              <w:numPr>
                <w:ilvl w:val="0"/>
                <w:numId w:val="11"/>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radiopharmaceutical preparation and administration,</w:t>
            </w:r>
          </w:p>
          <w:p w14:paraId="653A45D5" w14:textId="77777777" w:rsidR="005D2057" w:rsidRPr="003477F1" w:rsidRDefault="005D2057" w:rsidP="00D83E90">
            <w:pPr>
              <w:numPr>
                <w:ilvl w:val="0"/>
                <w:numId w:val="11"/>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immediate patient aftercare; and</w:t>
            </w:r>
          </w:p>
          <w:p w14:paraId="0795EB0D" w14:textId="77777777" w:rsidR="005D2057" w:rsidRDefault="005D2057" w:rsidP="00D83E90">
            <w:pPr>
              <w:numPr>
                <w:ilvl w:val="0"/>
                <w:numId w:val="11"/>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post-infusion single photon emission tomography (SPECT) if performed (recommended after every 2</w:t>
            </w:r>
            <w:r w:rsidRPr="003477F1">
              <w:rPr>
                <w:rFonts w:ascii="Arial Narrow" w:eastAsia="Calibri" w:hAnsi="Arial Narrow" w:cs="Times New Roman"/>
                <w:sz w:val="20"/>
                <w:szCs w:val="20"/>
                <w:vertAlign w:val="superscript"/>
              </w:rPr>
              <w:t>nd</w:t>
            </w:r>
            <w:r w:rsidRPr="003477F1">
              <w:rPr>
                <w:rFonts w:ascii="Arial Narrow" w:eastAsia="Calibri" w:hAnsi="Arial Narrow" w:cs="Times New Roman"/>
                <w:sz w:val="20"/>
                <w:szCs w:val="20"/>
              </w:rPr>
              <w:t xml:space="preserve"> cycle)</w:t>
            </w:r>
          </w:p>
          <w:p w14:paraId="1D671011" w14:textId="77777777" w:rsidR="005D2057" w:rsidRPr="003477F1" w:rsidRDefault="005D2057">
            <w:pPr>
              <w:spacing w:after="120"/>
              <w:jc w:val="both"/>
              <w:rPr>
                <w:rFonts w:ascii="Arial Narrow" w:eastAsia="Calibri" w:hAnsi="Arial Narrow" w:cs="Times New Roman"/>
                <w:sz w:val="20"/>
                <w:szCs w:val="20"/>
              </w:rPr>
            </w:pPr>
            <w:r w:rsidRPr="001732A5">
              <w:rPr>
                <w:rFonts w:ascii="Arial Narrow" w:eastAsia="Calibri" w:hAnsi="Arial Narrow" w:cs="Times New Roman"/>
                <w:sz w:val="20"/>
                <w:szCs w:val="20"/>
              </w:rPr>
              <w:t>NOTE: To be finalised but will specify the provider’s qualifications</w:t>
            </w:r>
          </w:p>
        </w:tc>
      </w:tr>
      <w:tr w:rsidR="005D2057" w:rsidRPr="0023570A" w14:paraId="70829AFF" w14:textId="77777777">
        <w:trPr>
          <w:cantSplit/>
          <w:tblHeader/>
        </w:trPr>
        <w:tc>
          <w:tcPr>
            <w:tcW w:w="9016" w:type="dxa"/>
            <w:tcBorders>
              <w:top w:val="single" w:sz="4" w:space="0" w:color="auto"/>
              <w:left w:val="single" w:sz="4" w:space="0" w:color="auto"/>
              <w:bottom w:val="single" w:sz="4" w:space="0" w:color="auto"/>
              <w:right w:val="single" w:sz="4" w:space="0" w:color="auto"/>
            </w:tcBorders>
            <w:vAlign w:val="center"/>
          </w:tcPr>
          <w:p w14:paraId="507D4310" w14:textId="77777777" w:rsidR="005D2057" w:rsidRPr="003477F1" w:rsidRDefault="005D2057">
            <w:pPr>
              <w:spacing w:before="40" w:after="40"/>
              <w:rPr>
                <w:rFonts w:ascii="Arial Narrow" w:eastAsia="Calibri" w:hAnsi="Arial Narrow" w:cs="Times New Roman"/>
                <w:sz w:val="20"/>
                <w:szCs w:val="20"/>
                <w:highlight w:val="cyan"/>
              </w:rPr>
            </w:pPr>
            <w:r w:rsidRPr="003477F1">
              <w:rPr>
                <w:rFonts w:ascii="Arial Narrow" w:eastAsia="Calibri" w:hAnsi="Arial Narrow" w:cs="Times New Roman"/>
                <w:sz w:val="20"/>
                <w:szCs w:val="20"/>
              </w:rPr>
              <w:t>Fee: $10,431.05 (</w:t>
            </w:r>
            <w:proofErr w:type="spellStart"/>
            <w:r w:rsidRPr="003477F1">
              <w:rPr>
                <w:rFonts w:ascii="Arial Narrow" w:eastAsia="Calibri" w:hAnsi="Arial Narrow" w:cs="Times New Roman"/>
                <w:sz w:val="20"/>
                <w:szCs w:val="20"/>
              </w:rPr>
              <w:t>nca</w:t>
            </w:r>
            <w:proofErr w:type="spellEnd"/>
            <w:r w:rsidRPr="003477F1">
              <w:rPr>
                <w:rFonts w:ascii="Arial Narrow" w:eastAsia="Calibri" w:hAnsi="Arial Narrow" w:cs="Times New Roman"/>
                <w:sz w:val="20"/>
                <w:szCs w:val="20"/>
              </w:rPr>
              <w:t>) / $10,031.05 (ca)</w:t>
            </w:r>
          </w:p>
        </w:tc>
      </w:tr>
    </w:tbl>
    <w:p w14:paraId="195EE4C8" w14:textId="3BA13FED" w:rsidR="00E64642" w:rsidRDefault="00E64642" w:rsidP="0050775E">
      <w:pPr>
        <w:pStyle w:val="Tablenotes"/>
        <w:spacing w:after="0"/>
      </w:pPr>
      <w:r>
        <w:t xml:space="preserve">Abbreviations: </w:t>
      </w:r>
      <w:r w:rsidR="00EE4FB1">
        <w:t xml:space="preserve">ca = carrier added; </w:t>
      </w:r>
      <w:r w:rsidR="00DA38E6" w:rsidRPr="00ED4E95">
        <w:t>Ga = Gallium</w:t>
      </w:r>
      <w:r w:rsidR="00DA38E6">
        <w:t xml:space="preserve">; </w:t>
      </w:r>
      <w:r w:rsidRPr="003477F1">
        <w:rPr>
          <w:rFonts w:eastAsia="Calibri" w:cs="Times New Roman"/>
          <w:sz w:val="20"/>
        </w:rPr>
        <w:t>Lu</w:t>
      </w:r>
      <w:r>
        <w:rPr>
          <w:rFonts w:eastAsia="Calibri" w:cs="Times New Roman"/>
          <w:sz w:val="20"/>
        </w:rPr>
        <w:t xml:space="preserve"> =</w:t>
      </w:r>
      <w:r w:rsidR="00F3746C">
        <w:rPr>
          <w:rFonts w:eastAsia="Calibri" w:cs="Times New Roman"/>
          <w:sz w:val="20"/>
        </w:rPr>
        <w:t xml:space="preserve"> </w:t>
      </w:r>
      <w:r w:rsidRPr="003477F1">
        <w:rPr>
          <w:rFonts w:eastAsia="Calibri" w:cs="Times New Roman"/>
          <w:sz w:val="20"/>
        </w:rPr>
        <w:t>Lutetium</w:t>
      </w:r>
      <w:r>
        <w:rPr>
          <w:rFonts w:eastAsia="Calibri" w:cs="Times New Roman"/>
          <w:sz w:val="20"/>
        </w:rPr>
        <w:t xml:space="preserve">; </w:t>
      </w:r>
      <w:proofErr w:type="spellStart"/>
      <w:r w:rsidR="00001CEA">
        <w:rPr>
          <w:rFonts w:eastAsia="Calibri" w:cs="Times New Roman"/>
          <w:sz w:val="20"/>
        </w:rPr>
        <w:t>nca</w:t>
      </w:r>
      <w:proofErr w:type="spellEnd"/>
      <w:r w:rsidR="00001CEA">
        <w:rPr>
          <w:rFonts w:eastAsia="Calibri" w:cs="Times New Roman"/>
          <w:sz w:val="20"/>
        </w:rPr>
        <w:t xml:space="preserve"> = no</w:t>
      </w:r>
      <w:r w:rsidR="00EE4FB1">
        <w:rPr>
          <w:rFonts w:eastAsia="Calibri" w:cs="Times New Roman"/>
          <w:sz w:val="20"/>
        </w:rPr>
        <w:t xml:space="preserve"> carrier added;</w:t>
      </w:r>
      <w:r>
        <w:rPr>
          <w:rFonts w:eastAsia="Calibri" w:cs="Times New Roman"/>
          <w:sz w:val="20"/>
        </w:rPr>
        <w:t xml:space="preserve"> </w:t>
      </w:r>
      <w:r w:rsidR="00C034C5" w:rsidRPr="00ED4E95">
        <w:t>PET = positron emission tomography</w:t>
      </w:r>
      <w:r w:rsidR="00DA38E6">
        <w:t>.</w:t>
      </w:r>
    </w:p>
    <w:p w14:paraId="4A5A7E72" w14:textId="5B9003D7" w:rsidR="00E35197" w:rsidRDefault="00F3041A" w:rsidP="00E35197">
      <w:pPr>
        <w:pStyle w:val="Tablenotes"/>
        <w:spacing w:after="0"/>
      </w:pPr>
      <w:r w:rsidRPr="00ED4E95">
        <w:t xml:space="preserve">Source: </w:t>
      </w:r>
      <w:r>
        <w:t>Ratified PICO</w:t>
      </w:r>
      <w:r w:rsidR="00E35197">
        <w:br w:type="page"/>
      </w:r>
    </w:p>
    <w:p w14:paraId="3B231EA7" w14:textId="400B83D1" w:rsidR="005D2057" w:rsidRPr="006E7239" w:rsidRDefault="005D2057" w:rsidP="005D2057">
      <w:pPr>
        <w:pStyle w:val="Caption"/>
        <w:rPr>
          <w:rFonts w:cs="Tahoma"/>
          <w:b w:val="0"/>
          <w:lang w:val="en-GB" w:eastAsia="ja-JP"/>
        </w:rPr>
      </w:pPr>
      <w:bookmarkStart w:id="28" w:name="_Ref159955764"/>
      <w:bookmarkStart w:id="29" w:name="_Toc161842041"/>
      <w:r>
        <w:lastRenderedPageBreak/>
        <w:t xml:space="preserve">Table </w:t>
      </w:r>
      <w:r>
        <w:fldChar w:fldCharType="begin"/>
      </w:r>
      <w:r>
        <w:instrText xml:space="preserve"> SEQ Table \* ARABIC </w:instrText>
      </w:r>
      <w:r>
        <w:fldChar w:fldCharType="separate"/>
      </w:r>
      <w:r w:rsidR="006D13BC">
        <w:rPr>
          <w:noProof/>
        </w:rPr>
        <w:t>4</w:t>
      </w:r>
      <w:r>
        <w:rPr>
          <w:noProof/>
        </w:rPr>
        <w:fldChar w:fldCharType="end"/>
      </w:r>
      <w:bookmarkEnd w:id="28"/>
      <w:r>
        <w:t xml:space="preserve">: </w:t>
      </w:r>
      <w:r w:rsidRPr="006E7239">
        <w:rPr>
          <w:rFonts w:cs="Tahoma"/>
          <w:lang w:val="en-GB" w:eastAsia="ja-JP"/>
        </w:rPr>
        <w:t xml:space="preserve">Bundled fee elements for the proposed MBS item for </w:t>
      </w:r>
      <w:r w:rsidRPr="006D17EE">
        <w:rPr>
          <w:rFonts w:cs="Tahoma"/>
          <w:vertAlign w:val="superscript"/>
          <w:lang w:val="en-GB" w:eastAsia="ja-JP"/>
        </w:rPr>
        <w:t>177</w:t>
      </w:r>
      <w:r w:rsidRPr="006E7239">
        <w:rPr>
          <w:rFonts w:cs="Tahoma"/>
          <w:lang w:val="en-GB" w:eastAsia="ja-JP"/>
        </w:rPr>
        <w:t>Lu-</w:t>
      </w:r>
      <w:r w:rsidR="00607D95">
        <w:rPr>
          <w:rFonts w:cs="Tahoma"/>
          <w:lang w:val="en-GB" w:eastAsia="ja-JP"/>
        </w:rPr>
        <w:t>DOTA-octreotate</w:t>
      </w:r>
      <w:bookmarkEnd w:id="29"/>
      <w:r w:rsidR="00607D95">
        <w:rPr>
          <w:rFonts w:cs="Tahoma"/>
          <w:lang w:val="en-GB" w:eastAsia="ja-JP"/>
        </w:rPr>
        <w:t xml:space="preserve"> </w:t>
      </w:r>
    </w:p>
    <w:tbl>
      <w:tblPr>
        <w:tblStyle w:val="ASDTable7"/>
        <w:tblW w:w="5000" w:type="pct"/>
        <w:tblInd w:w="0" w:type="dxa"/>
        <w:tblLook w:val="04A0" w:firstRow="1" w:lastRow="0" w:firstColumn="1" w:lastColumn="0" w:noHBand="0" w:noVBand="1"/>
      </w:tblPr>
      <w:tblGrid>
        <w:gridCol w:w="3005"/>
        <w:gridCol w:w="1526"/>
        <w:gridCol w:w="4485"/>
      </w:tblGrid>
      <w:tr w:rsidR="005D2057" w:rsidRPr="00722279" w14:paraId="7E71F782" w14:textId="77777777" w:rsidTr="0031372D">
        <w:trPr>
          <w:cantSplit/>
          <w:tblHeader/>
        </w:trPr>
        <w:tc>
          <w:tcPr>
            <w:tcW w:w="1666" w:type="pct"/>
          </w:tcPr>
          <w:p w14:paraId="4D5BD09F" w14:textId="77777777" w:rsidR="005D2057" w:rsidRPr="00722279" w:rsidRDefault="005D2057" w:rsidP="00AA3FA7">
            <w:pPr>
              <w:pStyle w:val="TableHeading0"/>
            </w:pPr>
            <w:r w:rsidRPr="00722279">
              <w:t>Service Element</w:t>
            </w:r>
          </w:p>
        </w:tc>
        <w:tc>
          <w:tcPr>
            <w:tcW w:w="846" w:type="pct"/>
          </w:tcPr>
          <w:p w14:paraId="565F4970" w14:textId="77777777" w:rsidR="005D2057" w:rsidRPr="00722279" w:rsidRDefault="005D2057" w:rsidP="00AA3FA7">
            <w:pPr>
              <w:pStyle w:val="TableHeading0"/>
            </w:pPr>
            <w:r w:rsidRPr="00722279">
              <w:t>Suggested Fee</w:t>
            </w:r>
          </w:p>
        </w:tc>
        <w:tc>
          <w:tcPr>
            <w:tcW w:w="2487" w:type="pct"/>
          </w:tcPr>
          <w:p w14:paraId="20913A30" w14:textId="729EEDB7" w:rsidR="005D2057" w:rsidRPr="00722279" w:rsidRDefault="005D2057" w:rsidP="00AA3FA7">
            <w:pPr>
              <w:pStyle w:val="TableHeading0"/>
            </w:pPr>
            <w:r w:rsidRPr="00722279">
              <w:t>Comment</w:t>
            </w:r>
            <w:r w:rsidR="00F41440">
              <w:t>s from applicant</w:t>
            </w:r>
          </w:p>
        </w:tc>
      </w:tr>
      <w:tr w:rsidR="005D2057" w:rsidRPr="00722279" w14:paraId="098D786B" w14:textId="77777777" w:rsidTr="0031372D">
        <w:trPr>
          <w:cantSplit/>
        </w:trPr>
        <w:tc>
          <w:tcPr>
            <w:tcW w:w="1666" w:type="pct"/>
          </w:tcPr>
          <w:p w14:paraId="75313FA4" w14:textId="4CBEF0A3" w:rsidR="005D2057" w:rsidRPr="00722279" w:rsidRDefault="005D2057" w:rsidP="00AA3FA7">
            <w:pPr>
              <w:pStyle w:val="TableText"/>
            </w:pPr>
            <w:r w:rsidRPr="00722279">
              <w:t xml:space="preserve">GMP </w:t>
            </w:r>
            <w:r w:rsidRPr="00722279">
              <w:rPr>
                <w:vertAlign w:val="superscript"/>
              </w:rPr>
              <w:t>177</w:t>
            </w:r>
            <w:r w:rsidRPr="00722279">
              <w:t>Lu (</w:t>
            </w:r>
            <w:proofErr w:type="spellStart"/>
            <w:r w:rsidRPr="00722279">
              <w:t>nca</w:t>
            </w:r>
            <w:proofErr w:type="spellEnd"/>
            <w:r w:rsidRPr="00722279">
              <w:t>)</w:t>
            </w:r>
            <w:r w:rsidR="00CB1F4E">
              <w:t>-</w:t>
            </w:r>
            <w:r w:rsidRPr="00722279">
              <w:t>DOTA-</w:t>
            </w:r>
            <w:proofErr w:type="spellStart"/>
            <w:r w:rsidR="00463B9A">
              <w:t>o</w:t>
            </w:r>
            <w:r w:rsidRPr="00722279">
              <w:t>ctreotate</w:t>
            </w:r>
            <w:proofErr w:type="spellEnd"/>
            <w:r w:rsidRPr="00722279">
              <w:t xml:space="preserve"> </w:t>
            </w:r>
            <w:r w:rsidR="00463B9A">
              <w:t>s</w:t>
            </w:r>
            <w:r w:rsidRPr="00722279">
              <w:t>upply</w:t>
            </w:r>
          </w:p>
        </w:tc>
        <w:tc>
          <w:tcPr>
            <w:tcW w:w="846" w:type="pct"/>
          </w:tcPr>
          <w:p w14:paraId="7D637BDF" w14:textId="0CEB40A6" w:rsidR="005D2057" w:rsidRPr="00722279" w:rsidRDefault="005D2057" w:rsidP="00AA3FA7">
            <w:pPr>
              <w:pStyle w:val="TableText"/>
            </w:pPr>
            <w:r w:rsidRPr="00722279">
              <w:t>$8</w:t>
            </w:r>
            <w:r w:rsidR="005D1AB7">
              <w:t>,</w:t>
            </w:r>
            <w:r w:rsidRPr="00722279">
              <w:t>000</w:t>
            </w:r>
            <w:r w:rsidR="005D1AB7">
              <w:t>.00</w:t>
            </w:r>
          </w:p>
        </w:tc>
        <w:tc>
          <w:tcPr>
            <w:tcW w:w="2487" w:type="pct"/>
          </w:tcPr>
          <w:p w14:paraId="6C941F9B" w14:textId="77777777" w:rsidR="005D2057" w:rsidRPr="00722279" w:rsidRDefault="005D2057" w:rsidP="00AA3FA7">
            <w:pPr>
              <w:pStyle w:val="TableText"/>
            </w:pPr>
            <w:r w:rsidRPr="00722279">
              <w:t>AMT cannot supply for a lower cost</w:t>
            </w:r>
          </w:p>
        </w:tc>
      </w:tr>
      <w:tr w:rsidR="005D2057" w:rsidRPr="00722279" w14:paraId="54CA96C2" w14:textId="77777777" w:rsidTr="0031372D">
        <w:trPr>
          <w:cantSplit/>
        </w:trPr>
        <w:tc>
          <w:tcPr>
            <w:tcW w:w="1666" w:type="pct"/>
          </w:tcPr>
          <w:p w14:paraId="13516522" w14:textId="01AE5AC7" w:rsidR="005D2057" w:rsidRPr="00722279" w:rsidRDefault="005D2057" w:rsidP="00AA3FA7">
            <w:pPr>
              <w:pStyle w:val="TableText"/>
            </w:pPr>
            <w:r w:rsidRPr="00722279">
              <w:t xml:space="preserve">GMP </w:t>
            </w:r>
            <w:r w:rsidRPr="00722279">
              <w:rPr>
                <w:vertAlign w:val="superscript"/>
              </w:rPr>
              <w:t>177</w:t>
            </w:r>
            <w:r w:rsidRPr="00722279">
              <w:t>Lu (ca)</w:t>
            </w:r>
            <w:r w:rsidR="00CB1F4E">
              <w:t>-</w:t>
            </w:r>
            <w:r w:rsidRPr="00722279">
              <w:t>DOTA-</w:t>
            </w:r>
            <w:r w:rsidR="00463B9A">
              <w:t>o</w:t>
            </w:r>
            <w:r w:rsidRPr="00722279">
              <w:t xml:space="preserve">ctreotate </w:t>
            </w:r>
            <w:r w:rsidR="00463B9A">
              <w:t>s</w:t>
            </w:r>
            <w:r w:rsidRPr="00722279">
              <w:t>upply</w:t>
            </w:r>
          </w:p>
        </w:tc>
        <w:tc>
          <w:tcPr>
            <w:tcW w:w="846" w:type="pct"/>
          </w:tcPr>
          <w:p w14:paraId="34A18F09" w14:textId="18D9F47E" w:rsidR="005D2057" w:rsidRPr="00722279" w:rsidRDefault="005D2057" w:rsidP="00AA3FA7">
            <w:pPr>
              <w:pStyle w:val="TableText"/>
            </w:pPr>
            <w:r w:rsidRPr="00722279">
              <w:t>$7</w:t>
            </w:r>
            <w:r w:rsidR="005D1AB7">
              <w:t>,</w:t>
            </w:r>
            <w:r w:rsidRPr="00722279">
              <w:t>600</w:t>
            </w:r>
            <w:r w:rsidR="005D1AB7">
              <w:t>.00</w:t>
            </w:r>
          </w:p>
        </w:tc>
        <w:tc>
          <w:tcPr>
            <w:tcW w:w="2487" w:type="pct"/>
          </w:tcPr>
          <w:p w14:paraId="34F92343" w14:textId="77777777" w:rsidR="005D2057" w:rsidRPr="00722279" w:rsidRDefault="005D2057" w:rsidP="00AA3FA7">
            <w:pPr>
              <w:pStyle w:val="TableText"/>
            </w:pPr>
            <w:r w:rsidRPr="00722279">
              <w:t>AMT cannot supply for a lower cost</w:t>
            </w:r>
          </w:p>
        </w:tc>
      </w:tr>
      <w:tr w:rsidR="005D2057" w:rsidRPr="00722279" w14:paraId="23E09E3A" w14:textId="77777777" w:rsidTr="0031372D">
        <w:trPr>
          <w:cantSplit/>
        </w:trPr>
        <w:tc>
          <w:tcPr>
            <w:tcW w:w="1666" w:type="pct"/>
          </w:tcPr>
          <w:p w14:paraId="7B066D02" w14:textId="77777777" w:rsidR="005D2057" w:rsidRPr="00722279" w:rsidRDefault="005D2057" w:rsidP="00AA3FA7">
            <w:pPr>
              <w:pStyle w:val="TableText"/>
            </w:pPr>
            <w:r w:rsidRPr="00722279">
              <w:t>Delivery</w:t>
            </w:r>
          </w:p>
        </w:tc>
        <w:tc>
          <w:tcPr>
            <w:tcW w:w="846" w:type="pct"/>
          </w:tcPr>
          <w:p w14:paraId="4090F271" w14:textId="31C33B6D" w:rsidR="005D2057" w:rsidRPr="00722279" w:rsidRDefault="005D2057" w:rsidP="00AA3FA7">
            <w:pPr>
              <w:pStyle w:val="TableText"/>
            </w:pPr>
            <w:r w:rsidRPr="00722279">
              <w:t>$450</w:t>
            </w:r>
            <w:r w:rsidR="005D1AB7">
              <w:t>.00</w:t>
            </w:r>
          </w:p>
        </w:tc>
        <w:tc>
          <w:tcPr>
            <w:tcW w:w="2487" w:type="pct"/>
          </w:tcPr>
          <w:p w14:paraId="13B1B7B0" w14:textId="1593EED9" w:rsidR="005D2057" w:rsidRPr="00722279" w:rsidRDefault="00507BDA" w:rsidP="00AA3FA7">
            <w:pPr>
              <w:pStyle w:val="TableText"/>
            </w:pPr>
            <w:r>
              <w:t>D</w:t>
            </w:r>
            <w:r w:rsidR="005D2057" w:rsidRPr="00722279">
              <w:t xml:space="preserve">erived directly from fee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 </w:t>
            </w:r>
          </w:p>
        </w:tc>
      </w:tr>
      <w:tr w:rsidR="005D2057" w:rsidRPr="00722279" w14:paraId="2CC6BC19" w14:textId="77777777" w:rsidTr="0031372D">
        <w:trPr>
          <w:cantSplit/>
        </w:trPr>
        <w:tc>
          <w:tcPr>
            <w:tcW w:w="1666" w:type="pct"/>
          </w:tcPr>
          <w:p w14:paraId="7B22CEE3" w14:textId="4C3E92D5" w:rsidR="005D2057" w:rsidRPr="00722279" w:rsidRDefault="005D2057" w:rsidP="00AA3FA7">
            <w:pPr>
              <w:pStyle w:val="TableText"/>
            </w:pPr>
            <w:proofErr w:type="spellStart"/>
            <w:r w:rsidRPr="00722279">
              <w:t>Theranostic</w:t>
            </w:r>
            <w:proofErr w:type="spellEnd"/>
            <w:r w:rsidRPr="00722279">
              <w:t xml:space="preserve"> </w:t>
            </w:r>
            <w:r w:rsidR="005D1AB7">
              <w:t>s</w:t>
            </w:r>
            <w:r w:rsidRPr="00722279">
              <w:t>pecialist pre</w:t>
            </w:r>
            <w:r w:rsidR="00213F70">
              <w:t>-</w:t>
            </w:r>
            <w:r w:rsidR="005D1AB7">
              <w:t>t</w:t>
            </w:r>
            <w:r w:rsidRPr="00722279">
              <w:t xml:space="preserve">reatment </w:t>
            </w:r>
            <w:r w:rsidR="005D1AB7">
              <w:t>c</w:t>
            </w:r>
            <w:r w:rsidRPr="00722279">
              <w:t xml:space="preserve">onsult </w:t>
            </w:r>
            <w:r w:rsidR="005D1AB7">
              <w:t>f</w:t>
            </w:r>
            <w:r w:rsidRPr="00722279">
              <w:t>ee</w:t>
            </w:r>
          </w:p>
        </w:tc>
        <w:tc>
          <w:tcPr>
            <w:tcW w:w="846" w:type="pct"/>
          </w:tcPr>
          <w:p w14:paraId="0167E709" w14:textId="77777777" w:rsidR="005D2057" w:rsidRPr="00722279" w:rsidRDefault="005D2057" w:rsidP="00AA3FA7">
            <w:pPr>
              <w:pStyle w:val="TableText"/>
            </w:pPr>
            <w:r w:rsidRPr="00722279">
              <w:t>$167.75</w:t>
            </w:r>
          </w:p>
        </w:tc>
        <w:tc>
          <w:tcPr>
            <w:tcW w:w="2487" w:type="pct"/>
          </w:tcPr>
          <w:p w14:paraId="0A16EE75" w14:textId="4A80AE92" w:rsidR="005D2057" w:rsidRPr="00722279" w:rsidRDefault="003F05F5" w:rsidP="00AA3FA7">
            <w:pPr>
              <w:pStyle w:val="TableText"/>
            </w:pPr>
            <w:r>
              <w:t>A</w:t>
            </w:r>
            <w:r w:rsidR="005D2057" w:rsidRPr="00722279">
              <w:t xml:space="preserve">ligned with </w:t>
            </w:r>
            <w:r w:rsidR="002A48D2">
              <w:t>i</w:t>
            </w:r>
            <w:r w:rsidR="005D2057" w:rsidRPr="00722279">
              <w:t xml:space="preserve">tem 110 but no wording modification of that </w:t>
            </w:r>
            <w:r w:rsidR="002A48D2">
              <w:t>i</w:t>
            </w:r>
            <w:r w:rsidR="005D2057" w:rsidRPr="00722279">
              <w:t xml:space="preserve">tem number would be required if the </w:t>
            </w:r>
            <w:r w:rsidR="005D2057" w:rsidRPr="00722279">
              <w:rPr>
                <w:vertAlign w:val="superscript"/>
              </w:rPr>
              <w:t>177</w:t>
            </w:r>
            <w:r w:rsidR="005D2057" w:rsidRPr="00722279">
              <w:t>Lu DOTA-</w:t>
            </w:r>
            <w:r w:rsidR="00C90151">
              <w:t>o</w:t>
            </w:r>
            <w:r w:rsidR="005D2057" w:rsidRPr="00722279">
              <w:t xml:space="preserve">ctreotate fee bundled </w:t>
            </w:r>
            <w:proofErr w:type="gramStart"/>
            <w:r w:rsidR="005D2057" w:rsidRPr="00722279">
              <w:t>a number of</w:t>
            </w:r>
            <w:proofErr w:type="gramEnd"/>
            <w:r w:rsidR="005D2057" w:rsidRPr="00722279">
              <w:t xml:space="preserve"> essential service elements. Higher fee than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 reflects differences in clinical complexity of patients. A lower fee could be applied if the </w:t>
            </w:r>
            <w:proofErr w:type="spellStart"/>
            <w:r w:rsidR="00997DCB">
              <w:t>t</w:t>
            </w:r>
            <w:r w:rsidR="005D2057" w:rsidRPr="00722279">
              <w:t>heranostic</w:t>
            </w:r>
            <w:proofErr w:type="spellEnd"/>
            <w:r w:rsidR="005D2057" w:rsidRPr="00722279">
              <w:t xml:space="preserve"> </w:t>
            </w:r>
            <w:r w:rsidR="00997DCB">
              <w:t>s</w:t>
            </w:r>
            <w:r w:rsidR="005D2057" w:rsidRPr="00722279">
              <w:t>pecialist is also a member of the MDT recommending treatment and receives a fee for that attendance</w:t>
            </w:r>
          </w:p>
        </w:tc>
      </w:tr>
      <w:tr w:rsidR="005D2057" w:rsidRPr="00722279" w14:paraId="1E19D39F" w14:textId="77777777" w:rsidTr="0031372D">
        <w:trPr>
          <w:cantSplit/>
        </w:trPr>
        <w:tc>
          <w:tcPr>
            <w:tcW w:w="1666" w:type="pct"/>
          </w:tcPr>
          <w:p w14:paraId="5F2AD5E5" w14:textId="455B16C1" w:rsidR="005D2057" w:rsidRPr="00722279" w:rsidRDefault="005D2057" w:rsidP="00AA3FA7">
            <w:pPr>
              <w:pStyle w:val="TableText"/>
            </w:pPr>
            <w:proofErr w:type="spellStart"/>
            <w:r w:rsidRPr="00722279">
              <w:t>Theranostic</w:t>
            </w:r>
            <w:proofErr w:type="spellEnd"/>
            <w:r w:rsidRPr="00722279">
              <w:t xml:space="preserve"> </w:t>
            </w:r>
            <w:r w:rsidR="005D1AB7">
              <w:t>s</w:t>
            </w:r>
            <w:r w:rsidRPr="00722279">
              <w:t xml:space="preserve">pecialist </w:t>
            </w:r>
            <w:r w:rsidR="005D1AB7">
              <w:t>t</w:t>
            </w:r>
            <w:r w:rsidRPr="00722279">
              <w:t xml:space="preserve">reatment </w:t>
            </w:r>
            <w:r w:rsidR="005D1AB7">
              <w:t>s</w:t>
            </w:r>
            <w:r w:rsidRPr="00722279">
              <w:t xml:space="preserve">upervision and </w:t>
            </w:r>
            <w:r w:rsidR="005D1AB7">
              <w:t>f</w:t>
            </w:r>
            <w:r w:rsidRPr="00722279">
              <w:t xml:space="preserve">ollow-up </w:t>
            </w:r>
            <w:r w:rsidR="005D1AB7">
              <w:t>f</w:t>
            </w:r>
            <w:r w:rsidRPr="00722279">
              <w:t>ee</w:t>
            </w:r>
          </w:p>
        </w:tc>
        <w:tc>
          <w:tcPr>
            <w:tcW w:w="846" w:type="pct"/>
          </w:tcPr>
          <w:p w14:paraId="095CAD57" w14:textId="77777777" w:rsidR="005D2057" w:rsidRPr="00722279" w:rsidRDefault="005D2057" w:rsidP="00AA3FA7">
            <w:pPr>
              <w:pStyle w:val="TableText"/>
            </w:pPr>
            <w:r w:rsidRPr="00722279">
              <w:t>$118.30</w:t>
            </w:r>
          </w:p>
        </w:tc>
        <w:tc>
          <w:tcPr>
            <w:tcW w:w="2487" w:type="pct"/>
          </w:tcPr>
          <w:p w14:paraId="4372970E" w14:textId="62D9A052" w:rsidR="005D2057" w:rsidRPr="00722279" w:rsidRDefault="009C4FBD" w:rsidP="00AA3FA7">
            <w:pPr>
              <w:pStyle w:val="TableText"/>
            </w:pPr>
            <w:r>
              <w:t>A</w:t>
            </w:r>
            <w:r w:rsidR="005D2057" w:rsidRPr="00722279">
              <w:t xml:space="preserve">ligned with </w:t>
            </w:r>
            <w:r w:rsidR="002A48D2">
              <w:t>i</w:t>
            </w:r>
            <w:r w:rsidR="005D2057" w:rsidRPr="00722279">
              <w:t xml:space="preserve">tem 13950 but no wording modification of that </w:t>
            </w:r>
            <w:r w:rsidR="002A48D2">
              <w:t>i</w:t>
            </w:r>
            <w:r w:rsidR="005D2057" w:rsidRPr="00722279">
              <w:t xml:space="preserve">tem number would be required if the </w:t>
            </w:r>
            <w:r w:rsidR="005D2057" w:rsidRPr="00722279">
              <w:rPr>
                <w:vertAlign w:val="superscript"/>
              </w:rPr>
              <w:t>177</w:t>
            </w:r>
            <w:r w:rsidR="005D2057" w:rsidRPr="00722279">
              <w:t>Lu DOTA-</w:t>
            </w:r>
            <w:r w:rsidR="00AF53BB">
              <w:t>o</w:t>
            </w:r>
            <w:r w:rsidR="005D2057" w:rsidRPr="00722279">
              <w:t xml:space="preserve">ctreotate fee bundled </w:t>
            </w:r>
            <w:proofErr w:type="gramStart"/>
            <w:r w:rsidR="005D2057" w:rsidRPr="00722279">
              <w:t>a number of</w:t>
            </w:r>
            <w:proofErr w:type="gramEnd"/>
            <w:r w:rsidR="005D2057" w:rsidRPr="00722279">
              <w:t xml:space="preserve"> essential service elements</w:t>
            </w:r>
          </w:p>
        </w:tc>
      </w:tr>
      <w:tr w:rsidR="005D2057" w:rsidRPr="00722279" w14:paraId="791FB83A" w14:textId="77777777" w:rsidTr="0031372D">
        <w:trPr>
          <w:cantSplit/>
        </w:trPr>
        <w:tc>
          <w:tcPr>
            <w:tcW w:w="1666" w:type="pct"/>
          </w:tcPr>
          <w:p w14:paraId="5FD844F0" w14:textId="1C195CFA" w:rsidR="005D2057" w:rsidRPr="00722279" w:rsidRDefault="005D2057" w:rsidP="00AA3FA7">
            <w:pPr>
              <w:pStyle w:val="TableText"/>
            </w:pPr>
            <w:r w:rsidRPr="00722279">
              <w:t>Non</w:t>
            </w:r>
            <w:r w:rsidR="00213F70">
              <w:t>-</w:t>
            </w:r>
            <w:r w:rsidRPr="00722279">
              <w:t>admitted patient facility fee (</w:t>
            </w:r>
            <w:r w:rsidR="005D1AB7">
              <w:t>f</w:t>
            </w:r>
            <w:r w:rsidRPr="00722279">
              <w:t>acility cost)</w:t>
            </w:r>
          </w:p>
        </w:tc>
        <w:tc>
          <w:tcPr>
            <w:tcW w:w="846" w:type="pct"/>
          </w:tcPr>
          <w:p w14:paraId="06D9A4A6" w14:textId="0539ABF4" w:rsidR="005D2057" w:rsidRPr="00722279" w:rsidRDefault="005D2057" w:rsidP="00AA3FA7">
            <w:pPr>
              <w:pStyle w:val="TableText"/>
            </w:pPr>
            <w:r w:rsidRPr="00722279">
              <w:t>$900</w:t>
            </w:r>
            <w:r w:rsidR="005D1AB7">
              <w:t>.00</w:t>
            </w:r>
          </w:p>
        </w:tc>
        <w:tc>
          <w:tcPr>
            <w:tcW w:w="2487" w:type="pct"/>
          </w:tcPr>
          <w:p w14:paraId="668E38A3" w14:textId="14109613" w:rsidR="005D2057" w:rsidRPr="00722279" w:rsidRDefault="00AF53BB" w:rsidP="00AA3FA7">
            <w:pPr>
              <w:pStyle w:val="TableText"/>
            </w:pPr>
            <w:r>
              <w:t>D</w:t>
            </w:r>
            <w:r w:rsidR="005D2057" w:rsidRPr="00722279">
              <w:t xml:space="preserve">erived directly from fee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w:t>
            </w:r>
          </w:p>
        </w:tc>
      </w:tr>
      <w:tr w:rsidR="005D2057" w:rsidRPr="00722279" w14:paraId="048B4B0C" w14:textId="77777777" w:rsidTr="0031372D">
        <w:trPr>
          <w:cantSplit/>
        </w:trPr>
        <w:tc>
          <w:tcPr>
            <w:tcW w:w="1666" w:type="pct"/>
          </w:tcPr>
          <w:p w14:paraId="50EB824E" w14:textId="72664143" w:rsidR="005D2057" w:rsidRPr="00722279" w:rsidRDefault="005D2057" w:rsidP="00AA3FA7">
            <w:pPr>
              <w:pStyle w:val="TableText"/>
            </w:pPr>
            <w:r w:rsidRPr="00722279">
              <w:t xml:space="preserve">Nuclear </w:t>
            </w:r>
            <w:r w:rsidR="005D1AB7">
              <w:t>m</w:t>
            </w:r>
            <w:r w:rsidRPr="00722279">
              <w:t xml:space="preserve">edicine </w:t>
            </w:r>
            <w:r w:rsidR="005D1AB7">
              <w:t>t</w:t>
            </w:r>
            <w:r w:rsidRPr="00722279">
              <w:t>echnologist</w:t>
            </w:r>
          </w:p>
        </w:tc>
        <w:tc>
          <w:tcPr>
            <w:tcW w:w="846" w:type="pct"/>
          </w:tcPr>
          <w:p w14:paraId="75F2C047" w14:textId="6588DCD5" w:rsidR="005D2057" w:rsidRPr="00722279" w:rsidRDefault="005D2057" w:rsidP="00AA3FA7">
            <w:pPr>
              <w:pStyle w:val="TableText"/>
            </w:pPr>
            <w:r w:rsidRPr="00722279">
              <w:t>$200</w:t>
            </w:r>
            <w:r w:rsidR="005D1AB7">
              <w:t>.00</w:t>
            </w:r>
          </w:p>
        </w:tc>
        <w:tc>
          <w:tcPr>
            <w:tcW w:w="2487" w:type="pct"/>
          </w:tcPr>
          <w:p w14:paraId="7CC74ABE" w14:textId="5E30ACC3" w:rsidR="005D2057" w:rsidRPr="00722279" w:rsidRDefault="007E149F" w:rsidP="00AA3FA7">
            <w:pPr>
              <w:pStyle w:val="TableText"/>
            </w:pPr>
            <w:r>
              <w:t>D</w:t>
            </w:r>
            <w:r w:rsidR="005D2057" w:rsidRPr="00722279">
              <w:t xml:space="preserve">erived directly from fee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w:t>
            </w:r>
          </w:p>
        </w:tc>
      </w:tr>
      <w:tr w:rsidR="005D2057" w:rsidRPr="00722279" w14:paraId="47AA775D" w14:textId="77777777" w:rsidTr="0031372D">
        <w:trPr>
          <w:cantSplit/>
        </w:trPr>
        <w:tc>
          <w:tcPr>
            <w:tcW w:w="1666" w:type="pct"/>
          </w:tcPr>
          <w:p w14:paraId="6ECAADC0" w14:textId="16B2A695" w:rsidR="005D2057" w:rsidRPr="00722279" w:rsidRDefault="005D2057" w:rsidP="0031372D">
            <w:pPr>
              <w:pStyle w:val="TableText"/>
              <w:spacing w:after="0"/>
            </w:pPr>
            <w:r w:rsidRPr="00722279">
              <w:t xml:space="preserve">Amino </w:t>
            </w:r>
            <w:r w:rsidR="005D1AB7">
              <w:t>a</w:t>
            </w:r>
            <w:r w:rsidRPr="00722279">
              <w:t xml:space="preserve">cid </w:t>
            </w:r>
            <w:r w:rsidR="005D1AB7">
              <w:t>i</w:t>
            </w:r>
            <w:r w:rsidRPr="00722279">
              <w:t>nfusion</w:t>
            </w:r>
          </w:p>
        </w:tc>
        <w:tc>
          <w:tcPr>
            <w:tcW w:w="846" w:type="pct"/>
          </w:tcPr>
          <w:p w14:paraId="707886E6" w14:textId="7D8A9430" w:rsidR="005D2057" w:rsidRPr="00722279" w:rsidRDefault="005D2057" w:rsidP="0031372D">
            <w:pPr>
              <w:pStyle w:val="TableText"/>
              <w:spacing w:after="0"/>
            </w:pPr>
            <w:r w:rsidRPr="00722279">
              <w:t>$120</w:t>
            </w:r>
            <w:r w:rsidR="005D1AB7">
              <w:t>.00</w:t>
            </w:r>
          </w:p>
        </w:tc>
        <w:tc>
          <w:tcPr>
            <w:tcW w:w="2487" w:type="pct"/>
          </w:tcPr>
          <w:p w14:paraId="5ADC11FA" w14:textId="3CB60C4D" w:rsidR="005D2057" w:rsidRPr="00722279" w:rsidRDefault="007E149F" w:rsidP="0031372D">
            <w:pPr>
              <w:pStyle w:val="TableText"/>
              <w:spacing w:after="0"/>
            </w:pPr>
            <w:r>
              <w:t>C</w:t>
            </w:r>
            <w:r w:rsidR="005D2057" w:rsidRPr="00722279">
              <w:t>ost to Peter MacCallum Cancer Centre from one commercial provider</w:t>
            </w:r>
          </w:p>
        </w:tc>
      </w:tr>
      <w:tr w:rsidR="005D2057" w:rsidRPr="00722279" w14:paraId="6FF0198B" w14:textId="77777777" w:rsidTr="0031372D">
        <w:trPr>
          <w:cantSplit/>
        </w:trPr>
        <w:tc>
          <w:tcPr>
            <w:tcW w:w="1666" w:type="pct"/>
          </w:tcPr>
          <w:p w14:paraId="71B218ED" w14:textId="77777777" w:rsidR="005D2057" w:rsidRPr="00722279" w:rsidRDefault="005D2057" w:rsidP="00AA3FA7">
            <w:pPr>
              <w:pStyle w:val="TableText"/>
            </w:pPr>
            <w:r w:rsidRPr="00722279">
              <w:t>Post-administration SPECT/CT scan</w:t>
            </w:r>
          </w:p>
        </w:tc>
        <w:tc>
          <w:tcPr>
            <w:tcW w:w="846" w:type="pct"/>
          </w:tcPr>
          <w:p w14:paraId="58733CC0" w14:textId="2A69B31D" w:rsidR="005D2057" w:rsidRPr="00722279" w:rsidRDefault="005D2057" w:rsidP="00AA3FA7">
            <w:pPr>
              <w:pStyle w:val="TableText"/>
            </w:pPr>
            <w:r w:rsidRPr="00722279">
              <w:t>$400</w:t>
            </w:r>
            <w:r w:rsidR="005D1AB7">
              <w:t>.00</w:t>
            </w:r>
          </w:p>
        </w:tc>
        <w:tc>
          <w:tcPr>
            <w:tcW w:w="2487" w:type="pct"/>
          </w:tcPr>
          <w:p w14:paraId="57EE66F1" w14:textId="20A2D0CF" w:rsidR="005D2057" w:rsidRPr="00722279" w:rsidRDefault="007E149F" w:rsidP="00AA3FA7">
            <w:pPr>
              <w:pStyle w:val="TableText"/>
            </w:pPr>
            <w:r>
              <w:t>D</w:t>
            </w:r>
            <w:r w:rsidR="005D2057" w:rsidRPr="00722279">
              <w:t xml:space="preserve">erived directly from fee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w:t>
            </w:r>
          </w:p>
        </w:tc>
      </w:tr>
      <w:tr w:rsidR="005D2057" w:rsidRPr="00722279" w14:paraId="393CA97D" w14:textId="77777777" w:rsidTr="0031372D">
        <w:trPr>
          <w:cantSplit/>
        </w:trPr>
        <w:tc>
          <w:tcPr>
            <w:tcW w:w="1666" w:type="pct"/>
          </w:tcPr>
          <w:p w14:paraId="6910DC36" w14:textId="1BEA3306" w:rsidR="005D2057" w:rsidRPr="00722279" w:rsidRDefault="005D2057" w:rsidP="00AA3FA7">
            <w:pPr>
              <w:pStyle w:val="TableText"/>
            </w:pPr>
            <w:r w:rsidRPr="00722279">
              <w:t xml:space="preserve">Radiation </w:t>
            </w:r>
            <w:r w:rsidR="005D1AB7">
              <w:t>s</w:t>
            </w:r>
            <w:r w:rsidRPr="00722279">
              <w:t xml:space="preserve">afety </w:t>
            </w:r>
            <w:r w:rsidR="005D1AB7">
              <w:t>o</w:t>
            </w:r>
            <w:r w:rsidRPr="00722279">
              <w:t>fficer/</w:t>
            </w:r>
            <w:r w:rsidR="005D1AB7">
              <w:t>p</w:t>
            </w:r>
            <w:r w:rsidRPr="00722279">
              <w:t>hysicist</w:t>
            </w:r>
          </w:p>
        </w:tc>
        <w:tc>
          <w:tcPr>
            <w:tcW w:w="846" w:type="pct"/>
          </w:tcPr>
          <w:p w14:paraId="46DCE10D" w14:textId="7CD551AC" w:rsidR="005D2057" w:rsidRPr="00722279" w:rsidRDefault="005D2057" w:rsidP="00AA3FA7">
            <w:pPr>
              <w:pStyle w:val="TableText"/>
            </w:pPr>
            <w:r w:rsidRPr="00722279">
              <w:t>$75</w:t>
            </w:r>
            <w:r w:rsidR="005D1AB7">
              <w:t>.00</w:t>
            </w:r>
          </w:p>
        </w:tc>
        <w:tc>
          <w:tcPr>
            <w:tcW w:w="2487" w:type="pct"/>
          </w:tcPr>
          <w:p w14:paraId="22B29CF8" w14:textId="0A64111B" w:rsidR="005D2057" w:rsidRPr="00722279" w:rsidRDefault="00490CC7" w:rsidP="00AA3FA7">
            <w:pPr>
              <w:pStyle w:val="TableText"/>
            </w:pPr>
            <w:r>
              <w:t>D</w:t>
            </w:r>
            <w:r w:rsidR="005D2057" w:rsidRPr="00722279">
              <w:t xml:space="preserve">erived directly from fee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 Probabl</w:t>
            </w:r>
            <w:r>
              <w:t>e</w:t>
            </w:r>
            <w:r w:rsidR="005D2057" w:rsidRPr="00722279">
              <w:t xml:space="preserve"> this function could be supplied without additional cost by the </w:t>
            </w:r>
            <w:r w:rsidR="00877036">
              <w:t>n</w:t>
            </w:r>
            <w:r w:rsidR="005D2057" w:rsidRPr="00722279">
              <w:t xml:space="preserve">uclear </w:t>
            </w:r>
            <w:r w:rsidR="00877036">
              <w:t>m</w:t>
            </w:r>
            <w:r w:rsidR="005D2057" w:rsidRPr="00722279">
              <w:t xml:space="preserve">edicine </w:t>
            </w:r>
            <w:r w:rsidR="00877036">
              <w:t>t</w:t>
            </w:r>
            <w:r w:rsidR="005D2057" w:rsidRPr="00722279">
              <w:t>echnologist</w:t>
            </w:r>
          </w:p>
        </w:tc>
      </w:tr>
      <w:tr w:rsidR="005D2057" w:rsidRPr="00722279" w14:paraId="5CDB9F21" w14:textId="77777777" w:rsidTr="0031372D">
        <w:trPr>
          <w:cantSplit/>
        </w:trPr>
        <w:tc>
          <w:tcPr>
            <w:tcW w:w="1666" w:type="pct"/>
          </w:tcPr>
          <w:p w14:paraId="673F009E" w14:textId="77777777" w:rsidR="005D2057" w:rsidRPr="00722279" w:rsidRDefault="005D2057" w:rsidP="00AA3FA7">
            <w:pPr>
              <w:pStyle w:val="TableText"/>
              <w:rPr>
                <w:rFonts w:eastAsia="Calibri" w:cs="Times New Roman"/>
                <w:b/>
                <w:bCs/>
                <w:szCs w:val="20"/>
              </w:rPr>
            </w:pPr>
            <w:r w:rsidRPr="00722279">
              <w:t xml:space="preserve">Total </w:t>
            </w:r>
          </w:p>
          <w:p w14:paraId="77078FED" w14:textId="5E05EB3A" w:rsidR="005D2057" w:rsidRPr="00722279" w:rsidRDefault="005D2057" w:rsidP="00AA3FA7">
            <w:pPr>
              <w:pStyle w:val="TableText"/>
            </w:pPr>
            <w:r w:rsidRPr="00722279">
              <w:t xml:space="preserve">GMP </w:t>
            </w:r>
            <w:r w:rsidRPr="00722279">
              <w:rPr>
                <w:vertAlign w:val="superscript"/>
              </w:rPr>
              <w:t>177</w:t>
            </w:r>
            <w:r w:rsidRPr="00722279">
              <w:t>Lu (</w:t>
            </w:r>
            <w:proofErr w:type="spellStart"/>
            <w:r w:rsidRPr="00722279">
              <w:t>nca</w:t>
            </w:r>
            <w:proofErr w:type="spellEnd"/>
            <w:r w:rsidRPr="00722279">
              <w:t>)</w:t>
            </w:r>
            <w:r w:rsidR="003D1506">
              <w:t>-</w:t>
            </w:r>
            <w:r w:rsidRPr="00722279">
              <w:t>DOTA-</w:t>
            </w:r>
            <w:proofErr w:type="spellStart"/>
            <w:r w:rsidR="005D1AB7">
              <w:t>o</w:t>
            </w:r>
            <w:r w:rsidRPr="00722279">
              <w:t>ctreotate</w:t>
            </w:r>
            <w:proofErr w:type="spellEnd"/>
          </w:p>
        </w:tc>
        <w:tc>
          <w:tcPr>
            <w:tcW w:w="846" w:type="pct"/>
          </w:tcPr>
          <w:p w14:paraId="782971D4" w14:textId="77777777" w:rsidR="005D2057" w:rsidRPr="00722279" w:rsidRDefault="005D2057" w:rsidP="00AA3FA7">
            <w:pPr>
              <w:pStyle w:val="TableText"/>
            </w:pPr>
            <w:r w:rsidRPr="00722279">
              <w:t>$10,431.05</w:t>
            </w:r>
          </w:p>
        </w:tc>
        <w:tc>
          <w:tcPr>
            <w:tcW w:w="2487" w:type="pct"/>
          </w:tcPr>
          <w:p w14:paraId="6900C03C" w14:textId="77777777" w:rsidR="005D2057" w:rsidRPr="00722279" w:rsidRDefault="005D2057" w:rsidP="00AA3FA7">
            <w:pPr>
              <w:pStyle w:val="TableText"/>
            </w:pPr>
          </w:p>
        </w:tc>
      </w:tr>
      <w:tr w:rsidR="005D2057" w:rsidRPr="00722279" w14:paraId="42059771" w14:textId="77777777" w:rsidTr="0031372D">
        <w:trPr>
          <w:cantSplit/>
        </w:trPr>
        <w:tc>
          <w:tcPr>
            <w:tcW w:w="1666" w:type="pct"/>
          </w:tcPr>
          <w:p w14:paraId="70748CF4" w14:textId="77777777" w:rsidR="005D2057" w:rsidRPr="00722279" w:rsidRDefault="005D2057" w:rsidP="00AA3FA7">
            <w:pPr>
              <w:pStyle w:val="TableText"/>
              <w:rPr>
                <w:rFonts w:eastAsia="Calibri" w:cs="Times New Roman"/>
                <w:b/>
                <w:bCs/>
                <w:szCs w:val="20"/>
              </w:rPr>
            </w:pPr>
            <w:r w:rsidRPr="00722279">
              <w:t xml:space="preserve">Total </w:t>
            </w:r>
          </w:p>
          <w:p w14:paraId="42504FEC" w14:textId="4CC2B6F3" w:rsidR="005D2057" w:rsidRPr="00722279" w:rsidRDefault="005D2057" w:rsidP="00AA3FA7">
            <w:pPr>
              <w:pStyle w:val="TableText"/>
            </w:pPr>
            <w:r w:rsidRPr="00722279">
              <w:t xml:space="preserve">GMP </w:t>
            </w:r>
            <w:r w:rsidRPr="00722279">
              <w:rPr>
                <w:vertAlign w:val="superscript"/>
              </w:rPr>
              <w:t>177</w:t>
            </w:r>
            <w:r w:rsidRPr="00722279">
              <w:t>Lu (ca)</w:t>
            </w:r>
            <w:r w:rsidR="003D1506">
              <w:t>-</w:t>
            </w:r>
            <w:r w:rsidRPr="00722279">
              <w:t>DOTA-</w:t>
            </w:r>
            <w:r w:rsidR="005D1AB7">
              <w:t>o</w:t>
            </w:r>
            <w:r w:rsidRPr="00722279">
              <w:t>ctreotate</w:t>
            </w:r>
          </w:p>
        </w:tc>
        <w:tc>
          <w:tcPr>
            <w:tcW w:w="846" w:type="pct"/>
          </w:tcPr>
          <w:p w14:paraId="1E16DE23" w14:textId="77777777" w:rsidR="005D2057" w:rsidRPr="00722279" w:rsidRDefault="005D2057" w:rsidP="00AA3FA7">
            <w:pPr>
              <w:pStyle w:val="TableText"/>
            </w:pPr>
            <w:r w:rsidRPr="00722279">
              <w:t>$10,031.05</w:t>
            </w:r>
          </w:p>
        </w:tc>
        <w:tc>
          <w:tcPr>
            <w:tcW w:w="2487" w:type="pct"/>
          </w:tcPr>
          <w:p w14:paraId="6E54B08A" w14:textId="77777777" w:rsidR="005D2057" w:rsidRPr="00722279" w:rsidRDefault="005D2057" w:rsidP="00AA3FA7">
            <w:pPr>
              <w:pStyle w:val="TableText"/>
            </w:pPr>
          </w:p>
        </w:tc>
      </w:tr>
    </w:tbl>
    <w:p w14:paraId="41F00F54" w14:textId="231F93CE" w:rsidR="00DA38E6" w:rsidRDefault="00DA38E6" w:rsidP="00AA3FA7">
      <w:pPr>
        <w:pStyle w:val="Tablenotes0"/>
        <w:rPr>
          <w:rFonts w:eastAsia="Times New Roman"/>
          <w:snapToGrid w:val="0"/>
          <w:szCs w:val="20"/>
        </w:rPr>
      </w:pPr>
      <w:r>
        <w:rPr>
          <w:snapToGrid w:val="0"/>
        </w:rPr>
        <w:t>Abbreviations:</w:t>
      </w:r>
      <w:r>
        <w:rPr>
          <w:rFonts w:eastAsia="Times New Roman"/>
          <w:snapToGrid w:val="0"/>
          <w:szCs w:val="20"/>
        </w:rPr>
        <w:t xml:space="preserve"> </w:t>
      </w:r>
      <w:r w:rsidR="005B4011">
        <w:rPr>
          <w:rFonts w:eastAsia="Times New Roman"/>
          <w:snapToGrid w:val="0"/>
          <w:szCs w:val="20"/>
        </w:rPr>
        <w:t xml:space="preserve">AANMS = Australasian Association of Nuclear Medicine Specialists; </w:t>
      </w:r>
      <w:r w:rsidR="00AC34F6">
        <w:rPr>
          <w:rFonts w:eastAsia="Times New Roman"/>
          <w:snapToGrid w:val="0"/>
          <w:szCs w:val="20"/>
        </w:rPr>
        <w:t>AMT = Applied Molecular</w:t>
      </w:r>
      <w:r w:rsidR="005E12F3">
        <w:rPr>
          <w:rFonts w:eastAsia="Times New Roman"/>
          <w:snapToGrid w:val="0"/>
          <w:szCs w:val="20"/>
        </w:rPr>
        <w:t xml:space="preserve"> Therapies; </w:t>
      </w:r>
      <w:r w:rsidR="00FE644B">
        <w:rPr>
          <w:rFonts w:eastAsia="Times New Roman"/>
          <w:snapToGrid w:val="0"/>
          <w:szCs w:val="20"/>
        </w:rPr>
        <w:t xml:space="preserve">ca = carrier added; CT = computed tomography; </w:t>
      </w:r>
      <w:r w:rsidR="00990EB7">
        <w:rPr>
          <w:rFonts w:eastAsia="Times New Roman"/>
          <w:snapToGrid w:val="0"/>
          <w:szCs w:val="20"/>
        </w:rPr>
        <w:t xml:space="preserve">GMP = Good Manufacturing Practice; </w:t>
      </w:r>
      <w:proofErr w:type="spellStart"/>
      <w:r w:rsidR="00D87E56">
        <w:rPr>
          <w:rFonts w:eastAsia="Times New Roman"/>
          <w:snapToGrid w:val="0"/>
          <w:szCs w:val="20"/>
        </w:rPr>
        <w:t>i&amp;t</w:t>
      </w:r>
      <w:proofErr w:type="spellEnd"/>
      <w:r w:rsidR="00D87E56">
        <w:rPr>
          <w:rFonts w:eastAsia="Times New Roman"/>
          <w:snapToGrid w:val="0"/>
          <w:szCs w:val="20"/>
        </w:rPr>
        <w:t xml:space="preserve"> = imaging and therapy; </w:t>
      </w:r>
      <w:r w:rsidR="00FE644B">
        <w:rPr>
          <w:rFonts w:eastAsia="Times New Roman"/>
          <w:snapToGrid w:val="0"/>
          <w:szCs w:val="20"/>
        </w:rPr>
        <w:t xml:space="preserve">Lu = Lutetium; </w:t>
      </w:r>
      <w:r w:rsidR="0094782F">
        <w:rPr>
          <w:rFonts w:eastAsia="Times New Roman"/>
          <w:snapToGrid w:val="0"/>
          <w:szCs w:val="20"/>
        </w:rPr>
        <w:t>MDT = multidisciplinary team</w:t>
      </w:r>
      <w:r w:rsidR="00FE644B">
        <w:rPr>
          <w:rFonts w:eastAsia="Times New Roman"/>
          <w:snapToGrid w:val="0"/>
          <w:szCs w:val="20"/>
        </w:rPr>
        <w:t xml:space="preserve">; </w:t>
      </w:r>
      <w:proofErr w:type="spellStart"/>
      <w:r w:rsidR="00990EB7">
        <w:rPr>
          <w:rFonts w:eastAsia="Times New Roman"/>
          <w:snapToGrid w:val="0"/>
          <w:szCs w:val="20"/>
        </w:rPr>
        <w:t>nca</w:t>
      </w:r>
      <w:proofErr w:type="spellEnd"/>
      <w:r w:rsidR="00990EB7">
        <w:rPr>
          <w:rFonts w:eastAsia="Times New Roman"/>
          <w:snapToGrid w:val="0"/>
          <w:szCs w:val="20"/>
        </w:rPr>
        <w:t xml:space="preserve"> = no carrier added; </w:t>
      </w:r>
      <w:r w:rsidR="00FE644B">
        <w:rPr>
          <w:rFonts w:eastAsia="Times New Roman"/>
          <w:snapToGrid w:val="0"/>
          <w:szCs w:val="20"/>
        </w:rPr>
        <w:t xml:space="preserve">PSMA = prostate-specific membrane antigen; </w:t>
      </w:r>
      <w:r w:rsidR="00A7438B">
        <w:rPr>
          <w:rFonts w:eastAsia="Times New Roman"/>
          <w:snapToGrid w:val="0"/>
          <w:szCs w:val="20"/>
        </w:rPr>
        <w:t>SPECT = single photon emission tomography</w:t>
      </w:r>
      <w:r w:rsidR="00FE644B">
        <w:rPr>
          <w:rFonts w:eastAsia="Times New Roman"/>
          <w:snapToGrid w:val="0"/>
          <w:szCs w:val="20"/>
        </w:rPr>
        <w:t>.</w:t>
      </w:r>
    </w:p>
    <w:p w14:paraId="7CC79D74" w14:textId="69989BC6" w:rsidR="00DA38E6" w:rsidRPr="00AA3FA7" w:rsidRDefault="005D1AB7" w:rsidP="00AA3FA7">
      <w:pPr>
        <w:pStyle w:val="Tablenotes0"/>
        <w:rPr>
          <w:snapToGrid w:val="0"/>
        </w:rPr>
      </w:pPr>
      <w:r w:rsidRPr="009218EC">
        <w:rPr>
          <w:snapToGrid w:val="0"/>
        </w:rPr>
        <w:t>Source</w:t>
      </w:r>
      <w:r w:rsidRPr="00B07952">
        <w:rPr>
          <w:snapToGrid w:val="0"/>
        </w:rPr>
        <w:t xml:space="preserve">: </w:t>
      </w:r>
      <w:r>
        <w:rPr>
          <w:snapToGrid w:val="0"/>
        </w:rPr>
        <w:t>Ratified PICO: Attachment 1</w:t>
      </w:r>
    </w:p>
    <w:p w14:paraId="34E0B08F" w14:textId="3DC39932" w:rsidR="00772829" w:rsidRPr="00CE28E3" w:rsidRDefault="000B228E" w:rsidP="002A18BE">
      <w:pPr>
        <w:pStyle w:val="Heading2"/>
        <w:numPr>
          <w:ilvl w:val="0"/>
          <w:numId w:val="0"/>
        </w:numPr>
      </w:pPr>
      <w:bookmarkStart w:id="30" w:name="_Toc161841934"/>
      <w:bookmarkStart w:id="31" w:name="_Toc165275519"/>
      <w:r>
        <w:t>7</w:t>
      </w:r>
      <w:r w:rsidR="00C36633">
        <w:t>.</w:t>
      </w:r>
      <w:r w:rsidR="00C36633">
        <w:tab/>
      </w:r>
      <w:r w:rsidR="00772829" w:rsidRPr="00CE28E3">
        <w:t>Population</w:t>
      </w:r>
      <w:bookmarkEnd w:id="30"/>
      <w:bookmarkEnd w:id="31"/>
      <w:r w:rsidR="00772829" w:rsidRPr="00CE28E3">
        <w:t xml:space="preserve"> </w:t>
      </w:r>
    </w:p>
    <w:p w14:paraId="03566420" w14:textId="56126B02" w:rsidR="00CA558A" w:rsidRDefault="00EB6E1B" w:rsidP="00294495">
      <w:r w:rsidRPr="00562758">
        <w:rPr>
          <w:color w:val="000000" w:themeColor="text1"/>
        </w:rPr>
        <w:t xml:space="preserve">The proposed population for </w:t>
      </w:r>
      <w:r w:rsidRPr="00562758">
        <w:rPr>
          <w:color w:val="000000" w:themeColor="text1"/>
          <w:vertAlign w:val="superscript"/>
        </w:rPr>
        <w:t>68</w:t>
      </w:r>
      <w:r w:rsidRPr="00562758">
        <w:rPr>
          <w:color w:val="000000" w:themeColor="text1"/>
        </w:rPr>
        <w:t xml:space="preserve">Ga-DOTA-octreotate PET/CT testing to assess eligibility for </w:t>
      </w:r>
      <w:r w:rsidRPr="00562758">
        <w:rPr>
          <w:color w:val="000000" w:themeColor="text1"/>
          <w:vertAlign w:val="superscript"/>
        </w:rPr>
        <w:t>177</w:t>
      </w:r>
      <w:r w:rsidRPr="00562758">
        <w:rPr>
          <w:color w:val="000000" w:themeColor="text1"/>
        </w:rPr>
        <w:t xml:space="preserve">Lu-DOTA-octreotate therapy is patients </w:t>
      </w:r>
      <w:r w:rsidR="00097244">
        <w:t xml:space="preserve">referred by a </w:t>
      </w:r>
      <w:r w:rsidR="00097244" w:rsidRPr="009866A9">
        <w:t>specialist or consultant physician</w:t>
      </w:r>
      <w:r w:rsidR="003F2422" w:rsidRPr="00AF31DC">
        <w:t xml:space="preserve">, with histologically confirmed, locally advanced or metastatic, inoperable NENs with documented disease progression or uncontrolled </w:t>
      </w:r>
      <w:r w:rsidR="009A30D3" w:rsidRPr="00AF31DC">
        <w:t>NEN</w:t>
      </w:r>
      <w:r w:rsidR="009A30D3">
        <w:t>-</w:t>
      </w:r>
      <w:r w:rsidR="009A30D3" w:rsidRPr="00AF31DC">
        <w:t xml:space="preserve">related </w:t>
      </w:r>
      <w:r w:rsidR="003F2422" w:rsidRPr="00AF31DC">
        <w:t>symptoms despite standard therapy</w:t>
      </w:r>
      <w:r w:rsidR="009A30D3">
        <w:t>,</w:t>
      </w:r>
      <w:r w:rsidR="003F2422" w:rsidRPr="00AF31DC">
        <w:t xml:space="preserve"> who have </w:t>
      </w:r>
      <w:r w:rsidR="005C6727">
        <w:t>suspected</w:t>
      </w:r>
      <w:r w:rsidR="005C6727" w:rsidRPr="00AF31DC">
        <w:t xml:space="preserve"> </w:t>
      </w:r>
      <w:r w:rsidR="003F2422" w:rsidRPr="00AF31DC">
        <w:t>H-SSTR</w:t>
      </w:r>
      <w:r w:rsidR="005C6727">
        <w:t xml:space="preserve"> expression</w:t>
      </w:r>
      <w:r w:rsidR="003F2422" w:rsidRPr="00AF31DC">
        <w:t xml:space="preserve">. </w:t>
      </w:r>
      <w:r w:rsidR="0021635F">
        <w:t>A</w:t>
      </w:r>
      <w:r w:rsidR="0021635F" w:rsidRPr="00E35BCA">
        <w:t xml:space="preserve"> proportion of patients who have received </w:t>
      </w:r>
      <w:r w:rsidR="0021635F" w:rsidRPr="00E35BCA">
        <w:rPr>
          <w:vertAlign w:val="superscript"/>
        </w:rPr>
        <w:t>68</w:t>
      </w:r>
      <w:r w:rsidR="0021635F" w:rsidRPr="00E35BCA">
        <w:t xml:space="preserve">Ga-DOTA-octreotate PET/CT revealing H-SSTR may also require FDG PET/CT </w:t>
      </w:r>
      <w:r w:rsidR="00CA558A">
        <w:t>to assess for</w:t>
      </w:r>
      <w:r w:rsidR="0021635F" w:rsidRPr="00E35BCA">
        <w:t xml:space="preserve"> high intra- and inter-tumour heterogeneity that may not be revealed on receptor</w:t>
      </w:r>
      <w:r w:rsidR="0021635F">
        <w:t>-</w:t>
      </w:r>
      <w:r w:rsidR="0021635F" w:rsidRPr="00E35BCA">
        <w:t>based imaging</w:t>
      </w:r>
      <w:r w:rsidR="00EB00C0">
        <w:t xml:space="preserve"> alone</w:t>
      </w:r>
      <w:r w:rsidR="0021635F">
        <w:t>.</w:t>
      </w:r>
      <w:r w:rsidR="00CA558A">
        <w:t xml:space="preserve"> </w:t>
      </w:r>
    </w:p>
    <w:p w14:paraId="696F7F20" w14:textId="1BA00A5D" w:rsidR="00783E54" w:rsidRDefault="00EA141A" w:rsidP="00294495">
      <w:r w:rsidRPr="002C50D4">
        <w:rPr>
          <w:color w:val="000000" w:themeColor="text1"/>
        </w:rPr>
        <w:lastRenderedPageBreak/>
        <w:t>Patients who have demonstrated H-SSTR expression</w:t>
      </w:r>
      <w:r w:rsidR="00CA558A">
        <w:rPr>
          <w:color w:val="000000" w:themeColor="text1"/>
        </w:rPr>
        <w:t xml:space="preserve"> following imaging</w:t>
      </w:r>
      <w:r w:rsidRPr="00381895">
        <w:rPr>
          <w:color w:val="000000" w:themeColor="text1"/>
        </w:rPr>
        <w:t xml:space="preserve"> </w:t>
      </w:r>
      <w:r>
        <w:rPr>
          <w:color w:val="000000" w:themeColor="text1"/>
        </w:rPr>
        <w:t xml:space="preserve">are then eligible for treatment. </w:t>
      </w:r>
      <w:r w:rsidR="003F2422" w:rsidRPr="00AF31DC">
        <w:t>This population is aligned with the TGA</w:t>
      </w:r>
      <w:r w:rsidR="009A30D3">
        <w:t>-</w:t>
      </w:r>
      <w:r w:rsidR="003F2422" w:rsidRPr="00AF31DC">
        <w:t xml:space="preserve">registered use of </w:t>
      </w:r>
      <w:r w:rsidR="003F2422" w:rsidRPr="00AF31DC">
        <w:rPr>
          <w:vertAlign w:val="superscript"/>
        </w:rPr>
        <w:t>177</w:t>
      </w:r>
      <w:r w:rsidR="003F2422" w:rsidRPr="00AF31DC">
        <w:t xml:space="preserve">Lu chloride as a radiopharmaceutical precursor </w:t>
      </w:r>
      <w:r w:rsidR="00607D95">
        <w:t>‘</w:t>
      </w:r>
      <w:r w:rsidR="003F2422" w:rsidRPr="00AF31DC">
        <w:t>for the treatment of non</w:t>
      </w:r>
      <w:r w:rsidR="00213F70">
        <w:t>-</w:t>
      </w:r>
      <w:proofErr w:type="spellStart"/>
      <w:r w:rsidR="003F2422" w:rsidRPr="00AF31DC">
        <w:t>resectable</w:t>
      </w:r>
      <w:proofErr w:type="spellEnd"/>
      <w:r w:rsidR="003F2422" w:rsidRPr="00AF31DC">
        <w:t xml:space="preserve"> or metastatic NET</w:t>
      </w:r>
      <w:r w:rsidR="00607D95">
        <w:t>s</w:t>
      </w:r>
      <w:r w:rsidR="003F2422" w:rsidRPr="00AF31DC">
        <w:t xml:space="preserve"> expressing somatostatin </w:t>
      </w:r>
      <w:r w:rsidR="003F2422" w:rsidRPr="003D711B">
        <w:t>subtype 2 receptors when coupled with a suitable carrier molecule</w:t>
      </w:r>
      <w:r w:rsidR="00607D95" w:rsidRPr="00163248">
        <w:t>’</w:t>
      </w:r>
      <w:r w:rsidR="00967746">
        <w:t>.</w:t>
      </w:r>
      <w:r w:rsidR="00607D95">
        <w:t xml:space="preserve"> </w:t>
      </w:r>
    </w:p>
    <w:p w14:paraId="6DD2C028" w14:textId="6A90A27F" w:rsidR="00F209A0" w:rsidRDefault="00AF31DC" w:rsidP="0029324A">
      <w:pPr>
        <w:spacing w:before="0" w:after="120" w:line="276" w:lineRule="auto"/>
      </w:pPr>
      <w:r w:rsidRPr="000464FE">
        <w:rPr>
          <w:vertAlign w:val="superscript"/>
        </w:rPr>
        <w:t>177</w:t>
      </w:r>
      <w:r w:rsidRPr="000464FE">
        <w:t>Lu-</w:t>
      </w:r>
      <w:r w:rsidR="00607D95">
        <w:t xml:space="preserve">DOTA-octreotate </w:t>
      </w:r>
      <w:r>
        <w:t xml:space="preserve">will be used in addition to existing therapies. </w:t>
      </w:r>
      <w:r w:rsidRPr="000464FE">
        <w:rPr>
          <w:vertAlign w:val="superscript"/>
        </w:rPr>
        <w:t>177</w:t>
      </w:r>
      <w:r w:rsidRPr="000464FE">
        <w:t>Lu-</w:t>
      </w:r>
      <w:r w:rsidR="00607D95">
        <w:t xml:space="preserve">DOTA-octreotate </w:t>
      </w:r>
      <w:r w:rsidRPr="000464FE">
        <w:t>is already in use in multiple locations within Australia</w:t>
      </w:r>
      <w:r>
        <w:t xml:space="preserve"> and t</w:t>
      </w:r>
      <w:r w:rsidRPr="000464FE">
        <w:t xml:space="preserve">he clinical management algorithms in </w:t>
      </w:r>
      <w:r w:rsidR="007E6FC5">
        <w:fldChar w:fldCharType="begin"/>
      </w:r>
      <w:r w:rsidR="007E6FC5">
        <w:instrText xml:space="preserve"> REF _Ref161650913 \h </w:instrText>
      </w:r>
      <w:r w:rsidR="007E6FC5">
        <w:fldChar w:fldCharType="separate"/>
      </w:r>
      <w:r w:rsidR="00674D5E">
        <w:t xml:space="preserve">Figure </w:t>
      </w:r>
      <w:r w:rsidR="00674D5E">
        <w:rPr>
          <w:noProof/>
        </w:rPr>
        <w:t>1</w:t>
      </w:r>
      <w:r w:rsidR="007E6FC5">
        <w:fldChar w:fldCharType="end"/>
      </w:r>
      <w:r w:rsidR="007E6FC5">
        <w:t xml:space="preserve"> </w:t>
      </w:r>
      <w:r w:rsidRPr="006430B1">
        <w:t>a</w:t>
      </w:r>
      <w:r w:rsidRPr="006B1C86">
        <w:t xml:space="preserve">nd </w:t>
      </w:r>
      <w:r w:rsidR="007E6FC5">
        <w:fldChar w:fldCharType="begin"/>
      </w:r>
      <w:r w:rsidR="007E6FC5">
        <w:instrText xml:space="preserve"> REF _Ref161650980 \h </w:instrText>
      </w:r>
      <w:r w:rsidR="007E6FC5">
        <w:fldChar w:fldCharType="separate"/>
      </w:r>
      <w:r w:rsidR="00674D5E">
        <w:t xml:space="preserve">Figure </w:t>
      </w:r>
      <w:r w:rsidR="00674D5E">
        <w:rPr>
          <w:noProof/>
        </w:rPr>
        <w:t>2</w:t>
      </w:r>
      <w:r w:rsidR="007E6FC5">
        <w:fldChar w:fldCharType="end"/>
      </w:r>
      <w:r w:rsidR="007E6FC5">
        <w:t xml:space="preserve"> </w:t>
      </w:r>
      <w:r w:rsidRPr="000464FE">
        <w:t xml:space="preserve">demonstrate how current best practice guidance recommends the integration of </w:t>
      </w:r>
      <w:r w:rsidRPr="009E603E">
        <w:rPr>
          <w:vertAlign w:val="superscript"/>
        </w:rPr>
        <w:t>177</w:t>
      </w:r>
      <w:r w:rsidRPr="000464FE">
        <w:t>Lu-</w:t>
      </w:r>
      <w:r w:rsidR="00607D95">
        <w:t xml:space="preserve">DOTA-octreotate </w:t>
      </w:r>
      <w:r w:rsidRPr="000464FE">
        <w:t xml:space="preserve">treatment </w:t>
      </w:r>
      <w:r w:rsidR="00A01FE4">
        <w:t>(</w:t>
      </w:r>
      <w:r w:rsidR="00D80A61">
        <w:t xml:space="preserve">i.e. </w:t>
      </w:r>
      <w:r w:rsidR="00A01FE4">
        <w:t xml:space="preserve">PRRT) </w:t>
      </w:r>
      <w:r w:rsidRPr="000464FE">
        <w:t>with other potentially effective treatments for patients with advanced NE</w:t>
      </w:r>
      <w:r w:rsidR="006B7A12">
        <w:t>N</w:t>
      </w:r>
      <w:r w:rsidRPr="000464FE">
        <w:t xml:space="preserve"> and H-SSTR malignancies and for patients with carcinoid syndrome</w:t>
      </w:r>
      <w:r w:rsidR="002F3722">
        <w:t>.</w:t>
      </w:r>
      <w:r w:rsidR="002F3722">
        <w:rPr>
          <w:rStyle w:val="FootnoteReference"/>
        </w:rPr>
        <w:footnoteReference w:id="4"/>
      </w:r>
      <w:r>
        <w:t xml:space="preserve"> </w:t>
      </w:r>
      <w:r w:rsidRPr="002A2A56">
        <w:t xml:space="preserve">Given the complexity in patient management due to the heterogeneity of tumour progression, symptoms and response to different tumoricidal or </w:t>
      </w:r>
      <w:proofErr w:type="spellStart"/>
      <w:r w:rsidRPr="002A2A56">
        <w:t>tumourostatic</w:t>
      </w:r>
      <w:proofErr w:type="spellEnd"/>
      <w:r w:rsidRPr="002A2A56">
        <w:t xml:space="preserve"> treatments, treatment with </w:t>
      </w:r>
      <w:r w:rsidRPr="002A2A56">
        <w:rPr>
          <w:vertAlign w:val="superscript"/>
        </w:rPr>
        <w:t>177</w:t>
      </w:r>
      <w:r w:rsidRPr="002A2A56">
        <w:t>Lu-</w:t>
      </w:r>
      <w:r w:rsidR="00607D95">
        <w:t xml:space="preserve">DOTA-octreotate </w:t>
      </w:r>
      <w:r w:rsidRPr="002A2A56">
        <w:t xml:space="preserve">should not be viewed as a fixed line in any patient’s therapy. The most appropriate line of therapy for </w:t>
      </w:r>
      <w:r w:rsidRPr="002A2A56">
        <w:rPr>
          <w:vertAlign w:val="superscript"/>
        </w:rPr>
        <w:t>177</w:t>
      </w:r>
      <w:r w:rsidRPr="002A2A56">
        <w:t>Lu-</w:t>
      </w:r>
      <w:r w:rsidR="00607D95">
        <w:t xml:space="preserve">DOTA-octreotate </w:t>
      </w:r>
      <w:r w:rsidRPr="002A2A56">
        <w:t xml:space="preserve">treatment should be considered on an individual patient basis by an MDT experienced in the management of advanced </w:t>
      </w:r>
      <w:r w:rsidR="006B7A12">
        <w:t>NEN</w:t>
      </w:r>
      <w:r w:rsidRPr="002A2A56">
        <w:t>s and other H-SSTR tumours.</w:t>
      </w:r>
      <w:r w:rsidR="00F209A0">
        <w:t xml:space="preserve"> </w:t>
      </w:r>
    </w:p>
    <w:p w14:paraId="685E6364" w14:textId="08158869" w:rsidR="00AE52F2" w:rsidRDefault="00AE52F2" w:rsidP="00AE52F2">
      <w:pPr>
        <w:pStyle w:val="Caption"/>
      </w:pPr>
      <w:bookmarkStart w:id="32" w:name="_Ref161650913"/>
      <w:r>
        <w:lastRenderedPageBreak/>
        <w:t xml:space="preserve">Figure </w:t>
      </w:r>
      <w:r>
        <w:fldChar w:fldCharType="begin"/>
      </w:r>
      <w:r>
        <w:instrText xml:space="preserve"> SEQ Figure \* ARABIC </w:instrText>
      </w:r>
      <w:r>
        <w:fldChar w:fldCharType="separate"/>
      </w:r>
      <w:r w:rsidR="009C6F88">
        <w:rPr>
          <w:noProof/>
        </w:rPr>
        <w:t>1</w:t>
      </w:r>
      <w:r>
        <w:rPr>
          <w:noProof/>
        </w:rPr>
        <w:fldChar w:fldCharType="end"/>
      </w:r>
      <w:bookmarkEnd w:id="32"/>
      <w:r>
        <w:tab/>
      </w:r>
      <w:r w:rsidRPr="008657CF">
        <w:t xml:space="preserve">ESMO </w:t>
      </w:r>
      <w:r>
        <w:t>c</w:t>
      </w:r>
      <w:r w:rsidRPr="008657CF">
        <w:t xml:space="preserve">linical management algorithm for advanced/metastatic </w:t>
      </w:r>
      <w:proofErr w:type="spellStart"/>
      <w:r w:rsidRPr="00604E42">
        <w:t>gastroenteropancreatic</w:t>
      </w:r>
      <w:proofErr w:type="spellEnd"/>
      <w:r w:rsidRPr="008657CF">
        <w:t xml:space="preserve"> </w:t>
      </w:r>
      <w:proofErr w:type="gramStart"/>
      <w:r w:rsidR="006B7A12">
        <w:t>NEN</w:t>
      </w:r>
      <w:r w:rsidRPr="008657CF">
        <w:t>s</w:t>
      </w:r>
      <w:proofErr w:type="gramEnd"/>
    </w:p>
    <w:p w14:paraId="2195DBC0" w14:textId="77777777" w:rsidR="00DC0B4A" w:rsidRDefault="00783E54" w:rsidP="00DC0B4A">
      <w:pPr>
        <w:keepNext/>
        <w:spacing w:before="0" w:after="0" w:line="276" w:lineRule="auto"/>
      </w:pPr>
      <w:r w:rsidRPr="004D2854">
        <w:rPr>
          <w:rFonts w:ascii="Calibri" w:eastAsia="Calibri" w:hAnsi="Calibri" w:cs="Times New Roman"/>
          <w:b/>
          <w:noProof/>
          <w:szCs w:val="20"/>
        </w:rPr>
        <w:drawing>
          <wp:inline distT="0" distB="0" distL="0" distR="0" wp14:anchorId="6589532D" wp14:editId="0EA3BD38">
            <wp:extent cx="5731510" cy="5871845"/>
            <wp:effectExtent l="0" t="0" r="0" b="0"/>
            <wp:docPr id="353739792" name="Picture 353739792" descr="Figure 7 ESMO Clinical management algorithm for advanced/metastatic GEP-NETs&#10;Source: Figure 4, p854 from ESMO guidelines (Pavel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7 ESMO Clinical management algorithm for advanced/metastatic GEP-NETs&#10;Source: Figure 4, p854 from ESMO guidelines (Pavel 202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871845"/>
                    </a:xfrm>
                    <a:prstGeom prst="rect">
                      <a:avLst/>
                    </a:prstGeom>
                  </pic:spPr>
                </pic:pic>
              </a:graphicData>
            </a:graphic>
          </wp:inline>
        </w:drawing>
      </w:r>
    </w:p>
    <w:p w14:paraId="79755306" w14:textId="3BE1DBCF" w:rsidR="00783E54" w:rsidRPr="007E6FC5" w:rsidRDefault="00DC0B4A" w:rsidP="007E6FC5">
      <w:pPr>
        <w:pStyle w:val="Tablenotes0"/>
        <w:rPr>
          <w:b/>
          <w:bCs/>
        </w:rPr>
      </w:pPr>
      <w:r w:rsidRPr="00DC0B4A">
        <w:t>Source: Figure 4, p854 from E</w:t>
      </w:r>
      <w:r w:rsidR="00F54500">
        <w:t>uropean Society of Medical Oncology (</w:t>
      </w:r>
      <w:r w:rsidRPr="00DC0B4A">
        <w:t>ESMO</w:t>
      </w:r>
      <w:r w:rsidR="00F54500">
        <w:t>)</w:t>
      </w:r>
      <w:r w:rsidRPr="00DC0B4A">
        <w:t xml:space="preserve"> guidelines</w:t>
      </w:r>
      <w:r w:rsidR="008E04B4">
        <w:rPr>
          <w:rStyle w:val="FootnoteReference"/>
        </w:rPr>
        <w:footnoteReference w:id="5"/>
      </w:r>
    </w:p>
    <w:p w14:paraId="44FD2BC7" w14:textId="35759770" w:rsidR="007E6FC5" w:rsidRDefault="007E6FC5" w:rsidP="007E6FC5">
      <w:pPr>
        <w:pStyle w:val="Caption"/>
      </w:pPr>
      <w:bookmarkStart w:id="33" w:name="_Ref161650980"/>
      <w:r>
        <w:lastRenderedPageBreak/>
        <w:t xml:space="preserve">Figure </w:t>
      </w:r>
      <w:r>
        <w:fldChar w:fldCharType="begin"/>
      </w:r>
      <w:r>
        <w:instrText xml:space="preserve"> SEQ Figure \* ARABIC </w:instrText>
      </w:r>
      <w:r>
        <w:fldChar w:fldCharType="separate"/>
      </w:r>
      <w:r w:rsidR="009C6F88">
        <w:rPr>
          <w:noProof/>
        </w:rPr>
        <w:t>2</w:t>
      </w:r>
      <w:r>
        <w:rPr>
          <w:noProof/>
        </w:rPr>
        <w:fldChar w:fldCharType="end"/>
      </w:r>
      <w:bookmarkEnd w:id="33"/>
      <w:r>
        <w:tab/>
      </w:r>
      <w:r w:rsidRPr="00C30345">
        <w:t xml:space="preserve">ESMO </w:t>
      </w:r>
      <w:r>
        <w:t>c</w:t>
      </w:r>
      <w:r w:rsidRPr="00C30345">
        <w:t xml:space="preserve">linical management algorithm for advanced/metastatic </w:t>
      </w:r>
      <w:r w:rsidR="006B7A12">
        <w:t>NEN</w:t>
      </w:r>
      <w:r w:rsidRPr="00C30345">
        <w:t xml:space="preserve">s with carcinoid </w:t>
      </w:r>
      <w:proofErr w:type="gramStart"/>
      <w:r w:rsidRPr="00C30345">
        <w:t>syndrome</w:t>
      </w:r>
      <w:proofErr w:type="gramEnd"/>
    </w:p>
    <w:p w14:paraId="7D55EEA6" w14:textId="77777777" w:rsidR="00DC0B4A" w:rsidRDefault="00783E54" w:rsidP="00DC0B4A">
      <w:pPr>
        <w:keepNext/>
        <w:spacing w:before="0" w:after="0" w:line="276" w:lineRule="auto"/>
      </w:pPr>
      <w:r w:rsidRPr="00FE65D2">
        <w:rPr>
          <w:rFonts w:ascii="Calibri" w:eastAsia="Calibri" w:hAnsi="Calibri" w:cs="Times New Roman"/>
          <w:b/>
          <w:noProof/>
          <w:szCs w:val="20"/>
        </w:rPr>
        <w:drawing>
          <wp:inline distT="0" distB="0" distL="0" distR="0" wp14:anchorId="666D5179" wp14:editId="0ADB7311">
            <wp:extent cx="5731510" cy="5356860"/>
            <wp:effectExtent l="0" t="0" r="0" b="2540"/>
            <wp:docPr id="1510702224" name="Picture 1510702224" descr="Figure 8 ESMO Clinical management algorithm for advanced/metastatic NETs with carcinoid syndrome2&#10;Source: Figure 3, p851 from ESMO guidelines (Pavel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8 ESMO Clinical management algorithm for advanced/metastatic NETs with carcinoid syndrome2&#10;Source: Figure 3, p851 from ESMO guidelines (Pavel 2020)&#10;"/>
                    <pic:cNvPicPr/>
                  </pic:nvPicPr>
                  <pic:blipFill>
                    <a:blip r:embed="rId11">
                      <a:extLst>
                        <a:ext uri="{28A0092B-C50C-407E-A947-70E740481C1C}">
                          <a14:useLocalDpi xmlns:a14="http://schemas.microsoft.com/office/drawing/2010/main" val="0"/>
                        </a:ext>
                      </a:extLst>
                    </a:blip>
                    <a:stretch>
                      <a:fillRect/>
                    </a:stretch>
                  </pic:blipFill>
                  <pic:spPr>
                    <a:xfrm>
                      <a:off x="0" y="0"/>
                      <a:ext cx="5731510" cy="5356860"/>
                    </a:xfrm>
                    <a:prstGeom prst="rect">
                      <a:avLst/>
                    </a:prstGeom>
                  </pic:spPr>
                </pic:pic>
              </a:graphicData>
            </a:graphic>
          </wp:inline>
        </w:drawing>
      </w:r>
    </w:p>
    <w:p w14:paraId="3CCF430F" w14:textId="7CCDD81F" w:rsidR="0057064E" w:rsidRDefault="00DC0B4A" w:rsidP="007E6FC5">
      <w:pPr>
        <w:pStyle w:val="Tablenotes0"/>
      </w:pPr>
      <w:r w:rsidRPr="00DC0B4A">
        <w:t>Source: Figure 3, p851 from ESMO guidelines</w:t>
      </w:r>
      <w:r w:rsidR="008E04B4">
        <w:rPr>
          <w:rStyle w:val="FootnoteReference"/>
        </w:rPr>
        <w:footnoteReference w:id="6"/>
      </w:r>
    </w:p>
    <w:p w14:paraId="2FB9708E" w14:textId="1FEFEA29" w:rsidR="008E7853" w:rsidRDefault="008E7853" w:rsidP="008E7853">
      <w:pPr>
        <w:spacing w:before="0" w:after="120" w:line="276" w:lineRule="auto"/>
      </w:pPr>
      <w:r>
        <w:t>PASC suggested a clinical management algorithm that highlights the population likely to be considered for an additional FDG/PET scan, as well as exemplar thresholds for eligibility for PRRT. (</w:t>
      </w:r>
      <w:r>
        <w:fldChar w:fldCharType="begin"/>
      </w:r>
      <w:r>
        <w:instrText xml:space="preserve"> REF _Ref164093947 \h </w:instrText>
      </w:r>
      <w:r>
        <w:fldChar w:fldCharType="separate"/>
      </w:r>
      <w:r w:rsidR="00674D5E">
        <w:t xml:space="preserve">Figure </w:t>
      </w:r>
      <w:r w:rsidR="00674D5E">
        <w:rPr>
          <w:noProof/>
        </w:rPr>
        <w:t>3</w:t>
      </w:r>
      <w:r>
        <w:fldChar w:fldCharType="end"/>
      </w:r>
      <w:r>
        <w:t xml:space="preserve">). This includes a modified </w:t>
      </w:r>
      <w:proofErr w:type="spellStart"/>
      <w:r>
        <w:t>Krenning</w:t>
      </w:r>
      <w:proofErr w:type="spellEnd"/>
      <w:r>
        <w:t xml:space="preserve"> score of </w:t>
      </w:r>
      <w:r w:rsidRPr="00CB7A92">
        <w:rPr>
          <w:rFonts w:cs="Calibri"/>
          <w:iCs/>
        </w:rPr>
        <w:t xml:space="preserve">≥3 and </w:t>
      </w:r>
      <w:r>
        <w:rPr>
          <w:rFonts w:cs="Calibri"/>
          <w:iCs/>
        </w:rPr>
        <w:t xml:space="preserve">a maximum of 3 sites of </w:t>
      </w:r>
      <w:r w:rsidRPr="00CB7A92">
        <w:rPr>
          <w:rFonts w:cs="Calibri"/>
          <w:iCs/>
        </w:rPr>
        <w:t>FDG/SSRI discordance</w:t>
      </w:r>
      <w:r>
        <w:rPr>
          <w:rFonts w:cs="Calibri"/>
          <w:iCs/>
        </w:rPr>
        <w:t xml:space="preserve">. It is important to note that these thresholds </w:t>
      </w:r>
      <w:r w:rsidRPr="0005343D">
        <w:rPr>
          <w:rFonts w:cs="Calibri"/>
          <w:iCs/>
        </w:rPr>
        <w:t>are</w:t>
      </w:r>
      <w:r>
        <w:rPr>
          <w:rFonts w:cs="Calibri"/>
          <w:iCs/>
        </w:rPr>
        <w:t xml:space="preserve"> for guidance only and that i</w:t>
      </w:r>
      <w:r w:rsidRPr="0005343D">
        <w:rPr>
          <w:rFonts w:cs="Calibri"/>
          <w:iCs/>
        </w:rPr>
        <w:t>n clinical practice</w:t>
      </w:r>
      <w:r>
        <w:rPr>
          <w:rFonts w:cs="Calibri"/>
          <w:iCs/>
        </w:rPr>
        <w:t>,</w:t>
      </w:r>
      <w:r w:rsidRPr="0005343D">
        <w:rPr>
          <w:rFonts w:cs="Calibri"/>
          <w:iCs/>
        </w:rPr>
        <w:t xml:space="preserve"> </w:t>
      </w:r>
      <w:r>
        <w:rPr>
          <w:rFonts w:cs="Calibri"/>
          <w:iCs/>
        </w:rPr>
        <w:t xml:space="preserve">decisions regarding eligibility for </w:t>
      </w:r>
      <w:r w:rsidRPr="002D7665">
        <w:rPr>
          <w:vertAlign w:val="superscript"/>
        </w:rPr>
        <w:t>177</w:t>
      </w:r>
      <w:r w:rsidRPr="002D7665">
        <w:t>Lu-</w:t>
      </w:r>
      <w:r>
        <w:t>DOTA-octreotate will be made by an MDT.</w:t>
      </w:r>
    </w:p>
    <w:p w14:paraId="781FB540" w14:textId="77777777" w:rsidR="008E7853" w:rsidRDefault="008E7853" w:rsidP="008E7853">
      <w:r>
        <w:t xml:space="preserve">As most patients will receive both </w:t>
      </w:r>
      <w:r w:rsidRPr="002D7665">
        <w:rPr>
          <w:vertAlign w:val="superscript"/>
        </w:rPr>
        <w:t>177</w:t>
      </w:r>
      <w:r w:rsidRPr="002D7665">
        <w:t>Lu-</w:t>
      </w:r>
      <w:r>
        <w:t xml:space="preserve">DOTA-octreotate and comparator treatments during their advanced incurable malignancy, it is anticipated that there will be little difference in healthcare resource utilisation. </w:t>
      </w:r>
    </w:p>
    <w:p w14:paraId="5DC81F4D" w14:textId="153282C9" w:rsidR="0057064E" w:rsidRDefault="0057064E" w:rsidP="0057064E">
      <w:pPr>
        <w:pStyle w:val="Caption"/>
        <w:rPr>
          <w:rFonts w:cs="Tahoma"/>
          <w:lang w:val="en-GB" w:eastAsia="ja-JP"/>
        </w:rPr>
      </w:pPr>
      <w:bookmarkStart w:id="34" w:name="_Ref164093947"/>
      <w:r>
        <w:lastRenderedPageBreak/>
        <w:t xml:space="preserve">Figure </w:t>
      </w:r>
      <w:r>
        <w:fldChar w:fldCharType="begin"/>
      </w:r>
      <w:r>
        <w:instrText xml:space="preserve"> SEQ Figure \* ARABIC </w:instrText>
      </w:r>
      <w:r>
        <w:fldChar w:fldCharType="separate"/>
      </w:r>
      <w:r w:rsidR="009C6F88">
        <w:rPr>
          <w:noProof/>
        </w:rPr>
        <w:t>3</w:t>
      </w:r>
      <w:r>
        <w:rPr>
          <w:noProof/>
        </w:rPr>
        <w:fldChar w:fldCharType="end"/>
      </w:r>
      <w:bookmarkEnd w:id="34"/>
      <w:r>
        <w:tab/>
      </w:r>
      <w:r w:rsidRPr="00DD41BA" w:rsidDel="00302581">
        <w:rPr>
          <w:rFonts w:cs="Tahoma"/>
          <w:lang w:val="en-GB" w:eastAsia="ja-JP"/>
        </w:rPr>
        <w:t xml:space="preserve">Reduced clinical management algorithm for G1 and G2 carcinoids and G3 pulmonary </w:t>
      </w:r>
      <w:r w:rsidR="005E5414">
        <w:rPr>
          <w:rFonts w:cs="Tahoma"/>
          <w:lang w:val="en-GB" w:eastAsia="ja-JP"/>
        </w:rPr>
        <w:t xml:space="preserve">neuroendocrine </w:t>
      </w:r>
      <w:proofErr w:type="gramStart"/>
      <w:r w:rsidR="005E5414">
        <w:rPr>
          <w:rFonts w:cs="Tahoma"/>
          <w:lang w:val="en-GB" w:eastAsia="ja-JP"/>
        </w:rPr>
        <w:t>carcinomas</w:t>
      </w:r>
      <w:proofErr w:type="gramEnd"/>
    </w:p>
    <w:p w14:paraId="6165C5D5" w14:textId="77777777" w:rsidR="0057064E" w:rsidRPr="00E3682C" w:rsidRDefault="0057064E" w:rsidP="0057064E">
      <w:pPr>
        <w:pStyle w:val="Tablenotes0"/>
        <w:rPr>
          <w:snapToGrid w:val="0"/>
          <w:lang w:val="en-GB" w:eastAsia="ja-JP"/>
        </w:rPr>
      </w:pPr>
      <w:r w:rsidRPr="00E3682C">
        <w:rPr>
          <w:noProof/>
        </w:rPr>
        <w:drawing>
          <wp:inline distT="0" distB="0" distL="0" distR="0" wp14:anchorId="75B856D5" wp14:editId="6318200D">
            <wp:extent cx="5969479" cy="4003300"/>
            <wp:effectExtent l="0" t="0" r="0" b="0"/>
            <wp:docPr id="86331501" name="Picture 86331501" descr="Reduced clinical management algorithm for G1 and G2 carcinoids and G3 pulmonary neuroendocrine carcin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1501" name="Picture 86331501" descr="Reduced clinical management algorithm for G1 and G2 carcinoids and G3 pulmonary neuroendocrine carcino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8504" cy="4009352"/>
                    </a:xfrm>
                    <a:prstGeom prst="rect">
                      <a:avLst/>
                    </a:prstGeom>
                    <a:noFill/>
                  </pic:spPr>
                </pic:pic>
              </a:graphicData>
            </a:graphic>
          </wp:inline>
        </w:drawing>
      </w:r>
    </w:p>
    <w:p w14:paraId="186355B2" w14:textId="0E1B5ECE" w:rsidR="0057064E" w:rsidRPr="00E3682C" w:rsidRDefault="0057064E" w:rsidP="0057064E">
      <w:pPr>
        <w:pStyle w:val="Tablenotes0"/>
        <w:rPr>
          <w:rFonts w:cs="Tahoma"/>
          <w:lang w:val="en-GB" w:eastAsia="ja-JP"/>
        </w:rPr>
      </w:pPr>
      <w:r w:rsidRPr="003914AA">
        <w:rPr>
          <w:snapToGrid w:val="0"/>
        </w:rPr>
        <w:t>Abbreviations</w:t>
      </w:r>
      <w:r>
        <w:rPr>
          <w:rFonts w:eastAsia="Times New Roman"/>
          <w:snapToGrid w:val="0"/>
          <w:szCs w:val="20"/>
        </w:rPr>
        <w:t xml:space="preserve">: </w:t>
      </w:r>
      <w:r w:rsidRPr="00DD41BA" w:rsidDel="00302581">
        <w:rPr>
          <w:rFonts w:eastAsia="Times New Roman"/>
          <w:snapToGrid w:val="0"/>
          <w:szCs w:val="20"/>
        </w:rPr>
        <w:t xml:space="preserve">CT = computed tomography; G1 = grade 1; G2 = grade 2; G3 = grade 3; FDG = </w:t>
      </w:r>
      <w:r>
        <w:rPr>
          <w:rFonts w:eastAsia="Times New Roman"/>
          <w:snapToGrid w:val="0"/>
          <w:szCs w:val="20"/>
        </w:rPr>
        <w:t>f</w:t>
      </w:r>
      <w:r w:rsidRPr="00DD41BA" w:rsidDel="00302581">
        <w:rPr>
          <w:rFonts w:eastAsia="Times New Roman"/>
          <w:snapToGrid w:val="0"/>
          <w:szCs w:val="20"/>
        </w:rPr>
        <w:t xml:space="preserve">luorodeoxyglucose; </w:t>
      </w:r>
      <w:r w:rsidRPr="00DD41BA">
        <w:rPr>
          <w:rFonts w:eastAsia="Times New Roman"/>
          <w:snapToGrid w:val="0"/>
          <w:szCs w:val="20"/>
        </w:rPr>
        <w:t>m-</w:t>
      </w:r>
      <w:proofErr w:type="spellStart"/>
      <w:r w:rsidRPr="00DD41BA">
        <w:rPr>
          <w:rFonts w:eastAsia="Times New Roman"/>
          <w:snapToGrid w:val="0"/>
          <w:szCs w:val="20"/>
        </w:rPr>
        <w:t>Krenning</w:t>
      </w:r>
      <w:proofErr w:type="spellEnd"/>
      <w:r w:rsidRPr="00DD41BA">
        <w:rPr>
          <w:rFonts w:eastAsia="Times New Roman"/>
          <w:snapToGrid w:val="0"/>
          <w:szCs w:val="20"/>
        </w:rPr>
        <w:t xml:space="preserve"> = modified </w:t>
      </w:r>
      <w:proofErr w:type="spellStart"/>
      <w:r w:rsidRPr="00DD41BA">
        <w:rPr>
          <w:rFonts w:eastAsia="Times New Roman"/>
          <w:snapToGrid w:val="0"/>
          <w:szCs w:val="20"/>
        </w:rPr>
        <w:t>Krenning</w:t>
      </w:r>
      <w:proofErr w:type="spellEnd"/>
      <w:r w:rsidRPr="00DD41BA">
        <w:rPr>
          <w:rFonts w:eastAsia="Times New Roman"/>
          <w:snapToGrid w:val="0"/>
          <w:szCs w:val="20"/>
        </w:rPr>
        <w:t xml:space="preserve"> score; NEN = neuroendocrine neoplasm; </w:t>
      </w:r>
      <w:r w:rsidRPr="00DD41BA" w:rsidDel="00302581">
        <w:rPr>
          <w:rFonts w:eastAsia="Times New Roman"/>
          <w:snapToGrid w:val="0"/>
          <w:szCs w:val="20"/>
        </w:rPr>
        <w:t>PET = positron emission tomography; PRRT = peptide receptor radionuclide therapy</w:t>
      </w:r>
      <w:r w:rsidRPr="00DD41BA">
        <w:rPr>
          <w:rFonts w:eastAsia="Times New Roman"/>
          <w:snapToGrid w:val="0"/>
          <w:szCs w:val="20"/>
        </w:rPr>
        <w:t xml:space="preserve">; </w:t>
      </w:r>
      <w:r w:rsidRPr="00DD41BA" w:rsidDel="00302581">
        <w:rPr>
          <w:rFonts w:eastAsia="Times New Roman"/>
          <w:snapToGrid w:val="0"/>
          <w:szCs w:val="20"/>
        </w:rPr>
        <w:t>SSTR = somatostatin receptor</w:t>
      </w:r>
      <w:r>
        <w:rPr>
          <w:rFonts w:eastAsia="Times New Roman"/>
          <w:snapToGrid w:val="0"/>
          <w:szCs w:val="20"/>
        </w:rPr>
        <w:t>; SSTRI = somatostatin receptor imaging.</w:t>
      </w:r>
    </w:p>
    <w:p w14:paraId="35DB54EC" w14:textId="77777777" w:rsidR="0057064E" w:rsidRDefault="0057064E" w:rsidP="0057064E">
      <w:pPr>
        <w:pStyle w:val="Tablenotes0"/>
        <w:rPr>
          <w:rFonts w:eastAsia="Times New Roman"/>
          <w:snapToGrid w:val="0"/>
          <w:szCs w:val="20"/>
        </w:rPr>
      </w:pPr>
      <w:r w:rsidRPr="003914AA">
        <w:rPr>
          <w:snapToGrid w:val="0"/>
          <w:vertAlign w:val="superscript"/>
        </w:rPr>
        <w:t xml:space="preserve">a </w:t>
      </w:r>
      <w:r w:rsidRPr="00DD41BA">
        <w:rPr>
          <w:rFonts w:eastAsia="Times New Roman"/>
          <w:snapToGrid w:val="0"/>
          <w:szCs w:val="20"/>
        </w:rPr>
        <w:t xml:space="preserve">Patients with demonstrated high concentration of </w:t>
      </w:r>
      <w:r>
        <w:rPr>
          <w:rFonts w:eastAsia="Times New Roman"/>
          <w:snapToGrid w:val="0"/>
          <w:szCs w:val="20"/>
        </w:rPr>
        <w:t xml:space="preserve">SSTR </w:t>
      </w:r>
      <w:r w:rsidRPr="00DD41BA">
        <w:rPr>
          <w:rFonts w:eastAsia="Times New Roman"/>
          <w:snapToGrid w:val="0"/>
          <w:szCs w:val="20"/>
        </w:rPr>
        <w:t xml:space="preserve">expression at all, or the majority of, tumour </w:t>
      </w:r>
      <w:proofErr w:type="gramStart"/>
      <w:r w:rsidRPr="00DD41BA">
        <w:rPr>
          <w:rFonts w:eastAsia="Times New Roman"/>
          <w:snapToGrid w:val="0"/>
          <w:szCs w:val="20"/>
        </w:rPr>
        <w:t>sites</w:t>
      </w:r>
      <w:proofErr w:type="gramEnd"/>
    </w:p>
    <w:p w14:paraId="3A55B19C" w14:textId="77777777" w:rsidR="0057064E" w:rsidRPr="00DD41BA" w:rsidRDefault="0057064E" w:rsidP="0057064E">
      <w:pPr>
        <w:pStyle w:val="Tablenotes0"/>
        <w:rPr>
          <w:rFonts w:eastAsia="Times New Roman"/>
          <w:snapToGrid w:val="0"/>
          <w:szCs w:val="20"/>
          <w:vertAlign w:val="superscript"/>
        </w:rPr>
      </w:pPr>
      <w:r w:rsidRPr="00DD41BA">
        <w:rPr>
          <w:rFonts w:eastAsia="Times New Roman"/>
          <w:snapToGrid w:val="0"/>
          <w:szCs w:val="20"/>
          <w:vertAlign w:val="superscript"/>
        </w:rPr>
        <w:t xml:space="preserve">b </w:t>
      </w:r>
      <w:r w:rsidRPr="00DD41BA">
        <w:rPr>
          <w:rFonts w:eastAsia="Times New Roman"/>
          <w:snapToGrid w:val="0"/>
          <w:szCs w:val="20"/>
        </w:rPr>
        <w:t>No more than</w:t>
      </w:r>
      <w:r>
        <w:rPr>
          <w:rFonts w:eastAsia="Times New Roman"/>
          <w:snapToGrid w:val="0"/>
          <w:szCs w:val="20"/>
        </w:rPr>
        <w:t xml:space="preserve"> </w:t>
      </w:r>
      <w:r w:rsidRPr="00DD41BA">
        <w:rPr>
          <w:rFonts w:eastAsia="Times New Roman"/>
          <w:snapToGrid w:val="0"/>
          <w:szCs w:val="20"/>
        </w:rPr>
        <w:t>3 sites</w:t>
      </w:r>
      <w:r w:rsidRPr="00DD41BA">
        <w:rPr>
          <w:rFonts w:eastAsia="Times New Roman"/>
          <w:i/>
          <w:iCs/>
          <w:snapToGrid w:val="0"/>
          <w:szCs w:val="20"/>
        </w:rPr>
        <w:t xml:space="preserve"> </w:t>
      </w:r>
      <w:r w:rsidRPr="00DD41BA">
        <w:rPr>
          <w:rFonts w:eastAsia="Times New Roman"/>
          <w:snapToGrid w:val="0"/>
          <w:szCs w:val="20"/>
        </w:rPr>
        <w:t xml:space="preserve">of discordance where the tumour is </w:t>
      </w:r>
      <w:r>
        <w:rPr>
          <w:rFonts w:eastAsia="Times New Roman"/>
          <w:snapToGrid w:val="0"/>
          <w:szCs w:val="20"/>
        </w:rPr>
        <w:t>≥</w:t>
      </w:r>
      <w:r w:rsidRPr="00DD41BA">
        <w:rPr>
          <w:rFonts w:eastAsia="Times New Roman"/>
          <w:snapToGrid w:val="0"/>
          <w:szCs w:val="20"/>
        </w:rPr>
        <w:t>2 cm in size</w:t>
      </w:r>
    </w:p>
    <w:p w14:paraId="048B7947" w14:textId="77777777" w:rsidR="0057064E" w:rsidRPr="00DD41BA" w:rsidDel="00302581" w:rsidRDefault="0057064E" w:rsidP="0057064E">
      <w:pPr>
        <w:pStyle w:val="Tablenotes0"/>
        <w:rPr>
          <w:rFonts w:eastAsia="Times New Roman"/>
          <w:snapToGrid w:val="0"/>
          <w:szCs w:val="20"/>
        </w:rPr>
      </w:pPr>
      <w:r w:rsidRPr="003914AA" w:rsidDel="00302581">
        <w:rPr>
          <w:snapToGrid w:val="0"/>
        </w:rPr>
        <w:t>Source</w:t>
      </w:r>
      <w:r w:rsidRPr="00DD41BA" w:rsidDel="00302581">
        <w:rPr>
          <w:rFonts w:eastAsia="Times New Roman"/>
          <w:snapToGrid w:val="0"/>
          <w:szCs w:val="20"/>
        </w:rPr>
        <w:t xml:space="preserve">: </w:t>
      </w:r>
      <w:r w:rsidRPr="00DD41BA">
        <w:rPr>
          <w:rFonts w:eastAsia="Times New Roman"/>
          <w:snapToGrid w:val="0"/>
          <w:szCs w:val="20"/>
        </w:rPr>
        <w:t>Developed by PASC</w:t>
      </w:r>
    </w:p>
    <w:p w14:paraId="782B4709" w14:textId="6DB1A23B" w:rsidR="00733926" w:rsidRPr="00733926" w:rsidRDefault="00733926" w:rsidP="00D14A8D">
      <w:pPr>
        <w:pStyle w:val="Heading3"/>
      </w:pPr>
      <w:bookmarkStart w:id="35" w:name="_Toc161841935"/>
      <w:bookmarkStart w:id="36" w:name="_Toc165239041"/>
      <w:bookmarkStart w:id="37" w:name="_Toc165271871"/>
      <w:bookmarkStart w:id="38" w:name="_Toc165274297"/>
      <w:bookmarkStart w:id="39" w:name="_Toc165275520"/>
      <w:r>
        <w:t>Alignment with PICO confirmation</w:t>
      </w:r>
      <w:bookmarkEnd w:id="35"/>
      <w:bookmarkEnd w:id="36"/>
      <w:bookmarkEnd w:id="37"/>
      <w:bookmarkEnd w:id="38"/>
      <w:bookmarkEnd w:id="39"/>
    </w:p>
    <w:p w14:paraId="49FA480A" w14:textId="254FB57B" w:rsidR="002638FC" w:rsidRDefault="002638FC" w:rsidP="002638FC">
      <w:r w:rsidRPr="00CE28E3">
        <w:t xml:space="preserve">This </w:t>
      </w:r>
      <w:r w:rsidR="0038768E" w:rsidRPr="006F29C8">
        <w:rPr>
          <w:lang w:bidi="en-AU"/>
        </w:rPr>
        <w:t>Department contracted assessment report</w:t>
      </w:r>
      <w:r w:rsidR="00F43D4E" w:rsidRPr="006F29C8">
        <w:t xml:space="preserve"> </w:t>
      </w:r>
      <w:r w:rsidR="00F43D4E">
        <w:rPr>
          <w:lang w:bidi="en-AU"/>
        </w:rPr>
        <w:t>(DCAR)</w:t>
      </w:r>
      <w:r w:rsidR="0038768E" w:rsidRPr="006F29C8">
        <w:t xml:space="preserve"> </w:t>
      </w:r>
      <w:r w:rsidRPr="00CE28E3">
        <w:t>of</w:t>
      </w:r>
      <w:r w:rsidRPr="00526C92">
        <w:t xml:space="preserve"> </w:t>
      </w:r>
      <w:r w:rsidRPr="006B627F">
        <w:rPr>
          <w:vertAlign w:val="superscript"/>
        </w:rPr>
        <w:t>177</w:t>
      </w:r>
      <w:r w:rsidRPr="006B627F">
        <w:t>Lu-</w:t>
      </w:r>
      <w:r w:rsidR="00607D95">
        <w:t xml:space="preserve">DOTA-octreotate </w:t>
      </w:r>
      <w:r w:rsidRPr="00CE28E3">
        <w:t xml:space="preserve">addresses </w:t>
      </w:r>
      <w:r>
        <w:t>some</w:t>
      </w:r>
      <w:r w:rsidRPr="00CE28E3">
        <w:t xml:space="preserve"> of the PICO elements prespecified in the PICO </w:t>
      </w:r>
      <w:r>
        <w:t>c</w:t>
      </w:r>
      <w:r w:rsidRPr="00CE28E3">
        <w:t xml:space="preserve">onfirmation </w:t>
      </w:r>
      <w:r>
        <w:t>ratified by</w:t>
      </w:r>
      <w:r w:rsidRPr="00CE28E3">
        <w:t xml:space="preserve"> PASC.</w:t>
      </w:r>
    </w:p>
    <w:p w14:paraId="21AA8B4A" w14:textId="37CC60C7" w:rsidR="002638FC" w:rsidRPr="00790C25" w:rsidRDefault="002638FC" w:rsidP="002638FC">
      <w:pPr>
        <w:spacing w:after="240"/>
      </w:pPr>
      <w:r>
        <w:t>The original application and ratified PICO confirmation w</w:t>
      </w:r>
      <w:r w:rsidR="00DD7916">
        <w:t>ere</w:t>
      </w:r>
      <w:r>
        <w:t xml:space="preserve"> restricted to the </w:t>
      </w:r>
      <w:proofErr w:type="spellStart"/>
      <w:r>
        <w:t>nca</w:t>
      </w:r>
      <w:proofErr w:type="spellEnd"/>
      <w:r>
        <w:t xml:space="preserve"> product; however, t</w:t>
      </w:r>
      <w:r w:rsidRPr="00B333B7">
        <w:t xml:space="preserve">here is no available evidence </w:t>
      </w:r>
      <w:r w:rsidR="006E7C07">
        <w:t>to support</w:t>
      </w:r>
      <w:r w:rsidRPr="00B333B7">
        <w:t xml:space="preserve"> the superior safety and effectiveness of the </w:t>
      </w:r>
      <w:proofErr w:type="spellStart"/>
      <w:r w:rsidRPr="00B333B7">
        <w:t>nca</w:t>
      </w:r>
      <w:proofErr w:type="spellEnd"/>
      <w:r w:rsidRPr="00B333B7">
        <w:t xml:space="preserve"> product compared to the ‘ca’ product to justify restriction of the benefit to the </w:t>
      </w:r>
      <w:proofErr w:type="spellStart"/>
      <w:r w:rsidRPr="00B333B7">
        <w:t>nca</w:t>
      </w:r>
      <w:proofErr w:type="spellEnd"/>
      <w:r w:rsidRPr="00B333B7">
        <w:t xml:space="preserve"> product</w:t>
      </w:r>
      <w:r>
        <w:t xml:space="preserve">. Therefore, in line with PASC considerations, the intervention described in this assessment report refers to the more generic </w:t>
      </w:r>
      <w:r>
        <w:rPr>
          <w:vertAlign w:val="superscript"/>
        </w:rPr>
        <w:t>177</w:t>
      </w:r>
      <w:r>
        <w:t>Lu-DOTA-</w:t>
      </w:r>
      <w:r w:rsidR="00E2184A">
        <w:t>o</w:t>
      </w:r>
      <w:r>
        <w:t xml:space="preserve">ctreotate. </w:t>
      </w:r>
    </w:p>
    <w:p w14:paraId="26AE5FB0" w14:textId="5FDCE79E" w:rsidR="002638FC" w:rsidRDefault="002638FC" w:rsidP="002638FC">
      <w:pPr>
        <w:spacing w:after="240"/>
      </w:pPr>
      <w:r>
        <w:t xml:space="preserve">Furthermore, the original application included the requirement for an </w:t>
      </w:r>
      <w:r w:rsidR="0075762D">
        <w:t>additional</w:t>
      </w:r>
      <w:r w:rsidR="007005B0">
        <w:t xml:space="preserve"> </w:t>
      </w:r>
      <w:r>
        <w:t>test, FDG</w:t>
      </w:r>
      <w:r w:rsidR="006555FF">
        <w:t xml:space="preserve"> </w:t>
      </w:r>
      <w:r>
        <w:t>PET/CT, to assist in therapeutic decision</w:t>
      </w:r>
      <w:r w:rsidR="00CF48BE">
        <w:t>-</w:t>
      </w:r>
      <w:r>
        <w:t>making for some patients. The application requested the amendment of</w:t>
      </w:r>
      <w:r w:rsidDel="00061CC0">
        <w:t xml:space="preserve"> </w:t>
      </w:r>
      <w:r>
        <w:t>existing MBS item</w:t>
      </w:r>
      <w:r w:rsidR="00061CC0">
        <w:t xml:space="preserve"> 61612</w:t>
      </w:r>
      <w:r>
        <w:t xml:space="preserve"> for whole body FDG</w:t>
      </w:r>
      <w:r w:rsidR="006555FF">
        <w:t xml:space="preserve"> </w:t>
      </w:r>
      <w:r>
        <w:t xml:space="preserve">PET study to assess eligibility for </w:t>
      </w:r>
      <w:r>
        <w:rPr>
          <w:vertAlign w:val="superscript"/>
        </w:rPr>
        <w:t>177</w:t>
      </w:r>
      <w:r>
        <w:t>Lu-</w:t>
      </w:r>
      <w:r w:rsidR="00607D95">
        <w:t xml:space="preserve">DOTA-octreotate </w:t>
      </w:r>
      <w:r>
        <w:t xml:space="preserve">treatment. However, PASC considered that existing MBS </w:t>
      </w:r>
      <w:r w:rsidR="006E1D2B">
        <w:t xml:space="preserve">item </w:t>
      </w:r>
      <w:r>
        <w:t>61612 would not require amendment, as NENs are considered rare or uncommon cancers</w:t>
      </w:r>
      <w:r w:rsidR="00177461">
        <w:t xml:space="preserve"> and would therefore meet the eligibility criteria for item 61612</w:t>
      </w:r>
      <w:r>
        <w:t xml:space="preserve">. </w:t>
      </w:r>
    </w:p>
    <w:p w14:paraId="7F5F816B" w14:textId="7FE910DF" w:rsidR="00721D53" w:rsidRDefault="00721D53" w:rsidP="002638FC">
      <w:pPr>
        <w:spacing w:after="240"/>
      </w:pPr>
      <w:r>
        <w:t xml:space="preserve">The </w:t>
      </w:r>
      <w:r w:rsidRPr="002D1A1B">
        <w:t>ratified PICO</w:t>
      </w:r>
      <w:r>
        <w:t xml:space="preserve"> stated that ‘n</w:t>
      </w:r>
      <w:r w:rsidRPr="00E44DEB">
        <w:t xml:space="preserve">o outcomes for the </w:t>
      </w:r>
      <w:r>
        <w:t>2</w:t>
      </w:r>
      <w:r w:rsidRPr="00E44DEB">
        <w:t xml:space="preserve"> tests (</w:t>
      </w:r>
      <w:r w:rsidRPr="005B224D">
        <w:rPr>
          <w:vertAlign w:val="superscript"/>
        </w:rPr>
        <w:t>68</w:t>
      </w:r>
      <w:r w:rsidRPr="00E44DEB">
        <w:t>Ga-DOTA-octreotate PET/CT or FDG PET/CT) were nominated</w:t>
      </w:r>
      <w:r>
        <w:t>’</w:t>
      </w:r>
      <w:r w:rsidRPr="00E44DEB">
        <w:t>.</w:t>
      </w:r>
      <w:r>
        <w:t xml:space="preserve"> At its </w:t>
      </w:r>
      <w:r w:rsidRPr="00303437">
        <w:t>April 2023 meeting</w:t>
      </w:r>
      <w:r>
        <w:t xml:space="preserve">, PASC agreed that </w:t>
      </w:r>
      <w:r w:rsidRPr="00874BEC">
        <w:t>the relevant outcomes for</w:t>
      </w:r>
      <w:r>
        <w:t xml:space="preserve"> </w:t>
      </w:r>
      <w:r w:rsidRPr="00BD0C6B">
        <w:rPr>
          <w:vertAlign w:val="superscript"/>
        </w:rPr>
        <w:t>68</w:t>
      </w:r>
      <w:r>
        <w:t>Ga-DOTA-octreotate PET/CT and FDG PET/CT</w:t>
      </w:r>
      <w:r w:rsidRPr="009469E2">
        <w:t xml:space="preserve"> were intra-/inter-observer variability</w:t>
      </w:r>
      <w:r>
        <w:t xml:space="preserve">; however, it </w:t>
      </w:r>
      <w:r>
        <w:lastRenderedPageBreak/>
        <w:t xml:space="preserve">was further noted in the ratified PICO that these would be difficult to evaluate and therefore may </w:t>
      </w:r>
      <w:r w:rsidRPr="00DA760F">
        <w:t>not be relevant to determining test outcomes and suitability for PRRT treatment.</w:t>
      </w:r>
      <w:r>
        <w:t xml:space="preserve"> A systematic literature review was performed to assess the diagnostic performance/accuracy and clinical utility of </w:t>
      </w:r>
      <w:r w:rsidRPr="00BD0C6B">
        <w:rPr>
          <w:vertAlign w:val="superscript"/>
        </w:rPr>
        <w:t>68</w:t>
      </w:r>
      <w:r>
        <w:t xml:space="preserve">Ga-DOTA-octreotate PET/CT and FDG PET/CT in the population of interest. </w:t>
      </w:r>
      <w:r w:rsidRPr="0057018D">
        <w:t xml:space="preserve">There were no reviews </w:t>
      </w:r>
      <w:r>
        <w:t>identified which</w:t>
      </w:r>
      <w:r w:rsidRPr="0057018D">
        <w:t xml:space="preserve"> restricted their investigation of the performance and utility of the</w:t>
      </w:r>
      <w:r>
        <w:t xml:space="preserve"> diagnostic</w:t>
      </w:r>
      <w:r w:rsidRPr="0057018D">
        <w:t xml:space="preserve"> tests to the population with progressive, advanced, metastatic, or inoperable NENs with suspected/demonstrated H-SSTR expression. </w:t>
      </w:r>
      <w:r>
        <w:t>Efficacy/effectiveness o</w:t>
      </w:r>
      <w:r w:rsidRPr="0057018D">
        <w:t>utcome results concerning the intra-/inter-observer agreement across SSTR-PET/CT and FDG PET/CT tests</w:t>
      </w:r>
      <w:r>
        <w:t xml:space="preserve">, the </w:t>
      </w:r>
      <w:r w:rsidRPr="004D5BB4">
        <w:t>proportion of patients who meet the nominated thresholds for SSTR</w:t>
      </w:r>
      <w:r>
        <w:t>-</w:t>
      </w:r>
      <w:r w:rsidRPr="004D5BB4">
        <w:t xml:space="preserve">PET/CT imaging and the proportion who also proceed to FDG PET/CT imaging and subsequently receive </w:t>
      </w:r>
      <w:r w:rsidRPr="001053EF">
        <w:rPr>
          <w:vertAlign w:val="superscript"/>
        </w:rPr>
        <w:t>177</w:t>
      </w:r>
      <w:r w:rsidRPr="004D5BB4">
        <w:t>Lu-DOTA-octreotate treatment</w:t>
      </w:r>
      <w:r w:rsidRPr="0057018D">
        <w:t xml:space="preserve"> were </w:t>
      </w:r>
      <w:r>
        <w:t xml:space="preserve">also </w:t>
      </w:r>
      <w:r w:rsidRPr="0057018D">
        <w:t xml:space="preserve">not </w:t>
      </w:r>
      <w:r>
        <w:t xml:space="preserve">retrieved from the studies identified; therefore, this information has not been </w:t>
      </w:r>
      <w:r w:rsidRPr="0057018D">
        <w:t>addressed in this report.</w:t>
      </w:r>
      <w:r>
        <w:t xml:space="preserve"> </w:t>
      </w:r>
    </w:p>
    <w:p w14:paraId="66BDFCC1" w14:textId="0481CB9B" w:rsidR="00772829" w:rsidRPr="00CE28E3" w:rsidRDefault="000B228E" w:rsidP="002A18BE">
      <w:pPr>
        <w:pStyle w:val="Heading2"/>
        <w:numPr>
          <w:ilvl w:val="0"/>
          <w:numId w:val="0"/>
        </w:numPr>
      </w:pPr>
      <w:bookmarkStart w:id="40" w:name="_Toc161841936"/>
      <w:bookmarkStart w:id="41" w:name="_Toc165275521"/>
      <w:r>
        <w:t>8</w:t>
      </w:r>
      <w:r w:rsidR="00C36633">
        <w:t>.</w:t>
      </w:r>
      <w:r w:rsidR="00C36633">
        <w:tab/>
      </w:r>
      <w:r w:rsidR="00772829" w:rsidRPr="00CE28E3">
        <w:t>Comparator</w:t>
      </w:r>
      <w:bookmarkEnd w:id="40"/>
      <w:bookmarkEnd w:id="41"/>
    </w:p>
    <w:p w14:paraId="1A644B6B" w14:textId="72BA7ADD" w:rsidR="00AB000A" w:rsidRDefault="003938EC" w:rsidP="00AB000A">
      <w:pPr>
        <w:pStyle w:val="Instructionaltext"/>
        <w:rPr>
          <w:color w:val="auto"/>
        </w:rPr>
      </w:pPr>
      <w:r w:rsidRPr="006B627F">
        <w:rPr>
          <w:color w:val="auto"/>
          <w:vertAlign w:val="superscript"/>
        </w:rPr>
        <w:t>177</w:t>
      </w:r>
      <w:r w:rsidRPr="006B627F">
        <w:rPr>
          <w:color w:val="auto"/>
        </w:rPr>
        <w:t>Lu-</w:t>
      </w:r>
      <w:r w:rsidR="00607D95">
        <w:rPr>
          <w:color w:val="auto"/>
        </w:rPr>
        <w:t xml:space="preserve">DOTA-octreotate </w:t>
      </w:r>
      <w:r w:rsidRPr="006B627F">
        <w:rPr>
          <w:color w:val="auto"/>
        </w:rPr>
        <w:t xml:space="preserve">is proposed as an add-on therapy rather than a replacement </w:t>
      </w:r>
      <w:r w:rsidR="00177461">
        <w:rPr>
          <w:color w:val="auto"/>
        </w:rPr>
        <w:t>for</w:t>
      </w:r>
      <w:r w:rsidRPr="006B627F">
        <w:rPr>
          <w:color w:val="auto"/>
        </w:rPr>
        <w:t xml:space="preserve"> comparator management strategies</w:t>
      </w:r>
      <w:r w:rsidR="00AA0281">
        <w:rPr>
          <w:color w:val="auto"/>
        </w:rPr>
        <w:t>, t</w:t>
      </w:r>
      <w:r>
        <w:rPr>
          <w:color w:val="auto"/>
        </w:rPr>
        <w:t>h</w:t>
      </w:r>
      <w:r w:rsidR="00E960FD">
        <w:rPr>
          <w:color w:val="auto"/>
        </w:rPr>
        <w:t>us</w:t>
      </w:r>
      <w:r>
        <w:rPr>
          <w:color w:val="auto"/>
        </w:rPr>
        <w:t xml:space="preserve"> i</w:t>
      </w:r>
      <w:r w:rsidRPr="006B627F">
        <w:rPr>
          <w:color w:val="auto"/>
        </w:rPr>
        <w:t>t is considered that best supportive care</w:t>
      </w:r>
      <w:r w:rsidR="00821677">
        <w:rPr>
          <w:color w:val="auto"/>
        </w:rPr>
        <w:t xml:space="preserve"> (BSC)</w:t>
      </w:r>
      <w:r w:rsidRPr="006B627F">
        <w:rPr>
          <w:color w:val="auto"/>
        </w:rPr>
        <w:t xml:space="preserve"> is the most relevant comparator for </w:t>
      </w:r>
      <w:r w:rsidRPr="006B627F">
        <w:rPr>
          <w:color w:val="auto"/>
          <w:vertAlign w:val="superscript"/>
        </w:rPr>
        <w:t>177</w:t>
      </w:r>
      <w:r w:rsidRPr="006B627F">
        <w:rPr>
          <w:color w:val="auto"/>
        </w:rPr>
        <w:t>Lu-</w:t>
      </w:r>
      <w:r w:rsidR="00607D95">
        <w:rPr>
          <w:color w:val="auto"/>
        </w:rPr>
        <w:t>DOTA-octreotate</w:t>
      </w:r>
      <w:r w:rsidRPr="006B627F">
        <w:rPr>
          <w:color w:val="auto"/>
        </w:rPr>
        <w:t xml:space="preserve">. </w:t>
      </w:r>
      <w:r>
        <w:rPr>
          <w:color w:val="auto"/>
        </w:rPr>
        <w:t>This is particularly appropriate g</w:t>
      </w:r>
      <w:r w:rsidRPr="006B627F">
        <w:rPr>
          <w:color w:val="auto"/>
        </w:rPr>
        <w:t xml:space="preserve">iven the complexity of optimal management strategies for patients with advanced </w:t>
      </w:r>
      <w:r w:rsidR="006B7A12">
        <w:rPr>
          <w:color w:val="auto"/>
        </w:rPr>
        <w:t>NEN</w:t>
      </w:r>
      <w:r w:rsidRPr="006B627F">
        <w:rPr>
          <w:color w:val="auto"/>
        </w:rPr>
        <w:t xml:space="preserve"> and H-SSTR malignancies who may exhibit a wide variety of individual and changing clinical </w:t>
      </w:r>
      <w:r w:rsidRPr="00856DC9">
        <w:rPr>
          <w:color w:val="auto"/>
        </w:rPr>
        <w:t>circumstances</w:t>
      </w:r>
      <w:r>
        <w:rPr>
          <w:color w:val="auto"/>
        </w:rPr>
        <w:t>. Furthermore, no guidelines consider</w:t>
      </w:r>
      <w:r w:rsidRPr="00D52CE8">
        <w:rPr>
          <w:i/>
          <w:iCs/>
        </w:rPr>
        <w:t xml:space="preserve"> </w:t>
      </w:r>
      <w:r w:rsidRPr="00D52CE8">
        <w:rPr>
          <w:color w:val="auto"/>
        </w:rPr>
        <w:t>PRRT as first-line treatment (versus alternative first-line treatments such as unlabelled SSA, targeted treatment [everolimus, sunitinib] or chemotherapy)</w:t>
      </w:r>
      <w:r>
        <w:rPr>
          <w:color w:val="auto"/>
        </w:rPr>
        <w:t xml:space="preserve">. Therefore, </w:t>
      </w:r>
      <w:r w:rsidRPr="00930769">
        <w:rPr>
          <w:color w:val="auto"/>
          <w:vertAlign w:val="superscript"/>
        </w:rPr>
        <w:t>177</w:t>
      </w:r>
      <w:r w:rsidRPr="00930769">
        <w:rPr>
          <w:color w:val="auto"/>
        </w:rPr>
        <w:t>Lu-</w:t>
      </w:r>
      <w:r w:rsidR="00607D95">
        <w:rPr>
          <w:color w:val="auto"/>
        </w:rPr>
        <w:t xml:space="preserve">DOTA-octreotate </w:t>
      </w:r>
      <w:r w:rsidRPr="00930769">
        <w:rPr>
          <w:color w:val="auto"/>
        </w:rPr>
        <w:t>therapy would most likely be offered after the failure of any nominated comparator treatments.</w:t>
      </w:r>
    </w:p>
    <w:p w14:paraId="43B12C01" w14:textId="77777777" w:rsidR="000B228E" w:rsidRPr="00CE28E3" w:rsidRDefault="000B228E" w:rsidP="000B228E">
      <w:pPr>
        <w:pStyle w:val="Heading2"/>
        <w:numPr>
          <w:ilvl w:val="0"/>
          <w:numId w:val="0"/>
        </w:numPr>
      </w:pPr>
      <w:bookmarkStart w:id="42" w:name="_Toc69491421"/>
      <w:r>
        <w:t>9.</w:t>
      </w:r>
      <w:r>
        <w:tab/>
      </w:r>
      <w:r w:rsidRPr="00CE28E3">
        <w:t xml:space="preserve">Summary of public consultation </w:t>
      </w:r>
      <w:r>
        <w:t>input</w:t>
      </w:r>
      <w:bookmarkEnd w:id="42"/>
    </w:p>
    <w:p w14:paraId="6024B8AF" w14:textId="77777777" w:rsidR="000B228E" w:rsidRDefault="000B228E" w:rsidP="000B228E">
      <w:pPr>
        <w:tabs>
          <w:tab w:val="left" w:pos="3686"/>
        </w:tabs>
        <w:spacing w:line="256" w:lineRule="auto"/>
      </w:pPr>
      <w:r>
        <w:t>C</w:t>
      </w:r>
      <w:r w:rsidRPr="00374907">
        <w:t>onsultation input</w:t>
      </w:r>
      <w:r>
        <w:t xml:space="preserve"> was welcomed</w:t>
      </w:r>
      <w:r w:rsidRPr="00374907">
        <w:t xml:space="preserve"> from </w:t>
      </w:r>
      <w:r>
        <w:t>8</w:t>
      </w:r>
      <w:r w:rsidRPr="00374907">
        <w:t xml:space="preserve"> professional organisations</w:t>
      </w:r>
      <w:r>
        <w:t xml:space="preserve">, 1 consumer organisation and 2 individuals who are clinical experts and provide </w:t>
      </w:r>
      <w:r w:rsidRPr="00D934CD">
        <w:rPr>
          <w:rFonts w:eastAsia="Calibri" w:cs="Times New Roman"/>
          <w:color w:val="000000"/>
          <w:szCs w:val="20"/>
          <w:lang w:eastAsia="en-AU"/>
        </w:rPr>
        <w:t xml:space="preserve">peptide receptor radionuclide therapy </w:t>
      </w:r>
      <w:r>
        <w:rPr>
          <w:rFonts w:eastAsia="Calibri" w:cs="Times New Roman"/>
          <w:color w:val="000000"/>
          <w:szCs w:val="20"/>
          <w:lang w:eastAsia="en-AU"/>
        </w:rPr>
        <w:t>(</w:t>
      </w:r>
      <w:r>
        <w:t>PRRT) in Australia.</w:t>
      </w:r>
    </w:p>
    <w:p w14:paraId="7BCDE86A" w14:textId="77777777" w:rsidR="000B228E" w:rsidRDefault="000B228E" w:rsidP="000B228E">
      <w:pPr>
        <w:tabs>
          <w:tab w:val="left" w:pos="3686"/>
        </w:tabs>
        <w:spacing w:line="256" w:lineRule="auto"/>
      </w:pPr>
      <w:r>
        <w:t>The organisations who submitted input were:</w:t>
      </w:r>
    </w:p>
    <w:p w14:paraId="255A185B" w14:textId="77777777" w:rsidR="000B228E" w:rsidRPr="00C83520" w:rsidRDefault="000B228E" w:rsidP="00C561D7">
      <w:pPr>
        <w:pStyle w:val="ListParagraph"/>
        <w:numPr>
          <w:ilvl w:val="0"/>
          <w:numId w:val="30"/>
        </w:numPr>
        <w:spacing w:before="0" w:after="120"/>
      </w:pPr>
      <w:r w:rsidRPr="00C83520">
        <w:t>The Urological Society of Australia and New Zealand (USANZ)</w:t>
      </w:r>
    </w:p>
    <w:p w14:paraId="0C6519A1" w14:textId="77777777" w:rsidR="000B228E" w:rsidRPr="00C83520" w:rsidRDefault="000B228E" w:rsidP="00C561D7">
      <w:pPr>
        <w:pStyle w:val="ListParagraph"/>
        <w:numPr>
          <w:ilvl w:val="0"/>
          <w:numId w:val="30"/>
        </w:numPr>
        <w:spacing w:before="0" w:after="120"/>
      </w:pPr>
      <w:r w:rsidRPr="00C83520">
        <w:t>Australian Diagnostic Imaging Association (ADIA)</w:t>
      </w:r>
    </w:p>
    <w:p w14:paraId="1D94DC4E" w14:textId="77777777" w:rsidR="000B228E" w:rsidRPr="00C83520" w:rsidRDefault="000B228E" w:rsidP="00C561D7">
      <w:pPr>
        <w:pStyle w:val="ListParagraph"/>
        <w:numPr>
          <w:ilvl w:val="0"/>
          <w:numId w:val="30"/>
        </w:numPr>
        <w:spacing w:before="0" w:after="120"/>
      </w:pPr>
      <w:r w:rsidRPr="00C83520">
        <w:t>Novartis Pharmaceuticals Australia Pty Ltd (Novartis)</w:t>
      </w:r>
    </w:p>
    <w:p w14:paraId="72D45341" w14:textId="77777777" w:rsidR="000B228E" w:rsidRPr="00C83520" w:rsidRDefault="000B228E" w:rsidP="00C561D7">
      <w:pPr>
        <w:pStyle w:val="ListParagraph"/>
        <w:numPr>
          <w:ilvl w:val="0"/>
          <w:numId w:val="30"/>
        </w:numPr>
        <w:spacing w:before="0" w:after="120"/>
      </w:pPr>
      <w:r w:rsidRPr="00C83520">
        <w:t>The Royal Australian and New Zealand College of Radiologists (RANZCR)</w:t>
      </w:r>
    </w:p>
    <w:p w14:paraId="568AEA49" w14:textId="77777777" w:rsidR="000B228E" w:rsidRPr="00C83520" w:rsidRDefault="000B228E" w:rsidP="00C561D7">
      <w:pPr>
        <w:pStyle w:val="ListParagraph"/>
        <w:numPr>
          <w:ilvl w:val="0"/>
          <w:numId w:val="30"/>
        </w:numPr>
        <w:spacing w:before="0" w:after="120"/>
      </w:pPr>
      <w:r w:rsidRPr="00C83520">
        <w:t>Australian Association of Nuclear Medicine Specialists (AANMS)</w:t>
      </w:r>
    </w:p>
    <w:p w14:paraId="2A4ACE29" w14:textId="77777777" w:rsidR="000B228E" w:rsidRDefault="000B228E" w:rsidP="00C561D7">
      <w:pPr>
        <w:pStyle w:val="ListParagraph"/>
        <w:numPr>
          <w:ilvl w:val="0"/>
          <w:numId w:val="30"/>
        </w:numPr>
        <w:spacing w:before="0" w:after="120"/>
      </w:pPr>
      <w:proofErr w:type="spellStart"/>
      <w:r w:rsidRPr="00C83520">
        <w:t>Telix</w:t>
      </w:r>
      <w:proofErr w:type="spellEnd"/>
      <w:r w:rsidRPr="00C83520">
        <w:t xml:space="preserve"> Pharmaceuticals Limited (</w:t>
      </w:r>
      <w:proofErr w:type="spellStart"/>
      <w:r w:rsidRPr="00C83520">
        <w:t>Telix</w:t>
      </w:r>
      <w:proofErr w:type="spellEnd"/>
      <w:r w:rsidRPr="00C83520">
        <w:t>)</w:t>
      </w:r>
    </w:p>
    <w:p w14:paraId="12D3B3FE" w14:textId="77777777" w:rsidR="000B228E" w:rsidRPr="00CB482C" w:rsidRDefault="000B228E" w:rsidP="00C561D7">
      <w:pPr>
        <w:pStyle w:val="ListParagraph"/>
        <w:numPr>
          <w:ilvl w:val="0"/>
          <w:numId w:val="30"/>
        </w:numPr>
        <w:spacing w:before="0" w:after="120"/>
      </w:pPr>
      <w:r>
        <w:t>Medical Oncology Group of Australia (MOGA) and the Clinical Oncology Society of Australia (COSA)</w:t>
      </w:r>
    </w:p>
    <w:p w14:paraId="5EACDA7C" w14:textId="77777777" w:rsidR="000B228E" w:rsidRDefault="000B228E" w:rsidP="00C561D7">
      <w:pPr>
        <w:pStyle w:val="ListParagraph"/>
        <w:numPr>
          <w:ilvl w:val="0"/>
          <w:numId w:val="30"/>
        </w:numPr>
        <w:spacing w:before="0" w:after="120"/>
      </w:pPr>
      <w:r w:rsidRPr="00CB482C">
        <w:t>Australian and New Zealand Society of Nuclear Medicine (ANZSNM)</w:t>
      </w:r>
    </w:p>
    <w:p w14:paraId="28469E44" w14:textId="77777777" w:rsidR="000B228E" w:rsidRDefault="000B228E" w:rsidP="00C561D7">
      <w:pPr>
        <w:pStyle w:val="ListParagraph"/>
        <w:numPr>
          <w:ilvl w:val="0"/>
          <w:numId w:val="30"/>
        </w:numPr>
        <w:spacing w:before="0" w:after="120"/>
      </w:pPr>
      <w:proofErr w:type="spellStart"/>
      <w:r>
        <w:t>NeuroEndocrine</w:t>
      </w:r>
      <w:proofErr w:type="spellEnd"/>
      <w:r>
        <w:t xml:space="preserve"> Cancer Australia (NECA)</w:t>
      </w:r>
    </w:p>
    <w:p w14:paraId="38325AAA" w14:textId="77777777" w:rsidR="000B228E" w:rsidRPr="00374907" w:rsidRDefault="000B228E" w:rsidP="000B228E">
      <w:pPr>
        <w:tabs>
          <w:tab w:val="left" w:pos="3686"/>
        </w:tabs>
        <w:spacing w:after="240" w:line="257" w:lineRule="auto"/>
      </w:pPr>
      <w:r>
        <w:t>The consultation feedback received was mostly supportive of the application.</w:t>
      </w:r>
    </w:p>
    <w:p w14:paraId="7ECCFBED" w14:textId="77777777" w:rsidR="000B228E" w:rsidRPr="0028462B" w:rsidRDefault="000B228E" w:rsidP="000B228E">
      <w:pPr>
        <w:rPr>
          <w:b/>
          <w:bCs/>
        </w:rPr>
      </w:pPr>
      <w:r w:rsidRPr="0028462B">
        <w:rPr>
          <w:b/>
          <w:bCs/>
        </w:rPr>
        <w:t>Benefits</w:t>
      </w:r>
    </w:p>
    <w:p w14:paraId="18E9C0F1" w14:textId="77777777" w:rsidR="000B228E" w:rsidRPr="00F17567" w:rsidRDefault="000B228E" w:rsidP="00C561D7">
      <w:pPr>
        <w:pStyle w:val="ListParagraph"/>
        <w:numPr>
          <w:ilvl w:val="0"/>
          <w:numId w:val="31"/>
        </w:numPr>
        <w:autoSpaceDE w:val="0"/>
        <w:autoSpaceDN w:val="0"/>
        <w:adjustRightInd w:val="0"/>
        <w:spacing w:before="0" w:after="0" w:line="240" w:lineRule="auto"/>
      </w:pPr>
      <w:r w:rsidRPr="00F17567">
        <w:t>Clinical need, as NETs (neuroendocrine tumours) are rare and an area of need for novel therapies</w:t>
      </w:r>
      <w:r>
        <w:t xml:space="preserve"> such as the proposed medical </w:t>
      </w:r>
      <w:proofErr w:type="gramStart"/>
      <w:r>
        <w:t>service</w:t>
      </w:r>
      <w:proofErr w:type="gramEnd"/>
    </w:p>
    <w:p w14:paraId="5A9B8B2E" w14:textId="77777777" w:rsidR="000B228E" w:rsidRPr="00F17567" w:rsidRDefault="000B228E" w:rsidP="00C561D7">
      <w:pPr>
        <w:pStyle w:val="ListParagraph"/>
        <w:numPr>
          <w:ilvl w:val="0"/>
          <w:numId w:val="31"/>
        </w:numPr>
        <w:autoSpaceDE w:val="0"/>
        <w:autoSpaceDN w:val="0"/>
        <w:adjustRightInd w:val="0"/>
        <w:spacing w:before="0" w:after="0" w:line="240" w:lineRule="auto"/>
      </w:pPr>
      <w:r w:rsidRPr="00F17567">
        <w:t>The treatment delivers prolonged disease-free periods with minimal toxicity and good clinical tolerance</w:t>
      </w:r>
      <w:r>
        <w:t xml:space="preserve"> (</w:t>
      </w:r>
      <w:r w:rsidRPr="00F17567">
        <w:t>better tolerated than chemotherapy</w:t>
      </w:r>
      <w:r>
        <w:t>)</w:t>
      </w:r>
    </w:p>
    <w:p w14:paraId="1C37554E" w14:textId="77777777" w:rsidR="000B228E" w:rsidRPr="00F17567" w:rsidRDefault="000B228E" w:rsidP="00C561D7">
      <w:pPr>
        <w:pStyle w:val="ListParagraph"/>
        <w:numPr>
          <w:ilvl w:val="0"/>
          <w:numId w:val="31"/>
        </w:numPr>
        <w:autoSpaceDE w:val="0"/>
        <w:autoSpaceDN w:val="0"/>
        <w:adjustRightInd w:val="0"/>
        <w:spacing w:before="0" w:after="0" w:line="240" w:lineRule="auto"/>
      </w:pPr>
      <w:r w:rsidRPr="00F17567">
        <w:lastRenderedPageBreak/>
        <w:t xml:space="preserve">It is single day treatment, making it more feasible for patients and requires little travel for patients who live </w:t>
      </w:r>
      <w:proofErr w:type="gramStart"/>
      <w:r w:rsidRPr="00F17567">
        <w:t>remotely</w:t>
      </w:r>
      <w:proofErr w:type="gramEnd"/>
    </w:p>
    <w:p w14:paraId="11D052E7" w14:textId="77777777" w:rsidR="000B228E" w:rsidRPr="00F17567" w:rsidRDefault="000B228E" w:rsidP="00C561D7">
      <w:pPr>
        <w:pStyle w:val="ListParagraph"/>
        <w:numPr>
          <w:ilvl w:val="0"/>
          <w:numId w:val="31"/>
        </w:numPr>
        <w:autoSpaceDE w:val="0"/>
        <w:autoSpaceDN w:val="0"/>
        <w:adjustRightInd w:val="0"/>
        <w:spacing w:before="0" w:after="0" w:line="240" w:lineRule="auto"/>
      </w:pPr>
      <w:r>
        <w:t xml:space="preserve">It is a </w:t>
      </w:r>
      <w:r w:rsidRPr="00F17567">
        <w:t xml:space="preserve">cost-effective targeted therapy, </w:t>
      </w:r>
      <w:r>
        <w:t xml:space="preserve">in particular when </w:t>
      </w:r>
      <w:r w:rsidRPr="00F17567">
        <w:t>compared to</w:t>
      </w:r>
      <w:r>
        <w:t xml:space="preserve"> the cost of</w:t>
      </w:r>
      <w:r w:rsidRPr="00F17567">
        <w:t xml:space="preserve"> other </w:t>
      </w:r>
      <w:proofErr w:type="gramStart"/>
      <w:r w:rsidRPr="00F17567">
        <w:t>treatments</w:t>
      </w:r>
      <w:proofErr w:type="gramEnd"/>
    </w:p>
    <w:p w14:paraId="000918ED" w14:textId="309606A3" w:rsidR="000B228E" w:rsidRPr="00F17567" w:rsidRDefault="000B228E" w:rsidP="00C561D7">
      <w:pPr>
        <w:pStyle w:val="ListParagraph"/>
        <w:numPr>
          <w:ilvl w:val="0"/>
          <w:numId w:val="31"/>
        </w:numPr>
        <w:autoSpaceDE w:val="0"/>
        <w:autoSpaceDN w:val="0"/>
        <w:adjustRightInd w:val="0"/>
        <w:spacing w:before="0" w:after="0" w:line="240" w:lineRule="auto"/>
      </w:pPr>
      <w:r w:rsidRPr="00F17567">
        <w:t>Equity of access</w:t>
      </w:r>
      <w:r>
        <w:t xml:space="preserve"> (financia</w:t>
      </w:r>
      <w:r w:rsidR="00092051">
        <w:t xml:space="preserve">l) as treatment has been available for 10 years </w:t>
      </w:r>
      <w:proofErr w:type="gramStart"/>
      <w:r w:rsidR="00092051">
        <w:t xml:space="preserve">and </w:t>
      </w:r>
      <w:r w:rsidR="00396A64" w:rsidRPr="00396A64">
        <w:t xml:space="preserve"> is</w:t>
      </w:r>
      <w:proofErr w:type="gramEnd"/>
      <w:r w:rsidR="00396A64" w:rsidRPr="00396A64">
        <w:t xml:space="preserve"> currently funded through the Department of Veterans’ Affairs</w:t>
      </w:r>
      <w:r w:rsidR="009B4DFA">
        <w:t xml:space="preserve"> or State-specific funding models</w:t>
      </w:r>
      <w:r w:rsidR="00396A64" w:rsidRPr="00396A64">
        <w:t xml:space="preserve"> </w:t>
      </w:r>
      <w:r w:rsidR="00092051">
        <w:t>or paid for p</w:t>
      </w:r>
      <w:r w:rsidR="00396A64" w:rsidRPr="00396A64">
        <w:t>rivately</w:t>
      </w:r>
      <w:r w:rsidR="00092051">
        <w:t xml:space="preserve">. </w:t>
      </w:r>
    </w:p>
    <w:p w14:paraId="780DE7A1" w14:textId="77777777" w:rsidR="000B228E" w:rsidRDefault="000B228E" w:rsidP="00C561D7">
      <w:pPr>
        <w:pStyle w:val="ListParagraph"/>
        <w:numPr>
          <w:ilvl w:val="0"/>
          <w:numId w:val="31"/>
        </w:numPr>
        <w:autoSpaceDE w:val="0"/>
        <w:autoSpaceDN w:val="0"/>
        <w:adjustRightInd w:val="0"/>
        <w:spacing w:before="0" w:after="0" w:line="240" w:lineRule="auto"/>
      </w:pPr>
      <w:r w:rsidRPr="00F17567">
        <w:t>Many NET patients suffer from debilitating symptoms such as facial flushing, diarrhea, asthma, nausea, and heart palpitations due to the NETs secreting hormones, and i</w:t>
      </w:r>
      <w:r>
        <w:t>n</w:t>
      </w:r>
      <w:r w:rsidRPr="00F17567">
        <w:t xml:space="preserve"> addition to tumour shrinkage the treatment can be effective in managing these </w:t>
      </w:r>
      <w:proofErr w:type="gramStart"/>
      <w:r w:rsidRPr="00F17567">
        <w:t>symptoms</w:t>
      </w:r>
      <w:proofErr w:type="gramEnd"/>
    </w:p>
    <w:p w14:paraId="487BF9C9" w14:textId="77777777" w:rsidR="000B228E" w:rsidRDefault="000B228E" w:rsidP="00C561D7">
      <w:pPr>
        <w:pStyle w:val="ListParagraph"/>
        <w:numPr>
          <w:ilvl w:val="0"/>
          <w:numId w:val="31"/>
        </w:numPr>
        <w:autoSpaceDE w:val="0"/>
        <w:autoSpaceDN w:val="0"/>
        <w:adjustRightInd w:val="0"/>
        <w:spacing w:before="0" w:after="0" w:line="240" w:lineRule="auto"/>
      </w:pPr>
      <w:r w:rsidRPr="0078654D">
        <w:t xml:space="preserve">Successful treatment would reduce reliance on </w:t>
      </w:r>
      <w:proofErr w:type="gramStart"/>
      <w:r w:rsidRPr="0078654D">
        <w:t>carers</w:t>
      </w:r>
      <w:proofErr w:type="gramEnd"/>
    </w:p>
    <w:p w14:paraId="572A63AB" w14:textId="77777777" w:rsidR="000B228E" w:rsidRPr="00611C71" w:rsidRDefault="000B228E" w:rsidP="00C561D7">
      <w:pPr>
        <w:pStyle w:val="ListParagraph"/>
        <w:numPr>
          <w:ilvl w:val="0"/>
          <w:numId w:val="31"/>
        </w:numPr>
        <w:autoSpaceDE w:val="0"/>
        <w:autoSpaceDN w:val="0"/>
        <w:adjustRightInd w:val="0"/>
        <w:spacing w:before="0" w:after="240" w:line="240" w:lineRule="auto"/>
        <w:ind w:left="1077" w:hanging="357"/>
      </w:pPr>
      <w:r>
        <w:t xml:space="preserve">Economic benefit, including savings from </w:t>
      </w:r>
      <w:r w:rsidRPr="0078654D">
        <w:t>patients coming off somatostatin analogue treatments</w:t>
      </w:r>
      <w:r>
        <w:t xml:space="preserve"> and</w:t>
      </w:r>
      <w:r w:rsidRPr="0078654D">
        <w:t xml:space="preserve"> avoiding costly admissions</w:t>
      </w:r>
      <w:r>
        <w:t>/</w:t>
      </w:r>
      <w:r w:rsidRPr="0078654D">
        <w:t>tumour de-bulking surgeries</w:t>
      </w:r>
      <w:r>
        <w:t>.</w:t>
      </w:r>
    </w:p>
    <w:p w14:paraId="103E742F" w14:textId="77777777" w:rsidR="000B228E" w:rsidRDefault="000B228E" w:rsidP="000B228E">
      <w:pPr>
        <w:keepNext/>
        <w:autoSpaceDE w:val="0"/>
        <w:autoSpaceDN w:val="0"/>
        <w:adjustRightInd w:val="0"/>
        <w:spacing w:line="240" w:lineRule="auto"/>
        <w:rPr>
          <w:b/>
          <w:bCs/>
        </w:rPr>
      </w:pPr>
      <w:r w:rsidRPr="00B238CA">
        <w:rPr>
          <w:b/>
          <w:bCs/>
        </w:rPr>
        <w:t>Disadvantages</w:t>
      </w:r>
    </w:p>
    <w:p w14:paraId="46FBF97A" w14:textId="77777777" w:rsidR="000B228E" w:rsidRDefault="000B228E" w:rsidP="00C561D7">
      <w:pPr>
        <w:pStyle w:val="ListParagraph"/>
        <w:numPr>
          <w:ilvl w:val="0"/>
          <w:numId w:val="31"/>
        </w:numPr>
        <w:autoSpaceDE w:val="0"/>
        <w:autoSpaceDN w:val="0"/>
        <w:adjustRightInd w:val="0"/>
        <w:spacing w:before="0" w:after="0" w:line="240" w:lineRule="auto"/>
      </w:pPr>
      <w:r w:rsidRPr="00290609">
        <w:t>The cost of the treatment</w:t>
      </w:r>
    </w:p>
    <w:p w14:paraId="4B9EA552" w14:textId="77777777" w:rsidR="000B228E" w:rsidRDefault="000B228E" w:rsidP="00C561D7">
      <w:pPr>
        <w:pStyle w:val="ListParagraph"/>
        <w:numPr>
          <w:ilvl w:val="0"/>
          <w:numId w:val="31"/>
        </w:numPr>
        <w:autoSpaceDE w:val="0"/>
        <w:autoSpaceDN w:val="0"/>
        <w:adjustRightInd w:val="0"/>
        <w:spacing w:before="0" w:after="0" w:line="240" w:lineRule="auto"/>
      </w:pPr>
      <w:r>
        <w:t xml:space="preserve">Side effects such as </w:t>
      </w:r>
      <w:r w:rsidRPr="007602E8">
        <w:t xml:space="preserve">bone marrow suppression and renal injury, although these can be managed and </w:t>
      </w:r>
      <w:proofErr w:type="gramStart"/>
      <w:r w:rsidRPr="007602E8">
        <w:t>minimised</w:t>
      </w:r>
      <w:proofErr w:type="gramEnd"/>
    </w:p>
    <w:p w14:paraId="20391920" w14:textId="77777777" w:rsidR="000B228E" w:rsidRPr="00611C71" w:rsidRDefault="000B228E" w:rsidP="00C561D7">
      <w:pPr>
        <w:pStyle w:val="ListParagraph"/>
        <w:numPr>
          <w:ilvl w:val="0"/>
          <w:numId w:val="31"/>
        </w:numPr>
        <w:autoSpaceDE w:val="0"/>
        <w:autoSpaceDN w:val="0"/>
        <w:adjustRightInd w:val="0"/>
        <w:spacing w:before="0" w:after="240" w:line="240" w:lineRule="auto"/>
        <w:ind w:left="1077" w:hanging="357"/>
      </w:pPr>
      <w:r>
        <w:t xml:space="preserve">Patient would be disadvantaged if the treatment is ordered without the decision being made by an </w:t>
      </w:r>
      <w:r w:rsidRPr="0078654D">
        <w:t>expert NET Multidisciplinary Team</w:t>
      </w:r>
      <w:r>
        <w:t>.</w:t>
      </w:r>
    </w:p>
    <w:p w14:paraId="4985AE66" w14:textId="77777777" w:rsidR="000B228E" w:rsidRPr="000D3E8E" w:rsidRDefault="000B228E" w:rsidP="000B228E">
      <w:pPr>
        <w:rPr>
          <w:b/>
          <w:bCs/>
        </w:rPr>
      </w:pPr>
      <w:r w:rsidRPr="000D3E8E">
        <w:rPr>
          <w:b/>
          <w:bCs/>
        </w:rPr>
        <w:t>Additional Comments</w:t>
      </w:r>
    </w:p>
    <w:p w14:paraId="3190AFC2" w14:textId="423804BC" w:rsidR="002B6604" w:rsidRDefault="002B6604" w:rsidP="000B228E">
      <w:r>
        <w:t xml:space="preserve">Two </w:t>
      </w:r>
      <w:r w:rsidR="00D430DE">
        <w:t xml:space="preserve">nuclear medicine physicians </w:t>
      </w:r>
      <w:r w:rsidRPr="002B6604">
        <w:t>advised that both non carrier added (</w:t>
      </w:r>
      <w:proofErr w:type="spellStart"/>
      <w:r w:rsidRPr="002B6604">
        <w:t>nca</w:t>
      </w:r>
      <w:proofErr w:type="spellEnd"/>
      <w:r w:rsidRPr="002B6604">
        <w:t>) and carrier added (ca) options are currently being used</w:t>
      </w:r>
      <w:r w:rsidR="00D430DE">
        <w:t xml:space="preserve"> and</w:t>
      </w:r>
      <w:r w:rsidRPr="002B6604">
        <w:t xml:space="preserve"> that having both options subsidised would enable clinicians to manage radiopharmaceutical shortages</w:t>
      </w:r>
      <w:r w:rsidR="00D430DE">
        <w:t>.</w:t>
      </w:r>
    </w:p>
    <w:p w14:paraId="61FE36E9" w14:textId="3ADFAA2F" w:rsidR="000B228E" w:rsidRDefault="000B228E" w:rsidP="000B228E">
      <w:r w:rsidRPr="00904B9E">
        <w:t>NECA provided d</w:t>
      </w:r>
      <w:r>
        <w:t>eidentified cases from multiple patients who had received PRRT highlighting that the therapy is well tolerated without side effects, near complete resolution of flushing and diarrhoea, significant improvement in blood pressure control, significant reduction in prior metastases and improvement in quality of life.</w:t>
      </w:r>
    </w:p>
    <w:p w14:paraId="7BBFF870" w14:textId="245758E5" w:rsidR="000B228E" w:rsidRDefault="000B228E" w:rsidP="000B228E">
      <w:pPr>
        <w:autoSpaceDE w:val="0"/>
        <w:autoSpaceDN w:val="0"/>
        <w:adjustRightInd w:val="0"/>
        <w:spacing w:after="0" w:line="240" w:lineRule="auto"/>
      </w:pPr>
      <w:r w:rsidRPr="009B4511">
        <w:t xml:space="preserve">MOGA and COSA stated the recent NETTER-1 trial has established Peptide Receptor Radionuclide Therapy (PRRT that includes </w:t>
      </w:r>
      <w:r w:rsidRPr="00E15889">
        <w:rPr>
          <w:vertAlign w:val="superscript"/>
        </w:rPr>
        <w:t>177</w:t>
      </w:r>
      <w:r w:rsidRPr="009B4511">
        <w:t>Lutetium Octreotide therapy) as the treatment of choice in this second-line setting for patients with midgut NENs and is supported by the forthcoming COSA NEN guidelines.</w:t>
      </w:r>
      <w:r>
        <w:t xml:space="preserve"> Additionally, it was estimated that approximately 100-150 patients would be eligible for treatment per year.</w:t>
      </w:r>
    </w:p>
    <w:p w14:paraId="4D2ED4D1" w14:textId="45F9FE64" w:rsidR="000B228E" w:rsidRDefault="000B228E" w:rsidP="000B228E">
      <w:pPr>
        <w:autoSpaceDE w:val="0"/>
        <w:autoSpaceDN w:val="0"/>
        <w:adjustRightInd w:val="0"/>
        <w:spacing w:after="0" w:line="240" w:lineRule="auto"/>
      </w:pPr>
      <w:r>
        <w:t xml:space="preserve">USANZ queried whether the </w:t>
      </w:r>
      <w:r w:rsidRPr="00290609">
        <w:t>clinical efficacy of Lu-</w:t>
      </w:r>
      <w:proofErr w:type="spellStart"/>
      <w:r w:rsidRPr="00290609">
        <w:t>Ocreotate</w:t>
      </w:r>
      <w:proofErr w:type="spellEnd"/>
      <w:r w:rsidRPr="00290609">
        <w:t xml:space="preserve"> can be </w:t>
      </w:r>
      <w:r>
        <w:t xml:space="preserve">fully </w:t>
      </w:r>
      <w:r w:rsidRPr="00290609">
        <w:t xml:space="preserve">ascertained using the </w:t>
      </w:r>
      <w:r>
        <w:t>mixture of</w:t>
      </w:r>
      <w:r w:rsidRPr="00290609">
        <w:t xml:space="preserve"> evidence from Lu-</w:t>
      </w:r>
      <w:proofErr w:type="spellStart"/>
      <w:r w:rsidRPr="00290609">
        <w:t>dotate</w:t>
      </w:r>
      <w:proofErr w:type="spellEnd"/>
      <w:r w:rsidRPr="00290609">
        <w:t xml:space="preserve"> and Lu-</w:t>
      </w:r>
      <w:proofErr w:type="spellStart"/>
      <w:r w:rsidRPr="00290609">
        <w:t>ocreotate</w:t>
      </w:r>
      <w:proofErr w:type="spellEnd"/>
      <w:r w:rsidRPr="00290609">
        <w:t xml:space="preserve"> studies</w:t>
      </w:r>
      <w:r>
        <w:t xml:space="preserve"> given that the sensitivities of these two radiotracers are different</w:t>
      </w:r>
      <w:r w:rsidRPr="00290609">
        <w:t>.</w:t>
      </w:r>
    </w:p>
    <w:p w14:paraId="5F4AF61C" w14:textId="22A11AD2" w:rsidR="000B228E" w:rsidRDefault="000B228E" w:rsidP="000B228E">
      <w:pPr>
        <w:autoSpaceDE w:val="0"/>
        <w:autoSpaceDN w:val="0"/>
        <w:adjustRightInd w:val="0"/>
        <w:spacing w:after="0" w:line="240" w:lineRule="auto"/>
      </w:pPr>
      <w:r w:rsidRPr="00AF0CE1">
        <w:t xml:space="preserve">Novartis noted that its </w:t>
      </w:r>
      <w:r w:rsidRPr="00DA391E">
        <w:rPr>
          <w:vertAlign w:val="superscript"/>
        </w:rPr>
        <w:t>177</w:t>
      </w:r>
      <w:r w:rsidRPr="00AF0CE1">
        <w:t>Lu-DOTA</w:t>
      </w:r>
      <w:r>
        <w:t>TA</w:t>
      </w:r>
      <w:r w:rsidRPr="00AF0CE1">
        <w:t>TE</w:t>
      </w:r>
      <w:r>
        <w:t xml:space="preserve"> drug product </w:t>
      </w:r>
      <w:r w:rsidRPr="00AF0CE1">
        <w:t>is protected by a granted patent.</w:t>
      </w:r>
    </w:p>
    <w:p w14:paraId="59D06F2E" w14:textId="77777777" w:rsidR="000B228E" w:rsidRPr="00290609" w:rsidRDefault="000B228E" w:rsidP="000B228E">
      <w:pPr>
        <w:autoSpaceDE w:val="0"/>
        <w:autoSpaceDN w:val="0"/>
        <w:adjustRightInd w:val="0"/>
        <w:spacing w:after="0" w:line="240" w:lineRule="auto"/>
      </w:pPr>
      <w:r>
        <w:t xml:space="preserve">Novartis requested that the MSAC refrains from </w:t>
      </w:r>
      <w:proofErr w:type="gramStart"/>
      <w:r>
        <w:t>making a determination</w:t>
      </w:r>
      <w:proofErr w:type="gramEnd"/>
      <w:r>
        <w:t xml:space="preserve"> of noninferiority </w:t>
      </w:r>
      <w:r w:rsidRPr="00787F82">
        <w:t xml:space="preserve">based on assumed </w:t>
      </w:r>
      <w:proofErr w:type="spellStart"/>
      <w:r w:rsidRPr="00787F82">
        <w:t>biosimilarity</w:t>
      </w:r>
      <w:proofErr w:type="spellEnd"/>
      <w:r w:rsidRPr="00787F82">
        <w:t xml:space="preserve"> of the two products </w:t>
      </w:r>
      <w:r w:rsidRPr="00DA391E">
        <w:rPr>
          <w:vertAlign w:val="superscript"/>
        </w:rPr>
        <w:t>177</w:t>
      </w:r>
      <w:r w:rsidRPr="00787F82">
        <w:t xml:space="preserve">Lu DOTA Octreotate and </w:t>
      </w:r>
      <w:r w:rsidRPr="00DA391E">
        <w:rPr>
          <w:vertAlign w:val="superscript"/>
        </w:rPr>
        <w:t>177</w:t>
      </w:r>
      <w:r w:rsidRPr="00787F82">
        <w:t>Lu-DOTATATE (</w:t>
      </w:r>
      <w:proofErr w:type="spellStart"/>
      <w:r w:rsidRPr="00787F82">
        <w:t>Lutathera</w:t>
      </w:r>
      <w:proofErr w:type="spellEnd"/>
      <w:r w:rsidRPr="00787F82">
        <w:t>®)</w:t>
      </w:r>
      <w:r>
        <w:t xml:space="preserve"> because they may be two different drug products and there is no evidence to support the therapeutic equivalence between the two products. </w:t>
      </w:r>
      <w:r w:rsidRPr="00290609">
        <w:t>Nova</w:t>
      </w:r>
      <w:r>
        <w:t>r</w:t>
      </w:r>
      <w:r w:rsidRPr="00290609">
        <w:t xml:space="preserve">tis </w:t>
      </w:r>
      <w:r>
        <w:t xml:space="preserve">also </w:t>
      </w:r>
      <w:r w:rsidRPr="00290609">
        <w:t>requested that the MSAC Application identify the specific</w:t>
      </w:r>
      <w:r>
        <w:t xml:space="preserve"> </w:t>
      </w:r>
      <w:r w:rsidRPr="00290609">
        <w:t>active ingredient including radionuclide-chelator moiety and linker instead of referring to generic</w:t>
      </w:r>
      <w:r>
        <w:t xml:space="preserve"> </w:t>
      </w:r>
      <w:r w:rsidRPr="00DA391E">
        <w:rPr>
          <w:vertAlign w:val="superscript"/>
        </w:rPr>
        <w:t>177</w:t>
      </w:r>
      <w:r w:rsidRPr="00BF0B17">
        <w:t>Lutetium</w:t>
      </w:r>
      <w:r>
        <w:t xml:space="preserve"> </w:t>
      </w:r>
      <w:r w:rsidRPr="00BF0B17">
        <w:t>(</w:t>
      </w:r>
      <w:proofErr w:type="spellStart"/>
      <w:r w:rsidRPr="00BF0B17">
        <w:t>n.c.a</w:t>
      </w:r>
      <w:proofErr w:type="spellEnd"/>
      <w:r w:rsidRPr="00BF0B17">
        <w:t>)</w:t>
      </w:r>
      <w:r>
        <w:t xml:space="preserve"> </w:t>
      </w:r>
      <w:proofErr w:type="spellStart"/>
      <w:r w:rsidRPr="00BF0B17">
        <w:t>Octreotate</w:t>
      </w:r>
      <w:proofErr w:type="spellEnd"/>
      <w:r w:rsidRPr="00BF0B17">
        <w:t xml:space="preserve">” therapy and commented that the Applicant has not conducted a prospective randomised clinical trial comparing the clinical efficacy and safety of </w:t>
      </w:r>
      <w:r w:rsidRPr="00DA391E">
        <w:rPr>
          <w:vertAlign w:val="superscript"/>
        </w:rPr>
        <w:t>177</w:t>
      </w:r>
      <w:r w:rsidRPr="00BF0B17">
        <w:t xml:space="preserve">Lu- DOTATATE and any </w:t>
      </w:r>
      <w:r w:rsidRPr="00DA391E">
        <w:rPr>
          <w:vertAlign w:val="superscript"/>
        </w:rPr>
        <w:t>177</w:t>
      </w:r>
      <w:r w:rsidRPr="00BF0B17">
        <w:t>Lutetium(</w:t>
      </w:r>
      <w:proofErr w:type="spellStart"/>
      <w:r w:rsidRPr="00BF0B17">
        <w:t>n.c.a</w:t>
      </w:r>
      <w:proofErr w:type="spellEnd"/>
      <w:r w:rsidRPr="00BF0B17">
        <w:t>.)</w:t>
      </w:r>
      <w:r>
        <w:t xml:space="preserve"> </w:t>
      </w:r>
      <w:r w:rsidRPr="00BF0B17">
        <w:t>Octreotate (with or without a DOTA chelating</w:t>
      </w:r>
      <w:r>
        <w:t xml:space="preserve"> </w:t>
      </w:r>
      <w:r w:rsidRPr="00BF0B17">
        <w:t>agent)</w:t>
      </w:r>
      <w:r>
        <w:t xml:space="preserve">, meaning they could not be described as </w:t>
      </w:r>
      <w:r w:rsidRPr="00290609">
        <w:t xml:space="preserve">therapeutically equivalent. </w:t>
      </w:r>
      <w:r>
        <w:t xml:space="preserve">Novartis also raised questions about whether there were inconsistencies between National Medicines Policy and the proposed </w:t>
      </w:r>
      <w:r w:rsidRPr="00CF75DF">
        <w:t xml:space="preserve">reimbursement of </w:t>
      </w:r>
      <w:r w:rsidRPr="00E15889">
        <w:rPr>
          <w:vertAlign w:val="superscript"/>
        </w:rPr>
        <w:t>177</w:t>
      </w:r>
      <w:r w:rsidRPr="00CF75DF">
        <w:t>Lu DOTA Octreotate, prior to its registration on the ARTG</w:t>
      </w:r>
      <w:r>
        <w:t xml:space="preserve"> and what sort of post-market pharmacovigilance would apply to non-ARTG listed products.</w:t>
      </w:r>
    </w:p>
    <w:p w14:paraId="18F38AB0" w14:textId="198EB1A0" w:rsidR="000B228E" w:rsidRDefault="000B228E" w:rsidP="000B228E">
      <w:pPr>
        <w:autoSpaceDE w:val="0"/>
        <w:autoSpaceDN w:val="0"/>
        <w:adjustRightInd w:val="0"/>
        <w:spacing w:after="0" w:line="240" w:lineRule="auto"/>
      </w:pPr>
      <w:r>
        <w:lastRenderedPageBreak/>
        <w:t xml:space="preserve">ADIA stated </w:t>
      </w:r>
      <w:r w:rsidRPr="00921D9F">
        <w:t xml:space="preserve">the proposed requirements in the AANMS Position Statement would severely limit the range of prospective providers of </w:t>
      </w:r>
      <w:proofErr w:type="spellStart"/>
      <w:r w:rsidRPr="00921D9F">
        <w:t>theranostics</w:t>
      </w:r>
      <w:proofErr w:type="spellEnd"/>
      <w:r w:rsidRPr="00921D9F">
        <w:t xml:space="preserve"> services, including </w:t>
      </w:r>
      <w:r>
        <w:t>t</w:t>
      </w:r>
      <w:r w:rsidRPr="00921D9F">
        <w:t>he requirement for therapeutic radiopharmaceuticals to be manufactured by a qualified radiopharmaceutical scientist/radiochemist as well as the accreditation requirements which will be unattainable for many well-qualified nuclear medicine specialists.</w:t>
      </w:r>
      <w:r>
        <w:t xml:space="preserve"> RANZCR also did not support reference to the Position Statement in developing the proposed requirements for </w:t>
      </w:r>
      <w:proofErr w:type="spellStart"/>
      <w:r>
        <w:t>theranostic</w:t>
      </w:r>
      <w:proofErr w:type="spellEnd"/>
      <w:r>
        <w:t xml:space="preserve"> service providers.</w:t>
      </w:r>
    </w:p>
    <w:p w14:paraId="215C1C9C" w14:textId="1240F79B" w:rsidR="000B228E" w:rsidRDefault="000B228E" w:rsidP="000B228E">
      <w:pPr>
        <w:autoSpaceDE w:val="0"/>
        <w:autoSpaceDN w:val="0"/>
        <w:adjustRightInd w:val="0"/>
        <w:spacing w:after="0" w:line="240" w:lineRule="auto"/>
      </w:pPr>
      <w:r>
        <w:t>Feedback noted t</w:t>
      </w:r>
      <w:r w:rsidRPr="00290609">
        <w:t xml:space="preserve">he MBS fee should be set to allow the provider to recover the cost of </w:t>
      </w:r>
      <w:r w:rsidRPr="00E15889">
        <w:rPr>
          <w:vertAlign w:val="superscript"/>
        </w:rPr>
        <w:t>177</w:t>
      </w:r>
      <w:r w:rsidRPr="00290609">
        <w:t>Lutetium(</w:t>
      </w:r>
      <w:proofErr w:type="spellStart"/>
      <w:r w:rsidRPr="00290609">
        <w:t>nca</w:t>
      </w:r>
      <w:proofErr w:type="spellEnd"/>
      <w:r w:rsidRPr="00290609">
        <w:t xml:space="preserve">) </w:t>
      </w:r>
      <w:proofErr w:type="spellStart"/>
      <w:r w:rsidRPr="00290609">
        <w:t>Octreotate</w:t>
      </w:r>
      <w:proofErr w:type="spellEnd"/>
      <w:r w:rsidRPr="00290609">
        <w:t>, otherwise patients are likely to incur substantial out of pocket costs</w:t>
      </w:r>
      <w:r>
        <w:t xml:space="preserve">. There was one comment disagreeing with the proposed fee and stating that the true cost of </w:t>
      </w:r>
      <w:r w:rsidRPr="00E15889">
        <w:rPr>
          <w:vertAlign w:val="superscript"/>
        </w:rPr>
        <w:t>177</w:t>
      </w:r>
      <w:r w:rsidRPr="00290609">
        <w:t>Lutetium(</w:t>
      </w:r>
      <w:proofErr w:type="spellStart"/>
      <w:r w:rsidRPr="00290609">
        <w:t>nca</w:t>
      </w:r>
      <w:proofErr w:type="spellEnd"/>
      <w:r w:rsidRPr="00290609">
        <w:t xml:space="preserve">) </w:t>
      </w:r>
      <w:proofErr w:type="spellStart"/>
      <w:r w:rsidRPr="00290609">
        <w:t>Octreotate</w:t>
      </w:r>
      <w:proofErr w:type="spellEnd"/>
      <w:r>
        <w:t xml:space="preserve"> was closer to the $12,000 to $15,000 range.</w:t>
      </w:r>
    </w:p>
    <w:p w14:paraId="65C25653" w14:textId="77777777" w:rsidR="000B228E" w:rsidRPr="00290609" w:rsidRDefault="000B228E" w:rsidP="000B228E">
      <w:pPr>
        <w:jc w:val="both"/>
      </w:pPr>
      <w:r w:rsidRPr="21328503">
        <w:rPr>
          <w:rFonts w:cs="Calibri"/>
        </w:rPr>
        <w:t xml:space="preserve">The AANMS stated that all patients considered for this treatment must have a whole body DOTA-peptide PET/SPECT scan and suggested a new item number be created for this purpose. They added that a new item for FDG PET in the context of </w:t>
      </w:r>
      <w:proofErr w:type="spellStart"/>
      <w:r w:rsidRPr="21328503">
        <w:rPr>
          <w:rFonts w:cs="Calibri"/>
        </w:rPr>
        <w:t>Lu</w:t>
      </w:r>
      <w:r>
        <w:rPr>
          <w:rFonts w:cs="Calibri"/>
        </w:rPr>
        <w:t>tate</w:t>
      </w:r>
      <w:proofErr w:type="spellEnd"/>
      <w:r w:rsidRPr="21328503">
        <w:rPr>
          <w:rFonts w:cs="Calibri"/>
        </w:rPr>
        <w:t xml:space="preserve"> treatment should be created and that the post-treatment SPECT scan should have its own item number for tracking.</w:t>
      </w:r>
    </w:p>
    <w:p w14:paraId="40796859" w14:textId="6167BCCA" w:rsidR="000B228E" w:rsidRDefault="000B228E" w:rsidP="000B228E">
      <w:pPr>
        <w:autoSpaceDE w:val="0"/>
        <w:autoSpaceDN w:val="0"/>
        <w:adjustRightInd w:val="0"/>
        <w:spacing w:after="0" w:line="240" w:lineRule="auto"/>
      </w:pPr>
      <w:proofErr w:type="spellStart"/>
      <w:r w:rsidRPr="00290609">
        <w:t>LuTATE</w:t>
      </w:r>
      <w:proofErr w:type="spellEnd"/>
      <w:r w:rsidRPr="00290609">
        <w:t xml:space="preserve"> therapy is best provided by a multidisciplinary team with oncologists, nuclear medicine physicians, endocrinologists, surgeons, palliative care specialists, medical </w:t>
      </w:r>
      <w:proofErr w:type="gramStart"/>
      <w:r w:rsidRPr="00290609">
        <w:t>physicists</w:t>
      </w:r>
      <w:proofErr w:type="gramEnd"/>
      <w:r w:rsidRPr="00290609">
        <w:t xml:space="preserve"> and nuclear medicine technologists as well as nursing, social work and dietician support services.</w:t>
      </w:r>
    </w:p>
    <w:p w14:paraId="2D75DCD1" w14:textId="63C27629" w:rsidR="000B228E" w:rsidRDefault="000B228E" w:rsidP="000B228E">
      <w:pPr>
        <w:autoSpaceDE w:val="0"/>
        <w:autoSpaceDN w:val="0"/>
        <w:adjustRightInd w:val="0"/>
        <w:spacing w:after="0" w:line="240" w:lineRule="auto"/>
      </w:pPr>
      <w:r>
        <w:t>T</w:t>
      </w:r>
      <w:r w:rsidRPr="00290609">
        <w:t>here are current restrictions around the use of Rare Cancers FDG PET imaging (61598)</w:t>
      </w:r>
      <w:r>
        <w:t xml:space="preserve"> (i.e. </w:t>
      </w:r>
      <w:r w:rsidRPr="00290609">
        <w:t>limited to one per lifetime</w:t>
      </w:r>
      <w:r>
        <w:t xml:space="preserve">), and it was suggested to </w:t>
      </w:r>
      <w:r w:rsidRPr="00290609">
        <w:t>creat</w:t>
      </w:r>
      <w:r>
        <w:t xml:space="preserve">e </w:t>
      </w:r>
      <w:r w:rsidRPr="00290609">
        <w:t xml:space="preserve">a new item number for FDG PET in the context of providing </w:t>
      </w:r>
      <w:proofErr w:type="spellStart"/>
      <w:r w:rsidRPr="00290609">
        <w:t>LuTATE</w:t>
      </w:r>
      <w:proofErr w:type="spellEnd"/>
      <w:r w:rsidRPr="00290609">
        <w:t xml:space="preserve"> treatment.</w:t>
      </w:r>
    </w:p>
    <w:p w14:paraId="6ACC8903" w14:textId="363BE880" w:rsidR="000B228E" w:rsidRPr="000B228E" w:rsidRDefault="000B228E" w:rsidP="000B228E">
      <w:pPr>
        <w:autoSpaceDE w:val="0"/>
        <w:autoSpaceDN w:val="0"/>
        <w:adjustRightInd w:val="0"/>
        <w:spacing w:after="0" w:line="240" w:lineRule="auto"/>
      </w:pPr>
      <w:r>
        <w:t xml:space="preserve">Additionally, the AANMS noted the findings of the May 2024 Senate inquiry report into </w:t>
      </w:r>
      <w:r w:rsidRPr="0075010C">
        <w:rPr>
          <w:i/>
          <w:iCs/>
        </w:rPr>
        <w:t>Equitable access to diagnosis and treatment for individuals with rare and less common cancers, including neuroendocrine cancer</w:t>
      </w:r>
      <w:r>
        <w:t xml:space="preserve"> should be considered in light of the concern with reducing out-of-pocket (OOP) costs associated with </w:t>
      </w:r>
      <w:r w:rsidRPr="00960A22">
        <w:t xml:space="preserve">68Ga-DOTATATE and 18FDG PET/CT scans and ensuring those with rarer non-gastro-entero-pancreatic (GEP) NET SSTR-avid malignancies also receive access to </w:t>
      </w:r>
      <w:r w:rsidRPr="00E15889">
        <w:rPr>
          <w:vertAlign w:val="superscript"/>
        </w:rPr>
        <w:t>177</w:t>
      </w:r>
      <w:r w:rsidRPr="00960A22">
        <w:t xml:space="preserve">Lu-DOTATATE </w:t>
      </w:r>
      <w:proofErr w:type="spellStart"/>
      <w:r w:rsidRPr="00960A22">
        <w:t>theranostics</w:t>
      </w:r>
      <w:proofErr w:type="spellEnd"/>
      <w:r>
        <w:t>.</w:t>
      </w:r>
    </w:p>
    <w:p w14:paraId="03C7A1F1" w14:textId="6E8C9B1B" w:rsidR="00772829" w:rsidRPr="00CE28E3" w:rsidRDefault="000B228E" w:rsidP="002A18BE">
      <w:pPr>
        <w:pStyle w:val="Heading2"/>
        <w:numPr>
          <w:ilvl w:val="0"/>
          <w:numId w:val="0"/>
        </w:numPr>
      </w:pPr>
      <w:bookmarkStart w:id="43" w:name="_Toc161841940"/>
      <w:bookmarkStart w:id="44" w:name="_Toc165275525"/>
      <w:r>
        <w:t>10</w:t>
      </w:r>
      <w:r w:rsidR="00FF1E21">
        <w:t>.</w:t>
      </w:r>
      <w:r w:rsidR="00C36633">
        <w:tab/>
      </w:r>
      <w:r w:rsidR="00772829" w:rsidRPr="00CE28E3">
        <w:t>Characteristics of the evidence base</w:t>
      </w:r>
      <w:bookmarkEnd w:id="43"/>
      <w:bookmarkEnd w:id="44"/>
    </w:p>
    <w:p w14:paraId="01236DBD" w14:textId="6F6D3DC3" w:rsidR="009120FD" w:rsidRDefault="009120FD" w:rsidP="001053EF">
      <w:r w:rsidRPr="009120FD">
        <w:t>As noted in the ratified PICO, the applicant provide</w:t>
      </w:r>
      <w:r w:rsidR="007A5A80">
        <w:t>d</w:t>
      </w:r>
      <w:r w:rsidRPr="009120FD">
        <w:t xml:space="preserve"> </w:t>
      </w:r>
      <w:r w:rsidR="007A5A80">
        <w:t>no</w:t>
      </w:r>
      <w:r w:rsidRPr="009120FD">
        <w:t xml:space="preserve"> studies assessing the safety and/or efficacy of the proposed intervention</w:t>
      </w:r>
      <w:r w:rsidR="007A5A80">
        <w:t xml:space="preserve"> (</w:t>
      </w:r>
      <w:r w:rsidRPr="009120FD">
        <w:rPr>
          <w:vertAlign w:val="superscript"/>
        </w:rPr>
        <w:t>177</w:t>
      </w:r>
      <w:r w:rsidRPr="009120FD">
        <w:t>Lu-DOTA-</w:t>
      </w:r>
      <w:r w:rsidR="007A5A80">
        <w:t>o</w:t>
      </w:r>
      <w:r w:rsidRPr="009120FD">
        <w:t>ctreotate</w:t>
      </w:r>
      <w:r w:rsidR="007A5A80">
        <w:t>)</w:t>
      </w:r>
      <w:r w:rsidR="008455A6" w:rsidRPr="008455A6">
        <w:rPr>
          <w:rFonts w:cs="Arial"/>
        </w:rPr>
        <w:t xml:space="preserve"> </w:t>
      </w:r>
      <w:r w:rsidR="008455A6" w:rsidRPr="008455A6">
        <w:t xml:space="preserve">and no </w:t>
      </w:r>
      <w:r w:rsidR="00D73148">
        <w:t>randomised controlled trials (</w:t>
      </w:r>
      <w:r w:rsidR="008455A6" w:rsidRPr="008455A6">
        <w:t>RCTs</w:t>
      </w:r>
      <w:r w:rsidR="00D73148">
        <w:t>)</w:t>
      </w:r>
      <w:r w:rsidR="008455A6" w:rsidRPr="008455A6">
        <w:t xml:space="preserve"> were identified in the systematic literature review supporting this </w:t>
      </w:r>
      <w:r w:rsidR="008455A6">
        <w:t>assessment</w:t>
      </w:r>
      <w:r w:rsidRPr="009120FD">
        <w:t xml:space="preserve">. </w:t>
      </w:r>
      <w:r w:rsidR="008C6EC5" w:rsidRPr="009120FD">
        <w:t xml:space="preserve">Instead, the applicant claimed that </w:t>
      </w:r>
      <w:r w:rsidR="008C6EC5" w:rsidRPr="009120FD">
        <w:rPr>
          <w:vertAlign w:val="superscript"/>
        </w:rPr>
        <w:t>177</w:t>
      </w:r>
      <w:r w:rsidR="008C6EC5" w:rsidRPr="009120FD">
        <w:t>Lu-</w:t>
      </w:r>
      <w:r w:rsidR="008C6EC5">
        <w:t xml:space="preserve">DOTA-octreotate </w:t>
      </w:r>
      <w:r w:rsidR="008C6EC5" w:rsidRPr="009120FD">
        <w:t xml:space="preserve">appears to be a very close biosimilar to the </w:t>
      </w:r>
      <w:proofErr w:type="spellStart"/>
      <w:r w:rsidR="008C6EC5" w:rsidRPr="009120FD">
        <w:t>Lutathera</w:t>
      </w:r>
      <w:proofErr w:type="spellEnd"/>
      <w:r w:rsidR="008C6EC5" w:rsidRPr="009120FD">
        <w:t xml:space="preserve">® product (referred to as </w:t>
      </w:r>
      <w:r w:rsidR="008C6EC5" w:rsidRPr="009120FD">
        <w:rPr>
          <w:vertAlign w:val="superscript"/>
        </w:rPr>
        <w:t>177</w:t>
      </w:r>
      <w:r w:rsidR="008C6EC5" w:rsidRPr="009120FD">
        <w:t>Lu-DOTATATE).</w:t>
      </w:r>
      <w:r w:rsidR="00AB0275" w:rsidRPr="00AB0275">
        <w:t xml:space="preserve"> </w:t>
      </w:r>
      <w:r w:rsidR="00AB0275">
        <w:t xml:space="preserve">An evidence-based assessment of </w:t>
      </w:r>
      <w:r w:rsidR="009D3F1A">
        <w:t>non-inferiority</w:t>
      </w:r>
      <w:r w:rsidR="00AB0275">
        <w:t xml:space="preserve"> </w:t>
      </w:r>
      <w:r w:rsidR="00F43F35">
        <w:t xml:space="preserve">efficacy and safety </w:t>
      </w:r>
      <w:r w:rsidR="00AB0275">
        <w:t xml:space="preserve">between </w:t>
      </w:r>
      <w:r w:rsidR="00252567" w:rsidRPr="009120FD">
        <w:rPr>
          <w:vertAlign w:val="superscript"/>
        </w:rPr>
        <w:t>177</w:t>
      </w:r>
      <w:r w:rsidR="00252567" w:rsidRPr="009120FD">
        <w:t>Lu-DOTATATE</w:t>
      </w:r>
      <w:r w:rsidR="00252567">
        <w:t xml:space="preserve"> and </w:t>
      </w:r>
      <w:r w:rsidR="00252567" w:rsidRPr="009120FD">
        <w:rPr>
          <w:vertAlign w:val="superscript"/>
        </w:rPr>
        <w:t>177</w:t>
      </w:r>
      <w:r w:rsidR="00252567" w:rsidRPr="009120FD">
        <w:t>Lu-</w:t>
      </w:r>
      <w:r w:rsidR="00252567">
        <w:t>DOTA-octreotate</w:t>
      </w:r>
      <w:r w:rsidR="00AB0275">
        <w:t xml:space="preserve"> </w:t>
      </w:r>
      <w:r w:rsidR="00A56098">
        <w:t>could</w:t>
      </w:r>
      <w:r w:rsidR="00AB0275">
        <w:t xml:space="preserve"> not </w:t>
      </w:r>
      <w:r w:rsidR="00A56098">
        <w:t>be performed</w:t>
      </w:r>
      <w:r w:rsidR="00AB0275">
        <w:t xml:space="preserve"> due to the current lack of available </w:t>
      </w:r>
      <w:r w:rsidR="00963CD7">
        <w:t>data for the applicant’s intervention</w:t>
      </w:r>
      <w:r w:rsidR="00AB0275">
        <w:t xml:space="preserve">. </w:t>
      </w:r>
      <w:r w:rsidR="00677FC2">
        <w:t>However, a</w:t>
      </w:r>
      <w:r w:rsidR="002626CF">
        <w:t xml:space="preserve"> comparison of the </w:t>
      </w:r>
      <w:r w:rsidR="00793834">
        <w:t xml:space="preserve">pharmaceutical form </w:t>
      </w:r>
      <w:r w:rsidR="00D34DA3">
        <w:t xml:space="preserve">of </w:t>
      </w:r>
      <w:r w:rsidR="00252567" w:rsidRPr="00252567">
        <w:t xml:space="preserve">the </w:t>
      </w:r>
      <w:r w:rsidR="00B0725D">
        <w:t>2</w:t>
      </w:r>
      <w:r w:rsidR="00252567" w:rsidRPr="00252567">
        <w:t xml:space="preserve"> products</w:t>
      </w:r>
      <w:r w:rsidR="00913F00">
        <w:t xml:space="preserve">, based on the </w:t>
      </w:r>
      <w:r w:rsidR="003E63B8">
        <w:t xml:space="preserve">Summary of Product </w:t>
      </w:r>
      <w:r w:rsidR="0024574E">
        <w:t>Characteristics</w:t>
      </w:r>
      <w:r w:rsidR="00252567">
        <w:t xml:space="preserve"> for </w:t>
      </w:r>
      <w:r w:rsidR="00252567" w:rsidRPr="009120FD">
        <w:rPr>
          <w:vertAlign w:val="superscript"/>
        </w:rPr>
        <w:t>177</w:t>
      </w:r>
      <w:r w:rsidR="00252567" w:rsidRPr="009120FD">
        <w:t>Lu-DOTATATE</w:t>
      </w:r>
      <w:r w:rsidR="00AE1135">
        <w:rPr>
          <w:rStyle w:val="FootnoteReference"/>
        </w:rPr>
        <w:footnoteReference w:id="7"/>
      </w:r>
      <w:r w:rsidR="00252567">
        <w:t xml:space="preserve"> and </w:t>
      </w:r>
      <w:r w:rsidR="00913F00">
        <w:t>information provided by the applicant</w:t>
      </w:r>
      <w:r w:rsidR="00252567">
        <w:t xml:space="preserve"> on </w:t>
      </w:r>
      <w:r w:rsidR="00252567" w:rsidRPr="009120FD">
        <w:rPr>
          <w:vertAlign w:val="superscript"/>
        </w:rPr>
        <w:t>177</w:t>
      </w:r>
      <w:r w:rsidR="00252567" w:rsidRPr="009120FD">
        <w:t>Lu-</w:t>
      </w:r>
      <w:r w:rsidR="00252567">
        <w:t>DOTA-octreotate</w:t>
      </w:r>
      <w:r w:rsidR="00913F00">
        <w:t>,</w:t>
      </w:r>
      <w:r w:rsidR="00ED7D5D">
        <w:t xml:space="preserve"> </w:t>
      </w:r>
      <w:r w:rsidR="00E465C5">
        <w:t>is p</w:t>
      </w:r>
      <w:r w:rsidR="0045273E">
        <w:t xml:space="preserve">resented in </w:t>
      </w:r>
      <w:r w:rsidR="0045273E">
        <w:fldChar w:fldCharType="begin"/>
      </w:r>
      <w:r w:rsidR="0045273E">
        <w:instrText xml:space="preserve"> REF _Ref164332720 \h  \* MERGEFORMAT </w:instrText>
      </w:r>
      <w:r w:rsidR="0045273E">
        <w:fldChar w:fldCharType="separate"/>
      </w:r>
      <w:r w:rsidR="00674D5E">
        <w:t>Table 5</w:t>
      </w:r>
      <w:r w:rsidR="0045273E">
        <w:fldChar w:fldCharType="end"/>
      </w:r>
      <w:r w:rsidR="0045273E">
        <w:t>.</w:t>
      </w:r>
      <w:r w:rsidR="00997C38">
        <w:t xml:space="preserve"> </w:t>
      </w:r>
      <w:r w:rsidR="009F093C">
        <w:t>In lieu</w:t>
      </w:r>
      <w:r w:rsidR="00481F9F">
        <w:t xml:space="preserve"> of an alternative approach, and d</w:t>
      </w:r>
      <w:r w:rsidR="00A31FA2">
        <w:t>espite the</w:t>
      </w:r>
      <w:r w:rsidR="00234F84">
        <w:t xml:space="preserve"> apparent differences</w:t>
      </w:r>
      <w:r w:rsidR="00481F9F">
        <w:t xml:space="preserve"> between the </w:t>
      </w:r>
      <w:r w:rsidR="005245E9">
        <w:t>2</w:t>
      </w:r>
      <w:r w:rsidR="00481F9F">
        <w:t xml:space="preserve"> products</w:t>
      </w:r>
      <w:r w:rsidR="00234F84">
        <w:t>, especially in</w:t>
      </w:r>
      <w:r w:rsidR="00661572">
        <w:t xml:space="preserve"> the u</w:t>
      </w:r>
      <w:r w:rsidR="000428C1">
        <w:t xml:space="preserve">se of different excipients for </w:t>
      </w:r>
      <w:r w:rsidR="00181792">
        <w:t xml:space="preserve">the </w:t>
      </w:r>
      <w:r w:rsidR="000428C1">
        <w:t xml:space="preserve">prevention of radiolysis, </w:t>
      </w:r>
      <w:r w:rsidR="00874411">
        <w:t>it is assumed th</w:t>
      </w:r>
      <w:r w:rsidR="0037073F">
        <w:t xml:space="preserve">at the efficacy </w:t>
      </w:r>
      <w:r w:rsidR="002E483C">
        <w:t>and</w:t>
      </w:r>
      <w:r w:rsidR="0037073F">
        <w:t xml:space="preserve"> safety of </w:t>
      </w:r>
      <w:r w:rsidR="007663A9" w:rsidRPr="009120FD">
        <w:rPr>
          <w:vertAlign w:val="superscript"/>
        </w:rPr>
        <w:t>177</w:t>
      </w:r>
      <w:r w:rsidR="007663A9" w:rsidRPr="009120FD">
        <w:t>Lu-</w:t>
      </w:r>
      <w:r w:rsidR="007663A9">
        <w:t xml:space="preserve">DOTA-octreotate is </w:t>
      </w:r>
      <w:r w:rsidR="00EF00D1">
        <w:t>equivalent</w:t>
      </w:r>
      <w:r w:rsidR="007663A9">
        <w:t xml:space="preserve"> to </w:t>
      </w:r>
      <w:r w:rsidR="007663A9" w:rsidRPr="009120FD">
        <w:rPr>
          <w:vertAlign w:val="superscript"/>
        </w:rPr>
        <w:t>177</w:t>
      </w:r>
      <w:r w:rsidR="007663A9" w:rsidRPr="009120FD">
        <w:t>Lu-DOTATATE</w:t>
      </w:r>
      <w:r w:rsidR="007663A9">
        <w:t xml:space="preserve">. </w:t>
      </w:r>
      <w:r w:rsidR="00B465FB">
        <w:t>Therefore, th</w:t>
      </w:r>
      <w:r w:rsidR="00B465FB" w:rsidRPr="009120FD">
        <w:t xml:space="preserve">e clinical claim for </w:t>
      </w:r>
      <w:r w:rsidR="00B465FB" w:rsidRPr="009120FD">
        <w:rPr>
          <w:vertAlign w:val="superscript"/>
        </w:rPr>
        <w:t>177</w:t>
      </w:r>
      <w:r w:rsidR="00B465FB" w:rsidRPr="009120FD">
        <w:t>Lu-</w:t>
      </w:r>
      <w:r w:rsidR="00B465FB">
        <w:t xml:space="preserve">DOTA-octreotate presented in this assessment report </w:t>
      </w:r>
      <w:r w:rsidR="00B465FB" w:rsidRPr="009120FD">
        <w:t xml:space="preserve">is based on the relative effectiveness and safety of </w:t>
      </w:r>
      <w:r w:rsidR="00B465FB" w:rsidRPr="009120FD">
        <w:rPr>
          <w:vertAlign w:val="superscript"/>
        </w:rPr>
        <w:t>177</w:t>
      </w:r>
      <w:r w:rsidR="00B465FB" w:rsidRPr="009120FD">
        <w:t>Lu-DOTATATE</w:t>
      </w:r>
      <w:r w:rsidR="00B465FB">
        <w:t>.</w:t>
      </w:r>
      <w:r w:rsidR="00FB4B0F">
        <w:t xml:space="preserve"> </w:t>
      </w:r>
      <w:r w:rsidR="004A1B10">
        <w:t>As such,</w:t>
      </w:r>
      <w:r w:rsidR="00FB4B0F">
        <w:t xml:space="preserve"> this assumption is a key area of uncertainty in the </w:t>
      </w:r>
      <w:r w:rsidR="00B122E6">
        <w:t>assessment report.</w:t>
      </w:r>
    </w:p>
    <w:p w14:paraId="1486F7F0" w14:textId="3BC93E7B" w:rsidR="002900E1" w:rsidRDefault="009104F8" w:rsidP="009104F8">
      <w:pPr>
        <w:pStyle w:val="Caption"/>
      </w:pPr>
      <w:bookmarkStart w:id="45" w:name="_Ref164332720"/>
      <w:r>
        <w:lastRenderedPageBreak/>
        <w:t xml:space="preserve">Table </w:t>
      </w:r>
      <w:r>
        <w:fldChar w:fldCharType="begin"/>
      </w:r>
      <w:r>
        <w:instrText xml:space="preserve"> SEQ Table \* ARABIC </w:instrText>
      </w:r>
      <w:r>
        <w:fldChar w:fldCharType="separate"/>
      </w:r>
      <w:r w:rsidR="006D13BC">
        <w:rPr>
          <w:noProof/>
        </w:rPr>
        <w:t>5</w:t>
      </w:r>
      <w:r>
        <w:rPr>
          <w:noProof/>
        </w:rPr>
        <w:fldChar w:fldCharType="end"/>
      </w:r>
      <w:bookmarkEnd w:id="45"/>
      <w:r>
        <w:t xml:space="preserve">: Comparison of </w:t>
      </w:r>
      <w:r w:rsidR="006A023B">
        <w:t xml:space="preserve">pharmaceutical form of </w:t>
      </w:r>
      <w:r w:rsidR="00257E6B" w:rsidRPr="006272BB">
        <w:rPr>
          <w:vertAlign w:val="superscript"/>
        </w:rPr>
        <w:t>177</w:t>
      </w:r>
      <w:r w:rsidR="00257E6B" w:rsidRPr="00257E6B">
        <w:t>Lu-DOTATATE (</w:t>
      </w:r>
      <w:proofErr w:type="spellStart"/>
      <w:r w:rsidR="00257E6B" w:rsidRPr="00257E6B">
        <w:t>Lutathera</w:t>
      </w:r>
      <w:proofErr w:type="spellEnd"/>
      <w:r w:rsidR="00257E6B" w:rsidRPr="00257E6B">
        <w:t>®)</w:t>
      </w:r>
      <w:r w:rsidR="006272BB">
        <w:t xml:space="preserve"> and </w:t>
      </w:r>
      <w:r w:rsidR="006272BB" w:rsidRPr="006272BB">
        <w:rPr>
          <w:vertAlign w:val="superscript"/>
        </w:rPr>
        <w:t>177</w:t>
      </w:r>
      <w:r w:rsidR="006272BB" w:rsidRPr="006272BB">
        <w:t>Lu-DOTA-octreotate (applicant’s proposed intervention)</w:t>
      </w:r>
    </w:p>
    <w:tbl>
      <w:tblPr>
        <w:tblStyle w:val="TableGrid"/>
        <w:tblW w:w="5000" w:type="pct"/>
        <w:tblLook w:val="04A0" w:firstRow="1" w:lastRow="0" w:firstColumn="1" w:lastColumn="0" w:noHBand="0" w:noVBand="1"/>
      </w:tblPr>
      <w:tblGrid>
        <w:gridCol w:w="3005"/>
        <w:gridCol w:w="3005"/>
        <w:gridCol w:w="3006"/>
      </w:tblGrid>
      <w:tr w:rsidR="002900E1" w14:paraId="7E77BEAE" w14:textId="77777777" w:rsidTr="00EF2D54">
        <w:trPr>
          <w:tblHeader/>
        </w:trPr>
        <w:tc>
          <w:tcPr>
            <w:tcW w:w="1666" w:type="pct"/>
          </w:tcPr>
          <w:p w14:paraId="5DFC69E2" w14:textId="77777777" w:rsidR="002900E1" w:rsidRDefault="002900E1" w:rsidP="001717A7">
            <w:pPr>
              <w:pStyle w:val="TableText"/>
            </w:pPr>
          </w:p>
        </w:tc>
        <w:tc>
          <w:tcPr>
            <w:tcW w:w="1666" w:type="pct"/>
          </w:tcPr>
          <w:p w14:paraId="3776EC4D" w14:textId="7B28D2B3" w:rsidR="002900E1" w:rsidRPr="00F745AE" w:rsidRDefault="001717A7" w:rsidP="001717A7">
            <w:pPr>
              <w:pStyle w:val="TableText"/>
              <w:rPr>
                <w:b/>
              </w:rPr>
            </w:pPr>
            <w:r w:rsidRPr="00F745AE">
              <w:rPr>
                <w:b/>
                <w:vertAlign w:val="superscript"/>
              </w:rPr>
              <w:t>177</w:t>
            </w:r>
            <w:r w:rsidRPr="00F745AE">
              <w:rPr>
                <w:b/>
              </w:rPr>
              <w:t>Lu-DOTATATE (</w:t>
            </w:r>
            <w:proofErr w:type="spellStart"/>
            <w:r w:rsidRPr="00F745AE">
              <w:rPr>
                <w:b/>
              </w:rPr>
              <w:t>Lutathera</w:t>
            </w:r>
            <w:proofErr w:type="spellEnd"/>
            <w:r w:rsidRPr="00F745AE">
              <w:rPr>
                <w:b/>
                <w:bCs/>
              </w:rPr>
              <w:t>®)</w:t>
            </w:r>
            <w:r w:rsidR="00123C5E">
              <w:rPr>
                <w:b/>
                <w:bCs/>
              </w:rPr>
              <w:t xml:space="preserve"> </w:t>
            </w:r>
            <w:r w:rsidR="006C684C">
              <w:rPr>
                <w:b/>
                <w:bCs/>
              </w:rPr>
              <w:fldChar w:fldCharType="begin"/>
            </w:r>
            <w:r w:rsidR="008F43A8">
              <w:rPr>
                <w:b/>
                <w:bCs/>
              </w:rPr>
              <w:instrText xml:space="preserve"> ADDIN EN.CITE &lt;EndNote&gt;&lt;Cite&gt;&lt;Author&gt;European Medicines Agency&lt;/Author&gt;&lt;Year&gt;2024&lt;/Year&gt;&lt;RecNum&gt;1&lt;/RecNum&gt;&lt;DisplayText&gt;(European Medicines Agency 2024)&lt;/DisplayText&gt;&lt;record&gt;&lt;rec-number&gt;1&lt;/rec-number&gt;&lt;foreign-keys&gt;&lt;key app="EN" db-id="serfsw5zfedv0leetdnpxzasfd92vr5ree0d" timestamp="1713528714"&gt;1&lt;/key&gt;&lt;/foreign-keys&gt;&lt;ref-type name="Electronic Article"&gt;43&lt;/ref-type&gt;&lt;contributors&gt;&lt;authors&gt;&lt;author&gt;European Medicines Agency,&lt;/author&gt;&lt;/authors&gt;&lt;/contributors&gt;&lt;titles&gt;&lt;title&gt;Lutathera: EPAR - Product Information&lt;/title&gt;&lt;/titles&gt;&lt;dates&gt;&lt;year&gt;2024&lt;/year&gt;&lt;pub-dates&gt;&lt;date&gt;20/03/2024&lt;/date&gt;&lt;/pub-dates&gt;&lt;/dates&gt;&lt;urls&gt;&lt;related-urls&gt;&lt;url&gt;https://www.ema.europa.eu/en/medicines/human/EPAR/lutathera&lt;/url&gt;&lt;/related-urls&gt;&lt;/urls&gt;&lt;/record&gt;&lt;/Cite&gt;&lt;/EndNote&gt;</w:instrText>
            </w:r>
            <w:r w:rsidR="006C684C">
              <w:rPr>
                <w:b/>
                <w:bCs/>
              </w:rPr>
              <w:fldChar w:fldCharType="separate"/>
            </w:r>
            <w:r w:rsidR="006C684C">
              <w:rPr>
                <w:b/>
                <w:bCs/>
                <w:noProof/>
              </w:rPr>
              <w:t>(European Medicines Agency 2024)</w:t>
            </w:r>
            <w:r w:rsidR="006C684C">
              <w:rPr>
                <w:b/>
                <w:bCs/>
              </w:rPr>
              <w:fldChar w:fldCharType="end"/>
            </w:r>
          </w:p>
        </w:tc>
        <w:tc>
          <w:tcPr>
            <w:tcW w:w="1667" w:type="pct"/>
          </w:tcPr>
          <w:p w14:paraId="685420B5" w14:textId="0D0F1F86" w:rsidR="002900E1" w:rsidRPr="00F745AE" w:rsidRDefault="001717A7" w:rsidP="001717A7">
            <w:pPr>
              <w:pStyle w:val="TableText"/>
              <w:rPr>
                <w:b/>
              </w:rPr>
            </w:pPr>
            <w:r w:rsidRPr="00F745AE">
              <w:rPr>
                <w:b/>
                <w:vertAlign w:val="superscript"/>
              </w:rPr>
              <w:t>177</w:t>
            </w:r>
            <w:r w:rsidRPr="00F745AE">
              <w:rPr>
                <w:b/>
              </w:rPr>
              <w:t>Lu-DOTA-octreotate (applicant’s proposed intervention)</w:t>
            </w:r>
          </w:p>
        </w:tc>
      </w:tr>
      <w:tr w:rsidR="002900E1" w14:paraId="7D0BB555" w14:textId="77777777" w:rsidTr="001053EF">
        <w:tc>
          <w:tcPr>
            <w:tcW w:w="1666" w:type="pct"/>
          </w:tcPr>
          <w:p w14:paraId="52DB0DE0" w14:textId="26A3B351" w:rsidR="002900E1" w:rsidRDefault="00F745AE" w:rsidP="001717A7">
            <w:pPr>
              <w:pStyle w:val="TableText"/>
            </w:pPr>
            <w:r>
              <w:t>Radioactivity c</w:t>
            </w:r>
            <w:r w:rsidR="00AC3C18">
              <w:t>oncentration</w:t>
            </w:r>
          </w:p>
        </w:tc>
        <w:tc>
          <w:tcPr>
            <w:tcW w:w="1666" w:type="pct"/>
          </w:tcPr>
          <w:p w14:paraId="38B01D2C" w14:textId="08FC6AA0" w:rsidR="002900E1" w:rsidRDefault="00F1334A" w:rsidP="001717A7">
            <w:pPr>
              <w:pStyle w:val="TableText"/>
            </w:pPr>
            <w:r>
              <w:t>370</w:t>
            </w:r>
            <w:r w:rsidR="00123C5E">
              <w:t xml:space="preserve"> </w:t>
            </w:r>
            <w:r>
              <w:t>MBq</w:t>
            </w:r>
            <w:r w:rsidR="005A4A2C">
              <w:t>/mL at time of calibration</w:t>
            </w:r>
            <w:r w:rsidR="00C80AA3">
              <w:t xml:space="preserve">; </w:t>
            </w:r>
            <w:r w:rsidR="005C31A3">
              <w:t>7,400 MBq</w:t>
            </w:r>
            <w:r w:rsidR="0048016A">
              <w:t xml:space="preserve"> at time of infusion (</w:t>
            </w:r>
            <w:r w:rsidR="008F37AA">
              <w:t>in 20.5</w:t>
            </w:r>
            <w:r w:rsidR="00123C5E">
              <w:t>–</w:t>
            </w:r>
            <w:r w:rsidR="008F37AA">
              <w:t>25.0mL)</w:t>
            </w:r>
          </w:p>
        </w:tc>
        <w:tc>
          <w:tcPr>
            <w:tcW w:w="1667" w:type="pct"/>
          </w:tcPr>
          <w:p w14:paraId="575BEFCF" w14:textId="166A400C" w:rsidR="002900E1" w:rsidRDefault="00F745AE" w:rsidP="001717A7">
            <w:pPr>
              <w:pStyle w:val="TableText"/>
            </w:pPr>
            <w:r>
              <w:t>≤1</w:t>
            </w:r>
            <w:r w:rsidR="00123C5E">
              <w:t>,</w:t>
            </w:r>
            <w:r>
              <w:t>768 MBq/mL</w:t>
            </w:r>
            <w:r w:rsidR="00EA6786">
              <w:t xml:space="preserve"> at </w:t>
            </w:r>
            <w:r w:rsidR="00E06EF2">
              <w:t>time of</w:t>
            </w:r>
            <w:r w:rsidR="00EA6786">
              <w:t xml:space="preserve"> synthesis</w:t>
            </w:r>
          </w:p>
        </w:tc>
      </w:tr>
      <w:tr w:rsidR="002900E1" w14:paraId="21F486E2" w14:textId="77777777" w:rsidTr="001053EF">
        <w:tc>
          <w:tcPr>
            <w:tcW w:w="1666" w:type="pct"/>
          </w:tcPr>
          <w:p w14:paraId="4538759D" w14:textId="75C44692" w:rsidR="002900E1" w:rsidRDefault="00125A3D" w:rsidP="001717A7">
            <w:pPr>
              <w:pStyle w:val="TableText"/>
            </w:pPr>
            <w:r>
              <w:t>Form</w:t>
            </w:r>
          </w:p>
        </w:tc>
        <w:tc>
          <w:tcPr>
            <w:tcW w:w="1666" w:type="pct"/>
          </w:tcPr>
          <w:p w14:paraId="2204EC11" w14:textId="7A497032" w:rsidR="002900E1" w:rsidRDefault="00DB54A0" w:rsidP="001717A7">
            <w:pPr>
              <w:pStyle w:val="TableText"/>
            </w:pPr>
            <w:r>
              <w:t>Clear, colourless to slightly yellow solution</w:t>
            </w:r>
          </w:p>
        </w:tc>
        <w:tc>
          <w:tcPr>
            <w:tcW w:w="1667" w:type="pct"/>
          </w:tcPr>
          <w:p w14:paraId="31E10E76" w14:textId="66990F7F" w:rsidR="002900E1" w:rsidRDefault="00DB54A0" w:rsidP="001717A7">
            <w:pPr>
              <w:pStyle w:val="TableText"/>
            </w:pPr>
            <w:r>
              <w:t>Clear, colourless</w:t>
            </w:r>
            <w:r w:rsidR="00123C5E">
              <w:t>-</w:t>
            </w:r>
            <w:r>
              <w:t>to</w:t>
            </w:r>
            <w:r w:rsidR="00123C5E">
              <w:t>-</w:t>
            </w:r>
            <w:r>
              <w:t>slightly yellow solution</w:t>
            </w:r>
          </w:p>
        </w:tc>
      </w:tr>
      <w:tr w:rsidR="002900E1" w14:paraId="32392C21" w14:textId="77777777" w:rsidTr="001053EF">
        <w:tc>
          <w:tcPr>
            <w:tcW w:w="1666" w:type="pct"/>
          </w:tcPr>
          <w:p w14:paraId="3CE7408D" w14:textId="4341F2A2" w:rsidR="002900E1" w:rsidRDefault="00125A3D" w:rsidP="001717A7">
            <w:pPr>
              <w:pStyle w:val="TableText"/>
            </w:pPr>
            <w:r>
              <w:t>Excipients</w:t>
            </w:r>
          </w:p>
        </w:tc>
        <w:tc>
          <w:tcPr>
            <w:tcW w:w="1666" w:type="pct"/>
          </w:tcPr>
          <w:p w14:paraId="7E7DEBDA" w14:textId="77777777" w:rsidR="006E081F" w:rsidRDefault="006E081F" w:rsidP="006E081F">
            <w:pPr>
              <w:pStyle w:val="TableText"/>
            </w:pPr>
            <w:r>
              <w:t>Acetic acid</w:t>
            </w:r>
          </w:p>
          <w:p w14:paraId="3FCDF39F" w14:textId="77777777" w:rsidR="006E081F" w:rsidRDefault="006E081F" w:rsidP="006E081F">
            <w:pPr>
              <w:pStyle w:val="TableText"/>
            </w:pPr>
            <w:r>
              <w:t>Sodium acetate</w:t>
            </w:r>
          </w:p>
          <w:p w14:paraId="5B07E41D" w14:textId="77777777" w:rsidR="006E081F" w:rsidRDefault="006E081F" w:rsidP="006E081F">
            <w:pPr>
              <w:pStyle w:val="TableText"/>
            </w:pPr>
            <w:proofErr w:type="spellStart"/>
            <w:r>
              <w:t>Gentisic</w:t>
            </w:r>
            <w:proofErr w:type="spellEnd"/>
            <w:r>
              <w:t xml:space="preserve"> acid</w:t>
            </w:r>
          </w:p>
          <w:p w14:paraId="58C72611" w14:textId="77777777" w:rsidR="006E081F" w:rsidRDefault="006E081F" w:rsidP="006E081F">
            <w:pPr>
              <w:pStyle w:val="TableText"/>
            </w:pPr>
            <w:r>
              <w:t>Ascorbic acid</w:t>
            </w:r>
          </w:p>
          <w:p w14:paraId="6B0C4BD7" w14:textId="77777777" w:rsidR="006E081F" w:rsidRDefault="006E081F" w:rsidP="006E081F">
            <w:pPr>
              <w:pStyle w:val="TableText"/>
            </w:pPr>
            <w:proofErr w:type="spellStart"/>
            <w:r>
              <w:t>Pentetic</w:t>
            </w:r>
            <w:proofErr w:type="spellEnd"/>
            <w:r>
              <w:t xml:space="preserve"> acid</w:t>
            </w:r>
          </w:p>
          <w:p w14:paraId="51C66600" w14:textId="0AC3AAA4" w:rsidR="006E081F" w:rsidRDefault="006E081F" w:rsidP="006E081F">
            <w:pPr>
              <w:pStyle w:val="TableText"/>
            </w:pPr>
            <w:r>
              <w:t xml:space="preserve">Sodium chloride </w:t>
            </w:r>
          </w:p>
          <w:p w14:paraId="4343E13F" w14:textId="77777777" w:rsidR="006E081F" w:rsidRDefault="006E081F" w:rsidP="006E081F">
            <w:pPr>
              <w:pStyle w:val="TableText"/>
            </w:pPr>
            <w:r>
              <w:t>Sodium hydroxide</w:t>
            </w:r>
          </w:p>
          <w:p w14:paraId="0EA440C2" w14:textId="1E250029" w:rsidR="002900E1" w:rsidRDefault="006E081F" w:rsidP="001717A7">
            <w:pPr>
              <w:pStyle w:val="TableText"/>
            </w:pPr>
            <w:r>
              <w:t>Water for injections</w:t>
            </w:r>
          </w:p>
        </w:tc>
        <w:tc>
          <w:tcPr>
            <w:tcW w:w="1667" w:type="pct"/>
          </w:tcPr>
          <w:p w14:paraId="4E92AE43" w14:textId="77777777" w:rsidR="002900E1" w:rsidRDefault="006E081F" w:rsidP="001717A7">
            <w:pPr>
              <w:pStyle w:val="TableText"/>
            </w:pPr>
            <w:r>
              <w:t>Sodium ascorbate</w:t>
            </w:r>
          </w:p>
          <w:p w14:paraId="065AA19E" w14:textId="77777777" w:rsidR="006E081F" w:rsidRDefault="006E081F" w:rsidP="001717A7">
            <w:pPr>
              <w:pStyle w:val="TableText"/>
            </w:pPr>
            <w:r>
              <w:t>Ascorbic acid</w:t>
            </w:r>
          </w:p>
          <w:p w14:paraId="4E551CA8" w14:textId="5340C28A" w:rsidR="002900E1" w:rsidRDefault="00DB54A0" w:rsidP="001717A7">
            <w:pPr>
              <w:pStyle w:val="TableText"/>
            </w:pPr>
            <w:r>
              <w:t>Sodium chloride</w:t>
            </w:r>
            <w:r w:rsidR="009B1B9C">
              <w:t xml:space="preserve"> (</w:t>
            </w:r>
            <w:r w:rsidR="00BD0D98">
              <w:t>saline solution)</w:t>
            </w:r>
          </w:p>
        </w:tc>
      </w:tr>
      <w:tr w:rsidR="002900E1" w14:paraId="0352D88D" w14:textId="77777777" w:rsidTr="001053EF">
        <w:tc>
          <w:tcPr>
            <w:tcW w:w="1666" w:type="pct"/>
          </w:tcPr>
          <w:p w14:paraId="565EB252" w14:textId="7E447608" w:rsidR="002900E1" w:rsidRDefault="00125A3D" w:rsidP="001717A7">
            <w:pPr>
              <w:pStyle w:val="TableText"/>
            </w:pPr>
            <w:r>
              <w:t>Shelf-life</w:t>
            </w:r>
          </w:p>
        </w:tc>
        <w:tc>
          <w:tcPr>
            <w:tcW w:w="1666" w:type="pct"/>
          </w:tcPr>
          <w:p w14:paraId="09EBE6CF" w14:textId="53370FEC" w:rsidR="002900E1" w:rsidRDefault="000E76EA" w:rsidP="001717A7">
            <w:pPr>
              <w:pStyle w:val="TableText"/>
            </w:pPr>
            <w:r>
              <w:t>72 hours from date and time of calibration</w:t>
            </w:r>
          </w:p>
        </w:tc>
        <w:tc>
          <w:tcPr>
            <w:tcW w:w="1667" w:type="pct"/>
          </w:tcPr>
          <w:p w14:paraId="3A023FB5" w14:textId="2BDA9966" w:rsidR="002900E1" w:rsidRDefault="000E76EA" w:rsidP="001717A7">
            <w:pPr>
              <w:pStyle w:val="TableText"/>
            </w:pPr>
            <w:r>
              <w:t>Up to 96 hours post synthesis</w:t>
            </w:r>
          </w:p>
        </w:tc>
      </w:tr>
    </w:tbl>
    <w:p w14:paraId="146800EF" w14:textId="7170EED3" w:rsidR="007B36D2" w:rsidRDefault="00622E1E" w:rsidP="00932151">
      <w:pPr>
        <w:pStyle w:val="Instructionaltext"/>
        <w:spacing w:before="240"/>
        <w:rPr>
          <w:color w:val="auto"/>
        </w:rPr>
      </w:pPr>
      <w:r>
        <w:rPr>
          <w:color w:val="auto"/>
        </w:rPr>
        <w:t>Separate</w:t>
      </w:r>
      <w:r w:rsidR="007B36D2">
        <w:rPr>
          <w:color w:val="auto"/>
        </w:rPr>
        <w:t xml:space="preserve"> systematic literature reviews were conducted to </w:t>
      </w:r>
      <w:r w:rsidR="00D871B1">
        <w:rPr>
          <w:color w:val="auto"/>
        </w:rPr>
        <w:t>investigate</w:t>
      </w:r>
      <w:r w:rsidR="007B36D2">
        <w:rPr>
          <w:color w:val="auto"/>
        </w:rPr>
        <w:t xml:space="preserve"> evidence for the diagnostic tests</w:t>
      </w:r>
      <w:r w:rsidR="00D871B1">
        <w:rPr>
          <w:color w:val="auto"/>
        </w:rPr>
        <w:t xml:space="preserve"> (</w:t>
      </w:r>
      <w:r w:rsidR="007B36D2" w:rsidRPr="00BB7665">
        <w:rPr>
          <w:color w:val="auto"/>
          <w:vertAlign w:val="superscript"/>
        </w:rPr>
        <w:t>68</w:t>
      </w:r>
      <w:r w:rsidR="007B36D2" w:rsidRPr="009B048D">
        <w:rPr>
          <w:color w:val="auto"/>
        </w:rPr>
        <w:t>Ga-DOTA-octreotate PET/CT and FDG PET/</w:t>
      </w:r>
      <w:r w:rsidR="007B36D2">
        <w:rPr>
          <w:color w:val="auto"/>
        </w:rPr>
        <w:t>CT</w:t>
      </w:r>
      <w:r w:rsidR="00D871B1">
        <w:rPr>
          <w:color w:val="auto"/>
        </w:rPr>
        <w:t>)</w:t>
      </w:r>
      <w:r w:rsidR="00BF0B65">
        <w:rPr>
          <w:color w:val="auto"/>
        </w:rPr>
        <w:t xml:space="preserve"> and </w:t>
      </w:r>
      <w:r w:rsidR="00D871B1">
        <w:rPr>
          <w:color w:val="auto"/>
        </w:rPr>
        <w:t>for</w:t>
      </w:r>
      <w:r w:rsidR="00BF0B65">
        <w:rPr>
          <w:color w:val="auto"/>
        </w:rPr>
        <w:t xml:space="preserve"> the therapeutic intervention</w:t>
      </w:r>
      <w:r w:rsidR="007B36D2" w:rsidRPr="00E2100B">
        <w:rPr>
          <w:color w:val="auto"/>
        </w:rPr>
        <w:t xml:space="preserve"> </w:t>
      </w:r>
      <w:r w:rsidR="00BF0B65">
        <w:rPr>
          <w:color w:val="auto"/>
        </w:rPr>
        <w:t>(</w:t>
      </w:r>
      <w:r w:rsidR="007B36D2" w:rsidRPr="009120FD">
        <w:rPr>
          <w:color w:val="auto"/>
          <w:vertAlign w:val="superscript"/>
        </w:rPr>
        <w:t>177</w:t>
      </w:r>
      <w:r w:rsidR="007B36D2" w:rsidRPr="009120FD">
        <w:rPr>
          <w:color w:val="auto"/>
        </w:rPr>
        <w:t>Lu-DOTATATE</w:t>
      </w:r>
      <w:r w:rsidR="00BF0B65">
        <w:rPr>
          <w:color w:val="auto"/>
        </w:rPr>
        <w:t>)</w:t>
      </w:r>
      <w:r w:rsidR="007B36D2">
        <w:rPr>
          <w:color w:val="auto"/>
        </w:rPr>
        <w:t xml:space="preserve">. </w:t>
      </w:r>
    </w:p>
    <w:p w14:paraId="4A104716" w14:textId="586A80A1" w:rsidR="002304A6" w:rsidRDefault="00665F66" w:rsidP="007D4138">
      <w:pPr>
        <w:pStyle w:val="Heading3"/>
      </w:pPr>
      <w:bookmarkStart w:id="46" w:name="_Toc161841941"/>
      <w:bookmarkStart w:id="47" w:name="_Toc165239047"/>
      <w:bookmarkStart w:id="48" w:name="_Toc165271877"/>
      <w:bookmarkStart w:id="49" w:name="_Toc165274303"/>
      <w:bookmarkStart w:id="50" w:name="_Toc165275526"/>
      <w:r>
        <w:t>Investigative technologies</w:t>
      </w:r>
      <w:bookmarkEnd w:id="46"/>
      <w:bookmarkEnd w:id="47"/>
      <w:bookmarkEnd w:id="48"/>
      <w:bookmarkEnd w:id="49"/>
      <w:bookmarkEnd w:id="50"/>
    </w:p>
    <w:p w14:paraId="77660053" w14:textId="18F47486" w:rsidR="008F0AB0" w:rsidRDefault="008F0AB0" w:rsidP="008F0AB0">
      <w:pPr>
        <w:pStyle w:val="Instructionaltext"/>
        <w:rPr>
          <w:color w:val="auto"/>
        </w:rPr>
      </w:pPr>
      <w:r>
        <w:rPr>
          <w:color w:val="auto"/>
        </w:rPr>
        <w:t>A</w:t>
      </w:r>
      <w:r w:rsidR="009B2BA2">
        <w:rPr>
          <w:color w:val="auto"/>
        </w:rPr>
        <w:t>n additional</w:t>
      </w:r>
      <w:r>
        <w:rPr>
          <w:color w:val="auto"/>
        </w:rPr>
        <w:t xml:space="preserve"> systematic literature review investigated </w:t>
      </w:r>
      <w:r w:rsidR="00123C5E">
        <w:rPr>
          <w:color w:val="auto"/>
        </w:rPr>
        <w:t xml:space="preserve">2 </w:t>
      </w:r>
      <w:r>
        <w:rPr>
          <w:color w:val="auto"/>
        </w:rPr>
        <w:t>research questions including:</w:t>
      </w:r>
    </w:p>
    <w:p w14:paraId="45F8FE79" w14:textId="7526F60B" w:rsidR="008F0AB0" w:rsidRDefault="007A6CAE" w:rsidP="00D83E90">
      <w:pPr>
        <w:pStyle w:val="Instructionaltext"/>
        <w:numPr>
          <w:ilvl w:val="0"/>
          <w:numId w:val="24"/>
        </w:numPr>
        <w:rPr>
          <w:color w:val="auto"/>
        </w:rPr>
      </w:pPr>
      <w:r w:rsidRPr="007A6CAE">
        <w:rPr>
          <w:color w:val="auto"/>
        </w:rPr>
        <w:t xml:space="preserve">What is the clinical utility of </w:t>
      </w:r>
      <w:r w:rsidRPr="00D871B1">
        <w:rPr>
          <w:color w:val="auto"/>
          <w:vertAlign w:val="superscript"/>
        </w:rPr>
        <w:t>68</w:t>
      </w:r>
      <w:r w:rsidRPr="007A6CAE">
        <w:rPr>
          <w:color w:val="auto"/>
        </w:rPr>
        <w:t xml:space="preserve">Ga-DOTA-octreotate PET/CT for the selection of patients with progressive, advanced, </w:t>
      </w:r>
      <w:proofErr w:type="gramStart"/>
      <w:r w:rsidRPr="007A6CAE">
        <w:rPr>
          <w:color w:val="auto"/>
        </w:rPr>
        <w:t>metastatic</w:t>
      </w:r>
      <w:proofErr w:type="gramEnd"/>
      <w:r w:rsidRPr="007A6CAE">
        <w:rPr>
          <w:color w:val="auto"/>
        </w:rPr>
        <w:t xml:space="preserve"> or inoperable </w:t>
      </w:r>
      <w:r w:rsidR="006B7A12">
        <w:rPr>
          <w:color w:val="auto"/>
        </w:rPr>
        <w:t>NE</w:t>
      </w:r>
      <w:r w:rsidR="00C4786C">
        <w:rPr>
          <w:color w:val="auto"/>
        </w:rPr>
        <w:t>N</w:t>
      </w:r>
      <w:r w:rsidRPr="007A6CAE">
        <w:rPr>
          <w:color w:val="auto"/>
        </w:rPr>
        <w:t xml:space="preserve">s with suspected H-SSTR expression for </w:t>
      </w:r>
      <w:r w:rsidRPr="00D871B1">
        <w:rPr>
          <w:color w:val="auto"/>
          <w:vertAlign w:val="superscript"/>
        </w:rPr>
        <w:t>177</w:t>
      </w:r>
      <w:r w:rsidRPr="007A6CAE">
        <w:rPr>
          <w:color w:val="auto"/>
        </w:rPr>
        <w:t>Lu-DOTA-octreotate therapy?</w:t>
      </w:r>
    </w:p>
    <w:p w14:paraId="2E0828F0" w14:textId="72B9FB21" w:rsidR="007A6CAE" w:rsidRDefault="007A6CAE" w:rsidP="00D83E90">
      <w:pPr>
        <w:pStyle w:val="Instructionaltext"/>
        <w:numPr>
          <w:ilvl w:val="0"/>
          <w:numId w:val="24"/>
        </w:numPr>
        <w:rPr>
          <w:color w:val="auto"/>
        </w:rPr>
      </w:pPr>
      <w:r w:rsidRPr="007A6CAE">
        <w:rPr>
          <w:color w:val="auto"/>
        </w:rPr>
        <w:t xml:space="preserve">What is the clinical utility of FDG PET-CT in addition to </w:t>
      </w:r>
      <w:r w:rsidRPr="00987438">
        <w:rPr>
          <w:color w:val="auto"/>
          <w:vertAlign w:val="superscript"/>
        </w:rPr>
        <w:t>68</w:t>
      </w:r>
      <w:r w:rsidRPr="007A6CAE">
        <w:rPr>
          <w:color w:val="auto"/>
        </w:rPr>
        <w:t xml:space="preserve">Ga-DOTA-octreotate PET/CT for the selection of patients with progressive, advanced, </w:t>
      </w:r>
      <w:proofErr w:type="gramStart"/>
      <w:r w:rsidRPr="007A6CAE">
        <w:rPr>
          <w:color w:val="auto"/>
        </w:rPr>
        <w:t>metastatic</w:t>
      </w:r>
      <w:proofErr w:type="gramEnd"/>
      <w:r w:rsidRPr="007A6CAE">
        <w:rPr>
          <w:color w:val="auto"/>
        </w:rPr>
        <w:t xml:space="preserve"> or inoperable </w:t>
      </w:r>
      <w:r w:rsidR="00C4786C">
        <w:rPr>
          <w:color w:val="auto"/>
        </w:rPr>
        <w:t>NEN</w:t>
      </w:r>
      <w:r w:rsidRPr="007A6CAE">
        <w:rPr>
          <w:color w:val="auto"/>
        </w:rPr>
        <w:t xml:space="preserve">s with known H-SSTR expression for </w:t>
      </w:r>
      <w:r w:rsidRPr="00987438">
        <w:rPr>
          <w:color w:val="auto"/>
          <w:vertAlign w:val="superscript"/>
        </w:rPr>
        <w:t>177</w:t>
      </w:r>
      <w:r w:rsidRPr="007A6CAE">
        <w:rPr>
          <w:color w:val="auto"/>
        </w:rPr>
        <w:t>Lu-DOTA-octreotate therapy?</w:t>
      </w:r>
    </w:p>
    <w:p w14:paraId="18DE1C41" w14:textId="0E9DF3B8" w:rsidR="006E6597" w:rsidRDefault="006E6597" w:rsidP="006E6597">
      <w:pPr>
        <w:pStyle w:val="Instructionaltext"/>
        <w:rPr>
          <w:color w:val="auto"/>
        </w:rPr>
      </w:pPr>
      <w:r>
        <w:rPr>
          <w:color w:val="auto"/>
        </w:rPr>
        <w:t xml:space="preserve">Four systematic reviews/meta-analyses including </w:t>
      </w:r>
      <w:proofErr w:type="spellStart"/>
      <w:r w:rsidRPr="001121FF">
        <w:rPr>
          <w:color w:val="auto"/>
        </w:rPr>
        <w:t>Bauckneht</w:t>
      </w:r>
      <w:proofErr w:type="spellEnd"/>
      <w:r w:rsidRPr="001121FF">
        <w:rPr>
          <w:color w:val="auto"/>
        </w:rPr>
        <w:t xml:space="preserve"> et. al (2020)</w:t>
      </w:r>
      <w:r>
        <w:rPr>
          <w:color w:val="auto"/>
        </w:rPr>
        <w:t>,</w:t>
      </w:r>
      <w:r w:rsidR="00C00015">
        <w:rPr>
          <w:rStyle w:val="FootnoteReference"/>
          <w:color w:val="auto"/>
        </w:rPr>
        <w:footnoteReference w:id="8"/>
      </w:r>
      <w:r>
        <w:rPr>
          <w:color w:val="auto"/>
        </w:rPr>
        <w:t xml:space="preserve"> </w:t>
      </w:r>
      <w:proofErr w:type="spellStart"/>
      <w:r w:rsidRPr="001121FF">
        <w:rPr>
          <w:color w:val="auto"/>
        </w:rPr>
        <w:t>Carideo</w:t>
      </w:r>
      <w:proofErr w:type="spellEnd"/>
      <w:r w:rsidRPr="001121FF">
        <w:rPr>
          <w:color w:val="auto"/>
        </w:rPr>
        <w:t xml:space="preserve"> et. al (2019),</w:t>
      </w:r>
      <w:r w:rsidR="00C00015">
        <w:rPr>
          <w:rStyle w:val="FootnoteReference"/>
          <w:color w:val="auto"/>
        </w:rPr>
        <w:footnoteReference w:id="9"/>
      </w:r>
      <w:r w:rsidRPr="001121FF">
        <w:t xml:space="preserve"> </w:t>
      </w:r>
      <w:r w:rsidRPr="001121FF">
        <w:rPr>
          <w:color w:val="auto"/>
        </w:rPr>
        <w:t xml:space="preserve">Treglia et al </w:t>
      </w:r>
      <w:r w:rsidR="004242B1">
        <w:rPr>
          <w:color w:val="auto"/>
        </w:rPr>
        <w:t>(</w:t>
      </w:r>
      <w:r w:rsidRPr="001121FF">
        <w:rPr>
          <w:color w:val="auto"/>
        </w:rPr>
        <w:t>2012</w:t>
      </w:r>
      <w:r w:rsidR="004242B1">
        <w:rPr>
          <w:color w:val="auto"/>
        </w:rPr>
        <w:t>)</w:t>
      </w:r>
      <w:r w:rsidR="004242B1">
        <w:rPr>
          <w:rStyle w:val="FootnoteReference"/>
          <w:color w:val="auto"/>
        </w:rPr>
        <w:footnoteReference w:id="10"/>
      </w:r>
      <w:r>
        <w:rPr>
          <w:color w:val="auto"/>
        </w:rPr>
        <w:t xml:space="preserve"> and </w:t>
      </w:r>
      <w:proofErr w:type="spellStart"/>
      <w:r w:rsidRPr="001121FF">
        <w:rPr>
          <w:color w:val="auto"/>
        </w:rPr>
        <w:t>Alevroudis</w:t>
      </w:r>
      <w:proofErr w:type="spellEnd"/>
      <w:r w:rsidRPr="001121FF">
        <w:rPr>
          <w:color w:val="auto"/>
        </w:rPr>
        <w:t xml:space="preserve"> et al</w:t>
      </w:r>
      <w:r w:rsidR="00023C3F">
        <w:rPr>
          <w:color w:val="auto"/>
        </w:rPr>
        <w:t xml:space="preserve"> (</w:t>
      </w:r>
      <w:r w:rsidRPr="001121FF">
        <w:rPr>
          <w:color w:val="auto"/>
        </w:rPr>
        <w:t>2021</w:t>
      </w:r>
      <w:r w:rsidR="00023C3F">
        <w:rPr>
          <w:color w:val="auto"/>
        </w:rPr>
        <w:t>)</w:t>
      </w:r>
      <w:r w:rsidR="00023C3F">
        <w:rPr>
          <w:rStyle w:val="FootnoteReference"/>
          <w:color w:val="auto"/>
        </w:rPr>
        <w:footnoteReference w:id="11"/>
      </w:r>
      <w:r>
        <w:rPr>
          <w:color w:val="auto"/>
        </w:rPr>
        <w:t xml:space="preserve"> met the inclusion criteria to provide information on the diagnostic performance and clinical usefulness of </w:t>
      </w:r>
      <w:r w:rsidRPr="00B9169C">
        <w:rPr>
          <w:color w:val="auto"/>
          <w:vertAlign w:val="superscript"/>
        </w:rPr>
        <w:t>68</w:t>
      </w:r>
      <w:r w:rsidRPr="00416BE2">
        <w:rPr>
          <w:color w:val="auto"/>
        </w:rPr>
        <w:t>Ga-DOTA-octreotate PET/CT</w:t>
      </w:r>
      <w:r>
        <w:rPr>
          <w:color w:val="auto"/>
        </w:rPr>
        <w:t xml:space="preserve"> and </w:t>
      </w:r>
      <w:r w:rsidRPr="00416BE2">
        <w:rPr>
          <w:color w:val="auto"/>
        </w:rPr>
        <w:t xml:space="preserve">FDG PET/CT </w:t>
      </w:r>
      <w:r>
        <w:rPr>
          <w:color w:val="auto"/>
        </w:rPr>
        <w:t>in addition to</w:t>
      </w:r>
      <w:r w:rsidRPr="00416BE2">
        <w:rPr>
          <w:color w:val="auto"/>
        </w:rPr>
        <w:t xml:space="preserve"> </w:t>
      </w:r>
      <w:r w:rsidRPr="00B9169C">
        <w:rPr>
          <w:color w:val="auto"/>
          <w:vertAlign w:val="superscript"/>
        </w:rPr>
        <w:t>68</w:t>
      </w:r>
      <w:r w:rsidRPr="00416BE2">
        <w:rPr>
          <w:color w:val="auto"/>
        </w:rPr>
        <w:t>Ga-DOTA-octreotate PET/CT</w:t>
      </w:r>
      <w:r>
        <w:rPr>
          <w:color w:val="auto"/>
        </w:rPr>
        <w:t xml:space="preserve"> in selecting patients with </w:t>
      </w:r>
      <w:r>
        <w:rPr>
          <w:color w:val="auto"/>
        </w:rPr>
        <w:lastRenderedPageBreak/>
        <w:t>NE</w:t>
      </w:r>
      <w:r w:rsidR="00EB1C5E">
        <w:rPr>
          <w:color w:val="auto"/>
        </w:rPr>
        <w:t>N</w:t>
      </w:r>
      <w:r>
        <w:rPr>
          <w:color w:val="auto"/>
        </w:rPr>
        <w:t xml:space="preserve">s. Most of these reviews (except </w:t>
      </w:r>
      <w:proofErr w:type="spellStart"/>
      <w:r w:rsidRPr="00712949">
        <w:rPr>
          <w:color w:val="auto"/>
        </w:rPr>
        <w:t>Carideo</w:t>
      </w:r>
      <w:proofErr w:type="spellEnd"/>
      <w:r w:rsidRPr="00712949">
        <w:rPr>
          <w:color w:val="auto"/>
        </w:rPr>
        <w:t xml:space="preserve"> et. al (2019)</w:t>
      </w:r>
      <w:r>
        <w:rPr>
          <w:color w:val="auto"/>
        </w:rPr>
        <w:t xml:space="preserve">) were judged to be </w:t>
      </w:r>
      <w:r w:rsidR="00123C5E">
        <w:rPr>
          <w:color w:val="auto"/>
        </w:rPr>
        <w:t>at</w:t>
      </w:r>
      <w:r>
        <w:rPr>
          <w:color w:val="auto"/>
        </w:rPr>
        <w:t xml:space="preserve"> a low risk of bias </w:t>
      </w:r>
      <w:r w:rsidR="00D62092">
        <w:rPr>
          <w:color w:val="auto"/>
        </w:rPr>
        <w:t>(</w:t>
      </w:r>
      <w:proofErr w:type="spellStart"/>
      <w:r w:rsidR="00D62092">
        <w:rPr>
          <w:color w:val="auto"/>
        </w:rPr>
        <w:t>RoB</w:t>
      </w:r>
      <w:proofErr w:type="spellEnd"/>
      <w:r w:rsidR="00D62092">
        <w:rPr>
          <w:color w:val="auto"/>
        </w:rPr>
        <w:t xml:space="preserve">) </w:t>
      </w:r>
      <w:r w:rsidRPr="00712949">
        <w:rPr>
          <w:color w:val="auto"/>
        </w:rPr>
        <w:t>using the ROBIS tool.</w:t>
      </w:r>
      <w:r w:rsidR="00B9169C">
        <w:rPr>
          <w:rStyle w:val="FootnoteReference"/>
          <w:color w:val="auto"/>
        </w:rPr>
        <w:footnoteReference w:id="12"/>
      </w:r>
    </w:p>
    <w:p w14:paraId="5BF966C0" w14:textId="5C9B7FFB" w:rsidR="0053501B" w:rsidRDefault="0053501B" w:rsidP="006E6597">
      <w:pPr>
        <w:pStyle w:val="Instructionaltext"/>
        <w:rPr>
          <w:color w:val="auto"/>
        </w:rPr>
      </w:pPr>
      <w:r>
        <w:rPr>
          <w:color w:val="auto"/>
        </w:rPr>
        <w:t>The clinical utility</w:t>
      </w:r>
      <w:r w:rsidR="009B2BA2">
        <w:rPr>
          <w:color w:val="auto"/>
        </w:rPr>
        <w:t xml:space="preserve"> standard for </w:t>
      </w:r>
      <w:r w:rsidR="00267182">
        <w:rPr>
          <w:color w:val="auto"/>
        </w:rPr>
        <w:t xml:space="preserve">the proposed tests </w:t>
      </w:r>
      <w:r w:rsidR="00123C5E">
        <w:rPr>
          <w:color w:val="auto"/>
        </w:rPr>
        <w:t xml:space="preserve">is </w:t>
      </w:r>
      <w:r w:rsidR="00267182">
        <w:rPr>
          <w:color w:val="auto"/>
        </w:rPr>
        <w:t>discussed in the next section.</w:t>
      </w:r>
    </w:p>
    <w:p w14:paraId="288FAF1A" w14:textId="74A0343E" w:rsidR="00665F66" w:rsidRDefault="00665F66" w:rsidP="007D4138">
      <w:pPr>
        <w:pStyle w:val="Heading3"/>
      </w:pPr>
      <w:bookmarkStart w:id="51" w:name="_Toc161841942"/>
      <w:bookmarkStart w:id="52" w:name="_Toc165239048"/>
      <w:bookmarkStart w:id="53" w:name="_Toc165271878"/>
      <w:bookmarkStart w:id="54" w:name="_Toc165274304"/>
      <w:bookmarkStart w:id="55" w:name="_Toc165275527"/>
      <w:r>
        <w:t>Therapeutic intervention</w:t>
      </w:r>
      <w:bookmarkEnd w:id="51"/>
      <w:bookmarkEnd w:id="52"/>
      <w:bookmarkEnd w:id="53"/>
      <w:bookmarkEnd w:id="54"/>
      <w:bookmarkEnd w:id="55"/>
    </w:p>
    <w:p w14:paraId="399566FD" w14:textId="1150F67B" w:rsidR="00665F66" w:rsidRDefault="00665F66" w:rsidP="00665F66">
      <w:pPr>
        <w:pStyle w:val="Instructionaltext"/>
        <w:rPr>
          <w:color w:val="auto"/>
        </w:rPr>
      </w:pPr>
      <w:r>
        <w:rPr>
          <w:color w:val="auto"/>
        </w:rPr>
        <w:t xml:space="preserve">A </w:t>
      </w:r>
      <w:r w:rsidR="007B36D2">
        <w:rPr>
          <w:color w:val="auto"/>
        </w:rPr>
        <w:t>second systematic literature review</w:t>
      </w:r>
      <w:r>
        <w:rPr>
          <w:color w:val="auto"/>
        </w:rPr>
        <w:t xml:space="preserve"> investigated the research question:</w:t>
      </w:r>
    </w:p>
    <w:p w14:paraId="7C789913" w14:textId="5489AB7B" w:rsidR="00665F66" w:rsidRDefault="002F5F9F" w:rsidP="00D83E90">
      <w:pPr>
        <w:pStyle w:val="Instructionaltext"/>
        <w:numPr>
          <w:ilvl w:val="0"/>
          <w:numId w:val="25"/>
        </w:numPr>
        <w:rPr>
          <w:color w:val="auto"/>
        </w:rPr>
      </w:pPr>
      <w:r w:rsidRPr="002F5F9F">
        <w:rPr>
          <w:color w:val="auto"/>
        </w:rPr>
        <w:t xml:space="preserve">What is the safety, </w:t>
      </w:r>
      <w:proofErr w:type="gramStart"/>
      <w:r w:rsidRPr="002F5F9F">
        <w:rPr>
          <w:color w:val="auto"/>
        </w:rPr>
        <w:t>effectiveness</w:t>
      </w:r>
      <w:proofErr w:type="gramEnd"/>
      <w:r w:rsidRPr="002F5F9F">
        <w:rPr>
          <w:color w:val="auto"/>
        </w:rPr>
        <w:t xml:space="preserve"> and cost effectiveness of </w:t>
      </w:r>
      <w:r w:rsidRPr="00C4246F">
        <w:rPr>
          <w:color w:val="auto"/>
          <w:vertAlign w:val="superscript"/>
        </w:rPr>
        <w:t>177</w:t>
      </w:r>
      <w:r w:rsidRPr="002F5F9F">
        <w:rPr>
          <w:color w:val="auto"/>
        </w:rPr>
        <w:t xml:space="preserve">Lu-DOTA-octreotate versus alternative active and supportive care in patients with advanced </w:t>
      </w:r>
      <w:r w:rsidR="00EB1C5E">
        <w:rPr>
          <w:color w:val="auto"/>
        </w:rPr>
        <w:t>NEN</w:t>
      </w:r>
      <w:r w:rsidRPr="002F5F9F">
        <w:rPr>
          <w:color w:val="auto"/>
        </w:rPr>
        <w:t>s?</w:t>
      </w:r>
    </w:p>
    <w:p w14:paraId="55FE0645" w14:textId="3898ECF6" w:rsidR="00236FDA" w:rsidRPr="00921E74" w:rsidRDefault="00921E74" w:rsidP="00236FDA">
      <w:pPr>
        <w:pStyle w:val="Instructionaltext"/>
        <w:rPr>
          <w:color w:val="auto"/>
        </w:rPr>
      </w:pPr>
      <w:r w:rsidRPr="00921E74">
        <w:rPr>
          <w:color w:val="auto"/>
        </w:rPr>
        <w:t>A total of 16</w:t>
      </w:r>
      <w:r w:rsidR="00DD17A7">
        <w:rPr>
          <w:color w:val="auto"/>
        </w:rPr>
        <w:t xml:space="preserve"> clinical</w:t>
      </w:r>
      <w:r w:rsidRPr="00921E74">
        <w:rPr>
          <w:color w:val="auto"/>
        </w:rPr>
        <w:t xml:space="preserve"> </w:t>
      </w:r>
      <w:r w:rsidR="000020B3">
        <w:rPr>
          <w:color w:val="auto"/>
        </w:rPr>
        <w:t>randomised controlled trials</w:t>
      </w:r>
      <w:r w:rsidRPr="00921E74">
        <w:rPr>
          <w:color w:val="auto"/>
        </w:rPr>
        <w:t xml:space="preserve"> </w:t>
      </w:r>
      <w:r w:rsidR="00DD17A7">
        <w:rPr>
          <w:color w:val="auto"/>
        </w:rPr>
        <w:t xml:space="preserve">(RCTs) </w:t>
      </w:r>
      <w:r w:rsidRPr="00921E74">
        <w:rPr>
          <w:color w:val="auto"/>
        </w:rPr>
        <w:t xml:space="preserve">met the inclusion criteria for assessing the safety and effectiveness of </w:t>
      </w:r>
      <w:r w:rsidRPr="009464B6">
        <w:rPr>
          <w:color w:val="auto"/>
          <w:vertAlign w:val="superscript"/>
        </w:rPr>
        <w:t>177</w:t>
      </w:r>
      <w:r w:rsidRPr="00921E74">
        <w:rPr>
          <w:color w:val="auto"/>
        </w:rPr>
        <w:t>Lu</w:t>
      </w:r>
      <w:r w:rsidR="008D5197">
        <w:rPr>
          <w:color w:val="auto"/>
        </w:rPr>
        <w:t>-DOTATATE</w:t>
      </w:r>
      <w:r w:rsidR="003A761A">
        <w:rPr>
          <w:color w:val="auto"/>
        </w:rPr>
        <w:t xml:space="preserve"> (via network meta-analysis [NMA])</w:t>
      </w:r>
      <w:r w:rsidR="0028504C">
        <w:rPr>
          <w:color w:val="auto"/>
        </w:rPr>
        <w:t xml:space="preserve">. </w:t>
      </w:r>
      <w:r w:rsidR="00236FDA" w:rsidRPr="000020B3">
        <w:rPr>
          <w:color w:val="auto"/>
        </w:rPr>
        <w:t xml:space="preserve">Following data extraction, </w:t>
      </w:r>
      <w:r w:rsidR="007361FA">
        <w:rPr>
          <w:color w:val="auto"/>
        </w:rPr>
        <w:t>2</w:t>
      </w:r>
      <w:r w:rsidR="00236FDA" w:rsidRPr="000020B3">
        <w:rPr>
          <w:color w:val="auto"/>
        </w:rPr>
        <w:t xml:space="preserve"> studies</w:t>
      </w:r>
      <w:r w:rsidR="001414A9">
        <w:rPr>
          <w:color w:val="auto"/>
        </w:rPr>
        <w:t>—</w:t>
      </w:r>
      <w:r w:rsidR="00CD4909">
        <w:rPr>
          <w:color w:val="auto"/>
        </w:rPr>
        <w:t>v</w:t>
      </w:r>
      <w:r w:rsidR="00236FDA" w:rsidRPr="000020B3">
        <w:rPr>
          <w:color w:val="auto"/>
        </w:rPr>
        <w:t xml:space="preserve">an </w:t>
      </w:r>
      <w:r w:rsidR="00CD4909">
        <w:rPr>
          <w:color w:val="auto"/>
        </w:rPr>
        <w:t>d</w:t>
      </w:r>
      <w:r w:rsidR="00236FDA" w:rsidRPr="000020B3">
        <w:rPr>
          <w:color w:val="auto"/>
        </w:rPr>
        <w:t xml:space="preserve">er </w:t>
      </w:r>
      <w:proofErr w:type="spellStart"/>
      <w:r w:rsidR="00236FDA" w:rsidRPr="000020B3">
        <w:rPr>
          <w:color w:val="auto"/>
        </w:rPr>
        <w:t>Zwan</w:t>
      </w:r>
      <w:proofErr w:type="spellEnd"/>
      <w:r w:rsidR="00236FDA" w:rsidRPr="000020B3">
        <w:rPr>
          <w:color w:val="auto"/>
        </w:rPr>
        <w:t xml:space="preserve"> </w:t>
      </w:r>
      <w:r w:rsidR="00C4246F">
        <w:rPr>
          <w:color w:val="auto"/>
        </w:rPr>
        <w:t>(</w:t>
      </w:r>
      <w:r w:rsidR="00236FDA" w:rsidRPr="000020B3">
        <w:rPr>
          <w:color w:val="auto"/>
        </w:rPr>
        <w:t>2018</w:t>
      </w:r>
      <w:r w:rsidR="00C4246F">
        <w:rPr>
          <w:color w:val="auto"/>
        </w:rPr>
        <w:t>)</w:t>
      </w:r>
      <w:r w:rsidR="00C4246F">
        <w:rPr>
          <w:rStyle w:val="FootnoteReference"/>
          <w:color w:val="auto"/>
        </w:rPr>
        <w:footnoteReference w:id="13"/>
      </w:r>
      <w:r w:rsidR="00236FDA" w:rsidRPr="000020B3">
        <w:rPr>
          <w:color w:val="auto"/>
        </w:rPr>
        <w:t xml:space="preserve"> and Sood</w:t>
      </w:r>
      <w:r w:rsidR="001F7E92">
        <w:rPr>
          <w:color w:val="auto"/>
        </w:rPr>
        <w:t xml:space="preserve"> et al</w:t>
      </w:r>
      <w:r w:rsidR="00236FDA" w:rsidRPr="000020B3">
        <w:rPr>
          <w:color w:val="auto"/>
        </w:rPr>
        <w:t xml:space="preserve"> </w:t>
      </w:r>
      <w:r w:rsidR="001F7E92">
        <w:rPr>
          <w:color w:val="auto"/>
        </w:rPr>
        <w:t>(</w:t>
      </w:r>
      <w:r w:rsidR="00236FDA" w:rsidRPr="000020B3">
        <w:rPr>
          <w:color w:val="auto"/>
        </w:rPr>
        <w:t>2023</w:t>
      </w:r>
      <w:r w:rsidR="001F7E92">
        <w:rPr>
          <w:color w:val="auto"/>
        </w:rPr>
        <w:t>)</w:t>
      </w:r>
      <w:r w:rsidR="001F7E92">
        <w:rPr>
          <w:rStyle w:val="FootnoteReference"/>
          <w:color w:val="auto"/>
        </w:rPr>
        <w:footnoteReference w:id="14"/>
      </w:r>
      <w:r w:rsidR="00BC1057">
        <w:rPr>
          <w:color w:val="auto"/>
        </w:rPr>
        <w:t>—</w:t>
      </w:r>
      <w:r w:rsidR="00236FDA" w:rsidRPr="000020B3">
        <w:rPr>
          <w:color w:val="auto"/>
        </w:rPr>
        <w:t xml:space="preserve">were excluded due to </w:t>
      </w:r>
      <w:r w:rsidR="00E12A70" w:rsidRPr="000020B3">
        <w:rPr>
          <w:color w:val="auto"/>
        </w:rPr>
        <w:t>una</w:t>
      </w:r>
      <w:r w:rsidR="00E12A70">
        <w:rPr>
          <w:color w:val="auto"/>
        </w:rPr>
        <w:t>vailability</w:t>
      </w:r>
      <w:r w:rsidR="00236FDA" w:rsidRPr="000020B3">
        <w:rPr>
          <w:color w:val="auto"/>
        </w:rPr>
        <w:t xml:space="preserve"> of the full-text article (abstract only </w:t>
      </w:r>
      <w:r w:rsidR="00E12A70">
        <w:rPr>
          <w:color w:val="auto"/>
        </w:rPr>
        <w:t>publications</w:t>
      </w:r>
      <w:r w:rsidR="00236FDA" w:rsidRPr="000020B3">
        <w:rPr>
          <w:color w:val="auto"/>
        </w:rPr>
        <w:t>)</w:t>
      </w:r>
      <w:r w:rsidR="00236FDA">
        <w:rPr>
          <w:color w:val="auto"/>
        </w:rPr>
        <w:t xml:space="preserve">, </w:t>
      </w:r>
      <w:r w:rsidR="00487BEC" w:rsidRPr="000020B3">
        <w:rPr>
          <w:color w:val="auto"/>
        </w:rPr>
        <w:t>as well as clinical trial records detailing study design characteristics, inclusion/exclusion criteria, and participant baseline characteristics.</w:t>
      </w:r>
      <w:r w:rsidR="00487BEC">
        <w:rPr>
          <w:color w:val="auto"/>
        </w:rPr>
        <w:t xml:space="preserve"> </w:t>
      </w:r>
      <w:r w:rsidR="00236FDA">
        <w:rPr>
          <w:color w:val="auto"/>
        </w:rPr>
        <w:t xml:space="preserve"> In total, 14 studies formed the evidence base </w:t>
      </w:r>
      <w:r w:rsidR="00286D93">
        <w:rPr>
          <w:color w:val="auto"/>
        </w:rPr>
        <w:t>for</w:t>
      </w:r>
      <w:r w:rsidR="00236FDA">
        <w:rPr>
          <w:color w:val="auto"/>
        </w:rPr>
        <w:t xml:space="preserve"> this submission.</w:t>
      </w:r>
    </w:p>
    <w:p w14:paraId="5999F63C" w14:textId="1343D96D" w:rsidR="00A33C4D" w:rsidRDefault="00A33C4D" w:rsidP="004066B9">
      <w:r>
        <w:t xml:space="preserve">Of the 14 studies identified in the </w:t>
      </w:r>
      <w:r w:rsidRPr="00314E85">
        <w:t>systematic literature review</w:t>
      </w:r>
      <w:r>
        <w:t xml:space="preserve">, only 2 provided direct estimates of treatment efficacy for </w:t>
      </w:r>
      <w:r w:rsidRPr="00C905BB">
        <w:rPr>
          <w:vertAlign w:val="superscript"/>
        </w:rPr>
        <w:t>177</w:t>
      </w:r>
      <w:r w:rsidRPr="00961C59">
        <w:t>Lu</w:t>
      </w:r>
      <w:r>
        <w:t xml:space="preserve">-DOTATATE versus a relevant comparator. </w:t>
      </w:r>
      <w:r w:rsidRPr="00062A3D">
        <w:t>These</w:t>
      </w:r>
      <w:r>
        <w:t xml:space="preserve"> were </w:t>
      </w:r>
      <w:r w:rsidRPr="00372FF5">
        <w:t>NETTER -1</w:t>
      </w:r>
      <w:r w:rsidRPr="00062A3D">
        <w:t xml:space="preserve"> </w:t>
      </w:r>
      <w:r>
        <w:t xml:space="preserve">and </w:t>
      </w:r>
      <w:r w:rsidRPr="00AC2EEA">
        <w:t>OCLURANDOM</w:t>
      </w:r>
      <w:r>
        <w:t xml:space="preserve">, comparing </w:t>
      </w:r>
      <w:r w:rsidRPr="00C905BB">
        <w:rPr>
          <w:vertAlign w:val="superscript"/>
        </w:rPr>
        <w:t>177</w:t>
      </w:r>
      <w:r w:rsidRPr="00961C59">
        <w:t>Lu</w:t>
      </w:r>
      <w:r>
        <w:t xml:space="preserve">-DOTATATE </w:t>
      </w:r>
      <w:r w:rsidRPr="00062A3D">
        <w:t>to octreotide and sunitinib, respectively</w:t>
      </w:r>
      <w:r w:rsidR="002F46B9">
        <w:t>.</w:t>
      </w:r>
      <w:r w:rsidR="00B348CA">
        <w:t xml:space="preserve"> </w:t>
      </w:r>
      <w:r w:rsidR="00ED7EBB">
        <w:t>In the NETTER-1</w:t>
      </w:r>
      <w:r w:rsidR="005F54BF">
        <w:t xml:space="preserve"> </w:t>
      </w:r>
      <w:r w:rsidR="00A54D6F">
        <w:t>trial</w:t>
      </w:r>
      <w:r w:rsidR="00ED7EBB">
        <w:t xml:space="preserve">, </w:t>
      </w:r>
      <w:r w:rsidR="002F2A0F">
        <w:t>H-SSTR</w:t>
      </w:r>
      <w:r w:rsidR="00A54D6F">
        <w:t xml:space="preserve"> </w:t>
      </w:r>
      <w:r w:rsidR="00572AE9">
        <w:t xml:space="preserve">and </w:t>
      </w:r>
      <w:r w:rsidR="008217CB">
        <w:t>PRRT therapy</w:t>
      </w:r>
      <w:r w:rsidR="00572AE9">
        <w:t xml:space="preserve"> </w:t>
      </w:r>
      <w:r w:rsidR="00ED7EBB">
        <w:t xml:space="preserve">eligibility </w:t>
      </w:r>
      <w:r w:rsidR="00A54D6F">
        <w:t xml:space="preserve">was based </w:t>
      </w:r>
      <w:r w:rsidR="00315433">
        <w:t>on</w:t>
      </w:r>
      <w:r w:rsidR="00D829CA" w:rsidRPr="00D829CA">
        <w:t xml:space="preserve"> </w:t>
      </w:r>
      <w:proofErr w:type="spellStart"/>
      <w:r w:rsidR="00D829CA">
        <w:t>Octreoscan</w:t>
      </w:r>
      <w:proofErr w:type="spellEnd"/>
      <w:r w:rsidR="0035138C" w:rsidRPr="00942339">
        <w:t>®</w:t>
      </w:r>
      <w:r w:rsidR="00D829CA">
        <w:t xml:space="preserve"> SPECT/CT (</w:t>
      </w:r>
      <w:r w:rsidR="00CB0504">
        <w:t xml:space="preserve">uptake </w:t>
      </w:r>
      <w:r w:rsidR="00CB0504" w:rsidRPr="00CB0504">
        <w:t>≥normal liver uptake</w:t>
      </w:r>
      <w:r w:rsidR="00123C5E">
        <w:t>,</w:t>
      </w:r>
      <w:r w:rsidR="00E0775D">
        <w:t xml:space="preserve"> which is </w:t>
      </w:r>
      <w:r w:rsidR="00A26E8E">
        <w:t>equivalent</w:t>
      </w:r>
      <w:r w:rsidR="00E0775D">
        <w:t xml:space="preserve"> to a </w:t>
      </w:r>
      <w:proofErr w:type="spellStart"/>
      <w:r w:rsidR="000B77A1">
        <w:t>Krenning</w:t>
      </w:r>
      <w:proofErr w:type="spellEnd"/>
      <w:r w:rsidR="000B77A1">
        <w:t xml:space="preserve"> score </w:t>
      </w:r>
      <w:r w:rsidR="000B77A1" w:rsidRPr="00CB0504">
        <w:t>≥</w:t>
      </w:r>
      <w:r w:rsidR="000B77A1">
        <w:t>2</w:t>
      </w:r>
      <w:r w:rsidR="00CB0504">
        <w:t>)</w:t>
      </w:r>
      <w:r w:rsidR="00ED7EBB">
        <w:t xml:space="preserve">. Conversely, in </w:t>
      </w:r>
      <w:r w:rsidR="00ED7EBB" w:rsidRPr="00AC2EEA">
        <w:t>OCLURANDOM</w:t>
      </w:r>
      <w:r w:rsidR="00ED7EBB">
        <w:t>,</w:t>
      </w:r>
      <w:r w:rsidR="00315433">
        <w:t xml:space="preserve"> </w:t>
      </w:r>
      <w:r w:rsidR="00E65251">
        <w:t xml:space="preserve">eligibility was determined by </w:t>
      </w:r>
      <w:r w:rsidR="003A2107" w:rsidRPr="00922B1C">
        <w:t>somatostatin receptor scintigraphy</w:t>
      </w:r>
      <w:r w:rsidR="003A2107">
        <w:t xml:space="preserve"> (SRS</w:t>
      </w:r>
      <w:r w:rsidR="007907D0">
        <w:t>)</w:t>
      </w:r>
      <w:r w:rsidR="00D829CA">
        <w:t xml:space="preserve"> </w:t>
      </w:r>
      <w:r w:rsidR="00D829CA" w:rsidRPr="003F4580">
        <w:rPr>
          <w:szCs w:val="20"/>
        </w:rPr>
        <w:t>(grade of uptake at SRS</w:t>
      </w:r>
      <w:r w:rsidR="00D829CA">
        <w:t> </w:t>
      </w:r>
      <w:r w:rsidR="00D829CA" w:rsidRPr="003F4580">
        <w:rPr>
          <w:szCs w:val="20"/>
        </w:rPr>
        <w:t>≥2, equal to the physiologic liver uptake)</w:t>
      </w:r>
      <w:r w:rsidR="007907D0">
        <w:t xml:space="preserve"> </w:t>
      </w:r>
      <w:r w:rsidR="00FF21FD">
        <w:t>(i.e</w:t>
      </w:r>
      <w:r w:rsidR="00E65251">
        <w:t>.</w:t>
      </w:r>
      <w:r w:rsidR="005755D7">
        <w:t xml:space="preserve"> </w:t>
      </w:r>
      <w:r w:rsidR="00BB369A">
        <w:t xml:space="preserve">the </w:t>
      </w:r>
      <w:r w:rsidR="007C41C5">
        <w:t xml:space="preserve">clinical utility standard for </w:t>
      </w:r>
      <w:r w:rsidR="00216549" w:rsidRPr="00216549">
        <w:t>SSTR-PET/CT</w:t>
      </w:r>
      <w:r w:rsidR="00FD4A8A">
        <w:t xml:space="preserve">). </w:t>
      </w:r>
      <w:r w:rsidR="00B31EFE">
        <w:t xml:space="preserve">The proposed tests of </w:t>
      </w:r>
      <w:r w:rsidR="00B31EFE" w:rsidRPr="00E92651">
        <w:rPr>
          <w:vertAlign w:val="superscript"/>
        </w:rPr>
        <w:t>68</w:t>
      </w:r>
      <w:r w:rsidR="00B31EFE" w:rsidRPr="00B31EFE">
        <w:t xml:space="preserve">Ga-DOTA-octreotate PET/CT </w:t>
      </w:r>
      <w:r w:rsidR="00B31EFE">
        <w:t xml:space="preserve">or </w:t>
      </w:r>
      <w:r w:rsidR="00FD4A8A">
        <w:t>FDG PET/CT w</w:t>
      </w:r>
      <w:r w:rsidR="00B31EFE">
        <w:t>ere</w:t>
      </w:r>
      <w:r w:rsidR="00FD4A8A">
        <w:t xml:space="preserve"> not used to select patients for PRRT therapy in these trials.</w:t>
      </w:r>
      <w:r w:rsidR="00216549" w:rsidRPr="00216549">
        <w:t xml:space="preserve"> </w:t>
      </w:r>
    </w:p>
    <w:p w14:paraId="45E230A3" w14:textId="6B99ED0A" w:rsidR="00921E74" w:rsidRPr="00921E74" w:rsidRDefault="0028504C" w:rsidP="004066B9">
      <w:r w:rsidRPr="004066B9">
        <w:t>Seven studies</w:t>
      </w:r>
      <w:r w:rsidR="00F42562" w:rsidRPr="004066B9">
        <w:t xml:space="preserve"> </w:t>
      </w:r>
      <w:r w:rsidRPr="004066B9">
        <w:t xml:space="preserve">were judged to be </w:t>
      </w:r>
      <w:r w:rsidR="00194A36" w:rsidRPr="004066B9">
        <w:t>at</w:t>
      </w:r>
      <w:r w:rsidRPr="004066B9">
        <w:t xml:space="preserve"> low </w:t>
      </w:r>
      <w:proofErr w:type="spellStart"/>
      <w:r w:rsidR="009E34E9" w:rsidRPr="004066B9">
        <w:t>RoB</w:t>
      </w:r>
      <w:proofErr w:type="spellEnd"/>
      <w:r w:rsidR="009E34E9" w:rsidRPr="004066B9">
        <w:t xml:space="preserve"> </w:t>
      </w:r>
      <w:r w:rsidRPr="004066B9">
        <w:t>using the Cochrane RoB-2 tool</w:t>
      </w:r>
      <w:r w:rsidR="004066B9" w:rsidRPr="004066B9">
        <w:t xml:space="preserve"> (</w:t>
      </w:r>
      <w:r w:rsidR="004066B9" w:rsidRPr="004066B9">
        <w:fldChar w:fldCharType="begin"/>
      </w:r>
      <w:r w:rsidR="004066B9" w:rsidRPr="004066B9">
        <w:instrText xml:space="preserve"> REF _Ref69725651 \h  \* MERGEFORMAT </w:instrText>
      </w:r>
      <w:r w:rsidR="004066B9" w:rsidRPr="004066B9">
        <w:fldChar w:fldCharType="separate"/>
      </w:r>
      <w:r w:rsidR="00674D5E" w:rsidRPr="0095653C">
        <w:t>Table </w:t>
      </w:r>
      <w:r w:rsidR="00674D5E">
        <w:t>6</w:t>
      </w:r>
      <w:r w:rsidR="004066B9" w:rsidRPr="004066B9">
        <w:fldChar w:fldCharType="end"/>
      </w:r>
      <w:r w:rsidR="004066B9" w:rsidRPr="004066B9">
        <w:t>)</w:t>
      </w:r>
      <w:r w:rsidRPr="004066B9">
        <w:t>.</w:t>
      </w:r>
      <w:r w:rsidR="00F42562" w:rsidRPr="001053EF">
        <w:rPr>
          <w:vertAlign w:val="superscript"/>
        </w:rPr>
        <w:footnoteReference w:id="15"/>
      </w:r>
      <w:r w:rsidRPr="004066B9">
        <w:t xml:space="preserve"> These studies were well reported, with high levels of confidence </w:t>
      </w:r>
      <w:r w:rsidR="00C93FC2" w:rsidRPr="004066B9">
        <w:t xml:space="preserve">for </w:t>
      </w:r>
      <w:r w:rsidRPr="004066B9">
        <w:t xml:space="preserve">all </w:t>
      </w:r>
      <w:proofErr w:type="spellStart"/>
      <w:r w:rsidRPr="004066B9">
        <w:t>RoB</w:t>
      </w:r>
      <w:proofErr w:type="spellEnd"/>
      <w:r w:rsidRPr="004066B9">
        <w:t xml:space="preserve"> domains. </w:t>
      </w:r>
      <w:r w:rsidR="00C93FC2" w:rsidRPr="004066B9">
        <w:t xml:space="preserve">The studies </w:t>
      </w:r>
      <w:r w:rsidRPr="004066B9">
        <w:t>NCT00428597 and NET-01</w:t>
      </w:r>
      <w:r w:rsidR="00F42562" w:rsidRPr="004066B9">
        <w:t xml:space="preserve"> </w:t>
      </w:r>
      <w:r w:rsidRPr="004066B9">
        <w:t xml:space="preserve">were judged to be of unclear </w:t>
      </w:r>
      <w:proofErr w:type="spellStart"/>
      <w:r w:rsidR="00C93FC2" w:rsidRPr="004066B9">
        <w:t>RoB</w:t>
      </w:r>
      <w:proofErr w:type="spellEnd"/>
      <w:r w:rsidRPr="004066B9">
        <w:t xml:space="preserve"> due to uncertainties concerning the generation of allocation sequences and masking of the outcome assessor. The methods and interim analysis results for the ECOG-ACRIN EA2142 study were published in an</w:t>
      </w:r>
      <w:r w:rsidRPr="0028504C">
        <w:t xml:space="preserve"> abstract, and ECOG-ACRIN E2211, NETTER-1</w:t>
      </w:r>
      <w:r w:rsidR="00F42562">
        <w:t xml:space="preserve">, </w:t>
      </w:r>
      <w:r w:rsidRPr="0028504C">
        <w:t xml:space="preserve">OCLURANDOM </w:t>
      </w:r>
      <w:r w:rsidR="00236FDA">
        <w:t xml:space="preserve">and </w:t>
      </w:r>
      <w:r w:rsidRPr="0028504C">
        <w:t xml:space="preserve">TOPIC-NEC were open-label studies where both investigators and patients were </w:t>
      </w:r>
      <w:r w:rsidR="00C93FC2">
        <w:t>un</w:t>
      </w:r>
      <w:r w:rsidRPr="0028504C">
        <w:t xml:space="preserve">masked to the treatment assignment and outcome assessors remained unblinded. The methodological quality of these studies </w:t>
      </w:r>
      <w:r w:rsidR="000020B3" w:rsidRPr="0028504C">
        <w:t>was</w:t>
      </w:r>
      <w:r w:rsidRPr="0028504C">
        <w:t xml:space="preserve"> th</w:t>
      </w:r>
      <w:r w:rsidR="004E4CB3">
        <w:t>us</w:t>
      </w:r>
      <w:r w:rsidRPr="0028504C">
        <w:t xml:space="preserve"> judged to be </w:t>
      </w:r>
      <w:r w:rsidR="004E4CB3">
        <w:t>at</w:t>
      </w:r>
      <w:r w:rsidRPr="0028504C">
        <w:t xml:space="preserve"> high </w:t>
      </w:r>
      <w:proofErr w:type="spellStart"/>
      <w:r w:rsidR="004E4CB3">
        <w:t>RoB</w:t>
      </w:r>
      <w:proofErr w:type="spellEnd"/>
      <w:r w:rsidR="006B1C86">
        <w:t xml:space="preserve"> (</w:t>
      </w:r>
      <w:r w:rsidR="006B1C86">
        <w:fldChar w:fldCharType="begin"/>
      </w:r>
      <w:r w:rsidR="006B1C86">
        <w:instrText xml:space="preserve"> REF _Ref69725651 \h  \* MERGEFORMAT </w:instrText>
      </w:r>
      <w:r w:rsidR="006B1C86">
        <w:fldChar w:fldCharType="separate"/>
      </w:r>
      <w:r w:rsidR="00674D5E" w:rsidRPr="0095653C">
        <w:t>Table </w:t>
      </w:r>
      <w:r w:rsidR="00674D5E">
        <w:t>6</w:t>
      </w:r>
      <w:r w:rsidR="006B1C86">
        <w:fldChar w:fldCharType="end"/>
      </w:r>
      <w:r w:rsidR="006B1C86">
        <w:t>)</w:t>
      </w:r>
      <w:r w:rsidRPr="0028504C">
        <w:t>.</w:t>
      </w:r>
      <w:r w:rsidR="000020B3">
        <w:t xml:space="preserve"> </w:t>
      </w:r>
    </w:p>
    <w:p w14:paraId="78EBD0BA" w14:textId="23273D1E" w:rsidR="000509B9" w:rsidRPr="000B228E" w:rsidRDefault="00956ACE" w:rsidP="000B228E">
      <w:pPr>
        <w:pStyle w:val="Caption"/>
        <w:rPr>
          <w:sz w:val="16"/>
          <w:szCs w:val="16"/>
        </w:rPr>
      </w:pPr>
      <w:bookmarkStart w:id="56" w:name="_Ref69725651"/>
      <w:bookmarkStart w:id="57" w:name="_Toc161842042"/>
      <w:r w:rsidRPr="0095653C">
        <w:lastRenderedPageBreak/>
        <w:t>Table</w:t>
      </w:r>
      <w:r w:rsidR="004A4FDF" w:rsidRPr="0095653C">
        <w:t> </w:t>
      </w:r>
      <w:r>
        <w:fldChar w:fldCharType="begin"/>
      </w:r>
      <w:r>
        <w:instrText xml:space="preserve"> SEQ Table \* ARABIC </w:instrText>
      </w:r>
      <w:r>
        <w:fldChar w:fldCharType="separate"/>
      </w:r>
      <w:r w:rsidR="006D13BC">
        <w:rPr>
          <w:noProof/>
        </w:rPr>
        <w:t>6</w:t>
      </w:r>
      <w:r>
        <w:rPr>
          <w:noProof/>
        </w:rPr>
        <w:fldChar w:fldCharType="end"/>
      </w:r>
      <w:bookmarkEnd w:id="56"/>
      <w:r w:rsidR="00CE01C0" w:rsidRPr="0095653C">
        <w:rPr>
          <w:noProof/>
        </w:rPr>
        <w:t>:</w:t>
      </w:r>
      <w:r w:rsidR="00CB3D7F" w:rsidRPr="0095653C">
        <w:t xml:space="preserve"> </w:t>
      </w:r>
      <w:r w:rsidRPr="0095653C">
        <w:t xml:space="preserve">Key features of the included evidence </w:t>
      </w:r>
      <w:bookmarkStart w:id="58" w:name="ColumnTitle_Table3"/>
      <w:bookmarkStart w:id="59" w:name="_Hlk68276176"/>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0"/>
        <w:gridCol w:w="1002"/>
        <w:gridCol w:w="1003"/>
        <w:gridCol w:w="1003"/>
        <w:gridCol w:w="1233"/>
        <w:gridCol w:w="774"/>
        <w:gridCol w:w="1003"/>
        <w:gridCol w:w="1003"/>
        <w:gridCol w:w="995"/>
      </w:tblGrid>
      <w:tr w:rsidR="000509B9" w14:paraId="1800921E" w14:textId="77777777" w:rsidTr="00F46222">
        <w:trPr>
          <w:cantSplit/>
          <w:tblHeader/>
        </w:trPr>
        <w:tc>
          <w:tcPr>
            <w:tcW w:w="555" w:type="pct"/>
            <w:shd w:val="clear" w:color="auto" w:fill="auto"/>
          </w:tcPr>
          <w:p w14:paraId="72E0485A" w14:textId="77777777" w:rsidR="000509B9" w:rsidRPr="002537CB" w:rsidRDefault="000509B9" w:rsidP="00F46222">
            <w:pPr>
              <w:pStyle w:val="TableHeading0"/>
            </w:pPr>
            <w:r>
              <w:t>Study</w:t>
            </w:r>
          </w:p>
        </w:tc>
        <w:tc>
          <w:tcPr>
            <w:tcW w:w="556" w:type="pct"/>
          </w:tcPr>
          <w:p w14:paraId="21449311" w14:textId="77777777" w:rsidR="000509B9" w:rsidRPr="002537CB" w:rsidRDefault="000509B9" w:rsidP="00F46222">
            <w:pPr>
              <w:pStyle w:val="TableHeading0"/>
            </w:pPr>
            <w:r>
              <w:t>Intervention</w:t>
            </w:r>
          </w:p>
        </w:tc>
        <w:tc>
          <w:tcPr>
            <w:tcW w:w="556" w:type="pct"/>
          </w:tcPr>
          <w:p w14:paraId="5ECABC14" w14:textId="77777777" w:rsidR="000509B9" w:rsidRPr="002537CB" w:rsidRDefault="000509B9" w:rsidP="00F46222">
            <w:pPr>
              <w:pStyle w:val="TableHeading0"/>
            </w:pPr>
            <w:r>
              <w:t>Comparator</w:t>
            </w:r>
          </w:p>
        </w:tc>
        <w:tc>
          <w:tcPr>
            <w:tcW w:w="556" w:type="pct"/>
            <w:shd w:val="clear" w:color="auto" w:fill="auto"/>
          </w:tcPr>
          <w:p w14:paraId="229E415B" w14:textId="77777777" w:rsidR="000509B9" w:rsidRPr="002537CB" w:rsidRDefault="000509B9" w:rsidP="00F46222">
            <w:pPr>
              <w:pStyle w:val="TableHeading0"/>
            </w:pPr>
            <w:r w:rsidRPr="002537CB">
              <w:t>N</w:t>
            </w:r>
            <w:r>
              <w:t>umber of patients</w:t>
            </w:r>
          </w:p>
        </w:tc>
        <w:tc>
          <w:tcPr>
            <w:tcW w:w="684" w:type="pct"/>
            <w:shd w:val="clear" w:color="auto" w:fill="auto"/>
          </w:tcPr>
          <w:p w14:paraId="2C3DFDBA" w14:textId="77777777" w:rsidR="000509B9" w:rsidRPr="002537CB" w:rsidRDefault="000509B9" w:rsidP="00F46222">
            <w:pPr>
              <w:pStyle w:val="TableHeading0"/>
            </w:pPr>
            <w:r w:rsidRPr="002537CB">
              <w:t>Design/</w:t>
            </w:r>
            <w:r>
              <w:t xml:space="preserve"> </w:t>
            </w:r>
            <w:r w:rsidRPr="002537CB">
              <w:t>duration</w:t>
            </w:r>
          </w:p>
        </w:tc>
        <w:tc>
          <w:tcPr>
            <w:tcW w:w="429" w:type="pct"/>
            <w:shd w:val="clear" w:color="auto" w:fill="auto"/>
          </w:tcPr>
          <w:p w14:paraId="613B8EDA" w14:textId="77777777" w:rsidR="000509B9" w:rsidRPr="002537CB" w:rsidRDefault="000509B9" w:rsidP="00F46222">
            <w:pPr>
              <w:pStyle w:val="TableHeading0"/>
            </w:pPr>
            <w:r w:rsidRPr="002537CB">
              <w:t>Risk of bias</w:t>
            </w:r>
          </w:p>
        </w:tc>
        <w:tc>
          <w:tcPr>
            <w:tcW w:w="556" w:type="pct"/>
            <w:shd w:val="clear" w:color="auto" w:fill="auto"/>
          </w:tcPr>
          <w:p w14:paraId="44E42992" w14:textId="77777777" w:rsidR="000509B9" w:rsidRPr="002537CB" w:rsidRDefault="000509B9" w:rsidP="00F46222">
            <w:pPr>
              <w:pStyle w:val="TableHeading0"/>
            </w:pPr>
            <w:r w:rsidRPr="002537CB">
              <w:t>Patient population</w:t>
            </w:r>
          </w:p>
        </w:tc>
        <w:tc>
          <w:tcPr>
            <w:tcW w:w="556" w:type="pct"/>
            <w:shd w:val="clear" w:color="auto" w:fill="auto"/>
          </w:tcPr>
          <w:p w14:paraId="001BA0DB" w14:textId="77777777" w:rsidR="000509B9" w:rsidRPr="002537CB" w:rsidRDefault="000509B9" w:rsidP="00F46222">
            <w:pPr>
              <w:pStyle w:val="TableHeading0"/>
            </w:pPr>
            <w:r w:rsidRPr="002537CB">
              <w:t>Outcome(s)</w:t>
            </w:r>
          </w:p>
        </w:tc>
        <w:tc>
          <w:tcPr>
            <w:tcW w:w="552" w:type="pct"/>
          </w:tcPr>
          <w:p w14:paraId="3EF6AABB" w14:textId="77777777" w:rsidR="000509B9" w:rsidRDefault="000509B9" w:rsidP="00F46222">
            <w:pPr>
              <w:pStyle w:val="TableHeading0"/>
            </w:pPr>
            <w:r>
              <w:t>Used in economic evaluation</w:t>
            </w:r>
          </w:p>
        </w:tc>
      </w:tr>
      <w:tr w:rsidR="000509B9" w:rsidRPr="00E941D2" w14:paraId="3128335B" w14:textId="77777777" w:rsidTr="00F46222">
        <w:trPr>
          <w:cantSplit/>
        </w:trPr>
        <w:tc>
          <w:tcPr>
            <w:tcW w:w="5000" w:type="pct"/>
            <w:gridSpan w:val="9"/>
            <w:shd w:val="clear" w:color="auto" w:fill="auto"/>
          </w:tcPr>
          <w:p w14:paraId="68F24404" w14:textId="77777777" w:rsidR="000509B9" w:rsidRPr="00E941D2" w:rsidRDefault="000509B9" w:rsidP="00F46222">
            <w:pPr>
              <w:pStyle w:val="TableText"/>
              <w:rPr>
                <w:lang w:val="en-US"/>
              </w:rPr>
            </w:pPr>
            <w:r w:rsidRPr="00E941D2">
              <w:rPr>
                <w:lang w:val="en-US"/>
              </w:rPr>
              <w:t>177Lu-DOTATATE</w:t>
            </w:r>
            <w:r>
              <w:rPr>
                <w:lang w:val="en-US"/>
              </w:rPr>
              <w:t xml:space="preserve"> vs comparator(s)</w:t>
            </w:r>
          </w:p>
        </w:tc>
      </w:tr>
      <w:tr w:rsidR="000509B9" w:rsidRPr="00125E51" w14:paraId="193A18EE" w14:textId="77777777" w:rsidTr="00F46222">
        <w:trPr>
          <w:cantSplit/>
        </w:trPr>
        <w:tc>
          <w:tcPr>
            <w:tcW w:w="555" w:type="pct"/>
            <w:shd w:val="clear" w:color="auto" w:fill="auto"/>
          </w:tcPr>
          <w:p w14:paraId="6E470518" w14:textId="77777777" w:rsidR="000509B9" w:rsidRPr="000020B3" w:rsidRDefault="000509B9" w:rsidP="00F46222">
            <w:pPr>
              <w:pStyle w:val="TableText"/>
              <w:rPr>
                <w:lang w:val="en-US"/>
              </w:rPr>
            </w:pPr>
            <w:r w:rsidRPr="008E7ECD">
              <w:rPr>
                <w:lang w:val="en-US"/>
              </w:rPr>
              <w:t>NETTER-1</w:t>
            </w:r>
            <w:r>
              <w:rPr>
                <w:rStyle w:val="FootnoteReference"/>
                <w:lang w:val="en-US"/>
              </w:rPr>
              <w:footnoteReference w:id="16"/>
            </w:r>
            <w:r w:rsidRPr="008E7ECD">
              <w:rPr>
                <w:lang w:val="en-US"/>
              </w:rPr>
              <w:t xml:space="preserve"> </w:t>
            </w:r>
          </w:p>
        </w:tc>
        <w:tc>
          <w:tcPr>
            <w:tcW w:w="556" w:type="pct"/>
          </w:tcPr>
          <w:p w14:paraId="359B5E29" w14:textId="77777777" w:rsidR="000509B9" w:rsidRPr="00831AD6" w:rsidRDefault="000509B9" w:rsidP="00F46222">
            <w:pPr>
              <w:pStyle w:val="TableText"/>
            </w:pPr>
            <w:r w:rsidRPr="001F7E92">
              <w:rPr>
                <w:vertAlign w:val="superscript"/>
              </w:rPr>
              <w:t>177</w:t>
            </w:r>
            <w:r w:rsidRPr="00831AD6">
              <w:t>Lu-DOTATA</w:t>
            </w:r>
            <w:r>
              <w:t>TE</w:t>
            </w:r>
          </w:p>
        </w:tc>
        <w:tc>
          <w:tcPr>
            <w:tcW w:w="556" w:type="pct"/>
          </w:tcPr>
          <w:p w14:paraId="247808DD" w14:textId="77777777" w:rsidR="000509B9" w:rsidRPr="00831AD6" w:rsidRDefault="000509B9" w:rsidP="00F46222">
            <w:pPr>
              <w:pStyle w:val="TableText"/>
            </w:pPr>
            <w:r w:rsidRPr="00831AD6">
              <w:t>OCT</w:t>
            </w:r>
          </w:p>
        </w:tc>
        <w:tc>
          <w:tcPr>
            <w:tcW w:w="556" w:type="pct"/>
            <w:shd w:val="clear" w:color="auto" w:fill="auto"/>
          </w:tcPr>
          <w:p w14:paraId="2BF8C214" w14:textId="77777777" w:rsidR="000509B9" w:rsidRPr="00CE28E3" w:rsidRDefault="000509B9" w:rsidP="00F46222">
            <w:pPr>
              <w:pStyle w:val="TableText"/>
              <w:rPr>
                <w:lang w:val="en-US"/>
              </w:rPr>
            </w:pPr>
            <w:r>
              <w:rPr>
                <w:lang w:val="en-US"/>
              </w:rPr>
              <w:t>231</w:t>
            </w:r>
          </w:p>
        </w:tc>
        <w:tc>
          <w:tcPr>
            <w:tcW w:w="684" w:type="pct"/>
            <w:shd w:val="clear" w:color="auto" w:fill="auto"/>
          </w:tcPr>
          <w:p w14:paraId="013A5129" w14:textId="77777777" w:rsidR="000509B9" w:rsidRPr="00860032" w:rsidRDefault="000509B9" w:rsidP="00F46222">
            <w:pPr>
              <w:pStyle w:val="TableText"/>
              <w:rPr>
                <w:lang w:val="en-US"/>
              </w:rPr>
            </w:pPr>
            <w:r w:rsidRPr="008E7ECD">
              <w:rPr>
                <w:lang w:val="en-US"/>
              </w:rPr>
              <w:t xml:space="preserve">Multicentric, </w:t>
            </w:r>
            <w:proofErr w:type="spellStart"/>
            <w:r w:rsidRPr="008E7ECD">
              <w:rPr>
                <w:lang w:val="en-US"/>
              </w:rPr>
              <w:t>randomi</w:t>
            </w:r>
            <w:r>
              <w:rPr>
                <w:lang w:val="en-US"/>
              </w:rPr>
              <w:t>s</w:t>
            </w:r>
            <w:r w:rsidRPr="008E7ECD">
              <w:rPr>
                <w:lang w:val="en-US"/>
              </w:rPr>
              <w:t>ed</w:t>
            </w:r>
            <w:proofErr w:type="spellEnd"/>
            <w:r w:rsidRPr="008E7ECD">
              <w:rPr>
                <w:lang w:val="en-US"/>
              </w:rPr>
              <w:t>, controlled trial</w:t>
            </w:r>
          </w:p>
        </w:tc>
        <w:tc>
          <w:tcPr>
            <w:tcW w:w="429" w:type="pct"/>
            <w:shd w:val="clear" w:color="auto" w:fill="auto"/>
          </w:tcPr>
          <w:p w14:paraId="354847D8" w14:textId="77777777" w:rsidR="000509B9" w:rsidRPr="0095653C" w:rsidRDefault="000509B9" w:rsidP="00F46222">
            <w:pPr>
              <w:pStyle w:val="TableText"/>
              <w:rPr>
                <w:iCs/>
                <w:lang w:val="en-US"/>
              </w:rPr>
            </w:pPr>
            <w:r w:rsidRPr="0095653C">
              <w:rPr>
                <w:iCs/>
                <w:lang w:val="en-US"/>
              </w:rPr>
              <w:t>High</w:t>
            </w:r>
          </w:p>
        </w:tc>
        <w:tc>
          <w:tcPr>
            <w:tcW w:w="556" w:type="pct"/>
            <w:shd w:val="clear" w:color="auto" w:fill="auto"/>
          </w:tcPr>
          <w:p w14:paraId="30F8FAEB" w14:textId="77777777" w:rsidR="000509B9" w:rsidRDefault="000509B9" w:rsidP="00F46222">
            <w:pPr>
              <w:pStyle w:val="TableText"/>
            </w:pPr>
            <w:r w:rsidRPr="00277827">
              <w:t>Midgut NET</w:t>
            </w:r>
          </w:p>
          <w:p w14:paraId="5ABED95B" w14:textId="77777777" w:rsidR="000509B9" w:rsidRPr="00E92651" w:rsidRDefault="000509B9" w:rsidP="00F46222">
            <w:pPr>
              <w:pStyle w:val="TableText"/>
            </w:pPr>
          </w:p>
        </w:tc>
        <w:tc>
          <w:tcPr>
            <w:tcW w:w="556" w:type="pct"/>
            <w:shd w:val="clear" w:color="auto" w:fill="auto"/>
          </w:tcPr>
          <w:p w14:paraId="66A5614B" w14:textId="77777777" w:rsidR="000509B9" w:rsidRDefault="000509B9" w:rsidP="00F46222">
            <w:pPr>
              <w:pStyle w:val="TableText"/>
              <w:rPr>
                <w:lang w:val="en-US"/>
              </w:rPr>
            </w:pPr>
            <w:r w:rsidRPr="00125E51">
              <w:t>PFS</w:t>
            </w:r>
          </w:p>
        </w:tc>
        <w:tc>
          <w:tcPr>
            <w:tcW w:w="552" w:type="pct"/>
          </w:tcPr>
          <w:p w14:paraId="71926BAF" w14:textId="77777777" w:rsidR="000509B9" w:rsidRPr="00125E51" w:rsidRDefault="000509B9" w:rsidP="00F46222">
            <w:pPr>
              <w:pStyle w:val="TableText"/>
            </w:pPr>
            <w:r>
              <w:t>Yes</w:t>
            </w:r>
          </w:p>
        </w:tc>
      </w:tr>
      <w:tr w:rsidR="000509B9" w:rsidRPr="00125E51" w14:paraId="55335DC2" w14:textId="77777777" w:rsidTr="00F46222">
        <w:trPr>
          <w:cantSplit/>
        </w:trPr>
        <w:tc>
          <w:tcPr>
            <w:tcW w:w="555" w:type="pct"/>
            <w:shd w:val="clear" w:color="auto" w:fill="auto"/>
          </w:tcPr>
          <w:p w14:paraId="64DB1BC7" w14:textId="77777777" w:rsidR="000509B9" w:rsidRPr="000020B3" w:rsidRDefault="000509B9" w:rsidP="00F46222">
            <w:pPr>
              <w:pStyle w:val="TableText"/>
              <w:rPr>
                <w:lang w:val="en-US"/>
              </w:rPr>
            </w:pPr>
            <w:r w:rsidRPr="008E7ECD">
              <w:rPr>
                <w:lang w:val="en-US"/>
              </w:rPr>
              <w:t>OCLURANDOM</w:t>
            </w:r>
            <w:r>
              <w:rPr>
                <w:rStyle w:val="FootnoteReference"/>
                <w:lang w:val="en-US"/>
              </w:rPr>
              <w:footnoteReference w:id="17"/>
            </w:r>
          </w:p>
        </w:tc>
        <w:tc>
          <w:tcPr>
            <w:tcW w:w="556" w:type="pct"/>
          </w:tcPr>
          <w:p w14:paraId="44C59FC6" w14:textId="77777777" w:rsidR="000509B9" w:rsidRPr="00831AD6" w:rsidRDefault="000509B9" w:rsidP="00F46222">
            <w:pPr>
              <w:pStyle w:val="TableText"/>
            </w:pPr>
            <w:r w:rsidRPr="001F7E92">
              <w:rPr>
                <w:vertAlign w:val="superscript"/>
              </w:rPr>
              <w:t>177</w:t>
            </w:r>
            <w:r w:rsidRPr="00831AD6">
              <w:t>Lu-DOTATATE</w:t>
            </w:r>
          </w:p>
        </w:tc>
        <w:tc>
          <w:tcPr>
            <w:tcW w:w="556" w:type="pct"/>
          </w:tcPr>
          <w:p w14:paraId="6C8F39C8" w14:textId="77777777" w:rsidR="000509B9" w:rsidRPr="00831AD6" w:rsidRDefault="000509B9" w:rsidP="00F46222">
            <w:pPr>
              <w:pStyle w:val="TableText"/>
            </w:pPr>
            <w:r w:rsidRPr="00831AD6">
              <w:t>SUN</w:t>
            </w:r>
          </w:p>
        </w:tc>
        <w:tc>
          <w:tcPr>
            <w:tcW w:w="556" w:type="pct"/>
            <w:shd w:val="clear" w:color="auto" w:fill="auto"/>
          </w:tcPr>
          <w:p w14:paraId="4DA8991A" w14:textId="77777777" w:rsidR="000509B9" w:rsidRPr="00CE28E3" w:rsidRDefault="000509B9" w:rsidP="00F46222">
            <w:pPr>
              <w:pStyle w:val="TableText"/>
              <w:rPr>
                <w:lang w:val="en-US"/>
              </w:rPr>
            </w:pPr>
            <w:r>
              <w:rPr>
                <w:lang w:val="en-US"/>
              </w:rPr>
              <w:t>84</w:t>
            </w:r>
          </w:p>
        </w:tc>
        <w:tc>
          <w:tcPr>
            <w:tcW w:w="684" w:type="pct"/>
            <w:shd w:val="clear" w:color="auto" w:fill="auto"/>
          </w:tcPr>
          <w:p w14:paraId="58066691" w14:textId="77777777" w:rsidR="000509B9" w:rsidRPr="00860032" w:rsidRDefault="000509B9" w:rsidP="00F46222">
            <w:pPr>
              <w:pStyle w:val="TableText"/>
              <w:rPr>
                <w:lang w:val="en-US"/>
              </w:rPr>
            </w:pPr>
            <w:r w:rsidRPr="008E7ECD">
              <w:rPr>
                <w:lang w:val="en-US"/>
              </w:rPr>
              <w:t xml:space="preserve">Multicentric, </w:t>
            </w:r>
            <w:proofErr w:type="spellStart"/>
            <w:r w:rsidRPr="008E7ECD">
              <w:rPr>
                <w:lang w:val="en-US"/>
              </w:rPr>
              <w:t>randomi</w:t>
            </w:r>
            <w:r>
              <w:rPr>
                <w:lang w:val="en-US"/>
              </w:rPr>
              <w:t>s</w:t>
            </w:r>
            <w:r w:rsidRPr="008E7ECD">
              <w:rPr>
                <w:lang w:val="en-US"/>
              </w:rPr>
              <w:t>ed</w:t>
            </w:r>
            <w:proofErr w:type="spellEnd"/>
            <w:r w:rsidRPr="008E7ECD">
              <w:rPr>
                <w:lang w:val="en-US"/>
              </w:rPr>
              <w:t>, open-label study</w:t>
            </w:r>
          </w:p>
        </w:tc>
        <w:tc>
          <w:tcPr>
            <w:tcW w:w="429" w:type="pct"/>
            <w:shd w:val="clear" w:color="auto" w:fill="auto"/>
          </w:tcPr>
          <w:p w14:paraId="0899A6A4" w14:textId="77777777" w:rsidR="000509B9" w:rsidRPr="0095653C" w:rsidRDefault="000509B9" w:rsidP="00F46222">
            <w:pPr>
              <w:pStyle w:val="TableText"/>
              <w:rPr>
                <w:iCs/>
                <w:lang w:val="en-US"/>
              </w:rPr>
            </w:pPr>
            <w:r w:rsidRPr="0095653C">
              <w:rPr>
                <w:iCs/>
                <w:lang w:val="en-US"/>
              </w:rPr>
              <w:t>High</w:t>
            </w:r>
          </w:p>
        </w:tc>
        <w:tc>
          <w:tcPr>
            <w:tcW w:w="556" w:type="pct"/>
            <w:shd w:val="clear" w:color="auto" w:fill="auto"/>
          </w:tcPr>
          <w:p w14:paraId="099A8C84" w14:textId="77777777" w:rsidR="000509B9" w:rsidRPr="00860032" w:rsidRDefault="000509B9" w:rsidP="00F46222">
            <w:pPr>
              <w:pStyle w:val="TableText"/>
              <w:rPr>
                <w:lang w:val="en-US"/>
              </w:rPr>
            </w:pPr>
            <w:proofErr w:type="spellStart"/>
            <w:r w:rsidRPr="00277827">
              <w:t>pNET</w:t>
            </w:r>
            <w:proofErr w:type="spellEnd"/>
          </w:p>
        </w:tc>
        <w:tc>
          <w:tcPr>
            <w:tcW w:w="556" w:type="pct"/>
            <w:shd w:val="clear" w:color="auto" w:fill="auto"/>
          </w:tcPr>
          <w:p w14:paraId="090D5A81" w14:textId="77777777" w:rsidR="000509B9" w:rsidRDefault="000509B9" w:rsidP="00F46222">
            <w:pPr>
              <w:pStyle w:val="TableText"/>
              <w:rPr>
                <w:lang w:val="en-US"/>
              </w:rPr>
            </w:pPr>
            <w:r w:rsidRPr="00125E51">
              <w:t>PFS</w:t>
            </w:r>
          </w:p>
        </w:tc>
        <w:tc>
          <w:tcPr>
            <w:tcW w:w="552" w:type="pct"/>
          </w:tcPr>
          <w:p w14:paraId="6055C354" w14:textId="77777777" w:rsidR="000509B9" w:rsidRPr="00125E51" w:rsidRDefault="000509B9" w:rsidP="00F46222">
            <w:pPr>
              <w:pStyle w:val="TableText"/>
            </w:pPr>
            <w:r>
              <w:t>No</w:t>
            </w:r>
          </w:p>
        </w:tc>
      </w:tr>
      <w:tr w:rsidR="000509B9" w14:paraId="66E86FA1" w14:textId="77777777" w:rsidTr="00F46222">
        <w:trPr>
          <w:cantSplit/>
        </w:trPr>
        <w:tc>
          <w:tcPr>
            <w:tcW w:w="5000" w:type="pct"/>
            <w:gridSpan w:val="9"/>
            <w:shd w:val="clear" w:color="auto" w:fill="auto"/>
          </w:tcPr>
          <w:p w14:paraId="2EA0B910" w14:textId="77777777" w:rsidR="000509B9" w:rsidRDefault="000509B9" w:rsidP="00F46222">
            <w:pPr>
              <w:pStyle w:val="TableText"/>
              <w:keepNext/>
              <w:rPr>
                <w:lang w:val="en-US"/>
              </w:rPr>
            </w:pPr>
            <w:r>
              <w:rPr>
                <w:lang w:val="en-US"/>
              </w:rPr>
              <w:t>Comparator therapies studies</w:t>
            </w:r>
          </w:p>
        </w:tc>
      </w:tr>
      <w:tr w:rsidR="000509B9" w14:paraId="3A79F558" w14:textId="77777777" w:rsidTr="00F46222">
        <w:trPr>
          <w:cantSplit/>
        </w:trPr>
        <w:tc>
          <w:tcPr>
            <w:tcW w:w="555" w:type="pct"/>
            <w:shd w:val="clear" w:color="auto" w:fill="auto"/>
          </w:tcPr>
          <w:p w14:paraId="7E0F6500" w14:textId="77777777" w:rsidR="000509B9" w:rsidRPr="00CE28E3" w:rsidRDefault="000509B9" w:rsidP="00F46222">
            <w:pPr>
              <w:pStyle w:val="TableText"/>
              <w:rPr>
                <w:lang w:val="en-US"/>
              </w:rPr>
            </w:pPr>
            <w:r w:rsidRPr="000020B3">
              <w:rPr>
                <w:lang w:val="en-US"/>
              </w:rPr>
              <w:t>CLARINET</w:t>
            </w:r>
            <w:r>
              <w:rPr>
                <w:rStyle w:val="FootnoteReference"/>
                <w:lang w:val="en-US"/>
              </w:rPr>
              <w:footnoteReference w:id="18"/>
            </w:r>
          </w:p>
        </w:tc>
        <w:tc>
          <w:tcPr>
            <w:tcW w:w="556" w:type="pct"/>
          </w:tcPr>
          <w:p w14:paraId="2FA2B852" w14:textId="77777777" w:rsidR="000509B9" w:rsidRPr="00CE28E3" w:rsidRDefault="000509B9" w:rsidP="00F46222">
            <w:pPr>
              <w:pStyle w:val="TableText"/>
              <w:rPr>
                <w:lang w:val="en-US"/>
              </w:rPr>
            </w:pPr>
            <w:r w:rsidRPr="00831AD6">
              <w:t>LAN</w:t>
            </w:r>
          </w:p>
        </w:tc>
        <w:tc>
          <w:tcPr>
            <w:tcW w:w="556" w:type="pct"/>
          </w:tcPr>
          <w:p w14:paraId="1085FD6E" w14:textId="77777777" w:rsidR="000509B9" w:rsidRPr="00CE28E3" w:rsidRDefault="000509B9" w:rsidP="00F46222">
            <w:pPr>
              <w:pStyle w:val="TableText"/>
              <w:rPr>
                <w:lang w:val="en-US"/>
              </w:rPr>
            </w:pPr>
            <w:r w:rsidRPr="00831AD6">
              <w:t>PBO</w:t>
            </w:r>
          </w:p>
        </w:tc>
        <w:tc>
          <w:tcPr>
            <w:tcW w:w="556" w:type="pct"/>
            <w:shd w:val="clear" w:color="auto" w:fill="auto"/>
          </w:tcPr>
          <w:p w14:paraId="7F581E0E" w14:textId="77777777" w:rsidR="000509B9" w:rsidRPr="00CE28E3" w:rsidRDefault="000509B9" w:rsidP="00F46222">
            <w:pPr>
              <w:pStyle w:val="TableText"/>
              <w:rPr>
                <w:lang w:val="en-US"/>
              </w:rPr>
            </w:pPr>
            <w:r w:rsidRPr="00CE28E3">
              <w:rPr>
                <w:lang w:val="en-US"/>
              </w:rPr>
              <w:t>2</w:t>
            </w:r>
            <w:r>
              <w:rPr>
                <w:lang w:val="en-US"/>
              </w:rPr>
              <w:t>04</w:t>
            </w:r>
          </w:p>
        </w:tc>
        <w:tc>
          <w:tcPr>
            <w:tcW w:w="684" w:type="pct"/>
            <w:shd w:val="clear" w:color="auto" w:fill="auto"/>
          </w:tcPr>
          <w:p w14:paraId="7285E8A8" w14:textId="77777777" w:rsidR="000509B9" w:rsidRPr="00CE28E3" w:rsidRDefault="000509B9" w:rsidP="00F46222">
            <w:pPr>
              <w:pStyle w:val="TableText"/>
              <w:rPr>
                <w:lang w:val="en-US"/>
              </w:rPr>
            </w:pPr>
            <w:proofErr w:type="spellStart"/>
            <w:r w:rsidRPr="00860032">
              <w:rPr>
                <w:lang w:val="en-US"/>
              </w:rPr>
              <w:t>Randomised</w:t>
            </w:r>
            <w:proofErr w:type="spellEnd"/>
            <w:r w:rsidRPr="00860032">
              <w:rPr>
                <w:lang w:val="en-US"/>
              </w:rPr>
              <w:t>, double</w:t>
            </w:r>
            <w:r>
              <w:rPr>
                <w:lang w:val="en-US"/>
              </w:rPr>
              <w:t>-</w:t>
            </w:r>
            <w:r w:rsidRPr="00860032">
              <w:rPr>
                <w:lang w:val="en-US"/>
              </w:rPr>
              <w:t>blind, placebo</w:t>
            </w:r>
            <w:r>
              <w:rPr>
                <w:lang w:val="en-US"/>
              </w:rPr>
              <w:t>-</w:t>
            </w:r>
            <w:r w:rsidRPr="00860032">
              <w:rPr>
                <w:lang w:val="en-US"/>
              </w:rPr>
              <w:t>controlled trial</w:t>
            </w:r>
          </w:p>
        </w:tc>
        <w:tc>
          <w:tcPr>
            <w:tcW w:w="429" w:type="pct"/>
            <w:shd w:val="clear" w:color="auto" w:fill="auto"/>
          </w:tcPr>
          <w:p w14:paraId="163B72B0"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01AB94F2" w14:textId="77777777" w:rsidR="000509B9" w:rsidRPr="00CE28E3" w:rsidRDefault="000509B9" w:rsidP="00F46222">
            <w:pPr>
              <w:pStyle w:val="TableText"/>
              <w:rPr>
                <w:lang w:val="en-US"/>
              </w:rPr>
            </w:pPr>
            <w:r w:rsidRPr="00860032">
              <w:rPr>
                <w:lang w:val="en-US"/>
              </w:rPr>
              <w:t>NEEPT</w:t>
            </w:r>
          </w:p>
        </w:tc>
        <w:tc>
          <w:tcPr>
            <w:tcW w:w="556" w:type="pct"/>
            <w:shd w:val="clear" w:color="auto" w:fill="auto"/>
          </w:tcPr>
          <w:p w14:paraId="2E7DB493" w14:textId="77777777" w:rsidR="000509B9" w:rsidRPr="00CE28E3" w:rsidRDefault="000509B9" w:rsidP="00F46222">
            <w:pPr>
              <w:pStyle w:val="TableText"/>
              <w:rPr>
                <w:lang w:val="en-US"/>
              </w:rPr>
            </w:pPr>
            <w:r>
              <w:rPr>
                <w:lang w:val="en-US"/>
              </w:rPr>
              <w:t>PFS</w:t>
            </w:r>
          </w:p>
        </w:tc>
        <w:tc>
          <w:tcPr>
            <w:tcW w:w="552" w:type="pct"/>
          </w:tcPr>
          <w:p w14:paraId="278528C6" w14:textId="77777777" w:rsidR="000509B9" w:rsidRDefault="000509B9" w:rsidP="00F46222">
            <w:pPr>
              <w:pStyle w:val="TableText"/>
              <w:rPr>
                <w:lang w:val="en-US"/>
              </w:rPr>
            </w:pPr>
            <w:r>
              <w:rPr>
                <w:lang w:val="en-US"/>
              </w:rPr>
              <w:t>Yes</w:t>
            </w:r>
          </w:p>
        </w:tc>
      </w:tr>
      <w:tr w:rsidR="000509B9" w14:paraId="01AFAE74" w14:textId="77777777" w:rsidTr="00F46222">
        <w:trPr>
          <w:cantSplit/>
        </w:trPr>
        <w:tc>
          <w:tcPr>
            <w:tcW w:w="555" w:type="pct"/>
            <w:shd w:val="clear" w:color="auto" w:fill="auto"/>
          </w:tcPr>
          <w:p w14:paraId="73C5FA65" w14:textId="77777777" w:rsidR="000509B9" w:rsidRPr="00CE28E3" w:rsidRDefault="000509B9" w:rsidP="00F46222">
            <w:pPr>
              <w:pStyle w:val="TableText"/>
              <w:rPr>
                <w:lang w:val="en-US"/>
              </w:rPr>
            </w:pPr>
            <w:r w:rsidRPr="00A647CE">
              <w:rPr>
                <w:rFonts w:cs="Arial"/>
                <w:bCs/>
                <w:snapToGrid w:val="0"/>
                <w:szCs w:val="20"/>
              </w:rPr>
              <w:t>PROMID</w:t>
            </w:r>
            <w:r>
              <w:rPr>
                <w:rStyle w:val="FootnoteReference"/>
                <w:rFonts w:cs="Arial"/>
                <w:bCs/>
                <w:snapToGrid w:val="0"/>
                <w:szCs w:val="20"/>
              </w:rPr>
              <w:footnoteReference w:id="19"/>
            </w:r>
          </w:p>
        </w:tc>
        <w:tc>
          <w:tcPr>
            <w:tcW w:w="556" w:type="pct"/>
          </w:tcPr>
          <w:p w14:paraId="0D23F532" w14:textId="77777777" w:rsidR="000509B9" w:rsidRDefault="000509B9" w:rsidP="00F46222">
            <w:pPr>
              <w:pStyle w:val="TableText"/>
              <w:rPr>
                <w:lang w:val="en-US"/>
              </w:rPr>
            </w:pPr>
            <w:r w:rsidRPr="00831AD6">
              <w:t>OCT</w:t>
            </w:r>
          </w:p>
        </w:tc>
        <w:tc>
          <w:tcPr>
            <w:tcW w:w="556" w:type="pct"/>
          </w:tcPr>
          <w:p w14:paraId="3782466C" w14:textId="77777777" w:rsidR="000509B9" w:rsidRDefault="000509B9" w:rsidP="00F46222">
            <w:pPr>
              <w:pStyle w:val="TableText"/>
              <w:rPr>
                <w:lang w:val="en-US"/>
              </w:rPr>
            </w:pPr>
            <w:r w:rsidRPr="00831AD6">
              <w:t>PBO</w:t>
            </w:r>
          </w:p>
        </w:tc>
        <w:tc>
          <w:tcPr>
            <w:tcW w:w="556" w:type="pct"/>
            <w:shd w:val="clear" w:color="auto" w:fill="auto"/>
          </w:tcPr>
          <w:p w14:paraId="1BD46D1C" w14:textId="77777777" w:rsidR="000509B9" w:rsidRPr="00CE28E3" w:rsidRDefault="000509B9" w:rsidP="00F46222">
            <w:pPr>
              <w:pStyle w:val="TableText"/>
              <w:rPr>
                <w:lang w:val="en-US"/>
              </w:rPr>
            </w:pPr>
            <w:r>
              <w:rPr>
                <w:lang w:val="en-US"/>
              </w:rPr>
              <w:t>85</w:t>
            </w:r>
          </w:p>
        </w:tc>
        <w:tc>
          <w:tcPr>
            <w:tcW w:w="684" w:type="pct"/>
            <w:shd w:val="clear" w:color="auto" w:fill="auto"/>
          </w:tcPr>
          <w:p w14:paraId="3F6A96C6" w14:textId="77777777" w:rsidR="000509B9" w:rsidRPr="00CE28E3" w:rsidRDefault="000509B9" w:rsidP="00F46222">
            <w:pPr>
              <w:pStyle w:val="TableText"/>
              <w:rPr>
                <w:lang w:val="en-US"/>
              </w:rPr>
            </w:pPr>
            <w:proofErr w:type="spellStart"/>
            <w:r w:rsidRPr="00B807EA">
              <w:rPr>
                <w:lang w:val="en-US"/>
              </w:rPr>
              <w:t>Randomi</w:t>
            </w:r>
            <w:r>
              <w:rPr>
                <w:lang w:val="en-US"/>
              </w:rPr>
              <w:t>s</w:t>
            </w:r>
            <w:r w:rsidRPr="00B807EA">
              <w:rPr>
                <w:lang w:val="en-US"/>
              </w:rPr>
              <w:t>ed</w:t>
            </w:r>
            <w:proofErr w:type="spellEnd"/>
            <w:r w:rsidRPr="00B807EA">
              <w:rPr>
                <w:lang w:val="en-US"/>
              </w:rPr>
              <w:t>, double-blind, placebo-controlled trial</w:t>
            </w:r>
          </w:p>
        </w:tc>
        <w:tc>
          <w:tcPr>
            <w:tcW w:w="429" w:type="pct"/>
            <w:shd w:val="clear" w:color="auto" w:fill="auto"/>
          </w:tcPr>
          <w:p w14:paraId="77270E55"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305DBC01" w14:textId="77777777" w:rsidR="000509B9" w:rsidRPr="00CE28E3" w:rsidRDefault="000509B9" w:rsidP="00F46222">
            <w:pPr>
              <w:pStyle w:val="TableText"/>
              <w:rPr>
                <w:lang w:val="en-US"/>
              </w:rPr>
            </w:pPr>
            <w:r>
              <w:rPr>
                <w:lang w:val="en-US"/>
              </w:rPr>
              <w:t>M</w:t>
            </w:r>
            <w:r w:rsidRPr="00B807EA">
              <w:rPr>
                <w:lang w:val="en-US"/>
              </w:rPr>
              <w:t>idgut NET</w:t>
            </w:r>
          </w:p>
        </w:tc>
        <w:tc>
          <w:tcPr>
            <w:tcW w:w="556" w:type="pct"/>
            <w:shd w:val="clear" w:color="auto" w:fill="auto"/>
          </w:tcPr>
          <w:p w14:paraId="17024636" w14:textId="77777777" w:rsidR="000509B9" w:rsidRPr="00CE28E3" w:rsidRDefault="000509B9" w:rsidP="00F46222">
            <w:pPr>
              <w:pStyle w:val="TableText"/>
              <w:rPr>
                <w:lang w:val="en-US"/>
              </w:rPr>
            </w:pPr>
            <w:r>
              <w:rPr>
                <w:lang w:val="en-US"/>
              </w:rPr>
              <w:t>TTP</w:t>
            </w:r>
          </w:p>
        </w:tc>
        <w:tc>
          <w:tcPr>
            <w:tcW w:w="552" w:type="pct"/>
          </w:tcPr>
          <w:p w14:paraId="4D4C42E8" w14:textId="77777777" w:rsidR="000509B9" w:rsidRDefault="000509B9" w:rsidP="00F46222">
            <w:pPr>
              <w:pStyle w:val="TableText"/>
              <w:rPr>
                <w:lang w:val="en-US"/>
              </w:rPr>
            </w:pPr>
            <w:r>
              <w:rPr>
                <w:lang w:val="en-US"/>
              </w:rPr>
              <w:t>Yes</w:t>
            </w:r>
          </w:p>
        </w:tc>
      </w:tr>
      <w:tr w:rsidR="000509B9" w:rsidRPr="00FD2E7E" w14:paraId="4A4E81AA" w14:textId="77777777" w:rsidTr="00F46222">
        <w:trPr>
          <w:cantSplit/>
        </w:trPr>
        <w:tc>
          <w:tcPr>
            <w:tcW w:w="555" w:type="pct"/>
            <w:shd w:val="clear" w:color="auto" w:fill="auto"/>
          </w:tcPr>
          <w:p w14:paraId="4BC44865" w14:textId="77777777" w:rsidR="000509B9" w:rsidRPr="00CE28E3" w:rsidRDefault="000509B9" w:rsidP="00F46222">
            <w:pPr>
              <w:pStyle w:val="TableText"/>
              <w:rPr>
                <w:lang w:val="en-US"/>
              </w:rPr>
            </w:pPr>
            <w:r w:rsidRPr="00B807EA">
              <w:rPr>
                <w:lang w:val="en-US"/>
              </w:rPr>
              <w:t>ECOG-ACRIN E2211</w:t>
            </w:r>
            <w:r>
              <w:rPr>
                <w:rStyle w:val="FootnoteReference"/>
                <w:lang w:val="en-US"/>
              </w:rPr>
              <w:footnoteReference w:id="20"/>
            </w:r>
          </w:p>
        </w:tc>
        <w:tc>
          <w:tcPr>
            <w:tcW w:w="556" w:type="pct"/>
          </w:tcPr>
          <w:p w14:paraId="441A23A2" w14:textId="77777777" w:rsidR="000509B9" w:rsidRDefault="000509B9" w:rsidP="00F46222">
            <w:pPr>
              <w:pStyle w:val="TableText"/>
              <w:rPr>
                <w:lang w:val="en-US"/>
              </w:rPr>
            </w:pPr>
            <w:r w:rsidRPr="00831AD6">
              <w:t>TEM</w:t>
            </w:r>
          </w:p>
        </w:tc>
        <w:tc>
          <w:tcPr>
            <w:tcW w:w="556" w:type="pct"/>
          </w:tcPr>
          <w:p w14:paraId="39D5DFA2" w14:textId="77777777" w:rsidR="000509B9" w:rsidRDefault="000509B9" w:rsidP="00F46222">
            <w:pPr>
              <w:pStyle w:val="TableText"/>
              <w:rPr>
                <w:lang w:val="en-US"/>
              </w:rPr>
            </w:pPr>
            <w:r w:rsidRPr="00831AD6">
              <w:t>CAPTEM</w:t>
            </w:r>
          </w:p>
        </w:tc>
        <w:tc>
          <w:tcPr>
            <w:tcW w:w="556" w:type="pct"/>
            <w:shd w:val="clear" w:color="auto" w:fill="auto"/>
          </w:tcPr>
          <w:p w14:paraId="5CF12543" w14:textId="77777777" w:rsidR="000509B9" w:rsidRPr="00CE28E3" w:rsidRDefault="000509B9" w:rsidP="00F46222">
            <w:pPr>
              <w:pStyle w:val="TableText"/>
              <w:rPr>
                <w:lang w:val="en-US"/>
              </w:rPr>
            </w:pPr>
            <w:r>
              <w:rPr>
                <w:lang w:val="en-US"/>
              </w:rPr>
              <w:t>144</w:t>
            </w:r>
          </w:p>
        </w:tc>
        <w:tc>
          <w:tcPr>
            <w:tcW w:w="684" w:type="pct"/>
            <w:shd w:val="clear" w:color="auto" w:fill="auto"/>
          </w:tcPr>
          <w:p w14:paraId="2A2F6C42" w14:textId="77777777" w:rsidR="000509B9" w:rsidRPr="00CE28E3" w:rsidRDefault="000509B9" w:rsidP="00F46222">
            <w:pPr>
              <w:pStyle w:val="TableText"/>
              <w:rPr>
                <w:lang w:val="en-US"/>
              </w:rPr>
            </w:pPr>
            <w:r w:rsidRPr="00BD6F9F">
              <w:rPr>
                <w:lang w:val="en-US"/>
              </w:rPr>
              <w:t xml:space="preserve">Open-label, </w:t>
            </w:r>
            <w:proofErr w:type="spellStart"/>
            <w:r w:rsidRPr="00BD6F9F">
              <w:rPr>
                <w:lang w:val="en-US"/>
              </w:rPr>
              <w:t>multicent</w:t>
            </w:r>
            <w:r>
              <w:rPr>
                <w:lang w:val="en-US"/>
              </w:rPr>
              <w:t>re</w:t>
            </w:r>
            <w:proofErr w:type="spellEnd"/>
            <w:r w:rsidRPr="00BD6F9F">
              <w:rPr>
                <w:lang w:val="en-US"/>
              </w:rPr>
              <w:t xml:space="preserve"> </w:t>
            </w:r>
            <w:proofErr w:type="spellStart"/>
            <w:r w:rsidRPr="00BD6F9F">
              <w:rPr>
                <w:lang w:val="en-US"/>
              </w:rPr>
              <w:t>randomised</w:t>
            </w:r>
            <w:proofErr w:type="spellEnd"/>
            <w:r w:rsidRPr="00BD6F9F">
              <w:rPr>
                <w:lang w:val="en-US"/>
              </w:rPr>
              <w:t xml:space="preserve"> controlled trial</w:t>
            </w:r>
          </w:p>
        </w:tc>
        <w:tc>
          <w:tcPr>
            <w:tcW w:w="429" w:type="pct"/>
            <w:shd w:val="clear" w:color="auto" w:fill="auto"/>
          </w:tcPr>
          <w:p w14:paraId="7858EF8C"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06EACA52" w14:textId="77777777" w:rsidR="000509B9" w:rsidRPr="00CE28E3" w:rsidRDefault="000509B9" w:rsidP="00F46222">
            <w:pPr>
              <w:pStyle w:val="TableText"/>
              <w:rPr>
                <w:lang w:val="en-US"/>
              </w:rPr>
            </w:pPr>
            <w:proofErr w:type="spellStart"/>
            <w:r w:rsidRPr="00A647CE">
              <w:rPr>
                <w:rFonts w:cs="Arial"/>
                <w:bCs/>
                <w:snapToGrid w:val="0"/>
                <w:szCs w:val="20"/>
              </w:rPr>
              <w:t>pNET</w:t>
            </w:r>
            <w:proofErr w:type="spellEnd"/>
          </w:p>
        </w:tc>
        <w:tc>
          <w:tcPr>
            <w:tcW w:w="556" w:type="pct"/>
            <w:shd w:val="clear" w:color="auto" w:fill="auto"/>
          </w:tcPr>
          <w:p w14:paraId="78605406" w14:textId="77777777" w:rsidR="000509B9" w:rsidRPr="00CE28E3" w:rsidRDefault="000509B9" w:rsidP="00F46222">
            <w:pPr>
              <w:pStyle w:val="TableText"/>
              <w:rPr>
                <w:lang w:val="en-US"/>
              </w:rPr>
            </w:pPr>
            <w:r w:rsidRPr="00FD2E7E">
              <w:t>PFS</w:t>
            </w:r>
          </w:p>
        </w:tc>
        <w:tc>
          <w:tcPr>
            <w:tcW w:w="552" w:type="pct"/>
          </w:tcPr>
          <w:p w14:paraId="228458C7" w14:textId="77777777" w:rsidR="000509B9" w:rsidRPr="00FD2E7E" w:rsidRDefault="000509B9" w:rsidP="00F46222">
            <w:pPr>
              <w:pStyle w:val="TableText"/>
            </w:pPr>
            <w:r>
              <w:t>No</w:t>
            </w:r>
          </w:p>
        </w:tc>
      </w:tr>
      <w:tr w:rsidR="000509B9" w:rsidRPr="00FD2E7E" w14:paraId="7F440F46" w14:textId="77777777" w:rsidTr="00F46222">
        <w:trPr>
          <w:cantSplit/>
        </w:trPr>
        <w:tc>
          <w:tcPr>
            <w:tcW w:w="555" w:type="pct"/>
            <w:shd w:val="clear" w:color="auto" w:fill="auto"/>
          </w:tcPr>
          <w:p w14:paraId="40D13983" w14:textId="77777777" w:rsidR="000509B9" w:rsidRPr="00CE28E3" w:rsidRDefault="000509B9" w:rsidP="00F46222">
            <w:pPr>
              <w:pStyle w:val="TableText"/>
              <w:rPr>
                <w:lang w:val="en-US"/>
              </w:rPr>
            </w:pPr>
            <w:r w:rsidRPr="00B807EA">
              <w:rPr>
                <w:lang w:val="en-US"/>
              </w:rPr>
              <w:t>TOPIC-NEC</w:t>
            </w:r>
            <w:r>
              <w:rPr>
                <w:rStyle w:val="FootnoteReference"/>
                <w:lang w:val="en-US"/>
              </w:rPr>
              <w:footnoteReference w:id="21"/>
            </w:r>
          </w:p>
        </w:tc>
        <w:tc>
          <w:tcPr>
            <w:tcW w:w="556" w:type="pct"/>
          </w:tcPr>
          <w:p w14:paraId="35983FDD" w14:textId="77777777" w:rsidR="000509B9" w:rsidRDefault="000509B9" w:rsidP="00F46222">
            <w:pPr>
              <w:pStyle w:val="TableText"/>
              <w:rPr>
                <w:lang w:val="en-US"/>
              </w:rPr>
            </w:pPr>
            <w:r w:rsidRPr="00831AD6">
              <w:t xml:space="preserve">Etoposide + </w:t>
            </w:r>
            <w:r>
              <w:t>c</w:t>
            </w:r>
            <w:r w:rsidRPr="00831AD6">
              <w:t>isplatin</w:t>
            </w:r>
          </w:p>
        </w:tc>
        <w:tc>
          <w:tcPr>
            <w:tcW w:w="556" w:type="pct"/>
          </w:tcPr>
          <w:p w14:paraId="2CD6E2FE" w14:textId="77777777" w:rsidR="000509B9" w:rsidRDefault="000509B9" w:rsidP="00F46222">
            <w:pPr>
              <w:pStyle w:val="TableText"/>
              <w:rPr>
                <w:lang w:val="en-US"/>
              </w:rPr>
            </w:pPr>
            <w:r w:rsidRPr="00831AD6">
              <w:t>Irinotecan + cisplatin</w:t>
            </w:r>
          </w:p>
        </w:tc>
        <w:tc>
          <w:tcPr>
            <w:tcW w:w="556" w:type="pct"/>
            <w:shd w:val="clear" w:color="auto" w:fill="auto"/>
          </w:tcPr>
          <w:p w14:paraId="4ACEFEB8" w14:textId="77777777" w:rsidR="000509B9" w:rsidRPr="00CE28E3" w:rsidRDefault="000509B9" w:rsidP="00F46222">
            <w:pPr>
              <w:pStyle w:val="TableText"/>
              <w:rPr>
                <w:lang w:val="en-US"/>
              </w:rPr>
            </w:pPr>
            <w:r>
              <w:rPr>
                <w:lang w:val="en-US"/>
              </w:rPr>
              <w:t>170</w:t>
            </w:r>
          </w:p>
        </w:tc>
        <w:tc>
          <w:tcPr>
            <w:tcW w:w="684" w:type="pct"/>
            <w:shd w:val="clear" w:color="auto" w:fill="auto"/>
          </w:tcPr>
          <w:p w14:paraId="020EA786" w14:textId="77777777" w:rsidR="000509B9" w:rsidRPr="00CE28E3" w:rsidRDefault="000509B9" w:rsidP="00F46222">
            <w:pPr>
              <w:pStyle w:val="TableText"/>
              <w:rPr>
                <w:lang w:val="en-US"/>
              </w:rPr>
            </w:pPr>
            <w:proofErr w:type="spellStart"/>
            <w:r w:rsidRPr="00BD6F9F">
              <w:rPr>
                <w:lang w:val="en-US"/>
              </w:rPr>
              <w:t>Randomised</w:t>
            </w:r>
            <w:proofErr w:type="spellEnd"/>
            <w:r w:rsidRPr="00BD6F9F">
              <w:rPr>
                <w:lang w:val="en-US"/>
              </w:rPr>
              <w:t xml:space="preserve">, open-label, </w:t>
            </w:r>
            <w:proofErr w:type="spellStart"/>
            <w:r w:rsidRPr="00BD6F9F">
              <w:rPr>
                <w:lang w:val="en-US"/>
              </w:rPr>
              <w:t>multicent</w:t>
            </w:r>
            <w:r>
              <w:rPr>
                <w:lang w:val="en-US"/>
              </w:rPr>
              <w:t>re</w:t>
            </w:r>
            <w:proofErr w:type="spellEnd"/>
            <w:r w:rsidRPr="00BD6F9F">
              <w:rPr>
                <w:lang w:val="en-US"/>
              </w:rPr>
              <w:t xml:space="preserve"> clinical trial</w:t>
            </w:r>
          </w:p>
        </w:tc>
        <w:tc>
          <w:tcPr>
            <w:tcW w:w="429" w:type="pct"/>
            <w:shd w:val="clear" w:color="auto" w:fill="auto"/>
          </w:tcPr>
          <w:p w14:paraId="073D6885" w14:textId="77777777" w:rsidR="000509B9" w:rsidRPr="0095653C" w:rsidRDefault="000509B9" w:rsidP="00F46222">
            <w:pPr>
              <w:pStyle w:val="TableText"/>
              <w:rPr>
                <w:iCs/>
                <w:lang w:val="en-US"/>
              </w:rPr>
            </w:pPr>
            <w:r w:rsidRPr="0095653C">
              <w:rPr>
                <w:iCs/>
                <w:lang w:val="en-US"/>
              </w:rPr>
              <w:t>High</w:t>
            </w:r>
          </w:p>
        </w:tc>
        <w:tc>
          <w:tcPr>
            <w:tcW w:w="556" w:type="pct"/>
            <w:shd w:val="clear" w:color="auto" w:fill="auto"/>
          </w:tcPr>
          <w:p w14:paraId="59DF6992" w14:textId="77777777" w:rsidR="000509B9" w:rsidRPr="00CE28E3" w:rsidRDefault="000509B9" w:rsidP="00F46222">
            <w:pPr>
              <w:pStyle w:val="TableText"/>
              <w:rPr>
                <w:lang w:val="en-US"/>
              </w:rPr>
            </w:pPr>
            <w:r w:rsidRPr="00A647CE">
              <w:rPr>
                <w:rFonts w:cs="Arial"/>
                <w:bCs/>
                <w:snapToGrid w:val="0"/>
                <w:szCs w:val="20"/>
              </w:rPr>
              <w:t>Gastro-hepato-</w:t>
            </w:r>
            <w:proofErr w:type="spellStart"/>
            <w:r w:rsidRPr="00A647CE">
              <w:rPr>
                <w:rFonts w:cs="Arial"/>
                <w:bCs/>
                <w:snapToGrid w:val="0"/>
                <w:szCs w:val="20"/>
              </w:rPr>
              <w:t>pNET</w:t>
            </w:r>
            <w:proofErr w:type="spellEnd"/>
          </w:p>
        </w:tc>
        <w:tc>
          <w:tcPr>
            <w:tcW w:w="556" w:type="pct"/>
            <w:shd w:val="clear" w:color="auto" w:fill="auto"/>
          </w:tcPr>
          <w:p w14:paraId="6AE1D9CC" w14:textId="77777777" w:rsidR="000509B9" w:rsidRPr="00CE28E3" w:rsidRDefault="000509B9" w:rsidP="00F46222">
            <w:pPr>
              <w:pStyle w:val="TableText"/>
              <w:rPr>
                <w:lang w:val="en-US"/>
              </w:rPr>
            </w:pPr>
            <w:r w:rsidRPr="00FD2E7E">
              <w:t>OS</w:t>
            </w:r>
          </w:p>
        </w:tc>
        <w:tc>
          <w:tcPr>
            <w:tcW w:w="552" w:type="pct"/>
          </w:tcPr>
          <w:p w14:paraId="756D5ADF" w14:textId="77777777" w:rsidR="000509B9" w:rsidRPr="00FD2E7E" w:rsidRDefault="000509B9" w:rsidP="00F46222">
            <w:pPr>
              <w:pStyle w:val="TableText"/>
            </w:pPr>
            <w:r>
              <w:t>No</w:t>
            </w:r>
          </w:p>
        </w:tc>
      </w:tr>
      <w:tr w:rsidR="000509B9" w:rsidRPr="00FD2E7E" w14:paraId="7393E6B0" w14:textId="77777777" w:rsidTr="00F46222">
        <w:trPr>
          <w:cantSplit/>
        </w:trPr>
        <w:tc>
          <w:tcPr>
            <w:tcW w:w="555" w:type="pct"/>
            <w:shd w:val="clear" w:color="auto" w:fill="auto"/>
          </w:tcPr>
          <w:p w14:paraId="710AF0C7" w14:textId="77777777" w:rsidR="000509B9" w:rsidRPr="00CE28E3" w:rsidRDefault="000509B9" w:rsidP="00F46222">
            <w:pPr>
              <w:pStyle w:val="TableText"/>
              <w:rPr>
                <w:lang w:val="en-US"/>
              </w:rPr>
            </w:pPr>
            <w:r w:rsidRPr="00B807EA">
              <w:rPr>
                <w:lang w:val="en-US"/>
              </w:rPr>
              <w:t>RADIANT-2</w:t>
            </w:r>
            <w:r>
              <w:rPr>
                <w:rStyle w:val="FootnoteReference"/>
                <w:lang w:val="en-US"/>
              </w:rPr>
              <w:footnoteReference w:id="22"/>
            </w:r>
          </w:p>
        </w:tc>
        <w:tc>
          <w:tcPr>
            <w:tcW w:w="556" w:type="pct"/>
          </w:tcPr>
          <w:p w14:paraId="4BC40857" w14:textId="77777777" w:rsidR="000509B9" w:rsidRDefault="000509B9" w:rsidP="00F46222">
            <w:pPr>
              <w:pStyle w:val="TableText"/>
              <w:rPr>
                <w:lang w:val="en-US"/>
              </w:rPr>
            </w:pPr>
            <w:r w:rsidRPr="00831AD6">
              <w:t>OCT + EVO</w:t>
            </w:r>
          </w:p>
        </w:tc>
        <w:tc>
          <w:tcPr>
            <w:tcW w:w="556" w:type="pct"/>
          </w:tcPr>
          <w:p w14:paraId="3A80C9CC" w14:textId="77777777" w:rsidR="000509B9" w:rsidRDefault="000509B9" w:rsidP="00F46222">
            <w:pPr>
              <w:pStyle w:val="TableText"/>
              <w:rPr>
                <w:lang w:val="en-US"/>
              </w:rPr>
            </w:pPr>
            <w:r w:rsidRPr="00831AD6">
              <w:t>OCT+ PBO</w:t>
            </w:r>
          </w:p>
        </w:tc>
        <w:tc>
          <w:tcPr>
            <w:tcW w:w="556" w:type="pct"/>
            <w:shd w:val="clear" w:color="auto" w:fill="auto"/>
          </w:tcPr>
          <w:p w14:paraId="79CA68EE" w14:textId="77777777" w:rsidR="000509B9" w:rsidRPr="00CE28E3" w:rsidRDefault="000509B9" w:rsidP="00F46222">
            <w:pPr>
              <w:pStyle w:val="TableText"/>
              <w:rPr>
                <w:lang w:val="en-US"/>
              </w:rPr>
            </w:pPr>
            <w:r>
              <w:rPr>
                <w:lang w:val="en-US"/>
              </w:rPr>
              <w:t>429</w:t>
            </w:r>
          </w:p>
        </w:tc>
        <w:tc>
          <w:tcPr>
            <w:tcW w:w="684" w:type="pct"/>
            <w:shd w:val="clear" w:color="auto" w:fill="auto"/>
          </w:tcPr>
          <w:p w14:paraId="652859C9" w14:textId="77777777" w:rsidR="000509B9" w:rsidRPr="00CE28E3" w:rsidRDefault="000509B9" w:rsidP="00F46222">
            <w:pPr>
              <w:pStyle w:val="TableText"/>
              <w:rPr>
                <w:lang w:val="en-US"/>
              </w:rPr>
            </w:pPr>
            <w:proofErr w:type="spellStart"/>
            <w:r w:rsidRPr="00BD6F9F">
              <w:rPr>
                <w:lang w:val="en-US"/>
              </w:rPr>
              <w:t>Multicentre</w:t>
            </w:r>
            <w:proofErr w:type="spellEnd"/>
            <w:r w:rsidRPr="00BD6F9F">
              <w:rPr>
                <w:lang w:val="en-US"/>
              </w:rPr>
              <w:t xml:space="preserve">, double-blind, </w:t>
            </w:r>
            <w:proofErr w:type="spellStart"/>
            <w:r>
              <w:rPr>
                <w:lang w:val="en-US"/>
              </w:rPr>
              <w:t>randomised</w:t>
            </w:r>
            <w:proofErr w:type="spellEnd"/>
            <w:r>
              <w:rPr>
                <w:lang w:val="en-US"/>
              </w:rPr>
              <w:t xml:space="preserve"> trial</w:t>
            </w:r>
          </w:p>
        </w:tc>
        <w:tc>
          <w:tcPr>
            <w:tcW w:w="429" w:type="pct"/>
            <w:shd w:val="clear" w:color="auto" w:fill="auto"/>
          </w:tcPr>
          <w:p w14:paraId="58096071" w14:textId="77777777" w:rsidR="000509B9" w:rsidRPr="0095653C" w:rsidRDefault="000509B9" w:rsidP="00F46222">
            <w:pPr>
              <w:pStyle w:val="TableText"/>
              <w:rPr>
                <w:iCs/>
                <w:lang w:val="en-US"/>
              </w:rPr>
            </w:pPr>
            <w:r w:rsidRPr="0095653C">
              <w:rPr>
                <w:iCs/>
                <w:lang w:val="en-US"/>
              </w:rPr>
              <w:t>High</w:t>
            </w:r>
          </w:p>
        </w:tc>
        <w:tc>
          <w:tcPr>
            <w:tcW w:w="556" w:type="pct"/>
            <w:shd w:val="clear" w:color="auto" w:fill="auto"/>
          </w:tcPr>
          <w:p w14:paraId="7AC5A285" w14:textId="77777777" w:rsidR="000509B9" w:rsidRPr="00CE28E3" w:rsidRDefault="000509B9" w:rsidP="00F46222">
            <w:pPr>
              <w:pStyle w:val="TableText"/>
              <w:rPr>
                <w:lang w:val="en-US"/>
              </w:rPr>
            </w:pPr>
            <w:r w:rsidRPr="00A647CE">
              <w:rPr>
                <w:rFonts w:cs="Arial"/>
                <w:bCs/>
                <w:snapToGrid w:val="0"/>
                <w:szCs w:val="20"/>
              </w:rPr>
              <w:t>NET with carcinoid syndrome</w:t>
            </w:r>
          </w:p>
        </w:tc>
        <w:tc>
          <w:tcPr>
            <w:tcW w:w="556" w:type="pct"/>
            <w:shd w:val="clear" w:color="auto" w:fill="auto"/>
          </w:tcPr>
          <w:p w14:paraId="0AF8AF7F" w14:textId="77777777" w:rsidR="000509B9" w:rsidRPr="00CE28E3" w:rsidRDefault="000509B9" w:rsidP="00F46222">
            <w:pPr>
              <w:pStyle w:val="TableText"/>
              <w:rPr>
                <w:lang w:val="en-US"/>
              </w:rPr>
            </w:pPr>
            <w:r w:rsidRPr="00FD2E7E">
              <w:t>PFS</w:t>
            </w:r>
          </w:p>
        </w:tc>
        <w:tc>
          <w:tcPr>
            <w:tcW w:w="552" w:type="pct"/>
          </w:tcPr>
          <w:p w14:paraId="01715343" w14:textId="77777777" w:rsidR="000509B9" w:rsidRPr="00FD2E7E" w:rsidRDefault="000509B9" w:rsidP="00F46222">
            <w:pPr>
              <w:pStyle w:val="TableText"/>
            </w:pPr>
            <w:r>
              <w:t>Yes</w:t>
            </w:r>
          </w:p>
        </w:tc>
      </w:tr>
      <w:tr w:rsidR="000509B9" w:rsidRPr="00FD2E7E" w14:paraId="725D899F" w14:textId="77777777" w:rsidTr="00F46222">
        <w:trPr>
          <w:cantSplit/>
        </w:trPr>
        <w:tc>
          <w:tcPr>
            <w:tcW w:w="555" w:type="pct"/>
            <w:shd w:val="clear" w:color="auto" w:fill="auto"/>
          </w:tcPr>
          <w:p w14:paraId="0C05D45F" w14:textId="77777777" w:rsidR="000509B9" w:rsidRPr="00CE28E3" w:rsidRDefault="000509B9" w:rsidP="00F46222">
            <w:pPr>
              <w:pStyle w:val="TableText"/>
              <w:rPr>
                <w:lang w:val="en-US"/>
              </w:rPr>
            </w:pPr>
            <w:r w:rsidRPr="00B807EA">
              <w:rPr>
                <w:lang w:val="en-US"/>
              </w:rPr>
              <w:lastRenderedPageBreak/>
              <w:t>ECOG-ACRIN EA2142</w:t>
            </w:r>
            <w:r>
              <w:rPr>
                <w:rStyle w:val="FootnoteReference"/>
                <w:lang w:val="en-US"/>
              </w:rPr>
              <w:footnoteReference w:id="23"/>
            </w:r>
          </w:p>
        </w:tc>
        <w:tc>
          <w:tcPr>
            <w:tcW w:w="556" w:type="pct"/>
          </w:tcPr>
          <w:p w14:paraId="56B0E4DA" w14:textId="77777777" w:rsidR="000509B9" w:rsidRDefault="000509B9" w:rsidP="00F46222">
            <w:pPr>
              <w:pStyle w:val="TableText"/>
              <w:rPr>
                <w:lang w:val="en-US"/>
              </w:rPr>
            </w:pPr>
            <w:r w:rsidRPr="00831AD6">
              <w:t>CAPTEM</w:t>
            </w:r>
          </w:p>
        </w:tc>
        <w:tc>
          <w:tcPr>
            <w:tcW w:w="556" w:type="pct"/>
          </w:tcPr>
          <w:p w14:paraId="5B485CB4" w14:textId="77777777" w:rsidR="000509B9" w:rsidRDefault="000509B9" w:rsidP="00F46222">
            <w:pPr>
              <w:pStyle w:val="TableText"/>
              <w:rPr>
                <w:lang w:val="en-US"/>
              </w:rPr>
            </w:pPr>
            <w:r w:rsidRPr="00831AD6">
              <w:t>Etoposide</w:t>
            </w:r>
            <w:r>
              <w:t xml:space="preserve"> </w:t>
            </w:r>
            <w:r w:rsidRPr="00831AD6">
              <w:t>+ cisplatin</w:t>
            </w:r>
            <w:r>
              <w:t xml:space="preserve"> </w:t>
            </w:r>
            <w:r w:rsidRPr="00831AD6">
              <w:t>/</w:t>
            </w:r>
            <w:r>
              <w:t xml:space="preserve"> </w:t>
            </w:r>
            <w:r w:rsidRPr="00831AD6">
              <w:t>carboplatin</w:t>
            </w:r>
          </w:p>
        </w:tc>
        <w:tc>
          <w:tcPr>
            <w:tcW w:w="556" w:type="pct"/>
            <w:shd w:val="clear" w:color="auto" w:fill="auto"/>
          </w:tcPr>
          <w:p w14:paraId="0219599C" w14:textId="77777777" w:rsidR="000509B9" w:rsidRPr="00CE28E3" w:rsidRDefault="000509B9" w:rsidP="00F46222">
            <w:pPr>
              <w:pStyle w:val="TableText"/>
              <w:rPr>
                <w:lang w:val="en-US"/>
              </w:rPr>
            </w:pPr>
            <w:r>
              <w:rPr>
                <w:lang w:val="en-US"/>
              </w:rPr>
              <w:t>67</w:t>
            </w:r>
          </w:p>
        </w:tc>
        <w:tc>
          <w:tcPr>
            <w:tcW w:w="684" w:type="pct"/>
            <w:shd w:val="clear" w:color="auto" w:fill="auto"/>
          </w:tcPr>
          <w:p w14:paraId="218F5E96" w14:textId="77777777" w:rsidR="000509B9" w:rsidRPr="00CE28E3" w:rsidRDefault="000509B9" w:rsidP="00F46222">
            <w:pPr>
              <w:pStyle w:val="TableText"/>
              <w:rPr>
                <w:lang w:val="en-US"/>
              </w:rPr>
            </w:pPr>
            <w:proofErr w:type="spellStart"/>
            <w:r w:rsidRPr="00BD6F9F">
              <w:rPr>
                <w:lang w:val="en-US"/>
              </w:rPr>
              <w:t>Multicentre</w:t>
            </w:r>
            <w:proofErr w:type="spellEnd"/>
            <w:r w:rsidRPr="00BD6F9F">
              <w:rPr>
                <w:lang w:val="en-US"/>
              </w:rPr>
              <w:t xml:space="preserve">, </w:t>
            </w:r>
            <w:proofErr w:type="spellStart"/>
            <w:r w:rsidRPr="00BD6F9F">
              <w:rPr>
                <w:lang w:val="en-US"/>
              </w:rPr>
              <w:t>randomised</w:t>
            </w:r>
            <w:proofErr w:type="spellEnd"/>
            <w:r w:rsidRPr="00BD6F9F">
              <w:rPr>
                <w:lang w:val="en-US"/>
              </w:rPr>
              <w:t xml:space="preserve"> controlled trial</w:t>
            </w:r>
          </w:p>
        </w:tc>
        <w:tc>
          <w:tcPr>
            <w:tcW w:w="429" w:type="pct"/>
            <w:shd w:val="clear" w:color="auto" w:fill="auto"/>
          </w:tcPr>
          <w:p w14:paraId="142C5AB8"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04A0EE22" w14:textId="77777777" w:rsidR="000509B9" w:rsidRPr="00CE28E3" w:rsidRDefault="000509B9" w:rsidP="00F46222">
            <w:pPr>
              <w:pStyle w:val="TableText"/>
              <w:rPr>
                <w:lang w:val="en-US"/>
              </w:rPr>
            </w:pPr>
            <w:r w:rsidRPr="00A647CE">
              <w:rPr>
                <w:rFonts w:cs="Arial"/>
                <w:bCs/>
                <w:snapToGrid w:val="0"/>
                <w:szCs w:val="20"/>
              </w:rPr>
              <w:t>GEP</w:t>
            </w:r>
            <w:r>
              <w:rPr>
                <w:rFonts w:cs="Arial"/>
                <w:bCs/>
                <w:snapToGrid w:val="0"/>
                <w:szCs w:val="20"/>
              </w:rPr>
              <w:t>-</w:t>
            </w:r>
            <w:r w:rsidRPr="00A647CE">
              <w:rPr>
                <w:rFonts w:cs="Arial"/>
                <w:bCs/>
                <w:snapToGrid w:val="0"/>
                <w:szCs w:val="20"/>
              </w:rPr>
              <w:t>NET</w:t>
            </w:r>
          </w:p>
        </w:tc>
        <w:tc>
          <w:tcPr>
            <w:tcW w:w="556" w:type="pct"/>
            <w:shd w:val="clear" w:color="auto" w:fill="auto"/>
          </w:tcPr>
          <w:p w14:paraId="2CDC450D" w14:textId="77777777" w:rsidR="000509B9" w:rsidRPr="00CE28E3" w:rsidRDefault="000509B9" w:rsidP="00F46222">
            <w:pPr>
              <w:pStyle w:val="TableText"/>
              <w:rPr>
                <w:lang w:val="en-US"/>
              </w:rPr>
            </w:pPr>
            <w:r w:rsidRPr="00FD2E7E">
              <w:t>PFS</w:t>
            </w:r>
          </w:p>
        </w:tc>
        <w:tc>
          <w:tcPr>
            <w:tcW w:w="552" w:type="pct"/>
          </w:tcPr>
          <w:p w14:paraId="1951CE21" w14:textId="77777777" w:rsidR="000509B9" w:rsidRPr="00FD2E7E" w:rsidRDefault="000509B9" w:rsidP="00F46222">
            <w:pPr>
              <w:pStyle w:val="TableText"/>
            </w:pPr>
            <w:r>
              <w:t>No</w:t>
            </w:r>
          </w:p>
        </w:tc>
      </w:tr>
      <w:tr w:rsidR="000509B9" w:rsidRPr="00125E51" w14:paraId="3A18FDD8" w14:textId="77777777" w:rsidTr="00F46222">
        <w:trPr>
          <w:cantSplit/>
        </w:trPr>
        <w:tc>
          <w:tcPr>
            <w:tcW w:w="555" w:type="pct"/>
            <w:shd w:val="clear" w:color="auto" w:fill="auto"/>
          </w:tcPr>
          <w:p w14:paraId="09759D77" w14:textId="77777777" w:rsidR="000509B9" w:rsidRPr="00CE28E3" w:rsidRDefault="000509B9" w:rsidP="00F46222">
            <w:pPr>
              <w:pStyle w:val="TableText"/>
              <w:rPr>
                <w:lang w:val="en-US"/>
              </w:rPr>
            </w:pPr>
            <w:r w:rsidRPr="008E7ECD">
              <w:rPr>
                <w:lang w:val="en-US"/>
              </w:rPr>
              <w:t>REMINET</w:t>
            </w:r>
            <w:r>
              <w:rPr>
                <w:rStyle w:val="FootnoteReference"/>
                <w:lang w:val="en-US"/>
              </w:rPr>
              <w:footnoteReference w:id="24"/>
            </w:r>
          </w:p>
        </w:tc>
        <w:tc>
          <w:tcPr>
            <w:tcW w:w="556" w:type="pct"/>
          </w:tcPr>
          <w:p w14:paraId="002685B9" w14:textId="77777777" w:rsidR="000509B9" w:rsidRDefault="000509B9" w:rsidP="00F46222">
            <w:pPr>
              <w:pStyle w:val="TableText"/>
              <w:rPr>
                <w:lang w:val="en-US"/>
              </w:rPr>
            </w:pPr>
            <w:r w:rsidRPr="00831AD6">
              <w:t>LAN</w:t>
            </w:r>
          </w:p>
        </w:tc>
        <w:tc>
          <w:tcPr>
            <w:tcW w:w="556" w:type="pct"/>
          </w:tcPr>
          <w:p w14:paraId="60E4B31E" w14:textId="77777777" w:rsidR="000509B9" w:rsidRDefault="000509B9" w:rsidP="00F46222">
            <w:pPr>
              <w:pStyle w:val="TableText"/>
              <w:rPr>
                <w:lang w:val="en-US"/>
              </w:rPr>
            </w:pPr>
            <w:r w:rsidRPr="00831AD6">
              <w:t>PBO</w:t>
            </w:r>
          </w:p>
        </w:tc>
        <w:tc>
          <w:tcPr>
            <w:tcW w:w="556" w:type="pct"/>
            <w:shd w:val="clear" w:color="auto" w:fill="auto"/>
          </w:tcPr>
          <w:p w14:paraId="40B8667C" w14:textId="77777777" w:rsidR="000509B9" w:rsidRPr="00CE28E3" w:rsidRDefault="000509B9" w:rsidP="00F46222">
            <w:pPr>
              <w:pStyle w:val="TableText"/>
              <w:rPr>
                <w:lang w:val="en-US"/>
              </w:rPr>
            </w:pPr>
            <w:r>
              <w:rPr>
                <w:lang w:val="en-US"/>
              </w:rPr>
              <w:t>53</w:t>
            </w:r>
          </w:p>
        </w:tc>
        <w:tc>
          <w:tcPr>
            <w:tcW w:w="684" w:type="pct"/>
            <w:shd w:val="clear" w:color="auto" w:fill="auto"/>
          </w:tcPr>
          <w:p w14:paraId="7D406A13" w14:textId="77777777" w:rsidR="000509B9" w:rsidRPr="00CE28E3" w:rsidRDefault="000509B9" w:rsidP="00F46222">
            <w:pPr>
              <w:pStyle w:val="TableText"/>
              <w:rPr>
                <w:lang w:val="en-US"/>
              </w:rPr>
            </w:pPr>
            <w:proofErr w:type="spellStart"/>
            <w:r w:rsidRPr="004543B4">
              <w:rPr>
                <w:lang w:val="en-US"/>
              </w:rPr>
              <w:t>Multicentre</w:t>
            </w:r>
            <w:proofErr w:type="spellEnd"/>
            <w:r w:rsidRPr="004543B4">
              <w:rPr>
                <w:lang w:val="en-US"/>
              </w:rPr>
              <w:t xml:space="preserve">, </w:t>
            </w:r>
            <w:proofErr w:type="spellStart"/>
            <w:r w:rsidRPr="004543B4">
              <w:rPr>
                <w:lang w:val="en-US"/>
              </w:rPr>
              <w:t>randomised</w:t>
            </w:r>
            <w:proofErr w:type="spellEnd"/>
            <w:r w:rsidRPr="004543B4">
              <w:rPr>
                <w:lang w:val="en-US"/>
              </w:rPr>
              <w:t>, controlled trial</w:t>
            </w:r>
          </w:p>
        </w:tc>
        <w:tc>
          <w:tcPr>
            <w:tcW w:w="429" w:type="pct"/>
            <w:shd w:val="clear" w:color="auto" w:fill="auto"/>
          </w:tcPr>
          <w:p w14:paraId="2B326299"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46FD5F9F" w14:textId="77777777" w:rsidR="000509B9" w:rsidRPr="00CE28E3" w:rsidRDefault="000509B9" w:rsidP="00F46222">
            <w:pPr>
              <w:pStyle w:val="TableText"/>
              <w:rPr>
                <w:lang w:val="en-US"/>
              </w:rPr>
            </w:pPr>
            <w:proofErr w:type="spellStart"/>
            <w:r w:rsidRPr="004543B4">
              <w:rPr>
                <w:lang w:val="en-US"/>
              </w:rPr>
              <w:t>Duodeno-pNET</w:t>
            </w:r>
            <w:proofErr w:type="spellEnd"/>
          </w:p>
        </w:tc>
        <w:tc>
          <w:tcPr>
            <w:tcW w:w="556" w:type="pct"/>
            <w:shd w:val="clear" w:color="auto" w:fill="auto"/>
          </w:tcPr>
          <w:p w14:paraId="014A4104" w14:textId="77777777" w:rsidR="000509B9" w:rsidRPr="00CE28E3" w:rsidRDefault="000509B9" w:rsidP="00F46222">
            <w:pPr>
              <w:pStyle w:val="TableText"/>
              <w:rPr>
                <w:lang w:val="en-US"/>
              </w:rPr>
            </w:pPr>
            <w:r w:rsidRPr="00125E51">
              <w:t>PFS</w:t>
            </w:r>
          </w:p>
        </w:tc>
        <w:tc>
          <w:tcPr>
            <w:tcW w:w="552" w:type="pct"/>
          </w:tcPr>
          <w:p w14:paraId="18ACD94C" w14:textId="77777777" w:rsidR="000509B9" w:rsidRPr="00125E51" w:rsidRDefault="000509B9" w:rsidP="00F46222">
            <w:pPr>
              <w:pStyle w:val="TableText"/>
            </w:pPr>
            <w:r>
              <w:t>Yes</w:t>
            </w:r>
          </w:p>
        </w:tc>
      </w:tr>
      <w:tr w:rsidR="000509B9" w:rsidRPr="00125E51" w14:paraId="6D275009" w14:textId="77777777" w:rsidTr="00F46222">
        <w:trPr>
          <w:cantSplit/>
        </w:trPr>
        <w:tc>
          <w:tcPr>
            <w:tcW w:w="555" w:type="pct"/>
            <w:shd w:val="clear" w:color="auto" w:fill="auto"/>
          </w:tcPr>
          <w:p w14:paraId="6BCF2683" w14:textId="77777777" w:rsidR="000509B9" w:rsidRPr="00CE28E3" w:rsidRDefault="000509B9" w:rsidP="00F46222">
            <w:pPr>
              <w:pStyle w:val="TableText"/>
              <w:rPr>
                <w:lang w:val="en-US"/>
              </w:rPr>
            </w:pPr>
            <w:r w:rsidRPr="008E7ECD">
              <w:rPr>
                <w:lang w:val="en-US"/>
              </w:rPr>
              <w:t>RADIANT-3</w:t>
            </w:r>
            <w:r>
              <w:rPr>
                <w:rStyle w:val="FootnoteReference"/>
                <w:lang w:val="en-US"/>
              </w:rPr>
              <w:footnoteReference w:id="25"/>
            </w:r>
          </w:p>
        </w:tc>
        <w:tc>
          <w:tcPr>
            <w:tcW w:w="556" w:type="pct"/>
          </w:tcPr>
          <w:p w14:paraId="05056C6D" w14:textId="77777777" w:rsidR="000509B9" w:rsidRDefault="000509B9" w:rsidP="00F46222">
            <w:pPr>
              <w:pStyle w:val="TableText"/>
              <w:rPr>
                <w:lang w:val="en-US"/>
              </w:rPr>
            </w:pPr>
            <w:r w:rsidRPr="00831AD6">
              <w:t>EV</w:t>
            </w:r>
            <w:r>
              <w:t>O</w:t>
            </w:r>
            <w:r w:rsidRPr="00831AD6">
              <w:t xml:space="preserve"> +</w:t>
            </w:r>
            <w:r>
              <w:t xml:space="preserve"> </w:t>
            </w:r>
            <w:r w:rsidRPr="00831AD6">
              <w:t>BSC</w:t>
            </w:r>
          </w:p>
        </w:tc>
        <w:tc>
          <w:tcPr>
            <w:tcW w:w="556" w:type="pct"/>
          </w:tcPr>
          <w:p w14:paraId="3C1D3663" w14:textId="77777777" w:rsidR="000509B9" w:rsidRDefault="000509B9" w:rsidP="00F46222">
            <w:pPr>
              <w:pStyle w:val="TableText"/>
              <w:rPr>
                <w:lang w:val="en-US"/>
              </w:rPr>
            </w:pPr>
            <w:r w:rsidRPr="00831AD6">
              <w:t>PBO</w:t>
            </w:r>
            <w:r>
              <w:t xml:space="preserve"> </w:t>
            </w:r>
            <w:r w:rsidRPr="00831AD6">
              <w:t>+</w:t>
            </w:r>
            <w:r>
              <w:t xml:space="preserve"> </w:t>
            </w:r>
            <w:r w:rsidRPr="00831AD6">
              <w:t>BSC</w:t>
            </w:r>
          </w:p>
        </w:tc>
        <w:tc>
          <w:tcPr>
            <w:tcW w:w="556" w:type="pct"/>
            <w:shd w:val="clear" w:color="auto" w:fill="auto"/>
          </w:tcPr>
          <w:p w14:paraId="47BC54EC" w14:textId="77777777" w:rsidR="000509B9" w:rsidRPr="00CE28E3" w:rsidRDefault="000509B9" w:rsidP="00F46222">
            <w:pPr>
              <w:pStyle w:val="TableText"/>
              <w:rPr>
                <w:lang w:val="en-US"/>
              </w:rPr>
            </w:pPr>
            <w:r>
              <w:rPr>
                <w:lang w:val="en-US"/>
              </w:rPr>
              <w:t>410</w:t>
            </w:r>
          </w:p>
        </w:tc>
        <w:tc>
          <w:tcPr>
            <w:tcW w:w="684" w:type="pct"/>
            <w:shd w:val="clear" w:color="auto" w:fill="auto"/>
          </w:tcPr>
          <w:p w14:paraId="1F12BD39" w14:textId="77777777" w:rsidR="000509B9" w:rsidRPr="00CE28E3" w:rsidRDefault="000509B9" w:rsidP="00F46222">
            <w:pPr>
              <w:pStyle w:val="TableText"/>
              <w:rPr>
                <w:lang w:val="en-US"/>
              </w:rPr>
            </w:pPr>
            <w:r w:rsidRPr="004543B4">
              <w:rPr>
                <w:lang w:val="en-US"/>
              </w:rPr>
              <w:t xml:space="preserve">International, </w:t>
            </w:r>
            <w:proofErr w:type="spellStart"/>
            <w:r w:rsidRPr="004543B4">
              <w:rPr>
                <w:lang w:val="en-US"/>
              </w:rPr>
              <w:t>multicent</w:t>
            </w:r>
            <w:r>
              <w:rPr>
                <w:lang w:val="en-US"/>
              </w:rPr>
              <w:t>re</w:t>
            </w:r>
            <w:proofErr w:type="spellEnd"/>
            <w:r w:rsidRPr="004543B4">
              <w:rPr>
                <w:lang w:val="en-US"/>
              </w:rPr>
              <w:t>, quadruple masking, parallel study</w:t>
            </w:r>
          </w:p>
        </w:tc>
        <w:tc>
          <w:tcPr>
            <w:tcW w:w="429" w:type="pct"/>
            <w:shd w:val="clear" w:color="auto" w:fill="auto"/>
          </w:tcPr>
          <w:p w14:paraId="2CF2053B"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5BBF73E3" w14:textId="77777777" w:rsidR="000509B9" w:rsidRPr="00CE28E3" w:rsidRDefault="000509B9" w:rsidP="00F46222">
            <w:pPr>
              <w:pStyle w:val="TableText"/>
              <w:rPr>
                <w:lang w:val="en-US"/>
              </w:rPr>
            </w:pPr>
            <w:proofErr w:type="spellStart"/>
            <w:r w:rsidRPr="008E510C">
              <w:t>pNET</w:t>
            </w:r>
            <w:proofErr w:type="spellEnd"/>
          </w:p>
        </w:tc>
        <w:tc>
          <w:tcPr>
            <w:tcW w:w="556" w:type="pct"/>
            <w:shd w:val="clear" w:color="auto" w:fill="auto"/>
          </w:tcPr>
          <w:p w14:paraId="5ACDA1EE" w14:textId="77777777" w:rsidR="000509B9" w:rsidRPr="00CE28E3" w:rsidRDefault="000509B9" w:rsidP="00F46222">
            <w:pPr>
              <w:pStyle w:val="TableText"/>
              <w:rPr>
                <w:lang w:val="en-US"/>
              </w:rPr>
            </w:pPr>
            <w:r w:rsidRPr="00125E51">
              <w:t>PFS</w:t>
            </w:r>
          </w:p>
        </w:tc>
        <w:tc>
          <w:tcPr>
            <w:tcW w:w="552" w:type="pct"/>
          </w:tcPr>
          <w:p w14:paraId="1DCA18D4" w14:textId="77777777" w:rsidR="000509B9" w:rsidRPr="00125E51" w:rsidRDefault="000509B9" w:rsidP="00F46222">
            <w:pPr>
              <w:pStyle w:val="TableText"/>
            </w:pPr>
            <w:r>
              <w:t>Yes</w:t>
            </w:r>
          </w:p>
        </w:tc>
      </w:tr>
      <w:tr w:rsidR="000509B9" w:rsidRPr="00125E51" w14:paraId="44C73CF2" w14:textId="77777777" w:rsidTr="00F46222">
        <w:trPr>
          <w:cantSplit/>
          <w:trHeight w:val="73"/>
        </w:trPr>
        <w:tc>
          <w:tcPr>
            <w:tcW w:w="555" w:type="pct"/>
            <w:shd w:val="clear" w:color="auto" w:fill="auto"/>
          </w:tcPr>
          <w:p w14:paraId="18364D00" w14:textId="77777777" w:rsidR="000509B9" w:rsidRPr="00CE28E3" w:rsidRDefault="000509B9" w:rsidP="00F46222">
            <w:pPr>
              <w:pStyle w:val="TableText"/>
              <w:rPr>
                <w:lang w:val="en-US"/>
              </w:rPr>
            </w:pPr>
            <w:r w:rsidRPr="008E7ECD">
              <w:rPr>
                <w:lang w:val="en-US"/>
              </w:rPr>
              <w:t>RADIANT-4</w:t>
            </w:r>
            <w:r>
              <w:rPr>
                <w:rStyle w:val="FootnoteReference"/>
                <w:lang w:val="en-US"/>
              </w:rPr>
              <w:footnoteReference w:id="26"/>
            </w:r>
          </w:p>
        </w:tc>
        <w:tc>
          <w:tcPr>
            <w:tcW w:w="556" w:type="pct"/>
          </w:tcPr>
          <w:p w14:paraId="7634C9D8" w14:textId="77777777" w:rsidR="000509B9" w:rsidRDefault="000509B9" w:rsidP="00F46222">
            <w:pPr>
              <w:pStyle w:val="TableText"/>
              <w:rPr>
                <w:lang w:val="en-US"/>
              </w:rPr>
            </w:pPr>
            <w:r w:rsidRPr="00831AD6">
              <w:t>EV</w:t>
            </w:r>
            <w:r>
              <w:t xml:space="preserve">O </w:t>
            </w:r>
            <w:r w:rsidRPr="00831AD6">
              <w:t>+</w:t>
            </w:r>
            <w:r>
              <w:t xml:space="preserve"> </w:t>
            </w:r>
            <w:r w:rsidRPr="00831AD6">
              <w:t>BSC</w:t>
            </w:r>
          </w:p>
        </w:tc>
        <w:tc>
          <w:tcPr>
            <w:tcW w:w="556" w:type="pct"/>
          </w:tcPr>
          <w:p w14:paraId="6230634B" w14:textId="77777777" w:rsidR="000509B9" w:rsidRDefault="000509B9" w:rsidP="00F46222">
            <w:pPr>
              <w:pStyle w:val="TableText"/>
              <w:rPr>
                <w:lang w:val="en-US"/>
              </w:rPr>
            </w:pPr>
            <w:r w:rsidRPr="00831AD6">
              <w:t>PBO</w:t>
            </w:r>
            <w:r>
              <w:t xml:space="preserve"> </w:t>
            </w:r>
            <w:r w:rsidRPr="00831AD6">
              <w:t>+</w:t>
            </w:r>
            <w:r>
              <w:t xml:space="preserve"> </w:t>
            </w:r>
            <w:r w:rsidRPr="00831AD6">
              <w:t>BSC</w:t>
            </w:r>
          </w:p>
        </w:tc>
        <w:tc>
          <w:tcPr>
            <w:tcW w:w="556" w:type="pct"/>
            <w:shd w:val="clear" w:color="auto" w:fill="auto"/>
          </w:tcPr>
          <w:p w14:paraId="755E2FF3" w14:textId="77777777" w:rsidR="000509B9" w:rsidRPr="00CE28E3" w:rsidRDefault="000509B9" w:rsidP="00F46222">
            <w:pPr>
              <w:pStyle w:val="TableText"/>
              <w:rPr>
                <w:lang w:val="en-US"/>
              </w:rPr>
            </w:pPr>
            <w:r>
              <w:rPr>
                <w:lang w:val="en-US"/>
              </w:rPr>
              <w:t>302</w:t>
            </w:r>
          </w:p>
        </w:tc>
        <w:tc>
          <w:tcPr>
            <w:tcW w:w="684" w:type="pct"/>
            <w:shd w:val="clear" w:color="auto" w:fill="auto"/>
          </w:tcPr>
          <w:p w14:paraId="39627936" w14:textId="77777777" w:rsidR="000509B9" w:rsidRPr="00CE28E3" w:rsidRDefault="000509B9" w:rsidP="00F46222">
            <w:pPr>
              <w:pStyle w:val="TableText"/>
              <w:rPr>
                <w:lang w:val="en-US"/>
              </w:rPr>
            </w:pPr>
            <w:r w:rsidRPr="004543B4">
              <w:rPr>
                <w:lang w:val="en-US"/>
              </w:rPr>
              <w:t xml:space="preserve">International, </w:t>
            </w:r>
            <w:proofErr w:type="spellStart"/>
            <w:r w:rsidRPr="004543B4">
              <w:rPr>
                <w:lang w:val="en-US"/>
              </w:rPr>
              <w:t>multicentre</w:t>
            </w:r>
            <w:proofErr w:type="spellEnd"/>
            <w:r w:rsidRPr="004543B4">
              <w:rPr>
                <w:lang w:val="en-US"/>
              </w:rPr>
              <w:t>, double-blind, phase 3 study</w:t>
            </w:r>
          </w:p>
        </w:tc>
        <w:tc>
          <w:tcPr>
            <w:tcW w:w="429" w:type="pct"/>
            <w:shd w:val="clear" w:color="auto" w:fill="auto"/>
          </w:tcPr>
          <w:p w14:paraId="11D0D0E1"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12EA0D6D" w14:textId="77777777" w:rsidR="000509B9" w:rsidRPr="00CE28E3" w:rsidRDefault="000509B9" w:rsidP="00F46222">
            <w:pPr>
              <w:pStyle w:val="TableText"/>
              <w:rPr>
                <w:lang w:val="en-US"/>
              </w:rPr>
            </w:pPr>
            <w:r w:rsidRPr="008E510C">
              <w:t xml:space="preserve">GI and </w:t>
            </w:r>
            <w:r>
              <w:t>l</w:t>
            </w:r>
            <w:r w:rsidRPr="008E510C">
              <w:t>ung NET</w:t>
            </w:r>
          </w:p>
        </w:tc>
        <w:tc>
          <w:tcPr>
            <w:tcW w:w="556" w:type="pct"/>
            <w:shd w:val="clear" w:color="auto" w:fill="auto"/>
          </w:tcPr>
          <w:p w14:paraId="3811BF3A" w14:textId="77777777" w:rsidR="000509B9" w:rsidRPr="00CE28E3" w:rsidRDefault="000509B9" w:rsidP="00F46222">
            <w:pPr>
              <w:pStyle w:val="TableText"/>
              <w:rPr>
                <w:lang w:val="en-US"/>
              </w:rPr>
            </w:pPr>
            <w:r w:rsidRPr="00125E51">
              <w:t xml:space="preserve"> ORR</w:t>
            </w:r>
          </w:p>
        </w:tc>
        <w:tc>
          <w:tcPr>
            <w:tcW w:w="552" w:type="pct"/>
          </w:tcPr>
          <w:p w14:paraId="1BE1E97E" w14:textId="77777777" w:rsidR="000509B9" w:rsidRPr="00125E51" w:rsidRDefault="000509B9" w:rsidP="00F46222">
            <w:pPr>
              <w:pStyle w:val="TableText"/>
            </w:pPr>
            <w:r>
              <w:t>Yes</w:t>
            </w:r>
          </w:p>
        </w:tc>
      </w:tr>
      <w:tr w:rsidR="000509B9" w:rsidRPr="00125E51" w14:paraId="07DD7350" w14:textId="77777777" w:rsidTr="00F46222">
        <w:trPr>
          <w:cantSplit/>
        </w:trPr>
        <w:tc>
          <w:tcPr>
            <w:tcW w:w="555" w:type="pct"/>
            <w:shd w:val="clear" w:color="auto" w:fill="auto"/>
          </w:tcPr>
          <w:p w14:paraId="2A79F645" w14:textId="77777777" w:rsidR="000509B9" w:rsidRPr="00CE28E3" w:rsidRDefault="000509B9" w:rsidP="00F46222">
            <w:pPr>
              <w:pStyle w:val="TableText"/>
              <w:rPr>
                <w:lang w:val="en-US"/>
              </w:rPr>
            </w:pPr>
            <w:r w:rsidRPr="008E7ECD">
              <w:rPr>
                <w:lang w:val="en-US"/>
              </w:rPr>
              <w:t>NET-01</w:t>
            </w:r>
            <w:r>
              <w:rPr>
                <w:rStyle w:val="FootnoteReference"/>
                <w:lang w:val="en-US"/>
              </w:rPr>
              <w:footnoteReference w:id="27"/>
            </w:r>
          </w:p>
        </w:tc>
        <w:tc>
          <w:tcPr>
            <w:tcW w:w="556" w:type="pct"/>
          </w:tcPr>
          <w:p w14:paraId="23E96D31" w14:textId="77777777" w:rsidR="000509B9" w:rsidRDefault="000509B9" w:rsidP="00F46222">
            <w:pPr>
              <w:pStyle w:val="TableText"/>
              <w:rPr>
                <w:lang w:val="en-US"/>
              </w:rPr>
            </w:pPr>
            <w:r w:rsidRPr="00831AD6">
              <w:t xml:space="preserve">CAP + </w:t>
            </w:r>
            <w:proofErr w:type="spellStart"/>
            <w:r w:rsidRPr="00831AD6">
              <w:t>streptozocin</w:t>
            </w:r>
            <w:proofErr w:type="spellEnd"/>
          </w:p>
        </w:tc>
        <w:tc>
          <w:tcPr>
            <w:tcW w:w="556" w:type="pct"/>
          </w:tcPr>
          <w:p w14:paraId="4D0EA626" w14:textId="77777777" w:rsidR="000509B9" w:rsidRDefault="000509B9" w:rsidP="00F46222">
            <w:pPr>
              <w:pStyle w:val="TableText"/>
              <w:rPr>
                <w:lang w:val="en-US"/>
              </w:rPr>
            </w:pPr>
            <w:r w:rsidRPr="00831AD6">
              <w:t xml:space="preserve">CAP + </w:t>
            </w:r>
            <w:proofErr w:type="spellStart"/>
            <w:r w:rsidRPr="00831AD6">
              <w:t>streptozocin</w:t>
            </w:r>
            <w:proofErr w:type="spellEnd"/>
            <w:r w:rsidRPr="00831AD6">
              <w:t xml:space="preserve"> + cisplatin</w:t>
            </w:r>
          </w:p>
        </w:tc>
        <w:tc>
          <w:tcPr>
            <w:tcW w:w="556" w:type="pct"/>
            <w:shd w:val="clear" w:color="auto" w:fill="auto"/>
          </w:tcPr>
          <w:p w14:paraId="4608E63B" w14:textId="77777777" w:rsidR="000509B9" w:rsidRPr="00CE28E3" w:rsidRDefault="000509B9" w:rsidP="00F46222">
            <w:pPr>
              <w:pStyle w:val="TableText"/>
              <w:rPr>
                <w:lang w:val="en-US"/>
              </w:rPr>
            </w:pPr>
            <w:r>
              <w:rPr>
                <w:lang w:val="en-US"/>
              </w:rPr>
              <w:t>86</w:t>
            </w:r>
          </w:p>
        </w:tc>
        <w:tc>
          <w:tcPr>
            <w:tcW w:w="684" w:type="pct"/>
            <w:shd w:val="clear" w:color="auto" w:fill="auto"/>
          </w:tcPr>
          <w:p w14:paraId="5E754AE3" w14:textId="77777777" w:rsidR="000509B9" w:rsidRPr="00CE28E3" w:rsidRDefault="000509B9" w:rsidP="00F46222">
            <w:pPr>
              <w:pStyle w:val="TableText"/>
              <w:rPr>
                <w:lang w:val="en-US"/>
              </w:rPr>
            </w:pPr>
            <w:proofErr w:type="spellStart"/>
            <w:r w:rsidRPr="008E7ECD">
              <w:rPr>
                <w:lang w:val="en-US"/>
              </w:rPr>
              <w:t>Randomised</w:t>
            </w:r>
            <w:proofErr w:type="spellEnd"/>
            <w:r w:rsidRPr="008E7ECD">
              <w:rPr>
                <w:lang w:val="en-US"/>
              </w:rPr>
              <w:t xml:space="preserve"> controlled trial</w:t>
            </w:r>
          </w:p>
        </w:tc>
        <w:tc>
          <w:tcPr>
            <w:tcW w:w="429" w:type="pct"/>
            <w:shd w:val="clear" w:color="auto" w:fill="auto"/>
          </w:tcPr>
          <w:p w14:paraId="54C6BE0E" w14:textId="77777777" w:rsidR="000509B9" w:rsidRPr="0095653C" w:rsidRDefault="000509B9" w:rsidP="00F46222">
            <w:pPr>
              <w:pStyle w:val="TableText"/>
              <w:rPr>
                <w:iCs/>
                <w:lang w:val="en-US"/>
              </w:rPr>
            </w:pPr>
            <w:r w:rsidRPr="0095653C">
              <w:rPr>
                <w:iCs/>
                <w:lang w:val="en-US"/>
              </w:rPr>
              <w:t>Unclear</w:t>
            </w:r>
          </w:p>
        </w:tc>
        <w:tc>
          <w:tcPr>
            <w:tcW w:w="556" w:type="pct"/>
            <w:shd w:val="clear" w:color="auto" w:fill="auto"/>
          </w:tcPr>
          <w:p w14:paraId="677605E3" w14:textId="77777777" w:rsidR="000509B9" w:rsidRPr="00CE28E3" w:rsidRDefault="000509B9" w:rsidP="00F46222">
            <w:pPr>
              <w:pStyle w:val="TableText"/>
              <w:rPr>
                <w:lang w:val="en-US"/>
              </w:rPr>
            </w:pPr>
            <w:r w:rsidRPr="00277827">
              <w:t>GEP</w:t>
            </w:r>
            <w:r>
              <w:t>-</w:t>
            </w:r>
            <w:r w:rsidRPr="00277827">
              <w:t>NET</w:t>
            </w:r>
          </w:p>
        </w:tc>
        <w:tc>
          <w:tcPr>
            <w:tcW w:w="556" w:type="pct"/>
            <w:shd w:val="clear" w:color="auto" w:fill="auto"/>
          </w:tcPr>
          <w:p w14:paraId="35CCB766" w14:textId="77777777" w:rsidR="000509B9" w:rsidRPr="00CE28E3" w:rsidRDefault="000509B9" w:rsidP="00F46222">
            <w:pPr>
              <w:pStyle w:val="TableText"/>
              <w:rPr>
                <w:lang w:val="en-US"/>
              </w:rPr>
            </w:pPr>
            <w:r w:rsidRPr="00125E51">
              <w:t>PFS</w:t>
            </w:r>
          </w:p>
        </w:tc>
        <w:tc>
          <w:tcPr>
            <w:tcW w:w="552" w:type="pct"/>
          </w:tcPr>
          <w:p w14:paraId="09A4870B" w14:textId="77777777" w:rsidR="000509B9" w:rsidRPr="00125E51" w:rsidRDefault="000509B9" w:rsidP="00F46222">
            <w:pPr>
              <w:pStyle w:val="TableText"/>
            </w:pPr>
            <w:r>
              <w:t>No</w:t>
            </w:r>
          </w:p>
        </w:tc>
      </w:tr>
      <w:tr w:rsidR="000509B9" w:rsidRPr="00125E51" w14:paraId="7DCB3553" w14:textId="77777777" w:rsidTr="00F46222">
        <w:trPr>
          <w:cantSplit/>
        </w:trPr>
        <w:tc>
          <w:tcPr>
            <w:tcW w:w="555" w:type="pct"/>
            <w:shd w:val="clear" w:color="auto" w:fill="auto"/>
          </w:tcPr>
          <w:p w14:paraId="559D6E05" w14:textId="77777777" w:rsidR="000509B9" w:rsidRPr="00CE28E3" w:rsidRDefault="000509B9" w:rsidP="00F46222">
            <w:pPr>
              <w:pStyle w:val="TableText"/>
              <w:rPr>
                <w:lang w:val="en-US"/>
              </w:rPr>
            </w:pPr>
            <w:r w:rsidRPr="008E7ECD">
              <w:rPr>
                <w:lang w:val="en-US"/>
              </w:rPr>
              <w:t>SPINET</w:t>
            </w:r>
            <w:r>
              <w:rPr>
                <w:rStyle w:val="FootnoteReference"/>
                <w:lang w:val="en-US"/>
              </w:rPr>
              <w:footnoteReference w:id="28"/>
            </w:r>
          </w:p>
        </w:tc>
        <w:tc>
          <w:tcPr>
            <w:tcW w:w="556" w:type="pct"/>
          </w:tcPr>
          <w:p w14:paraId="1392AB3B" w14:textId="77777777" w:rsidR="000509B9" w:rsidRDefault="000509B9" w:rsidP="00F46222">
            <w:pPr>
              <w:pStyle w:val="TableText"/>
              <w:rPr>
                <w:lang w:val="en-US"/>
              </w:rPr>
            </w:pPr>
            <w:r w:rsidRPr="00831AD6">
              <w:t>LAN + BSC</w:t>
            </w:r>
          </w:p>
        </w:tc>
        <w:tc>
          <w:tcPr>
            <w:tcW w:w="556" w:type="pct"/>
          </w:tcPr>
          <w:p w14:paraId="7CBFC21C" w14:textId="77777777" w:rsidR="000509B9" w:rsidRDefault="000509B9" w:rsidP="00F46222">
            <w:pPr>
              <w:pStyle w:val="TableText"/>
              <w:rPr>
                <w:lang w:val="en-US"/>
              </w:rPr>
            </w:pPr>
            <w:r w:rsidRPr="00831AD6">
              <w:t>PBO + BSC</w:t>
            </w:r>
          </w:p>
        </w:tc>
        <w:tc>
          <w:tcPr>
            <w:tcW w:w="556" w:type="pct"/>
            <w:shd w:val="clear" w:color="auto" w:fill="auto"/>
          </w:tcPr>
          <w:p w14:paraId="6386978B" w14:textId="77777777" w:rsidR="000509B9" w:rsidRPr="00CE28E3" w:rsidRDefault="000509B9" w:rsidP="00F46222">
            <w:pPr>
              <w:pStyle w:val="TableText"/>
              <w:rPr>
                <w:lang w:val="en-US"/>
              </w:rPr>
            </w:pPr>
            <w:r>
              <w:rPr>
                <w:lang w:val="en-US"/>
              </w:rPr>
              <w:t>77</w:t>
            </w:r>
          </w:p>
        </w:tc>
        <w:tc>
          <w:tcPr>
            <w:tcW w:w="684" w:type="pct"/>
            <w:shd w:val="clear" w:color="auto" w:fill="auto"/>
          </w:tcPr>
          <w:p w14:paraId="3D709493" w14:textId="77777777" w:rsidR="000509B9" w:rsidRPr="00CE28E3" w:rsidRDefault="000509B9" w:rsidP="00F46222">
            <w:pPr>
              <w:pStyle w:val="TableText"/>
              <w:rPr>
                <w:lang w:val="en-US"/>
              </w:rPr>
            </w:pPr>
            <w:r w:rsidRPr="008E7ECD">
              <w:rPr>
                <w:lang w:val="en-US"/>
              </w:rPr>
              <w:t xml:space="preserve">Prospective, </w:t>
            </w:r>
            <w:proofErr w:type="spellStart"/>
            <w:r w:rsidRPr="008E7ECD">
              <w:rPr>
                <w:lang w:val="en-US"/>
              </w:rPr>
              <w:t>multicent</w:t>
            </w:r>
            <w:r>
              <w:rPr>
                <w:lang w:val="en-US"/>
              </w:rPr>
              <w:t>re</w:t>
            </w:r>
            <w:proofErr w:type="spellEnd"/>
            <w:r w:rsidRPr="008E7ECD">
              <w:rPr>
                <w:lang w:val="en-US"/>
              </w:rPr>
              <w:t xml:space="preserve">, </w:t>
            </w:r>
            <w:proofErr w:type="spellStart"/>
            <w:r w:rsidRPr="008E7ECD">
              <w:rPr>
                <w:lang w:val="en-US"/>
              </w:rPr>
              <w:t>randomi</w:t>
            </w:r>
            <w:r>
              <w:rPr>
                <w:lang w:val="en-US"/>
              </w:rPr>
              <w:t>s</w:t>
            </w:r>
            <w:r w:rsidRPr="008E7ECD">
              <w:rPr>
                <w:lang w:val="en-US"/>
              </w:rPr>
              <w:t>ed</w:t>
            </w:r>
            <w:proofErr w:type="spellEnd"/>
            <w:r w:rsidRPr="008E7ECD">
              <w:rPr>
                <w:lang w:val="en-US"/>
              </w:rPr>
              <w:t>, double-blind (participant, investigator), parallel study</w:t>
            </w:r>
          </w:p>
        </w:tc>
        <w:tc>
          <w:tcPr>
            <w:tcW w:w="429" w:type="pct"/>
            <w:shd w:val="clear" w:color="auto" w:fill="auto"/>
          </w:tcPr>
          <w:p w14:paraId="2300A684"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6B00EAFF" w14:textId="77777777" w:rsidR="000509B9" w:rsidRPr="00CE28E3" w:rsidRDefault="000509B9" w:rsidP="00F46222">
            <w:pPr>
              <w:pStyle w:val="TableText"/>
              <w:rPr>
                <w:lang w:val="en-US"/>
              </w:rPr>
            </w:pPr>
            <w:r w:rsidRPr="00277827">
              <w:t>BP-NET</w:t>
            </w:r>
          </w:p>
        </w:tc>
        <w:tc>
          <w:tcPr>
            <w:tcW w:w="556" w:type="pct"/>
            <w:shd w:val="clear" w:color="auto" w:fill="auto"/>
          </w:tcPr>
          <w:p w14:paraId="1D4418B2" w14:textId="77777777" w:rsidR="000509B9" w:rsidRPr="00CE28E3" w:rsidRDefault="000509B9" w:rsidP="00F46222">
            <w:pPr>
              <w:pStyle w:val="TableText"/>
              <w:rPr>
                <w:lang w:val="en-US"/>
              </w:rPr>
            </w:pPr>
            <w:r w:rsidRPr="00125E51">
              <w:t>PFS</w:t>
            </w:r>
          </w:p>
        </w:tc>
        <w:tc>
          <w:tcPr>
            <w:tcW w:w="552" w:type="pct"/>
          </w:tcPr>
          <w:p w14:paraId="58743968" w14:textId="77777777" w:rsidR="000509B9" w:rsidRPr="00125E51" w:rsidRDefault="000509B9" w:rsidP="00F46222">
            <w:pPr>
              <w:pStyle w:val="TableText"/>
            </w:pPr>
            <w:r>
              <w:t>Yes</w:t>
            </w:r>
          </w:p>
        </w:tc>
      </w:tr>
      <w:tr w:rsidR="000509B9" w:rsidRPr="00125E51" w14:paraId="2C299E6D" w14:textId="77777777" w:rsidTr="00F46222">
        <w:trPr>
          <w:cantSplit/>
          <w:trHeight w:val="670"/>
        </w:trPr>
        <w:tc>
          <w:tcPr>
            <w:tcW w:w="555" w:type="pct"/>
            <w:shd w:val="clear" w:color="auto" w:fill="auto"/>
          </w:tcPr>
          <w:p w14:paraId="77C9BC97" w14:textId="77777777" w:rsidR="000509B9" w:rsidRPr="00CE28E3" w:rsidRDefault="000509B9" w:rsidP="00F46222">
            <w:pPr>
              <w:pStyle w:val="TableText"/>
              <w:rPr>
                <w:lang w:val="en-US"/>
              </w:rPr>
            </w:pPr>
            <w:r w:rsidRPr="008E7ECD">
              <w:rPr>
                <w:lang w:val="en-US"/>
              </w:rPr>
              <w:t>NCT00428597</w:t>
            </w:r>
            <w:r>
              <w:rPr>
                <w:rStyle w:val="FootnoteReference"/>
                <w:lang w:val="en-US"/>
              </w:rPr>
              <w:footnoteReference w:id="29"/>
            </w:r>
            <w:r w:rsidRPr="008E7ECD">
              <w:rPr>
                <w:lang w:val="en-US"/>
              </w:rPr>
              <w:t xml:space="preserve"> </w:t>
            </w:r>
          </w:p>
        </w:tc>
        <w:tc>
          <w:tcPr>
            <w:tcW w:w="556" w:type="pct"/>
          </w:tcPr>
          <w:p w14:paraId="1154EE69" w14:textId="77777777" w:rsidR="000509B9" w:rsidRDefault="000509B9" w:rsidP="00F46222">
            <w:pPr>
              <w:pStyle w:val="TableText"/>
              <w:rPr>
                <w:lang w:val="en-US"/>
              </w:rPr>
            </w:pPr>
            <w:r w:rsidRPr="00831AD6">
              <w:t>SUN</w:t>
            </w:r>
          </w:p>
        </w:tc>
        <w:tc>
          <w:tcPr>
            <w:tcW w:w="556" w:type="pct"/>
          </w:tcPr>
          <w:p w14:paraId="024AE7DF" w14:textId="77777777" w:rsidR="000509B9" w:rsidRDefault="000509B9" w:rsidP="00F46222">
            <w:pPr>
              <w:pStyle w:val="TableText"/>
              <w:rPr>
                <w:lang w:val="en-US"/>
              </w:rPr>
            </w:pPr>
            <w:r w:rsidRPr="00831AD6">
              <w:t>PBO</w:t>
            </w:r>
          </w:p>
        </w:tc>
        <w:tc>
          <w:tcPr>
            <w:tcW w:w="556" w:type="pct"/>
            <w:shd w:val="clear" w:color="auto" w:fill="auto"/>
          </w:tcPr>
          <w:p w14:paraId="0EAE128F" w14:textId="77777777" w:rsidR="000509B9" w:rsidRPr="00CE28E3" w:rsidRDefault="000509B9" w:rsidP="00F46222">
            <w:pPr>
              <w:pStyle w:val="TableText"/>
              <w:rPr>
                <w:lang w:val="en-US"/>
              </w:rPr>
            </w:pPr>
            <w:r>
              <w:rPr>
                <w:lang w:val="en-US"/>
              </w:rPr>
              <w:t>171</w:t>
            </w:r>
          </w:p>
        </w:tc>
        <w:tc>
          <w:tcPr>
            <w:tcW w:w="684" w:type="pct"/>
            <w:shd w:val="clear" w:color="auto" w:fill="auto"/>
          </w:tcPr>
          <w:p w14:paraId="470AA270" w14:textId="77777777" w:rsidR="000509B9" w:rsidRPr="00CE28E3" w:rsidRDefault="000509B9" w:rsidP="00F46222">
            <w:pPr>
              <w:pStyle w:val="TableText"/>
              <w:rPr>
                <w:lang w:val="en-US"/>
              </w:rPr>
            </w:pPr>
            <w:r w:rsidRPr="008E7ECD">
              <w:rPr>
                <w:lang w:val="en-US"/>
              </w:rPr>
              <w:t xml:space="preserve">Multinational, </w:t>
            </w:r>
            <w:proofErr w:type="spellStart"/>
            <w:r w:rsidRPr="008E7ECD">
              <w:rPr>
                <w:lang w:val="en-US"/>
              </w:rPr>
              <w:t>randomised</w:t>
            </w:r>
            <w:proofErr w:type="spellEnd"/>
            <w:r w:rsidRPr="008E7ECD">
              <w:rPr>
                <w:lang w:val="en-US"/>
              </w:rPr>
              <w:t>, double-blind, placebo-controlled</w:t>
            </w:r>
            <w:r>
              <w:rPr>
                <w:lang w:val="en-US"/>
              </w:rPr>
              <w:t xml:space="preserve"> trial</w:t>
            </w:r>
          </w:p>
        </w:tc>
        <w:tc>
          <w:tcPr>
            <w:tcW w:w="429" w:type="pct"/>
            <w:shd w:val="clear" w:color="auto" w:fill="auto"/>
          </w:tcPr>
          <w:p w14:paraId="7E066CCA" w14:textId="77777777" w:rsidR="000509B9" w:rsidRPr="0095653C" w:rsidRDefault="000509B9" w:rsidP="00F46222">
            <w:pPr>
              <w:pStyle w:val="TableText"/>
              <w:rPr>
                <w:iCs/>
                <w:lang w:val="en-US"/>
              </w:rPr>
            </w:pPr>
            <w:r w:rsidRPr="0095653C">
              <w:rPr>
                <w:iCs/>
                <w:lang w:val="en-US"/>
              </w:rPr>
              <w:t>Unclear</w:t>
            </w:r>
          </w:p>
        </w:tc>
        <w:tc>
          <w:tcPr>
            <w:tcW w:w="556" w:type="pct"/>
            <w:shd w:val="clear" w:color="auto" w:fill="auto"/>
          </w:tcPr>
          <w:p w14:paraId="578873DF" w14:textId="77777777" w:rsidR="000509B9" w:rsidRPr="00CE28E3" w:rsidRDefault="000509B9" w:rsidP="00F46222">
            <w:pPr>
              <w:pStyle w:val="TableText"/>
              <w:rPr>
                <w:lang w:val="en-US"/>
              </w:rPr>
            </w:pPr>
            <w:proofErr w:type="spellStart"/>
            <w:r w:rsidRPr="00277827">
              <w:t>pNET</w:t>
            </w:r>
            <w:proofErr w:type="spellEnd"/>
          </w:p>
        </w:tc>
        <w:tc>
          <w:tcPr>
            <w:tcW w:w="556" w:type="pct"/>
            <w:shd w:val="clear" w:color="auto" w:fill="auto"/>
          </w:tcPr>
          <w:p w14:paraId="28D220D5" w14:textId="77777777" w:rsidR="000509B9" w:rsidRPr="00CE28E3" w:rsidRDefault="000509B9" w:rsidP="00F46222">
            <w:pPr>
              <w:pStyle w:val="TableText"/>
              <w:rPr>
                <w:lang w:val="en-US"/>
              </w:rPr>
            </w:pPr>
            <w:r w:rsidRPr="00125E51">
              <w:t>PFS</w:t>
            </w:r>
          </w:p>
        </w:tc>
        <w:tc>
          <w:tcPr>
            <w:tcW w:w="552" w:type="pct"/>
          </w:tcPr>
          <w:p w14:paraId="204257A8" w14:textId="77777777" w:rsidR="000509B9" w:rsidRPr="00125E51" w:rsidRDefault="000509B9" w:rsidP="00F46222">
            <w:pPr>
              <w:pStyle w:val="TableText"/>
            </w:pPr>
          </w:p>
        </w:tc>
      </w:tr>
      <w:tr w:rsidR="000509B9" w14:paraId="0EC040FF" w14:textId="77777777" w:rsidTr="00F46222">
        <w:trPr>
          <w:cantSplit/>
        </w:trPr>
        <w:tc>
          <w:tcPr>
            <w:tcW w:w="5000" w:type="pct"/>
            <w:gridSpan w:val="9"/>
            <w:shd w:val="clear" w:color="auto" w:fill="auto"/>
            <w:vAlign w:val="center"/>
          </w:tcPr>
          <w:p w14:paraId="53AF7FA2" w14:textId="77777777" w:rsidR="000509B9" w:rsidRDefault="000509B9" w:rsidP="00F46222">
            <w:pPr>
              <w:pStyle w:val="TableText"/>
            </w:pPr>
            <w:r>
              <w:t>Indirect treatment comparisons</w:t>
            </w:r>
          </w:p>
        </w:tc>
      </w:tr>
      <w:tr w:rsidR="000509B9" w14:paraId="17167F3D" w14:textId="77777777" w:rsidTr="00F46222">
        <w:trPr>
          <w:cantSplit/>
        </w:trPr>
        <w:tc>
          <w:tcPr>
            <w:tcW w:w="555" w:type="pct"/>
            <w:vMerge w:val="restart"/>
            <w:shd w:val="clear" w:color="auto" w:fill="auto"/>
            <w:vAlign w:val="center"/>
          </w:tcPr>
          <w:p w14:paraId="008A33A2" w14:textId="77777777" w:rsidR="000509B9" w:rsidRPr="008E7ECD" w:rsidRDefault="000509B9" w:rsidP="00F46222">
            <w:pPr>
              <w:pStyle w:val="TableText"/>
              <w:rPr>
                <w:lang w:val="en-US"/>
              </w:rPr>
            </w:pPr>
            <w:r>
              <w:rPr>
                <w:lang w:val="en-US"/>
              </w:rPr>
              <w:lastRenderedPageBreak/>
              <w:t>NMA</w:t>
            </w:r>
          </w:p>
        </w:tc>
        <w:tc>
          <w:tcPr>
            <w:tcW w:w="556" w:type="pct"/>
            <w:vMerge w:val="restart"/>
          </w:tcPr>
          <w:p w14:paraId="50EB7BC8" w14:textId="77777777" w:rsidR="000509B9" w:rsidRPr="00831AD6" w:rsidRDefault="000509B9" w:rsidP="00F46222">
            <w:pPr>
              <w:pStyle w:val="TableText"/>
            </w:pPr>
            <w:r w:rsidRPr="001F7E92">
              <w:rPr>
                <w:vertAlign w:val="superscript"/>
              </w:rPr>
              <w:t>177</w:t>
            </w:r>
            <w:r w:rsidRPr="00831AD6">
              <w:t>Lu-DOTATA</w:t>
            </w:r>
            <w:r>
              <w:t>TE</w:t>
            </w:r>
          </w:p>
        </w:tc>
        <w:tc>
          <w:tcPr>
            <w:tcW w:w="556" w:type="pct"/>
          </w:tcPr>
          <w:p w14:paraId="74F88EC1" w14:textId="77777777" w:rsidR="000509B9" w:rsidRPr="00831AD6" w:rsidRDefault="000509B9" w:rsidP="00F46222">
            <w:pPr>
              <w:pStyle w:val="TableText"/>
            </w:pPr>
            <w:r>
              <w:t>OCT, EVR, OCT+ EVR, SUN, LAN, PBO/BSC</w:t>
            </w:r>
          </w:p>
        </w:tc>
        <w:tc>
          <w:tcPr>
            <w:tcW w:w="556" w:type="pct"/>
            <w:shd w:val="clear" w:color="auto" w:fill="auto"/>
            <w:vAlign w:val="center"/>
          </w:tcPr>
          <w:p w14:paraId="7E898B61" w14:textId="77777777" w:rsidR="000509B9" w:rsidRDefault="000509B9" w:rsidP="00F46222">
            <w:pPr>
              <w:pStyle w:val="TableText"/>
              <w:rPr>
                <w:lang w:val="en-US"/>
              </w:rPr>
            </w:pPr>
            <w:r>
              <w:rPr>
                <w:lang w:val="en-US"/>
              </w:rPr>
              <w:t>k=8</w:t>
            </w:r>
          </w:p>
          <w:p w14:paraId="7DB4FF72" w14:textId="77777777" w:rsidR="000509B9" w:rsidRDefault="000509B9" w:rsidP="00F46222">
            <w:pPr>
              <w:pStyle w:val="TableText"/>
              <w:rPr>
                <w:lang w:val="en-US"/>
              </w:rPr>
            </w:pPr>
            <w:r>
              <w:rPr>
                <w:lang w:val="en-US"/>
              </w:rPr>
              <w:t>N=1524</w:t>
            </w:r>
          </w:p>
        </w:tc>
        <w:tc>
          <w:tcPr>
            <w:tcW w:w="684" w:type="pct"/>
            <w:shd w:val="clear" w:color="auto" w:fill="auto"/>
            <w:vAlign w:val="center"/>
          </w:tcPr>
          <w:p w14:paraId="23B8B852" w14:textId="77777777" w:rsidR="000509B9" w:rsidRPr="008E7ECD" w:rsidRDefault="000509B9" w:rsidP="00F46222">
            <w:pPr>
              <w:pStyle w:val="TableText"/>
              <w:rPr>
                <w:lang w:val="en-US"/>
              </w:rPr>
            </w:pPr>
            <w:r>
              <w:rPr>
                <w:lang w:val="en-US"/>
              </w:rPr>
              <w:t>-</w:t>
            </w:r>
          </w:p>
        </w:tc>
        <w:tc>
          <w:tcPr>
            <w:tcW w:w="429" w:type="pct"/>
            <w:shd w:val="clear" w:color="auto" w:fill="auto"/>
            <w:vAlign w:val="center"/>
          </w:tcPr>
          <w:p w14:paraId="0083D7AB" w14:textId="77777777" w:rsidR="000509B9" w:rsidRPr="0095653C" w:rsidRDefault="000509B9" w:rsidP="00F46222">
            <w:pPr>
              <w:pStyle w:val="TableText"/>
              <w:rPr>
                <w:iCs/>
                <w:lang w:val="en-US"/>
              </w:rPr>
            </w:pPr>
            <w:r>
              <w:rPr>
                <w:iCs/>
                <w:lang w:val="en-US"/>
              </w:rPr>
              <w:t>-</w:t>
            </w:r>
          </w:p>
        </w:tc>
        <w:tc>
          <w:tcPr>
            <w:tcW w:w="556" w:type="pct"/>
            <w:vMerge w:val="restart"/>
            <w:shd w:val="clear" w:color="auto" w:fill="auto"/>
          </w:tcPr>
          <w:p w14:paraId="5CF55F3C" w14:textId="77777777" w:rsidR="000509B9" w:rsidRPr="00277827" w:rsidRDefault="000509B9" w:rsidP="00F46222">
            <w:pPr>
              <w:pStyle w:val="TableText"/>
            </w:pPr>
            <w:r>
              <w:t>NETs</w:t>
            </w:r>
          </w:p>
        </w:tc>
        <w:tc>
          <w:tcPr>
            <w:tcW w:w="556" w:type="pct"/>
            <w:shd w:val="clear" w:color="auto" w:fill="auto"/>
          </w:tcPr>
          <w:p w14:paraId="4C536FC4" w14:textId="77777777" w:rsidR="000509B9" w:rsidRPr="00125E51" w:rsidRDefault="000509B9" w:rsidP="00F46222">
            <w:pPr>
              <w:pStyle w:val="TableText"/>
            </w:pPr>
            <w:r>
              <w:t>PFS</w:t>
            </w:r>
          </w:p>
        </w:tc>
        <w:tc>
          <w:tcPr>
            <w:tcW w:w="552" w:type="pct"/>
          </w:tcPr>
          <w:p w14:paraId="37F397E2" w14:textId="77777777" w:rsidR="000509B9" w:rsidRDefault="000509B9" w:rsidP="00F46222">
            <w:pPr>
              <w:pStyle w:val="TableText"/>
            </w:pPr>
            <w:r>
              <w:t>Yes</w:t>
            </w:r>
          </w:p>
        </w:tc>
      </w:tr>
      <w:tr w:rsidR="000509B9" w14:paraId="1DAC1FCE" w14:textId="77777777" w:rsidTr="00F46222">
        <w:trPr>
          <w:cantSplit/>
        </w:trPr>
        <w:tc>
          <w:tcPr>
            <w:tcW w:w="555" w:type="pct"/>
            <w:vMerge/>
            <w:shd w:val="clear" w:color="auto" w:fill="auto"/>
            <w:vAlign w:val="center"/>
          </w:tcPr>
          <w:p w14:paraId="551BFB3C" w14:textId="77777777" w:rsidR="000509B9" w:rsidRDefault="000509B9" w:rsidP="00F46222">
            <w:pPr>
              <w:pStyle w:val="TableText"/>
              <w:rPr>
                <w:lang w:val="en-US"/>
              </w:rPr>
            </w:pPr>
          </w:p>
        </w:tc>
        <w:tc>
          <w:tcPr>
            <w:tcW w:w="556" w:type="pct"/>
            <w:vMerge/>
          </w:tcPr>
          <w:p w14:paraId="2D820FDB" w14:textId="77777777" w:rsidR="000509B9" w:rsidRDefault="000509B9" w:rsidP="00F46222">
            <w:pPr>
              <w:pStyle w:val="TableText"/>
            </w:pPr>
          </w:p>
        </w:tc>
        <w:tc>
          <w:tcPr>
            <w:tcW w:w="556" w:type="pct"/>
          </w:tcPr>
          <w:p w14:paraId="71A6FCFA" w14:textId="77777777" w:rsidR="000509B9" w:rsidRDefault="000509B9" w:rsidP="00F46222">
            <w:pPr>
              <w:pStyle w:val="TableText"/>
            </w:pPr>
            <w:r>
              <w:t>OCT, EVR, OCT+ EVR, SUN, PBO/BSC</w:t>
            </w:r>
          </w:p>
        </w:tc>
        <w:tc>
          <w:tcPr>
            <w:tcW w:w="556" w:type="pct"/>
            <w:shd w:val="clear" w:color="auto" w:fill="auto"/>
            <w:vAlign w:val="center"/>
          </w:tcPr>
          <w:p w14:paraId="2E43FA68" w14:textId="77777777" w:rsidR="000509B9" w:rsidRDefault="000509B9" w:rsidP="00F46222">
            <w:pPr>
              <w:pStyle w:val="TableText"/>
              <w:rPr>
                <w:lang w:val="en-US"/>
              </w:rPr>
            </w:pPr>
            <w:r>
              <w:rPr>
                <w:lang w:val="en-US"/>
              </w:rPr>
              <w:t>K=6</w:t>
            </w:r>
          </w:p>
          <w:p w14:paraId="00EA3DBA" w14:textId="77777777" w:rsidR="000509B9" w:rsidRDefault="000509B9" w:rsidP="00F46222">
            <w:pPr>
              <w:pStyle w:val="TableText"/>
              <w:rPr>
                <w:lang w:val="en-US"/>
              </w:rPr>
            </w:pPr>
            <w:r>
              <w:rPr>
                <w:lang w:val="en-US"/>
              </w:rPr>
              <w:t>N=1423</w:t>
            </w:r>
          </w:p>
        </w:tc>
        <w:tc>
          <w:tcPr>
            <w:tcW w:w="684" w:type="pct"/>
            <w:shd w:val="clear" w:color="auto" w:fill="auto"/>
            <w:vAlign w:val="center"/>
          </w:tcPr>
          <w:p w14:paraId="354EC929" w14:textId="77777777" w:rsidR="000509B9" w:rsidRPr="008E7ECD" w:rsidRDefault="000509B9" w:rsidP="00F46222">
            <w:pPr>
              <w:pStyle w:val="TableText"/>
              <w:rPr>
                <w:lang w:val="en-US"/>
              </w:rPr>
            </w:pPr>
            <w:r>
              <w:rPr>
                <w:lang w:val="en-US"/>
              </w:rPr>
              <w:t>-</w:t>
            </w:r>
          </w:p>
        </w:tc>
        <w:tc>
          <w:tcPr>
            <w:tcW w:w="429" w:type="pct"/>
            <w:shd w:val="clear" w:color="auto" w:fill="auto"/>
            <w:vAlign w:val="center"/>
          </w:tcPr>
          <w:p w14:paraId="2A87F367" w14:textId="77777777" w:rsidR="000509B9" w:rsidRDefault="000509B9" w:rsidP="00F46222">
            <w:pPr>
              <w:pStyle w:val="TableText"/>
              <w:rPr>
                <w:iCs/>
                <w:lang w:val="en-US"/>
              </w:rPr>
            </w:pPr>
            <w:r>
              <w:rPr>
                <w:iCs/>
                <w:lang w:val="en-US"/>
              </w:rPr>
              <w:t>-</w:t>
            </w:r>
          </w:p>
        </w:tc>
        <w:tc>
          <w:tcPr>
            <w:tcW w:w="556" w:type="pct"/>
            <w:vMerge/>
            <w:shd w:val="clear" w:color="auto" w:fill="auto"/>
          </w:tcPr>
          <w:p w14:paraId="3C917CAA" w14:textId="77777777" w:rsidR="000509B9" w:rsidRPr="00277827" w:rsidRDefault="000509B9" w:rsidP="00F46222">
            <w:pPr>
              <w:pStyle w:val="TableText"/>
            </w:pPr>
          </w:p>
        </w:tc>
        <w:tc>
          <w:tcPr>
            <w:tcW w:w="556" w:type="pct"/>
            <w:shd w:val="clear" w:color="auto" w:fill="auto"/>
          </w:tcPr>
          <w:p w14:paraId="34685778" w14:textId="77777777" w:rsidR="000509B9" w:rsidRDefault="000509B9" w:rsidP="00F46222">
            <w:pPr>
              <w:pStyle w:val="TableText"/>
            </w:pPr>
            <w:r>
              <w:t>OS</w:t>
            </w:r>
          </w:p>
        </w:tc>
        <w:tc>
          <w:tcPr>
            <w:tcW w:w="552" w:type="pct"/>
          </w:tcPr>
          <w:p w14:paraId="21F06053" w14:textId="77777777" w:rsidR="000509B9" w:rsidRDefault="000509B9" w:rsidP="00F46222">
            <w:pPr>
              <w:pStyle w:val="TableText"/>
            </w:pPr>
            <w:r>
              <w:t>Yes</w:t>
            </w:r>
          </w:p>
        </w:tc>
      </w:tr>
    </w:tbl>
    <w:p w14:paraId="1546079B" w14:textId="084DF6AB" w:rsidR="00E0507A" w:rsidRPr="001053EF" w:rsidRDefault="00604E42" w:rsidP="0095653C">
      <w:pPr>
        <w:pStyle w:val="Tablenotes0"/>
      </w:pPr>
      <w:r w:rsidRPr="0095653C">
        <w:t>Abbreviations</w:t>
      </w:r>
      <w:r w:rsidRPr="00604E42">
        <w:t>: BP-NET = bronchopulmonary neuroendocrine tumo</w:t>
      </w:r>
      <w:r w:rsidR="004A015A">
        <w:t>ur</w:t>
      </w:r>
      <w:r w:rsidRPr="00604E42">
        <w:t>;</w:t>
      </w:r>
      <w:r w:rsidR="000E2EF9">
        <w:t xml:space="preserve"> CAPTEM = capecitabine and temozolomide;</w:t>
      </w:r>
      <w:r w:rsidRPr="00604E42">
        <w:t xml:space="preserve"> EV</w:t>
      </w:r>
      <w:r w:rsidR="004D5C60">
        <w:t>O</w:t>
      </w:r>
      <w:r w:rsidRPr="00604E42">
        <w:t xml:space="preserve"> = everolimus; GEP</w:t>
      </w:r>
      <w:r w:rsidR="00C4601E">
        <w:t>-</w:t>
      </w:r>
      <w:r w:rsidRPr="00604E42">
        <w:t xml:space="preserve">NET = </w:t>
      </w:r>
      <w:proofErr w:type="spellStart"/>
      <w:r w:rsidRPr="00604E42">
        <w:t>gastroenteropancreatic</w:t>
      </w:r>
      <w:proofErr w:type="spellEnd"/>
      <w:r w:rsidRPr="00604E42">
        <w:t xml:space="preserve"> neuroendocrine tumo</w:t>
      </w:r>
      <w:r w:rsidR="004A015A">
        <w:t>ur</w:t>
      </w:r>
      <w:r w:rsidRPr="00604E42">
        <w:t>;</w:t>
      </w:r>
      <w:r w:rsidR="00663741">
        <w:t xml:space="preserve"> </w:t>
      </w:r>
      <w:r w:rsidR="000272C6" w:rsidRPr="000272C6">
        <w:t>H-SSTR = high somatostatin receptor</w:t>
      </w:r>
      <w:r w:rsidR="000272C6">
        <w:t>;</w:t>
      </w:r>
      <w:r w:rsidR="000272C6" w:rsidRPr="000272C6">
        <w:t xml:space="preserve"> </w:t>
      </w:r>
      <w:r w:rsidR="00663741">
        <w:t>GI = gastrointestinal;</w:t>
      </w:r>
      <w:r w:rsidRPr="00604E42">
        <w:t xml:space="preserve"> LAN = lanreotide; NEEPT = </w:t>
      </w:r>
      <w:proofErr w:type="spellStart"/>
      <w:r w:rsidRPr="00604E42">
        <w:t>enteropancreatic</w:t>
      </w:r>
      <w:proofErr w:type="spellEnd"/>
      <w:r w:rsidRPr="00604E42">
        <w:t xml:space="preserve"> neuroendocrine tumo</w:t>
      </w:r>
      <w:r w:rsidR="004A015A">
        <w:t>urs</w:t>
      </w:r>
      <w:r w:rsidRPr="00604E42">
        <w:t>; NET = neuroendocrine tumo</w:t>
      </w:r>
      <w:r w:rsidR="004A015A">
        <w:t>ur</w:t>
      </w:r>
      <w:r w:rsidRPr="00604E42">
        <w:t xml:space="preserve">; </w:t>
      </w:r>
      <w:r w:rsidR="00062888">
        <w:t>NMA = network meta-analysis;</w:t>
      </w:r>
      <w:r w:rsidRPr="00604E42">
        <w:t xml:space="preserve"> OCT = octreotide; ORR = objective response rate; </w:t>
      </w:r>
      <w:r w:rsidR="00C07A6E">
        <w:t>OS = overall survival;</w:t>
      </w:r>
      <w:r w:rsidRPr="00604E42">
        <w:t xml:space="preserve"> PBO = placebo; </w:t>
      </w:r>
      <w:proofErr w:type="spellStart"/>
      <w:r w:rsidRPr="00604E42">
        <w:t>pNET</w:t>
      </w:r>
      <w:proofErr w:type="spellEnd"/>
      <w:r w:rsidRPr="00604E42">
        <w:t xml:space="preserve"> = pancreatic neuroendocrine tumo</w:t>
      </w:r>
      <w:r w:rsidR="004A015A">
        <w:t>ur</w:t>
      </w:r>
      <w:r w:rsidRPr="00604E42">
        <w:t>; PFS = progression-free survival; SUN = sunitinib</w:t>
      </w:r>
      <w:r w:rsidR="00AA0C96">
        <w:t>;</w:t>
      </w:r>
      <w:r w:rsidR="000E2EF9">
        <w:t xml:space="preserve"> TEM = t</w:t>
      </w:r>
      <w:r w:rsidR="000E2EF9" w:rsidRPr="00BB3FFE">
        <w:t>emozolomide</w:t>
      </w:r>
      <w:r w:rsidR="000E2EF9">
        <w:t>;</w:t>
      </w:r>
      <w:r w:rsidR="00AA0C96">
        <w:t xml:space="preserve"> TTP = time to treatment</w:t>
      </w:r>
      <w:r w:rsidR="00956ACE" w:rsidRPr="00CE28E3">
        <w:t xml:space="preserve"> progression</w:t>
      </w:r>
      <w:r w:rsidR="00AA0C96">
        <w:t>.</w:t>
      </w:r>
    </w:p>
    <w:p w14:paraId="01669153" w14:textId="489459C1" w:rsidR="00130153" w:rsidRPr="00CE28E3" w:rsidRDefault="000B228E" w:rsidP="00130153">
      <w:pPr>
        <w:pStyle w:val="Heading2"/>
        <w:numPr>
          <w:ilvl w:val="0"/>
          <w:numId w:val="0"/>
        </w:numPr>
      </w:pPr>
      <w:bookmarkStart w:id="60" w:name="_Toc165275528"/>
      <w:r>
        <w:t>11</w:t>
      </w:r>
      <w:r w:rsidR="00130153">
        <w:t>.</w:t>
      </w:r>
      <w:r w:rsidR="00130153">
        <w:tab/>
      </w:r>
      <w:r w:rsidR="00130153" w:rsidRPr="00CE28E3">
        <w:t>Comparative safety</w:t>
      </w:r>
      <w:bookmarkEnd w:id="60"/>
    </w:p>
    <w:p w14:paraId="56E1D69F" w14:textId="77777777" w:rsidR="00130153" w:rsidRDefault="00130153" w:rsidP="00130153">
      <w:pPr>
        <w:pStyle w:val="3-BodyText"/>
        <w:numPr>
          <w:ilvl w:val="0"/>
          <w:numId w:val="0"/>
        </w:numPr>
        <w:rPr>
          <w:rFonts w:ascii="Franklin Gothic Book" w:eastAsiaTheme="minorHAnsi" w:hAnsi="Franklin Gothic Book" w:cstheme="minorBidi"/>
          <w:snapToGrid/>
          <w:sz w:val="22"/>
          <w:szCs w:val="22"/>
          <w:lang w:eastAsia="en-US"/>
        </w:rPr>
      </w:pPr>
      <w:r>
        <w:rPr>
          <w:rFonts w:ascii="Franklin Gothic Book" w:eastAsiaTheme="minorHAnsi" w:hAnsi="Franklin Gothic Book" w:cstheme="minorBidi"/>
          <w:snapToGrid/>
          <w:sz w:val="22"/>
          <w:szCs w:val="22"/>
          <w:lang w:eastAsia="en-US"/>
        </w:rPr>
        <w:t xml:space="preserve">The comparative </w:t>
      </w:r>
      <w:r w:rsidRPr="00514BF9">
        <w:rPr>
          <w:rFonts w:ascii="Franklin Gothic Book" w:eastAsiaTheme="minorHAnsi" w:hAnsi="Franklin Gothic Book" w:cstheme="minorBidi"/>
          <w:snapToGrid/>
          <w:sz w:val="22"/>
          <w:szCs w:val="22"/>
          <w:lang w:eastAsia="en-US"/>
        </w:rPr>
        <w:t xml:space="preserve">safety </w:t>
      </w:r>
      <w:r>
        <w:rPr>
          <w:rFonts w:ascii="Franklin Gothic Book" w:eastAsiaTheme="minorHAnsi" w:hAnsi="Franklin Gothic Book" w:cstheme="minorBidi"/>
          <w:snapToGrid/>
          <w:sz w:val="22"/>
          <w:szCs w:val="22"/>
          <w:lang w:eastAsia="en-US"/>
        </w:rPr>
        <w:t xml:space="preserve">of the diagnostic test </w:t>
      </w:r>
      <w:r w:rsidRPr="00514BF9">
        <w:rPr>
          <w:rFonts w:ascii="Franklin Gothic Book" w:eastAsiaTheme="minorHAnsi" w:hAnsi="Franklin Gothic Book" w:cstheme="minorBidi"/>
          <w:snapToGrid/>
          <w:sz w:val="22"/>
          <w:szCs w:val="22"/>
          <w:lang w:eastAsia="en-US"/>
        </w:rPr>
        <w:t>was not within the scope of systematic review</w:t>
      </w:r>
      <w:r>
        <w:rPr>
          <w:rFonts w:ascii="Franklin Gothic Book" w:eastAsiaTheme="minorHAnsi" w:hAnsi="Franklin Gothic Book" w:cstheme="minorBidi"/>
          <w:snapToGrid/>
          <w:sz w:val="22"/>
          <w:szCs w:val="22"/>
          <w:lang w:eastAsia="en-US"/>
        </w:rPr>
        <w:t>, nor outlined in the included studies within the review.</w:t>
      </w:r>
    </w:p>
    <w:p w14:paraId="30F38350" w14:textId="75CB10B9" w:rsidR="00130153" w:rsidRDefault="00130153" w:rsidP="00130153">
      <w:pPr>
        <w:pStyle w:val="3-BodyText"/>
        <w:numPr>
          <w:ilvl w:val="0"/>
          <w:numId w:val="0"/>
        </w:numPr>
        <w:rPr>
          <w:rFonts w:ascii="Franklin Gothic Book" w:eastAsiaTheme="minorHAnsi" w:hAnsi="Franklin Gothic Book" w:cstheme="minorBidi"/>
          <w:snapToGrid/>
          <w:sz w:val="22"/>
          <w:szCs w:val="22"/>
          <w:lang w:eastAsia="en-US"/>
        </w:rPr>
      </w:pPr>
      <w:r>
        <w:rPr>
          <w:rFonts w:ascii="Franklin Gothic Book" w:eastAsiaTheme="minorHAnsi" w:hAnsi="Franklin Gothic Book" w:cstheme="minorBidi"/>
          <w:snapToGrid/>
          <w:sz w:val="22"/>
          <w:szCs w:val="22"/>
          <w:lang w:eastAsia="en-US"/>
        </w:rPr>
        <w:t xml:space="preserve">The pooled proportions of patients experiencing adverse events (AEs) were similar when comparing </w:t>
      </w:r>
      <w:r w:rsidRPr="00EC620A">
        <w:rPr>
          <w:rFonts w:ascii="Franklin Gothic Book" w:eastAsiaTheme="minorHAnsi" w:hAnsi="Franklin Gothic Book"/>
          <w:sz w:val="22"/>
          <w:szCs w:val="22"/>
          <w:vertAlign w:val="superscript"/>
        </w:rPr>
        <w:t>177</w:t>
      </w:r>
      <w:r w:rsidRPr="00EC620A">
        <w:rPr>
          <w:rFonts w:ascii="Franklin Gothic Book" w:eastAsiaTheme="minorHAnsi" w:hAnsi="Franklin Gothic Book"/>
          <w:sz w:val="22"/>
          <w:szCs w:val="22"/>
        </w:rPr>
        <w:t>Lu</w:t>
      </w:r>
      <w:r w:rsidRPr="00AC4AB7">
        <w:rPr>
          <w:rFonts w:ascii="Franklin Gothic Book" w:eastAsiaTheme="minorHAnsi" w:hAnsi="Franklin Gothic Book" w:cstheme="minorBidi"/>
          <w:snapToGrid/>
          <w:sz w:val="22"/>
          <w:szCs w:val="22"/>
          <w:lang w:eastAsia="en-US"/>
        </w:rPr>
        <w:t>-</w:t>
      </w:r>
      <w:r>
        <w:rPr>
          <w:rFonts w:ascii="Franklin Gothic Book" w:eastAsiaTheme="minorHAnsi" w:hAnsi="Franklin Gothic Book" w:cstheme="minorBidi"/>
          <w:snapToGrid/>
          <w:sz w:val="22"/>
          <w:szCs w:val="22"/>
          <w:lang w:eastAsia="en-US"/>
        </w:rPr>
        <w:t>DOTATATE</w:t>
      </w:r>
      <w:r w:rsidRPr="00EC620A">
        <w:rPr>
          <w:rFonts w:ascii="Franklin Gothic Book" w:eastAsiaTheme="minorHAnsi" w:hAnsi="Franklin Gothic Book" w:cstheme="minorBidi"/>
          <w:snapToGrid/>
          <w:lang w:eastAsia="en-US"/>
        </w:rPr>
        <w:t xml:space="preserve"> </w:t>
      </w:r>
      <w:r>
        <w:rPr>
          <w:rFonts w:ascii="Franklin Gothic Book" w:eastAsiaTheme="minorHAnsi" w:hAnsi="Franklin Gothic Book" w:cstheme="minorBidi"/>
          <w:snapToGrid/>
          <w:sz w:val="22"/>
          <w:szCs w:val="22"/>
          <w:lang w:eastAsia="en-US"/>
        </w:rPr>
        <w:t>to each of the comparator therapies (</w:t>
      </w:r>
      <w:r w:rsidRPr="006B1C86">
        <w:rPr>
          <w:rFonts w:ascii="Franklin Gothic Book" w:eastAsiaTheme="minorHAnsi" w:hAnsi="Franklin Gothic Book" w:cstheme="minorBidi"/>
          <w:snapToGrid/>
          <w:sz w:val="22"/>
          <w:szCs w:val="22"/>
          <w:lang w:eastAsia="en-US"/>
        </w:rPr>
        <w:fldChar w:fldCharType="begin"/>
      </w:r>
      <w:r w:rsidRPr="006B1C86">
        <w:rPr>
          <w:rFonts w:ascii="Franklin Gothic Book" w:eastAsiaTheme="minorHAnsi" w:hAnsi="Franklin Gothic Book" w:cstheme="minorBidi"/>
          <w:snapToGrid/>
          <w:sz w:val="22"/>
          <w:szCs w:val="22"/>
          <w:lang w:eastAsia="en-US"/>
        </w:rPr>
        <w:instrText xml:space="preserve"> REF _Ref160477175 \h  \* MERGEFORMAT </w:instrText>
      </w:r>
      <w:r w:rsidRPr="006B1C86">
        <w:rPr>
          <w:rFonts w:ascii="Franklin Gothic Book" w:eastAsiaTheme="minorHAnsi" w:hAnsi="Franklin Gothic Book" w:cstheme="minorBidi"/>
          <w:snapToGrid/>
          <w:sz w:val="22"/>
          <w:szCs w:val="22"/>
          <w:lang w:eastAsia="en-US"/>
        </w:rPr>
      </w:r>
      <w:r w:rsidRPr="006B1C86">
        <w:rPr>
          <w:rFonts w:ascii="Franklin Gothic Book" w:eastAsiaTheme="minorHAnsi" w:hAnsi="Franklin Gothic Book" w:cstheme="minorBidi"/>
          <w:snapToGrid/>
          <w:sz w:val="22"/>
          <w:szCs w:val="22"/>
          <w:lang w:eastAsia="en-US"/>
        </w:rPr>
        <w:fldChar w:fldCharType="separate"/>
      </w:r>
      <w:r w:rsidR="00674D5E" w:rsidRPr="00EF2D54">
        <w:rPr>
          <w:rFonts w:ascii="Franklin Gothic Book" w:hAnsi="Franklin Gothic Book"/>
        </w:rPr>
        <w:t xml:space="preserve">Table </w:t>
      </w:r>
      <w:r w:rsidR="00674D5E">
        <w:rPr>
          <w:noProof/>
        </w:rPr>
        <w:t>7</w:t>
      </w:r>
      <w:r w:rsidRPr="006B1C86">
        <w:rPr>
          <w:rFonts w:ascii="Franklin Gothic Book" w:eastAsiaTheme="minorHAnsi" w:hAnsi="Franklin Gothic Book" w:cstheme="minorBidi"/>
          <w:snapToGrid/>
          <w:sz w:val="22"/>
          <w:szCs w:val="22"/>
          <w:lang w:eastAsia="en-US"/>
        </w:rPr>
        <w:fldChar w:fldCharType="end"/>
      </w:r>
      <w:r w:rsidRPr="006B1C86">
        <w:rPr>
          <w:rFonts w:ascii="Franklin Gothic Book" w:eastAsiaTheme="minorHAnsi" w:hAnsi="Franklin Gothic Book" w:cstheme="minorBidi"/>
          <w:snapToGrid/>
          <w:sz w:val="22"/>
          <w:szCs w:val="22"/>
          <w:lang w:eastAsia="en-US"/>
        </w:rPr>
        <w:t>).</w:t>
      </w:r>
      <w:r>
        <w:rPr>
          <w:rFonts w:ascii="Franklin Gothic Book" w:eastAsiaTheme="minorHAnsi" w:hAnsi="Franklin Gothic Book" w:cstheme="minorBidi"/>
          <w:snapToGrid/>
          <w:sz w:val="22"/>
          <w:szCs w:val="22"/>
          <w:lang w:eastAsia="en-US"/>
        </w:rPr>
        <w:t xml:space="preserve"> However, differences in the rates of serious AEs (SAEs) varied across treatments. Most notably, the rates of SAEs for o</w:t>
      </w:r>
      <w:r w:rsidRPr="00DC3B9C">
        <w:rPr>
          <w:rFonts w:ascii="Franklin Gothic Book" w:eastAsiaTheme="minorHAnsi" w:hAnsi="Franklin Gothic Book" w:cstheme="minorBidi"/>
          <w:snapToGrid/>
          <w:sz w:val="22"/>
          <w:szCs w:val="22"/>
          <w:lang w:eastAsia="en-US"/>
        </w:rPr>
        <w:t xml:space="preserve">ctreotide </w:t>
      </w:r>
      <w:r>
        <w:rPr>
          <w:rFonts w:ascii="Franklin Gothic Book" w:eastAsiaTheme="minorHAnsi" w:hAnsi="Franklin Gothic Book" w:cstheme="minorBidi"/>
          <w:snapToGrid/>
          <w:sz w:val="22"/>
          <w:szCs w:val="22"/>
          <w:lang w:eastAsia="en-US"/>
        </w:rPr>
        <w:t>plus</w:t>
      </w:r>
      <w:r w:rsidRPr="00DC3B9C">
        <w:rPr>
          <w:rFonts w:ascii="Franklin Gothic Book" w:eastAsiaTheme="minorHAnsi" w:hAnsi="Franklin Gothic Book" w:cstheme="minorBidi"/>
          <w:snapToGrid/>
          <w:sz w:val="22"/>
          <w:szCs w:val="22"/>
          <w:lang w:eastAsia="en-US"/>
        </w:rPr>
        <w:t xml:space="preserve"> everolimus</w:t>
      </w:r>
      <w:r>
        <w:rPr>
          <w:rFonts w:ascii="Franklin Gothic Book" w:eastAsiaTheme="minorHAnsi" w:hAnsi="Franklin Gothic Book" w:cstheme="minorBidi"/>
          <w:snapToGrid/>
          <w:sz w:val="22"/>
          <w:szCs w:val="22"/>
          <w:lang w:eastAsia="en-US"/>
        </w:rPr>
        <w:t xml:space="preserve"> (59%)</w:t>
      </w:r>
      <w:r w:rsidRPr="00DC3B9C">
        <w:rPr>
          <w:rFonts w:ascii="Franklin Gothic Book" w:eastAsiaTheme="minorHAnsi" w:hAnsi="Franklin Gothic Book" w:cstheme="minorBidi"/>
          <w:snapToGrid/>
          <w:sz w:val="22"/>
          <w:szCs w:val="22"/>
          <w:lang w:eastAsia="en-US"/>
        </w:rPr>
        <w:t xml:space="preserve"> were more than double th</w:t>
      </w:r>
      <w:r>
        <w:rPr>
          <w:rFonts w:ascii="Franklin Gothic Book" w:eastAsiaTheme="minorHAnsi" w:hAnsi="Franklin Gothic Book" w:cstheme="minorBidi"/>
          <w:snapToGrid/>
          <w:sz w:val="22"/>
          <w:szCs w:val="22"/>
          <w:lang w:eastAsia="en-US"/>
        </w:rPr>
        <w:t>ose</w:t>
      </w:r>
      <w:r w:rsidRPr="00DC3B9C">
        <w:rPr>
          <w:rFonts w:ascii="Franklin Gothic Book" w:eastAsiaTheme="minorHAnsi" w:hAnsi="Franklin Gothic Book" w:cstheme="minorBidi"/>
          <w:snapToGrid/>
          <w:sz w:val="22"/>
          <w:szCs w:val="22"/>
          <w:lang w:eastAsia="en-US"/>
        </w:rPr>
        <w:t xml:space="preserve"> for </w:t>
      </w:r>
      <w:r w:rsidRPr="001345FE">
        <w:rPr>
          <w:rFonts w:ascii="Franklin Gothic Book" w:eastAsiaTheme="minorHAnsi" w:hAnsi="Franklin Gothic Book"/>
          <w:sz w:val="22"/>
          <w:szCs w:val="22"/>
          <w:vertAlign w:val="superscript"/>
        </w:rPr>
        <w:t>177</w:t>
      </w:r>
      <w:r w:rsidRPr="001345FE">
        <w:rPr>
          <w:rFonts w:ascii="Franklin Gothic Book" w:eastAsiaTheme="minorHAnsi" w:hAnsi="Franklin Gothic Book"/>
          <w:sz w:val="22"/>
          <w:szCs w:val="22"/>
        </w:rPr>
        <w:t>Lu-DOTATATE</w:t>
      </w:r>
      <w:r w:rsidRPr="00050981">
        <w:rPr>
          <w:rFonts w:ascii="Arial Narrow" w:eastAsiaTheme="minorHAnsi" w:hAnsi="Arial Narrow"/>
        </w:rPr>
        <w:t xml:space="preserve"> </w:t>
      </w:r>
      <w:r w:rsidRPr="00DC3B9C">
        <w:rPr>
          <w:rFonts w:ascii="Franklin Gothic Book" w:eastAsiaTheme="minorHAnsi" w:hAnsi="Franklin Gothic Book" w:cstheme="minorBidi"/>
          <w:snapToGrid/>
          <w:sz w:val="22"/>
          <w:szCs w:val="22"/>
          <w:lang w:eastAsia="en-US"/>
        </w:rPr>
        <w:t>(26%). High rate</w:t>
      </w:r>
      <w:r>
        <w:rPr>
          <w:rFonts w:ascii="Franklin Gothic Book" w:eastAsiaTheme="minorHAnsi" w:hAnsi="Franklin Gothic Book" w:cstheme="minorBidi"/>
          <w:snapToGrid/>
          <w:sz w:val="22"/>
          <w:szCs w:val="22"/>
          <w:lang w:eastAsia="en-US"/>
        </w:rPr>
        <w:t>s</w:t>
      </w:r>
      <w:r w:rsidRPr="00DC3B9C">
        <w:rPr>
          <w:rFonts w:ascii="Franklin Gothic Book" w:eastAsiaTheme="minorHAnsi" w:hAnsi="Franklin Gothic Book" w:cstheme="minorBidi"/>
          <w:snapToGrid/>
          <w:sz w:val="22"/>
          <w:szCs w:val="22"/>
          <w:lang w:eastAsia="en-US"/>
        </w:rPr>
        <w:t xml:space="preserve"> of SAEs were also observed for </w:t>
      </w:r>
      <w:r>
        <w:rPr>
          <w:rFonts w:ascii="Franklin Gothic Book" w:eastAsiaTheme="minorHAnsi" w:hAnsi="Franklin Gothic Book" w:cstheme="minorBidi"/>
          <w:snapToGrid/>
          <w:sz w:val="22"/>
          <w:szCs w:val="22"/>
          <w:lang w:eastAsia="en-US"/>
        </w:rPr>
        <w:t>e</w:t>
      </w:r>
      <w:r w:rsidRPr="005209D1">
        <w:rPr>
          <w:rFonts w:ascii="Franklin Gothic Book" w:eastAsiaTheme="minorHAnsi" w:hAnsi="Franklin Gothic Book" w:cstheme="minorBidi"/>
          <w:snapToGrid/>
          <w:sz w:val="22"/>
          <w:szCs w:val="22"/>
          <w:lang w:eastAsia="en-US"/>
        </w:rPr>
        <w:t xml:space="preserve">verolimus </w:t>
      </w:r>
      <w:r w:rsidRPr="00DC3B9C">
        <w:rPr>
          <w:rFonts w:ascii="Franklin Gothic Book" w:eastAsiaTheme="minorHAnsi" w:hAnsi="Franklin Gothic Book" w:cstheme="minorBidi"/>
          <w:snapToGrid/>
          <w:sz w:val="22"/>
          <w:szCs w:val="22"/>
          <w:lang w:eastAsia="en-US"/>
        </w:rPr>
        <w:t>monotherapy (44%).</w:t>
      </w:r>
    </w:p>
    <w:p w14:paraId="090174B9" w14:textId="5B7F3F07" w:rsidR="00130153" w:rsidRDefault="00130153" w:rsidP="00130153">
      <w:pPr>
        <w:pStyle w:val="Caption"/>
      </w:pPr>
      <w:bookmarkStart w:id="61" w:name="_Ref160477175"/>
      <w:bookmarkStart w:id="62" w:name="_Toc161842043"/>
      <w:r>
        <w:t xml:space="preserve">Table </w:t>
      </w:r>
      <w:r>
        <w:fldChar w:fldCharType="begin"/>
      </w:r>
      <w:r>
        <w:instrText xml:space="preserve"> SEQ Table \* ARABIC </w:instrText>
      </w:r>
      <w:r>
        <w:fldChar w:fldCharType="separate"/>
      </w:r>
      <w:r w:rsidR="006D13BC">
        <w:rPr>
          <w:noProof/>
        </w:rPr>
        <w:t>7</w:t>
      </w:r>
      <w:r>
        <w:rPr>
          <w:noProof/>
        </w:rPr>
        <w:fldChar w:fldCharType="end"/>
      </w:r>
      <w:bookmarkEnd w:id="61"/>
      <w:r>
        <w:t xml:space="preserve">: Pooled analysis of the proportions of patients experiencing AEs and SAEs for each </w:t>
      </w:r>
      <w:proofErr w:type="gramStart"/>
      <w:r>
        <w:t>treatment</w:t>
      </w:r>
      <w:bookmarkEnd w:id="62"/>
      <w:proofErr w:type="gramEnd"/>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07"/>
        <w:gridCol w:w="3008"/>
        <w:gridCol w:w="3001"/>
      </w:tblGrid>
      <w:tr w:rsidR="00130153" w:rsidRPr="00A95AD2" w14:paraId="414387DE" w14:textId="77777777" w:rsidTr="00B431D6">
        <w:trPr>
          <w:trHeight w:val="323"/>
          <w:tblHeader/>
        </w:trPr>
        <w:tc>
          <w:tcPr>
            <w:tcW w:w="1668" w:type="pct"/>
          </w:tcPr>
          <w:p w14:paraId="17E79CD3" w14:textId="77777777" w:rsidR="00130153" w:rsidRPr="000E518A" w:rsidRDefault="00130153" w:rsidP="00B431D6">
            <w:pPr>
              <w:pStyle w:val="TableHeading0"/>
              <w:rPr>
                <w:snapToGrid w:val="0"/>
              </w:rPr>
            </w:pPr>
            <w:r w:rsidRPr="000E518A">
              <w:rPr>
                <w:snapToGrid w:val="0"/>
              </w:rPr>
              <w:t>Treatment</w:t>
            </w:r>
          </w:p>
        </w:tc>
        <w:tc>
          <w:tcPr>
            <w:tcW w:w="1668" w:type="pct"/>
            <w:shd w:val="clear" w:color="auto" w:fill="auto"/>
            <w:vAlign w:val="center"/>
          </w:tcPr>
          <w:p w14:paraId="2B78064C" w14:textId="77777777" w:rsidR="00130153" w:rsidRPr="000E518A" w:rsidRDefault="00130153" w:rsidP="00B431D6">
            <w:pPr>
              <w:pStyle w:val="TableHeading0"/>
              <w:rPr>
                <w:snapToGrid w:val="0"/>
              </w:rPr>
            </w:pPr>
            <w:r w:rsidRPr="000E518A">
              <w:rPr>
                <w:snapToGrid w:val="0"/>
              </w:rPr>
              <w:t>AE</w:t>
            </w:r>
          </w:p>
        </w:tc>
        <w:tc>
          <w:tcPr>
            <w:tcW w:w="1664" w:type="pct"/>
            <w:shd w:val="clear" w:color="auto" w:fill="auto"/>
            <w:vAlign w:val="center"/>
          </w:tcPr>
          <w:p w14:paraId="36965B91" w14:textId="77777777" w:rsidR="00130153" w:rsidRPr="000E518A" w:rsidRDefault="00130153" w:rsidP="00B431D6">
            <w:pPr>
              <w:pStyle w:val="TableHeading0"/>
              <w:rPr>
                <w:snapToGrid w:val="0"/>
              </w:rPr>
            </w:pPr>
            <w:r w:rsidRPr="000E518A">
              <w:rPr>
                <w:snapToGrid w:val="0"/>
              </w:rPr>
              <w:t>SAE</w:t>
            </w:r>
          </w:p>
        </w:tc>
      </w:tr>
      <w:tr w:rsidR="00130153" w:rsidRPr="00A95AD2" w14:paraId="24007A4E" w14:textId="77777777" w:rsidTr="00B431D6">
        <w:trPr>
          <w:trHeight w:val="231"/>
          <w:tblHeader/>
        </w:trPr>
        <w:tc>
          <w:tcPr>
            <w:tcW w:w="1668" w:type="pct"/>
            <w:vAlign w:val="center"/>
          </w:tcPr>
          <w:p w14:paraId="56C02058" w14:textId="77777777" w:rsidR="00130153" w:rsidRPr="000E518A" w:rsidRDefault="00130153" w:rsidP="00B431D6">
            <w:pPr>
              <w:pStyle w:val="TableText"/>
              <w:rPr>
                <w:lang w:val="en-GB"/>
              </w:rPr>
            </w:pPr>
            <w:r w:rsidRPr="001345FE">
              <w:rPr>
                <w:vertAlign w:val="superscript"/>
                <w:lang w:val="en-GB"/>
              </w:rPr>
              <w:t>177</w:t>
            </w:r>
            <w:r w:rsidRPr="000E518A">
              <w:rPr>
                <w:lang w:val="en-GB"/>
              </w:rPr>
              <w:t>Lu-</w:t>
            </w:r>
            <w:r>
              <w:rPr>
                <w:lang w:val="en-GB"/>
              </w:rPr>
              <w:t>DOTATATE</w:t>
            </w:r>
          </w:p>
        </w:tc>
        <w:tc>
          <w:tcPr>
            <w:tcW w:w="1668" w:type="pct"/>
            <w:shd w:val="clear" w:color="auto" w:fill="auto"/>
            <w:vAlign w:val="center"/>
          </w:tcPr>
          <w:p w14:paraId="23A5C1DD" w14:textId="77777777" w:rsidR="00130153" w:rsidRPr="000E518A" w:rsidRDefault="00130153" w:rsidP="00B431D6">
            <w:pPr>
              <w:pStyle w:val="TableText"/>
              <w:rPr>
                <w:lang w:val="en-GB"/>
              </w:rPr>
            </w:pPr>
            <w:r w:rsidRPr="000E518A">
              <w:rPr>
                <w:lang w:val="en-GB"/>
              </w:rPr>
              <w:t>95%</w:t>
            </w:r>
          </w:p>
        </w:tc>
        <w:tc>
          <w:tcPr>
            <w:tcW w:w="1664" w:type="pct"/>
            <w:shd w:val="clear" w:color="auto" w:fill="auto"/>
            <w:vAlign w:val="center"/>
          </w:tcPr>
          <w:p w14:paraId="290AF25C" w14:textId="77777777" w:rsidR="00130153" w:rsidRPr="000E518A" w:rsidRDefault="00130153" w:rsidP="00B431D6">
            <w:pPr>
              <w:pStyle w:val="TableText"/>
              <w:rPr>
                <w:b/>
                <w:lang w:val="en-GB"/>
              </w:rPr>
            </w:pPr>
            <w:r w:rsidRPr="000E518A">
              <w:rPr>
                <w:lang w:val="en-GB"/>
              </w:rPr>
              <w:t>26%</w:t>
            </w:r>
          </w:p>
        </w:tc>
      </w:tr>
      <w:tr w:rsidR="00130153" w:rsidRPr="00A95AD2" w14:paraId="4288BF0B" w14:textId="77777777" w:rsidTr="00B431D6">
        <w:trPr>
          <w:trHeight w:val="84"/>
        </w:trPr>
        <w:tc>
          <w:tcPr>
            <w:tcW w:w="1668" w:type="pct"/>
            <w:vAlign w:val="center"/>
          </w:tcPr>
          <w:p w14:paraId="4160D5BB" w14:textId="77777777" w:rsidR="00130153" w:rsidRPr="000E518A" w:rsidRDefault="00130153" w:rsidP="00B431D6">
            <w:pPr>
              <w:pStyle w:val="TableText"/>
              <w:rPr>
                <w:b/>
                <w:lang w:val="en-GB"/>
              </w:rPr>
            </w:pPr>
            <w:r w:rsidRPr="000E518A">
              <w:rPr>
                <w:lang w:val="en-GB"/>
              </w:rPr>
              <w:t>Octreotide + everolimus</w:t>
            </w:r>
          </w:p>
        </w:tc>
        <w:tc>
          <w:tcPr>
            <w:tcW w:w="1668" w:type="pct"/>
            <w:shd w:val="clear" w:color="auto" w:fill="auto"/>
            <w:vAlign w:val="center"/>
          </w:tcPr>
          <w:p w14:paraId="3AF44724" w14:textId="77777777" w:rsidR="00130153" w:rsidRPr="000E518A" w:rsidRDefault="00130153" w:rsidP="00B431D6">
            <w:pPr>
              <w:pStyle w:val="TableText"/>
              <w:rPr>
                <w:b/>
                <w:lang w:val="en-GB"/>
              </w:rPr>
            </w:pPr>
            <w:r w:rsidRPr="000E518A">
              <w:rPr>
                <w:lang w:val="en-GB"/>
              </w:rPr>
              <w:t>100%</w:t>
            </w:r>
          </w:p>
        </w:tc>
        <w:tc>
          <w:tcPr>
            <w:tcW w:w="1664" w:type="pct"/>
            <w:shd w:val="clear" w:color="auto" w:fill="auto"/>
            <w:vAlign w:val="center"/>
          </w:tcPr>
          <w:p w14:paraId="485A129C" w14:textId="77777777" w:rsidR="00130153" w:rsidRPr="000E518A" w:rsidRDefault="00130153" w:rsidP="00B431D6">
            <w:pPr>
              <w:pStyle w:val="TableText"/>
              <w:rPr>
                <w:b/>
                <w:lang w:val="en-GB"/>
              </w:rPr>
            </w:pPr>
            <w:r w:rsidRPr="000E518A">
              <w:rPr>
                <w:lang w:val="en-GB"/>
              </w:rPr>
              <w:t>59%</w:t>
            </w:r>
          </w:p>
        </w:tc>
      </w:tr>
      <w:tr w:rsidR="00130153" w:rsidRPr="00A95AD2" w14:paraId="2F1008B6" w14:textId="77777777" w:rsidTr="00B431D6">
        <w:trPr>
          <w:trHeight w:val="347"/>
        </w:trPr>
        <w:tc>
          <w:tcPr>
            <w:tcW w:w="1668" w:type="pct"/>
            <w:vAlign w:val="center"/>
          </w:tcPr>
          <w:p w14:paraId="1315D0B5" w14:textId="77777777" w:rsidR="00130153" w:rsidRPr="000E518A" w:rsidRDefault="00130153" w:rsidP="00B431D6">
            <w:pPr>
              <w:pStyle w:val="TableText"/>
              <w:rPr>
                <w:lang w:val="en-GB"/>
              </w:rPr>
            </w:pPr>
            <w:r w:rsidRPr="000E518A">
              <w:rPr>
                <w:lang w:val="en-GB"/>
              </w:rPr>
              <w:t>Octreotide</w:t>
            </w:r>
          </w:p>
        </w:tc>
        <w:tc>
          <w:tcPr>
            <w:tcW w:w="1668" w:type="pct"/>
            <w:shd w:val="clear" w:color="auto" w:fill="auto"/>
            <w:vAlign w:val="center"/>
          </w:tcPr>
          <w:p w14:paraId="46F45CB6" w14:textId="77777777" w:rsidR="00130153" w:rsidRPr="000E518A" w:rsidRDefault="00130153" w:rsidP="00B431D6">
            <w:pPr>
              <w:pStyle w:val="TableText"/>
              <w:rPr>
                <w:lang w:val="en-GB"/>
              </w:rPr>
            </w:pPr>
            <w:r w:rsidRPr="000E518A">
              <w:rPr>
                <w:lang w:val="en-GB"/>
              </w:rPr>
              <w:t>85%</w:t>
            </w:r>
          </w:p>
        </w:tc>
        <w:tc>
          <w:tcPr>
            <w:tcW w:w="1664" w:type="pct"/>
            <w:shd w:val="clear" w:color="auto" w:fill="auto"/>
            <w:vAlign w:val="center"/>
          </w:tcPr>
          <w:p w14:paraId="27958B5C" w14:textId="77777777" w:rsidR="00130153" w:rsidRPr="000E518A" w:rsidRDefault="00130153" w:rsidP="00B431D6">
            <w:pPr>
              <w:pStyle w:val="TableText"/>
              <w:rPr>
                <w:lang w:val="en-GB"/>
              </w:rPr>
            </w:pPr>
            <w:r w:rsidRPr="000E518A">
              <w:rPr>
                <w:lang w:val="en-GB"/>
              </w:rPr>
              <w:t>31%</w:t>
            </w:r>
          </w:p>
        </w:tc>
      </w:tr>
      <w:tr w:rsidR="00130153" w:rsidRPr="00A95AD2" w14:paraId="67EA5B91" w14:textId="77777777" w:rsidTr="00B431D6">
        <w:trPr>
          <w:trHeight w:val="273"/>
        </w:trPr>
        <w:tc>
          <w:tcPr>
            <w:tcW w:w="1668" w:type="pct"/>
            <w:vAlign w:val="center"/>
          </w:tcPr>
          <w:p w14:paraId="152B021D" w14:textId="77777777" w:rsidR="00130153" w:rsidRPr="000E518A" w:rsidRDefault="00130153" w:rsidP="00B431D6">
            <w:pPr>
              <w:pStyle w:val="TableText"/>
              <w:rPr>
                <w:lang w:val="en-GB"/>
              </w:rPr>
            </w:pPr>
            <w:r w:rsidRPr="000E518A">
              <w:rPr>
                <w:lang w:val="en-GB"/>
              </w:rPr>
              <w:t>Everolimus</w:t>
            </w:r>
          </w:p>
        </w:tc>
        <w:tc>
          <w:tcPr>
            <w:tcW w:w="1668" w:type="pct"/>
            <w:shd w:val="clear" w:color="auto" w:fill="auto"/>
            <w:vAlign w:val="center"/>
          </w:tcPr>
          <w:p w14:paraId="2DFCDDC4" w14:textId="77777777" w:rsidR="00130153" w:rsidRPr="000E518A" w:rsidRDefault="00130153" w:rsidP="00B431D6">
            <w:pPr>
              <w:pStyle w:val="TableText"/>
              <w:rPr>
                <w:lang w:val="en-GB"/>
              </w:rPr>
            </w:pPr>
            <w:r w:rsidRPr="000E518A">
              <w:rPr>
                <w:lang w:val="en-GB"/>
              </w:rPr>
              <w:t>98%</w:t>
            </w:r>
          </w:p>
        </w:tc>
        <w:tc>
          <w:tcPr>
            <w:tcW w:w="1664" w:type="pct"/>
            <w:shd w:val="clear" w:color="auto" w:fill="auto"/>
            <w:vAlign w:val="center"/>
          </w:tcPr>
          <w:p w14:paraId="58D469C4" w14:textId="77777777" w:rsidR="00130153" w:rsidRPr="000E518A" w:rsidRDefault="00130153" w:rsidP="00B431D6">
            <w:pPr>
              <w:pStyle w:val="TableText"/>
              <w:rPr>
                <w:lang w:val="en-GB"/>
              </w:rPr>
            </w:pPr>
            <w:r w:rsidRPr="000E518A">
              <w:rPr>
                <w:lang w:val="en-GB"/>
              </w:rPr>
              <w:t>44%</w:t>
            </w:r>
          </w:p>
        </w:tc>
      </w:tr>
      <w:tr w:rsidR="00130153" w:rsidRPr="00A95AD2" w14:paraId="36A5BF81" w14:textId="77777777" w:rsidTr="00B431D6">
        <w:trPr>
          <w:trHeight w:val="273"/>
        </w:trPr>
        <w:tc>
          <w:tcPr>
            <w:tcW w:w="1668" w:type="pct"/>
            <w:vAlign w:val="center"/>
          </w:tcPr>
          <w:p w14:paraId="24C7C1F0" w14:textId="77777777" w:rsidR="00130153" w:rsidRPr="000E518A" w:rsidRDefault="00130153" w:rsidP="00B431D6">
            <w:pPr>
              <w:pStyle w:val="TableText"/>
              <w:rPr>
                <w:lang w:val="en-GB"/>
              </w:rPr>
            </w:pPr>
            <w:r w:rsidRPr="000E518A">
              <w:rPr>
                <w:lang w:val="en-GB"/>
              </w:rPr>
              <w:t>Sunitinib</w:t>
            </w:r>
          </w:p>
        </w:tc>
        <w:tc>
          <w:tcPr>
            <w:tcW w:w="1668" w:type="pct"/>
            <w:shd w:val="clear" w:color="auto" w:fill="auto"/>
            <w:vAlign w:val="center"/>
          </w:tcPr>
          <w:p w14:paraId="1E67DC1F" w14:textId="77777777" w:rsidR="00130153" w:rsidRPr="000E518A" w:rsidRDefault="00130153" w:rsidP="00B431D6">
            <w:pPr>
              <w:pStyle w:val="TableText"/>
              <w:rPr>
                <w:lang w:val="en-GB"/>
              </w:rPr>
            </w:pPr>
            <w:r w:rsidRPr="000E518A">
              <w:rPr>
                <w:lang w:val="en-GB"/>
              </w:rPr>
              <w:t>96%</w:t>
            </w:r>
          </w:p>
        </w:tc>
        <w:tc>
          <w:tcPr>
            <w:tcW w:w="1664" w:type="pct"/>
            <w:shd w:val="clear" w:color="auto" w:fill="auto"/>
            <w:vAlign w:val="center"/>
          </w:tcPr>
          <w:p w14:paraId="11745320" w14:textId="77777777" w:rsidR="00130153" w:rsidRPr="000E518A" w:rsidRDefault="00130153" w:rsidP="00B431D6">
            <w:pPr>
              <w:pStyle w:val="TableText"/>
              <w:rPr>
                <w:lang w:val="en-GB"/>
              </w:rPr>
            </w:pPr>
            <w:r w:rsidRPr="000E518A">
              <w:rPr>
                <w:lang w:val="en-GB"/>
              </w:rPr>
              <w:t>27%</w:t>
            </w:r>
          </w:p>
        </w:tc>
      </w:tr>
      <w:tr w:rsidR="00130153" w:rsidRPr="00A95AD2" w14:paraId="6AA29203" w14:textId="77777777" w:rsidTr="00B431D6">
        <w:trPr>
          <w:trHeight w:val="273"/>
        </w:trPr>
        <w:tc>
          <w:tcPr>
            <w:tcW w:w="1668" w:type="pct"/>
            <w:vAlign w:val="center"/>
          </w:tcPr>
          <w:p w14:paraId="0FB07947" w14:textId="77777777" w:rsidR="00130153" w:rsidRPr="000E518A" w:rsidRDefault="00130153" w:rsidP="00B431D6">
            <w:pPr>
              <w:pStyle w:val="TableText"/>
              <w:rPr>
                <w:lang w:val="en-GB"/>
              </w:rPr>
            </w:pPr>
            <w:r w:rsidRPr="000E518A">
              <w:rPr>
                <w:lang w:val="en-GB"/>
              </w:rPr>
              <w:t>Lanreotide</w:t>
            </w:r>
          </w:p>
        </w:tc>
        <w:tc>
          <w:tcPr>
            <w:tcW w:w="1668" w:type="pct"/>
            <w:shd w:val="clear" w:color="auto" w:fill="auto"/>
            <w:vAlign w:val="center"/>
          </w:tcPr>
          <w:p w14:paraId="0029623A" w14:textId="77777777" w:rsidR="00130153" w:rsidRPr="000E518A" w:rsidRDefault="00130153" w:rsidP="00B431D6">
            <w:pPr>
              <w:pStyle w:val="TableText"/>
              <w:rPr>
                <w:lang w:val="en-GB"/>
              </w:rPr>
            </w:pPr>
            <w:r w:rsidRPr="000E518A">
              <w:rPr>
                <w:lang w:val="en-GB"/>
              </w:rPr>
              <w:t>91%</w:t>
            </w:r>
          </w:p>
        </w:tc>
        <w:tc>
          <w:tcPr>
            <w:tcW w:w="1664" w:type="pct"/>
            <w:shd w:val="clear" w:color="auto" w:fill="auto"/>
            <w:vAlign w:val="center"/>
          </w:tcPr>
          <w:p w14:paraId="4EA9FED8" w14:textId="77777777" w:rsidR="00130153" w:rsidRPr="000E518A" w:rsidRDefault="00130153" w:rsidP="00B431D6">
            <w:pPr>
              <w:pStyle w:val="TableText"/>
              <w:rPr>
                <w:lang w:val="en-GB"/>
              </w:rPr>
            </w:pPr>
            <w:r w:rsidRPr="000E518A">
              <w:rPr>
                <w:lang w:val="en-GB"/>
              </w:rPr>
              <w:t>22%</w:t>
            </w:r>
          </w:p>
        </w:tc>
      </w:tr>
      <w:tr w:rsidR="00130153" w:rsidRPr="00A95AD2" w14:paraId="31A89F2C" w14:textId="77777777" w:rsidTr="00B431D6">
        <w:trPr>
          <w:trHeight w:val="95"/>
        </w:trPr>
        <w:tc>
          <w:tcPr>
            <w:tcW w:w="1668" w:type="pct"/>
            <w:vAlign w:val="center"/>
          </w:tcPr>
          <w:p w14:paraId="79C87ABE" w14:textId="77777777" w:rsidR="00130153" w:rsidRPr="000E518A" w:rsidRDefault="00130153" w:rsidP="00B431D6">
            <w:pPr>
              <w:pStyle w:val="TableText"/>
              <w:rPr>
                <w:lang w:val="en-GB"/>
              </w:rPr>
            </w:pPr>
            <w:r w:rsidRPr="000E518A">
              <w:rPr>
                <w:lang w:val="en-GB"/>
              </w:rPr>
              <w:t>Placebo/</w:t>
            </w:r>
            <w:r>
              <w:rPr>
                <w:lang w:val="en-GB"/>
              </w:rPr>
              <w:t>best supportive care</w:t>
            </w:r>
          </w:p>
        </w:tc>
        <w:tc>
          <w:tcPr>
            <w:tcW w:w="1668" w:type="pct"/>
            <w:shd w:val="clear" w:color="auto" w:fill="auto"/>
            <w:vAlign w:val="center"/>
          </w:tcPr>
          <w:p w14:paraId="1B19BC51" w14:textId="77777777" w:rsidR="00130153" w:rsidRPr="000E518A" w:rsidRDefault="00130153" w:rsidP="00B431D6">
            <w:pPr>
              <w:pStyle w:val="TableText"/>
              <w:rPr>
                <w:lang w:val="en-GB"/>
              </w:rPr>
            </w:pPr>
            <w:r w:rsidRPr="000E518A">
              <w:rPr>
                <w:lang w:val="en-GB"/>
              </w:rPr>
              <w:t>89%</w:t>
            </w:r>
          </w:p>
        </w:tc>
        <w:tc>
          <w:tcPr>
            <w:tcW w:w="1664" w:type="pct"/>
            <w:shd w:val="clear" w:color="auto" w:fill="auto"/>
            <w:vAlign w:val="center"/>
          </w:tcPr>
          <w:p w14:paraId="455A3B7A" w14:textId="77777777" w:rsidR="00130153" w:rsidRPr="000E518A" w:rsidRDefault="00130153" w:rsidP="00B431D6">
            <w:pPr>
              <w:pStyle w:val="TableText"/>
              <w:rPr>
                <w:lang w:val="en-GB"/>
              </w:rPr>
            </w:pPr>
            <w:r w:rsidRPr="000E518A">
              <w:rPr>
                <w:lang w:val="en-GB"/>
              </w:rPr>
              <w:t>34%</w:t>
            </w:r>
          </w:p>
        </w:tc>
      </w:tr>
    </w:tbl>
    <w:p w14:paraId="278D9ABC" w14:textId="7E4424EA" w:rsidR="00E0507A" w:rsidRPr="000B228E" w:rsidRDefault="00130153" w:rsidP="0095653C">
      <w:pPr>
        <w:pStyle w:val="Tablenotes0"/>
        <w:rPr>
          <w:snapToGrid w:val="0"/>
          <w:lang w:eastAsia="en-AU"/>
        </w:rPr>
      </w:pPr>
      <w:r w:rsidRPr="00881D30">
        <w:rPr>
          <w:snapToGrid w:val="0"/>
          <w:lang w:eastAsia="en-AU"/>
        </w:rPr>
        <w:t>Abbreviations</w:t>
      </w:r>
      <w:r w:rsidRPr="00E96692">
        <w:rPr>
          <w:snapToGrid w:val="0"/>
          <w:lang w:eastAsia="en-AU"/>
        </w:rPr>
        <w:t>: AE = adverse events; SAE = serious adverse events.</w:t>
      </w:r>
    </w:p>
    <w:p w14:paraId="44616E01" w14:textId="6054ED34" w:rsidR="00B21CC6" w:rsidRPr="00CE28E3" w:rsidRDefault="000B228E" w:rsidP="00B21CC6">
      <w:pPr>
        <w:pStyle w:val="Heading2"/>
        <w:numPr>
          <w:ilvl w:val="0"/>
          <w:numId w:val="0"/>
        </w:numPr>
      </w:pPr>
      <w:bookmarkStart w:id="63" w:name="_Toc165275529"/>
      <w:r>
        <w:t>12</w:t>
      </w:r>
      <w:r w:rsidR="00B21CC6">
        <w:t>.</w:t>
      </w:r>
      <w:r w:rsidR="00B21CC6">
        <w:tab/>
      </w:r>
      <w:r w:rsidR="00B21CC6" w:rsidRPr="00CE28E3">
        <w:t xml:space="preserve">Comparative </w:t>
      </w:r>
      <w:r w:rsidR="00B21CC6">
        <w:t>effectiveness</w:t>
      </w:r>
      <w:bookmarkEnd w:id="63"/>
    </w:p>
    <w:bookmarkEnd w:id="59"/>
    <w:p w14:paraId="629063C4" w14:textId="145102F1" w:rsidR="00897216" w:rsidRDefault="000210FD" w:rsidP="001053EF">
      <w:pPr>
        <w:pStyle w:val="Heading3"/>
      </w:pPr>
      <w:r>
        <w:t>Test</w:t>
      </w:r>
      <w:r w:rsidR="00897216" w:rsidRPr="006604C1">
        <w:t xml:space="preserve"> </w:t>
      </w:r>
      <w:proofErr w:type="gramStart"/>
      <w:r w:rsidR="00897216" w:rsidRPr="006604C1">
        <w:t>outcomes</w:t>
      </w:r>
      <w:proofErr w:type="gramEnd"/>
    </w:p>
    <w:p w14:paraId="2036E092" w14:textId="53184C73" w:rsidR="00164B1F" w:rsidRDefault="00996A4C" w:rsidP="00164B1F">
      <w:r>
        <w:t xml:space="preserve">In general, the pooled results for </w:t>
      </w:r>
      <w:r w:rsidR="002F7698" w:rsidRPr="00345758">
        <w:rPr>
          <w:vertAlign w:val="superscript"/>
        </w:rPr>
        <w:t>68</w:t>
      </w:r>
      <w:r w:rsidR="002F7698" w:rsidRPr="002F7698">
        <w:t xml:space="preserve">Ga-DOTA-octreotate </w:t>
      </w:r>
      <w:r w:rsidRPr="00DE15A7">
        <w:t>PET/CT</w:t>
      </w:r>
      <w:r>
        <w:t xml:space="preserve"> tests demonstrated </w:t>
      </w:r>
      <w:r w:rsidRPr="00FE7363">
        <w:t xml:space="preserve">high </w:t>
      </w:r>
      <w:r>
        <w:t>accuracy</w:t>
      </w:r>
      <w:r w:rsidR="00601D88">
        <w:t xml:space="preserve"> in the detection and diagnosis of </w:t>
      </w:r>
      <w:r w:rsidR="00EB1C5E">
        <w:t>NEN</w:t>
      </w:r>
      <w:r w:rsidR="00601D88">
        <w:t>s</w:t>
      </w:r>
      <w:r>
        <w:t xml:space="preserve"> (pooled </w:t>
      </w:r>
      <w:r w:rsidRPr="00FE7363">
        <w:t>sensitivity and specificity</w:t>
      </w:r>
      <w:r w:rsidRPr="00F8081F">
        <w:t xml:space="preserve"> for assessment of primary p</w:t>
      </w:r>
      <w:r w:rsidR="004E5440">
        <w:t xml:space="preserve">ancreatic </w:t>
      </w:r>
      <w:r w:rsidR="00EB1C5E">
        <w:t>NEN</w:t>
      </w:r>
      <w:r w:rsidR="004E5440">
        <w:t>s</w:t>
      </w:r>
      <w:r w:rsidRPr="00F8081F">
        <w:t>: 79.6% (95%</w:t>
      </w:r>
      <w:r w:rsidR="00D62092">
        <w:t xml:space="preserve"> </w:t>
      </w:r>
      <w:r w:rsidRPr="00F8081F">
        <w:t>CI: 70.5</w:t>
      </w:r>
      <w:r w:rsidR="004E5440">
        <w:t xml:space="preserve"> to </w:t>
      </w:r>
      <w:r w:rsidRPr="00F8081F">
        <w:t>87) and 95% (</w:t>
      </w:r>
      <w:r w:rsidR="004E5440">
        <w:t xml:space="preserve">95% CI: </w:t>
      </w:r>
      <w:r w:rsidRPr="00F8081F">
        <w:t>75</w:t>
      </w:r>
      <w:r w:rsidR="004E5440">
        <w:t xml:space="preserve"> to </w:t>
      </w:r>
      <w:r w:rsidRPr="00F8081F">
        <w:t>100)</w:t>
      </w:r>
      <w:r>
        <w:t xml:space="preserve">; </w:t>
      </w:r>
      <w:r w:rsidRPr="00AD732A">
        <w:t xml:space="preserve">pooled sensitivity and specificity </w:t>
      </w:r>
      <w:r w:rsidR="00601D88">
        <w:t>for</w:t>
      </w:r>
      <w:r w:rsidRPr="00AD732A">
        <w:t xml:space="preserve"> thoracic and GEP-</w:t>
      </w:r>
      <w:r w:rsidR="00EB1C5E">
        <w:t>NEN</w:t>
      </w:r>
      <w:r w:rsidRPr="00AD732A">
        <w:t>s</w:t>
      </w:r>
      <w:r>
        <w:t xml:space="preserve">: </w:t>
      </w:r>
      <w:r w:rsidRPr="00AD732A">
        <w:t>93% (95% CI: 91</w:t>
      </w:r>
      <w:r w:rsidR="00601D88">
        <w:t xml:space="preserve"> to </w:t>
      </w:r>
      <w:r w:rsidRPr="00AD732A">
        <w:t>95) and 91% (95% CI: 82</w:t>
      </w:r>
      <w:r w:rsidR="00601D88">
        <w:t xml:space="preserve"> to </w:t>
      </w:r>
      <w:r w:rsidRPr="00AD732A">
        <w:t>97)</w:t>
      </w:r>
      <w:r>
        <w:t xml:space="preserve">). </w:t>
      </w:r>
      <w:r w:rsidR="001F2C0A" w:rsidRPr="001F2C0A">
        <w:t>These tests also have prognostic implication</w:t>
      </w:r>
      <w:r w:rsidR="00D62092">
        <w:t>s</w:t>
      </w:r>
      <w:r w:rsidR="001F2C0A" w:rsidRPr="001F2C0A">
        <w:t xml:space="preserve"> because </w:t>
      </w:r>
      <w:r w:rsidR="0018718C">
        <w:t xml:space="preserve">they </w:t>
      </w:r>
      <w:r w:rsidR="00670888">
        <w:t xml:space="preserve">have </w:t>
      </w:r>
      <w:r w:rsidR="0018718C" w:rsidRPr="0018718C">
        <w:t>a relevant advantage in the detection rate of most metastatic sites</w:t>
      </w:r>
      <w:r w:rsidR="00D62092">
        <w:t>,</w:t>
      </w:r>
      <w:r w:rsidR="00C40877">
        <w:t xml:space="preserve"> as </w:t>
      </w:r>
      <w:r w:rsidR="001F2C0A" w:rsidRPr="001F2C0A">
        <w:t xml:space="preserve">unknown distant bone metastases are considered a negative prognostic factor in NEN management that may possibly require more </w:t>
      </w:r>
      <w:r w:rsidR="001F2C0A" w:rsidRPr="001F2C0A">
        <w:lastRenderedPageBreak/>
        <w:t>aggressive treatment regimens.</w:t>
      </w:r>
      <w:r w:rsidR="00C40877">
        <w:t xml:space="preserve"> </w:t>
      </w:r>
      <w:r w:rsidR="009E4D44">
        <w:t xml:space="preserve">In addition, </w:t>
      </w:r>
      <w:r w:rsidR="009E4D44" w:rsidRPr="009E4D44">
        <w:t xml:space="preserve">there is solid scientific evidence confirming the clinical role of the combined use of SSTR-PET/CT and 18F-FDG PET/CT in exploring </w:t>
      </w:r>
      <w:r w:rsidR="00D62092">
        <w:t>2</w:t>
      </w:r>
      <w:r w:rsidR="009E4D44" w:rsidRPr="009E4D44">
        <w:t xml:space="preserve"> different aspects of tumour biology: SSTR expression and glucose metabolism</w:t>
      </w:r>
      <w:r w:rsidR="009E4D44">
        <w:t xml:space="preserve">. </w:t>
      </w:r>
      <w:r w:rsidR="00D12DA9">
        <w:t xml:space="preserve">Their combined use may help </w:t>
      </w:r>
      <w:r w:rsidR="00D12DA9" w:rsidRPr="00D12DA9">
        <w:t>to better identify patients that can benefit from PRRT and other treatment options (where there is no consensus for surgical therapy)</w:t>
      </w:r>
      <w:r w:rsidR="009F3427">
        <w:t xml:space="preserve">. </w:t>
      </w:r>
      <w:r w:rsidR="00164B1F">
        <w:t>Furthermore, they should be considered in the following clinical scenarios:</w:t>
      </w:r>
    </w:p>
    <w:p w14:paraId="0ABE79CE" w14:textId="6639B2BD" w:rsidR="00702DC0" w:rsidRDefault="00164B1F" w:rsidP="00D83E90">
      <w:pPr>
        <w:pStyle w:val="ListParagraph"/>
        <w:numPr>
          <w:ilvl w:val="0"/>
          <w:numId w:val="26"/>
        </w:numPr>
      </w:pPr>
      <w:r>
        <w:t>At the time of initial diagnosis</w:t>
      </w:r>
      <w:r w:rsidR="00D62092">
        <w:t xml:space="preserve">, </w:t>
      </w:r>
      <w:r>
        <w:t>in those patients with intermediate tumour proliferative activity (i.e. G2 tumours); if there is heterogeneous SSTR expression among different tumour lesions; and in non-functioning tumours when patients have tumour-related symptoms (i.e. pain and weight loss).</w:t>
      </w:r>
    </w:p>
    <w:p w14:paraId="235FC612" w14:textId="4244DC4A" w:rsidR="00B7331D" w:rsidRDefault="00164B1F" w:rsidP="00D83E90">
      <w:pPr>
        <w:pStyle w:val="ListParagraph"/>
        <w:numPr>
          <w:ilvl w:val="0"/>
          <w:numId w:val="26"/>
        </w:numPr>
      </w:pPr>
      <w:r>
        <w:t>During follow-up</w:t>
      </w:r>
      <w:r w:rsidR="00D62092">
        <w:t xml:space="preserve">, </w:t>
      </w:r>
      <w:r>
        <w:t>in addition to conventional radiological imaging at the time of first disease re-staging after changing antiproliferative medical treatment; at the time of disease progression after prolonged stable disease; and in case of a discrepancy between conventional radiological evaluation and clinical/biochemical assessment.</w:t>
      </w:r>
    </w:p>
    <w:p w14:paraId="401A60BA" w14:textId="31F3E342" w:rsidR="00CC3AD9" w:rsidRDefault="001A3023" w:rsidP="00976E73">
      <w:r w:rsidRPr="00592E9A">
        <w:t xml:space="preserve">In the main trial used to </w:t>
      </w:r>
      <w:r w:rsidR="000278C8" w:rsidRPr="00592E9A">
        <w:t xml:space="preserve">inform the efficacy of </w:t>
      </w:r>
      <w:r w:rsidR="00592E9A" w:rsidRPr="001053EF">
        <w:rPr>
          <w:vertAlign w:val="superscript"/>
        </w:rPr>
        <w:t>177</w:t>
      </w:r>
      <w:r w:rsidR="000278C8" w:rsidRPr="00C02578">
        <w:t>Lu-D</w:t>
      </w:r>
      <w:r w:rsidR="00B75EAC" w:rsidRPr="00DC4512">
        <w:t>OTATATE</w:t>
      </w:r>
      <w:r w:rsidR="000278C8" w:rsidRPr="00976E73">
        <w:t xml:space="preserve"> in the submission (NETTER-1), </w:t>
      </w:r>
      <w:r w:rsidR="006752D8" w:rsidRPr="0029324A">
        <w:t>the</w:t>
      </w:r>
      <w:r w:rsidR="006752D8">
        <w:t xml:space="preserve"> detection and d</w:t>
      </w:r>
      <w:r w:rsidR="004D4A22">
        <w:t>iagnosis of NE</w:t>
      </w:r>
      <w:r w:rsidR="00EB1C5E">
        <w:t>N</w:t>
      </w:r>
      <w:r w:rsidR="004D4A22">
        <w:t>s was</w:t>
      </w:r>
      <w:r w:rsidR="00CA32EC">
        <w:t xml:space="preserve"> determined by</w:t>
      </w:r>
      <w:r w:rsidR="00942339">
        <w:t xml:space="preserve"> </w:t>
      </w:r>
      <w:proofErr w:type="spellStart"/>
      <w:r w:rsidR="00942339" w:rsidRPr="00942339">
        <w:t>Octreoscan</w:t>
      </w:r>
      <w:proofErr w:type="spellEnd"/>
      <w:r w:rsidR="00942339" w:rsidRPr="00942339">
        <w:t xml:space="preserve">® uptake </w:t>
      </w:r>
      <w:r w:rsidR="00942339">
        <w:t xml:space="preserve">and evaluated using the </w:t>
      </w:r>
      <w:proofErr w:type="spellStart"/>
      <w:r w:rsidR="00942339" w:rsidRPr="00942339">
        <w:t>Krenning</w:t>
      </w:r>
      <w:proofErr w:type="spellEnd"/>
      <w:r w:rsidR="00942339" w:rsidRPr="00942339">
        <w:t xml:space="preserve"> scor</w:t>
      </w:r>
      <w:r w:rsidR="00942339">
        <w:t xml:space="preserve">e. </w:t>
      </w:r>
      <w:proofErr w:type="gramStart"/>
      <w:r w:rsidR="00A9791F">
        <w:t>In an effort to</w:t>
      </w:r>
      <w:proofErr w:type="gramEnd"/>
      <w:r w:rsidR="00A9791F">
        <w:t xml:space="preserve"> translate the </w:t>
      </w:r>
      <w:r w:rsidR="00B7331D">
        <w:t xml:space="preserve">clinical utility of </w:t>
      </w:r>
      <w:proofErr w:type="spellStart"/>
      <w:r w:rsidR="00B7331D">
        <w:t>OctreoScan</w:t>
      </w:r>
      <w:proofErr w:type="spellEnd"/>
      <w:r w:rsidR="0093495B" w:rsidRPr="00942339">
        <w:t>®</w:t>
      </w:r>
      <w:r w:rsidR="00F82FDC">
        <w:t xml:space="preserve"> uptake</w:t>
      </w:r>
      <w:r w:rsidR="00B7331D">
        <w:t xml:space="preserve"> </w:t>
      </w:r>
      <w:r w:rsidR="00A9791F">
        <w:t xml:space="preserve">to </w:t>
      </w:r>
      <w:r w:rsidR="00F64D4B" w:rsidRPr="001053EF">
        <w:rPr>
          <w:vertAlign w:val="superscript"/>
        </w:rPr>
        <w:t>68</w:t>
      </w:r>
      <w:r w:rsidR="00F64D4B" w:rsidRPr="00F64D4B">
        <w:t>Ga-DOTA-ocreotate</w:t>
      </w:r>
      <w:r w:rsidR="00F64D4B">
        <w:t xml:space="preserve"> uptake, the results of </w:t>
      </w:r>
      <w:r w:rsidR="00B01DEB">
        <w:t xml:space="preserve">the NETTER-1 </w:t>
      </w:r>
      <w:r w:rsidR="00F64D4B">
        <w:t>trial</w:t>
      </w:r>
      <w:r w:rsidR="000848F1">
        <w:rPr>
          <w:rStyle w:val="FootnoteReference"/>
        </w:rPr>
        <w:footnoteReference w:id="30"/>
      </w:r>
      <w:r w:rsidR="00B01DEB" w:rsidRPr="001053EF">
        <w:rPr>
          <w:rStyle w:val="FootnoteReference"/>
        </w:rPr>
        <w:t xml:space="preserve"> </w:t>
      </w:r>
      <w:r w:rsidR="00B01DEB">
        <w:t>w</w:t>
      </w:r>
      <w:r w:rsidR="00733A7D">
        <w:t>ere</w:t>
      </w:r>
      <w:r w:rsidR="00B01DEB">
        <w:t xml:space="preserve"> compared to </w:t>
      </w:r>
      <w:r w:rsidR="00D77784">
        <w:t>th</w:t>
      </w:r>
      <w:r w:rsidR="00CE321F">
        <w:t xml:space="preserve">ose </w:t>
      </w:r>
      <w:r w:rsidR="004673DE">
        <w:t>published in the abstract by</w:t>
      </w:r>
      <w:r w:rsidR="00CE321F">
        <w:t xml:space="preserve"> Sood et al. 2023</w:t>
      </w:r>
      <w:r w:rsidR="00B61C9A">
        <w:rPr>
          <w:rStyle w:val="FootnoteReference"/>
        </w:rPr>
        <w:footnoteReference w:id="31"/>
      </w:r>
      <w:r w:rsidR="00CE321F">
        <w:t xml:space="preserve">, where </w:t>
      </w:r>
      <w:r w:rsidR="00CF0B00" w:rsidRPr="001053EF">
        <w:rPr>
          <w:vertAlign w:val="superscript"/>
        </w:rPr>
        <w:t>68</w:t>
      </w:r>
      <w:r w:rsidR="00CF0B00" w:rsidRPr="00F64D4B">
        <w:t>Ga-DOTA-ocreotate</w:t>
      </w:r>
      <w:r w:rsidR="00CF0B00">
        <w:t xml:space="preserve"> PET/CT was used to confirm SS</w:t>
      </w:r>
      <w:r w:rsidR="000021BF">
        <w:t>T</w:t>
      </w:r>
      <w:r w:rsidR="00CF0B00">
        <w:t>R presence in patients</w:t>
      </w:r>
      <w:r w:rsidR="006B4ECC">
        <w:t xml:space="preserve"> </w:t>
      </w:r>
      <w:r w:rsidR="00F64D4B">
        <w:t xml:space="preserve">(Table 8). </w:t>
      </w:r>
    </w:p>
    <w:p w14:paraId="236B423F" w14:textId="39059801" w:rsidR="00B7331D" w:rsidRDefault="005B0C81" w:rsidP="00B7331D">
      <w:r>
        <w:t>At the</w:t>
      </w:r>
      <w:r w:rsidR="00370A16">
        <w:t xml:space="preserve"> data</w:t>
      </w:r>
      <w:r w:rsidR="00D62092">
        <w:t xml:space="preserve"> </w:t>
      </w:r>
      <w:r w:rsidR="00370A16">
        <w:t>cut</w:t>
      </w:r>
      <w:r w:rsidR="00D62092">
        <w:t>-</w:t>
      </w:r>
      <w:r w:rsidR="00370A16">
        <w:t xml:space="preserve">off date for the primary analysis of the NETTER-1 trial (median follow-up: </w:t>
      </w:r>
      <w:r w:rsidR="00AE354B">
        <w:t>14 months)</w:t>
      </w:r>
      <w:r w:rsidR="00686437">
        <w:t xml:space="preserve">, </w:t>
      </w:r>
      <w:r>
        <w:t xml:space="preserve">median </w:t>
      </w:r>
      <w:r w:rsidR="00D62092" w:rsidRPr="00D62092">
        <w:t xml:space="preserve">progression-free survival </w:t>
      </w:r>
      <w:r w:rsidR="00D62092">
        <w:t>(</w:t>
      </w:r>
      <w:r w:rsidR="00B97917">
        <w:t>PF</w:t>
      </w:r>
      <w:r w:rsidR="0016611A">
        <w:t>S</w:t>
      </w:r>
      <w:r w:rsidR="00D62092">
        <w:t>)</w:t>
      </w:r>
      <w:r w:rsidR="00B97917">
        <w:t xml:space="preserve"> and </w:t>
      </w:r>
      <w:r w:rsidR="00D62092">
        <w:t>overall survival (</w:t>
      </w:r>
      <w:r w:rsidR="00B97917">
        <w:t>OS</w:t>
      </w:r>
      <w:r w:rsidR="00D62092">
        <w:t>)</w:t>
      </w:r>
      <w:r>
        <w:t xml:space="preserve"> of </w:t>
      </w:r>
      <w:r w:rsidR="008E309A">
        <w:t>patient</w:t>
      </w:r>
      <w:r w:rsidR="00D62092">
        <w:t>s</w:t>
      </w:r>
      <w:r>
        <w:t xml:space="preserve"> </w:t>
      </w:r>
      <w:r w:rsidR="008E309A">
        <w:t>treated</w:t>
      </w:r>
      <w:r>
        <w:t xml:space="preserve"> with </w:t>
      </w:r>
      <w:r w:rsidR="00043355" w:rsidRPr="00043355">
        <w:rPr>
          <w:vertAlign w:val="superscript"/>
        </w:rPr>
        <w:t>177</w:t>
      </w:r>
      <w:r w:rsidR="00043355" w:rsidRPr="00043355">
        <w:t>Lu-DOTATATE</w:t>
      </w:r>
      <w:r>
        <w:t xml:space="preserve"> in the</w:t>
      </w:r>
      <w:r w:rsidR="008E309A">
        <w:t xml:space="preserve"> N</w:t>
      </w:r>
      <w:r>
        <w:t xml:space="preserve">ETTER-1 trial was not reached. </w:t>
      </w:r>
      <w:r w:rsidR="004D1E21" w:rsidRPr="004D1E21">
        <w:t xml:space="preserve">The estimated </w:t>
      </w:r>
      <w:r w:rsidR="00D62092">
        <w:t xml:space="preserve">PFS </w:t>
      </w:r>
      <w:r w:rsidR="004D1E21" w:rsidRPr="004D1E21">
        <w:t>rate at month 20 was 65.2% (95% CI</w:t>
      </w:r>
      <w:r w:rsidR="00FC1FCD">
        <w:t>:</w:t>
      </w:r>
      <w:r w:rsidR="004D1E21" w:rsidRPr="004D1E21">
        <w:t xml:space="preserve"> 50.0 to 76.8) in the </w:t>
      </w:r>
      <w:r w:rsidR="004D1E21" w:rsidRPr="001053EF">
        <w:rPr>
          <w:vertAlign w:val="superscript"/>
        </w:rPr>
        <w:t>177</w:t>
      </w:r>
      <w:r w:rsidR="004D1E21" w:rsidRPr="004D1E21">
        <w:t>Lu-</w:t>
      </w:r>
      <w:r w:rsidR="00BF78EB">
        <w:t>DOTATATE</w:t>
      </w:r>
      <w:r w:rsidR="004D1E21" w:rsidRPr="004D1E21">
        <w:t xml:space="preserve"> group</w:t>
      </w:r>
      <w:r w:rsidR="004D1E21">
        <w:t xml:space="preserve">. </w:t>
      </w:r>
      <w:r w:rsidR="00F712F6" w:rsidRPr="00F712F6">
        <w:t xml:space="preserve">Within the population of patients who could be evaluated for </w:t>
      </w:r>
      <w:r w:rsidR="00A466CB" w:rsidRPr="00F712F6">
        <w:t>tumour</w:t>
      </w:r>
      <w:r w:rsidR="00F712F6" w:rsidRPr="00F712F6">
        <w:t xml:space="preserve"> response (</w:t>
      </w:r>
      <w:r w:rsidR="00722050">
        <w:t>1</w:t>
      </w:r>
      <w:r w:rsidR="00F712F6" w:rsidRPr="00F712F6">
        <w:t>01 patients), the total number of complete and partial responses was 1</w:t>
      </w:r>
      <w:r w:rsidR="00722050">
        <w:t xml:space="preserve"> and 17, respectively,</w:t>
      </w:r>
      <w:r w:rsidR="00F712F6" w:rsidRPr="00F712F6">
        <w:t xml:space="preserve"> which corresponded to </w:t>
      </w:r>
      <w:r w:rsidR="00722050">
        <w:t xml:space="preserve">an </w:t>
      </w:r>
      <w:r w:rsidR="00BF78EB">
        <w:t>objective response rate (</w:t>
      </w:r>
      <w:r w:rsidR="00722050">
        <w:t>ORR</w:t>
      </w:r>
      <w:r w:rsidR="00BF78EB">
        <w:t>)</w:t>
      </w:r>
      <w:r w:rsidR="00722050">
        <w:t xml:space="preserve"> </w:t>
      </w:r>
      <w:r w:rsidR="00F712F6" w:rsidRPr="00F712F6">
        <w:t>of 18%</w:t>
      </w:r>
      <w:r w:rsidR="00052882">
        <w:t>.</w:t>
      </w:r>
    </w:p>
    <w:p w14:paraId="630090CB" w14:textId="1BDCA279" w:rsidR="00F712F6" w:rsidRDefault="00636AF4" w:rsidP="00B7331D">
      <w:r>
        <w:t xml:space="preserve">Similar outcomes were observed for patients in the </w:t>
      </w:r>
      <w:r w:rsidR="00ED6691">
        <w:t xml:space="preserve">Sood et al (2023) </w:t>
      </w:r>
      <w:r>
        <w:t xml:space="preserve">trial. </w:t>
      </w:r>
      <w:r w:rsidR="00043355">
        <w:t>PFS at</w:t>
      </w:r>
      <w:r w:rsidR="00ED6691">
        <w:t xml:space="preserve"> 24 months </w:t>
      </w:r>
      <w:r>
        <w:t xml:space="preserve">was reported </w:t>
      </w:r>
      <w:r w:rsidR="00360856">
        <w:t xml:space="preserve">to be 96.4% </w:t>
      </w:r>
      <w:r w:rsidR="00EC729B">
        <w:t>(</w:t>
      </w:r>
      <w:r w:rsidR="00360856">
        <w:t>95% CI: 89.4</w:t>
      </w:r>
      <w:r w:rsidR="00EC729B">
        <w:t xml:space="preserve"> to</w:t>
      </w:r>
      <w:r w:rsidR="00360856">
        <w:t xml:space="preserve"> 100</w:t>
      </w:r>
      <w:r w:rsidR="00EC729B">
        <w:t>)</w:t>
      </w:r>
      <w:r w:rsidR="00360856">
        <w:t xml:space="preserve"> in the </w:t>
      </w:r>
      <w:r w:rsidR="00360856" w:rsidRPr="00043355">
        <w:rPr>
          <w:vertAlign w:val="superscript"/>
        </w:rPr>
        <w:t>177</w:t>
      </w:r>
      <w:r w:rsidR="00360856">
        <w:t xml:space="preserve">Lu-DOTATATE + </w:t>
      </w:r>
      <w:r w:rsidR="00DA613B" w:rsidRPr="00DA613B">
        <w:t>capecitabine</w:t>
      </w:r>
      <w:r w:rsidR="00360856">
        <w:t xml:space="preserve"> group and 67.3</w:t>
      </w:r>
      <w:r>
        <w:t>% (</w:t>
      </w:r>
      <w:r w:rsidR="00360856">
        <w:t>95% CI 47.3</w:t>
      </w:r>
      <w:r w:rsidR="00EC729B">
        <w:t xml:space="preserve"> to</w:t>
      </w:r>
      <w:r w:rsidR="00360856">
        <w:t xml:space="preserve"> 87.3</w:t>
      </w:r>
      <w:r>
        <w:t>)</w:t>
      </w:r>
      <w:r w:rsidR="00360856">
        <w:t xml:space="preserve"> in the </w:t>
      </w:r>
      <w:r w:rsidR="00360856" w:rsidRPr="00043355">
        <w:rPr>
          <w:vertAlign w:val="superscript"/>
        </w:rPr>
        <w:t>177</w:t>
      </w:r>
      <w:r w:rsidR="00360856">
        <w:t>Lu-DOTATATE</w:t>
      </w:r>
      <w:r w:rsidR="00E46227">
        <w:t>-</w:t>
      </w:r>
      <w:r w:rsidR="00360856">
        <w:t xml:space="preserve">only group. </w:t>
      </w:r>
      <w:r w:rsidR="00D170E6">
        <w:t>After a median follow-up of 23.6 months</w:t>
      </w:r>
      <w:r w:rsidR="005E56D1">
        <w:t xml:space="preserve">, ORR in the </w:t>
      </w:r>
      <w:r w:rsidR="005E56D1" w:rsidRPr="00043355">
        <w:rPr>
          <w:vertAlign w:val="superscript"/>
        </w:rPr>
        <w:t>177</w:t>
      </w:r>
      <w:r w:rsidR="005E56D1">
        <w:t xml:space="preserve">Lu-DOTATATE + </w:t>
      </w:r>
      <w:r w:rsidR="00DA613B" w:rsidRPr="00DA613B">
        <w:t>capecitabine</w:t>
      </w:r>
      <w:r w:rsidR="005E56D1">
        <w:t xml:space="preserve"> </w:t>
      </w:r>
      <w:r w:rsidR="00E46227">
        <w:t xml:space="preserve">group </w:t>
      </w:r>
      <w:r w:rsidR="005E56D1">
        <w:t>was 21.4% and</w:t>
      </w:r>
      <w:r w:rsidR="00D170E6">
        <w:t xml:space="preserve"> </w:t>
      </w:r>
      <w:r w:rsidR="004355EE">
        <w:t xml:space="preserve">11% in the </w:t>
      </w:r>
      <w:r w:rsidR="004355EE" w:rsidRPr="00043355">
        <w:rPr>
          <w:vertAlign w:val="superscript"/>
        </w:rPr>
        <w:t>177</w:t>
      </w:r>
      <w:r w:rsidR="004355EE" w:rsidRPr="00043355">
        <w:t xml:space="preserve">Lu-DOTATATE </w:t>
      </w:r>
      <w:r w:rsidR="004355EE">
        <w:t>only group.</w:t>
      </w:r>
      <w:r w:rsidR="00A42F85">
        <w:t xml:space="preserve"> The results of this </w:t>
      </w:r>
      <w:r w:rsidR="001D7759">
        <w:t xml:space="preserve">naïve indirect comparison </w:t>
      </w:r>
      <w:r w:rsidR="00A13D70">
        <w:t>of trials based on</w:t>
      </w:r>
      <w:r w:rsidR="00826CB8">
        <w:t xml:space="preserve"> their</w:t>
      </w:r>
      <w:r w:rsidR="00A13D70">
        <w:t xml:space="preserve"> clinical utility standard </w:t>
      </w:r>
      <w:r w:rsidR="001D7759">
        <w:t>are to be interpreted with caution due to</w:t>
      </w:r>
      <w:r w:rsidR="00D35599">
        <w:t xml:space="preserve"> </w:t>
      </w:r>
      <w:r w:rsidR="001F7F2E">
        <w:t xml:space="preserve">the </w:t>
      </w:r>
      <w:r w:rsidR="00D35599">
        <w:t xml:space="preserve">inherent limitation of </w:t>
      </w:r>
      <w:bookmarkStart w:id="64" w:name="_Hlk169878760"/>
      <w:r w:rsidR="00D35599">
        <w:t xml:space="preserve">comparing </w:t>
      </w:r>
      <w:r w:rsidR="003E7FB3">
        <w:t>health outcomes across differen</w:t>
      </w:r>
      <w:r w:rsidR="00FF25D0">
        <w:t>t cohorts</w:t>
      </w:r>
      <w:r w:rsidR="001F7F2E">
        <w:t xml:space="preserve"> of patients.</w:t>
      </w:r>
      <w:bookmarkEnd w:id="64"/>
    </w:p>
    <w:p w14:paraId="09CEBD0C" w14:textId="02153B50" w:rsidR="00FC2C0D" w:rsidRDefault="00FC2C0D" w:rsidP="00932151">
      <w:pPr>
        <w:pStyle w:val="Caption"/>
        <w:keepLines/>
      </w:pPr>
      <w:r>
        <w:lastRenderedPageBreak/>
        <w:t xml:space="preserve">Table </w:t>
      </w:r>
      <w:r>
        <w:fldChar w:fldCharType="begin"/>
      </w:r>
      <w:r>
        <w:instrText xml:space="preserve"> SEQ Table \* ARABIC </w:instrText>
      </w:r>
      <w:r>
        <w:fldChar w:fldCharType="separate"/>
      </w:r>
      <w:r w:rsidR="006D13BC">
        <w:rPr>
          <w:noProof/>
        </w:rPr>
        <w:t>8</w:t>
      </w:r>
      <w:r>
        <w:rPr>
          <w:noProof/>
        </w:rPr>
        <w:fldChar w:fldCharType="end"/>
      </w:r>
      <w:r w:rsidR="007263F5">
        <w:tab/>
        <w:t xml:space="preserve">Summary of outcomes for patients treated with </w:t>
      </w:r>
      <w:r w:rsidR="007263F5" w:rsidRPr="009120FD">
        <w:rPr>
          <w:vertAlign w:val="superscript"/>
        </w:rPr>
        <w:t>177</w:t>
      </w:r>
      <w:r w:rsidR="007263F5" w:rsidRPr="009120FD">
        <w:t>Lu-DOTATATE</w:t>
      </w:r>
      <w:r w:rsidR="007263F5">
        <w:t>, by te</w:t>
      </w:r>
      <w:r w:rsidR="00280270">
        <w:t xml:space="preserve">st threshold </w:t>
      </w:r>
      <w:r w:rsidR="001D676F">
        <w:t xml:space="preserve">adopted </w:t>
      </w:r>
      <w:r w:rsidR="00280270">
        <w:t>for H-SSTR</w:t>
      </w:r>
    </w:p>
    <w:tbl>
      <w:tblPr>
        <w:tblStyle w:val="TableGrid"/>
        <w:tblW w:w="9067" w:type="dxa"/>
        <w:tblLayout w:type="fixed"/>
        <w:tblCellMar>
          <w:left w:w="28" w:type="dxa"/>
          <w:right w:w="28" w:type="dxa"/>
        </w:tblCellMar>
        <w:tblLook w:val="04A0" w:firstRow="1" w:lastRow="0" w:firstColumn="1" w:lastColumn="0" w:noHBand="0" w:noVBand="1"/>
      </w:tblPr>
      <w:tblGrid>
        <w:gridCol w:w="1133"/>
        <w:gridCol w:w="1133"/>
        <w:gridCol w:w="1134"/>
        <w:gridCol w:w="1133"/>
        <w:gridCol w:w="1133"/>
        <w:gridCol w:w="992"/>
        <w:gridCol w:w="1417"/>
        <w:gridCol w:w="992"/>
      </w:tblGrid>
      <w:tr w:rsidR="00E56001" w:rsidRPr="00257FBA" w14:paraId="71270A4A" w14:textId="77777777" w:rsidTr="001053EF">
        <w:tc>
          <w:tcPr>
            <w:tcW w:w="1133" w:type="dxa"/>
          </w:tcPr>
          <w:p w14:paraId="04BCC5E2" w14:textId="3B5663F4"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Trial/study</w:t>
            </w:r>
          </w:p>
        </w:tc>
        <w:tc>
          <w:tcPr>
            <w:tcW w:w="1133" w:type="dxa"/>
          </w:tcPr>
          <w:p w14:paraId="6EFCEDA7" w14:textId="4B7B6387"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Treatments</w:t>
            </w:r>
          </w:p>
        </w:tc>
        <w:tc>
          <w:tcPr>
            <w:tcW w:w="1134" w:type="dxa"/>
          </w:tcPr>
          <w:p w14:paraId="59003190" w14:textId="57A60FB4"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H-SSTR positive</w:t>
            </w:r>
          </w:p>
        </w:tc>
        <w:tc>
          <w:tcPr>
            <w:tcW w:w="1133" w:type="dxa"/>
          </w:tcPr>
          <w:p w14:paraId="777A3F92" w14:textId="7D9ED3BD" w:rsidR="00F87C04" w:rsidRPr="00257FBA" w:rsidRDefault="00F87C04" w:rsidP="00932151">
            <w:pPr>
              <w:keepNext/>
              <w:keepLines/>
              <w:spacing w:before="0"/>
              <w:rPr>
                <w:rFonts w:ascii="Arial Narrow" w:hAnsi="Arial Narrow" w:cs="Arial"/>
                <w:b/>
                <w:sz w:val="20"/>
                <w:szCs w:val="20"/>
              </w:rPr>
            </w:pPr>
            <w:r w:rsidRPr="001053EF">
              <w:rPr>
                <w:rFonts w:ascii="Arial Narrow" w:hAnsi="Arial Narrow"/>
                <w:b/>
                <w:sz w:val="20"/>
              </w:rPr>
              <w:t>FDG PET/CT</w:t>
            </w:r>
          </w:p>
        </w:tc>
        <w:tc>
          <w:tcPr>
            <w:tcW w:w="1133" w:type="dxa"/>
          </w:tcPr>
          <w:p w14:paraId="27E5B136" w14:textId="512E015B"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Median follow-up, months</w:t>
            </w:r>
          </w:p>
        </w:tc>
        <w:tc>
          <w:tcPr>
            <w:tcW w:w="992" w:type="dxa"/>
          </w:tcPr>
          <w:p w14:paraId="01853733" w14:textId="059A5DFD"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ORR</w:t>
            </w:r>
          </w:p>
        </w:tc>
        <w:tc>
          <w:tcPr>
            <w:tcW w:w="1417" w:type="dxa"/>
          </w:tcPr>
          <w:p w14:paraId="6EA35732" w14:textId="6CF6D819"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PFS</w:t>
            </w:r>
          </w:p>
        </w:tc>
        <w:tc>
          <w:tcPr>
            <w:tcW w:w="992" w:type="dxa"/>
          </w:tcPr>
          <w:p w14:paraId="0B5517CC" w14:textId="54CD2154"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OS</w:t>
            </w:r>
          </w:p>
        </w:tc>
      </w:tr>
      <w:tr w:rsidR="00E56001" w:rsidRPr="00257FBA" w14:paraId="7E4C1A00" w14:textId="77777777" w:rsidTr="001053EF">
        <w:tc>
          <w:tcPr>
            <w:tcW w:w="1133" w:type="dxa"/>
          </w:tcPr>
          <w:p w14:paraId="6F5E91F5" w14:textId="5C84833B" w:rsidR="00F87C04" w:rsidRPr="001053EF" w:rsidRDefault="00F87C04" w:rsidP="00932151">
            <w:pPr>
              <w:keepNext/>
              <w:keepLines/>
              <w:spacing w:before="0"/>
              <w:rPr>
                <w:rFonts w:ascii="Arial Narrow" w:hAnsi="Arial Narrow"/>
                <w:sz w:val="20"/>
                <w:lang w:val="de-DE"/>
              </w:rPr>
            </w:pPr>
            <w:r w:rsidRPr="004A331C">
              <w:rPr>
                <w:rFonts w:ascii="Arial Narrow" w:hAnsi="Arial Narrow" w:cs="Arial"/>
                <w:sz w:val="20"/>
                <w:szCs w:val="20"/>
                <w:lang w:val="de-DE"/>
              </w:rPr>
              <w:t>NETTER-1</w:t>
            </w:r>
          </w:p>
        </w:tc>
        <w:tc>
          <w:tcPr>
            <w:tcW w:w="1133" w:type="dxa"/>
          </w:tcPr>
          <w:p w14:paraId="1E232591" w14:textId="62AB67F7" w:rsidR="00F87C04" w:rsidRPr="00257FBA" w:rsidRDefault="00A421C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Intervention: </w:t>
            </w:r>
            <w:r w:rsidR="00850630" w:rsidRPr="00257FBA">
              <w:rPr>
                <w:rFonts w:ascii="Arial Narrow" w:hAnsi="Arial Narrow" w:cs="Arial"/>
                <w:sz w:val="20"/>
                <w:szCs w:val="20"/>
                <w:vertAlign w:val="superscript"/>
              </w:rPr>
              <w:t>177</w:t>
            </w:r>
            <w:r w:rsidR="00850630" w:rsidRPr="00257FBA">
              <w:rPr>
                <w:rFonts w:ascii="Arial Narrow" w:hAnsi="Arial Narrow" w:cs="Arial"/>
                <w:sz w:val="20"/>
                <w:szCs w:val="20"/>
              </w:rPr>
              <w:t>Lu-DOTATATE</w:t>
            </w:r>
          </w:p>
        </w:tc>
        <w:tc>
          <w:tcPr>
            <w:tcW w:w="1134" w:type="dxa"/>
          </w:tcPr>
          <w:p w14:paraId="1A124723" w14:textId="433EF196"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Positive </w:t>
            </w:r>
            <w:proofErr w:type="spellStart"/>
            <w:r w:rsidRPr="00257FBA">
              <w:rPr>
                <w:rFonts w:ascii="Arial Narrow" w:hAnsi="Arial Narrow" w:cs="Arial"/>
                <w:sz w:val="20"/>
                <w:szCs w:val="20"/>
              </w:rPr>
              <w:t>OctreoScan</w:t>
            </w:r>
            <w:proofErr w:type="spellEnd"/>
            <w:r w:rsidRPr="00257FBA">
              <w:rPr>
                <w:rFonts w:ascii="Arial Narrow" w:hAnsi="Arial Narrow" w:cs="Arial"/>
                <w:sz w:val="20"/>
                <w:szCs w:val="20"/>
                <w:vertAlign w:val="superscript"/>
              </w:rPr>
              <w:t>®</w:t>
            </w:r>
            <w:r w:rsidRPr="00257FBA">
              <w:rPr>
                <w:rFonts w:ascii="Arial Narrow" w:hAnsi="Arial Narrow" w:cs="Arial"/>
                <w:sz w:val="20"/>
                <w:szCs w:val="20"/>
              </w:rPr>
              <w:t xml:space="preserve"> imaging; uptake</w:t>
            </w:r>
            <w:r w:rsidRPr="001053EF">
              <w:rPr>
                <w:rFonts w:ascii="Arial Narrow" w:hAnsi="Arial Narrow"/>
                <w:sz w:val="20"/>
              </w:rPr>
              <w:t xml:space="preserve"> </w:t>
            </w:r>
            <w:r w:rsidRPr="00257FBA">
              <w:rPr>
                <w:rFonts w:ascii="Arial Narrow" w:hAnsi="Arial Narrow" w:cs="Arial"/>
                <w:sz w:val="20"/>
                <w:szCs w:val="20"/>
              </w:rPr>
              <w:t>≥normal liver uptake</w:t>
            </w:r>
          </w:p>
        </w:tc>
        <w:tc>
          <w:tcPr>
            <w:tcW w:w="1133" w:type="dxa"/>
          </w:tcPr>
          <w:p w14:paraId="4A3FC92E" w14:textId="157FD370"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No</w:t>
            </w:r>
          </w:p>
        </w:tc>
        <w:tc>
          <w:tcPr>
            <w:tcW w:w="1133" w:type="dxa"/>
          </w:tcPr>
          <w:p w14:paraId="0C15BDC9" w14:textId="78F6A5E6"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Primary analysis: 14 </w:t>
            </w:r>
          </w:p>
        </w:tc>
        <w:tc>
          <w:tcPr>
            <w:tcW w:w="992" w:type="dxa"/>
          </w:tcPr>
          <w:p w14:paraId="604F5600" w14:textId="60C6DABC" w:rsidR="00F87C04" w:rsidRPr="00257FBA" w:rsidRDefault="008B03F1" w:rsidP="00932151">
            <w:pPr>
              <w:keepNext/>
              <w:keepLines/>
              <w:spacing w:before="0"/>
              <w:rPr>
                <w:rFonts w:ascii="Arial Narrow" w:hAnsi="Arial Narrow" w:cs="Arial"/>
                <w:sz w:val="20"/>
                <w:szCs w:val="20"/>
              </w:rPr>
            </w:pPr>
            <w:r w:rsidRPr="00257FBA">
              <w:rPr>
                <w:rFonts w:ascii="Arial Narrow" w:hAnsi="Arial Narrow" w:cs="Arial"/>
                <w:sz w:val="20"/>
                <w:szCs w:val="20"/>
                <w:vertAlign w:val="superscript"/>
              </w:rPr>
              <w:t>177</w:t>
            </w:r>
            <w:r w:rsidRPr="00257FBA">
              <w:rPr>
                <w:rFonts w:ascii="Arial Narrow" w:hAnsi="Arial Narrow" w:cs="Arial"/>
                <w:sz w:val="20"/>
                <w:szCs w:val="20"/>
              </w:rPr>
              <w:t>Lu-DOTATATE:</w:t>
            </w:r>
            <w:r w:rsidR="00E46227">
              <w:rPr>
                <w:rFonts w:ascii="Arial Narrow" w:hAnsi="Arial Narrow" w:cs="Arial"/>
                <w:sz w:val="20"/>
                <w:szCs w:val="20"/>
              </w:rPr>
              <w:t xml:space="preserve"> </w:t>
            </w:r>
            <w:r w:rsidR="00F87C04" w:rsidRPr="00257FBA">
              <w:rPr>
                <w:rFonts w:ascii="Arial Narrow" w:hAnsi="Arial Narrow" w:cs="Arial"/>
                <w:sz w:val="20"/>
                <w:szCs w:val="20"/>
              </w:rPr>
              <w:t>18</w:t>
            </w:r>
            <w:r w:rsidR="00052882" w:rsidRPr="00257FBA">
              <w:rPr>
                <w:rFonts w:ascii="Arial Narrow" w:hAnsi="Arial Narrow" w:cs="Arial"/>
                <w:sz w:val="20"/>
                <w:szCs w:val="20"/>
              </w:rPr>
              <w:t>%</w:t>
            </w:r>
            <w:r w:rsidR="00F87C04" w:rsidRPr="00257FBA">
              <w:rPr>
                <w:rFonts w:ascii="Arial Narrow" w:hAnsi="Arial Narrow" w:cs="Arial"/>
                <w:sz w:val="20"/>
                <w:szCs w:val="20"/>
              </w:rPr>
              <w:t xml:space="preserve"> </w:t>
            </w:r>
          </w:p>
        </w:tc>
        <w:tc>
          <w:tcPr>
            <w:tcW w:w="1417" w:type="dxa"/>
          </w:tcPr>
          <w:p w14:paraId="2AD11670" w14:textId="15ED229C"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Median:  NR</w:t>
            </w:r>
          </w:p>
          <w:p w14:paraId="5EA315BD" w14:textId="07DE43E8" w:rsidR="00F87C04" w:rsidRPr="00257FBA" w:rsidRDefault="00E4455D" w:rsidP="00932151">
            <w:pPr>
              <w:keepNext/>
              <w:keepLines/>
              <w:spacing w:before="0"/>
              <w:rPr>
                <w:rFonts w:ascii="Arial Narrow" w:hAnsi="Arial Narrow" w:cs="Arial"/>
                <w:sz w:val="20"/>
                <w:szCs w:val="20"/>
              </w:rPr>
            </w:pPr>
            <w:r w:rsidRPr="00257FBA">
              <w:rPr>
                <w:rFonts w:ascii="Arial Narrow" w:hAnsi="Arial Narrow" w:cs="Arial"/>
                <w:sz w:val="20"/>
                <w:szCs w:val="20"/>
              </w:rPr>
              <w:t>PFS at month</w:t>
            </w:r>
            <w:r w:rsidR="00A56BC8" w:rsidRPr="00257FBA">
              <w:rPr>
                <w:rFonts w:ascii="Arial Narrow" w:hAnsi="Arial Narrow" w:cs="Arial"/>
                <w:sz w:val="20"/>
                <w:szCs w:val="20"/>
              </w:rPr>
              <w:t xml:space="preserve"> 20</w:t>
            </w:r>
            <w:r w:rsidRPr="00257FBA">
              <w:rPr>
                <w:rFonts w:ascii="Arial Narrow" w:hAnsi="Arial Narrow" w:cs="Arial"/>
                <w:sz w:val="20"/>
                <w:szCs w:val="20"/>
              </w:rPr>
              <w:t xml:space="preserve">: </w:t>
            </w:r>
            <w:r w:rsidR="00A56BC8" w:rsidRPr="00257FBA">
              <w:rPr>
                <w:rFonts w:ascii="Arial Narrow" w:hAnsi="Arial Narrow" w:cs="Arial"/>
                <w:sz w:val="20"/>
                <w:szCs w:val="20"/>
              </w:rPr>
              <w:t>65.2% (95% CI: 50.0 to 76.8)</w:t>
            </w:r>
          </w:p>
        </w:tc>
        <w:tc>
          <w:tcPr>
            <w:tcW w:w="992" w:type="dxa"/>
          </w:tcPr>
          <w:p w14:paraId="3185E866" w14:textId="4AE3D09A"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Median: NR</w:t>
            </w:r>
          </w:p>
        </w:tc>
      </w:tr>
      <w:tr w:rsidR="00E56001" w:rsidRPr="00257FBA" w14:paraId="6B8EB2CC" w14:textId="77777777" w:rsidTr="001053EF">
        <w:tc>
          <w:tcPr>
            <w:tcW w:w="1133" w:type="dxa"/>
          </w:tcPr>
          <w:p w14:paraId="30C8235F" w14:textId="60CEA186"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Sood et al (2023)</w:t>
            </w:r>
          </w:p>
        </w:tc>
        <w:tc>
          <w:tcPr>
            <w:tcW w:w="1133" w:type="dxa"/>
          </w:tcPr>
          <w:p w14:paraId="32BF3F8C" w14:textId="14EF6577" w:rsidR="009B5039"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Intervention:</w:t>
            </w:r>
            <w:r w:rsidR="004933AE" w:rsidRPr="00257FBA">
              <w:rPr>
                <w:rFonts w:ascii="Arial Narrow" w:hAnsi="Arial Narrow" w:cs="Arial"/>
                <w:sz w:val="20"/>
                <w:szCs w:val="20"/>
              </w:rPr>
              <w:t xml:space="preserve"> </w:t>
            </w:r>
            <w:r w:rsidR="00850630" w:rsidRPr="00257FBA">
              <w:rPr>
                <w:rFonts w:ascii="Arial Narrow" w:hAnsi="Arial Narrow" w:cs="Arial"/>
                <w:sz w:val="20"/>
                <w:szCs w:val="20"/>
                <w:vertAlign w:val="superscript"/>
              </w:rPr>
              <w:t>177</w:t>
            </w:r>
            <w:r w:rsidR="00850630" w:rsidRPr="00257FBA">
              <w:rPr>
                <w:rFonts w:ascii="Arial Narrow" w:hAnsi="Arial Narrow" w:cs="Arial"/>
                <w:sz w:val="20"/>
                <w:szCs w:val="20"/>
              </w:rPr>
              <w:t xml:space="preserve">Lu-DOTATATE </w:t>
            </w:r>
          </w:p>
          <w:p w14:paraId="7FAF00CF" w14:textId="5F008A1C" w:rsidR="00F87C04" w:rsidRPr="00257FBA" w:rsidRDefault="00672142"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plus </w:t>
            </w:r>
            <w:r w:rsidR="004933AE" w:rsidRPr="00257FBA">
              <w:rPr>
                <w:rFonts w:ascii="Arial Narrow" w:hAnsi="Arial Narrow" w:cs="Arial"/>
                <w:sz w:val="20"/>
                <w:szCs w:val="20"/>
              </w:rPr>
              <w:t>CAP.</w:t>
            </w:r>
          </w:p>
          <w:p w14:paraId="245FCAC5" w14:textId="72178D15"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Comparator: </w:t>
            </w:r>
            <w:r w:rsidR="00672142" w:rsidRPr="00257FBA">
              <w:rPr>
                <w:rFonts w:ascii="Arial Narrow" w:hAnsi="Arial Narrow" w:cs="Arial"/>
                <w:sz w:val="20"/>
                <w:szCs w:val="20"/>
                <w:vertAlign w:val="superscript"/>
              </w:rPr>
              <w:t>177</w:t>
            </w:r>
            <w:r w:rsidR="00672142" w:rsidRPr="00257FBA">
              <w:rPr>
                <w:rFonts w:ascii="Arial Narrow" w:hAnsi="Arial Narrow" w:cs="Arial"/>
                <w:sz w:val="20"/>
                <w:szCs w:val="20"/>
              </w:rPr>
              <w:t>Lu-DOTATATE</w:t>
            </w:r>
          </w:p>
        </w:tc>
        <w:tc>
          <w:tcPr>
            <w:tcW w:w="1134" w:type="dxa"/>
          </w:tcPr>
          <w:p w14:paraId="0901CD34" w14:textId="010D7879"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SRS positive; </w:t>
            </w:r>
            <w:r w:rsidR="00E46227" w:rsidRPr="001053EF">
              <w:rPr>
                <w:rFonts w:ascii="Arial Narrow" w:hAnsi="Arial Narrow" w:cs="Arial"/>
                <w:sz w:val="20"/>
                <w:szCs w:val="20"/>
                <w:vertAlign w:val="superscript"/>
              </w:rPr>
              <w:t>68</w:t>
            </w:r>
            <w:r w:rsidRPr="00257FBA">
              <w:rPr>
                <w:rFonts w:ascii="Arial Narrow" w:hAnsi="Arial Narrow" w:cs="Arial"/>
                <w:sz w:val="20"/>
                <w:szCs w:val="20"/>
              </w:rPr>
              <w:t xml:space="preserve">Ga DOTANOC </w:t>
            </w:r>
          </w:p>
        </w:tc>
        <w:tc>
          <w:tcPr>
            <w:tcW w:w="1133" w:type="dxa"/>
          </w:tcPr>
          <w:p w14:paraId="252A07A1" w14:textId="42F3ED3D"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Yes, </w:t>
            </w:r>
            <w:r w:rsidR="00E46227" w:rsidRPr="001053EF">
              <w:rPr>
                <w:rFonts w:ascii="Arial Narrow" w:hAnsi="Arial Narrow" w:cs="Arial"/>
                <w:sz w:val="20"/>
                <w:szCs w:val="20"/>
                <w:vertAlign w:val="superscript"/>
              </w:rPr>
              <w:t>18</w:t>
            </w:r>
            <w:r w:rsidRPr="00257FBA">
              <w:rPr>
                <w:rFonts w:ascii="Arial Narrow" w:hAnsi="Arial Narrow" w:cs="Arial"/>
                <w:sz w:val="20"/>
                <w:szCs w:val="20"/>
              </w:rPr>
              <w:t>F</w:t>
            </w:r>
            <w:r w:rsidR="00E46227">
              <w:rPr>
                <w:rFonts w:ascii="Arial Narrow" w:hAnsi="Arial Narrow" w:cs="Arial"/>
                <w:sz w:val="20"/>
                <w:szCs w:val="20"/>
              </w:rPr>
              <w:t>-</w:t>
            </w:r>
            <w:r w:rsidRPr="00257FBA">
              <w:rPr>
                <w:rFonts w:ascii="Arial Narrow" w:hAnsi="Arial Narrow" w:cs="Arial"/>
                <w:sz w:val="20"/>
                <w:szCs w:val="20"/>
              </w:rPr>
              <w:t>FDG PET/CT</w:t>
            </w:r>
          </w:p>
        </w:tc>
        <w:tc>
          <w:tcPr>
            <w:tcW w:w="1133" w:type="dxa"/>
          </w:tcPr>
          <w:p w14:paraId="587366C1" w14:textId="48622A1E"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23.6 [95% CI: 21.1, 26.0]</w:t>
            </w:r>
          </w:p>
        </w:tc>
        <w:tc>
          <w:tcPr>
            <w:tcW w:w="992" w:type="dxa"/>
          </w:tcPr>
          <w:p w14:paraId="25C8717B" w14:textId="22E11820"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vertAlign w:val="superscript"/>
              </w:rPr>
              <w:t>177</w:t>
            </w:r>
            <w:r w:rsidRPr="00257FBA">
              <w:rPr>
                <w:rFonts w:ascii="Arial Narrow" w:hAnsi="Arial Narrow" w:cs="Arial"/>
                <w:sz w:val="20"/>
                <w:szCs w:val="20"/>
              </w:rPr>
              <w:t xml:space="preserve">Lu-DOTATATE + </w:t>
            </w:r>
            <w:r w:rsidR="00E06302">
              <w:rPr>
                <w:rFonts w:ascii="Arial Narrow" w:hAnsi="Arial Narrow" w:cs="Arial"/>
                <w:sz w:val="20"/>
                <w:szCs w:val="20"/>
              </w:rPr>
              <w:t>CAP</w:t>
            </w:r>
            <w:r w:rsidRPr="00257FBA">
              <w:rPr>
                <w:rFonts w:ascii="Arial Narrow" w:hAnsi="Arial Narrow" w:cs="Arial"/>
                <w:sz w:val="20"/>
                <w:szCs w:val="20"/>
              </w:rPr>
              <w:t>: 21.4%</w:t>
            </w:r>
          </w:p>
          <w:p w14:paraId="6E79449E" w14:textId="77777777" w:rsidR="00F87C04" w:rsidRPr="00257FBA" w:rsidRDefault="00F87C04" w:rsidP="00932151">
            <w:pPr>
              <w:keepNext/>
              <w:keepLines/>
              <w:spacing w:before="0"/>
              <w:rPr>
                <w:rFonts w:ascii="Arial Narrow" w:hAnsi="Arial Narrow" w:cs="Arial"/>
                <w:sz w:val="20"/>
                <w:szCs w:val="20"/>
                <w:vertAlign w:val="superscript"/>
              </w:rPr>
            </w:pPr>
          </w:p>
          <w:p w14:paraId="6F6A7C6F" w14:textId="04CAADC6"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vertAlign w:val="superscript"/>
              </w:rPr>
              <w:t>177</w:t>
            </w:r>
            <w:r w:rsidRPr="00257FBA">
              <w:rPr>
                <w:rFonts w:ascii="Arial Narrow" w:hAnsi="Arial Narrow" w:cs="Arial"/>
                <w:sz w:val="20"/>
                <w:szCs w:val="20"/>
              </w:rPr>
              <w:t>Lu-DOTATATE: 11%</w:t>
            </w:r>
          </w:p>
        </w:tc>
        <w:tc>
          <w:tcPr>
            <w:tcW w:w="1417" w:type="dxa"/>
          </w:tcPr>
          <w:p w14:paraId="34116E2F" w14:textId="54A02B9A"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Median</w:t>
            </w:r>
            <w:r w:rsidR="008A16E3" w:rsidRPr="00257FBA">
              <w:rPr>
                <w:rFonts w:ascii="Arial Narrow" w:hAnsi="Arial Narrow" w:cs="Arial"/>
                <w:sz w:val="20"/>
                <w:szCs w:val="20"/>
              </w:rPr>
              <w:t xml:space="preserve">: NR for either group </w:t>
            </w:r>
          </w:p>
          <w:p w14:paraId="7812CD24" w14:textId="69E00F55" w:rsidR="00AA5BC9" w:rsidRPr="00257FBA" w:rsidRDefault="00AA5BC9"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PFS at 24 months: </w:t>
            </w:r>
          </w:p>
          <w:p w14:paraId="6C6FDCF5" w14:textId="1FB589A4" w:rsidR="00F87C04" w:rsidRPr="00257FBA" w:rsidRDefault="00AC0A4A" w:rsidP="00932151">
            <w:pPr>
              <w:keepNext/>
              <w:keepLines/>
              <w:spacing w:before="0"/>
              <w:rPr>
                <w:rFonts w:ascii="Arial Narrow" w:hAnsi="Arial Narrow" w:cs="Arial"/>
                <w:sz w:val="20"/>
                <w:szCs w:val="20"/>
              </w:rPr>
            </w:pPr>
            <w:r w:rsidRPr="00257FBA">
              <w:rPr>
                <w:rFonts w:ascii="Arial Narrow" w:hAnsi="Arial Narrow" w:cs="Arial"/>
                <w:sz w:val="20"/>
                <w:szCs w:val="20"/>
                <w:vertAlign w:val="superscript"/>
              </w:rPr>
              <w:t>177</w:t>
            </w:r>
            <w:r w:rsidRPr="00257FBA">
              <w:rPr>
                <w:rFonts w:ascii="Arial Narrow" w:hAnsi="Arial Narrow" w:cs="Arial"/>
                <w:sz w:val="20"/>
                <w:szCs w:val="20"/>
              </w:rPr>
              <w:t>Lu-DOTATATE</w:t>
            </w:r>
            <w:r w:rsidR="00F87C04" w:rsidRPr="00257FBA">
              <w:rPr>
                <w:rFonts w:ascii="Arial Narrow" w:hAnsi="Arial Narrow" w:cs="Arial"/>
                <w:sz w:val="20"/>
                <w:szCs w:val="20"/>
              </w:rPr>
              <w:t xml:space="preserve"> + </w:t>
            </w:r>
            <w:r w:rsidR="00A0155A">
              <w:rPr>
                <w:rFonts w:ascii="Arial Narrow" w:hAnsi="Arial Narrow" w:cs="Arial"/>
                <w:sz w:val="20"/>
                <w:szCs w:val="20"/>
              </w:rPr>
              <w:t>CAP</w:t>
            </w:r>
            <w:r w:rsidR="00F87C04" w:rsidRPr="00257FBA">
              <w:rPr>
                <w:rFonts w:ascii="Arial Narrow" w:hAnsi="Arial Narrow" w:cs="Arial"/>
                <w:sz w:val="20"/>
                <w:szCs w:val="20"/>
              </w:rPr>
              <w:t>: 96.4% [95% CI: 89.4, 100]</w:t>
            </w:r>
          </w:p>
          <w:p w14:paraId="6334A383" w14:textId="22E95508"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vertAlign w:val="superscript"/>
              </w:rPr>
              <w:t>177</w:t>
            </w:r>
            <w:r w:rsidRPr="00257FBA">
              <w:rPr>
                <w:rFonts w:ascii="Arial Narrow" w:hAnsi="Arial Narrow" w:cs="Arial"/>
                <w:sz w:val="20"/>
                <w:szCs w:val="20"/>
              </w:rPr>
              <w:t>Lu-DOTATATE: 67.3 [95% CI 47.3, 87.3]</w:t>
            </w:r>
          </w:p>
        </w:tc>
        <w:tc>
          <w:tcPr>
            <w:tcW w:w="992" w:type="dxa"/>
          </w:tcPr>
          <w:p w14:paraId="7571B5B9" w14:textId="35DBDB03" w:rsidR="00F87C04" w:rsidRPr="00257FBA" w:rsidRDefault="00A15735" w:rsidP="00932151">
            <w:pPr>
              <w:keepNext/>
              <w:keepLines/>
              <w:spacing w:before="0"/>
              <w:rPr>
                <w:rFonts w:ascii="Arial Narrow" w:hAnsi="Arial Narrow" w:cs="Arial"/>
                <w:sz w:val="20"/>
                <w:szCs w:val="20"/>
              </w:rPr>
            </w:pPr>
            <w:r>
              <w:rPr>
                <w:rFonts w:ascii="Arial Narrow" w:hAnsi="Arial Narrow" w:cs="Arial"/>
                <w:sz w:val="20"/>
                <w:szCs w:val="20"/>
              </w:rPr>
              <w:t>NA</w:t>
            </w:r>
          </w:p>
        </w:tc>
      </w:tr>
    </w:tbl>
    <w:p w14:paraId="4F25C232" w14:textId="674C3BAD" w:rsidR="006604C1" w:rsidRPr="006305D3" w:rsidRDefault="00E959D0" w:rsidP="00932151">
      <w:pPr>
        <w:pStyle w:val="Tablenotes"/>
        <w:keepNext/>
        <w:keepLines/>
      </w:pPr>
      <w:r w:rsidRPr="006408BA">
        <w:t>Abbreviations</w:t>
      </w:r>
      <w:r w:rsidR="003609B7">
        <w:t xml:space="preserve">: </w:t>
      </w:r>
      <w:r w:rsidR="00DD339A">
        <w:t>CAP</w:t>
      </w:r>
      <w:r w:rsidR="00532922">
        <w:t xml:space="preserve"> = </w:t>
      </w:r>
      <w:r w:rsidR="00532922" w:rsidRPr="00532922">
        <w:t>capecitabine</w:t>
      </w:r>
      <w:r w:rsidR="00532922">
        <w:t xml:space="preserve">; </w:t>
      </w:r>
      <w:r w:rsidR="00884E4C">
        <w:t>FDG =</w:t>
      </w:r>
      <w:r w:rsidR="00884E4C" w:rsidRPr="007A3FAD">
        <w:t xml:space="preserve"> fluorodeoxyglucose</w:t>
      </w:r>
      <w:r w:rsidR="00884E4C">
        <w:t xml:space="preserve">, </w:t>
      </w:r>
      <w:r w:rsidR="00532922" w:rsidRPr="00FC5267">
        <w:t>H-SSTR = high somatostatin</w:t>
      </w:r>
      <w:r w:rsidR="0082040D">
        <w:t xml:space="preserve"> receptor</w:t>
      </w:r>
      <w:r w:rsidR="00BE23EC" w:rsidRPr="00FC5267">
        <w:t xml:space="preserve">; </w:t>
      </w:r>
      <w:r w:rsidR="00A15735">
        <w:t xml:space="preserve">NA = not applicable; </w:t>
      </w:r>
      <w:r w:rsidR="00FC5267" w:rsidRPr="00FC5267">
        <w:t xml:space="preserve">NR = not reached; </w:t>
      </w:r>
      <w:r w:rsidR="00BE23EC" w:rsidRPr="00FC5267">
        <w:t>ORR = objective response rate;</w:t>
      </w:r>
      <w:r w:rsidR="00532922" w:rsidRPr="00FC5267">
        <w:t xml:space="preserve"> </w:t>
      </w:r>
      <w:r w:rsidR="00532922">
        <w:t>PFS = progression-free survival</w:t>
      </w:r>
      <w:r w:rsidR="00913CCA">
        <w:t xml:space="preserve">, </w:t>
      </w:r>
      <w:r w:rsidR="00884E4C" w:rsidRPr="00884E4C">
        <w:t xml:space="preserve">PET/CT = positron emission tomography/computed tomography, </w:t>
      </w:r>
      <w:r w:rsidR="00913CCA">
        <w:t>SRS = somatostatin receptor scintigraphy.</w:t>
      </w:r>
    </w:p>
    <w:p w14:paraId="5A13ED3F" w14:textId="6F714D32" w:rsidR="005F448D" w:rsidRPr="006305D3" w:rsidRDefault="005F448D" w:rsidP="006305D3">
      <w:pPr>
        <w:pStyle w:val="Tablenotes"/>
      </w:pPr>
      <w:r>
        <w:t>Source: Constructed during evaluation.</w:t>
      </w:r>
    </w:p>
    <w:p w14:paraId="3FAC9081" w14:textId="3A444BE4" w:rsidR="006604C1" w:rsidRDefault="006604C1" w:rsidP="001053EF">
      <w:pPr>
        <w:pStyle w:val="Heading3"/>
      </w:pPr>
      <w:bookmarkStart w:id="65" w:name="_Toc165239052"/>
      <w:bookmarkStart w:id="66" w:name="_Toc165271882"/>
      <w:bookmarkStart w:id="67" w:name="_Toc165274308"/>
      <w:bookmarkStart w:id="68" w:name="_Toc165275531"/>
      <w:r>
        <w:t>Clinical efficacy</w:t>
      </w:r>
      <w:r w:rsidRPr="006604C1">
        <w:t xml:space="preserve"> outcomes</w:t>
      </w:r>
      <w:bookmarkEnd w:id="65"/>
      <w:bookmarkEnd w:id="66"/>
      <w:bookmarkEnd w:id="67"/>
      <w:bookmarkEnd w:id="68"/>
    </w:p>
    <w:p w14:paraId="4605601C" w14:textId="73EE70B2" w:rsidR="00500026" w:rsidRDefault="003A5E72" w:rsidP="003A5E72">
      <w:pPr>
        <w:pStyle w:val="Heading4"/>
      </w:pPr>
      <w:bookmarkStart w:id="69" w:name="_Ref170324519"/>
      <w:r>
        <w:t>Direct evidence</w:t>
      </w:r>
      <w:r w:rsidR="00427068">
        <w:t xml:space="preserve">: </w:t>
      </w:r>
      <w:r w:rsidR="00F63E9D" w:rsidRPr="00C905BB">
        <w:rPr>
          <w:vertAlign w:val="superscript"/>
        </w:rPr>
        <w:t>177</w:t>
      </w:r>
      <w:r w:rsidR="00F63E9D" w:rsidRPr="00961C59">
        <w:t>Lu</w:t>
      </w:r>
      <w:r w:rsidR="00F63E9D">
        <w:t>-DOTATATE trials</w:t>
      </w:r>
      <w:bookmarkEnd w:id="69"/>
    </w:p>
    <w:p w14:paraId="4DA703F8" w14:textId="01398F4E" w:rsidR="005D6D33" w:rsidRDefault="0098118E" w:rsidP="00F63E9D">
      <w:pPr>
        <w:rPr>
          <w:bCs/>
        </w:rPr>
      </w:pPr>
      <w:r>
        <w:rPr>
          <w:bCs/>
        </w:rPr>
        <w:t xml:space="preserve">NETTER-1 and </w:t>
      </w:r>
      <w:r w:rsidR="00B15B4E">
        <w:rPr>
          <w:bCs/>
        </w:rPr>
        <w:t>OCLURANDOM</w:t>
      </w:r>
      <w:r w:rsidR="005C754C">
        <w:rPr>
          <w:bCs/>
        </w:rPr>
        <w:t xml:space="preserve"> were</w:t>
      </w:r>
      <w:r w:rsidR="00392F61">
        <w:rPr>
          <w:bCs/>
        </w:rPr>
        <w:t xml:space="preserve"> </w:t>
      </w:r>
      <w:r w:rsidR="00392F61" w:rsidRPr="00392F61">
        <w:rPr>
          <w:bCs/>
        </w:rPr>
        <w:t xml:space="preserve">open-label studies where both investigators and patients were unmasked to the treatment assignment and outcome assessors remained unblinded. The methodological quality of these studies was therefore judged to be at high </w:t>
      </w:r>
      <w:proofErr w:type="spellStart"/>
      <w:r w:rsidR="00392F61" w:rsidRPr="00392F61">
        <w:rPr>
          <w:bCs/>
        </w:rPr>
        <w:t>RoB</w:t>
      </w:r>
      <w:proofErr w:type="spellEnd"/>
      <w:r w:rsidR="007B56C8">
        <w:rPr>
          <w:bCs/>
        </w:rPr>
        <w:t>.</w:t>
      </w:r>
    </w:p>
    <w:p w14:paraId="6B0E9E76" w14:textId="1781B3DA" w:rsidR="006D13BC" w:rsidRDefault="006D13BC" w:rsidP="00994611">
      <w:pPr>
        <w:pStyle w:val="Caption"/>
      </w:pPr>
      <w:r>
        <w:t xml:space="preserve">Table </w:t>
      </w:r>
      <w:r>
        <w:fldChar w:fldCharType="begin"/>
      </w:r>
      <w:r>
        <w:instrText xml:space="preserve"> SEQ Table \* ARABIC </w:instrText>
      </w:r>
      <w:r>
        <w:fldChar w:fldCharType="separate"/>
      </w:r>
      <w:r>
        <w:rPr>
          <w:noProof/>
        </w:rPr>
        <w:t>9</w:t>
      </w:r>
      <w:r>
        <w:rPr>
          <w:noProof/>
        </w:rPr>
        <w:fldChar w:fldCharType="end"/>
      </w:r>
      <w:r>
        <w:tab/>
      </w:r>
      <w:r w:rsidR="00C42EE6">
        <w:t xml:space="preserve">Assessment of risk of bias of individual studies- </w:t>
      </w:r>
      <w:r w:rsidR="00E9631F">
        <w:t>direct RCTs</w:t>
      </w:r>
      <w:r w:rsidR="00F3797D">
        <w:t>: NETTER</w:t>
      </w:r>
      <w:r w:rsidR="00FE3BD3">
        <w:t>-1 and OCLURANDOM</w:t>
      </w:r>
    </w:p>
    <w:tbl>
      <w:tblPr>
        <w:tblStyle w:val="TableGrid"/>
        <w:tblW w:w="0" w:type="auto"/>
        <w:tblLayout w:type="fixed"/>
        <w:tblLook w:val="04A0" w:firstRow="1" w:lastRow="0" w:firstColumn="1" w:lastColumn="0" w:noHBand="0" w:noVBand="1"/>
      </w:tblPr>
      <w:tblGrid>
        <w:gridCol w:w="2263"/>
        <w:gridCol w:w="1134"/>
        <w:gridCol w:w="1276"/>
        <w:gridCol w:w="1134"/>
        <w:gridCol w:w="1276"/>
        <w:gridCol w:w="992"/>
        <w:gridCol w:w="941"/>
      </w:tblGrid>
      <w:tr w:rsidR="0054577D" w:rsidRPr="00DE4837" w14:paraId="4069B1C9" w14:textId="77777777">
        <w:trPr>
          <w:trHeight w:val="288"/>
        </w:trPr>
        <w:tc>
          <w:tcPr>
            <w:tcW w:w="2263" w:type="dxa"/>
            <w:shd w:val="clear" w:color="auto" w:fill="F2F2F2" w:themeFill="background1" w:themeFillShade="F2"/>
            <w:noWrap/>
            <w:hideMark/>
          </w:tcPr>
          <w:p w14:paraId="074E7370" w14:textId="77777777" w:rsidR="0054577D" w:rsidRPr="00DE4837" w:rsidRDefault="0054577D">
            <w:pPr>
              <w:rPr>
                <w:rFonts w:ascii="Arial Narrow" w:hAnsi="Arial Narrow"/>
                <w:b/>
                <w:sz w:val="20"/>
                <w:szCs w:val="20"/>
              </w:rPr>
            </w:pPr>
            <w:r w:rsidRPr="00DE4837">
              <w:rPr>
                <w:rFonts w:ascii="Arial Narrow" w:hAnsi="Arial Narrow"/>
                <w:b/>
                <w:sz w:val="20"/>
                <w:szCs w:val="20"/>
              </w:rPr>
              <w:t>Study reference</w:t>
            </w:r>
          </w:p>
        </w:tc>
        <w:tc>
          <w:tcPr>
            <w:tcW w:w="1134" w:type="dxa"/>
            <w:shd w:val="clear" w:color="auto" w:fill="F2F2F2" w:themeFill="background1" w:themeFillShade="F2"/>
            <w:noWrap/>
            <w:hideMark/>
          </w:tcPr>
          <w:p w14:paraId="67AF4077" w14:textId="77777777" w:rsidR="0054577D" w:rsidRPr="00DE4837" w:rsidRDefault="0054577D">
            <w:pPr>
              <w:rPr>
                <w:rFonts w:ascii="Arial Narrow" w:hAnsi="Arial Narrow"/>
                <w:b/>
                <w:sz w:val="20"/>
                <w:szCs w:val="20"/>
              </w:rPr>
            </w:pPr>
            <w:r w:rsidRPr="00DE4837">
              <w:rPr>
                <w:rFonts w:ascii="Arial Narrow" w:hAnsi="Arial Narrow"/>
                <w:b/>
                <w:sz w:val="20"/>
                <w:szCs w:val="20"/>
              </w:rPr>
              <w:t>Random sequence generation</w:t>
            </w:r>
          </w:p>
        </w:tc>
        <w:tc>
          <w:tcPr>
            <w:tcW w:w="1276" w:type="dxa"/>
            <w:shd w:val="clear" w:color="auto" w:fill="F2F2F2" w:themeFill="background1" w:themeFillShade="F2"/>
            <w:noWrap/>
            <w:hideMark/>
          </w:tcPr>
          <w:p w14:paraId="4948F896" w14:textId="77777777" w:rsidR="0054577D" w:rsidRPr="00DE4837" w:rsidRDefault="0054577D">
            <w:pPr>
              <w:rPr>
                <w:rFonts w:ascii="Arial Narrow" w:hAnsi="Arial Narrow"/>
                <w:b/>
                <w:sz w:val="20"/>
                <w:szCs w:val="20"/>
              </w:rPr>
            </w:pPr>
            <w:r w:rsidRPr="00DE4837">
              <w:rPr>
                <w:rFonts w:ascii="Arial Narrow" w:hAnsi="Arial Narrow"/>
                <w:b/>
                <w:sz w:val="20"/>
                <w:szCs w:val="20"/>
              </w:rPr>
              <w:t>Assignment to intervention</w:t>
            </w:r>
          </w:p>
        </w:tc>
        <w:tc>
          <w:tcPr>
            <w:tcW w:w="1134" w:type="dxa"/>
            <w:shd w:val="clear" w:color="auto" w:fill="F2F2F2" w:themeFill="background1" w:themeFillShade="F2"/>
            <w:noWrap/>
            <w:hideMark/>
          </w:tcPr>
          <w:p w14:paraId="0F7566CA" w14:textId="77777777" w:rsidR="0054577D" w:rsidRPr="00DE4837" w:rsidRDefault="0054577D">
            <w:pPr>
              <w:rPr>
                <w:rFonts w:ascii="Arial Narrow" w:hAnsi="Arial Narrow"/>
                <w:b/>
                <w:sz w:val="20"/>
                <w:szCs w:val="20"/>
              </w:rPr>
            </w:pPr>
            <w:r w:rsidRPr="00DE4837">
              <w:rPr>
                <w:rFonts w:ascii="Arial Narrow" w:hAnsi="Arial Narrow"/>
                <w:b/>
                <w:sz w:val="20"/>
                <w:szCs w:val="20"/>
              </w:rPr>
              <w:t>Incomplete outcome data</w:t>
            </w:r>
          </w:p>
        </w:tc>
        <w:tc>
          <w:tcPr>
            <w:tcW w:w="1276" w:type="dxa"/>
            <w:shd w:val="clear" w:color="auto" w:fill="F2F2F2" w:themeFill="background1" w:themeFillShade="F2"/>
            <w:noWrap/>
            <w:hideMark/>
          </w:tcPr>
          <w:p w14:paraId="25F5141F" w14:textId="77777777" w:rsidR="0054577D" w:rsidRPr="00DE4837" w:rsidRDefault="0054577D">
            <w:pPr>
              <w:rPr>
                <w:rFonts w:ascii="Arial Narrow" w:hAnsi="Arial Narrow"/>
                <w:b/>
                <w:sz w:val="20"/>
                <w:szCs w:val="20"/>
              </w:rPr>
            </w:pPr>
            <w:r w:rsidRPr="00DE4837">
              <w:rPr>
                <w:rFonts w:ascii="Arial Narrow" w:hAnsi="Arial Narrow"/>
                <w:b/>
                <w:sz w:val="20"/>
                <w:szCs w:val="20"/>
              </w:rPr>
              <w:t>Blinding of outcome assessment</w:t>
            </w:r>
          </w:p>
        </w:tc>
        <w:tc>
          <w:tcPr>
            <w:tcW w:w="992" w:type="dxa"/>
            <w:shd w:val="clear" w:color="auto" w:fill="F2F2F2" w:themeFill="background1" w:themeFillShade="F2"/>
            <w:noWrap/>
            <w:hideMark/>
          </w:tcPr>
          <w:p w14:paraId="4611C0B4" w14:textId="77777777" w:rsidR="0054577D" w:rsidRPr="00DE4837" w:rsidRDefault="0054577D">
            <w:pPr>
              <w:rPr>
                <w:rFonts w:ascii="Arial Narrow" w:hAnsi="Arial Narrow"/>
                <w:b/>
                <w:sz w:val="20"/>
                <w:szCs w:val="20"/>
              </w:rPr>
            </w:pPr>
            <w:r w:rsidRPr="00DE4837">
              <w:rPr>
                <w:rFonts w:ascii="Arial Narrow" w:hAnsi="Arial Narrow"/>
                <w:b/>
                <w:sz w:val="20"/>
                <w:szCs w:val="20"/>
              </w:rPr>
              <w:t>Selective reporting</w:t>
            </w:r>
          </w:p>
        </w:tc>
        <w:tc>
          <w:tcPr>
            <w:tcW w:w="941" w:type="dxa"/>
            <w:shd w:val="clear" w:color="auto" w:fill="F2F2F2" w:themeFill="background1" w:themeFillShade="F2"/>
            <w:noWrap/>
            <w:hideMark/>
          </w:tcPr>
          <w:p w14:paraId="321A9242" w14:textId="77777777" w:rsidR="0054577D" w:rsidRPr="00DE4837" w:rsidRDefault="0054577D">
            <w:pPr>
              <w:rPr>
                <w:rFonts w:ascii="Arial Narrow" w:hAnsi="Arial Narrow"/>
                <w:b/>
                <w:sz w:val="20"/>
                <w:szCs w:val="20"/>
              </w:rPr>
            </w:pPr>
            <w:r w:rsidRPr="00DE4837">
              <w:rPr>
                <w:rFonts w:ascii="Arial Narrow" w:hAnsi="Arial Narrow"/>
                <w:b/>
                <w:sz w:val="20"/>
                <w:szCs w:val="20"/>
              </w:rPr>
              <w:t>Overall bias</w:t>
            </w:r>
          </w:p>
        </w:tc>
      </w:tr>
      <w:tr w:rsidR="0054577D" w:rsidRPr="00DE4837" w14:paraId="00AE57ED" w14:textId="77777777">
        <w:trPr>
          <w:trHeight w:val="288"/>
        </w:trPr>
        <w:tc>
          <w:tcPr>
            <w:tcW w:w="2263" w:type="dxa"/>
            <w:shd w:val="clear" w:color="auto" w:fill="F2F2F2" w:themeFill="background1" w:themeFillShade="F2"/>
            <w:noWrap/>
            <w:hideMark/>
          </w:tcPr>
          <w:p w14:paraId="7CA43F0A" w14:textId="77777777" w:rsidR="0054577D" w:rsidRPr="00DE4837" w:rsidRDefault="0054577D">
            <w:pPr>
              <w:rPr>
                <w:rFonts w:ascii="Arial Narrow" w:hAnsi="Arial Narrow"/>
                <w:sz w:val="20"/>
                <w:szCs w:val="20"/>
              </w:rPr>
            </w:pPr>
            <w:r w:rsidRPr="00DE4837">
              <w:rPr>
                <w:rFonts w:ascii="Arial Narrow" w:hAnsi="Arial Narrow"/>
                <w:sz w:val="20"/>
                <w:szCs w:val="20"/>
              </w:rPr>
              <w:t>NETTER-1</w:t>
            </w:r>
            <w:r>
              <w:rPr>
                <w:rFonts w:ascii="Arial Narrow" w:hAnsi="Arial Narrow"/>
                <w:sz w:val="20"/>
                <w:szCs w:val="20"/>
              </w:rPr>
              <w:t xml:space="preserve"> </w:t>
            </w:r>
            <w:r>
              <w:rPr>
                <w:rFonts w:ascii="Arial Narrow" w:hAnsi="Arial Narrow"/>
                <w:sz w:val="20"/>
                <w:szCs w:val="20"/>
              </w:rPr>
              <w:fldChar w:fldCharType="begin"/>
            </w:r>
            <w:r>
              <w:rPr>
                <w:rFonts w:ascii="Arial Narrow" w:hAnsi="Arial Narrow"/>
                <w:sz w:val="20"/>
                <w:szCs w:val="20"/>
              </w:rPr>
              <w:instrText xml:space="preserve"> ADDIN EN.CITE &lt;EndNote&gt;&lt;Cite&gt;&lt;Author&gt;ClinicalTrials.gov&lt;/Author&gt;&lt;Year&gt;2022&lt;/Year&gt;&lt;RecNum&gt;2&lt;/RecNum&gt;&lt;DisplayText&gt;(ClinicalTrials.gov 2022b)&lt;/DisplayText&gt;&lt;record&gt;&lt;rec-number&gt;2&lt;/rec-number&gt;&lt;foreign-keys&gt;&lt;key app="EN" db-id="serfsw5zfedv0leetdnpxzasfd92vr5ree0d" timestamp="1713528714"&gt;2&lt;/key&gt;&lt;/foreign-keys&gt;&lt;ref-type name="Journal Article"&gt;17&lt;/ref-type&gt;&lt;contributors&gt;&lt;authors&gt;&lt;author&gt;ClinicalTrials.gov,&lt;/author&gt;&lt;/authors&gt;&lt;/contributors&gt;&lt;titles&gt;&lt;title&gt;A Study Comparing Treatment With 177Lu-DOTA0-Tyr3-Octreotate to Octreotide LAR in Patients With Inoperable, Progressive, Somatostatin Receptor Positive Midgut Carcinoid Tumours&lt;/title&gt;&lt;/titles&gt;&lt;keywords&gt;&lt;keyword&gt;Carcinoid Tumor of the Small Bowel|Neuroendocrine Tumour&lt;/keyword&gt;&lt;/keywords&gt;&lt;dates&gt;&lt;year&gt;2022&lt;/year&gt;&lt;/dates&gt;&lt;publisher&gt;https://classic.clinicaltrials.gov/show/NCT01578239&lt;/publisher&gt;&lt;urls&gt;&lt;/urls&gt;&lt;/record&gt;&lt;/Cite&gt;&lt;/EndNote&gt;</w:instrText>
            </w:r>
            <w:r>
              <w:rPr>
                <w:rFonts w:ascii="Arial Narrow" w:hAnsi="Arial Narrow"/>
                <w:sz w:val="20"/>
                <w:szCs w:val="20"/>
              </w:rPr>
              <w:fldChar w:fldCharType="separate"/>
            </w:r>
            <w:r>
              <w:rPr>
                <w:rFonts w:ascii="Arial Narrow" w:hAnsi="Arial Narrow"/>
                <w:noProof/>
                <w:sz w:val="20"/>
                <w:szCs w:val="20"/>
              </w:rPr>
              <w:t>(ClinicalTrials.gov 2022b)</w:t>
            </w:r>
            <w:r>
              <w:rPr>
                <w:rFonts w:ascii="Arial Narrow" w:hAnsi="Arial Narrow"/>
                <w:sz w:val="20"/>
                <w:szCs w:val="20"/>
              </w:rPr>
              <w:fldChar w:fldCharType="end"/>
            </w:r>
          </w:p>
        </w:tc>
        <w:tc>
          <w:tcPr>
            <w:tcW w:w="1134" w:type="dxa"/>
            <w:shd w:val="clear" w:color="auto" w:fill="C5E0B3" w:themeFill="accent6" w:themeFillTint="66"/>
            <w:noWrap/>
            <w:hideMark/>
          </w:tcPr>
          <w:p w14:paraId="441365AF" w14:textId="77777777" w:rsidR="0054577D" w:rsidRPr="00DE4837" w:rsidRDefault="0054577D">
            <w:pPr>
              <w:rPr>
                <w:rFonts w:ascii="Arial Narrow" w:hAnsi="Arial Narrow"/>
                <w:sz w:val="20"/>
                <w:szCs w:val="20"/>
              </w:rPr>
            </w:pPr>
            <w:r w:rsidRPr="00DE4837">
              <w:rPr>
                <w:rFonts w:ascii="Arial Narrow" w:hAnsi="Arial Narrow"/>
                <w:sz w:val="20"/>
                <w:szCs w:val="20"/>
              </w:rPr>
              <w:t>Low</w:t>
            </w:r>
          </w:p>
        </w:tc>
        <w:tc>
          <w:tcPr>
            <w:tcW w:w="1276" w:type="dxa"/>
            <w:shd w:val="clear" w:color="auto" w:fill="FF9966"/>
            <w:noWrap/>
            <w:hideMark/>
          </w:tcPr>
          <w:p w14:paraId="3730B893" w14:textId="77777777" w:rsidR="0054577D" w:rsidRPr="00DE4837" w:rsidRDefault="0054577D">
            <w:pPr>
              <w:rPr>
                <w:rFonts w:ascii="Arial Narrow" w:hAnsi="Arial Narrow"/>
                <w:sz w:val="20"/>
                <w:szCs w:val="20"/>
              </w:rPr>
            </w:pPr>
            <w:r w:rsidRPr="00DE4837">
              <w:rPr>
                <w:rFonts w:ascii="Arial Narrow" w:hAnsi="Arial Narrow"/>
                <w:sz w:val="20"/>
                <w:szCs w:val="20"/>
              </w:rPr>
              <w:t>High</w:t>
            </w:r>
          </w:p>
        </w:tc>
        <w:tc>
          <w:tcPr>
            <w:tcW w:w="1134" w:type="dxa"/>
            <w:shd w:val="clear" w:color="auto" w:fill="C5E0B3" w:themeFill="accent6" w:themeFillTint="66"/>
            <w:noWrap/>
            <w:hideMark/>
          </w:tcPr>
          <w:p w14:paraId="6325BC9C" w14:textId="77777777" w:rsidR="0054577D" w:rsidRPr="00DE4837" w:rsidRDefault="0054577D">
            <w:pPr>
              <w:rPr>
                <w:rFonts w:ascii="Arial Narrow" w:hAnsi="Arial Narrow"/>
                <w:sz w:val="20"/>
                <w:szCs w:val="20"/>
              </w:rPr>
            </w:pPr>
            <w:r w:rsidRPr="00DE4837">
              <w:rPr>
                <w:rFonts w:ascii="Arial Narrow" w:hAnsi="Arial Narrow"/>
                <w:sz w:val="20"/>
                <w:szCs w:val="20"/>
              </w:rPr>
              <w:t>Low</w:t>
            </w:r>
          </w:p>
        </w:tc>
        <w:tc>
          <w:tcPr>
            <w:tcW w:w="1276" w:type="dxa"/>
            <w:shd w:val="clear" w:color="auto" w:fill="FF9966"/>
            <w:noWrap/>
            <w:hideMark/>
          </w:tcPr>
          <w:p w14:paraId="39C1AB60" w14:textId="77777777" w:rsidR="0054577D" w:rsidRPr="00DE4837" w:rsidRDefault="0054577D">
            <w:pPr>
              <w:rPr>
                <w:rFonts w:ascii="Arial Narrow" w:hAnsi="Arial Narrow"/>
                <w:sz w:val="20"/>
                <w:szCs w:val="20"/>
              </w:rPr>
            </w:pPr>
            <w:r w:rsidRPr="00DE4837">
              <w:rPr>
                <w:rFonts w:ascii="Arial Narrow" w:hAnsi="Arial Narrow"/>
                <w:sz w:val="20"/>
                <w:szCs w:val="20"/>
              </w:rPr>
              <w:t>High</w:t>
            </w:r>
          </w:p>
        </w:tc>
        <w:tc>
          <w:tcPr>
            <w:tcW w:w="992" w:type="dxa"/>
            <w:shd w:val="clear" w:color="auto" w:fill="C5E0B3" w:themeFill="accent6" w:themeFillTint="66"/>
            <w:noWrap/>
            <w:hideMark/>
          </w:tcPr>
          <w:p w14:paraId="55D861A2" w14:textId="77777777" w:rsidR="0054577D" w:rsidRPr="00DE4837" w:rsidRDefault="0054577D">
            <w:pPr>
              <w:rPr>
                <w:rFonts w:ascii="Arial Narrow" w:hAnsi="Arial Narrow"/>
                <w:sz w:val="20"/>
                <w:szCs w:val="20"/>
              </w:rPr>
            </w:pPr>
            <w:r w:rsidRPr="00DE4837">
              <w:rPr>
                <w:rFonts w:ascii="Arial Narrow" w:hAnsi="Arial Narrow"/>
                <w:sz w:val="20"/>
                <w:szCs w:val="20"/>
              </w:rPr>
              <w:t>Low</w:t>
            </w:r>
          </w:p>
        </w:tc>
        <w:tc>
          <w:tcPr>
            <w:tcW w:w="941" w:type="dxa"/>
            <w:shd w:val="clear" w:color="auto" w:fill="FF9966"/>
            <w:noWrap/>
            <w:hideMark/>
          </w:tcPr>
          <w:p w14:paraId="692662EF" w14:textId="77777777" w:rsidR="0054577D" w:rsidRPr="00DE4837" w:rsidRDefault="0054577D">
            <w:pPr>
              <w:rPr>
                <w:rFonts w:ascii="Arial Narrow" w:hAnsi="Arial Narrow"/>
                <w:b/>
                <w:sz w:val="20"/>
                <w:szCs w:val="20"/>
              </w:rPr>
            </w:pPr>
            <w:r w:rsidRPr="00DE4837">
              <w:rPr>
                <w:rFonts w:ascii="Arial Narrow" w:hAnsi="Arial Narrow"/>
                <w:b/>
                <w:sz w:val="20"/>
                <w:szCs w:val="20"/>
              </w:rPr>
              <w:t>High</w:t>
            </w:r>
          </w:p>
        </w:tc>
      </w:tr>
      <w:tr w:rsidR="0054577D" w:rsidRPr="00DE4837" w14:paraId="150E1212" w14:textId="77777777">
        <w:trPr>
          <w:trHeight w:val="288"/>
        </w:trPr>
        <w:tc>
          <w:tcPr>
            <w:tcW w:w="2263" w:type="dxa"/>
            <w:shd w:val="clear" w:color="auto" w:fill="F2F2F2" w:themeFill="background1" w:themeFillShade="F2"/>
            <w:noWrap/>
            <w:hideMark/>
          </w:tcPr>
          <w:p w14:paraId="3B6FBE32" w14:textId="77777777" w:rsidR="0054577D" w:rsidRPr="00DE4837" w:rsidRDefault="0054577D">
            <w:pPr>
              <w:rPr>
                <w:rFonts w:ascii="Arial Narrow" w:hAnsi="Arial Narrow"/>
                <w:sz w:val="20"/>
                <w:szCs w:val="20"/>
              </w:rPr>
            </w:pPr>
            <w:r w:rsidRPr="00DE4837">
              <w:rPr>
                <w:rFonts w:ascii="Arial Narrow" w:hAnsi="Arial Narrow"/>
                <w:sz w:val="20"/>
                <w:szCs w:val="20"/>
              </w:rPr>
              <w:t xml:space="preserve">OCLURANDOM </w:t>
            </w:r>
            <w:r>
              <w:rPr>
                <w:rFonts w:ascii="Arial Narrow" w:hAnsi="Arial Narrow"/>
                <w:sz w:val="20"/>
                <w:szCs w:val="20"/>
              </w:rPr>
              <w:fldChar w:fldCharType="begin">
                <w:fldData xml:space="preserve">PEVuZE5vdGU+PENpdGU+PEF1dGhvcj5CYXVkaW48L0F1dGhvcj48WWVhcj4yMDIyPC9ZZWFyPjxS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</w:fldData>
              </w:fldChar>
            </w:r>
            <w:r>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PEVuZE5vdGU+PENpdGU+PEF1dGhvcj5CYXVkaW48L0F1dGhvcj48WWVhcj4yMDIyPC9ZZWFyPjxS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</w:fldData>
              </w:fldChar>
            </w:r>
            <w:r>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(Baudin et al. 2022)</w:t>
            </w:r>
            <w:r>
              <w:rPr>
                <w:rFonts w:ascii="Arial Narrow" w:hAnsi="Arial Narrow"/>
                <w:sz w:val="20"/>
                <w:szCs w:val="20"/>
              </w:rPr>
              <w:fldChar w:fldCharType="end"/>
            </w:r>
          </w:p>
        </w:tc>
        <w:tc>
          <w:tcPr>
            <w:tcW w:w="1134" w:type="dxa"/>
            <w:shd w:val="clear" w:color="auto" w:fill="FFE599" w:themeFill="accent4" w:themeFillTint="66"/>
            <w:noWrap/>
            <w:hideMark/>
          </w:tcPr>
          <w:p w14:paraId="48E04640" w14:textId="77777777" w:rsidR="0054577D" w:rsidRPr="00DE4837" w:rsidRDefault="0054577D">
            <w:pPr>
              <w:rPr>
                <w:rFonts w:ascii="Arial Narrow" w:hAnsi="Arial Narrow"/>
                <w:sz w:val="20"/>
                <w:szCs w:val="20"/>
              </w:rPr>
            </w:pPr>
            <w:r w:rsidRPr="00DE4837">
              <w:rPr>
                <w:rFonts w:ascii="Arial Narrow" w:hAnsi="Arial Narrow"/>
                <w:sz w:val="20"/>
                <w:szCs w:val="20"/>
              </w:rPr>
              <w:t>Unclear</w:t>
            </w:r>
          </w:p>
        </w:tc>
        <w:tc>
          <w:tcPr>
            <w:tcW w:w="1276" w:type="dxa"/>
            <w:shd w:val="clear" w:color="auto" w:fill="FFE599" w:themeFill="accent4" w:themeFillTint="66"/>
            <w:noWrap/>
            <w:hideMark/>
          </w:tcPr>
          <w:p w14:paraId="5EF3F27E" w14:textId="77777777" w:rsidR="0054577D" w:rsidRPr="00DE4837" w:rsidRDefault="0054577D">
            <w:pPr>
              <w:rPr>
                <w:rFonts w:ascii="Arial Narrow" w:hAnsi="Arial Narrow"/>
                <w:sz w:val="20"/>
                <w:szCs w:val="20"/>
              </w:rPr>
            </w:pPr>
            <w:r w:rsidRPr="00DE4837">
              <w:rPr>
                <w:rFonts w:ascii="Arial Narrow" w:hAnsi="Arial Narrow"/>
                <w:sz w:val="20"/>
                <w:szCs w:val="20"/>
              </w:rPr>
              <w:t>Unclear</w:t>
            </w:r>
          </w:p>
        </w:tc>
        <w:tc>
          <w:tcPr>
            <w:tcW w:w="1134" w:type="dxa"/>
            <w:shd w:val="clear" w:color="auto" w:fill="C5E0B3" w:themeFill="accent6" w:themeFillTint="66"/>
            <w:noWrap/>
            <w:hideMark/>
          </w:tcPr>
          <w:p w14:paraId="4FAAC588" w14:textId="77777777" w:rsidR="0054577D" w:rsidRPr="00DE4837" w:rsidRDefault="0054577D">
            <w:pPr>
              <w:rPr>
                <w:rFonts w:ascii="Arial Narrow" w:hAnsi="Arial Narrow"/>
                <w:sz w:val="20"/>
                <w:szCs w:val="20"/>
              </w:rPr>
            </w:pPr>
            <w:r w:rsidRPr="00DE4837">
              <w:rPr>
                <w:rFonts w:ascii="Arial Narrow" w:hAnsi="Arial Narrow"/>
                <w:sz w:val="20"/>
                <w:szCs w:val="20"/>
              </w:rPr>
              <w:t>Low</w:t>
            </w:r>
          </w:p>
        </w:tc>
        <w:tc>
          <w:tcPr>
            <w:tcW w:w="1276" w:type="dxa"/>
            <w:shd w:val="clear" w:color="auto" w:fill="FFE599" w:themeFill="accent4" w:themeFillTint="66"/>
            <w:noWrap/>
            <w:hideMark/>
          </w:tcPr>
          <w:p w14:paraId="6568D29D" w14:textId="77777777" w:rsidR="0054577D" w:rsidRPr="00DE4837" w:rsidRDefault="0054577D">
            <w:pPr>
              <w:rPr>
                <w:rFonts w:ascii="Arial Narrow" w:hAnsi="Arial Narrow"/>
                <w:sz w:val="20"/>
                <w:szCs w:val="20"/>
              </w:rPr>
            </w:pPr>
            <w:r w:rsidRPr="00DE4837">
              <w:rPr>
                <w:rFonts w:ascii="Arial Narrow" w:hAnsi="Arial Narrow"/>
                <w:sz w:val="20"/>
                <w:szCs w:val="20"/>
              </w:rPr>
              <w:t>Unclear</w:t>
            </w:r>
          </w:p>
        </w:tc>
        <w:tc>
          <w:tcPr>
            <w:tcW w:w="992" w:type="dxa"/>
            <w:shd w:val="clear" w:color="auto" w:fill="FFE599" w:themeFill="accent4" w:themeFillTint="66"/>
            <w:noWrap/>
            <w:hideMark/>
          </w:tcPr>
          <w:p w14:paraId="0164B392" w14:textId="77777777" w:rsidR="0054577D" w:rsidRPr="00DE4837" w:rsidRDefault="0054577D">
            <w:pPr>
              <w:rPr>
                <w:rFonts w:ascii="Arial Narrow" w:hAnsi="Arial Narrow"/>
                <w:sz w:val="20"/>
                <w:szCs w:val="20"/>
              </w:rPr>
            </w:pPr>
            <w:r w:rsidRPr="00DE4837">
              <w:rPr>
                <w:rFonts w:ascii="Arial Narrow" w:hAnsi="Arial Narrow"/>
                <w:sz w:val="20"/>
                <w:szCs w:val="20"/>
              </w:rPr>
              <w:t>Unclear</w:t>
            </w:r>
          </w:p>
        </w:tc>
        <w:tc>
          <w:tcPr>
            <w:tcW w:w="941" w:type="dxa"/>
            <w:shd w:val="clear" w:color="auto" w:fill="FF9966"/>
            <w:noWrap/>
            <w:hideMark/>
          </w:tcPr>
          <w:p w14:paraId="0F49960C" w14:textId="77777777" w:rsidR="0054577D" w:rsidRPr="00DE4837" w:rsidRDefault="0054577D">
            <w:pPr>
              <w:rPr>
                <w:rFonts w:ascii="Arial Narrow" w:hAnsi="Arial Narrow"/>
                <w:b/>
                <w:sz w:val="20"/>
                <w:szCs w:val="20"/>
              </w:rPr>
            </w:pPr>
            <w:r w:rsidRPr="00DE4837">
              <w:rPr>
                <w:rFonts w:ascii="Arial Narrow" w:hAnsi="Arial Narrow"/>
                <w:b/>
                <w:sz w:val="20"/>
                <w:szCs w:val="20"/>
              </w:rPr>
              <w:t>High</w:t>
            </w:r>
          </w:p>
        </w:tc>
      </w:tr>
    </w:tbl>
    <w:p w14:paraId="675FA2C0" w14:textId="6B2F05E2" w:rsidR="007B56C8" w:rsidRDefault="0054577D" w:rsidP="00994611">
      <w:pPr>
        <w:pStyle w:val="Tablenotes0"/>
      </w:pPr>
      <w:r>
        <w:t xml:space="preserve">Source: </w:t>
      </w:r>
      <w:r w:rsidR="00586B6E">
        <w:t>Co</w:t>
      </w:r>
      <w:r w:rsidR="002E79EC">
        <w:t xml:space="preserve">mpiled by </w:t>
      </w:r>
      <w:r w:rsidR="0033479C">
        <w:t xml:space="preserve">department from </w:t>
      </w:r>
      <w:r>
        <w:t xml:space="preserve">Table 81, </w:t>
      </w:r>
      <w:r w:rsidR="008F6F26">
        <w:t>p211 of the DCAR</w:t>
      </w:r>
    </w:p>
    <w:p w14:paraId="1415A789" w14:textId="29497D2F" w:rsidR="00E207A4" w:rsidRDefault="00E207A4" w:rsidP="00F63E9D">
      <w:pPr>
        <w:rPr>
          <w:bCs/>
        </w:rPr>
      </w:pPr>
      <w:r w:rsidRPr="00575C3C">
        <w:rPr>
          <w:bCs/>
        </w:rPr>
        <w:t>In NETTER-1 the median</w:t>
      </w:r>
      <w:r>
        <w:rPr>
          <w:bCs/>
        </w:rPr>
        <w:t xml:space="preserve"> OS</w:t>
      </w:r>
      <w:r w:rsidRPr="00575C3C">
        <w:rPr>
          <w:bCs/>
        </w:rPr>
        <w:t xml:space="preserve"> was </w:t>
      </w:r>
      <w:r>
        <w:rPr>
          <w:bCs/>
        </w:rPr>
        <w:t>48.0 months (95% CI: 37.4 to 55.2)</w:t>
      </w:r>
      <w:r w:rsidRPr="00575C3C">
        <w:rPr>
          <w:bCs/>
        </w:rPr>
        <w:t xml:space="preserve"> </w:t>
      </w:r>
      <w:r w:rsidR="0014524C">
        <w:rPr>
          <w:bCs/>
        </w:rPr>
        <w:t>for the</w:t>
      </w:r>
      <w:r w:rsidRPr="00575C3C">
        <w:rPr>
          <w:bCs/>
        </w:rPr>
        <w:t xml:space="preserve"> </w:t>
      </w:r>
      <w:r w:rsidRPr="001345FE">
        <w:rPr>
          <w:vertAlign w:val="superscript"/>
        </w:rPr>
        <w:t>177</w:t>
      </w:r>
      <w:r w:rsidRPr="001345FE">
        <w:t>Lu-DOTATATE</w:t>
      </w:r>
      <w:r w:rsidRPr="00575C3C">
        <w:rPr>
          <w:bCs/>
        </w:rPr>
        <w:t xml:space="preserve"> </w:t>
      </w:r>
      <w:r w:rsidR="0014524C">
        <w:t>group</w:t>
      </w:r>
      <w:r w:rsidRPr="00575C3C">
        <w:rPr>
          <w:bCs/>
        </w:rPr>
        <w:t xml:space="preserve"> </w:t>
      </w:r>
      <w:r>
        <w:rPr>
          <w:bCs/>
        </w:rPr>
        <w:t xml:space="preserve">and 36.3 </w:t>
      </w:r>
      <w:r w:rsidRPr="00575C3C">
        <w:rPr>
          <w:bCs/>
        </w:rPr>
        <w:t>months (</w:t>
      </w:r>
      <w:r>
        <w:rPr>
          <w:bCs/>
        </w:rPr>
        <w:t>95% CI</w:t>
      </w:r>
      <w:r w:rsidRPr="00575C3C">
        <w:rPr>
          <w:bCs/>
        </w:rPr>
        <w:t xml:space="preserve">: </w:t>
      </w:r>
      <w:r>
        <w:rPr>
          <w:bCs/>
        </w:rPr>
        <w:t>25.9</w:t>
      </w:r>
      <w:r w:rsidRPr="00575C3C">
        <w:rPr>
          <w:bCs/>
        </w:rPr>
        <w:t xml:space="preserve"> to </w:t>
      </w:r>
      <w:r>
        <w:rPr>
          <w:bCs/>
        </w:rPr>
        <w:t>51.7</w:t>
      </w:r>
      <w:r w:rsidRPr="00575C3C">
        <w:rPr>
          <w:bCs/>
        </w:rPr>
        <w:t>)</w:t>
      </w:r>
      <w:r>
        <w:rPr>
          <w:bCs/>
        </w:rPr>
        <w:t xml:space="preserve"> </w:t>
      </w:r>
      <w:r w:rsidR="0014524C">
        <w:rPr>
          <w:bCs/>
        </w:rPr>
        <w:t>for the</w:t>
      </w:r>
      <w:r>
        <w:rPr>
          <w:bCs/>
        </w:rPr>
        <w:t xml:space="preserve"> octreotide</w:t>
      </w:r>
      <w:r w:rsidR="0014524C">
        <w:rPr>
          <w:bCs/>
        </w:rPr>
        <w:t xml:space="preserve"> group</w:t>
      </w:r>
      <w:r w:rsidR="0028775D">
        <w:rPr>
          <w:bCs/>
        </w:rPr>
        <w:t xml:space="preserve"> (control group)</w:t>
      </w:r>
      <w:r>
        <w:rPr>
          <w:bCs/>
        </w:rPr>
        <w:t>, with an HR of</w:t>
      </w:r>
      <w:r w:rsidRPr="00575C3C">
        <w:rPr>
          <w:bCs/>
        </w:rPr>
        <w:t xml:space="preserve"> 0.</w:t>
      </w:r>
      <w:r>
        <w:rPr>
          <w:bCs/>
        </w:rPr>
        <w:t>84</w:t>
      </w:r>
      <w:r w:rsidRPr="00575C3C">
        <w:rPr>
          <w:bCs/>
        </w:rPr>
        <w:t xml:space="preserve"> (95% CI: 0.</w:t>
      </w:r>
      <w:r>
        <w:rPr>
          <w:bCs/>
        </w:rPr>
        <w:t>60 to</w:t>
      </w:r>
      <w:r w:rsidRPr="00575C3C">
        <w:rPr>
          <w:bCs/>
        </w:rPr>
        <w:t xml:space="preserve"> </w:t>
      </w:r>
      <w:r>
        <w:rPr>
          <w:bCs/>
        </w:rPr>
        <w:t>1.17</w:t>
      </w:r>
      <w:r w:rsidRPr="00575C3C">
        <w:rPr>
          <w:bCs/>
        </w:rPr>
        <w:t>)</w:t>
      </w:r>
      <w:r>
        <w:rPr>
          <w:bCs/>
        </w:rPr>
        <w:t>, indicating a numerical but non-significant benefit</w:t>
      </w:r>
      <w:r w:rsidR="00044730">
        <w:rPr>
          <w:bCs/>
        </w:rPr>
        <w:t xml:space="preserve"> (</w:t>
      </w:r>
      <w:r w:rsidR="00044730">
        <w:rPr>
          <w:bCs/>
        </w:rPr>
        <w:fldChar w:fldCharType="begin"/>
      </w:r>
      <w:r w:rsidR="00044730">
        <w:rPr>
          <w:bCs/>
        </w:rPr>
        <w:instrText xml:space="preserve"> REF _Ref170134149 \h </w:instrText>
      </w:r>
      <w:r w:rsidR="00044730">
        <w:rPr>
          <w:bCs/>
        </w:rPr>
      </w:r>
      <w:r w:rsidR="00044730">
        <w:rPr>
          <w:bCs/>
        </w:rPr>
        <w:fldChar w:fldCharType="separate"/>
      </w:r>
      <w:r w:rsidR="00044730">
        <w:t xml:space="preserve">Figure </w:t>
      </w:r>
      <w:r w:rsidR="00044730">
        <w:rPr>
          <w:noProof/>
        </w:rPr>
        <w:t>4</w:t>
      </w:r>
      <w:r w:rsidR="00044730">
        <w:rPr>
          <w:bCs/>
        </w:rPr>
        <w:fldChar w:fldCharType="end"/>
      </w:r>
      <w:r w:rsidR="00044730">
        <w:rPr>
          <w:bCs/>
        </w:rPr>
        <w:t>).</w:t>
      </w:r>
    </w:p>
    <w:p w14:paraId="5D1B6FAB" w14:textId="42FD40C5" w:rsidR="003834B9" w:rsidRDefault="003834B9" w:rsidP="003834B9">
      <w:pPr>
        <w:pStyle w:val="Caption"/>
      </w:pPr>
      <w:bookmarkStart w:id="70" w:name="_Ref170134149"/>
      <w:r>
        <w:lastRenderedPageBreak/>
        <w:t xml:space="preserve">Figure </w:t>
      </w:r>
      <w:r>
        <w:fldChar w:fldCharType="begin"/>
      </w:r>
      <w:r>
        <w:instrText xml:space="preserve"> SEQ Figure \* ARABIC </w:instrText>
      </w:r>
      <w:r>
        <w:fldChar w:fldCharType="separate"/>
      </w:r>
      <w:r w:rsidR="009C6F88">
        <w:rPr>
          <w:noProof/>
        </w:rPr>
        <w:t>4</w:t>
      </w:r>
      <w:r>
        <w:rPr>
          <w:noProof/>
        </w:rPr>
        <w:fldChar w:fldCharType="end"/>
      </w:r>
      <w:bookmarkEnd w:id="70"/>
      <w:r>
        <w:tab/>
        <w:t>Overall survival</w:t>
      </w:r>
      <w:r w:rsidR="008B3415">
        <w:t xml:space="preserve"> </w:t>
      </w:r>
      <w:r w:rsidR="00F3797D">
        <w:t>–</w:t>
      </w:r>
      <w:r>
        <w:t xml:space="preserve"> NETTER-1</w:t>
      </w:r>
    </w:p>
    <w:p w14:paraId="3FD77105" w14:textId="57919567" w:rsidR="008109D3" w:rsidRPr="00994611" w:rsidRDefault="00FB59FA" w:rsidP="00994611">
      <w:pPr>
        <w:pStyle w:val="Tablenotes"/>
        <w:keepNext/>
        <w:rPr>
          <w:rStyle w:val="TablenotesChar"/>
          <w:snapToGrid w:val="0"/>
        </w:rPr>
      </w:pPr>
      <w:r>
        <w:rPr>
          <w:noProof/>
        </w:rPr>
        <w:drawing>
          <wp:inline distT="0" distB="0" distL="0" distR="0" wp14:anchorId="0742B0B0" wp14:editId="50178ACF">
            <wp:extent cx="5731510" cy="3320415"/>
            <wp:effectExtent l="0" t="0" r="2540" b="0"/>
            <wp:docPr id="4" name="Picture 4" descr="Overall survival – NE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verall survival – NETTER-1"/>
                    <pic:cNvPicPr/>
                  </pic:nvPicPr>
                  <pic:blipFill>
                    <a:blip r:embed="rId13"/>
                    <a:stretch>
                      <a:fillRect/>
                    </a:stretch>
                  </pic:blipFill>
                  <pic:spPr>
                    <a:xfrm>
                      <a:off x="0" y="0"/>
                      <a:ext cx="5731510" cy="3320415"/>
                    </a:xfrm>
                    <a:prstGeom prst="rect">
                      <a:avLst/>
                    </a:prstGeom>
                  </pic:spPr>
                </pic:pic>
              </a:graphicData>
            </a:graphic>
          </wp:inline>
        </w:drawing>
      </w:r>
    </w:p>
    <w:p w14:paraId="39D58A33" w14:textId="18936B75" w:rsidR="009A7A21" w:rsidRPr="00994611" w:rsidRDefault="009A7A21" w:rsidP="0050733E">
      <w:pPr>
        <w:pStyle w:val="Tablenotes"/>
        <w:rPr>
          <w:rStyle w:val="TablenotesChar"/>
          <w:snapToGrid w:val="0"/>
        </w:rPr>
      </w:pPr>
      <w:r w:rsidRPr="00994611">
        <w:rPr>
          <w:rStyle w:val="TablenotesChar"/>
          <w:snapToGrid w:val="0"/>
        </w:rPr>
        <w:t xml:space="preserve">Source: </w:t>
      </w:r>
      <w:r w:rsidR="00D30FFE">
        <w:rPr>
          <w:rStyle w:val="TablenotesChar"/>
          <w:snapToGrid w:val="0"/>
        </w:rPr>
        <w:t xml:space="preserve">Compiled by department from </w:t>
      </w:r>
      <w:r w:rsidRPr="00994611">
        <w:rPr>
          <w:rStyle w:val="TablenotesChar"/>
          <w:snapToGrid w:val="0"/>
        </w:rPr>
        <w:t xml:space="preserve">Figure 2, p1757 of </w:t>
      </w:r>
      <w:proofErr w:type="spellStart"/>
      <w:r w:rsidRPr="00994611">
        <w:rPr>
          <w:rStyle w:val="TablenotesChar"/>
          <w:snapToGrid w:val="0"/>
        </w:rPr>
        <w:t>Str</w:t>
      </w:r>
      <w:r w:rsidR="0037251E" w:rsidRPr="00994611">
        <w:rPr>
          <w:rStyle w:val="TablenotesChar"/>
          <w:snapToGrid w:val="0"/>
        </w:rPr>
        <w:t>osberg</w:t>
      </w:r>
      <w:proofErr w:type="spellEnd"/>
      <w:r w:rsidR="0037251E" w:rsidRPr="00994611">
        <w:rPr>
          <w:rStyle w:val="TablenotesChar"/>
          <w:snapToGrid w:val="0"/>
        </w:rPr>
        <w:t xml:space="preserve"> 2021</w:t>
      </w:r>
    </w:p>
    <w:p w14:paraId="4911ED9D" w14:textId="3FD8BC6D" w:rsidR="00E46A01" w:rsidRPr="0050733E" w:rsidRDefault="00E46A01" w:rsidP="0050733E">
      <w:pPr>
        <w:pStyle w:val="Tablenotes"/>
      </w:pPr>
      <w:r w:rsidRPr="0050733E">
        <w:t>Abbreviations:</w:t>
      </w:r>
      <w:r w:rsidR="00D13842" w:rsidRPr="0050733E">
        <w:t xml:space="preserve"> HR = hazard ratio</w:t>
      </w:r>
    </w:p>
    <w:p w14:paraId="09A58D77" w14:textId="351CCA05" w:rsidR="001F3BE8" w:rsidRPr="000B228E" w:rsidRDefault="00514B71" w:rsidP="0050733E">
      <w:pPr>
        <w:pStyle w:val="Tablenotes"/>
        <w:spacing w:after="240"/>
      </w:pPr>
      <w:r w:rsidRPr="0050733E">
        <w:t xml:space="preserve">Note Kaplan-Meier analysis of overall survival in intention-to-treat population. Crosses and circles represent patients who are </w:t>
      </w:r>
      <w:proofErr w:type="gramStart"/>
      <w:r w:rsidRPr="0050733E">
        <w:t>censored</w:t>
      </w:r>
      <w:proofErr w:type="gramEnd"/>
    </w:p>
    <w:p w14:paraId="46F596ED" w14:textId="0545115D" w:rsidR="00B93599" w:rsidRDefault="003A4047" w:rsidP="00994611">
      <w:pPr>
        <w:pStyle w:val="NormalBeforeBullet"/>
      </w:pPr>
      <w:r>
        <w:rPr>
          <w:rFonts w:ascii="Franklin Gothic Book" w:hAnsi="Franklin Gothic Book"/>
        </w:rPr>
        <w:t>The authors of NETTER-1</w:t>
      </w:r>
      <w:r w:rsidR="00637378">
        <w:rPr>
          <w:rFonts w:ascii="Franklin Gothic Book" w:hAnsi="Franklin Gothic Book"/>
        </w:rPr>
        <w:t xml:space="preserve"> noted that d</w:t>
      </w:r>
      <w:r w:rsidRPr="00994611">
        <w:rPr>
          <w:rFonts w:ascii="Franklin Gothic Book" w:hAnsi="Franklin Gothic Book"/>
        </w:rPr>
        <w:t>uring long</w:t>
      </w:r>
      <w:r w:rsidR="002C6816">
        <w:rPr>
          <w:rFonts w:ascii="Franklin Gothic Book" w:hAnsi="Franklin Gothic Book"/>
        </w:rPr>
        <w:t>-</w:t>
      </w:r>
      <w:r w:rsidRPr="00994611">
        <w:rPr>
          <w:rFonts w:ascii="Franklin Gothic Book" w:hAnsi="Franklin Gothic Book"/>
        </w:rPr>
        <w:t>term follow</w:t>
      </w:r>
      <w:r w:rsidR="002C6816">
        <w:rPr>
          <w:rFonts w:ascii="Franklin Gothic Book" w:hAnsi="Franklin Gothic Book"/>
        </w:rPr>
        <w:t>-</w:t>
      </w:r>
      <w:r w:rsidRPr="00994611">
        <w:rPr>
          <w:rFonts w:ascii="Franklin Gothic Book" w:hAnsi="Franklin Gothic Book"/>
        </w:rPr>
        <w:t xml:space="preserve">up, 14 (12%) of 117 patients in the </w:t>
      </w:r>
      <w:r w:rsidR="00211E85">
        <w:rPr>
          <w:rFonts w:ascii="Franklin Gothic Book" w:hAnsi="Franklin Gothic Book"/>
          <w:vertAlign w:val="superscript"/>
        </w:rPr>
        <w:t>177</w:t>
      </w:r>
      <w:r w:rsidRPr="00994611">
        <w:rPr>
          <w:rFonts w:ascii="Franklin Gothic Book" w:hAnsi="Franklin Gothic Book"/>
        </w:rPr>
        <w:t>Lu</w:t>
      </w:r>
      <w:r w:rsidR="00211E85">
        <w:rPr>
          <w:rFonts w:ascii="Franklin Gothic Book" w:hAnsi="Franklin Gothic Book"/>
        </w:rPr>
        <w:t> </w:t>
      </w:r>
      <w:proofErr w:type="spellStart"/>
      <w:r w:rsidRPr="00994611">
        <w:rPr>
          <w:rFonts w:ascii="Franklin Gothic Book" w:hAnsi="Franklin Gothic Book"/>
        </w:rPr>
        <w:t>Dotatate</w:t>
      </w:r>
      <w:proofErr w:type="spellEnd"/>
      <w:r w:rsidRPr="00994611">
        <w:rPr>
          <w:rFonts w:ascii="Franklin Gothic Book" w:hAnsi="Franklin Gothic Book"/>
        </w:rPr>
        <w:t xml:space="preserve"> group received further treatment with PRRT. Among these 14 patients, eight were treated further with additional cycles of </w:t>
      </w:r>
      <w:r w:rsidR="00457EFA">
        <w:rPr>
          <w:rFonts w:ascii="Franklin Gothic Book" w:hAnsi="Franklin Gothic Book"/>
          <w:vertAlign w:val="superscript"/>
        </w:rPr>
        <w:t>177</w:t>
      </w:r>
      <w:r w:rsidRPr="00994611">
        <w:rPr>
          <w:rFonts w:ascii="Franklin Gothic Book" w:hAnsi="Franklin Gothic Book"/>
        </w:rPr>
        <w:t xml:space="preserve">LuDotatate (the other six patients received </w:t>
      </w:r>
      <w:r w:rsidR="00457EFA">
        <w:rPr>
          <w:rFonts w:ascii="Franklin Gothic Book" w:hAnsi="Franklin Gothic Book"/>
          <w:vertAlign w:val="superscript"/>
        </w:rPr>
        <w:t>17</w:t>
      </w:r>
      <w:r w:rsidRPr="00994611">
        <w:rPr>
          <w:rFonts w:ascii="Franklin Gothic Book" w:hAnsi="Franklin Gothic Book"/>
        </w:rPr>
        <w:t xml:space="preserve">LuDotatoc or </w:t>
      </w:r>
      <w:r w:rsidRPr="003A4047">
        <w:rPr>
          <w:rFonts w:ascii="Arial" w:hAnsi="Arial" w:cs="Arial"/>
        </w:rPr>
        <w:t>⁹⁰</w:t>
      </w:r>
      <w:proofErr w:type="spellStart"/>
      <w:r w:rsidRPr="00994611">
        <w:rPr>
          <w:rFonts w:ascii="Franklin Gothic Book" w:hAnsi="Franklin Gothic Book"/>
        </w:rPr>
        <w:t>YDotatoc</w:t>
      </w:r>
      <w:proofErr w:type="spellEnd"/>
      <w:r w:rsidRPr="00994611">
        <w:rPr>
          <w:rFonts w:ascii="Franklin Gothic Book" w:hAnsi="Franklin Gothic Book"/>
        </w:rPr>
        <w:t xml:space="preserve">). In the </w:t>
      </w:r>
      <w:r w:rsidR="001732EE">
        <w:rPr>
          <w:rFonts w:ascii="Franklin Gothic Book" w:hAnsi="Franklin Gothic Book"/>
        </w:rPr>
        <w:t>octreotide</w:t>
      </w:r>
      <w:r w:rsidRPr="00994611">
        <w:rPr>
          <w:rFonts w:ascii="Franklin Gothic Book" w:hAnsi="Franklin Gothic Book"/>
        </w:rPr>
        <w:t xml:space="preserve"> group, 41 (36%) of 114 patients had documented crossover to PRRT. Around a quarter of patients in the control group (26 [23%] of 114 patients) crossed over within 24 months of randomisation. </w:t>
      </w:r>
      <w:r w:rsidR="00E61139">
        <w:rPr>
          <w:rFonts w:ascii="Franklin Gothic Book" w:hAnsi="Franklin Gothic Book"/>
        </w:rPr>
        <w:t xml:space="preserve">A total of </w:t>
      </w:r>
      <w:r w:rsidRPr="00994611">
        <w:rPr>
          <w:rFonts w:ascii="Franklin Gothic Book" w:hAnsi="Franklin Gothic Book"/>
        </w:rPr>
        <w:t>36 (32%) of 114 patients specifically received ¹</w:t>
      </w:r>
      <w:r w:rsidRPr="003A4047">
        <w:rPr>
          <w:rFonts w:ascii="Arial" w:hAnsi="Arial" w:cs="Arial"/>
        </w:rPr>
        <w:t>⁷⁷</w:t>
      </w:r>
      <w:proofErr w:type="spellStart"/>
      <w:r w:rsidRPr="00994611">
        <w:rPr>
          <w:rFonts w:ascii="Franklin Gothic Book" w:hAnsi="Franklin Gothic Book"/>
        </w:rPr>
        <w:t>LuDotatate</w:t>
      </w:r>
      <w:proofErr w:type="spellEnd"/>
      <w:r w:rsidRPr="00994611">
        <w:rPr>
          <w:rFonts w:ascii="Franklin Gothic Book" w:hAnsi="Franklin Gothic Book"/>
        </w:rPr>
        <w:t xml:space="preserve"> (the other five patients received ¹</w:t>
      </w:r>
      <w:r w:rsidRPr="003A4047">
        <w:rPr>
          <w:rFonts w:ascii="Arial" w:hAnsi="Arial" w:cs="Arial"/>
        </w:rPr>
        <w:t>⁷⁷</w:t>
      </w:r>
      <w:proofErr w:type="spellStart"/>
      <w:r w:rsidRPr="00994611">
        <w:rPr>
          <w:rFonts w:ascii="Franklin Gothic Book" w:hAnsi="Franklin Gothic Book"/>
        </w:rPr>
        <w:t>LuDotanoc</w:t>
      </w:r>
      <w:proofErr w:type="spellEnd"/>
      <w:r w:rsidRPr="00994611">
        <w:rPr>
          <w:rFonts w:ascii="Franklin Gothic Book" w:hAnsi="Franklin Gothic Book"/>
        </w:rPr>
        <w:t xml:space="preserve">, </w:t>
      </w:r>
      <w:r w:rsidRPr="003A4047">
        <w:rPr>
          <w:rFonts w:ascii="Arial" w:hAnsi="Arial" w:cs="Arial"/>
        </w:rPr>
        <w:t>⁹⁰</w:t>
      </w:r>
      <w:proofErr w:type="spellStart"/>
      <w:r w:rsidRPr="00994611">
        <w:rPr>
          <w:rFonts w:ascii="Franklin Gothic Book" w:hAnsi="Franklin Gothic Book"/>
        </w:rPr>
        <w:t>YDotanoc</w:t>
      </w:r>
      <w:proofErr w:type="spellEnd"/>
      <w:r w:rsidRPr="00994611">
        <w:rPr>
          <w:rFonts w:ascii="Franklin Gothic Book" w:hAnsi="Franklin Gothic Book"/>
        </w:rPr>
        <w:t xml:space="preserve">, </w:t>
      </w:r>
      <w:r w:rsidRPr="003A4047">
        <w:rPr>
          <w:rFonts w:ascii="Arial" w:hAnsi="Arial" w:cs="Arial"/>
        </w:rPr>
        <w:t>⁹⁰</w:t>
      </w:r>
      <w:proofErr w:type="spellStart"/>
      <w:r w:rsidRPr="00994611">
        <w:rPr>
          <w:rFonts w:ascii="Franklin Gothic Book" w:hAnsi="Franklin Gothic Book"/>
        </w:rPr>
        <w:t>YDotatoc</w:t>
      </w:r>
      <w:proofErr w:type="spellEnd"/>
      <w:r w:rsidRPr="00994611">
        <w:rPr>
          <w:rFonts w:ascii="Franklin Gothic Book" w:hAnsi="Franklin Gothic Book"/>
        </w:rPr>
        <w:t xml:space="preserve">, or </w:t>
      </w:r>
      <w:r w:rsidRPr="003A4047">
        <w:rPr>
          <w:rFonts w:ascii="Arial" w:hAnsi="Arial" w:cs="Arial"/>
        </w:rPr>
        <w:t>⁹⁰</w:t>
      </w:r>
      <w:proofErr w:type="spellStart"/>
      <w:r w:rsidRPr="00994611">
        <w:rPr>
          <w:rFonts w:ascii="Franklin Gothic Book" w:hAnsi="Franklin Gothic Book"/>
        </w:rPr>
        <w:t>YDotatate</w:t>
      </w:r>
      <w:proofErr w:type="spellEnd"/>
      <w:r w:rsidRPr="00994611">
        <w:rPr>
          <w:rFonts w:ascii="Franklin Gothic Book" w:hAnsi="Franklin Gothic Book"/>
        </w:rPr>
        <w:t>). During long</w:t>
      </w:r>
      <w:r w:rsidR="00BF4D20">
        <w:rPr>
          <w:rFonts w:ascii="Franklin Gothic Book" w:hAnsi="Franklin Gothic Book"/>
        </w:rPr>
        <w:t>-</w:t>
      </w:r>
      <w:r w:rsidRPr="00994611">
        <w:rPr>
          <w:rFonts w:ascii="Franklin Gothic Book" w:hAnsi="Franklin Gothic Book"/>
        </w:rPr>
        <w:t xml:space="preserve">term follow up, 55 (24%) of 231 patients in both groups were documented as receiving other antineoplastic agents, including everolimus in 17 (15%) of 117 patients in the </w:t>
      </w:r>
      <w:r w:rsidR="00BF4D20">
        <w:rPr>
          <w:rFonts w:ascii="Franklin Gothic Book" w:hAnsi="Franklin Gothic Book"/>
          <w:vertAlign w:val="superscript"/>
        </w:rPr>
        <w:t>177</w:t>
      </w:r>
      <w:r w:rsidRPr="00994611">
        <w:rPr>
          <w:rFonts w:ascii="Franklin Gothic Book" w:hAnsi="Franklin Gothic Book"/>
        </w:rPr>
        <w:t>Lu</w:t>
      </w:r>
      <w:r w:rsidR="00BF4D20">
        <w:rPr>
          <w:rFonts w:ascii="Franklin Gothic Book" w:hAnsi="Franklin Gothic Book"/>
        </w:rPr>
        <w:t> </w:t>
      </w:r>
      <w:proofErr w:type="spellStart"/>
      <w:r w:rsidRPr="00994611">
        <w:rPr>
          <w:rFonts w:ascii="Franklin Gothic Book" w:hAnsi="Franklin Gothic Book"/>
        </w:rPr>
        <w:t>Dotatate</w:t>
      </w:r>
      <w:proofErr w:type="spellEnd"/>
      <w:r w:rsidRPr="00994611">
        <w:rPr>
          <w:rFonts w:ascii="Franklin Gothic Book" w:hAnsi="Franklin Gothic Book"/>
        </w:rPr>
        <w:t xml:space="preserve"> group and 20 (18%) of 114 patients in the control group</w:t>
      </w:r>
      <w:r w:rsidR="009204F3">
        <w:rPr>
          <w:rFonts w:ascii="Franklin Gothic Book" w:hAnsi="Franklin Gothic Book"/>
        </w:rPr>
        <w:t>.</w:t>
      </w:r>
      <w:r w:rsidR="00F274EA">
        <w:rPr>
          <w:rFonts w:ascii="Franklin Gothic Book" w:hAnsi="Franklin Gothic Book"/>
        </w:rPr>
        <w:t xml:space="preserve"> The results</w:t>
      </w:r>
      <w:r w:rsidR="00ED6880">
        <w:rPr>
          <w:rFonts w:ascii="Franklin Gothic Book" w:hAnsi="Franklin Gothic Book"/>
        </w:rPr>
        <w:t xml:space="preserve"> of a sensitivity </w:t>
      </w:r>
      <w:r w:rsidR="00793059" w:rsidRPr="00793059">
        <w:rPr>
          <w:rFonts w:ascii="Franklin Gothic Book" w:hAnsi="Franklin Gothic Book"/>
        </w:rPr>
        <w:t>analysis using the rank-preserving</w:t>
      </w:r>
      <w:r w:rsidR="00793059">
        <w:rPr>
          <w:rFonts w:ascii="Franklin Gothic Book" w:hAnsi="Franklin Gothic Book"/>
        </w:rPr>
        <w:t xml:space="preserve"> </w:t>
      </w:r>
      <w:r w:rsidR="00793059" w:rsidRPr="00793059">
        <w:rPr>
          <w:rFonts w:ascii="Franklin Gothic Book" w:hAnsi="Franklin Gothic Book"/>
        </w:rPr>
        <w:t>structural failure time method, which adjusted survival</w:t>
      </w:r>
      <w:r w:rsidR="00793059">
        <w:rPr>
          <w:rFonts w:ascii="Franklin Gothic Book" w:hAnsi="Franklin Gothic Book"/>
        </w:rPr>
        <w:t xml:space="preserve"> </w:t>
      </w:r>
      <w:r w:rsidR="00793059" w:rsidRPr="00793059">
        <w:rPr>
          <w:rFonts w:ascii="Franklin Gothic Book" w:hAnsi="Franklin Gothic Book"/>
        </w:rPr>
        <w:t>of those patients in the control group who crossed over to</w:t>
      </w:r>
      <w:r w:rsidR="006F5F0D">
        <w:rPr>
          <w:rFonts w:ascii="Franklin Gothic Book" w:hAnsi="Franklin Gothic Book"/>
        </w:rPr>
        <w:t xml:space="preserve"> PRRT</w:t>
      </w:r>
      <w:r w:rsidR="005757A9">
        <w:rPr>
          <w:rFonts w:ascii="Franklin Gothic Book" w:hAnsi="Franklin Gothic Book"/>
        </w:rPr>
        <w:t xml:space="preserve"> is presented in </w:t>
      </w:r>
      <w:r w:rsidR="00A61A43" w:rsidRPr="00A61A43">
        <w:lastRenderedPageBreak/>
        <w:fldChar w:fldCharType="begin"/>
      </w:r>
      <w:r w:rsidR="00A61A43" w:rsidRPr="00A61A43">
        <w:rPr>
          <w:rFonts w:ascii="Franklin Gothic Book" w:hAnsi="Franklin Gothic Book"/>
        </w:rPr>
        <w:instrText xml:space="preserve"> REF _Ref170135235 \h </w:instrText>
      </w:r>
      <w:r w:rsidR="00A61A43">
        <w:rPr>
          <w:rFonts w:ascii="Franklin Gothic Book" w:hAnsi="Franklin Gothic Book"/>
        </w:rPr>
        <w:instrText xml:space="preserve"> \* MERGEFORMAT </w:instrText>
      </w:r>
      <w:r w:rsidR="00A61A43" w:rsidRPr="00A61A43">
        <w:fldChar w:fldCharType="separate"/>
      </w:r>
      <w:r w:rsidR="00A61A43" w:rsidRPr="00994611">
        <w:rPr>
          <w:rFonts w:ascii="Franklin Gothic Book" w:hAnsi="Franklin Gothic Book"/>
        </w:rPr>
        <w:t xml:space="preserve">Figure </w:t>
      </w:r>
      <w:r w:rsidR="00A61A43" w:rsidRPr="00994611">
        <w:rPr>
          <w:rFonts w:ascii="Franklin Gothic Book" w:hAnsi="Franklin Gothic Book"/>
          <w:noProof/>
        </w:rPr>
        <w:t>5</w:t>
      </w:r>
      <w:r w:rsidR="00A61A43" w:rsidRPr="00A61A43">
        <w:fldChar w:fldCharType="end"/>
      </w:r>
      <w:r w:rsidR="00A61A43">
        <w:rPr>
          <w:rFonts w:ascii="Franklin Gothic Book" w:hAnsi="Franklin Gothic Book"/>
        </w:rPr>
        <w:t>.</w:t>
      </w:r>
      <w:r w:rsidR="00F85C5E">
        <w:rPr>
          <w:rFonts w:ascii="Franklin Gothic Book" w:hAnsi="Franklin Gothic Book"/>
        </w:rPr>
        <w:t xml:space="preserve"> Consi</w:t>
      </w:r>
      <w:r w:rsidR="009701E7">
        <w:rPr>
          <w:rFonts w:ascii="Franklin Gothic Book" w:hAnsi="Franklin Gothic Book"/>
        </w:rPr>
        <w:t xml:space="preserve">stent with the </w:t>
      </w:r>
      <w:r w:rsidR="00E32DF1">
        <w:rPr>
          <w:rFonts w:ascii="Franklin Gothic Book" w:hAnsi="Franklin Gothic Book"/>
        </w:rPr>
        <w:t>unadjusted OS results,</w:t>
      </w:r>
      <w:r w:rsidR="009C43ED">
        <w:rPr>
          <w:rFonts w:ascii="Franklin Gothic Book" w:hAnsi="Franklin Gothic Book"/>
        </w:rPr>
        <w:t xml:space="preserve"> </w:t>
      </w:r>
      <w:r w:rsidR="00040422">
        <w:rPr>
          <w:rFonts w:ascii="Franklin Gothic Book" w:hAnsi="Franklin Gothic Book"/>
        </w:rPr>
        <w:t xml:space="preserve">the adjusted </w:t>
      </w:r>
      <w:r w:rsidR="009C43ED">
        <w:rPr>
          <w:rFonts w:ascii="Franklin Gothic Book" w:hAnsi="Franklin Gothic Book"/>
        </w:rPr>
        <w:t>O</w:t>
      </w:r>
      <w:r w:rsidR="00040422">
        <w:rPr>
          <w:rFonts w:ascii="Franklin Gothic Book" w:hAnsi="Franklin Gothic Book"/>
        </w:rPr>
        <w:t xml:space="preserve">S results showed a </w:t>
      </w:r>
      <w:r w:rsidR="00040422" w:rsidRPr="00040422">
        <w:rPr>
          <w:rFonts w:ascii="Franklin Gothic Book" w:hAnsi="Franklin Gothic Book"/>
        </w:rPr>
        <w:t>numerical but non-</w:t>
      </w:r>
      <w:r w:rsidR="00550860">
        <w:rPr>
          <w:rFonts w:ascii="Franklin Gothic Book" w:hAnsi="Franklin Gothic Book"/>
        </w:rPr>
        <w:t xml:space="preserve">statistically </w:t>
      </w:r>
      <w:r w:rsidR="00040422" w:rsidRPr="00040422">
        <w:rPr>
          <w:rFonts w:ascii="Franklin Gothic Book" w:hAnsi="Franklin Gothic Book"/>
        </w:rPr>
        <w:t>significant benefit</w:t>
      </w:r>
      <w:r w:rsidR="00040422">
        <w:rPr>
          <w:rFonts w:ascii="Franklin Gothic Book" w:hAnsi="Franklin Gothic Book"/>
        </w:rPr>
        <w:t>.</w:t>
      </w:r>
    </w:p>
    <w:p w14:paraId="1B52DAD2" w14:textId="65277593" w:rsidR="00391D1F" w:rsidRDefault="00391D1F" w:rsidP="00391D1F">
      <w:pPr>
        <w:pStyle w:val="Caption"/>
      </w:pPr>
      <w:bookmarkStart w:id="71" w:name="_Ref170135235"/>
      <w:r>
        <w:t xml:space="preserve">Figure </w:t>
      </w:r>
      <w:r>
        <w:fldChar w:fldCharType="begin"/>
      </w:r>
      <w:r>
        <w:instrText xml:space="preserve"> SEQ Figure \* ARABIC </w:instrText>
      </w:r>
      <w:r>
        <w:fldChar w:fldCharType="separate"/>
      </w:r>
      <w:r w:rsidR="009C6F88">
        <w:rPr>
          <w:noProof/>
        </w:rPr>
        <w:t>5</w:t>
      </w:r>
      <w:r>
        <w:rPr>
          <w:noProof/>
        </w:rPr>
        <w:fldChar w:fldCharType="end"/>
      </w:r>
      <w:bookmarkEnd w:id="71"/>
      <w:r>
        <w:tab/>
      </w:r>
      <w:r w:rsidR="0058778D">
        <w:t>R</w:t>
      </w:r>
      <w:r w:rsidR="00E9313C">
        <w:t>ank -prese</w:t>
      </w:r>
      <w:r w:rsidR="00CA3406">
        <w:t>rving structured failure time ana</w:t>
      </w:r>
      <w:r w:rsidR="0058778D">
        <w:t>lysis</w:t>
      </w:r>
      <w:r w:rsidR="006B7629">
        <w:t xml:space="preserve"> of overall survival accounting for crossover to any PRRT in control group during long-term follow-up</w:t>
      </w:r>
      <w:r w:rsidR="008B3415">
        <w:t xml:space="preserve"> </w:t>
      </w:r>
      <w:r w:rsidR="00F3797D">
        <w:t>–</w:t>
      </w:r>
      <w:r w:rsidR="00F8193E">
        <w:t xml:space="preserve"> NETTER 1</w:t>
      </w:r>
    </w:p>
    <w:p w14:paraId="6DB5FA66" w14:textId="3331412D" w:rsidR="00391D1F" w:rsidRDefault="00391D1F" w:rsidP="00F63E9D">
      <w:r>
        <w:rPr>
          <w:noProof/>
        </w:rPr>
        <w:drawing>
          <wp:inline distT="0" distB="0" distL="0" distR="0" wp14:anchorId="039E2AED" wp14:editId="6A3D0E61">
            <wp:extent cx="5731510" cy="3282950"/>
            <wp:effectExtent l="0" t="0" r="2540" b="0"/>
            <wp:docPr id="5" name="Picture 5" descr="Rank -preserving structured failure time analysis of overall survival accounting for crossover to any PRRT in control group during long-term follow-up – NET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nk -preserving structured failure time analysis of overall survival accounting for crossover to any PRRT in control group during long-term follow-up – NETTER 1"/>
                    <pic:cNvPicPr/>
                  </pic:nvPicPr>
                  <pic:blipFill>
                    <a:blip r:embed="rId14"/>
                    <a:stretch>
                      <a:fillRect/>
                    </a:stretch>
                  </pic:blipFill>
                  <pic:spPr>
                    <a:xfrm>
                      <a:off x="0" y="0"/>
                      <a:ext cx="5731510" cy="3282950"/>
                    </a:xfrm>
                    <a:prstGeom prst="rect">
                      <a:avLst/>
                    </a:prstGeom>
                  </pic:spPr>
                </pic:pic>
              </a:graphicData>
            </a:graphic>
          </wp:inline>
        </w:drawing>
      </w:r>
    </w:p>
    <w:p w14:paraId="42693035" w14:textId="3AD9A793" w:rsidR="00613136" w:rsidRDefault="00613136" w:rsidP="00613136">
      <w:pPr>
        <w:pStyle w:val="Tablenotes"/>
        <w:rPr>
          <w:rStyle w:val="TablenotesChar"/>
        </w:rPr>
      </w:pPr>
      <w:r>
        <w:rPr>
          <w:rStyle w:val="TablenotesChar"/>
        </w:rPr>
        <w:t xml:space="preserve">Source: </w:t>
      </w:r>
      <w:r w:rsidR="00591E28">
        <w:rPr>
          <w:rStyle w:val="TablenotesChar"/>
          <w:snapToGrid w:val="0"/>
        </w:rPr>
        <w:t xml:space="preserve">Compiled by department from </w:t>
      </w:r>
      <w:r>
        <w:rPr>
          <w:rStyle w:val="TablenotesChar"/>
        </w:rPr>
        <w:t xml:space="preserve">Figure 2, p1757 of </w:t>
      </w:r>
      <w:proofErr w:type="spellStart"/>
      <w:r>
        <w:rPr>
          <w:rStyle w:val="TablenotesChar"/>
        </w:rPr>
        <w:t>Strosberg</w:t>
      </w:r>
      <w:proofErr w:type="spellEnd"/>
      <w:r>
        <w:rPr>
          <w:rStyle w:val="TablenotesChar"/>
        </w:rPr>
        <w:t xml:space="preserve"> 2021</w:t>
      </w:r>
    </w:p>
    <w:p w14:paraId="586B3672" w14:textId="77777777" w:rsidR="00613136" w:rsidRDefault="00613136" w:rsidP="00994611">
      <w:pPr>
        <w:pStyle w:val="Tablenotes"/>
        <w:spacing w:after="240"/>
      </w:pPr>
      <w:r w:rsidRPr="006408BA">
        <w:t>Abbreviations</w:t>
      </w:r>
      <w:r>
        <w:t>: HR = hazard ratio</w:t>
      </w:r>
    </w:p>
    <w:p w14:paraId="081EC21C" w14:textId="35D67845" w:rsidR="00135357" w:rsidRDefault="00135357" w:rsidP="00135357">
      <w:r>
        <w:t xml:space="preserve">In </w:t>
      </w:r>
      <w:r w:rsidRPr="000C6E2D">
        <w:t>NETTER -1</w:t>
      </w:r>
      <w:r>
        <w:t xml:space="preserve"> the median PFS was not reached in the </w:t>
      </w:r>
      <w:r w:rsidRPr="00C905BB">
        <w:rPr>
          <w:vertAlign w:val="superscript"/>
        </w:rPr>
        <w:t>177</w:t>
      </w:r>
      <w:r w:rsidRPr="00961C59">
        <w:t>Lu</w:t>
      </w:r>
      <w:r>
        <w:t xml:space="preserve">-DOTATATE arm, while for patients on octreotide it was </w:t>
      </w:r>
      <w:r w:rsidRPr="00124B9D">
        <w:t>8.</w:t>
      </w:r>
      <w:r>
        <w:t>4</w:t>
      </w:r>
      <w:r w:rsidRPr="00124B9D">
        <w:t xml:space="preserve"> months (</w:t>
      </w:r>
      <w:r>
        <w:t>95% CI</w:t>
      </w:r>
      <w:r w:rsidRPr="00124B9D">
        <w:t xml:space="preserve">: </w:t>
      </w:r>
      <w:r>
        <w:t>5.8</w:t>
      </w:r>
      <w:r w:rsidRPr="00124B9D">
        <w:t xml:space="preserve"> to </w:t>
      </w:r>
      <w:r>
        <w:t>9.1</w:t>
      </w:r>
      <w:r w:rsidRPr="00124B9D">
        <w:t>)</w:t>
      </w:r>
      <w:r>
        <w:t xml:space="preserve">. </w:t>
      </w:r>
      <w:r w:rsidRPr="009D524A">
        <w:t xml:space="preserve">The HR for PFS was 0.21 (95% CI: 0.13 to 0.33), indicating superiority of </w:t>
      </w:r>
      <w:r w:rsidRPr="00994611">
        <w:rPr>
          <w:vertAlign w:val="superscript"/>
        </w:rPr>
        <w:t>177</w:t>
      </w:r>
      <w:r w:rsidRPr="009D524A">
        <w:t xml:space="preserve">Lu-DOTATATE over octreotide. Treatment with </w:t>
      </w:r>
      <w:r w:rsidRPr="00994611">
        <w:rPr>
          <w:vertAlign w:val="superscript"/>
        </w:rPr>
        <w:t>177</w:t>
      </w:r>
      <w:r w:rsidRPr="009D524A">
        <w:t xml:space="preserve">Lu-DOTATATE was also associated with more favourable PFS outcomes than sunitinib. In OCLURANDOM, median PFS was longer in patients treated with </w:t>
      </w:r>
      <w:r w:rsidRPr="00994611">
        <w:rPr>
          <w:vertAlign w:val="superscript"/>
        </w:rPr>
        <w:t>177</w:t>
      </w:r>
      <w:r w:rsidRPr="009D524A">
        <w:t>Lu-DOTATATE (20.7 months; 95% CI: 17.2 to 23.7) compared to sunitinib (11.0 months; 95% CI: 8.8 to 12.4</w:t>
      </w:r>
      <w:r>
        <w:t>).</w:t>
      </w:r>
    </w:p>
    <w:p w14:paraId="5E3B6D3B" w14:textId="6F411CA8" w:rsidR="009C6F88" w:rsidRDefault="009C6F88" w:rsidP="009C6F88">
      <w:pPr>
        <w:pStyle w:val="Caption"/>
      </w:pPr>
      <w:r>
        <w:lastRenderedPageBreak/>
        <w:t xml:space="preserve">Figure </w:t>
      </w:r>
      <w:r>
        <w:fldChar w:fldCharType="begin"/>
      </w:r>
      <w:r>
        <w:instrText xml:space="preserve"> SEQ Figure \* ARABIC </w:instrText>
      </w:r>
      <w:r>
        <w:fldChar w:fldCharType="separate"/>
      </w:r>
      <w:r>
        <w:rPr>
          <w:noProof/>
        </w:rPr>
        <w:t>6</w:t>
      </w:r>
      <w:r>
        <w:rPr>
          <w:noProof/>
        </w:rPr>
        <w:fldChar w:fldCharType="end"/>
      </w:r>
      <w:r>
        <w:tab/>
      </w:r>
      <w:r w:rsidR="004D73A5">
        <w:t>P</w:t>
      </w:r>
      <w:r w:rsidR="00427229">
        <w:t>rogression free survival</w:t>
      </w:r>
      <w:r w:rsidR="004D73A5">
        <w:t xml:space="preserve"> </w:t>
      </w:r>
      <w:r w:rsidR="00C1233A">
        <w:t>–</w:t>
      </w:r>
      <w:r w:rsidR="004D73A5">
        <w:t xml:space="preserve"> </w:t>
      </w:r>
      <w:r w:rsidR="00C1233A">
        <w:t>NETTER-1</w:t>
      </w:r>
    </w:p>
    <w:p w14:paraId="0FCBC7AD" w14:textId="77777777" w:rsidR="00E66546" w:rsidRDefault="00E66546" w:rsidP="00F63E9D">
      <w:r>
        <w:rPr>
          <w:noProof/>
        </w:rPr>
        <w:drawing>
          <wp:inline distT="0" distB="0" distL="0" distR="0" wp14:anchorId="0771EAB7" wp14:editId="17B59B14">
            <wp:extent cx="4421428" cy="3790950"/>
            <wp:effectExtent l="0" t="0" r="0" b="0"/>
            <wp:docPr id="2" name="Picture 2" descr="Progression free survival – NE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gression free survival – NETTER-1"/>
                    <pic:cNvPicPr/>
                  </pic:nvPicPr>
                  <pic:blipFill>
                    <a:blip r:embed="rId15"/>
                    <a:stretch>
                      <a:fillRect/>
                    </a:stretch>
                  </pic:blipFill>
                  <pic:spPr>
                    <a:xfrm>
                      <a:off x="0" y="0"/>
                      <a:ext cx="4430390" cy="3798634"/>
                    </a:xfrm>
                    <a:prstGeom prst="rect">
                      <a:avLst/>
                    </a:prstGeom>
                  </pic:spPr>
                </pic:pic>
              </a:graphicData>
            </a:graphic>
          </wp:inline>
        </w:drawing>
      </w:r>
    </w:p>
    <w:p w14:paraId="53024C19" w14:textId="59830C0B" w:rsidR="00912439" w:rsidRDefault="00912439" w:rsidP="00994611">
      <w:pPr>
        <w:pStyle w:val="Tablenotes"/>
      </w:pPr>
      <w:r>
        <w:rPr>
          <w:rStyle w:val="TablenotesChar"/>
        </w:rPr>
        <w:t xml:space="preserve">Source: Figure 1A, p130 of </w:t>
      </w:r>
      <w:proofErr w:type="spellStart"/>
      <w:r>
        <w:rPr>
          <w:rStyle w:val="TablenotesChar"/>
        </w:rPr>
        <w:t>Strosberg</w:t>
      </w:r>
      <w:proofErr w:type="spellEnd"/>
      <w:r>
        <w:rPr>
          <w:rStyle w:val="TablenotesChar"/>
        </w:rPr>
        <w:t xml:space="preserve"> 2017</w:t>
      </w:r>
    </w:p>
    <w:p w14:paraId="5F547CA4" w14:textId="5377A956" w:rsidR="002E6C7F" w:rsidRPr="00F63E9D" w:rsidRDefault="002E6C7F" w:rsidP="00994611">
      <w:pPr>
        <w:pStyle w:val="Heading4"/>
      </w:pPr>
      <w:r>
        <w:t xml:space="preserve">Indirect evidence: </w:t>
      </w:r>
      <w:r w:rsidR="00FA394D">
        <w:t>NMA</w:t>
      </w:r>
    </w:p>
    <w:p w14:paraId="66D8E8A3" w14:textId="4224B7A6" w:rsidR="00B21636" w:rsidRDefault="00B21636" w:rsidP="006408BA">
      <w:pPr>
        <w:rPr>
          <w:b/>
          <w:bCs/>
        </w:rPr>
      </w:pPr>
      <w:r>
        <w:rPr>
          <w:b/>
          <w:bCs/>
        </w:rPr>
        <w:fldChar w:fldCharType="begin"/>
      </w:r>
      <w:r>
        <w:instrText xml:space="preserve"> REF _Ref160203497 \h  \* MERGEFORMAT </w:instrText>
      </w:r>
      <w:r>
        <w:rPr>
          <w:b/>
          <w:bCs/>
        </w:rPr>
      </w:r>
      <w:r>
        <w:rPr>
          <w:b/>
          <w:bCs/>
        </w:rPr>
        <w:fldChar w:fldCharType="separate"/>
      </w:r>
      <w:r w:rsidR="0084549C">
        <w:t>Table 10</w:t>
      </w:r>
      <w:r>
        <w:rPr>
          <w:b/>
          <w:bCs/>
        </w:rPr>
        <w:fldChar w:fldCharType="end"/>
      </w:r>
      <w:r>
        <w:t xml:space="preserve"> </w:t>
      </w:r>
      <w:r w:rsidRPr="00D0475F">
        <w:t xml:space="preserve">presents a summary of the results from the comparative effectiveness analyses. Based on the results of the NMA, </w:t>
      </w:r>
      <w:bookmarkStart w:id="72" w:name="_Hlk160453197"/>
      <w:r w:rsidR="001345FE" w:rsidRPr="001345FE">
        <w:rPr>
          <w:vertAlign w:val="superscript"/>
        </w:rPr>
        <w:t>177</w:t>
      </w:r>
      <w:r w:rsidR="001345FE" w:rsidRPr="001345FE">
        <w:t>Lu-DOTATATE</w:t>
      </w:r>
      <w:r w:rsidRPr="00050981">
        <w:t xml:space="preserve"> </w:t>
      </w:r>
      <w:bookmarkEnd w:id="72"/>
      <w:r w:rsidRPr="00D0475F">
        <w:t xml:space="preserve">was associated with statistically significant improvements in PFS </w:t>
      </w:r>
      <w:r w:rsidR="009D1B01">
        <w:t>over</w:t>
      </w:r>
      <w:r w:rsidR="009D1B01" w:rsidRPr="00D0475F">
        <w:t xml:space="preserve"> </w:t>
      </w:r>
      <w:r w:rsidRPr="00D0475F">
        <w:t xml:space="preserve">all examined comparators. For OS, </w:t>
      </w:r>
      <w:r w:rsidR="001345FE" w:rsidRPr="001345FE">
        <w:rPr>
          <w:vertAlign w:val="superscript"/>
        </w:rPr>
        <w:t>177</w:t>
      </w:r>
      <w:r w:rsidR="001345FE" w:rsidRPr="001345FE">
        <w:t>Lu-DOTATATE</w:t>
      </w:r>
      <w:r w:rsidRPr="00050981">
        <w:t xml:space="preserve"> </w:t>
      </w:r>
      <w:r w:rsidRPr="00D0475F">
        <w:t>was shown to be comparable in efficacy to all examine</w:t>
      </w:r>
      <w:r w:rsidR="007616BE">
        <w:t>d</w:t>
      </w:r>
      <w:r w:rsidRPr="00D0475F">
        <w:t xml:space="preserve"> comparators. Nominally favourable OS outcomes were observed </w:t>
      </w:r>
      <w:r w:rsidR="008E5947">
        <w:t>compared with</w:t>
      </w:r>
      <w:r w:rsidR="008E5947" w:rsidRPr="00D0475F">
        <w:t xml:space="preserve"> </w:t>
      </w:r>
      <w:r w:rsidRPr="00D0475F">
        <w:t xml:space="preserve">octreotide </w:t>
      </w:r>
      <w:r>
        <w:t xml:space="preserve">plus </w:t>
      </w:r>
      <w:r w:rsidRPr="00D0475F">
        <w:t>everolimus combination therapy, everolimus monotherapy, octreotide monotherapy and placebo/BSC</w:t>
      </w:r>
      <w:r>
        <w:t>,</w:t>
      </w:r>
      <w:r w:rsidRPr="00D0475F">
        <w:t xml:space="preserve"> and </w:t>
      </w:r>
      <w:r>
        <w:t>nominally</w:t>
      </w:r>
      <w:r w:rsidRPr="00D0475F">
        <w:t xml:space="preserve"> less favourable outcomes </w:t>
      </w:r>
      <w:r w:rsidR="00821677">
        <w:t>compared with</w:t>
      </w:r>
      <w:r w:rsidR="00821677" w:rsidRPr="00D0475F">
        <w:t xml:space="preserve"> </w:t>
      </w:r>
      <w:r w:rsidRPr="00D0475F">
        <w:t>sunitinib.</w:t>
      </w:r>
    </w:p>
    <w:p w14:paraId="556821AD" w14:textId="35FB9269" w:rsidR="00B21636" w:rsidRDefault="00B21636" w:rsidP="00B21636">
      <w:pPr>
        <w:pStyle w:val="Caption"/>
      </w:pPr>
      <w:bookmarkStart w:id="73" w:name="_Ref160203497"/>
      <w:bookmarkStart w:id="74" w:name="_Toc161842044"/>
      <w:r>
        <w:t xml:space="preserve">Table </w:t>
      </w:r>
      <w:r>
        <w:fldChar w:fldCharType="begin"/>
      </w:r>
      <w:r>
        <w:instrText xml:space="preserve"> SEQ Table \* ARABIC </w:instrText>
      </w:r>
      <w:r>
        <w:fldChar w:fldCharType="separate"/>
      </w:r>
      <w:r w:rsidR="006D13BC">
        <w:rPr>
          <w:noProof/>
        </w:rPr>
        <w:t>10</w:t>
      </w:r>
      <w:r>
        <w:rPr>
          <w:noProof/>
        </w:rPr>
        <w:fldChar w:fldCharType="end"/>
      </w:r>
      <w:bookmarkEnd w:id="73"/>
      <w:r>
        <w:t xml:space="preserve">: </w:t>
      </w:r>
      <w:r w:rsidRPr="00A13E5F">
        <w:t>Summary of NMA results for PFS and OS (</w:t>
      </w:r>
      <w:r w:rsidR="001345FE" w:rsidRPr="001345FE">
        <w:rPr>
          <w:vertAlign w:val="superscript"/>
        </w:rPr>
        <w:t>177</w:t>
      </w:r>
      <w:r w:rsidR="001345FE" w:rsidRPr="001345FE">
        <w:t>Lu-DOTATATE</w:t>
      </w:r>
      <w:r w:rsidRPr="00A13E5F">
        <w:t xml:space="preserve"> reference)</w:t>
      </w:r>
      <w:bookmarkEnd w:id="74"/>
    </w:p>
    <w:tbl>
      <w:tblPr>
        <w:tblStyle w:val="TableGrid"/>
        <w:tblW w:w="5000" w:type="pct"/>
        <w:tblLook w:val="04A0" w:firstRow="1" w:lastRow="0" w:firstColumn="1" w:lastColumn="0" w:noHBand="0" w:noVBand="1"/>
      </w:tblPr>
      <w:tblGrid>
        <w:gridCol w:w="2490"/>
        <w:gridCol w:w="3520"/>
        <w:gridCol w:w="3006"/>
      </w:tblGrid>
      <w:tr w:rsidR="00B21636" w14:paraId="69A119AD" w14:textId="77777777" w:rsidTr="002537CB">
        <w:trPr>
          <w:trHeight w:val="316"/>
        </w:trPr>
        <w:tc>
          <w:tcPr>
            <w:tcW w:w="1381" w:type="pct"/>
            <w:vAlign w:val="bottom"/>
          </w:tcPr>
          <w:p w14:paraId="3043E492" w14:textId="77777777" w:rsidR="00B21636" w:rsidRPr="002537CB" w:rsidRDefault="00B21636" w:rsidP="002537CB">
            <w:pPr>
              <w:pStyle w:val="TableHeading0"/>
            </w:pPr>
            <w:r w:rsidRPr="002537CB">
              <w:t xml:space="preserve">Comparator </w:t>
            </w:r>
          </w:p>
        </w:tc>
        <w:tc>
          <w:tcPr>
            <w:tcW w:w="1952" w:type="pct"/>
          </w:tcPr>
          <w:p w14:paraId="3E80259E" w14:textId="4FAF58AF" w:rsidR="00B21636" w:rsidRPr="002537CB" w:rsidRDefault="00B21636" w:rsidP="002537CB">
            <w:pPr>
              <w:pStyle w:val="TableHeading0"/>
            </w:pPr>
            <w:r w:rsidRPr="002537CB">
              <w:t>P</w:t>
            </w:r>
            <w:r w:rsidRPr="00AA3FA7">
              <w:t>FS</w:t>
            </w:r>
            <w:r w:rsidR="006408BA">
              <w:t xml:space="preserve">; </w:t>
            </w:r>
            <w:r w:rsidRPr="002537CB">
              <w:t xml:space="preserve">HR </w:t>
            </w:r>
            <w:r w:rsidR="00013CB6">
              <w:t>(</w:t>
            </w:r>
            <w:r w:rsidRPr="002537CB">
              <w:t xml:space="preserve">95% </w:t>
            </w:r>
            <w:proofErr w:type="spellStart"/>
            <w:r w:rsidRPr="002537CB">
              <w:t>CrI</w:t>
            </w:r>
            <w:proofErr w:type="spellEnd"/>
            <w:r w:rsidR="00013CB6">
              <w:t>)</w:t>
            </w:r>
          </w:p>
        </w:tc>
        <w:tc>
          <w:tcPr>
            <w:tcW w:w="1667" w:type="pct"/>
          </w:tcPr>
          <w:p w14:paraId="2D27C443" w14:textId="1BB3DC5B" w:rsidR="00B21636" w:rsidRPr="002537CB" w:rsidRDefault="00B21636" w:rsidP="002537CB">
            <w:pPr>
              <w:pStyle w:val="TableHeading0"/>
            </w:pPr>
            <w:r w:rsidRPr="002537CB">
              <w:t>O</w:t>
            </w:r>
            <w:r w:rsidRPr="00AA3FA7">
              <w:t>S</w:t>
            </w:r>
            <w:r w:rsidR="006408BA">
              <w:t>;</w:t>
            </w:r>
            <w:r w:rsidR="00013CB6">
              <w:t xml:space="preserve"> </w:t>
            </w:r>
            <w:r w:rsidRPr="002537CB">
              <w:t xml:space="preserve">HR </w:t>
            </w:r>
            <w:r w:rsidR="006408BA">
              <w:t>(</w:t>
            </w:r>
            <w:r w:rsidRPr="002537CB">
              <w:t xml:space="preserve">95% </w:t>
            </w:r>
            <w:proofErr w:type="spellStart"/>
            <w:r w:rsidRPr="002537CB">
              <w:t>CrI</w:t>
            </w:r>
            <w:proofErr w:type="spellEnd"/>
            <w:r w:rsidR="00013CB6">
              <w:t>)</w:t>
            </w:r>
          </w:p>
        </w:tc>
      </w:tr>
      <w:tr w:rsidR="00B21636" w14:paraId="1EE461A2" w14:textId="77777777" w:rsidTr="002537CB">
        <w:trPr>
          <w:trHeight w:val="367"/>
        </w:trPr>
        <w:tc>
          <w:tcPr>
            <w:tcW w:w="1381" w:type="pct"/>
            <w:vAlign w:val="center"/>
          </w:tcPr>
          <w:p w14:paraId="6462EBCB" w14:textId="4ABC0248" w:rsidR="00B21636" w:rsidRPr="007F469B" w:rsidRDefault="00B21636" w:rsidP="006408BA">
            <w:pPr>
              <w:pStyle w:val="TableText"/>
            </w:pPr>
            <w:r w:rsidRPr="005F4D29">
              <w:rPr>
                <w:vertAlign w:val="superscript"/>
              </w:rPr>
              <w:t>177</w:t>
            </w:r>
            <w:r w:rsidRPr="007F469B">
              <w:t>Lu-</w:t>
            </w:r>
            <w:r w:rsidR="001345FE">
              <w:t>DOTATATE</w:t>
            </w:r>
          </w:p>
        </w:tc>
        <w:tc>
          <w:tcPr>
            <w:tcW w:w="1952" w:type="pct"/>
          </w:tcPr>
          <w:p w14:paraId="41FCC4CE" w14:textId="77777777" w:rsidR="00B21636" w:rsidRPr="007F469B" w:rsidRDefault="00B21636" w:rsidP="006408BA">
            <w:pPr>
              <w:pStyle w:val="TableText"/>
            </w:pPr>
            <w:r w:rsidRPr="007F469B">
              <w:t>1.00</w:t>
            </w:r>
            <w:r>
              <w:t xml:space="preserve"> </w:t>
            </w:r>
          </w:p>
        </w:tc>
        <w:tc>
          <w:tcPr>
            <w:tcW w:w="1667" w:type="pct"/>
          </w:tcPr>
          <w:p w14:paraId="1916E88E" w14:textId="77777777" w:rsidR="00B21636" w:rsidRPr="007F469B" w:rsidRDefault="00B21636" w:rsidP="006408BA">
            <w:pPr>
              <w:pStyle w:val="TableText"/>
            </w:pPr>
            <w:r w:rsidRPr="007F469B">
              <w:t>1.</w:t>
            </w:r>
            <w:r w:rsidRPr="001345FE">
              <w:t>00</w:t>
            </w:r>
            <w:r>
              <w:t xml:space="preserve"> </w:t>
            </w:r>
          </w:p>
        </w:tc>
      </w:tr>
      <w:tr w:rsidR="00B21636" w14:paraId="2A01BD50" w14:textId="77777777" w:rsidTr="002537CB">
        <w:trPr>
          <w:trHeight w:val="367"/>
        </w:trPr>
        <w:tc>
          <w:tcPr>
            <w:tcW w:w="1381" w:type="pct"/>
            <w:vAlign w:val="center"/>
          </w:tcPr>
          <w:p w14:paraId="3A8259B8" w14:textId="77777777" w:rsidR="00B21636" w:rsidRPr="007F469B" w:rsidRDefault="00B21636" w:rsidP="006408BA">
            <w:pPr>
              <w:pStyle w:val="TableText"/>
            </w:pPr>
            <w:r w:rsidRPr="007F469B">
              <w:t>Octreotide + Everolimus</w:t>
            </w:r>
          </w:p>
        </w:tc>
        <w:tc>
          <w:tcPr>
            <w:tcW w:w="1952" w:type="pct"/>
          </w:tcPr>
          <w:p w14:paraId="35B8C7D4" w14:textId="411BE387" w:rsidR="00B21636" w:rsidRPr="007F469B" w:rsidRDefault="00B21636" w:rsidP="006408BA">
            <w:pPr>
              <w:pStyle w:val="TableText"/>
            </w:pPr>
            <w:r>
              <w:t xml:space="preserve">3.8 (95% </w:t>
            </w:r>
            <w:proofErr w:type="spellStart"/>
            <w:r>
              <w:t>Crl</w:t>
            </w:r>
            <w:proofErr w:type="spellEnd"/>
            <w:r>
              <w:t>: 2.1, 6.3)</w:t>
            </w:r>
          </w:p>
        </w:tc>
        <w:tc>
          <w:tcPr>
            <w:tcW w:w="1667" w:type="pct"/>
          </w:tcPr>
          <w:p w14:paraId="0CD6DDA5" w14:textId="77777777" w:rsidR="00B21636" w:rsidRPr="007F469B" w:rsidRDefault="00B21636" w:rsidP="006408BA">
            <w:pPr>
              <w:pStyle w:val="TableText"/>
            </w:pPr>
            <w:r>
              <w:t xml:space="preserve">1.5 (95% </w:t>
            </w:r>
            <w:proofErr w:type="spellStart"/>
            <w:r>
              <w:t>Crl</w:t>
            </w:r>
            <w:proofErr w:type="spellEnd"/>
            <w:r>
              <w:t>:  0.9, 2.3)</w:t>
            </w:r>
          </w:p>
        </w:tc>
      </w:tr>
      <w:tr w:rsidR="00B21636" w14:paraId="08CCAF01" w14:textId="77777777" w:rsidTr="002537CB">
        <w:trPr>
          <w:trHeight w:val="367"/>
        </w:trPr>
        <w:tc>
          <w:tcPr>
            <w:tcW w:w="1381" w:type="pct"/>
            <w:vAlign w:val="center"/>
          </w:tcPr>
          <w:p w14:paraId="1FC86CA6" w14:textId="77777777" w:rsidR="00B21636" w:rsidRPr="007F469B" w:rsidRDefault="00B21636" w:rsidP="006408BA">
            <w:pPr>
              <w:pStyle w:val="TableText"/>
            </w:pPr>
            <w:r w:rsidRPr="007F469B">
              <w:t xml:space="preserve">Octreotide </w:t>
            </w:r>
          </w:p>
        </w:tc>
        <w:tc>
          <w:tcPr>
            <w:tcW w:w="1952" w:type="pct"/>
          </w:tcPr>
          <w:p w14:paraId="66FCD3D3" w14:textId="65F49146" w:rsidR="00B21636" w:rsidRPr="007F469B" w:rsidRDefault="00B21636" w:rsidP="006408BA">
            <w:pPr>
              <w:pStyle w:val="TableText"/>
            </w:pPr>
            <w:r>
              <w:t xml:space="preserve">4.9 (95% </w:t>
            </w:r>
            <w:proofErr w:type="spellStart"/>
            <w:r>
              <w:t>Crl</w:t>
            </w:r>
            <w:proofErr w:type="spellEnd"/>
            <w:r>
              <w:t>: 3.0, 5.6)</w:t>
            </w:r>
          </w:p>
        </w:tc>
        <w:tc>
          <w:tcPr>
            <w:tcW w:w="1667" w:type="pct"/>
          </w:tcPr>
          <w:p w14:paraId="0C573659" w14:textId="77777777" w:rsidR="00B21636" w:rsidRPr="007F469B" w:rsidRDefault="00B21636" w:rsidP="006408BA">
            <w:pPr>
              <w:pStyle w:val="TableText"/>
            </w:pPr>
            <w:r>
              <w:t xml:space="preserve">1.2 (95% </w:t>
            </w:r>
            <w:proofErr w:type="spellStart"/>
            <w:r>
              <w:t>Crl</w:t>
            </w:r>
            <w:proofErr w:type="spellEnd"/>
            <w:r>
              <w:t>:  0.9, 1.7)</w:t>
            </w:r>
          </w:p>
        </w:tc>
      </w:tr>
      <w:tr w:rsidR="00B21636" w14:paraId="6C9E5B1D" w14:textId="77777777" w:rsidTr="002537CB">
        <w:trPr>
          <w:trHeight w:val="367"/>
        </w:trPr>
        <w:tc>
          <w:tcPr>
            <w:tcW w:w="1381" w:type="pct"/>
            <w:vAlign w:val="center"/>
          </w:tcPr>
          <w:p w14:paraId="2F627575" w14:textId="77777777" w:rsidR="00B21636" w:rsidRPr="007F469B" w:rsidRDefault="00B21636" w:rsidP="006408BA">
            <w:pPr>
              <w:pStyle w:val="TableText"/>
            </w:pPr>
            <w:r w:rsidRPr="007F469B">
              <w:t>Everolimus</w:t>
            </w:r>
          </w:p>
        </w:tc>
        <w:tc>
          <w:tcPr>
            <w:tcW w:w="1952" w:type="pct"/>
          </w:tcPr>
          <w:p w14:paraId="6F40D6E7" w14:textId="72762576" w:rsidR="00B21636" w:rsidRPr="007F469B" w:rsidRDefault="00B21636" w:rsidP="006408BA">
            <w:pPr>
              <w:pStyle w:val="TableText"/>
            </w:pPr>
            <w:r>
              <w:t xml:space="preserve">5.9 (95% </w:t>
            </w:r>
            <w:proofErr w:type="spellStart"/>
            <w:r>
              <w:t>Crl</w:t>
            </w:r>
            <w:proofErr w:type="spellEnd"/>
            <w:r>
              <w:t>: 2.6, 11.5)</w:t>
            </w:r>
          </w:p>
        </w:tc>
        <w:tc>
          <w:tcPr>
            <w:tcW w:w="1667" w:type="pct"/>
          </w:tcPr>
          <w:p w14:paraId="25814E1C" w14:textId="77777777" w:rsidR="00B21636" w:rsidRPr="007F469B" w:rsidRDefault="00B21636" w:rsidP="006408BA">
            <w:pPr>
              <w:pStyle w:val="TableText"/>
            </w:pPr>
            <w:r>
              <w:t xml:space="preserve">1.5 (95% </w:t>
            </w:r>
            <w:proofErr w:type="spellStart"/>
            <w:r>
              <w:t>Crl</w:t>
            </w:r>
            <w:proofErr w:type="spellEnd"/>
            <w:r>
              <w:t>:  0.4, 3.7)</w:t>
            </w:r>
          </w:p>
        </w:tc>
      </w:tr>
      <w:tr w:rsidR="00B21636" w14:paraId="0BB0F5FC" w14:textId="77777777" w:rsidTr="002537CB">
        <w:trPr>
          <w:trHeight w:val="367"/>
        </w:trPr>
        <w:tc>
          <w:tcPr>
            <w:tcW w:w="1381" w:type="pct"/>
            <w:vAlign w:val="center"/>
          </w:tcPr>
          <w:p w14:paraId="121A6AAA" w14:textId="77777777" w:rsidR="00B21636" w:rsidRPr="007F469B" w:rsidRDefault="00B21636" w:rsidP="006408BA">
            <w:pPr>
              <w:pStyle w:val="TableText"/>
            </w:pPr>
            <w:r w:rsidRPr="007F469B">
              <w:t>Sunitinib</w:t>
            </w:r>
          </w:p>
        </w:tc>
        <w:tc>
          <w:tcPr>
            <w:tcW w:w="1952" w:type="pct"/>
          </w:tcPr>
          <w:p w14:paraId="1A7AAA71" w14:textId="39880373" w:rsidR="00B21636" w:rsidRPr="007F469B" w:rsidRDefault="00B21636" w:rsidP="006408BA">
            <w:pPr>
              <w:pStyle w:val="TableText"/>
            </w:pPr>
            <w:r>
              <w:t xml:space="preserve">6.5 (95% </w:t>
            </w:r>
            <w:proofErr w:type="spellStart"/>
            <w:r>
              <w:t>Crl</w:t>
            </w:r>
            <w:proofErr w:type="spellEnd"/>
            <w:r>
              <w:t>: 2.5, 13.8)</w:t>
            </w:r>
          </w:p>
        </w:tc>
        <w:tc>
          <w:tcPr>
            <w:tcW w:w="1667" w:type="pct"/>
          </w:tcPr>
          <w:p w14:paraId="6EE96ABE" w14:textId="77777777" w:rsidR="00B21636" w:rsidRPr="007F469B" w:rsidRDefault="00B21636" w:rsidP="006408BA">
            <w:pPr>
              <w:pStyle w:val="TableText"/>
            </w:pPr>
            <w:r>
              <w:t xml:space="preserve">0.7 (95% </w:t>
            </w:r>
            <w:proofErr w:type="spellStart"/>
            <w:r>
              <w:t>Crl</w:t>
            </w:r>
            <w:proofErr w:type="spellEnd"/>
            <w:r>
              <w:t>:  0.2, 2.2)</w:t>
            </w:r>
          </w:p>
        </w:tc>
      </w:tr>
      <w:tr w:rsidR="00B21636" w14:paraId="08772B6D" w14:textId="77777777" w:rsidTr="002537CB">
        <w:trPr>
          <w:trHeight w:val="367"/>
        </w:trPr>
        <w:tc>
          <w:tcPr>
            <w:tcW w:w="1381" w:type="pct"/>
            <w:vAlign w:val="center"/>
          </w:tcPr>
          <w:p w14:paraId="1ED97ADF" w14:textId="77777777" w:rsidR="00B21636" w:rsidRPr="007F469B" w:rsidRDefault="00B21636" w:rsidP="006408BA">
            <w:pPr>
              <w:pStyle w:val="TableText"/>
            </w:pPr>
            <w:r w:rsidRPr="007F469B">
              <w:t>Lanreotide</w:t>
            </w:r>
          </w:p>
        </w:tc>
        <w:tc>
          <w:tcPr>
            <w:tcW w:w="1952" w:type="pct"/>
          </w:tcPr>
          <w:p w14:paraId="184B8AF1" w14:textId="31F915B1" w:rsidR="00B21636" w:rsidRPr="007F469B" w:rsidRDefault="00B21636" w:rsidP="006408BA">
            <w:pPr>
              <w:pStyle w:val="TableText"/>
            </w:pPr>
            <w:r>
              <w:t xml:space="preserve">8.6 (95% </w:t>
            </w:r>
            <w:proofErr w:type="spellStart"/>
            <w:r>
              <w:t>Crl</w:t>
            </w:r>
            <w:proofErr w:type="spellEnd"/>
            <w:r>
              <w:t>: 3.5, 17.8)</w:t>
            </w:r>
          </w:p>
        </w:tc>
        <w:tc>
          <w:tcPr>
            <w:tcW w:w="1667" w:type="pct"/>
          </w:tcPr>
          <w:p w14:paraId="251DEF6F" w14:textId="77777777" w:rsidR="00B21636" w:rsidRPr="007F469B" w:rsidRDefault="00B21636" w:rsidP="006408BA">
            <w:pPr>
              <w:pStyle w:val="TableText"/>
            </w:pPr>
            <w:r>
              <w:t>NE</w:t>
            </w:r>
          </w:p>
        </w:tc>
      </w:tr>
      <w:tr w:rsidR="00B21636" w14:paraId="1B248B0E" w14:textId="77777777" w:rsidTr="002537CB">
        <w:trPr>
          <w:trHeight w:val="367"/>
        </w:trPr>
        <w:tc>
          <w:tcPr>
            <w:tcW w:w="1381" w:type="pct"/>
            <w:vAlign w:val="center"/>
          </w:tcPr>
          <w:p w14:paraId="5EC9AD9E" w14:textId="77777777" w:rsidR="00B21636" w:rsidRPr="007F469B" w:rsidRDefault="00B21636" w:rsidP="006408BA">
            <w:pPr>
              <w:pStyle w:val="TableText"/>
            </w:pPr>
            <w:r w:rsidRPr="007F469B">
              <w:t>Placebo</w:t>
            </w:r>
            <w:r>
              <w:t>/BSC</w:t>
            </w:r>
          </w:p>
        </w:tc>
        <w:tc>
          <w:tcPr>
            <w:tcW w:w="1952" w:type="pct"/>
          </w:tcPr>
          <w:p w14:paraId="7A166900" w14:textId="3BC1E2A5" w:rsidR="00B21636" w:rsidRPr="007F469B" w:rsidRDefault="00B21636" w:rsidP="006408BA">
            <w:pPr>
              <w:pStyle w:val="TableText"/>
            </w:pPr>
            <w:r>
              <w:t xml:space="preserve">14.9 (95% </w:t>
            </w:r>
            <w:proofErr w:type="spellStart"/>
            <w:r>
              <w:t>Crl</w:t>
            </w:r>
            <w:proofErr w:type="spellEnd"/>
            <w:r>
              <w:t>: 6.8, 28.6)</w:t>
            </w:r>
          </w:p>
        </w:tc>
        <w:tc>
          <w:tcPr>
            <w:tcW w:w="1667" w:type="pct"/>
          </w:tcPr>
          <w:p w14:paraId="48C726B3" w14:textId="77777777" w:rsidR="00B21636" w:rsidRPr="007F469B" w:rsidRDefault="00B21636" w:rsidP="006408BA">
            <w:pPr>
              <w:pStyle w:val="TableText"/>
            </w:pPr>
            <w:r>
              <w:t xml:space="preserve">1.7 (95% </w:t>
            </w:r>
            <w:proofErr w:type="spellStart"/>
            <w:r>
              <w:t>Crl</w:t>
            </w:r>
            <w:proofErr w:type="spellEnd"/>
            <w:r>
              <w:t>:  0.5, 4.1)</w:t>
            </w:r>
          </w:p>
        </w:tc>
      </w:tr>
    </w:tbl>
    <w:p w14:paraId="40C1D064" w14:textId="326506A6" w:rsidR="00277824" w:rsidRDefault="00B21636" w:rsidP="00AF25E1">
      <w:pPr>
        <w:pStyle w:val="Tablenotes0"/>
      </w:pPr>
      <w:r w:rsidRPr="006408BA">
        <w:t>Abbreviations</w:t>
      </w:r>
      <w:r>
        <w:t xml:space="preserve">: </w:t>
      </w:r>
      <w:proofErr w:type="spellStart"/>
      <w:r w:rsidRPr="0087277A">
        <w:t>C</w:t>
      </w:r>
      <w:r>
        <w:t>r</w:t>
      </w:r>
      <w:r w:rsidRPr="0087277A">
        <w:t>I</w:t>
      </w:r>
      <w:proofErr w:type="spellEnd"/>
      <w:r w:rsidRPr="0087277A">
        <w:t>=</w:t>
      </w:r>
      <w:r>
        <w:t>credible</w:t>
      </w:r>
      <w:r w:rsidRPr="0087277A">
        <w:t xml:space="preserve"> interval; </w:t>
      </w:r>
      <w:r w:rsidRPr="004F6AD3">
        <w:t>HR</w:t>
      </w:r>
      <w:r>
        <w:t xml:space="preserve"> </w:t>
      </w:r>
      <w:r w:rsidRPr="004F6AD3">
        <w:t>=</w:t>
      </w:r>
      <w:r>
        <w:t xml:space="preserve"> </w:t>
      </w:r>
      <w:r w:rsidRPr="004F6AD3">
        <w:t>hazard ratio;</w:t>
      </w:r>
      <w:r>
        <w:t xml:space="preserve"> OS = </w:t>
      </w:r>
      <w:r w:rsidRPr="00101490">
        <w:t>overall survival</w:t>
      </w:r>
      <w:r>
        <w:t>,</w:t>
      </w:r>
      <w:r w:rsidRPr="004F6AD3">
        <w:t xml:space="preserve"> </w:t>
      </w:r>
      <w:r>
        <w:t xml:space="preserve">PFS = </w:t>
      </w:r>
      <w:r w:rsidR="004C7A34">
        <w:t>p</w:t>
      </w:r>
      <w:r>
        <w:t>rogression</w:t>
      </w:r>
      <w:r w:rsidR="0076014A">
        <w:t>-</w:t>
      </w:r>
      <w:r>
        <w:t>free survival, NE = not estimable</w:t>
      </w:r>
      <w:r w:rsidR="005F53A6">
        <w:t>, NMA</w:t>
      </w:r>
      <w:r w:rsidR="005E7D91">
        <w:t xml:space="preserve"> = network meta-analysis</w:t>
      </w:r>
    </w:p>
    <w:p w14:paraId="156DCA4C" w14:textId="24D9759C" w:rsidR="006408BA" w:rsidRDefault="003D658D" w:rsidP="00195F3A">
      <w:pPr>
        <w:pStyle w:val="Heading3"/>
      </w:pPr>
      <w:bookmarkStart w:id="75" w:name="_Toc161841945"/>
      <w:bookmarkStart w:id="76" w:name="_Toc165239053"/>
      <w:bookmarkStart w:id="77" w:name="_Toc165271883"/>
      <w:bookmarkStart w:id="78" w:name="_Toc165274309"/>
      <w:bookmarkStart w:id="79" w:name="_Toc165275532"/>
      <w:r>
        <w:lastRenderedPageBreak/>
        <w:t>Clinical claim</w:t>
      </w:r>
      <w:bookmarkEnd w:id="75"/>
      <w:bookmarkEnd w:id="76"/>
      <w:bookmarkEnd w:id="77"/>
      <w:bookmarkEnd w:id="78"/>
      <w:bookmarkEnd w:id="79"/>
    </w:p>
    <w:p w14:paraId="58D15C7D" w14:textId="23A10D83" w:rsidR="00BC4E80" w:rsidRDefault="00D5380D" w:rsidP="00D5380D">
      <w:pPr>
        <w:tabs>
          <w:tab w:val="left" w:pos="720"/>
          <w:tab w:val="left" w:pos="1140"/>
        </w:tabs>
        <w:spacing w:before="240" w:after="120"/>
      </w:pPr>
      <w:r>
        <w:t xml:space="preserve">Considering the evidence presented for the diagnostic performance of </w:t>
      </w:r>
      <w:r w:rsidRPr="00C54155">
        <w:t>SS</w:t>
      </w:r>
      <w:r w:rsidR="00745574">
        <w:t>T</w:t>
      </w:r>
      <w:r w:rsidRPr="00C54155">
        <w:t>R-PET/CT tests</w:t>
      </w:r>
      <w:r>
        <w:t xml:space="preserve"> including </w:t>
      </w:r>
      <w:r w:rsidRPr="00745574">
        <w:rPr>
          <w:vertAlign w:val="superscript"/>
        </w:rPr>
        <w:t>68</w:t>
      </w:r>
      <w:r w:rsidRPr="00C54155">
        <w:t>Ga-DOTA-octreotate PET/CT</w:t>
      </w:r>
      <w:r>
        <w:t xml:space="preserve">, they </w:t>
      </w:r>
      <w:r w:rsidRPr="00C54155">
        <w:t>should be considered as a</w:t>
      </w:r>
      <w:r w:rsidR="00213662">
        <w:t>n</w:t>
      </w:r>
      <w:r w:rsidRPr="00C54155">
        <w:t xml:space="preserve"> </w:t>
      </w:r>
      <w:r w:rsidR="00213662">
        <w:t>accurate imag</w:t>
      </w:r>
      <w:r w:rsidR="000C6BDD">
        <w:t>ing</w:t>
      </w:r>
      <w:r w:rsidR="00213662">
        <w:t xml:space="preserve"> </w:t>
      </w:r>
      <w:r w:rsidR="000C6BDD">
        <w:t>prognostic tool</w:t>
      </w:r>
      <w:r w:rsidRPr="00C54155">
        <w:t xml:space="preserve"> in patients with </w:t>
      </w:r>
      <w:r w:rsidR="00C309C1">
        <w:t>NEN</w:t>
      </w:r>
      <w:r w:rsidRPr="00C54155">
        <w:t>s.</w:t>
      </w:r>
      <w:r w:rsidRPr="00BD1C4E">
        <w:t xml:space="preserve"> The use of dual imaging (</w:t>
      </w:r>
      <w:r w:rsidRPr="00745574">
        <w:rPr>
          <w:vertAlign w:val="superscript"/>
        </w:rPr>
        <w:t>68</w:t>
      </w:r>
      <w:r w:rsidRPr="00BD1C4E">
        <w:t xml:space="preserve">Ga-DOTA-peptides and </w:t>
      </w:r>
      <w:r w:rsidRPr="001053EF">
        <w:rPr>
          <w:vertAlign w:val="superscript"/>
        </w:rPr>
        <w:t>1</w:t>
      </w:r>
      <w:r w:rsidRPr="00745574">
        <w:rPr>
          <w:vertAlign w:val="superscript"/>
        </w:rPr>
        <w:t>8</w:t>
      </w:r>
      <w:r w:rsidRPr="00BD1C4E">
        <w:t xml:space="preserve">F-FDG) was demonstrated as a useful tool in </w:t>
      </w:r>
      <w:r w:rsidR="00C309C1">
        <w:t>NEN</w:t>
      </w:r>
      <w:r w:rsidRPr="00BD1C4E">
        <w:t xml:space="preserve"> management by delineating tumour </w:t>
      </w:r>
      <w:r w:rsidR="00745574">
        <w:t xml:space="preserve">SSTR </w:t>
      </w:r>
      <w:r w:rsidRPr="00BD1C4E">
        <w:t>expression and glycolytic metabolic activity and predicting tumour response and survival outcomes.</w:t>
      </w:r>
      <w:r w:rsidR="00EF5DD1">
        <w:t xml:space="preserve"> </w:t>
      </w:r>
      <w:r w:rsidR="006708CE">
        <w:t>There was limited evidence available to translate</w:t>
      </w:r>
      <w:r w:rsidR="00BC4E80">
        <w:t xml:space="preserve"> </w:t>
      </w:r>
      <w:proofErr w:type="spellStart"/>
      <w:r w:rsidR="00BE22FD" w:rsidRPr="00BE22FD">
        <w:t>Octreoscan</w:t>
      </w:r>
      <w:proofErr w:type="spellEnd"/>
      <w:r w:rsidR="00BE22FD" w:rsidRPr="00BE22FD">
        <w:t>® uptake (</w:t>
      </w:r>
      <w:proofErr w:type="spellStart"/>
      <w:r w:rsidR="00BE22FD" w:rsidRPr="00BE22FD">
        <w:t>Krenning</w:t>
      </w:r>
      <w:proofErr w:type="spellEnd"/>
      <w:r w:rsidR="00BE22FD" w:rsidRPr="00BE22FD">
        <w:t xml:space="preserve"> score) to </w:t>
      </w:r>
      <w:r w:rsidR="00BE22FD" w:rsidRPr="001053EF">
        <w:rPr>
          <w:vertAlign w:val="superscript"/>
        </w:rPr>
        <w:t>68</w:t>
      </w:r>
      <w:r w:rsidR="00BE22FD" w:rsidRPr="00BE22FD">
        <w:t xml:space="preserve">Ga-DOTA-ocreotate uptake (modified </w:t>
      </w:r>
      <w:proofErr w:type="spellStart"/>
      <w:r w:rsidR="00BE22FD" w:rsidRPr="00BE22FD">
        <w:t>Krenning</w:t>
      </w:r>
      <w:proofErr w:type="spellEnd"/>
      <w:r w:rsidR="00BE22FD" w:rsidRPr="00BE22FD">
        <w:t xml:space="preserve"> score)</w:t>
      </w:r>
      <w:r w:rsidR="00860FB3">
        <w:t xml:space="preserve">. However, </w:t>
      </w:r>
      <w:r w:rsidR="00072557">
        <w:t xml:space="preserve">patient outcomes from </w:t>
      </w:r>
      <w:r w:rsidR="00E46227">
        <w:t>2</w:t>
      </w:r>
      <w:r w:rsidR="00072557">
        <w:t xml:space="preserve"> trials</w:t>
      </w:r>
      <w:r w:rsidR="00E46227">
        <w:t>—</w:t>
      </w:r>
      <w:r w:rsidR="00072557">
        <w:t>NETTER-1</w:t>
      </w:r>
      <w:r w:rsidR="00E46227">
        <w:t>,</w:t>
      </w:r>
      <w:r w:rsidR="00072557">
        <w:t xml:space="preserve"> </w:t>
      </w:r>
      <w:r w:rsidR="00FA3DE2">
        <w:t xml:space="preserve">which employed </w:t>
      </w:r>
      <w:proofErr w:type="spellStart"/>
      <w:r w:rsidR="00FA3DE2" w:rsidRPr="00BE22FD">
        <w:t>Octreoscan</w:t>
      </w:r>
      <w:proofErr w:type="spellEnd"/>
      <w:r w:rsidR="00FA3DE2" w:rsidRPr="00BE22FD">
        <w:t xml:space="preserve">® </w:t>
      </w:r>
      <w:r w:rsidR="00FA3DE2">
        <w:t xml:space="preserve">to identify patients </w:t>
      </w:r>
      <w:r w:rsidR="008D2BE2">
        <w:t>for PRRT therapy</w:t>
      </w:r>
      <w:r w:rsidR="00FA3DE2">
        <w:t xml:space="preserve"> </w:t>
      </w:r>
      <w:r w:rsidR="00072557">
        <w:t>and Sood et al. 2023</w:t>
      </w:r>
      <w:r w:rsidR="008D2BE2">
        <w:t xml:space="preserve">, which employed </w:t>
      </w:r>
      <w:r w:rsidR="008D2BE2" w:rsidRPr="00E248B1">
        <w:rPr>
          <w:vertAlign w:val="superscript"/>
        </w:rPr>
        <w:t>68</w:t>
      </w:r>
      <w:r w:rsidR="008D2BE2" w:rsidRPr="00BE22FD">
        <w:t>Ga-DOTA-ocreotate</w:t>
      </w:r>
      <w:r w:rsidR="00E46227">
        <w:t>—</w:t>
      </w:r>
      <w:r w:rsidR="008D2BE2">
        <w:t xml:space="preserve">appeared consistent. </w:t>
      </w:r>
      <w:r w:rsidR="00E248B1">
        <w:t xml:space="preserve">In addition, </w:t>
      </w:r>
      <w:r w:rsidR="00E248B1" w:rsidRPr="00E248B1">
        <w:t xml:space="preserve">the decision regarding eligibility for </w:t>
      </w:r>
      <w:r w:rsidR="00E248B1" w:rsidRPr="00E248B1">
        <w:rPr>
          <w:vertAlign w:val="superscript"/>
        </w:rPr>
        <w:t>177</w:t>
      </w:r>
      <w:r w:rsidR="00E248B1" w:rsidRPr="00E248B1">
        <w:t xml:space="preserve">Lu-DOTA-octreotate treatment based on SSTR status is proposed to be left to the judgement of the MDT treating the patient, rather than as </w:t>
      </w:r>
      <w:r w:rsidR="00E46227">
        <w:t xml:space="preserve">a </w:t>
      </w:r>
      <w:r w:rsidR="00E248B1" w:rsidRPr="00E248B1">
        <w:t>trial selection criter</w:t>
      </w:r>
      <w:r w:rsidR="00E46227">
        <w:t>ion</w:t>
      </w:r>
      <w:r w:rsidR="00E248B1" w:rsidRPr="00E248B1">
        <w:t xml:space="preserve"> </w:t>
      </w:r>
      <w:r w:rsidR="00E248B1">
        <w:t>as seen in pivot</w:t>
      </w:r>
      <w:r w:rsidR="008637B1">
        <w:t>al trials.</w:t>
      </w:r>
    </w:p>
    <w:p w14:paraId="697791DA" w14:textId="77777777" w:rsidR="00745574" w:rsidRDefault="00745574" w:rsidP="00745574">
      <w:r>
        <w:t xml:space="preserve">Considering the evidence presented in this assessment report for the relative efficacy and safety of </w:t>
      </w:r>
      <w:r w:rsidRPr="007377F5">
        <w:rPr>
          <w:vertAlign w:val="superscript"/>
        </w:rPr>
        <w:t>177</w:t>
      </w:r>
      <w:r w:rsidRPr="00437CC3">
        <w:t>Lu-DOTATATE</w:t>
      </w:r>
      <w:r>
        <w:t xml:space="preserve"> against its comparators, the following conclusions are made:</w:t>
      </w:r>
    </w:p>
    <w:p w14:paraId="68CC7DF1" w14:textId="74901029" w:rsidR="00745574" w:rsidRDefault="00745574" w:rsidP="00D83E90">
      <w:pPr>
        <w:pStyle w:val="ListParagraph"/>
        <w:numPr>
          <w:ilvl w:val="0"/>
          <w:numId w:val="16"/>
        </w:numPr>
      </w:pPr>
      <w:r>
        <w:t>U</w:t>
      </w:r>
      <w:r w:rsidRPr="00CE28E3">
        <w:t xml:space="preserve">se of </w:t>
      </w:r>
      <w:r w:rsidRPr="00F60483">
        <w:rPr>
          <w:vertAlign w:val="superscript"/>
        </w:rPr>
        <w:t>177</w:t>
      </w:r>
      <w:r w:rsidRPr="00F60483">
        <w:t>Lu-</w:t>
      </w:r>
      <w:r>
        <w:t xml:space="preserve">DOTA-octreotate </w:t>
      </w:r>
      <w:r w:rsidRPr="00EC620A">
        <w:t>is estimated to result</w:t>
      </w:r>
      <w:r w:rsidRPr="00CE28E3">
        <w:t xml:space="preserve"> in </w:t>
      </w:r>
      <w:r w:rsidRPr="0063391D">
        <w:t>superior</w:t>
      </w:r>
      <w:r w:rsidRPr="00CE28E3">
        <w:t xml:space="preserve"> effectiveness compared with </w:t>
      </w:r>
      <w:r>
        <w:t>o</w:t>
      </w:r>
      <w:r w:rsidRPr="000E518A">
        <w:t xml:space="preserve">ctreotide </w:t>
      </w:r>
      <w:r>
        <w:t>plus</w:t>
      </w:r>
      <w:r w:rsidRPr="000E518A">
        <w:t xml:space="preserve"> everolimus combination therapy, </w:t>
      </w:r>
      <w:r>
        <w:t>o</w:t>
      </w:r>
      <w:r w:rsidRPr="000E518A">
        <w:t xml:space="preserve">ctreotide monotherapy, everolimus monotherapy, </w:t>
      </w:r>
      <w:r>
        <w:t>l</w:t>
      </w:r>
      <w:r w:rsidRPr="000E518A">
        <w:t xml:space="preserve">anreotide and </w:t>
      </w:r>
      <w:r>
        <w:t>p</w:t>
      </w:r>
      <w:r w:rsidRPr="000E518A">
        <w:t>lacebo/BSC</w:t>
      </w:r>
      <w:r w:rsidR="00E46227">
        <w:t>;</w:t>
      </w:r>
      <w:r>
        <w:t xml:space="preserve"> and noninferior effectiveness compared with s</w:t>
      </w:r>
      <w:r w:rsidRPr="000E518A">
        <w:t>unitinib</w:t>
      </w:r>
      <w:r>
        <w:t xml:space="preserve">. </w:t>
      </w:r>
    </w:p>
    <w:p w14:paraId="4581A4E2" w14:textId="55C8F03A" w:rsidR="006408BA" w:rsidRPr="00745574" w:rsidRDefault="00745574" w:rsidP="00D83E90">
      <w:pPr>
        <w:pStyle w:val="ListParagraph"/>
        <w:numPr>
          <w:ilvl w:val="0"/>
          <w:numId w:val="16"/>
        </w:numPr>
      </w:pPr>
      <w:r>
        <w:t>U</w:t>
      </w:r>
      <w:r w:rsidRPr="00CE28E3">
        <w:t xml:space="preserve">se of </w:t>
      </w:r>
      <w:r w:rsidRPr="00745574">
        <w:rPr>
          <w:vertAlign w:val="superscript"/>
        </w:rPr>
        <w:t>177</w:t>
      </w:r>
      <w:r w:rsidRPr="00F60483">
        <w:t>Lu-</w:t>
      </w:r>
      <w:r>
        <w:t xml:space="preserve">DOTA-octreotate </w:t>
      </w:r>
      <w:r w:rsidRPr="00EC620A">
        <w:t>is estimated to result</w:t>
      </w:r>
      <w:r w:rsidRPr="00CE28E3">
        <w:t xml:space="preserve"> in </w:t>
      </w:r>
      <w:r>
        <w:t>noninferior</w:t>
      </w:r>
      <w:r w:rsidRPr="00CE28E3">
        <w:t xml:space="preserve"> safety compared with </w:t>
      </w:r>
      <w:r>
        <w:t>o</w:t>
      </w:r>
      <w:r w:rsidRPr="000E518A">
        <w:t xml:space="preserve">ctreotide monotherapy, everolimus monotherapy, </w:t>
      </w:r>
      <w:r>
        <w:t>s</w:t>
      </w:r>
      <w:r w:rsidRPr="000E518A">
        <w:t xml:space="preserve">unitinib, </w:t>
      </w:r>
      <w:r>
        <w:t>l</w:t>
      </w:r>
      <w:r w:rsidRPr="000E518A">
        <w:t xml:space="preserve">anreotide and </w:t>
      </w:r>
      <w:r>
        <w:t>p</w:t>
      </w:r>
      <w:r w:rsidRPr="000E518A">
        <w:t>lacebo/BSC</w:t>
      </w:r>
      <w:r w:rsidR="00E46227">
        <w:t>;</w:t>
      </w:r>
      <w:r>
        <w:t xml:space="preserve"> and superior safety compared to o</w:t>
      </w:r>
      <w:r w:rsidRPr="000E518A">
        <w:t xml:space="preserve">ctreotide </w:t>
      </w:r>
      <w:r>
        <w:t>plus</w:t>
      </w:r>
      <w:r w:rsidRPr="000E518A">
        <w:t xml:space="preserve"> everolimus combination therapy</w:t>
      </w:r>
      <w:r>
        <w:t>.</w:t>
      </w:r>
    </w:p>
    <w:p w14:paraId="0D09C9E4" w14:textId="1C1969C5" w:rsidR="00772829" w:rsidRDefault="00C36633" w:rsidP="002A18BE">
      <w:pPr>
        <w:pStyle w:val="Heading2"/>
        <w:numPr>
          <w:ilvl w:val="0"/>
          <w:numId w:val="0"/>
        </w:numPr>
      </w:pPr>
      <w:bookmarkStart w:id="80" w:name="_Toc161841946"/>
      <w:bookmarkStart w:id="81" w:name="_Toc165275533"/>
      <w:r>
        <w:t>1</w:t>
      </w:r>
      <w:r w:rsidR="000B228E">
        <w:t>3</w:t>
      </w:r>
      <w:r>
        <w:t>.</w:t>
      </w:r>
      <w:r>
        <w:tab/>
      </w:r>
      <w:r w:rsidR="00772829" w:rsidRPr="00CE28E3">
        <w:t>Economic evaluation</w:t>
      </w:r>
      <w:bookmarkEnd w:id="80"/>
      <w:bookmarkEnd w:id="81"/>
    </w:p>
    <w:p w14:paraId="395007C9" w14:textId="72BCB8A5" w:rsidR="00D7789F" w:rsidRDefault="00D7789F" w:rsidP="00D7789F">
      <w:r w:rsidRPr="00D7789F">
        <w:t xml:space="preserve">The objective of </w:t>
      </w:r>
      <w:r>
        <w:t>the</w:t>
      </w:r>
      <w:r w:rsidRPr="00D7789F">
        <w:t xml:space="preserve"> analysis is to determine the cost-effectiveness of </w:t>
      </w:r>
      <w:r w:rsidRPr="006408BA">
        <w:rPr>
          <w:vertAlign w:val="superscript"/>
        </w:rPr>
        <w:t>177</w:t>
      </w:r>
      <w:r w:rsidRPr="00D7789F">
        <w:t>Lu-</w:t>
      </w:r>
      <w:r w:rsidR="00607D95">
        <w:t xml:space="preserve">DOTA-octreotate </w:t>
      </w:r>
      <w:r w:rsidR="00664C7B">
        <w:t>plus</w:t>
      </w:r>
      <w:r w:rsidR="00664C7B" w:rsidRPr="00D7789F">
        <w:t xml:space="preserve"> </w:t>
      </w:r>
      <w:r w:rsidR="00664C7B">
        <w:t>BSC</w:t>
      </w:r>
      <w:r w:rsidRPr="00D7789F">
        <w:t xml:space="preserve"> for the treatment of advanced NENs with H-SSTR expression compared with current care</w:t>
      </w:r>
      <w:r w:rsidR="00522DA3">
        <w:t xml:space="preserve">. </w:t>
      </w:r>
      <w:r w:rsidRPr="00D7789F">
        <w:t xml:space="preserve">Six comparator therapies against which the effectiveness of </w:t>
      </w:r>
      <w:r w:rsidRPr="006408BA">
        <w:rPr>
          <w:vertAlign w:val="superscript"/>
        </w:rPr>
        <w:t>177</w:t>
      </w:r>
      <w:r w:rsidRPr="00D7789F">
        <w:t>Lu-</w:t>
      </w:r>
      <w:r w:rsidR="00607D95">
        <w:t xml:space="preserve">DOTA-octreotate </w:t>
      </w:r>
      <w:r w:rsidRPr="00D7789F">
        <w:t>c</w:t>
      </w:r>
      <w:r w:rsidR="00A96DE4">
        <w:t>ould</w:t>
      </w:r>
      <w:r w:rsidRPr="00D7789F">
        <w:t xml:space="preserve"> be compared were identified: octreotide, everolimus, octreotide plus everolimus combination therapy, lanreotide, sunitinib, and placebo/</w:t>
      </w:r>
      <w:r w:rsidR="00C539F5">
        <w:t>BSC</w:t>
      </w:r>
      <w:r w:rsidRPr="00D7789F">
        <w:t>.</w:t>
      </w:r>
    </w:p>
    <w:p w14:paraId="68A97711" w14:textId="18B4BA50" w:rsidR="00522DA3" w:rsidRDefault="00522DA3" w:rsidP="00D7789F">
      <w:r w:rsidRPr="00522DA3">
        <w:t xml:space="preserve">The target population considers patients with histologically confirmed, locally advanced or metastatic, inoperable NENs with documented disease progression or uncontrolled </w:t>
      </w:r>
      <w:r w:rsidR="00C539F5">
        <w:t>NEN-</w:t>
      </w:r>
      <w:r w:rsidR="00C539F5" w:rsidRPr="00522DA3">
        <w:t xml:space="preserve">related </w:t>
      </w:r>
      <w:r w:rsidRPr="00522DA3">
        <w:t>symptoms despite standard therapy</w:t>
      </w:r>
      <w:r w:rsidR="00C539F5">
        <w:t>,</w:t>
      </w:r>
      <w:r w:rsidRPr="00522DA3">
        <w:t xml:space="preserve"> who have demonstrated H-SSTR.</w:t>
      </w:r>
      <w:r w:rsidR="000127E0">
        <w:t xml:space="preserve"> </w:t>
      </w:r>
      <w:r w:rsidR="000127E0" w:rsidRPr="00FF3DE3">
        <w:t xml:space="preserve">As there was no information that could be identified to inform the </w:t>
      </w:r>
      <w:r w:rsidR="000127E0" w:rsidRPr="00265060">
        <w:t xml:space="preserve">proportion </w:t>
      </w:r>
      <w:r w:rsidR="000127E0" w:rsidRPr="00FF3DE3">
        <w:t xml:space="preserve">of the </w:t>
      </w:r>
      <w:r w:rsidR="000127E0" w:rsidRPr="00265060">
        <w:t xml:space="preserve">incident </w:t>
      </w:r>
      <w:r w:rsidR="00C309C1">
        <w:t>NEN</w:t>
      </w:r>
      <w:r w:rsidR="000127E0" w:rsidRPr="00265060">
        <w:t xml:space="preserve"> population that would be eligible for </w:t>
      </w:r>
      <w:r w:rsidR="000127E0" w:rsidRPr="00A15A95">
        <w:rPr>
          <w:vertAlign w:val="superscript"/>
        </w:rPr>
        <w:t>177</w:t>
      </w:r>
      <w:r w:rsidR="000127E0" w:rsidRPr="00265060">
        <w:t>Lu-DOTA-octreotate (i.e. suspected H-SSTR)</w:t>
      </w:r>
      <w:r w:rsidR="000127E0" w:rsidRPr="00FF3DE3">
        <w:t xml:space="preserve">, only the </w:t>
      </w:r>
      <w:r w:rsidR="000127E0">
        <w:t>diagnosed and</w:t>
      </w:r>
      <w:r w:rsidR="000127E0" w:rsidRPr="00FF3DE3">
        <w:t xml:space="preserve"> treated population </w:t>
      </w:r>
      <w:r w:rsidR="000127E0" w:rsidRPr="00265060">
        <w:t>(i.e. d</w:t>
      </w:r>
      <w:r w:rsidR="000127E0">
        <w:t>emonstrated</w:t>
      </w:r>
      <w:r w:rsidR="000127E0" w:rsidRPr="00265060">
        <w:t xml:space="preserve"> H-SSTR</w:t>
      </w:r>
      <w:r w:rsidR="000127E0">
        <w:t>)</w:t>
      </w:r>
      <w:r w:rsidR="000127E0" w:rsidRPr="00FF3DE3">
        <w:t xml:space="preserve"> has been included</w:t>
      </w:r>
      <w:r w:rsidR="000127E0">
        <w:t xml:space="preserve"> in this analysis</w:t>
      </w:r>
      <w:r w:rsidR="000127E0" w:rsidRPr="00FF3DE3">
        <w:t>.</w:t>
      </w:r>
      <w:r w:rsidR="00DA34BF">
        <w:t xml:space="preserve"> </w:t>
      </w:r>
      <w:r w:rsidR="002474FB">
        <w:t xml:space="preserve">The impact of </w:t>
      </w:r>
      <w:r w:rsidR="00020711">
        <w:t>this assumption on the ICER was explored in scenario analysis</w:t>
      </w:r>
      <w:r w:rsidR="00DB7665">
        <w:t>.</w:t>
      </w:r>
    </w:p>
    <w:p w14:paraId="4CC9BB94" w14:textId="5A2AC7B5" w:rsidR="00522DA3" w:rsidRPr="00D7789F" w:rsidRDefault="001C26CF" w:rsidP="00D7789F">
      <w:r w:rsidRPr="001C26CF">
        <w:t xml:space="preserve">In accordance with the PICO confirmation ratified by </w:t>
      </w:r>
      <w:r w:rsidR="00DA2B3C">
        <w:t>PASC</w:t>
      </w:r>
      <w:r w:rsidRPr="001C26CF">
        <w:t xml:space="preserve">, a cost-utility analysis </w:t>
      </w:r>
      <w:r w:rsidR="00395FD8" w:rsidRPr="001C26CF">
        <w:t xml:space="preserve">was undertaken </w:t>
      </w:r>
      <w:r w:rsidRPr="001C26CF">
        <w:t xml:space="preserve">considering lifetime quality-adjusted life years (QALYs) and healthcare costs. The model considers the cost-effectiveness of </w:t>
      </w:r>
      <w:r w:rsidRPr="00052200">
        <w:rPr>
          <w:vertAlign w:val="superscript"/>
        </w:rPr>
        <w:t>177</w:t>
      </w:r>
      <w:r w:rsidRPr="001C26CF">
        <w:t>Lu-</w:t>
      </w:r>
      <w:r w:rsidR="00607D95">
        <w:t xml:space="preserve">DOTA-octreotate </w:t>
      </w:r>
      <w:r w:rsidRPr="001C26CF">
        <w:t xml:space="preserve">compared with all </w:t>
      </w:r>
      <w:r w:rsidR="007361FA">
        <w:t>6</w:t>
      </w:r>
      <w:r w:rsidRPr="001C26CF">
        <w:t xml:space="preserve"> comparator therapies independently, with </w:t>
      </w:r>
      <w:r w:rsidR="00461E46">
        <w:t xml:space="preserve">the </w:t>
      </w:r>
      <w:r w:rsidRPr="001C26CF">
        <w:t>results expressed in terms of incremental cost per QALY gained.</w:t>
      </w:r>
      <w:r>
        <w:t xml:space="preserve"> A summary of the key features of the analysis is presented in </w:t>
      </w:r>
      <w:r>
        <w:fldChar w:fldCharType="begin"/>
      </w:r>
      <w:r>
        <w:instrText xml:space="preserve"> REF _Ref69725820 \h </w:instrText>
      </w:r>
      <w:r>
        <w:fldChar w:fldCharType="separate"/>
      </w:r>
      <w:r w:rsidR="0084549C" w:rsidRPr="00CE28E3">
        <w:t>Table</w:t>
      </w:r>
      <w:r w:rsidR="0084549C">
        <w:t> </w:t>
      </w:r>
      <w:r w:rsidR="0084549C">
        <w:rPr>
          <w:noProof/>
        </w:rPr>
        <w:t>11</w:t>
      </w:r>
      <w:r>
        <w:fldChar w:fldCharType="end"/>
      </w:r>
      <w:r>
        <w:t>.</w:t>
      </w:r>
      <w:r w:rsidR="00DB13A0" w:rsidRPr="00D7789F">
        <w:t xml:space="preserve"> </w:t>
      </w:r>
    </w:p>
    <w:p w14:paraId="7832FEBA" w14:textId="363C5E85" w:rsidR="00C107C3" w:rsidRPr="00CE28E3" w:rsidRDefault="00C107C3" w:rsidP="00B54B18">
      <w:pPr>
        <w:pStyle w:val="Caption"/>
        <w:keepLines/>
        <w:tabs>
          <w:tab w:val="left" w:pos="1134"/>
        </w:tabs>
        <w:ind w:left="1134" w:hanging="1134"/>
      </w:pPr>
      <w:bookmarkStart w:id="82" w:name="_Ref69725820"/>
      <w:bookmarkStart w:id="83" w:name="_Ref160458835"/>
      <w:bookmarkStart w:id="84" w:name="_Toc161842045"/>
      <w:r w:rsidRPr="00CE28E3">
        <w:lastRenderedPageBreak/>
        <w:t>Table</w:t>
      </w:r>
      <w:r w:rsidR="004A4FDF">
        <w:t> </w:t>
      </w:r>
      <w:r w:rsidRPr="00CE28E3">
        <w:rPr>
          <w:noProof/>
        </w:rPr>
        <w:fldChar w:fldCharType="begin"/>
      </w:r>
      <w:r w:rsidRPr="00CE28E3">
        <w:rPr>
          <w:noProof/>
        </w:rPr>
        <w:instrText xml:space="preserve"> SEQ Table \* ARABIC </w:instrText>
      </w:r>
      <w:r w:rsidRPr="00CE28E3">
        <w:rPr>
          <w:noProof/>
        </w:rPr>
        <w:fldChar w:fldCharType="separate"/>
      </w:r>
      <w:r w:rsidR="006D13BC">
        <w:rPr>
          <w:noProof/>
        </w:rPr>
        <w:t>11</w:t>
      </w:r>
      <w:r w:rsidRPr="00CE28E3">
        <w:rPr>
          <w:noProof/>
        </w:rPr>
        <w:fldChar w:fldCharType="end"/>
      </w:r>
      <w:bookmarkEnd w:id="82"/>
      <w:r w:rsidR="007C059C">
        <w:rPr>
          <w:noProof/>
        </w:rPr>
        <w:t xml:space="preserve">: </w:t>
      </w:r>
      <w:r w:rsidRPr="00CE28E3">
        <w:t>Summary of the economic evaluation</w:t>
      </w:r>
      <w:bookmarkEnd w:id="83"/>
      <w:r w:rsidR="0031493D">
        <w:t xml:space="preserve"> of </w:t>
      </w:r>
      <w:r w:rsidR="0031493D" w:rsidRPr="0031493D">
        <w:rPr>
          <w:vertAlign w:val="superscript"/>
        </w:rPr>
        <w:t>177</w:t>
      </w:r>
      <w:r w:rsidR="0031493D">
        <w:t>Lu-DOTA-octreotate treatment</w:t>
      </w:r>
      <w:r w:rsidRPr="00CE28E3">
        <w:t xml:space="preserve"> </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the economic evaluation "/>
        <w:tblDescription w:val="This table describes the key constructs of the economic evaluation that is provided in the assessment report."/>
      </w:tblPr>
      <w:tblGrid>
        <w:gridCol w:w="2319"/>
        <w:gridCol w:w="6697"/>
      </w:tblGrid>
      <w:tr w:rsidR="00C05700" w:rsidRPr="00CE28E3" w14:paraId="3C0DF1BD" w14:textId="2726922C" w:rsidTr="001053EF">
        <w:trPr>
          <w:cantSplit/>
          <w:tblHeader/>
        </w:trPr>
        <w:tc>
          <w:tcPr>
            <w:tcW w:w="1286" w:type="pct"/>
          </w:tcPr>
          <w:p w14:paraId="57632985" w14:textId="77777777" w:rsidR="00C05700" w:rsidRPr="000449D1" w:rsidRDefault="00C05700" w:rsidP="00B54B18">
            <w:pPr>
              <w:pStyle w:val="TableHeading0"/>
              <w:keepNext/>
              <w:keepLines/>
            </w:pPr>
            <w:bookmarkStart w:id="85" w:name="Title_Table5"/>
            <w:bookmarkStart w:id="86" w:name="_Hlk68276446"/>
            <w:bookmarkEnd w:id="85"/>
            <w:r w:rsidRPr="000449D1">
              <w:t>Component</w:t>
            </w:r>
          </w:p>
        </w:tc>
        <w:tc>
          <w:tcPr>
            <w:tcW w:w="3714" w:type="pct"/>
          </w:tcPr>
          <w:p w14:paraId="123CA837" w14:textId="77777777" w:rsidR="00C05700" w:rsidRPr="000449D1" w:rsidRDefault="00C05700" w:rsidP="00B54B18">
            <w:pPr>
              <w:pStyle w:val="TableHeading0"/>
              <w:keepNext/>
              <w:keepLines/>
            </w:pPr>
            <w:r w:rsidRPr="000449D1">
              <w:t>Description</w:t>
            </w:r>
          </w:p>
        </w:tc>
      </w:tr>
      <w:tr w:rsidR="006F79C8" w:rsidRPr="000449D1" w14:paraId="31113E27" w14:textId="755DAA21" w:rsidTr="001053EF">
        <w:trPr>
          <w:cantSplit/>
        </w:trPr>
        <w:tc>
          <w:tcPr>
            <w:tcW w:w="1286" w:type="pct"/>
          </w:tcPr>
          <w:p w14:paraId="7DFFBC7E" w14:textId="77777777" w:rsidR="006F79C8" w:rsidRPr="000449D1" w:rsidRDefault="006F79C8" w:rsidP="00B54B18">
            <w:pPr>
              <w:pStyle w:val="TableText"/>
              <w:keepNext/>
              <w:keepLines/>
            </w:pPr>
            <w:r w:rsidRPr="000449D1">
              <w:t>Perspective</w:t>
            </w:r>
          </w:p>
        </w:tc>
        <w:tc>
          <w:tcPr>
            <w:tcW w:w="3714" w:type="pct"/>
          </w:tcPr>
          <w:p w14:paraId="56EF2FFF" w14:textId="6FBB0A62" w:rsidR="006F79C8" w:rsidRPr="000449D1" w:rsidRDefault="00461E46" w:rsidP="00B54B18">
            <w:pPr>
              <w:pStyle w:val="TableText"/>
              <w:keepNext/>
              <w:keepLines/>
            </w:pPr>
            <w:r>
              <w:rPr>
                <w:rFonts w:eastAsia="Calibri" w:cs="Helvetica"/>
                <w:lang w:val="en-GB"/>
              </w:rPr>
              <w:t>Healthcare</w:t>
            </w:r>
            <w:r w:rsidR="006F79C8" w:rsidRPr="005F6E9A">
              <w:rPr>
                <w:rFonts w:eastAsia="Calibri" w:cs="Helvetica"/>
                <w:lang w:val="en-GB"/>
              </w:rPr>
              <w:t xml:space="preserve"> system perspective</w:t>
            </w:r>
          </w:p>
        </w:tc>
      </w:tr>
      <w:tr w:rsidR="006F79C8" w:rsidRPr="000449D1" w14:paraId="3AE7C53E" w14:textId="3AF3CBC2" w:rsidTr="001053EF">
        <w:trPr>
          <w:cantSplit/>
          <w:tblHeader/>
        </w:trPr>
        <w:tc>
          <w:tcPr>
            <w:tcW w:w="1286" w:type="pct"/>
          </w:tcPr>
          <w:p w14:paraId="7D8A22F3" w14:textId="77777777" w:rsidR="006F79C8" w:rsidRPr="000449D1" w:rsidRDefault="006F79C8" w:rsidP="00B54B18">
            <w:pPr>
              <w:pStyle w:val="TableText"/>
              <w:keepNext/>
              <w:keepLines/>
            </w:pPr>
            <w:r w:rsidRPr="000449D1">
              <w:t>Population</w:t>
            </w:r>
          </w:p>
        </w:tc>
        <w:tc>
          <w:tcPr>
            <w:tcW w:w="3714" w:type="pct"/>
          </w:tcPr>
          <w:p w14:paraId="376BBABD" w14:textId="75B827FB" w:rsidR="006F79C8" w:rsidRPr="000449D1" w:rsidRDefault="006F79C8" w:rsidP="00B54B18">
            <w:pPr>
              <w:pStyle w:val="TableText"/>
              <w:keepNext/>
              <w:keepLines/>
            </w:pPr>
            <w:r w:rsidRPr="005F6E9A">
              <w:rPr>
                <w:color w:val="000000" w:themeColor="text1"/>
              </w:rPr>
              <w:t xml:space="preserve">Patients referred by an MDT, with histologically confirmed, locally advanced or metastatic, inoperable NENs with documented disease progression or uncontrolled </w:t>
            </w:r>
            <w:r w:rsidR="00461E46">
              <w:rPr>
                <w:color w:val="000000" w:themeColor="text1"/>
              </w:rPr>
              <w:t xml:space="preserve">NEN-related </w:t>
            </w:r>
            <w:r w:rsidRPr="005F6E9A">
              <w:rPr>
                <w:color w:val="000000" w:themeColor="text1"/>
              </w:rPr>
              <w:t>symptoms despite standard therapy who have demonstrated H-SSTR.</w:t>
            </w:r>
          </w:p>
        </w:tc>
      </w:tr>
      <w:tr w:rsidR="006F79C8" w:rsidRPr="000449D1" w14:paraId="35DC265A" w14:textId="6A15DD17" w:rsidTr="001053EF">
        <w:trPr>
          <w:cantSplit/>
        </w:trPr>
        <w:tc>
          <w:tcPr>
            <w:tcW w:w="1286" w:type="pct"/>
          </w:tcPr>
          <w:p w14:paraId="6886BA88" w14:textId="0714597D" w:rsidR="006F79C8" w:rsidRPr="000449D1" w:rsidRDefault="006F79C8" w:rsidP="00B54B18">
            <w:pPr>
              <w:pStyle w:val="TableText"/>
              <w:keepNext/>
              <w:keepLines/>
            </w:pPr>
            <w:r w:rsidRPr="000449D1">
              <w:t>Prior testing</w:t>
            </w:r>
          </w:p>
        </w:tc>
        <w:tc>
          <w:tcPr>
            <w:tcW w:w="3714" w:type="pct"/>
          </w:tcPr>
          <w:p w14:paraId="2E916D8F" w14:textId="4E34FE58" w:rsidR="006F79C8" w:rsidRPr="006F79C8" w:rsidRDefault="00461E46" w:rsidP="00B54B18">
            <w:pPr>
              <w:pStyle w:val="TableText"/>
              <w:keepNext/>
              <w:keepLines/>
              <w:rPr>
                <w:rFonts w:eastAsia="Calibri" w:cs="Helvetica"/>
                <w:szCs w:val="20"/>
              </w:rPr>
            </w:pPr>
            <w:r w:rsidRPr="006F79C8">
              <w:rPr>
                <w:rFonts w:eastAsia="Calibri" w:cs="Helvetica"/>
              </w:rPr>
              <w:t xml:space="preserve">The economic model considers </w:t>
            </w:r>
            <w:r>
              <w:rPr>
                <w:rFonts w:eastAsia="Calibri" w:cs="Helvetica"/>
                <w:szCs w:val="20"/>
              </w:rPr>
              <w:t>2</w:t>
            </w:r>
            <w:r w:rsidRPr="006F79C8">
              <w:rPr>
                <w:rFonts w:eastAsia="Calibri" w:cs="Helvetica"/>
                <w:szCs w:val="20"/>
              </w:rPr>
              <w:t xml:space="preserve"> </w:t>
            </w:r>
            <w:r w:rsidR="006F79C8" w:rsidRPr="006F79C8">
              <w:rPr>
                <w:rFonts w:eastAsia="Calibri" w:cs="Helvetica"/>
                <w:szCs w:val="20"/>
              </w:rPr>
              <w:t>diagnostic tests:</w:t>
            </w:r>
          </w:p>
          <w:p w14:paraId="5CA3623E" w14:textId="326D41FC" w:rsidR="00940EC3" w:rsidRPr="006F79C8" w:rsidRDefault="001C5E09" w:rsidP="00B54B18">
            <w:pPr>
              <w:pStyle w:val="TableText"/>
              <w:keepNext/>
              <w:keepLines/>
              <w:numPr>
                <w:ilvl w:val="0"/>
                <w:numId w:val="20"/>
              </w:numPr>
              <w:rPr>
                <w:rFonts w:eastAsia="Calibri" w:cs="Helvetica"/>
                <w:szCs w:val="20"/>
                <w:lang w:val="sv-SE"/>
              </w:rPr>
            </w:pPr>
            <w:r w:rsidRPr="001053EF">
              <w:rPr>
                <w:rFonts w:eastAsia="Calibri" w:cs="Helvetica"/>
                <w:vertAlign w:val="superscript"/>
                <w:lang w:val="sv-SE"/>
              </w:rPr>
              <w:t>68</w:t>
            </w:r>
            <w:r w:rsidR="006F79C8" w:rsidRPr="006F79C8">
              <w:rPr>
                <w:rFonts w:eastAsia="Calibri" w:cs="Helvetica"/>
                <w:lang w:val="sv-SE"/>
              </w:rPr>
              <w:t>Ga-</w:t>
            </w:r>
            <w:r w:rsidR="00607D95">
              <w:rPr>
                <w:rFonts w:eastAsia="Calibri" w:cs="Helvetica"/>
                <w:szCs w:val="20"/>
                <w:lang w:val="sv-SE"/>
              </w:rPr>
              <w:t xml:space="preserve">DOTA-octreotate </w:t>
            </w:r>
            <w:r w:rsidR="006F79C8" w:rsidRPr="006F79C8">
              <w:rPr>
                <w:rFonts w:eastAsia="Calibri" w:cs="Helvetica"/>
                <w:szCs w:val="20"/>
                <w:lang w:val="sv-SE"/>
              </w:rPr>
              <w:t>SSTR-PET/CT</w:t>
            </w:r>
          </w:p>
          <w:p w14:paraId="4DFB951D" w14:textId="0E988870" w:rsidR="006F79C8" w:rsidRPr="006F79C8" w:rsidRDefault="001C5E09" w:rsidP="00B54B18">
            <w:pPr>
              <w:pStyle w:val="TableText"/>
              <w:keepNext/>
              <w:keepLines/>
              <w:numPr>
                <w:ilvl w:val="0"/>
                <w:numId w:val="20"/>
              </w:numPr>
              <w:rPr>
                <w:rFonts w:eastAsia="Calibri" w:cs="Helvetica"/>
                <w:szCs w:val="20"/>
              </w:rPr>
            </w:pPr>
            <w:r w:rsidRPr="001053EF">
              <w:rPr>
                <w:rFonts w:eastAsia="Calibri" w:cs="Helvetica"/>
                <w:vertAlign w:val="superscript"/>
              </w:rPr>
              <w:t>18</w:t>
            </w:r>
            <w:r>
              <w:rPr>
                <w:rFonts w:eastAsia="Calibri" w:cs="Helvetica"/>
              </w:rPr>
              <w:t>F-</w:t>
            </w:r>
            <w:r w:rsidR="006F79C8" w:rsidRPr="006F79C8">
              <w:rPr>
                <w:rFonts w:eastAsia="Calibri" w:cs="Helvetica"/>
              </w:rPr>
              <w:t>FDG PET/CT</w:t>
            </w:r>
          </w:p>
          <w:p w14:paraId="13AED989" w14:textId="27D56958" w:rsidR="006F79C8" w:rsidRPr="006F79C8" w:rsidRDefault="006F79C8" w:rsidP="00B54B18">
            <w:pPr>
              <w:pStyle w:val="TableText"/>
              <w:keepNext/>
              <w:keepLines/>
            </w:pPr>
            <w:r w:rsidRPr="006F79C8">
              <w:rPr>
                <w:rFonts w:eastAsia="Calibri" w:cs="Helvetica"/>
              </w:rPr>
              <w:t xml:space="preserve">As there </w:t>
            </w:r>
            <w:r w:rsidR="00461E46">
              <w:rPr>
                <w:rFonts w:eastAsia="Calibri" w:cs="Helvetica"/>
              </w:rPr>
              <w:t>are</w:t>
            </w:r>
            <w:r w:rsidRPr="006F79C8">
              <w:rPr>
                <w:rFonts w:eastAsia="Calibri" w:cs="Helvetica"/>
              </w:rPr>
              <w:t xml:space="preserve"> no data on the impact of the diagnostic testing on disease outcomes, diagnostic testing is considered only as an additional cost.</w:t>
            </w:r>
          </w:p>
        </w:tc>
      </w:tr>
      <w:tr w:rsidR="009E7ADB" w:rsidRPr="000449D1" w14:paraId="17920982" w14:textId="77777777" w:rsidTr="001053EF">
        <w:trPr>
          <w:cantSplit/>
        </w:trPr>
        <w:tc>
          <w:tcPr>
            <w:tcW w:w="1286" w:type="pct"/>
          </w:tcPr>
          <w:p w14:paraId="443F1A35" w14:textId="65CE9858" w:rsidR="009E7ADB" w:rsidRPr="000449D1" w:rsidRDefault="009E7ADB" w:rsidP="002537CB">
            <w:pPr>
              <w:pStyle w:val="TableText"/>
            </w:pPr>
            <w:r>
              <w:t>Intervention</w:t>
            </w:r>
          </w:p>
        </w:tc>
        <w:tc>
          <w:tcPr>
            <w:tcW w:w="3714" w:type="pct"/>
          </w:tcPr>
          <w:p w14:paraId="43DD3048" w14:textId="2EC06FBC" w:rsidR="009E7ADB" w:rsidRPr="009E7ADB" w:rsidRDefault="009E7ADB" w:rsidP="002537CB">
            <w:pPr>
              <w:pStyle w:val="TableText"/>
              <w:rPr>
                <w:rFonts w:eastAsia="Calibri" w:cs="Helvetica"/>
              </w:rPr>
            </w:pPr>
            <w:r w:rsidRPr="009E7ADB">
              <w:rPr>
                <w:vertAlign w:val="superscript"/>
              </w:rPr>
              <w:t>177</w:t>
            </w:r>
            <w:r w:rsidRPr="009E7ADB">
              <w:t>Lu-DOTA-octreotate</w:t>
            </w:r>
          </w:p>
        </w:tc>
      </w:tr>
      <w:tr w:rsidR="00C05700" w:rsidRPr="000449D1" w14:paraId="750830A5" w14:textId="33978BE8" w:rsidTr="001053EF">
        <w:trPr>
          <w:cantSplit/>
        </w:trPr>
        <w:tc>
          <w:tcPr>
            <w:tcW w:w="1286" w:type="pct"/>
          </w:tcPr>
          <w:p w14:paraId="59B80C68" w14:textId="77777777" w:rsidR="00C05700" w:rsidRPr="000449D1" w:rsidRDefault="00C05700" w:rsidP="002537CB">
            <w:pPr>
              <w:pStyle w:val="TableText"/>
            </w:pPr>
            <w:r w:rsidRPr="000449D1">
              <w:t>Comparator</w:t>
            </w:r>
          </w:p>
        </w:tc>
        <w:tc>
          <w:tcPr>
            <w:tcW w:w="3714" w:type="pct"/>
          </w:tcPr>
          <w:p w14:paraId="22C19F9D" w14:textId="106367B1" w:rsidR="006F79C8" w:rsidRPr="006F79C8" w:rsidRDefault="006F79C8" w:rsidP="002537CB">
            <w:pPr>
              <w:pStyle w:val="TableText"/>
              <w:rPr>
                <w:rFonts w:eastAsia="Calibri" w:cs="Helvetica"/>
                <w:szCs w:val="20"/>
              </w:rPr>
            </w:pPr>
            <w:r w:rsidRPr="006F79C8">
              <w:rPr>
                <w:rFonts w:eastAsia="Calibri" w:cs="Helvetica"/>
              </w:rPr>
              <w:t xml:space="preserve">The economic model considers </w:t>
            </w:r>
            <w:r w:rsidR="007361FA">
              <w:rPr>
                <w:rFonts w:eastAsia="Calibri" w:cs="Helvetica"/>
                <w:szCs w:val="20"/>
              </w:rPr>
              <w:t>6</w:t>
            </w:r>
            <w:r w:rsidRPr="006F79C8">
              <w:rPr>
                <w:rFonts w:eastAsia="Calibri" w:cs="Helvetica"/>
                <w:szCs w:val="20"/>
              </w:rPr>
              <w:t xml:space="preserve"> comparator therapies:</w:t>
            </w:r>
          </w:p>
          <w:p w14:paraId="5F07292E" w14:textId="0F301DCA" w:rsidR="00940EC3" w:rsidRPr="006F79C8" w:rsidRDefault="006F79C8" w:rsidP="00D83E90">
            <w:pPr>
              <w:pStyle w:val="TableText"/>
              <w:numPr>
                <w:ilvl w:val="0"/>
                <w:numId w:val="21"/>
              </w:numPr>
              <w:rPr>
                <w:rFonts w:eastAsia="Calibri" w:cs="Helvetica"/>
                <w:szCs w:val="20"/>
              </w:rPr>
            </w:pPr>
            <w:r w:rsidRPr="006F79C8">
              <w:rPr>
                <w:rFonts w:eastAsia="Calibri" w:cs="Helvetica"/>
              </w:rPr>
              <w:t>octreotide</w:t>
            </w:r>
          </w:p>
          <w:p w14:paraId="109B9275" w14:textId="73E4F8D2" w:rsidR="00940EC3" w:rsidRPr="00940EC3" w:rsidRDefault="006F79C8" w:rsidP="00D83E90">
            <w:pPr>
              <w:pStyle w:val="TableText"/>
              <w:numPr>
                <w:ilvl w:val="0"/>
                <w:numId w:val="21"/>
              </w:numPr>
              <w:rPr>
                <w:rFonts w:eastAsia="Calibri" w:cs="Helvetica"/>
                <w:szCs w:val="20"/>
              </w:rPr>
            </w:pPr>
            <w:r w:rsidRPr="006F79C8">
              <w:rPr>
                <w:rFonts w:eastAsia="Calibri" w:cs="Helvetica"/>
              </w:rPr>
              <w:t>everolimus</w:t>
            </w:r>
          </w:p>
          <w:p w14:paraId="41EC0D99" w14:textId="20015F55" w:rsidR="00940EC3" w:rsidRPr="0031493D" w:rsidRDefault="0031493D" w:rsidP="00D83E90">
            <w:pPr>
              <w:pStyle w:val="TableText"/>
              <w:numPr>
                <w:ilvl w:val="0"/>
                <w:numId w:val="21"/>
              </w:numPr>
              <w:rPr>
                <w:rFonts w:eastAsia="Calibri" w:cs="Helvetica"/>
                <w:szCs w:val="20"/>
              </w:rPr>
            </w:pPr>
            <w:r w:rsidRPr="006F79C8">
              <w:rPr>
                <w:rFonts w:eastAsia="Calibri" w:cs="Helvetica"/>
              </w:rPr>
              <w:t>octreotide</w:t>
            </w:r>
            <w:r>
              <w:rPr>
                <w:rFonts w:eastAsia="Calibri" w:cs="Helvetica"/>
              </w:rPr>
              <w:t xml:space="preserve"> </w:t>
            </w:r>
            <w:r w:rsidR="006F79C8" w:rsidRPr="0031493D">
              <w:rPr>
                <w:rFonts w:eastAsia="Calibri" w:cs="Helvetica"/>
                <w:szCs w:val="20"/>
              </w:rPr>
              <w:t>+</w:t>
            </w:r>
            <w:r>
              <w:rPr>
                <w:rFonts w:eastAsia="Calibri" w:cs="Helvetica"/>
                <w:szCs w:val="20"/>
              </w:rPr>
              <w:t xml:space="preserve"> everolimus</w:t>
            </w:r>
            <w:r w:rsidRPr="0031493D">
              <w:rPr>
                <w:rFonts w:eastAsia="Calibri" w:cs="Helvetica"/>
                <w:szCs w:val="20"/>
              </w:rPr>
              <w:t xml:space="preserve"> combination therapy</w:t>
            </w:r>
          </w:p>
          <w:p w14:paraId="44A491F6" w14:textId="3C3A2A1C" w:rsidR="00940EC3" w:rsidRPr="00940EC3" w:rsidRDefault="006F79C8" w:rsidP="00D83E90">
            <w:pPr>
              <w:pStyle w:val="TableText"/>
              <w:numPr>
                <w:ilvl w:val="0"/>
                <w:numId w:val="21"/>
              </w:numPr>
              <w:rPr>
                <w:rFonts w:eastAsia="Calibri" w:cs="Helvetica"/>
                <w:szCs w:val="20"/>
              </w:rPr>
            </w:pPr>
            <w:r w:rsidRPr="006F79C8">
              <w:rPr>
                <w:rFonts w:eastAsia="Calibri" w:cs="Helvetica"/>
              </w:rPr>
              <w:t>lanreotide</w:t>
            </w:r>
          </w:p>
          <w:p w14:paraId="41022AFC" w14:textId="77777777" w:rsidR="0031493D" w:rsidRPr="0031493D" w:rsidRDefault="006F79C8" w:rsidP="00D83E90">
            <w:pPr>
              <w:pStyle w:val="TableText"/>
              <w:numPr>
                <w:ilvl w:val="0"/>
                <w:numId w:val="21"/>
              </w:numPr>
            </w:pPr>
            <w:r w:rsidRPr="006F79C8">
              <w:rPr>
                <w:rFonts w:eastAsia="Calibri" w:cs="Helvetica"/>
              </w:rPr>
              <w:t>sunitinib</w:t>
            </w:r>
          </w:p>
          <w:p w14:paraId="04C0D717" w14:textId="4A935219" w:rsidR="00C05700" w:rsidRPr="006F79C8" w:rsidRDefault="006F79C8" w:rsidP="00D83E90">
            <w:pPr>
              <w:pStyle w:val="TableText"/>
              <w:numPr>
                <w:ilvl w:val="0"/>
                <w:numId w:val="21"/>
              </w:numPr>
            </w:pPr>
            <w:r w:rsidRPr="006F79C8">
              <w:rPr>
                <w:rFonts w:eastAsia="Calibri" w:cs="Helvetica"/>
              </w:rPr>
              <w:t>placebo, considered as best supportive care alone</w:t>
            </w:r>
            <w:r w:rsidR="00E4747E">
              <w:rPr>
                <w:rFonts w:eastAsia="Calibri" w:cs="Helvetica"/>
              </w:rPr>
              <w:t xml:space="preserve"> (most relevant comparator)</w:t>
            </w:r>
          </w:p>
        </w:tc>
      </w:tr>
      <w:tr w:rsidR="00C05700" w:rsidRPr="000449D1" w14:paraId="352DFBB5" w14:textId="23E331A7" w:rsidTr="001053EF">
        <w:trPr>
          <w:cantSplit/>
        </w:trPr>
        <w:tc>
          <w:tcPr>
            <w:tcW w:w="1286" w:type="pct"/>
          </w:tcPr>
          <w:p w14:paraId="563F18FC" w14:textId="77777777" w:rsidR="00C05700" w:rsidRPr="000449D1" w:rsidRDefault="00C05700" w:rsidP="002537CB">
            <w:pPr>
              <w:pStyle w:val="TableText"/>
            </w:pPr>
            <w:r w:rsidRPr="000449D1">
              <w:t>Type(s) of analysis</w:t>
            </w:r>
          </w:p>
        </w:tc>
        <w:tc>
          <w:tcPr>
            <w:tcW w:w="3714" w:type="pct"/>
          </w:tcPr>
          <w:p w14:paraId="4DAE5CE1" w14:textId="654CC899" w:rsidR="00C05700" w:rsidRPr="000449D1" w:rsidRDefault="006F79C8" w:rsidP="002537CB">
            <w:pPr>
              <w:pStyle w:val="TableText"/>
            </w:pPr>
            <w:r w:rsidRPr="006F79C8">
              <w:t>Cost</w:t>
            </w:r>
            <w:r w:rsidR="0083196A">
              <w:t>-</w:t>
            </w:r>
            <w:r w:rsidRPr="006F79C8">
              <w:t>utility analysis</w:t>
            </w:r>
          </w:p>
        </w:tc>
      </w:tr>
      <w:tr w:rsidR="00C05700" w:rsidRPr="000449D1" w14:paraId="6CB6FA6B" w14:textId="0CFF196E" w:rsidTr="001053EF">
        <w:trPr>
          <w:cantSplit/>
        </w:trPr>
        <w:tc>
          <w:tcPr>
            <w:tcW w:w="1286" w:type="pct"/>
          </w:tcPr>
          <w:p w14:paraId="401E0BAC" w14:textId="77777777" w:rsidR="00C05700" w:rsidRPr="000449D1" w:rsidRDefault="00C05700" w:rsidP="002537CB">
            <w:pPr>
              <w:pStyle w:val="TableText"/>
            </w:pPr>
            <w:r w:rsidRPr="000449D1">
              <w:t>Outcomes</w:t>
            </w:r>
          </w:p>
        </w:tc>
        <w:tc>
          <w:tcPr>
            <w:tcW w:w="3714" w:type="pct"/>
          </w:tcPr>
          <w:p w14:paraId="28FA40AE" w14:textId="407C46D6" w:rsidR="006F79C8" w:rsidRPr="006F79C8" w:rsidRDefault="00DA3C42" w:rsidP="002537CB">
            <w:pPr>
              <w:pStyle w:val="TableText"/>
            </w:pPr>
            <w:r>
              <w:t>O</w:t>
            </w:r>
            <w:r w:rsidR="006F79C8" w:rsidRPr="006F79C8">
              <w:t>utcome measures to be considered:</w:t>
            </w:r>
          </w:p>
          <w:p w14:paraId="24CBEAB6" w14:textId="1BDB06C2" w:rsidR="004B3A85" w:rsidRPr="006F79C8" w:rsidRDefault="00DA3C42" w:rsidP="00D83E90">
            <w:pPr>
              <w:pStyle w:val="TableText"/>
              <w:numPr>
                <w:ilvl w:val="0"/>
                <w:numId w:val="22"/>
              </w:numPr>
            </w:pPr>
            <w:r>
              <w:t>t</w:t>
            </w:r>
            <w:r w:rsidR="006F79C8" w:rsidRPr="006F79C8">
              <w:t>reatment</w:t>
            </w:r>
            <w:r>
              <w:t>-</w:t>
            </w:r>
            <w:r w:rsidR="006F79C8" w:rsidRPr="006F79C8">
              <w:t>specific efficacy; oncological and patient-relevant quality of life</w:t>
            </w:r>
            <w:r>
              <w:t xml:space="preserve"> and</w:t>
            </w:r>
            <w:r w:rsidR="006F79C8" w:rsidRPr="006F79C8">
              <w:t xml:space="preserve"> disease response (</w:t>
            </w:r>
            <w:r w:rsidR="00766C79">
              <w:t>objective response rate</w:t>
            </w:r>
            <w:r w:rsidR="006F79C8" w:rsidRPr="006F79C8">
              <w:t xml:space="preserve">, disease control rate, biomarkers relevant to patient outcomes, </w:t>
            </w:r>
            <w:r w:rsidR="00B6111C">
              <w:t xml:space="preserve">OS </w:t>
            </w:r>
            <w:r w:rsidR="00F2507F">
              <w:t xml:space="preserve">and PFS </w:t>
            </w:r>
            <w:r w:rsidR="006F79C8" w:rsidRPr="006F79C8">
              <w:t>duration)</w:t>
            </w:r>
          </w:p>
          <w:p w14:paraId="4D9A54A3" w14:textId="25269D07" w:rsidR="004B3A85" w:rsidRPr="006F79C8" w:rsidRDefault="00F2507F" w:rsidP="00D83E90">
            <w:pPr>
              <w:pStyle w:val="TableText"/>
              <w:numPr>
                <w:ilvl w:val="0"/>
                <w:numId w:val="22"/>
              </w:numPr>
            </w:pPr>
            <w:r>
              <w:t>s</w:t>
            </w:r>
            <w:r w:rsidR="006F79C8" w:rsidRPr="006F79C8">
              <w:t>afety</w:t>
            </w:r>
          </w:p>
          <w:p w14:paraId="303B9FCD" w14:textId="3AB631F8" w:rsidR="004B3A85" w:rsidRPr="006F79C8" w:rsidRDefault="00F2507F" w:rsidP="00D83E90">
            <w:pPr>
              <w:pStyle w:val="TableText"/>
              <w:numPr>
                <w:ilvl w:val="0"/>
                <w:numId w:val="22"/>
              </w:numPr>
            </w:pPr>
            <w:r>
              <w:t>h</w:t>
            </w:r>
            <w:r w:rsidR="00461E46">
              <w:t>ealthcare</w:t>
            </w:r>
            <w:r w:rsidR="006F79C8" w:rsidRPr="006F79C8">
              <w:t xml:space="preserve"> resource use</w:t>
            </w:r>
          </w:p>
          <w:p w14:paraId="79635A40" w14:textId="79BBC832" w:rsidR="004B3A85" w:rsidRPr="006F79C8" w:rsidRDefault="006F79C8" w:rsidP="00D83E90">
            <w:pPr>
              <w:pStyle w:val="TableText"/>
              <w:numPr>
                <w:ilvl w:val="0"/>
                <w:numId w:val="22"/>
              </w:numPr>
            </w:pPr>
            <w:r w:rsidRPr="006F79C8">
              <w:t>QALYs</w:t>
            </w:r>
          </w:p>
          <w:p w14:paraId="5BB292CF" w14:textId="40F3D7BE" w:rsidR="00C05700" w:rsidRPr="000449D1" w:rsidRDefault="00F2507F" w:rsidP="00D83E90">
            <w:pPr>
              <w:pStyle w:val="TableText"/>
              <w:numPr>
                <w:ilvl w:val="0"/>
                <w:numId w:val="22"/>
              </w:numPr>
            </w:pPr>
            <w:r>
              <w:t>t</w:t>
            </w:r>
            <w:r w:rsidR="006F79C8" w:rsidRPr="006F79C8">
              <w:t xml:space="preserve">otal Australian Government </w:t>
            </w:r>
            <w:r w:rsidR="00461E46">
              <w:t>healthcare</w:t>
            </w:r>
            <w:r w:rsidR="006F79C8" w:rsidRPr="006F79C8">
              <w:t xml:space="preserve"> costs</w:t>
            </w:r>
          </w:p>
        </w:tc>
      </w:tr>
      <w:tr w:rsidR="00C05700" w:rsidRPr="000449D1" w14:paraId="643C0794" w14:textId="7BA4E085" w:rsidTr="001053EF">
        <w:trPr>
          <w:cantSplit/>
        </w:trPr>
        <w:tc>
          <w:tcPr>
            <w:tcW w:w="1286" w:type="pct"/>
          </w:tcPr>
          <w:p w14:paraId="42B1D84D" w14:textId="77777777" w:rsidR="00C05700" w:rsidRPr="000449D1" w:rsidRDefault="00C05700" w:rsidP="002537CB">
            <w:pPr>
              <w:pStyle w:val="TableText"/>
            </w:pPr>
            <w:r w:rsidRPr="000449D1">
              <w:t>Time horizon</w:t>
            </w:r>
          </w:p>
        </w:tc>
        <w:tc>
          <w:tcPr>
            <w:tcW w:w="3714" w:type="pct"/>
          </w:tcPr>
          <w:p w14:paraId="3BC3DE82" w14:textId="6268D70D" w:rsidR="00C05700" w:rsidRPr="000449D1" w:rsidRDefault="006F79C8" w:rsidP="002537CB">
            <w:pPr>
              <w:pStyle w:val="TableText"/>
            </w:pPr>
            <w:r w:rsidRPr="006F79C8">
              <w:t>Lifetime</w:t>
            </w:r>
          </w:p>
        </w:tc>
      </w:tr>
      <w:tr w:rsidR="00C05700" w:rsidRPr="000449D1" w14:paraId="0949BCCC" w14:textId="4456977C" w:rsidTr="001053EF">
        <w:trPr>
          <w:cantSplit/>
        </w:trPr>
        <w:tc>
          <w:tcPr>
            <w:tcW w:w="1286" w:type="pct"/>
          </w:tcPr>
          <w:p w14:paraId="6DFB973F" w14:textId="77777777" w:rsidR="00C05700" w:rsidRPr="000449D1" w:rsidRDefault="00C05700" w:rsidP="002537CB">
            <w:pPr>
              <w:pStyle w:val="TableText"/>
            </w:pPr>
            <w:r w:rsidRPr="000449D1">
              <w:t>Computational method</w:t>
            </w:r>
          </w:p>
        </w:tc>
        <w:tc>
          <w:tcPr>
            <w:tcW w:w="3714" w:type="pct"/>
          </w:tcPr>
          <w:p w14:paraId="67E64DF6" w14:textId="47C97559" w:rsidR="00C05700" w:rsidRPr="000449D1" w:rsidRDefault="006F79C8" w:rsidP="002537CB">
            <w:pPr>
              <w:pStyle w:val="TableText"/>
            </w:pPr>
            <w:r>
              <w:t>Cohort p</w:t>
            </w:r>
            <w:r w:rsidRPr="006F79C8">
              <w:t>artitioned survival model</w:t>
            </w:r>
          </w:p>
        </w:tc>
      </w:tr>
      <w:tr w:rsidR="00C05700" w:rsidRPr="000449D1" w14:paraId="780AB6C6" w14:textId="5D51678D" w:rsidTr="001053EF">
        <w:trPr>
          <w:cantSplit/>
        </w:trPr>
        <w:tc>
          <w:tcPr>
            <w:tcW w:w="1286" w:type="pct"/>
          </w:tcPr>
          <w:p w14:paraId="6CDC9D32" w14:textId="77777777" w:rsidR="00C05700" w:rsidRPr="000449D1" w:rsidRDefault="00C05700" w:rsidP="002537CB">
            <w:pPr>
              <w:pStyle w:val="TableText"/>
            </w:pPr>
            <w:r w:rsidRPr="000449D1">
              <w:t>Generation of the base case</w:t>
            </w:r>
          </w:p>
        </w:tc>
        <w:tc>
          <w:tcPr>
            <w:tcW w:w="3714" w:type="pct"/>
          </w:tcPr>
          <w:p w14:paraId="6687851E" w14:textId="0553E82D" w:rsidR="00C05700" w:rsidRPr="000449D1" w:rsidRDefault="00F2507F" w:rsidP="002537CB">
            <w:pPr>
              <w:pStyle w:val="TableText"/>
            </w:pPr>
            <w:r>
              <w:t>T</w:t>
            </w:r>
            <w:r w:rsidR="006F79C8" w:rsidRPr="006F79C8">
              <w:t>rial-based evaluation</w:t>
            </w:r>
            <w:r>
              <w:t xml:space="preserve"> </w:t>
            </w:r>
            <w:r w:rsidRPr="006F79C8">
              <w:t>model</w:t>
            </w:r>
          </w:p>
        </w:tc>
      </w:tr>
      <w:tr w:rsidR="00C05700" w:rsidRPr="000449D1" w14:paraId="03A3B794" w14:textId="3A58F192" w:rsidTr="001053EF">
        <w:trPr>
          <w:cantSplit/>
        </w:trPr>
        <w:tc>
          <w:tcPr>
            <w:tcW w:w="1286" w:type="pct"/>
          </w:tcPr>
          <w:p w14:paraId="4E12B2D4" w14:textId="77777777" w:rsidR="00C05700" w:rsidRPr="000449D1" w:rsidRDefault="00C05700" w:rsidP="002537CB">
            <w:pPr>
              <w:pStyle w:val="TableText"/>
            </w:pPr>
            <w:r w:rsidRPr="000449D1">
              <w:t>Health states</w:t>
            </w:r>
          </w:p>
        </w:tc>
        <w:tc>
          <w:tcPr>
            <w:tcW w:w="3714" w:type="pct"/>
          </w:tcPr>
          <w:p w14:paraId="583CF84F" w14:textId="77777777" w:rsidR="006F79C8" w:rsidRPr="006F79C8" w:rsidRDefault="006F79C8" w:rsidP="002537CB">
            <w:pPr>
              <w:pStyle w:val="TableText"/>
            </w:pPr>
            <w:r w:rsidRPr="006F79C8">
              <w:t>Partitioned survival model with the following health states:</w:t>
            </w:r>
          </w:p>
          <w:p w14:paraId="360ECCCF" w14:textId="332BBCBD" w:rsidR="006F79C8" w:rsidRPr="006F79C8" w:rsidRDefault="00F2507F" w:rsidP="00D83E90">
            <w:pPr>
              <w:pStyle w:val="TableText"/>
              <w:numPr>
                <w:ilvl w:val="0"/>
                <w:numId w:val="23"/>
              </w:numPr>
            </w:pPr>
            <w:r>
              <w:t>p</w:t>
            </w:r>
            <w:r w:rsidR="006F79C8" w:rsidRPr="006F79C8">
              <w:t>re-progression</w:t>
            </w:r>
          </w:p>
          <w:p w14:paraId="70D4006E" w14:textId="53CE4FD2" w:rsidR="006F79C8" w:rsidRPr="006F79C8" w:rsidRDefault="00F2507F" w:rsidP="00D83E90">
            <w:pPr>
              <w:pStyle w:val="TableText"/>
              <w:numPr>
                <w:ilvl w:val="0"/>
                <w:numId w:val="23"/>
              </w:numPr>
            </w:pPr>
            <w:r>
              <w:t>p</w:t>
            </w:r>
            <w:r w:rsidR="006F79C8" w:rsidRPr="006F79C8">
              <w:t>ost-progression</w:t>
            </w:r>
          </w:p>
          <w:p w14:paraId="3E63543F" w14:textId="2CD9002F" w:rsidR="00C05700" w:rsidRPr="000449D1" w:rsidRDefault="00F2507F" w:rsidP="00D83E90">
            <w:pPr>
              <w:pStyle w:val="TableText"/>
              <w:numPr>
                <w:ilvl w:val="0"/>
                <w:numId w:val="23"/>
              </w:numPr>
            </w:pPr>
            <w:r>
              <w:t>d</w:t>
            </w:r>
            <w:r w:rsidR="006F79C8" w:rsidRPr="006F79C8">
              <w:t>eath</w:t>
            </w:r>
          </w:p>
        </w:tc>
      </w:tr>
      <w:tr w:rsidR="00C05700" w:rsidRPr="000449D1" w14:paraId="0212C695" w14:textId="63F9F923" w:rsidTr="001053EF">
        <w:trPr>
          <w:cantSplit/>
        </w:trPr>
        <w:tc>
          <w:tcPr>
            <w:tcW w:w="1286" w:type="pct"/>
          </w:tcPr>
          <w:p w14:paraId="3AC64F34" w14:textId="77777777" w:rsidR="00C05700" w:rsidRPr="000449D1" w:rsidRDefault="00C05700" w:rsidP="002537CB">
            <w:pPr>
              <w:pStyle w:val="TableText"/>
            </w:pPr>
            <w:r w:rsidRPr="000449D1">
              <w:t>Cycle length</w:t>
            </w:r>
          </w:p>
        </w:tc>
        <w:tc>
          <w:tcPr>
            <w:tcW w:w="3714" w:type="pct"/>
          </w:tcPr>
          <w:p w14:paraId="64D95EB2" w14:textId="2DB2CD8B" w:rsidR="00C05700" w:rsidRPr="000449D1" w:rsidRDefault="006F79C8" w:rsidP="002537CB">
            <w:pPr>
              <w:pStyle w:val="TableText"/>
            </w:pPr>
            <w:r>
              <w:t>Monthly</w:t>
            </w:r>
          </w:p>
        </w:tc>
      </w:tr>
      <w:tr w:rsidR="00C05700" w:rsidRPr="000449D1" w14:paraId="2976544F" w14:textId="76387CDF" w:rsidTr="001053EF">
        <w:trPr>
          <w:cantSplit/>
        </w:trPr>
        <w:tc>
          <w:tcPr>
            <w:tcW w:w="1286" w:type="pct"/>
          </w:tcPr>
          <w:p w14:paraId="2558F588" w14:textId="77777777" w:rsidR="00C05700" w:rsidRPr="000449D1" w:rsidRDefault="00C05700" w:rsidP="002537CB">
            <w:pPr>
              <w:pStyle w:val="TableText"/>
            </w:pPr>
            <w:r w:rsidRPr="000449D1">
              <w:t>Transition probabilities</w:t>
            </w:r>
          </w:p>
        </w:tc>
        <w:tc>
          <w:tcPr>
            <w:tcW w:w="3714" w:type="pct"/>
          </w:tcPr>
          <w:p w14:paraId="43B247B9" w14:textId="0DED4AD6" w:rsidR="00C05700" w:rsidRPr="006F79C8" w:rsidRDefault="00327F59" w:rsidP="002537CB">
            <w:pPr>
              <w:pStyle w:val="TableText"/>
              <w:rPr>
                <w:rFonts w:eastAsia="Calibri" w:cs="Helvetica"/>
              </w:rPr>
            </w:pPr>
            <w:r>
              <w:rPr>
                <w:rFonts w:cs="Cambria Math"/>
              </w:rPr>
              <w:t>Health state allocation over time determined by PFS and OS data</w:t>
            </w:r>
            <w:r w:rsidR="007B5EAB">
              <w:rPr>
                <w:rFonts w:cs="Cambria Math"/>
              </w:rPr>
              <w:t xml:space="preserve"> from NETTER-1</w:t>
            </w:r>
            <w:r w:rsidR="0093761F">
              <w:rPr>
                <w:rFonts w:cs="Cambria Math"/>
              </w:rPr>
              <w:t xml:space="preserve"> for intervention arm.</w:t>
            </w:r>
            <w:r w:rsidR="00887820">
              <w:rPr>
                <w:rFonts w:cs="Cambria Math"/>
              </w:rPr>
              <w:t xml:space="preserve"> </w:t>
            </w:r>
            <w:r w:rsidR="007032AC">
              <w:rPr>
                <w:rFonts w:cs="Cambria Math"/>
              </w:rPr>
              <w:t>H</w:t>
            </w:r>
            <w:r w:rsidR="008279DB">
              <w:rPr>
                <w:rFonts w:cs="Cambria Math"/>
              </w:rPr>
              <w:t xml:space="preserve">Rs applied to </w:t>
            </w:r>
            <w:r w:rsidR="00291851">
              <w:rPr>
                <w:rFonts w:cs="Cambria Math"/>
              </w:rPr>
              <w:t>model</w:t>
            </w:r>
            <w:r w:rsidR="00505F23">
              <w:rPr>
                <w:rFonts w:cs="Cambria Math"/>
              </w:rPr>
              <w:t xml:space="preserve"> health state allocation</w:t>
            </w:r>
            <w:r w:rsidR="009820B7">
              <w:rPr>
                <w:rFonts w:cs="Cambria Math"/>
              </w:rPr>
              <w:t xml:space="preserve"> by PFS and OS in comparator ar</w:t>
            </w:r>
            <w:r w:rsidR="00AA56E1">
              <w:rPr>
                <w:rFonts w:cs="Cambria Math"/>
              </w:rPr>
              <w:t>m</w:t>
            </w:r>
            <w:r w:rsidR="008279DB">
              <w:rPr>
                <w:rFonts w:cs="Cambria Math"/>
              </w:rPr>
              <w:t xml:space="preserve"> </w:t>
            </w:r>
          </w:p>
        </w:tc>
      </w:tr>
      <w:tr w:rsidR="003F7B3A" w:rsidRPr="000449D1" w14:paraId="0619B77B" w14:textId="65D0CC25" w:rsidTr="001053EF">
        <w:trPr>
          <w:cantSplit/>
        </w:trPr>
        <w:tc>
          <w:tcPr>
            <w:tcW w:w="1286" w:type="pct"/>
          </w:tcPr>
          <w:p w14:paraId="3B8D14D8" w14:textId="77777777" w:rsidR="003F7B3A" w:rsidRPr="000449D1" w:rsidRDefault="003F7B3A" w:rsidP="002537CB">
            <w:pPr>
              <w:pStyle w:val="TableText"/>
            </w:pPr>
            <w:r w:rsidRPr="000449D1">
              <w:t>Discount rate</w:t>
            </w:r>
          </w:p>
        </w:tc>
        <w:tc>
          <w:tcPr>
            <w:tcW w:w="3714" w:type="pct"/>
          </w:tcPr>
          <w:p w14:paraId="2E657A83" w14:textId="5E1B800E" w:rsidR="003F7B3A" w:rsidRPr="000449D1" w:rsidRDefault="003F7B3A" w:rsidP="002537CB">
            <w:pPr>
              <w:pStyle w:val="TableText"/>
            </w:pPr>
            <w:r w:rsidRPr="005F6E9A">
              <w:rPr>
                <w:rFonts w:eastAsia="Calibri" w:cs="Helvetica"/>
                <w:lang w:val="en-GB"/>
              </w:rPr>
              <w:t>5% for both costs and outcomes</w:t>
            </w:r>
          </w:p>
        </w:tc>
      </w:tr>
      <w:tr w:rsidR="003F7B3A" w:rsidRPr="000449D1" w14:paraId="507E6356" w14:textId="7BFC4306" w:rsidTr="001053EF">
        <w:trPr>
          <w:cantSplit/>
        </w:trPr>
        <w:tc>
          <w:tcPr>
            <w:tcW w:w="1286" w:type="pct"/>
          </w:tcPr>
          <w:p w14:paraId="23A08C87" w14:textId="77777777" w:rsidR="003F7B3A" w:rsidRPr="000449D1" w:rsidRDefault="003F7B3A" w:rsidP="002537CB">
            <w:pPr>
              <w:pStyle w:val="TableText"/>
            </w:pPr>
            <w:r w:rsidRPr="000449D1">
              <w:t>Software</w:t>
            </w:r>
          </w:p>
        </w:tc>
        <w:tc>
          <w:tcPr>
            <w:tcW w:w="3714" w:type="pct"/>
          </w:tcPr>
          <w:p w14:paraId="613BDC46" w14:textId="37A451EC" w:rsidR="003F7B3A" w:rsidRPr="000449D1" w:rsidRDefault="008412EA" w:rsidP="002537CB">
            <w:pPr>
              <w:pStyle w:val="TableText"/>
            </w:pPr>
            <w:r w:rsidRPr="008412EA">
              <w:rPr>
                <w:rFonts w:eastAsia="Calibri" w:cs="Helvetica"/>
              </w:rPr>
              <w:t xml:space="preserve">Microsoft </w:t>
            </w:r>
            <w:r w:rsidR="003F7B3A" w:rsidRPr="005F6E9A">
              <w:rPr>
                <w:rFonts w:eastAsia="Calibri" w:cs="Helvetica"/>
                <w:lang w:val="en-GB"/>
              </w:rPr>
              <w:t>Excel</w:t>
            </w:r>
          </w:p>
        </w:tc>
      </w:tr>
    </w:tbl>
    <w:p w14:paraId="443F1B6C" w14:textId="24F2745E" w:rsidR="000127E0" w:rsidRPr="003F7B3A" w:rsidRDefault="003F7B3A" w:rsidP="00A70C56">
      <w:pPr>
        <w:pStyle w:val="Tablenotes0"/>
      </w:pPr>
      <w:bookmarkStart w:id="87" w:name="_Hlk68276459"/>
      <w:bookmarkEnd w:id="86"/>
      <w:r w:rsidRPr="00A70C56">
        <w:t>Abbreviations:</w:t>
      </w:r>
      <w:r w:rsidR="007A3FAD">
        <w:t xml:space="preserve"> FDG =</w:t>
      </w:r>
      <w:r w:rsidR="007A3FAD" w:rsidRPr="007A3FAD">
        <w:t xml:space="preserve"> fluorodeoxyglucose</w:t>
      </w:r>
      <w:r w:rsidR="007A3FAD">
        <w:t>,</w:t>
      </w:r>
      <w:r w:rsidRPr="003F7B3A">
        <w:t xml:space="preserve"> </w:t>
      </w:r>
      <w:r w:rsidR="00D2750E">
        <w:t>MDT = multidisciplinary team;</w:t>
      </w:r>
      <w:r w:rsidRPr="003F7B3A">
        <w:t xml:space="preserve"> </w:t>
      </w:r>
      <w:r w:rsidR="007A3FAD">
        <w:t xml:space="preserve">ORR = objective response rate, </w:t>
      </w:r>
      <w:r w:rsidRPr="003F7B3A">
        <w:t>OS = overall survival,</w:t>
      </w:r>
      <w:r w:rsidR="007A3FAD">
        <w:t xml:space="preserve"> PET/CT = positron emission tomography/computed tomography, </w:t>
      </w:r>
      <w:r w:rsidR="007A3FAD" w:rsidRPr="003F7B3A">
        <w:t>PFS progression-free survival,</w:t>
      </w:r>
      <w:r w:rsidRPr="003F7B3A">
        <w:t xml:space="preserve"> QALYs = quality-adjusted life year,</w:t>
      </w:r>
      <w:r w:rsidR="0069035C">
        <w:t xml:space="preserve"> SSTR = s</w:t>
      </w:r>
      <w:r w:rsidR="00D24E8E">
        <w:t>omatostatin receptor</w:t>
      </w:r>
      <w:r w:rsidR="0031493D">
        <w:t>.</w:t>
      </w:r>
    </w:p>
    <w:bookmarkEnd w:id="87"/>
    <w:p w14:paraId="0613764B" w14:textId="4E7629B0" w:rsidR="001C26CF" w:rsidRPr="00D23ACD" w:rsidRDefault="001C26CF" w:rsidP="00B54B18">
      <w:pPr>
        <w:keepNext/>
        <w:keepLines/>
        <w:spacing w:before="0" w:after="120" w:line="240" w:lineRule="auto"/>
        <w:jc w:val="both"/>
        <w:rPr>
          <w:rFonts w:cs="Arial"/>
          <w:lang w:val="en-GB"/>
        </w:rPr>
      </w:pPr>
      <w:r>
        <w:lastRenderedPageBreak/>
        <w:t xml:space="preserve">The model was developed in Microsoft Excel using </w:t>
      </w:r>
      <w:r w:rsidR="000912EF">
        <w:t>the</w:t>
      </w:r>
      <w:r>
        <w:t xml:space="preserve"> partitioned survival analysis approach</w:t>
      </w:r>
      <w:r w:rsidR="000912EF">
        <w:t xml:space="preserve"> </w:t>
      </w:r>
      <w:r w:rsidRPr="00D23ACD">
        <w:rPr>
          <w:shd w:val="clear" w:color="auto" w:fill="FFFFFF" w:themeFill="background1"/>
        </w:rPr>
        <w:t>compris</w:t>
      </w:r>
      <w:r w:rsidR="000912EF">
        <w:rPr>
          <w:shd w:val="clear" w:color="auto" w:fill="FFFFFF" w:themeFill="background1"/>
        </w:rPr>
        <w:t>ing</w:t>
      </w:r>
      <w:r w:rsidRPr="00D23ACD">
        <w:rPr>
          <w:shd w:val="clear" w:color="auto" w:fill="FFFFFF" w:themeFill="background1"/>
        </w:rPr>
        <w:t xml:space="preserve"> </w:t>
      </w:r>
      <w:r w:rsidR="005C2D26">
        <w:rPr>
          <w:shd w:val="clear" w:color="auto" w:fill="FFFFFF" w:themeFill="background1"/>
        </w:rPr>
        <w:t>3</w:t>
      </w:r>
      <w:r w:rsidRPr="00D23ACD">
        <w:rPr>
          <w:shd w:val="clear" w:color="auto" w:fill="FFFFFF" w:themeFill="background1"/>
        </w:rPr>
        <w:t xml:space="preserve"> mutually exclusive health states</w:t>
      </w:r>
      <w:r>
        <w:rPr>
          <w:shd w:val="clear" w:color="auto" w:fill="FFFFFF" w:themeFill="background1"/>
        </w:rPr>
        <w:t xml:space="preserve"> (</w:t>
      </w:r>
      <w:r w:rsidR="00E3682C">
        <w:rPr>
          <w:shd w:val="clear" w:color="auto" w:fill="FFFFFF" w:themeFill="background1"/>
        </w:rPr>
        <w:fldChar w:fldCharType="begin"/>
      </w:r>
      <w:r w:rsidR="00E3682C">
        <w:rPr>
          <w:shd w:val="clear" w:color="auto" w:fill="FFFFFF" w:themeFill="background1"/>
        </w:rPr>
        <w:instrText xml:space="preserve"> REF _Ref161651338 \h </w:instrText>
      </w:r>
      <w:r w:rsidR="00E3682C">
        <w:rPr>
          <w:shd w:val="clear" w:color="auto" w:fill="FFFFFF" w:themeFill="background1"/>
        </w:rPr>
      </w:r>
      <w:r w:rsidR="00E3682C">
        <w:rPr>
          <w:shd w:val="clear" w:color="auto" w:fill="FFFFFF" w:themeFill="background1"/>
        </w:rPr>
        <w:fldChar w:fldCharType="separate"/>
      </w:r>
      <w:r w:rsidR="00674D5E">
        <w:t xml:space="preserve">Figure </w:t>
      </w:r>
      <w:r w:rsidR="00674D5E">
        <w:rPr>
          <w:noProof/>
        </w:rPr>
        <w:t>4</w:t>
      </w:r>
      <w:r w:rsidR="00E3682C">
        <w:rPr>
          <w:shd w:val="clear" w:color="auto" w:fill="FFFFFF" w:themeFill="background1"/>
        </w:rPr>
        <w:fldChar w:fldCharType="end"/>
      </w:r>
      <w:r>
        <w:rPr>
          <w:shd w:val="clear" w:color="auto" w:fill="FFFFFF" w:themeFill="background1"/>
        </w:rPr>
        <w:t>)</w:t>
      </w:r>
      <w:r w:rsidRPr="00D23ACD">
        <w:rPr>
          <w:shd w:val="clear" w:color="auto" w:fill="FFFFFF" w:themeFill="background1"/>
        </w:rPr>
        <w:t>:</w:t>
      </w:r>
    </w:p>
    <w:p w14:paraId="33ADC402" w14:textId="6E6BC50F" w:rsidR="001C26CF" w:rsidRPr="00D23ACD" w:rsidRDefault="001C26CF" w:rsidP="00B54B18">
      <w:pPr>
        <w:keepNext/>
        <w:keepLines/>
        <w:numPr>
          <w:ilvl w:val="0"/>
          <w:numId w:val="14"/>
        </w:numPr>
        <w:spacing w:before="0" w:line="240" w:lineRule="auto"/>
        <w:ind w:left="714" w:hanging="357"/>
        <w:contextualSpacing/>
        <w:jc w:val="both"/>
        <w:rPr>
          <w:rFonts w:cs="Arial"/>
        </w:rPr>
      </w:pPr>
      <w:r w:rsidRPr="00D23ACD">
        <w:rPr>
          <w:rFonts w:cs="Arial"/>
        </w:rPr>
        <w:t>Pre-progression or PFS</w:t>
      </w:r>
    </w:p>
    <w:p w14:paraId="2C455360" w14:textId="7961E680" w:rsidR="001C26CF" w:rsidRPr="00D23ACD" w:rsidRDefault="001C26CF" w:rsidP="00B54B18">
      <w:pPr>
        <w:keepNext/>
        <w:keepLines/>
        <w:numPr>
          <w:ilvl w:val="0"/>
          <w:numId w:val="14"/>
        </w:numPr>
        <w:spacing w:before="0" w:line="240" w:lineRule="auto"/>
        <w:contextualSpacing/>
        <w:jc w:val="both"/>
        <w:rPr>
          <w:rFonts w:cs="Arial"/>
        </w:rPr>
      </w:pPr>
      <w:r w:rsidRPr="00D23ACD">
        <w:rPr>
          <w:rFonts w:cs="Arial"/>
        </w:rPr>
        <w:t>Post</w:t>
      </w:r>
      <w:r w:rsidR="0076014A">
        <w:rPr>
          <w:rFonts w:cs="Arial"/>
        </w:rPr>
        <w:t>-</w:t>
      </w:r>
      <w:r w:rsidRPr="00D23ACD">
        <w:rPr>
          <w:rFonts w:cs="Arial"/>
        </w:rPr>
        <w:t>progression survival (PPS)</w:t>
      </w:r>
    </w:p>
    <w:p w14:paraId="7A9C4AC2" w14:textId="36939ABD" w:rsidR="001C26CF" w:rsidRDefault="001C26CF" w:rsidP="00B54B18">
      <w:pPr>
        <w:keepNext/>
        <w:keepLines/>
        <w:numPr>
          <w:ilvl w:val="0"/>
          <w:numId w:val="14"/>
        </w:numPr>
        <w:spacing w:before="0" w:line="240" w:lineRule="auto"/>
        <w:contextualSpacing/>
        <w:jc w:val="both"/>
        <w:rPr>
          <w:rFonts w:cs="Arial"/>
        </w:rPr>
      </w:pPr>
      <w:r w:rsidRPr="00D23ACD">
        <w:rPr>
          <w:rFonts w:cs="Arial"/>
        </w:rPr>
        <w:t>Death</w:t>
      </w:r>
      <w:r w:rsidR="00E46227">
        <w:rPr>
          <w:rFonts w:cs="Arial"/>
        </w:rPr>
        <w:t>.</w:t>
      </w:r>
    </w:p>
    <w:p w14:paraId="7954362E" w14:textId="289E06CA" w:rsidR="009409F9" w:rsidRDefault="009409F9" w:rsidP="009409F9">
      <w:pPr>
        <w:pStyle w:val="Caption"/>
      </w:pPr>
      <w:bookmarkStart w:id="88" w:name="_Ref161651338"/>
      <w:r>
        <w:t xml:space="preserve">Figure </w:t>
      </w:r>
      <w:r>
        <w:fldChar w:fldCharType="begin"/>
      </w:r>
      <w:r>
        <w:instrText xml:space="preserve"> SEQ Figure \* ARABIC </w:instrText>
      </w:r>
      <w:r>
        <w:fldChar w:fldCharType="separate"/>
      </w:r>
      <w:r w:rsidR="009C6F88">
        <w:rPr>
          <w:noProof/>
        </w:rPr>
        <w:t>7</w:t>
      </w:r>
      <w:r>
        <w:rPr>
          <w:noProof/>
        </w:rPr>
        <w:fldChar w:fldCharType="end"/>
      </w:r>
      <w:bookmarkEnd w:id="88"/>
      <w:r>
        <w:tab/>
      </w:r>
      <w:r w:rsidR="001C4566">
        <w:t xml:space="preserve">State transition diagram </w:t>
      </w:r>
      <w:r w:rsidR="00A73DF3">
        <w:t>for the e</w:t>
      </w:r>
      <w:r w:rsidR="00E3682C">
        <w:t xml:space="preserve">conomic model </w:t>
      </w:r>
      <w:r w:rsidR="00A73DF3">
        <w:t xml:space="preserve">used </w:t>
      </w:r>
      <w:r w:rsidR="001C4566">
        <w:t xml:space="preserve">to assess cost-effectiveness of </w:t>
      </w:r>
      <w:r w:rsidR="001C4566" w:rsidRPr="0031493D">
        <w:rPr>
          <w:vertAlign w:val="superscript"/>
        </w:rPr>
        <w:t>177</w:t>
      </w:r>
      <w:r w:rsidR="001C4566">
        <w:t xml:space="preserve">Lu-DOTA-octreotate </w:t>
      </w:r>
      <w:proofErr w:type="gramStart"/>
      <w:r w:rsidR="001C4566">
        <w:t>treatment</w:t>
      </w:r>
      <w:proofErr w:type="gramEnd"/>
      <w:r w:rsidR="001C4566" w:rsidRPr="00CE28E3">
        <w:t xml:space="preserve"> </w:t>
      </w:r>
    </w:p>
    <w:p w14:paraId="4F087B8A" w14:textId="15FB6982" w:rsidR="00E3682C" w:rsidRPr="000B228E" w:rsidRDefault="001C26CF" w:rsidP="000B228E">
      <w:pPr>
        <w:pStyle w:val="TableText"/>
        <w:spacing w:after="240"/>
        <w:jc w:val="center"/>
      </w:pPr>
      <w:r>
        <w:rPr>
          <w:noProof/>
        </w:rPr>
        <w:drawing>
          <wp:inline distT="0" distB="0" distL="0" distR="0" wp14:anchorId="78F18BC5" wp14:editId="04EC9B5A">
            <wp:extent cx="3804920" cy="1534922"/>
            <wp:effectExtent l="0" t="0" r="5080" b="8255"/>
            <wp:docPr id="1173200289" name="Picture 1173200289" descr="State transition diagram for the economic model used to assess cost-effectiveness of 177Lu-DOTA-octreotate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00289" name="Picture 1173200289" descr="State transition diagram for the economic model used to assess cost-effectiveness of 177Lu-DOTA-octreotate treatmen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7526" cy="1540007"/>
                    </a:xfrm>
                    <a:prstGeom prst="rect">
                      <a:avLst/>
                    </a:prstGeom>
                    <a:noFill/>
                  </pic:spPr>
                </pic:pic>
              </a:graphicData>
            </a:graphic>
          </wp:inline>
        </w:drawing>
      </w:r>
    </w:p>
    <w:p w14:paraId="44D35934" w14:textId="3FE700A0" w:rsidR="001C26CF" w:rsidRDefault="001C26CF" w:rsidP="000B228E">
      <w:pPr>
        <w:spacing w:before="0" w:after="240" w:line="240" w:lineRule="auto"/>
        <w:jc w:val="both"/>
      </w:pPr>
      <w:r>
        <w:rPr>
          <w:rFonts w:cs="Arial"/>
        </w:rPr>
        <w:t xml:space="preserve">In the model, </w:t>
      </w:r>
      <w:r w:rsidRPr="00093CD8">
        <w:rPr>
          <w:rFonts w:cs="Arial"/>
        </w:rPr>
        <w:t xml:space="preserve">all patients start in the </w:t>
      </w:r>
      <w:r>
        <w:rPr>
          <w:rFonts w:cs="Arial"/>
        </w:rPr>
        <w:t>PFS</w:t>
      </w:r>
      <w:r w:rsidRPr="00093CD8">
        <w:rPr>
          <w:rFonts w:cs="Arial"/>
        </w:rPr>
        <w:t xml:space="preserve"> state and transition to post</w:t>
      </w:r>
      <w:r>
        <w:rPr>
          <w:rFonts w:cs="Arial"/>
        </w:rPr>
        <w:t>-</w:t>
      </w:r>
      <w:r w:rsidRPr="00093CD8">
        <w:rPr>
          <w:rFonts w:cs="Arial"/>
        </w:rPr>
        <w:t>progression and death states according to PFS and OS estimates.</w:t>
      </w:r>
      <w:r>
        <w:rPr>
          <w:rFonts w:cs="Arial"/>
        </w:rPr>
        <w:t xml:space="preserve"> </w:t>
      </w:r>
      <w:r w:rsidRPr="005C7CF5">
        <w:rPr>
          <w:rFonts w:cs="Arial"/>
        </w:rPr>
        <w:t>At the end of each cycle,</w:t>
      </w:r>
      <w:r>
        <w:rPr>
          <w:rFonts w:cs="Arial"/>
        </w:rPr>
        <w:t xml:space="preserve"> patients</w:t>
      </w:r>
      <w:r w:rsidRPr="005C7CF5">
        <w:rPr>
          <w:rFonts w:cs="Arial"/>
        </w:rPr>
        <w:t xml:space="preserve"> either remain in their current health state or</w:t>
      </w:r>
      <w:r w:rsidRPr="00D931EB">
        <w:t xml:space="preserve"> </w:t>
      </w:r>
      <w:r w:rsidRPr="00D931EB">
        <w:rPr>
          <w:rFonts w:cs="Arial"/>
        </w:rPr>
        <w:t>move to other states</w:t>
      </w:r>
      <w:r>
        <w:rPr>
          <w:rFonts w:cs="Arial"/>
        </w:rPr>
        <w:t xml:space="preserve">. </w:t>
      </w:r>
      <w:r w:rsidRPr="00D931EB">
        <w:rPr>
          <w:rFonts w:cs="Arial"/>
        </w:rPr>
        <w:t>Death is the absorbing state in</w:t>
      </w:r>
      <w:r>
        <w:rPr>
          <w:rFonts w:cs="Arial"/>
        </w:rPr>
        <w:t xml:space="preserve"> the</w:t>
      </w:r>
      <w:r w:rsidRPr="00D931EB">
        <w:rPr>
          <w:rFonts w:cs="Arial"/>
        </w:rPr>
        <w:t xml:space="preserve"> model. Health state membership is defined using </w:t>
      </w:r>
      <w:r w:rsidR="00B9323C">
        <w:rPr>
          <w:rFonts w:cs="Arial"/>
        </w:rPr>
        <w:t xml:space="preserve">the </w:t>
      </w:r>
      <w:r w:rsidRPr="00D931EB">
        <w:rPr>
          <w:rFonts w:cs="Arial"/>
        </w:rPr>
        <w:t>partitioned survival approach</w:t>
      </w:r>
      <w:r w:rsidR="00B9323C">
        <w:rPr>
          <w:rFonts w:cs="Arial"/>
        </w:rPr>
        <w:t>,</w:t>
      </w:r>
      <w:r w:rsidRPr="00D931EB">
        <w:rPr>
          <w:rFonts w:cs="Arial"/>
        </w:rPr>
        <w:t xml:space="preserve"> which</w:t>
      </w:r>
      <w:r>
        <w:rPr>
          <w:rFonts w:cs="Arial"/>
        </w:rPr>
        <w:t xml:space="preserve"> </w:t>
      </w:r>
      <w:r w:rsidRPr="00D931EB">
        <w:rPr>
          <w:rFonts w:cs="Arial"/>
        </w:rPr>
        <w:t>estimates the mean time spent in each health state from the area under the relevant survival</w:t>
      </w:r>
      <w:r>
        <w:rPr>
          <w:rFonts w:cs="Arial"/>
        </w:rPr>
        <w:t xml:space="preserve"> </w:t>
      </w:r>
      <w:r w:rsidRPr="00D931EB">
        <w:rPr>
          <w:rFonts w:cs="Arial"/>
        </w:rPr>
        <w:t>curve.</w:t>
      </w:r>
      <w:r w:rsidRPr="00CB7118">
        <w:t xml:space="preserve"> </w:t>
      </w:r>
      <w:r>
        <w:t>The estimates of OS are compared to age- and sex-specific mortality data for the Australian population</w:t>
      </w:r>
      <w:r w:rsidR="00B9323C">
        <w:t>,</w:t>
      </w:r>
      <w:r>
        <w:t xml:space="preserve"> with the higher of the </w:t>
      </w:r>
      <w:r w:rsidR="005C2D26">
        <w:t>2</w:t>
      </w:r>
      <w:r>
        <w:t xml:space="preserve"> estimates used in the model to ensure </w:t>
      </w:r>
      <w:r w:rsidR="00B9323C">
        <w:t xml:space="preserve">that </w:t>
      </w:r>
      <w:r>
        <w:t xml:space="preserve">the risk of mortality </w:t>
      </w:r>
      <w:r w:rsidR="00B9323C">
        <w:t>for</w:t>
      </w:r>
      <w:r>
        <w:t xml:space="preserve"> the modelled population can never be lower than the age-specific general population mortality.</w:t>
      </w:r>
    </w:p>
    <w:p w14:paraId="7B11E7AB" w14:textId="5174C29D" w:rsidR="001C26CF" w:rsidRDefault="001C26CF" w:rsidP="000B228E">
      <w:pPr>
        <w:spacing w:line="240" w:lineRule="auto"/>
        <w:contextualSpacing/>
        <w:jc w:val="both"/>
        <w:rPr>
          <w:rFonts w:cs="Arial"/>
        </w:rPr>
      </w:pPr>
      <w:r w:rsidRPr="00CB7118">
        <w:rPr>
          <w:rFonts w:cs="Arial"/>
        </w:rPr>
        <w:t>Costs and utilities</w:t>
      </w:r>
      <w:r>
        <w:rPr>
          <w:rFonts w:cs="Arial"/>
        </w:rPr>
        <w:t xml:space="preserve"> </w:t>
      </w:r>
      <w:r w:rsidRPr="00CB7118">
        <w:rPr>
          <w:rFonts w:cs="Arial"/>
        </w:rPr>
        <w:t>are estimated for each health state and model cycle and aggregated over the modelled time</w:t>
      </w:r>
      <w:r>
        <w:rPr>
          <w:rFonts w:cs="Arial"/>
        </w:rPr>
        <w:t xml:space="preserve"> </w:t>
      </w:r>
      <w:r w:rsidRPr="00CB7118">
        <w:rPr>
          <w:rFonts w:cs="Arial"/>
        </w:rPr>
        <w:t>horizon to estimate total per patient costs and QALYs for each treatment. The economic</w:t>
      </w:r>
      <w:r>
        <w:rPr>
          <w:rFonts w:cs="Arial"/>
        </w:rPr>
        <w:t xml:space="preserve"> </w:t>
      </w:r>
      <w:r w:rsidRPr="00CB7118">
        <w:rPr>
          <w:rFonts w:cs="Arial"/>
        </w:rPr>
        <w:t xml:space="preserve">outcome in the model is the </w:t>
      </w:r>
      <w:r w:rsidR="00971823">
        <w:rPr>
          <w:rFonts w:cs="Arial"/>
        </w:rPr>
        <w:t>incremental cost-effectiveness ratio (</w:t>
      </w:r>
      <w:r w:rsidRPr="00CB7118">
        <w:rPr>
          <w:rFonts w:cs="Arial"/>
        </w:rPr>
        <w:t>ICER</w:t>
      </w:r>
      <w:r w:rsidR="00971823">
        <w:rPr>
          <w:rFonts w:cs="Arial"/>
        </w:rPr>
        <w:t>)</w:t>
      </w:r>
      <w:r w:rsidRPr="00CB7118">
        <w:rPr>
          <w:rFonts w:cs="Arial"/>
        </w:rPr>
        <w:t xml:space="preserve">. A model half-cycle correction </w:t>
      </w:r>
      <w:r w:rsidR="00E427BD">
        <w:rPr>
          <w:rFonts w:cs="Arial"/>
        </w:rPr>
        <w:t>was</w:t>
      </w:r>
      <w:r w:rsidRPr="00CB7118">
        <w:rPr>
          <w:rFonts w:cs="Arial"/>
        </w:rPr>
        <w:t xml:space="preserve"> applied.</w:t>
      </w:r>
    </w:p>
    <w:p w14:paraId="3B43CF39" w14:textId="6E5DC6EF" w:rsidR="00DF5D3C" w:rsidRPr="00DF5D3C" w:rsidRDefault="00DF5D3C" w:rsidP="001053EF">
      <w:pPr>
        <w:pStyle w:val="Heading3"/>
      </w:pPr>
      <w:bookmarkStart w:id="89" w:name="_Toc165239055"/>
      <w:bookmarkStart w:id="90" w:name="_Toc165271885"/>
      <w:bookmarkStart w:id="91" w:name="_Toc165274311"/>
      <w:bookmarkStart w:id="92" w:name="_Toc165275534"/>
      <w:r w:rsidRPr="00DF5D3C">
        <w:t xml:space="preserve">Model </w:t>
      </w:r>
      <w:proofErr w:type="gramStart"/>
      <w:r w:rsidRPr="00DF5D3C">
        <w:t>parameterisation</w:t>
      </w:r>
      <w:bookmarkEnd w:id="89"/>
      <w:bookmarkEnd w:id="90"/>
      <w:bookmarkEnd w:id="91"/>
      <w:bookmarkEnd w:id="92"/>
      <w:proofErr w:type="gramEnd"/>
    </w:p>
    <w:p w14:paraId="20A455DF" w14:textId="075AEC90" w:rsidR="00DF5D3C" w:rsidRDefault="0033610B" w:rsidP="001053EF">
      <w:r w:rsidRPr="0033610B">
        <w:t xml:space="preserve">An evidence-based assessment of non-inferiority efficacy and safety between </w:t>
      </w:r>
      <w:r w:rsidRPr="0033610B">
        <w:rPr>
          <w:vertAlign w:val="superscript"/>
        </w:rPr>
        <w:t>177</w:t>
      </w:r>
      <w:r w:rsidRPr="0033610B">
        <w:t xml:space="preserve">Lu-DOTATATE and </w:t>
      </w:r>
      <w:r w:rsidRPr="0033610B">
        <w:rPr>
          <w:vertAlign w:val="superscript"/>
        </w:rPr>
        <w:t>177</w:t>
      </w:r>
      <w:r w:rsidRPr="0033610B">
        <w:t>Lu-DOTA-octreotate could not be performed due to the current lack of available data for the applicant’s intervention. In lieu of an alternative approach, and despite the apparent differences between the</w:t>
      </w:r>
      <w:r w:rsidR="002D3002">
        <w:t xml:space="preserve"> pharmaceutical form of the</w:t>
      </w:r>
      <w:r w:rsidRPr="0033610B">
        <w:t xml:space="preserve"> </w:t>
      </w:r>
      <w:r w:rsidR="00124FA6">
        <w:t>2</w:t>
      </w:r>
      <w:r w:rsidRPr="0033610B">
        <w:t xml:space="preserve"> products</w:t>
      </w:r>
      <w:r w:rsidR="00C52318">
        <w:t xml:space="preserve"> (see </w:t>
      </w:r>
      <w:r w:rsidR="00C52318">
        <w:fldChar w:fldCharType="begin"/>
      </w:r>
      <w:r w:rsidR="00C52318">
        <w:instrText xml:space="preserve"> REF _Ref164332720 \h  \* MERGEFORMAT </w:instrText>
      </w:r>
      <w:r w:rsidR="00C52318">
        <w:fldChar w:fldCharType="separate"/>
      </w:r>
      <w:r w:rsidR="00674D5E">
        <w:t xml:space="preserve">Table </w:t>
      </w:r>
      <w:r w:rsidR="00674D5E">
        <w:rPr>
          <w:noProof/>
        </w:rPr>
        <w:t>5</w:t>
      </w:r>
      <w:r w:rsidR="00C52318">
        <w:fldChar w:fldCharType="end"/>
      </w:r>
      <w:r w:rsidR="00C52318">
        <w:t>)</w:t>
      </w:r>
      <w:r w:rsidRPr="0033610B">
        <w:t xml:space="preserve">, especially in the use of different excipients for the prevention of radiolysis, it is assumed that the efficacy and safety of </w:t>
      </w:r>
      <w:r w:rsidRPr="0033610B">
        <w:rPr>
          <w:vertAlign w:val="superscript"/>
        </w:rPr>
        <w:t>177</w:t>
      </w:r>
      <w:r w:rsidRPr="0033610B">
        <w:t xml:space="preserve">Lu-DOTA-octreotate is equivalent to </w:t>
      </w:r>
      <w:r w:rsidRPr="0033610B">
        <w:rPr>
          <w:vertAlign w:val="superscript"/>
        </w:rPr>
        <w:t>177</w:t>
      </w:r>
      <w:r w:rsidRPr="0033610B">
        <w:t xml:space="preserve">Lu-DOTATATE. </w:t>
      </w:r>
      <w:r w:rsidR="00DF5D3C">
        <w:t>As such, this is a significant area of uncertainty in the proposed analysis.</w:t>
      </w:r>
      <w:r w:rsidR="00DF5D3C" w:rsidRPr="00F16E70">
        <w:t xml:space="preserve"> In lieu of an alternative, in this analysis, transitions between health states are based on the time</w:t>
      </w:r>
      <w:r w:rsidR="00323F88">
        <w:t>-</w:t>
      </w:r>
      <w:r w:rsidR="00DF5D3C" w:rsidRPr="00F16E70">
        <w:t>to</w:t>
      </w:r>
      <w:r w:rsidR="00323F88">
        <w:t>-</w:t>
      </w:r>
      <w:r w:rsidR="00DF5D3C" w:rsidRPr="00F16E70">
        <w:t xml:space="preserve">event data reconstructed from published data on the NETTER-1 trial for </w:t>
      </w:r>
      <w:r w:rsidR="00DF5D3C" w:rsidRPr="003602E5">
        <w:rPr>
          <w:vertAlign w:val="superscript"/>
        </w:rPr>
        <w:t>177</w:t>
      </w:r>
      <w:r w:rsidR="00DF5D3C" w:rsidRPr="00F16E70">
        <w:t>Lu-D</w:t>
      </w:r>
      <w:r w:rsidR="001B2D6F">
        <w:t>OTATATE</w:t>
      </w:r>
      <w:r w:rsidR="00DF5D3C" w:rsidRPr="00F16E70">
        <w:t xml:space="preserve"> plus long-acting octreotide.</w:t>
      </w:r>
    </w:p>
    <w:p w14:paraId="0743878B" w14:textId="05CB64F3" w:rsidR="00DF5D3C" w:rsidRPr="00F16E70" w:rsidRDefault="00DF5D3C" w:rsidP="00DF5D3C">
      <w:pPr>
        <w:pStyle w:val="ADARbodytext"/>
        <w:rPr>
          <w:rFonts w:ascii="Franklin Gothic Book" w:hAnsi="Franklin Gothic Book" w:cs="Arial"/>
        </w:rPr>
      </w:pPr>
      <w:r w:rsidRPr="00F16E70">
        <w:rPr>
          <w:rFonts w:ascii="Franklin Gothic Book" w:hAnsi="Franklin Gothic Book" w:cs="Arial"/>
        </w:rPr>
        <w:t xml:space="preserve">An indirect treatment comparison </w:t>
      </w:r>
      <w:r w:rsidR="00323F88">
        <w:rPr>
          <w:rFonts w:ascii="Franklin Gothic Book" w:hAnsi="Franklin Gothic Book" w:cs="Arial"/>
        </w:rPr>
        <w:t>was</w:t>
      </w:r>
      <w:r w:rsidRPr="00F16E70">
        <w:rPr>
          <w:rFonts w:ascii="Franklin Gothic Book" w:hAnsi="Franklin Gothic Book" w:cs="Arial"/>
        </w:rPr>
        <w:t xml:space="preserve"> conducted to assess the comparative effectiveness of</w:t>
      </w:r>
      <w:r>
        <w:t xml:space="preserve"> </w:t>
      </w:r>
      <w:r w:rsidRPr="00F16E70">
        <w:rPr>
          <w:rFonts w:ascii="Franklin Gothic Book" w:hAnsi="Franklin Gothic Book" w:cs="Arial"/>
          <w:vertAlign w:val="superscript"/>
        </w:rPr>
        <w:t>177</w:t>
      </w:r>
      <w:r w:rsidRPr="00F16E70">
        <w:rPr>
          <w:rFonts w:ascii="Franklin Gothic Book" w:hAnsi="Franklin Gothic Book" w:cs="Arial"/>
        </w:rPr>
        <w:t xml:space="preserve">Lu-DOTATATE versus the </w:t>
      </w:r>
      <w:r w:rsidR="005C2D26">
        <w:rPr>
          <w:rFonts w:ascii="Franklin Gothic Book" w:hAnsi="Franklin Gothic Book" w:cs="Arial"/>
        </w:rPr>
        <w:t>6</w:t>
      </w:r>
      <w:r w:rsidRPr="00F16E70">
        <w:rPr>
          <w:rFonts w:ascii="Franklin Gothic Book" w:hAnsi="Franklin Gothic Book" w:cs="Arial"/>
        </w:rPr>
        <w:t xml:space="preserve"> comparators.</w:t>
      </w:r>
      <w:r>
        <w:rPr>
          <w:rFonts w:ascii="Franklin Gothic Book" w:hAnsi="Franklin Gothic Book" w:cs="Arial"/>
        </w:rPr>
        <w:t xml:space="preserve"> As it was </w:t>
      </w:r>
      <w:r w:rsidR="007310E9">
        <w:rPr>
          <w:rFonts w:ascii="Franklin Gothic Book" w:hAnsi="Franklin Gothic Book" w:cs="Arial"/>
        </w:rPr>
        <w:t xml:space="preserve">infeasible </w:t>
      </w:r>
      <w:r>
        <w:rPr>
          <w:rFonts w:ascii="Franklin Gothic Book" w:hAnsi="Franklin Gothic Book" w:cs="Arial"/>
        </w:rPr>
        <w:t xml:space="preserve">to estimate a hazard ratio for OS for lanreotide, in the model base case this was conservatively set </w:t>
      </w:r>
      <w:r w:rsidR="004C6172">
        <w:rPr>
          <w:rFonts w:ascii="Franklin Gothic Book" w:hAnsi="Franklin Gothic Book" w:cs="Arial"/>
        </w:rPr>
        <w:t xml:space="preserve">to </w:t>
      </w:r>
      <w:r>
        <w:rPr>
          <w:rFonts w:ascii="Franklin Gothic Book" w:hAnsi="Franklin Gothic Book" w:cs="Arial"/>
        </w:rPr>
        <w:t>equal the hazard ratio for octreotide.</w:t>
      </w:r>
    </w:p>
    <w:p w14:paraId="20F3B93C" w14:textId="66EC71D3" w:rsidR="00DF5D3C" w:rsidRDefault="00DF5D3C" w:rsidP="00DF5D3C">
      <w:r>
        <w:t xml:space="preserve">Utilities for the PFS and PPS </w:t>
      </w:r>
      <w:r w:rsidR="004124CD">
        <w:t xml:space="preserve">(post-progression survival) </w:t>
      </w:r>
      <w:r>
        <w:t xml:space="preserve">health states </w:t>
      </w:r>
      <w:r w:rsidR="00157858">
        <w:t>were</w:t>
      </w:r>
      <w:r>
        <w:t xml:space="preserve"> included in the model. In lieu of a systematic review of the literature for appropriate sources of</w:t>
      </w:r>
      <w:r w:rsidR="003602E5">
        <w:t xml:space="preserve"> </w:t>
      </w:r>
      <w:r w:rsidR="00157858">
        <w:t>health-related quality of life</w:t>
      </w:r>
      <w:r w:rsidR="003602E5">
        <w:t xml:space="preserve"> (</w:t>
      </w:r>
      <w:proofErr w:type="spellStart"/>
      <w:r w:rsidR="003602E5">
        <w:t>HRQoL</w:t>
      </w:r>
      <w:proofErr w:type="spellEnd"/>
      <w:r w:rsidR="00157858">
        <w:t xml:space="preserve">) </w:t>
      </w:r>
      <w:r w:rsidR="001E66CF">
        <w:t xml:space="preserve">with which </w:t>
      </w:r>
      <w:r>
        <w:t xml:space="preserve">to populate the economic model, data from </w:t>
      </w:r>
      <w:r w:rsidR="001E66CF">
        <w:t>the</w:t>
      </w:r>
      <w:r w:rsidR="003602E5">
        <w:t xml:space="preserve"> National Institute for </w:t>
      </w:r>
      <w:r w:rsidR="003602E5">
        <w:lastRenderedPageBreak/>
        <w:t>Health and Care Excellence</w:t>
      </w:r>
      <w:r w:rsidR="001E66CF">
        <w:t xml:space="preserve"> </w:t>
      </w:r>
      <w:r w:rsidR="003602E5">
        <w:t>(</w:t>
      </w:r>
      <w:r>
        <w:t>NICE</w:t>
      </w:r>
      <w:r w:rsidR="003602E5">
        <w:t>)</w:t>
      </w:r>
      <w:r>
        <w:t xml:space="preserve"> appraisal of </w:t>
      </w:r>
      <w:r w:rsidR="000603BF" w:rsidRPr="000603BF">
        <w:rPr>
          <w:vertAlign w:val="superscript"/>
        </w:rPr>
        <w:t>177</w:t>
      </w:r>
      <w:r w:rsidR="000603BF" w:rsidRPr="000603BF">
        <w:t>Lu-DOTATAT</w:t>
      </w:r>
      <w:r w:rsidR="000603BF">
        <w:t>E</w:t>
      </w:r>
      <w:r>
        <w:t xml:space="preserve"> for treating unresectable or metastatic </w:t>
      </w:r>
      <w:r w:rsidR="00A75400">
        <w:t>NETs</w:t>
      </w:r>
      <w:r>
        <w:t xml:space="preserve"> was used for this analysis</w:t>
      </w:r>
      <w:r w:rsidR="00FB2E7A">
        <w:t>.</w:t>
      </w:r>
      <w:r w:rsidR="00FB2E7A">
        <w:rPr>
          <w:rStyle w:val="FootnoteReference"/>
        </w:rPr>
        <w:footnoteReference w:id="32"/>
      </w:r>
      <w:r>
        <w:t xml:space="preserve"> </w:t>
      </w:r>
    </w:p>
    <w:p w14:paraId="00C53C2D" w14:textId="3043B36F" w:rsidR="00DF5D3C" w:rsidRDefault="00DF5D3C" w:rsidP="00DF5D3C">
      <w:r>
        <w:t xml:space="preserve">Healthcare resource use and costs to the Australian health system are included in the model and are categorised as follows: </w:t>
      </w:r>
    </w:p>
    <w:p w14:paraId="29A246D1" w14:textId="304784F6" w:rsidR="00DF5D3C" w:rsidRDefault="00D1710D" w:rsidP="00D83E90">
      <w:pPr>
        <w:pStyle w:val="ListParagraph"/>
        <w:numPr>
          <w:ilvl w:val="0"/>
          <w:numId w:val="15"/>
        </w:numPr>
      </w:pPr>
      <w:r>
        <w:t>d</w:t>
      </w:r>
      <w:r w:rsidR="00DF5D3C">
        <w:t>iagnostic testing costs</w:t>
      </w:r>
    </w:p>
    <w:p w14:paraId="518389CE" w14:textId="42C4B0D3" w:rsidR="00DF5D3C" w:rsidRDefault="00D1710D" w:rsidP="00D83E90">
      <w:pPr>
        <w:pStyle w:val="ListParagraph"/>
        <w:numPr>
          <w:ilvl w:val="0"/>
          <w:numId w:val="15"/>
        </w:numPr>
      </w:pPr>
      <w:r>
        <w:t>t</w:t>
      </w:r>
      <w:r w:rsidR="00DF5D3C">
        <w:t>reatment acquisition and administration costs</w:t>
      </w:r>
    </w:p>
    <w:p w14:paraId="3E4A8CEC" w14:textId="0EC0783B" w:rsidR="00DF5D3C" w:rsidRDefault="00D1710D" w:rsidP="00D83E90">
      <w:pPr>
        <w:pStyle w:val="ListParagraph"/>
        <w:numPr>
          <w:ilvl w:val="0"/>
          <w:numId w:val="15"/>
        </w:numPr>
      </w:pPr>
      <w:r>
        <w:t>h</w:t>
      </w:r>
      <w:r w:rsidR="00461E46">
        <w:t>ealthcare</w:t>
      </w:r>
      <w:r w:rsidR="00DF5D3C">
        <w:t xml:space="preserve"> resource costs related to monitoring and background treatment costs in PFS and PPS health </w:t>
      </w:r>
      <w:proofErr w:type="gramStart"/>
      <w:r w:rsidR="00DF5D3C">
        <w:t>states</w:t>
      </w:r>
      <w:proofErr w:type="gramEnd"/>
    </w:p>
    <w:p w14:paraId="4D0D1D3D" w14:textId="08D1204A" w:rsidR="00DF5D3C" w:rsidRPr="003E6937" w:rsidRDefault="00D1710D" w:rsidP="00D83E90">
      <w:pPr>
        <w:pStyle w:val="ListParagraph"/>
        <w:numPr>
          <w:ilvl w:val="0"/>
          <w:numId w:val="15"/>
        </w:numPr>
      </w:pPr>
      <w:r>
        <w:t>a</w:t>
      </w:r>
      <w:r w:rsidR="00DF5D3C">
        <w:t>dverse event management costs</w:t>
      </w:r>
      <w:r>
        <w:t>.</w:t>
      </w:r>
    </w:p>
    <w:p w14:paraId="2A59348B" w14:textId="2C54FF57" w:rsidR="00DF5D3C" w:rsidRDefault="00DF5D3C" w:rsidP="001053EF">
      <w:pPr>
        <w:pStyle w:val="Heading3"/>
      </w:pPr>
      <w:bookmarkStart w:id="93" w:name="_Toc165239056"/>
      <w:bookmarkStart w:id="94" w:name="_Toc165271886"/>
      <w:bookmarkStart w:id="95" w:name="_Toc165274312"/>
      <w:bookmarkStart w:id="96" w:name="_Toc165275535"/>
      <w:r>
        <w:t xml:space="preserve">Model </w:t>
      </w:r>
      <w:proofErr w:type="gramStart"/>
      <w:r>
        <w:t>results</w:t>
      </w:r>
      <w:bookmarkEnd w:id="93"/>
      <w:bookmarkEnd w:id="94"/>
      <w:bookmarkEnd w:id="95"/>
      <w:bookmarkEnd w:id="96"/>
      <w:proofErr w:type="gramEnd"/>
    </w:p>
    <w:p w14:paraId="29DFF1FB" w14:textId="17D7AAA9" w:rsidR="00DF5D3C" w:rsidRDefault="00DF5D3C" w:rsidP="00DF5D3C">
      <w:pPr>
        <w:pStyle w:val="ADARbodytext"/>
        <w:rPr>
          <w:rFonts w:ascii="Franklin Gothic Book" w:hAnsi="Franklin Gothic Book" w:cstheme="minorBidi"/>
        </w:rPr>
      </w:pPr>
      <w:r w:rsidRPr="00220FF3">
        <w:rPr>
          <w:rFonts w:ascii="Franklin Gothic Book" w:hAnsi="Franklin Gothic Book" w:cstheme="minorBidi"/>
        </w:rPr>
        <w:t xml:space="preserve">The base case cost-effectiveness analysis results are presented for </w:t>
      </w:r>
      <w:r w:rsidRPr="003602E5">
        <w:rPr>
          <w:rFonts w:ascii="Franklin Gothic Book" w:hAnsi="Franklin Gothic Book" w:cstheme="minorBidi"/>
          <w:vertAlign w:val="superscript"/>
        </w:rPr>
        <w:t>177</w:t>
      </w:r>
      <w:r w:rsidRPr="00AF40EA">
        <w:rPr>
          <w:rFonts w:ascii="Franklin Gothic Book" w:hAnsi="Franklin Gothic Book" w:cstheme="minorBidi"/>
        </w:rPr>
        <w:t>Lu-</w:t>
      </w:r>
      <w:r w:rsidR="00607D95">
        <w:rPr>
          <w:rFonts w:ascii="Franklin Gothic Book" w:hAnsi="Franklin Gothic Book" w:cstheme="minorBidi"/>
        </w:rPr>
        <w:t xml:space="preserve">DOTA-octreotate </w:t>
      </w:r>
      <w:r>
        <w:rPr>
          <w:rFonts w:ascii="Franklin Gothic Book" w:hAnsi="Franklin Gothic Book" w:cstheme="minorBidi"/>
        </w:rPr>
        <w:t>compared wi</w:t>
      </w:r>
      <w:r w:rsidRPr="00AF40EA">
        <w:rPr>
          <w:rFonts w:ascii="Franklin Gothic Book" w:hAnsi="Franklin Gothic Book" w:cstheme="minorBidi"/>
        </w:rPr>
        <w:t>th current care</w:t>
      </w:r>
      <w:r>
        <w:rPr>
          <w:rFonts w:ascii="Franklin Gothic Book" w:hAnsi="Franklin Gothic Book" w:cstheme="minorBidi"/>
        </w:rPr>
        <w:t xml:space="preserve"> (</w:t>
      </w:r>
      <w:r>
        <w:rPr>
          <w:rFonts w:ascii="Franklin Gothic Book" w:hAnsi="Franklin Gothic Book" w:cstheme="minorBidi"/>
        </w:rPr>
        <w:fldChar w:fldCharType="begin"/>
      </w:r>
      <w:r>
        <w:rPr>
          <w:rFonts w:ascii="Franklin Gothic Book" w:hAnsi="Franklin Gothic Book" w:cstheme="minorBidi"/>
        </w:rPr>
        <w:instrText xml:space="preserve"> REF _Ref160459377 \h </w:instrText>
      </w:r>
      <w:r w:rsidR="0008343A">
        <w:rPr>
          <w:rFonts w:ascii="Franklin Gothic Book" w:hAnsi="Franklin Gothic Book" w:cstheme="minorBidi"/>
        </w:rPr>
        <w:instrText xml:space="preserve"> \* MERGEFORMAT </w:instrText>
      </w:r>
      <w:r>
        <w:rPr>
          <w:rFonts w:ascii="Franklin Gothic Book" w:hAnsi="Franklin Gothic Book" w:cstheme="minorBidi"/>
        </w:rPr>
      </w:r>
      <w:r>
        <w:rPr>
          <w:rFonts w:ascii="Franklin Gothic Book" w:hAnsi="Franklin Gothic Book" w:cstheme="minorBidi"/>
        </w:rPr>
        <w:fldChar w:fldCharType="separate"/>
      </w:r>
      <w:r w:rsidR="00674D5E" w:rsidRPr="00EF2D54">
        <w:rPr>
          <w:rFonts w:ascii="Franklin Gothic Book" w:hAnsi="Franklin Gothic Book" w:cstheme="minorBidi"/>
        </w:rPr>
        <w:t>Table 11</w:t>
      </w:r>
      <w:r>
        <w:rPr>
          <w:rFonts w:ascii="Franklin Gothic Book" w:hAnsi="Franklin Gothic Book" w:cstheme="minorBidi"/>
        </w:rPr>
        <w:fldChar w:fldCharType="end"/>
      </w:r>
      <w:r>
        <w:rPr>
          <w:rFonts w:ascii="Franklin Gothic Book" w:hAnsi="Franklin Gothic Book" w:cstheme="minorBidi"/>
        </w:rPr>
        <w:t>)</w:t>
      </w:r>
      <w:r w:rsidRPr="00AF40EA">
        <w:rPr>
          <w:rFonts w:ascii="Franklin Gothic Book" w:hAnsi="Franklin Gothic Book" w:cstheme="minorBidi"/>
        </w:rPr>
        <w:t xml:space="preserve">. As stated previously, </w:t>
      </w:r>
      <w:r w:rsidRPr="003602E5">
        <w:rPr>
          <w:rFonts w:ascii="Franklin Gothic Book" w:hAnsi="Franklin Gothic Book" w:cstheme="minorBidi"/>
          <w:vertAlign w:val="superscript"/>
        </w:rPr>
        <w:t>177</w:t>
      </w:r>
      <w:r w:rsidRPr="00AF40EA">
        <w:rPr>
          <w:rFonts w:ascii="Franklin Gothic Book" w:hAnsi="Franklin Gothic Book" w:cstheme="minorBidi"/>
        </w:rPr>
        <w:t>Lu-</w:t>
      </w:r>
      <w:r w:rsidR="00607D95">
        <w:rPr>
          <w:rFonts w:ascii="Franklin Gothic Book" w:hAnsi="Franklin Gothic Book" w:cstheme="minorBidi"/>
        </w:rPr>
        <w:t xml:space="preserve">DOTA-octreotate </w:t>
      </w:r>
      <w:r w:rsidRPr="00AF40EA">
        <w:rPr>
          <w:rFonts w:ascii="Franklin Gothic Book" w:hAnsi="Franklin Gothic Book" w:cstheme="minorBidi"/>
        </w:rPr>
        <w:t xml:space="preserve">therapy would most likely be offered after the failure of any nominated comparator treatments. </w:t>
      </w:r>
      <w:r w:rsidRPr="00B274F3">
        <w:rPr>
          <w:rFonts w:ascii="Franklin Gothic Book" w:hAnsi="Franklin Gothic Book" w:cstheme="minorBidi"/>
        </w:rPr>
        <w:t>Th</w:t>
      </w:r>
      <w:r w:rsidRPr="00AF40EA">
        <w:rPr>
          <w:rFonts w:ascii="Franklin Gothic Book" w:hAnsi="Franklin Gothic Book" w:cstheme="minorBidi"/>
        </w:rPr>
        <w:t xml:space="preserve">e cost-effectiveness of </w:t>
      </w:r>
      <w:r w:rsidRPr="003602E5">
        <w:rPr>
          <w:rFonts w:ascii="Franklin Gothic Book" w:hAnsi="Franklin Gothic Book" w:cstheme="minorBidi"/>
          <w:vertAlign w:val="superscript"/>
        </w:rPr>
        <w:t>177</w:t>
      </w:r>
      <w:r w:rsidRPr="00AF40EA">
        <w:rPr>
          <w:rFonts w:ascii="Franklin Gothic Book" w:hAnsi="Franklin Gothic Book" w:cstheme="minorBidi"/>
        </w:rPr>
        <w:t>Lu-</w:t>
      </w:r>
      <w:r w:rsidR="00607D95">
        <w:rPr>
          <w:rFonts w:ascii="Franklin Gothic Book" w:hAnsi="Franklin Gothic Book" w:cstheme="minorBidi"/>
        </w:rPr>
        <w:t xml:space="preserve">DOTA-octreotate </w:t>
      </w:r>
      <w:r w:rsidRPr="00AF40EA">
        <w:rPr>
          <w:rFonts w:ascii="Franklin Gothic Book" w:hAnsi="Franklin Gothic Book" w:cstheme="minorBidi"/>
        </w:rPr>
        <w:t xml:space="preserve">compared with all </w:t>
      </w:r>
      <w:r w:rsidR="005C2D26">
        <w:rPr>
          <w:rFonts w:ascii="Franklin Gothic Book" w:hAnsi="Franklin Gothic Book" w:cstheme="minorBidi"/>
        </w:rPr>
        <w:t>6</w:t>
      </w:r>
      <w:r w:rsidRPr="00AF40EA">
        <w:rPr>
          <w:rFonts w:ascii="Franklin Gothic Book" w:hAnsi="Franklin Gothic Book" w:cstheme="minorBidi"/>
        </w:rPr>
        <w:t xml:space="preserve"> comparator therapies independently</w:t>
      </w:r>
      <w:r w:rsidRPr="00B274F3">
        <w:rPr>
          <w:rFonts w:ascii="Franklin Gothic Book" w:hAnsi="Franklin Gothic Book" w:cstheme="minorBidi"/>
        </w:rPr>
        <w:t xml:space="preserve"> </w:t>
      </w:r>
      <w:r w:rsidR="002A7128">
        <w:rPr>
          <w:rFonts w:ascii="Franklin Gothic Book" w:hAnsi="Franklin Gothic Book" w:cstheme="minorBidi"/>
        </w:rPr>
        <w:t>is</w:t>
      </w:r>
      <w:r w:rsidR="002A7128" w:rsidRPr="00B274F3">
        <w:rPr>
          <w:rFonts w:ascii="Franklin Gothic Book" w:hAnsi="Franklin Gothic Book" w:cstheme="minorBidi"/>
        </w:rPr>
        <w:t xml:space="preserve"> </w:t>
      </w:r>
      <w:r w:rsidRPr="00B274F3">
        <w:rPr>
          <w:rFonts w:ascii="Franklin Gothic Book" w:hAnsi="Franklin Gothic Book" w:cstheme="minorBidi"/>
        </w:rPr>
        <w:t>provided below</w:t>
      </w:r>
      <w:r>
        <w:rPr>
          <w:rFonts w:ascii="Franklin Gothic Book" w:hAnsi="Franklin Gothic Book" w:cstheme="minorBidi"/>
        </w:rPr>
        <w:t xml:space="preserve">. All results are presented as a per patient cost or benefit. The presentation of stepped results is not applicable. </w:t>
      </w:r>
    </w:p>
    <w:p w14:paraId="2978906C" w14:textId="07ADFCD3" w:rsidR="00DF5D3C" w:rsidRDefault="00DF5D3C" w:rsidP="00DF5D3C">
      <w:pPr>
        <w:pStyle w:val="Caption"/>
      </w:pPr>
      <w:bookmarkStart w:id="97" w:name="_Ref160459377"/>
      <w:bookmarkStart w:id="98" w:name="_Toc161842046"/>
      <w:r>
        <w:t xml:space="preserve">Table </w:t>
      </w:r>
      <w:r>
        <w:fldChar w:fldCharType="begin"/>
      </w:r>
      <w:r>
        <w:instrText xml:space="preserve"> SEQ Table \* ARABIC </w:instrText>
      </w:r>
      <w:r>
        <w:fldChar w:fldCharType="separate"/>
      </w:r>
      <w:r w:rsidR="006D13BC">
        <w:rPr>
          <w:noProof/>
        </w:rPr>
        <w:t>12</w:t>
      </w:r>
      <w:r>
        <w:rPr>
          <w:noProof/>
        </w:rPr>
        <w:fldChar w:fldCharType="end"/>
      </w:r>
      <w:bookmarkEnd w:id="97"/>
      <w:r>
        <w:t>: Summary base case cost-effectiveness results</w:t>
      </w:r>
      <w:r w:rsidR="003602E5">
        <w:t xml:space="preserve"> for </w:t>
      </w:r>
      <w:r w:rsidR="00C23322" w:rsidRPr="0031493D">
        <w:rPr>
          <w:vertAlign w:val="superscript"/>
        </w:rPr>
        <w:t>177</w:t>
      </w:r>
      <w:r w:rsidR="00C23322">
        <w:t xml:space="preserve">Lu-DOTA-octreotate </w:t>
      </w:r>
      <w:r w:rsidR="003602E5">
        <w:t>versus comparators</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44"/>
        <w:gridCol w:w="1038"/>
        <w:gridCol w:w="1039"/>
        <w:gridCol w:w="1039"/>
        <w:gridCol w:w="1039"/>
        <w:gridCol w:w="1039"/>
        <w:gridCol w:w="1039"/>
        <w:gridCol w:w="1039"/>
      </w:tblGrid>
      <w:tr w:rsidR="002554A5" w:rsidRPr="006E2204" w14:paraId="5F4FA795" w14:textId="77777777" w:rsidTr="008E4F12">
        <w:trPr>
          <w:trHeight w:val="315"/>
          <w:tblHeader/>
        </w:trPr>
        <w:tc>
          <w:tcPr>
            <w:tcW w:w="968" w:type="pct"/>
            <w:tcBorders>
              <w:top w:val="single" w:sz="4" w:space="0" w:color="auto"/>
            </w:tcBorders>
            <w:shd w:val="clear" w:color="auto" w:fill="auto"/>
            <w:noWrap/>
            <w:vAlign w:val="center"/>
            <w:hideMark/>
          </w:tcPr>
          <w:p w14:paraId="0AD21508" w14:textId="7BFA565D" w:rsidR="00E57B7C" w:rsidRPr="006E2204" w:rsidRDefault="002554A5" w:rsidP="0074385E">
            <w:pPr>
              <w:pStyle w:val="TableHeading0"/>
              <w:rPr>
                <w:lang w:val="en-GB" w:eastAsia="en-GB"/>
              </w:rPr>
            </w:pPr>
            <w:r>
              <w:rPr>
                <w:lang w:val="en-GB" w:eastAsia="en-GB"/>
              </w:rPr>
              <w:t>T</w:t>
            </w:r>
            <w:r w:rsidR="00E57B7C">
              <w:rPr>
                <w:lang w:val="en-GB" w:eastAsia="en-GB"/>
              </w:rPr>
              <w:t>reatment</w:t>
            </w:r>
          </w:p>
        </w:tc>
        <w:tc>
          <w:tcPr>
            <w:tcW w:w="576" w:type="pct"/>
            <w:tcBorders>
              <w:top w:val="single" w:sz="4" w:space="0" w:color="auto"/>
            </w:tcBorders>
          </w:tcPr>
          <w:p w14:paraId="5313E33F" w14:textId="3C0886B9" w:rsidR="00E57B7C" w:rsidRPr="006E2204" w:rsidRDefault="00E57B7C" w:rsidP="0074385E">
            <w:pPr>
              <w:pStyle w:val="TableHeading0"/>
              <w:rPr>
                <w:lang w:val="en-GB" w:eastAsia="en-GB"/>
              </w:rPr>
            </w:pPr>
            <w:r>
              <w:rPr>
                <w:lang w:val="en-GB" w:eastAsia="en-GB"/>
              </w:rPr>
              <w:t>Total costs</w:t>
            </w:r>
          </w:p>
        </w:tc>
        <w:tc>
          <w:tcPr>
            <w:tcW w:w="576" w:type="pct"/>
            <w:tcBorders>
              <w:top w:val="single" w:sz="4" w:space="0" w:color="auto"/>
            </w:tcBorders>
            <w:shd w:val="clear" w:color="auto" w:fill="auto"/>
            <w:noWrap/>
            <w:vAlign w:val="center"/>
            <w:hideMark/>
          </w:tcPr>
          <w:p w14:paraId="387D7F97" w14:textId="7CB8A80D" w:rsidR="00E57B7C" w:rsidRPr="006E2204" w:rsidRDefault="00E57B7C" w:rsidP="0074385E">
            <w:pPr>
              <w:pStyle w:val="TableHeading0"/>
              <w:rPr>
                <w:lang w:val="en-GB" w:eastAsia="en-GB"/>
              </w:rPr>
            </w:pPr>
            <w:r w:rsidRPr="006E2204">
              <w:rPr>
                <w:lang w:val="en-GB" w:eastAsia="en-GB"/>
              </w:rPr>
              <w:t>Inc</w:t>
            </w:r>
            <w:r>
              <w:rPr>
                <w:lang w:val="en-GB" w:eastAsia="en-GB"/>
              </w:rPr>
              <w:t>remental</w:t>
            </w:r>
            <w:r w:rsidRPr="006E2204">
              <w:rPr>
                <w:lang w:val="en-GB" w:eastAsia="en-GB"/>
              </w:rPr>
              <w:t xml:space="preserve"> Costs</w:t>
            </w:r>
          </w:p>
        </w:tc>
        <w:tc>
          <w:tcPr>
            <w:tcW w:w="576" w:type="pct"/>
            <w:tcBorders>
              <w:top w:val="single" w:sz="4" w:space="0" w:color="auto"/>
            </w:tcBorders>
          </w:tcPr>
          <w:p w14:paraId="2A523708" w14:textId="3FE40007" w:rsidR="00E57B7C" w:rsidRPr="006E2204" w:rsidRDefault="003A732B" w:rsidP="0074385E">
            <w:pPr>
              <w:pStyle w:val="TableHeading0"/>
              <w:rPr>
                <w:lang w:val="en-GB" w:eastAsia="en-GB"/>
              </w:rPr>
            </w:pPr>
            <w:r>
              <w:rPr>
                <w:lang w:val="en-GB" w:eastAsia="en-GB"/>
              </w:rPr>
              <w:t>Total LYs</w:t>
            </w:r>
          </w:p>
        </w:tc>
        <w:tc>
          <w:tcPr>
            <w:tcW w:w="576" w:type="pct"/>
            <w:tcBorders>
              <w:top w:val="single" w:sz="4" w:space="0" w:color="auto"/>
            </w:tcBorders>
            <w:shd w:val="clear" w:color="auto" w:fill="auto"/>
            <w:noWrap/>
            <w:vAlign w:val="center"/>
            <w:hideMark/>
          </w:tcPr>
          <w:p w14:paraId="4194A53A" w14:textId="3220AB23" w:rsidR="00E57B7C" w:rsidRPr="006E2204" w:rsidRDefault="00E57B7C" w:rsidP="0074385E">
            <w:pPr>
              <w:pStyle w:val="TableHeading0"/>
              <w:rPr>
                <w:lang w:val="en-GB" w:eastAsia="en-GB"/>
              </w:rPr>
            </w:pPr>
            <w:r w:rsidRPr="006E2204">
              <w:rPr>
                <w:lang w:val="en-GB" w:eastAsia="en-GB"/>
              </w:rPr>
              <w:t>Inc</w:t>
            </w:r>
            <w:r>
              <w:rPr>
                <w:lang w:val="en-GB" w:eastAsia="en-GB"/>
              </w:rPr>
              <w:t>remental</w:t>
            </w:r>
            <w:r w:rsidRPr="006E2204">
              <w:rPr>
                <w:lang w:val="en-GB" w:eastAsia="en-GB"/>
              </w:rPr>
              <w:t xml:space="preserve"> LYs</w:t>
            </w:r>
          </w:p>
        </w:tc>
        <w:tc>
          <w:tcPr>
            <w:tcW w:w="576" w:type="pct"/>
            <w:tcBorders>
              <w:top w:val="single" w:sz="4" w:space="0" w:color="auto"/>
            </w:tcBorders>
          </w:tcPr>
          <w:p w14:paraId="3C553FD3" w14:textId="49521313" w:rsidR="00E57B7C" w:rsidRPr="006E2204" w:rsidRDefault="00E57B7C" w:rsidP="0074385E">
            <w:pPr>
              <w:pStyle w:val="TableHeading0"/>
              <w:rPr>
                <w:lang w:val="en-GB" w:eastAsia="en-GB"/>
              </w:rPr>
            </w:pPr>
            <w:r>
              <w:rPr>
                <w:lang w:val="en-GB" w:eastAsia="en-GB"/>
              </w:rPr>
              <w:t xml:space="preserve">Total </w:t>
            </w:r>
            <w:r w:rsidR="003A732B">
              <w:rPr>
                <w:lang w:val="en-GB" w:eastAsia="en-GB"/>
              </w:rPr>
              <w:t>QALYs</w:t>
            </w:r>
          </w:p>
        </w:tc>
        <w:tc>
          <w:tcPr>
            <w:tcW w:w="576" w:type="pct"/>
            <w:tcBorders>
              <w:top w:val="single" w:sz="4" w:space="0" w:color="auto"/>
            </w:tcBorders>
            <w:shd w:val="clear" w:color="auto" w:fill="auto"/>
            <w:noWrap/>
            <w:vAlign w:val="center"/>
            <w:hideMark/>
          </w:tcPr>
          <w:p w14:paraId="7E936A4C" w14:textId="4341548B" w:rsidR="00E57B7C" w:rsidRPr="006E2204" w:rsidRDefault="00E57B7C" w:rsidP="0074385E">
            <w:pPr>
              <w:pStyle w:val="TableHeading0"/>
              <w:rPr>
                <w:lang w:val="en-GB" w:eastAsia="en-GB"/>
              </w:rPr>
            </w:pPr>
            <w:r w:rsidRPr="006E2204">
              <w:rPr>
                <w:lang w:val="en-GB" w:eastAsia="en-GB"/>
              </w:rPr>
              <w:t>Inc</w:t>
            </w:r>
            <w:r>
              <w:rPr>
                <w:lang w:val="en-GB" w:eastAsia="en-GB"/>
              </w:rPr>
              <w:t>remental</w:t>
            </w:r>
            <w:r w:rsidRPr="006E2204">
              <w:rPr>
                <w:lang w:val="en-GB" w:eastAsia="en-GB"/>
              </w:rPr>
              <w:t xml:space="preserve"> QALYs</w:t>
            </w:r>
          </w:p>
        </w:tc>
        <w:tc>
          <w:tcPr>
            <w:tcW w:w="576" w:type="pct"/>
            <w:tcBorders>
              <w:top w:val="single" w:sz="4" w:space="0" w:color="auto"/>
            </w:tcBorders>
            <w:shd w:val="clear" w:color="auto" w:fill="auto"/>
            <w:noWrap/>
            <w:vAlign w:val="center"/>
            <w:hideMark/>
          </w:tcPr>
          <w:p w14:paraId="7861E9B4" w14:textId="68E5B780" w:rsidR="00E57B7C" w:rsidRPr="006E2204" w:rsidRDefault="00E57B7C" w:rsidP="0074385E">
            <w:pPr>
              <w:pStyle w:val="TableHeading0"/>
              <w:rPr>
                <w:lang w:val="en-GB" w:eastAsia="en-GB"/>
              </w:rPr>
            </w:pPr>
            <w:r w:rsidRPr="006E2204">
              <w:rPr>
                <w:lang w:val="en-GB" w:eastAsia="en-GB"/>
              </w:rPr>
              <w:t>ICER (</w:t>
            </w:r>
            <w:r>
              <w:rPr>
                <w:lang w:val="en-GB" w:eastAsia="en-GB"/>
              </w:rPr>
              <w:t xml:space="preserve">cost per </w:t>
            </w:r>
            <w:r w:rsidRPr="006E2204">
              <w:rPr>
                <w:lang w:val="en-GB" w:eastAsia="en-GB"/>
              </w:rPr>
              <w:t>QALY)</w:t>
            </w:r>
          </w:p>
        </w:tc>
      </w:tr>
      <w:tr w:rsidR="00006A25" w:rsidRPr="006E2204" w14:paraId="1CC6B479" w14:textId="77777777" w:rsidTr="008E4F12">
        <w:trPr>
          <w:trHeight w:val="315"/>
        </w:trPr>
        <w:tc>
          <w:tcPr>
            <w:tcW w:w="968" w:type="pct"/>
            <w:shd w:val="clear" w:color="000000" w:fill="FFFFFF"/>
            <w:noWrap/>
            <w:vAlign w:val="center"/>
          </w:tcPr>
          <w:p w14:paraId="4B16A5E1" w14:textId="77AAC51A" w:rsidR="00006A25" w:rsidRDefault="00006A25" w:rsidP="00ED0F7E">
            <w:pPr>
              <w:pStyle w:val="TableText"/>
              <w:rPr>
                <w:lang w:val="en-GB" w:eastAsia="en-GB"/>
              </w:rPr>
            </w:pPr>
            <w:r w:rsidRPr="003602E5">
              <w:rPr>
                <w:vertAlign w:val="superscript"/>
              </w:rPr>
              <w:t>177</w:t>
            </w:r>
            <w:r w:rsidRPr="00B86104">
              <w:t>Lu-</w:t>
            </w:r>
            <w:r>
              <w:t>DOTA</w:t>
            </w:r>
            <w:r w:rsidR="002554A5">
              <w:t xml:space="preserve"> </w:t>
            </w:r>
            <w:r>
              <w:t>octreotate</w:t>
            </w:r>
          </w:p>
        </w:tc>
        <w:tc>
          <w:tcPr>
            <w:tcW w:w="576" w:type="pct"/>
            <w:shd w:val="clear" w:color="000000" w:fill="FFFFFF"/>
          </w:tcPr>
          <w:p w14:paraId="3EE68979" w14:textId="4697A8BD" w:rsidR="00006A25" w:rsidRPr="001053EF" w:rsidRDefault="002554A5" w:rsidP="00ED0F7E">
            <w:pPr>
              <w:pStyle w:val="TableText"/>
            </w:pPr>
            <w:r>
              <w:t>$79,036</w:t>
            </w:r>
          </w:p>
        </w:tc>
        <w:tc>
          <w:tcPr>
            <w:tcW w:w="576" w:type="pct"/>
            <w:shd w:val="clear" w:color="000000" w:fill="FFFFFF"/>
            <w:noWrap/>
            <w:vAlign w:val="center"/>
          </w:tcPr>
          <w:p w14:paraId="2D34AD8A" w14:textId="4FC25FCD" w:rsidR="00006A25" w:rsidRPr="001053EF" w:rsidRDefault="00551046" w:rsidP="00ED0F7E">
            <w:pPr>
              <w:pStyle w:val="TableText"/>
            </w:pPr>
            <w:r>
              <w:t>reference</w:t>
            </w:r>
          </w:p>
        </w:tc>
        <w:tc>
          <w:tcPr>
            <w:tcW w:w="576" w:type="pct"/>
            <w:shd w:val="clear" w:color="000000" w:fill="FFFFFF"/>
          </w:tcPr>
          <w:p w14:paraId="58F26504" w14:textId="4FA8E6A7" w:rsidR="00006A25" w:rsidRPr="001053EF" w:rsidRDefault="002931F5" w:rsidP="00ED0F7E">
            <w:pPr>
              <w:pStyle w:val="TableText"/>
            </w:pPr>
            <w:r>
              <w:t>4.73</w:t>
            </w:r>
          </w:p>
        </w:tc>
        <w:tc>
          <w:tcPr>
            <w:tcW w:w="576" w:type="pct"/>
            <w:shd w:val="clear" w:color="000000" w:fill="FFFFFF"/>
            <w:noWrap/>
            <w:vAlign w:val="center"/>
          </w:tcPr>
          <w:p w14:paraId="661A3B25" w14:textId="67629D35" w:rsidR="00006A25" w:rsidRPr="001053EF" w:rsidRDefault="00551046" w:rsidP="00ED0F7E">
            <w:pPr>
              <w:pStyle w:val="TableText"/>
            </w:pPr>
            <w:r>
              <w:t>reference</w:t>
            </w:r>
          </w:p>
        </w:tc>
        <w:tc>
          <w:tcPr>
            <w:tcW w:w="576" w:type="pct"/>
            <w:shd w:val="clear" w:color="000000" w:fill="FFFFFF"/>
          </w:tcPr>
          <w:p w14:paraId="175BDB7A" w14:textId="13E1910B" w:rsidR="00006A25" w:rsidRPr="001053EF" w:rsidRDefault="002931F5" w:rsidP="00ED0F7E">
            <w:pPr>
              <w:pStyle w:val="TableText"/>
            </w:pPr>
            <w:r>
              <w:t>3.</w:t>
            </w:r>
            <w:r w:rsidR="008E4F12">
              <w:t>59</w:t>
            </w:r>
          </w:p>
        </w:tc>
        <w:tc>
          <w:tcPr>
            <w:tcW w:w="576" w:type="pct"/>
            <w:shd w:val="clear" w:color="000000" w:fill="FFFFFF"/>
            <w:noWrap/>
            <w:vAlign w:val="center"/>
          </w:tcPr>
          <w:p w14:paraId="39FF936A" w14:textId="6DC497C6" w:rsidR="00006A25" w:rsidRPr="001053EF" w:rsidRDefault="00551046" w:rsidP="00ED0F7E">
            <w:pPr>
              <w:pStyle w:val="TableText"/>
            </w:pPr>
            <w:r>
              <w:t>reference</w:t>
            </w:r>
          </w:p>
        </w:tc>
        <w:tc>
          <w:tcPr>
            <w:tcW w:w="576" w:type="pct"/>
            <w:shd w:val="clear" w:color="000000" w:fill="FFFFFF"/>
            <w:noWrap/>
            <w:vAlign w:val="center"/>
          </w:tcPr>
          <w:p w14:paraId="1CC716E9" w14:textId="084EAAB6" w:rsidR="00006A25" w:rsidRPr="001053EF" w:rsidRDefault="00DC3E67" w:rsidP="00ED0F7E">
            <w:pPr>
              <w:pStyle w:val="TableText"/>
              <w:rPr>
                <w:bCs/>
              </w:rPr>
            </w:pPr>
            <w:r>
              <w:rPr>
                <w:bCs/>
              </w:rPr>
              <w:t>reference</w:t>
            </w:r>
          </w:p>
        </w:tc>
      </w:tr>
      <w:tr w:rsidR="003A732B" w:rsidRPr="006E2204" w14:paraId="18D3C46D" w14:textId="77777777" w:rsidTr="008E4F12">
        <w:trPr>
          <w:trHeight w:val="315"/>
        </w:trPr>
        <w:tc>
          <w:tcPr>
            <w:tcW w:w="968" w:type="pct"/>
            <w:shd w:val="clear" w:color="000000" w:fill="FFFFFF"/>
            <w:noWrap/>
            <w:vAlign w:val="center"/>
            <w:hideMark/>
          </w:tcPr>
          <w:p w14:paraId="0DDCEF73" w14:textId="489376D2" w:rsidR="00E57B7C" w:rsidRPr="006E2204" w:rsidRDefault="00E57B7C" w:rsidP="00ED0F7E">
            <w:pPr>
              <w:pStyle w:val="TableText"/>
              <w:rPr>
                <w:lang w:val="en-GB" w:eastAsia="en-GB"/>
              </w:rPr>
            </w:pPr>
            <w:r>
              <w:rPr>
                <w:lang w:val="en-GB" w:eastAsia="en-GB"/>
              </w:rPr>
              <w:t>PBO</w:t>
            </w:r>
          </w:p>
        </w:tc>
        <w:tc>
          <w:tcPr>
            <w:tcW w:w="576" w:type="pct"/>
            <w:shd w:val="clear" w:color="000000" w:fill="FFFFFF"/>
          </w:tcPr>
          <w:p w14:paraId="5E7BFCC9" w14:textId="46E80C97" w:rsidR="00E57B7C" w:rsidRPr="001053EF" w:rsidRDefault="000662D8" w:rsidP="00ED0F7E">
            <w:pPr>
              <w:pStyle w:val="TableText"/>
            </w:pPr>
            <w:r>
              <w:t>$31,456</w:t>
            </w:r>
          </w:p>
        </w:tc>
        <w:tc>
          <w:tcPr>
            <w:tcW w:w="576" w:type="pct"/>
            <w:shd w:val="clear" w:color="000000" w:fill="FFFFFF"/>
            <w:noWrap/>
            <w:vAlign w:val="center"/>
            <w:hideMark/>
          </w:tcPr>
          <w:p w14:paraId="6FDACCF7" w14:textId="4DD02F69" w:rsidR="00E57B7C" w:rsidRPr="006E2204" w:rsidRDefault="00E57B7C" w:rsidP="00ED0F7E">
            <w:pPr>
              <w:pStyle w:val="TableText"/>
              <w:rPr>
                <w:lang w:val="en-GB" w:eastAsia="en-GB"/>
              </w:rPr>
            </w:pPr>
            <w:r w:rsidRPr="001053EF">
              <w:t>$47,</w:t>
            </w:r>
            <w:r w:rsidRPr="00AF4690">
              <w:rPr>
                <w:rFonts w:cs="Calibri"/>
                <w:szCs w:val="20"/>
              </w:rPr>
              <w:t>580</w:t>
            </w:r>
          </w:p>
        </w:tc>
        <w:tc>
          <w:tcPr>
            <w:tcW w:w="576" w:type="pct"/>
            <w:shd w:val="clear" w:color="000000" w:fill="FFFFFF"/>
          </w:tcPr>
          <w:p w14:paraId="1C27E81F" w14:textId="5878F5B6" w:rsidR="00E57B7C" w:rsidRPr="001053EF" w:rsidRDefault="006E3809" w:rsidP="00ED0F7E">
            <w:pPr>
              <w:pStyle w:val="TableText"/>
            </w:pPr>
            <w:r>
              <w:t>3.26</w:t>
            </w:r>
          </w:p>
        </w:tc>
        <w:tc>
          <w:tcPr>
            <w:tcW w:w="576" w:type="pct"/>
            <w:shd w:val="clear" w:color="000000" w:fill="FFFFFF"/>
            <w:noWrap/>
            <w:vAlign w:val="center"/>
            <w:hideMark/>
          </w:tcPr>
          <w:p w14:paraId="37F616CB" w14:textId="40230FF4" w:rsidR="00E57B7C" w:rsidRPr="006E2204" w:rsidRDefault="00E57B7C" w:rsidP="00ED0F7E">
            <w:pPr>
              <w:pStyle w:val="TableText"/>
              <w:rPr>
                <w:lang w:val="en-GB" w:eastAsia="en-GB"/>
              </w:rPr>
            </w:pPr>
            <w:r w:rsidRPr="001053EF">
              <w:t>1.47</w:t>
            </w:r>
          </w:p>
        </w:tc>
        <w:tc>
          <w:tcPr>
            <w:tcW w:w="576" w:type="pct"/>
            <w:shd w:val="clear" w:color="000000" w:fill="FFFFFF"/>
          </w:tcPr>
          <w:p w14:paraId="57FA6F54" w14:textId="4E42394B" w:rsidR="00E57B7C" w:rsidRPr="001053EF" w:rsidRDefault="00DD212E" w:rsidP="00ED0F7E">
            <w:pPr>
              <w:pStyle w:val="TableText"/>
            </w:pPr>
            <w:r>
              <w:t>2.09</w:t>
            </w:r>
          </w:p>
        </w:tc>
        <w:tc>
          <w:tcPr>
            <w:tcW w:w="576" w:type="pct"/>
            <w:shd w:val="clear" w:color="000000" w:fill="FFFFFF"/>
            <w:noWrap/>
            <w:vAlign w:val="center"/>
            <w:hideMark/>
          </w:tcPr>
          <w:p w14:paraId="76D53559" w14:textId="69B4CBC7" w:rsidR="00E57B7C" w:rsidRPr="006E2204" w:rsidRDefault="00E57B7C" w:rsidP="00ED0F7E">
            <w:pPr>
              <w:pStyle w:val="TableText"/>
              <w:rPr>
                <w:lang w:val="en-GB" w:eastAsia="en-GB"/>
              </w:rPr>
            </w:pPr>
            <w:r w:rsidRPr="001053EF">
              <w:t>1.</w:t>
            </w:r>
            <w:r w:rsidRPr="00AF4690">
              <w:rPr>
                <w:rFonts w:cs="Calibri"/>
                <w:szCs w:val="20"/>
              </w:rPr>
              <w:t>50</w:t>
            </w:r>
          </w:p>
        </w:tc>
        <w:tc>
          <w:tcPr>
            <w:tcW w:w="576" w:type="pct"/>
            <w:shd w:val="clear" w:color="000000" w:fill="FFFFFF"/>
            <w:noWrap/>
            <w:vAlign w:val="center"/>
            <w:hideMark/>
          </w:tcPr>
          <w:p w14:paraId="6C6C7BBC" w14:textId="720642EC" w:rsidR="00E57B7C" w:rsidRPr="00C20795" w:rsidRDefault="00E57B7C" w:rsidP="00ED0F7E">
            <w:pPr>
              <w:pStyle w:val="TableText"/>
              <w:rPr>
                <w:bCs/>
                <w:lang w:val="en-GB" w:eastAsia="en-GB"/>
              </w:rPr>
            </w:pPr>
            <w:r w:rsidRPr="001053EF">
              <w:rPr>
                <w:bCs/>
              </w:rPr>
              <w:t>$31,</w:t>
            </w:r>
            <w:r w:rsidRPr="001053EF">
              <w:rPr>
                <w:rFonts w:cs="Calibri"/>
                <w:bCs/>
                <w:szCs w:val="20"/>
              </w:rPr>
              <w:t>792</w:t>
            </w:r>
          </w:p>
        </w:tc>
      </w:tr>
      <w:tr w:rsidR="003A732B" w:rsidRPr="006E2204" w14:paraId="77CA8B13" w14:textId="77777777" w:rsidTr="008E4F12">
        <w:trPr>
          <w:trHeight w:val="315"/>
        </w:trPr>
        <w:tc>
          <w:tcPr>
            <w:tcW w:w="968" w:type="pct"/>
            <w:shd w:val="clear" w:color="000000" w:fill="FFFFFF"/>
            <w:noWrap/>
            <w:vAlign w:val="center"/>
            <w:hideMark/>
          </w:tcPr>
          <w:p w14:paraId="0F233715" w14:textId="75423ADD" w:rsidR="00E57B7C" w:rsidRPr="006E2204" w:rsidRDefault="00E57B7C" w:rsidP="00ED0F7E">
            <w:pPr>
              <w:pStyle w:val="TableText"/>
              <w:rPr>
                <w:lang w:val="en-GB" w:eastAsia="en-GB"/>
              </w:rPr>
            </w:pPr>
            <w:r>
              <w:rPr>
                <w:lang w:val="en-GB" w:eastAsia="en-GB"/>
              </w:rPr>
              <w:t>OCT</w:t>
            </w:r>
          </w:p>
        </w:tc>
        <w:tc>
          <w:tcPr>
            <w:tcW w:w="576" w:type="pct"/>
            <w:shd w:val="clear" w:color="000000" w:fill="FFFFFF"/>
          </w:tcPr>
          <w:p w14:paraId="311C9049" w14:textId="072FB50F" w:rsidR="00E57B7C" w:rsidRPr="001053EF" w:rsidRDefault="000662D8" w:rsidP="00ED0F7E">
            <w:pPr>
              <w:pStyle w:val="TableText"/>
            </w:pPr>
            <w:r>
              <w:t>$56,160</w:t>
            </w:r>
          </w:p>
        </w:tc>
        <w:tc>
          <w:tcPr>
            <w:tcW w:w="576" w:type="pct"/>
            <w:shd w:val="clear" w:color="000000" w:fill="FFFFFF"/>
            <w:noWrap/>
            <w:vAlign w:val="center"/>
            <w:hideMark/>
          </w:tcPr>
          <w:p w14:paraId="5504DDEB" w14:textId="46B7B246" w:rsidR="00E57B7C" w:rsidRPr="006E2204" w:rsidRDefault="00E57B7C" w:rsidP="00ED0F7E">
            <w:pPr>
              <w:pStyle w:val="TableText"/>
              <w:rPr>
                <w:lang w:val="en-GB" w:eastAsia="en-GB"/>
              </w:rPr>
            </w:pPr>
            <w:r w:rsidRPr="001053EF">
              <w:t>$</w:t>
            </w:r>
            <w:r w:rsidRPr="00AF4690">
              <w:rPr>
                <w:rFonts w:cs="Calibri"/>
                <w:szCs w:val="20"/>
              </w:rPr>
              <w:t>22,876</w:t>
            </w:r>
          </w:p>
        </w:tc>
        <w:tc>
          <w:tcPr>
            <w:tcW w:w="576" w:type="pct"/>
            <w:shd w:val="clear" w:color="000000" w:fill="FFFFFF"/>
          </w:tcPr>
          <w:p w14:paraId="49141383" w14:textId="475A94B5" w:rsidR="00E57B7C" w:rsidRPr="001053EF" w:rsidRDefault="006E3809" w:rsidP="00ED0F7E">
            <w:pPr>
              <w:pStyle w:val="TableText"/>
            </w:pPr>
            <w:r>
              <w:t>4.15</w:t>
            </w:r>
          </w:p>
        </w:tc>
        <w:tc>
          <w:tcPr>
            <w:tcW w:w="576" w:type="pct"/>
            <w:shd w:val="clear" w:color="000000" w:fill="FFFFFF"/>
            <w:noWrap/>
            <w:vAlign w:val="center"/>
            <w:hideMark/>
          </w:tcPr>
          <w:p w14:paraId="36C2708A" w14:textId="2CB223CC" w:rsidR="00E57B7C" w:rsidRPr="006E2204" w:rsidRDefault="00E57B7C" w:rsidP="00ED0F7E">
            <w:pPr>
              <w:pStyle w:val="TableText"/>
              <w:rPr>
                <w:lang w:val="en-GB" w:eastAsia="en-GB"/>
              </w:rPr>
            </w:pPr>
            <w:r w:rsidRPr="001053EF">
              <w:t>0.58</w:t>
            </w:r>
          </w:p>
        </w:tc>
        <w:tc>
          <w:tcPr>
            <w:tcW w:w="576" w:type="pct"/>
            <w:shd w:val="clear" w:color="000000" w:fill="FFFFFF"/>
          </w:tcPr>
          <w:p w14:paraId="4D4F901F" w14:textId="247147C1" w:rsidR="00E57B7C" w:rsidRPr="001053EF" w:rsidRDefault="000F4364" w:rsidP="00ED0F7E">
            <w:pPr>
              <w:pStyle w:val="TableText"/>
            </w:pPr>
            <w:r>
              <w:t>2.7</w:t>
            </w:r>
            <w:r w:rsidR="00BE4354">
              <w:t>8</w:t>
            </w:r>
          </w:p>
        </w:tc>
        <w:tc>
          <w:tcPr>
            <w:tcW w:w="576" w:type="pct"/>
            <w:shd w:val="clear" w:color="000000" w:fill="FFFFFF"/>
            <w:noWrap/>
            <w:vAlign w:val="center"/>
            <w:hideMark/>
          </w:tcPr>
          <w:p w14:paraId="5C6434C0" w14:textId="4F7B6E9E" w:rsidR="00E57B7C" w:rsidRPr="006E2204" w:rsidRDefault="00E57B7C" w:rsidP="00ED0F7E">
            <w:pPr>
              <w:pStyle w:val="TableText"/>
              <w:rPr>
                <w:lang w:val="en-GB" w:eastAsia="en-GB"/>
              </w:rPr>
            </w:pPr>
            <w:r w:rsidRPr="001053EF">
              <w:t>0.</w:t>
            </w:r>
            <w:r w:rsidRPr="00AF4690">
              <w:rPr>
                <w:rFonts w:cs="Calibri"/>
                <w:szCs w:val="20"/>
              </w:rPr>
              <w:t>83</w:t>
            </w:r>
          </w:p>
        </w:tc>
        <w:tc>
          <w:tcPr>
            <w:tcW w:w="576" w:type="pct"/>
            <w:shd w:val="clear" w:color="000000" w:fill="FFFFFF"/>
            <w:noWrap/>
            <w:vAlign w:val="center"/>
            <w:hideMark/>
          </w:tcPr>
          <w:p w14:paraId="0B4882B2" w14:textId="1E9C2E61" w:rsidR="00E57B7C" w:rsidRPr="00C20795" w:rsidRDefault="00E57B7C" w:rsidP="00ED0F7E">
            <w:pPr>
              <w:pStyle w:val="TableText"/>
              <w:rPr>
                <w:bCs/>
                <w:lang w:val="en-GB" w:eastAsia="en-GB"/>
              </w:rPr>
            </w:pPr>
            <w:r w:rsidRPr="001053EF">
              <w:rPr>
                <w:bCs/>
              </w:rPr>
              <w:t>$27</w:t>
            </w:r>
            <w:r w:rsidRPr="001053EF">
              <w:rPr>
                <w:rFonts w:cs="Calibri"/>
                <w:bCs/>
                <w:szCs w:val="20"/>
              </w:rPr>
              <w:t>,676</w:t>
            </w:r>
          </w:p>
        </w:tc>
      </w:tr>
      <w:tr w:rsidR="003A732B" w:rsidRPr="006E2204" w14:paraId="23E34E16" w14:textId="77777777" w:rsidTr="008E4F12">
        <w:trPr>
          <w:trHeight w:val="315"/>
        </w:trPr>
        <w:tc>
          <w:tcPr>
            <w:tcW w:w="968" w:type="pct"/>
            <w:shd w:val="clear" w:color="000000" w:fill="FFFFFF"/>
            <w:noWrap/>
            <w:vAlign w:val="center"/>
            <w:hideMark/>
          </w:tcPr>
          <w:p w14:paraId="304662BF" w14:textId="68ABF88E" w:rsidR="00E57B7C" w:rsidRPr="006E2204" w:rsidRDefault="00E57B7C" w:rsidP="00ED0F7E">
            <w:pPr>
              <w:pStyle w:val="TableText"/>
              <w:rPr>
                <w:lang w:val="en-GB" w:eastAsia="en-GB"/>
              </w:rPr>
            </w:pPr>
            <w:r>
              <w:rPr>
                <w:lang w:val="en-GB" w:eastAsia="en-GB"/>
              </w:rPr>
              <w:t>LAN</w:t>
            </w:r>
          </w:p>
        </w:tc>
        <w:tc>
          <w:tcPr>
            <w:tcW w:w="576" w:type="pct"/>
            <w:shd w:val="clear" w:color="000000" w:fill="FFFFFF"/>
          </w:tcPr>
          <w:p w14:paraId="326E88B0" w14:textId="661D842E" w:rsidR="00E57B7C" w:rsidRPr="001053EF" w:rsidRDefault="000662D8" w:rsidP="00ED0F7E">
            <w:pPr>
              <w:pStyle w:val="TableText"/>
            </w:pPr>
            <w:r>
              <w:t>$58,797</w:t>
            </w:r>
          </w:p>
        </w:tc>
        <w:tc>
          <w:tcPr>
            <w:tcW w:w="576" w:type="pct"/>
            <w:shd w:val="clear" w:color="000000" w:fill="FFFFFF"/>
            <w:noWrap/>
            <w:vAlign w:val="center"/>
            <w:hideMark/>
          </w:tcPr>
          <w:p w14:paraId="17470332" w14:textId="103F0D30" w:rsidR="00E57B7C" w:rsidRPr="006E2204" w:rsidRDefault="00E57B7C" w:rsidP="00ED0F7E">
            <w:pPr>
              <w:pStyle w:val="TableText"/>
              <w:rPr>
                <w:lang w:val="en-GB" w:eastAsia="en-GB"/>
              </w:rPr>
            </w:pPr>
            <w:r w:rsidRPr="001053EF">
              <w:t>$20,</w:t>
            </w:r>
            <w:r w:rsidRPr="00AF4690">
              <w:rPr>
                <w:rFonts w:cs="Calibri"/>
                <w:szCs w:val="20"/>
              </w:rPr>
              <w:t>23</w:t>
            </w:r>
            <w:r w:rsidR="00C152DA">
              <w:rPr>
                <w:rFonts w:cs="Calibri"/>
                <w:szCs w:val="20"/>
              </w:rPr>
              <w:t>9</w:t>
            </w:r>
          </w:p>
        </w:tc>
        <w:tc>
          <w:tcPr>
            <w:tcW w:w="576" w:type="pct"/>
            <w:shd w:val="clear" w:color="000000" w:fill="FFFFFF"/>
          </w:tcPr>
          <w:p w14:paraId="2E474E13" w14:textId="1925B4C5" w:rsidR="00E57B7C" w:rsidRPr="001053EF" w:rsidRDefault="006E3809" w:rsidP="00ED0F7E">
            <w:pPr>
              <w:pStyle w:val="TableText"/>
            </w:pPr>
            <w:r>
              <w:t>4.15</w:t>
            </w:r>
          </w:p>
        </w:tc>
        <w:tc>
          <w:tcPr>
            <w:tcW w:w="576" w:type="pct"/>
            <w:shd w:val="clear" w:color="000000" w:fill="FFFFFF"/>
            <w:noWrap/>
            <w:vAlign w:val="center"/>
            <w:hideMark/>
          </w:tcPr>
          <w:p w14:paraId="1A52456C" w14:textId="09C03894" w:rsidR="00E57B7C" w:rsidRPr="006E2204" w:rsidRDefault="00E57B7C" w:rsidP="00ED0F7E">
            <w:pPr>
              <w:pStyle w:val="TableText"/>
              <w:rPr>
                <w:lang w:val="en-GB" w:eastAsia="en-GB"/>
              </w:rPr>
            </w:pPr>
            <w:r w:rsidRPr="001053EF">
              <w:t>0.58</w:t>
            </w:r>
          </w:p>
        </w:tc>
        <w:tc>
          <w:tcPr>
            <w:tcW w:w="576" w:type="pct"/>
            <w:shd w:val="clear" w:color="000000" w:fill="FFFFFF"/>
          </w:tcPr>
          <w:p w14:paraId="32955632" w14:textId="4E9F1F8A" w:rsidR="00E57B7C" w:rsidRPr="001053EF" w:rsidRDefault="000F4364" w:rsidP="00ED0F7E">
            <w:pPr>
              <w:pStyle w:val="TableText"/>
            </w:pPr>
            <w:r>
              <w:t>2.69</w:t>
            </w:r>
          </w:p>
        </w:tc>
        <w:tc>
          <w:tcPr>
            <w:tcW w:w="576" w:type="pct"/>
            <w:shd w:val="clear" w:color="000000" w:fill="FFFFFF"/>
            <w:noWrap/>
            <w:vAlign w:val="center"/>
            <w:hideMark/>
          </w:tcPr>
          <w:p w14:paraId="613DF2CF" w14:textId="05694554" w:rsidR="00E57B7C" w:rsidRPr="006E2204" w:rsidRDefault="00E57B7C" w:rsidP="00ED0F7E">
            <w:pPr>
              <w:pStyle w:val="TableText"/>
              <w:rPr>
                <w:lang w:val="en-GB" w:eastAsia="en-GB"/>
              </w:rPr>
            </w:pPr>
            <w:r w:rsidRPr="001053EF">
              <w:t>0.89</w:t>
            </w:r>
          </w:p>
        </w:tc>
        <w:tc>
          <w:tcPr>
            <w:tcW w:w="576" w:type="pct"/>
            <w:shd w:val="clear" w:color="000000" w:fill="FFFFFF"/>
            <w:noWrap/>
            <w:vAlign w:val="center"/>
            <w:hideMark/>
          </w:tcPr>
          <w:p w14:paraId="2098E058" w14:textId="3A047D08" w:rsidR="00E57B7C" w:rsidRPr="00C20795" w:rsidRDefault="00E57B7C" w:rsidP="00ED0F7E">
            <w:pPr>
              <w:pStyle w:val="TableText"/>
              <w:rPr>
                <w:bCs/>
                <w:lang w:val="en-GB" w:eastAsia="en-GB"/>
              </w:rPr>
            </w:pPr>
            <w:r w:rsidRPr="001053EF">
              <w:rPr>
                <w:bCs/>
              </w:rPr>
              <w:t>$</w:t>
            </w:r>
            <w:r w:rsidRPr="001053EF">
              <w:rPr>
                <w:rFonts w:cs="Calibri"/>
                <w:bCs/>
                <w:szCs w:val="20"/>
              </w:rPr>
              <w:t>22,621</w:t>
            </w:r>
          </w:p>
        </w:tc>
      </w:tr>
      <w:tr w:rsidR="003A732B" w:rsidRPr="006E2204" w14:paraId="7F004C9B" w14:textId="77777777" w:rsidTr="008E4F12">
        <w:trPr>
          <w:trHeight w:val="315"/>
        </w:trPr>
        <w:tc>
          <w:tcPr>
            <w:tcW w:w="968" w:type="pct"/>
            <w:shd w:val="clear" w:color="000000" w:fill="FFFFFF"/>
            <w:noWrap/>
            <w:vAlign w:val="center"/>
            <w:hideMark/>
          </w:tcPr>
          <w:p w14:paraId="62376BB8" w14:textId="593D60FD" w:rsidR="00E57B7C" w:rsidRPr="006E2204" w:rsidRDefault="00E57B7C" w:rsidP="00ED0F7E">
            <w:pPr>
              <w:pStyle w:val="TableText"/>
              <w:rPr>
                <w:lang w:val="en-GB" w:eastAsia="en-GB"/>
              </w:rPr>
            </w:pPr>
            <w:r>
              <w:rPr>
                <w:lang w:val="en-GB" w:eastAsia="en-GB"/>
              </w:rPr>
              <w:t>EVO</w:t>
            </w:r>
          </w:p>
        </w:tc>
        <w:tc>
          <w:tcPr>
            <w:tcW w:w="576" w:type="pct"/>
            <w:shd w:val="clear" w:color="000000" w:fill="FFFFFF"/>
          </w:tcPr>
          <w:p w14:paraId="09F113A5" w14:textId="499EF7E7" w:rsidR="00E57B7C" w:rsidRPr="001053EF" w:rsidRDefault="000662D8" w:rsidP="00ED0F7E">
            <w:pPr>
              <w:pStyle w:val="TableText"/>
            </w:pPr>
            <w:r>
              <w:t>$43,799</w:t>
            </w:r>
          </w:p>
        </w:tc>
        <w:tc>
          <w:tcPr>
            <w:tcW w:w="576" w:type="pct"/>
            <w:shd w:val="clear" w:color="000000" w:fill="FFFFFF"/>
            <w:noWrap/>
            <w:vAlign w:val="center"/>
            <w:hideMark/>
          </w:tcPr>
          <w:p w14:paraId="032C67DC" w14:textId="5DE9912D" w:rsidR="00E57B7C" w:rsidRPr="006E2204" w:rsidRDefault="00E57B7C" w:rsidP="00ED0F7E">
            <w:pPr>
              <w:pStyle w:val="TableText"/>
              <w:rPr>
                <w:lang w:val="en-GB" w:eastAsia="en-GB"/>
              </w:rPr>
            </w:pPr>
            <w:r w:rsidRPr="001053EF">
              <w:t>$</w:t>
            </w:r>
            <w:r w:rsidRPr="00AF4690">
              <w:rPr>
                <w:rFonts w:cs="Calibri"/>
                <w:szCs w:val="20"/>
              </w:rPr>
              <w:t>35,23</w:t>
            </w:r>
            <w:r w:rsidR="00C152DA">
              <w:rPr>
                <w:rFonts w:cs="Calibri"/>
                <w:szCs w:val="20"/>
              </w:rPr>
              <w:t>7</w:t>
            </w:r>
          </w:p>
        </w:tc>
        <w:tc>
          <w:tcPr>
            <w:tcW w:w="576" w:type="pct"/>
            <w:shd w:val="clear" w:color="000000" w:fill="FFFFFF"/>
          </w:tcPr>
          <w:p w14:paraId="59EBE86F" w14:textId="63DBE433" w:rsidR="00E57B7C" w:rsidRPr="001053EF" w:rsidRDefault="006E3809" w:rsidP="00ED0F7E">
            <w:pPr>
              <w:pStyle w:val="TableText"/>
            </w:pPr>
            <w:r>
              <w:t>3.61</w:t>
            </w:r>
          </w:p>
        </w:tc>
        <w:tc>
          <w:tcPr>
            <w:tcW w:w="576" w:type="pct"/>
            <w:shd w:val="clear" w:color="000000" w:fill="FFFFFF"/>
            <w:noWrap/>
            <w:vAlign w:val="center"/>
            <w:hideMark/>
          </w:tcPr>
          <w:p w14:paraId="5999199E" w14:textId="0D42E22F" w:rsidR="00E57B7C" w:rsidRPr="006E2204" w:rsidRDefault="00E57B7C" w:rsidP="00ED0F7E">
            <w:pPr>
              <w:pStyle w:val="TableText"/>
              <w:rPr>
                <w:lang w:val="en-GB" w:eastAsia="en-GB"/>
              </w:rPr>
            </w:pPr>
            <w:r w:rsidRPr="001053EF">
              <w:t>1.13</w:t>
            </w:r>
          </w:p>
        </w:tc>
        <w:tc>
          <w:tcPr>
            <w:tcW w:w="576" w:type="pct"/>
            <w:shd w:val="clear" w:color="000000" w:fill="FFFFFF"/>
          </w:tcPr>
          <w:p w14:paraId="0A69F274" w14:textId="0C7F2CD8" w:rsidR="00E57B7C" w:rsidRPr="001053EF" w:rsidRDefault="000F4364" w:rsidP="00ED0F7E">
            <w:pPr>
              <w:pStyle w:val="TableText"/>
            </w:pPr>
            <w:r>
              <w:t>2.39</w:t>
            </w:r>
          </w:p>
        </w:tc>
        <w:tc>
          <w:tcPr>
            <w:tcW w:w="576" w:type="pct"/>
            <w:shd w:val="clear" w:color="000000" w:fill="FFFFFF"/>
            <w:noWrap/>
            <w:vAlign w:val="center"/>
            <w:hideMark/>
          </w:tcPr>
          <w:p w14:paraId="6178B32B" w14:textId="16746596" w:rsidR="00E57B7C" w:rsidRPr="006E2204" w:rsidRDefault="00E57B7C" w:rsidP="00ED0F7E">
            <w:pPr>
              <w:pStyle w:val="TableText"/>
              <w:rPr>
                <w:lang w:val="en-GB" w:eastAsia="en-GB"/>
              </w:rPr>
            </w:pPr>
            <w:r w:rsidRPr="001053EF">
              <w:t>1.</w:t>
            </w:r>
            <w:r w:rsidRPr="00AF4690">
              <w:rPr>
                <w:rFonts w:cs="Calibri"/>
                <w:szCs w:val="20"/>
              </w:rPr>
              <w:t>20</w:t>
            </w:r>
          </w:p>
        </w:tc>
        <w:tc>
          <w:tcPr>
            <w:tcW w:w="576" w:type="pct"/>
            <w:shd w:val="clear" w:color="000000" w:fill="FFFFFF"/>
            <w:noWrap/>
            <w:vAlign w:val="center"/>
            <w:hideMark/>
          </w:tcPr>
          <w:p w14:paraId="6E7E5142" w14:textId="0737F82B" w:rsidR="00E57B7C" w:rsidRPr="00C20795" w:rsidRDefault="00E57B7C" w:rsidP="00ED0F7E">
            <w:pPr>
              <w:pStyle w:val="TableText"/>
              <w:rPr>
                <w:bCs/>
                <w:lang w:val="en-GB" w:eastAsia="en-GB"/>
              </w:rPr>
            </w:pPr>
            <w:r w:rsidRPr="001053EF">
              <w:rPr>
                <w:bCs/>
              </w:rPr>
              <w:t>$</w:t>
            </w:r>
            <w:r w:rsidRPr="001053EF">
              <w:rPr>
                <w:rFonts w:cs="Calibri"/>
                <w:bCs/>
                <w:szCs w:val="20"/>
              </w:rPr>
              <w:t>29,439</w:t>
            </w:r>
          </w:p>
        </w:tc>
      </w:tr>
      <w:tr w:rsidR="003A732B" w:rsidRPr="00B86104" w14:paraId="49BEBD47" w14:textId="77777777" w:rsidTr="008E4F12">
        <w:trPr>
          <w:trHeight w:val="315"/>
        </w:trPr>
        <w:tc>
          <w:tcPr>
            <w:tcW w:w="968" w:type="pct"/>
            <w:shd w:val="clear" w:color="000000" w:fill="FFFFFF"/>
            <w:noWrap/>
            <w:vAlign w:val="center"/>
            <w:hideMark/>
          </w:tcPr>
          <w:p w14:paraId="4987CB6C" w14:textId="09383F6C" w:rsidR="00E57B7C" w:rsidRPr="006E2204" w:rsidRDefault="00E57B7C" w:rsidP="00ED0F7E">
            <w:pPr>
              <w:pStyle w:val="TableText"/>
              <w:rPr>
                <w:color w:val="000000" w:themeColor="text1"/>
                <w:lang w:val="en-GB" w:eastAsia="en-GB"/>
              </w:rPr>
            </w:pPr>
            <w:r>
              <w:rPr>
                <w:color w:val="000000" w:themeColor="text1"/>
                <w:lang w:val="en-GB" w:eastAsia="en-GB"/>
              </w:rPr>
              <w:t>SUN</w:t>
            </w:r>
          </w:p>
        </w:tc>
        <w:tc>
          <w:tcPr>
            <w:tcW w:w="576" w:type="pct"/>
            <w:shd w:val="clear" w:color="000000" w:fill="FFFFFF"/>
          </w:tcPr>
          <w:p w14:paraId="53AF0605" w14:textId="4B032C3D" w:rsidR="00E57B7C" w:rsidRPr="001053EF" w:rsidRDefault="000C0EAE" w:rsidP="00ED0F7E">
            <w:pPr>
              <w:pStyle w:val="TableText"/>
            </w:pPr>
            <w:r>
              <w:t>$56,111</w:t>
            </w:r>
          </w:p>
        </w:tc>
        <w:tc>
          <w:tcPr>
            <w:tcW w:w="576" w:type="pct"/>
            <w:shd w:val="clear" w:color="000000" w:fill="FFFFFF"/>
            <w:noWrap/>
            <w:vAlign w:val="center"/>
            <w:hideMark/>
          </w:tcPr>
          <w:p w14:paraId="7993C479" w14:textId="647341AA" w:rsidR="00E57B7C" w:rsidRPr="006E2204" w:rsidRDefault="00E57B7C" w:rsidP="00ED0F7E">
            <w:pPr>
              <w:pStyle w:val="TableText"/>
              <w:rPr>
                <w:color w:val="000000" w:themeColor="text1"/>
                <w:lang w:val="en-GB" w:eastAsia="en-GB"/>
              </w:rPr>
            </w:pPr>
            <w:r w:rsidRPr="001053EF">
              <w:t>$</w:t>
            </w:r>
            <w:r w:rsidRPr="00AF4690">
              <w:rPr>
                <w:rFonts w:cs="Calibri"/>
                <w:szCs w:val="20"/>
              </w:rPr>
              <w:t>22,92</w:t>
            </w:r>
            <w:r w:rsidR="00C152DA">
              <w:rPr>
                <w:rFonts w:cs="Calibri"/>
                <w:szCs w:val="20"/>
              </w:rPr>
              <w:t>5</w:t>
            </w:r>
          </w:p>
        </w:tc>
        <w:tc>
          <w:tcPr>
            <w:tcW w:w="576" w:type="pct"/>
            <w:shd w:val="clear" w:color="000000" w:fill="FFFFFF"/>
          </w:tcPr>
          <w:p w14:paraId="7B532F09" w14:textId="790FCF47" w:rsidR="00E57B7C" w:rsidRPr="001053EF" w:rsidRDefault="00C47F54" w:rsidP="00ED0F7E">
            <w:pPr>
              <w:pStyle w:val="TableText"/>
            </w:pPr>
            <w:r>
              <w:t>5.75</w:t>
            </w:r>
          </w:p>
        </w:tc>
        <w:tc>
          <w:tcPr>
            <w:tcW w:w="576" w:type="pct"/>
            <w:shd w:val="clear" w:color="000000" w:fill="FFFFFF"/>
            <w:noWrap/>
            <w:vAlign w:val="center"/>
            <w:hideMark/>
          </w:tcPr>
          <w:p w14:paraId="34E558C8" w14:textId="2C600958" w:rsidR="00E57B7C" w:rsidRPr="006E2204" w:rsidRDefault="00E57B7C" w:rsidP="00ED0F7E">
            <w:pPr>
              <w:pStyle w:val="TableText"/>
              <w:rPr>
                <w:color w:val="000000" w:themeColor="text1"/>
                <w:lang w:val="en-GB" w:eastAsia="en-GB"/>
              </w:rPr>
            </w:pPr>
            <w:r w:rsidRPr="001053EF">
              <w:t>-1.02</w:t>
            </w:r>
          </w:p>
        </w:tc>
        <w:tc>
          <w:tcPr>
            <w:tcW w:w="576" w:type="pct"/>
            <w:shd w:val="clear" w:color="000000" w:fill="FFFFFF"/>
          </w:tcPr>
          <w:p w14:paraId="0FD3DB1C" w14:textId="50193C2A" w:rsidR="00E57B7C" w:rsidRPr="001053EF" w:rsidRDefault="000F4364" w:rsidP="00ED0F7E">
            <w:pPr>
              <w:pStyle w:val="TableText"/>
            </w:pPr>
            <w:r>
              <w:t>3.75</w:t>
            </w:r>
          </w:p>
        </w:tc>
        <w:tc>
          <w:tcPr>
            <w:tcW w:w="576" w:type="pct"/>
            <w:shd w:val="clear" w:color="000000" w:fill="FFFFFF"/>
            <w:noWrap/>
            <w:vAlign w:val="center"/>
            <w:hideMark/>
          </w:tcPr>
          <w:p w14:paraId="5D8BD030" w14:textId="0059CB2B" w:rsidR="00E57B7C" w:rsidRPr="006E2204" w:rsidRDefault="00E57B7C" w:rsidP="00ED0F7E">
            <w:pPr>
              <w:pStyle w:val="TableText"/>
              <w:rPr>
                <w:color w:val="000000" w:themeColor="text1"/>
                <w:lang w:val="en-GB" w:eastAsia="en-GB"/>
              </w:rPr>
            </w:pPr>
            <w:r w:rsidRPr="001053EF">
              <w:t>-0.</w:t>
            </w:r>
            <w:r w:rsidRPr="00AF4690">
              <w:rPr>
                <w:rFonts w:cs="Calibri"/>
                <w:szCs w:val="20"/>
              </w:rPr>
              <w:t>16</w:t>
            </w:r>
          </w:p>
        </w:tc>
        <w:tc>
          <w:tcPr>
            <w:tcW w:w="576" w:type="pct"/>
            <w:shd w:val="clear" w:color="000000" w:fill="FFFFFF"/>
            <w:noWrap/>
            <w:vAlign w:val="center"/>
            <w:hideMark/>
          </w:tcPr>
          <w:p w14:paraId="57BEB1FB" w14:textId="77777777" w:rsidR="00E57B7C" w:rsidRPr="00C20795" w:rsidRDefault="00E57B7C" w:rsidP="00ED0F7E">
            <w:pPr>
              <w:pStyle w:val="TableText"/>
              <w:rPr>
                <w:bCs/>
                <w:color w:val="000000" w:themeColor="text1"/>
                <w:lang w:val="en-GB" w:eastAsia="en-GB"/>
              </w:rPr>
            </w:pPr>
            <w:r w:rsidRPr="001053EF">
              <w:rPr>
                <w:bCs/>
              </w:rPr>
              <w:t>Lutetium dominated</w:t>
            </w:r>
          </w:p>
        </w:tc>
      </w:tr>
      <w:tr w:rsidR="003A732B" w:rsidRPr="00B86104" w14:paraId="388B8D51" w14:textId="77777777" w:rsidTr="008E4F12">
        <w:trPr>
          <w:trHeight w:val="315"/>
        </w:trPr>
        <w:tc>
          <w:tcPr>
            <w:tcW w:w="968" w:type="pct"/>
            <w:shd w:val="clear" w:color="000000" w:fill="FFFFFF"/>
            <w:noWrap/>
            <w:vAlign w:val="center"/>
            <w:hideMark/>
          </w:tcPr>
          <w:p w14:paraId="3570377E" w14:textId="0C0EACD8" w:rsidR="00E57B7C" w:rsidRPr="006E2204" w:rsidRDefault="00E57B7C" w:rsidP="00ED0F7E">
            <w:pPr>
              <w:pStyle w:val="TableText"/>
              <w:rPr>
                <w:color w:val="000000" w:themeColor="text1"/>
                <w:lang w:val="en-GB" w:eastAsia="en-GB"/>
              </w:rPr>
            </w:pPr>
            <w:r>
              <w:rPr>
                <w:color w:val="000000" w:themeColor="text1"/>
                <w:lang w:val="en-GB" w:eastAsia="en-GB"/>
              </w:rPr>
              <w:t>OCT + EVO</w:t>
            </w:r>
          </w:p>
        </w:tc>
        <w:tc>
          <w:tcPr>
            <w:tcW w:w="576" w:type="pct"/>
            <w:shd w:val="clear" w:color="000000" w:fill="FFFFFF"/>
          </w:tcPr>
          <w:p w14:paraId="3C17E4A6" w14:textId="06FA272C" w:rsidR="00E57B7C" w:rsidRPr="001053EF" w:rsidRDefault="006A64D7" w:rsidP="00ED0F7E">
            <w:pPr>
              <w:pStyle w:val="TableText"/>
            </w:pPr>
            <w:r>
              <w:t>$</w:t>
            </w:r>
            <w:r w:rsidR="007A2158">
              <w:t>57,509</w:t>
            </w:r>
          </w:p>
        </w:tc>
        <w:tc>
          <w:tcPr>
            <w:tcW w:w="576" w:type="pct"/>
            <w:shd w:val="clear" w:color="000000" w:fill="FFFFFF"/>
            <w:noWrap/>
            <w:vAlign w:val="center"/>
            <w:hideMark/>
          </w:tcPr>
          <w:p w14:paraId="2D0DA96D" w14:textId="34AAFA30" w:rsidR="00E57B7C" w:rsidRPr="006E2204" w:rsidRDefault="00E57B7C" w:rsidP="00ED0F7E">
            <w:pPr>
              <w:pStyle w:val="TableText"/>
              <w:rPr>
                <w:color w:val="000000" w:themeColor="text1"/>
                <w:lang w:val="en-GB" w:eastAsia="en-GB"/>
              </w:rPr>
            </w:pPr>
            <w:r w:rsidRPr="001053EF">
              <w:t>$</w:t>
            </w:r>
            <w:r w:rsidRPr="00AF4690">
              <w:rPr>
                <w:rFonts w:cs="Calibri"/>
                <w:szCs w:val="20"/>
              </w:rPr>
              <w:t>21,527</w:t>
            </w:r>
          </w:p>
        </w:tc>
        <w:tc>
          <w:tcPr>
            <w:tcW w:w="576" w:type="pct"/>
            <w:shd w:val="clear" w:color="000000" w:fill="FFFFFF"/>
          </w:tcPr>
          <w:p w14:paraId="5F950E05" w14:textId="5453E1F4" w:rsidR="00E57B7C" w:rsidRPr="001053EF" w:rsidRDefault="00DD212E" w:rsidP="00ED0F7E">
            <w:pPr>
              <w:pStyle w:val="TableText"/>
            </w:pPr>
            <w:r>
              <w:t>3.57</w:t>
            </w:r>
          </w:p>
        </w:tc>
        <w:tc>
          <w:tcPr>
            <w:tcW w:w="576" w:type="pct"/>
            <w:shd w:val="clear" w:color="000000" w:fill="FFFFFF"/>
            <w:noWrap/>
            <w:vAlign w:val="center"/>
            <w:hideMark/>
          </w:tcPr>
          <w:p w14:paraId="00298D79" w14:textId="069D676A" w:rsidR="00E57B7C" w:rsidRPr="006E2204" w:rsidRDefault="00E57B7C" w:rsidP="00ED0F7E">
            <w:pPr>
              <w:pStyle w:val="TableText"/>
              <w:rPr>
                <w:color w:val="000000" w:themeColor="text1"/>
                <w:lang w:val="en-GB" w:eastAsia="en-GB"/>
              </w:rPr>
            </w:pPr>
            <w:r w:rsidRPr="001053EF">
              <w:t>1.17</w:t>
            </w:r>
          </w:p>
        </w:tc>
        <w:tc>
          <w:tcPr>
            <w:tcW w:w="576" w:type="pct"/>
            <w:shd w:val="clear" w:color="000000" w:fill="FFFFFF"/>
          </w:tcPr>
          <w:p w14:paraId="32912A55" w14:textId="52C23C0D" w:rsidR="00E57B7C" w:rsidRPr="001053EF" w:rsidRDefault="00CF0C39" w:rsidP="00ED0F7E">
            <w:pPr>
              <w:pStyle w:val="TableText"/>
            </w:pPr>
            <w:r>
              <w:t>2.43</w:t>
            </w:r>
          </w:p>
        </w:tc>
        <w:tc>
          <w:tcPr>
            <w:tcW w:w="576" w:type="pct"/>
            <w:shd w:val="clear" w:color="000000" w:fill="FFFFFF"/>
            <w:noWrap/>
            <w:vAlign w:val="center"/>
            <w:hideMark/>
          </w:tcPr>
          <w:p w14:paraId="55250A63" w14:textId="5280CEFA" w:rsidR="00E57B7C" w:rsidRPr="006E2204" w:rsidRDefault="00E57B7C" w:rsidP="00ED0F7E">
            <w:pPr>
              <w:pStyle w:val="TableText"/>
              <w:rPr>
                <w:color w:val="000000" w:themeColor="text1"/>
                <w:lang w:val="en-GB" w:eastAsia="en-GB"/>
              </w:rPr>
            </w:pPr>
            <w:r w:rsidRPr="001053EF">
              <w:t>1.</w:t>
            </w:r>
            <w:r w:rsidRPr="00AF4690">
              <w:rPr>
                <w:rFonts w:cs="Calibri"/>
                <w:szCs w:val="20"/>
              </w:rPr>
              <w:t>15</w:t>
            </w:r>
          </w:p>
        </w:tc>
        <w:tc>
          <w:tcPr>
            <w:tcW w:w="576" w:type="pct"/>
            <w:shd w:val="clear" w:color="000000" w:fill="FFFFFF"/>
            <w:noWrap/>
            <w:vAlign w:val="center"/>
            <w:hideMark/>
          </w:tcPr>
          <w:p w14:paraId="090C50FC" w14:textId="57AAFB3F" w:rsidR="00E57B7C" w:rsidRPr="00C20795" w:rsidRDefault="00E57B7C" w:rsidP="00ED0F7E">
            <w:pPr>
              <w:pStyle w:val="TableText"/>
              <w:rPr>
                <w:bCs/>
                <w:color w:val="000000" w:themeColor="text1"/>
                <w:lang w:val="en-GB" w:eastAsia="en-GB"/>
              </w:rPr>
            </w:pPr>
            <w:r w:rsidRPr="001053EF">
              <w:rPr>
                <w:bCs/>
              </w:rPr>
              <w:t>$</w:t>
            </w:r>
            <w:r w:rsidRPr="001053EF">
              <w:rPr>
                <w:rFonts w:cs="Calibri"/>
                <w:bCs/>
                <w:szCs w:val="20"/>
              </w:rPr>
              <w:t>18,643</w:t>
            </w:r>
          </w:p>
        </w:tc>
      </w:tr>
    </w:tbl>
    <w:p w14:paraId="5A189A0E" w14:textId="1E4CDEB4" w:rsidR="0000312B" w:rsidRDefault="00DF5D3C" w:rsidP="00C20795">
      <w:pPr>
        <w:pStyle w:val="Tablenotes0"/>
      </w:pPr>
      <w:r w:rsidRPr="00C20795">
        <w:t>Abbreviations</w:t>
      </w:r>
      <w:r w:rsidRPr="001053EF">
        <w:t xml:space="preserve">: </w:t>
      </w:r>
      <w:r w:rsidR="0000312B" w:rsidRPr="00C20795">
        <w:t>EVO = everolimus</w:t>
      </w:r>
      <w:r w:rsidR="0000312B" w:rsidRPr="009B07CB">
        <w:t>;</w:t>
      </w:r>
      <w:r w:rsidR="0000312B" w:rsidRPr="0000312B">
        <w:t xml:space="preserve"> ICER = incremental cost-effectiveness ratio; LAN = lanreotide, </w:t>
      </w:r>
      <w:r w:rsidR="0000312B" w:rsidRPr="001053EF">
        <w:t>LY = life year;</w:t>
      </w:r>
      <w:r w:rsidR="0000312B" w:rsidRPr="00C20795">
        <w:t xml:space="preserve"> </w:t>
      </w:r>
      <w:r w:rsidR="0000312B" w:rsidRPr="009B07CB">
        <w:t>OCT = octreotide</w:t>
      </w:r>
      <w:r w:rsidR="0000312B" w:rsidRPr="0000312B">
        <w:t xml:space="preserve">; OCT+EVO = octreotide plus everolimus combination therapy; PBO = placebo; </w:t>
      </w:r>
      <w:r w:rsidR="0000312B" w:rsidRPr="001053EF">
        <w:t>QALY = quality-adjusted life year;</w:t>
      </w:r>
      <w:r w:rsidR="0000312B" w:rsidRPr="00C20795">
        <w:t xml:space="preserve"> </w:t>
      </w:r>
      <w:r w:rsidR="0000312B" w:rsidRPr="009B07CB">
        <w:t>SUN =sunitinib</w:t>
      </w:r>
    </w:p>
    <w:p w14:paraId="2F3B26A7" w14:textId="3D9FFF16" w:rsidR="000C0EAE" w:rsidRPr="0000312B" w:rsidRDefault="000C0EAE" w:rsidP="00C20795">
      <w:pPr>
        <w:pStyle w:val="Tablenotes0"/>
      </w:pPr>
      <w:r>
        <w:t>Source: updated by department following ESC advice</w:t>
      </w:r>
    </w:p>
    <w:p w14:paraId="08713698" w14:textId="47BAC44D" w:rsidR="00DF5D3C" w:rsidRDefault="00DF5D3C" w:rsidP="001053EF">
      <w:r w:rsidRPr="00B86104">
        <w:t xml:space="preserve">For all comparator therapies other than </w:t>
      </w:r>
      <w:r>
        <w:t>s</w:t>
      </w:r>
      <w:r w:rsidRPr="00B86104">
        <w:t xml:space="preserve">unitinib, </w:t>
      </w:r>
      <w:r w:rsidRPr="003602E5">
        <w:rPr>
          <w:vertAlign w:val="superscript"/>
        </w:rPr>
        <w:t>177</w:t>
      </w:r>
      <w:r w:rsidRPr="00B86104">
        <w:t>Lu-</w:t>
      </w:r>
      <w:r w:rsidR="00607D95">
        <w:t xml:space="preserve">DOTA-octreotate </w:t>
      </w:r>
      <w:r w:rsidRPr="00B86104">
        <w:t>resulted in additional total cost, leading to an incremental cost range of $20,</w:t>
      </w:r>
      <w:r w:rsidR="00C50F9F">
        <w:t>239</w:t>
      </w:r>
      <w:r w:rsidRPr="00B86104">
        <w:t xml:space="preserve"> to $47,</w:t>
      </w:r>
      <w:r w:rsidR="00C50F9F" w:rsidRPr="00B86104">
        <w:t>5</w:t>
      </w:r>
      <w:r w:rsidR="00C50F9F">
        <w:t>80</w:t>
      </w:r>
      <w:r w:rsidRPr="00B86104">
        <w:t xml:space="preserve">. This additional cost was associated with substantial improvements </w:t>
      </w:r>
      <w:r>
        <w:t>in total life years and QALYs</w:t>
      </w:r>
      <w:r w:rsidR="00EE16F2">
        <w:t>,</w:t>
      </w:r>
      <w:r>
        <w:t xml:space="preserve"> ranging from 0.58 to 1.47 life years and 0.8</w:t>
      </w:r>
      <w:r w:rsidR="007D09AA">
        <w:t>3</w:t>
      </w:r>
      <w:r>
        <w:t xml:space="preserve"> to 1.</w:t>
      </w:r>
      <w:r w:rsidR="007D09AA">
        <w:t>50</w:t>
      </w:r>
      <w:r>
        <w:t xml:space="preserve"> QALYs. </w:t>
      </w:r>
      <w:r w:rsidRPr="00CC0CC2">
        <w:rPr>
          <w:vertAlign w:val="superscript"/>
        </w:rPr>
        <w:t>177</w:t>
      </w:r>
      <w:r w:rsidRPr="00AF40EA">
        <w:t>Lu-</w:t>
      </w:r>
      <w:r w:rsidR="00607D95">
        <w:t xml:space="preserve">DOTA-octreotate </w:t>
      </w:r>
      <w:r>
        <w:t xml:space="preserve">compared with </w:t>
      </w:r>
      <w:r w:rsidR="00997DCB">
        <w:t>s</w:t>
      </w:r>
      <w:r>
        <w:t>unitinib results in additional total costs of $2</w:t>
      </w:r>
      <w:r w:rsidR="00E645A8">
        <w:t>2,</w:t>
      </w:r>
      <w:r w:rsidR="009326BD">
        <w:t>924.60</w:t>
      </w:r>
      <w:r>
        <w:t xml:space="preserve"> with a reduction of 1.02 life years and 0.</w:t>
      </w:r>
      <w:r w:rsidR="00E645A8">
        <w:t>16</w:t>
      </w:r>
      <w:r>
        <w:t xml:space="preserve"> QALYs. In the base case analysis</w:t>
      </w:r>
      <w:r w:rsidR="00EE16F2">
        <w:t>,</w:t>
      </w:r>
      <w:r>
        <w:t xml:space="preserve"> </w:t>
      </w:r>
      <w:r w:rsidRPr="00CC0CC2">
        <w:rPr>
          <w:vertAlign w:val="superscript"/>
        </w:rPr>
        <w:t>177</w:t>
      </w:r>
      <w:r w:rsidRPr="00AF40EA">
        <w:t>Lu-</w:t>
      </w:r>
      <w:r w:rsidR="00607D95">
        <w:t xml:space="preserve">DOTA-octreotate </w:t>
      </w:r>
      <w:r>
        <w:t xml:space="preserve">cannot be considered cost-effective versus sunitinib. </w:t>
      </w:r>
    </w:p>
    <w:p w14:paraId="74B15D04" w14:textId="26D037CE" w:rsidR="00DF5D3C" w:rsidRPr="008D70C2" w:rsidRDefault="00DF5D3C" w:rsidP="001053EF">
      <w:r>
        <w:t xml:space="preserve">These cost-effectiveness results directly align to the results of </w:t>
      </w:r>
      <w:r w:rsidRPr="00B30472">
        <w:t>the NMA</w:t>
      </w:r>
      <w:r>
        <w:t>, which showed that</w:t>
      </w:r>
      <w:r w:rsidRPr="00B30472">
        <w:t xml:space="preserve"> </w:t>
      </w:r>
      <w:r w:rsidRPr="001345FE">
        <w:rPr>
          <w:vertAlign w:val="superscript"/>
        </w:rPr>
        <w:t>177</w:t>
      </w:r>
      <w:r w:rsidRPr="001345FE">
        <w:t>Lu-DOTATATE</w:t>
      </w:r>
      <w:r w:rsidRPr="00050981">
        <w:rPr>
          <w:rFonts w:ascii="Arial Narrow" w:hAnsi="Arial Narrow"/>
        </w:rPr>
        <w:t xml:space="preserve"> </w:t>
      </w:r>
      <w:r w:rsidR="006D095E">
        <w:t>i</w:t>
      </w:r>
      <w:r w:rsidRPr="00B30472">
        <w:t>s associated with statistically significant improvements in PFS</w:t>
      </w:r>
      <w:r>
        <w:t xml:space="preserve"> and</w:t>
      </w:r>
      <w:r w:rsidRPr="00B30472">
        <w:t xml:space="preserve"> comparable </w:t>
      </w:r>
      <w:r>
        <w:t>OS, with n</w:t>
      </w:r>
      <w:r w:rsidRPr="00756E08">
        <w:t>ominally favourable outcomes observed</w:t>
      </w:r>
      <w:r w:rsidR="006D095E">
        <w:t xml:space="preserve"> for</w:t>
      </w:r>
      <w:r w:rsidRPr="00756E08">
        <w:t xml:space="preserve"> </w:t>
      </w:r>
      <w:r w:rsidR="00523D53" w:rsidRPr="001345FE">
        <w:rPr>
          <w:vertAlign w:val="superscript"/>
        </w:rPr>
        <w:t>177</w:t>
      </w:r>
      <w:r w:rsidR="00523D53" w:rsidRPr="001345FE">
        <w:t>Lu-DOTATATE</w:t>
      </w:r>
      <w:r w:rsidR="00523D53" w:rsidRPr="00050981">
        <w:rPr>
          <w:rFonts w:ascii="Arial Narrow" w:hAnsi="Arial Narrow"/>
        </w:rPr>
        <w:t xml:space="preserve"> </w:t>
      </w:r>
      <w:r w:rsidRPr="00756E08">
        <w:t xml:space="preserve">versus </w:t>
      </w:r>
      <w:r w:rsidR="00C23322">
        <w:t xml:space="preserve">octreotide + everolimus </w:t>
      </w:r>
      <w:r w:rsidR="00C23322">
        <w:lastRenderedPageBreak/>
        <w:t>combination therapy,</w:t>
      </w:r>
      <w:r w:rsidRPr="00756E08">
        <w:t xml:space="preserve"> everolimus, octreotid</w:t>
      </w:r>
      <w:r>
        <w:t>e</w:t>
      </w:r>
      <w:r w:rsidRPr="00756E08">
        <w:t xml:space="preserve"> and placebo/BSC</w:t>
      </w:r>
      <w:r w:rsidR="00124FA6">
        <w:t>;</w:t>
      </w:r>
      <w:r w:rsidRPr="00756E08">
        <w:t xml:space="preserve"> and nominally less favourable outcomes versus sunitinib.</w:t>
      </w:r>
    </w:p>
    <w:p w14:paraId="53909F1D" w14:textId="003734D5" w:rsidR="008D70C2" w:rsidRDefault="008D70C2" w:rsidP="00C20795">
      <w:bookmarkStart w:id="99" w:name="_Ref69726321"/>
      <w:r>
        <w:t xml:space="preserve">Scenario analyses were conducted to test the robustness of the model to alternative model inputs and assumptions. As the primary driver of the model relates to the comparative efficacy of alternative treatment strategies, scenarios using the upper and lower range estimates of the hazard ratios </w:t>
      </w:r>
      <w:r w:rsidR="00F243EA">
        <w:t xml:space="preserve">of OS and PFS </w:t>
      </w:r>
      <w:r w:rsidR="009A6C66">
        <w:t>we</w:t>
      </w:r>
      <w:r>
        <w:t xml:space="preserve">re used. </w:t>
      </w:r>
      <w:r w:rsidR="008835AA">
        <w:t xml:space="preserve">The key drivers of the model are discussed in </w:t>
      </w:r>
      <w:r w:rsidR="008835AA">
        <w:fldChar w:fldCharType="begin"/>
      </w:r>
      <w:r w:rsidR="008835AA">
        <w:instrText xml:space="preserve"> REF _Ref160462652 \h </w:instrText>
      </w:r>
      <w:r w:rsidR="0000312B">
        <w:instrText xml:space="preserve"> \* MERGEFORMAT </w:instrText>
      </w:r>
      <w:r w:rsidR="008835AA">
        <w:fldChar w:fldCharType="separate"/>
      </w:r>
      <w:r w:rsidR="0084549C" w:rsidRPr="00CE28E3">
        <w:t>Table</w:t>
      </w:r>
      <w:r w:rsidR="0084549C">
        <w:t xml:space="preserve"> </w:t>
      </w:r>
      <w:r w:rsidR="0084549C">
        <w:rPr>
          <w:noProof/>
        </w:rPr>
        <w:t>13</w:t>
      </w:r>
      <w:r w:rsidR="008835AA">
        <w:fldChar w:fldCharType="end"/>
      </w:r>
      <w:r w:rsidR="008835AA">
        <w:t xml:space="preserve">, and a summary of corresponding one-way sensitivity analyses </w:t>
      </w:r>
      <w:r w:rsidR="009A6C66">
        <w:t xml:space="preserve">is </w:t>
      </w:r>
      <w:r w:rsidR="008835AA">
        <w:t>presented in</w:t>
      </w:r>
      <w:r w:rsidR="0008343A">
        <w:t xml:space="preserve"> </w:t>
      </w:r>
      <w:r w:rsidR="0008343A">
        <w:fldChar w:fldCharType="begin"/>
      </w:r>
      <w:r w:rsidR="0008343A">
        <w:instrText xml:space="preserve"> REF _Ref160472682 \h </w:instrText>
      </w:r>
      <w:r w:rsidR="0000312B">
        <w:instrText xml:space="preserve"> \* MERGEFORMAT </w:instrText>
      </w:r>
      <w:r w:rsidR="0008343A">
        <w:fldChar w:fldCharType="separate"/>
      </w:r>
      <w:r w:rsidR="0084549C">
        <w:t xml:space="preserve">Table </w:t>
      </w:r>
      <w:r w:rsidR="0084549C">
        <w:rPr>
          <w:noProof/>
        </w:rPr>
        <w:t>14</w:t>
      </w:r>
      <w:r w:rsidR="0008343A">
        <w:fldChar w:fldCharType="end"/>
      </w:r>
      <w:r w:rsidR="008835AA">
        <w:t>.</w:t>
      </w:r>
    </w:p>
    <w:p w14:paraId="708EBBC4" w14:textId="60F280D4" w:rsidR="002F32FB" w:rsidRPr="00CE28E3" w:rsidRDefault="002F32FB" w:rsidP="002F32FB">
      <w:pPr>
        <w:pStyle w:val="Caption"/>
      </w:pPr>
      <w:bookmarkStart w:id="100" w:name="_Ref160462652"/>
      <w:bookmarkStart w:id="101" w:name="_Toc161842047"/>
      <w:r w:rsidRPr="00CE28E3">
        <w:t>Table</w:t>
      </w:r>
      <w:r w:rsidR="007C059C">
        <w:t xml:space="preserve"> </w:t>
      </w:r>
      <w:r>
        <w:fldChar w:fldCharType="begin"/>
      </w:r>
      <w:r>
        <w:instrText xml:space="preserve"> SEQ Table \* ARABIC </w:instrText>
      </w:r>
      <w:r>
        <w:fldChar w:fldCharType="separate"/>
      </w:r>
      <w:r w:rsidR="006D13BC">
        <w:rPr>
          <w:noProof/>
        </w:rPr>
        <w:t>13</w:t>
      </w:r>
      <w:r>
        <w:rPr>
          <w:noProof/>
        </w:rPr>
        <w:fldChar w:fldCharType="end"/>
      </w:r>
      <w:bookmarkEnd w:id="99"/>
      <w:bookmarkEnd w:id="100"/>
      <w:r w:rsidR="006B4806">
        <w:rPr>
          <w:noProof/>
        </w:rPr>
        <w:t>:</w:t>
      </w:r>
      <w:r w:rsidR="00A633C5">
        <w:rPr>
          <w:noProof/>
        </w:rPr>
        <w:t xml:space="preserve"> </w:t>
      </w:r>
      <w:r w:rsidRPr="00CE28E3">
        <w:t>Key drivers of the</w:t>
      </w:r>
      <w:r w:rsidR="00C23322">
        <w:t xml:space="preserve"> economic</w:t>
      </w:r>
      <w:r w:rsidRPr="00CE28E3">
        <w:t xml:space="preserve"> model</w:t>
      </w:r>
      <w:r w:rsidR="00C23322">
        <w:t xml:space="preserve"> for </w:t>
      </w:r>
      <w:r w:rsidR="00C23322" w:rsidRPr="0031493D">
        <w:rPr>
          <w:vertAlign w:val="superscript"/>
        </w:rPr>
        <w:t>177</w:t>
      </w:r>
      <w:r w:rsidR="00C23322">
        <w:t>Lu-DOTA-octreotate</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9"/>
        <w:gridCol w:w="5103"/>
        <w:gridCol w:w="2784"/>
      </w:tblGrid>
      <w:tr w:rsidR="002F32FB" w:rsidRPr="00CE28E3" w14:paraId="11B0BC91" w14:textId="77777777" w:rsidTr="00ED0F7E">
        <w:trPr>
          <w:tblHeader/>
        </w:trPr>
        <w:tc>
          <w:tcPr>
            <w:tcW w:w="626" w:type="pct"/>
            <w:shd w:val="clear" w:color="auto" w:fill="auto"/>
            <w:vAlign w:val="center"/>
          </w:tcPr>
          <w:p w14:paraId="2EC6365B" w14:textId="77777777" w:rsidR="002F32FB" w:rsidRPr="00CE28E3" w:rsidRDefault="002F32FB" w:rsidP="00ED0F7E">
            <w:pPr>
              <w:pStyle w:val="TableHeading0"/>
            </w:pPr>
            <w:bookmarkStart w:id="102" w:name="Title_Table10" w:colFirst="0" w:colLast="0"/>
            <w:bookmarkStart w:id="103" w:name="_Hlk68276626"/>
            <w:r w:rsidRPr="00CE28E3">
              <w:t>Description</w:t>
            </w:r>
          </w:p>
        </w:tc>
        <w:tc>
          <w:tcPr>
            <w:tcW w:w="2830" w:type="pct"/>
            <w:shd w:val="clear" w:color="auto" w:fill="auto"/>
            <w:vAlign w:val="center"/>
          </w:tcPr>
          <w:p w14:paraId="0520071F" w14:textId="77777777" w:rsidR="002F32FB" w:rsidRPr="00CE28E3" w:rsidRDefault="002F32FB" w:rsidP="00ED0F7E">
            <w:pPr>
              <w:pStyle w:val="TableHeading0"/>
            </w:pPr>
            <w:r w:rsidRPr="00CE28E3">
              <w:t>Method/Value</w:t>
            </w:r>
          </w:p>
        </w:tc>
        <w:tc>
          <w:tcPr>
            <w:tcW w:w="1544" w:type="pct"/>
            <w:shd w:val="clear" w:color="auto" w:fill="auto"/>
            <w:vAlign w:val="center"/>
          </w:tcPr>
          <w:p w14:paraId="66E24653" w14:textId="134349A0" w:rsidR="002F32FB" w:rsidRPr="00CE28E3" w:rsidRDefault="002F32FB" w:rsidP="00ED0F7E">
            <w:pPr>
              <w:pStyle w:val="TableHeading0"/>
            </w:pPr>
            <w:r w:rsidRPr="00CE28E3">
              <w:t>Impact</w:t>
            </w:r>
          </w:p>
        </w:tc>
      </w:tr>
      <w:bookmarkEnd w:id="102"/>
      <w:tr w:rsidR="002F32FB" w:rsidRPr="00CE28E3" w14:paraId="65F2DB8D" w14:textId="77777777" w:rsidTr="00ED0F7E">
        <w:tc>
          <w:tcPr>
            <w:tcW w:w="626" w:type="pct"/>
            <w:shd w:val="clear" w:color="auto" w:fill="auto"/>
            <w:vAlign w:val="center"/>
          </w:tcPr>
          <w:p w14:paraId="443EB50E" w14:textId="78760619" w:rsidR="002F32FB" w:rsidRPr="00CE28E3" w:rsidRDefault="00F243EA" w:rsidP="00ED0F7E">
            <w:pPr>
              <w:pStyle w:val="TableText"/>
              <w:rPr>
                <w:lang w:val="en-US"/>
              </w:rPr>
            </w:pPr>
            <w:r>
              <w:rPr>
                <w:lang w:val="en-US"/>
              </w:rPr>
              <w:t>Treatment effect</w:t>
            </w:r>
          </w:p>
        </w:tc>
        <w:tc>
          <w:tcPr>
            <w:tcW w:w="2830" w:type="pct"/>
            <w:shd w:val="clear" w:color="auto" w:fill="auto"/>
            <w:vAlign w:val="center"/>
          </w:tcPr>
          <w:p w14:paraId="0EB50894" w14:textId="077DF6DA" w:rsidR="002F32FB" w:rsidRPr="00CE28E3" w:rsidRDefault="001205CF" w:rsidP="003B61B7">
            <w:pPr>
              <w:pStyle w:val="TableText"/>
              <w:rPr>
                <w:lang w:val="en-US"/>
              </w:rPr>
            </w:pPr>
            <w:r>
              <w:rPr>
                <w:lang w:val="en-US"/>
              </w:rPr>
              <w:t>HRs</w:t>
            </w:r>
            <w:r w:rsidR="00F243EA">
              <w:rPr>
                <w:lang w:val="en-US"/>
              </w:rPr>
              <w:t xml:space="preserve"> </w:t>
            </w:r>
            <w:r w:rsidR="000F3D1F">
              <w:rPr>
                <w:lang w:val="en-US"/>
              </w:rPr>
              <w:t xml:space="preserve">associated with treatment </w:t>
            </w:r>
            <w:r w:rsidR="00F243EA">
              <w:rPr>
                <w:lang w:val="en-US"/>
              </w:rPr>
              <w:t xml:space="preserve">for </w:t>
            </w:r>
            <w:r w:rsidR="000F3D1F">
              <w:rPr>
                <w:lang w:val="en-US"/>
              </w:rPr>
              <w:t xml:space="preserve">OS and PFS are the main model drivers in terms of cost-effectiveness. Scenarios exploring the upper and lower 95% </w:t>
            </w:r>
            <w:proofErr w:type="spellStart"/>
            <w:r w:rsidR="000F3D1F">
              <w:rPr>
                <w:lang w:val="en-US"/>
              </w:rPr>
              <w:t>CrI</w:t>
            </w:r>
            <w:proofErr w:type="spellEnd"/>
            <w:r w:rsidR="000F3D1F">
              <w:rPr>
                <w:lang w:val="en-US"/>
              </w:rPr>
              <w:t xml:space="preserve"> of estimated HRs from the conducted </w:t>
            </w:r>
            <w:r w:rsidR="00067845">
              <w:rPr>
                <w:lang w:val="en-US"/>
              </w:rPr>
              <w:t xml:space="preserve">indirect treatment comparison </w:t>
            </w:r>
            <w:r w:rsidR="000F3D1F">
              <w:rPr>
                <w:lang w:val="en-US"/>
              </w:rPr>
              <w:t>are applied in sensitivity analys</w:t>
            </w:r>
            <w:r w:rsidR="009A6C66">
              <w:rPr>
                <w:lang w:val="en-US"/>
              </w:rPr>
              <w:t>e</w:t>
            </w:r>
            <w:r w:rsidR="000F3D1F">
              <w:rPr>
                <w:lang w:val="en-US"/>
              </w:rPr>
              <w:t>s.</w:t>
            </w:r>
          </w:p>
        </w:tc>
        <w:tc>
          <w:tcPr>
            <w:tcW w:w="1544" w:type="pct"/>
            <w:shd w:val="clear" w:color="auto" w:fill="auto"/>
            <w:vAlign w:val="center"/>
          </w:tcPr>
          <w:p w14:paraId="64444265" w14:textId="0673B721" w:rsidR="002F32FB" w:rsidRPr="00CC0CC2" w:rsidRDefault="00757AF7" w:rsidP="00ED0F7E">
            <w:pPr>
              <w:pStyle w:val="TableText"/>
            </w:pPr>
            <w:r w:rsidRPr="00CC0CC2">
              <w:t>Using the lower limits of estimated HRs can significantly increase the estimated ICER</w:t>
            </w:r>
            <w:r w:rsidR="000D0C57" w:rsidRPr="00CC0CC2">
              <w:t xml:space="preserve">, leading </w:t>
            </w:r>
            <w:r w:rsidR="001205CF" w:rsidRPr="00CC0CC2">
              <w:rPr>
                <w:vertAlign w:val="superscript"/>
              </w:rPr>
              <w:t>177</w:t>
            </w:r>
            <w:r w:rsidR="001205CF" w:rsidRPr="00CC0CC2">
              <w:t>Lu-DOTATATE</w:t>
            </w:r>
            <w:r w:rsidR="000D0C57" w:rsidRPr="00CC0CC2">
              <w:t xml:space="preserve"> to be dominated by </w:t>
            </w:r>
            <w:r w:rsidR="00872479" w:rsidRPr="00CC0CC2">
              <w:t>BSC and everolimus monotherapy.</w:t>
            </w:r>
          </w:p>
          <w:p w14:paraId="4E7B2979" w14:textId="20452DBB" w:rsidR="002F32FB" w:rsidRPr="00CE28E3" w:rsidRDefault="003051AF" w:rsidP="00ED0F7E">
            <w:pPr>
              <w:pStyle w:val="TableText"/>
              <w:rPr>
                <w:lang w:val="en-US"/>
              </w:rPr>
            </w:pPr>
            <w:r w:rsidRPr="00CC0CC2">
              <w:t>Using the u</w:t>
            </w:r>
            <w:r w:rsidR="00872479" w:rsidRPr="00CC0CC2">
              <w:t xml:space="preserve">pper limits of HRs </w:t>
            </w:r>
            <w:r w:rsidR="000A2C19" w:rsidRPr="00CC0CC2">
              <w:t xml:space="preserve">resulted in ICERs versus all comparators below </w:t>
            </w:r>
            <w:r w:rsidR="00205DAC" w:rsidRPr="00CC0CC2">
              <w:t>$24,000/QALY</w:t>
            </w:r>
            <w:r w:rsidR="00205DAC">
              <w:rPr>
                <w:lang w:val="en-US"/>
              </w:rPr>
              <w:t>.</w:t>
            </w:r>
          </w:p>
        </w:tc>
      </w:tr>
      <w:tr w:rsidR="002F32FB" w:rsidRPr="00CE28E3" w14:paraId="6395056A" w14:textId="77777777" w:rsidTr="00ED0F7E">
        <w:tc>
          <w:tcPr>
            <w:tcW w:w="626" w:type="pct"/>
            <w:shd w:val="clear" w:color="auto" w:fill="auto"/>
            <w:vAlign w:val="center"/>
          </w:tcPr>
          <w:p w14:paraId="30DD8CD6" w14:textId="77777777" w:rsidR="002F32FB" w:rsidRPr="00CE28E3" w:rsidRDefault="002F32FB" w:rsidP="00ED0F7E">
            <w:pPr>
              <w:pStyle w:val="TableText"/>
              <w:rPr>
                <w:lang w:val="en-US"/>
              </w:rPr>
            </w:pPr>
            <w:r w:rsidRPr="00CE28E3">
              <w:rPr>
                <w:lang w:val="en-US"/>
              </w:rPr>
              <w:t>Utilities</w:t>
            </w:r>
          </w:p>
        </w:tc>
        <w:tc>
          <w:tcPr>
            <w:tcW w:w="2830" w:type="pct"/>
            <w:shd w:val="clear" w:color="auto" w:fill="auto"/>
            <w:vAlign w:val="center"/>
          </w:tcPr>
          <w:p w14:paraId="3E70B4B3" w14:textId="22B81490" w:rsidR="002F32FB" w:rsidRPr="00CE28E3" w:rsidRDefault="001205CF" w:rsidP="003B61B7">
            <w:pPr>
              <w:pStyle w:val="TableText"/>
              <w:rPr>
                <w:lang w:val="en-US"/>
              </w:rPr>
            </w:pPr>
            <w:r>
              <w:rPr>
                <w:lang w:val="en-US"/>
              </w:rPr>
              <w:t>The model is sensitive to the choice of health state utility values.</w:t>
            </w:r>
          </w:p>
        </w:tc>
        <w:tc>
          <w:tcPr>
            <w:tcW w:w="1544" w:type="pct"/>
            <w:shd w:val="clear" w:color="auto" w:fill="auto"/>
            <w:vAlign w:val="center"/>
          </w:tcPr>
          <w:p w14:paraId="04D11165" w14:textId="18F81004" w:rsidR="002F32FB" w:rsidRPr="00CC0CC2" w:rsidRDefault="001205CF" w:rsidP="00ED0F7E">
            <w:pPr>
              <w:pStyle w:val="TableText"/>
            </w:pPr>
            <w:r w:rsidRPr="00CC0CC2">
              <w:t xml:space="preserve">Increased utilities in the pre-progression health state or decreased utilities in the progressed disease health state can significantly improve the cost-effectiveness of </w:t>
            </w:r>
            <w:r w:rsidRPr="00CC0CC2">
              <w:rPr>
                <w:vertAlign w:val="superscript"/>
              </w:rPr>
              <w:t>177</w:t>
            </w:r>
            <w:r w:rsidRPr="00CC0CC2">
              <w:t>Lu-DOTATATE</w:t>
            </w:r>
          </w:p>
        </w:tc>
      </w:tr>
    </w:tbl>
    <w:p w14:paraId="56B372CD" w14:textId="1C7A92AD" w:rsidR="0045093D" w:rsidRPr="00CE28E3" w:rsidRDefault="0007684D" w:rsidP="00CC0CC2">
      <w:pPr>
        <w:pStyle w:val="Tablenotes0"/>
      </w:pPr>
      <w:bookmarkStart w:id="104" w:name="_Hlk68276635"/>
      <w:bookmarkEnd w:id="103"/>
      <w:r>
        <w:t xml:space="preserve">Abbreviations: </w:t>
      </w:r>
      <w:r w:rsidR="00205DAC">
        <w:t xml:space="preserve">BSC = best supportive care; </w:t>
      </w:r>
      <w:proofErr w:type="spellStart"/>
      <w:r w:rsidR="007028D3">
        <w:t>CrI</w:t>
      </w:r>
      <w:proofErr w:type="spellEnd"/>
      <w:r w:rsidR="007028D3">
        <w:t xml:space="preserve"> = credible interval;</w:t>
      </w:r>
      <w:r w:rsidR="00205DAC">
        <w:t xml:space="preserve"> </w:t>
      </w:r>
      <w:r w:rsidR="001205CF">
        <w:t xml:space="preserve">HR = hazard ratio; </w:t>
      </w:r>
      <w:r w:rsidR="0045093D" w:rsidRPr="00CE28E3">
        <w:t xml:space="preserve">ICER = incremental cost-effectiveness ratio; </w:t>
      </w:r>
      <w:r w:rsidR="008835AA">
        <w:t>OS = overall survival; PFS = progression</w:t>
      </w:r>
      <w:r w:rsidR="0076014A">
        <w:t>-</w:t>
      </w:r>
      <w:r w:rsidR="008835AA">
        <w:t xml:space="preserve">free survival; </w:t>
      </w:r>
      <w:r w:rsidR="0045093D" w:rsidRPr="00CE28E3">
        <w:t>QALY = quality-adjusted life year</w:t>
      </w:r>
      <w:r w:rsidR="0045093D">
        <w:t>.</w:t>
      </w:r>
    </w:p>
    <w:p w14:paraId="4AC2BD5B" w14:textId="05B830C3" w:rsidR="00E17E34" w:rsidRPr="00E17E34" w:rsidRDefault="007C059C" w:rsidP="00994611">
      <w:pPr>
        <w:pStyle w:val="Caption"/>
      </w:pPr>
      <w:bookmarkStart w:id="105" w:name="_Ref160472682"/>
      <w:bookmarkStart w:id="106" w:name="_Ref160472676"/>
      <w:bookmarkStart w:id="107" w:name="_Toc161842048"/>
      <w:r>
        <w:t xml:space="preserve">Table </w:t>
      </w:r>
      <w:r w:rsidR="00183F39">
        <w:fldChar w:fldCharType="begin"/>
      </w:r>
      <w:r w:rsidR="00183F39">
        <w:rPr>
          <w:b w:val="0"/>
        </w:rPr>
        <w:instrText xml:space="preserve"> SEQ Table \* ARABIC </w:instrText>
      </w:r>
      <w:r w:rsidR="00183F39">
        <w:fldChar w:fldCharType="separate"/>
      </w:r>
      <w:r w:rsidR="006D13BC">
        <w:rPr>
          <w:noProof/>
        </w:rPr>
        <w:t>14</w:t>
      </w:r>
      <w:r w:rsidR="00183F39">
        <w:fldChar w:fldCharType="end"/>
      </w:r>
      <w:bookmarkEnd w:id="105"/>
      <w:r>
        <w:t>: Sensitivity analyses</w:t>
      </w:r>
      <w:bookmarkEnd w:id="106"/>
      <w:r w:rsidR="00C23322">
        <w:t xml:space="preserve"> for economic evaluation of </w:t>
      </w:r>
      <w:r w:rsidR="00C23322" w:rsidRPr="0031493D">
        <w:rPr>
          <w:vertAlign w:val="superscript"/>
        </w:rPr>
        <w:t>177</w:t>
      </w:r>
      <w:r w:rsidR="00C23322">
        <w:t>Lu-DOTA-octreotate</w:t>
      </w:r>
      <w:bookmarkEnd w:id="107"/>
      <w:r w:rsidR="007C098F">
        <w:t xml:space="preserve">; </w:t>
      </w:r>
      <w:r w:rsidR="00104571">
        <w:t>[</w:t>
      </w:r>
      <w:r w:rsidR="007C098F" w:rsidRPr="00994611">
        <w:rPr>
          <w:i/>
        </w:rPr>
        <w:t>plus ESC indicative sensitivity analyses</w:t>
      </w:r>
      <w:r w:rsidR="00104571">
        <w:rPr>
          <w:i/>
          <w:iCs/>
        </w:rPr>
        <w:t>]</w:t>
      </w:r>
    </w:p>
    <w:tbl>
      <w:tblPr>
        <w:tblStyle w:val="TableGrid"/>
        <w:tblW w:w="5000" w:type="pct"/>
        <w:tblLayout w:type="fixed"/>
        <w:tblLook w:val="04A0" w:firstRow="1" w:lastRow="0" w:firstColumn="1" w:lastColumn="0" w:noHBand="0" w:noVBand="1"/>
      </w:tblPr>
      <w:tblGrid>
        <w:gridCol w:w="1481"/>
        <w:gridCol w:w="1023"/>
        <w:gridCol w:w="1601"/>
        <w:gridCol w:w="851"/>
        <w:gridCol w:w="1702"/>
        <w:gridCol w:w="851"/>
        <w:gridCol w:w="1507"/>
      </w:tblGrid>
      <w:tr w:rsidR="00390F2D" w:rsidRPr="00230861" w14:paraId="52D96721" w14:textId="77777777" w:rsidTr="001053EF">
        <w:trPr>
          <w:cantSplit/>
          <w:tblHeader/>
        </w:trPr>
        <w:tc>
          <w:tcPr>
            <w:tcW w:w="821" w:type="pct"/>
            <w:shd w:val="clear" w:color="auto" w:fill="auto"/>
          </w:tcPr>
          <w:p w14:paraId="715188F4" w14:textId="77777777" w:rsidR="00CE5700" w:rsidRPr="00F76546" w:rsidRDefault="00CE5700" w:rsidP="00ED0F7E">
            <w:pPr>
              <w:pStyle w:val="TableHeading0"/>
            </w:pPr>
            <w:r w:rsidRPr="00F76546">
              <w:t>Scenario</w:t>
            </w:r>
          </w:p>
        </w:tc>
        <w:tc>
          <w:tcPr>
            <w:tcW w:w="567" w:type="pct"/>
            <w:shd w:val="clear" w:color="auto" w:fill="auto"/>
            <w:vAlign w:val="center"/>
          </w:tcPr>
          <w:p w14:paraId="5FFFE104" w14:textId="77777777" w:rsidR="00CE5700" w:rsidRPr="00F76546" w:rsidRDefault="00CE5700" w:rsidP="00ED0F7E">
            <w:pPr>
              <w:pStyle w:val="TableHeading0"/>
            </w:pPr>
            <w:r w:rsidRPr="00F76546">
              <w:t>Base case value</w:t>
            </w:r>
          </w:p>
        </w:tc>
        <w:tc>
          <w:tcPr>
            <w:tcW w:w="888" w:type="pct"/>
            <w:shd w:val="clear" w:color="auto" w:fill="auto"/>
            <w:vAlign w:val="center"/>
          </w:tcPr>
          <w:p w14:paraId="76683157" w14:textId="77777777" w:rsidR="00CE5700" w:rsidRPr="00F76546" w:rsidRDefault="00CE5700" w:rsidP="00ED0F7E">
            <w:pPr>
              <w:pStyle w:val="TableHeading0"/>
            </w:pPr>
            <w:r w:rsidRPr="00F76546">
              <w:t>ICER result</w:t>
            </w:r>
          </w:p>
        </w:tc>
        <w:tc>
          <w:tcPr>
            <w:tcW w:w="472" w:type="pct"/>
            <w:shd w:val="clear" w:color="auto" w:fill="auto"/>
            <w:vAlign w:val="center"/>
          </w:tcPr>
          <w:p w14:paraId="1639BD1C" w14:textId="79FC9452" w:rsidR="00CE5700" w:rsidRPr="00F76546" w:rsidRDefault="00CE5700" w:rsidP="00ED0F7E">
            <w:pPr>
              <w:pStyle w:val="TableHeading0"/>
            </w:pPr>
            <w:r w:rsidRPr="00F76546">
              <w:t>Lower</w:t>
            </w:r>
            <w:r w:rsidR="00390F2D">
              <w:t xml:space="preserve"> </w:t>
            </w:r>
            <w:r w:rsidRPr="00F76546">
              <w:t>value</w:t>
            </w:r>
          </w:p>
        </w:tc>
        <w:tc>
          <w:tcPr>
            <w:tcW w:w="944" w:type="pct"/>
            <w:shd w:val="clear" w:color="auto" w:fill="auto"/>
            <w:vAlign w:val="center"/>
          </w:tcPr>
          <w:p w14:paraId="4018A13B" w14:textId="77777777" w:rsidR="00CE5700" w:rsidRPr="00F76546" w:rsidRDefault="00CE5700" w:rsidP="00ED0F7E">
            <w:pPr>
              <w:pStyle w:val="TableHeading0"/>
            </w:pPr>
            <w:r w:rsidRPr="00F76546">
              <w:t>ICER result</w:t>
            </w:r>
          </w:p>
        </w:tc>
        <w:tc>
          <w:tcPr>
            <w:tcW w:w="472" w:type="pct"/>
            <w:shd w:val="clear" w:color="auto" w:fill="auto"/>
            <w:vAlign w:val="center"/>
          </w:tcPr>
          <w:p w14:paraId="0BEE27E8" w14:textId="77777777" w:rsidR="00CE5700" w:rsidRPr="00F76546" w:rsidRDefault="00CE5700" w:rsidP="00ED0F7E">
            <w:pPr>
              <w:pStyle w:val="TableHeading0"/>
            </w:pPr>
            <w:r w:rsidRPr="00F76546">
              <w:t>Higher value</w:t>
            </w:r>
          </w:p>
        </w:tc>
        <w:tc>
          <w:tcPr>
            <w:tcW w:w="836" w:type="pct"/>
            <w:shd w:val="clear" w:color="auto" w:fill="auto"/>
            <w:vAlign w:val="center"/>
          </w:tcPr>
          <w:p w14:paraId="4A7DB018" w14:textId="77777777" w:rsidR="00CE5700" w:rsidRPr="00F76546" w:rsidRDefault="00CE5700" w:rsidP="00ED0F7E">
            <w:pPr>
              <w:pStyle w:val="TableHeading0"/>
            </w:pPr>
            <w:r w:rsidRPr="00F76546">
              <w:t>ICER result</w:t>
            </w:r>
          </w:p>
        </w:tc>
      </w:tr>
      <w:tr w:rsidR="00CE5700" w:rsidRPr="00ED0F7E" w14:paraId="7ABEBD7A" w14:textId="77777777" w:rsidTr="001053EF">
        <w:trPr>
          <w:cantSplit/>
          <w:trHeight w:val="340"/>
        </w:trPr>
        <w:tc>
          <w:tcPr>
            <w:tcW w:w="5000" w:type="pct"/>
            <w:gridSpan w:val="7"/>
            <w:shd w:val="clear" w:color="auto" w:fill="auto"/>
            <w:vAlign w:val="center"/>
          </w:tcPr>
          <w:p w14:paraId="795631BB" w14:textId="77777777" w:rsidR="00CE5700" w:rsidRPr="00ED0F7E" w:rsidRDefault="00CE5700" w:rsidP="00536B12">
            <w:pPr>
              <w:pStyle w:val="In-tableHeading"/>
            </w:pPr>
            <w:r w:rsidRPr="00ED0F7E">
              <w:t>Discount rate</w:t>
            </w:r>
          </w:p>
        </w:tc>
      </w:tr>
      <w:tr w:rsidR="00390F2D" w:rsidRPr="00230861" w14:paraId="11F74230" w14:textId="77777777" w:rsidTr="001053EF">
        <w:trPr>
          <w:cantSplit/>
        </w:trPr>
        <w:tc>
          <w:tcPr>
            <w:tcW w:w="821" w:type="pct"/>
            <w:shd w:val="clear" w:color="auto" w:fill="auto"/>
            <w:vAlign w:val="center"/>
          </w:tcPr>
          <w:p w14:paraId="0277FCEA" w14:textId="77777777" w:rsidR="00CE5700" w:rsidRPr="00F76546" w:rsidRDefault="00CE5700" w:rsidP="00ED0F7E">
            <w:pPr>
              <w:pStyle w:val="TableText"/>
            </w:pPr>
            <w:r>
              <w:t>Discount rate costs and benefits</w:t>
            </w:r>
          </w:p>
        </w:tc>
        <w:tc>
          <w:tcPr>
            <w:tcW w:w="567" w:type="pct"/>
            <w:shd w:val="clear" w:color="auto" w:fill="auto"/>
            <w:vAlign w:val="center"/>
          </w:tcPr>
          <w:p w14:paraId="502E5FC5" w14:textId="77777777" w:rsidR="00CE5700" w:rsidRPr="00F76546" w:rsidRDefault="00CE5700" w:rsidP="00ED0F7E">
            <w:pPr>
              <w:pStyle w:val="TableText"/>
            </w:pPr>
            <w:r>
              <w:t>5.00%</w:t>
            </w:r>
          </w:p>
        </w:tc>
        <w:tc>
          <w:tcPr>
            <w:tcW w:w="888" w:type="pct"/>
            <w:shd w:val="clear" w:color="auto" w:fill="auto"/>
            <w:vAlign w:val="center"/>
          </w:tcPr>
          <w:p w14:paraId="28E9A527" w14:textId="0BB6F772" w:rsidR="002347CA" w:rsidRPr="00CC0CC2" w:rsidRDefault="002347CA" w:rsidP="002347CA">
            <w:pPr>
              <w:pStyle w:val="TableText"/>
            </w:pPr>
            <w:r w:rsidRPr="00B419E6">
              <w:t>PBO = $31,</w:t>
            </w:r>
            <w:r>
              <w:t>792</w:t>
            </w:r>
          </w:p>
          <w:p w14:paraId="26719B4B" w14:textId="053F8398" w:rsidR="002347CA" w:rsidRPr="00CC0CC2" w:rsidRDefault="002347CA" w:rsidP="002347CA">
            <w:pPr>
              <w:pStyle w:val="TableText"/>
            </w:pPr>
            <w:r w:rsidRPr="00B419E6">
              <w:t>OCT = $2</w:t>
            </w:r>
            <w:r>
              <w:t>7,676</w:t>
            </w:r>
          </w:p>
          <w:p w14:paraId="6F5F42B7" w14:textId="70A81404" w:rsidR="002347CA" w:rsidRPr="00CC0CC2" w:rsidRDefault="002347CA" w:rsidP="002347CA">
            <w:pPr>
              <w:pStyle w:val="TableText"/>
            </w:pPr>
            <w:r w:rsidRPr="00B419E6">
              <w:t xml:space="preserve">LAN = </w:t>
            </w:r>
            <w:r w:rsidRPr="00CC0CC2">
              <w:t>$2</w:t>
            </w:r>
            <w:r>
              <w:t>2,621</w:t>
            </w:r>
          </w:p>
          <w:p w14:paraId="348F68B5" w14:textId="7B14C753" w:rsidR="002347CA" w:rsidRPr="00CC0CC2" w:rsidRDefault="002347CA" w:rsidP="002347CA">
            <w:pPr>
              <w:pStyle w:val="TableText"/>
            </w:pPr>
            <w:r w:rsidRPr="00B419E6">
              <w:t>EVO = $2</w:t>
            </w:r>
            <w:r>
              <w:t>9,439</w:t>
            </w:r>
          </w:p>
          <w:p w14:paraId="71A106F6" w14:textId="77777777" w:rsidR="00CE5700" w:rsidRPr="00CC0CC2" w:rsidRDefault="00CE5700" w:rsidP="00ED0F7E">
            <w:pPr>
              <w:pStyle w:val="TableText"/>
            </w:pPr>
            <w:r w:rsidRPr="00B419E6">
              <w:t>SUN = Lutetium dominated</w:t>
            </w:r>
          </w:p>
          <w:p w14:paraId="49950A25" w14:textId="672FAE51" w:rsidR="00CE5700" w:rsidRPr="00F76546" w:rsidRDefault="00CE5700" w:rsidP="00ED0F7E">
            <w:pPr>
              <w:pStyle w:val="TableText"/>
            </w:pPr>
            <w:r w:rsidRPr="00B419E6">
              <w:t>OCT+EVO = $</w:t>
            </w:r>
            <w:r w:rsidR="002347CA">
              <w:t>18,643</w:t>
            </w:r>
          </w:p>
        </w:tc>
        <w:tc>
          <w:tcPr>
            <w:tcW w:w="472" w:type="pct"/>
            <w:shd w:val="clear" w:color="auto" w:fill="auto"/>
            <w:vAlign w:val="center"/>
          </w:tcPr>
          <w:p w14:paraId="75B3142A" w14:textId="77777777" w:rsidR="00CE5700" w:rsidRPr="00F76546" w:rsidRDefault="00CE5700" w:rsidP="00ED0F7E">
            <w:pPr>
              <w:pStyle w:val="TableText"/>
            </w:pPr>
            <w:r w:rsidRPr="00230861">
              <w:t>0.00%</w:t>
            </w:r>
          </w:p>
        </w:tc>
        <w:tc>
          <w:tcPr>
            <w:tcW w:w="944" w:type="pct"/>
            <w:shd w:val="clear" w:color="auto" w:fill="auto"/>
            <w:vAlign w:val="center"/>
          </w:tcPr>
          <w:p w14:paraId="30C86977" w14:textId="2B3F3A4F" w:rsidR="002347CA" w:rsidRPr="00CC0CC2" w:rsidRDefault="002347CA" w:rsidP="002347CA">
            <w:pPr>
              <w:pStyle w:val="TableText"/>
            </w:pPr>
            <w:r w:rsidRPr="00B419E6">
              <w:t>PBO = $24,</w:t>
            </w:r>
            <w:r>
              <w:t>269</w:t>
            </w:r>
          </w:p>
          <w:p w14:paraId="1382DA84" w14:textId="33ACBD38" w:rsidR="002347CA" w:rsidRPr="00CC0CC2" w:rsidRDefault="002347CA" w:rsidP="002347CA">
            <w:pPr>
              <w:pStyle w:val="TableText"/>
            </w:pPr>
            <w:r w:rsidRPr="00B419E6">
              <w:t>OCT = $</w:t>
            </w:r>
            <w:r>
              <w:t>19,794</w:t>
            </w:r>
          </w:p>
          <w:p w14:paraId="1E05BD17" w14:textId="04E3E2FE" w:rsidR="002347CA" w:rsidRPr="00CC0CC2" w:rsidRDefault="002347CA" w:rsidP="002347CA">
            <w:pPr>
              <w:pStyle w:val="TableText"/>
            </w:pPr>
            <w:r w:rsidRPr="00B419E6">
              <w:t>LAN = $17,</w:t>
            </w:r>
            <w:r>
              <w:t>087</w:t>
            </w:r>
          </w:p>
          <w:p w14:paraId="5D33EB9A" w14:textId="3587CEFD" w:rsidR="002347CA" w:rsidRPr="00CC0CC2" w:rsidRDefault="002347CA" w:rsidP="002347CA">
            <w:pPr>
              <w:pStyle w:val="TableText"/>
            </w:pPr>
            <w:r w:rsidRPr="00B419E6">
              <w:t>EVO = $2</w:t>
            </w:r>
            <w:r>
              <w:t>2,252</w:t>
            </w:r>
          </w:p>
          <w:p w14:paraId="21F690DE" w14:textId="77777777" w:rsidR="00CE5700" w:rsidRPr="00CC0CC2" w:rsidRDefault="00CE5700" w:rsidP="00ED0F7E">
            <w:pPr>
              <w:pStyle w:val="TableText"/>
            </w:pPr>
            <w:r w:rsidRPr="00B419E6">
              <w:t>SUN = Lutetium dominated</w:t>
            </w:r>
          </w:p>
          <w:p w14:paraId="0B2057CA" w14:textId="361C99E6" w:rsidR="00CE5700" w:rsidRPr="00F76546" w:rsidRDefault="00CE5700" w:rsidP="00ED0F7E">
            <w:pPr>
              <w:pStyle w:val="TableText"/>
            </w:pPr>
            <w:r w:rsidRPr="00B419E6">
              <w:t>OCT+EVO = $</w:t>
            </w:r>
            <w:r w:rsidR="002347CA" w:rsidRPr="00B419E6">
              <w:t>1</w:t>
            </w:r>
            <w:r w:rsidR="002347CA">
              <w:t>5,055</w:t>
            </w:r>
          </w:p>
        </w:tc>
        <w:tc>
          <w:tcPr>
            <w:tcW w:w="472" w:type="pct"/>
            <w:shd w:val="clear" w:color="auto" w:fill="auto"/>
            <w:vAlign w:val="center"/>
          </w:tcPr>
          <w:p w14:paraId="72D48A44" w14:textId="50AD492C" w:rsidR="00CE5700" w:rsidRPr="00F76546" w:rsidRDefault="00CE5700" w:rsidP="00ED0F7E">
            <w:pPr>
              <w:pStyle w:val="TableText"/>
            </w:pPr>
            <w:r w:rsidRPr="00230861">
              <w:t>3.5</w:t>
            </w:r>
            <w:r w:rsidR="00390F2D">
              <w:t>0</w:t>
            </w:r>
            <w:r w:rsidRPr="00230861">
              <w:t>%</w:t>
            </w:r>
          </w:p>
        </w:tc>
        <w:tc>
          <w:tcPr>
            <w:tcW w:w="836" w:type="pct"/>
            <w:shd w:val="clear" w:color="auto" w:fill="auto"/>
            <w:vAlign w:val="center"/>
          </w:tcPr>
          <w:p w14:paraId="2DB8865C" w14:textId="0248EC2B" w:rsidR="002347CA" w:rsidRPr="00CC0CC2" w:rsidRDefault="002347CA" w:rsidP="002347CA">
            <w:pPr>
              <w:pStyle w:val="TableText"/>
            </w:pPr>
            <w:r w:rsidRPr="00B419E6">
              <w:t>PBO = $29,</w:t>
            </w:r>
            <w:r>
              <w:t>535</w:t>
            </w:r>
          </w:p>
          <w:p w14:paraId="1B07426D" w14:textId="4298D868" w:rsidR="002347CA" w:rsidRPr="00CC0CC2" w:rsidRDefault="002347CA" w:rsidP="002347CA">
            <w:pPr>
              <w:pStyle w:val="TableText"/>
            </w:pPr>
            <w:r w:rsidRPr="00B419E6">
              <w:t>OCT = $2</w:t>
            </w:r>
            <w:r>
              <w:t>5,234</w:t>
            </w:r>
          </w:p>
          <w:p w14:paraId="008C229F" w14:textId="7CB2DCC1" w:rsidR="002347CA" w:rsidRPr="00CC0CC2" w:rsidRDefault="002347CA" w:rsidP="002347CA">
            <w:pPr>
              <w:pStyle w:val="TableText"/>
            </w:pPr>
            <w:r w:rsidRPr="00B419E6">
              <w:t>LAN = $2</w:t>
            </w:r>
            <w:r>
              <w:t>0,938</w:t>
            </w:r>
          </w:p>
          <w:p w14:paraId="1B18EB21" w14:textId="74CBDA30" w:rsidR="002347CA" w:rsidRPr="00CC0CC2" w:rsidRDefault="002347CA" w:rsidP="002347CA">
            <w:pPr>
              <w:pStyle w:val="TableText"/>
            </w:pPr>
            <w:r w:rsidRPr="00B419E6">
              <w:t>EVO = $2</w:t>
            </w:r>
            <w:r>
              <w:t>7,261</w:t>
            </w:r>
          </w:p>
          <w:p w14:paraId="77BD940E" w14:textId="77777777" w:rsidR="00CE5700" w:rsidRPr="00CC0CC2" w:rsidRDefault="00CE5700" w:rsidP="00ED0F7E">
            <w:pPr>
              <w:pStyle w:val="TableText"/>
            </w:pPr>
            <w:r w:rsidRPr="00B419E6">
              <w:t xml:space="preserve">SUN = Lutetium </w:t>
            </w:r>
            <w:r w:rsidRPr="00CC0CC2">
              <w:t>dominated</w:t>
            </w:r>
          </w:p>
          <w:p w14:paraId="3EE5D3B3" w14:textId="4B7E49DD" w:rsidR="00CE5700" w:rsidRPr="00F76546" w:rsidRDefault="00CE5700" w:rsidP="00ED0F7E">
            <w:pPr>
              <w:pStyle w:val="TableText"/>
            </w:pPr>
            <w:r w:rsidRPr="00B419E6">
              <w:t>OCT+EVO = $</w:t>
            </w:r>
            <w:r w:rsidR="002347CA" w:rsidRPr="00B419E6">
              <w:t>1</w:t>
            </w:r>
            <w:r w:rsidR="002347CA">
              <w:t>7,541</w:t>
            </w:r>
          </w:p>
        </w:tc>
      </w:tr>
      <w:tr w:rsidR="00CE5700" w:rsidRPr="00ED0F7E" w14:paraId="49A8ADFB" w14:textId="77777777" w:rsidTr="001053EF">
        <w:trPr>
          <w:cantSplit/>
          <w:trHeight w:val="340"/>
        </w:trPr>
        <w:tc>
          <w:tcPr>
            <w:tcW w:w="5000" w:type="pct"/>
            <w:gridSpan w:val="7"/>
            <w:shd w:val="clear" w:color="auto" w:fill="auto"/>
            <w:vAlign w:val="center"/>
          </w:tcPr>
          <w:p w14:paraId="55B2DBD7" w14:textId="77777777" w:rsidR="00CE5700" w:rsidRPr="00ED0F7E" w:rsidRDefault="00CE5700" w:rsidP="00CC0CC2">
            <w:pPr>
              <w:pStyle w:val="In-tableHeading"/>
            </w:pPr>
            <w:r w:rsidRPr="00ED0F7E">
              <w:t>Hazard ratios (PFS, OS)</w:t>
            </w:r>
          </w:p>
        </w:tc>
      </w:tr>
      <w:tr w:rsidR="00390F2D" w:rsidRPr="00230861" w14:paraId="676EEC0C" w14:textId="77777777" w:rsidTr="001053EF">
        <w:trPr>
          <w:cantSplit/>
          <w:trHeight w:val="579"/>
        </w:trPr>
        <w:tc>
          <w:tcPr>
            <w:tcW w:w="821" w:type="pct"/>
            <w:shd w:val="clear" w:color="auto" w:fill="auto"/>
            <w:vAlign w:val="center"/>
          </w:tcPr>
          <w:p w14:paraId="67275F15" w14:textId="2F7F9CFC" w:rsidR="00CE5700" w:rsidRPr="00F76546" w:rsidRDefault="00CE5700" w:rsidP="00ED0F7E">
            <w:pPr>
              <w:pStyle w:val="TableText"/>
            </w:pPr>
            <w:r w:rsidRPr="00230861">
              <w:t>PBO</w:t>
            </w:r>
          </w:p>
        </w:tc>
        <w:tc>
          <w:tcPr>
            <w:tcW w:w="567" w:type="pct"/>
            <w:shd w:val="clear" w:color="auto" w:fill="auto"/>
            <w:vAlign w:val="center"/>
          </w:tcPr>
          <w:p w14:paraId="6C778DDB" w14:textId="46E488D0" w:rsidR="00CE5700" w:rsidRPr="00F76546" w:rsidRDefault="00CE5700" w:rsidP="00ED0F7E">
            <w:pPr>
              <w:pStyle w:val="TableText"/>
            </w:pPr>
            <w:r>
              <w:rPr>
                <w:rFonts w:cs="Calibri"/>
                <w:color w:val="000000"/>
              </w:rPr>
              <w:t>14.94,</w:t>
            </w:r>
            <w:r w:rsidR="00124FA6">
              <w:rPr>
                <w:rFonts w:cs="Calibri"/>
                <w:color w:val="000000"/>
              </w:rPr>
              <w:t xml:space="preserve"> </w:t>
            </w:r>
            <w:r>
              <w:rPr>
                <w:rFonts w:cs="Calibri"/>
                <w:color w:val="000000"/>
              </w:rPr>
              <w:t>1.6</w:t>
            </w:r>
            <w:r w:rsidR="00FD26F8">
              <w:rPr>
                <w:rFonts w:cs="Calibri"/>
                <w:color w:val="000000"/>
              </w:rPr>
              <w:t>8</w:t>
            </w:r>
          </w:p>
        </w:tc>
        <w:tc>
          <w:tcPr>
            <w:tcW w:w="888" w:type="pct"/>
            <w:shd w:val="clear" w:color="auto" w:fill="auto"/>
            <w:vAlign w:val="center"/>
          </w:tcPr>
          <w:p w14:paraId="4189F39C" w14:textId="4861721F" w:rsidR="00CE5700" w:rsidRPr="00B419E6" w:rsidRDefault="00CE5700" w:rsidP="00ED0F7E">
            <w:pPr>
              <w:pStyle w:val="TableText"/>
            </w:pPr>
            <w:r w:rsidRPr="00B419E6">
              <w:t>$31,</w:t>
            </w:r>
            <w:r w:rsidR="002347CA" w:rsidRPr="00A643CB">
              <w:rPr>
                <w:rFonts w:cs="Calibri"/>
                <w:szCs w:val="20"/>
              </w:rPr>
              <w:t>792</w:t>
            </w:r>
          </w:p>
        </w:tc>
        <w:tc>
          <w:tcPr>
            <w:tcW w:w="472" w:type="pct"/>
            <w:shd w:val="clear" w:color="auto" w:fill="auto"/>
            <w:vAlign w:val="center"/>
          </w:tcPr>
          <w:p w14:paraId="6453749F" w14:textId="1FDF3761" w:rsidR="00CE5700" w:rsidRPr="00F76546" w:rsidRDefault="00CE5700" w:rsidP="00ED0F7E">
            <w:pPr>
              <w:pStyle w:val="TableText"/>
            </w:pPr>
            <w:r>
              <w:rPr>
                <w:rFonts w:cs="Calibri"/>
                <w:color w:val="000000"/>
              </w:rPr>
              <w:t>6.8</w:t>
            </w:r>
            <w:r w:rsidR="00567FA4">
              <w:rPr>
                <w:rFonts w:cs="Calibri"/>
                <w:color w:val="000000"/>
              </w:rPr>
              <w:t>1</w:t>
            </w:r>
            <w:r>
              <w:rPr>
                <w:rFonts w:cs="Calibri"/>
                <w:color w:val="000000"/>
              </w:rPr>
              <w:t>, 0.5</w:t>
            </w:r>
            <w:r w:rsidR="00FD26F8">
              <w:rPr>
                <w:rFonts w:cs="Calibri"/>
                <w:color w:val="000000"/>
              </w:rPr>
              <w:t>2</w:t>
            </w:r>
          </w:p>
        </w:tc>
        <w:tc>
          <w:tcPr>
            <w:tcW w:w="944" w:type="pct"/>
            <w:shd w:val="clear" w:color="auto" w:fill="auto"/>
            <w:vAlign w:val="center"/>
          </w:tcPr>
          <w:p w14:paraId="70ADE681" w14:textId="77777777" w:rsidR="00CE5700" w:rsidRPr="00B419E6" w:rsidRDefault="00CE5700" w:rsidP="00ED0F7E">
            <w:pPr>
              <w:pStyle w:val="TableText"/>
            </w:pPr>
            <w:r w:rsidRPr="00B419E6">
              <w:t>Lutetium dominated</w:t>
            </w:r>
          </w:p>
        </w:tc>
        <w:tc>
          <w:tcPr>
            <w:tcW w:w="472" w:type="pct"/>
            <w:shd w:val="clear" w:color="auto" w:fill="auto"/>
            <w:vAlign w:val="center"/>
          </w:tcPr>
          <w:p w14:paraId="5A70CE89" w14:textId="42EF8D42" w:rsidR="00CE5700" w:rsidRPr="00F76546" w:rsidRDefault="00CE5700" w:rsidP="00ED0F7E">
            <w:pPr>
              <w:pStyle w:val="TableText"/>
            </w:pPr>
            <w:r w:rsidRPr="00230861">
              <w:rPr>
                <w:rFonts w:cs="Calibri"/>
                <w:color w:val="000000"/>
              </w:rPr>
              <w:t>28.61</w:t>
            </w:r>
            <w:r>
              <w:rPr>
                <w:rFonts w:cs="Calibri"/>
                <w:color w:val="000000"/>
              </w:rPr>
              <w:t>, 4.1</w:t>
            </w:r>
            <w:r w:rsidR="004717C4">
              <w:rPr>
                <w:rFonts w:cs="Calibri"/>
                <w:color w:val="000000"/>
              </w:rPr>
              <w:t>5</w:t>
            </w:r>
          </w:p>
        </w:tc>
        <w:tc>
          <w:tcPr>
            <w:tcW w:w="836" w:type="pct"/>
            <w:shd w:val="clear" w:color="auto" w:fill="auto"/>
            <w:vAlign w:val="center"/>
          </w:tcPr>
          <w:p w14:paraId="34B0385C" w14:textId="5D63F1F1" w:rsidR="00CE5700" w:rsidRPr="00B419E6" w:rsidRDefault="00CE5700" w:rsidP="00ED0F7E">
            <w:pPr>
              <w:pStyle w:val="TableText"/>
            </w:pPr>
            <w:r w:rsidRPr="00B419E6">
              <w:t>$22,</w:t>
            </w:r>
            <w:r w:rsidR="002347CA" w:rsidRPr="00687610">
              <w:rPr>
                <w:rFonts w:cs="Calibri"/>
                <w:szCs w:val="20"/>
              </w:rPr>
              <w:t>506</w:t>
            </w:r>
          </w:p>
        </w:tc>
      </w:tr>
      <w:tr w:rsidR="00390F2D" w:rsidRPr="00230861" w14:paraId="44782411" w14:textId="77777777" w:rsidTr="001053EF">
        <w:trPr>
          <w:cantSplit/>
          <w:trHeight w:val="579"/>
        </w:trPr>
        <w:tc>
          <w:tcPr>
            <w:tcW w:w="821" w:type="pct"/>
            <w:shd w:val="clear" w:color="auto" w:fill="auto"/>
            <w:vAlign w:val="center"/>
          </w:tcPr>
          <w:p w14:paraId="25628544" w14:textId="6EB2E935" w:rsidR="00CE5700" w:rsidRPr="00F76546" w:rsidRDefault="00CE5700" w:rsidP="00ED0F7E">
            <w:pPr>
              <w:pStyle w:val="TableText"/>
            </w:pPr>
            <w:r w:rsidRPr="00230861">
              <w:t>OCT</w:t>
            </w:r>
          </w:p>
        </w:tc>
        <w:tc>
          <w:tcPr>
            <w:tcW w:w="567" w:type="pct"/>
            <w:shd w:val="clear" w:color="auto" w:fill="auto"/>
            <w:vAlign w:val="center"/>
          </w:tcPr>
          <w:p w14:paraId="4F9F53AD" w14:textId="25355EB5" w:rsidR="00CE5700" w:rsidRPr="00F76546" w:rsidRDefault="00CE5700" w:rsidP="00ED0F7E">
            <w:pPr>
              <w:pStyle w:val="TableText"/>
            </w:pPr>
            <w:r>
              <w:rPr>
                <w:rFonts w:cs="Calibri"/>
                <w:color w:val="000000"/>
              </w:rPr>
              <w:t>4.89, 1.2</w:t>
            </w:r>
            <w:r w:rsidR="00FD26F8">
              <w:rPr>
                <w:rFonts w:cs="Calibri"/>
                <w:color w:val="000000"/>
              </w:rPr>
              <w:t>1</w:t>
            </w:r>
          </w:p>
        </w:tc>
        <w:tc>
          <w:tcPr>
            <w:tcW w:w="888" w:type="pct"/>
            <w:shd w:val="clear" w:color="auto" w:fill="auto"/>
            <w:vAlign w:val="center"/>
          </w:tcPr>
          <w:p w14:paraId="2E59E2C0" w14:textId="5E458CDB" w:rsidR="00CE5700" w:rsidRPr="00B419E6" w:rsidRDefault="002347CA" w:rsidP="00ED0F7E">
            <w:pPr>
              <w:pStyle w:val="TableText"/>
            </w:pPr>
            <w:r w:rsidRPr="00A643CB">
              <w:rPr>
                <w:rFonts w:cs="Calibri"/>
                <w:szCs w:val="20"/>
              </w:rPr>
              <w:t>$27,676</w:t>
            </w:r>
          </w:p>
        </w:tc>
        <w:tc>
          <w:tcPr>
            <w:tcW w:w="472" w:type="pct"/>
            <w:shd w:val="clear" w:color="auto" w:fill="auto"/>
            <w:vAlign w:val="center"/>
          </w:tcPr>
          <w:p w14:paraId="495C9D7E" w14:textId="0F673BF8" w:rsidR="00CE5700" w:rsidRPr="00F76546" w:rsidRDefault="00CE5700" w:rsidP="00ED0F7E">
            <w:pPr>
              <w:pStyle w:val="TableText"/>
            </w:pPr>
            <w:r>
              <w:rPr>
                <w:rFonts w:cs="Calibri"/>
                <w:color w:val="000000"/>
              </w:rPr>
              <w:t>2.97, 0.85</w:t>
            </w:r>
          </w:p>
        </w:tc>
        <w:tc>
          <w:tcPr>
            <w:tcW w:w="944" w:type="pct"/>
            <w:shd w:val="clear" w:color="auto" w:fill="auto"/>
            <w:vAlign w:val="center"/>
          </w:tcPr>
          <w:p w14:paraId="0112B807" w14:textId="2D399363" w:rsidR="00CE5700" w:rsidRPr="00B419E6" w:rsidRDefault="002347CA" w:rsidP="00ED0F7E">
            <w:pPr>
              <w:pStyle w:val="TableText"/>
            </w:pPr>
            <w:r w:rsidRPr="00260ED2">
              <w:rPr>
                <w:rFonts w:cs="Calibri"/>
                <w:szCs w:val="20"/>
              </w:rPr>
              <w:t>$467,739</w:t>
            </w:r>
          </w:p>
        </w:tc>
        <w:tc>
          <w:tcPr>
            <w:tcW w:w="472" w:type="pct"/>
            <w:shd w:val="clear" w:color="auto" w:fill="auto"/>
            <w:vAlign w:val="center"/>
          </w:tcPr>
          <w:p w14:paraId="462AA26F" w14:textId="62386CCE" w:rsidR="00CE5700" w:rsidRPr="00F76546" w:rsidRDefault="00CE5700" w:rsidP="00ED0F7E">
            <w:pPr>
              <w:pStyle w:val="TableText"/>
            </w:pPr>
            <w:r>
              <w:rPr>
                <w:rFonts w:cs="Calibri"/>
                <w:color w:val="000000"/>
              </w:rPr>
              <w:t>7.5</w:t>
            </w:r>
            <w:r w:rsidR="00567FA4">
              <w:rPr>
                <w:rFonts w:cs="Calibri"/>
                <w:color w:val="000000"/>
              </w:rPr>
              <w:t>8</w:t>
            </w:r>
            <w:r>
              <w:rPr>
                <w:rFonts w:cs="Calibri"/>
                <w:color w:val="000000"/>
              </w:rPr>
              <w:t>, 1.66</w:t>
            </w:r>
          </w:p>
        </w:tc>
        <w:tc>
          <w:tcPr>
            <w:tcW w:w="836" w:type="pct"/>
            <w:shd w:val="clear" w:color="auto" w:fill="auto"/>
            <w:vAlign w:val="center"/>
          </w:tcPr>
          <w:p w14:paraId="6CA65783" w14:textId="14D8110A" w:rsidR="00CE5700" w:rsidRPr="00B419E6" w:rsidRDefault="00CE5700" w:rsidP="00ED0F7E">
            <w:pPr>
              <w:pStyle w:val="TableText"/>
            </w:pPr>
            <w:r w:rsidRPr="00B419E6">
              <w:t>$23,</w:t>
            </w:r>
            <w:r w:rsidR="002347CA" w:rsidRPr="00687610">
              <w:rPr>
                <w:rFonts w:cs="Calibri"/>
                <w:szCs w:val="20"/>
              </w:rPr>
              <w:t>486</w:t>
            </w:r>
          </w:p>
        </w:tc>
      </w:tr>
      <w:tr w:rsidR="00390F2D" w:rsidRPr="00230861" w14:paraId="0BD6BBBC" w14:textId="77777777" w:rsidTr="001053EF">
        <w:trPr>
          <w:cantSplit/>
          <w:trHeight w:val="579"/>
        </w:trPr>
        <w:tc>
          <w:tcPr>
            <w:tcW w:w="821" w:type="pct"/>
            <w:shd w:val="clear" w:color="auto" w:fill="auto"/>
            <w:vAlign w:val="center"/>
          </w:tcPr>
          <w:p w14:paraId="500C742B" w14:textId="19988FE2" w:rsidR="00CE5700" w:rsidRPr="004D55FF" w:rsidRDefault="00CE5700" w:rsidP="00ED0F7E">
            <w:pPr>
              <w:pStyle w:val="TableText"/>
            </w:pPr>
            <w:r w:rsidRPr="004D55FF">
              <w:t>LAN</w:t>
            </w:r>
          </w:p>
        </w:tc>
        <w:tc>
          <w:tcPr>
            <w:tcW w:w="567" w:type="pct"/>
            <w:shd w:val="clear" w:color="auto" w:fill="auto"/>
            <w:vAlign w:val="center"/>
          </w:tcPr>
          <w:p w14:paraId="08D18737" w14:textId="2213EBCD" w:rsidR="00CE5700" w:rsidRPr="004D55FF" w:rsidRDefault="00CE5700" w:rsidP="00ED0F7E">
            <w:pPr>
              <w:pStyle w:val="TableText"/>
            </w:pPr>
            <w:r w:rsidRPr="004D55FF">
              <w:rPr>
                <w:rFonts w:cs="Calibri"/>
                <w:color w:val="000000"/>
              </w:rPr>
              <w:t>8.6</w:t>
            </w:r>
            <w:r w:rsidR="006554F5" w:rsidRPr="004D55FF">
              <w:rPr>
                <w:rFonts w:cs="Calibri"/>
                <w:color w:val="000000"/>
              </w:rPr>
              <w:t>1</w:t>
            </w:r>
            <w:r w:rsidRPr="004D55FF">
              <w:rPr>
                <w:rFonts w:cs="Calibri"/>
                <w:color w:val="000000"/>
              </w:rPr>
              <w:t>, 1.2</w:t>
            </w:r>
            <w:r w:rsidR="00FD26F8" w:rsidRPr="004D55FF">
              <w:rPr>
                <w:rFonts w:cs="Calibri"/>
                <w:color w:val="000000"/>
              </w:rPr>
              <w:t>1</w:t>
            </w:r>
          </w:p>
        </w:tc>
        <w:tc>
          <w:tcPr>
            <w:tcW w:w="888" w:type="pct"/>
            <w:shd w:val="clear" w:color="auto" w:fill="auto"/>
            <w:vAlign w:val="center"/>
          </w:tcPr>
          <w:p w14:paraId="693D0A8A" w14:textId="40125877" w:rsidR="00CE5700" w:rsidRPr="004D55FF" w:rsidRDefault="002347CA" w:rsidP="00ED0F7E">
            <w:pPr>
              <w:pStyle w:val="TableText"/>
            </w:pPr>
            <w:r w:rsidRPr="00A643CB">
              <w:rPr>
                <w:rFonts w:cs="Calibri"/>
                <w:szCs w:val="20"/>
              </w:rPr>
              <w:t>$22,621</w:t>
            </w:r>
          </w:p>
        </w:tc>
        <w:tc>
          <w:tcPr>
            <w:tcW w:w="472" w:type="pct"/>
            <w:shd w:val="clear" w:color="auto" w:fill="auto"/>
            <w:vAlign w:val="center"/>
          </w:tcPr>
          <w:p w14:paraId="65CA4DDC" w14:textId="004C461B" w:rsidR="00CE5700" w:rsidRPr="004D55FF" w:rsidRDefault="00CE5700" w:rsidP="00ED0F7E">
            <w:pPr>
              <w:pStyle w:val="TableText"/>
            </w:pPr>
            <w:r w:rsidRPr="004D55FF">
              <w:rPr>
                <w:rFonts w:cs="Calibri"/>
                <w:color w:val="000000"/>
              </w:rPr>
              <w:t>3.51, 0.85</w:t>
            </w:r>
          </w:p>
        </w:tc>
        <w:tc>
          <w:tcPr>
            <w:tcW w:w="944" w:type="pct"/>
            <w:shd w:val="clear" w:color="auto" w:fill="auto"/>
            <w:vAlign w:val="center"/>
          </w:tcPr>
          <w:p w14:paraId="1D19E92F" w14:textId="77777777" w:rsidR="00CE5700" w:rsidRPr="004D55FF" w:rsidRDefault="00CE5700" w:rsidP="00ED0F7E">
            <w:pPr>
              <w:pStyle w:val="TableText"/>
            </w:pPr>
            <w:r w:rsidRPr="004D55FF">
              <w:t>Lutetium dominant</w:t>
            </w:r>
          </w:p>
        </w:tc>
        <w:tc>
          <w:tcPr>
            <w:tcW w:w="472" w:type="pct"/>
            <w:shd w:val="clear" w:color="auto" w:fill="auto"/>
            <w:vAlign w:val="center"/>
          </w:tcPr>
          <w:p w14:paraId="06137802" w14:textId="29B2FC78" w:rsidR="00CE5700" w:rsidRPr="004D55FF" w:rsidRDefault="00CE5700" w:rsidP="00ED0F7E">
            <w:pPr>
              <w:pStyle w:val="TableText"/>
            </w:pPr>
            <w:r w:rsidRPr="004D55FF">
              <w:rPr>
                <w:rFonts w:cs="Calibri"/>
                <w:color w:val="000000"/>
              </w:rPr>
              <w:t>17.76, 1.66</w:t>
            </w:r>
          </w:p>
        </w:tc>
        <w:tc>
          <w:tcPr>
            <w:tcW w:w="836" w:type="pct"/>
            <w:shd w:val="clear" w:color="auto" w:fill="auto"/>
            <w:vAlign w:val="center"/>
          </w:tcPr>
          <w:p w14:paraId="33EFA697" w14:textId="1AD8B10A" w:rsidR="00CE5700" w:rsidRPr="004D55FF" w:rsidRDefault="00CE5700" w:rsidP="00ED0F7E">
            <w:pPr>
              <w:pStyle w:val="TableText"/>
            </w:pPr>
            <w:r w:rsidRPr="004D55FF">
              <w:t>$22,</w:t>
            </w:r>
            <w:r w:rsidR="002347CA" w:rsidRPr="00687610">
              <w:rPr>
                <w:rFonts w:cs="Calibri"/>
                <w:szCs w:val="20"/>
              </w:rPr>
              <w:t>640</w:t>
            </w:r>
          </w:p>
        </w:tc>
      </w:tr>
      <w:tr w:rsidR="00B23FB8" w:rsidRPr="00230861" w14:paraId="768FE158" w14:textId="77777777" w:rsidTr="001053EF">
        <w:trPr>
          <w:cantSplit/>
          <w:trHeight w:val="579"/>
        </w:trPr>
        <w:tc>
          <w:tcPr>
            <w:tcW w:w="821" w:type="pct"/>
            <w:shd w:val="clear" w:color="auto" w:fill="auto"/>
            <w:vAlign w:val="center"/>
          </w:tcPr>
          <w:p w14:paraId="47ECDCB6" w14:textId="237A9812" w:rsidR="00B23FB8" w:rsidRPr="004D55FF" w:rsidRDefault="00B23FB8" w:rsidP="00B23FB8">
            <w:pPr>
              <w:pStyle w:val="TableText"/>
            </w:pPr>
            <w:r w:rsidRPr="004D55FF">
              <w:t>EVO</w:t>
            </w:r>
          </w:p>
        </w:tc>
        <w:tc>
          <w:tcPr>
            <w:tcW w:w="567" w:type="pct"/>
            <w:shd w:val="clear" w:color="auto" w:fill="auto"/>
            <w:vAlign w:val="center"/>
          </w:tcPr>
          <w:p w14:paraId="64DBFB8C" w14:textId="060C7E04" w:rsidR="00B23FB8" w:rsidRPr="004D55FF" w:rsidRDefault="00761CAA" w:rsidP="00B23FB8">
            <w:pPr>
              <w:pStyle w:val="TableText"/>
            </w:pPr>
            <w:r>
              <w:rPr>
                <w:rFonts w:cs="Calibri"/>
                <w:color w:val="000000"/>
              </w:rPr>
              <w:t>5.86</w:t>
            </w:r>
            <w:r w:rsidR="00B23FB8">
              <w:rPr>
                <w:rFonts w:cs="Calibri"/>
                <w:color w:val="000000"/>
              </w:rPr>
              <w:t>, 1.47</w:t>
            </w:r>
          </w:p>
        </w:tc>
        <w:tc>
          <w:tcPr>
            <w:tcW w:w="888" w:type="pct"/>
            <w:shd w:val="clear" w:color="auto" w:fill="auto"/>
            <w:vAlign w:val="center"/>
          </w:tcPr>
          <w:p w14:paraId="664E03FF" w14:textId="284B0777" w:rsidR="00B23FB8" w:rsidRPr="004D55FF" w:rsidRDefault="002347CA" w:rsidP="00B23FB8">
            <w:pPr>
              <w:pStyle w:val="TableText"/>
            </w:pPr>
            <w:r w:rsidRPr="00A643CB">
              <w:rPr>
                <w:rFonts w:cs="Calibri"/>
                <w:szCs w:val="20"/>
              </w:rPr>
              <w:t>$29,439</w:t>
            </w:r>
          </w:p>
        </w:tc>
        <w:tc>
          <w:tcPr>
            <w:tcW w:w="472" w:type="pct"/>
            <w:shd w:val="clear" w:color="auto" w:fill="auto"/>
            <w:vAlign w:val="center"/>
          </w:tcPr>
          <w:p w14:paraId="59FC3B2E" w14:textId="616A39EB" w:rsidR="00B23FB8" w:rsidRPr="004D55FF" w:rsidRDefault="00F27522" w:rsidP="00B23FB8">
            <w:pPr>
              <w:pStyle w:val="TableText"/>
            </w:pPr>
            <w:r w:rsidRPr="001053EF">
              <w:rPr>
                <w:color w:val="000000"/>
              </w:rPr>
              <w:t>2.</w:t>
            </w:r>
            <w:r>
              <w:rPr>
                <w:rFonts w:cs="Calibri"/>
                <w:color w:val="000000"/>
              </w:rPr>
              <w:t>58</w:t>
            </w:r>
            <w:r w:rsidR="00B23FB8">
              <w:rPr>
                <w:rFonts w:cs="Calibri"/>
                <w:color w:val="000000"/>
              </w:rPr>
              <w:t>, 0.43</w:t>
            </w:r>
          </w:p>
        </w:tc>
        <w:tc>
          <w:tcPr>
            <w:tcW w:w="944" w:type="pct"/>
            <w:shd w:val="clear" w:color="auto" w:fill="auto"/>
            <w:vAlign w:val="center"/>
          </w:tcPr>
          <w:p w14:paraId="3C7742FB" w14:textId="49901874" w:rsidR="00B23FB8" w:rsidRPr="004D55FF" w:rsidRDefault="00B23FB8" w:rsidP="00B23FB8">
            <w:pPr>
              <w:pStyle w:val="TableText"/>
            </w:pPr>
            <w:r w:rsidRPr="00B419E6">
              <w:t>Lutetium dominated</w:t>
            </w:r>
          </w:p>
        </w:tc>
        <w:tc>
          <w:tcPr>
            <w:tcW w:w="472" w:type="pct"/>
            <w:shd w:val="clear" w:color="auto" w:fill="auto"/>
            <w:vAlign w:val="center"/>
          </w:tcPr>
          <w:p w14:paraId="465166E8" w14:textId="433CD678" w:rsidR="00B23FB8" w:rsidRPr="004D55FF" w:rsidRDefault="002C382D" w:rsidP="00B23FB8">
            <w:pPr>
              <w:pStyle w:val="TableText"/>
            </w:pPr>
            <w:r>
              <w:rPr>
                <w:rFonts w:cs="Calibri"/>
                <w:color w:val="000000"/>
              </w:rPr>
              <w:t>11.49</w:t>
            </w:r>
            <w:r w:rsidR="00B23FB8">
              <w:rPr>
                <w:rFonts w:cs="Calibri"/>
                <w:color w:val="000000"/>
              </w:rPr>
              <w:t>, 3.74</w:t>
            </w:r>
          </w:p>
        </w:tc>
        <w:tc>
          <w:tcPr>
            <w:tcW w:w="836" w:type="pct"/>
            <w:shd w:val="clear" w:color="auto" w:fill="auto"/>
            <w:vAlign w:val="center"/>
          </w:tcPr>
          <w:p w14:paraId="3BE5B650" w14:textId="0FFC9B3B" w:rsidR="00B23FB8" w:rsidRPr="004D55FF" w:rsidRDefault="002347CA" w:rsidP="00B23FB8">
            <w:pPr>
              <w:pStyle w:val="TableText"/>
            </w:pPr>
            <w:r w:rsidRPr="00687610">
              <w:rPr>
                <w:rFonts w:cs="Calibri"/>
                <w:szCs w:val="20"/>
              </w:rPr>
              <w:t>$20,293</w:t>
            </w:r>
          </w:p>
        </w:tc>
      </w:tr>
      <w:tr w:rsidR="00B23FB8" w:rsidRPr="00230861" w14:paraId="2B6856E0" w14:textId="77777777" w:rsidTr="001053EF">
        <w:trPr>
          <w:cantSplit/>
          <w:trHeight w:val="579"/>
        </w:trPr>
        <w:tc>
          <w:tcPr>
            <w:tcW w:w="821" w:type="pct"/>
            <w:shd w:val="clear" w:color="auto" w:fill="auto"/>
            <w:vAlign w:val="center"/>
          </w:tcPr>
          <w:p w14:paraId="08C4D559" w14:textId="6817FAE4" w:rsidR="00B23FB8" w:rsidRPr="004D55FF" w:rsidRDefault="00B23FB8" w:rsidP="00B23FB8">
            <w:pPr>
              <w:pStyle w:val="TableText"/>
            </w:pPr>
            <w:r w:rsidRPr="004D55FF">
              <w:lastRenderedPageBreak/>
              <w:t>SUN</w:t>
            </w:r>
          </w:p>
        </w:tc>
        <w:tc>
          <w:tcPr>
            <w:tcW w:w="567" w:type="pct"/>
            <w:shd w:val="clear" w:color="auto" w:fill="auto"/>
            <w:vAlign w:val="center"/>
          </w:tcPr>
          <w:p w14:paraId="02396BDC" w14:textId="536946A7" w:rsidR="00B23FB8" w:rsidRPr="004D55FF" w:rsidRDefault="00F27522" w:rsidP="00B23FB8">
            <w:pPr>
              <w:pStyle w:val="TableText"/>
            </w:pPr>
            <w:r>
              <w:rPr>
                <w:rFonts w:cs="Calibri"/>
                <w:color w:val="000000"/>
              </w:rPr>
              <w:t>6.45</w:t>
            </w:r>
            <w:r w:rsidR="00B23FB8">
              <w:rPr>
                <w:rFonts w:cs="Calibri"/>
                <w:color w:val="000000"/>
              </w:rPr>
              <w:t>, 0.74</w:t>
            </w:r>
          </w:p>
        </w:tc>
        <w:tc>
          <w:tcPr>
            <w:tcW w:w="888" w:type="pct"/>
            <w:shd w:val="clear" w:color="auto" w:fill="auto"/>
            <w:vAlign w:val="center"/>
          </w:tcPr>
          <w:p w14:paraId="6FEB970F" w14:textId="0A5A0C24" w:rsidR="00B23FB8" w:rsidRPr="004D55FF" w:rsidRDefault="00B23FB8" w:rsidP="00B23FB8">
            <w:pPr>
              <w:pStyle w:val="TableText"/>
            </w:pPr>
            <w:r w:rsidRPr="00B419E6">
              <w:t>Lutetium dominated</w:t>
            </w:r>
          </w:p>
        </w:tc>
        <w:tc>
          <w:tcPr>
            <w:tcW w:w="472" w:type="pct"/>
            <w:shd w:val="clear" w:color="auto" w:fill="auto"/>
            <w:vAlign w:val="center"/>
          </w:tcPr>
          <w:p w14:paraId="3C0F06E0" w14:textId="0B91D3B3" w:rsidR="00B23FB8" w:rsidRPr="004D55FF" w:rsidRDefault="00B23FB8" w:rsidP="00B23FB8">
            <w:pPr>
              <w:pStyle w:val="TableText"/>
            </w:pPr>
            <w:r w:rsidRPr="001053EF">
              <w:rPr>
                <w:color w:val="000000"/>
              </w:rPr>
              <w:t>2.</w:t>
            </w:r>
            <w:r w:rsidR="00F27522" w:rsidRPr="00F27522">
              <w:rPr>
                <w:rFonts w:cs="Calibri"/>
                <w:color w:val="000000"/>
              </w:rPr>
              <w:t>48</w:t>
            </w:r>
            <w:r w:rsidRPr="00F27522">
              <w:rPr>
                <w:rFonts w:cs="Calibri"/>
                <w:color w:val="000000"/>
              </w:rPr>
              <w:t>, 0.16</w:t>
            </w:r>
          </w:p>
        </w:tc>
        <w:tc>
          <w:tcPr>
            <w:tcW w:w="944" w:type="pct"/>
            <w:shd w:val="clear" w:color="auto" w:fill="auto"/>
            <w:vAlign w:val="center"/>
          </w:tcPr>
          <w:p w14:paraId="2787837D" w14:textId="74732509" w:rsidR="00B23FB8" w:rsidRPr="004D55FF" w:rsidRDefault="002347CA" w:rsidP="00B23FB8">
            <w:pPr>
              <w:pStyle w:val="TableText"/>
            </w:pPr>
            <w:r w:rsidRPr="00260ED2">
              <w:rPr>
                <w:rFonts w:cs="Calibri"/>
                <w:szCs w:val="20"/>
              </w:rPr>
              <w:t>$3,762</w:t>
            </w:r>
          </w:p>
        </w:tc>
        <w:tc>
          <w:tcPr>
            <w:tcW w:w="472" w:type="pct"/>
            <w:shd w:val="clear" w:color="auto" w:fill="auto"/>
            <w:vAlign w:val="center"/>
          </w:tcPr>
          <w:p w14:paraId="14CC0A29" w14:textId="0060AE27" w:rsidR="00B23FB8" w:rsidRPr="004D55FF" w:rsidRDefault="002C382D" w:rsidP="00B23FB8">
            <w:pPr>
              <w:pStyle w:val="TableText"/>
            </w:pPr>
            <w:r>
              <w:rPr>
                <w:rFonts w:cs="Calibri"/>
                <w:color w:val="000000"/>
              </w:rPr>
              <w:t>13.78</w:t>
            </w:r>
            <w:r w:rsidR="00B23FB8">
              <w:rPr>
                <w:rFonts w:cs="Calibri"/>
                <w:color w:val="000000"/>
              </w:rPr>
              <w:t>, 2.19</w:t>
            </w:r>
          </w:p>
        </w:tc>
        <w:tc>
          <w:tcPr>
            <w:tcW w:w="836" w:type="pct"/>
            <w:shd w:val="clear" w:color="auto" w:fill="auto"/>
            <w:vAlign w:val="center"/>
          </w:tcPr>
          <w:p w14:paraId="72AE7FC3" w14:textId="1805C697" w:rsidR="00B23FB8" w:rsidRPr="004D55FF" w:rsidRDefault="002347CA" w:rsidP="00B23FB8">
            <w:pPr>
              <w:pStyle w:val="TableText"/>
            </w:pPr>
            <w:r w:rsidRPr="00687610">
              <w:rPr>
                <w:rFonts w:cs="Calibri"/>
                <w:szCs w:val="20"/>
              </w:rPr>
              <w:t>$23,461</w:t>
            </w:r>
          </w:p>
        </w:tc>
      </w:tr>
      <w:tr w:rsidR="00B23FB8" w:rsidRPr="00230861" w14:paraId="223E5924" w14:textId="77777777" w:rsidTr="001053EF">
        <w:trPr>
          <w:cantSplit/>
          <w:trHeight w:val="579"/>
        </w:trPr>
        <w:tc>
          <w:tcPr>
            <w:tcW w:w="821" w:type="pct"/>
            <w:shd w:val="clear" w:color="auto" w:fill="auto"/>
            <w:vAlign w:val="center"/>
          </w:tcPr>
          <w:p w14:paraId="5CD98CBD" w14:textId="77777777" w:rsidR="00B23FB8" w:rsidRPr="004D55FF" w:rsidRDefault="00B23FB8" w:rsidP="00B23FB8">
            <w:pPr>
              <w:pStyle w:val="TableText"/>
            </w:pPr>
            <w:r w:rsidRPr="004D55FF">
              <w:t>OCT+EVO</w:t>
            </w:r>
          </w:p>
        </w:tc>
        <w:tc>
          <w:tcPr>
            <w:tcW w:w="567" w:type="pct"/>
            <w:shd w:val="clear" w:color="auto" w:fill="auto"/>
            <w:vAlign w:val="center"/>
          </w:tcPr>
          <w:p w14:paraId="20F925CC" w14:textId="30A06015" w:rsidR="00B23FB8" w:rsidRPr="004D55FF" w:rsidRDefault="00F27522" w:rsidP="00B23FB8">
            <w:pPr>
              <w:pStyle w:val="TableText"/>
            </w:pPr>
            <w:r>
              <w:rPr>
                <w:rFonts w:cs="Calibri"/>
                <w:color w:val="000000"/>
              </w:rPr>
              <w:t>3.80</w:t>
            </w:r>
            <w:r w:rsidR="00B23FB8">
              <w:rPr>
                <w:rFonts w:cs="Calibri"/>
                <w:color w:val="000000"/>
              </w:rPr>
              <w:t>, 1.49</w:t>
            </w:r>
          </w:p>
        </w:tc>
        <w:tc>
          <w:tcPr>
            <w:tcW w:w="888" w:type="pct"/>
            <w:shd w:val="clear" w:color="auto" w:fill="auto"/>
            <w:vAlign w:val="center"/>
          </w:tcPr>
          <w:p w14:paraId="112BD59C" w14:textId="1392C394" w:rsidR="00B23FB8" w:rsidRPr="004D55FF" w:rsidRDefault="002347CA" w:rsidP="00B23FB8">
            <w:pPr>
              <w:pStyle w:val="TableText"/>
            </w:pPr>
            <w:r w:rsidRPr="00A643CB">
              <w:rPr>
                <w:rFonts w:cs="Calibri"/>
                <w:szCs w:val="20"/>
              </w:rPr>
              <w:t>$18,643</w:t>
            </w:r>
          </w:p>
        </w:tc>
        <w:tc>
          <w:tcPr>
            <w:tcW w:w="472" w:type="pct"/>
            <w:shd w:val="clear" w:color="auto" w:fill="auto"/>
            <w:vAlign w:val="center"/>
          </w:tcPr>
          <w:p w14:paraId="59AE749F" w14:textId="0065C86E" w:rsidR="00B23FB8" w:rsidRPr="004D55FF" w:rsidRDefault="00F27522" w:rsidP="00B23FB8">
            <w:pPr>
              <w:pStyle w:val="TableText"/>
            </w:pPr>
            <w:r w:rsidRPr="001053EF">
              <w:rPr>
                <w:color w:val="000000"/>
              </w:rPr>
              <w:t>2.</w:t>
            </w:r>
            <w:r w:rsidRPr="00F27522">
              <w:rPr>
                <w:rFonts w:cs="Calibri"/>
                <w:color w:val="000000"/>
              </w:rPr>
              <w:t>14</w:t>
            </w:r>
            <w:r w:rsidR="00B23FB8" w:rsidRPr="001053EF">
              <w:rPr>
                <w:color w:val="000000"/>
              </w:rPr>
              <w:t>,</w:t>
            </w:r>
            <w:r w:rsidR="00B23FB8" w:rsidRPr="00F27522">
              <w:rPr>
                <w:rFonts w:cs="Calibri"/>
                <w:color w:val="000000"/>
              </w:rPr>
              <w:t xml:space="preserve"> 0.93</w:t>
            </w:r>
          </w:p>
        </w:tc>
        <w:tc>
          <w:tcPr>
            <w:tcW w:w="944" w:type="pct"/>
            <w:shd w:val="clear" w:color="auto" w:fill="auto"/>
            <w:vAlign w:val="center"/>
          </w:tcPr>
          <w:p w14:paraId="14BCE563" w14:textId="5BC6D842" w:rsidR="00B23FB8" w:rsidRPr="004D55FF" w:rsidRDefault="002347CA" w:rsidP="00B23FB8">
            <w:pPr>
              <w:pStyle w:val="TableText"/>
            </w:pPr>
            <w:r w:rsidRPr="00260ED2">
              <w:rPr>
                <w:rFonts w:cs="Calibri"/>
                <w:szCs w:val="20"/>
              </w:rPr>
              <w:t>$70,643</w:t>
            </w:r>
          </w:p>
        </w:tc>
        <w:tc>
          <w:tcPr>
            <w:tcW w:w="472" w:type="pct"/>
            <w:shd w:val="clear" w:color="auto" w:fill="auto"/>
            <w:vAlign w:val="center"/>
          </w:tcPr>
          <w:p w14:paraId="2DB8B07A" w14:textId="766353EF" w:rsidR="00B23FB8" w:rsidRPr="004D55FF" w:rsidRDefault="002C382D" w:rsidP="00B23FB8">
            <w:pPr>
              <w:pStyle w:val="TableText"/>
            </w:pPr>
            <w:r>
              <w:rPr>
                <w:rFonts w:cs="Calibri"/>
                <w:color w:val="000000"/>
              </w:rPr>
              <w:t>6.26</w:t>
            </w:r>
            <w:r w:rsidR="00B23FB8">
              <w:rPr>
                <w:rFonts w:cs="Calibri"/>
                <w:color w:val="000000"/>
              </w:rPr>
              <w:t>, 2.26</w:t>
            </w:r>
          </w:p>
        </w:tc>
        <w:tc>
          <w:tcPr>
            <w:tcW w:w="836" w:type="pct"/>
            <w:shd w:val="clear" w:color="auto" w:fill="auto"/>
            <w:vAlign w:val="center"/>
          </w:tcPr>
          <w:p w14:paraId="215703ED" w14:textId="5B97FEFE" w:rsidR="00B23FB8" w:rsidRPr="004D55FF" w:rsidRDefault="002347CA" w:rsidP="00B23FB8">
            <w:pPr>
              <w:pStyle w:val="TableText"/>
            </w:pPr>
            <w:r w:rsidRPr="00687610">
              <w:rPr>
                <w:rFonts w:cs="Calibri"/>
                <w:szCs w:val="20"/>
              </w:rPr>
              <w:t>$16,876</w:t>
            </w:r>
          </w:p>
        </w:tc>
      </w:tr>
      <w:tr w:rsidR="006D585A" w:rsidRPr="00230861" w14:paraId="637481B7" w14:textId="77777777" w:rsidTr="001053EF">
        <w:trPr>
          <w:cantSplit/>
          <w:trHeight w:val="340"/>
        </w:trPr>
        <w:tc>
          <w:tcPr>
            <w:tcW w:w="5000" w:type="pct"/>
            <w:gridSpan w:val="7"/>
            <w:shd w:val="clear" w:color="auto" w:fill="auto"/>
            <w:vAlign w:val="center"/>
          </w:tcPr>
          <w:p w14:paraId="49DDF7B4" w14:textId="1A049A55" w:rsidR="006D585A" w:rsidRPr="00687610" w:rsidRDefault="006D585A" w:rsidP="001053EF">
            <w:pPr>
              <w:pStyle w:val="In-tableHeading"/>
              <w:rPr>
                <w:rFonts w:cs="Calibri"/>
                <w:szCs w:val="20"/>
              </w:rPr>
            </w:pPr>
            <w:r w:rsidRPr="00366D31">
              <w:t>Proportion of patients receiving tests</w:t>
            </w:r>
          </w:p>
        </w:tc>
      </w:tr>
      <w:tr w:rsidR="006D585A" w:rsidRPr="00230861" w14:paraId="4737AB81" w14:textId="77777777" w:rsidTr="001053EF">
        <w:trPr>
          <w:cantSplit/>
          <w:trHeight w:val="579"/>
        </w:trPr>
        <w:tc>
          <w:tcPr>
            <w:tcW w:w="821" w:type="pct"/>
            <w:shd w:val="clear" w:color="auto" w:fill="auto"/>
            <w:vAlign w:val="center"/>
          </w:tcPr>
          <w:p w14:paraId="0548D70A" w14:textId="1D0ED202" w:rsidR="006D585A" w:rsidRPr="004D55FF" w:rsidRDefault="006D585A" w:rsidP="006D585A">
            <w:pPr>
              <w:pStyle w:val="TableText"/>
            </w:pPr>
            <w:r w:rsidRPr="00776352">
              <w:rPr>
                <w:vertAlign w:val="superscript"/>
              </w:rPr>
              <w:t>68</w:t>
            </w:r>
            <w:r w:rsidRPr="00FE32FF">
              <w:t>Ga-DOTA-octreotate PET/CT</w:t>
            </w:r>
            <w:r>
              <w:t xml:space="preserve">, </w:t>
            </w:r>
            <w:r w:rsidRPr="00FE32FF">
              <w:t>FDG PET/CT</w:t>
            </w:r>
          </w:p>
        </w:tc>
        <w:tc>
          <w:tcPr>
            <w:tcW w:w="567" w:type="pct"/>
            <w:shd w:val="clear" w:color="auto" w:fill="auto"/>
            <w:vAlign w:val="center"/>
          </w:tcPr>
          <w:p w14:paraId="566E3FDF" w14:textId="5C9B603B" w:rsidR="006D585A" w:rsidRPr="006554F5" w:rsidRDefault="006D585A" w:rsidP="006D585A">
            <w:pPr>
              <w:pStyle w:val="TableText"/>
              <w:rPr>
                <w:rFonts w:cs="Calibri"/>
                <w:color w:val="000000"/>
                <w:highlight w:val="yellow"/>
              </w:rPr>
            </w:pPr>
            <w:r>
              <w:rPr>
                <w:rFonts w:cs="Calibri"/>
                <w:color w:val="000000"/>
              </w:rPr>
              <w:t>100%, 30%</w:t>
            </w:r>
          </w:p>
        </w:tc>
        <w:tc>
          <w:tcPr>
            <w:tcW w:w="888" w:type="pct"/>
            <w:shd w:val="clear" w:color="auto" w:fill="auto"/>
            <w:vAlign w:val="center"/>
          </w:tcPr>
          <w:p w14:paraId="4FC7988A" w14:textId="77777777" w:rsidR="006D585A" w:rsidRPr="00EE65FD" w:rsidRDefault="006D585A" w:rsidP="006D585A">
            <w:pPr>
              <w:pStyle w:val="TableText"/>
              <w:rPr>
                <w:rFonts w:cs="Calibri"/>
                <w:szCs w:val="20"/>
              </w:rPr>
            </w:pPr>
            <w:r w:rsidRPr="00EE65FD">
              <w:rPr>
                <w:rFonts w:cs="Calibri"/>
                <w:szCs w:val="20"/>
              </w:rPr>
              <w:t>PBO = $31,792</w:t>
            </w:r>
          </w:p>
          <w:p w14:paraId="3733CF8F" w14:textId="77777777" w:rsidR="006D585A" w:rsidRPr="00EE65FD" w:rsidRDefault="006D585A" w:rsidP="006D585A">
            <w:pPr>
              <w:pStyle w:val="TableText"/>
              <w:rPr>
                <w:rFonts w:cs="Calibri"/>
                <w:szCs w:val="20"/>
              </w:rPr>
            </w:pPr>
            <w:r w:rsidRPr="00EE65FD">
              <w:rPr>
                <w:rFonts w:cs="Calibri"/>
                <w:szCs w:val="20"/>
              </w:rPr>
              <w:t>OCT = $27,676</w:t>
            </w:r>
          </w:p>
          <w:p w14:paraId="59AE6A3A" w14:textId="77777777" w:rsidR="006D585A" w:rsidRPr="00EE65FD" w:rsidRDefault="006D585A" w:rsidP="006D585A">
            <w:pPr>
              <w:pStyle w:val="TableText"/>
              <w:rPr>
                <w:rFonts w:cs="Calibri"/>
                <w:szCs w:val="20"/>
              </w:rPr>
            </w:pPr>
            <w:r w:rsidRPr="00EE65FD">
              <w:rPr>
                <w:rFonts w:cs="Calibri"/>
                <w:szCs w:val="20"/>
              </w:rPr>
              <w:t>LAN = $22,621</w:t>
            </w:r>
          </w:p>
          <w:p w14:paraId="132E25A4" w14:textId="77777777" w:rsidR="006D585A" w:rsidRPr="00EE65FD" w:rsidRDefault="006D585A" w:rsidP="006D585A">
            <w:pPr>
              <w:pStyle w:val="TableText"/>
              <w:rPr>
                <w:rFonts w:cs="Calibri"/>
                <w:szCs w:val="20"/>
              </w:rPr>
            </w:pPr>
            <w:r w:rsidRPr="00EE65FD">
              <w:rPr>
                <w:rFonts w:cs="Calibri"/>
                <w:szCs w:val="20"/>
              </w:rPr>
              <w:t>EVO = $29,439</w:t>
            </w:r>
          </w:p>
          <w:p w14:paraId="6C66ADA3" w14:textId="77777777" w:rsidR="006D585A" w:rsidRPr="00EE65FD" w:rsidRDefault="006D585A" w:rsidP="006D585A">
            <w:pPr>
              <w:pStyle w:val="TableText"/>
              <w:rPr>
                <w:rFonts w:cs="Calibri"/>
                <w:szCs w:val="20"/>
              </w:rPr>
            </w:pPr>
            <w:r w:rsidRPr="00EE65FD">
              <w:rPr>
                <w:rFonts w:cs="Calibri"/>
                <w:szCs w:val="20"/>
              </w:rPr>
              <w:t>SUN = Lutetium dominated</w:t>
            </w:r>
          </w:p>
          <w:p w14:paraId="5E95326A" w14:textId="3A2034BC" w:rsidR="006D585A" w:rsidRPr="00A643CB" w:rsidRDefault="006D585A" w:rsidP="006D585A">
            <w:pPr>
              <w:pStyle w:val="TableText"/>
              <w:rPr>
                <w:rFonts w:cs="Calibri"/>
                <w:szCs w:val="20"/>
              </w:rPr>
            </w:pPr>
            <w:r w:rsidRPr="00EE65FD">
              <w:rPr>
                <w:rFonts w:cs="Calibri"/>
                <w:szCs w:val="20"/>
              </w:rPr>
              <w:t>OCT+EVO = $18,643</w:t>
            </w:r>
          </w:p>
        </w:tc>
        <w:tc>
          <w:tcPr>
            <w:tcW w:w="472" w:type="pct"/>
            <w:shd w:val="clear" w:color="auto" w:fill="auto"/>
            <w:vAlign w:val="center"/>
          </w:tcPr>
          <w:p w14:paraId="1CBBF5A2" w14:textId="0093E725" w:rsidR="006D585A" w:rsidRPr="000845E3" w:rsidRDefault="006D585A" w:rsidP="006D585A">
            <w:pPr>
              <w:pStyle w:val="TableText"/>
              <w:rPr>
                <w:color w:val="000000"/>
              </w:rPr>
            </w:pPr>
            <w:r>
              <w:rPr>
                <w:rFonts w:cs="Calibri"/>
                <w:color w:val="000000"/>
              </w:rPr>
              <w:t>N/A</w:t>
            </w:r>
          </w:p>
        </w:tc>
        <w:tc>
          <w:tcPr>
            <w:tcW w:w="944" w:type="pct"/>
            <w:shd w:val="clear" w:color="auto" w:fill="auto"/>
            <w:vAlign w:val="center"/>
          </w:tcPr>
          <w:p w14:paraId="71CB1B9E" w14:textId="4517178F" w:rsidR="006D585A" w:rsidRPr="00260ED2" w:rsidRDefault="006D585A" w:rsidP="006D585A">
            <w:pPr>
              <w:pStyle w:val="TableText"/>
              <w:rPr>
                <w:rFonts w:cs="Calibri"/>
                <w:szCs w:val="20"/>
              </w:rPr>
            </w:pPr>
            <w:r>
              <w:rPr>
                <w:rFonts w:cs="Calibri"/>
                <w:szCs w:val="20"/>
              </w:rPr>
              <w:t>N/A</w:t>
            </w:r>
          </w:p>
        </w:tc>
        <w:tc>
          <w:tcPr>
            <w:tcW w:w="472" w:type="pct"/>
            <w:shd w:val="clear" w:color="auto" w:fill="auto"/>
            <w:vAlign w:val="center"/>
          </w:tcPr>
          <w:p w14:paraId="17EF7F73" w14:textId="21EFADBB" w:rsidR="006D585A" w:rsidRPr="00567FA4" w:rsidRDefault="006D585A" w:rsidP="006D585A">
            <w:pPr>
              <w:pStyle w:val="TableText"/>
              <w:rPr>
                <w:rFonts w:cs="Calibri"/>
                <w:color w:val="000000"/>
                <w:highlight w:val="yellow"/>
              </w:rPr>
            </w:pPr>
            <w:r>
              <w:rPr>
                <w:rFonts w:cs="Calibri"/>
                <w:color w:val="000000"/>
              </w:rPr>
              <w:t>150%, 60%</w:t>
            </w:r>
          </w:p>
        </w:tc>
        <w:tc>
          <w:tcPr>
            <w:tcW w:w="836" w:type="pct"/>
            <w:shd w:val="clear" w:color="auto" w:fill="auto"/>
            <w:vAlign w:val="center"/>
          </w:tcPr>
          <w:p w14:paraId="02E8A9A4" w14:textId="77777777" w:rsidR="006D585A" w:rsidRPr="00EE65FD" w:rsidRDefault="006D585A" w:rsidP="006D585A">
            <w:pPr>
              <w:pStyle w:val="TableText"/>
              <w:rPr>
                <w:rFonts w:cs="Calibri"/>
                <w:szCs w:val="20"/>
              </w:rPr>
            </w:pPr>
            <w:r w:rsidRPr="00EE65FD">
              <w:rPr>
                <w:rFonts w:cs="Calibri"/>
                <w:szCs w:val="20"/>
              </w:rPr>
              <w:t>PBO = $31,792</w:t>
            </w:r>
          </w:p>
          <w:p w14:paraId="32C0AFBA" w14:textId="77777777" w:rsidR="006D585A" w:rsidRPr="00EE65FD" w:rsidRDefault="006D585A" w:rsidP="006D585A">
            <w:pPr>
              <w:pStyle w:val="TableText"/>
              <w:rPr>
                <w:rFonts w:cs="Calibri"/>
                <w:szCs w:val="20"/>
              </w:rPr>
            </w:pPr>
            <w:r w:rsidRPr="00EE65FD">
              <w:rPr>
                <w:rFonts w:cs="Calibri"/>
                <w:szCs w:val="20"/>
              </w:rPr>
              <w:t>OCT = $27,676</w:t>
            </w:r>
          </w:p>
          <w:p w14:paraId="2522406D" w14:textId="77777777" w:rsidR="006D585A" w:rsidRPr="00EE65FD" w:rsidRDefault="006D585A" w:rsidP="006D585A">
            <w:pPr>
              <w:pStyle w:val="TableText"/>
              <w:rPr>
                <w:rFonts w:cs="Calibri"/>
                <w:szCs w:val="20"/>
              </w:rPr>
            </w:pPr>
            <w:r w:rsidRPr="00EE65FD">
              <w:rPr>
                <w:rFonts w:cs="Calibri"/>
                <w:szCs w:val="20"/>
              </w:rPr>
              <w:t>LAN = $22,621</w:t>
            </w:r>
          </w:p>
          <w:p w14:paraId="2E0E5583" w14:textId="77777777" w:rsidR="006D585A" w:rsidRPr="00EE65FD" w:rsidRDefault="006D585A" w:rsidP="006D585A">
            <w:pPr>
              <w:pStyle w:val="TableText"/>
              <w:rPr>
                <w:rFonts w:cs="Calibri"/>
                <w:szCs w:val="20"/>
              </w:rPr>
            </w:pPr>
            <w:r w:rsidRPr="00EE65FD">
              <w:rPr>
                <w:rFonts w:cs="Calibri"/>
                <w:szCs w:val="20"/>
              </w:rPr>
              <w:t>EVO = $30,142</w:t>
            </w:r>
          </w:p>
          <w:p w14:paraId="76F35A1A" w14:textId="77777777" w:rsidR="006D585A" w:rsidRPr="00EE65FD" w:rsidRDefault="006D585A" w:rsidP="006D585A">
            <w:pPr>
              <w:pStyle w:val="TableText"/>
              <w:rPr>
                <w:rFonts w:cs="Calibri"/>
                <w:szCs w:val="20"/>
              </w:rPr>
            </w:pPr>
            <w:r w:rsidRPr="00EE65FD">
              <w:rPr>
                <w:rFonts w:cs="Calibri"/>
                <w:szCs w:val="20"/>
              </w:rPr>
              <w:t>SUN = Lutetium dominated</w:t>
            </w:r>
          </w:p>
          <w:p w14:paraId="59F92CC7" w14:textId="70D49DA4" w:rsidR="006D585A" w:rsidRPr="00687610" w:rsidRDefault="006D585A" w:rsidP="006D585A">
            <w:pPr>
              <w:pStyle w:val="TableText"/>
              <w:rPr>
                <w:rFonts w:cs="Calibri"/>
                <w:szCs w:val="20"/>
              </w:rPr>
            </w:pPr>
            <w:r w:rsidRPr="00EE65FD">
              <w:rPr>
                <w:rFonts w:cs="Calibri"/>
                <w:szCs w:val="20"/>
              </w:rPr>
              <w:t>OCT+EVO = $18,643</w:t>
            </w:r>
          </w:p>
        </w:tc>
      </w:tr>
      <w:tr w:rsidR="006D585A" w:rsidRPr="00230861" w14:paraId="743817DF" w14:textId="77777777" w:rsidTr="001053EF">
        <w:trPr>
          <w:cantSplit/>
          <w:trHeight w:val="340"/>
        </w:trPr>
        <w:tc>
          <w:tcPr>
            <w:tcW w:w="5000" w:type="pct"/>
            <w:gridSpan w:val="7"/>
            <w:shd w:val="clear" w:color="auto" w:fill="auto"/>
            <w:vAlign w:val="center"/>
          </w:tcPr>
          <w:p w14:paraId="4CEE7CD7" w14:textId="77777777" w:rsidR="006D585A" w:rsidRPr="004D55FF" w:rsidRDefault="006D585A" w:rsidP="006D585A">
            <w:pPr>
              <w:pStyle w:val="In-tableHeading"/>
            </w:pPr>
            <w:r w:rsidRPr="004D55FF">
              <w:t>Utility (PFS, PPS)</w:t>
            </w:r>
          </w:p>
        </w:tc>
      </w:tr>
      <w:tr w:rsidR="006D585A" w:rsidRPr="00230861" w14:paraId="63946662" w14:textId="77777777" w:rsidTr="001053EF">
        <w:trPr>
          <w:cantSplit/>
          <w:trHeight w:val="1754"/>
        </w:trPr>
        <w:tc>
          <w:tcPr>
            <w:tcW w:w="821" w:type="pct"/>
            <w:shd w:val="clear" w:color="auto" w:fill="auto"/>
            <w:vAlign w:val="center"/>
          </w:tcPr>
          <w:p w14:paraId="26F8C910" w14:textId="6D64C2DA" w:rsidR="006D585A" w:rsidRPr="004D55FF" w:rsidRDefault="006D585A" w:rsidP="006D585A">
            <w:pPr>
              <w:pStyle w:val="TableText"/>
            </w:pPr>
            <w:r w:rsidRPr="004D55FF">
              <w:t xml:space="preserve">Utility from RADIANT-4 </w:t>
            </w:r>
          </w:p>
        </w:tc>
        <w:tc>
          <w:tcPr>
            <w:tcW w:w="567" w:type="pct"/>
            <w:vMerge w:val="restart"/>
            <w:shd w:val="clear" w:color="auto" w:fill="auto"/>
            <w:vAlign w:val="center"/>
          </w:tcPr>
          <w:p w14:paraId="314638D0" w14:textId="79D0795E" w:rsidR="006D585A" w:rsidRPr="004D55FF" w:rsidRDefault="006D585A" w:rsidP="006D585A">
            <w:pPr>
              <w:pStyle w:val="TableText"/>
            </w:pPr>
            <w:r w:rsidRPr="004D55FF">
              <w:t>0.77, 0.61</w:t>
            </w:r>
          </w:p>
        </w:tc>
        <w:tc>
          <w:tcPr>
            <w:tcW w:w="888" w:type="pct"/>
            <w:vMerge w:val="restart"/>
            <w:shd w:val="clear" w:color="auto" w:fill="auto"/>
            <w:vAlign w:val="center"/>
          </w:tcPr>
          <w:p w14:paraId="4A3415D0" w14:textId="711E4A2F" w:rsidR="006D585A" w:rsidRPr="00CC0CC2" w:rsidRDefault="006D585A" w:rsidP="006D585A">
            <w:pPr>
              <w:pStyle w:val="TableText"/>
            </w:pPr>
            <w:r w:rsidRPr="00B419E6">
              <w:t>PBO = $31,</w:t>
            </w:r>
            <w:r>
              <w:t>792</w:t>
            </w:r>
          </w:p>
          <w:p w14:paraId="4B359AA3" w14:textId="3210ED34" w:rsidR="006D585A" w:rsidRPr="00CC0CC2" w:rsidRDefault="006D585A" w:rsidP="006D585A">
            <w:pPr>
              <w:pStyle w:val="TableText"/>
            </w:pPr>
            <w:r w:rsidRPr="00B419E6">
              <w:t>OCT = $2</w:t>
            </w:r>
            <w:r>
              <w:t>7,676</w:t>
            </w:r>
          </w:p>
          <w:p w14:paraId="627A4364" w14:textId="4E68AEBE" w:rsidR="006D585A" w:rsidRPr="00CC0CC2" w:rsidRDefault="006D585A" w:rsidP="006D585A">
            <w:pPr>
              <w:pStyle w:val="TableText"/>
            </w:pPr>
            <w:r w:rsidRPr="00B419E6">
              <w:t xml:space="preserve">LAN = </w:t>
            </w:r>
            <w:r w:rsidRPr="00CC0CC2">
              <w:t>$2</w:t>
            </w:r>
            <w:r>
              <w:t>2,621</w:t>
            </w:r>
          </w:p>
          <w:p w14:paraId="07784DEA" w14:textId="21049A79" w:rsidR="006D585A" w:rsidRPr="00CC0CC2" w:rsidRDefault="006D585A" w:rsidP="006D585A">
            <w:pPr>
              <w:pStyle w:val="TableText"/>
            </w:pPr>
            <w:r w:rsidRPr="00B419E6">
              <w:t>EVO = $2</w:t>
            </w:r>
            <w:r>
              <w:t>9,439</w:t>
            </w:r>
          </w:p>
          <w:p w14:paraId="657F4648" w14:textId="77777777" w:rsidR="006D585A" w:rsidRPr="004D55FF" w:rsidRDefault="006D585A" w:rsidP="006D585A">
            <w:pPr>
              <w:pStyle w:val="TableText"/>
            </w:pPr>
            <w:r w:rsidRPr="004D55FF">
              <w:t>SUN = Lutetium dominated</w:t>
            </w:r>
          </w:p>
          <w:p w14:paraId="5EB8245A" w14:textId="48A6D991" w:rsidR="006D585A" w:rsidRPr="004D55FF" w:rsidRDefault="006D585A" w:rsidP="006D585A">
            <w:pPr>
              <w:pStyle w:val="TableText"/>
            </w:pPr>
            <w:r w:rsidRPr="004D55FF">
              <w:t>OCT+EVO = $</w:t>
            </w:r>
            <w:r>
              <w:t>18,643</w:t>
            </w:r>
          </w:p>
        </w:tc>
        <w:tc>
          <w:tcPr>
            <w:tcW w:w="472" w:type="pct"/>
            <w:shd w:val="clear" w:color="auto" w:fill="auto"/>
            <w:vAlign w:val="center"/>
          </w:tcPr>
          <w:p w14:paraId="5957759F" w14:textId="6590E92A" w:rsidR="006D585A" w:rsidRPr="004D55FF" w:rsidRDefault="006D585A" w:rsidP="006D585A">
            <w:pPr>
              <w:pStyle w:val="TableText"/>
            </w:pPr>
            <w:r w:rsidRPr="004D55FF">
              <w:t>0.78, 0.73</w:t>
            </w:r>
          </w:p>
        </w:tc>
        <w:tc>
          <w:tcPr>
            <w:tcW w:w="944" w:type="pct"/>
            <w:shd w:val="clear" w:color="auto" w:fill="auto"/>
            <w:vAlign w:val="center"/>
          </w:tcPr>
          <w:p w14:paraId="0B48484E" w14:textId="77777777" w:rsidR="006D585A" w:rsidRPr="004D55FF" w:rsidRDefault="006D585A" w:rsidP="006D585A">
            <w:pPr>
              <w:pStyle w:val="TableText"/>
            </w:pPr>
            <w:r w:rsidRPr="004D55FF">
              <w:t>PBO = $36,719</w:t>
            </w:r>
          </w:p>
          <w:p w14:paraId="26FE5655" w14:textId="43F55FB3" w:rsidR="006D585A" w:rsidRPr="00504E6A" w:rsidRDefault="006D585A" w:rsidP="006D585A">
            <w:pPr>
              <w:pStyle w:val="TableText"/>
            </w:pPr>
            <w:r w:rsidRPr="00504E6A">
              <w:t>OCT = $3</w:t>
            </w:r>
            <w:r>
              <w:t>8,532</w:t>
            </w:r>
          </w:p>
          <w:p w14:paraId="0642BA1F" w14:textId="37652F91" w:rsidR="006D585A" w:rsidRPr="00504E6A" w:rsidRDefault="006D585A" w:rsidP="006D585A">
            <w:pPr>
              <w:pStyle w:val="TableText"/>
            </w:pPr>
            <w:r w:rsidRPr="00504E6A">
              <w:t>LAN = $3</w:t>
            </w:r>
            <w:r>
              <w:t>2,807</w:t>
            </w:r>
          </w:p>
          <w:p w14:paraId="48EAF66D" w14:textId="3FDEA9D7" w:rsidR="006D585A" w:rsidRPr="00504E6A" w:rsidRDefault="006D585A" w:rsidP="006D585A">
            <w:pPr>
              <w:pStyle w:val="TableText"/>
            </w:pPr>
            <w:r w:rsidRPr="00504E6A">
              <w:t>EVO = $3</w:t>
            </w:r>
            <w:r>
              <w:t>4,855</w:t>
            </w:r>
          </w:p>
          <w:p w14:paraId="52C2DFFE" w14:textId="77777777" w:rsidR="006D585A" w:rsidRPr="004D55FF" w:rsidRDefault="006D585A" w:rsidP="006D585A">
            <w:pPr>
              <w:pStyle w:val="TableText"/>
            </w:pPr>
            <w:r w:rsidRPr="004D55FF">
              <w:t>SUN = Lutetium dominated</w:t>
            </w:r>
          </w:p>
          <w:p w14:paraId="1917ED91" w14:textId="5C26609D" w:rsidR="006D585A" w:rsidRPr="004D55FF" w:rsidRDefault="006D585A" w:rsidP="006D585A">
            <w:pPr>
              <w:pStyle w:val="TableText"/>
            </w:pPr>
            <w:r w:rsidRPr="004D55FF">
              <w:t>OCT+EVO = $</w:t>
            </w:r>
            <w:r w:rsidRPr="00504E6A">
              <w:t>2</w:t>
            </w:r>
            <w:r>
              <w:t>1,145</w:t>
            </w:r>
          </w:p>
        </w:tc>
        <w:tc>
          <w:tcPr>
            <w:tcW w:w="472" w:type="pct"/>
            <w:shd w:val="clear" w:color="auto" w:fill="auto"/>
            <w:vAlign w:val="center"/>
          </w:tcPr>
          <w:p w14:paraId="4601826E" w14:textId="77777777" w:rsidR="006D585A" w:rsidRPr="004D55FF" w:rsidRDefault="006D585A" w:rsidP="006D585A">
            <w:pPr>
              <w:pStyle w:val="TableText"/>
            </w:pPr>
            <w:r w:rsidRPr="004D55FF">
              <w:t>N/A</w:t>
            </w:r>
          </w:p>
        </w:tc>
        <w:tc>
          <w:tcPr>
            <w:tcW w:w="836" w:type="pct"/>
            <w:shd w:val="clear" w:color="auto" w:fill="auto"/>
            <w:vAlign w:val="center"/>
          </w:tcPr>
          <w:p w14:paraId="42F59CFD" w14:textId="77777777" w:rsidR="006D585A" w:rsidRPr="004D55FF" w:rsidRDefault="006D585A" w:rsidP="006D585A">
            <w:pPr>
              <w:pStyle w:val="TableText"/>
            </w:pPr>
          </w:p>
        </w:tc>
      </w:tr>
      <w:tr w:rsidR="006D585A" w:rsidRPr="00230861" w14:paraId="61E55156" w14:textId="77777777" w:rsidTr="001053EF">
        <w:trPr>
          <w:cantSplit/>
          <w:trHeight w:val="579"/>
        </w:trPr>
        <w:tc>
          <w:tcPr>
            <w:tcW w:w="821" w:type="pct"/>
            <w:shd w:val="clear" w:color="auto" w:fill="auto"/>
            <w:vAlign w:val="center"/>
          </w:tcPr>
          <w:p w14:paraId="4F289A96" w14:textId="635CAECE" w:rsidR="006D585A" w:rsidRPr="004D55FF" w:rsidRDefault="006D585A" w:rsidP="006D585A">
            <w:pPr>
              <w:pStyle w:val="TableText"/>
            </w:pPr>
            <w:r w:rsidRPr="004D55FF">
              <w:t>Utility from Erasmus study (from NICE appraisal)</w:t>
            </w:r>
          </w:p>
        </w:tc>
        <w:tc>
          <w:tcPr>
            <w:tcW w:w="567" w:type="pct"/>
            <w:vMerge/>
            <w:shd w:val="clear" w:color="auto" w:fill="auto"/>
            <w:vAlign w:val="center"/>
          </w:tcPr>
          <w:p w14:paraId="63BF564A" w14:textId="77777777" w:rsidR="006D585A" w:rsidRPr="004D55FF" w:rsidRDefault="006D585A" w:rsidP="006D585A">
            <w:pPr>
              <w:pStyle w:val="TableText"/>
            </w:pPr>
          </w:p>
        </w:tc>
        <w:tc>
          <w:tcPr>
            <w:tcW w:w="888" w:type="pct"/>
            <w:vMerge/>
            <w:shd w:val="clear" w:color="auto" w:fill="auto"/>
            <w:vAlign w:val="center"/>
          </w:tcPr>
          <w:p w14:paraId="3E5E4101" w14:textId="77777777" w:rsidR="006D585A" w:rsidRPr="004D55FF" w:rsidRDefault="006D585A" w:rsidP="006D585A">
            <w:pPr>
              <w:pStyle w:val="TableText"/>
            </w:pPr>
          </w:p>
        </w:tc>
        <w:tc>
          <w:tcPr>
            <w:tcW w:w="472" w:type="pct"/>
            <w:shd w:val="clear" w:color="auto" w:fill="auto"/>
            <w:vAlign w:val="center"/>
          </w:tcPr>
          <w:p w14:paraId="40F0A153" w14:textId="2D3CF21D" w:rsidR="006D585A" w:rsidRPr="004D55FF" w:rsidRDefault="006D585A" w:rsidP="006D585A">
            <w:pPr>
              <w:pStyle w:val="TableText"/>
            </w:pPr>
            <w:r w:rsidRPr="004D55FF">
              <w:t>0.77, 0.73</w:t>
            </w:r>
          </w:p>
        </w:tc>
        <w:tc>
          <w:tcPr>
            <w:tcW w:w="944" w:type="pct"/>
            <w:shd w:val="clear" w:color="auto" w:fill="auto"/>
            <w:vAlign w:val="center"/>
          </w:tcPr>
          <w:p w14:paraId="6A69BE73" w14:textId="77777777" w:rsidR="006D585A" w:rsidRPr="004D55FF" w:rsidRDefault="006D585A" w:rsidP="006D585A">
            <w:pPr>
              <w:pStyle w:val="TableText"/>
            </w:pPr>
            <w:r w:rsidRPr="004D55FF">
              <w:t>PBO = $37,647</w:t>
            </w:r>
          </w:p>
          <w:p w14:paraId="0C3C19B3" w14:textId="47555A20" w:rsidR="006D585A" w:rsidRPr="00CC0CC2" w:rsidRDefault="006D585A" w:rsidP="006D585A">
            <w:pPr>
              <w:pStyle w:val="TableText"/>
            </w:pPr>
            <w:r w:rsidRPr="00B419E6">
              <w:t>OCT = $</w:t>
            </w:r>
            <w:r w:rsidRPr="00CC0CC2">
              <w:t>4</w:t>
            </w:r>
            <w:r>
              <w:t>0,285</w:t>
            </w:r>
          </w:p>
          <w:p w14:paraId="78B2A9E3" w14:textId="306F5777" w:rsidR="006D585A" w:rsidRPr="00CC0CC2" w:rsidRDefault="006D585A" w:rsidP="006D585A">
            <w:pPr>
              <w:pStyle w:val="TableText"/>
            </w:pPr>
            <w:r w:rsidRPr="00B419E6">
              <w:t>LAN = $</w:t>
            </w:r>
            <w:r w:rsidRPr="00CC0CC2">
              <w:t>3</w:t>
            </w:r>
            <w:r>
              <w:t>4,465</w:t>
            </w:r>
          </w:p>
          <w:p w14:paraId="792C5CB4" w14:textId="3A7B41E7" w:rsidR="006D585A" w:rsidRPr="00CC0CC2" w:rsidRDefault="006D585A" w:rsidP="006D585A">
            <w:pPr>
              <w:pStyle w:val="TableText"/>
            </w:pPr>
            <w:r w:rsidRPr="00B419E6">
              <w:t>EVO = $</w:t>
            </w:r>
            <w:r w:rsidRPr="00CC0CC2">
              <w:t>3</w:t>
            </w:r>
            <w:r>
              <w:t>5,821</w:t>
            </w:r>
          </w:p>
          <w:p w14:paraId="4AE2EDDF" w14:textId="77777777" w:rsidR="006D585A" w:rsidRPr="004D55FF" w:rsidRDefault="006D585A" w:rsidP="006D585A">
            <w:pPr>
              <w:pStyle w:val="TableText"/>
            </w:pPr>
            <w:r w:rsidRPr="004D55FF">
              <w:t>SUN = Lutetium dominated</w:t>
            </w:r>
          </w:p>
          <w:p w14:paraId="7ECC54B5" w14:textId="259C144F" w:rsidR="006D585A" w:rsidRPr="004D55FF" w:rsidRDefault="006D585A" w:rsidP="006D585A">
            <w:pPr>
              <w:pStyle w:val="TableText"/>
            </w:pPr>
            <w:r w:rsidRPr="004D55FF">
              <w:t>OCT+EVO = $</w:t>
            </w:r>
            <w:r>
              <w:t>21,643</w:t>
            </w:r>
          </w:p>
        </w:tc>
        <w:tc>
          <w:tcPr>
            <w:tcW w:w="472" w:type="pct"/>
            <w:shd w:val="clear" w:color="auto" w:fill="auto"/>
            <w:vAlign w:val="center"/>
          </w:tcPr>
          <w:p w14:paraId="7FDAA11B" w14:textId="77777777" w:rsidR="006D585A" w:rsidRPr="004D55FF" w:rsidRDefault="006D585A" w:rsidP="006D585A">
            <w:pPr>
              <w:pStyle w:val="TableText"/>
            </w:pPr>
            <w:r w:rsidRPr="004D55FF">
              <w:t>N/A</w:t>
            </w:r>
          </w:p>
        </w:tc>
        <w:tc>
          <w:tcPr>
            <w:tcW w:w="836" w:type="pct"/>
            <w:shd w:val="clear" w:color="auto" w:fill="auto"/>
            <w:vAlign w:val="center"/>
          </w:tcPr>
          <w:p w14:paraId="016384AB" w14:textId="77777777" w:rsidR="006D585A" w:rsidRPr="004D55FF" w:rsidRDefault="006D585A" w:rsidP="006D585A">
            <w:pPr>
              <w:pStyle w:val="TableText"/>
            </w:pPr>
          </w:p>
        </w:tc>
      </w:tr>
      <w:tr w:rsidR="00503672" w:rsidRPr="00230861" w14:paraId="0AB5CB66" w14:textId="77777777" w:rsidTr="00F46222">
        <w:trPr>
          <w:cantSplit/>
          <w:trHeight w:val="579"/>
        </w:trPr>
        <w:tc>
          <w:tcPr>
            <w:tcW w:w="5000" w:type="pct"/>
            <w:gridSpan w:val="7"/>
            <w:shd w:val="clear" w:color="auto" w:fill="auto"/>
            <w:vAlign w:val="center"/>
          </w:tcPr>
          <w:p w14:paraId="69C376E9" w14:textId="77777777" w:rsidR="00503672" w:rsidRPr="004D55FF" w:rsidRDefault="00503672" w:rsidP="00F46222">
            <w:pPr>
              <w:pStyle w:val="In-tableHeading"/>
            </w:pPr>
            <w:r>
              <w:t>Time horizon</w:t>
            </w:r>
          </w:p>
        </w:tc>
      </w:tr>
      <w:tr w:rsidR="00503672" w:rsidRPr="00230861" w14:paraId="6254E889" w14:textId="77777777" w:rsidTr="00F46222">
        <w:trPr>
          <w:cantSplit/>
          <w:trHeight w:val="579"/>
        </w:trPr>
        <w:tc>
          <w:tcPr>
            <w:tcW w:w="821" w:type="pct"/>
            <w:shd w:val="clear" w:color="auto" w:fill="auto"/>
            <w:vAlign w:val="center"/>
          </w:tcPr>
          <w:p w14:paraId="7B48BA1A" w14:textId="77777777" w:rsidR="00503672" w:rsidRPr="004D55FF" w:rsidRDefault="00503672" w:rsidP="00F46222">
            <w:pPr>
              <w:pStyle w:val="TableText"/>
            </w:pPr>
            <w:r>
              <w:t>Model time horizon</w:t>
            </w:r>
          </w:p>
        </w:tc>
        <w:tc>
          <w:tcPr>
            <w:tcW w:w="567" w:type="pct"/>
            <w:shd w:val="clear" w:color="auto" w:fill="auto"/>
            <w:vAlign w:val="center"/>
          </w:tcPr>
          <w:p w14:paraId="30188489" w14:textId="77777777" w:rsidR="00503672" w:rsidRPr="004D55FF" w:rsidRDefault="00503672" w:rsidP="00F46222">
            <w:pPr>
              <w:pStyle w:val="TableText"/>
            </w:pPr>
            <w:r>
              <w:t>Lifetime</w:t>
            </w:r>
          </w:p>
        </w:tc>
        <w:tc>
          <w:tcPr>
            <w:tcW w:w="888" w:type="pct"/>
            <w:shd w:val="clear" w:color="auto" w:fill="auto"/>
            <w:vAlign w:val="center"/>
          </w:tcPr>
          <w:p w14:paraId="37A156CF" w14:textId="77777777" w:rsidR="00503672" w:rsidRPr="00CC0CC2" w:rsidRDefault="00503672" w:rsidP="00F46222">
            <w:pPr>
              <w:pStyle w:val="TableText"/>
            </w:pPr>
            <w:r w:rsidRPr="00B419E6">
              <w:t>PBO = $31,</w:t>
            </w:r>
            <w:r>
              <w:t>792</w:t>
            </w:r>
          </w:p>
          <w:p w14:paraId="438C1146" w14:textId="77777777" w:rsidR="00503672" w:rsidRPr="00CC0CC2" w:rsidRDefault="00503672" w:rsidP="00F46222">
            <w:pPr>
              <w:pStyle w:val="TableText"/>
            </w:pPr>
            <w:r w:rsidRPr="00B419E6">
              <w:t>OCT = $2</w:t>
            </w:r>
            <w:r>
              <w:t>7,676</w:t>
            </w:r>
          </w:p>
          <w:p w14:paraId="6F7F8E9B" w14:textId="77777777" w:rsidR="00503672" w:rsidRPr="00CC0CC2" w:rsidRDefault="00503672" w:rsidP="00F46222">
            <w:pPr>
              <w:pStyle w:val="TableText"/>
            </w:pPr>
            <w:r w:rsidRPr="00B419E6">
              <w:t xml:space="preserve">LAN = </w:t>
            </w:r>
            <w:r w:rsidRPr="00CC0CC2">
              <w:t>$2</w:t>
            </w:r>
            <w:r>
              <w:t>2,621</w:t>
            </w:r>
          </w:p>
          <w:p w14:paraId="0B8ECAE5" w14:textId="77777777" w:rsidR="00503672" w:rsidRPr="00CC0CC2" w:rsidRDefault="00503672" w:rsidP="00F46222">
            <w:pPr>
              <w:pStyle w:val="TableText"/>
            </w:pPr>
            <w:r w:rsidRPr="00B419E6">
              <w:t xml:space="preserve">EVO = </w:t>
            </w:r>
            <w:r w:rsidRPr="00816EEB">
              <w:t>$29,439</w:t>
            </w:r>
          </w:p>
          <w:p w14:paraId="000A6CF7" w14:textId="77777777" w:rsidR="00503672" w:rsidRPr="004D55FF" w:rsidRDefault="00503672" w:rsidP="00F46222">
            <w:pPr>
              <w:pStyle w:val="TableText"/>
            </w:pPr>
            <w:r w:rsidRPr="004D55FF">
              <w:t>SUN = Lutetium dominated</w:t>
            </w:r>
          </w:p>
          <w:p w14:paraId="2B02F4EE" w14:textId="77777777" w:rsidR="00503672" w:rsidRPr="004D55FF" w:rsidRDefault="00503672" w:rsidP="00F46222">
            <w:pPr>
              <w:pStyle w:val="TableText"/>
            </w:pPr>
            <w:r w:rsidRPr="004D55FF">
              <w:t>OCT+EVO = $</w:t>
            </w:r>
            <w:r>
              <w:t>18,643</w:t>
            </w:r>
          </w:p>
        </w:tc>
        <w:tc>
          <w:tcPr>
            <w:tcW w:w="472" w:type="pct"/>
            <w:shd w:val="clear" w:color="auto" w:fill="auto"/>
            <w:vAlign w:val="center"/>
          </w:tcPr>
          <w:p w14:paraId="2B7B26F4" w14:textId="51D67978" w:rsidR="00503672" w:rsidRPr="00EF2D54" w:rsidRDefault="00503672" w:rsidP="00F46222">
            <w:pPr>
              <w:pStyle w:val="TableText"/>
              <w:rPr>
                <w:vertAlign w:val="superscript"/>
              </w:rPr>
            </w:pPr>
            <w:r>
              <w:t xml:space="preserve">10 </w:t>
            </w:r>
            <w:proofErr w:type="spellStart"/>
            <w:r>
              <w:t>years</w:t>
            </w:r>
            <w:r w:rsidR="0044226D">
              <w:rPr>
                <w:vertAlign w:val="superscript"/>
              </w:rPr>
              <w:t>a</w:t>
            </w:r>
            <w:proofErr w:type="spellEnd"/>
          </w:p>
        </w:tc>
        <w:tc>
          <w:tcPr>
            <w:tcW w:w="944" w:type="pct"/>
            <w:shd w:val="clear" w:color="auto" w:fill="auto"/>
            <w:vAlign w:val="center"/>
          </w:tcPr>
          <w:p w14:paraId="2E92339C" w14:textId="77777777" w:rsidR="00503672" w:rsidRDefault="00503672" w:rsidP="00F46222">
            <w:pPr>
              <w:pStyle w:val="TableText"/>
            </w:pPr>
            <w:r>
              <w:t>PBO = $38,412</w:t>
            </w:r>
          </w:p>
          <w:p w14:paraId="39D2C0C3" w14:textId="77777777" w:rsidR="00503672" w:rsidRDefault="00503672" w:rsidP="00F46222">
            <w:pPr>
              <w:pStyle w:val="TableText"/>
            </w:pPr>
            <w:r>
              <w:t>OCT = $34,282</w:t>
            </w:r>
          </w:p>
          <w:p w14:paraId="6539D18E" w14:textId="77777777" w:rsidR="00503672" w:rsidRDefault="00503672" w:rsidP="00F46222">
            <w:pPr>
              <w:pStyle w:val="TableText"/>
            </w:pPr>
            <w:r>
              <w:t>LAN = $27,281</w:t>
            </w:r>
          </w:p>
          <w:p w14:paraId="762910D2" w14:textId="77777777" w:rsidR="00503672" w:rsidRDefault="00503672" w:rsidP="00F46222">
            <w:pPr>
              <w:pStyle w:val="TableText"/>
            </w:pPr>
            <w:r>
              <w:t>EVO = $36,046</w:t>
            </w:r>
          </w:p>
          <w:p w14:paraId="20773922" w14:textId="77777777" w:rsidR="00503672" w:rsidRDefault="00503672" w:rsidP="00F46222">
            <w:pPr>
              <w:pStyle w:val="TableText"/>
            </w:pPr>
            <w:r>
              <w:t>SUN = Lutetium dominated</w:t>
            </w:r>
          </w:p>
          <w:p w14:paraId="18D7961C" w14:textId="77777777" w:rsidR="00503672" w:rsidRPr="004D55FF" w:rsidRDefault="00503672" w:rsidP="00F46222">
            <w:pPr>
              <w:pStyle w:val="TableText"/>
            </w:pPr>
            <w:r>
              <w:t>OCT+EVO = $21,987</w:t>
            </w:r>
          </w:p>
        </w:tc>
        <w:tc>
          <w:tcPr>
            <w:tcW w:w="472" w:type="pct"/>
            <w:shd w:val="clear" w:color="auto" w:fill="auto"/>
            <w:vAlign w:val="center"/>
          </w:tcPr>
          <w:p w14:paraId="21A671F6" w14:textId="77777777" w:rsidR="00503672" w:rsidRPr="004D55FF" w:rsidRDefault="00503672" w:rsidP="00F46222">
            <w:pPr>
              <w:pStyle w:val="TableText"/>
            </w:pPr>
            <w:r>
              <w:t>20 years</w:t>
            </w:r>
          </w:p>
        </w:tc>
        <w:tc>
          <w:tcPr>
            <w:tcW w:w="836" w:type="pct"/>
            <w:shd w:val="clear" w:color="auto" w:fill="auto"/>
            <w:vAlign w:val="center"/>
          </w:tcPr>
          <w:p w14:paraId="096EB047" w14:textId="77777777" w:rsidR="00503672" w:rsidRDefault="00503672" w:rsidP="00F46222">
            <w:pPr>
              <w:pStyle w:val="TableText"/>
            </w:pPr>
            <w:r>
              <w:t>PBO = $33,206</w:t>
            </w:r>
          </w:p>
          <w:p w14:paraId="766D5953" w14:textId="77777777" w:rsidR="00503672" w:rsidRDefault="00503672" w:rsidP="00F46222">
            <w:pPr>
              <w:pStyle w:val="TableText"/>
            </w:pPr>
            <w:r>
              <w:t>OCT = $29,061</w:t>
            </w:r>
          </w:p>
          <w:p w14:paraId="5C08B492" w14:textId="77777777" w:rsidR="00503672" w:rsidRDefault="00503672" w:rsidP="00F46222">
            <w:pPr>
              <w:pStyle w:val="TableText"/>
            </w:pPr>
            <w:r>
              <w:t>LAN = $23,601</w:t>
            </w:r>
          </w:p>
          <w:p w14:paraId="550422C6" w14:textId="77777777" w:rsidR="00503672" w:rsidRDefault="00503672" w:rsidP="00F46222">
            <w:pPr>
              <w:pStyle w:val="TableText"/>
            </w:pPr>
            <w:r>
              <w:t>EVO = $30,833</w:t>
            </w:r>
          </w:p>
          <w:p w14:paraId="1AB6E8B0" w14:textId="77777777" w:rsidR="00503672" w:rsidRDefault="00503672" w:rsidP="00F46222">
            <w:pPr>
              <w:pStyle w:val="TableText"/>
            </w:pPr>
            <w:r>
              <w:t>SUN = Lutetium dominated</w:t>
            </w:r>
          </w:p>
          <w:p w14:paraId="76096AD8" w14:textId="77777777" w:rsidR="00503672" w:rsidRPr="004D55FF" w:rsidRDefault="00503672" w:rsidP="00F46222">
            <w:pPr>
              <w:pStyle w:val="TableText"/>
            </w:pPr>
            <w:r>
              <w:t>OCT+EVO = $19,349</w:t>
            </w:r>
          </w:p>
        </w:tc>
      </w:tr>
      <w:tr w:rsidR="000968FA" w:rsidRPr="00230861" w14:paraId="0FB777D6" w14:textId="77777777" w:rsidTr="000968FA">
        <w:trPr>
          <w:cantSplit/>
          <w:trHeight w:val="579"/>
        </w:trPr>
        <w:tc>
          <w:tcPr>
            <w:tcW w:w="5000" w:type="pct"/>
            <w:gridSpan w:val="7"/>
            <w:shd w:val="clear" w:color="auto" w:fill="auto"/>
            <w:vAlign w:val="center"/>
          </w:tcPr>
          <w:p w14:paraId="27EB7A16" w14:textId="1DD1326C" w:rsidR="000968FA" w:rsidRPr="00994611" w:rsidRDefault="00A0750F" w:rsidP="00F46222">
            <w:pPr>
              <w:pStyle w:val="TableText"/>
              <w:rPr>
                <w:i/>
                <w:iCs/>
              </w:rPr>
            </w:pPr>
            <w:r w:rsidRPr="00994611">
              <w:rPr>
                <w:i/>
                <w:iCs/>
              </w:rPr>
              <w:t>Number of cycles of</w:t>
            </w:r>
            <w:r w:rsidR="000968FA" w:rsidRPr="00994611">
              <w:rPr>
                <w:i/>
                <w:iCs/>
              </w:rPr>
              <w:t xml:space="preserve"> </w:t>
            </w:r>
            <w:r w:rsidRPr="00994611">
              <w:rPr>
                <w:i/>
                <w:iCs/>
                <w:vertAlign w:val="superscript"/>
              </w:rPr>
              <w:t>177</w:t>
            </w:r>
            <w:r w:rsidRPr="00994611">
              <w:rPr>
                <w:i/>
                <w:iCs/>
              </w:rPr>
              <w:t xml:space="preserve">Lu </w:t>
            </w:r>
            <w:r w:rsidR="000968FA" w:rsidRPr="00994611">
              <w:rPr>
                <w:i/>
                <w:iCs/>
              </w:rPr>
              <w:t>PRRT treatment</w:t>
            </w:r>
          </w:p>
        </w:tc>
      </w:tr>
      <w:tr w:rsidR="000968FA" w:rsidRPr="00230861" w14:paraId="1195D962" w14:textId="77777777" w:rsidTr="00F46222">
        <w:trPr>
          <w:cantSplit/>
          <w:trHeight w:val="579"/>
        </w:trPr>
        <w:tc>
          <w:tcPr>
            <w:tcW w:w="821" w:type="pct"/>
            <w:shd w:val="clear" w:color="auto" w:fill="auto"/>
            <w:vAlign w:val="center"/>
          </w:tcPr>
          <w:p w14:paraId="0C7CF80E" w14:textId="79538BB3" w:rsidR="000968FA" w:rsidRPr="00994611" w:rsidRDefault="005D06E8" w:rsidP="00F46222">
            <w:pPr>
              <w:pStyle w:val="TableText"/>
              <w:rPr>
                <w:i/>
                <w:iCs/>
              </w:rPr>
            </w:pPr>
            <w:r w:rsidRPr="00994611">
              <w:rPr>
                <w:i/>
                <w:iCs/>
              </w:rPr>
              <w:lastRenderedPageBreak/>
              <w:t>Time on treatment</w:t>
            </w:r>
          </w:p>
        </w:tc>
        <w:tc>
          <w:tcPr>
            <w:tcW w:w="567" w:type="pct"/>
            <w:shd w:val="clear" w:color="auto" w:fill="auto"/>
            <w:vAlign w:val="center"/>
          </w:tcPr>
          <w:p w14:paraId="3144E41D" w14:textId="5013FFF5" w:rsidR="000968FA" w:rsidRPr="00994611" w:rsidRDefault="004231DC" w:rsidP="00F46222">
            <w:pPr>
              <w:pStyle w:val="TableText"/>
              <w:rPr>
                <w:i/>
                <w:iCs/>
              </w:rPr>
            </w:pPr>
            <w:r w:rsidRPr="00994611">
              <w:rPr>
                <w:i/>
                <w:iCs/>
              </w:rPr>
              <w:t>6.5 months</w:t>
            </w:r>
            <w:r w:rsidR="00810809" w:rsidRPr="00994611">
              <w:rPr>
                <w:i/>
                <w:iCs/>
              </w:rPr>
              <w:t xml:space="preserve"> (3.5 cycles)</w:t>
            </w:r>
          </w:p>
        </w:tc>
        <w:tc>
          <w:tcPr>
            <w:tcW w:w="888" w:type="pct"/>
            <w:shd w:val="clear" w:color="auto" w:fill="auto"/>
            <w:vAlign w:val="center"/>
          </w:tcPr>
          <w:p w14:paraId="6769108C" w14:textId="77777777" w:rsidR="005D06E8" w:rsidRPr="00994611" w:rsidRDefault="005D06E8" w:rsidP="005D06E8">
            <w:pPr>
              <w:pStyle w:val="TableText"/>
              <w:rPr>
                <w:i/>
                <w:iCs/>
              </w:rPr>
            </w:pPr>
            <w:r w:rsidRPr="00994611">
              <w:rPr>
                <w:i/>
                <w:iCs/>
              </w:rPr>
              <w:t>PBO = $31,792</w:t>
            </w:r>
          </w:p>
          <w:p w14:paraId="44ACA945" w14:textId="77777777" w:rsidR="005D06E8" w:rsidRPr="00994611" w:rsidRDefault="005D06E8" w:rsidP="005D06E8">
            <w:pPr>
              <w:pStyle w:val="TableText"/>
              <w:rPr>
                <w:i/>
                <w:iCs/>
              </w:rPr>
            </w:pPr>
            <w:r w:rsidRPr="00994611">
              <w:rPr>
                <w:i/>
                <w:iCs/>
              </w:rPr>
              <w:t>OCT = $27,676</w:t>
            </w:r>
          </w:p>
          <w:p w14:paraId="2EE690D0" w14:textId="77777777" w:rsidR="005D06E8" w:rsidRPr="00994611" w:rsidRDefault="005D06E8" w:rsidP="005D06E8">
            <w:pPr>
              <w:pStyle w:val="TableText"/>
              <w:rPr>
                <w:i/>
                <w:iCs/>
              </w:rPr>
            </w:pPr>
            <w:r w:rsidRPr="00994611">
              <w:rPr>
                <w:i/>
                <w:iCs/>
              </w:rPr>
              <w:t>LAN = $22,621</w:t>
            </w:r>
          </w:p>
          <w:p w14:paraId="5E4E3FBF" w14:textId="77777777" w:rsidR="005D06E8" w:rsidRPr="00994611" w:rsidRDefault="005D06E8" w:rsidP="005D06E8">
            <w:pPr>
              <w:pStyle w:val="TableText"/>
              <w:rPr>
                <w:i/>
                <w:iCs/>
              </w:rPr>
            </w:pPr>
            <w:r w:rsidRPr="00994611">
              <w:rPr>
                <w:i/>
                <w:iCs/>
              </w:rPr>
              <w:t>EVO = $29,439</w:t>
            </w:r>
          </w:p>
          <w:p w14:paraId="7AF06776" w14:textId="77777777" w:rsidR="005D06E8" w:rsidRPr="00994611" w:rsidRDefault="005D06E8" w:rsidP="005D06E8">
            <w:pPr>
              <w:pStyle w:val="TableText"/>
              <w:rPr>
                <w:i/>
                <w:iCs/>
              </w:rPr>
            </w:pPr>
            <w:r w:rsidRPr="00994611">
              <w:rPr>
                <w:i/>
                <w:iCs/>
              </w:rPr>
              <w:t>SUN = Lutetium dominated</w:t>
            </w:r>
          </w:p>
          <w:p w14:paraId="3AEFFAC3" w14:textId="73BE1B57" w:rsidR="000968FA" w:rsidRPr="00994611" w:rsidRDefault="005D06E8" w:rsidP="005D06E8">
            <w:pPr>
              <w:pStyle w:val="TableText"/>
              <w:rPr>
                <w:i/>
                <w:iCs/>
              </w:rPr>
            </w:pPr>
            <w:r w:rsidRPr="00994611">
              <w:rPr>
                <w:i/>
                <w:iCs/>
              </w:rPr>
              <w:t>OCT+EVO = $18,643</w:t>
            </w:r>
          </w:p>
        </w:tc>
        <w:tc>
          <w:tcPr>
            <w:tcW w:w="472" w:type="pct"/>
            <w:shd w:val="clear" w:color="auto" w:fill="auto"/>
            <w:vAlign w:val="center"/>
          </w:tcPr>
          <w:p w14:paraId="2373D698" w14:textId="29A376DE" w:rsidR="000968FA" w:rsidRPr="00994611" w:rsidRDefault="005D06E8" w:rsidP="00F46222">
            <w:pPr>
              <w:pStyle w:val="TableText"/>
              <w:rPr>
                <w:i/>
                <w:iCs/>
              </w:rPr>
            </w:pPr>
            <w:r w:rsidRPr="00994611">
              <w:rPr>
                <w:i/>
                <w:iCs/>
              </w:rPr>
              <w:t>NA</w:t>
            </w:r>
          </w:p>
        </w:tc>
        <w:tc>
          <w:tcPr>
            <w:tcW w:w="944" w:type="pct"/>
            <w:shd w:val="clear" w:color="auto" w:fill="auto"/>
            <w:vAlign w:val="center"/>
          </w:tcPr>
          <w:p w14:paraId="2DFC5133" w14:textId="5F075FF5" w:rsidR="000968FA" w:rsidRPr="00994611" w:rsidRDefault="005D06E8" w:rsidP="00F46222">
            <w:pPr>
              <w:pStyle w:val="TableText"/>
              <w:rPr>
                <w:i/>
                <w:iCs/>
              </w:rPr>
            </w:pPr>
            <w:r w:rsidRPr="00994611">
              <w:rPr>
                <w:i/>
                <w:iCs/>
              </w:rPr>
              <w:t>NA</w:t>
            </w:r>
          </w:p>
        </w:tc>
        <w:tc>
          <w:tcPr>
            <w:tcW w:w="472" w:type="pct"/>
            <w:shd w:val="clear" w:color="auto" w:fill="auto"/>
            <w:vAlign w:val="center"/>
          </w:tcPr>
          <w:p w14:paraId="43C3CC0C" w14:textId="2AA80FAC" w:rsidR="000968FA" w:rsidRPr="00994611" w:rsidRDefault="00810809" w:rsidP="00F46222">
            <w:pPr>
              <w:pStyle w:val="TableText"/>
              <w:rPr>
                <w:i/>
                <w:iCs/>
              </w:rPr>
            </w:pPr>
            <w:r w:rsidRPr="00994611">
              <w:rPr>
                <w:i/>
                <w:iCs/>
              </w:rPr>
              <w:t>8 months (4 cycles)</w:t>
            </w:r>
          </w:p>
        </w:tc>
        <w:tc>
          <w:tcPr>
            <w:tcW w:w="836" w:type="pct"/>
            <w:shd w:val="clear" w:color="auto" w:fill="auto"/>
            <w:vAlign w:val="center"/>
          </w:tcPr>
          <w:p w14:paraId="7A3E7F22" w14:textId="34DFADD9" w:rsidR="00810809" w:rsidRPr="00994611" w:rsidRDefault="00810809" w:rsidP="00810809">
            <w:pPr>
              <w:pStyle w:val="TableText"/>
              <w:rPr>
                <w:i/>
                <w:iCs/>
              </w:rPr>
            </w:pPr>
            <w:r w:rsidRPr="00994611">
              <w:rPr>
                <w:i/>
                <w:iCs/>
              </w:rPr>
              <w:t>PBO = $38,344</w:t>
            </w:r>
          </w:p>
          <w:p w14:paraId="4AA02A18" w14:textId="297ADABF" w:rsidR="00810809" w:rsidRPr="00994611" w:rsidRDefault="00810809" w:rsidP="00810809">
            <w:pPr>
              <w:pStyle w:val="TableText"/>
              <w:rPr>
                <w:i/>
                <w:iCs/>
              </w:rPr>
            </w:pPr>
            <w:r w:rsidRPr="00994611">
              <w:rPr>
                <w:i/>
                <w:iCs/>
              </w:rPr>
              <w:t>OCT = $39,539</w:t>
            </w:r>
          </w:p>
          <w:p w14:paraId="7D7BC68A" w14:textId="03132F5B" w:rsidR="00810809" w:rsidRPr="00994611" w:rsidRDefault="00810809" w:rsidP="00810809">
            <w:pPr>
              <w:pStyle w:val="TableText"/>
              <w:rPr>
                <w:i/>
                <w:iCs/>
              </w:rPr>
            </w:pPr>
            <w:r w:rsidRPr="00994611">
              <w:rPr>
                <w:i/>
                <w:iCs/>
              </w:rPr>
              <w:t>LAN = $33,581</w:t>
            </w:r>
          </w:p>
          <w:p w14:paraId="107C8496" w14:textId="1998E899" w:rsidR="00810809" w:rsidRPr="00994611" w:rsidRDefault="00810809" w:rsidP="00810809">
            <w:pPr>
              <w:pStyle w:val="TableText"/>
              <w:rPr>
                <w:i/>
                <w:iCs/>
              </w:rPr>
            </w:pPr>
            <w:r w:rsidRPr="00994611">
              <w:rPr>
                <w:i/>
                <w:iCs/>
              </w:rPr>
              <w:t>EVO = $37</w:t>
            </w:r>
            <w:r w:rsidR="007C098F" w:rsidRPr="00994611">
              <w:rPr>
                <w:i/>
                <w:iCs/>
              </w:rPr>
              <w:t>,631</w:t>
            </w:r>
          </w:p>
          <w:p w14:paraId="13F72A10" w14:textId="77777777" w:rsidR="00810809" w:rsidRPr="00994611" w:rsidRDefault="00810809" w:rsidP="00810809">
            <w:pPr>
              <w:pStyle w:val="TableText"/>
              <w:rPr>
                <w:i/>
                <w:iCs/>
              </w:rPr>
            </w:pPr>
            <w:r w:rsidRPr="00994611">
              <w:rPr>
                <w:i/>
                <w:iCs/>
              </w:rPr>
              <w:t>SUN = Lutetium dominated</w:t>
            </w:r>
          </w:p>
          <w:p w14:paraId="4977BCE1" w14:textId="51858C84" w:rsidR="000968FA" w:rsidRPr="00994611" w:rsidRDefault="00810809" w:rsidP="00810809">
            <w:pPr>
              <w:pStyle w:val="TableText"/>
              <w:rPr>
                <w:i/>
                <w:iCs/>
              </w:rPr>
            </w:pPr>
            <w:r w:rsidRPr="00994611">
              <w:rPr>
                <w:i/>
                <w:iCs/>
              </w:rPr>
              <w:t>OCT+EVO = $</w:t>
            </w:r>
            <w:r w:rsidR="007C098F" w:rsidRPr="00994611">
              <w:rPr>
                <w:i/>
                <w:iCs/>
              </w:rPr>
              <w:t>27,136</w:t>
            </w:r>
          </w:p>
        </w:tc>
      </w:tr>
      <w:tr w:rsidR="000C058F" w:rsidRPr="00230861" w14:paraId="2C15867F" w14:textId="77777777" w:rsidTr="00F46222">
        <w:trPr>
          <w:cantSplit/>
          <w:trHeight w:val="579"/>
        </w:trPr>
        <w:tc>
          <w:tcPr>
            <w:tcW w:w="821" w:type="pct"/>
            <w:shd w:val="clear" w:color="auto" w:fill="auto"/>
            <w:vAlign w:val="center"/>
          </w:tcPr>
          <w:p w14:paraId="6846F32C" w14:textId="519968D1" w:rsidR="000C058F" w:rsidRPr="000C058F" w:rsidRDefault="00D42F27" w:rsidP="00F46222">
            <w:pPr>
              <w:pStyle w:val="TableText"/>
              <w:rPr>
                <w:i/>
                <w:iCs/>
              </w:rPr>
            </w:pPr>
            <w:r>
              <w:rPr>
                <w:i/>
                <w:iCs/>
              </w:rPr>
              <w:t>Progression</w:t>
            </w:r>
            <w:r w:rsidR="00F468FF">
              <w:rPr>
                <w:i/>
                <w:iCs/>
              </w:rPr>
              <w:t xml:space="preserve"> / </w:t>
            </w:r>
            <w:r>
              <w:rPr>
                <w:i/>
                <w:iCs/>
              </w:rPr>
              <w:t>c</w:t>
            </w:r>
            <w:r w:rsidR="00F468FF">
              <w:rPr>
                <w:i/>
                <w:iCs/>
              </w:rPr>
              <w:t>onsolidation cycles</w:t>
            </w:r>
          </w:p>
        </w:tc>
        <w:tc>
          <w:tcPr>
            <w:tcW w:w="567" w:type="pct"/>
            <w:shd w:val="clear" w:color="auto" w:fill="auto"/>
            <w:vAlign w:val="center"/>
          </w:tcPr>
          <w:p w14:paraId="04EBD8AC" w14:textId="449A3EFF" w:rsidR="000C058F" w:rsidRPr="000C058F" w:rsidRDefault="00A65271" w:rsidP="00F46222">
            <w:pPr>
              <w:pStyle w:val="TableText"/>
              <w:rPr>
                <w:i/>
                <w:iCs/>
              </w:rPr>
            </w:pPr>
            <w:r>
              <w:rPr>
                <w:i/>
                <w:iCs/>
              </w:rPr>
              <w:t>0</w:t>
            </w:r>
          </w:p>
        </w:tc>
        <w:tc>
          <w:tcPr>
            <w:tcW w:w="888" w:type="pct"/>
            <w:shd w:val="clear" w:color="auto" w:fill="auto"/>
            <w:vAlign w:val="center"/>
          </w:tcPr>
          <w:p w14:paraId="6585780B" w14:textId="77777777" w:rsidR="00A65271" w:rsidRPr="0088514D" w:rsidRDefault="00A65271" w:rsidP="00A65271">
            <w:pPr>
              <w:pStyle w:val="TableText"/>
              <w:rPr>
                <w:i/>
                <w:iCs/>
              </w:rPr>
            </w:pPr>
            <w:r w:rsidRPr="0088514D">
              <w:rPr>
                <w:i/>
                <w:iCs/>
              </w:rPr>
              <w:t>PBO = $31,792</w:t>
            </w:r>
          </w:p>
          <w:p w14:paraId="4C5B3C40" w14:textId="77777777" w:rsidR="00A65271" w:rsidRPr="0088514D" w:rsidRDefault="00A65271" w:rsidP="00A65271">
            <w:pPr>
              <w:pStyle w:val="TableText"/>
              <w:rPr>
                <w:i/>
                <w:iCs/>
              </w:rPr>
            </w:pPr>
            <w:r w:rsidRPr="0088514D">
              <w:rPr>
                <w:i/>
                <w:iCs/>
              </w:rPr>
              <w:t>OCT = $27,676</w:t>
            </w:r>
          </w:p>
          <w:p w14:paraId="63233F8F" w14:textId="77777777" w:rsidR="00A65271" w:rsidRPr="0088514D" w:rsidRDefault="00A65271" w:rsidP="00A65271">
            <w:pPr>
              <w:pStyle w:val="TableText"/>
              <w:rPr>
                <w:i/>
                <w:iCs/>
              </w:rPr>
            </w:pPr>
            <w:r w:rsidRPr="0088514D">
              <w:rPr>
                <w:i/>
                <w:iCs/>
              </w:rPr>
              <w:t>LAN = $22,621</w:t>
            </w:r>
          </w:p>
          <w:p w14:paraId="5A4A48C2" w14:textId="77777777" w:rsidR="00A65271" w:rsidRPr="0088514D" w:rsidRDefault="00A65271" w:rsidP="00A65271">
            <w:pPr>
              <w:pStyle w:val="TableText"/>
              <w:rPr>
                <w:i/>
                <w:iCs/>
              </w:rPr>
            </w:pPr>
            <w:r w:rsidRPr="0088514D">
              <w:rPr>
                <w:i/>
                <w:iCs/>
              </w:rPr>
              <w:t>EVO = $29,439</w:t>
            </w:r>
          </w:p>
          <w:p w14:paraId="6ED62552" w14:textId="77777777" w:rsidR="00A65271" w:rsidRPr="0088514D" w:rsidRDefault="00A65271" w:rsidP="00A65271">
            <w:pPr>
              <w:pStyle w:val="TableText"/>
              <w:rPr>
                <w:i/>
                <w:iCs/>
              </w:rPr>
            </w:pPr>
            <w:r w:rsidRPr="0088514D">
              <w:rPr>
                <w:i/>
                <w:iCs/>
              </w:rPr>
              <w:t>SUN = Lutetium dominated</w:t>
            </w:r>
          </w:p>
          <w:p w14:paraId="66E3F15C" w14:textId="2862BBBE" w:rsidR="000C058F" w:rsidRPr="000C058F" w:rsidRDefault="00A65271" w:rsidP="00A65271">
            <w:pPr>
              <w:pStyle w:val="TableText"/>
              <w:rPr>
                <w:i/>
                <w:iCs/>
              </w:rPr>
            </w:pPr>
            <w:r w:rsidRPr="0088514D">
              <w:rPr>
                <w:i/>
                <w:iCs/>
              </w:rPr>
              <w:t>OCT+EVO = $18,643</w:t>
            </w:r>
          </w:p>
        </w:tc>
        <w:tc>
          <w:tcPr>
            <w:tcW w:w="472" w:type="pct"/>
            <w:shd w:val="clear" w:color="auto" w:fill="auto"/>
            <w:vAlign w:val="center"/>
          </w:tcPr>
          <w:p w14:paraId="51AF3D13" w14:textId="208F43CA" w:rsidR="000C058F" w:rsidRPr="000C058F" w:rsidRDefault="00A65271" w:rsidP="00F46222">
            <w:pPr>
              <w:pStyle w:val="TableText"/>
              <w:rPr>
                <w:i/>
                <w:iCs/>
              </w:rPr>
            </w:pPr>
            <w:r>
              <w:rPr>
                <w:i/>
                <w:iCs/>
              </w:rPr>
              <w:t>NA</w:t>
            </w:r>
          </w:p>
        </w:tc>
        <w:tc>
          <w:tcPr>
            <w:tcW w:w="944" w:type="pct"/>
            <w:shd w:val="clear" w:color="auto" w:fill="auto"/>
            <w:vAlign w:val="center"/>
          </w:tcPr>
          <w:p w14:paraId="4AC6D5E6" w14:textId="6A9541FA" w:rsidR="000C058F" w:rsidRPr="000C058F" w:rsidRDefault="00A65271" w:rsidP="00F46222">
            <w:pPr>
              <w:pStyle w:val="TableText"/>
              <w:rPr>
                <w:i/>
                <w:iCs/>
              </w:rPr>
            </w:pPr>
            <w:r>
              <w:rPr>
                <w:i/>
                <w:iCs/>
              </w:rPr>
              <w:t>NA</w:t>
            </w:r>
          </w:p>
        </w:tc>
        <w:tc>
          <w:tcPr>
            <w:tcW w:w="472" w:type="pct"/>
            <w:shd w:val="clear" w:color="auto" w:fill="auto"/>
            <w:vAlign w:val="center"/>
          </w:tcPr>
          <w:p w14:paraId="4908A3C8" w14:textId="75C11B8C" w:rsidR="000C058F" w:rsidRPr="000C058F" w:rsidRDefault="0084408C" w:rsidP="00F46222">
            <w:pPr>
              <w:pStyle w:val="TableText"/>
              <w:rPr>
                <w:i/>
                <w:iCs/>
              </w:rPr>
            </w:pPr>
            <w:r>
              <w:rPr>
                <w:i/>
                <w:iCs/>
              </w:rPr>
              <w:t>+</w:t>
            </w:r>
            <w:r w:rsidR="00A65271">
              <w:rPr>
                <w:i/>
                <w:iCs/>
              </w:rPr>
              <w:t>2 cycles</w:t>
            </w:r>
          </w:p>
        </w:tc>
        <w:tc>
          <w:tcPr>
            <w:tcW w:w="836" w:type="pct"/>
            <w:shd w:val="clear" w:color="auto" w:fill="auto"/>
            <w:vAlign w:val="center"/>
          </w:tcPr>
          <w:p w14:paraId="0DFA4974" w14:textId="47A39C24" w:rsidR="00DF31F2" w:rsidRPr="0088514D" w:rsidRDefault="00DF31F2" w:rsidP="00DF31F2">
            <w:pPr>
              <w:pStyle w:val="TableText"/>
              <w:rPr>
                <w:i/>
                <w:iCs/>
              </w:rPr>
            </w:pPr>
            <w:r w:rsidRPr="0088514D">
              <w:rPr>
                <w:i/>
                <w:iCs/>
              </w:rPr>
              <w:t>PBO = $</w:t>
            </w:r>
            <w:r>
              <w:rPr>
                <w:i/>
                <w:iCs/>
              </w:rPr>
              <w:t>41,483</w:t>
            </w:r>
          </w:p>
          <w:p w14:paraId="55E09479" w14:textId="115EADE8" w:rsidR="00DF31F2" w:rsidRPr="0088514D" w:rsidRDefault="00DF31F2" w:rsidP="00DF31F2">
            <w:pPr>
              <w:pStyle w:val="TableText"/>
              <w:rPr>
                <w:i/>
                <w:iCs/>
              </w:rPr>
            </w:pPr>
            <w:r w:rsidRPr="0088514D">
              <w:rPr>
                <w:i/>
                <w:iCs/>
              </w:rPr>
              <w:t>OCT = $</w:t>
            </w:r>
            <w:r>
              <w:rPr>
                <w:i/>
                <w:iCs/>
              </w:rPr>
              <w:t>45,222</w:t>
            </w:r>
          </w:p>
          <w:p w14:paraId="23ACBBAD" w14:textId="6F6E94AE" w:rsidR="00DF31F2" w:rsidRPr="0088514D" w:rsidRDefault="00DF31F2" w:rsidP="00DF31F2">
            <w:pPr>
              <w:pStyle w:val="TableText"/>
              <w:rPr>
                <w:i/>
                <w:iCs/>
              </w:rPr>
            </w:pPr>
            <w:r w:rsidRPr="0088514D">
              <w:rPr>
                <w:i/>
                <w:iCs/>
              </w:rPr>
              <w:t>LAN = $</w:t>
            </w:r>
            <w:r w:rsidR="00C444E1">
              <w:rPr>
                <w:i/>
                <w:iCs/>
              </w:rPr>
              <w:t>38,831</w:t>
            </w:r>
          </w:p>
          <w:p w14:paraId="34A8ADE5" w14:textId="1A2475CD" w:rsidR="00DF31F2" w:rsidRPr="0088514D" w:rsidRDefault="00DF31F2" w:rsidP="00DF31F2">
            <w:pPr>
              <w:pStyle w:val="TableText"/>
              <w:rPr>
                <w:i/>
                <w:iCs/>
              </w:rPr>
            </w:pPr>
            <w:r w:rsidRPr="0088514D">
              <w:rPr>
                <w:i/>
                <w:iCs/>
              </w:rPr>
              <w:t>EVO = $</w:t>
            </w:r>
            <w:r w:rsidR="00C444E1">
              <w:rPr>
                <w:i/>
                <w:iCs/>
              </w:rPr>
              <w:t>41,155</w:t>
            </w:r>
          </w:p>
          <w:p w14:paraId="4624000F" w14:textId="77777777" w:rsidR="00DF31F2" w:rsidRPr="0088514D" w:rsidRDefault="00DF31F2" w:rsidP="00DF31F2">
            <w:pPr>
              <w:pStyle w:val="TableText"/>
              <w:rPr>
                <w:i/>
                <w:iCs/>
              </w:rPr>
            </w:pPr>
            <w:r w:rsidRPr="0088514D">
              <w:rPr>
                <w:i/>
                <w:iCs/>
              </w:rPr>
              <w:t>SUN = Lutetium dominated</w:t>
            </w:r>
          </w:p>
          <w:p w14:paraId="6B801794" w14:textId="5BA6121D" w:rsidR="000C058F" w:rsidRPr="000C058F" w:rsidRDefault="00DF31F2" w:rsidP="00DF31F2">
            <w:pPr>
              <w:pStyle w:val="TableText"/>
              <w:rPr>
                <w:i/>
                <w:iCs/>
              </w:rPr>
            </w:pPr>
            <w:r w:rsidRPr="0088514D">
              <w:rPr>
                <w:i/>
                <w:iCs/>
              </w:rPr>
              <w:t>OCT+EVO = $</w:t>
            </w:r>
            <w:r w:rsidR="00C444E1">
              <w:rPr>
                <w:i/>
                <w:iCs/>
              </w:rPr>
              <w:t>31,204</w:t>
            </w:r>
          </w:p>
        </w:tc>
      </w:tr>
    </w:tbl>
    <w:p w14:paraId="2BD19304" w14:textId="231C7AA8" w:rsidR="00CC0CC2" w:rsidRDefault="00E304AA" w:rsidP="00CC0CC2">
      <w:pPr>
        <w:pStyle w:val="Tablenotes0"/>
      </w:pPr>
      <w:r w:rsidRPr="00DD3A71">
        <w:t>Abbreviations: AE = adverse events</w:t>
      </w:r>
      <w:r w:rsidR="00CC3244">
        <w:t>;</w:t>
      </w:r>
      <w:r w:rsidR="00B21CC6">
        <w:t xml:space="preserve"> CT = computed </w:t>
      </w:r>
      <w:proofErr w:type="spellStart"/>
      <w:r w:rsidR="00B21CC6">
        <w:t>tomopgraphy</w:t>
      </w:r>
      <w:proofErr w:type="spellEnd"/>
      <w:r w:rsidR="00B21CC6">
        <w:t>;</w:t>
      </w:r>
      <w:r w:rsidRPr="00DD3A71">
        <w:t xml:space="preserve"> EVO = everolimus</w:t>
      </w:r>
      <w:r w:rsidR="00CC3244">
        <w:t>;</w:t>
      </w:r>
      <w:r w:rsidR="00536B12">
        <w:t xml:space="preserve"> FDG = fluorodeoxyglucose; Ga = gallium;</w:t>
      </w:r>
      <w:r w:rsidRPr="00DD3A71">
        <w:t xml:space="preserve"> </w:t>
      </w:r>
      <w:r>
        <w:t xml:space="preserve">ICER = incremental cost-effectiveness ratio; </w:t>
      </w:r>
      <w:r w:rsidRPr="00DD3A71">
        <w:t>LAN = lanreotide,</w:t>
      </w:r>
      <w:r w:rsidR="00013B2B">
        <w:t xml:space="preserve"> N/A = not applicable;</w:t>
      </w:r>
      <w:r w:rsidRPr="00DD3A71">
        <w:t xml:space="preserve"> OCT = octreotide</w:t>
      </w:r>
      <w:r w:rsidR="00CC3244">
        <w:t>;</w:t>
      </w:r>
      <w:r w:rsidRPr="00DD3A71">
        <w:t xml:space="preserve"> OCT+EVO = octreotide plus everolimus combination therapy</w:t>
      </w:r>
      <w:r w:rsidR="00CC3244">
        <w:t>;</w:t>
      </w:r>
      <w:r>
        <w:t xml:space="preserve"> OS = overall survival; </w:t>
      </w:r>
      <w:r w:rsidR="00CC0CC2">
        <w:t>PBO = placebo;</w:t>
      </w:r>
      <w:r w:rsidR="00B21CC6">
        <w:t xml:space="preserve"> PET = positron emission tomography</w:t>
      </w:r>
      <w:r w:rsidR="00CC0CC2">
        <w:t xml:space="preserve"> </w:t>
      </w:r>
      <w:r>
        <w:t>PFS = progression-free survival;</w:t>
      </w:r>
      <w:r w:rsidR="00013B2B">
        <w:t xml:space="preserve"> PPS = post-progression survival;</w:t>
      </w:r>
      <w:r w:rsidRPr="00DD3A71">
        <w:t xml:space="preserve"> SUN =sunitinib</w:t>
      </w:r>
      <w:r>
        <w:t>.</w:t>
      </w:r>
      <w:bookmarkEnd w:id="104"/>
    </w:p>
    <w:p w14:paraId="7F425490" w14:textId="24EE4BEB" w:rsidR="0044226D" w:rsidRDefault="0044226D" w:rsidP="00CC0CC2">
      <w:pPr>
        <w:pStyle w:val="Tablenotes0"/>
        <w:rPr>
          <w:rStyle w:val="Hyperlink"/>
        </w:rPr>
      </w:pPr>
      <w:r>
        <w:rPr>
          <w:vertAlign w:val="superscript"/>
        </w:rPr>
        <w:t xml:space="preserve">a </w:t>
      </w:r>
      <w:r w:rsidR="00C21112">
        <w:t>10</w:t>
      </w:r>
      <w:r w:rsidR="00047319">
        <w:t>-</w:t>
      </w:r>
      <w:r w:rsidR="00C21112">
        <w:t xml:space="preserve">year lifetime horizon used in </w:t>
      </w:r>
      <w:r w:rsidR="00C13872">
        <w:t>PBAC submission for sunitinib</w:t>
      </w:r>
      <w:r w:rsidR="001D5403">
        <w:t xml:space="preserve"> in the </w:t>
      </w:r>
      <w:r w:rsidR="001D5403" w:rsidRPr="001D5403">
        <w:t>treatment of pancreatic NET (</w:t>
      </w:r>
      <w:proofErr w:type="spellStart"/>
      <w:r w:rsidR="001D5403" w:rsidRPr="001D5403">
        <w:t>p</w:t>
      </w:r>
      <w:r w:rsidR="00E026EB">
        <w:t>NET</w:t>
      </w:r>
      <w:proofErr w:type="spellEnd"/>
      <w:r w:rsidR="00E026EB">
        <w:t xml:space="preserve">); </w:t>
      </w:r>
      <w:hyperlink r:id="rId17" w:history="1">
        <w:r w:rsidR="00E026EB" w:rsidRPr="009252C7">
          <w:rPr>
            <w:rStyle w:val="Hyperlink"/>
          </w:rPr>
          <w:t xml:space="preserve">Sunitinib </w:t>
        </w:r>
        <w:r w:rsidR="00047319" w:rsidRPr="009252C7">
          <w:rPr>
            <w:rStyle w:val="Hyperlink"/>
          </w:rPr>
          <w:t>PSD August 2013</w:t>
        </w:r>
      </w:hyperlink>
    </w:p>
    <w:p w14:paraId="25AE2BAC" w14:textId="24762133" w:rsidR="00772829" w:rsidRPr="00CE28E3" w:rsidRDefault="00C36633" w:rsidP="002A18BE">
      <w:pPr>
        <w:pStyle w:val="Heading2"/>
        <w:numPr>
          <w:ilvl w:val="0"/>
          <w:numId w:val="0"/>
        </w:numPr>
      </w:pPr>
      <w:bookmarkStart w:id="108" w:name="_Toc161841947"/>
      <w:bookmarkStart w:id="109" w:name="_Toc165275536"/>
      <w:r>
        <w:t>1</w:t>
      </w:r>
      <w:r w:rsidR="000B228E">
        <w:t>4</w:t>
      </w:r>
      <w:r>
        <w:t>.</w:t>
      </w:r>
      <w:r>
        <w:tab/>
      </w:r>
      <w:r w:rsidR="00772829" w:rsidRPr="00CE28E3">
        <w:t>Financial/budgetary impacts</w:t>
      </w:r>
      <w:bookmarkEnd w:id="108"/>
      <w:bookmarkEnd w:id="109"/>
    </w:p>
    <w:p w14:paraId="729A79C2" w14:textId="2493BB24" w:rsidR="00873B00" w:rsidRDefault="00873B00" w:rsidP="001515C8">
      <w:r>
        <w:rPr>
          <w:color w:val="000000" w:themeColor="text1"/>
        </w:rPr>
        <w:t xml:space="preserve">The proposed patient population is </w:t>
      </w:r>
      <w:r w:rsidRPr="00F16E70">
        <w:t xml:space="preserve">patients referred by an MDT, with histologically confirmed, locally advanced or metastatic, inoperable NENs with documented disease progression or uncontrolled </w:t>
      </w:r>
      <w:r w:rsidR="00940434">
        <w:t xml:space="preserve">NEN-related </w:t>
      </w:r>
      <w:r w:rsidRPr="00F16E70">
        <w:t>symptoms despite standard therapy</w:t>
      </w:r>
      <w:r w:rsidR="00940434">
        <w:t>,</w:t>
      </w:r>
      <w:r w:rsidRPr="00F16E70">
        <w:t xml:space="preserve"> who have demonstrated H-SSTR.</w:t>
      </w:r>
      <w:r>
        <w:t xml:space="preserve"> The guideline-recommended line of therapy for PRRT </w:t>
      </w:r>
      <w:r w:rsidR="00940434">
        <w:t>varies</w:t>
      </w:r>
      <w:r>
        <w:t xml:space="preserve"> depending on the characteristics of the </w:t>
      </w:r>
      <w:r w:rsidR="00C309C1">
        <w:t>NEN</w:t>
      </w:r>
      <w:r>
        <w:t>,</w:t>
      </w:r>
      <w:r w:rsidRPr="00920569">
        <w:t xml:space="preserve"> </w:t>
      </w:r>
      <w:proofErr w:type="gramStart"/>
      <w:r w:rsidRPr="00281B5B">
        <w:t>in particular the</w:t>
      </w:r>
      <w:proofErr w:type="gramEnd"/>
      <w:r w:rsidRPr="00281B5B">
        <w:t xml:space="preserve"> primary site, grade, and proliferation of the tumour</w:t>
      </w:r>
      <w:r>
        <w:t>. In general, g</w:t>
      </w:r>
      <w:r w:rsidRPr="00281B5B">
        <w:t xml:space="preserve">iven the complexity in patient management due to the heterogeneity of tumour progression, symptoms, and response to different tumoricidal or </w:t>
      </w:r>
      <w:proofErr w:type="spellStart"/>
      <w:r w:rsidRPr="00281B5B">
        <w:t>tumo</w:t>
      </w:r>
      <w:r>
        <w:t>u</w:t>
      </w:r>
      <w:r w:rsidRPr="00281B5B">
        <w:t>r</w:t>
      </w:r>
      <w:r>
        <w:t>o</w:t>
      </w:r>
      <w:r w:rsidRPr="00281B5B">
        <w:t>static</w:t>
      </w:r>
      <w:proofErr w:type="spellEnd"/>
      <w:r w:rsidRPr="00281B5B">
        <w:t xml:space="preserve"> treatments, treatment with </w:t>
      </w:r>
      <w:r w:rsidRPr="00940434">
        <w:rPr>
          <w:vertAlign w:val="superscript"/>
        </w:rPr>
        <w:t>177</w:t>
      </w:r>
      <w:r w:rsidRPr="00281B5B">
        <w:t>Lu-DOTA-octreotate should not be viewed as a ‘fixed’ line in any patient’s therapy. The most appropriate line of therapy for</w:t>
      </w:r>
      <w:r>
        <w:t xml:space="preserve"> </w:t>
      </w:r>
      <w:r w:rsidRPr="00940434">
        <w:rPr>
          <w:vertAlign w:val="superscript"/>
        </w:rPr>
        <w:t>177</w:t>
      </w:r>
      <w:r w:rsidRPr="00281B5B">
        <w:t xml:space="preserve">Lu-DOTA-octreotate treatment should be considered on an individual patient basis by an MDT experienced in the management of advanced </w:t>
      </w:r>
      <w:r w:rsidR="00C309C1">
        <w:t>NEN</w:t>
      </w:r>
      <w:r w:rsidRPr="00281B5B">
        <w:t>s and other H-SSTR tumours.</w:t>
      </w:r>
    </w:p>
    <w:p w14:paraId="2B3E08BB" w14:textId="26AA45C4" w:rsidR="00873B00" w:rsidRPr="00082600" w:rsidRDefault="00873B00" w:rsidP="001515C8">
      <w:pPr>
        <w:rPr>
          <w:color w:val="000000" w:themeColor="text1"/>
        </w:rPr>
      </w:pPr>
      <w:r>
        <w:t xml:space="preserve">As </w:t>
      </w:r>
      <w:r w:rsidRPr="00940434">
        <w:rPr>
          <w:vertAlign w:val="superscript"/>
        </w:rPr>
        <w:t>177</w:t>
      </w:r>
      <w:r w:rsidRPr="006B627F">
        <w:t>Lu-DOTA-octreotate is proposed as an add-on therapy rather than a replacement of comparator management strategies</w:t>
      </w:r>
      <w:r>
        <w:t xml:space="preserve">, an epidemiological approach to deriving the anticipated financial implications of </w:t>
      </w:r>
      <w:r w:rsidRPr="00940434">
        <w:rPr>
          <w:color w:val="000000" w:themeColor="text1"/>
          <w:vertAlign w:val="superscript"/>
        </w:rPr>
        <w:t>177</w:t>
      </w:r>
      <w:r w:rsidRPr="00C2337D">
        <w:rPr>
          <w:color w:val="000000" w:themeColor="text1"/>
        </w:rPr>
        <w:t>Lu-DOTA-octreotate</w:t>
      </w:r>
      <w:r>
        <w:rPr>
          <w:color w:val="000000" w:themeColor="text1"/>
        </w:rPr>
        <w:t xml:space="preserve"> has been adopted.</w:t>
      </w:r>
    </w:p>
    <w:p w14:paraId="05E1AE27" w14:textId="15A636DF" w:rsidR="00873B00" w:rsidRDefault="00873B00" w:rsidP="001515C8">
      <w:r>
        <w:t xml:space="preserve">To estimate the number of patients eligible for treatment with </w:t>
      </w:r>
      <w:r w:rsidRPr="00940434">
        <w:rPr>
          <w:color w:val="000000" w:themeColor="text1"/>
          <w:vertAlign w:val="superscript"/>
        </w:rPr>
        <w:t>177</w:t>
      </w:r>
      <w:r w:rsidRPr="00C2337D">
        <w:rPr>
          <w:color w:val="000000" w:themeColor="text1"/>
        </w:rPr>
        <w:t>Lu-DOTA-octreotate</w:t>
      </w:r>
      <w:r>
        <w:rPr>
          <w:color w:val="000000" w:themeColor="text1"/>
        </w:rPr>
        <w:t xml:space="preserve">, data from the Australian Institute of Health and Welfare were used to identify the number of new </w:t>
      </w:r>
      <w:r w:rsidR="00C309C1">
        <w:rPr>
          <w:color w:val="000000" w:themeColor="text1"/>
        </w:rPr>
        <w:t>NEN</w:t>
      </w:r>
      <w:r>
        <w:rPr>
          <w:color w:val="000000" w:themeColor="text1"/>
        </w:rPr>
        <w:t xml:space="preserve"> cases diagnosed between 1982 and 2018, as noted in the ratified PICO</w:t>
      </w:r>
      <w:r w:rsidR="004E630E">
        <w:rPr>
          <w:color w:val="000000" w:themeColor="text1"/>
        </w:rPr>
        <w:t>.</w:t>
      </w:r>
      <w:r w:rsidR="006C684C">
        <w:rPr>
          <w:color w:val="000000" w:themeColor="text1"/>
        </w:rPr>
        <w:fldChar w:fldCharType="begin"/>
      </w:r>
      <w:r w:rsidR="006C684C">
        <w:rPr>
          <w:color w:val="000000" w:themeColor="text1"/>
        </w:rPr>
        <w:instrText xml:space="preserve"> ADDIN EN.CITE &lt;EndNote&gt;&lt;Cite&gt;&lt;Author&gt;AIHW&lt;/Author&gt;&lt;Year&gt;2022&lt;/Year&gt;&lt;RecNum&gt;6&lt;/RecNum&gt;&lt;DisplayText&gt;(AIHW 2022)&lt;/DisplayText&gt;&lt;record&gt;&lt;rec-number&gt;6&lt;/rec-number&gt;&lt;foreign-keys&gt;&lt;key app="EN" db-id="serfsw5zfedv0leetdnpxzasfd92vr5ree0d" timestamp="1713528714"&gt;6&lt;/key&gt;&lt;/foreign-keys&gt;&lt;ref-type name="Report"&gt;27&lt;/ref-type&gt;&lt;contributors&gt;&lt;authors&gt;&lt;author&gt;AIHW,&lt;/author&gt;&lt;/authors&gt;&lt;/contributors&gt;&lt;titles&gt;&lt;title&gt; Australian Institute of Health and Welfare. Cancer Data in Australia.&lt;/title&gt;&lt;/titles&gt;&lt;dates&gt;&lt;year&gt;2022&lt;/year&gt;&lt;/dates&gt;&lt;urls&gt;&lt;/urls&gt;&lt;/record&gt;&lt;/Cite&gt;&lt;/EndNote&gt;</w:instrText>
      </w:r>
      <w:r w:rsidR="006C684C">
        <w:rPr>
          <w:color w:val="000000" w:themeColor="text1"/>
        </w:rPr>
        <w:fldChar w:fldCharType="separate"/>
      </w:r>
      <w:r w:rsidR="006C684C">
        <w:rPr>
          <w:noProof/>
          <w:color w:val="000000" w:themeColor="text1"/>
        </w:rPr>
        <w:t>(AIHW 2022)</w:t>
      </w:r>
      <w:r w:rsidR="006C684C">
        <w:rPr>
          <w:color w:val="000000" w:themeColor="text1"/>
        </w:rPr>
        <w:fldChar w:fldCharType="end"/>
      </w:r>
      <w:r>
        <w:rPr>
          <w:color w:val="000000" w:themeColor="text1"/>
        </w:rPr>
        <w:t xml:space="preserve"> </w:t>
      </w:r>
      <w:r>
        <w:t xml:space="preserve">Using these data, an average compound annual growth rate (CAGR) was estimated (3.81%) and used to predict the incidence of </w:t>
      </w:r>
      <w:r w:rsidR="00C309C1">
        <w:t>NEN</w:t>
      </w:r>
      <w:r>
        <w:t xml:space="preserve"> diagnoses from years 2018 to 2029.</w:t>
      </w:r>
    </w:p>
    <w:p w14:paraId="3DE2B4D5" w14:textId="7847C7B3" w:rsidR="00873B00" w:rsidRDefault="00F02787" w:rsidP="001515C8">
      <w:r>
        <w:t>T</w:t>
      </w:r>
      <w:r w:rsidR="00873B00">
        <w:t>he applicant advise</w:t>
      </w:r>
      <w:r w:rsidR="00DB7C29">
        <w:t>s</w:t>
      </w:r>
      <w:r w:rsidR="00873B00">
        <w:t xml:space="preserve"> </w:t>
      </w:r>
      <w:r>
        <w:t>(</w:t>
      </w:r>
      <w:r w:rsidR="00DB7C29">
        <w:t>Application</w:t>
      </w:r>
      <w:r w:rsidR="00BD00F8">
        <w:t xml:space="preserve"> form</w:t>
      </w:r>
      <w:r w:rsidR="00DB7C29">
        <w:t xml:space="preserve"> 1744) </w:t>
      </w:r>
      <w:r w:rsidR="00873B00">
        <w:t>that a</w:t>
      </w:r>
      <w:r w:rsidR="00873B00">
        <w:rPr>
          <w:rStyle w:val="normaltextrun"/>
          <w:color w:val="000000"/>
          <w:shd w:val="clear" w:color="auto" w:fill="FFFFFF"/>
        </w:rPr>
        <w:t>pproximately 200 patients per year would undergo PRRT. Independent expert advice obtained by the Department also suggest</w:t>
      </w:r>
      <w:r w:rsidR="00FB5829">
        <w:rPr>
          <w:rStyle w:val="normaltextrun"/>
          <w:color w:val="000000"/>
          <w:shd w:val="clear" w:color="auto" w:fill="FFFFFF"/>
        </w:rPr>
        <w:t>s</w:t>
      </w:r>
      <w:r w:rsidR="00873B00">
        <w:rPr>
          <w:rStyle w:val="normaltextrun"/>
          <w:color w:val="000000"/>
          <w:shd w:val="clear" w:color="auto" w:fill="FFFFFF"/>
        </w:rPr>
        <w:t xml:space="preserve"> that the number of people eligible for this highly specialised treatment </w:t>
      </w:r>
      <w:r w:rsidR="00FB5829">
        <w:rPr>
          <w:rStyle w:val="normaltextrun"/>
          <w:color w:val="000000"/>
          <w:shd w:val="clear" w:color="auto" w:fill="FFFFFF"/>
        </w:rPr>
        <w:t>will</w:t>
      </w:r>
      <w:r w:rsidR="00873B00">
        <w:rPr>
          <w:rStyle w:val="normaltextrun"/>
          <w:color w:val="000000"/>
          <w:shd w:val="clear" w:color="auto" w:fill="FFFFFF"/>
        </w:rPr>
        <w:t xml:space="preserve"> remain small.</w:t>
      </w:r>
      <w:r w:rsidR="00FB5829">
        <w:rPr>
          <w:rStyle w:val="eop"/>
          <w:shd w:val="clear" w:color="auto" w:fill="FFFFFF"/>
        </w:rPr>
        <w:t xml:space="preserve"> </w:t>
      </w:r>
      <w:r w:rsidR="00873B00">
        <w:t>In lieu of an alternative data source</w:t>
      </w:r>
      <w:r w:rsidR="00CD7456">
        <w:rPr>
          <w:rFonts w:cs="Arial"/>
        </w:rPr>
        <w:t>, it was assumed that</w:t>
      </w:r>
      <w:r w:rsidR="00E119BB">
        <w:rPr>
          <w:rFonts w:cs="Arial"/>
        </w:rPr>
        <w:t xml:space="preserve"> </w:t>
      </w:r>
      <w:r w:rsidR="00CD7456">
        <w:rPr>
          <w:rFonts w:cs="Arial"/>
        </w:rPr>
        <w:t xml:space="preserve">of the eligible incident </w:t>
      </w:r>
      <w:r w:rsidR="00C309C1">
        <w:rPr>
          <w:rFonts w:cs="Arial"/>
        </w:rPr>
        <w:t>NEN</w:t>
      </w:r>
      <w:r w:rsidR="00CD7456">
        <w:rPr>
          <w:rFonts w:cs="Arial"/>
        </w:rPr>
        <w:t xml:space="preserve"> cohort, 197 patients would receive treatment with </w:t>
      </w:r>
      <w:r w:rsidR="00CD7456" w:rsidRPr="00F05621">
        <w:rPr>
          <w:vertAlign w:val="superscript"/>
        </w:rPr>
        <w:t>177</w:t>
      </w:r>
      <w:r w:rsidR="00CD7456" w:rsidRPr="006B627F">
        <w:t>Lu-DOTA-octreotate</w:t>
      </w:r>
      <w:r w:rsidR="00CD7456">
        <w:rPr>
          <w:rFonts w:cs="Arial"/>
        </w:rPr>
        <w:t xml:space="preserve"> in 2024</w:t>
      </w:r>
      <w:r w:rsidR="00284DFA">
        <w:rPr>
          <w:rFonts w:cs="Arial"/>
        </w:rPr>
        <w:t>,</w:t>
      </w:r>
      <w:r w:rsidR="00CD7456">
        <w:rPr>
          <w:rFonts w:cs="Arial"/>
        </w:rPr>
        <w:t xml:space="preserve"> which is 3.5% of the estimated </w:t>
      </w:r>
      <w:r w:rsidR="00CD7456">
        <w:rPr>
          <w:rFonts w:cs="Arial"/>
        </w:rPr>
        <w:lastRenderedPageBreak/>
        <w:t>incident population</w:t>
      </w:r>
      <w:r w:rsidR="00284DFA">
        <w:rPr>
          <w:rFonts w:cs="Arial"/>
        </w:rPr>
        <w:t xml:space="preserve"> for 2024</w:t>
      </w:r>
      <w:r w:rsidR="00CD7456">
        <w:rPr>
          <w:rFonts w:cs="Arial"/>
        </w:rPr>
        <w:t xml:space="preserve">. It was further assumed that this proportion of uptake (3.5%) would remain fixed for the following </w:t>
      </w:r>
      <w:r w:rsidR="00284DFA">
        <w:rPr>
          <w:rFonts w:cs="Arial"/>
        </w:rPr>
        <w:t>5</w:t>
      </w:r>
      <w:r w:rsidR="00CD7456">
        <w:rPr>
          <w:rFonts w:cs="Arial"/>
        </w:rPr>
        <w:t xml:space="preserve"> years </w:t>
      </w:r>
      <w:r w:rsidR="00284DFA">
        <w:rPr>
          <w:rFonts w:cs="Arial"/>
        </w:rPr>
        <w:t>until</w:t>
      </w:r>
      <w:r w:rsidR="00CD7456">
        <w:rPr>
          <w:rFonts w:cs="Arial"/>
        </w:rPr>
        <w:t xml:space="preserve"> 2029.</w:t>
      </w:r>
    </w:p>
    <w:p w14:paraId="3D401EBA" w14:textId="76967E10" w:rsidR="00873B00" w:rsidRDefault="00873B00" w:rsidP="001515C8">
      <w:r>
        <w:t>The cost</w:t>
      </w:r>
      <w:r w:rsidR="00FB5829">
        <w:t>s</w:t>
      </w:r>
      <w:r>
        <w:t xml:space="preserve"> of administration, acquisition and diagnosis have been included in the estimate of financial impact and utilise the same costing sources as those provided in the cost-effectiveness model.</w:t>
      </w:r>
    </w:p>
    <w:p w14:paraId="5FE7AD1F" w14:textId="7D59F402" w:rsidR="00873B00" w:rsidRPr="001515C8" w:rsidRDefault="00873B00" w:rsidP="001515C8">
      <w:r w:rsidRPr="001515C8">
        <w:t xml:space="preserve">The net financial impact of </w:t>
      </w:r>
      <w:r w:rsidRPr="001515C8">
        <w:rPr>
          <w:vertAlign w:val="superscript"/>
        </w:rPr>
        <w:t>177</w:t>
      </w:r>
      <w:r w:rsidRPr="001515C8">
        <w:t xml:space="preserve">Lu-DOTA-octreotate to the health budget is presented in </w:t>
      </w:r>
      <w:r w:rsidRPr="001515C8">
        <w:fldChar w:fldCharType="begin"/>
      </w:r>
      <w:r w:rsidRPr="001515C8">
        <w:instrText xml:space="preserve"> REF _Ref160711116 \h </w:instrText>
      </w:r>
      <w:r w:rsidR="001515C8">
        <w:instrText xml:space="preserve"> \* MERGEFORMAT </w:instrText>
      </w:r>
      <w:r w:rsidRPr="001515C8">
        <w:fldChar w:fldCharType="separate"/>
      </w:r>
      <w:r w:rsidR="0084549C">
        <w:t xml:space="preserve">Table </w:t>
      </w:r>
      <w:r w:rsidR="0084549C">
        <w:rPr>
          <w:noProof/>
        </w:rPr>
        <w:t>15</w:t>
      </w:r>
      <w:r w:rsidRPr="001515C8">
        <w:fldChar w:fldCharType="end"/>
      </w:r>
      <w:r w:rsidRPr="001515C8">
        <w:t>. The overall net cost to the health budget is $</w:t>
      </w:r>
      <w:r w:rsidR="008A3C3B">
        <w:t>7</w:t>
      </w:r>
      <w:r w:rsidRPr="001515C8">
        <w:t>.</w:t>
      </w:r>
      <w:r w:rsidR="008A3C3B">
        <w:t>43</w:t>
      </w:r>
      <w:r w:rsidRPr="001515C8">
        <w:t xml:space="preserve">m in </w:t>
      </w:r>
      <w:r w:rsidR="00A010C8">
        <w:t>Y</w:t>
      </w:r>
      <w:r w:rsidRPr="001515C8">
        <w:t>ear 1, increasing to $</w:t>
      </w:r>
      <w:r w:rsidR="00330DEE">
        <w:t>8</w:t>
      </w:r>
      <w:r w:rsidRPr="001515C8">
        <w:t>.</w:t>
      </w:r>
      <w:r w:rsidR="00330DEE">
        <w:t>96</w:t>
      </w:r>
      <w:r w:rsidRPr="001515C8">
        <w:t>m in Year 6.</w:t>
      </w:r>
    </w:p>
    <w:p w14:paraId="3D04A68A" w14:textId="59D0773D" w:rsidR="002A2889" w:rsidRDefault="001515C8" w:rsidP="002A2889">
      <w:r>
        <w:t>I</w:t>
      </w:r>
      <w:r w:rsidR="00873B00" w:rsidRPr="000A0207">
        <w:t xml:space="preserve">t is likely that </w:t>
      </w:r>
      <w:r w:rsidR="00873B00" w:rsidRPr="00940434">
        <w:rPr>
          <w:vertAlign w:val="superscript"/>
        </w:rPr>
        <w:t>177</w:t>
      </w:r>
      <w:r w:rsidR="00873B00" w:rsidRPr="000A0207">
        <w:t>Lu-DOTA-octreotate will result in additional background medication costs given the relative improvement in overall</w:t>
      </w:r>
      <w:r w:rsidR="00873B00">
        <w:t xml:space="preserve"> patient</w:t>
      </w:r>
      <w:r w:rsidR="00873B00" w:rsidRPr="000A0207">
        <w:t xml:space="preserve"> survival. However, as these additional costs are expected to be minimal, and given the uncertainty in the costing estimates, these have not been included in the net financial health impact. </w:t>
      </w:r>
    </w:p>
    <w:p w14:paraId="740DED4E" w14:textId="627039F5" w:rsidR="00873B00" w:rsidRDefault="00873B00" w:rsidP="00873B00">
      <w:pPr>
        <w:pStyle w:val="Caption"/>
      </w:pPr>
      <w:bookmarkStart w:id="110" w:name="_Ref160711116"/>
      <w:bookmarkStart w:id="111" w:name="_Toc160711236"/>
      <w:bookmarkStart w:id="112" w:name="_Toc161842049"/>
      <w:r>
        <w:t xml:space="preserve">Table </w:t>
      </w:r>
      <w:r>
        <w:fldChar w:fldCharType="begin"/>
      </w:r>
      <w:r>
        <w:instrText xml:space="preserve"> SEQ Table \* ARABIC </w:instrText>
      </w:r>
      <w:r>
        <w:fldChar w:fldCharType="separate"/>
      </w:r>
      <w:r w:rsidR="006D13BC">
        <w:rPr>
          <w:noProof/>
        </w:rPr>
        <w:t>15</w:t>
      </w:r>
      <w:r>
        <w:rPr>
          <w:noProof/>
        </w:rPr>
        <w:fldChar w:fldCharType="end"/>
      </w:r>
      <w:bookmarkEnd w:id="110"/>
      <w:r>
        <w:t xml:space="preserve">: Net financial impact of </w:t>
      </w:r>
      <w:r w:rsidRPr="00CF7C77">
        <w:rPr>
          <w:vertAlign w:val="superscript"/>
        </w:rPr>
        <w:t>177</w:t>
      </w:r>
      <w:r w:rsidRPr="00B32F3E">
        <w:t>Lu-DOTA-octreotate</w:t>
      </w:r>
      <w:bookmarkEnd w:id="111"/>
      <w:r w:rsidR="00791F8F">
        <w:t xml:space="preserve"> to the MBS</w:t>
      </w:r>
      <w:bookmarkEnd w:id="112"/>
    </w:p>
    <w:tbl>
      <w:tblPr>
        <w:tblW w:w="5000" w:type="pct"/>
        <w:tblLayout w:type="fixed"/>
        <w:tblLook w:val="04A0" w:firstRow="1" w:lastRow="0" w:firstColumn="1" w:lastColumn="0" w:noHBand="0" w:noVBand="1"/>
      </w:tblPr>
      <w:tblGrid>
        <w:gridCol w:w="2269"/>
        <w:gridCol w:w="1125"/>
        <w:gridCol w:w="1125"/>
        <w:gridCol w:w="1125"/>
        <w:gridCol w:w="1125"/>
        <w:gridCol w:w="1125"/>
        <w:gridCol w:w="1122"/>
      </w:tblGrid>
      <w:tr w:rsidR="00DB7C29" w:rsidRPr="00BD2530" w14:paraId="0B5C8EFD" w14:textId="77777777" w:rsidTr="00696A5F">
        <w:trPr>
          <w:cantSplit/>
          <w:trHeight w:val="315"/>
          <w:tblHeader/>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55A9B" w14:textId="77777777" w:rsidR="002A2889" w:rsidRPr="00BD2530" w:rsidRDefault="002A2889" w:rsidP="00266D54">
            <w:pPr>
              <w:pStyle w:val="TableHeading0"/>
              <w:rPr>
                <w:lang w:val="en-GB" w:eastAsia="en-GB"/>
              </w:rPr>
            </w:pPr>
            <w:r w:rsidRPr="00BD2530">
              <w:rPr>
                <w:lang w:eastAsia="en-GB"/>
              </w:rPr>
              <w:t xml:space="preserve">Parameter </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7461AD6B" w14:textId="4DE3EC35" w:rsidR="002A2889" w:rsidRPr="00BD2530" w:rsidRDefault="002A2889" w:rsidP="00266D54">
            <w:pPr>
              <w:pStyle w:val="TableHeading0"/>
              <w:rPr>
                <w:lang w:val="en-GB" w:eastAsia="en-GB"/>
              </w:rPr>
            </w:pPr>
            <w:r w:rsidRPr="00BD2530">
              <w:rPr>
                <w:lang w:eastAsia="en-GB"/>
              </w:rPr>
              <w:t>2024</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6246DC27" w14:textId="3E7077F9" w:rsidR="002A2889" w:rsidRPr="00BD2530" w:rsidRDefault="002A2889" w:rsidP="00266D54">
            <w:pPr>
              <w:pStyle w:val="TableHeading0"/>
              <w:rPr>
                <w:lang w:val="en-GB" w:eastAsia="en-GB"/>
              </w:rPr>
            </w:pPr>
            <w:r w:rsidRPr="00BD2530">
              <w:rPr>
                <w:lang w:eastAsia="en-GB"/>
              </w:rPr>
              <w:t>2025</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378AECA" w14:textId="2360D681" w:rsidR="002A2889" w:rsidRPr="00BD2530" w:rsidRDefault="002A2889" w:rsidP="00266D54">
            <w:pPr>
              <w:pStyle w:val="TableHeading0"/>
              <w:rPr>
                <w:lang w:val="en-GB" w:eastAsia="en-GB"/>
              </w:rPr>
            </w:pPr>
            <w:r w:rsidRPr="00BD2530">
              <w:rPr>
                <w:lang w:eastAsia="en-GB"/>
              </w:rPr>
              <w:t>2026</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7D6676E" w14:textId="1DFF242A" w:rsidR="002A2889" w:rsidRPr="00BD2530" w:rsidRDefault="002A2889" w:rsidP="00266D54">
            <w:pPr>
              <w:pStyle w:val="TableHeading0"/>
              <w:rPr>
                <w:lang w:val="en-GB" w:eastAsia="en-GB"/>
              </w:rPr>
            </w:pPr>
            <w:r w:rsidRPr="00BD2530">
              <w:rPr>
                <w:lang w:eastAsia="en-GB"/>
              </w:rPr>
              <w:t>2027</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74ABDF4" w14:textId="6725FE89" w:rsidR="002A2889" w:rsidRPr="00BD2530" w:rsidRDefault="002A2889" w:rsidP="00266D54">
            <w:pPr>
              <w:pStyle w:val="TableHeading0"/>
              <w:rPr>
                <w:lang w:val="en-GB" w:eastAsia="en-GB"/>
              </w:rPr>
            </w:pPr>
            <w:r w:rsidRPr="00BD2530">
              <w:rPr>
                <w:lang w:val="en-GB" w:eastAsia="en-GB"/>
              </w:rPr>
              <w:t>2028</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69660F0F" w14:textId="479C4CB0" w:rsidR="002A2889" w:rsidRPr="00BD2530" w:rsidRDefault="002A2889" w:rsidP="00266D54">
            <w:pPr>
              <w:pStyle w:val="TableHeading0"/>
              <w:rPr>
                <w:lang w:val="en-GB" w:eastAsia="en-GB"/>
              </w:rPr>
            </w:pPr>
            <w:r w:rsidRPr="00BD2530">
              <w:rPr>
                <w:lang w:val="en-GB" w:eastAsia="en-GB"/>
              </w:rPr>
              <w:t>2029</w:t>
            </w:r>
          </w:p>
        </w:tc>
      </w:tr>
      <w:tr w:rsidR="002A2889" w:rsidRPr="00BD2530" w14:paraId="342E390A" w14:textId="77777777" w:rsidTr="001053EF">
        <w:trPr>
          <w:cantSplit/>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8E63FE5" w14:textId="77777777" w:rsidR="002A2889" w:rsidRPr="00BD2530" w:rsidRDefault="002A2889" w:rsidP="00266D54">
            <w:pPr>
              <w:pStyle w:val="In-tableHeading"/>
              <w:rPr>
                <w:lang w:val="en-GB"/>
              </w:rPr>
            </w:pPr>
            <w:r w:rsidRPr="00BD2530">
              <w:t>Estimated use and cost of the proposed health technology</w:t>
            </w:r>
          </w:p>
        </w:tc>
      </w:tr>
      <w:tr w:rsidR="00DB7C29" w:rsidRPr="00BD2530" w14:paraId="5EFB4455"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6C4F106B" w14:textId="66BB4346" w:rsidR="002A2889" w:rsidRPr="00BD2530" w:rsidRDefault="002A2889" w:rsidP="002A2889">
            <w:pPr>
              <w:pStyle w:val="TableText"/>
              <w:rPr>
                <w:lang w:val="en-GB" w:eastAsia="en-GB"/>
              </w:rPr>
            </w:pPr>
            <w:r w:rsidRPr="00BD2530">
              <w:rPr>
                <w:lang w:eastAsia="en-GB"/>
              </w:rPr>
              <w:t>Incidence of NE</w:t>
            </w:r>
            <w:r w:rsidR="00A74189">
              <w:rPr>
                <w:lang w:eastAsia="en-GB"/>
              </w:rPr>
              <w:t>N</w:t>
            </w:r>
            <w:r w:rsidRPr="00BD2530">
              <w:rPr>
                <w:lang w:eastAsia="en-GB"/>
              </w:rPr>
              <w:t>s</w:t>
            </w:r>
          </w:p>
        </w:tc>
        <w:tc>
          <w:tcPr>
            <w:tcW w:w="624" w:type="pct"/>
            <w:tcBorders>
              <w:top w:val="nil"/>
              <w:left w:val="nil"/>
              <w:bottom w:val="single" w:sz="4" w:space="0" w:color="auto"/>
              <w:right w:val="single" w:sz="4" w:space="0" w:color="auto"/>
            </w:tcBorders>
            <w:shd w:val="clear" w:color="auto" w:fill="auto"/>
            <w:vAlign w:val="center"/>
            <w:hideMark/>
          </w:tcPr>
          <w:p w14:paraId="3035C645" w14:textId="77777777" w:rsidR="002A2889" w:rsidRPr="00BD2530" w:rsidRDefault="002A2889" w:rsidP="002A2889">
            <w:pPr>
              <w:pStyle w:val="TableText"/>
              <w:rPr>
                <w:lang w:val="en-GB" w:eastAsia="en-GB"/>
              </w:rPr>
            </w:pPr>
            <w:r w:rsidRPr="00BD2530">
              <w:rPr>
                <w:lang w:val="en-GB" w:eastAsia="en-GB"/>
              </w:rPr>
              <w:t>5,642</w:t>
            </w:r>
          </w:p>
        </w:tc>
        <w:tc>
          <w:tcPr>
            <w:tcW w:w="624" w:type="pct"/>
            <w:tcBorders>
              <w:top w:val="nil"/>
              <w:left w:val="nil"/>
              <w:bottom w:val="single" w:sz="4" w:space="0" w:color="auto"/>
              <w:right w:val="single" w:sz="4" w:space="0" w:color="auto"/>
            </w:tcBorders>
            <w:shd w:val="clear" w:color="auto" w:fill="auto"/>
            <w:vAlign w:val="center"/>
            <w:hideMark/>
          </w:tcPr>
          <w:p w14:paraId="1A04000A" w14:textId="77777777" w:rsidR="002A2889" w:rsidRPr="00BD2530" w:rsidRDefault="002A2889" w:rsidP="002A2889">
            <w:pPr>
              <w:pStyle w:val="TableText"/>
              <w:rPr>
                <w:lang w:val="en-GB" w:eastAsia="en-GB"/>
              </w:rPr>
            </w:pPr>
            <w:r w:rsidRPr="00BD2530">
              <w:rPr>
                <w:lang w:eastAsia="en-GB"/>
              </w:rPr>
              <w:t>5,857</w:t>
            </w:r>
          </w:p>
        </w:tc>
        <w:tc>
          <w:tcPr>
            <w:tcW w:w="624" w:type="pct"/>
            <w:tcBorders>
              <w:top w:val="nil"/>
              <w:left w:val="nil"/>
              <w:bottom w:val="single" w:sz="4" w:space="0" w:color="auto"/>
              <w:right w:val="single" w:sz="4" w:space="0" w:color="auto"/>
            </w:tcBorders>
            <w:shd w:val="clear" w:color="auto" w:fill="auto"/>
            <w:vAlign w:val="center"/>
            <w:hideMark/>
          </w:tcPr>
          <w:p w14:paraId="2682313D" w14:textId="77777777" w:rsidR="002A2889" w:rsidRPr="00BD2530" w:rsidRDefault="002A2889" w:rsidP="002A2889">
            <w:pPr>
              <w:pStyle w:val="TableText"/>
              <w:rPr>
                <w:lang w:val="en-GB" w:eastAsia="en-GB"/>
              </w:rPr>
            </w:pPr>
            <w:r w:rsidRPr="00BD2530">
              <w:rPr>
                <w:lang w:eastAsia="en-GB"/>
              </w:rPr>
              <w:t>6,080</w:t>
            </w:r>
          </w:p>
        </w:tc>
        <w:tc>
          <w:tcPr>
            <w:tcW w:w="624" w:type="pct"/>
            <w:tcBorders>
              <w:top w:val="nil"/>
              <w:left w:val="nil"/>
              <w:bottom w:val="single" w:sz="4" w:space="0" w:color="auto"/>
              <w:right w:val="single" w:sz="4" w:space="0" w:color="auto"/>
            </w:tcBorders>
            <w:shd w:val="clear" w:color="auto" w:fill="auto"/>
            <w:vAlign w:val="center"/>
            <w:hideMark/>
          </w:tcPr>
          <w:p w14:paraId="6BA7AE13" w14:textId="77777777" w:rsidR="002A2889" w:rsidRPr="00BD2530" w:rsidRDefault="002A2889" w:rsidP="002A2889">
            <w:pPr>
              <w:pStyle w:val="TableText"/>
              <w:rPr>
                <w:lang w:val="en-GB" w:eastAsia="en-GB"/>
              </w:rPr>
            </w:pPr>
            <w:r w:rsidRPr="00BD2530">
              <w:rPr>
                <w:lang w:eastAsia="en-GB"/>
              </w:rPr>
              <w:t>6,312</w:t>
            </w:r>
          </w:p>
        </w:tc>
        <w:tc>
          <w:tcPr>
            <w:tcW w:w="624" w:type="pct"/>
            <w:tcBorders>
              <w:top w:val="nil"/>
              <w:left w:val="nil"/>
              <w:bottom w:val="single" w:sz="4" w:space="0" w:color="auto"/>
              <w:right w:val="single" w:sz="4" w:space="0" w:color="auto"/>
            </w:tcBorders>
            <w:shd w:val="clear" w:color="auto" w:fill="auto"/>
            <w:vAlign w:val="center"/>
            <w:hideMark/>
          </w:tcPr>
          <w:p w14:paraId="1ACE0298" w14:textId="77777777" w:rsidR="002A2889" w:rsidRPr="00BD2530" w:rsidRDefault="002A2889" w:rsidP="002A2889">
            <w:pPr>
              <w:pStyle w:val="TableText"/>
              <w:rPr>
                <w:lang w:val="en-GB" w:eastAsia="en-GB"/>
              </w:rPr>
            </w:pPr>
            <w:r w:rsidRPr="00BD2530">
              <w:rPr>
                <w:lang w:eastAsia="en-GB"/>
              </w:rPr>
              <w:t>6,552</w:t>
            </w:r>
          </w:p>
        </w:tc>
        <w:tc>
          <w:tcPr>
            <w:tcW w:w="622" w:type="pct"/>
            <w:tcBorders>
              <w:top w:val="nil"/>
              <w:left w:val="nil"/>
              <w:bottom w:val="single" w:sz="4" w:space="0" w:color="auto"/>
              <w:right w:val="single" w:sz="4" w:space="0" w:color="auto"/>
            </w:tcBorders>
            <w:shd w:val="clear" w:color="auto" w:fill="auto"/>
            <w:vAlign w:val="center"/>
            <w:hideMark/>
          </w:tcPr>
          <w:p w14:paraId="6C464613" w14:textId="77777777" w:rsidR="002A2889" w:rsidRPr="00BD2530" w:rsidRDefault="002A2889" w:rsidP="002A2889">
            <w:pPr>
              <w:pStyle w:val="TableText"/>
              <w:rPr>
                <w:lang w:val="en-GB" w:eastAsia="en-GB"/>
              </w:rPr>
            </w:pPr>
            <w:r w:rsidRPr="00BD2530">
              <w:rPr>
                <w:lang w:eastAsia="en-GB"/>
              </w:rPr>
              <w:t>6,802</w:t>
            </w:r>
          </w:p>
        </w:tc>
      </w:tr>
      <w:tr w:rsidR="002A2889" w:rsidRPr="00BD2530" w14:paraId="4268F368" w14:textId="77777777" w:rsidTr="004C302A">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68794D6A" w14:textId="77777777" w:rsidR="002A2889" w:rsidRPr="00BD2530" w:rsidRDefault="002A2889" w:rsidP="002A2889">
            <w:pPr>
              <w:pStyle w:val="TableText"/>
              <w:rPr>
                <w:lang w:val="en-GB" w:eastAsia="en-GB"/>
              </w:rPr>
            </w:pPr>
            <w:r w:rsidRPr="00BD2530">
              <w:rPr>
                <w:lang w:eastAsia="en-GB"/>
              </w:rPr>
              <w:t xml:space="preserve">Number of people eligible for </w:t>
            </w:r>
            <w:r w:rsidRPr="00266D54">
              <w:rPr>
                <w:vertAlign w:val="superscript"/>
                <w:lang w:eastAsia="en-GB"/>
              </w:rPr>
              <w:t>177</w:t>
            </w:r>
            <w:r w:rsidRPr="00BD2530">
              <w:rPr>
                <w:lang w:eastAsia="en-GB"/>
              </w:rPr>
              <w:t xml:space="preserve">Lu-DOTA-octreotate </w:t>
            </w:r>
          </w:p>
        </w:tc>
        <w:tc>
          <w:tcPr>
            <w:tcW w:w="3742" w:type="pct"/>
            <w:gridSpan w:val="6"/>
            <w:tcBorders>
              <w:top w:val="single" w:sz="4" w:space="0" w:color="auto"/>
              <w:left w:val="nil"/>
              <w:bottom w:val="single" w:sz="4" w:space="0" w:color="auto"/>
              <w:right w:val="single" w:sz="4" w:space="0" w:color="000000" w:themeColor="text1"/>
            </w:tcBorders>
            <w:shd w:val="clear" w:color="auto" w:fill="auto"/>
            <w:vAlign w:val="center"/>
            <w:hideMark/>
          </w:tcPr>
          <w:p w14:paraId="109BC1DD" w14:textId="77777777" w:rsidR="002A2889" w:rsidRPr="00BD2530" w:rsidRDefault="002A2889" w:rsidP="002A2889">
            <w:pPr>
              <w:pStyle w:val="TableText"/>
              <w:rPr>
                <w:lang w:val="en-GB" w:eastAsia="en-GB"/>
              </w:rPr>
            </w:pPr>
            <w:r w:rsidRPr="00BD2530">
              <w:rPr>
                <w:lang w:val="en-GB" w:eastAsia="en-GB"/>
              </w:rPr>
              <w:t>Unknown</w:t>
            </w:r>
            <w:r w:rsidRPr="00BD2530">
              <w:rPr>
                <w:lang w:val="en-GB" w:eastAsia="en-GB"/>
              </w:rPr>
              <w:br/>
              <w:t>Assumed 3.5% to match applicant advised treatment population of approximately 200</w:t>
            </w:r>
          </w:p>
        </w:tc>
      </w:tr>
      <w:tr w:rsidR="00DB7C29" w:rsidRPr="00BD2530" w14:paraId="40C81C87"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4F4EB87E" w14:textId="77777777" w:rsidR="002A2889" w:rsidRPr="00BD2530" w:rsidRDefault="002A2889" w:rsidP="002A2889">
            <w:pPr>
              <w:pStyle w:val="TableText"/>
              <w:rPr>
                <w:lang w:val="en-GB" w:eastAsia="en-GB"/>
              </w:rPr>
            </w:pPr>
            <w:r w:rsidRPr="00BD2530">
              <w:rPr>
                <w:lang w:eastAsia="en-GB"/>
              </w:rPr>
              <w:t xml:space="preserve">Number of people who receive </w:t>
            </w:r>
            <w:r w:rsidRPr="00266D54">
              <w:rPr>
                <w:vertAlign w:val="superscript"/>
                <w:lang w:eastAsia="en-GB"/>
              </w:rPr>
              <w:t>177</w:t>
            </w:r>
            <w:r w:rsidRPr="00BD2530">
              <w:rPr>
                <w:lang w:eastAsia="en-GB"/>
              </w:rPr>
              <w:t xml:space="preserve">Lu-DOTA-octreotate </w:t>
            </w:r>
          </w:p>
        </w:tc>
        <w:tc>
          <w:tcPr>
            <w:tcW w:w="624" w:type="pct"/>
            <w:tcBorders>
              <w:top w:val="nil"/>
              <w:left w:val="nil"/>
              <w:bottom w:val="single" w:sz="4" w:space="0" w:color="auto"/>
              <w:right w:val="single" w:sz="4" w:space="0" w:color="auto"/>
            </w:tcBorders>
            <w:shd w:val="clear" w:color="auto" w:fill="auto"/>
            <w:vAlign w:val="center"/>
            <w:hideMark/>
          </w:tcPr>
          <w:p w14:paraId="1A08A034" w14:textId="77777777" w:rsidR="002A2889" w:rsidRPr="00BD2530" w:rsidRDefault="002A2889" w:rsidP="005A2591">
            <w:pPr>
              <w:pStyle w:val="TableText"/>
              <w:rPr>
                <w:lang w:val="en-GB" w:eastAsia="en-GB"/>
              </w:rPr>
            </w:pPr>
            <w:r w:rsidRPr="00BD2530">
              <w:rPr>
                <w:lang w:eastAsia="en-GB"/>
              </w:rPr>
              <w:t>197</w:t>
            </w:r>
          </w:p>
        </w:tc>
        <w:tc>
          <w:tcPr>
            <w:tcW w:w="624" w:type="pct"/>
            <w:tcBorders>
              <w:top w:val="nil"/>
              <w:left w:val="nil"/>
              <w:bottom w:val="single" w:sz="4" w:space="0" w:color="auto"/>
              <w:right w:val="single" w:sz="4" w:space="0" w:color="auto"/>
            </w:tcBorders>
            <w:shd w:val="clear" w:color="auto" w:fill="auto"/>
            <w:vAlign w:val="center"/>
            <w:hideMark/>
          </w:tcPr>
          <w:p w14:paraId="57F6A9FB" w14:textId="77777777" w:rsidR="002A2889" w:rsidRPr="00BD2530" w:rsidRDefault="002A2889" w:rsidP="005A2591">
            <w:pPr>
              <w:pStyle w:val="TableText"/>
              <w:rPr>
                <w:lang w:val="en-GB" w:eastAsia="en-GB"/>
              </w:rPr>
            </w:pPr>
            <w:r w:rsidRPr="00BD2530">
              <w:rPr>
                <w:lang w:eastAsia="en-GB"/>
              </w:rPr>
              <w:t>205</w:t>
            </w:r>
          </w:p>
        </w:tc>
        <w:tc>
          <w:tcPr>
            <w:tcW w:w="624" w:type="pct"/>
            <w:tcBorders>
              <w:top w:val="nil"/>
              <w:left w:val="nil"/>
              <w:bottom w:val="single" w:sz="4" w:space="0" w:color="auto"/>
              <w:right w:val="single" w:sz="4" w:space="0" w:color="auto"/>
            </w:tcBorders>
            <w:shd w:val="clear" w:color="auto" w:fill="auto"/>
            <w:vAlign w:val="center"/>
            <w:hideMark/>
          </w:tcPr>
          <w:p w14:paraId="2CE3D9C7" w14:textId="77777777" w:rsidR="002A2889" w:rsidRPr="00BD2530" w:rsidRDefault="002A2889" w:rsidP="005A2591">
            <w:pPr>
              <w:pStyle w:val="TableText"/>
              <w:rPr>
                <w:lang w:val="en-GB" w:eastAsia="en-GB"/>
              </w:rPr>
            </w:pPr>
            <w:r w:rsidRPr="00BD2530">
              <w:rPr>
                <w:lang w:eastAsia="en-GB"/>
              </w:rPr>
              <w:t>213</w:t>
            </w:r>
          </w:p>
        </w:tc>
        <w:tc>
          <w:tcPr>
            <w:tcW w:w="624" w:type="pct"/>
            <w:tcBorders>
              <w:top w:val="nil"/>
              <w:left w:val="nil"/>
              <w:bottom w:val="single" w:sz="4" w:space="0" w:color="auto"/>
              <w:right w:val="single" w:sz="4" w:space="0" w:color="auto"/>
            </w:tcBorders>
            <w:shd w:val="clear" w:color="auto" w:fill="auto"/>
            <w:vAlign w:val="center"/>
            <w:hideMark/>
          </w:tcPr>
          <w:p w14:paraId="3C2667BB" w14:textId="77777777" w:rsidR="002A2889" w:rsidRPr="00BD2530" w:rsidRDefault="002A2889" w:rsidP="005A2591">
            <w:pPr>
              <w:pStyle w:val="TableText"/>
              <w:rPr>
                <w:lang w:val="en-GB" w:eastAsia="en-GB"/>
              </w:rPr>
            </w:pPr>
            <w:r w:rsidRPr="00BD2530">
              <w:rPr>
                <w:lang w:eastAsia="en-GB"/>
              </w:rPr>
              <w:t>221</w:t>
            </w:r>
          </w:p>
        </w:tc>
        <w:tc>
          <w:tcPr>
            <w:tcW w:w="624" w:type="pct"/>
            <w:tcBorders>
              <w:top w:val="nil"/>
              <w:left w:val="nil"/>
              <w:bottom w:val="single" w:sz="4" w:space="0" w:color="auto"/>
              <w:right w:val="single" w:sz="4" w:space="0" w:color="auto"/>
            </w:tcBorders>
            <w:shd w:val="clear" w:color="auto" w:fill="auto"/>
            <w:vAlign w:val="center"/>
            <w:hideMark/>
          </w:tcPr>
          <w:p w14:paraId="286652DE" w14:textId="77777777" w:rsidR="002A2889" w:rsidRPr="00BD2530" w:rsidRDefault="002A2889" w:rsidP="005A2591">
            <w:pPr>
              <w:pStyle w:val="TableText"/>
              <w:rPr>
                <w:lang w:val="en-GB" w:eastAsia="en-GB"/>
              </w:rPr>
            </w:pPr>
            <w:r w:rsidRPr="00BD2530">
              <w:rPr>
                <w:lang w:eastAsia="en-GB"/>
              </w:rPr>
              <w:t>229</w:t>
            </w:r>
          </w:p>
        </w:tc>
        <w:tc>
          <w:tcPr>
            <w:tcW w:w="622" w:type="pct"/>
            <w:tcBorders>
              <w:top w:val="nil"/>
              <w:left w:val="nil"/>
              <w:bottom w:val="single" w:sz="4" w:space="0" w:color="auto"/>
              <w:right w:val="single" w:sz="4" w:space="0" w:color="auto"/>
            </w:tcBorders>
            <w:shd w:val="clear" w:color="auto" w:fill="auto"/>
            <w:vAlign w:val="center"/>
            <w:hideMark/>
          </w:tcPr>
          <w:p w14:paraId="7885D1A2" w14:textId="77777777" w:rsidR="002A2889" w:rsidRPr="00BD2530" w:rsidRDefault="002A2889" w:rsidP="005A2591">
            <w:pPr>
              <w:pStyle w:val="TableText"/>
              <w:rPr>
                <w:lang w:val="en-GB" w:eastAsia="en-GB"/>
              </w:rPr>
            </w:pPr>
            <w:r w:rsidRPr="00BD2530">
              <w:rPr>
                <w:lang w:eastAsia="en-GB"/>
              </w:rPr>
              <w:t>238</w:t>
            </w:r>
          </w:p>
        </w:tc>
      </w:tr>
      <w:tr w:rsidR="00DB7C29" w:rsidRPr="00BD2530" w14:paraId="5273C20A"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57FB3771" w14:textId="46ED4B06" w:rsidR="00EF467F" w:rsidRPr="00BD2530" w:rsidRDefault="00EF467F" w:rsidP="00EF467F">
            <w:pPr>
              <w:pStyle w:val="TableText"/>
              <w:rPr>
                <w:lang w:eastAsia="en-GB"/>
              </w:rPr>
            </w:pPr>
            <w:r>
              <w:rPr>
                <w:lang w:eastAsia="en-GB"/>
              </w:rPr>
              <w:t xml:space="preserve">Number of </w:t>
            </w:r>
            <w:r w:rsidRPr="0079129E">
              <w:rPr>
                <w:vertAlign w:val="superscript"/>
                <w:lang w:eastAsia="en-GB"/>
              </w:rPr>
              <w:t>177</w:t>
            </w:r>
            <w:r w:rsidRPr="00BD2530">
              <w:rPr>
                <w:lang w:eastAsia="en-GB"/>
              </w:rPr>
              <w:t>Lu-DOTA-octreotate</w:t>
            </w:r>
            <w:r>
              <w:rPr>
                <w:lang w:eastAsia="en-GB"/>
              </w:rPr>
              <w:t xml:space="preserve"> recipients</w:t>
            </w:r>
            <w:r w:rsidRPr="5EF0760D">
              <w:rPr>
                <w:lang w:eastAsia="en-GB"/>
              </w:rPr>
              <w:t xml:space="preserve"> </w:t>
            </w:r>
            <w:r>
              <w:rPr>
                <w:lang w:eastAsia="en-GB"/>
              </w:rPr>
              <w:t>tested</w:t>
            </w:r>
            <w:r w:rsidRPr="5EF0760D">
              <w:rPr>
                <w:lang w:eastAsia="en-GB"/>
              </w:rPr>
              <w:t xml:space="preserve"> with </w:t>
            </w:r>
            <w:r w:rsidRPr="5EF0760D">
              <w:rPr>
                <w:vertAlign w:val="superscript"/>
                <w:lang w:eastAsia="en-GB"/>
              </w:rPr>
              <w:t>68</w:t>
            </w:r>
            <w:r w:rsidRPr="5EF0760D">
              <w:rPr>
                <w:lang w:eastAsia="en-GB"/>
              </w:rPr>
              <w:t>Ga-DOTA-octreotate PET/CT (100</w:t>
            </w:r>
            <w:proofErr w:type="gramStart"/>
            <w:r w:rsidRPr="5EF0760D">
              <w:rPr>
                <w:lang w:eastAsia="en-GB"/>
              </w:rPr>
              <w:t>%)*</w:t>
            </w:r>
            <w:proofErr w:type="gramEnd"/>
          </w:p>
        </w:tc>
        <w:tc>
          <w:tcPr>
            <w:tcW w:w="624" w:type="pct"/>
            <w:tcBorders>
              <w:top w:val="nil"/>
              <w:left w:val="nil"/>
              <w:bottom w:val="single" w:sz="4" w:space="0" w:color="auto"/>
              <w:right w:val="single" w:sz="4" w:space="0" w:color="auto"/>
            </w:tcBorders>
            <w:shd w:val="clear" w:color="auto" w:fill="auto"/>
            <w:vAlign w:val="center"/>
            <w:hideMark/>
          </w:tcPr>
          <w:p w14:paraId="5B8AC011" w14:textId="77777777" w:rsidR="00EF467F" w:rsidRPr="00BD2530" w:rsidRDefault="00EF467F" w:rsidP="00EF467F">
            <w:pPr>
              <w:pStyle w:val="TableText"/>
              <w:rPr>
                <w:lang w:val="en-GB" w:eastAsia="en-GB"/>
              </w:rPr>
            </w:pPr>
            <w:r w:rsidRPr="00BD2530">
              <w:rPr>
                <w:lang w:val="en-GB" w:eastAsia="en-GB"/>
              </w:rPr>
              <w:t>197</w:t>
            </w:r>
          </w:p>
        </w:tc>
        <w:tc>
          <w:tcPr>
            <w:tcW w:w="624" w:type="pct"/>
            <w:tcBorders>
              <w:top w:val="nil"/>
              <w:left w:val="nil"/>
              <w:bottom w:val="single" w:sz="4" w:space="0" w:color="auto"/>
              <w:right w:val="single" w:sz="4" w:space="0" w:color="auto"/>
            </w:tcBorders>
            <w:shd w:val="clear" w:color="auto" w:fill="auto"/>
            <w:vAlign w:val="center"/>
            <w:hideMark/>
          </w:tcPr>
          <w:p w14:paraId="74F73A18" w14:textId="77777777" w:rsidR="00EF467F" w:rsidRPr="00BD2530" w:rsidRDefault="00EF467F" w:rsidP="00EF467F">
            <w:pPr>
              <w:pStyle w:val="TableText"/>
              <w:rPr>
                <w:lang w:val="en-GB" w:eastAsia="en-GB"/>
              </w:rPr>
            </w:pPr>
            <w:r w:rsidRPr="00BD2530">
              <w:rPr>
                <w:lang w:val="en-GB" w:eastAsia="en-GB"/>
              </w:rPr>
              <w:t>205</w:t>
            </w:r>
          </w:p>
        </w:tc>
        <w:tc>
          <w:tcPr>
            <w:tcW w:w="624" w:type="pct"/>
            <w:tcBorders>
              <w:top w:val="nil"/>
              <w:left w:val="nil"/>
              <w:bottom w:val="single" w:sz="4" w:space="0" w:color="auto"/>
              <w:right w:val="single" w:sz="4" w:space="0" w:color="auto"/>
            </w:tcBorders>
            <w:shd w:val="clear" w:color="auto" w:fill="auto"/>
            <w:vAlign w:val="center"/>
            <w:hideMark/>
          </w:tcPr>
          <w:p w14:paraId="4B7C9677" w14:textId="77777777" w:rsidR="00EF467F" w:rsidRPr="00BD2530" w:rsidRDefault="00EF467F" w:rsidP="00EF467F">
            <w:pPr>
              <w:pStyle w:val="TableText"/>
              <w:rPr>
                <w:lang w:val="en-GB" w:eastAsia="en-GB"/>
              </w:rPr>
            </w:pPr>
            <w:r w:rsidRPr="00BD2530">
              <w:rPr>
                <w:lang w:val="en-GB" w:eastAsia="en-GB"/>
              </w:rPr>
              <w:t>213</w:t>
            </w:r>
          </w:p>
        </w:tc>
        <w:tc>
          <w:tcPr>
            <w:tcW w:w="624" w:type="pct"/>
            <w:tcBorders>
              <w:top w:val="nil"/>
              <w:left w:val="nil"/>
              <w:bottom w:val="single" w:sz="4" w:space="0" w:color="auto"/>
              <w:right w:val="single" w:sz="4" w:space="0" w:color="auto"/>
            </w:tcBorders>
            <w:shd w:val="clear" w:color="auto" w:fill="auto"/>
            <w:vAlign w:val="center"/>
            <w:hideMark/>
          </w:tcPr>
          <w:p w14:paraId="05A534DE" w14:textId="77777777" w:rsidR="00EF467F" w:rsidRPr="00BD2530" w:rsidRDefault="00EF467F" w:rsidP="00EF467F">
            <w:pPr>
              <w:pStyle w:val="TableText"/>
              <w:rPr>
                <w:lang w:val="en-GB" w:eastAsia="en-GB"/>
              </w:rPr>
            </w:pPr>
            <w:r w:rsidRPr="00BD2530">
              <w:rPr>
                <w:lang w:val="en-GB" w:eastAsia="en-GB"/>
              </w:rPr>
              <w:t>221</w:t>
            </w:r>
          </w:p>
        </w:tc>
        <w:tc>
          <w:tcPr>
            <w:tcW w:w="624" w:type="pct"/>
            <w:tcBorders>
              <w:top w:val="nil"/>
              <w:left w:val="nil"/>
              <w:bottom w:val="single" w:sz="4" w:space="0" w:color="auto"/>
              <w:right w:val="single" w:sz="4" w:space="0" w:color="auto"/>
            </w:tcBorders>
            <w:shd w:val="clear" w:color="auto" w:fill="auto"/>
            <w:vAlign w:val="center"/>
            <w:hideMark/>
          </w:tcPr>
          <w:p w14:paraId="2DE9CFC3" w14:textId="77777777" w:rsidR="00EF467F" w:rsidRPr="00BD2530" w:rsidRDefault="00EF467F" w:rsidP="00EF467F">
            <w:pPr>
              <w:pStyle w:val="TableText"/>
              <w:rPr>
                <w:lang w:val="en-GB" w:eastAsia="en-GB"/>
              </w:rPr>
            </w:pPr>
            <w:r w:rsidRPr="00BD2530">
              <w:rPr>
                <w:lang w:val="en-GB" w:eastAsia="en-GB"/>
              </w:rPr>
              <w:t>229</w:t>
            </w:r>
          </w:p>
        </w:tc>
        <w:tc>
          <w:tcPr>
            <w:tcW w:w="622" w:type="pct"/>
            <w:tcBorders>
              <w:top w:val="nil"/>
              <w:left w:val="nil"/>
              <w:bottom w:val="single" w:sz="4" w:space="0" w:color="auto"/>
              <w:right w:val="single" w:sz="4" w:space="0" w:color="auto"/>
            </w:tcBorders>
            <w:shd w:val="clear" w:color="auto" w:fill="auto"/>
            <w:vAlign w:val="center"/>
            <w:hideMark/>
          </w:tcPr>
          <w:p w14:paraId="7DD43EA2" w14:textId="77777777" w:rsidR="00EF467F" w:rsidRPr="00BD2530" w:rsidRDefault="00EF467F" w:rsidP="00EF467F">
            <w:pPr>
              <w:pStyle w:val="TableText"/>
              <w:rPr>
                <w:lang w:val="en-GB" w:eastAsia="en-GB"/>
              </w:rPr>
            </w:pPr>
            <w:r w:rsidRPr="00BD2530">
              <w:rPr>
                <w:lang w:val="en-GB" w:eastAsia="en-GB"/>
              </w:rPr>
              <w:t>238</w:t>
            </w:r>
          </w:p>
        </w:tc>
      </w:tr>
      <w:tr w:rsidR="00DB7C29" w:rsidRPr="00BD2530" w14:paraId="70ECC432"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3DE7D6C5" w14:textId="18640E3B" w:rsidR="00EF467F" w:rsidRPr="00BD2530" w:rsidRDefault="00EF467F" w:rsidP="00EF467F">
            <w:pPr>
              <w:pStyle w:val="TableText"/>
              <w:rPr>
                <w:lang w:eastAsia="en-GB"/>
              </w:rPr>
            </w:pPr>
            <w:r>
              <w:rPr>
                <w:lang w:eastAsia="en-GB"/>
              </w:rPr>
              <w:t xml:space="preserve">Number of </w:t>
            </w:r>
            <w:r w:rsidRPr="0079129E">
              <w:rPr>
                <w:vertAlign w:val="superscript"/>
                <w:lang w:eastAsia="en-GB"/>
              </w:rPr>
              <w:t>177</w:t>
            </w:r>
            <w:r w:rsidRPr="00BD2530">
              <w:rPr>
                <w:lang w:eastAsia="en-GB"/>
              </w:rPr>
              <w:t>Lu-DOTA-octreotate</w:t>
            </w:r>
            <w:r>
              <w:rPr>
                <w:lang w:eastAsia="en-GB"/>
              </w:rPr>
              <w:t xml:space="preserve"> recipients</w:t>
            </w:r>
            <w:r w:rsidRPr="5EF0760D">
              <w:rPr>
                <w:lang w:eastAsia="en-GB"/>
              </w:rPr>
              <w:t xml:space="preserve"> </w:t>
            </w:r>
            <w:r>
              <w:rPr>
                <w:lang w:eastAsia="en-GB"/>
              </w:rPr>
              <w:t>tested</w:t>
            </w:r>
            <w:r w:rsidRPr="5EF0760D">
              <w:rPr>
                <w:lang w:eastAsia="en-GB"/>
              </w:rPr>
              <w:t xml:space="preserve"> with </w:t>
            </w:r>
            <w:r w:rsidRPr="00931C1C">
              <w:rPr>
                <w:vertAlign w:val="superscript"/>
                <w:lang w:eastAsia="en-GB"/>
              </w:rPr>
              <w:t>18</w:t>
            </w:r>
            <w:r>
              <w:rPr>
                <w:lang w:eastAsia="en-GB"/>
              </w:rPr>
              <w:t>F-</w:t>
            </w:r>
            <w:r w:rsidRPr="5EF0760D">
              <w:rPr>
                <w:lang w:eastAsia="en-GB"/>
              </w:rPr>
              <w:t>FDG PET/CT (30</w:t>
            </w:r>
            <w:proofErr w:type="gramStart"/>
            <w:r w:rsidRPr="5EF0760D">
              <w:rPr>
                <w:lang w:eastAsia="en-GB"/>
              </w:rPr>
              <w:t>%)†</w:t>
            </w:r>
            <w:proofErr w:type="gramEnd"/>
          </w:p>
        </w:tc>
        <w:tc>
          <w:tcPr>
            <w:tcW w:w="624" w:type="pct"/>
            <w:tcBorders>
              <w:top w:val="nil"/>
              <w:left w:val="nil"/>
              <w:bottom w:val="single" w:sz="4" w:space="0" w:color="auto"/>
              <w:right w:val="single" w:sz="4" w:space="0" w:color="auto"/>
            </w:tcBorders>
            <w:shd w:val="clear" w:color="auto" w:fill="auto"/>
            <w:vAlign w:val="center"/>
            <w:hideMark/>
          </w:tcPr>
          <w:p w14:paraId="022714F1" w14:textId="77777777" w:rsidR="00EF467F" w:rsidRPr="00BD2530" w:rsidRDefault="00EF467F" w:rsidP="00EF467F">
            <w:pPr>
              <w:pStyle w:val="TableText"/>
              <w:rPr>
                <w:lang w:val="en-GB" w:eastAsia="en-GB"/>
              </w:rPr>
            </w:pPr>
            <w:r w:rsidRPr="00BD2530">
              <w:rPr>
                <w:lang w:val="en-GB" w:eastAsia="en-GB"/>
              </w:rPr>
              <w:t>59</w:t>
            </w:r>
          </w:p>
        </w:tc>
        <w:tc>
          <w:tcPr>
            <w:tcW w:w="624" w:type="pct"/>
            <w:tcBorders>
              <w:top w:val="nil"/>
              <w:left w:val="nil"/>
              <w:bottom w:val="single" w:sz="4" w:space="0" w:color="auto"/>
              <w:right w:val="single" w:sz="4" w:space="0" w:color="auto"/>
            </w:tcBorders>
            <w:shd w:val="clear" w:color="auto" w:fill="auto"/>
            <w:vAlign w:val="center"/>
            <w:hideMark/>
          </w:tcPr>
          <w:p w14:paraId="305B1F11" w14:textId="77777777" w:rsidR="00EF467F" w:rsidRPr="00BD2530" w:rsidRDefault="00EF467F" w:rsidP="00EF467F">
            <w:pPr>
              <w:pStyle w:val="TableText"/>
              <w:rPr>
                <w:lang w:val="en-GB" w:eastAsia="en-GB"/>
              </w:rPr>
            </w:pPr>
            <w:r w:rsidRPr="00BD2530">
              <w:rPr>
                <w:lang w:val="en-GB" w:eastAsia="en-GB"/>
              </w:rPr>
              <w:t>61</w:t>
            </w:r>
          </w:p>
        </w:tc>
        <w:tc>
          <w:tcPr>
            <w:tcW w:w="624" w:type="pct"/>
            <w:tcBorders>
              <w:top w:val="nil"/>
              <w:left w:val="nil"/>
              <w:bottom w:val="single" w:sz="4" w:space="0" w:color="auto"/>
              <w:right w:val="single" w:sz="4" w:space="0" w:color="auto"/>
            </w:tcBorders>
            <w:shd w:val="clear" w:color="auto" w:fill="auto"/>
            <w:vAlign w:val="center"/>
            <w:hideMark/>
          </w:tcPr>
          <w:p w14:paraId="32C3ADE3" w14:textId="77777777" w:rsidR="00EF467F" w:rsidRPr="00BD2530" w:rsidRDefault="00EF467F" w:rsidP="00EF467F">
            <w:pPr>
              <w:pStyle w:val="TableText"/>
              <w:rPr>
                <w:lang w:val="en-GB" w:eastAsia="en-GB"/>
              </w:rPr>
            </w:pPr>
            <w:r w:rsidRPr="00BD2530">
              <w:rPr>
                <w:lang w:val="en-GB" w:eastAsia="en-GB"/>
              </w:rPr>
              <w:t>64</w:t>
            </w:r>
          </w:p>
        </w:tc>
        <w:tc>
          <w:tcPr>
            <w:tcW w:w="624" w:type="pct"/>
            <w:tcBorders>
              <w:top w:val="nil"/>
              <w:left w:val="nil"/>
              <w:bottom w:val="single" w:sz="4" w:space="0" w:color="auto"/>
              <w:right w:val="single" w:sz="4" w:space="0" w:color="auto"/>
            </w:tcBorders>
            <w:shd w:val="clear" w:color="auto" w:fill="auto"/>
            <w:vAlign w:val="center"/>
            <w:hideMark/>
          </w:tcPr>
          <w:p w14:paraId="17F2BEB9" w14:textId="77777777" w:rsidR="00EF467F" w:rsidRPr="00BD2530" w:rsidRDefault="00EF467F" w:rsidP="00EF467F">
            <w:pPr>
              <w:pStyle w:val="TableText"/>
              <w:rPr>
                <w:lang w:val="en-GB" w:eastAsia="en-GB"/>
              </w:rPr>
            </w:pPr>
            <w:r w:rsidRPr="00BD2530">
              <w:rPr>
                <w:lang w:val="en-GB" w:eastAsia="en-GB"/>
              </w:rPr>
              <w:t>66</w:t>
            </w:r>
          </w:p>
        </w:tc>
        <w:tc>
          <w:tcPr>
            <w:tcW w:w="624" w:type="pct"/>
            <w:tcBorders>
              <w:top w:val="nil"/>
              <w:left w:val="nil"/>
              <w:bottom w:val="single" w:sz="4" w:space="0" w:color="auto"/>
              <w:right w:val="single" w:sz="4" w:space="0" w:color="auto"/>
            </w:tcBorders>
            <w:shd w:val="clear" w:color="auto" w:fill="auto"/>
            <w:vAlign w:val="center"/>
            <w:hideMark/>
          </w:tcPr>
          <w:p w14:paraId="568B9034" w14:textId="77777777" w:rsidR="00EF467F" w:rsidRPr="00BD2530" w:rsidRDefault="00EF467F" w:rsidP="00EF467F">
            <w:pPr>
              <w:pStyle w:val="TableText"/>
              <w:rPr>
                <w:lang w:val="en-GB" w:eastAsia="en-GB"/>
              </w:rPr>
            </w:pPr>
            <w:r w:rsidRPr="00BD2530">
              <w:rPr>
                <w:lang w:val="en-GB" w:eastAsia="en-GB"/>
              </w:rPr>
              <w:t>69</w:t>
            </w:r>
          </w:p>
        </w:tc>
        <w:tc>
          <w:tcPr>
            <w:tcW w:w="622" w:type="pct"/>
            <w:tcBorders>
              <w:top w:val="nil"/>
              <w:left w:val="nil"/>
              <w:bottom w:val="single" w:sz="4" w:space="0" w:color="auto"/>
              <w:right w:val="single" w:sz="4" w:space="0" w:color="auto"/>
            </w:tcBorders>
            <w:shd w:val="clear" w:color="auto" w:fill="auto"/>
            <w:vAlign w:val="center"/>
            <w:hideMark/>
          </w:tcPr>
          <w:p w14:paraId="4328024B" w14:textId="77777777" w:rsidR="00EF467F" w:rsidRPr="00BD2530" w:rsidRDefault="00EF467F" w:rsidP="00EF467F">
            <w:pPr>
              <w:pStyle w:val="TableText"/>
              <w:rPr>
                <w:lang w:val="en-GB" w:eastAsia="en-GB"/>
              </w:rPr>
            </w:pPr>
            <w:r w:rsidRPr="00BD2530">
              <w:rPr>
                <w:lang w:val="en-GB" w:eastAsia="en-GB"/>
              </w:rPr>
              <w:t>71</w:t>
            </w:r>
          </w:p>
        </w:tc>
      </w:tr>
      <w:tr w:rsidR="004C302A" w:rsidRPr="00BD2530" w14:paraId="57298AFF"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1EC9747F" w14:textId="77777777" w:rsidR="004C302A" w:rsidRPr="00BD2530" w:rsidRDefault="004C302A" w:rsidP="004C302A">
            <w:pPr>
              <w:pStyle w:val="TableText"/>
              <w:rPr>
                <w:lang w:val="en-GB" w:eastAsia="en-GB"/>
              </w:rPr>
            </w:pPr>
            <w:r w:rsidRPr="00BD2530">
              <w:rPr>
                <w:lang w:val="en-GB" w:eastAsia="en-GB"/>
              </w:rPr>
              <w:t>Cost to the MBS; treatment drug cost</w:t>
            </w:r>
          </w:p>
        </w:tc>
        <w:tc>
          <w:tcPr>
            <w:tcW w:w="624" w:type="pct"/>
            <w:tcBorders>
              <w:top w:val="nil"/>
              <w:left w:val="nil"/>
              <w:bottom w:val="single" w:sz="4" w:space="0" w:color="auto"/>
              <w:right w:val="single" w:sz="4" w:space="0" w:color="auto"/>
            </w:tcBorders>
            <w:shd w:val="clear" w:color="auto" w:fill="auto"/>
            <w:vAlign w:val="center"/>
            <w:hideMark/>
          </w:tcPr>
          <w:p w14:paraId="3186ED67" w14:textId="29847188" w:rsidR="004C302A" w:rsidRPr="00BD2530" w:rsidRDefault="004C302A" w:rsidP="004C302A">
            <w:pPr>
              <w:pStyle w:val="TableText"/>
              <w:rPr>
                <w:lang w:val="en-GB" w:eastAsia="en-GB"/>
              </w:rPr>
            </w:pPr>
            <w:r w:rsidRPr="00810ADB">
              <w:rPr>
                <w:color w:val="000000"/>
              </w:rPr>
              <w:t>$</w:t>
            </w:r>
            <w:r>
              <w:rPr>
                <w:rFonts w:cs="Calibri"/>
                <w:color w:val="000000"/>
                <w:szCs w:val="20"/>
              </w:rPr>
              <w:t>7,190,649</w:t>
            </w:r>
          </w:p>
        </w:tc>
        <w:tc>
          <w:tcPr>
            <w:tcW w:w="624" w:type="pct"/>
            <w:tcBorders>
              <w:top w:val="nil"/>
              <w:left w:val="nil"/>
              <w:bottom w:val="single" w:sz="4" w:space="0" w:color="auto"/>
              <w:right w:val="single" w:sz="4" w:space="0" w:color="auto"/>
            </w:tcBorders>
            <w:shd w:val="clear" w:color="auto" w:fill="auto"/>
            <w:vAlign w:val="center"/>
            <w:hideMark/>
          </w:tcPr>
          <w:p w14:paraId="204E43EA" w14:textId="128E3EFF" w:rsidR="004C302A" w:rsidRPr="00BD2530" w:rsidRDefault="004C302A" w:rsidP="004C302A">
            <w:pPr>
              <w:pStyle w:val="TableText"/>
              <w:rPr>
                <w:lang w:val="en-GB" w:eastAsia="en-GB"/>
              </w:rPr>
            </w:pPr>
            <w:r w:rsidRPr="00810ADB">
              <w:rPr>
                <w:color w:val="000000"/>
              </w:rPr>
              <w:t>$</w:t>
            </w:r>
            <w:r>
              <w:rPr>
                <w:rFonts w:cs="Calibri"/>
                <w:color w:val="000000"/>
                <w:szCs w:val="20"/>
              </w:rPr>
              <w:t>7,464,649</w:t>
            </w:r>
          </w:p>
        </w:tc>
        <w:tc>
          <w:tcPr>
            <w:tcW w:w="624" w:type="pct"/>
            <w:tcBorders>
              <w:top w:val="nil"/>
              <w:left w:val="nil"/>
              <w:bottom w:val="single" w:sz="4" w:space="0" w:color="auto"/>
              <w:right w:val="single" w:sz="4" w:space="0" w:color="auto"/>
            </w:tcBorders>
            <w:shd w:val="clear" w:color="auto" w:fill="auto"/>
            <w:vAlign w:val="center"/>
            <w:hideMark/>
          </w:tcPr>
          <w:p w14:paraId="75902406" w14:textId="62875CCB" w:rsidR="004C302A" w:rsidRPr="00BD2530" w:rsidRDefault="004C302A" w:rsidP="004C302A">
            <w:pPr>
              <w:pStyle w:val="TableText"/>
              <w:rPr>
                <w:lang w:val="en-GB" w:eastAsia="en-GB"/>
              </w:rPr>
            </w:pPr>
            <w:r w:rsidRPr="00810ADB">
              <w:rPr>
                <w:color w:val="000000"/>
              </w:rPr>
              <w:t>$</w:t>
            </w:r>
            <w:r>
              <w:rPr>
                <w:rFonts w:cs="Calibri"/>
                <w:color w:val="000000"/>
                <w:szCs w:val="20"/>
              </w:rPr>
              <w:t>7,749,089</w:t>
            </w:r>
          </w:p>
        </w:tc>
        <w:tc>
          <w:tcPr>
            <w:tcW w:w="624" w:type="pct"/>
            <w:tcBorders>
              <w:top w:val="nil"/>
              <w:left w:val="nil"/>
              <w:bottom w:val="single" w:sz="4" w:space="0" w:color="auto"/>
              <w:right w:val="single" w:sz="4" w:space="0" w:color="auto"/>
            </w:tcBorders>
            <w:shd w:val="clear" w:color="auto" w:fill="auto"/>
            <w:vAlign w:val="center"/>
            <w:hideMark/>
          </w:tcPr>
          <w:p w14:paraId="35C2E6FA" w14:textId="561B8FDA" w:rsidR="004C302A" w:rsidRPr="00BD2530" w:rsidRDefault="004C302A" w:rsidP="004C302A">
            <w:pPr>
              <w:pStyle w:val="TableText"/>
              <w:rPr>
                <w:lang w:val="en-GB" w:eastAsia="en-GB"/>
              </w:rPr>
            </w:pPr>
            <w:r w:rsidRPr="00810ADB">
              <w:rPr>
                <w:color w:val="000000"/>
              </w:rPr>
              <w:t>$</w:t>
            </w:r>
            <w:r>
              <w:rPr>
                <w:rFonts w:cs="Calibri"/>
                <w:color w:val="000000"/>
                <w:szCs w:val="20"/>
              </w:rPr>
              <w:t>8,044,368</w:t>
            </w:r>
          </w:p>
        </w:tc>
        <w:tc>
          <w:tcPr>
            <w:tcW w:w="624" w:type="pct"/>
            <w:tcBorders>
              <w:top w:val="nil"/>
              <w:left w:val="nil"/>
              <w:bottom w:val="single" w:sz="4" w:space="0" w:color="auto"/>
              <w:right w:val="single" w:sz="4" w:space="0" w:color="auto"/>
            </w:tcBorders>
            <w:shd w:val="clear" w:color="auto" w:fill="auto"/>
            <w:vAlign w:val="center"/>
            <w:hideMark/>
          </w:tcPr>
          <w:p w14:paraId="1123D4C6" w14:textId="630731DE" w:rsidR="004C302A" w:rsidRPr="00BD2530" w:rsidRDefault="004C302A" w:rsidP="004C302A">
            <w:pPr>
              <w:pStyle w:val="TableText"/>
              <w:rPr>
                <w:lang w:val="en-GB" w:eastAsia="en-GB"/>
              </w:rPr>
            </w:pPr>
            <w:r w:rsidRPr="00810ADB">
              <w:rPr>
                <w:color w:val="000000"/>
              </w:rPr>
              <w:t>$</w:t>
            </w:r>
            <w:r>
              <w:rPr>
                <w:rFonts w:cs="Calibri"/>
                <w:color w:val="000000"/>
                <w:szCs w:val="20"/>
              </w:rPr>
              <w:t>8,350,899</w:t>
            </w:r>
          </w:p>
        </w:tc>
        <w:tc>
          <w:tcPr>
            <w:tcW w:w="622" w:type="pct"/>
            <w:tcBorders>
              <w:top w:val="nil"/>
              <w:left w:val="nil"/>
              <w:bottom w:val="single" w:sz="4" w:space="0" w:color="auto"/>
              <w:right w:val="single" w:sz="4" w:space="0" w:color="auto"/>
            </w:tcBorders>
            <w:shd w:val="clear" w:color="auto" w:fill="auto"/>
            <w:vAlign w:val="center"/>
            <w:hideMark/>
          </w:tcPr>
          <w:p w14:paraId="26A65C24" w14:textId="76D2B648" w:rsidR="004C302A" w:rsidRPr="00BD2530" w:rsidRDefault="004C302A" w:rsidP="004C302A">
            <w:pPr>
              <w:pStyle w:val="TableText"/>
              <w:rPr>
                <w:lang w:val="en-GB" w:eastAsia="en-GB"/>
              </w:rPr>
            </w:pPr>
            <w:r w:rsidRPr="00810ADB">
              <w:rPr>
                <w:color w:val="000000"/>
              </w:rPr>
              <w:t>$</w:t>
            </w:r>
            <w:r>
              <w:rPr>
                <w:rFonts w:cs="Calibri"/>
                <w:color w:val="000000"/>
                <w:szCs w:val="20"/>
              </w:rPr>
              <w:t>8,669,109</w:t>
            </w:r>
          </w:p>
        </w:tc>
      </w:tr>
      <w:tr w:rsidR="00DB7C29" w:rsidRPr="00BD2530" w14:paraId="0C96C766"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6FC64222" w14:textId="77777777" w:rsidR="00AC7333" w:rsidRPr="00BD2530" w:rsidRDefault="00AC7333" w:rsidP="00AC7333">
            <w:pPr>
              <w:pStyle w:val="TableText"/>
              <w:rPr>
                <w:lang w:val="en-GB" w:eastAsia="en-GB"/>
              </w:rPr>
            </w:pPr>
            <w:r w:rsidRPr="00BD2530">
              <w:rPr>
                <w:lang w:val="en-GB" w:eastAsia="en-GB"/>
              </w:rPr>
              <w:t>Cost to the MBS; diagnostic test cost</w:t>
            </w:r>
          </w:p>
        </w:tc>
        <w:tc>
          <w:tcPr>
            <w:tcW w:w="624" w:type="pct"/>
            <w:tcBorders>
              <w:top w:val="nil"/>
              <w:left w:val="nil"/>
              <w:bottom w:val="single" w:sz="4" w:space="0" w:color="auto"/>
              <w:right w:val="single" w:sz="4" w:space="0" w:color="auto"/>
            </w:tcBorders>
            <w:shd w:val="clear" w:color="auto" w:fill="auto"/>
            <w:vAlign w:val="center"/>
            <w:hideMark/>
          </w:tcPr>
          <w:p w14:paraId="23E408F7" w14:textId="675196FC" w:rsidR="00AC7333" w:rsidRPr="00BD2530" w:rsidRDefault="00AC7333" w:rsidP="00AC7333">
            <w:pPr>
              <w:pStyle w:val="TableText"/>
              <w:rPr>
                <w:lang w:val="en-GB" w:eastAsia="en-GB"/>
              </w:rPr>
            </w:pPr>
            <w:r w:rsidRPr="001053EF">
              <w:t>$</w:t>
            </w:r>
            <w:r w:rsidRPr="00CB0EF7">
              <w:t>240,037</w:t>
            </w:r>
          </w:p>
        </w:tc>
        <w:tc>
          <w:tcPr>
            <w:tcW w:w="624" w:type="pct"/>
            <w:tcBorders>
              <w:top w:val="nil"/>
              <w:left w:val="nil"/>
              <w:bottom w:val="single" w:sz="4" w:space="0" w:color="auto"/>
              <w:right w:val="single" w:sz="4" w:space="0" w:color="auto"/>
            </w:tcBorders>
            <w:shd w:val="clear" w:color="auto" w:fill="auto"/>
            <w:vAlign w:val="center"/>
            <w:hideMark/>
          </w:tcPr>
          <w:p w14:paraId="7E38B3E2" w14:textId="401A37EF" w:rsidR="00AC7333" w:rsidRPr="00BD2530" w:rsidRDefault="00AC7333" w:rsidP="00AC7333">
            <w:pPr>
              <w:pStyle w:val="TableText"/>
              <w:rPr>
                <w:lang w:val="en-GB" w:eastAsia="en-GB"/>
              </w:rPr>
            </w:pPr>
            <w:r w:rsidRPr="001053EF">
              <w:t>$</w:t>
            </w:r>
            <w:r w:rsidRPr="00CB0EF7">
              <w:t>249,183</w:t>
            </w:r>
          </w:p>
        </w:tc>
        <w:tc>
          <w:tcPr>
            <w:tcW w:w="624" w:type="pct"/>
            <w:tcBorders>
              <w:top w:val="nil"/>
              <w:left w:val="nil"/>
              <w:bottom w:val="single" w:sz="4" w:space="0" w:color="auto"/>
              <w:right w:val="single" w:sz="4" w:space="0" w:color="auto"/>
            </w:tcBorders>
            <w:shd w:val="clear" w:color="auto" w:fill="auto"/>
            <w:vAlign w:val="center"/>
            <w:hideMark/>
          </w:tcPr>
          <w:p w14:paraId="6059E23B" w14:textId="48E0A55D" w:rsidR="00AC7333" w:rsidRPr="00BD2530" w:rsidRDefault="00AC7333" w:rsidP="00AC7333">
            <w:pPr>
              <w:pStyle w:val="TableText"/>
              <w:rPr>
                <w:lang w:val="en-GB" w:eastAsia="en-GB"/>
              </w:rPr>
            </w:pPr>
            <w:r w:rsidRPr="001053EF">
              <w:t>$</w:t>
            </w:r>
            <w:r w:rsidRPr="00CB0EF7">
              <w:t>258,679</w:t>
            </w:r>
          </w:p>
        </w:tc>
        <w:tc>
          <w:tcPr>
            <w:tcW w:w="624" w:type="pct"/>
            <w:tcBorders>
              <w:top w:val="nil"/>
              <w:left w:val="nil"/>
              <w:bottom w:val="single" w:sz="4" w:space="0" w:color="auto"/>
              <w:right w:val="single" w:sz="4" w:space="0" w:color="auto"/>
            </w:tcBorders>
            <w:shd w:val="clear" w:color="auto" w:fill="auto"/>
            <w:vAlign w:val="center"/>
            <w:hideMark/>
          </w:tcPr>
          <w:p w14:paraId="7348D875" w14:textId="6D34BCF2" w:rsidR="00AC7333" w:rsidRPr="00BD2530" w:rsidRDefault="00AC7333" w:rsidP="00AC7333">
            <w:pPr>
              <w:pStyle w:val="TableText"/>
              <w:rPr>
                <w:lang w:val="en-GB" w:eastAsia="en-GB"/>
              </w:rPr>
            </w:pPr>
            <w:r w:rsidRPr="001053EF">
              <w:t>$</w:t>
            </w:r>
            <w:r w:rsidRPr="00CB0EF7">
              <w:t>268,535</w:t>
            </w:r>
          </w:p>
        </w:tc>
        <w:tc>
          <w:tcPr>
            <w:tcW w:w="624" w:type="pct"/>
            <w:tcBorders>
              <w:top w:val="nil"/>
              <w:left w:val="nil"/>
              <w:bottom w:val="single" w:sz="4" w:space="0" w:color="auto"/>
              <w:right w:val="single" w:sz="4" w:space="0" w:color="auto"/>
            </w:tcBorders>
            <w:shd w:val="clear" w:color="auto" w:fill="auto"/>
            <w:vAlign w:val="center"/>
            <w:hideMark/>
          </w:tcPr>
          <w:p w14:paraId="4CA4F757" w14:textId="1B4179CA" w:rsidR="00AC7333" w:rsidRPr="00BD2530" w:rsidRDefault="00AC7333" w:rsidP="00AC7333">
            <w:pPr>
              <w:pStyle w:val="TableText"/>
              <w:rPr>
                <w:lang w:val="en-GB" w:eastAsia="en-GB"/>
              </w:rPr>
            </w:pPr>
            <w:r w:rsidRPr="001053EF">
              <w:t>$</w:t>
            </w:r>
            <w:r w:rsidRPr="00CB0EF7">
              <w:t>278,768</w:t>
            </w:r>
          </w:p>
        </w:tc>
        <w:tc>
          <w:tcPr>
            <w:tcW w:w="622" w:type="pct"/>
            <w:tcBorders>
              <w:top w:val="nil"/>
              <w:left w:val="nil"/>
              <w:bottom w:val="single" w:sz="4" w:space="0" w:color="auto"/>
              <w:right w:val="single" w:sz="4" w:space="0" w:color="auto"/>
            </w:tcBorders>
            <w:shd w:val="clear" w:color="auto" w:fill="auto"/>
            <w:vAlign w:val="center"/>
            <w:hideMark/>
          </w:tcPr>
          <w:p w14:paraId="6FB1A1BD" w14:textId="39EA072F" w:rsidR="00AC7333" w:rsidRPr="00BD2530" w:rsidRDefault="00AC7333" w:rsidP="00AC7333">
            <w:pPr>
              <w:pStyle w:val="TableText"/>
              <w:rPr>
                <w:lang w:val="en-GB" w:eastAsia="en-GB"/>
              </w:rPr>
            </w:pPr>
            <w:r w:rsidRPr="001053EF">
              <w:t>$</w:t>
            </w:r>
            <w:r w:rsidRPr="00CB0EF7">
              <w:t>289,390</w:t>
            </w:r>
          </w:p>
        </w:tc>
      </w:tr>
      <w:tr w:rsidR="002A2889" w:rsidRPr="00BD2530" w14:paraId="4987EC7D" w14:textId="77777777" w:rsidTr="001053EF">
        <w:trPr>
          <w:cantSplit/>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6C51B9" w14:textId="77777777" w:rsidR="002A2889" w:rsidRPr="00BD2530" w:rsidRDefault="002A2889" w:rsidP="00266D54">
            <w:pPr>
              <w:pStyle w:val="In-tableHeading"/>
              <w:rPr>
                <w:lang w:val="en-GB"/>
              </w:rPr>
            </w:pPr>
            <w:r w:rsidRPr="00BD2530">
              <w:t>Change in use and cost of other health technologies</w:t>
            </w:r>
          </w:p>
        </w:tc>
      </w:tr>
      <w:tr w:rsidR="002A2889" w:rsidRPr="00BD2530" w14:paraId="42F4D6EA" w14:textId="77777777" w:rsidTr="004C302A">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7E885FC8" w14:textId="77777777" w:rsidR="002A2889" w:rsidRPr="00BD2530" w:rsidRDefault="002A2889" w:rsidP="002A2889">
            <w:pPr>
              <w:pStyle w:val="TableText"/>
              <w:rPr>
                <w:lang w:val="en-GB" w:eastAsia="en-GB"/>
              </w:rPr>
            </w:pPr>
            <w:r w:rsidRPr="00BD2530">
              <w:rPr>
                <w:lang w:eastAsia="en-GB"/>
              </w:rPr>
              <w:t>Change in use of comparator and other.</w:t>
            </w:r>
          </w:p>
        </w:tc>
        <w:tc>
          <w:tcPr>
            <w:tcW w:w="3742" w:type="pct"/>
            <w:gridSpan w:val="6"/>
            <w:tcBorders>
              <w:top w:val="single" w:sz="4" w:space="0" w:color="auto"/>
              <w:left w:val="nil"/>
              <w:bottom w:val="single" w:sz="4" w:space="0" w:color="auto"/>
              <w:right w:val="single" w:sz="4" w:space="0" w:color="000000" w:themeColor="text1"/>
            </w:tcBorders>
            <w:shd w:val="clear" w:color="auto" w:fill="auto"/>
            <w:vAlign w:val="center"/>
            <w:hideMark/>
          </w:tcPr>
          <w:p w14:paraId="50CF7CD5" w14:textId="77777777" w:rsidR="002A2889" w:rsidRPr="00BD2530" w:rsidRDefault="002A2889" w:rsidP="002A2889">
            <w:pPr>
              <w:pStyle w:val="TableText"/>
              <w:rPr>
                <w:lang w:val="en-GB" w:eastAsia="en-GB"/>
              </w:rPr>
            </w:pPr>
            <w:r w:rsidRPr="00BD2530">
              <w:rPr>
                <w:lang w:eastAsia="en-GB"/>
              </w:rPr>
              <w:t>N/A</w:t>
            </w:r>
            <w:r w:rsidRPr="00BD2530">
              <w:rPr>
                <w:lang w:eastAsia="en-GB"/>
              </w:rPr>
              <w:br/>
            </w:r>
            <w:r w:rsidRPr="00733D33">
              <w:rPr>
                <w:vertAlign w:val="superscript"/>
                <w:lang w:eastAsia="en-GB"/>
              </w:rPr>
              <w:t>177</w:t>
            </w:r>
            <w:r w:rsidRPr="00BD2530">
              <w:rPr>
                <w:lang w:eastAsia="en-GB"/>
              </w:rPr>
              <w:t xml:space="preserve">Lu-DOTA-octreotate is proposed as an add-on therapy </w:t>
            </w:r>
          </w:p>
        </w:tc>
      </w:tr>
      <w:tr w:rsidR="00696A5F" w:rsidRPr="00BD2530" w14:paraId="5DE2218E"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45E59930" w14:textId="77777777" w:rsidR="00696A5F" w:rsidRPr="001053EF" w:rsidRDefault="00696A5F" w:rsidP="00696A5F">
            <w:pPr>
              <w:pStyle w:val="TableText"/>
              <w:rPr>
                <w:b/>
                <w:lang w:val="en-GB"/>
              </w:rPr>
            </w:pPr>
            <w:r w:rsidRPr="001053EF">
              <w:rPr>
                <w:b/>
              </w:rPr>
              <w:t>Net financial impact to the MBS</w:t>
            </w:r>
          </w:p>
        </w:tc>
        <w:tc>
          <w:tcPr>
            <w:tcW w:w="624" w:type="pct"/>
            <w:tcBorders>
              <w:top w:val="nil"/>
              <w:left w:val="nil"/>
              <w:bottom w:val="single" w:sz="4" w:space="0" w:color="auto"/>
              <w:right w:val="single" w:sz="4" w:space="0" w:color="auto"/>
            </w:tcBorders>
            <w:shd w:val="clear" w:color="auto" w:fill="auto"/>
            <w:vAlign w:val="center"/>
            <w:hideMark/>
          </w:tcPr>
          <w:p w14:paraId="14329989" w14:textId="1C84D178" w:rsidR="00696A5F" w:rsidRPr="001053EF" w:rsidRDefault="00696A5F" w:rsidP="00696A5F">
            <w:pPr>
              <w:pStyle w:val="TableText"/>
              <w:rPr>
                <w:b/>
                <w:lang w:val="en-GB"/>
              </w:rPr>
            </w:pPr>
            <w:r w:rsidRPr="00810ADB">
              <w:rPr>
                <w:b/>
                <w:color w:val="000000"/>
              </w:rPr>
              <w:t>$</w:t>
            </w:r>
            <w:r>
              <w:rPr>
                <w:rFonts w:cs="Calibri"/>
                <w:b/>
                <w:bCs/>
                <w:color w:val="000000"/>
                <w:szCs w:val="20"/>
              </w:rPr>
              <w:t>7,430,686</w:t>
            </w:r>
          </w:p>
        </w:tc>
        <w:tc>
          <w:tcPr>
            <w:tcW w:w="624" w:type="pct"/>
            <w:tcBorders>
              <w:top w:val="nil"/>
              <w:left w:val="nil"/>
              <w:bottom w:val="single" w:sz="4" w:space="0" w:color="auto"/>
              <w:right w:val="single" w:sz="4" w:space="0" w:color="auto"/>
            </w:tcBorders>
            <w:shd w:val="clear" w:color="auto" w:fill="auto"/>
            <w:vAlign w:val="center"/>
            <w:hideMark/>
          </w:tcPr>
          <w:p w14:paraId="7438E11A" w14:textId="685EE6B2" w:rsidR="00696A5F" w:rsidRPr="001053EF" w:rsidRDefault="00696A5F" w:rsidP="00696A5F">
            <w:pPr>
              <w:pStyle w:val="TableText"/>
              <w:rPr>
                <w:b/>
                <w:lang w:val="en-GB"/>
              </w:rPr>
            </w:pPr>
            <w:r w:rsidRPr="00810ADB">
              <w:rPr>
                <w:b/>
                <w:color w:val="000000"/>
              </w:rPr>
              <w:t>$</w:t>
            </w:r>
            <w:r>
              <w:rPr>
                <w:rFonts w:cs="Calibri"/>
                <w:b/>
                <w:bCs/>
                <w:color w:val="000000"/>
                <w:szCs w:val="20"/>
              </w:rPr>
              <w:t>7,713,832</w:t>
            </w:r>
          </w:p>
        </w:tc>
        <w:tc>
          <w:tcPr>
            <w:tcW w:w="624" w:type="pct"/>
            <w:tcBorders>
              <w:top w:val="nil"/>
              <w:left w:val="nil"/>
              <w:bottom w:val="single" w:sz="4" w:space="0" w:color="auto"/>
              <w:right w:val="single" w:sz="4" w:space="0" w:color="auto"/>
            </w:tcBorders>
            <w:shd w:val="clear" w:color="auto" w:fill="auto"/>
            <w:vAlign w:val="center"/>
            <w:hideMark/>
          </w:tcPr>
          <w:p w14:paraId="45209576" w14:textId="7598E909" w:rsidR="00696A5F" w:rsidRPr="001053EF" w:rsidRDefault="00696A5F" w:rsidP="00696A5F">
            <w:pPr>
              <w:pStyle w:val="TableText"/>
              <w:rPr>
                <w:b/>
                <w:lang w:val="en-GB"/>
              </w:rPr>
            </w:pPr>
            <w:r w:rsidRPr="00810ADB">
              <w:rPr>
                <w:b/>
                <w:color w:val="000000"/>
              </w:rPr>
              <w:t>$</w:t>
            </w:r>
            <w:r>
              <w:rPr>
                <w:rFonts w:cs="Calibri"/>
                <w:b/>
                <w:bCs/>
                <w:color w:val="000000"/>
                <w:szCs w:val="20"/>
              </w:rPr>
              <w:t>8,007,768</w:t>
            </w:r>
          </w:p>
        </w:tc>
        <w:tc>
          <w:tcPr>
            <w:tcW w:w="624" w:type="pct"/>
            <w:tcBorders>
              <w:top w:val="nil"/>
              <w:left w:val="nil"/>
              <w:bottom w:val="single" w:sz="4" w:space="0" w:color="auto"/>
              <w:right w:val="single" w:sz="4" w:space="0" w:color="auto"/>
            </w:tcBorders>
            <w:shd w:val="clear" w:color="auto" w:fill="auto"/>
            <w:vAlign w:val="center"/>
            <w:hideMark/>
          </w:tcPr>
          <w:p w14:paraId="0E12A2D1" w14:textId="21938EA3" w:rsidR="00696A5F" w:rsidRPr="001053EF" w:rsidRDefault="00696A5F" w:rsidP="00696A5F">
            <w:pPr>
              <w:pStyle w:val="TableText"/>
              <w:rPr>
                <w:b/>
                <w:lang w:val="en-GB"/>
              </w:rPr>
            </w:pPr>
            <w:r w:rsidRPr="00810ADB">
              <w:rPr>
                <w:b/>
                <w:color w:val="000000"/>
              </w:rPr>
              <w:t>$</w:t>
            </w:r>
            <w:r>
              <w:rPr>
                <w:rFonts w:cs="Calibri"/>
                <w:b/>
                <w:bCs/>
                <w:color w:val="000000"/>
                <w:szCs w:val="20"/>
              </w:rPr>
              <w:t>8,312,904</w:t>
            </w:r>
          </w:p>
        </w:tc>
        <w:tc>
          <w:tcPr>
            <w:tcW w:w="624" w:type="pct"/>
            <w:tcBorders>
              <w:top w:val="nil"/>
              <w:left w:val="nil"/>
              <w:bottom w:val="single" w:sz="4" w:space="0" w:color="auto"/>
              <w:right w:val="single" w:sz="4" w:space="0" w:color="auto"/>
            </w:tcBorders>
            <w:shd w:val="clear" w:color="auto" w:fill="auto"/>
            <w:vAlign w:val="center"/>
            <w:hideMark/>
          </w:tcPr>
          <w:p w14:paraId="7BFCE252" w14:textId="3E025D33" w:rsidR="00696A5F" w:rsidRPr="001053EF" w:rsidRDefault="00696A5F" w:rsidP="00696A5F">
            <w:pPr>
              <w:pStyle w:val="TableText"/>
              <w:rPr>
                <w:b/>
                <w:lang w:val="en-GB"/>
              </w:rPr>
            </w:pPr>
            <w:r w:rsidRPr="00810ADB">
              <w:rPr>
                <w:b/>
                <w:color w:val="000000"/>
              </w:rPr>
              <w:t>$</w:t>
            </w:r>
            <w:r>
              <w:rPr>
                <w:rFonts w:cs="Calibri"/>
                <w:b/>
                <w:bCs/>
                <w:color w:val="000000"/>
                <w:szCs w:val="20"/>
              </w:rPr>
              <w:t>8,629,667</w:t>
            </w:r>
          </w:p>
        </w:tc>
        <w:tc>
          <w:tcPr>
            <w:tcW w:w="622" w:type="pct"/>
            <w:tcBorders>
              <w:top w:val="nil"/>
              <w:left w:val="nil"/>
              <w:bottom w:val="single" w:sz="4" w:space="0" w:color="auto"/>
              <w:right w:val="single" w:sz="4" w:space="0" w:color="auto"/>
            </w:tcBorders>
            <w:shd w:val="clear" w:color="auto" w:fill="auto"/>
            <w:vAlign w:val="center"/>
            <w:hideMark/>
          </w:tcPr>
          <w:p w14:paraId="2F835F0C" w14:textId="4CCA9E12" w:rsidR="00696A5F" w:rsidRPr="001053EF" w:rsidRDefault="00696A5F" w:rsidP="00696A5F">
            <w:pPr>
              <w:pStyle w:val="TableText"/>
              <w:rPr>
                <w:b/>
                <w:lang w:val="en-GB"/>
              </w:rPr>
            </w:pPr>
            <w:r w:rsidRPr="00810ADB">
              <w:rPr>
                <w:b/>
                <w:color w:val="000000"/>
              </w:rPr>
              <w:t>$</w:t>
            </w:r>
            <w:r>
              <w:rPr>
                <w:rFonts w:cs="Calibri"/>
                <w:b/>
                <w:bCs/>
                <w:color w:val="000000"/>
                <w:szCs w:val="20"/>
              </w:rPr>
              <w:t>8,958,500</w:t>
            </w:r>
          </w:p>
        </w:tc>
      </w:tr>
    </w:tbl>
    <w:p w14:paraId="59403A21" w14:textId="3E4AB3A7" w:rsidR="00873B00" w:rsidRDefault="00266D54" w:rsidP="0071127B">
      <w:pPr>
        <w:pStyle w:val="Tablenotes0"/>
      </w:pPr>
      <w:r>
        <w:t>Abbreviations:</w:t>
      </w:r>
      <w:r w:rsidR="0071127B">
        <w:t xml:space="preserve"> </w:t>
      </w:r>
      <w:r w:rsidR="00CF7C77">
        <w:t>CT = computed tomography; FDG =</w:t>
      </w:r>
      <w:r w:rsidR="00CF7C77" w:rsidRPr="00CF7C77">
        <w:t xml:space="preserve"> </w:t>
      </w:r>
      <w:r w:rsidR="00CF7C77">
        <w:t>f</w:t>
      </w:r>
      <w:r w:rsidR="00CF7C77" w:rsidRPr="00CF7C77">
        <w:t>luorodeoxyglucose</w:t>
      </w:r>
      <w:r w:rsidR="00CF7C77">
        <w:t xml:space="preserve">; </w:t>
      </w:r>
      <w:r>
        <w:t>MBS = Medicare Benefits Schedul</w:t>
      </w:r>
      <w:r w:rsidR="0071127B">
        <w:t>e;</w:t>
      </w:r>
      <w:r w:rsidR="00733D33">
        <w:t xml:space="preserve"> N/A = not applicable; NE</w:t>
      </w:r>
      <w:r w:rsidR="00093805">
        <w:t>N</w:t>
      </w:r>
      <w:r w:rsidR="00733D33">
        <w:t xml:space="preserve"> = neuroendocrine </w:t>
      </w:r>
      <w:r w:rsidR="00093805">
        <w:t>neoplasm</w:t>
      </w:r>
      <w:r w:rsidR="00733D33">
        <w:t>;</w:t>
      </w:r>
      <w:r w:rsidR="0071127B">
        <w:t xml:space="preserve"> PET = positron emission tomography.</w:t>
      </w:r>
    </w:p>
    <w:p w14:paraId="7CA7F1B0" w14:textId="77777777" w:rsidR="00C5090F" w:rsidRDefault="00C5090F" w:rsidP="00C5090F">
      <w:pPr>
        <w:pStyle w:val="Tablenotes0"/>
      </w:pPr>
      <w:r>
        <w:t xml:space="preserve">* </w:t>
      </w:r>
      <w:r w:rsidRPr="00A83558">
        <w:t xml:space="preserve">Confirmation of H-SSTR status is a prerequisite for treatment with </w:t>
      </w:r>
      <w:r w:rsidRPr="00067F38">
        <w:rPr>
          <w:vertAlign w:val="superscript"/>
        </w:rPr>
        <w:t>177</w:t>
      </w:r>
      <w:r w:rsidRPr="00A83558">
        <w:t xml:space="preserve">Lu-DOTA-octreotate, so all patients receiving </w:t>
      </w:r>
      <w:r w:rsidRPr="00067F38">
        <w:rPr>
          <w:vertAlign w:val="superscript"/>
        </w:rPr>
        <w:t>177</w:t>
      </w:r>
      <w:r w:rsidRPr="00A83558">
        <w:t xml:space="preserve">Lu-DOTA-octreotate </w:t>
      </w:r>
      <w:r>
        <w:t>treatment incur</w:t>
      </w:r>
      <w:r w:rsidRPr="00A83558">
        <w:t xml:space="preserve"> the cost of </w:t>
      </w:r>
      <w:r w:rsidRPr="00067F38">
        <w:rPr>
          <w:vertAlign w:val="superscript"/>
        </w:rPr>
        <w:t>68</w:t>
      </w:r>
      <w:r w:rsidRPr="00A83558">
        <w:t>Ga-DOTA-octreotate PET/CT testing</w:t>
      </w:r>
      <w:r>
        <w:t>.</w:t>
      </w:r>
    </w:p>
    <w:p w14:paraId="1C8351FF" w14:textId="62E4614A" w:rsidR="004221AF" w:rsidRDefault="00C5090F" w:rsidP="0071127B">
      <w:pPr>
        <w:pStyle w:val="Tablenotes0"/>
      </w:pPr>
      <w:r>
        <w:t xml:space="preserve">† It was assumed that </w:t>
      </w:r>
      <w:r w:rsidRPr="009F5F10">
        <w:t>approximately 30% of patients would proceed to FDG PET/CT, based on the estimate provided in the ratified PICO</w:t>
      </w:r>
      <w:r>
        <w:t>.</w:t>
      </w:r>
    </w:p>
    <w:p w14:paraId="2C3DEDD2" w14:textId="4F3CFDD9" w:rsidR="004221AF" w:rsidRDefault="004221AF" w:rsidP="004221AF">
      <w:r w:rsidRPr="004221AF">
        <w:t xml:space="preserve">As there was no information that could be identified to inform the proportion of the incident NEN population that would be potentially eligible for </w:t>
      </w:r>
      <w:r w:rsidRPr="004221AF">
        <w:rPr>
          <w:vertAlign w:val="superscript"/>
        </w:rPr>
        <w:t>177</w:t>
      </w:r>
      <w:r w:rsidRPr="004221AF">
        <w:t>Lu-DOTA-octreotate (i.e. suspected high SSTR expression), only the cost of diagnosing the treated population was included</w:t>
      </w:r>
      <w:r>
        <w:t xml:space="preserve">, which is likely to underestimate the budget impact of </w:t>
      </w:r>
      <w:r w:rsidRPr="004221AF">
        <w:rPr>
          <w:vertAlign w:val="superscript"/>
        </w:rPr>
        <w:t>177</w:t>
      </w:r>
      <w:r w:rsidRPr="004221AF">
        <w:t xml:space="preserve">Lu-DOTA-octreotate. To test this uncertainty, 4 scenarios </w:t>
      </w:r>
      <w:r w:rsidRPr="004221AF">
        <w:lastRenderedPageBreak/>
        <w:t>were considered in which 25%, 50%, 75% and 100% of the incident NEN population incur</w:t>
      </w:r>
      <w:r w:rsidR="00C92C8D">
        <w:t>s</w:t>
      </w:r>
      <w:r w:rsidRPr="004221AF">
        <w:t xml:space="preserve"> diagnostic test costs</w:t>
      </w:r>
      <w:r>
        <w:t xml:space="preserve">, the results of which are presented in </w:t>
      </w:r>
      <w:r>
        <w:fldChar w:fldCharType="begin"/>
      </w:r>
      <w:r>
        <w:instrText xml:space="preserve"> REF _Ref164584103 \h </w:instrText>
      </w:r>
      <w:r>
        <w:fldChar w:fldCharType="separate"/>
      </w:r>
      <w:r w:rsidR="0084549C">
        <w:t xml:space="preserve">Table </w:t>
      </w:r>
      <w:r w:rsidR="0084549C">
        <w:rPr>
          <w:noProof/>
        </w:rPr>
        <w:t>16</w:t>
      </w:r>
      <w:r>
        <w:fldChar w:fldCharType="end"/>
      </w:r>
      <w:r>
        <w:t>.</w:t>
      </w:r>
    </w:p>
    <w:p w14:paraId="362547F8" w14:textId="71E358FA" w:rsidR="004221AF" w:rsidRDefault="004221AF" w:rsidP="004221AF">
      <w:pPr>
        <w:pStyle w:val="Caption"/>
      </w:pPr>
      <w:bookmarkStart w:id="113" w:name="_Ref164584103"/>
      <w:r>
        <w:t xml:space="preserve">Table </w:t>
      </w:r>
      <w:r>
        <w:fldChar w:fldCharType="begin"/>
      </w:r>
      <w:r>
        <w:instrText xml:space="preserve"> SEQ Table \* ARABIC </w:instrText>
      </w:r>
      <w:r>
        <w:fldChar w:fldCharType="separate"/>
      </w:r>
      <w:r w:rsidR="006D13BC">
        <w:rPr>
          <w:noProof/>
        </w:rPr>
        <w:t>16</w:t>
      </w:r>
      <w:r>
        <w:rPr>
          <w:noProof/>
        </w:rPr>
        <w:fldChar w:fldCharType="end"/>
      </w:r>
      <w:bookmarkEnd w:id="113"/>
      <w:r>
        <w:t xml:space="preserve">: Impact of uncertainty in the size of the diagnostic testing population on net financial impact to the MBS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333"/>
        <w:gridCol w:w="1333"/>
        <w:gridCol w:w="1333"/>
        <w:gridCol w:w="1333"/>
        <w:gridCol w:w="1333"/>
        <w:gridCol w:w="1332"/>
      </w:tblGrid>
      <w:tr w:rsidR="004221AF" w:rsidRPr="00AE013A" w14:paraId="7A4239B9" w14:textId="77777777" w:rsidTr="00CB74B9">
        <w:trPr>
          <w:trHeight w:val="315"/>
          <w:tblHeader/>
        </w:trPr>
        <w:tc>
          <w:tcPr>
            <w:tcW w:w="405" w:type="pct"/>
            <w:shd w:val="clear" w:color="auto" w:fill="auto"/>
            <w:vAlign w:val="center"/>
            <w:hideMark/>
          </w:tcPr>
          <w:p w14:paraId="4F46CA36" w14:textId="77777777" w:rsidR="004221AF" w:rsidRPr="00AE013A" w:rsidRDefault="004221AF">
            <w:pPr>
              <w:pStyle w:val="TableHeading0"/>
              <w:rPr>
                <w:lang w:val="en-GB" w:eastAsia="en-GB"/>
              </w:rPr>
            </w:pPr>
            <w:r w:rsidRPr="00AE013A">
              <w:rPr>
                <w:lang w:eastAsia="en-GB"/>
              </w:rPr>
              <w:t xml:space="preserve">Parameter </w:t>
            </w:r>
          </w:p>
        </w:tc>
        <w:tc>
          <w:tcPr>
            <w:tcW w:w="766" w:type="pct"/>
            <w:shd w:val="clear" w:color="auto" w:fill="auto"/>
            <w:noWrap/>
            <w:vAlign w:val="center"/>
            <w:hideMark/>
          </w:tcPr>
          <w:p w14:paraId="69C860A4" w14:textId="77777777" w:rsidR="004221AF" w:rsidRPr="00AE013A" w:rsidRDefault="004221AF">
            <w:pPr>
              <w:pStyle w:val="TableHeading0"/>
              <w:rPr>
                <w:lang w:val="en-GB" w:eastAsia="en-GB"/>
              </w:rPr>
            </w:pPr>
            <w:r w:rsidRPr="00AE013A">
              <w:rPr>
                <w:lang w:eastAsia="en-GB"/>
              </w:rPr>
              <w:t>2024</w:t>
            </w:r>
          </w:p>
        </w:tc>
        <w:tc>
          <w:tcPr>
            <w:tcW w:w="766" w:type="pct"/>
            <w:shd w:val="clear" w:color="auto" w:fill="auto"/>
            <w:noWrap/>
            <w:vAlign w:val="center"/>
            <w:hideMark/>
          </w:tcPr>
          <w:p w14:paraId="47306A6A" w14:textId="77777777" w:rsidR="004221AF" w:rsidRPr="00AE013A" w:rsidRDefault="004221AF">
            <w:pPr>
              <w:pStyle w:val="TableHeading0"/>
              <w:rPr>
                <w:lang w:val="en-GB" w:eastAsia="en-GB"/>
              </w:rPr>
            </w:pPr>
            <w:r w:rsidRPr="00AE013A">
              <w:rPr>
                <w:lang w:eastAsia="en-GB"/>
              </w:rPr>
              <w:t>2025</w:t>
            </w:r>
          </w:p>
        </w:tc>
        <w:tc>
          <w:tcPr>
            <w:tcW w:w="766" w:type="pct"/>
            <w:shd w:val="clear" w:color="auto" w:fill="auto"/>
            <w:noWrap/>
            <w:vAlign w:val="center"/>
            <w:hideMark/>
          </w:tcPr>
          <w:p w14:paraId="276F417F" w14:textId="77777777" w:rsidR="004221AF" w:rsidRPr="00AE013A" w:rsidRDefault="004221AF">
            <w:pPr>
              <w:pStyle w:val="TableHeading0"/>
              <w:rPr>
                <w:lang w:val="en-GB" w:eastAsia="en-GB"/>
              </w:rPr>
            </w:pPr>
            <w:r w:rsidRPr="00AE013A">
              <w:rPr>
                <w:lang w:eastAsia="en-GB"/>
              </w:rPr>
              <w:t>2026</w:t>
            </w:r>
          </w:p>
        </w:tc>
        <w:tc>
          <w:tcPr>
            <w:tcW w:w="766" w:type="pct"/>
            <w:shd w:val="clear" w:color="auto" w:fill="auto"/>
            <w:noWrap/>
            <w:vAlign w:val="center"/>
            <w:hideMark/>
          </w:tcPr>
          <w:p w14:paraId="72306892" w14:textId="77777777" w:rsidR="004221AF" w:rsidRPr="00AE013A" w:rsidRDefault="004221AF">
            <w:pPr>
              <w:pStyle w:val="TableHeading0"/>
              <w:rPr>
                <w:lang w:val="en-GB" w:eastAsia="en-GB"/>
              </w:rPr>
            </w:pPr>
            <w:r w:rsidRPr="00AE013A">
              <w:rPr>
                <w:lang w:eastAsia="en-GB"/>
              </w:rPr>
              <w:t>2027</w:t>
            </w:r>
          </w:p>
        </w:tc>
        <w:tc>
          <w:tcPr>
            <w:tcW w:w="766" w:type="pct"/>
            <w:shd w:val="clear" w:color="auto" w:fill="auto"/>
            <w:noWrap/>
            <w:vAlign w:val="center"/>
            <w:hideMark/>
          </w:tcPr>
          <w:p w14:paraId="46289529" w14:textId="77777777" w:rsidR="004221AF" w:rsidRPr="00AE013A" w:rsidRDefault="004221AF">
            <w:pPr>
              <w:pStyle w:val="TableHeading0"/>
              <w:rPr>
                <w:lang w:val="en-GB" w:eastAsia="en-GB"/>
              </w:rPr>
            </w:pPr>
            <w:r w:rsidRPr="00AE013A">
              <w:rPr>
                <w:lang w:val="en-GB" w:eastAsia="en-GB"/>
              </w:rPr>
              <w:t>2028</w:t>
            </w:r>
          </w:p>
        </w:tc>
        <w:tc>
          <w:tcPr>
            <w:tcW w:w="766" w:type="pct"/>
            <w:shd w:val="clear" w:color="auto" w:fill="auto"/>
            <w:noWrap/>
            <w:vAlign w:val="center"/>
            <w:hideMark/>
          </w:tcPr>
          <w:p w14:paraId="1DEF23EF" w14:textId="77777777" w:rsidR="004221AF" w:rsidRPr="00AE013A" w:rsidRDefault="004221AF">
            <w:pPr>
              <w:pStyle w:val="TableHeading0"/>
              <w:rPr>
                <w:lang w:val="en-GB" w:eastAsia="en-GB"/>
              </w:rPr>
            </w:pPr>
            <w:r w:rsidRPr="00AE013A">
              <w:rPr>
                <w:lang w:val="en-GB" w:eastAsia="en-GB"/>
              </w:rPr>
              <w:t>2029</w:t>
            </w:r>
          </w:p>
        </w:tc>
      </w:tr>
      <w:tr w:rsidR="00D41BA6" w:rsidRPr="00AE013A" w14:paraId="1FF5EE41" w14:textId="77777777" w:rsidTr="00CB74B9">
        <w:trPr>
          <w:trHeight w:val="315"/>
        </w:trPr>
        <w:tc>
          <w:tcPr>
            <w:tcW w:w="405" w:type="pct"/>
            <w:shd w:val="clear" w:color="auto" w:fill="auto"/>
            <w:vAlign w:val="center"/>
            <w:hideMark/>
          </w:tcPr>
          <w:p w14:paraId="59AD6D5C" w14:textId="7CC7716F" w:rsidR="00D41BA6" w:rsidRPr="00AE013A" w:rsidRDefault="00D41BA6" w:rsidP="00D41BA6">
            <w:pPr>
              <w:pStyle w:val="TableText"/>
              <w:rPr>
                <w:lang w:val="en-GB" w:eastAsia="en-GB"/>
              </w:rPr>
            </w:pPr>
            <w:r w:rsidRPr="00AE013A">
              <w:rPr>
                <w:lang w:val="en-GB" w:eastAsia="en-GB"/>
              </w:rPr>
              <w:t>Base</w:t>
            </w:r>
            <w:r>
              <w:rPr>
                <w:lang w:val="en-GB" w:eastAsia="en-GB"/>
              </w:rPr>
              <w:t xml:space="preserve"> </w:t>
            </w:r>
            <w:r w:rsidRPr="00AE013A">
              <w:rPr>
                <w:lang w:val="en-GB" w:eastAsia="en-GB"/>
              </w:rPr>
              <w:t>case: 3.5%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hideMark/>
          </w:tcPr>
          <w:p w14:paraId="6D4945B3" w14:textId="141EFF45" w:rsidR="00D41BA6" w:rsidRPr="00AE013A" w:rsidRDefault="00D41BA6" w:rsidP="00D41BA6">
            <w:pPr>
              <w:pStyle w:val="TableText"/>
              <w:rPr>
                <w:lang w:val="en-GB" w:eastAsia="en-GB"/>
              </w:rPr>
            </w:pPr>
            <w:r w:rsidRPr="00810ADB">
              <w:rPr>
                <w:color w:val="000000"/>
              </w:rPr>
              <w:t>$</w:t>
            </w:r>
            <w:r>
              <w:rPr>
                <w:rFonts w:cs="Calibri"/>
                <w:color w:val="000000"/>
                <w:szCs w:val="20"/>
              </w:rPr>
              <w:t>7,430,686</w:t>
            </w:r>
          </w:p>
        </w:tc>
        <w:tc>
          <w:tcPr>
            <w:tcW w:w="766" w:type="pct"/>
            <w:shd w:val="clear" w:color="auto" w:fill="auto"/>
            <w:vAlign w:val="center"/>
            <w:hideMark/>
          </w:tcPr>
          <w:p w14:paraId="2F03D7B8" w14:textId="0433AEAC" w:rsidR="00D41BA6" w:rsidRPr="00AE013A" w:rsidRDefault="00D41BA6" w:rsidP="00D41BA6">
            <w:pPr>
              <w:pStyle w:val="TableText"/>
              <w:rPr>
                <w:lang w:val="en-GB" w:eastAsia="en-GB"/>
              </w:rPr>
            </w:pPr>
            <w:r w:rsidRPr="00810ADB">
              <w:rPr>
                <w:color w:val="000000"/>
              </w:rPr>
              <w:t>$</w:t>
            </w:r>
            <w:r>
              <w:rPr>
                <w:rFonts w:cs="Calibri"/>
                <w:color w:val="000000"/>
                <w:szCs w:val="20"/>
              </w:rPr>
              <w:t>7,713,832</w:t>
            </w:r>
          </w:p>
        </w:tc>
        <w:tc>
          <w:tcPr>
            <w:tcW w:w="766" w:type="pct"/>
            <w:shd w:val="clear" w:color="auto" w:fill="auto"/>
            <w:vAlign w:val="center"/>
            <w:hideMark/>
          </w:tcPr>
          <w:p w14:paraId="417772B4" w14:textId="4DC09D3A" w:rsidR="00D41BA6" w:rsidRPr="00AE013A" w:rsidRDefault="00D41BA6" w:rsidP="00D41BA6">
            <w:pPr>
              <w:pStyle w:val="TableText"/>
              <w:rPr>
                <w:lang w:val="en-GB" w:eastAsia="en-GB"/>
              </w:rPr>
            </w:pPr>
            <w:r w:rsidRPr="00810ADB">
              <w:rPr>
                <w:color w:val="000000"/>
              </w:rPr>
              <w:t>$</w:t>
            </w:r>
            <w:r>
              <w:rPr>
                <w:rFonts w:cs="Calibri"/>
                <w:color w:val="000000"/>
                <w:szCs w:val="20"/>
              </w:rPr>
              <w:t>8,007,768</w:t>
            </w:r>
          </w:p>
        </w:tc>
        <w:tc>
          <w:tcPr>
            <w:tcW w:w="766" w:type="pct"/>
            <w:shd w:val="clear" w:color="auto" w:fill="auto"/>
            <w:vAlign w:val="center"/>
            <w:hideMark/>
          </w:tcPr>
          <w:p w14:paraId="1E783A76" w14:textId="715CA25E" w:rsidR="00D41BA6" w:rsidRPr="00AE013A" w:rsidRDefault="00D41BA6" w:rsidP="00D41BA6">
            <w:pPr>
              <w:pStyle w:val="TableText"/>
              <w:rPr>
                <w:lang w:val="en-GB" w:eastAsia="en-GB"/>
              </w:rPr>
            </w:pPr>
            <w:r w:rsidRPr="00810ADB">
              <w:rPr>
                <w:color w:val="000000"/>
              </w:rPr>
              <w:t>$</w:t>
            </w:r>
            <w:r>
              <w:rPr>
                <w:rFonts w:cs="Calibri"/>
                <w:color w:val="000000"/>
                <w:szCs w:val="20"/>
              </w:rPr>
              <w:t>8,312,904</w:t>
            </w:r>
          </w:p>
        </w:tc>
        <w:tc>
          <w:tcPr>
            <w:tcW w:w="766" w:type="pct"/>
            <w:shd w:val="clear" w:color="auto" w:fill="auto"/>
            <w:vAlign w:val="center"/>
            <w:hideMark/>
          </w:tcPr>
          <w:p w14:paraId="056776E5" w14:textId="09CDEA5C" w:rsidR="00D41BA6" w:rsidRPr="00AE013A" w:rsidRDefault="00D41BA6" w:rsidP="00D41BA6">
            <w:pPr>
              <w:pStyle w:val="TableText"/>
              <w:rPr>
                <w:lang w:val="en-GB" w:eastAsia="en-GB"/>
              </w:rPr>
            </w:pPr>
            <w:r w:rsidRPr="00810ADB">
              <w:rPr>
                <w:color w:val="000000"/>
              </w:rPr>
              <w:t>$</w:t>
            </w:r>
            <w:r>
              <w:rPr>
                <w:rFonts w:cs="Calibri"/>
                <w:color w:val="000000"/>
                <w:szCs w:val="20"/>
              </w:rPr>
              <w:t>8,629,667</w:t>
            </w:r>
          </w:p>
        </w:tc>
        <w:tc>
          <w:tcPr>
            <w:tcW w:w="766" w:type="pct"/>
            <w:shd w:val="clear" w:color="auto" w:fill="auto"/>
            <w:vAlign w:val="center"/>
            <w:hideMark/>
          </w:tcPr>
          <w:p w14:paraId="6D48E13E" w14:textId="3BA488CA" w:rsidR="00D41BA6" w:rsidRPr="00AE013A" w:rsidRDefault="00D41BA6" w:rsidP="00D41BA6">
            <w:pPr>
              <w:pStyle w:val="TableText"/>
              <w:rPr>
                <w:lang w:val="en-GB" w:eastAsia="en-GB"/>
              </w:rPr>
            </w:pPr>
            <w:r w:rsidRPr="00810ADB">
              <w:rPr>
                <w:color w:val="000000"/>
              </w:rPr>
              <w:t>$</w:t>
            </w:r>
            <w:r>
              <w:rPr>
                <w:rFonts w:cs="Calibri"/>
                <w:color w:val="000000"/>
                <w:szCs w:val="20"/>
              </w:rPr>
              <w:t>8,958,500</w:t>
            </w:r>
          </w:p>
        </w:tc>
      </w:tr>
      <w:tr w:rsidR="007915D3" w:rsidRPr="00AE013A" w14:paraId="382A182F" w14:textId="77777777" w:rsidTr="00CB74B9">
        <w:trPr>
          <w:trHeight w:val="315"/>
        </w:trPr>
        <w:tc>
          <w:tcPr>
            <w:tcW w:w="405" w:type="pct"/>
            <w:shd w:val="clear" w:color="auto" w:fill="auto"/>
            <w:vAlign w:val="center"/>
            <w:hideMark/>
          </w:tcPr>
          <w:p w14:paraId="38C1E84A" w14:textId="70E97CEC" w:rsidR="007915D3" w:rsidRPr="00AE013A" w:rsidRDefault="007915D3" w:rsidP="007915D3">
            <w:pPr>
              <w:pStyle w:val="TableText"/>
              <w:rPr>
                <w:lang w:val="en-GB" w:eastAsia="en-GB"/>
              </w:rPr>
            </w:pPr>
            <w:r w:rsidRPr="00AE013A">
              <w:rPr>
                <w:lang w:val="en-GB" w:eastAsia="en-GB"/>
              </w:rPr>
              <w:t>Scenario 1</w:t>
            </w:r>
            <w:r>
              <w:rPr>
                <w:lang w:val="en-GB" w:eastAsia="en-GB"/>
              </w:rPr>
              <w:t>:</w:t>
            </w:r>
            <w:r w:rsidRPr="00AE013A">
              <w:rPr>
                <w:lang w:val="en-GB" w:eastAsia="en-GB"/>
              </w:rPr>
              <w:t xml:space="preserve"> 25%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hideMark/>
          </w:tcPr>
          <w:p w14:paraId="01F92CF6" w14:textId="32207E28" w:rsidR="007915D3" w:rsidRPr="00AE013A" w:rsidRDefault="007915D3" w:rsidP="007915D3">
            <w:pPr>
              <w:pStyle w:val="TableText"/>
              <w:rPr>
                <w:lang w:val="en-GB" w:eastAsia="en-GB"/>
              </w:rPr>
            </w:pPr>
            <w:r w:rsidRPr="00810ADB">
              <w:rPr>
                <w:color w:val="000000"/>
              </w:rPr>
              <w:t>$</w:t>
            </w:r>
            <w:r>
              <w:rPr>
                <w:rFonts w:cs="Calibri"/>
                <w:color w:val="000000"/>
                <w:szCs w:val="20"/>
              </w:rPr>
              <w:t>8,905,198</w:t>
            </w:r>
          </w:p>
        </w:tc>
        <w:tc>
          <w:tcPr>
            <w:tcW w:w="766" w:type="pct"/>
            <w:shd w:val="clear" w:color="auto" w:fill="auto"/>
            <w:vAlign w:val="center"/>
            <w:hideMark/>
          </w:tcPr>
          <w:p w14:paraId="4F3E972F" w14:textId="23949708" w:rsidR="007915D3" w:rsidRPr="00AE013A" w:rsidRDefault="007915D3" w:rsidP="007915D3">
            <w:pPr>
              <w:pStyle w:val="TableText"/>
              <w:rPr>
                <w:lang w:val="en-GB" w:eastAsia="en-GB"/>
              </w:rPr>
            </w:pPr>
            <w:r w:rsidRPr="00810ADB">
              <w:rPr>
                <w:color w:val="000000"/>
              </w:rPr>
              <w:t>$</w:t>
            </w:r>
            <w:r>
              <w:rPr>
                <w:rFonts w:cs="Calibri"/>
                <w:color w:val="000000"/>
                <w:szCs w:val="20"/>
              </w:rPr>
              <w:t>9,244,530</w:t>
            </w:r>
          </w:p>
        </w:tc>
        <w:tc>
          <w:tcPr>
            <w:tcW w:w="766" w:type="pct"/>
            <w:shd w:val="clear" w:color="auto" w:fill="auto"/>
            <w:vAlign w:val="center"/>
            <w:hideMark/>
          </w:tcPr>
          <w:p w14:paraId="2F3ABA4C" w14:textId="1672C0DC" w:rsidR="007915D3" w:rsidRPr="00AE013A" w:rsidRDefault="007915D3" w:rsidP="007915D3">
            <w:pPr>
              <w:pStyle w:val="TableText"/>
              <w:rPr>
                <w:lang w:val="en-GB" w:eastAsia="en-GB"/>
              </w:rPr>
            </w:pPr>
            <w:r w:rsidRPr="00810ADB">
              <w:rPr>
                <w:color w:val="000000"/>
              </w:rPr>
              <w:t>$</w:t>
            </w:r>
            <w:r>
              <w:rPr>
                <w:rFonts w:cs="Calibri"/>
                <w:color w:val="000000"/>
                <w:szCs w:val="20"/>
              </w:rPr>
              <w:t>9,596,793</w:t>
            </w:r>
          </w:p>
        </w:tc>
        <w:tc>
          <w:tcPr>
            <w:tcW w:w="766" w:type="pct"/>
            <w:shd w:val="clear" w:color="auto" w:fill="auto"/>
            <w:vAlign w:val="center"/>
            <w:hideMark/>
          </w:tcPr>
          <w:p w14:paraId="7B09C661" w14:textId="4B5D7F2E" w:rsidR="007915D3" w:rsidRPr="00AE013A" w:rsidRDefault="007915D3" w:rsidP="007915D3">
            <w:pPr>
              <w:pStyle w:val="TableText"/>
              <w:rPr>
                <w:lang w:val="en-GB" w:eastAsia="en-GB"/>
              </w:rPr>
            </w:pPr>
            <w:r w:rsidRPr="00810ADB">
              <w:rPr>
                <w:color w:val="000000"/>
              </w:rPr>
              <w:t>$</w:t>
            </w:r>
            <w:r>
              <w:rPr>
                <w:rFonts w:cs="Calibri"/>
                <w:color w:val="000000"/>
                <w:szCs w:val="20"/>
              </w:rPr>
              <w:t>9,962,478</w:t>
            </w:r>
          </w:p>
        </w:tc>
        <w:tc>
          <w:tcPr>
            <w:tcW w:w="766" w:type="pct"/>
            <w:shd w:val="clear" w:color="auto" w:fill="auto"/>
            <w:vAlign w:val="center"/>
            <w:hideMark/>
          </w:tcPr>
          <w:p w14:paraId="410C7019" w14:textId="5CE4D795" w:rsidR="007915D3" w:rsidRPr="00AE013A" w:rsidRDefault="007915D3" w:rsidP="007915D3">
            <w:pPr>
              <w:pStyle w:val="TableText"/>
              <w:rPr>
                <w:lang w:val="en-GB" w:eastAsia="en-GB"/>
              </w:rPr>
            </w:pPr>
            <w:r w:rsidRPr="00810ADB">
              <w:rPr>
                <w:color w:val="000000"/>
              </w:rPr>
              <w:t>$</w:t>
            </w:r>
            <w:r>
              <w:rPr>
                <w:rFonts w:cs="Calibri"/>
                <w:color w:val="000000"/>
                <w:szCs w:val="20"/>
              </w:rPr>
              <w:t>10,342,098</w:t>
            </w:r>
          </w:p>
        </w:tc>
        <w:tc>
          <w:tcPr>
            <w:tcW w:w="766" w:type="pct"/>
            <w:shd w:val="clear" w:color="auto" w:fill="auto"/>
            <w:vAlign w:val="center"/>
            <w:hideMark/>
          </w:tcPr>
          <w:p w14:paraId="15354879" w14:textId="522F6118" w:rsidR="007915D3" w:rsidRPr="00AE013A" w:rsidRDefault="007915D3" w:rsidP="007915D3">
            <w:pPr>
              <w:pStyle w:val="TableText"/>
              <w:rPr>
                <w:lang w:val="en-GB" w:eastAsia="en-GB"/>
              </w:rPr>
            </w:pPr>
            <w:r w:rsidRPr="00810ADB">
              <w:rPr>
                <w:color w:val="000000"/>
              </w:rPr>
              <w:t>$</w:t>
            </w:r>
            <w:r>
              <w:rPr>
                <w:rFonts w:cs="Calibri"/>
                <w:color w:val="000000"/>
                <w:szCs w:val="20"/>
              </w:rPr>
              <w:t>10,736,184</w:t>
            </w:r>
          </w:p>
        </w:tc>
      </w:tr>
      <w:tr w:rsidR="002B749E" w:rsidRPr="00AE013A" w14:paraId="2C9FD686" w14:textId="77777777" w:rsidTr="00CB74B9">
        <w:trPr>
          <w:trHeight w:val="315"/>
        </w:trPr>
        <w:tc>
          <w:tcPr>
            <w:tcW w:w="405" w:type="pct"/>
            <w:shd w:val="clear" w:color="auto" w:fill="auto"/>
            <w:vAlign w:val="center"/>
            <w:hideMark/>
          </w:tcPr>
          <w:p w14:paraId="41EE8ED4" w14:textId="78008556" w:rsidR="002B749E" w:rsidRPr="00AE013A" w:rsidRDefault="002B749E" w:rsidP="002B749E">
            <w:pPr>
              <w:pStyle w:val="TableText"/>
              <w:rPr>
                <w:lang w:val="en-GB" w:eastAsia="en-GB"/>
              </w:rPr>
            </w:pPr>
            <w:r w:rsidRPr="00AE013A">
              <w:rPr>
                <w:lang w:val="en-GB" w:eastAsia="en-GB"/>
              </w:rPr>
              <w:t>Scenario 2</w:t>
            </w:r>
            <w:r>
              <w:rPr>
                <w:lang w:val="en-GB" w:eastAsia="en-GB"/>
              </w:rPr>
              <w:t>:</w:t>
            </w:r>
            <w:r w:rsidRPr="00AE013A">
              <w:rPr>
                <w:lang w:val="en-GB" w:eastAsia="en-GB"/>
              </w:rPr>
              <w:t xml:space="preserve"> 50%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hideMark/>
          </w:tcPr>
          <w:p w14:paraId="77EA26FD" w14:textId="436D2063" w:rsidR="002B749E" w:rsidRPr="00AE013A" w:rsidRDefault="002B749E" w:rsidP="002B749E">
            <w:pPr>
              <w:pStyle w:val="TableText"/>
              <w:rPr>
                <w:lang w:val="en-GB" w:eastAsia="en-GB"/>
              </w:rPr>
            </w:pPr>
            <w:r w:rsidRPr="00810ADB">
              <w:rPr>
                <w:color w:val="000000"/>
              </w:rPr>
              <w:t>$</w:t>
            </w:r>
            <w:r>
              <w:rPr>
                <w:rFonts w:cs="Calibri"/>
                <w:color w:val="000000"/>
                <w:szCs w:val="20"/>
              </w:rPr>
              <w:t>10,619,746</w:t>
            </w:r>
          </w:p>
        </w:tc>
        <w:tc>
          <w:tcPr>
            <w:tcW w:w="766" w:type="pct"/>
            <w:shd w:val="clear" w:color="auto" w:fill="auto"/>
            <w:vAlign w:val="center"/>
            <w:hideMark/>
          </w:tcPr>
          <w:p w14:paraId="6CE6BF27" w14:textId="4C8049CF" w:rsidR="002B749E" w:rsidRPr="00AE013A" w:rsidRDefault="002B749E" w:rsidP="002B749E">
            <w:pPr>
              <w:pStyle w:val="TableText"/>
              <w:rPr>
                <w:lang w:val="en-GB" w:eastAsia="en-GB"/>
              </w:rPr>
            </w:pPr>
            <w:r w:rsidRPr="00810ADB">
              <w:rPr>
                <w:color w:val="000000"/>
              </w:rPr>
              <w:t>$</w:t>
            </w:r>
            <w:r>
              <w:rPr>
                <w:rFonts w:cs="Calibri"/>
                <w:color w:val="000000"/>
                <w:szCs w:val="20"/>
              </w:rPr>
              <w:t>11,024,411</w:t>
            </w:r>
          </w:p>
        </w:tc>
        <w:tc>
          <w:tcPr>
            <w:tcW w:w="766" w:type="pct"/>
            <w:shd w:val="clear" w:color="auto" w:fill="auto"/>
            <w:vAlign w:val="center"/>
            <w:hideMark/>
          </w:tcPr>
          <w:p w14:paraId="6B40361F" w14:textId="709C6DDA" w:rsidR="002B749E" w:rsidRPr="00AE013A" w:rsidRDefault="002B749E" w:rsidP="002B749E">
            <w:pPr>
              <w:pStyle w:val="TableText"/>
              <w:rPr>
                <w:lang w:val="en-GB" w:eastAsia="en-GB"/>
              </w:rPr>
            </w:pPr>
            <w:r w:rsidRPr="00810ADB">
              <w:rPr>
                <w:color w:val="000000"/>
              </w:rPr>
              <w:t>$</w:t>
            </w:r>
            <w:r>
              <w:rPr>
                <w:rFonts w:cs="Calibri"/>
                <w:color w:val="000000"/>
                <w:szCs w:val="20"/>
              </w:rPr>
              <w:t>11,444,496</w:t>
            </w:r>
          </w:p>
        </w:tc>
        <w:tc>
          <w:tcPr>
            <w:tcW w:w="766" w:type="pct"/>
            <w:shd w:val="clear" w:color="auto" w:fill="auto"/>
            <w:vAlign w:val="center"/>
            <w:hideMark/>
          </w:tcPr>
          <w:p w14:paraId="19694650" w14:textId="3C2F345D" w:rsidR="002B749E" w:rsidRPr="00AE013A" w:rsidRDefault="002B749E" w:rsidP="002B749E">
            <w:pPr>
              <w:pStyle w:val="TableText"/>
              <w:rPr>
                <w:lang w:val="en-GB" w:eastAsia="en-GB"/>
              </w:rPr>
            </w:pPr>
            <w:r w:rsidRPr="00810ADB">
              <w:rPr>
                <w:color w:val="000000"/>
              </w:rPr>
              <w:t>$</w:t>
            </w:r>
            <w:r>
              <w:rPr>
                <w:rFonts w:cs="Calibri"/>
                <w:color w:val="000000"/>
                <w:szCs w:val="20"/>
              </w:rPr>
              <w:t>11,880,589</w:t>
            </w:r>
          </w:p>
        </w:tc>
        <w:tc>
          <w:tcPr>
            <w:tcW w:w="766" w:type="pct"/>
            <w:shd w:val="clear" w:color="auto" w:fill="auto"/>
            <w:vAlign w:val="center"/>
            <w:hideMark/>
          </w:tcPr>
          <w:p w14:paraId="76BB390F" w14:textId="79F8AA79" w:rsidR="002B749E" w:rsidRPr="00AE013A" w:rsidRDefault="002B749E" w:rsidP="002B749E">
            <w:pPr>
              <w:pStyle w:val="TableText"/>
              <w:rPr>
                <w:lang w:val="en-GB" w:eastAsia="en-GB"/>
              </w:rPr>
            </w:pPr>
            <w:r w:rsidRPr="00810ADB">
              <w:rPr>
                <w:color w:val="000000"/>
              </w:rPr>
              <w:t>$</w:t>
            </w:r>
            <w:r>
              <w:rPr>
                <w:rFonts w:cs="Calibri"/>
                <w:color w:val="000000"/>
                <w:szCs w:val="20"/>
              </w:rPr>
              <w:t>12,333,298</w:t>
            </w:r>
          </w:p>
        </w:tc>
        <w:tc>
          <w:tcPr>
            <w:tcW w:w="766" w:type="pct"/>
            <w:shd w:val="clear" w:color="auto" w:fill="auto"/>
            <w:vAlign w:val="center"/>
            <w:hideMark/>
          </w:tcPr>
          <w:p w14:paraId="0788F807" w14:textId="53B0EA3A" w:rsidR="002B749E" w:rsidRPr="00AE013A" w:rsidRDefault="002B749E" w:rsidP="002B749E">
            <w:pPr>
              <w:pStyle w:val="TableText"/>
              <w:rPr>
                <w:lang w:val="en-GB" w:eastAsia="en-GB"/>
              </w:rPr>
            </w:pPr>
            <w:r w:rsidRPr="00810ADB">
              <w:rPr>
                <w:color w:val="000000"/>
              </w:rPr>
              <w:t>$</w:t>
            </w:r>
            <w:r>
              <w:rPr>
                <w:rFonts w:cs="Calibri"/>
                <w:color w:val="000000"/>
                <w:szCs w:val="20"/>
              </w:rPr>
              <w:t>12,803,258</w:t>
            </w:r>
          </w:p>
        </w:tc>
      </w:tr>
      <w:tr w:rsidR="00CB74B9" w:rsidRPr="00AE013A" w14:paraId="558962AB" w14:textId="77777777" w:rsidTr="00CB74B9">
        <w:trPr>
          <w:trHeight w:val="315"/>
        </w:trPr>
        <w:tc>
          <w:tcPr>
            <w:tcW w:w="405" w:type="pct"/>
            <w:shd w:val="clear" w:color="auto" w:fill="auto"/>
            <w:vAlign w:val="center"/>
          </w:tcPr>
          <w:p w14:paraId="10D9171E" w14:textId="3F2ABEC7" w:rsidR="00CB74B9" w:rsidRPr="00AE013A" w:rsidRDefault="00CB74B9" w:rsidP="00CB74B9">
            <w:pPr>
              <w:pStyle w:val="TableText"/>
              <w:rPr>
                <w:lang w:val="en-GB" w:eastAsia="en-GB"/>
              </w:rPr>
            </w:pPr>
            <w:r w:rsidRPr="00AE013A">
              <w:rPr>
                <w:lang w:val="en-GB" w:eastAsia="en-GB"/>
              </w:rPr>
              <w:t>Scenario 3</w:t>
            </w:r>
            <w:r>
              <w:rPr>
                <w:lang w:val="en-GB" w:eastAsia="en-GB"/>
              </w:rPr>
              <w:t>:</w:t>
            </w:r>
            <w:r w:rsidRPr="00AE013A">
              <w:rPr>
                <w:lang w:val="en-GB" w:eastAsia="en-GB"/>
              </w:rPr>
              <w:t xml:space="preserve"> </w:t>
            </w:r>
            <w:r>
              <w:rPr>
                <w:lang w:val="en-GB" w:eastAsia="en-GB"/>
              </w:rPr>
              <w:t>6</w:t>
            </w:r>
            <w:r w:rsidRPr="00AE013A">
              <w:rPr>
                <w:lang w:val="en-GB" w:eastAsia="en-GB"/>
              </w:rPr>
              <w:t>5%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tcPr>
          <w:p w14:paraId="73589337" w14:textId="65E5B5CD" w:rsidR="00CB74B9" w:rsidRPr="00810ADB" w:rsidRDefault="00CB74B9" w:rsidP="00CB74B9">
            <w:pPr>
              <w:pStyle w:val="TableText"/>
              <w:rPr>
                <w:color w:val="000000"/>
              </w:rPr>
            </w:pPr>
            <w:r w:rsidRPr="00015C6B">
              <w:t>$11,648,475</w:t>
            </w:r>
          </w:p>
        </w:tc>
        <w:tc>
          <w:tcPr>
            <w:tcW w:w="766" w:type="pct"/>
            <w:shd w:val="clear" w:color="auto" w:fill="auto"/>
            <w:vAlign w:val="center"/>
          </w:tcPr>
          <w:p w14:paraId="2814A376" w14:textId="387C6DB0" w:rsidR="00CB74B9" w:rsidRPr="00810ADB" w:rsidRDefault="00CB74B9" w:rsidP="00CB74B9">
            <w:pPr>
              <w:pStyle w:val="TableText"/>
              <w:rPr>
                <w:color w:val="000000"/>
              </w:rPr>
            </w:pPr>
            <w:r w:rsidRPr="00015C6B">
              <w:t>$12,092,340</w:t>
            </w:r>
          </w:p>
        </w:tc>
        <w:tc>
          <w:tcPr>
            <w:tcW w:w="766" w:type="pct"/>
            <w:shd w:val="clear" w:color="auto" w:fill="auto"/>
            <w:vAlign w:val="center"/>
          </w:tcPr>
          <w:p w14:paraId="3ACFB0B9" w14:textId="1888C837" w:rsidR="00CB74B9" w:rsidRPr="00810ADB" w:rsidRDefault="00CB74B9" w:rsidP="00CB74B9">
            <w:pPr>
              <w:pStyle w:val="TableText"/>
              <w:rPr>
                <w:color w:val="000000"/>
              </w:rPr>
            </w:pPr>
            <w:r w:rsidRPr="00015C6B">
              <w:t>$12,553,119</w:t>
            </w:r>
          </w:p>
        </w:tc>
        <w:tc>
          <w:tcPr>
            <w:tcW w:w="766" w:type="pct"/>
            <w:shd w:val="clear" w:color="auto" w:fill="auto"/>
            <w:vAlign w:val="center"/>
          </w:tcPr>
          <w:p w14:paraId="4CBB6E4A" w14:textId="5275A033" w:rsidR="00CB74B9" w:rsidRPr="00810ADB" w:rsidRDefault="00CB74B9" w:rsidP="00CB74B9">
            <w:pPr>
              <w:pStyle w:val="TableText"/>
              <w:rPr>
                <w:color w:val="000000"/>
              </w:rPr>
            </w:pPr>
            <w:r w:rsidRPr="00015C6B">
              <w:t>$13,031,455</w:t>
            </w:r>
          </w:p>
        </w:tc>
        <w:tc>
          <w:tcPr>
            <w:tcW w:w="766" w:type="pct"/>
            <w:shd w:val="clear" w:color="auto" w:fill="auto"/>
            <w:vAlign w:val="center"/>
          </w:tcPr>
          <w:p w14:paraId="4D82F8DB" w14:textId="058FA38A" w:rsidR="00CB74B9" w:rsidRPr="00810ADB" w:rsidRDefault="00CB74B9" w:rsidP="00CB74B9">
            <w:pPr>
              <w:pStyle w:val="TableText"/>
              <w:rPr>
                <w:color w:val="000000"/>
              </w:rPr>
            </w:pPr>
            <w:r w:rsidRPr="00015C6B">
              <w:t>$13,528,018</w:t>
            </w:r>
          </w:p>
        </w:tc>
        <w:tc>
          <w:tcPr>
            <w:tcW w:w="766" w:type="pct"/>
            <w:shd w:val="clear" w:color="auto" w:fill="auto"/>
            <w:vAlign w:val="center"/>
          </w:tcPr>
          <w:p w14:paraId="3491B995" w14:textId="7281A4E5" w:rsidR="00CB74B9" w:rsidRPr="00810ADB" w:rsidRDefault="00CB74B9" w:rsidP="00CB74B9">
            <w:pPr>
              <w:pStyle w:val="TableText"/>
              <w:rPr>
                <w:color w:val="000000"/>
              </w:rPr>
            </w:pPr>
            <w:r w:rsidRPr="00015C6B">
              <w:t>$14,043,503</w:t>
            </w:r>
          </w:p>
        </w:tc>
      </w:tr>
      <w:tr w:rsidR="00CB74B9" w:rsidRPr="00AE013A" w14:paraId="2A50F200" w14:textId="77777777" w:rsidTr="00CB74B9">
        <w:trPr>
          <w:trHeight w:val="315"/>
        </w:trPr>
        <w:tc>
          <w:tcPr>
            <w:tcW w:w="405" w:type="pct"/>
            <w:shd w:val="clear" w:color="auto" w:fill="auto"/>
            <w:vAlign w:val="center"/>
            <w:hideMark/>
          </w:tcPr>
          <w:p w14:paraId="0AF58C14" w14:textId="10087736" w:rsidR="00CB74B9" w:rsidRPr="00AE013A" w:rsidRDefault="00CB74B9" w:rsidP="00CB74B9">
            <w:pPr>
              <w:pStyle w:val="TableText"/>
              <w:rPr>
                <w:lang w:val="en-GB" w:eastAsia="en-GB"/>
              </w:rPr>
            </w:pPr>
            <w:r w:rsidRPr="00AE013A">
              <w:rPr>
                <w:lang w:val="en-GB" w:eastAsia="en-GB"/>
              </w:rPr>
              <w:t xml:space="preserve">Scenario </w:t>
            </w:r>
            <w:r>
              <w:rPr>
                <w:lang w:val="en-GB" w:eastAsia="en-GB"/>
              </w:rPr>
              <w:t>4</w:t>
            </w:r>
            <w:r w:rsidRPr="00AE013A">
              <w:rPr>
                <w:lang w:val="en-GB" w:eastAsia="en-GB"/>
              </w:rPr>
              <w:t xml:space="preserve"> 75%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hideMark/>
          </w:tcPr>
          <w:p w14:paraId="090B93FD" w14:textId="2FD218D4" w:rsidR="00CB74B9" w:rsidRPr="00AE013A" w:rsidRDefault="00CB74B9" w:rsidP="00CB74B9">
            <w:pPr>
              <w:pStyle w:val="TableText"/>
              <w:rPr>
                <w:lang w:val="en-GB" w:eastAsia="en-GB"/>
              </w:rPr>
            </w:pPr>
            <w:r w:rsidRPr="00810ADB">
              <w:rPr>
                <w:color w:val="000000"/>
              </w:rPr>
              <w:t>$</w:t>
            </w:r>
            <w:r>
              <w:rPr>
                <w:rFonts w:cs="Calibri"/>
                <w:color w:val="000000"/>
                <w:szCs w:val="20"/>
              </w:rPr>
              <w:t>12,334,295</w:t>
            </w:r>
          </w:p>
        </w:tc>
        <w:tc>
          <w:tcPr>
            <w:tcW w:w="766" w:type="pct"/>
            <w:shd w:val="clear" w:color="auto" w:fill="auto"/>
            <w:vAlign w:val="center"/>
            <w:hideMark/>
          </w:tcPr>
          <w:p w14:paraId="1C3917A5" w14:textId="2A0F3810" w:rsidR="00CB74B9" w:rsidRPr="00AE013A" w:rsidRDefault="00CB74B9" w:rsidP="00CB74B9">
            <w:pPr>
              <w:pStyle w:val="TableText"/>
              <w:rPr>
                <w:lang w:val="en-GB" w:eastAsia="en-GB"/>
              </w:rPr>
            </w:pPr>
            <w:r w:rsidRPr="00810ADB">
              <w:rPr>
                <w:color w:val="000000"/>
              </w:rPr>
              <w:t>$</w:t>
            </w:r>
            <w:r>
              <w:rPr>
                <w:rFonts w:cs="Calibri"/>
                <w:color w:val="000000"/>
                <w:szCs w:val="20"/>
              </w:rPr>
              <w:t>12,804,293</w:t>
            </w:r>
          </w:p>
        </w:tc>
        <w:tc>
          <w:tcPr>
            <w:tcW w:w="766" w:type="pct"/>
            <w:shd w:val="clear" w:color="auto" w:fill="auto"/>
            <w:vAlign w:val="center"/>
            <w:hideMark/>
          </w:tcPr>
          <w:p w14:paraId="554CDA66" w14:textId="24E67663" w:rsidR="00CB74B9" w:rsidRPr="00AE013A" w:rsidRDefault="00CB74B9" w:rsidP="00CB74B9">
            <w:pPr>
              <w:pStyle w:val="TableText"/>
              <w:rPr>
                <w:lang w:val="en-GB" w:eastAsia="en-GB"/>
              </w:rPr>
            </w:pPr>
            <w:r w:rsidRPr="00810ADB">
              <w:rPr>
                <w:color w:val="000000"/>
              </w:rPr>
              <w:t>$</w:t>
            </w:r>
            <w:r>
              <w:rPr>
                <w:rFonts w:cs="Calibri"/>
                <w:color w:val="000000"/>
                <w:szCs w:val="20"/>
              </w:rPr>
              <w:t>13,292,200</w:t>
            </w:r>
          </w:p>
        </w:tc>
        <w:tc>
          <w:tcPr>
            <w:tcW w:w="766" w:type="pct"/>
            <w:shd w:val="clear" w:color="auto" w:fill="auto"/>
            <w:vAlign w:val="center"/>
            <w:hideMark/>
          </w:tcPr>
          <w:p w14:paraId="00636382" w14:textId="38586CC3" w:rsidR="00CB74B9" w:rsidRPr="00AE013A" w:rsidRDefault="00CB74B9" w:rsidP="00CB74B9">
            <w:pPr>
              <w:pStyle w:val="TableText"/>
              <w:rPr>
                <w:lang w:val="en-GB" w:eastAsia="en-GB"/>
              </w:rPr>
            </w:pPr>
            <w:r w:rsidRPr="00810ADB">
              <w:rPr>
                <w:color w:val="000000"/>
              </w:rPr>
              <w:t>$</w:t>
            </w:r>
            <w:r>
              <w:rPr>
                <w:rFonts w:cs="Calibri"/>
                <w:color w:val="000000"/>
                <w:szCs w:val="20"/>
              </w:rPr>
              <w:t>13,798,699</w:t>
            </w:r>
          </w:p>
        </w:tc>
        <w:tc>
          <w:tcPr>
            <w:tcW w:w="766" w:type="pct"/>
            <w:shd w:val="clear" w:color="auto" w:fill="auto"/>
            <w:vAlign w:val="center"/>
            <w:hideMark/>
          </w:tcPr>
          <w:p w14:paraId="7FED2DA4" w14:textId="3351428B" w:rsidR="00CB74B9" w:rsidRPr="00AE013A" w:rsidRDefault="00CB74B9" w:rsidP="00CB74B9">
            <w:pPr>
              <w:pStyle w:val="TableText"/>
              <w:rPr>
                <w:lang w:val="en-GB" w:eastAsia="en-GB"/>
              </w:rPr>
            </w:pPr>
            <w:r w:rsidRPr="00810ADB">
              <w:rPr>
                <w:color w:val="000000"/>
              </w:rPr>
              <w:t>$</w:t>
            </w:r>
            <w:r>
              <w:rPr>
                <w:rFonts w:cs="Calibri"/>
                <w:color w:val="000000"/>
                <w:szCs w:val="20"/>
              </w:rPr>
              <w:t>14,324,498</w:t>
            </w:r>
          </w:p>
        </w:tc>
        <w:tc>
          <w:tcPr>
            <w:tcW w:w="766" w:type="pct"/>
            <w:shd w:val="clear" w:color="auto" w:fill="auto"/>
            <w:vAlign w:val="center"/>
            <w:hideMark/>
          </w:tcPr>
          <w:p w14:paraId="48FCEE5B" w14:textId="4F728FD5" w:rsidR="00CB74B9" w:rsidRPr="00AE013A" w:rsidRDefault="00CB74B9" w:rsidP="00CB74B9">
            <w:pPr>
              <w:pStyle w:val="TableText"/>
              <w:rPr>
                <w:lang w:val="en-GB" w:eastAsia="en-GB"/>
              </w:rPr>
            </w:pPr>
            <w:r w:rsidRPr="00810ADB">
              <w:rPr>
                <w:color w:val="000000"/>
              </w:rPr>
              <w:t>$</w:t>
            </w:r>
            <w:r>
              <w:rPr>
                <w:rFonts w:cs="Calibri"/>
                <w:color w:val="000000"/>
                <w:szCs w:val="20"/>
              </w:rPr>
              <w:t>14,870,333</w:t>
            </w:r>
          </w:p>
        </w:tc>
      </w:tr>
      <w:tr w:rsidR="00876EFE" w:rsidRPr="00AE013A" w14:paraId="47E71468" w14:textId="77777777" w:rsidTr="00CB74B9">
        <w:trPr>
          <w:trHeight w:val="315"/>
        </w:trPr>
        <w:tc>
          <w:tcPr>
            <w:tcW w:w="405" w:type="pct"/>
            <w:shd w:val="clear" w:color="auto" w:fill="auto"/>
            <w:vAlign w:val="center"/>
            <w:hideMark/>
          </w:tcPr>
          <w:p w14:paraId="7E60B4C6" w14:textId="7904C733" w:rsidR="00876EFE" w:rsidRPr="00AE013A" w:rsidRDefault="00876EFE" w:rsidP="00876EFE">
            <w:pPr>
              <w:pStyle w:val="TableText"/>
              <w:rPr>
                <w:lang w:val="en-GB" w:eastAsia="en-GB"/>
              </w:rPr>
            </w:pPr>
            <w:r w:rsidRPr="00AE013A">
              <w:rPr>
                <w:lang w:val="en-GB" w:eastAsia="en-GB"/>
              </w:rPr>
              <w:t xml:space="preserve">Scenario </w:t>
            </w:r>
            <w:r>
              <w:rPr>
                <w:lang w:val="en-GB" w:eastAsia="en-GB"/>
              </w:rPr>
              <w:t>5:</w:t>
            </w:r>
            <w:r w:rsidRPr="00AE013A">
              <w:rPr>
                <w:lang w:val="en-GB" w:eastAsia="en-GB"/>
              </w:rPr>
              <w:t xml:space="preserve"> 100%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hideMark/>
          </w:tcPr>
          <w:p w14:paraId="5F041AC5" w14:textId="475AF426" w:rsidR="00876EFE" w:rsidRPr="00AE013A" w:rsidRDefault="00876EFE" w:rsidP="00876EFE">
            <w:pPr>
              <w:pStyle w:val="TableText"/>
              <w:rPr>
                <w:lang w:val="en-GB" w:eastAsia="en-GB"/>
              </w:rPr>
            </w:pPr>
            <w:r w:rsidRPr="00810ADB">
              <w:rPr>
                <w:color w:val="000000"/>
              </w:rPr>
              <w:t>$</w:t>
            </w:r>
            <w:r>
              <w:rPr>
                <w:rFonts w:cs="Calibri"/>
                <w:color w:val="000000"/>
                <w:szCs w:val="20"/>
              </w:rPr>
              <w:t>14,048,843</w:t>
            </w:r>
          </w:p>
        </w:tc>
        <w:tc>
          <w:tcPr>
            <w:tcW w:w="766" w:type="pct"/>
            <w:shd w:val="clear" w:color="auto" w:fill="auto"/>
            <w:vAlign w:val="center"/>
            <w:hideMark/>
          </w:tcPr>
          <w:p w14:paraId="3B83E7BC" w14:textId="07554321" w:rsidR="00876EFE" w:rsidRPr="00AE013A" w:rsidRDefault="00876EFE" w:rsidP="00876EFE">
            <w:pPr>
              <w:pStyle w:val="TableText"/>
              <w:rPr>
                <w:lang w:val="en-GB" w:eastAsia="en-GB"/>
              </w:rPr>
            </w:pPr>
            <w:r w:rsidRPr="00810ADB">
              <w:rPr>
                <w:color w:val="000000"/>
              </w:rPr>
              <w:t>$</w:t>
            </w:r>
            <w:r>
              <w:rPr>
                <w:rFonts w:cs="Calibri"/>
                <w:color w:val="000000"/>
                <w:szCs w:val="20"/>
              </w:rPr>
              <w:t>14,584,174</w:t>
            </w:r>
          </w:p>
        </w:tc>
        <w:tc>
          <w:tcPr>
            <w:tcW w:w="766" w:type="pct"/>
            <w:shd w:val="clear" w:color="auto" w:fill="auto"/>
            <w:vAlign w:val="center"/>
            <w:hideMark/>
          </w:tcPr>
          <w:p w14:paraId="4E5DEDEA" w14:textId="6CFCFCFC" w:rsidR="00876EFE" w:rsidRPr="00AE013A" w:rsidRDefault="00876EFE" w:rsidP="00876EFE">
            <w:pPr>
              <w:pStyle w:val="TableText"/>
              <w:rPr>
                <w:lang w:val="en-GB" w:eastAsia="en-GB"/>
              </w:rPr>
            </w:pPr>
            <w:r w:rsidRPr="00810ADB">
              <w:rPr>
                <w:color w:val="000000"/>
              </w:rPr>
              <w:t>$</w:t>
            </w:r>
            <w:r>
              <w:rPr>
                <w:rFonts w:cs="Calibri"/>
                <w:color w:val="000000"/>
                <w:szCs w:val="20"/>
              </w:rPr>
              <w:t>15,139,904</w:t>
            </w:r>
          </w:p>
        </w:tc>
        <w:tc>
          <w:tcPr>
            <w:tcW w:w="766" w:type="pct"/>
            <w:shd w:val="clear" w:color="auto" w:fill="auto"/>
            <w:vAlign w:val="center"/>
            <w:hideMark/>
          </w:tcPr>
          <w:p w14:paraId="047D02F4" w14:textId="408251FF" w:rsidR="00876EFE" w:rsidRPr="00AE013A" w:rsidRDefault="00876EFE" w:rsidP="00876EFE">
            <w:pPr>
              <w:pStyle w:val="TableText"/>
              <w:rPr>
                <w:lang w:val="en-GB" w:eastAsia="en-GB"/>
              </w:rPr>
            </w:pPr>
            <w:r w:rsidRPr="00810ADB">
              <w:rPr>
                <w:color w:val="000000"/>
              </w:rPr>
              <w:t>$</w:t>
            </w:r>
            <w:r>
              <w:rPr>
                <w:rFonts w:cs="Calibri"/>
                <w:color w:val="000000"/>
                <w:szCs w:val="20"/>
              </w:rPr>
              <w:t>15,716,809</w:t>
            </w:r>
          </w:p>
        </w:tc>
        <w:tc>
          <w:tcPr>
            <w:tcW w:w="766" w:type="pct"/>
            <w:shd w:val="clear" w:color="auto" w:fill="auto"/>
            <w:vAlign w:val="center"/>
            <w:hideMark/>
          </w:tcPr>
          <w:p w14:paraId="4AE6EF0E" w14:textId="6290869D" w:rsidR="00876EFE" w:rsidRPr="00AE013A" w:rsidRDefault="00876EFE" w:rsidP="00876EFE">
            <w:pPr>
              <w:pStyle w:val="TableText"/>
              <w:rPr>
                <w:lang w:val="en-GB" w:eastAsia="en-GB"/>
              </w:rPr>
            </w:pPr>
            <w:r w:rsidRPr="00810ADB">
              <w:rPr>
                <w:color w:val="000000"/>
              </w:rPr>
              <w:t>$</w:t>
            </w:r>
            <w:r>
              <w:rPr>
                <w:rFonts w:cs="Calibri"/>
                <w:color w:val="000000"/>
                <w:szCs w:val="20"/>
              </w:rPr>
              <w:t>16,315,698</w:t>
            </w:r>
          </w:p>
        </w:tc>
        <w:tc>
          <w:tcPr>
            <w:tcW w:w="766" w:type="pct"/>
            <w:shd w:val="clear" w:color="auto" w:fill="auto"/>
            <w:vAlign w:val="center"/>
            <w:hideMark/>
          </w:tcPr>
          <w:p w14:paraId="186DD091" w14:textId="5D893337" w:rsidR="00876EFE" w:rsidRPr="00AE013A" w:rsidRDefault="00876EFE" w:rsidP="00876EFE">
            <w:pPr>
              <w:pStyle w:val="TableText"/>
              <w:rPr>
                <w:lang w:val="en-GB" w:eastAsia="en-GB"/>
              </w:rPr>
            </w:pPr>
            <w:r w:rsidRPr="00810ADB">
              <w:rPr>
                <w:color w:val="000000"/>
              </w:rPr>
              <w:t>$</w:t>
            </w:r>
            <w:r>
              <w:rPr>
                <w:rFonts w:cs="Calibri"/>
                <w:color w:val="000000"/>
                <w:szCs w:val="20"/>
              </w:rPr>
              <w:t>16,937,407</w:t>
            </w:r>
          </w:p>
        </w:tc>
      </w:tr>
    </w:tbl>
    <w:p w14:paraId="0706A96F" w14:textId="77777777" w:rsidR="004221AF" w:rsidRDefault="004221AF" w:rsidP="004221AF">
      <w:pPr>
        <w:pStyle w:val="Tablenotes0"/>
      </w:pPr>
      <w:r>
        <w:t>Abbreviations: MBS = Medicare Benefits Schedule.</w:t>
      </w:r>
    </w:p>
    <w:p w14:paraId="4BCA3BCB" w14:textId="7EF2EC94" w:rsidR="001921B1" w:rsidRDefault="001921B1" w:rsidP="001921B1">
      <w:r>
        <w:fldChar w:fldCharType="begin"/>
      </w:r>
      <w:r>
        <w:instrText xml:space="preserve"> REF _Ref170204677 \h </w:instrText>
      </w:r>
      <w:r>
        <w:fldChar w:fldCharType="separate"/>
      </w:r>
      <w:r>
        <w:t xml:space="preserve">Table </w:t>
      </w:r>
      <w:r>
        <w:rPr>
          <w:noProof/>
        </w:rPr>
        <w:t>17</w:t>
      </w:r>
      <w:r>
        <w:fldChar w:fldCharType="end"/>
      </w:r>
      <w:r>
        <w:t xml:space="preserve"> shows the net financial impact to the MBS for a scenario in which the proportion of patients expected to receive </w:t>
      </w:r>
      <w:r w:rsidRPr="00A15A95">
        <w:rPr>
          <w:vertAlign w:val="superscript"/>
        </w:rPr>
        <w:t>177</w:t>
      </w:r>
      <w:r w:rsidRPr="00152D93">
        <w:t>Lu-DOTA-octreotate</w:t>
      </w:r>
      <w:r>
        <w:t xml:space="preserve"> is doubled (i.e. approximately 400 patients expected to receive treatment in Year 1).</w:t>
      </w:r>
    </w:p>
    <w:p w14:paraId="0445467A" w14:textId="1E085B88" w:rsidR="001921B1" w:rsidRDefault="001921B1" w:rsidP="00994611">
      <w:pPr>
        <w:pStyle w:val="Caption"/>
      </w:pPr>
      <w:bookmarkStart w:id="114" w:name="_Ref170204677"/>
      <w:r>
        <w:lastRenderedPageBreak/>
        <w:t xml:space="preserve">Table </w:t>
      </w:r>
      <w:r>
        <w:fldChar w:fldCharType="begin"/>
      </w:r>
      <w:r>
        <w:instrText xml:space="preserve"> SEQ Table \* ARABIC </w:instrText>
      </w:r>
      <w:r>
        <w:fldChar w:fldCharType="separate"/>
      </w:r>
      <w:r>
        <w:rPr>
          <w:noProof/>
        </w:rPr>
        <w:t>17</w:t>
      </w:r>
      <w:r>
        <w:rPr>
          <w:noProof/>
        </w:rPr>
        <w:fldChar w:fldCharType="end"/>
      </w:r>
      <w:bookmarkEnd w:id="114"/>
      <w:r>
        <w:t>:</w:t>
      </w:r>
      <w:r>
        <w:tab/>
        <w:t xml:space="preserve">Net financial impact of </w:t>
      </w:r>
      <w:r w:rsidRPr="002E3BD9">
        <w:rPr>
          <w:vertAlign w:val="superscript"/>
        </w:rPr>
        <w:t>177</w:t>
      </w:r>
      <w:r>
        <w:t>Lu-DOTA-octreotate to the MBS, scenario with twice the expected treated population</w:t>
      </w:r>
      <w:r w:rsidR="005B6ED2">
        <w:t xml:space="preserve">; </w:t>
      </w:r>
      <w:r w:rsidR="005B6ED2" w:rsidRPr="00381878">
        <w:rPr>
          <w:i/>
          <w:iCs/>
        </w:rPr>
        <w:t>and ESC indicative sensitivity analyses</w:t>
      </w:r>
    </w:p>
    <w:tbl>
      <w:tblPr>
        <w:tblStyle w:val="TableGrid"/>
        <w:tblW w:w="0" w:type="auto"/>
        <w:tblLayout w:type="fixed"/>
        <w:tblLook w:val="04A0" w:firstRow="1" w:lastRow="0" w:firstColumn="1" w:lastColumn="0" w:noHBand="0" w:noVBand="1"/>
      </w:tblPr>
      <w:tblGrid>
        <w:gridCol w:w="1520"/>
        <w:gridCol w:w="1249"/>
        <w:gridCol w:w="1249"/>
        <w:gridCol w:w="1250"/>
        <w:gridCol w:w="1249"/>
        <w:gridCol w:w="1249"/>
        <w:gridCol w:w="1250"/>
      </w:tblGrid>
      <w:tr w:rsidR="00932FA7" w14:paraId="6A10E8F8" w14:textId="77777777" w:rsidTr="00AF0759">
        <w:trPr>
          <w:cantSplit/>
          <w:tblHeader/>
        </w:trPr>
        <w:tc>
          <w:tcPr>
            <w:tcW w:w="1520" w:type="dxa"/>
          </w:tcPr>
          <w:p w14:paraId="3AC12C8B" w14:textId="77777777" w:rsidR="001921B1" w:rsidRDefault="001921B1">
            <w:pPr>
              <w:pStyle w:val="TableHeading0"/>
            </w:pPr>
            <w:r w:rsidRPr="00333DDD">
              <w:t xml:space="preserve">Parameter </w:t>
            </w:r>
          </w:p>
        </w:tc>
        <w:tc>
          <w:tcPr>
            <w:tcW w:w="1249" w:type="dxa"/>
          </w:tcPr>
          <w:p w14:paraId="1FD6A997" w14:textId="77777777" w:rsidR="001921B1" w:rsidRDefault="001921B1">
            <w:pPr>
              <w:pStyle w:val="TableHeading0"/>
            </w:pPr>
            <w:r w:rsidRPr="00333DDD">
              <w:t>2024</w:t>
            </w:r>
          </w:p>
        </w:tc>
        <w:tc>
          <w:tcPr>
            <w:tcW w:w="1249" w:type="dxa"/>
          </w:tcPr>
          <w:p w14:paraId="0934B836" w14:textId="77777777" w:rsidR="001921B1" w:rsidRDefault="001921B1">
            <w:pPr>
              <w:pStyle w:val="TableHeading0"/>
            </w:pPr>
            <w:r w:rsidRPr="00333DDD">
              <w:t>2025</w:t>
            </w:r>
          </w:p>
        </w:tc>
        <w:tc>
          <w:tcPr>
            <w:tcW w:w="1250" w:type="dxa"/>
          </w:tcPr>
          <w:p w14:paraId="468BA57E" w14:textId="77777777" w:rsidR="001921B1" w:rsidRDefault="001921B1">
            <w:pPr>
              <w:pStyle w:val="TableHeading0"/>
            </w:pPr>
            <w:r w:rsidRPr="00333DDD">
              <w:t>2026</w:t>
            </w:r>
          </w:p>
        </w:tc>
        <w:tc>
          <w:tcPr>
            <w:tcW w:w="1249" w:type="dxa"/>
          </w:tcPr>
          <w:p w14:paraId="76589D40" w14:textId="77777777" w:rsidR="001921B1" w:rsidRDefault="001921B1">
            <w:pPr>
              <w:pStyle w:val="TableHeading0"/>
            </w:pPr>
            <w:r w:rsidRPr="00333DDD">
              <w:t>2027</w:t>
            </w:r>
          </w:p>
        </w:tc>
        <w:tc>
          <w:tcPr>
            <w:tcW w:w="1249" w:type="dxa"/>
          </w:tcPr>
          <w:p w14:paraId="40958F38" w14:textId="77777777" w:rsidR="001921B1" w:rsidRDefault="001921B1">
            <w:pPr>
              <w:pStyle w:val="TableHeading0"/>
            </w:pPr>
            <w:r w:rsidRPr="00333DDD">
              <w:t>2028</w:t>
            </w:r>
          </w:p>
        </w:tc>
        <w:tc>
          <w:tcPr>
            <w:tcW w:w="1250" w:type="dxa"/>
          </w:tcPr>
          <w:p w14:paraId="44A431A2" w14:textId="77777777" w:rsidR="001921B1" w:rsidRDefault="001921B1">
            <w:pPr>
              <w:pStyle w:val="TableHeading0"/>
            </w:pPr>
            <w:r w:rsidRPr="00333DDD">
              <w:t>2029</w:t>
            </w:r>
          </w:p>
        </w:tc>
      </w:tr>
      <w:tr w:rsidR="001921B1" w14:paraId="4555CABC" w14:textId="77777777" w:rsidTr="00AF0759">
        <w:trPr>
          <w:cantSplit/>
        </w:trPr>
        <w:tc>
          <w:tcPr>
            <w:tcW w:w="9016" w:type="dxa"/>
            <w:gridSpan w:val="7"/>
          </w:tcPr>
          <w:p w14:paraId="25C6591F" w14:textId="77777777" w:rsidR="001921B1" w:rsidRDefault="001921B1">
            <w:pPr>
              <w:pStyle w:val="In-tableHeading"/>
            </w:pPr>
            <w:r w:rsidRPr="009B07CB">
              <w:t>Estimated use and cost of the proposed health technology</w:t>
            </w:r>
          </w:p>
        </w:tc>
      </w:tr>
      <w:tr w:rsidR="00932FA7" w14:paraId="71A8E41F" w14:textId="77777777" w:rsidTr="00AF0759">
        <w:trPr>
          <w:cantSplit/>
        </w:trPr>
        <w:tc>
          <w:tcPr>
            <w:tcW w:w="1520" w:type="dxa"/>
          </w:tcPr>
          <w:p w14:paraId="074F6B49" w14:textId="77777777" w:rsidR="001921B1" w:rsidRDefault="001921B1">
            <w:pPr>
              <w:pStyle w:val="TableText"/>
            </w:pPr>
            <w:r w:rsidRPr="000D7B3D">
              <w:t>Incidence of NENs</w:t>
            </w:r>
          </w:p>
        </w:tc>
        <w:tc>
          <w:tcPr>
            <w:tcW w:w="1249" w:type="dxa"/>
          </w:tcPr>
          <w:p w14:paraId="0CD392F5" w14:textId="77777777" w:rsidR="001921B1" w:rsidRDefault="001921B1">
            <w:pPr>
              <w:pStyle w:val="TableText"/>
            </w:pPr>
            <w:r w:rsidRPr="000D7B3D">
              <w:t>5,642</w:t>
            </w:r>
          </w:p>
        </w:tc>
        <w:tc>
          <w:tcPr>
            <w:tcW w:w="1249" w:type="dxa"/>
          </w:tcPr>
          <w:p w14:paraId="2BB986C4" w14:textId="77777777" w:rsidR="001921B1" w:rsidRDefault="001921B1">
            <w:pPr>
              <w:pStyle w:val="TableText"/>
            </w:pPr>
            <w:r w:rsidRPr="000D7B3D">
              <w:t>5,857</w:t>
            </w:r>
          </w:p>
        </w:tc>
        <w:tc>
          <w:tcPr>
            <w:tcW w:w="1250" w:type="dxa"/>
          </w:tcPr>
          <w:p w14:paraId="0773C4CE" w14:textId="77777777" w:rsidR="001921B1" w:rsidRDefault="001921B1">
            <w:pPr>
              <w:pStyle w:val="TableText"/>
            </w:pPr>
            <w:r w:rsidRPr="000D7B3D">
              <w:t>6,080</w:t>
            </w:r>
          </w:p>
        </w:tc>
        <w:tc>
          <w:tcPr>
            <w:tcW w:w="1249" w:type="dxa"/>
          </w:tcPr>
          <w:p w14:paraId="7F51BDC4" w14:textId="77777777" w:rsidR="001921B1" w:rsidRDefault="001921B1">
            <w:pPr>
              <w:pStyle w:val="TableText"/>
            </w:pPr>
            <w:r w:rsidRPr="000D7B3D">
              <w:t>6,312</w:t>
            </w:r>
          </w:p>
        </w:tc>
        <w:tc>
          <w:tcPr>
            <w:tcW w:w="1249" w:type="dxa"/>
          </w:tcPr>
          <w:p w14:paraId="7DEA0B79" w14:textId="77777777" w:rsidR="001921B1" w:rsidRDefault="001921B1">
            <w:pPr>
              <w:pStyle w:val="TableText"/>
            </w:pPr>
            <w:r w:rsidRPr="000D7B3D">
              <w:t>6,552</w:t>
            </w:r>
          </w:p>
        </w:tc>
        <w:tc>
          <w:tcPr>
            <w:tcW w:w="1250" w:type="dxa"/>
          </w:tcPr>
          <w:p w14:paraId="16C72A27" w14:textId="77777777" w:rsidR="001921B1" w:rsidRDefault="001921B1">
            <w:pPr>
              <w:pStyle w:val="TableText"/>
            </w:pPr>
            <w:r w:rsidRPr="000D7B3D">
              <w:t>6,802</w:t>
            </w:r>
          </w:p>
        </w:tc>
      </w:tr>
      <w:tr w:rsidR="0086762D" w14:paraId="0794E479" w14:textId="77777777" w:rsidTr="00AF0759">
        <w:trPr>
          <w:cantSplit/>
        </w:trPr>
        <w:tc>
          <w:tcPr>
            <w:tcW w:w="1520" w:type="dxa"/>
          </w:tcPr>
          <w:p w14:paraId="77445DD0" w14:textId="77777777" w:rsidR="001921B1" w:rsidRDefault="001921B1">
            <w:pPr>
              <w:pStyle w:val="TableText"/>
            </w:pPr>
            <w:r w:rsidRPr="003727CE">
              <w:rPr>
                <w:lang w:eastAsia="en-GB"/>
              </w:rPr>
              <w:t xml:space="preserve">Number of people eligible for </w:t>
            </w:r>
            <w:r w:rsidRPr="00931C1C">
              <w:rPr>
                <w:vertAlign w:val="superscript"/>
                <w:lang w:eastAsia="en-GB"/>
              </w:rPr>
              <w:t>177</w:t>
            </w:r>
            <w:r w:rsidRPr="003727CE">
              <w:rPr>
                <w:lang w:eastAsia="en-GB"/>
              </w:rPr>
              <w:t>Lu-DOTA-octreotate</w:t>
            </w:r>
          </w:p>
        </w:tc>
        <w:tc>
          <w:tcPr>
            <w:tcW w:w="7496" w:type="dxa"/>
            <w:gridSpan w:val="6"/>
          </w:tcPr>
          <w:p w14:paraId="14CFEBC7" w14:textId="77777777" w:rsidR="001921B1" w:rsidRDefault="001921B1">
            <w:pPr>
              <w:pStyle w:val="TableText"/>
            </w:pPr>
            <w:r w:rsidRPr="003727CE">
              <w:rPr>
                <w:lang w:val="en-GB" w:eastAsia="en-GB"/>
              </w:rPr>
              <w:t>Unknown</w:t>
            </w:r>
            <w:r w:rsidRPr="003727CE">
              <w:rPr>
                <w:lang w:val="en-GB" w:eastAsia="en-GB"/>
              </w:rPr>
              <w:br/>
              <w:t xml:space="preserve">Assumed </w:t>
            </w:r>
            <w:r>
              <w:rPr>
                <w:lang w:val="en-GB" w:eastAsia="en-GB"/>
              </w:rPr>
              <w:t>7</w:t>
            </w:r>
            <w:r w:rsidRPr="003727CE">
              <w:rPr>
                <w:lang w:val="en-GB" w:eastAsia="en-GB"/>
              </w:rPr>
              <w:t>% to match applicant</w:t>
            </w:r>
            <w:r>
              <w:rPr>
                <w:lang w:val="en-GB" w:eastAsia="en-GB"/>
              </w:rPr>
              <w:t>-</w:t>
            </w:r>
            <w:r w:rsidRPr="003727CE">
              <w:rPr>
                <w:lang w:val="en-GB" w:eastAsia="en-GB"/>
              </w:rPr>
              <w:t xml:space="preserve">advised treatment population of approximately </w:t>
            </w:r>
            <w:r>
              <w:rPr>
                <w:lang w:val="en-GB" w:eastAsia="en-GB"/>
              </w:rPr>
              <w:t>4</w:t>
            </w:r>
            <w:r w:rsidRPr="003727CE">
              <w:rPr>
                <w:lang w:val="en-GB" w:eastAsia="en-GB"/>
              </w:rPr>
              <w:t>00</w:t>
            </w:r>
          </w:p>
        </w:tc>
      </w:tr>
      <w:tr w:rsidR="00932FA7" w14:paraId="1E248809" w14:textId="77777777" w:rsidTr="00AF0759">
        <w:trPr>
          <w:cantSplit/>
        </w:trPr>
        <w:tc>
          <w:tcPr>
            <w:tcW w:w="1520" w:type="dxa"/>
          </w:tcPr>
          <w:p w14:paraId="760DABC1" w14:textId="77777777" w:rsidR="001921B1" w:rsidRPr="003727CE" w:rsidRDefault="001921B1">
            <w:pPr>
              <w:pStyle w:val="TableText"/>
              <w:rPr>
                <w:lang w:eastAsia="en-GB"/>
              </w:rPr>
            </w:pPr>
            <w:r w:rsidRPr="00234329">
              <w:t xml:space="preserve">Number of people who receive 177Lu-DOTA-octreotate </w:t>
            </w:r>
          </w:p>
        </w:tc>
        <w:tc>
          <w:tcPr>
            <w:tcW w:w="1249" w:type="dxa"/>
          </w:tcPr>
          <w:p w14:paraId="0582F4FE" w14:textId="77777777" w:rsidR="001921B1" w:rsidRPr="003727CE" w:rsidRDefault="001921B1">
            <w:pPr>
              <w:pStyle w:val="TableText"/>
              <w:rPr>
                <w:lang w:val="en-GB" w:eastAsia="en-GB"/>
              </w:rPr>
            </w:pPr>
            <w:r w:rsidRPr="00234329">
              <w:t>395</w:t>
            </w:r>
          </w:p>
        </w:tc>
        <w:tc>
          <w:tcPr>
            <w:tcW w:w="1249" w:type="dxa"/>
          </w:tcPr>
          <w:p w14:paraId="0BFD5AB7" w14:textId="77777777" w:rsidR="001921B1" w:rsidRDefault="001921B1">
            <w:pPr>
              <w:pStyle w:val="TableText"/>
            </w:pPr>
            <w:r w:rsidRPr="00234329">
              <w:t>410</w:t>
            </w:r>
          </w:p>
        </w:tc>
        <w:tc>
          <w:tcPr>
            <w:tcW w:w="1250" w:type="dxa"/>
          </w:tcPr>
          <w:p w14:paraId="118DD8ED" w14:textId="77777777" w:rsidR="001921B1" w:rsidRDefault="001921B1">
            <w:pPr>
              <w:pStyle w:val="TableText"/>
            </w:pPr>
            <w:r w:rsidRPr="00234329">
              <w:t>426</w:t>
            </w:r>
          </w:p>
        </w:tc>
        <w:tc>
          <w:tcPr>
            <w:tcW w:w="1249" w:type="dxa"/>
          </w:tcPr>
          <w:p w14:paraId="09C7C9A7" w14:textId="77777777" w:rsidR="001921B1" w:rsidRDefault="001921B1">
            <w:pPr>
              <w:pStyle w:val="TableText"/>
            </w:pPr>
            <w:r w:rsidRPr="00234329">
              <w:t>442</w:t>
            </w:r>
          </w:p>
        </w:tc>
        <w:tc>
          <w:tcPr>
            <w:tcW w:w="1249" w:type="dxa"/>
          </w:tcPr>
          <w:p w14:paraId="508FBF11" w14:textId="77777777" w:rsidR="001921B1" w:rsidRDefault="001921B1">
            <w:pPr>
              <w:pStyle w:val="TableText"/>
            </w:pPr>
            <w:r w:rsidRPr="00234329">
              <w:t>459</w:t>
            </w:r>
          </w:p>
        </w:tc>
        <w:tc>
          <w:tcPr>
            <w:tcW w:w="1250" w:type="dxa"/>
          </w:tcPr>
          <w:p w14:paraId="35A1E03E" w14:textId="77777777" w:rsidR="001921B1" w:rsidRDefault="001921B1">
            <w:pPr>
              <w:pStyle w:val="TableText"/>
            </w:pPr>
            <w:r w:rsidRPr="00234329">
              <w:t>476</w:t>
            </w:r>
          </w:p>
        </w:tc>
      </w:tr>
      <w:tr w:rsidR="00932FA7" w14:paraId="3499FCD2" w14:textId="77777777" w:rsidTr="00AF0759">
        <w:trPr>
          <w:cantSplit/>
        </w:trPr>
        <w:tc>
          <w:tcPr>
            <w:tcW w:w="1520" w:type="dxa"/>
          </w:tcPr>
          <w:p w14:paraId="7A838F1E" w14:textId="77777777" w:rsidR="001921B1" w:rsidRPr="003727CE" w:rsidRDefault="001921B1">
            <w:pPr>
              <w:pStyle w:val="TableText"/>
              <w:rPr>
                <w:lang w:eastAsia="en-GB"/>
              </w:rPr>
            </w:pPr>
            <w:r w:rsidRPr="0004446E">
              <w:t>Number of 177Lu-DOTA-octreotate recipients tested with 68Ga-DOTA-octreotate PET/CT (100%)</w:t>
            </w:r>
          </w:p>
        </w:tc>
        <w:tc>
          <w:tcPr>
            <w:tcW w:w="1249" w:type="dxa"/>
          </w:tcPr>
          <w:p w14:paraId="2416678A" w14:textId="77777777" w:rsidR="001921B1" w:rsidRPr="003727CE" w:rsidRDefault="001921B1">
            <w:pPr>
              <w:pStyle w:val="TableText"/>
              <w:rPr>
                <w:lang w:val="en-GB" w:eastAsia="en-GB"/>
              </w:rPr>
            </w:pPr>
            <w:r w:rsidRPr="0004446E">
              <w:t>395</w:t>
            </w:r>
          </w:p>
        </w:tc>
        <w:tc>
          <w:tcPr>
            <w:tcW w:w="1249" w:type="dxa"/>
          </w:tcPr>
          <w:p w14:paraId="0A8ED381" w14:textId="77777777" w:rsidR="001921B1" w:rsidRDefault="001921B1">
            <w:pPr>
              <w:pStyle w:val="TableText"/>
            </w:pPr>
            <w:r w:rsidRPr="0004446E">
              <w:t>410</w:t>
            </w:r>
          </w:p>
        </w:tc>
        <w:tc>
          <w:tcPr>
            <w:tcW w:w="1250" w:type="dxa"/>
          </w:tcPr>
          <w:p w14:paraId="2454C273" w14:textId="77777777" w:rsidR="001921B1" w:rsidRDefault="001921B1">
            <w:pPr>
              <w:pStyle w:val="TableText"/>
            </w:pPr>
            <w:r w:rsidRPr="0004446E">
              <w:t>426</w:t>
            </w:r>
          </w:p>
        </w:tc>
        <w:tc>
          <w:tcPr>
            <w:tcW w:w="1249" w:type="dxa"/>
          </w:tcPr>
          <w:p w14:paraId="62B46D4C" w14:textId="77777777" w:rsidR="001921B1" w:rsidRDefault="001921B1">
            <w:pPr>
              <w:pStyle w:val="TableText"/>
            </w:pPr>
            <w:r w:rsidRPr="0004446E">
              <w:t>442</w:t>
            </w:r>
          </w:p>
        </w:tc>
        <w:tc>
          <w:tcPr>
            <w:tcW w:w="1249" w:type="dxa"/>
          </w:tcPr>
          <w:p w14:paraId="3ED1ED4D" w14:textId="77777777" w:rsidR="001921B1" w:rsidRDefault="001921B1">
            <w:pPr>
              <w:pStyle w:val="TableText"/>
            </w:pPr>
            <w:r w:rsidRPr="0004446E">
              <w:t>459</w:t>
            </w:r>
          </w:p>
        </w:tc>
        <w:tc>
          <w:tcPr>
            <w:tcW w:w="1250" w:type="dxa"/>
          </w:tcPr>
          <w:p w14:paraId="16898402" w14:textId="77777777" w:rsidR="001921B1" w:rsidRDefault="001921B1">
            <w:pPr>
              <w:pStyle w:val="TableText"/>
            </w:pPr>
            <w:r w:rsidRPr="0004446E">
              <w:t>476</w:t>
            </w:r>
          </w:p>
        </w:tc>
      </w:tr>
      <w:tr w:rsidR="00932FA7" w14:paraId="7AFEDDC4" w14:textId="77777777" w:rsidTr="00AF0759">
        <w:trPr>
          <w:cantSplit/>
        </w:trPr>
        <w:tc>
          <w:tcPr>
            <w:tcW w:w="1520" w:type="dxa"/>
          </w:tcPr>
          <w:p w14:paraId="1284D1B1" w14:textId="77777777" w:rsidR="001921B1" w:rsidRPr="003727CE" w:rsidRDefault="001921B1">
            <w:pPr>
              <w:pStyle w:val="TableText"/>
              <w:rPr>
                <w:lang w:eastAsia="en-GB"/>
              </w:rPr>
            </w:pPr>
            <w:r w:rsidRPr="0004446E">
              <w:t>Number of 177Lu-DOTA-octreotate recipients tested with 18F-FDG PET/CT (30%)</w:t>
            </w:r>
          </w:p>
        </w:tc>
        <w:tc>
          <w:tcPr>
            <w:tcW w:w="1249" w:type="dxa"/>
          </w:tcPr>
          <w:p w14:paraId="0C6D3F22" w14:textId="77777777" w:rsidR="001921B1" w:rsidRPr="003727CE" w:rsidRDefault="001921B1">
            <w:pPr>
              <w:pStyle w:val="TableText"/>
              <w:rPr>
                <w:lang w:val="en-GB" w:eastAsia="en-GB"/>
              </w:rPr>
            </w:pPr>
            <w:r w:rsidRPr="0004446E">
              <w:t>118</w:t>
            </w:r>
          </w:p>
        </w:tc>
        <w:tc>
          <w:tcPr>
            <w:tcW w:w="1249" w:type="dxa"/>
          </w:tcPr>
          <w:p w14:paraId="561BA7EF" w14:textId="77777777" w:rsidR="001921B1" w:rsidRDefault="001921B1">
            <w:pPr>
              <w:pStyle w:val="TableText"/>
            </w:pPr>
            <w:r w:rsidRPr="0004446E">
              <w:t>123</w:t>
            </w:r>
          </w:p>
        </w:tc>
        <w:tc>
          <w:tcPr>
            <w:tcW w:w="1250" w:type="dxa"/>
          </w:tcPr>
          <w:p w14:paraId="7E065895" w14:textId="77777777" w:rsidR="001921B1" w:rsidRDefault="001921B1">
            <w:pPr>
              <w:pStyle w:val="TableText"/>
            </w:pPr>
            <w:r w:rsidRPr="0004446E">
              <w:t>128</w:t>
            </w:r>
          </w:p>
        </w:tc>
        <w:tc>
          <w:tcPr>
            <w:tcW w:w="1249" w:type="dxa"/>
          </w:tcPr>
          <w:p w14:paraId="54814763" w14:textId="77777777" w:rsidR="001921B1" w:rsidRDefault="001921B1">
            <w:pPr>
              <w:pStyle w:val="TableText"/>
            </w:pPr>
            <w:r w:rsidRPr="0004446E">
              <w:t>133</w:t>
            </w:r>
          </w:p>
        </w:tc>
        <w:tc>
          <w:tcPr>
            <w:tcW w:w="1249" w:type="dxa"/>
          </w:tcPr>
          <w:p w14:paraId="7E9C7328" w14:textId="77777777" w:rsidR="001921B1" w:rsidRDefault="001921B1">
            <w:pPr>
              <w:pStyle w:val="TableText"/>
            </w:pPr>
            <w:r w:rsidRPr="0004446E">
              <w:t>138</w:t>
            </w:r>
          </w:p>
        </w:tc>
        <w:tc>
          <w:tcPr>
            <w:tcW w:w="1250" w:type="dxa"/>
          </w:tcPr>
          <w:p w14:paraId="52FACFB3" w14:textId="77777777" w:rsidR="001921B1" w:rsidRDefault="001921B1">
            <w:pPr>
              <w:pStyle w:val="TableText"/>
            </w:pPr>
            <w:r w:rsidRPr="0004446E">
              <w:t>143</w:t>
            </w:r>
          </w:p>
        </w:tc>
      </w:tr>
      <w:tr w:rsidR="00932FA7" w14:paraId="48F9F71B" w14:textId="77777777" w:rsidTr="00AF0759">
        <w:trPr>
          <w:cantSplit/>
        </w:trPr>
        <w:tc>
          <w:tcPr>
            <w:tcW w:w="1520" w:type="dxa"/>
          </w:tcPr>
          <w:p w14:paraId="1E8E9CF2" w14:textId="77777777" w:rsidR="001921B1" w:rsidRPr="003727CE" w:rsidRDefault="001921B1">
            <w:pPr>
              <w:pStyle w:val="TableText"/>
              <w:rPr>
                <w:lang w:eastAsia="en-GB"/>
              </w:rPr>
            </w:pPr>
            <w:r w:rsidRPr="0004446E">
              <w:t>Cost to the MBS; treatment drug cost</w:t>
            </w:r>
          </w:p>
        </w:tc>
        <w:tc>
          <w:tcPr>
            <w:tcW w:w="1249" w:type="dxa"/>
            <w:vAlign w:val="center"/>
          </w:tcPr>
          <w:p w14:paraId="6027A363" w14:textId="77777777" w:rsidR="001921B1" w:rsidRPr="003727CE" w:rsidRDefault="001921B1">
            <w:pPr>
              <w:pStyle w:val="TableText"/>
              <w:rPr>
                <w:lang w:val="en-GB" w:eastAsia="en-GB"/>
              </w:rPr>
            </w:pPr>
            <w:r w:rsidRPr="00810ADB">
              <w:rPr>
                <w:color w:val="000000"/>
              </w:rPr>
              <w:t>$</w:t>
            </w:r>
            <w:r>
              <w:rPr>
                <w:rFonts w:cs="Calibri"/>
                <w:color w:val="000000"/>
                <w:szCs w:val="20"/>
              </w:rPr>
              <w:t>14,381,299</w:t>
            </w:r>
          </w:p>
        </w:tc>
        <w:tc>
          <w:tcPr>
            <w:tcW w:w="1249" w:type="dxa"/>
            <w:vAlign w:val="center"/>
          </w:tcPr>
          <w:p w14:paraId="6BB404FF" w14:textId="77777777" w:rsidR="001921B1" w:rsidRDefault="001921B1">
            <w:pPr>
              <w:pStyle w:val="TableText"/>
            </w:pPr>
            <w:r w:rsidRPr="00810ADB">
              <w:rPr>
                <w:color w:val="000000"/>
              </w:rPr>
              <w:t>$</w:t>
            </w:r>
            <w:r>
              <w:rPr>
                <w:rFonts w:cs="Calibri"/>
                <w:color w:val="000000"/>
                <w:szCs w:val="20"/>
              </w:rPr>
              <w:t>14,929,298</w:t>
            </w:r>
          </w:p>
        </w:tc>
        <w:tc>
          <w:tcPr>
            <w:tcW w:w="1250" w:type="dxa"/>
            <w:vAlign w:val="center"/>
          </w:tcPr>
          <w:p w14:paraId="7430AA63" w14:textId="77777777" w:rsidR="001921B1" w:rsidRDefault="001921B1">
            <w:pPr>
              <w:pStyle w:val="TableText"/>
            </w:pPr>
            <w:r w:rsidRPr="00810ADB">
              <w:rPr>
                <w:color w:val="000000"/>
              </w:rPr>
              <w:t>$</w:t>
            </w:r>
            <w:r>
              <w:rPr>
                <w:rFonts w:cs="Calibri"/>
                <w:color w:val="000000"/>
                <w:szCs w:val="20"/>
              </w:rPr>
              <w:t>15,498,178</w:t>
            </w:r>
          </w:p>
        </w:tc>
        <w:tc>
          <w:tcPr>
            <w:tcW w:w="1249" w:type="dxa"/>
            <w:vAlign w:val="center"/>
          </w:tcPr>
          <w:p w14:paraId="0A058CA2" w14:textId="77777777" w:rsidR="001921B1" w:rsidRDefault="001921B1">
            <w:pPr>
              <w:pStyle w:val="TableText"/>
            </w:pPr>
            <w:r w:rsidRPr="00810ADB">
              <w:rPr>
                <w:color w:val="000000"/>
              </w:rPr>
              <w:t>$</w:t>
            </w:r>
            <w:r>
              <w:rPr>
                <w:rFonts w:cs="Calibri"/>
                <w:color w:val="000000"/>
                <w:szCs w:val="20"/>
              </w:rPr>
              <w:t>16,088,736</w:t>
            </w:r>
          </w:p>
        </w:tc>
        <w:tc>
          <w:tcPr>
            <w:tcW w:w="1249" w:type="dxa"/>
            <w:vAlign w:val="center"/>
          </w:tcPr>
          <w:p w14:paraId="11F0CF4A" w14:textId="77777777" w:rsidR="001921B1" w:rsidRDefault="001921B1">
            <w:pPr>
              <w:pStyle w:val="TableText"/>
            </w:pPr>
            <w:r w:rsidRPr="00810ADB">
              <w:rPr>
                <w:color w:val="000000"/>
              </w:rPr>
              <w:t>$</w:t>
            </w:r>
            <w:r>
              <w:rPr>
                <w:rFonts w:cs="Calibri"/>
                <w:color w:val="000000"/>
                <w:szCs w:val="20"/>
              </w:rPr>
              <w:t>16,701,797</w:t>
            </w:r>
          </w:p>
        </w:tc>
        <w:tc>
          <w:tcPr>
            <w:tcW w:w="1250" w:type="dxa"/>
            <w:vAlign w:val="center"/>
          </w:tcPr>
          <w:p w14:paraId="5E4CF258" w14:textId="77777777" w:rsidR="001921B1" w:rsidRDefault="001921B1">
            <w:pPr>
              <w:pStyle w:val="TableText"/>
            </w:pPr>
            <w:r w:rsidRPr="00810ADB">
              <w:rPr>
                <w:color w:val="000000"/>
              </w:rPr>
              <w:t>$</w:t>
            </w:r>
            <w:r>
              <w:rPr>
                <w:rFonts w:cs="Calibri"/>
                <w:color w:val="000000"/>
                <w:szCs w:val="20"/>
              </w:rPr>
              <w:t>17,338,219</w:t>
            </w:r>
          </w:p>
        </w:tc>
      </w:tr>
      <w:tr w:rsidR="00932FA7" w14:paraId="3CE240B6" w14:textId="77777777" w:rsidTr="00AF0759">
        <w:trPr>
          <w:cantSplit/>
        </w:trPr>
        <w:tc>
          <w:tcPr>
            <w:tcW w:w="1520" w:type="dxa"/>
          </w:tcPr>
          <w:p w14:paraId="3889982E" w14:textId="77777777" w:rsidR="001921B1" w:rsidRPr="003727CE" w:rsidRDefault="001921B1">
            <w:pPr>
              <w:pStyle w:val="TableText"/>
              <w:rPr>
                <w:lang w:eastAsia="en-GB"/>
              </w:rPr>
            </w:pPr>
            <w:r w:rsidRPr="0004446E">
              <w:t>Cost to the MBS; diagnostic test cost</w:t>
            </w:r>
          </w:p>
        </w:tc>
        <w:tc>
          <w:tcPr>
            <w:tcW w:w="1249" w:type="dxa"/>
          </w:tcPr>
          <w:p w14:paraId="11A00098" w14:textId="77777777" w:rsidR="001921B1" w:rsidRPr="003727CE" w:rsidRDefault="001921B1">
            <w:pPr>
              <w:pStyle w:val="TableText"/>
              <w:rPr>
                <w:lang w:val="en-GB" w:eastAsia="en-GB"/>
              </w:rPr>
            </w:pPr>
            <w:r w:rsidRPr="0004446E">
              <w:t>$480,074</w:t>
            </w:r>
          </w:p>
        </w:tc>
        <w:tc>
          <w:tcPr>
            <w:tcW w:w="1249" w:type="dxa"/>
          </w:tcPr>
          <w:p w14:paraId="42437F91" w14:textId="77777777" w:rsidR="001921B1" w:rsidRDefault="001921B1">
            <w:pPr>
              <w:pStyle w:val="TableText"/>
            </w:pPr>
            <w:r w:rsidRPr="0004446E">
              <w:t>$498,367</w:t>
            </w:r>
          </w:p>
        </w:tc>
        <w:tc>
          <w:tcPr>
            <w:tcW w:w="1250" w:type="dxa"/>
          </w:tcPr>
          <w:p w14:paraId="3281A7EE" w14:textId="77777777" w:rsidR="001921B1" w:rsidRDefault="001921B1">
            <w:pPr>
              <w:pStyle w:val="TableText"/>
            </w:pPr>
            <w:r w:rsidRPr="0004446E">
              <w:t>$517,357</w:t>
            </w:r>
          </w:p>
        </w:tc>
        <w:tc>
          <w:tcPr>
            <w:tcW w:w="1249" w:type="dxa"/>
          </w:tcPr>
          <w:p w14:paraId="33142F87" w14:textId="77777777" w:rsidR="001921B1" w:rsidRDefault="001921B1">
            <w:pPr>
              <w:pStyle w:val="TableText"/>
            </w:pPr>
            <w:r w:rsidRPr="0004446E">
              <w:t>$537,071</w:t>
            </w:r>
          </w:p>
        </w:tc>
        <w:tc>
          <w:tcPr>
            <w:tcW w:w="1249" w:type="dxa"/>
          </w:tcPr>
          <w:p w14:paraId="28700E42" w14:textId="77777777" w:rsidR="001921B1" w:rsidRDefault="001921B1">
            <w:pPr>
              <w:pStyle w:val="TableText"/>
            </w:pPr>
            <w:r w:rsidRPr="0004446E">
              <w:t>$557,536</w:t>
            </w:r>
          </w:p>
        </w:tc>
        <w:tc>
          <w:tcPr>
            <w:tcW w:w="1250" w:type="dxa"/>
          </w:tcPr>
          <w:p w14:paraId="6DDFC700" w14:textId="77777777" w:rsidR="001921B1" w:rsidRDefault="001921B1">
            <w:pPr>
              <w:pStyle w:val="TableText"/>
            </w:pPr>
            <w:r w:rsidRPr="0004446E">
              <w:t>$578,781</w:t>
            </w:r>
          </w:p>
        </w:tc>
      </w:tr>
      <w:tr w:rsidR="001921B1" w14:paraId="0653F3E2" w14:textId="77777777" w:rsidTr="00AF0759">
        <w:trPr>
          <w:cantSplit/>
        </w:trPr>
        <w:tc>
          <w:tcPr>
            <w:tcW w:w="9016" w:type="dxa"/>
            <w:gridSpan w:val="7"/>
          </w:tcPr>
          <w:p w14:paraId="4ED96DBE" w14:textId="77777777" w:rsidR="001921B1" w:rsidRPr="0004446E" w:rsidRDefault="001921B1">
            <w:pPr>
              <w:pStyle w:val="In-tableHeading"/>
            </w:pPr>
            <w:r w:rsidRPr="009B07CB">
              <w:t>Change in use and cost of other health technologies</w:t>
            </w:r>
          </w:p>
        </w:tc>
      </w:tr>
      <w:tr w:rsidR="0086762D" w14:paraId="7617CD9A" w14:textId="77777777" w:rsidTr="00AF0759">
        <w:trPr>
          <w:cantSplit/>
        </w:trPr>
        <w:tc>
          <w:tcPr>
            <w:tcW w:w="1520" w:type="dxa"/>
          </w:tcPr>
          <w:p w14:paraId="5DBFE11E" w14:textId="77777777" w:rsidR="001921B1" w:rsidRPr="009B07CB" w:rsidRDefault="001921B1">
            <w:pPr>
              <w:pStyle w:val="TableText"/>
            </w:pPr>
            <w:r w:rsidRPr="006057CA">
              <w:t>Change in use of comparator and other</w:t>
            </w:r>
          </w:p>
        </w:tc>
        <w:tc>
          <w:tcPr>
            <w:tcW w:w="7496" w:type="dxa"/>
            <w:gridSpan w:val="6"/>
          </w:tcPr>
          <w:p w14:paraId="252C28B2" w14:textId="77777777" w:rsidR="001921B1" w:rsidRDefault="001921B1">
            <w:pPr>
              <w:pStyle w:val="TableText"/>
            </w:pPr>
            <w:r>
              <w:t>N/A</w:t>
            </w:r>
          </w:p>
          <w:p w14:paraId="2A22049D" w14:textId="77777777" w:rsidR="001921B1" w:rsidRPr="0004446E" w:rsidRDefault="001921B1">
            <w:pPr>
              <w:pStyle w:val="TableText"/>
            </w:pPr>
            <w:r>
              <w:t>177Lu-DOTA-octreotate proposed as an add-on therapy</w:t>
            </w:r>
          </w:p>
        </w:tc>
      </w:tr>
      <w:tr w:rsidR="00932FA7" w14:paraId="33B2A345" w14:textId="77777777" w:rsidTr="00AF0759">
        <w:trPr>
          <w:cantSplit/>
        </w:trPr>
        <w:tc>
          <w:tcPr>
            <w:tcW w:w="1520" w:type="dxa"/>
          </w:tcPr>
          <w:p w14:paraId="0A379398" w14:textId="77777777" w:rsidR="001921B1" w:rsidRPr="001053EF" w:rsidRDefault="001921B1">
            <w:pPr>
              <w:pStyle w:val="TableText"/>
              <w:rPr>
                <w:b/>
                <w:bCs/>
              </w:rPr>
            </w:pPr>
            <w:r w:rsidRPr="001053EF">
              <w:rPr>
                <w:b/>
                <w:bCs/>
              </w:rPr>
              <w:t>Net financial impact to the MBS</w:t>
            </w:r>
          </w:p>
        </w:tc>
        <w:tc>
          <w:tcPr>
            <w:tcW w:w="1249" w:type="dxa"/>
            <w:vAlign w:val="center"/>
          </w:tcPr>
          <w:p w14:paraId="1125F16F" w14:textId="77777777" w:rsidR="001921B1" w:rsidRPr="0004446E" w:rsidRDefault="001921B1">
            <w:pPr>
              <w:pStyle w:val="TableText"/>
            </w:pPr>
            <w:r>
              <w:rPr>
                <w:rFonts w:cs="Calibri"/>
                <w:b/>
                <w:bCs/>
                <w:color w:val="000000"/>
                <w:szCs w:val="20"/>
              </w:rPr>
              <w:t>$14,861,372</w:t>
            </w:r>
          </w:p>
        </w:tc>
        <w:tc>
          <w:tcPr>
            <w:tcW w:w="1249" w:type="dxa"/>
            <w:vAlign w:val="center"/>
          </w:tcPr>
          <w:p w14:paraId="77ABE02D" w14:textId="77777777" w:rsidR="001921B1" w:rsidRPr="0004446E" w:rsidRDefault="001921B1">
            <w:pPr>
              <w:pStyle w:val="TableText"/>
            </w:pPr>
            <w:r>
              <w:rPr>
                <w:rFonts w:cs="Calibri"/>
                <w:b/>
                <w:bCs/>
                <w:color w:val="000000"/>
                <w:szCs w:val="20"/>
              </w:rPr>
              <w:t>$15,427,665</w:t>
            </w:r>
          </w:p>
        </w:tc>
        <w:tc>
          <w:tcPr>
            <w:tcW w:w="1250" w:type="dxa"/>
            <w:vAlign w:val="center"/>
          </w:tcPr>
          <w:p w14:paraId="17C408AC" w14:textId="77777777" w:rsidR="001921B1" w:rsidRPr="0004446E" w:rsidRDefault="001921B1">
            <w:pPr>
              <w:pStyle w:val="TableText"/>
            </w:pPr>
            <w:r>
              <w:rPr>
                <w:rFonts w:cs="Calibri"/>
                <w:b/>
                <w:bCs/>
                <w:color w:val="000000"/>
                <w:szCs w:val="20"/>
              </w:rPr>
              <w:t>$16,015,535</w:t>
            </w:r>
          </w:p>
        </w:tc>
        <w:tc>
          <w:tcPr>
            <w:tcW w:w="1249" w:type="dxa"/>
            <w:vAlign w:val="center"/>
          </w:tcPr>
          <w:p w14:paraId="568D7EBB" w14:textId="77777777" w:rsidR="001921B1" w:rsidRPr="0004446E" w:rsidRDefault="001921B1">
            <w:pPr>
              <w:pStyle w:val="TableText"/>
            </w:pPr>
            <w:r>
              <w:rPr>
                <w:rFonts w:cs="Calibri"/>
                <w:b/>
                <w:bCs/>
                <w:color w:val="000000"/>
                <w:szCs w:val="20"/>
              </w:rPr>
              <w:t>$16,625,807</w:t>
            </w:r>
          </w:p>
        </w:tc>
        <w:tc>
          <w:tcPr>
            <w:tcW w:w="1249" w:type="dxa"/>
            <w:vAlign w:val="center"/>
          </w:tcPr>
          <w:p w14:paraId="0D43BA62" w14:textId="77777777" w:rsidR="001921B1" w:rsidRPr="0004446E" w:rsidRDefault="001921B1">
            <w:pPr>
              <w:pStyle w:val="TableText"/>
            </w:pPr>
            <w:r>
              <w:rPr>
                <w:rFonts w:cs="Calibri"/>
                <w:b/>
                <w:bCs/>
                <w:color w:val="000000"/>
                <w:szCs w:val="20"/>
              </w:rPr>
              <w:t>$17,259,333</w:t>
            </w:r>
          </w:p>
        </w:tc>
        <w:tc>
          <w:tcPr>
            <w:tcW w:w="1250" w:type="dxa"/>
            <w:vAlign w:val="center"/>
          </w:tcPr>
          <w:p w14:paraId="7A51EB09" w14:textId="77777777" w:rsidR="001921B1" w:rsidRPr="0004446E" w:rsidRDefault="001921B1">
            <w:pPr>
              <w:pStyle w:val="TableText"/>
            </w:pPr>
            <w:r>
              <w:rPr>
                <w:rFonts w:cs="Calibri"/>
                <w:b/>
                <w:bCs/>
                <w:color w:val="000000"/>
                <w:szCs w:val="20"/>
              </w:rPr>
              <w:t>$17,917,000</w:t>
            </w:r>
          </w:p>
        </w:tc>
      </w:tr>
      <w:tr w:rsidR="00F363D2" w14:paraId="27E0580B" w14:textId="77777777" w:rsidTr="00AF0759">
        <w:trPr>
          <w:cantSplit/>
        </w:trPr>
        <w:tc>
          <w:tcPr>
            <w:tcW w:w="9016" w:type="dxa"/>
            <w:gridSpan w:val="7"/>
          </w:tcPr>
          <w:p w14:paraId="5BBAC9E6" w14:textId="38C6C95F" w:rsidR="00F363D2" w:rsidRPr="00381878" w:rsidRDefault="00F363D2" w:rsidP="00F363D2">
            <w:pPr>
              <w:pStyle w:val="TableText"/>
              <w:rPr>
                <w:rFonts w:cs="Calibri"/>
                <w:b/>
                <w:bCs/>
                <w:i/>
                <w:iCs/>
                <w:color w:val="000000"/>
                <w:szCs w:val="20"/>
              </w:rPr>
            </w:pPr>
            <w:r w:rsidRPr="00381878">
              <w:rPr>
                <w:rFonts w:cs="Calibri"/>
                <w:b/>
                <w:bCs/>
                <w:i/>
                <w:iCs/>
                <w:color w:val="000000"/>
                <w:szCs w:val="20"/>
              </w:rPr>
              <w:t>ESC additional sensitivity analyses: net financial impact to MBS</w:t>
            </w:r>
          </w:p>
        </w:tc>
      </w:tr>
      <w:tr w:rsidR="00F363D2" w14:paraId="71C54722" w14:textId="77777777" w:rsidTr="00AF0759">
        <w:trPr>
          <w:cantSplit/>
        </w:trPr>
        <w:tc>
          <w:tcPr>
            <w:tcW w:w="1520" w:type="dxa"/>
          </w:tcPr>
          <w:p w14:paraId="29E1D6E7" w14:textId="43FC3C68" w:rsidR="00F363D2" w:rsidRPr="00381878" w:rsidRDefault="00F363D2" w:rsidP="00C561D7">
            <w:pPr>
              <w:pStyle w:val="TableText"/>
              <w:numPr>
                <w:ilvl w:val="0"/>
                <w:numId w:val="29"/>
              </w:numPr>
              <w:ind w:left="0" w:firstLine="0"/>
              <w:rPr>
                <w:i/>
                <w:iCs/>
              </w:rPr>
            </w:pPr>
            <w:r w:rsidRPr="00381878">
              <w:rPr>
                <w:i/>
                <w:iCs/>
                <w:lang w:val="en-GB" w:eastAsia="en-GB"/>
              </w:rPr>
              <w:t xml:space="preserve"> 80% of incident population incurs diagnostic test cost</w:t>
            </w:r>
          </w:p>
        </w:tc>
        <w:tc>
          <w:tcPr>
            <w:tcW w:w="1249" w:type="dxa"/>
            <w:vAlign w:val="center"/>
          </w:tcPr>
          <w:p w14:paraId="57FE25B9" w14:textId="08F6E3B3" w:rsidR="00F363D2" w:rsidRPr="00381878" w:rsidRDefault="00F363D2" w:rsidP="00F363D2">
            <w:pPr>
              <w:pStyle w:val="TableText"/>
              <w:rPr>
                <w:rFonts w:cs="Calibri"/>
                <w:i/>
                <w:iCs/>
                <w:color w:val="000000"/>
                <w:szCs w:val="20"/>
              </w:rPr>
            </w:pPr>
            <w:r>
              <w:rPr>
                <w:rFonts w:cs="Calibri"/>
                <w:i/>
                <w:iCs/>
                <w:color w:val="000000"/>
                <w:szCs w:val="20"/>
              </w:rPr>
              <w:t>$12,677,204</w:t>
            </w:r>
          </w:p>
        </w:tc>
        <w:tc>
          <w:tcPr>
            <w:tcW w:w="1249" w:type="dxa"/>
            <w:vAlign w:val="center"/>
          </w:tcPr>
          <w:p w14:paraId="4BFA00D3" w14:textId="0289F09F" w:rsidR="00F363D2" w:rsidRPr="00381878" w:rsidRDefault="00F363D2" w:rsidP="00F363D2">
            <w:pPr>
              <w:pStyle w:val="TableText"/>
              <w:rPr>
                <w:rFonts w:cs="Calibri"/>
                <w:i/>
                <w:iCs/>
                <w:color w:val="000000"/>
                <w:szCs w:val="20"/>
              </w:rPr>
            </w:pPr>
            <w:r>
              <w:rPr>
                <w:rFonts w:cs="Calibri"/>
                <w:i/>
                <w:iCs/>
                <w:color w:val="000000"/>
                <w:szCs w:val="20"/>
              </w:rPr>
              <w:t>$13,160,269</w:t>
            </w:r>
          </w:p>
        </w:tc>
        <w:tc>
          <w:tcPr>
            <w:tcW w:w="1250" w:type="dxa"/>
            <w:vAlign w:val="center"/>
          </w:tcPr>
          <w:p w14:paraId="50FE7797" w14:textId="00E0A5C9" w:rsidR="00F363D2" w:rsidRPr="00381878" w:rsidRDefault="00F363D2" w:rsidP="00F363D2">
            <w:pPr>
              <w:pStyle w:val="TableText"/>
              <w:rPr>
                <w:rFonts w:cs="Calibri"/>
                <w:i/>
                <w:iCs/>
                <w:color w:val="000000"/>
                <w:szCs w:val="20"/>
              </w:rPr>
            </w:pPr>
            <w:r>
              <w:rPr>
                <w:rFonts w:cs="Calibri"/>
                <w:i/>
                <w:iCs/>
                <w:color w:val="000000"/>
                <w:szCs w:val="20"/>
              </w:rPr>
              <w:t>$13,661,741</w:t>
            </w:r>
          </w:p>
        </w:tc>
        <w:tc>
          <w:tcPr>
            <w:tcW w:w="1249" w:type="dxa"/>
            <w:vAlign w:val="center"/>
          </w:tcPr>
          <w:p w14:paraId="4D3ECCFF" w14:textId="4544AEF8" w:rsidR="00F363D2" w:rsidRPr="00381878" w:rsidRDefault="00F363D2" w:rsidP="00F363D2">
            <w:pPr>
              <w:pStyle w:val="TableText"/>
              <w:rPr>
                <w:rFonts w:cs="Calibri"/>
                <w:i/>
                <w:iCs/>
                <w:color w:val="000000"/>
                <w:szCs w:val="20"/>
              </w:rPr>
            </w:pPr>
            <w:r>
              <w:rPr>
                <w:rFonts w:cs="Calibri"/>
                <w:i/>
                <w:iCs/>
                <w:color w:val="000000"/>
                <w:szCs w:val="20"/>
              </w:rPr>
              <w:t>$14,182,321</w:t>
            </w:r>
          </w:p>
        </w:tc>
        <w:tc>
          <w:tcPr>
            <w:tcW w:w="1249" w:type="dxa"/>
            <w:vAlign w:val="center"/>
          </w:tcPr>
          <w:p w14:paraId="7D4B371D" w14:textId="76F92B3D" w:rsidR="00F363D2" w:rsidRPr="00381878" w:rsidRDefault="00F363D2" w:rsidP="00F363D2">
            <w:pPr>
              <w:pStyle w:val="TableText"/>
              <w:rPr>
                <w:rFonts w:cs="Calibri"/>
                <w:i/>
                <w:iCs/>
                <w:color w:val="000000"/>
                <w:szCs w:val="20"/>
              </w:rPr>
            </w:pPr>
            <w:r>
              <w:rPr>
                <w:rFonts w:cs="Calibri"/>
                <w:i/>
                <w:iCs/>
                <w:color w:val="000000"/>
                <w:szCs w:val="20"/>
              </w:rPr>
              <w:t>$14,722,738</w:t>
            </w:r>
          </w:p>
        </w:tc>
        <w:tc>
          <w:tcPr>
            <w:tcW w:w="1250" w:type="dxa"/>
            <w:vAlign w:val="center"/>
          </w:tcPr>
          <w:p w14:paraId="498E43A1" w14:textId="4FFCB760" w:rsidR="00F363D2" w:rsidRPr="00381878" w:rsidRDefault="00F363D2" w:rsidP="00F363D2">
            <w:pPr>
              <w:pStyle w:val="TableText"/>
              <w:rPr>
                <w:rFonts w:cs="Calibri"/>
                <w:i/>
                <w:iCs/>
                <w:color w:val="000000"/>
                <w:szCs w:val="20"/>
              </w:rPr>
            </w:pPr>
            <w:r>
              <w:rPr>
                <w:rFonts w:cs="Calibri"/>
                <w:i/>
                <w:iCs/>
                <w:color w:val="000000"/>
                <w:szCs w:val="20"/>
              </w:rPr>
              <w:t>$15,283,748</w:t>
            </w:r>
          </w:p>
        </w:tc>
      </w:tr>
      <w:tr w:rsidR="00F363D2" w14:paraId="71BFD450" w14:textId="77777777" w:rsidTr="00AF0759">
        <w:trPr>
          <w:cantSplit/>
        </w:trPr>
        <w:tc>
          <w:tcPr>
            <w:tcW w:w="1520" w:type="dxa"/>
          </w:tcPr>
          <w:p w14:paraId="3A2C369A" w14:textId="2D13AD3A" w:rsidR="00F363D2" w:rsidRPr="00381878" w:rsidRDefault="00F363D2" w:rsidP="00C561D7">
            <w:pPr>
              <w:pStyle w:val="TableText"/>
              <w:numPr>
                <w:ilvl w:val="0"/>
                <w:numId w:val="29"/>
              </w:numPr>
              <w:ind w:left="0" w:firstLine="0"/>
              <w:rPr>
                <w:i/>
                <w:iCs/>
              </w:rPr>
            </w:pPr>
            <w:r w:rsidRPr="00381878">
              <w:rPr>
                <w:i/>
                <w:iCs/>
              </w:rPr>
              <w:t xml:space="preserve">Number of 177Lu-DOTA-octreotate = 4.0 (3.5 base case) </w:t>
            </w:r>
          </w:p>
        </w:tc>
        <w:tc>
          <w:tcPr>
            <w:tcW w:w="1249" w:type="dxa"/>
            <w:vAlign w:val="center"/>
          </w:tcPr>
          <w:p w14:paraId="4D3786B0" w14:textId="1EF8FDDE" w:rsidR="00F363D2" w:rsidRPr="00381878" w:rsidRDefault="00F363D2" w:rsidP="00F363D2">
            <w:pPr>
              <w:pStyle w:val="TableText"/>
              <w:rPr>
                <w:rFonts w:cs="Calibri"/>
                <w:i/>
                <w:iCs/>
                <w:color w:val="000000"/>
                <w:szCs w:val="20"/>
              </w:rPr>
            </w:pPr>
            <w:r>
              <w:rPr>
                <w:rFonts w:cs="Calibri"/>
                <w:i/>
                <w:iCs/>
                <w:color w:val="000000"/>
                <w:szCs w:val="20"/>
              </w:rPr>
              <w:t>$8,401,325</w:t>
            </w:r>
          </w:p>
        </w:tc>
        <w:tc>
          <w:tcPr>
            <w:tcW w:w="1249" w:type="dxa"/>
            <w:vAlign w:val="center"/>
          </w:tcPr>
          <w:p w14:paraId="6636F87C" w14:textId="512FEDC9" w:rsidR="00F363D2" w:rsidRPr="00381878" w:rsidRDefault="00F363D2" w:rsidP="00F363D2">
            <w:pPr>
              <w:pStyle w:val="TableText"/>
              <w:rPr>
                <w:rFonts w:cs="Calibri"/>
                <w:i/>
                <w:iCs/>
                <w:color w:val="000000"/>
                <w:szCs w:val="20"/>
              </w:rPr>
            </w:pPr>
            <w:r>
              <w:rPr>
                <w:rFonts w:cs="Calibri"/>
                <w:i/>
                <w:iCs/>
                <w:color w:val="000000"/>
                <w:szCs w:val="20"/>
              </w:rPr>
              <w:t>$8,721,457</w:t>
            </w:r>
          </w:p>
        </w:tc>
        <w:tc>
          <w:tcPr>
            <w:tcW w:w="1250" w:type="dxa"/>
            <w:vAlign w:val="center"/>
          </w:tcPr>
          <w:p w14:paraId="65E79220" w14:textId="36C22471" w:rsidR="00F363D2" w:rsidRPr="00381878" w:rsidRDefault="00F363D2" w:rsidP="00F363D2">
            <w:pPr>
              <w:pStyle w:val="TableText"/>
              <w:rPr>
                <w:rFonts w:cs="Calibri"/>
                <w:i/>
                <w:iCs/>
                <w:color w:val="000000"/>
                <w:szCs w:val="20"/>
              </w:rPr>
            </w:pPr>
            <w:r>
              <w:rPr>
                <w:rFonts w:cs="Calibri"/>
                <w:i/>
                <w:iCs/>
                <w:color w:val="000000"/>
                <w:szCs w:val="20"/>
              </w:rPr>
              <w:t>$9,053,788</w:t>
            </w:r>
          </w:p>
        </w:tc>
        <w:tc>
          <w:tcPr>
            <w:tcW w:w="1249" w:type="dxa"/>
            <w:vAlign w:val="center"/>
          </w:tcPr>
          <w:p w14:paraId="7FDDB0BC" w14:textId="50FCD685" w:rsidR="00F363D2" w:rsidRPr="00381878" w:rsidRDefault="00F363D2" w:rsidP="00F363D2">
            <w:pPr>
              <w:pStyle w:val="TableText"/>
              <w:rPr>
                <w:rFonts w:cs="Calibri"/>
                <w:i/>
                <w:iCs/>
                <w:color w:val="000000"/>
                <w:szCs w:val="20"/>
              </w:rPr>
            </w:pPr>
            <w:r>
              <w:rPr>
                <w:rFonts w:cs="Calibri"/>
                <w:i/>
                <w:iCs/>
                <w:color w:val="000000"/>
                <w:szCs w:val="20"/>
              </w:rPr>
              <w:t>$9,398,782</w:t>
            </w:r>
          </w:p>
        </w:tc>
        <w:tc>
          <w:tcPr>
            <w:tcW w:w="1249" w:type="dxa"/>
            <w:vAlign w:val="center"/>
          </w:tcPr>
          <w:p w14:paraId="76D217B3" w14:textId="0EBE937F" w:rsidR="00F363D2" w:rsidRPr="00381878" w:rsidRDefault="00F363D2" w:rsidP="00F363D2">
            <w:pPr>
              <w:pStyle w:val="TableText"/>
              <w:rPr>
                <w:rFonts w:cs="Calibri"/>
                <w:i/>
                <w:iCs/>
                <w:color w:val="000000"/>
                <w:szCs w:val="20"/>
              </w:rPr>
            </w:pPr>
            <w:r>
              <w:rPr>
                <w:rFonts w:cs="Calibri"/>
                <w:i/>
                <w:iCs/>
                <w:color w:val="000000"/>
                <w:szCs w:val="20"/>
              </w:rPr>
              <w:t>$9,756,923</w:t>
            </w:r>
          </w:p>
        </w:tc>
        <w:tc>
          <w:tcPr>
            <w:tcW w:w="1250" w:type="dxa"/>
            <w:vAlign w:val="center"/>
          </w:tcPr>
          <w:p w14:paraId="74E43485" w14:textId="402D272F" w:rsidR="00F363D2" w:rsidRPr="00381878" w:rsidRDefault="00F363D2" w:rsidP="00F363D2">
            <w:pPr>
              <w:pStyle w:val="TableText"/>
              <w:rPr>
                <w:rFonts w:cs="Calibri"/>
                <w:i/>
                <w:iCs/>
                <w:color w:val="000000"/>
                <w:szCs w:val="20"/>
              </w:rPr>
            </w:pPr>
            <w:r>
              <w:rPr>
                <w:rFonts w:cs="Calibri"/>
                <w:i/>
                <w:iCs/>
                <w:color w:val="000000"/>
                <w:szCs w:val="20"/>
              </w:rPr>
              <w:t>$10,128,710</w:t>
            </w:r>
          </w:p>
        </w:tc>
      </w:tr>
      <w:tr w:rsidR="00F363D2" w14:paraId="03B016A0" w14:textId="77777777" w:rsidTr="00AF0759">
        <w:trPr>
          <w:cantSplit/>
        </w:trPr>
        <w:tc>
          <w:tcPr>
            <w:tcW w:w="1520" w:type="dxa"/>
          </w:tcPr>
          <w:p w14:paraId="34C026A8" w14:textId="1F450AD2" w:rsidR="00F363D2" w:rsidRPr="00381878" w:rsidRDefault="00F363D2" w:rsidP="00C561D7">
            <w:pPr>
              <w:pStyle w:val="TableText"/>
              <w:numPr>
                <w:ilvl w:val="0"/>
                <w:numId w:val="29"/>
              </w:numPr>
              <w:ind w:left="0" w:firstLine="0"/>
              <w:rPr>
                <w:i/>
                <w:iCs/>
              </w:rPr>
            </w:pPr>
            <w:r w:rsidRPr="00381878">
              <w:rPr>
                <w:i/>
                <w:iCs/>
              </w:rPr>
              <w:t xml:space="preserve">#1 and uptake of </w:t>
            </w:r>
            <w:r w:rsidRPr="00381878">
              <w:rPr>
                <w:i/>
                <w:iCs/>
                <w:vertAlign w:val="superscript"/>
              </w:rPr>
              <w:t>177</w:t>
            </w:r>
            <w:r w:rsidRPr="00381878">
              <w:rPr>
                <w:i/>
                <w:iCs/>
              </w:rPr>
              <w:t>Lu-DOTA-octreotate is doubled</w:t>
            </w:r>
          </w:p>
        </w:tc>
        <w:tc>
          <w:tcPr>
            <w:tcW w:w="1249" w:type="dxa"/>
            <w:vAlign w:val="center"/>
          </w:tcPr>
          <w:p w14:paraId="4A97BFD1" w14:textId="06AFAD0A" w:rsidR="00F363D2" w:rsidRPr="00381878" w:rsidRDefault="00F363D2" w:rsidP="00F363D2">
            <w:pPr>
              <w:pStyle w:val="TableText"/>
              <w:rPr>
                <w:rFonts w:cs="Calibri"/>
                <w:i/>
                <w:iCs/>
                <w:color w:val="000000"/>
                <w:szCs w:val="20"/>
              </w:rPr>
            </w:pPr>
            <w:r>
              <w:rPr>
                <w:rFonts w:cs="Calibri"/>
                <w:i/>
                <w:iCs/>
                <w:color w:val="000000"/>
                <w:szCs w:val="20"/>
              </w:rPr>
              <w:t>$19,867,854</w:t>
            </w:r>
          </w:p>
        </w:tc>
        <w:tc>
          <w:tcPr>
            <w:tcW w:w="1249" w:type="dxa"/>
            <w:vAlign w:val="center"/>
          </w:tcPr>
          <w:p w14:paraId="3AA68506" w14:textId="1C8E0D63" w:rsidR="00F363D2" w:rsidRPr="00381878" w:rsidRDefault="00F363D2" w:rsidP="00F363D2">
            <w:pPr>
              <w:pStyle w:val="TableText"/>
              <w:rPr>
                <w:rFonts w:cs="Calibri"/>
                <w:i/>
                <w:iCs/>
                <w:color w:val="000000"/>
                <w:szCs w:val="20"/>
              </w:rPr>
            </w:pPr>
            <w:r>
              <w:rPr>
                <w:rFonts w:cs="Calibri"/>
                <w:i/>
                <w:iCs/>
                <w:color w:val="000000"/>
                <w:szCs w:val="20"/>
              </w:rPr>
              <w:t>$20,624,918</w:t>
            </w:r>
          </w:p>
        </w:tc>
        <w:tc>
          <w:tcPr>
            <w:tcW w:w="1250" w:type="dxa"/>
            <w:vAlign w:val="center"/>
          </w:tcPr>
          <w:p w14:paraId="214A17B1" w14:textId="10A43DA6" w:rsidR="00F363D2" w:rsidRPr="00381878" w:rsidRDefault="00F363D2" w:rsidP="00F363D2">
            <w:pPr>
              <w:pStyle w:val="TableText"/>
              <w:rPr>
                <w:rFonts w:cs="Calibri"/>
                <w:i/>
                <w:iCs/>
                <w:color w:val="000000"/>
                <w:szCs w:val="20"/>
              </w:rPr>
            </w:pPr>
            <w:r>
              <w:rPr>
                <w:rFonts w:cs="Calibri"/>
                <w:i/>
                <w:iCs/>
                <w:color w:val="000000"/>
                <w:szCs w:val="20"/>
              </w:rPr>
              <w:t>$21,410,830</w:t>
            </w:r>
          </w:p>
        </w:tc>
        <w:tc>
          <w:tcPr>
            <w:tcW w:w="1249" w:type="dxa"/>
            <w:vAlign w:val="center"/>
          </w:tcPr>
          <w:p w14:paraId="327B92FB" w14:textId="07DDC301" w:rsidR="00F363D2" w:rsidRPr="00381878" w:rsidRDefault="00F363D2" w:rsidP="00F363D2">
            <w:pPr>
              <w:pStyle w:val="TableText"/>
              <w:rPr>
                <w:rFonts w:cs="Calibri"/>
                <w:i/>
                <w:iCs/>
                <w:color w:val="000000"/>
                <w:szCs w:val="20"/>
              </w:rPr>
            </w:pPr>
            <w:r>
              <w:rPr>
                <w:rFonts w:cs="Calibri"/>
                <w:i/>
                <w:iCs/>
                <w:color w:val="000000"/>
                <w:szCs w:val="20"/>
              </w:rPr>
              <w:t>$22,226,689</w:t>
            </w:r>
          </w:p>
        </w:tc>
        <w:tc>
          <w:tcPr>
            <w:tcW w:w="1249" w:type="dxa"/>
            <w:vAlign w:val="center"/>
          </w:tcPr>
          <w:p w14:paraId="49C26B11" w14:textId="618EAB98" w:rsidR="00F363D2" w:rsidRPr="00381878" w:rsidRDefault="00F363D2" w:rsidP="00F363D2">
            <w:pPr>
              <w:pStyle w:val="TableText"/>
              <w:rPr>
                <w:rFonts w:cs="Calibri"/>
                <w:i/>
                <w:iCs/>
                <w:color w:val="000000"/>
                <w:szCs w:val="20"/>
              </w:rPr>
            </w:pPr>
            <w:r>
              <w:rPr>
                <w:rFonts w:cs="Calibri"/>
                <w:i/>
                <w:iCs/>
                <w:color w:val="000000"/>
                <w:szCs w:val="20"/>
              </w:rPr>
              <w:t>$23,073,637</w:t>
            </w:r>
          </w:p>
        </w:tc>
        <w:tc>
          <w:tcPr>
            <w:tcW w:w="1250" w:type="dxa"/>
            <w:vAlign w:val="center"/>
          </w:tcPr>
          <w:p w14:paraId="42925ABF" w14:textId="3959C2D5" w:rsidR="00F363D2" w:rsidRPr="00381878" w:rsidRDefault="00F363D2" w:rsidP="00F363D2">
            <w:pPr>
              <w:pStyle w:val="TableText"/>
              <w:rPr>
                <w:rFonts w:cs="Calibri"/>
                <w:i/>
                <w:iCs/>
                <w:color w:val="000000"/>
                <w:szCs w:val="20"/>
              </w:rPr>
            </w:pPr>
            <w:r w:rsidRPr="00235B06">
              <w:rPr>
                <w:i/>
                <w:color w:val="000000" w:themeColor="text1"/>
              </w:rPr>
              <w:t>$23,952,857</w:t>
            </w:r>
          </w:p>
        </w:tc>
      </w:tr>
    </w:tbl>
    <w:p w14:paraId="5FC20DF2" w14:textId="77370A5A" w:rsidR="000B228E" w:rsidRDefault="001921B1" w:rsidP="00C866EB">
      <w:pPr>
        <w:pStyle w:val="Tablenotes0"/>
      </w:pPr>
      <w:r>
        <w:t>Abbreviations: CT = computed tomography; FDG =</w:t>
      </w:r>
      <w:r w:rsidRPr="00CF7C77">
        <w:t xml:space="preserve"> </w:t>
      </w:r>
      <w:r>
        <w:t>f</w:t>
      </w:r>
      <w:r w:rsidRPr="00CF7C77">
        <w:t>luorodeoxyglucose</w:t>
      </w:r>
      <w:r>
        <w:t>; MBS = Medicare Benefits Schedule; N/A = not applicable; NEN = neuroendocrine neoplasm; PET = positron emission tomography.</w:t>
      </w:r>
    </w:p>
    <w:p w14:paraId="33121466" w14:textId="77777777" w:rsidR="000B228E" w:rsidRDefault="000B228E" w:rsidP="000D4ABE">
      <w:pPr>
        <w:pStyle w:val="Heading2"/>
        <w:numPr>
          <w:ilvl w:val="0"/>
          <w:numId w:val="0"/>
        </w:numPr>
        <w:spacing w:after="120"/>
      </w:pPr>
      <w:bookmarkStart w:id="115" w:name="_Toc69491427"/>
      <w:r>
        <w:lastRenderedPageBreak/>
        <w:t>15.</w:t>
      </w:r>
      <w:r>
        <w:tab/>
      </w:r>
      <w:r w:rsidRPr="00CE28E3">
        <w:t xml:space="preserve">Other relevant </w:t>
      </w:r>
      <w:bookmarkEnd w:id="115"/>
      <w:r>
        <w:t>information</w:t>
      </w:r>
    </w:p>
    <w:p w14:paraId="7F6611FC" w14:textId="652EA14B" w:rsidR="001B421A" w:rsidRPr="001B421A" w:rsidRDefault="000B228E" w:rsidP="000D4ABE">
      <w:pPr>
        <w:pStyle w:val="Tablenotes0"/>
        <w:spacing w:after="120"/>
        <w:contextualSpacing w:val="0"/>
        <w:rPr>
          <w:rFonts w:ascii="Franklin Gothic Book" w:hAnsi="Franklin Gothic Book"/>
          <w:sz w:val="22"/>
        </w:rPr>
      </w:pPr>
      <w:r w:rsidRPr="001B421A">
        <w:rPr>
          <w:rFonts w:ascii="Franklin Gothic Book" w:hAnsi="Franklin Gothic Book"/>
          <w:sz w:val="22"/>
        </w:rPr>
        <w:t xml:space="preserve">Nil. </w:t>
      </w:r>
    </w:p>
    <w:p w14:paraId="32991538" w14:textId="77777777" w:rsidR="001B421A" w:rsidRDefault="001B421A" w:rsidP="000D4ABE">
      <w:pPr>
        <w:pStyle w:val="Heading2"/>
        <w:numPr>
          <w:ilvl w:val="0"/>
          <w:numId w:val="0"/>
        </w:numPr>
        <w:spacing w:before="120" w:after="120"/>
      </w:pPr>
      <w:bookmarkStart w:id="116" w:name="_Toc145678765"/>
      <w:bookmarkStart w:id="117" w:name="_Toc150172410"/>
      <w:bookmarkStart w:id="118" w:name="_Toc153462785"/>
      <w:r>
        <w:t>16.</w:t>
      </w:r>
      <w:r>
        <w:tab/>
        <w:t>Key issues from ESC to MSAC</w:t>
      </w:r>
    </w:p>
    <w:bookmarkEnd w:id="116"/>
    <w:bookmarkEnd w:id="117"/>
    <w:bookmarkEnd w:id="118"/>
    <w:p w14:paraId="3E4D8EC8" w14:textId="77777777" w:rsidR="000B228E" w:rsidRPr="00D934CD" w:rsidRDefault="000B228E" w:rsidP="000D4ABE">
      <w:pPr>
        <w:keepNext/>
        <w:pBdr>
          <w:top w:val="single" w:sz="4" w:space="4" w:color="000000"/>
          <w:left w:val="single" w:sz="4" w:space="4" w:color="000000"/>
          <w:bottom w:val="single" w:sz="4" w:space="4" w:color="000000"/>
          <w:right w:val="single" w:sz="4" w:space="4" w:color="000000"/>
        </w:pBdr>
        <w:spacing w:before="240" w:after="120" w:line="240" w:lineRule="auto"/>
        <w:ind w:left="1077" w:hanging="1077"/>
        <w:rPr>
          <w:rFonts w:eastAsia="Times New Roman" w:cs="Times New Roman"/>
          <w:b/>
          <w:bCs/>
          <w:color w:val="000000"/>
          <w:sz w:val="24"/>
          <w:szCs w:val="20"/>
          <w:lang w:eastAsia="en-AU"/>
        </w:rPr>
      </w:pPr>
      <w:r w:rsidRPr="00D934CD">
        <w:rPr>
          <w:rFonts w:eastAsia="Times New Roman" w:cs="Times New Roman"/>
          <w:b/>
          <w:bCs/>
          <w:color w:val="000000"/>
          <w:sz w:val="24"/>
          <w:szCs w:val="20"/>
          <w:lang w:eastAsia="en-AU"/>
        </w:rPr>
        <w:t>Main issues for MSAC consideration</w:t>
      </w:r>
    </w:p>
    <w:p w14:paraId="406B54A4" w14:textId="77777777" w:rsidR="000B228E" w:rsidRPr="00D934CD" w:rsidRDefault="000B228E" w:rsidP="000D4ABE">
      <w:pPr>
        <w:keepNext/>
        <w:pBdr>
          <w:top w:val="single" w:sz="4" w:space="4" w:color="000000"/>
          <w:left w:val="single" w:sz="4" w:space="4" w:color="000000"/>
          <w:bottom w:val="single" w:sz="4" w:space="4" w:color="000000"/>
          <w:right w:val="single" w:sz="4" w:space="4" w:color="000000"/>
        </w:pBdr>
        <w:spacing w:after="120" w:line="240" w:lineRule="auto"/>
        <w:ind w:left="1077" w:hanging="1077"/>
        <w:rPr>
          <w:rFonts w:eastAsia="Times New Roman" w:cs="Times New Roman"/>
          <w:b/>
          <w:bCs/>
          <w:color w:val="000000"/>
          <w:sz w:val="24"/>
          <w:szCs w:val="20"/>
          <w:lang w:eastAsia="en-AU"/>
        </w:rPr>
      </w:pPr>
      <w:r w:rsidRPr="00D934CD">
        <w:rPr>
          <w:rFonts w:eastAsia="Times New Roman" w:cs="Times New Roman"/>
          <w:b/>
          <w:bCs/>
          <w:color w:val="000000"/>
          <w:sz w:val="24"/>
          <w:szCs w:val="20"/>
          <w:lang w:eastAsia="en-AU"/>
        </w:rPr>
        <w:t>Clinical issues:</w:t>
      </w:r>
    </w:p>
    <w:p w14:paraId="709AE414" w14:textId="77777777" w:rsidR="000B228E" w:rsidRPr="00D934C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D934CD">
        <w:rPr>
          <w:rFonts w:eastAsia="Times New Roman" w:cs="Times New Roman"/>
          <w:color w:val="000000"/>
          <w:szCs w:val="20"/>
          <w:lang w:eastAsia="en-AU"/>
        </w:rPr>
        <w:t xml:space="preserve">There is limited direct evidence for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w:t>
      </w:r>
      <w:r>
        <w:rPr>
          <w:rFonts w:eastAsia="Times New Roman" w:cs="Times New Roman"/>
          <w:color w:val="000000"/>
          <w:szCs w:val="20"/>
          <w:lang w:eastAsia="en-AU"/>
        </w:rPr>
        <w:t xml:space="preserve">PRRT </w:t>
      </w:r>
      <w:r w:rsidRPr="00D934CD">
        <w:rPr>
          <w:rFonts w:eastAsia="Times New Roman" w:cs="Times New Roman"/>
          <w:color w:val="000000"/>
          <w:szCs w:val="20"/>
          <w:lang w:eastAsia="en-AU"/>
        </w:rPr>
        <w:t xml:space="preserve">treatment therapy across different NENs, indicating a need for further RCT-based evidence. </w:t>
      </w:r>
      <w:r>
        <w:rPr>
          <w:rFonts w:eastAsia="Times New Roman" w:cs="Times New Roman"/>
          <w:color w:val="000000"/>
          <w:szCs w:val="20"/>
          <w:lang w:eastAsia="en-AU"/>
        </w:rPr>
        <w:t>W</w:t>
      </w:r>
      <w:r w:rsidRPr="006207E1">
        <w:rPr>
          <w:rFonts w:eastAsia="Times New Roman" w:cs="Times New Roman"/>
          <w:color w:val="000000"/>
          <w:szCs w:val="20"/>
          <w:lang w:eastAsia="en-AU"/>
        </w:rPr>
        <w:t>hilst clinical trials are underway, results will not be available for some years to com</w:t>
      </w:r>
      <w:r>
        <w:rPr>
          <w:rFonts w:eastAsia="Times New Roman" w:cs="Times New Roman"/>
          <w:color w:val="000000"/>
          <w:szCs w:val="20"/>
          <w:lang w:eastAsia="en-AU"/>
        </w:rPr>
        <w:t>e.</w:t>
      </w:r>
    </w:p>
    <w:p w14:paraId="012CBE91" w14:textId="77777777" w:rsidR="000B228E" w:rsidRPr="00D934C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D934CD">
        <w:rPr>
          <w:rFonts w:eastAsia="Times New Roman" w:cs="Times New Roman"/>
          <w:color w:val="000000"/>
          <w:szCs w:val="20"/>
          <w:lang w:eastAsia="en-AU"/>
        </w:rPr>
        <w:t xml:space="preserve">There is a lack of evidence for diagnostic accuracy, test reliability and change in </w:t>
      </w:r>
      <w:r>
        <w:rPr>
          <w:rFonts w:eastAsia="Times New Roman" w:cs="Times New Roman"/>
          <w:color w:val="000000"/>
          <w:szCs w:val="20"/>
          <w:lang w:eastAsia="en-AU"/>
        </w:rPr>
        <w:t xml:space="preserve">clinical </w:t>
      </w:r>
      <w:r w:rsidRPr="00D934CD">
        <w:rPr>
          <w:rFonts w:eastAsia="Times New Roman" w:cs="Times New Roman"/>
          <w:color w:val="000000"/>
          <w:szCs w:val="20"/>
          <w:lang w:eastAsia="en-AU"/>
        </w:rPr>
        <w:t xml:space="preserve">outcomes for the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and FDG PET/CT</w:t>
      </w:r>
      <w:r w:rsidRPr="00D934CD">
        <w:rPr>
          <w:rFonts w:eastAsia="Times New Roman" w:cs="Times New Roman"/>
          <w:color w:val="000000"/>
          <w:szCs w:val="20"/>
          <w:lang w:eastAsia="en-AU"/>
        </w:rPr>
        <w:t>, and the</w:t>
      </w:r>
      <w:r>
        <w:rPr>
          <w:rFonts w:eastAsia="Times New Roman" w:cs="Times New Roman"/>
          <w:color w:val="000000"/>
          <w:szCs w:val="20"/>
          <w:lang w:eastAsia="en-AU"/>
        </w:rPr>
        <w:t xml:space="preserve"> tests</w:t>
      </w:r>
      <w:r w:rsidRPr="00D934CD">
        <w:rPr>
          <w:rFonts w:eastAsia="Times New Roman" w:cs="Times New Roman"/>
          <w:color w:val="000000"/>
          <w:szCs w:val="20"/>
          <w:lang w:eastAsia="en-AU"/>
        </w:rPr>
        <w:t xml:space="preserve"> h</w:t>
      </w:r>
      <w:r>
        <w:rPr>
          <w:rFonts w:eastAsia="Times New Roman" w:cs="Times New Roman"/>
          <w:color w:val="000000"/>
          <w:szCs w:val="20"/>
          <w:lang w:eastAsia="en-AU"/>
        </w:rPr>
        <w:t>ave</w:t>
      </w:r>
      <w:r w:rsidRPr="00D934CD">
        <w:rPr>
          <w:rFonts w:eastAsia="Times New Roman" w:cs="Times New Roman"/>
          <w:color w:val="000000"/>
          <w:szCs w:val="20"/>
          <w:lang w:eastAsia="en-AU"/>
        </w:rPr>
        <w:t xml:space="preserve"> not been studied with respect to these outcomes</w:t>
      </w:r>
      <w:r>
        <w:rPr>
          <w:rFonts w:eastAsia="Times New Roman" w:cs="Times New Roman"/>
          <w:color w:val="000000"/>
          <w:szCs w:val="20"/>
          <w:lang w:eastAsia="en-AU"/>
        </w:rPr>
        <w:t>.</w:t>
      </w:r>
    </w:p>
    <w:p w14:paraId="2C977859" w14:textId="77777777" w:rsidR="000B228E"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D934CD">
        <w:rPr>
          <w:rFonts w:eastAsia="Times New Roman" w:cs="Times New Roman"/>
          <w:color w:val="000000"/>
          <w:szCs w:val="20"/>
          <w:lang w:eastAsia="en-AU"/>
        </w:rPr>
        <w:t xml:space="preserve">Noninferiority </w:t>
      </w:r>
      <w:r>
        <w:rPr>
          <w:rFonts w:eastAsia="Times New Roman" w:cs="Times New Roman"/>
          <w:color w:val="000000"/>
          <w:szCs w:val="20"/>
          <w:lang w:eastAsia="en-AU"/>
        </w:rPr>
        <w:t xml:space="preserve">of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Lu-DOTA-octreotate and </w:t>
      </w:r>
      <w:proofErr w:type="spellStart"/>
      <w:r w:rsidRPr="00D934CD">
        <w:rPr>
          <w:rFonts w:eastAsia="Calibri" w:cs="Times New Roman"/>
          <w:color w:val="000000"/>
          <w:szCs w:val="20"/>
        </w:rPr>
        <w:t>Lutathera</w:t>
      </w:r>
      <w:proofErr w:type="spellEnd"/>
      <w:r w:rsidRPr="00D934CD">
        <w:rPr>
          <w:rFonts w:eastAsia="Calibri" w:cs="Times New Roman"/>
          <w:color w:val="000000"/>
          <w:szCs w:val="20"/>
        </w:rPr>
        <w:t>®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w:t>
      </w:r>
      <w:r w:rsidRPr="00D934CD">
        <w:rPr>
          <w:rFonts w:eastAsia="Times New Roman" w:cs="Times New Roman"/>
          <w:color w:val="000000"/>
          <w:szCs w:val="20"/>
          <w:lang w:eastAsia="en-AU"/>
        </w:rPr>
        <w:t>is assumed</w:t>
      </w:r>
      <w:r>
        <w:rPr>
          <w:rFonts w:eastAsia="Times New Roman" w:cs="Times New Roman"/>
          <w:color w:val="000000"/>
          <w:szCs w:val="20"/>
          <w:lang w:eastAsia="en-AU"/>
        </w:rPr>
        <w:t xml:space="preserve"> based on a comparison of pharmaceutical forms only </w:t>
      </w:r>
      <w:r w:rsidRPr="00D934CD">
        <w:rPr>
          <w:rFonts w:eastAsia="Times New Roman" w:cs="Times New Roman"/>
          <w:color w:val="000000"/>
          <w:szCs w:val="20"/>
          <w:lang w:eastAsia="en-AU"/>
        </w:rPr>
        <w:t xml:space="preserve">and is therefore a key area of uncertainty. </w:t>
      </w:r>
    </w:p>
    <w:p w14:paraId="49F0C699" w14:textId="77777777" w:rsidR="000B228E" w:rsidRPr="00D934C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D934CD">
        <w:rPr>
          <w:rFonts w:eastAsia="Times New Roman" w:cs="Times New Roman"/>
          <w:color w:val="000000"/>
          <w:szCs w:val="20"/>
          <w:lang w:eastAsia="en-AU"/>
        </w:rPr>
        <w:t xml:space="preserve">Multiple assumptions in </w:t>
      </w:r>
      <w:r>
        <w:rPr>
          <w:rFonts w:eastAsia="Times New Roman" w:cs="Times New Roman"/>
          <w:color w:val="000000"/>
          <w:szCs w:val="20"/>
          <w:lang w:eastAsia="en-AU"/>
        </w:rPr>
        <w:t xml:space="preserve">the </w:t>
      </w:r>
      <w:r w:rsidRPr="00D934CD">
        <w:rPr>
          <w:rFonts w:eastAsia="Times New Roman" w:cs="Times New Roman"/>
          <w:color w:val="000000"/>
          <w:szCs w:val="20"/>
          <w:lang w:eastAsia="en-AU"/>
        </w:rPr>
        <w:t xml:space="preserve">production of </w:t>
      </w:r>
      <w:r>
        <w:rPr>
          <w:rFonts w:eastAsia="Times New Roman" w:cs="Times New Roman"/>
          <w:color w:val="000000"/>
          <w:szCs w:val="20"/>
          <w:lang w:eastAsia="en-AU"/>
        </w:rPr>
        <w:t>the network meta-analysis (NMA)</w:t>
      </w:r>
      <w:r w:rsidRPr="00D934CD">
        <w:rPr>
          <w:rFonts w:eastAsia="Times New Roman" w:cs="Times New Roman"/>
          <w:color w:val="000000"/>
          <w:szCs w:val="20"/>
          <w:lang w:eastAsia="en-AU"/>
        </w:rPr>
        <w:t xml:space="preserve"> and transitivity</w:t>
      </w:r>
      <w:r>
        <w:rPr>
          <w:rFonts w:eastAsia="Times New Roman" w:cs="Times New Roman"/>
          <w:color w:val="000000"/>
          <w:szCs w:val="20"/>
          <w:lang w:eastAsia="en-AU"/>
        </w:rPr>
        <w:t xml:space="preserve"> issues that may bias the results of the NMA</w:t>
      </w:r>
      <w:r w:rsidRPr="00D934CD">
        <w:rPr>
          <w:rFonts w:eastAsia="Times New Roman" w:cs="Times New Roman"/>
          <w:color w:val="000000"/>
          <w:szCs w:val="20"/>
          <w:lang w:eastAsia="en-AU"/>
        </w:rPr>
        <w:t xml:space="preserve"> have resulted in </w:t>
      </w:r>
      <w:r>
        <w:rPr>
          <w:rFonts w:eastAsia="Times New Roman" w:cs="Times New Roman"/>
          <w:color w:val="000000"/>
          <w:szCs w:val="20"/>
          <w:lang w:eastAsia="en-AU"/>
        </w:rPr>
        <w:t xml:space="preserve">significant </w:t>
      </w:r>
      <w:r w:rsidRPr="00D934CD">
        <w:rPr>
          <w:rFonts w:eastAsia="Times New Roman" w:cs="Times New Roman"/>
          <w:color w:val="000000"/>
          <w:szCs w:val="20"/>
          <w:lang w:eastAsia="en-AU"/>
        </w:rPr>
        <w:t>uncertainty in the</w:t>
      </w:r>
      <w:r>
        <w:rPr>
          <w:rFonts w:eastAsia="Times New Roman" w:cs="Times New Roman"/>
          <w:color w:val="000000"/>
          <w:szCs w:val="20"/>
          <w:lang w:eastAsia="en-AU"/>
        </w:rPr>
        <w:t xml:space="preserve"> indirect estimates of comparative effectiveness. This has flow on effects to the reliability of the inputs used to model comparative effectiveness in the economic model.</w:t>
      </w:r>
    </w:p>
    <w:p w14:paraId="34FFBFE0" w14:textId="77777777" w:rsidR="000B228E" w:rsidRPr="00D934CD" w:rsidRDefault="000B228E" w:rsidP="000B228E">
      <w:pPr>
        <w:keepNext/>
        <w:pBdr>
          <w:top w:val="single" w:sz="4" w:space="4" w:color="000000"/>
          <w:left w:val="single" w:sz="4" w:space="4" w:color="000000"/>
          <w:bottom w:val="single" w:sz="4" w:space="4" w:color="000000"/>
          <w:right w:val="single" w:sz="4" w:space="4" w:color="000000"/>
        </w:pBdr>
        <w:spacing w:after="60" w:line="240" w:lineRule="auto"/>
        <w:rPr>
          <w:rFonts w:eastAsia="Times New Roman" w:cs="Times New Roman"/>
          <w:b/>
          <w:bCs/>
          <w:color w:val="000000"/>
          <w:szCs w:val="20"/>
          <w:lang w:eastAsia="en-AU"/>
        </w:rPr>
      </w:pPr>
      <w:r w:rsidRPr="00D934CD">
        <w:rPr>
          <w:rFonts w:eastAsia="Times New Roman" w:cs="Times New Roman"/>
          <w:b/>
          <w:bCs/>
          <w:color w:val="000000"/>
          <w:szCs w:val="20"/>
          <w:lang w:eastAsia="en-AU"/>
        </w:rPr>
        <w:t>Economic issues:</w:t>
      </w:r>
    </w:p>
    <w:p w14:paraId="5270BFE7" w14:textId="77777777" w:rsidR="000B228E" w:rsidRPr="00D934C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4A3B1B">
        <w:rPr>
          <w:rFonts w:eastAsia="Times New Roman" w:cs="Times New Roman"/>
          <w:color w:val="000000"/>
          <w:szCs w:val="20"/>
          <w:lang w:eastAsia="en-AU"/>
        </w:rPr>
        <w:t xml:space="preserve">The cost-effectiveness of </w:t>
      </w:r>
      <w:r w:rsidRPr="00DB00CF">
        <w:rPr>
          <w:rFonts w:eastAsia="Times New Roman" w:cs="Times New Roman"/>
          <w:color w:val="000000"/>
          <w:szCs w:val="20"/>
          <w:vertAlign w:val="superscript"/>
          <w:lang w:eastAsia="en-AU"/>
        </w:rPr>
        <w:t>177</w:t>
      </w:r>
      <w:r w:rsidRPr="004A3B1B">
        <w:rPr>
          <w:rFonts w:eastAsia="Times New Roman" w:cs="Times New Roman"/>
          <w:color w:val="000000"/>
          <w:szCs w:val="20"/>
          <w:lang w:eastAsia="en-AU"/>
        </w:rPr>
        <w:t xml:space="preserve">Lu-DOTA-octreotate is highly sensitive to changes in </w:t>
      </w:r>
      <w:r>
        <w:rPr>
          <w:rFonts w:eastAsia="Times New Roman" w:cs="Times New Roman"/>
          <w:color w:val="000000"/>
          <w:szCs w:val="20"/>
          <w:lang w:eastAsia="en-AU"/>
        </w:rPr>
        <w:t>plausible variation in the hazard ratios for overall survival and progression free survival</w:t>
      </w:r>
      <w:r w:rsidRPr="004A3B1B">
        <w:rPr>
          <w:rFonts w:eastAsia="Times New Roman" w:cs="Times New Roman"/>
          <w:color w:val="000000"/>
          <w:szCs w:val="20"/>
          <w:lang w:eastAsia="en-AU"/>
        </w:rPr>
        <w:t xml:space="preserve"> versus all 6 comparators</w:t>
      </w:r>
      <w:r>
        <w:rPr>
          <w:rFonts w:eastAsia="Times New Roman" w:cs="Times New Roman"/>
          <w:color w:val="000000"/>
          <w:szCs w:val="20"/>
          <w:lang w:eastAsia="en-AU"/>
        </w:rPr>
        <w:t xml:space="preserve"> (including best supportive care), switching from the incremental cost-effectiveness ratio (ICER) being dominant, the ICER &lt; ~$70,000 per QALY for most modelled scenarios, or dominated. T</w:t>
      </w:r>
      <w:r w:rsidRPr="00D934CD">
        <w:rPr>
          <w:rFonts w:eastAsia="Times New Roman" w:cs="Times New Roman"/>
          <w:color w:val="000000"/>
          <w:szCs w:val="20"/>
          <w:lang w:eastAsia="en-AU"/>
        </w:rPr>
        <w:t>he ICER is highly volatile against pharmaceutical comparators.</w:t>
      </w:r>
    </w:p>
    <w:p w14:paraId="4A7EDE5A" w14:textId="77777777" w:rsidR="000B228E" w:rsidRPr="00AC305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Pr>
          <w:rFonts w:eastAsia="Times New Roman" w:cs="Times New Roman"/>
          <w:color w:val="000000"/>
          <w:szCs w:val="20"/>
          <w:lang w:eastAsia="en-AU"/>
        </w:rPr>
        <w:t>Additional one-way sensitivity analyses should be undertaken incorporating the number of cycles and choice of parametric curves.</w:t>
      </w:r>
      <w:r w:rsidRPr="00B5058E">
        <w:t xml:space="preserve"> </w:t>
      </w:r>
      <w:r>
        <w:rPr>
          <w:rFonts w:eastAsia="Times New Roman" w:cs="Times New Roman"/>
          <w:color w:val="000000"/>
          <w:szCs w:val="20"/>
          <w:lang w:eastAsia="en-AU"/>
        </w:rPr>
        <w:t>Two-</w:t>
      </w:r>
      <w:r w:rsidRPr="00B5058E">
        <w:rPr>
          <w:rFonts w:eastAsia="Times New Roman" w:cs="Times New Roman"/>
          <w:color w:val="000000"/>
          <w:szCs w:val="20"/>
          <w:lang w:eastAsia="en-AU"/>
        </w:rPr>
        <w:t>way analyse</w:t>
      </w:r>
      <w:r>
        <w:rPr>
          <w:rFonts w:eastAsia="Times New Roman" w:cs="Times New Roman"/>
          <w:color w:val="000000"/>
          <w:szCs w:val="20"/>
          <w:lang w:eastAsia="en-AU"/>
        </w:rPr>
        <w:t>s</w:t>
      </w:r>
      <w:r w:rsidRPr="00B5058E">
        <w:rPr>
          <w:rFonts w:eastAsia="Times New Roman" w:cs="Times New Roman"/>
          <w:color w:val="000000"/>
          <w:szCs w:val="20"/>
          <w:lang w:eastAsia="en-AU"/>
        </w:rPr>
        <w:t xml:space="preserve"> incorporating </w:t>
      </w:r>
      <w:r>
        <w:rPr>
          <w:rFonts w:eastAsia="Times New Roman" w:cs="Times New Roman"/>
          <w:color w:val="000000"/>
          <w:szCs w:val="20"/>
          <w:lang w:eastAsia="en-AU"/>
        </w:rPr>
        <w:t>variation</w:t>
      </w:r>
      <w:r w:rsidRPr="00B5058E">
        <w:rPr>
          <w:rFonts w:eastAsia="Times New Roman" w:cs="Times New Roman"/>
          <w:color w:val="000000"/>
          <w:szCs w:val="20"/>
          <w:lang w:eastAsia="en-AU"/>
        </w:rPr>
        <w:t xml:space="preserve"> </w:t>
      </w:r>
      <w:r>
        <w:rPr>
          <w:rFonts w:eastAsia="Times New Roman" w:cs="Times New Roman"/>
          <w:color w:val="000000"/>
          <w:szCs w:val="20"/>
          <w:lang w:eastAsia="en-AU"/>
        </w:rPr>
        <w:t>in</w:t>
      </w:r>
      <w:r w:rsidRPr="00B5058E">
        <w:rPr>
          <w:rFonts w:eastAsia="Times New Roman" w:cs="Times New Roman"/>
          <w:color w:val="000000"/>
          <w:szCs w:val="20"/>
          <w:lang w:eastAsia="en-AU"/>
        </w:rPr>
        <w:t xml:space="preserve"> treatment costs (n</w:t>
      </w:r>
      <w:r>
        <w:rPr>
          <w:rFonts w:eastAsia="Times New Roman" w:cs="Times New Roman"/>
          <w:color w:val="000000"/>
          <w:szCs w:val="20"/>
          <w:lang w:eastAsia="en-AU"/>
        </w:rPr>
        <w:t>umber</w:t>
      </w:r>
      <w:r w:rsidRPr="00B5058E">
        <w:rPr>
          <w:rFonts w:eastAsia="Times New Roman" w:cs="Times New Roman"/>
          <w:color w:val="000000"/>
          <w:szCs w:val="20"/>
          <w:lang w:eastAsia="en-AU"/>
        </w:rPr>
        <w:t xml:space="preserve"> of cycles)</w:t>
      </w:r>
      <w:r>
        <w:rPr>
          <w:rFonts w:eastAsia="Times New Roman" w:cs="Times New Roman"/>
          <w:color w:val="000000"/>
          <w:szCs w:val="20"/>
          <w:lang w:eastAsia="en-AU"/>
        </w:rPr>
        <w:t xml:space="preserve"> and use of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imaging for monitoring treatment response</w:t>
      </w:r>
      <w:r w:rsidRPr="00B5058E">
        <w:rPr>
          <w:rFonts w:eastAsia="Times New Roman" w:cs="Times New Roman"/>
          <w:color w:val="000000"/>
          <w:szCs w:val="20"/>
          <w:lang w:eastAsia="en-AU"/>
        </w:rPr>
        <w:t xml:space="preserve"> </w:t>
      </w:r>
      <w:r>
        <w:rPr>
          <w:rFonts w:eastAsia="Times New Roman" w:cs="Times New Roman"/>
          <w:color w:val="000000"/>
          <w:szCs w:val="20"/>
          <w:lang w:eastAsia="en-AU"/>
        </w:rPr>
        <w:t>would</w:t>
      </w:r>
      <w:r w:rsidRPr="00B5058E">
        <w:rPr>
          <w:rFonts w:eastAsia="Times New Roman" w:cs="Times New Roman"/>
          <w:color w:val="000000"/>
          <w:szCs w:val="20"/>
          <w:lang w:eastAsia="en-AU"/>
        </w:rPr>
        <w:t xml:space="preserve"> </w:t>
      </w:r>
      <w:r>
        <w:rPr>
          <w:rFonts w:eastAsia="Times New Roman" w:cs="Times New Roman"/>
          <w:color w:val="000000"/>
          <w:szCs w:val="20"/>
          <w:lang w:eastAsia="en-AU"/>
        </w:rPr>
        <w:t xml:space="preserve">also be informative. Subsequently, the assessment group produced an Addendum (see </w:t>
      </w:r>
      <w:r w:rsidRPr="003503BC">
        <w:rPr>
          <w:rFonts w:eastAsia="Times New Roman" w:cs="Times New Roman"/>
          <w:b/>
          <w:color w:val="000000"/>
          <w:szCs w:val="20"/>
          <w:lang w:eastAsia="en-AU"/>
        </w:rPr>
        <w:t>Attachment</w:t>
      </w:r>
      <w:r>
        <w:rPr>
          <w:rFonts w:eastAsia="Times New Roman" w:cs="Times New Roman"/>
          <w:color w:val="000000"/>
          <w:szCs w:val="20"/>
          <w:lang w:eastAsia="en-AU"/>
        </w:rPr>
        <w:t xml:space="preserve">) which included the requested additional sensitivity analyses. </w:t>
      </w:r>
      <w:r w:rsidRPr="00054934">
        <w:rPr>
          <w:rFonts w:eastAsia="Times New Roman" w:cs="Times New Roman"/>
          <w:color w:val="000000"/>
          <w:szCs w:val="20"/>
          <w:lang w:eastAsia="en-AU"/>
        </w:rPr>
        <w:t>The choice of parametric distribution for progression-free survival (PFS) and overall survival (OS)</w:t>
      </w:r>
      <w:r>
        <w:rPr>
          <w:rFonts w:eastAsia="Times New Roman" w:cs="Times New Roman"/>
          <w:color w:val="000000"/>
          <w:szCs w:val="20"/>
          <w:lang w:eastAsia="en-AU"/>
        </w:rPr>
        <w:t xml:space="preserve"> and scenarios </w:t>
      </w:r>
      <w:r w:rsidRPr="00023154">
        <w:rPr>
          <w:rFonts w:eastAsia="Times New Roman" w:cs="Times New Roman"/>
          <w:color w:val="000000"/>
          <w:szCs w:val="20"/>
          <w:lang w:eastAsia="en-AU"/>
        </w:rPr>
        <w:t xml:space="preserve">using different estimated time on treatment for </w:t>
      </w:r>
      <w:r w:rsidRPr="00184F94">
        <w:rPr>
          <w:rFonts w:eastAsia="Times New Roman" w:cs="Times New Roman"/>
          <w:color w:val="000000"/>
          <w:szCs w:val="20"/>
          <w:vertAlign w:val="superscript"/>
          <w:lang w:eastAsia="en-AU"/>
        </w:rPr>
        <w:t>177</w:t>
      </w:r>
      <w:r w:rsidRPr="00023154">
        <w:rPr>
          <w:rFonts w:eastAsia="Times New Roman" w:cs="Times New Roman"/>
          <w:color w:val="000000"/>
          <w:szCs w:val="20"/>
          <w:lang w:eastAsia="en-AU"/>
        </w:rPr>
        <w:t>Lu-DOTA-octreotate</w:t>
      </w:r>
      <w:r>
        <w:rPr>
          <w:rFonts w:eastAsia="Times New Roman" w:cs="Times New Roman"/>
          <w:color w:val="000000"/>
          <w:szCs w:val="20"/>
          <w:lang w:eastAsia="en-AU"/>
        </w:rPr>
        <w:t xml:space="preserve"> </w:t>
      </w:r>
      <w:r w:rsidRPr="00054934">
        <w:rPr>
          <w:rFonts w:eastAsia="Times New Roman" w:cs="Times New Roman"/>
          <w:color w:val="000000"/>
          <w:szCs w:val="20"/>
          <w:lang w:eastAsia="en-AU"/>
        </w:rPr>
        <w:t xml:space="preserve">had a moderate impact on the </w:t>
      </w:r>
      <w:r>
        <w:rPr>
          <w:rFonts w:eastAsia="Times New Roman" w:cs="Times New Roman"/>
          <w:color w:val="000000"/>
          <w:szCs w:val="20"/>
          <w:lang w:eastAsia="en-AU"/>
        </w:rPr>
        <w:t>ICER</w:t>
      </w:r>
      <w:r w:rsidRPr="00054934">
        <w:rPr>
          <w:rFonts w:eastAsia="Times New Roman" w:cs="Times New Roman"/>
          <w:color w:val="000000"/>
          <w:szCs w:val="20"/>
          <w:lang w:eastAsia="en-AU"/>
        </w:rPr>
        <w:t>.</w:t>
      </w:r>
      <w:r>
        <w:rPr>
          <w:rFonts w:eastAsia="Times New Roman" w:cs="Times New Roman"/>
          <w:color w:val="000000"/>
          <w:szCs w:val="20"/>
          <w:lang w:eastAsia="en-AU"/>
        </w:rPr>
        <w:t xml:space="preserve"> The scenario which assumed an additional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scan as part of monitoring resulted in a small increase in the ICER.</w:t>
      </w:r>
    </w:p>
    <w:p w14:paraId="00250FF2" w14:textId="77777777" w:rsidR="000B228E" w:rsidRPr="00D934CD" w:rsidRDefault="000B228E" w:rsidP="000B228E">
      <w:pPr>
        <w:keepNext/>
        <w:pBdr>
          <w:top w:val="single" w:sz="4" w:space="4" w:color="000000"/>
          <w:left w:val="single" w:sz="4" w:space="4" w:color="000000"/>
          <w:bottom w:val="single" w:sz="4" w:space="4" w:color="000000"/>
          <w:right w:val="single" w:sz="4" w:space="4" w:color="000000"/>
        </w:pBdr>
        <w:spacing w:after="60" w:line="240" w:lineRule="auto"/>
        <w:rPr>
          <w:rFonts w:eastAsia="Times New Roman" w:cs="Times New Roman"/>
          <w:b/>
          <w:bCs/>
          <w:color w:val="000000"/>
          <w:szCs w:val="20"/>
          <w:lang w:eastAsia="en-AU"/>
        </w:rPr>
      </w:pPr>
      <w:r w:rsidRPr="00D934CD">
        <w:rPr>
          <w:rFonts w:eastAsia="Times New Roman" w:cs="Times New Roman"/>
          <w:b/>
          <w:bCs/>
          <w:color w:val="000000"/>
          <w:szCs w:val="20"/>
          <w:lang w:eastAsia="en-AU"/>
        </w:rPr>
        <w:t>Financial issues:</w:t>
      </w:r>
    </w:p>
    <w:p w14:paraId="28E163F3" w14:textId="77777777" w:rsidR="000B228E" w:rsidRPr="008C0EDA"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D934CD">
        <w:rPr>
          <w:rFonts w:eastAsia="Times New Roman" w:cs="Times New Roman"/>
          <w:color w:val="000000"/>
          <w:szCs w:val="20"/>
          <w:lang w:val="en-US" w:eastAsia="en-AU"/>
        </w:rPr>
        <w:t>There is insufficient evidence to support estimations of both pre-intervention tests resulting in high uncertainty in the financial estimates.</w:t>
      </w:r>
    </w:p>
    <w:p w14:paraId="69C41B1F" w14:textId="77777777" w:rsidR="000B228E" w:rsidRPr="00D934C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235B06">
        <w:rPr>
          <w:color w:val="000000" w:themeColor="text1"/>
        </w:rPr>
        <w:t xml:space="preserve">Additional advice from the applicant on the extent of current use of </w:t>
      </w:r>
      <w:r w:rsidRPr="00235B06">
        <w:rPr>
          <w:color w:val="000000" w:themeColor="text1"/>
          <w:vertAlign w:val="superscript"/>
        </w:rPr>
        <w:t>177</w:t>
      </w:r>
      <w:r w:rsidRPr="00235B06">
        <w:rPr>
          <w:color w:val="000000" w:themeColor="text1"/>
        </w:rPr>
        <w:t xml:space="preserve">Lu PRRT therapy, such as from Department of Veterans’ Affairs (DVA) claiming data </w:t>
      </w:r>
      <w:r>
        <w:rPr>
          <w:rFonts w:eastAsia="Times New Roman" w:cs="Times New Roman"/>
          <w:color w:val="000000" w:themeColor="text1"/>
          <w:lang w:eastAsia="en-AU"/>
        </w:rPr>
        <w:t>may</w:t>
      </w:r>
      <w:r w:rsidRPr="757E8DDF">
        <w:rPr>
          <w:rFonts w:eastAsia="Times New Roman" w:cs="Times New Roman"/>
          <w:color w:val="000000" w:themeColor="text1"/>
          <w:lang w:eastAsia="en-AU"/>
        </w:rPr>
        <w:t xml:space="preserve"> </w:t>
      </w:r>
      <w:r w:rsidRPr="00235B06">
        <w:rPr>
          <w:color w:val="000000" w:themeColor="text1"/>
        </w:rPr>
        <w:t>be informative.</w:t>
      </w:r>
    </w:p>
    <w:p w14:paraId="2351652E" w14:textId="77777777" w:rsidR="000B228E" w:rsidRPr="00DB00CF"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szCs w:val="20"/>
        </w:rPr>
      </w:pPr>
      <w:r w:rsidRPr="00DB00CF">
        <w:rPr>
          <w:rFonts w:eastAsia="Times New Roman" w:cs="Times New Roman"/>
          <w:color w:val="000000"/>
          <w:szCs w:val="20"/>
          <w:lang w:eastAsia="en-AU"/>
        </w:rPr>
        <w:t xml:space="preserve">The uptake rate and number of cycles of </w:t>
      </w:r>
      <w:r w:rsidRPr="00DB00CF">
        <w:rPr>
          <w:rFonts w:eastAsia="Times New Roman" w:cs="Times New Roman"/>
          <w:color w:val="000000"/>
          <w:szCs w:val="20"/>
          <w:vertAlign w:val="superscript"/>
          <w:lang w:eastAsia="en-AU"/>
        </w:rPr>
        <w:t>177</w:t>
      </w:r>
      <w:r w:rsidRPr="00DB00CF">
        <w:rPr>
          <w:rFonts w:eastAsia="Times New Roman" w:cs="Times New Roman"/>
          <w:color w:val="000000"/>
          <w:szCs w:val="20"/>
          <w:lang w:eastAsia="en-AU"/>
        </w:rPr>
        <w:t xml:space="preserve">Lu-DOTA-octreotate are uncertain and small changes will affect financial estimates. </w:t>
      </w:r>
      <w:r>
        <w:rPr>
          <w:rFonts w:eastAsia="Times New Roman" w:cs="Times New Roman"/>
          <w:color w:val="000000"/>
          <w:szCs w:val="20"/>
          <w:lang w:eastAsia="en-AU"/>
        </w:rPr>
        <w:t xml:space="preserve">The </w:t>
      </w:r>
      <w:r w:rsidRPr="00823171">
        <w:rPr>
          <w:rFonts w:eastAsia="Times New Roman" w:cs="Times New Roman"/>
          <w:color w:val="000000"/>
          <w:szCs w:val="20"/>
          <w:lang w:eastAsia="en-AU"/>
        </w:rPr>
        <w:t xml:space="preserve">financial estimates </w:t>
      </w:r>
      <w:r>
        <w:rPr>
          <w:rFonts w:eastAsia="Times New Roman" w:cs="Times New Roman"/>
          <w:color w:val="000000"/>
          <w:szCs w:val="20"/>
          <w:lang w:eastAsia="en-AU"/>
        </w:rPr>
        <w:t>sh</w:t>
      </w:r>
      <w:r w:rsidRPr="00823171">
        <w:rPr>
          <w:rFonts w:eastAsia="Times New Roman" w:cs="Times New Roman"/>
          <w:color w:val="000000"/>
          <w:szCs w:val="20"/>
          <w:lang w:eastAsia="en-AU"/>
        </w:rPr>
        <w:t>ould be refined to better estimate the incident testing population based on published estimates</w:t>
      </w:r>
      <w:r>
        <w:rPr>
          <w:rFonts w:eastAsia="Times New Roman" w:cs="Times New Roman"/>
          <w:color w:val="000000"/>
          <w:szCs w:val="20"/>
          <w:lang w:eastAsia="en-AU"/>
        </w:rPr>
        <w:t xml:space="preserve">, account for </w:t>
      </w:r>
      <w:r w:rsidRPr="00823171">
        <w:rPr>
          <w:rFonts w:eastAsia="Times New Roman" w:cs="Times New Roman"/>
          <w:color w:val="000000"/>
          <w:szCs w:val="20"/>
          <w:lang w:eastAsia="en-AU"/>
        </w:rPr>
        <w:t xml:space="preserve">repeat 68Ga-DOTA-octreotate PET/CT imaging for monitoring treatment response </w:t>
      </w:r>
      <w:r>
        <w:rPr>
          <w:rFonts w:eastAsia="Times New Roman" w:cs="Times New Roman"/>
          <w:color w:val="000000"/>
          <w:szCs w:val="20"/>
          <w:lang w:eastAsia="en-AU"/>
        </w:rPr>
        <w:t xml:space="preserve">and </w:t>
      </w:r>
      <w:r w:rsidRPr="00823171">
        <w:rPr>
          <w:rFonts w:eastAsia="Times New Roman" w:cs="Times New Roman"/>
          <w:color w:val="000000"/>
          <w:szCs w:val="20"/>
          <w:lang w:eastAsia="en-AU"/>
        </w:rPr>
        <w:t xml:space="preserve">use the amended fee of $10,000 fee for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w:t>
      </w:r>
      <w:r>
        <w:rPr>
          <w:rFonts w:eastAsia="Times New Roman" w:cs="Times New Roman"/>
          <w:color w:val="000000"/>
          <w:szCs w:val="20"/>
          <w:lang w:eastAsia="en-AU"/>
        </w:rPr>
        <w:t xml:space="preserve">PRRT. Subsequently, the assessment group produced an Addendum (see </w:t>
      </w:r>
      <w:r w:rsidRPr="005D1C24">
        <w:rPr>
          <w:rFonts w:eastAsia="Times New Roman" w:cs="Times New Roman"/>
          <w:b/>
          <w:color w:val="000000"/>
          <w:szCs w:val="20"/>
          <w:lang w:eastAsia="en-AU"/>
        </w:rPr>
        <w:t>Attachment</w:t>
      </w:r>
      <w:r>
        <w:rPr>
          <w:rFonts w:eastAsia="Times New Roman" w:cs="Times New Roman"/>
          <w:color w:val="000000"/>
          <w:szCs w:val="20"/>
          <w:lang w:eastAsia="en-AU"/>
        </w:rPr>
        <w:t xml:space="preserve">) which included the requested additional analyses. </w:t>
      </w:r>
      <w:r>
        <w:rPr>
          <w:iCs/>
        </w:rPr>
        <w:t xml:space="preserve">The financial impact under this ESC scenario (80% of eligible population tested; additional </w:t>
      </w:r>
      <w:r w:rsidRPr="00C06124">
        <w:rPr>
          <w:vertAlign w:val="superscript"/>
        </w:rPr>
        <w:t>68</w:t>
      </w:r>
      <w:r w:rsidRPr="00C06124">
        <w:t>Ga-</w:t>
      </w:r>
      <w:r>
        <w:t>DOTA-octreotate PET study for treated patients) resulted in a much higher net cost of $82.93 million by 2029. However, these estimates were still considered uncertain due to the limitations in the clinical data and assumptions informing these estimates.</w:t>
      </w:r>
    </w:p>
    <w:p w14:paraId="04A3654A" w14:textId="77777777" w:rsidR="000B228E" w:rsidRPr="00D934CD" w:rsidRDefault="000B228E" w:rsidP="000B228E">
      <w:pPr>
        <w:keepNext/>
        <w:spacing w:before="0" w:after="240" w:line="240" w:lineRule="auto"/>
        <w:rPr>
          <w:rFonts w:eastAsia="Times New Roman" w:cs="Times New Roman"/>
          <w:b/>
          <w:bCs/>
          <w:color w:val="000000"/>
          <w:szCs w:val="20"/>
          <w:lang w:eastAsia="en-AU"/>
        </w:rPr>
      </w:pPr>
      <w:r w:rsidRPr="00D934CD">
        <w:rPr>
          <w:rFonts w:eastAsia="Times New Roman" w:cs="Times New Roman"/>
          <w:b/>
          <w:bCs/>
          <w:color w:val="000000"/>
          <w:szCs w:val="20"/>
          <w:lang w:eastAsia="en-AU"/>
        </w:rPr>
        <w:lastRenderedPageBreak/>
        <w:t>ESC discussion</w:t>
      </w:r>
    </w:p>
    <w:p w14:paraId="0B71779E" w14:textId="77777777" w:rsidR="000B228E" w:rsidRPr="00D934CD" w:rsidRDefault="000B228E" w:rsidP="000B228E">
      <w:pPr>
        <w:spacing w:before="0" w:after="240" w:line="240" w:lineRule="auto"/>
        <w:rPr>
          <w:rFonts w:eastAsia="Times New Roman" w:cs="Times New Roman"/>
          <w:color w:val="000000"/>
          <w:szCs w:val="20"/>
          <w:lang w:eastAsia="en-AU"/>
        </w:rPr>
      </w:pPr>
      <w:r w:rsidRPr="00D934CD">
        <w:rPr>
          <w:rFonts w:eastAsia="Times New Roman" w:cs="Times New Roman"/>
          <w:color w:val="000000"/>
          <w:szCs w:val="20"/>
          <w:lang w:eastAsia="en-AU"/>
        </w:rPr>
        <w:t xml:space="preserve">ESC noted that this application </w:t>
      </w:r>
      <w:r>
        <w:rPr>
          <w:rFonts w:eastAsia="Times New Roman" w:cs="Times New Roman"/>
          <w:color w:val="000000"/>
          <w:szCs w:val="20"/>
          <w:lang w:eastAsia="en-AU"/>
        </w:rPr>
        <w:t>is</w:t>
      </w:r>
      <w:r w:rsidRPr="00D934CD">
        <w:rPr>
          <w:rFonts w:eastAsia="Times New Roman" w:cs="Times New Roman"/>
          <w:color w:val="000000"/>
          <w:szCs w:val="20"/>
          <w:lang w:eastAsia="en-AU"/>
        </w:rPr>
        <w:t xml:space="preserve"> requesting Medicare Benefits Schedule (MBS) listing of </w:t>
      </w:r>
      <w:r w:rsidRPr="00D934CD">
        <w:rPr>
          <w:rFonts w:eastAsia="Times New Roman" w:cs="Times New Roman"/>
          <w:color w:val="000000"/>
          <w:szCs w:val="20"/>
          <w:vertAlign w:val="superscript"/>
          <w:lang w:eastAsia="en-AU"/>
        </w:rPr>
        <w:t>177</w:t>
      </w:r>
      <w:r>
        <w:rPr>
          <w:rFonts w:eastAsia="Times New Roman" w:cs="Times New Roman"/>
          <w:color w:val="000000"/>
          <w:szCs w:val="20"/>
          <w:lang w:eastAsia="en-AU"/>
        </w:rPr>
        <w:t>L</w:t>
      </w:r>
      <w:r w:rsidRPr="00D934CD">
        <w:rPr>
          <w:rFonts w:eastAsia="Times New Roman" w:cs="Times New Roman"/>
          <w:color w:val="000000"/>
          <w:szCs w:val="20"/>
          <w:lang w:eastAsia="en-AU"/>
        </w:rPr>
        <w:t>utetium (no carrier added)-DOTA-</w:t>
      </w:r>
      <w:proofErr w:type="spellStart"/>
      <w:r w:rsidRPr="00D934CD">
        <w:rPr>
          <w:rFonts w:eastAsia="Times New Roman" w:cs="Times New Roman"/>
          <w:color w:val="000000"/>
          <w:szCs w:val="20"/>
          <w:lang w:eastAsia="en-AU"/>
        </w:rPr>
        <w:t>octreotate</w:t>
      </w:r>
      <w:proofErr w:type="spellEnd"/>
      <w:r w:rsidRPr="00D934CD">
        <w:rPr>
          <w:rFonts w:eastAsia="Times New Roman" w:cs="Times New Roman"/>
          <w:color w:val="000000"/>
          <w:szCs w:val="20"/>
          <w:lang w:eastAsia="en-AU"/>
        </w:rPr>
        <w:t xml:space="preserve">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 (</w:t>
      </w:r>
      <w:proofErr w:type="spellStart"/>
      <w:r w:rsidRPr="00D934CD">
        <w:rPr>
          <w:rFonts w:eastAsia="Times New Roman" w:cs="Times New Roman"/>
          <w:color w:val="000000"/>
          <w:szCs w:val="20"/>
          <w:lang w:eastAsia="en-AU"/>
        </w:rPr>
        <w:t>nca</w:t>
      </w:r>
      <w:proofErr w:type="spellEnd"/>
      <w:r w:rsidRPr="00D934CD">
        <w:rPr>
          <w:rFonts w:eastAsia="Times New Roman" w:cs="Times New Roman"/>
          <w:color w:val="000000"/>
          <w:szCs w:val="20"/>
          <w:lang w:eastAsia="en-AU"/>
        </w:rPr>
        <w:t>)-DOTA-</w:t>
      </w:r>
      <w:proofErr w:type="spellStart"/>
      <w:r w:rsidRPr="00D934CD">
        <w:rPr>
          <w:rFonts w:eastAsia="Times New Roman" w:cs="Times New Roman"/>
          <w:color w:val="000000"/>
          <w:szCs w:val="20"/>
          <w:lang w:eastAsia="en-AU"/>
        </w:rPr>
        <w:t>octreotate</w:t>
      </w:r>
      <w:proofErr w:type="spellEnd"/>
      <w:r w:rsidRPr="00D934CD">
        <w:rPr>
          <w:rFonts w:eastAsia="Times New Roman" w:cs="Times New Roman"/>
          <w:color w:val="000000"/>
          <w:szCs w:val="20"/>
          <w:lang w:eastAsia="en-AU"/>
        </w:rPr>
        <w:t>) for the treatment of advanced neuroendocrine neoplasms (NE</w:t>
      </w:r>
      <w:r>
        <w:rPr>
          <w:rFonts w:eastAsia="Times New Roman" w:cs="Times New Roman"/>
          <w:color w:val="000000"/>
          <w:szCs w:val="20"/>
          <w:lang w:eastAsia="en-AU"/>
        </w:rPr>
        <w:t>N</w:t>
      </w:r>
      <w:r w:rsidRPr="00D934CD">
        <w:rPr>
          <w:rFonts w:eastAsia="Times New Roman" w:cs="Times New Roman"/>
          <w:color w:val="000000"/>
          <w:szCs w:val="20"/>
          <w:lang w:eastAsia="en-AU"/>
        </w:rPr>
        <w:t xml:space="preserve">s) with high somatostatin receptor (H-SSTR) expression. The application </w:t>
      </w:r>
      <w:r>
        <w:rPr>
          <w:rFonts w:eastAsia="Times New Roman" w:cs="Times New Roman"/>
          <w:color w:val="000000"/>
          <w:szCs w:val="20"/>
          <w:lang w:eastAsia="en-AU"/>
        </w:rPr>
        <w:t xml:space="preserve">is </w:t>
      </w:r>
      <w:r w:rsidRPr="00D934CD">
        <w:rPr>
          <w:rFonts w:eastAsia="Times New Roman" w:cs="Times New Roman"/>
          <w:color w:val="000000"/>
          <w:szCs w:val="20"/>
          <w:lang w:eastAsia="en-AU"/>
        </w:rPr>
        <w:t>also request</w:t>
      </w:r>
      <w:r>
        <w:rPr>
          <w:rFonts w:eastAsia="Times New Roman" w:cs="Times New Roman"/>
          <w:color w:val="000000"/>
          <w:szCs w:val="20"/>
          <w:lang w:eastAsia="en-AU"/>
        </w:rPr>
        <w:t>ing</w:t>
      </w:r>
      <w:r w:rsidRPr="00D934CD">
        <w:rPr>
          <w:rFonts w:eastAsia="Times New Roman" w:cs="Times New Roman"/>
          <w:color w:val="000000"/>
          <w:szCs w:val="20"/>
          <w:lang w:eastAsia="en-AU"/>
        </w:rPr>
        <w:t xml:space="preserve"> a new MBS listing for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 xml:space="preserve">Gallium (Ga)-DOTA-octreotate SSTR-positron emission tomography (PET)/computed tomography (CT) —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 xml:space="preserve">Ga-DOTA-octreotate PET/CT — to determine eligibility for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 (</w:t>
      </w:r>
      <w:proofErr w:type="spellStart"/>
      <w:r w:rsidRPr="00D934CD">
        <w:rPr>
          <w:rFonts w:eastAsia="Times New Roman" w:cs="Times New Roman"/>
          <w:color w:val="000000"/>
          <w:szCs w:val="20"/>
          <w:lang w:eastAsia="en-AU"/>
        </w:rPr>
        <w:t>nca</w:t>
      </w:r>
      <w:proofErr w:type="spellEnd"/>
      <w:r w:rsidRPr="00D934CD">
        <w:rPr>
          <w:rFonts w:eastAsia="Times New Roman" w:cs="Times New Roman"/>
          <w:color w:val="000000"/>
          <w:szCs w:val="20"/>
          <w:lang w:eastAsia="en-AU"/>
        </w:rPr>
        <w:t>)-DOTA-</w:t>
      </w:r>
      <w:proofErr w:type="spellStart"/>
      <w:r w:rsidRPr="00D934CD">
        <w:rPr>
          <w:rFonts w:eastAsia="Times New Roman" w:cs="Times New Roman"/>
          <w:color w:val="000000"/>
          <w:szCs w:val="20"/>
          <w:lang w:eastAsia="en-AU"/>
        </w:rPr>
        <w:t>octreotate</w:t>
      </w:r>
      <w:proofErr w:type="spellEnd"/>
      <w:r w:rsidRPr="00D934CD">
        <w:rPr>
          <w:rFonts w:eastAsia="Times New Roman" w:cs="Times New Roman"/>
          <w:color w:val="000000"/>
          <w:szCs w:val="20"/>
          <w:lang w:eastAsia="en-AU"/>
        </w:rPr>
        <w:t xml:space="preserve"> treatment, as well as for monitoring the post-treatment effect</w:t>
      </w:r>
      <w:r>
        <w:rPr>
          <w:rFonts w:eastAsia="Times New Roman" w:cs="Times New Roman"/>
          <w:color w:val="000000"/>
          <w:szCs w:val="20"/>
          <w:lang w:eastAsia="en-AU"/>
        </w:rPr>
        <w:t xml:space="preserve"> (i.e. treatment response)</w:t>
      </w:r>
      <w:r w:rsidRPr="00D934CD">
        <w:rPr>
          <w:rFonts w:eastAsia="Times New Roman" w:cs="Times New Roman"/>
          <w:color w:val="000000"/>
          <w:szCs w:val="20"/>
          <w:lang w:eastAsia="en-AU"/>
        </w:rPr>
        <w:t xml:space="preserve"> of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 (</w:t>
      </w:r>
      <w:proofErr w:type="spellStart"/>
      <w:r w:rsidRPr="00D934CD">
        <w:rPr>
          <w:rFonts w:eastAsia="Times New Roman" w:cs="Times New Roman"/>
          <w:color w:val="000000"/>
          <w:szCs w:val="20"/>
          <w:lang w:eastAsia="en-AU"/>
        </w:rPr>
        <w:t>nca</w:t>
      </w:r>
      <w:proofErr w:type="spellEnd"/>
      <w:r w:rsidRPr="00D934CD">
        <w:rPr>
          <w:rFonts w:eastAsia="Times New Roman" w:cs="Times New Roman"/>
          <w:color w:val="000000"/>
          <w:szCs w:val="20"/>
          <w:lang w:eastAsia="en-AU"/>
        </w:rPr>
        <w:t>)-DOTA-</w:t>
      </w:r>
      <w:proofErr w:type="spellStart"/>
      <w:r w:rsidRPr="00D934CD">
        <w:rPr>
          <w:rFonts w:eastAsia="Times New Roman" w:cs="Times New Roman"/>
          <w:color w:val="000000"/>
          <w:szCs w:val="20"/>
          <w:lang w:eastAsia="en-AU"/>
        </w:rPr>
        <w:t>octreotate</w:t>
      </w:r>
      <w:proofErr w:type="spellEnd"/>
      <w:r w:rsidRPr="00D934CD">
        <w:rPr>
          <w:rFonts w:eastAsia="Times New Roman" w:cs="Times New Roman"/>
          <w:color w:val="000000"/>
          <w:szCs w:val="20"/>
          <w:lang w:eastAsia="en-AU"/>
        </w:rPr>
        <w:t>. This</w:t>
      </w:r>
      <w:r>
        <w:rPr>
          <w:rFonts w:eastAsia="Times New Roman" w:cs="Times New Roman"/>
          <w:color w:val="000000"/>
          <w:szCs w:val="20"/>
          <w:lang w:eastAsia="en-AU"/>
        </w:rPr>
        <w:t xml:space="preserve"> treatment</w:t>
      </w:r>
      <w:r w:rsidRPr="00D934CD">
        <w:rPr>
          <w:rFonts w:eastAsia="Times New Roman" w:cs="Times New Roman"/>
          <w:color w:val="000000"/>
          <w:szCs w:val="20"/>
          <w:lang w:eastAsia="en-AU"/>
        </w:rPr>
        <w:t xml:space="preserve"> is </w:t>
      </w:r>
      <w:r>
        <w:rPr>
          <w:rFonts w:eastAsia="Times New Roman" w:cs="Times New Roman"/>
          <w:color w:val="000000"/>
          <w:szCs w:val="20"/>
          <w:lang w:eastAsia="en-AU"/>
        </w:rPr>
        <w:t xml:space="preserve">a type of </w:t>
      </w:r>
      <w:r w:rsidRPr="00D934CD">
        <w:rPr>
          <w:rFonts w:eastAsia="Calibri" w:cs="Times New Roman"/>
          <w:color w:val="000000"/>
          <w:szCs w:val="20"/>
          <w:lang w:eastAsia="en-AU"/>
        </w:rPr>
        <w:t>peptide receptor radionuclide therapy (PRRT).</w:t>
      </w:r>
      <w:r w:rsidRPr="000531B8">
        <w:t xml:space="preserve"> </w:t>
      </w:r>
      <w:r>
        <w:t xml:space="preserve">The applicant’s </w:t>
      </w:r>
      <w:r>
        <w:rPr>
          <w:rFonts w:eastAsia="Calibri" w:cs="Times New Roman"/>
          <w:color w:val="000000"/>
          <w:szCs w:val="20"/>
          <w:lang w:eastAsia="en-AU"/>
        </w:rPr>
        <w:t>c</w:t>
      </w:r>
      <w:r w:rsidRPr="000531B8">
        <w:rPr>
          <w:rFonts w:eastAsia="Calibri" w:cs="Times New Roman"/>
          <w:color w:val="000000"/>
          <w:szCs w:val="20"/>
          <w:lang w:eastAsia="en-AU"/>
        </w:rPr>
        <w:t xml:space="preserve">linical claim implied that </w:t>
      </w:r>
      <w:r w:rsidRPr="00994611">
        <w:rPr>
          <w:rFonts w:eastAsia="Calibri" w:cs="Times New Roman"/>
          <w:color w:val="000000"/>
          <w:szCs w:val="20"/>
          <w:vertAlign w:val="superscript"/>
          <w:lang w:eastAsia="en-AU"/>
        </w:rPr>
        <w:t>177</w:t>
      </w:r>
      <w:r w:rsidRPr="000531B8">
        <w:rPr>
          <w:rFonts w:eastAsia="Calibri" w:cs="Times New Roman"/>
          <w:color w:val="000000"/>
          <w:szCs w:val="20"/>
          <w:lang w:eastAsia="en-AU"/>
        </w:rPr>
        <w:t>Lu(</w:t>
      </w:r>
      <w:proofErr w:type="spellStart"/>
      <w:r w:rsidRPr="000531B8">
        <w:rPr>
          <w:rFonts w:eastAsia="Calibri" w:cs="Times New Roman"/>
          <w:color w:val="000000"/>
          <w:szCs w:val="20"/>
          <w:lang w:eastAsia="en-AU"/>
        </w:rPr>
        <w:t>nca</w:t>
      </w:r>
      <w:proofErr w:type="spellEnd"/>
      <w:r w:rsidRPr="000531B8">
        <w:rPr>
          <w:rFonts w:eastAsia="Calibri" w:cs="Times New Roman"/>
          <w:color w:val="000000"/>
          <w:szCs w:val="20"/>
          <w:lang w:eastAsia="en-AU"/>
        </w:rPr>
        <w:t>)-DOTA-</w:t>
      </w:r>
      <w:proofErr w:type="spellStart"/>
      <w:r w:rsidRPr="000531B8">
        <w:rPr>
          <w:rFonts w:eastAsia="Calibri" w:cs="Times New Roman"/>
          <w:color w:val="000000"/>
          <w:szCs w:val="20"/>
          <w:lang w:eastAsia="en-AU"/>
        </w:rPr>
        <w:t>octreotate</w:t>
      </w:r>
      <w:proofErr w:type="spellEnd"/>
      <w:r w:rsidRPr="000531B8">
        <w:rPr>
          <w:rFonts w:eastAsia="Calibri" w:cs="Times New Roman"/>
          <w:color w:val="000000"/>
          <w:szCs w:val="20"/>
          <w:lang w:eastAsia="en-AU"/>
        </w:rPr>
        <w:t xml:space="preserve"> results in superior health outcomes and non</w:t>
      </w:r>
      <w:r>
        <w:rPr>
          <w:rFonts w:eastAsia="Calibri" w:cs="Times New Roman"/>
          <w:color w:val="000000"/>
          <w:szCs w:val="20"/>
          <w:lang w:eastAsia="en-AU"/>
        </w:rPr>
        <w:t>-</w:t>
      </w:r>
      <w:r w:rsidRPr="000531B8">
        <w:rPr>
          <w:rFonts w:eastAsia="Calibri" w:cs="Times New Roman"/>
          <w:color w:val="000000"/>
          <w:szCs w:val="20"/>
          <w:lang w:eastAsia="en-AU"/>
        </w:rPr>
        <w:t>inferior safety.</w:t>
      </w:r>
    </w:p>
    <w:p w14:paraId="1B069090" w14:textId="77777777" w:rsidR="000B228E" w:rsidRPr="00D934CD" w:rsidRDefault="000B228E" w:rsidP="000B228E">
      <w:pPr>
        <w:spacing w:before="0" w:after="240" w:line="240" w:lineRule="auto"/>
        <w:rPr>
          <w:rFonts w:eastAsia="Times New Roman" w:cs="Times New Roman"/>
          <w:color w:val="000000"/>
          <w:szCs w:val="20"/>
          <w:lang w:eastAsia="en-AU"/>
        </w:rPr>
      </w:pPr>
      <w:r w:rsidRPr="0003434B">
        <w:rPr>
          <w:rFonts w:eastAsia="Times New Roman" w:cs="Times New Roman"/>
          <w:color w:val="000000"/>
          <w:szCs w:val="20"/>
          <w:lang w:eastAsia="en-AU"/>
        </w:rPr>
        <w:t xml:space="preserve">The </w:t>
      </w:r>
      <w:r w:rsidRPr="00610875">
        <w:rPr>
          <w:rFonts w:eastAsia="Times New Roman" w:cs="Times New Roman"/>
          <w:color w:val="000000"/>
          <w:szCs w:val="20"/>
          <w:vertAlign w:val="superscript"/>
          <w:lang w:eastAsia="en-AU"/>
        </w:rPr>
        <w:t>177</w:t>
      </w:r>
      <w:r w:rsidRPr="0003434B">
        <w:rPr>
          <w:rFonts w:eastAsia="Times New Roman" w:cs="Times New Roman"/>
          <w:color w:val="000000"/>
          <w:szCs w:val="20"/>
          <w:lang w:eastAsia="en-AU"/>
        </w:rPr>
        <w:t xml:space="preserve">Lu-DOTA-octreotate product is supplied as an extemporaneously manufactured medicine for individual patient use as prescribed by a medical practitioner. </w:t>
      </w:r>
      <w:r w:rsidRPr="00D934CD">
        <w:rPr>
          <w:rFonts w:eastAsia="Times New Roman" w:cs="Times New Roman"/>
          <w:color w:val="000000"/>
          <w:szCs w:val="20"/>
          <w:lang w:eastAsia="en-AU"/>
        </w:rPr>
        <w:t xml:space="preserve">ESC noted that the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 xml:space="preserve">Lu-DOTA-octreotate product is exempt from ARTG entry. </w:t>
      </w:r>
      <w:r>
        <w:rPr>
          <w:rFonts w:eastAsia="Times New Roman" w:cs="Times New Roman"/>
          <w:color w:val="000000"/>
          <w:szCs w:val="20"/>
          <w:lang w:eastAsia="en-AU"/>
        </w:rPr>
        <w:t xml:space="preserve">ESC noted that the applicant’s proposed product </w:t>
      </w:r>
      <w:r w:rsidRPr="00D934CD">
        <w:rPr>
          <w:rFonts w:eastAsia="Times New Roman" w:cs="Times New Roman"/>
          <w:color w:val="000000"/>
          <w:szCs w:val="20"/>
          <w:lang w:eastAsia="en-AU"/>
        </w:rPr>
        <w:t xml:space="preserve">is produced by a TGA-licensed manufacturer following </w:t>
      </w:r>
      <w:r>
        <w:rPr>
          <w:rFonts w:eastAsia="Times New Roman" w:cs="Times New Roman"/>
          <w:color w:val="000000"/>
          <w:szCs w:val="20"/>
          <w:lang w:eastAsia="en-AU"/>
        </w:rPr>
        <w:t>G</w:t>
      </w:r>
      <w:r w:rsidRPr="00D934CD">
        <w:rPr>
          <w:rFonts w:eastAsia="Times New Roman" w:cs="Times New Roman"/>
          <w:color w:val="000000"/>
          <w:szCs w:val="20"/>
          <w:lang w:eastAsia="en-AU"/>
        </w:rPr>
        <w:t xml:space="preserve">ood </w:t>
      </w:r>
      <w:r>
        <w:rPr>
          <w:rFonts w:eastAsia="Times New Roman" w:cs="Times New Roman"/>
          <w:color w:val="000000"/>
          <w:szCs w:val="20"/>
          <w:lang w:eastAsia="en-AU"/>
        </w:rPr>
        <w:t>M</w:t>
      </w:r>
      <w:r w:rsidRPr="00D934CD">
        <w:rPr>
          <w:rFonts w:eastAsia="Times New Roman" w:cs="Times New Roman"/>
          <w:color w:val="000000"/>
          <w:szCs w:val="20"/>
          <w:lang w:eastAsia="en-AU"/>
        </w:rPr>
        <w:t xml:space="preserve">anufacturing </w:t>
      </w:r>
      <w:r>
        <w:rPr>
          <w:rFonts w:eastAsia="Times New Roman" w:cs="Times New Roman"/>
          <w:color w:val="000000"/>
          <w:szCs w:val="20"/>
          <w:lang w:eastAsia="en-AU"/>
        </w:rPr>
        <w:t>P</w:t>
      </w:r>
      <w:r w:rsidRPr="00D934CD">
        <w:rPr>
          <w:rFonts w:eastAsia="Times New Roman" w:cs="Times New Roman"/>
          <w:color w:val="000000"/>
          <w:szCs w:val="20"/>
          <w:lang w:eastAsia="en-AU"/>
        </w:rPr>
        <w:t>ractice (GMP).</w:t>
      </w:r>
    </w:p>
    <w:p w14:paraId="65E4A593" w14:textId="77777777" w:rsidR="000B228E" w:rsidRPr="00D934CD" w:rsidRDefault="000B228E" w:rsidP="000B228E">
      <w:pPr>
        <w:spacing w:before="0" w:after="240" w:line="240" w:lineRule="auto"/>
        <w:rPr>
          <w:rFonts w:eastAsia="Times New Roman" w:cs="Times New Roman"/>
          <w:color w:val="000000"/>
          <w:szCs w:val="20"/>
          <w:lang w:eastAsia="en-AU"/>
        </w:rPr>
      </w:pPr>
      <w:r w:rsidRPr="00D934CD">
        <w:rPr>
          <w:rFonts w:eastAsia="Times New Roman" w:cs="Times New Roman"/>
          <w:color w:val="000000"/>
          <w:szCs w:val="20"/>
          <w:lang w:eastAsia="en-AU"/>
        </w:rPr>
        <w:t>ESC noted that the application and ratified PICO confirmation was restricted to the ‘no carrier added’ product</w:t>
      </w:r>
      <w:r>
        <w:rPr>
          <w:rFonts w:eastAsia="Times New Roman" w:cs="Times New Roman"/>
          <w:color w:val="000000"/>
          <w:szCs w:val="20"/>
          <w:lang w:eastAsia="en-AU"/>
        </w:rPr>
        <w:t xml:space="preserve">. </w:t>
      </w:r>
      <w:r w:rsidRPr="00BD5FCF">
        <w:rPr>
          <w:rFonts w:eastAsia="Times New Roman" w:cs="Times New Roman"/>
          <w:color w:val="000000"/>
          <w:szCs w:val="20"/>
          <w:lang w:eastAsia="en-AU"/>
        </w:rPr>
        <w:t xml:space="preserve">Other similar medical isotopes are ‘carrier-added’ including a commercial product called </w:t>
      </w:r>
      <w:proofErr w:type="spellStart"/>
      <w:r w:rsidRPr="00BD5FCF">
        <w:rPr>
          <w:rFonts w:eastAsia="Times New Roman" w:cs="Times New Roman"/>
          <w:color w:val="000000"/>
          <w:szCs w:val="20"/>
          <w:lang w:eastAsia="en-AU"/>
        </w:rPr>
        <w:t>Lutathera</w:t>
      </w:r>
      <w:proofErr w:type="spellEnd"/>
      <w:r w:rsidRPr="00BD5FCF">
        <w:rPr>
          <w:rFonts w:eastAsia="Times New Roman" w:cs="Times New Roman"/>
          <w:color w:val="000000"/>
          <w:szCs w:val="20"/>
          <w:lang w:eastAsia="en-AU"/>
        </w:rPr>
        <w:t xml:space="preserve">® </w:t>
      </w:r>
      <w:r>
        <w:rPr>
          <w:rFonts w:eastAsia="Times New Roman" w:cs="Times New Roman"/>
          <w:color w:val="000000"/>
          <w:szCs w:val="20"/>
          <w:lang w:eastAsia="en-AU"/>
        </w:rPr>
        <w:t xml:space="preserve">which is not currently </w:t>
      </w:r>
      <w:r w:rsidRPr="00BD5FCF">
        <w:rPr>
          <w:rFonts w:eastAsia="Times New Roman" w:cs="Times New Roman"/>
          <w:color w:val="000000"/>
          <w:szCs w:val="20"/>
          <w:lang w:eastAsia="en-AU"/>
        </w:rPr>
        <w:t xml:space="preserve">registered </w:t>
      </w:r>
      <w:r>
        <w:rPr>
          <w:rFonts w:eastAsia="Times New Roman" w:cs="Times New Roman"/>
          <w:color w:val="000000"/>
          <w:szCs w:val="20"/>
          <w:lang w:eastAsia="en-AU"/>
        </w:rPr>
        <w:t xml:space="preserve">in Australia. ESC noted that the applicant advised that </w:t>
      </w:r>
      <w:r w:rsidRPr="00994611">
        <w:rPr>
          <w:rFonts w:eastAsia="Times New Roman" w:cs="Times New Roman"/>
          <w:color w:val="000000"/>
          <w:szCs w:val="20"/>
          <w:vertAlign w:val="superscript"/>
          <w:lang w:eastAsia="en-AU"/>
        </w:rPr>
        <w:t>177</w:t>
      </w:r>
      <w:r w:rsidRPr="008A48E5">
        <w:rPr>
          <w:rFonts w:eastAsia="Times New Roman" w:cs="Times New Roman"/>
          <w:color w:val="000000"/>
          <w:szCs w:val="20"/>
          <w:lang w:eastAsia="en-AU"/>
        </w:rPr>
        <w:t>Lu(</w:t>
      </w:r>
      <w:proofErr w:type="spellStart"/>
      <w:r w:rsidRPr="008A48E5">
        <w:rPr>
          <w:rFonts w:eastAsia="Times New Roman" w:cs="Times New Roman"/>
          <w:color w:val="000000"/>
          <w:szCs w:val="20"/>
          <w:lang w:eastAsia="en-AU"/>
        </w:rPr>
        <w:t>nca</w:t>
      </w:r>
      <w:proofErr w:type="spellEnd"/>
      <w:r w:rsidRPr="008A48E5">
        <w:rPr>
          <w:rFonts w:eastAsia="Times New Roman" w:cs="Times New Roman"/>
          <w:color w:val="000000"/>
          <w:szCs w:val="20"/>
          <w:lang w:eastAsia="en-AU"/>
        </w:rPr>
        <w:t>)-DOTA-</w:t>
      </w:r>
      <w:proofErr w:type="spellStart"/>
      <w:r w:rsidRPr="008A48E5">
        <w:rPr>
          <w:rFonts w:eastAsia="Times New Roman" w:cs="Times New Roman"/>
          <w:color w:val="000000"/>
          <w:szCs w:val="20"/>
          <w:lang w:eastAsia="en-AU"/>
        </w:rPr>
        <w:t>octreotate</w:t>
      </w:r>
      <w:proofErr w:type="spellEnd"/>
      <w:r w:rsidRPr="008A48E5">
        <w:rPr>
          <w:rFonts w:eastAsia="Times New Roman" w:cs="Times New Roman"/>
          <w:color w:val="000000"/>
          <w:szCs w:val="20"/>
          <w:lang w:eastAsia="en-AU"/>
        </w:rPr>
        <w:t xml:space="preserve"> is recommended in Europe and USA due to environmental considerations</w:t>
      </w:r>
      <w:r>
        <w:rPr>
          <w:rFonts w:eastAsia="Times New Roman" w:cs="Times New Roman"/>
          <w:color w:val="000000"/>
          <w:szCs w:val="20"/>
          <w:lang w:eastAsia="en-AU"/>
        </w:rPr>
        <w:t xml:space="preserve"> </w:t>
      </w:r>
      <w:r w:rsidRPr="006A1872">
        <w:rPr>
          <w:rFonts w:eastAsia="Times New Roman" w:cs="Times New Roman"/>
          <w:color w:val="000000"/>
          <w:szCs w:val="20"/>
          <w:lang w:eastAsia="en-AU"/>
        </w:rPr>
        <w:t xml:space="preserve">because the “ca” product contains </w:t>
      </w:r>
      <w:r w:rsidRPr="00994611">
        <w:rPr>
          <w:rFonts w:eastAsia="Times New Roman" w:cs="Times New Roman"/>
          <w:color w:val="000000"/>
          <w:szCs w:val="20"/>
          <w:vertAlign w:val="superscript"/>
          <w:lang w:eastAsia="en-AU"/>
        </w:rPr>
        <w:t>177m</w:t>
      </w:r>
      <w:r w:rsidRPr="006A1872">
        <w:rPr>
          <w:rFonts w:eastAsia="Times New Roman" w:cs="Times New Roman"/>
          <w:color w:val="000000"/>
          <w:szCs w:val="20"/>
          <w:lang w:eastAsia="en-AU"/>
        </w:rPr>
        <w:t xml:space="preserve">Lu, with a half-life of 160 days, whereas </w:t>
      </w:r>
      <w:proofErr w:type="spellStart"/>
      <w:r w:rsidRPr="006A1872">
        <w:rPr>
          <w:rFonts w:eastAsia="Times New Roman" w:cs="Times New Roman"/>
          <w:color w:val="000000"/>
          <w:szCs w:val="20"/>
          <w:lang w:eastAsia="en-AU"/>
        </w:rPr>
        <w:t>nca</w:t>
      </w:r>
      <w:proofErr w:type="spellEnd"/>
      <w:r w:rsidRPr="006A1872">
        <w:rPr>
          <w:rFonts w:eastAsia="Times New Roman" w:cs="Times New Roman"/>
          <w:color w:val="000000"/>
          <w:szCs w:val="20"/>
          <w:lang w:eastAsia="en-AU"/>
        </w:rPr>
        <w:t xml:space="preserve"> </w:t>
      </w:r>
      <w:r w:rsidRPr="00994611">
        <w:rPr>
          <w:rFonts w:eastAsia="Times New Roman" w:cs="Times New Roman"/>
          <w:color w:val="000000"/>
          <w:szCs w:val="20"/>
          <w:vertAlign w:val="superscript"/>
          <w:lang w:eastAsia="en-AU"/>
        </w:rPr>
        <w:t>177</w:t>
      </w:r>
      <w:r w:rsidRPr="006A1872">
        <w:rPr>
          <w:rFonts w:eastAsia="Times New Roman" w:cs="Times New Roman"/>
          <w:color w:val="000000"/>
          <w:szCs w:val="20"/>
          <w:lang w:eastAsia="en-AU"/>
        </w:rPr>
        <w:t>Lu does not</w:t>
      </w:r>
      <w:r>
        <w:rPr>
          <w:rFonts w:eastAsia="Times New Roman" w:cs="Times New Roman"/>
          <w:color w:val="000000"/>
          <w:szCs w:val="20"/>
          <w:lang w:eastAsia="en-AU"/>
        </w:rPr>
        <w:t xml:space="preserve">, which may have implications for radioactive waste storage and disposal. </w:t>
      </w:r>
      <w:r w:rsidRPr="00D934CD">
        <w:rPr>
          <w:rFonts w:eastAsia="Times New Roman" w:cs="Times New Roman"/>
          <w:color w:val="000000"/>
          <w:szCs w:val="20"/>
          <w:lang w:eastAsia="en-AU"/>
        </w:rPr>
        <w:t>ESC noted</w:t>
      </w:r>
      <w:r>
        <w:rPr>
          <w:rFonts w:eastAsia="Times New Roman" w:cs="Times New Roman"/>
          <w:color w:val="000000"/>
          <w:szCs w:val="20"/>
          <w:lang w:eastAsia="en-AU"/>
        </w:rPr>
        <w:t xml:space="preserve"> </w:t>
      </w:r>
      <w:r w:rsidRPr="00D934CD">
        <w:rPr>
          <w:rFonts w:eastAsia="Times New Roman" w:cs="Times New Roman"/>
          <w:color w:val="000000"/>
          <w:szCs w:val="20"/>
          <w:lang w:eastAsia="en-AU"/>
        </w:rPr>
        <w:t xml:space="preserve">in line with PASC considerations, the intervention described in the </w:t>
      </w:r>
      <w:r>
        <w:rPr>
          <w:rFonts w:eastAsia="Times New Roman" w:cs="Times New Roman"/>
          <w:color w:val="000000"/>
          <w:szCs w:val="20"/>
          <w:lang w:eastAsia="en-AU"/>
        </w:rPr>
        <w:t xml:space="preserve">department contracted </w:t>
      </w:r>
      <w:r w:rsidRPr="00D934CD">
        <w:rPr>
          <w:rFonts w:eastAsia="Times New Roman" w:cs="Times New Roman"/>
          <w:color w:val="000000"/>
          <w:szCs w:val="20"/>
          <w:lang w:eastAsia="en-AU"/>
        </w:rPr>
        <w:t>assessment report</w:t>
      </w:r>
      <w:r>
        <w:rPr>
          <w:rFonts w:eastAsia="Times New Roman" w:cs="Times New Roman"/>
          <w:color w:val="000000"/>
          <w:szCs w:val="20"/>
          <w:lang w:eastAsia="en-AU"/>
        </w:rPr>
        <w:t xml:space="preserve"> (DCAR)</w:t>
      </w:r>
      <w:r w:rsidRPr="00D934CD">
        <w:rPr>
          <w:rFonts w:eastAsia="Times New Roman" w:cs="Times New Roman"/>
          <w:color w:val="000000"/>
          <w:szCs w:val="20"/>
          <w:lang w:eastAsia="en-AU"/>
        </w:rPr>
        <w:t xml:space="preserve"> refers to the more generic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w:t>
      </w:r>
    </w:p>
    <w:p w14:paraId="0FB0DA43" w14:textId="77777777" w:rsidR="000B228E" w:rsidRDefault="000B228E" w:rsidP="000B228E">
      <w:pPr>
        <w:shd w:val="clear" w:color="auto" w:fill="FFFFFF"/>
        <w:spacing w:before="0" w:after="240" w:line="240" w:lineRule="auto"/>
        <w:rPr>
          <w:rFonts w:eastAsia="Times New Roman" w:cs="Times New Roman"/>
          <w:color w:val="000000"/>
          <w:szCs w:val="24"/>
          <w:lang w:eastAsia="en-AU"/>
        </w:rPr>
      </w:pPr>
      <w:r w:rsidRPr="005623E4">
        <w:rPr>
          <w:rFonts w:cs="Calibri"/>
        </w:rPr>
        <w:t xml:space="preserve">ESC noted and welcomed consultation input from </w:t>
      </w:r>
      <w:r>
        <w:rPr>
          <w:rFonts w:cs="Calibri"/>
        </w:rPr>
        <w:t>eight (8)</w:t>
      </w:r>
      <w:r w:rsidRPr="005623E4">
        <w:rPr>
          <w:rFonts w:cs="Calibri"/>
        </w:rPr>
        <w:t xml:space="preserve"> professional organisations, </w:t>
      </w:r>
      <w:r>
        <w:rPr>
          <w:rFonts w:cs="Calibri"/>
        </w:rPr>
        <w:t>and one (1)</w:t>
      </w:r>
      <w:r w:rsidRPr="005623E4">
        <w:rPr>
          <w:rFonts w:cs="Calibri"/>
        </w:rPr>
        <w:t xml:space="preserve"> consumer organisation</w:t>
      </w:r>
      <w:r>
        <w:rPr>
          <w:rFonts w:cs="Calibri"/>
        </w:rPr>
        <w:t xml:space="preserve">. </w:t>
      </w:r>
      <w:r w:rsidRPr="00D934CD">
        <w:rPr>
          <w:rFonts w:eastAsia="Times New Roman" w:cs="Times New Roman"/>
          <w:color w:val="000000"/>
          <w:szCs w:val="20"/>
          <w:lang w:eastAsia="en-AU"/>
        </w:rPr>
        <w:t xml:space="preserve">ESC noted the consumer feedback that there is a strong clinical need for this therapy because the condition is rare and </w:t>
      </w:r>
      <w:r>
        <w:rPr>
          <w:rFonts w:eastAsia="Times New Roman" w:cs="Times New Roman"/>
          <w:color w:val="000000"/>
          <w:szCs w:val="20"/>
          <w:lang w:eastAsia="en-AU"/>
        </w:rPr>
        <w:t xml:space="preserve">often </w:t>
      </w:r>
      <w:r w:rsidRPr="00D934CD">
        <w:rPr>
          <w:rFonts w:eastAsia="Times New Roman" w:cs="Times New Roman"/>
          <w:color w:val="000000"/>
          <w:szCs w:val="20"/>
          <w:lang w:eastAsia="en-AU"/>
        </w:rPr>
        <w:t>diagnosed</w:t>
      </w:r>
      <w:r>
        <w:rPr>
          <w:rFonts w:eastAsia="Times New Roman" w:cs="Times New Roman"/>
          <w:color w:val="000000"/>
          <w:szCs w:val="20"/>
          <w:lang w:eastAsia="en-AU"/>
        </w:rPr>
        <w:t xml:space="preserve"> late</w:t>
      </w:r>
      <w:r w:rsidRPr="00D934CD">
        <w:rPr>
          <w:rFonts w:eastAsia="Times New Roman" w:cs="Times New Roman"/>
          <w:color w:val="000000"/>
          <w:szCs w:val="20"/>
          <w:lang w:eastAsia="en-AU"/>
        </w:rPr>
        <w:t xml:space="preserve">. ESC also noted that although this therapy is novel to the MBS, it has been successfully conducted in Australia for the past 10 years and is currently funded through the Department of Veterans' Affairs (DVA) on a case-by-case basis. </w:t>
      </w:r>
      <w:r w:rsidRPr="00D934CD">
        <w:rPr>
          <w:rFonts w:eastAsia="Times New Roman" w:cs="Times New Roman"/>
          <w:color w:val="000000"/>
          <w:szCs w:val="24"/>
          <w:lang w:eastAsia="en-AU"/>
        </w:rPr>
        <w:t xml:space="preserve">ESC noted that access to PET services is limited based on the location of PET machines. </w:t>
      </w:r>
      <w:r>
        <w:rPr>
          <w:rFonts w:eastAsia="Times New Roman" w:cs="Times New Roman"/>
          <w:color w:val="000000"/>
          <w:szCs w:val="24"/>
          <w:lang w:eastAsia="en-AU"/>
        </w:rPr>
        <w:t xml:space="preserve">ESC noted that </w:t>
      </w:r>
      <w:r w:rsidRPr="00D934CD">
        <w:rPr>
          <w:rFonts w:eastAsia="Times New Roman" w:cs="Times New Roman"/>
          <w:color w:val="000000"/>
          <w:szCs w:val="24"/>
          <w:lang w:eastAsia="en-AU"/>
        </w:rPr>
        <w:t>all states and territories of Australia</w:t>
      </w:r>
      <w:r>
        <w:rPr>
          <w:rFonts w:eastAsia="Times New Roman" w:cs="Times New Roman"/>
          <w:color w:val="000000"/>
          <w:szCs w:val="24"/>
          <w:lang w:eastAsia="en-AU"/>
        </w:rPr>
        <w:t xml:space="preserve"> (</w:t>
      </w:r>
      <w:r w:rsidRPr="00D934CD">
        <w:rPr>
          <w:rFonts w:eastAsia="Times New Roman" w:cs="Times New Roman"/>
          <w:color w:val="000000"/>
          <w:szCs w:val="24"/>
          <w:lang w:eastAsia="en-AU"/>
        </w:rPr>
        <w:t>except for the Northern Territory</w:t>
      </w:r>
      <w:r>
        <w:rPr>
          <w:rFonts w:eastAsia="Times New Roman" w:cs="Times New Roman"/>
          <w:color w:val="000000"/>
          <w:szCs w:val="24"/>
          <w:lang w:eastAsia="en-AU"/>
        </w:rPr>
        <w:t>) can provide PRRT to patients with NENs, although these centres</w:t>
      </w:r>
      <w:r w:rsidRPr="00D934CD">
        <w:rPr>
          <w:rFonts w:eastAsia="Times New Roman" w:cs="Times New Roman"/>
          <w:color w:val="000000"/>
          <w:szCs w:val="24"/>
          <w:lang w:eastAsia="en-AU"/>
        </w:rPr>
        <w:t xml:space="preserve"> </w:t>
      </w:r>
      <w:r>
        <w:rPr>
          <w:rFonts w:eastAsia="Times New Roman" w:cs="Times New Roman"/>
          <w:color w:val="000000"/>
          <w:szCs w:val="24"/>
          <w:lang w:eastAsia="en-AU"/>
        </w:rPr>
        <w:t>are limited</w:t>
      </w:r>
      <w:r w:rsidRPr="00D934CD">
        <w:rPr>
          <w:rFonts w:eastAsia="Times New Roman" w:cs="Times New Roman"/>
          <w:color w:val="000000"/>
          <w:szCs w:val="24"/>
          <w:lang w:eastAsia="en-AU"/>
        </w:rPr>
        <w:t>.</w:t>
      </w:r>
      <w:r>
        <w:rPr>
          <w:rFonts w:eastAsia="Times New Roman" w:cs="Times New Roman"/>
          <w:color w:val="000000"/>
          <w:szCs w:val="24"/>
          <w:lang w:eastAsia="en-AU"/>
        </w:rPr>
        <w:t xml:space="preserve"> Most, if not all PRRT is administered in public hospitals.</w:t>
      </w:r>
      <w:r w:rsidRPr="00D934CD">
        <w:rPr>
          <w:rFonts w:eastAsia="Times New Roman" w:cs="Times New Roman"/>
          <w:color w:val="000000"/>
          <w:szCs w:val="24"/>
          <w:lang w:eastAsia="en-AU"/>
        </w:rPr>
        <w:t xml:space="preserve"> ESC also noted the clinical expert feedback that both no carrier </w:t>
      </w:r>
      <w:proofErr w:type="gramStart"/>
      <w:r w:rsidRPr="00D934CD">
        <w:rPr>
          <w:rFonts w:eastAsia="Times New Roman" w:cs="Times New Roman"/>
          <w:color w:val="000000"/>
          <w:szCs w:val="24"/>
          <w:lang w:eastAsia="en-AU"/>
        </w:rPr>
        <w:t>added</w:t>
      </w:r>
      <w:proofErr w:type="gramEnd"/>
      <w:r w:rsidRPr="00D934CD">
        <w:rPr>
          <w:rFonts w:eastAsia="Times New Roman" w:cs="Times New Roman"/>
          <w:color w:val="000000"/>
          <w:szCs w:val="24"/>
          <w:lang w:eastAsia="en-AU"/>
        </w:rPr>
        <w:t xml:space="preserve"> and carrier added </w:t>
      </w:r>
      <w:r>
        <w:rPr>
          <w:rFonts w:eastAsia="Times New Roman" w:cs="Times New Roman"/>
          <w:color w:val="000000"/>
          <w:szCs w:val="24"/>
          <w:lang w:eastAsia="en-AU"/>
        </w:rPr>
        <w:t xml:space="preserve">treatment </w:t>
      </w:r>
      <w:r w:rsidRPr="00D934CD">
        <w:rPr>
          <w:rFonts w:eastAsia="Times New Roman" w:cs="Times New Roman"/>
          <w:color w:val="000000"/>
          <w:szCs w:val="24"/>
          <w:lang w:eastAsia="en-AU"/>
        </w:rPr>
        <w:t>options are currently being used and that having both options subsidised would enable clinicians to manage radiopharmaceutical shortages.</w:t>
      </w:r>
    </w:p>
    <w:p w14:paraId="0EB1F85C" w14:textId="77777777" w:rsidR="000B228E" w:rsidRPr="00D934CD" w:rsidRDefault="000B228E" w:rsidP="000B228E">
      <w:pPr>
        <w:shd w:val="clear" w:color="auto" w:fill="FFFFFF"/>
        <w:spacing w:before="0" w:after="240" w:line="240" w:lineRule="auto"/>
        <w:rPr>
          <w:rFonts w:eastAsia="Times New Roman" w:cs="Times New Roman"/>
          <w:color w:val="000000"/>
          <w:szCs w:val="24"/>
          <w:lang w:eastAsia="en-AU"/>
        </w:rPr>
      </w:pPr>
      <w:r>
        <w:rPr>
          <w:rFonts w:eastAsia="Times New Roman" w:cs="Times New Roman"/>
          <w:color w:val="000000"/>
          <w:szCs w:val="24"/>
          <w:lang w:eastAsia="en-AU"/>
        </w:rPr>
        <w:t xml:space="preserve">ESC noted that the proposed population is patients </w:t>
      </w:r>
      <w:r w:rsidRPr="007153AB">
        <w:rPr>
          <w:rFonts w:eastAsia="Times New Roman" w:cs="Times New Roman"/>
          <w:color w:val="000000"/>
          <w:szCs w:val="24"/>
          <w:lang w:eastAsia="en-AU"/>
        </w:rPr>
        <w:t>with histologically confirmed, locally advanced or metastatic, inoperable NENs with documented disease progression or uncontrolled NEN-related symptoms despite standard therapy, who have suspected H-SSTR expression.</w:t>
      </w:r>
      <w:r>
        <w:rPr>
          <w:rFonts w:eastAsia="Times New Roman" w:cs="Times New Roman"/>
          <w:color w:val="000000"/>
          <w:szCs w:val="24"/>
          <w:lang w:eastAsia="en-AU"/>
        </w:rPr>
        <w:t xml:space="preserve"> ESC noted that </w:t>
      </w:r>
      <w:r w:rsidRPr="006F2A6B">
        <w:rPr>
          <w:rFonts w:eastAsia="Times New Roman" w:cs="Times New Roman"/>
          <w:color w:val="000000"/>
          <w:szCs w:val="24"/>
          <w:lang w:eastAsia="en-AU"/>
        </w:rPr>
        <w:t>NENs are highly heterogeneous cancers and that patients are managed by a multidisciplinary team</w:t>
      </w:r>
      <w:r>
        <w:rPr>
          <w:rFonts w:eastAsia="Times New Roman" w:cs="Times New Roman"/>
          <w:color w:val="000000"/>
          <w:szCs w:val="24"/>
          <w:lang w:eastAsia="en-AU"/>
        </w:rPr>
        <w:t xml:space="preserve"> due to the complexity and rarity of individual cases. ESC noted that due to complexities in patient management, the PICO proposed pancreatic NETs and midgut NETs as exemplars.</w:t>
      </w:r>
      <w:r w:rsidRPr="006F2A6B">
        <w:rPr>
          <w:rFonts w:eastAsia="Times New Roman" w:cs="Times New Roman"/>
          <w:color w:val="000000"/>
          <w:szCs w:val="24"/>
          <w:lang w:eastAsia="en-AU"/>
        </w:rPr>
        <w:t xml:space="preserve"> </w:t>
      </w:r>
      <w:r>
        <w:rPr>
          <w:rFonts w:eastAsia="Times New Roman" w:cs="Times New Roman"/>
          <w:color w:val="000000"/>
          <w:szCs w:val="24"/>
          <w:lang w:eastAsia="en-AU"/>
        </w:rPr>
        <w:t>ESC acknowledged the high clinical need of this population.</w:t>
      </w:r>
    </w:p>
    <w:p w14:paraId="5C91A7DA" w14:textId="77777777" w:rsidR="000B228E" w:rsidRDefault="000B228E" w:rsidP="000B228E">
      <w:pPr>
        <w:spacing w:before="0" w:after="240"/>
        <w:rPr>
          <w:rFonts w:eastAsia="Times New Roman" w:cs="Times New Roman"/>
          <w:color w:val="000000"/>
          <w:szCs w:val="20"/>
          <w:lang w:eastAsia="en-AU"/>
        </w:rPr>
      </w:pPr>
      <w:r w:rsidRPr="00235B06">
        <w:rPr>
          <w:color w:val="000000" w:themeColor="text1"/>
        </w:rPr>
        <w:t>ESC noted that there were multiple comparators nominated in the ratified PICO, namely long-acting somatostatin analogues (SSA) comprising octreotide depot and lanreotide; targeted therapies – everolimus and sunitinib; chemotherapy and best supportive care (BSC). Adding to the assessment report’s complexity of multiple comparators, patients with advanced disease, due to their poor prognosis, are typically cycled through multiple treatments.</w:t>
      </w:r>
      <w:r w:rsidRPr="00235B06">
        <w:rPr>
          <w:color w:val="000000" w:themeColor="text1"/>
          <w:vertAlign w:val="superscript"/>
        </w:rPr>
        <w:t>177</w:t>
      </w:r>
      <w:r w:rsidRPr="00235B06">
        <w:rPr>
          <w:color w:val="000000" w:themeColor="text1"/>
        </w:rPr>
        <w:t xml:space="preserve">Lu-DOTA-octreotate </w:t>
      </w:r>
      <w:r w:rsidRPr="00235B06">
        <w:rPr>
          <w:color w:val="000000" w:themeColor="text1"/>
          <w:lang w:val="en-US"/>
        </w:rPr>
        <w:t xml:space="preserve">is not intended to replace chemotherapy and is often administered concurrently to chemotherapy. Similarly, SSAs are not replaced by </w:t>
      </w:r>
      <w:r w:rsidRPr="00235B06">
        <w:rPr>
          <w:color w:val="000000" w:themeColor="text1"/>
          <w:vertAlign w:val="superscript"/>
        </w:rPr>
        <w:t>177</w:t>
      </w:r>
      <w:r w:rsidRPr="00235B06">
        <w:rPr>
          <w:color w:val="000000" w:themeColor="text1"/>
        </w:rPr>
        <w:t xml:space="preserve">Lu-DOTA-octreotate but continued alongside it. ESC noted that consistent with PASC, the DCAR considered BSC the most relevant </w:t>
      </w:r>
      <w:r w:rsidRPr="00235B06">
        <w:rPr>
          <w:color w:val="000000" w:themeColor="text1"/>
        </w:rPr>
        <w:lastRenderedPageBreak/>
        <w:t xml:space="preserve">comparator as </w:t>
      </w:r>
      <w:r w:rsidRPr="00235B06">
        <w:rPr>
          <w:color w:val="000000" w:themeColor="text1"/>
          <w:vertAlign w:val="superscript"/>
        </w:rPr>
        <w:t>177</w:t>
      </w:r>
      <w:r w:rsidRPr="00235B06">
        <w:rPr>
          <w:color w:val="000000" w:themeColor="text1"/>
        </w:rPr>
        <w:t>Lu-DOTA-octreotate is proposed as an add-on therapy rather than a replacement for comparator management strategies.</w:t>
      </w:r>
    </w:p>
    <w:p w14:paraId="5AE14C81" w14:textId="77777777" w:rsidR="000B228E" w:rsidRDefault="000B228E" w:rsidP="000B228E">
      <w:pPr>
        <w:spacing w:before="0" w:after="240" w:line="240" w:lineRule="auto"/>
        <w:rPr>
          <w:rFonts w:eastAsia="Times New Roman" w:cs="Times New Roman"/>
          <w:color w:val="000000"/>
          <w:szCs w:val="20"/>
          <w:lang w:eastAsia="en-AU"/>
        </w:rPr>
      </w:pPr>
      <w:r w:rsidRPr="00D934CD">
        <w:rPr>
          <w:rFonts w:eastAsia="Times New Roman" w:cs="Times New Roman"/>
          <w:color w:val="000000"/>
          <w:szCs w:val="20"/>
          <w:lang w:eastAsia="en-AU"/>
        </w:rPr>
        <w:t>ESC noted that the department-contracted assessment report (DCAR) included the European Society of Medical Oncology guideline</w:t>
      </w:r>
      <w:r>
        <w:rPr>
          <w:rStyle w:val="FootnoteReference"/>
          <w:rFonts w:eastAsia="Times New Roman" w:cs="Times New Roman"/>
          <w:color w:val="000000"/>
          <w:szCs w:val="20"/>
          <w:lang w:eastAsia="en-AU"/>
        </w:rPr>
        <w:footnoteReference w:id="33"/>
      </w:r>
      <w:r w:rsidRPr="00D934CD">
        <w:rPr>
          <w:rFonts w:eastAsia="Times New Roman" w:cs="Times New Roman"/>
          <w:color w:val="000000"/>
          <w:szCs w:val="20"/>
          <w:lang w:eastAsia="en-AU"/>
        </w:rPr>
        <w:t xml:space="preserve"> for treatment, which illustrates the complexity of treatment and that PRRT may be used in different lines of treatment. ESC also noted the amended clinical management algorithm suggested by PASC, which highlights </w:t>
      </w:r>
      <w:r>
        <w:rPr>
          <w:rFonts w:eastAsia="Times New Roman" w:cs="Times New Roman"/>
          <w:color w:val="000000"/>
          <w:szCs w:val="20"/>
          <w:lang w:eastAsia="en-AU"/>
        </w:rPr>
        <w:t xml:space="preserve">the </w:t>
      </w:r>
      <w:r w:rsidRPr="00D934CD">
        <w:rPr>
          <w:rFonts w:eastAsia="Times New Roman" w:cs="Times New Roman"/>
          <w:color w:val="000000"/>
          <w:szCs w:val="20"/>
          <w:lang w:eastAsia="en-AU"/>
        </w:rPr>
        <w:t>thresholds for eligibility for PRRT</w:t>
      </w:r>
      <w:r>
        <w:rPr>
          <w:rFonts w:eastAsia="Times New Roman" w:cs="Times New Roman"/>
          <w:color w:val="000000"/>
          <w:szCs w:val="20"/>
          <w:lang w:eastAsia="en-AU"/>
        </w:rPr>
        <w:t xml:space="preserve"> Patients with</w:t>
      </w:r>
      <w:r w:rsidRPr="00D934CD">
        <w:rPr>
          <w:rFonts w:eastAsia="Times New Roman" w:cs="Times New Roman"/>
          <w:color w:val="000000"/>
          <w:szCs w:val="20"/>
          <w:lang w:eastAsia="en-AU"/>
        </w:rPr>
        <w:t xml:space="preserve"> a modified </w:t>
      </w:r>
      <w:proofErr w:type="spellStart"/>
      <w:r w:rsidRPr="00D934CD">
        <w:rPr>
          <w:rFonts w:eastAsia="Times New Roman" w:cs="Times New Roman"/>
          <w:color w:val="000000"/>
          <w:szCs w:val="20"/>
          <w:lang w:eastAsia="en-AU"/>
        </w:rPr>
        <w:t>Krenning</w:t>
      </w:r>
      <w:proofErr w:type="spellEnd"/>
      <w:r w:rsidRPr="00D934CD">
        <w:rPr>
          <w:rFonts w:eastAsia="Times New Roman" w:cs="Times New Roman"/>
          <w:color w:val="000000"/>
          <w:szCs w:val="20"/>
          <w:lang w:eastAsia="en-AU"/>
        </w:rPr>
        <w:t xml:space="preserve"> score of ≥3</w:t>
      </w:r>
      <w:r>
        <w:rPr>
          <w:rFonts w:eastAsia="Times New Roman" w:cs="Times New Roman"/>
          <w:color w:val="000000"/>
          <w:szCs w:val="20"/>
          <w:lang w:eastAsia="en-AU"/>
        </w:rPr>
        <w:t xml:space="preserve"> with slowly progressing grade 1 and grade 2 (Ki67 &lt;10%) NENs are eligible for PRRT. Patients with tumours with a modified </w:t>
      </w:r>
      <w:proofErr w:type="spellStart"/>
      <w:r>
        <w:rPr>
          <w:rFonts w:eastAsia="Times New Roman" w:cs="Times New Roman"/>
          <w:color w:val="000000"/>
          <w:szCs w:val="20"/>
          <w:lang w:eastAsia="en-AU"/>
        </w:rPr>
        <w:t>Krenning</w:t>
      </w:r>
      <w:proofErr w:type="spellEnd"/>
      <w:r>
        <w:rPr>
          <w:rFonts w:eastAsia="Times New Roman" w:cs="Times New Roman"/>
          <w:color w:val="000000"/>
          <w:szCs w:val="20"/>
          <w:lang w:eastAsia="en-AU"/>
        </w:rPr>
        <w:t xml:space="preserve"> score of </w:t>
      </w:r>
      <w:r w:rsidRPr="00D934CD">
        <w:rPr>
          <w:rFonts w:eastAsia="Times New Roman" w:cs="Times New Roman"/>
          <w:color w:val="000000"/>
          <w:szCs w:val="20"/>
          <w:lang w:eastAsia="en-AU"/>
        </w:rPr>
        <w:t>≥3</w:t>
      </w:r>
      <w:r>
        <w:rPr>
          <w:rFonts w:eastAsia="Times New Roman" w:cs="Times New Roman"/>
          <w:color w:val="000000"/>
          <w:szCs w:val="20"/>
          <w:lang w:eastAsia="en-AU"/>
        </w:rPr>
        <w:t xml:space="preserve"> who have a grade 2 NEN (Ki67 &gt;10%), grade 3 NEN (Ki67 ≤ 55%) or rapidly progressing grade 1 NEN will require further assessment with FDG PET/CT. Patients in the latter group with disease that shows low </w:t>
      </w:r>
      <w:r w:rsidRPr="00D934CD">
        <w:rPr>
          <w:rFonts w:eastAsia="Times New Roman" w:cs="Times New Roman"/>
          <w:color w:val="000000"/>
          <w:szCs w:val="20"/>
          <w:lang w:eastAsia="en-AU"/>
        </w:rPr>
        <w:t xml:space="preserve">FDG/SSRI discordance </w:t>
      </w:r>
      <w:r>
        <w:rPr>
          <w:rFonts w:eastAsia="Times New Roman" w:cs="Times New Roman"/>
          <w:color w:val="000000"/>
          <w:szCs w:val="20"/>
          <w:lang w:eastAsia="en-AU"/>
        </w:rPr>
        <w:t>(≤3</w:t>
      </w:r>
      <w:r w:rsidRPr="00D934CD">
        <w:rPr>
          <w:rFonts w:eastAsia="Times New Roman" w:cs="Times New Roman"/>
          <w:color w:val="000000"/>
          <w:szCs w:val="20"/>
          <w:lang w:eastAsia="en-AU"/>
        </w:rPr>
        <w:t xml:space="preserve"> lesions</w:t>
      </w:r>
      <w:r>
        <w:rPr>
          <w:rFonts w:eastAsia="Times New Roman" w:cs="Times New Roman"/>
          <w:color w:val="000000"/>
          <w:szCs w:val="20"/>
          <w:lang w:eastAsia="en-AU"/>
        </w:rPr>
        <w:t xml:space="preserve"> discordant) are eligible for PRRT</w:t>
      </w:r>
      <w:r w:rsidRPr="00D934CD">
        <w:rPr>
          <w:rFonts w:eastAsia="Times New Roman" w:cs="Times New Roman"/>
          <w:color w:val="000000"/>
          <w:szCs w:val="20"/>
          <w:lang w:eastAsia="en-AU"/>
        </w:rPr>
        <w:t xml:space="preserve">. However, ESC noted that these thresholds are for the purposes of the assessment report and that in clinical practice, </w:t>
      </w:r>
      <w:r>
        <w:rPr>
          <w:rFonts w:eastAsia="Times New Roman" w:cs="Times New Roman"/>
          <w:color w:val="000000"/>
          <w:szCs w:val="20"/>
          <w:lang w:eastAsia="en-AU"/>
        </w:rPr>
        <w:t xml:space="preserve">it has been proposed that </w:t>
      </w:r>
      <w:r w:rsidRPr="00D934CD">
        <w:rPr>
          <w:rFonts w:eastAsia="Times New Roman" w:cs="Times New Roman"/>
          <w:color w:val="000000"/>
          <w:szCs w:val="20"/>
          <w:lang w:eastAsia="en-AU"/>
        </w:rPr>
        <w:t xml:space="preserve">a multidisciplinary team </w:t>
      </w:r>
      <w:r>
        <w:rPr>
          <w:rFonts w:eastAsia="Times New Roman" w:cs="Times New Roman"/>
          <w:color w:val="000000"/>
          <w:szCs w:val="20"/>
          <w:lang w:eastAsia="en-AU"/>
        </w:rPr>
        <w:t>(MDT)</w:t>
      </w:r>
      <w:r w:rsidRPr="00D934CD">
        <w:rPr>
          <w:rFonts w:eastAsia="Times New Roman" w:cs="Times New Roman"/>
          <w:color w:val="000000"/>
          <w:szCs w:val="20"/>
          <w:lang w:eastAsia="en-AU"/>
        </w:rPr>
        <w:t xml:space="preserve"> will provide the guidance for individual patient management</w:t>
      </w:r>
      <w:r>
        <w:rPr>
          <w:rFonts w:eastAsia="Times New Roman" w:cs="Times New Roman"/>
          <w:color w:val="000000"/>
          <w:szCs w:val="20"/>
          <w:lang w:eastAsia="en-AU"/>
        </w:rPr>
        <w:t xml:space="preserve"> on a case-by-case basis</w:t>
      </w:r>
      <w:r w:rsidRPr="00D934CD">
        <w:rPr>
          <w:rFonts w:eastAsia="Times New Roman" w:cs="Times New Roman"/>
          <w:color w:val="000000"/>
          <w:szCs w:val="20"/>
          <w:lang w:eastAsia="en-AU"/>
        </w:rPr>
        <w:t>.</w:t>
      </w:r>
      <w:r>
        <w:rPr>
          <w:rFonts w:eastAsia="Times New Roman" w:cs="Times New Roman"/>
          <w:color w:val="000000"/>
          <w:szCs w:val="20"/>
          <w:lang w:eastAsia="en-AU"/>
        </w:rPr>
        <w:t xml:space="preserve"> ESC noted that this case-by-case approach is consistent with clinical guidelines and that a nuclear medicine specialist would likely to be the main specialist guiding </w:t>
      </w:r>
      <w:proofErr w:type="gramStart"/>
      <w:r>
        <w:rPr>
          <w:rFonts w:eastAsia="Times New Roman" w:cs="Times New Roman"/>
          <w:color w:val="000000"/>
          <w:szCs w:val="20"/>
          <w:lang w:eastAsia="en-AU"/>
        </w:rPr>
        <w:t>a</w:t>
      </w:r>
      <w:proofErr w:type="gramEnd"/>
      <w:r>
        <w:rPr>
          <w:rFonts w:eastAsia="Times New Roman" w:cs="Times New Roman"/>
          <w:color w:val="000000"/>
          <w:szCs w:val="20"/>
          <w:lang w:eastAsia="en-AU"/>
        </w:rPr>
        <w:t xml:space="preserve"> MDT. </w:t>
      </w:r>
      <w:r w:rsidRPr="00D934CD">
        <w:rPr>
          <w:rFonts w:eastAsia="Times New Roman" w:cs="Times New Roman"/>
          <w:color w:val="000000"/>
          <w:szCs w:val="20"/>
          <w:lang w:eastAsia="en-AU"/>
        </w:rPr>
        <w:t xml:space="preserve"> ESC noted that the algorithm does not include repeat </w:t>
      </w:r>
      <w:r w:rsidRPr="00D934CD">
        <w:rPr>
          <w:rFonts w:eastAsia="Calibri" w:cs="Times New Roman"/>
          <w:color w:val="000000"/>
          <w:szCs w:val="20"/>
          <w:vertAlign w:val="superscript"/>
        </w:rPr>
        <w:t>68</w:t>
      </w:r>
      <w:r w:rsidRPr="00D934CD">
        <w:rPr>
          <w:rFonts w:eastAsia="Calibri" w:cs="Times New Roman"/>
          <w:color w:val="000000"/>
          <w:szCs w:val="20"/>
        </w:rPr>
        <w:t xml:space="preserve">Ga-DOTA-octreotate PET/CT </w:t>
      </w:r>
      <w:r w:rsidRPr="00D934CD">
        <w:rPr>
          <w:rFonts w:eastAsia="Times New Roman" w:cs="Times New Roman"/>
          <w:color w:val="000000"/>
          <w:szCs w:val="20"/>
          <w:lang w:eastAsia="en-AU"/>
        </w:rPr>
        <w:t>imaging</w:t>
      </w:r>
      <w:r>
        <w:rPr>
          <w:rFonts w:eastAsia="Times New Roman" w:cs="Times New Roman"/>
          <w:color w:val="000000"/>
          <w:szCs w:val="20"/>
          <w:lang w:eastAsia="en-AU"/>
        </w:rPr>
        <w:t xml:space="preserve"> for monitoring </w:t>
      </w:r>
      <w:proofErr w:type="gramStart"/>
      <w:r>
        <w:rPr>
          <w:rFonts w:eastAsia="Times New Roman" w:cs="Times New Roman"/>
          <w:color w:val="000000"/>
          <w:szCs w:val="20"/>
          <w:lang w:eastAsia="en-AU"/>
        </w:rPr>
        <w:t>purposes</w:t>
      </w:r>
      <w:proofErr w:type="gramEnd"/>
      <w:r w:rsidRPr="00D934CD">
        <w:rPr>
          <w:rFonts w:eastAsia="Times New Roman" w:cs="Times New Roman"/>
          <w:color w:val="000000"/>
          <w:szCs w:val="20"/>
          <w:lang w:eastAsia="en-AU"/>
        </w:rPr>
        <w:t xml:space="preserve"> but th</w:t>
      </w:r>
      <w:r>
        <w:rPr>
          <w:rFonts w:eastAsia="Times New Roman" w:cs="Times New Roman"/>
          <w:color w:val="000000"/>
          <w:szCs w:val="20"/>
          <w:lang w:eastAsia="en-AU"/>
        </w:rPr>
        <w:t>is</w:t>
      </w:r>
      <w:r w:rsidRPr="00D934CD">
        <w:rPr>
          <w:rFonts w:eastAsia="Times New Roman" w:cs="Times New Roman"/>
          <w:color w:val="000000"/>
          <w:szCs w:val="20"/>
          <w:lang w:eastAsia="en-AU"/>
        </w:rPr>
        <w:t xml:space="preserve"> should</w:t>
      </w:r>
      <w:r>
        <w:rPr>
          <w:rFonts w:eastAsia="Times New Roman" w:cs="Times New Roman"/>
          <w:color w:val="000000"/>
          <w:szCs w:val="20"/>
          <w:lang w:eastAsia="en-AU"/>
        </w:rPr>
        <w:t xml:space="preserve"> have been included</w:t>
      </w:r>
      <w:r w:rsidRPr="00D934CD">
        <w:rPr>
          <w:rFonts w:eastAsia="Times New Roman" w:cs="Times New Roman"/>
          <w:color w:val="000000"/>
          <w:szCs w:val="20"/>
          <w:lang w:eastAsia="en-AU"/>
        </w:rPr>
        <w:t>.</w:t>
      </w:r>
    </w:p>
    <w:p w14:paraId="1040E9CD" w14:textId="77777777"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a new MBS listing for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was proposed in the DCAR, based on a r</w:t>
      </w:r>
      <w:r w:rsidRPr="00991F23">
        <w:rPr>
          <w:rFonts w:eastAsia="Times New Roman" w:cs="Times New Roman"/>
          <w:color w:val="000000"/>
          <w:szCs w:val="20"/>
          <w:lang w:eastAsia="en-AU"/>
        </w:rPr>
        <w:t>evision of current</w:t>
      </w:r>
      <w:r>
        <w:rPr>
          <w:rFonts w:eastAsia="Times New Roman" w:cs="Times New Roman"/>
          <w:color w:val="000000"/>
          <w:szCs w:val="20"/>
          <w:lang w:eastAsia="en-AU"/>
        </w:rPr>
        <w:t xml:space="preserve"> MBS item</w:t>
      </w:r>
      <w:r w:rsidRPr="00991F23">
        <w:rPr>
          <w:rFonts w:eastAsia="Times New Roman" w:cs="Times New Roman"/>
          <w:color w:val="000000"/>
          <w:szCs w:val="20"/>
          <w:lang w:eastAsia="en-AU"/>
        </w:rPr>
        <w:t xml:space="preserve"> 61647 which is an initial gallium study for diagnosis and for determining surgical therapy</w:t>
      </w:r>
      <w:r>
        <w:rPr>
          <w:rFonts w:eastAsia="Times New Roman" w:cs="Times New Roman"/>
          <w:color w:val="000000"/>
          <w:szCs w:val="20"/>
          <w:lang w:eastAsia="en-AU"/>
        </w:rPr>
        <w:t xml:space="preserve"> and includes the </w:t>
      </w:r>
      <w:r w:rsidRPr="00991F23">
        <w:rPr>
          <w:rFonts w:eastAsia="Times New Roman" w:cs="Times New Roman"/>
          <w:color w:val="000000"/>
          <w:szCs w:val="20"/>
          <w:lang w:eastAsia="en-AU"/>
        </w:rPr>
        <w:t>same fee</w:t>
      </w:r>
      <w:r>
        <w:rPr>
          <w:rFonts w:eastAsia="Times New Roman" w:cs="Times New Roman"/>
          <w:color w:val="000000"/>
          <w:szCs w:val="20"/>
          <w:lang w:eastAsia="en-AU"/>
        </w:rPr>
        <w:t xml:space="preserve">. The new listing was proposed for imaging </w:t>
      </w:r>
      <w:r w:rsidRPr="00B965E6">
        <w:rPr>
          <w:rFonts w:eastAsia="Times New Roman" w:cs="Times New Roman"/>
          <w:color w:val="000000"/>
          <w:szCs w:val="20"/>
          <w:lang w:eastAsia="en-AU"/>
        </w:rPr>
        <w:t xml:space="preserve">pre therapy </w:t>
      </w:r>
      <w:r>
        <w:rPr>
          <w:rFonts w:eastAsia="Times New Roman" w:cs="Times New Roman"/>
          <w:color w:val="000000"/>
          <w:szCs w:val="20"/>
          <w:lang w:eastAsia="en-AU"/>
        </w:rPr>
        <w:t>through evaluation of somatostatin analogue (SSA) avidity of NEN</w:t>
      </w:r>
      <w:r w:rsidRPr="00B965E6">
        <w:rPr>
          <w:rFonts w:eastAsia="Times New Roman" w:cs="Times New Roman"/>
          <w:color w:val="000000"/>
          <w:szCs w:val="20"/>
          <w:lang w:eastAsia="en-AU"/>
        </w:rPr>
        <w:t xml:space="preserve"> </w:t>
      </w:r>
      <w:proofErr w:type="gramStart"/>
      <w:r w:rsidRPr="00B965E6">
        <w:rPr>
          <w:rFonts w:eastAsia="Times New Roman" w:cs="Times New Roman"/>
          <w:color w:val="000000"/>
          <w:szCs w:val="20"/>
          <w:lang w:eastAsia="en-AU"/>
        </w:rPr>
        <w:t>and also</w:t>
      </w:r>
      <w:proofErr w:type="gramEnd"/>
      <w:r w:rsidRPr="00B965E6">
        <w:rPr>
          <w:rFonts w:eastAsia="Times New Roman" w:cs="Times New Roman"/>
          <w:color w:val="000000"/>
          <w:szCs w:val="20"/>
          <w:lang w:eastAsia="en-AU"/>
        </w:rPr>
        <w:t xml:space="preserve"> to monitor </w:t>
      </w:r>
      <w:r>
        <w:rPr>
          <w:rFonts w:eastAsia="Times New Roman" w:cs="Times New Roman"/>
          <w:color w:val="000000"/>
          <w:szCs w:val="20"/>
          <w:lang w:eastAsia="en-AU"/>
        </w:rPr>
        <w:t xml:space="preserve">response to PRRT </w:t>
      </w:r>
      <w:r w:rsidRPr="00B965E6">
        <w:rPr>
          <w:rFonts w:eastAsia="Times New Roman" w:cs="Times New Roman"/>
          <w:color w:val="000000"/>
          <w:szCs w:val="20"/>
          <w:lang w:eastAsia="en-AU"/>
        </w:rPr>
        <w:t>therapy</w:t>
      </w:r>
      <w:r>
        <w:rPr>
          <w:rFonts w:eastAsia="Times New Roman" w:cs="Times New Roman"/>
          <w:color w:val="000000"/>
          <w:szCs w:val="20"/>
          <w:lang w:eastAsia="en-AU"/>
        </w:rPr>
        <w:t>.</w:t>
      </w:r>
    </w:p>
    <w:p w14:paraId="25561765" w14:textId="77777777"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In addition</w:t>
      </w:r>
      <w:r w:rsidRPr="00D934CD">
        <w:rPr>
          <w:rFonts w:eastAsia="Times New Roman" w:cs="Times New Roman"/>
          <w:color w:val="000000"/>
          <w:szCs w:val="20"/>
          <w:lang w:eastAsia="en-AU"/>
        </w:rPr>
        <w:t>, ESC noted that the application originally requested the amendment of existing MBS item 61612 for whole body FDG PET study to include assessing</w:t>
      </w:r>
      <w:r>
        <w:rPr>
          <w:rFonts w:eastAsia="Times New Roman" w:cs="Times New Roman"/>
          <w:color w:val="000000"/>
          <w:szCs w:val="20"/>
          <w:lang w:eastAsia="en-AU"/>
        </w:rPr>
        <w:t xml:space="preserve"> patient</w:t>
      </w:r>
      <w:r w:rsidRPr="00D934CD">
        <w:rPr>
          <w:rFonts w:eastAsia="Times New Roman" w:cs="Times New Roman"/>
          <w:color w:val="000000"/>
          <w:szCs w:val="20"/>
          <w:lang w:eastAsia="en-AU"/>
        </w:rPr>
        <w:t xml:space="preserve"> eligibility for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 xml:space="preserve">Lu-DOTA-octreotate treatment. ESC noted that this item is used for initial staging of rare or uncommon cancers for a patient considered suitable for active therapy. PASC therefore considered that existing MBS </w:t>
      </w:r>
      <w:r>
        <w:rPr>
          <w:rFonts w:eastAsia="Times New Roman" w:cs="Times New Roman"/>
          <w:color w:val="000000"/>
          <w:szCs w:val="20"/>
          <w:lang w:eastAsia="en-AU"/>
        </w:rPr>
        <w:t xml:space="preserve">item </w:t>
      </w:r>
      <w:r w:rsidRPr="00D934CD">
        <w:rPr>
          <w:rFonts w:eastAsia="Times New Roman" w:cs="Times New Roman"/>
          <w:color w:val="000000"/>
          <w:szCs w:val="20"/>
          <w:lang w:eastAsia="en-AU"/>
        </w:rPr>
        <w:t xml:space="preserve">61612 would not require amendment, as </w:t>
      </w:r>
      <w:r w:rsidRPr="002A7D0B">
        <w:rPr>
          <w:rFonts w:eastAsia="Times New Roman" w:cs="Times New Roman"/>
          <w:color w:val="000000"/>
          <w:szCs w:val="20"/>
          <w:lang w:eastAsia="en-AU"/>
        </w:rPr>
        <w:t xml:space="preserve">neuroendocrine neoplasms </w:t>
      </w:r>
      <w:r>
        <w:rPr>
          <w:rFonts w:eastAsia="Times New Roman" w:cs="Times New Roman"/>
          <w:color w:val="000000"/>
          <w:szCs w:val="20"/>
          <w:lang w:eastAsia="en-AU"/>
        </w:rPr>
        <w:t>(</w:t>
      </w:r>
      <w:r w:rsidRPr="00D934CD">
        <w:rPr>
          <w:rFonts w:eastAsia="Times New Roman" w:cs="Times New Roman"/>
          <w:color w:val="000000"/>
          <w:szCs w:val="20"/>
          <w:lang w:eastAsia="en-AU"/>
        </w:rPr>
        <w:t>NENs</w:t>
      </w:r>
      <w:r>
        <w:rPr>
          <w:rFonts w:eastAsia="Times New Roman" w:cs="Times New Roman"/>
          <w:color w:val="000000"/>
          <w:szCs w:val="20"/>
          <w:lang w:eastAsia="en-AU"/>
        </w:rPr>
        <w:t>)</w:t>
      </w:r>
      <w:r w:rsidRPr="00D934CD">
        <w:rPr>
          <w:rFonts w:eastAsia="Times New Roman" w:cs="Times New Roman"/>
          <w:color w:val="000000"/>
          <w:szCs w:val="20"/>
          <w:lang w:eastAsia="en-AU"/>
        </w:rPr>
        <w:t xml:space="preserve"> are considered rare or uncommon cancers.</w:t>
      </w:r>
    </w:p>
    <w:p w14:paraId="72CC40D3" w14:textId="465B07DA" w:rsidR="000B228E"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For the proposed MBS item for </w:t>
      </w:r>
      <w:r w:rsidRPr="00994611">
        <w:rPr>
          <w:rFonts w:eastAsia="Times New Roman" w:cs="Times New Roman"/>
          <w:color w:val="000000"/>
          <w:szCs w:val="20"/>
          <w:vertAlign w:val="superscript"/>
          <w:lang w:eastAsia="en-AU"/>
        </w:rPr>
        <w:t>177</w:t>
      </w:r>
      <w:r w:rsidRPr="00524301">
        <w:rPr>
          <w:rFonts w:eastAsia="Times New Roman" w:cs="Times New Roman"/>
          <w:color w:val="000000"/>
          <w:szCs w:val="20"/>
          <w:lang w:eastAsia="en-AU"/>
        </w:rPr>
        <w:t>Lu-DOTA-octreotate treatment</w:t>
      </w:r>
      <w:r>
        <w:rPr>
          <w:rFonts w:eastAsia="Times New Roman" w:cs="Times New Roman"/>
          <w:color w:val="000000"/>
          <w:szCs w:val="20"/>
          <w:lang w:eastAsia="en-AU"/>
        </w:rPr>
        <w:t xml:space="preserve">, </w:t>
      </w:r>
      <w:r w:rsidRPr="00D934CD">
        <w:rPr>
          <w:rFonts w:eastAsia="Times New Roman" w:cs="Times New Roman"/>
          <w:color w:val="000000"/>
          <w:szCs w:val="20"/>
          <w:lang w:eastAsia="en-AU"/>
        </w:rPr>
        <w:t xml:space="preserve">ESC </w:t>
      </w:r>
      <w:r>
        <w:rPr>
          <w:rFonts w:eastAsia="Times New Roman" w:cs="Times New Roman"/>
          <w:color w:val="000000"/>
          <w:szCs w:val="20"/>
          <w:lang w:eastAsia="en-AU"/>
        </w:rPr>
        <w:t xml:space="preserve">noted that a standard course of treatment consists of four </w:t>
      </w:r>
      <w:proofErr w:type="gramStart"/>
      <w:r>
        <w:rPr>
          <w:rFonts w:eastAsia="Times New Roman" w:cs="Times New Roman"/>
          <w:color w:val="000000"/>
          <w:szCs w:val="20"/>
          <w:lang w:eastAsia="en-AU"/>
        </w:rPr>
        <w:t>cycles, but</w:t>
      </w:r>
      <w:proofErr w:type="gramEnd"/>
      <w:r>
        <w:rPr>
          <w:rFonts w:eastAsia="Times New Roman" w:cs="Times New Roman"/>
          <w:color w:val="000000"/>
          <w:szCs w:val="20"/>
          <w:lang w:eastAsia="en-AU"/>
        </w:rPr>
        <w:t xml:space="preserve"> proposed that the number of cycles should be unrestricted to accommodate </w:t>
      </w:r>
      <w:r w:rsidRPr="00D934CD">
        <w:rPr>
          <w:rFonts w:eastAsia="Times New Roman" w:cs="Times New Roman"/>
          <w:color w:val="000000"/>
          <w:szCs w:val="20"/>
          <w:lang w:eastAsia="en-AU"/>
        </w:rPr>
        <w:t>varying case</w:t>
      </w:r>
      <w:r>
        <w:rPr>
          <w:rFonts w:eastAsia="Times New Roman" w:cs="Times New Roman"/>
          <w:color w:val="000000"/>
          <w:szCs w:val="20"/>
          <w:lang w:eastAsia="en-AU"/>
        </w:rPr>
        <w:t>-</w:t>
      </w:r>
      <w:r w:rsidRPr="00D934CD">
        <w:rPr>
          <w:rFonts w:eastAsia="Times New Roman" w:cs="Times New Roman"/>
          <w:color w:val="000000"/>
          <w:szCs w:val="20"/>
          <w:lang w:eastAsia="en-AU"/>
        </w:rPr>
        <w:t>by</w:t>
      </w:r>
      <w:r>
        <w:rPr>
          <w:rFonts w:eastAsia="Times New Roman" w:cs="Times New Roman"/>
          <w:color w:val="000000"/>
          <w:szCs w:val="20"/>
          <w:lang w:eastAsia="en-AU"/>
        </w:rPr>
        <w:t>-</w:t>
      </w:r>
      <w:r w:rsidRPr="00D934CD">
        <w:rPr>
          <w:rFonts w:eastAsia="Times New Roman" w:cs="Times New Roman"/>
          <w:color w:val="000000"/>
          <w:szCs w:val="20"/>
          <w:lang w:eastAsia="en-AU"/>
        </w:rPr>
        <w:t>case need</w:t>
      </w:r>
      <w:r>
        <w:rPr>
          <w:rFonts w:eastAsia="Times New Roman" w:cs="Times New Roman"/>
          <w:color w:val="000000"/>
          <w:szCs w:val="20"/>
          <w:lang w:eastAsia="en-AU"/>
        </w:rPr>
        <w:t>s</w:t>
      </w:r>
      <w:r w:rsidRPr="00D934CD">
        <w:rPr>
          <w:rFonts w:eastAsia="Times New Roman" w:cs="Times New Roman"/>
          <w:color w:val="000000"/>
          <w:szCs w:val="20"/>
          <w:lang w:eastAsia="en-AU"/>
        </w:rPr>
        <w:t xml:space="preserve"> of patients, taking into account that treatment cycles will be determined by the grade of tumour and patient response to treatment</w:t>
      </w:r>
      <w:r>
        <w:rPr>
          <w:rFonts w:eastAsia="Times New Roman" w:cs="Times New Roman"/>
          <w:color w:val="000000"/>
          <w:szCs w:val="20"/>
          <w:lang w:eastAsia="en-AU"/>
        </w:rPr>
        <w:t xml:space="preserve">. ESC also noted that in some patients, an extra </w:t>
      </w:r>
      <w:r w:rsidRPr="00524301">
        <w:rPr>
          <w:rFonts w:eastAsia="Times New Roman" w:cs="Times New Roman"/>
          <w:color w:val="000000"/>
          <w:szCs w:val="20"/>
          <w:lang w:eastAsia="en-AU"/>
        </w:rPr>
        <w:t>two</w:t>
      </w:r>
      <w:r>
        <w:rPr>
          <w:rFonts w:eastAsia="Times New Roman" w:cs="Times New Roman"/>
          <w:color w:val="000000"/>
          <w:szCs w:val="20"/>
          <w:lang w:eastAsia="en-AU"/>
        </w:rPr>
        <w:t xml:space="preserve"> </w:t>
      </w:r>
      <w:r w:rsidRPr="00524301">
        <w:rPr>
          <w:rFonts w:eastAsia="Times New Roman" w:cs="Times New Roman"/>
          <w:color w:val="000000"/>
          <w:szCs w:val="20"/>
          <w:lang w:eastAsia="en-AU"/>
        </w:rPr>
        <w:t xml:space="preserve">consolidation </w:t>
      </w:r>
      <w:r>
        <w:rPr>
          <w:rFonts w:eastAsia="Times New Roman" w:cs="Times New Roman"/>
          <w:color w:val="000000"/>
          <w:szCs w:val="20"/>
          <w:lang w:eastAsia="en-AU"/>
        </w:rPr>
        <w:t xml:space="preserve">cycles </w:t>
      </w:r>
      <w:r w:rsidRPr="00524301">
        <w:rPr>
          <w:rFonts w:eastAsia="Times New Roman" w:cs="Times New Roman"/>
          <w:color w:val="000000"/>
          <w:szCs w:val="20"/>
          <w:lang w:eastAsia="en-AU"/>
        </w:rPr>
        <w:t xml:space="preserve">of </w:t>
      </w:r>
      <w:r w:rsidRPr="00994611">
        <w:rPr>
          <w:rFonts w:eastAsia="Times New Roman" w:cs="Times New Roman"/>
          <w:color w:val="000000"/>
          <w:szCs w:val="20"/>
          <w:vertAlign w:val="superscript"/>
          <w:lang w:eastAsia="en-AU"/>
        </w:rPr>
        <w:t>177</w:t>
      </w:r>
      <w:r w:rsidRPr="00524301">
        <w:rPr>
          <w:rFonts w:eastAsia="Times New Roman" w:cs="Times New Roman"/>
          <w:color w:val="000000"/>
          <w:szCs w:val="20"/>
          <w:lang w:eastAsia="en-AU"/>
        </w:rPr>
        <w:t>Lu-DOTA-octreotate treatment may be instituted in patients where no progression is evident but re-treatment is likely to delay progression, for example in higher grade (G3) NE</w:t>
      </w:r>
      <w:r>
        <w:rPr>
          <w:rFonts w:eastAsia="Times New Roman" w:cs="Times New Roman"/>
          <w:color w:val="000000"/>
          <w:szCs w:val="20"/>
          <w:lang w:eastAsia="en-AU"/>
        </w:rPr>
        <w:t>N</w:t>
      </w:r>
      <w:r w:rsidRPr="00524301">
        <w:rPr>
          <w:rFonts w:eastAsia="Times New Roman" w:cs="Times New Roman"/>
          <w:color w:val="000000"/>
          <w:szCs w:val="20"/>
          <w:lang w:eastAsia="en-AU"/>
        </w:rPr>
        <w:t>s with rising tumour marker</w:t>
      </w:r>
      <w:r>
        <w:rPr>
          <w:rFonts w:eastAsia="Times New Roman" w:cs="Times New Roman"/>
          <w:color w:val="000000"/>
          <w:szCs w:val="20"/>
          <w:lang w:eastAsia="en-AU"/>
        </w:rPr>
        <w:t xml:space="preserve"> levels</w:t>
      </w:r>
      <w:r w:rsidRPr="00524301">
        <w:rPr>
          <w:rFonts w:eastAsia="Times New Roman" w:cs="Times New Roman"/>
          <w:color w:val="000000"/>
          <w:szCs w:val="20"/>
          <w:lang w:eastAsia="en-AU"/>
        </w:rPr>
        <w:t xml:space="preserve">. </w:t>
      </w:r>
      <w:r w:rsidRPr="00734590">
        <w:rPr>
          <w:rFonts w:eastAsia="Times New Roman" w:cs="Times New Roman"/>
          <w:color w:val="000000"/>
          <w:szCs w:val="20"/>
          <w:lang w:eastAsia="en-AU"/>
        </w:rPr>
        <w:t>ESC noted</w:t>
      </w:r>
      <w:r>
        <w:rPr>
          <w:rFonts w:eastAsia="Times New Roman" w:cs="Times New Roman"/>
          <w:color w:val="000000"/>
          <w:szCs w:val="20"/>
          <w:lang w:eastAsia="en-AU"/>
        </w:rPr>
        <w:t xml:space="preserve"> the item referred to the </w:t>
      </w:r>
      <w:r w:rsidRPr="00734590">
        <w:rPr>
          <w:rFonts w:eastAsia="Times New Roman" w:cs="Times New Roman"/>
          <w:color w:val="000000"/>
          <w:szCs w:val="20"/>
          <w:lang w:eastAsia="en-AU"/>
        </w:rPr>
        <w:t xml:space="preserve">more generic </w:t>
      </w:r>
      <w:r>
        <w:rPr>
          <w:rFonts w:eastAsia="Times New Roman" w:cs="Times New Roman"/>
          <w:color w:val="000000"/>
          <w:szCs w:val="20"/>
          <w:lang w:eastAsia="en-AU"/>
        </w:rPr>
        <w:t>‘</w:t>
      </w:r>
      <w:r w:rsidRPr="00994611">
        <w:rPr>
          <w:rFonts w:eastAsia="Times New Roman" w:cs="Times New Roman"/>
          <w:color w:val="000000"/>
          <w:szCs w:val="20"/>
          <w:vertAlign w:val="superscript"/>
          <w:lang w:eastAsia="en-AU"/>
        </w:rPr>
        <w:t>177</w:t>
      </w:r>
      <w:r w:rsidRPr="003407F1">
        <w:rPr>
          <w:rFonts w:eastAsia="Times New Roman" w:cs="Times New Roman"/>
          <w:color w:val="000000"/>
          <w:szCs w:val="20"/>
          <w:lang w:eastAsia="en-AU"/>
        </w:rPr>
        <w:t>Lutetium-somatostatin agonist</w:t>
      </w:r>
      <w:r>
        <w:rPr>
          <w:rFonts w:eastAsia="Times New Roman" w:cs="Times New Roman"/>
          <w:color w:val="000000"/>
          <w:szCs w:val="20"/>
          <w:lang w:eastAsia="en-AU"/>
        </w:rPr>
        <w:t>’</w:t>
      </w:r>
      <w:r w:rsidRPr="003407F1">
        <w:rPr>
          <w:rFonts w:eastAsia="Times New Roman" w:cs="Times New Roman"/>
          <w:color w:val="000000"/>
          <w:szCs w:val="20"/>
          <w:lang w:eastAsia="en-AU"/>
        </w:rPr>
        <w:t xml:space="preserve"> </w:t>
      </w:r>
      <w:r>
        <w:rPr>
          <w:rFonts w:eastAsia="Times New Roman" w:cs="Times New Roman"/>
          <w:color w:val="000000"/>
          <w:szCs w:val="20"/>
          <w:lang w:eastAsia="en-AU"/>
        </w:rPr>
        <w:t>without specifying ‘carrier added’ or ‘no carrier added’</w:t>
      </w:r>
      <w:r w:rsidRPr="00802299">
        <w:t xml:space="preserve"> </w:t>
      </w:r>
      <w:r>
        <w:rPr>
          <w:rFonts w:eastAsia="Times New Roman" w:cs="Times New Roman"/>
          <w:color w:val="000000"/>
          <w:szCs w:val="20"/>
          <w:lang w:eastAsia="en-AU"/>
        </w:rPr>
        <w:t xml:space="preserve">which ESC considered would provide the broadest access to patients. ESC also considered that an amended uniform fee of $10,000 for </w:t>
      </w:r>
      <w:r w:rsidRPr="00994611">
        <w:rPr>
          <w:rFonts w:eastAsia="Times New Roman" w:cs="Times New Roman"/>
          <w:color w:val="000000"/>
          <w:szCs w:val="20"/>
          <w:vertAlign w:val="superscript"/>
          <w:lang w:eastAsia="en-AU"/>
        </w:rPr>
        <w:t>177</w:t>
      </w:r>
      <w:r w:rsidRPr="00705061">
        <w:rPr>
          <w:rFonts w:eastAsia="Times New Roman" w:cs="Times New Roman"/>
          <w:color w:val="000000"/>
          <w:szCs w:val="20"/>
          <w:lang w:eastAsia="en-AU"/>
        </w:rPr>
        <w:t>Lutetium-somastatin receptor agonist treatment</w:t>
      </w:r>
      <w:r>
        <w:rPr>
          <w:rFonts w:eastAsia="Times New Roman" w:cs="Times New Roman"/>
          <w:color w:val="000000"/>
          <w:szCs w:val="20"/>
          <w:lang w:eastAsia="en-AU"/>
        </w:rPr>
        <w:t xml:space="preserve"> was appropriate rather than fee differentiation between carrier added and non-carrier added products.</w:t>
      </w:r>
    </w:p>
    <w:p w14:paraId="20DFD544" w14:textId="77777777"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w:t>
      </w:r>
      <w:r w:rsidRPr="00D934CD">
        <w:rPr>
          <w:rFonts w:eastAsia="Times New Roman" w:cs="Times New Roman"/>
          <w:color w:val="000000"/>
          <w:szCs w:val="20"/>
          <w:lang w:eastAsia="en-AU"/>
        </w:rPr>
        <w:t xml:space="preserve">there </w:t>
      </w:r>
      <w:r>
        <w:rPr>
          <w:rFonts w:eastAsia="Times New Roman" w:cs="Times New Roman"/>
          <w:color w:val="000000"/>
          <w:szCs w:val="20"/>
          <w:lang w:eastAsia="en-AU"/>
        </w:rPr>
        <w:t>was</w:t>
      </w:r>
      <w:r w:rsidRPr="00D934CD">
        <w:rPr>
          <w:rFonts w:eastAsia="Times New Roman" w:cs="Times New Roman"/>
          <w:color w:val="000000"/>
          <w:szCs w:val="20"/>
          <w:lang w:eastAsia="en-AU"/>
        </w:rPr>
        <w:t xml:space="preserve"> no available evidence</w:t>
      </w:r>
      <w:r>
        <w:rPr>
          <w:rFonts w:eastAsia="Times New Roman" w:cs="Times New Roman"/>
          <w:color w:val="000000"/>
          <w:szCs w:val="20"/>
          <w:lang w:eastAsia="en-AU"/>
        </w:rPr>
        <w:t xml:space="preserve"> presented in the DCAR</w:t>
      </w:r>
      <w:r w:rsidRPr="00D934CD">
        <w:rPr>
          <w:rFonts w:eastAsia="Times New Roman" w:cs="Times New Roman"/>
          <w:color w:val="000000"/>
          <w:szCs w:val="20"/>
          <w:lang w:eastAsia="en-AU"/>
        </w:rPr>
        <w:t xml:space="preserve"> to support the superior safety and effectiveness of the ‘no carrier added’ product compared to the ‘carrier added’ product</w:t>
      </w:r>
      <w:r>
        <w:rPr>
          <w:rFonts w:eastAsia="Times New Roman" w:cs="Times New Roman"/>
          <w:color w:val="000000"/>
          <w:szCs w:val="20"/>
          <w:lang w:eastAsia="en-AU"/>
        </w:rPr>
        <w:t xml:space="preserve"> in terms of health outcomes</w:t>
      </w:r>
      <w:r w:rsidRPr="00D934CD">
        <w:rPr>
          <w:rFonts w:eastAsia="Times New Roman" w:cs="Times New Roman"/>
          <w:color w:val="000000"/>
          <w:szCs w:val="20"/>
          <w:lang w:eastAsia="en-AU"/>
        </w:rPr>
        <w:t xml:space="preserve"> to justify restriction of the benefit to the ‘no carrier added’ product</w:t>
      </w:r>
      <w:r>
        <w:rPr>
          <w:rFonts w:eastAsia="Times New Roman" w:cs="Times New Roman"/>
          <w:color w:val="000000"/>
          <w:szCs w:val="20"/>
          <w:lang w:eastAsia="en-AU"/>
        </w:rPr>
        <w:t xml:space="preserve"> only</w:t>
      </w:r>
      <w:r w:rsidRPr="00D934CD">
        <w:rPr>
          <w:rFonts w:eastAsia="Times New Roman" w:cs="Times New Roman"/>
          <w:color w:val="000000"/>
          <w:szCs w:val="20"/>
          <w:lang w:eastAsia="en-AU"/>
        </w:rPr>
        <w:t>.</w:t>
      </w:r>
    </w:p>
    <w:p w14:paraId="460559DC" w14:textId="77777777" w:rsidR="000B228E" w:rsidRPr="00D934CD" w:rsidRDefault="000B228E" w:rsidP="000B228E">
      <w:pPr>
        <w:spacing w:before="0" w:after="240" w:line="240" w:lineRule="auto"/>
        <w:rPr>
          <w:rFonts w:eastAsia="Calibri" w:cs="Times New Roman"/>
          <w:color w:val="000000"/>
          <w:szCs w:val="20"/>
        </w:rPr>
      </w:pPr>
      <w:r w:rsidRPr="00D934CD">
        <w:rPr>
          <w:rFonts w:eastAsia="Calibri" w:cs="Times New Roman"/>
          <w:color w:val="000000"/>
          <w:szCs w:val="20"/>
        </w:rPr>
        <w:t xml:space="preserve">ESC noted that when examining the </w:t>
      </w:r>
      <w:r>
        <w:rPr>
          <w:rFonts w:eastAsia="Calibri" w:cs="Times New Roman"/>
          <w:color w:val="000000"/>
          <w:szCs w:val="20"/>
        </w:rPr>
        <w:t>evidence for</w:t>
      </w:r>
      <w:r w:rsidRPr="00D934CD">
        <w:rPr>
          <w:rFonts w:eastAsia="Calibri" w:cs="Times New Roman"/>
          <w:color w:val="000000"/>
          <w:szCs w:val="20"/>
        </w:rPr>
        <w:t xml:space="preserve"> clinical utility of </w:t>
      </w:r>
      <w:r w:rsidRPr="00D934CD">
        <w:rPr>
          <w:rFonts w:eastAsia="Calibri" w:cs="Times New Roman"/>
          <w:color w:val="000000"/>
          <w:szCs w:val="20"/>
          <w:vertAlign w:val="superscript"/>
        </w:rPr>
        <w:t>68</w:t>
      </w:r>
      <w:r w:rsidRPr="00D934CD">
        <w:rPr>
          <w:rFonts w:eastAsia="Calibri" w:cs="Times New Roman"/>
          <w:color w:val="000000"/>
          <w:szCs w:val="20"/>
        </w:rPr>
        <w:t xml:space="preserve">Ga-DOTA-octreotate PET/CT </w:t>
      </w:r>
      <w:r>
        <w:rPr>
          <w:rFonts w:eastAsia="Calibri" w:cs="Times New Roman"/>
          <w:color w:val="000000"/>
          <w:szCs w:val="20"/>
        </w:rPr>
        <w:t>or</w:t>
      </w:r>
      <w:r w:rsidRPr="00D934CD">
        <w:rPr>
          <w:rFonts w:eastAsia="Calibri" w:cs="Times New Roman"/>
          <w:color w:val="000000"/>
          <w:szCs w:val="20"/>
        </w:rPr>
        <w:t xml:space="preserve"> FDG PET-CT for the selection of patients with progressive, advanced, </w:t>
      </w:r>
      <w:proofErr w:type="gramStart"/>
      <w:r w:rsidRPr="00D934CD">
        <w:rPr>
          <w:rFonts w:eastAsia="Calibri" w:cs="Times New Roman"/>
          <w:color w:val="000000"/>
          <w:szCs w:val="20"/>
        </w:rPr>
        <w:t>metastatic</w:t>
      </w:r>
      <w:proofErr w:type="gramEnd"/>
      <w:r w:rsidRPr="00D934CD">
        <w:rPr>
          <w:rFonts w:eastAsia="Calibri" w:cs="Times New Roman"/>
          <w:color w:val="000000"/>
          <w:szCs w:val="20"/>
        </w:rPr>
        <w:t xml:space="preserve"> or inoperable </w:t>
      </w:r>
      <w:r w:rsidRPr="00D934CD">
        <w:rPr>
          <w:rFonts w:eastAsia="Calibri" w:cs="Times New Roman"/>
          <w:color w:val="000000"/>
          <w:szCs w:val="20"/>
        </w:rPr>
        <w:lastRenderedPageBreak/>
        <w:t xml:space="preserve">NETs with suspected H-SSTR expression for </w:t>
      </w:r>
      <w:r w:rsidRPr="00D934CD">
        <w:rPr>
          <w:rFonts w:eastAsia="Calibri" w:cs="Times New Roman"/>
          <w:color w:val="000000"/>
          <w:szCs w:val="20"/>
          <w:vertAlign w:val="superscript"/>
        </w:rPr>
        <w:t>177</w:t>
      </w:r>
      <w:r w:rsidRPr="00D934CD">
        <w:rPr>
          <w:rFonts w:eastAsia="Calibri" w:cs="Times New Roman"/>
          <w:color w:val="000000"/>
          <w:szCs w:val="20"/>
        </w:rPr>
        <w:t>Lu-DOTA-octreotate therapy, four studies were identified. However, there were a number of limitations: none of the studies looked at the population relevant to this application (advanced/inoperable NENs), the studies used different radionuclides and were not limited to Ga-DOTA-octreotate, there were no data on sensitivity and specificity using an appropriate reference standard (</w:t>
      </w:r>
      <w:r>
        <w:rPr>
          <w:rFonts w:eastAsia="Calibri" w:cs="Times New Roman"/>
          <w:color w:val="000000"/>
          <w:szCs w:val="20"/>
        </w:rPr>
        <w:t xml:space="preserve">e.g. </w:t>
      </w:r>
      <w:r w:rsidRPr="00D934CD">
        <w:rPr>
          <w:rFonts w:eastAsia="Calibri" w:cs="Times New Roman"/>
          <w:color w:val="000000"/>
          <w:szCs w:val="20"/>
        </w:rPr>
        <w:t>histology), there were no data on intra- or inter-observer variability, there were no quantitative data on the change in clinical outcomes and there were no safety data</w:t>
      </w:r>
      <w:r>
        <w:rPr>
          <w:rFonts w:eastAsia="Calibri" w:cs="Times New Roman"/>
          <w:color w:val="000000"/>
          <w:szCs w:val="20"/>
        </w:rPr>
        <w:t xml:space="preserve"> presented</w:t>
      </w:r>
      <w:r w:rsidRPr="00D934CD">
        <w:rPr>
          <w:rFonts w:eastAsia="Calibri" w:cs="Times New Roman"/>
          <w:color w:val="000000"/>
          <w:szCs w:val="20"/>
        </w:rPr>
        <w:t>.</w:t>
      </w:r>
    </w:p>
    <w:p w14:paraId="565523B0" w14:textId="77777777" w:rsidR="000B228E" w:rsidRPr="00D934CD" w:rsidRDefault="000B228E" w:rsidP="000B228E">
      <w:pPr>
        <w:spacing w:before="0" w:after="240" w:line="240" w:lineRule="auto"/>
        <w:rPr>
          <w:rFonts w:eastAsia="Calibri" w:cs="Times New Roman"/>
          <w:color w:val="000000"/>
          <w:szCs w:val="20"/>
        </w:rPr>
      </w:pPr>
      <w:r>
        <w:rPr>
          <w:rFonts w:eastAsia="Calibri" w:cs="Times New Roman"/>
          <w:color w:val="000000"/>
          <w:szCs w:val="20"/>
        </w:rPr>
        <w:t xml:space="preserve">ESC noted that the pre-ESC response claimed that the DCAR should have included four additional studies of diagnostic performance.  </w:t>
      </w:r>
      <w:r>
        <w:rPr>
          <w:rFonts w:eastAsia="Times New Roman" w:cs="Times New Roman"/>
          <w:color w:val="000000"/>
          <w:szCs w:val="20"/>
          <w:lang w:eastAsia="en-AU"/>
        </w:rPr>
        <w:t>ESC noted that of the additional references provided in the pre-ESC response as further evidence, two were very small studies but there were two larger studies which supported good effectiveness outcomes.</w:t>
      </w:r>
      <w:r>
        <w:rPr>
          <w:rStyle w:val="FootnoteReference"/>
          <w:rFonts w:eastAsia="Times New Roman" w:cs="Times New Roman"/>
          <w:color w:val="000000"/>
          <w:szCs w:val="20"/>
          <w:lang w:eastAsia="en-AU"/>
        </w:rPr>
        <w:footnoteReference w:id="34"/>
      </w:r>
      <w:r>
        <w:rPr>
          <w:rFonts w:eastAsia="Times New Roman" w:cs="Times New Roman"/>
          <w:color w:val="000000"/>
          <w:szCs w:val="20"/>
          <w:lang w:eastAsia="en-AU"/>
        </w:rPr>
        <w:t xml:space="preserve"> </w:t>
      </w:r>
      <w:r>
        <w:rPr>
          <w:rStyle w:val="FootnoteReference"/>
          <w:rFonts w:eastAsia="Times New Roman" w:cs="Times New Roman"/>
          <w:color w:val="000000"/>
          <w:szCs w:val="20"/>
          <w:lang w:eastAsia="en-AU"/>
        </w:rPr>
        <w:footnoteReference w:id="35"/>
      </w:r>
      <w:r>
        <w:rPr>
          <w:rFonts w:eastAsia="Times New Roman" w:cs="Times New Roman"/>
          <w:color w:val="000000"/>
          <w:szCs w:val="20"/>
          <w:lang w:eastAsia="en-AU"/>
        </w:rPr>
        <w:t xml:space="preserve"> </w:t>
      </w:r>
      <w:r>
        <w:rPr>
          <w:rFonts w:eastAsia="Calibri" w:cs="Times New Roman"/>
          <w:color w:val="000000"/>
          <w:szCs w:val="20"/>
        </w:rPr>
        <w:t xml:space="preserve">ESC noted the evidence examining the equivalence of </w:t>
      </w:r>
      <w:r w:rsidRPr="00D934CD">
        <w:rPr>
          <w:rFonts w:eastAsia="Calibri" w:cs="Times New Roman"/>
          <w:color w:val="000000"/>
          <w:szCs w:val="20"/>
          <w:vertAlign w:val="superscript"/>
        </w:rPr>
        <w:t>68</w:t>
      </w:r>
      <w:r w:rsidRPr="00D934CD">
        <w:rPr>
          <w:rFonts w:eastAsia="Calibri" w:cs="Times New Roman"/>
          <w:color w:val="000000"/>
          <w:szCs w:val="20"/>
        </w:rPr>
        <w:t>Ga-DOTA-octreotate</w:t>
      </w:r>
      <w:r>
        <w:rPr>
          <w:rFonts w:eastAsia="Calibri" w:cs="Times New Roman"/>
          <w:color w:val="000000"/>
          <w:szCs w:val="20"/>
        </w:rPr>
        <w:t xml:space="preserve">PET/CT to </w:t>
      </w:r>
      <w:proofErr w:type="spellStart"/>
      <w:r>
        <w:rPr>
          <w:rFonts w:eastAsia="Calibri" w:cs="Times New Roman"/>
          <w:color w:val="000000"/>
          <w:szCs w:val="20"/>
        </w:rPr>
        <w:t>Octreoscan</w:t>
      </w:r>
      <w:proofErr w:type="spellEnd"/>
      <w:r>
        <w:rPr>
          <w:rFonts w:eastAsia="Calibri" w:cs="Times New Roman"/>
          <w:color w:val="000000"/>
          <w:szCs w:val="20"/>
        </w:rPr>
        <w:t xml:space="preserve">®. PASC noted that </w:t>
      </w:r>
      <w:proofErr w:type="spellStart"/>
      <w:r>
        <w:rPr>
          <w:rFonts w:eastAsia="Calibri" w:cs="Times New Roman"/>
          <w:color w:val="000000"/>
          <w:szCs w:val="20"/>
        </w:rPr>
        <w:t>Octreoscan</w:t>
      </w:r>
      <w:proofErr w:type="spellEnd"/>
      <w:r>
        <w:rPr>
          <w:rFonts w:eastAsia="Calibri" w:cs="Times New Roman"/>
          <w:color w:val="000000"/>
          <w:szCs w:val="20"/>
        </w:rPr>
        <w:t xml:space="preserve">® is a valid clinical standard and the results of studies based on </w:t>
      </w:r>
      <w:proofErr w:type="spellStart"/>
      <w:r>
        <w:rPr>
          <w:rFonts w:eastAsia="Calibri" w:cs="Times New Roman"/>
          <w:color w:val="000000"/>
          <w:szCs w:val="20"/>
        </w:rPr>
        <w:t>Octreoscan</w:t>
      </w:r>
      <w:proofErr w:type="spellEnd"/>
      <w:r>
        <w:rPr>
          <w:rFonts w:eastAsia="Calibri" w:cs="Times New Roman"/>
          <w:color w:val="000000"/>
          <w:szCs w:val="20"/>
        </w:rPr>
        <w:t xml:space="preserve">® (using the </w:t>
      </w:r>
      <w:proofErr w:type="spellStart"/>
      <w:r>
        <w:rPr>
          <w:rFonts w:eastAsia="Calibri" w:cs="Times New Roman"/>
          <w:color w:val="000000"/>
          <w:szCs w:val="20"/>
        </w:rPr>
        <w:t>Krenning</w:t>
      </w:r>
      <w:proofErr w:type="spellEnd"/>
      <w:r>
        <w:rPr>
          <w:rFonts w:eastAsia="Calibri" w:cs="Times New Roman"/>
          <w:color w:val="000000"/>
          <w:szCs w:val="20"/>
        </w:rPr>
        <w:t xml:space="preserve"> score) needed to be translated to </w:t>
      </w:r>
      <w:r w:rsidRPr="00D934CD">
        <w:rPr>
          <w:rFonts w:eastAsia="Calibri" w:cs="Times New Roman"/>
          <w:color w:val="000000"/>
          <w:szCs w:val="20"/>
          <w:vertAlign w:val="superscript"/>
        </w:rPr>
        <w:t>68</w:t>
      </w:r>
      <w:r w:rsidRPr="00D934CD">
        <w:rPr>
          <w:rFonts w:eastAsia="Calibri" w:cs="Times New Roman"/>
          <w:color w:val="000000"/>
          <w:szCs w:val="20"/>
        </w:rPr>
        <w:t>Ga-DOTA-octreotate</w:t>
      </w:r>
      <w:r>
        <w:rPr>
          <w:rFonts w:eastAsia="Calibri" w:cs="Times New Roman"/>
          <w:color w:val="000000"/>
          <w:szCs w:val="20"/>
        </w:rPr>
        <w:t xml:space="preserve"> (using the modified </w:t>
      </w:r>
      <w:proofErr w:type="spellStart"/>
      <w:r>
        <w:rPr>
          <w:rFonts w:eastAsia="Calibri" w:cs="Times New Roman"/>
          <w:color w:val="000000"/>
          <w:szCs w:val="20"/>
        </w:rPr>
        <w:t>Krenning</w:t>
      </w:r>
      <w:proofErr w:type="spellEnd"/>
      <w:r>
        <w:rPr>
          <w:rFonts w:eastAsia="Calibri" w:cs="Times New Roman"/>
          <w:color w:val="000000"/>
          <w:szCs w:val="20"/>
        </w:rPr>
        <w:t xml:space="preserve"> score) for the DCAR. This was done by comparing the results of the NETTER-1 trial</w:t>
      </w:r>
      <w:r>
        <w:rPr>
          <w:rStyle w:val="FootnoteReference"/>
          <w:rFonts w:eastAsia="Calibri" w:cs="Times New Roman"/>
          <w:color w:val="000000"/>
          <w:szCs w:val="20"/>
        </w:rPr>
        <w:footnoteReference w:id="36"/>
      </w:r>
      <w:r>
        <w:rPr>
          <w:rFonts w:eastAsia="Calibri" w:cs="Times New Roman"/>
          <w:color w:val="000000"/>
          <w:szCs w:val="20"/>
        </w:rPr>
        <w:t xml:space="preserve"> (which used </w:t>
      </w:r>
      <w:proofErr w:type="spellStart"/>
      <w:r>
        <w:rPr>
          <w:rFonts w:eastAsia="Calibri" w:cs="Times New Roman"/>
          <w:color w:val="000000"/>
          <w:szCs w:val="20"/>
        </w:rPr>
        <w:t>Octreoscan</w:t>
      </w:r>
      <w:proofErr w:type="spellEnd"/>
      <w:r>
        <w:rPr>
          <w:rFonts w:eastAsia="Calibri" w:cs="Times New Roman"/>
          <w:color w:val="000000"/>
          <w:szCs w:val="20"/>
        </w:rPr>
        <w:t xml:space="preserve">® for the diagnosis of midgut NENs based on the </w:t>
      </w:r>
      <w:proofErr w:type="spellStart"/>
      <w:r>
        <w:rPr>
          <w:rFonts w:eastAsia="Calibri" w:cs="Times New Roman"/>
          <w:color w:val="000000"/>
          <w:szCs w:val="20"/>
        </w:rPr>
        <w:t>Krenning</w:t>
      </w:r>
      <w:proofErr w:type="spellEnd"/>
      <w:r>
        <w:rPr>
          <w:rFonts w:eastAsia="Calibri" w:cs="Times New Roman"/>
          <w:color w:val="000000"/>
          <w:szCs w:val="20"/>
        </w:rPr>
        <w:t xml:space="preserve"> score) and the results reported in the abstract by Sood et al.</w:t>
      </w:r>
      <w:r>
        <w:rPr>
          <w:rStyle w:val="FootnoteReference"/>
          <w:rFonts w:eastAsia="Calibri" w:cs="Times New Roman"/>
          <w:color w:val="000000"/>
          <w:szCs w:val="20"/>
        </w:rPr>
        <w:footnoteReference w:id="37"/>
      </w:r>
      <w:r>
        <w:rPr>
          <w:rFonts w:eastAsia="Calibri" w:cs="Times New Roman"/>
          <w:color w:val="000000"/>
          <w:szCs w:val="20"/>
        </w:rPr>
        <w:t xml:space="preserve"> (which used </w:t>
      </w:r>
      <w:r w:rsidRPr="00D934CD">
        <w:rPr>
          <w:rFonts w:eastAsia="Calibri" w:cs="Times New Roman"/>
          <w:color w:val="000000"/>
          <w:szCs w:val="20"/>
          <w:vertAlign w:val="superscript"/>
        </w:rPr>
        <w:t>68</w:t>
      </w:r>
      <w:r w:rsidRPr="00D934CD">
        <w:rPr>
          <w:rFonts w:eastAsia="Calibri" w:cs="Times New Roman"/>
          <w:color w:val="000000"/>
          <w:szCs w:val="20"/>
        </w:rPr>
        <w:t>Ga-DOTA-octreotate</w:t>
      </w:r>
      <w:r>
        <w:rPr>
          <w:rFonts w:eastAsia="Calibri" w:cs="Times New Roman"/>
          <w:color w:val="000000"/>
          <w:szCs w:val="20"/>
        </w:rPr>
        <w:t xml:space="preserve"> PET/CT to determine somatostatin receptor presence based on the modified </w:t>
      </w:r>
      <w:proofErr w:type="spellStart"/>
      <w:r>
        <w:rPr>
          <w:rFonts w:eastAsia="Calibri" w:cs="Times New Roman"/>
          <w:color w:val="000000"/>
          <w:szCs w:val="20"/>
        </w:rPr>
        <w:t>Krenning</w:t>
      </w:r>
      <w:proofErr w:type="spellEnd"/>
      <w:r>
        <w:rPr>
          <w:rFonts w:eastAsia="Calibri" w:cs="Times New Roman"/>
          <w:color w:val="000000"/>
          <w:szCs w:val="20"/>
        </w:rPr>
        <w:t xml:space="preserve"> score). The DCAR concluded that the two imaging techniques were concordant due to the progression free survival and the objective response rate being similar across both studies. However, ESC considered that the results of this naïve comparison comparing longitudinal health outcomes across different cohorts of patients based on their respective clinical utility standards used in the trials should be interpreted with caution due to the very low level of evidence presented.</w:t>
      </w:r>
    </w:p>
    <w:p w14:paraId="1B46FDD1" w14:textId="77777777" w:rsidR="000B228E" w:rsidRPr="00D934CD" w:rsidRDefault="000B228E" w:rsidP="000B228E">
      <w:pPr>
        <w:spacing w:before="0" w:after="240" w:line="240" w:lineRule="auto"/>
        <w:rPr>
          <w:rFonts w:eastAsia="Calibri" w:cs="Times New Roman"/>
          <w:color w:val="000000"/>
          <w:szCs w:val="20"/>
        </w:rPr>
      </w:pPr>
      <w:r w:rsidRPr="00D934CD">
        <w:rPr>
          <w:rFonts w:eastAsia="Calibri" w:cs="Times New Roman"/>
          <w:color w:val="000000"/>
          <w:szCs w:val="20"/>
        </w:rPr>
        <w:t xml:space="preserve">ESC noted that the applicant only provided a comparison of the pharmaceutical forms to support the claim of similarity or noninferiority in efficacy between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Lu-DOTA-octreotate and </w:t>
      </w:r>
      <w:proofErr w:type="spellStart"/>
      <w:r w:rsidRPr="00D934CD">
        <w:rPr>
          <w:rFonts w:eastAsia="Calibri" w:cs="Times New Roman"/>
          <w:color w:val="000000"/>
          <w:szCs w:val="20"/>
        </w:rPr>
        <w:t>Lutathera</w:t>
      </w:r>
      <w:proofErr w:type="spellEnd"/>
      <w:r w:rsidRPr="00D934CD">
        <w:rPr>
          <w:rFonts w:eastAsia="Calibri" w:cs="Times New Roman"/>
          <w:color w:val="000000"/>
          <w:szCs w:val="20"/>
        </w:rPr>
        <w:t>®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w:t>
      </w:r>
      <w:r>
        <w:rPr>
          <w:rFonts w:eastAsia="Calibri" w:cs="Times New Roman"/>
          <w:color w:val="000000"/>
          <w:szCs w:val="20"/>
        </w:rPr>
        <w:t xml:space="preserve"> The DCAR concluded that based on this information the pharmaceutical composition of the two </w:t>
      </w:r>
      <w:proofErr w:type="gramStart"/>
      <w:r>
        <w:rPr>
          <w:rFonts w:eastAsia="Calibri" w:cs="Times New Roman"/>
          <w:color w:val="000000"/>
          <w:szCs w:val="20"/>
        </w:rPr>
        <w:t>radio-isotopes</w:t>
      </w:r>
      <w:proofErr w:type="gramEnd"/>
      <w:r>
        <w:rPr>
          <w:rFonts w:eastAsia="Calibri" w:cs="Times New Roman"/>
          <w:color w:val="000000"/>
          <w:szCs w:val="20"/>
        </w:rPr>
        <w:t xml:space="preserve"> were similar although their excipients were different. </w:t>
      </w:r>
      <w:r w:rsidRPr="00D934CD">
        <w:rPr>
          <w:rFonts w:eastAsia="Calibri" w:cs="Times New Roman"/>
          <w:color w:val="000000"/>
          <w:szCs w:val="20"/>
        </w:rPr>
        <w:t xml:space="preserve">ESC also noted </w:t>
      </w:r>
      <w:r>
        <w:rPr>
          <w:rFonts w:eastAsia="Calibri" w:cs="Times New Roman"/>
          <w:color w:val="000000"/>
          <w:szCs w:val="20"/>
        </w:rPr>
        <w:t>consultation input</w:t>
      </w:r>
      <w:r w:rsidRPr="00D934CD">
        <w:rPr>
          <w:rFonts w:eastAsia="Calibri" w:cs="Times New Roman"/>
          <w:color w:val="000000"/>
          <w:szCs w:val="20"/>
        </w:rPr>
        <w:t xml:space="preserve"> received from Novartis, wh</w:t>
      </w:r>
      <w:r>
        <w:rPr>
          <w:rFonts w:eastAsia="Calibri" w:cs="Times New Roman"/>
          <w:color w:val="000000"/>
          <w:szCs w:val="20"/>
        </w:rPr>
        <w:t>ich</w:t>
      </w:r>
      <w:r w:rsidRPr="00D934CD">
        <w:rPr>
          <w:rFonts w:eastAsia="Calibri" w:cs="Times New Roman"/>
          <w:color w:val="000000"/>
          <w:szCs w:val="20"/>
        </w:rPr>
        <w:t xml:space="preserve"> has a patent for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stating that there is no evidence to support the therapeutic equivalence of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and </w:t>
      </w:r>
      <w:r w:rsidRPr="00D934CD">
        <w:rPr>
          <w:rFonts w:eastAsia="Calibri" w:cs="Times New Roman"/>
          <w:color w:val="000000"/>
          <w:szCs w:val="20"/>
          <w:vertAlign w:val="superscript"/>
        </w:rPr>
        <w:t>177</w:t>
      </w:r>
      <w:r w:rsidRPr="00D934CD">
        <w:rPr>
          <w:rFonts w:eastAsia="Calibri" w:cs="Times New Roman"/>
          <w:color w:val="000000"/>
          <w:szCs w:val="20"/>
        </w:rPr>
        <w:t>Lutetium(</w:t>
      </w:r>
      <w:proofErr w:type="spellStart"/>
      <w:r w:rsidRPr="00D934CD">
        <w:rPr>
          <w:rFonts w:eastAsia="Calibri" w:cs="Times New Roman"/>
          <w:color w:val="000000"/>
          <w:szCs w:val="20"/>
        </w:rPr>
        <w:t>nca</w:t>
      </w:r>
      <w:proofErr w:type="spellEnd"/>
      <w:r w:rsidRPr="00D934CD">
        <w:rPr>
          <w:rFonts w:eastAsia="Calibri" w:cs="Times New Roman"/>
          <w:color w:val="000000"/>
          <w:szCs w:val="20"/>
        </w:rPr>
        <w:t>)</w:t>
      </w:r>
      <w:proofErr w:type="spellStart"/>
      <w:r w:rsidRPr="00D934CD">
        <w:rPr>
          <w:rFonts w:eastAsia="Calibri" w:cs="Times New Roman"/>
          <w:color w:val="000000"/>
          <w:szCs w:val="20"/>
        </w:rPr>
        <w:t>octreotate</w:t>
      </w:r>
      <w:proofErr w:type="spellEnd"/>
      <w:r w:rsidRPr="00D934CD">
        <w:rPr>
          <w:rFonts w:eastAsia="Calibri" w:cs="Times New Roman"/>
          <w:color w:val="000000"/>
          <w:szCs w:val="20"/>
        </w:rPr>
        <w:t>.</w:t>
      </w:r>
    </w:p>
    <w:p w14:paraId="0D83FD77" w14:textId="77777777" w:rsidR="000B228E" w:rsidRDefault="000B228E" w:rsidP="000B228E">
      <w:pPr>
        <w:spacing w:before="0" w:after="240" w:line="240" w:lineRule="auto"/>
        <w:rPr>
          <w:rFonts w:eastAsia="Calibri" w:cs="Times New Roman"/>
          <w:color w:val="000000"/>
          <w:szCs w:val="20"/>
        </w:rPr>
      </w:pPr>
      <w:r w:rsidRPr="00D934CD">
        <w:rPr>
          <w:rFonts w:eastAsia="Calibri" w:cs="Times New Roman"/>
          <w:color w:val="000000"/>
          <w:szCs w:val="20"/>
        </w:rPr>
        <w:t xml:space="preserve">ESC noted the absence of safety and efficacy studies for the proposed treatment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Lu-DOTA-octreotate. Therefore, the DCAR’s assessment of the safety and efficacy of the proposed treatment has been based on studies of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based on a claim of noninferiority between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Lu-DOTA-octreotate and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for which there is also a lack of evidence. As such, this is a significant area of uncertainty in the proposed analysis, as the evidence for the application’s clinical claims is based on indirect evidence (from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w:t>
      </w:r>
      <w:r>
        <w:rPr>
          <w:rFonts w:eastAsia="Calibri" w:cs="Times New Roman"/>
          <w:color w:val="000000"/>
          <w:szCs w:val="20"/>
        </w:rPr>
        <w:t xml:space="preserve">ESC noted the pre-ESC response which the applicant contended that, separate to </w:t>
      </w:r>
      <w:proofErr w:type="spellStart"/>
      <w:r w:rsidRPr="00D934CD">
        <w:rPr>
          <w:rFonts w:eastAsia="Calibri" w:cs="Times New Roman"/>
          <w:color w:val="000000"/>
          <w:szCs w:val="20"/>
        </w:rPr>
        <w:t>Lutathera</w:t>
      </w:r>
      <w:proofErr w:type="spellEnd"/>
      <w:r w:rsidRPr="00D934CD">
        <w:rPr>
          <w:rFonts w:eastAsia="Calibri" w:cs="Times New Roman"/>
          <w:color w:val="000000"/>
          <w:szCs w:val="20"/>
        </w:rPr>
        <w:t>®</w:t>
      </w:r>
      <w:r>
        <w:rPr>
          <w:rFonts w:eastAsia="Calibri" w:cs="Times New Roman"/>
          <w:color w:val="000000"/>
          <w:szCs w:val="20"/>
        </w:rPr>
        <w:t xml:space="preserve">, other </w:t>
      </w:r>
      <w:r>
        <w:rPr>
          <w:rFonts w:eastAsia="Calibri" w:cs="Times New Roman"/>
          <w:color w:val="000000"/>
          <w:szCs w:val="20"/>
          <w:vertAlign w:val="superscript"/>
        </w:rPr>
        <w:t xml:space="preserve">177 </w:t>
      </w:r>
      <w:r>
        <w:rPr>
          <w:rFonts w:eastAsia="Calibri" w:cs="Times New Roman"/>
          <w:color w:val="000000"/>
          <w:szCs w:val="20"/>
        </w:rPr>
        <w:t xml:space="preserve">Lu therapeutic products should have been included in the assessment. In addition, the applicant contended that due to GMP, these two products are close biosimilars and highlighted that the </w:t>
      </w:r>
      <w:r>
        <w:rPr>
          <w:rFonts w:eastAsia="Calibri" w:cs="Times New Roman"/>
          <w:color w:val="000000"/>
          <w:szCs w:val="20"/>
        </w:rPr>
        <w:lastRenderedPageBreak/>
        <w:t>European Medicines Agency (EMA) accepted the evidence using different formulations of the active substance in Erasmus Phase I/II study and NETTER-I trial.</w:t>
      </w:r>
    </w:p>
    <w:p w14:paraId="1B9F7D19" w14:textId="77777777" w:rsidR="000B228E" w:rsidRDefault="000B228E" w:rsidP="000B228E">
      <w:pPr>
        <w:spacing w:before="0" w:after="240" w:line="240" w:lineRule="auto"/>
        <w:rPr>
          <w:rFonts w:eastAsia="Times New Roman" w:cs="Times New Roman"/>
          <w:color w:val="000000"/>
          <w:szCs w:val="20"/>
          <w:lang w:eastAsia="en-AU"/>
        </w:rPr>
      </w:pPr>
      <w:r>
        <w:rPr>
          <w:rFonts w:eastAsia="Calibri" w:cs="Times New Roman"/>
          <w:color w:val="000000"/>
          <w:szCs w:val="20"/>
        </w:rPr>
        <w:t xml:space="preserve">ESC noted that the evidence base for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(which as noted previously was used for assessment purposes to evaluate the safety and efficacy of </w:t>
      </w:r>
      <w:r w:rsidRPr="00D934CD">
        <w:rPr>
          <w:rFonts w:eastAsia="Calibri" w:cs="Times New Roman"/>
          <w:color w:val="000000"/>
          <w:szCs w:val="20"/>
          <w:vertAlign w:val="superscript"/>
        </w:rPr>
        <w:t>177</w:t>
      </w:r>
      <w:r w:rsidRPr="00D934CD">
        <w:rPr>
          <w:rFonts w:eastAsia="Calibri" w:cs="Times New Roman"/>
          <w:color w:val="000000"/>
          <w:szCs w:val="20"/>
        </w:rPr>
        <w:t>Lu-DOTA-octreotate</w:t>
      </w:r>
      <w:r>
        <w:rPr>
          <w:rFonts w:eastAsia="Calibri" w:cs="Times New Roman"/>
          <w:color w:val="000000"/>
          <w:szCs w:val="20"/>
        </w:rPr>
        <w:t xml:space="preserve">) comprised </w:t>
      </w:r>
      <w:r w:rsidRPr="009C3944">
        <w:rPr>
          <w:rFonts w:eastAsia="Calibri" w:cs="Times New Roman"/>
          <w:color w:val="000000"/>
          <w:szCs w:val="20"/>
        </w:rPr>
        <w:t>14 RCTs of varying treatments for exemplar NENs</w:t>
      </w:r>
      <w:r>
        <w:rPr>
          <w:rFonts w:eastAsia="Calibri" w:cs="Times New Roman"/>
          <w:color w:val="000000"/>
          <w:szCs w:val="20"/>
        </w:rPr>
        <w:t xml:space="preserve">. </w:t>
      </w:r>
      <w:r w:rsidRPr="00D934CD">
        <w:rPr>
          <w:rFonts w:eastAsia="Times New Roman" w:cs="Times New Roman"/>
          <w:color w:val="000000"/>
          <w:szCs w:val="20"/>
          <w:lang w:eastAsia="en-AU"/>
        </w:rPr>
        <w:t xml:space="preserve">ESC noted the applicant’s concerns in its pre-ESC response that the systematic review </w:t>
      </w:r>
      <w:r>
        <w:rPr>
          <w:rFonts w:eastAsia="Times New Roman" w:cs="Times New Roman"/>
          <w:color w:val="000000"/>
          <w:szCs w:val="20"/>
          <w:lang w:eastAsia="en-AU"/>
        </w:rPr>
        <w:t>wa</w:t>
      </w:r>
      <w:r w:rsidRPr="00D934CD">
        <w:rPr>
          <w:rFonts w:eastAsia="Times New Roman" w:cs="Times New Roman"/>
          <w:color w:val="000000"/>
          <w:szCs w:val="20"/>
          <w:lang w:eastAsia="en-AU"/>
        </w:rPr>
        <w:t xml:space="preserve">s reliant on evidence from randomised controlled trials (RCT) </w:t>
      </w:r>
      <w:r>
        <w:rPr>
          <w:rFonts w:eastAsia="Times New Roman" w:cs="Times New Roman"/>
          <w:color w:val="000000"/>
          <w:szCs w:val="20"/>
          <w:lang w:eastAsia="en-AU"/>
        </w:rPr>
        <w:t>to</w:t>
      </w:r>
      <w:r w:rsidRPr="00D934CD">
        <w:rPr>
          <w:rFonts w:eastAsia="Times New Roman" w:cs="Times New Roman"/>
          <w:color w:val="000000"/>
          <w:szCs w:val="20"/>
          <w:lang w:eastAsia="en-AU"/>
        </w:rPr>
        <w:t xml:space="preserve"> the virtual exclusion of highly relevant real-world evidence. ESC noted that the </w:t>
      </w:r>
      <w:r>
        <w:rPr>
          <w:rFonts w:eastAsia="Times New Roman" w:cs="Times New Roman"/>
          <w:color w:val="000000"/>
          <w:szCs w:val="20"/>
          <w:lang w:eastAsia="en-AU"/>
        </w:rPr>
        <w:t xml:space="preserve">rejoinder provided by the </w:t>
      </w:r>
      <w:r w:rsidRPr="00D934CD">
        <w:rPr>
          <w:rFonts w:eastAsia="Times New Roman" w:cs="Times New Roman"/>
          <w:color w:val="000000"/>
          <w:szCs w:val="20"/>
          <w:lang w:eastAsia="en-AU"/>
        </w:rPr>
        <w:t>assessment group responded that single-arm, non-randomised studies are of limited utility in assessing the cost-effectiveness of treatment. Consequently, the</w:t>
      </w:r>
      <w:r>
        <w:rPr>
          <w:rFonts w:eastAsia="Times New Roman" w:cs="Times New Roman"/>
          <w:color w:val="000000"/>
          <w:szCs w:val="20"/>
          <w:lang w:eastAsia="en-AU"/>
        </w:rPr>
        <w:t xml:space="preserve"> systematic literature</w:t>
      </w:r>
      <w:r w:rsidRPr="00D934CD">
        <w:rPr>
          <w:rFonts w:eastAsia="Times New Roman" w:cs="Times New Roman"/>
          <w:color w:val="000000"/>
          <w:szCs w:val="20"/>
          <w:lang w:eastAsia="en-AU"/>
        </w:rPr>
        <w:t xml:space="preserve"> review focused primarily on RCTs that provide the most robust and least biased estimates of the comparative efficacy between interventions</w:t>
      </w:r>
      <w:r>
        <w:rPr>
          <w:rFonts w:eastAsia="Times New Roman" w:cs="Times New Roman"/>
          <w:color w:val="000000"/>
          <w:szCs w:val="20"/>
          <w:lang w:eastAsia="en-AU"/>
        </w:rPr>
        <w:t xml:space="preserve"> </w:t>
      </w:r>
      <w:r w:rsidRPr="00D934CD">
        <w:rPr>
          <w:rFonts w:eastAsia="Times New Roman" w:cs="Times New Roman"/>
          <w:color w:val="000000"/>
          <w:szCs w:val="20"/>
          <w:lang w:eastAsia="en-AU"/>
        </w:rPr>
        <w:t>by controlling for confounding variables, minimising biases, and ensuring consistency in treatment administration and outcome measurement</w:t>
      </w:r>
      <w:r>
        <w:rPr>
          <w:rFonts w:eastAsia="Times New Roman" w:cs="Times New Roman"/>
          <w:color w:val="000000"/>
          <w:szCs w:val="20"/>
          <w:lang w:eastAsia="en-AU"/>
        </w:rPr>
        <w:t>.</w:t>
      </w:r>
    </w:p>
    <w:p w14:paraId="508EEAC4" w14:textId="77777777" w:rsidR="000B228E" w:rsidRPr="00994611"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For comparative safety, ESC noted that the rates of adverse events (AEs) and serious AEs (SAEs) were pooled from individual studies. ESC noted the pooled </w:t>
      </w:r>
      <w:r w:rsidRPr="006545E2">
        <w:rPr>
          <w:rFonts w:eastAsia="Times New Roman" w:cs="Times New Roman"/>
          <w:color w:val="000000"/>
          <w:szCs w:val="20"/>
          <w:lang w:eastAsia="en-AU"/>
        </w:rPr>
        <w:t xml:space="preserve">proportions of patients experiencing </w:t>
      </w:r>
      <w:r>
        <w:rPr>
          <w:rFonts w:eastAsia="Times New Roman" w:cs="Times New Roman"/>
          <w:color w:val="000000"/>
          <w:szCs w:val="20"/>
          <w:lang w:eastAsia="en-AU"/>
        </w:rPr>
        <w:t xml:space="preserve">AEs was high across all studies but that the rates of serious AEs varied across treatments. </w:t>
      </w:r>
      <w:r>
        <w:t>The rates of SAEs for o</w:t>
      </w:r>
      <w:r w:rsidRPr="00DC3B9C">
        <w:t xml:space="preserve">ctreotide </w:t>
      </w:r>
      <w:r>
        <w:t>plus</w:t>
      </w:r>
      <w:r w:rsidRPr="00DC3B9C">
        <w:t xml:space="preserve"> everolimus</w:t>
      </w:r>
      <w:r>
        <w:t xml:space="preserve"> (59%)</w:t>
      </w:r>
      <w:r w:rsidRPr="00DC3B9C">
        <w:t xml:space="preserve"> were more than double th</w:t>
      </w:r>
      <w:r>
        <w:t>ose</w:t>
      </w:r>
      <w:r w:rsidRPr="00DC3B9C">
        <w:t xml:space="preserve"> for </w:t>
      </w:r>
      <w:r w:rsidRPr="001345FE">
        <w:rPr>
          <w:vertAlign w:val="superscript"/>
        </w:rPr>
        <w:t>177</w:t>
      </w:r>
      <w:r w:rsidRPr="001345FE">
        <w:t>Lu-DOTATATE</w:t>
      </w:r>
      <w:r w:rsidRPr="00050981">
        <w:rPr>
          <w:rFonts w:ascii="Arial Narrow" w:hAnsi="Arial Narrow"/>
        </w:rPr>
        <w:t xml:space="preserve"> </w:t>
      </w:r>
      <w:r w:rsidRPr="00DC3B9C">
        <w:t xml:space="preserve">(26%). </w:t>
      </w:r>
      <w:r>
        <w:rPr>
          <w:rFonts w:eastAsia="Times New Roman" w:cs="Times New Roman"/>
          <w:color w:val="000000"/>
          <w:szCs w:val="20"/>
          <w:lang w:eastAsia="en-AU"/>
        </w:rPr>
        <w:t xml:space="preserve"> ESC considered that the frequency of serious AEs was no worse with PRRT treatment than other comparator treatments but there was no data on types of AEs reported in the DCAR. ESC noted that long-term side effects of PRRT can include myelodysplastic syndrome, which occurred in 2 (2%) of 111 patients in NETTER-1. Overall, ESC considered there was only limited evidence which demonstrated that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(and thus</w:t>
      </w:r>
      <w:r>
        <w:rPr>
          <w:rFonts w:eastAsia="Times New Roman" w:cs="Times New Roman"/>
          <w:color w:val="000000"/>
          <w:szCs w:val="20"/>
          <w:lang w:eastAsia="en-AU"/>
        </w:rPr>
        <w:t xml:space="preserve"> </w:t>
      </w:r>
      <w:r w:rsidRPr="00994611">
        <w:rPr>
          <w:rFonts w:eastAsia="Times New Roman" w:cs="Times New Roman"/>
          <w:color w:val="000000"/>
          <w:szCs w:val="20"/>
          <w:vertAlign w:val="superscript"/>
          <w:lang w:eastAsia="en-AU"/>
        </w:rPr>
        <w:t>177</w:t>
      </w:r>
      <w:r w:rsidRPr="00F01F46">
        <w:rPr>
          <w:rFonts w:eastAsia="Times New Roman" w:cs="Times New Roman"/>
          <w:color w:val="000000"/>
          <w:szCs w:val="20"/>
          <w:lang w:eastAsia="en-AU"/>
        </w:rPr>
        <w:t>Lu-DOTA-octreotate</w:t>
      </w:r>
      <w:r>
        <w:rPr>
          <w:rFonts w:eastAsia="Times New Roman" w:cs="Times New Roman"/>
          <w:color w:val="000000"/>
          <w:szCs w:val="20"/>
          <w:lang w:eastAsia="en-AU"/>
        </w:rPr>
        <w:t xml:space="preserve"> based on assumed noninferiority between the two products) treatment</w:t>
      </w:r>
      <w:r w:rsidRPr="00F01F46">
        <w:rPr>
          <w:rFonts w:eastAsia="Times New Roman" w:cs="Times New Roman"/>
          <w:color w:val="000000"/>
          <w:szCs w:val="20"/>
          <w:lang w:eastAsia="en-AU"/>
        </w:rPr>
        <w:t xml:space="preserve"> </w:t>
      </w:r>
      <w:r>
        <w:rPr>
          <w:rFonts w:eastAsia="Times New Roman" w:cs="Times New Roman"/>
          <w:color w:val="000000"/>
          <w:szCs w:val="20"/>
          <w:lang w:eastAsia="en-AU"/>
        </w:rPr>
        <w:t>had</w:t>
      </w:r>
      <w:r w:rsidRPr="00F01F46">
        <w:rPr>
          <w:rFonts w:eastAsia="Times New Roman" w:cs="Times New Roman"/>
          <w:color w:val="000000"/>
          <w:szCs w:val="20"/>
          <w:lang w:eastAsia="en-AU"/>
        </w:rPr>
        <w:t xml:space="preserve"> noninferior safety compared with octreotide monotherapy, everolimus monotherapy, sunitinib, lanreotide and placebo/BSC; and superior safety compared to octreotide plus everolimus combination therapy</w:t>
      </w:r>
      <w:r>
        <w:rPr>
          <w:rFonts w:eastAsia="Times New Roman" w:cs="Times New Roman"/>
          <w:color w:val="000000"/>
          <w:szCs w:val="20"/>
          <w:lang w:eastAsia="en-AU"/>
        </w:rPr>
        <w:t>.</w:t>
      </w:r>
    </w:p>
    <w:p w14:paraId="15D1545F" w14:textId="77777777" w:rsidR="000B228E" w:rsidRDefault="000B228E" w:rsidP="000B228E">
      <w:pPr>
        <w:spacing w:before="0" w:after="240" w:line="240" w:lineRule="auto"/>
        <w:rPr>
          <w:rFonts w:eastAsia="Calibri" w:cs="Times New Roman"/>
          <w:color w:val="000000"/>
          <w:szCs w:val="20"/>
        </w:rPr>
      </w:pPr>
      <w:r>
        <w:rPr>
          <w:rFonts w:eastAsia="Calibri" w:cs="Times New Roman"/>
          <w:color w:val="000000"/>
          <w:szCs w:val="20"/>
        </w:rPr>
        <w:t>Notwithstanding that</w:t>
      </w:r>
      <w:r w:rsidRPr="009C3944">
        <w:rPr>
          <w:rFonts w:eastAsia="Calibri" w:cs="Times New Roman"/>
          <w:color w:val="000000"/>
          <w:szCs w:val="20"/>
        </w:rPr>
        <w:t xml:space="preserve"> the </w:t>
      </w:r>
      <w:r w:rsidRPr="005D0186">
        <w:rPr>
          <w:rFonts w:eastAsia="Calibri" w:cs="Times New Roman"/>
          <w:color w:val="000000"/>
          <w:szCs w:val="20"/>
        </w:rPr>
        <w:t xml:space="preserve">DCAR considered </w:t>
      </w:r>
      <w:r>
        <w:rPr>
          <w:rFonts w:eastAsia="Calibri" w:cs="Times New Roman"/>
          <w:color w:val="000000"/>
          <w:szCs w:val="20"/>
        </w:rPr>
        <w:t>BSC</w:t>
      </w:r>
      <w:r w:rsidRPr="005D0186">
        <w:rPr>
          <w:rFonts w:eastAsia="Calibri" w:cs="Times New Roman"/>
          <w:color w:val="000000"/>
          <w:szCs w:val="20"/>
        </w:rPr>
        <w:t xml:space="preserve"> the most relevant comparator</w:t>
      </w:r>
      <w:r>
        <w:rPr>
          <w:rFonts w:eastAsia="Calibri" w:cs="Times New Roman"/>
          <w:color w:val="000000"/>
          <w:szCs w:val="20"/>
        </w:rPr>
        <w:t>, ESC noted that the</w:t>
      </w:r>
      <w:r w:rsidRPr="009C3944">
        <w:rPr>
          <w:rFonts w:eastAsia="Calibri" w:cs="Times New Roman"/>
          <w:color w:val="000000"/>
          <w:szCs w:val="20"/>
        </w:rPr>
        <w:t xml:space="preserve"> comparators </w:t>
      </w:r>
      <w:r>
        <w:rPr>
          <w:rFonts w:eastAsia="Calibri" w:cs="Times New Roman"/>
          <w:color w:val="000000"/>
          <w:szCs w:val="20"/>
        </w:rPr>
        <w:t xml:space="preserve">in this evidence base included all the listed comparators </w:t>
      </w:r>
      <w:r w:rsidRPr="009C3944">
        <w:rPr>
          <w:rFonts w:eastAsia="Calibri" w:cs="Times New Roman"/>
          <w:color w:val="000000"/>
          <w:szCs w:val="20"/>
        </w:rPr>
        <w:t>(SSA, targeted therapies, chemotherapies, BSC</w:t>
      </w:r>
      <w:r>
        <w:rPr>
          <w:rFonts w:eastAsia="Calibri" w:cs="Times New Roman"/>
          <w:color w:val="000000"/>
          <w:szCs w:val="20"/>
        </w:rPr>
        <w:t>). ESC noted that o</w:t>
      </w:r>
      <w:r w:rsidRPr="00D934CD">
        <w:rPr>
          <w:rFonts w:eastAsia="Calibri" w:cs="Times New Roman"/>
          <w:color w:val="000000"/>
          <w:szCs w:val="20"/>
        </w:rPr>
        <w:t xml:space="preserve">f the comparators highlighted in the PICO, comparative evidence against </w:t>
      </w:r>
      <w:r w:rsidRPr="00D934CD">
        <w:rPr>
          <w:rFonts w:eastAsia="Calibri" w:cs="Times New Roman"/>
          <w:color w:val="000000"/>
          <w:szCs w:val="20"/>
          <w:vertAlign w:val="superscript"/>
        </w:rPr>
        <w:t>177</w:t>
      </w:r>
      <w:r w:rsidRPr="0012422E">
        <w:rPr>
          <w:rFonts w:eastAsia="Calibri" w:cs="Times New Roman"/>
          <w:color w:val="000000"/>
          <w:szCs w:val="20"/>
        </w:rPr>
        <w:t xml:space="preserve">Lu-DOTATATE </w:t>
      </w:r>
      <w:r w:rsidRPr="00D934CD">
        <w:rPr>
          <w:rFonts w:eastAsia="Calibri" w:cs="Times New Roman"/>
          <w:color w:val="000000"/>
          <w:szCs w:val="20"/>
        </w:rPr>
        <w:t>was only found for two of these (</w:t>
      </w:r>
      <w:r w:rsidRPr="0012422E">
        <w:rPr>
          <w:rFonts w:eastAsia="Calibri" w:cs="Times New Roman"/>
          <w:color w:val="000000"/>
          <w:szCs w:val="20"/>
        </w:rPr>
        <w:t xml:space="preserve">octreotide </w:t>
      </w:r>
      <w:r w:rsidRPr="00D934CD">
        <w:rPr>
          <w:rFonts w:eastAsia="Calibri" w:cs="Times New Roman"/>
          <w:color w:val="000000"/>
          <w:szCs w:val="20"/>
        </w:rPr>
        <w:t xml:space="preserve">and </w:t>
      </w:r>
      <w:r w:rsidRPr="0012422E">
        <w:rPr>
          <w:rFonts w:eastAsia="Calibri" w:cs="Times New Roman"/>
          <w:color w:val="000000"/>
          <w:szCs w:val="20"/>
        </w:rPr>
        <w:t>sunitinib</w:t>
      </w:r>
      <w:r w:rsidRPr="00D934CD">
        <w:rPr>
          <w:rFonts w:eastAsia="Calibri" w:cs="Times New Roman"/>
          <w:color w:val="000000"/>
          <w:szCs w:val="20"/>
        </w:rPr>
        <w:t>)</w:t>
      </w:r>
      <w:r>
        <w:rPr>
          <w:rFonts w:eastAsia="Calibri" w:cs="Times New Roman"/>
          <w:color w:val="000000"/>
          <w:szCs w:val="20"/>
        </w:rPr>
        <w:t xml:space="preserve"> and the </w:t>
      </w:r>
      <w:r w:rsidRPr="0012422E">
        <w:rPr>
          <w:rFonts w:eastAsia="Calibri" w:cs="Times New Roman"/>
          <w:color w:val="000000"/>
          <w:szCs w:val="20"/>
        </w:rPr>
        <w:t>other 12 trials were</w:t>
      </w:r>
      <w:r>
        <w:rPr>
          <w:rFonts w:eastAsia="Calibri" w:cs="Times New Roman"/>
          <w:color w:val="000000"/>
          <w:szCs w:val="20"/>
        </w:rPr>
        <w:t xml:space="preserve"> of</w:t>
      </w:r>
      <w:r w:rsidRPr="0012422E">
        <w:rPr>
          <w:rFonts w:eastAsia="Calibri" w:cs="Times New Roman"/>
          <w:color w:val="000000"/>
          <w:szCs w:val="20"/>
        </w:rPr>
        <w:t xml:space="preserve"> chemotherapies/targeted therapies vs</w:t>
      </w:r>
      <w:r>
        <w:rPr>
          <w:rFonts w:eastAsia="Calibri" w:cs="Times New Roman"/>
          <w:color w:val="000000"/>
          <w:szCs w:val="20"/>
        </w:rPr>
        <w:t>.</w:t>
      </w:r>
      <w:r w:rsidRPr="0012422E">
        <w:rPr>
          <w:rFonts w:eastAsia="Calibri" w:cs="Times New Roman"/>
          <w:color w:val="000000"/>
          <w:szCs w:val="20"/>
        </w:rPr>
        <w:t xml:space="preserve"> BSC</w:t>
      </w:r>
      <w:r>
        <w:rPr>
          <w:rFonts w:eastAsia="Calibri" w:cs="Times New Roman"/>
          <w:color w:val="000000"/>
          <w:szCs w:val="20"/>
        </w:rPr>
        <w:t xml:space="preserve">. The most common outcomes studied in the RCTs were progression free survival (PFS) and overall survival (OS).   </w:t>
      </w:r>
      <w:r w:rsidRPr="00D934CD">
        <w:rPr>
          <w:rFonts w:eastAsia="Calibri" w:cs="Times New Roman"/>
          <w:color w:val="000000"/>
          <w:szCs w:val="20"/>
        </w:rPr>
        <w:t xml:space="preserve">To generate </w:t>
      </w:r>
      <w:r>
        <w:rPr>
          <w:rFonts w:eastAsia="Calibri" w:cs="Times New Roman"/>
          <w:color w:val="000000"/>
          <w:szCs w:val="20"/>
        </w:rPr>
        <w:t xml:space="preserve">indirect </w:t>
      </w:r>
      <w:r w:rsidRPr="00D934CD">
        <w:rPr>
          <w:rFonts w:eastAsia="Calibri" w:cs="Times New Roman"/>
          <w:color w:val="000000"/>
          <w:szCs w:val="20"/>
        </w:rPr>
        <w:t xml:space="preserve">estimates of the relative effects of </w:t>
      </w:r>
      <w:r w:rsidRPr="00D934CD">
        <w:rPr>
          <w:rFonts w:eastAsia="Calibri" w:cs="Times New Roman"/>
          <w:color w:val="000000"/>
          <w:szCs w:val="20"/>
          <w:vertAlign w:val="superscript"/>
        </w:rPr>
        <w:t>177</w:t>
      </w:r>
      <w:r w:rsidRPr="00D934CD">
        <w:rPr>
          <w:rFonts w:eastAsia="Calibri" w:cs="Times New Roman"/>
          <w:color w:val="000000"/>
          <w:szCs w:val="20"/>
        </w:rPr>
        <w:t>Lu-DOTATATE against the other comparators, a network meta-analysis (NMA) was conducted.</w:t>
      </w:r>
    </w:p>
    <w:p w14:paraId="1A9E7AF5" w14:textId="77777777" w:rsidR="000B228E" w:rsidRDefault="000B228E" w:rsidP="000B228E">
      <w:pPr>
        <w:spacing w:before="0" w:after="240" w:line="240" w:lineRule="auto"/>
        <w:rPr>
          <w:rFonts w:eastAsia="Calibri" w:cs="Times New Roman"/>
          <w:color w:val="000000"/>
          <w:szCs w:val="20"/>
        </w:rPr>
      </w:pPr>
      <w:r>
        <w:rPr>
          <w:rFonts w:eastAsia="Calibri" w:cs="Times New Roman"/>
          <w:color w:val="000000"/>
          <w:szCs w:val="20"/>
        </w:rPr>
        <w:t>ESC noted that there were numerous m</w:t>
      </w:r>
      <w:r w:rsidRPr="00A41278">
        <w:rPr>
          <w:rFonts w:eastAsia="Calibri" w:cs="Times New Roman"/>
          <w:color w:val="000000"/>
          <w:szCs w:val="20"/>
        </w:rPr>
        <w:t xml:space="preserve">ethodological issues </w:t>
      </w:r>
      <w:r>
        <w:rPr>
          <w:rFonts w:eastAsia="Calibri" w:cs="Times New Roman"/>
          <w:color w:val="000000"/>
          <w:szCs w:val="20"/>
        </w:rPr>
        <w:t>associated with the</w:t>
      </w:r>
      <w:r w:rsidRPr="00A41278">
        <w:rPr>
          <w:rFonts w:eastAsia="Calibri" w:cs="Times New Roman"/>
          <w:color w:val="000000"/>
          <w:szCs w:val="20"/>
        </w:rPr>
        <w:t xml:space="preserve"> individual studies</w:t>
      </w:r>
      <w:r>
        <w:rPr>
          <w:rFonts w:eastAsia="Calibri" w:cs="Times New Roman"/>
          <w:color w:val="000000"/>
          <w:szCs w:val="20"/>
        </w:rPr>
        <w:t xml:space="preserve"> (in addition to the uncertainty of assuming noninferiority between </w:t>
      </w:r>
      <w:r w:rsidRPr="00994611">
        <w:rPr>
          <w:rFonts w:eastAsia="Calibri" w:cs="Times New Roman"/>
          <w:color w:val="000000"/>
          <w:szCs w:val="20"/>
          <w:vertAlign w:val="superscript"/>
        </w:rPr>
        <w:t>177</w:t>
      </w:r>
      <w:r w:rsidRPr="000F7FD2">
        <w:rPr>
          <w:rFonts w:eastAsia="Calibri" w:cs="Times New Roman"/>
          <w:color w:val="000000"/>
          <w:szCs w:val="20"/>
        </w:rPr>
        <w:t xml:space="preserve">Lu-DOTA-octreotate and </w:t>
      </w:r>
      <w:r w:rsidRPr="00994611">
        <w:rPr>
          <w:rFonts w:eastAsia="Calibri" w:cs="Times New Roman"/>
          <w:color w:val="000000"/>
          <w:szCs w:val="20"/>
          <w:vertAlign w:val="superscript"/>
        </w:rPr>
        <w:t>177</w:t>
      </w:r>
      <w:r w:rsidRPr="000F7FD2">
        <w:rPr>
          <w:rFonts w:eastAsia="Calibri" w:cs="Times New Roman"/>
          <w:color w:val="000000"/>
          <w:szCs w:val="20"/>
        </w:rPr>
        <w:t>Lu-DOTATATE</w:t>
      </w:r>
      <w:r>
        <w:rPr>
          <w:rFonts w:eastAsia="Calibri" w:cs="Times New Roman"/>
          <w:color w:val="000000"/>
          <w:szCs w:val="20"/>
        </w:rPr>
        <w:t xml:space="preserve"> based solely on a comparison of their pharmaceutical forms):</w:t>
      </w:r>
    </w:p>
    <w:p w14:paraId="4CDFD68E"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sidRPr="00994611">
        <w:rPr>
          <w:rFonts w:eastAsia="Calibri" w:cs="Times New Roman"/>
          <w:color w:val="000000"/>
          <w:szCs w:val="20"/>
        </w:rPr>
        <w:t xml:space="preserve">selection bias because patients were selected on the basis of </w:t>
      </w:r>
      <w:proofErr w:type="spellStart"/>
      <w:r w:rsidRPr="00994611">
        <w:rPr>
          <w:rFonts w:eastAsia="Calibri" w:cs="Times New Roman"/>
          <w:color w:val="000000"/>
          <w:szCs w:val="20"/>
        </w:rPr>
        <w:t>Octreoscan</w:t>
      </w:r>
      <w:proofErr w:type="spellEnd"/>
      <w:r w:rsidRPr="00994611">
        <w:rPr>
          <w:rFonts w:eastAsia="Calibri" w:cs="Times New Roman"/>
          <w:color w:val="000000"/>
          <w:szCs w:val="20"/>
        </w:rPr>
        <w:t xml:space="preserve"> </w:t>
      </w:r>
      <w:r>
        <w:rPr>
          <w:rFonts w:eastAsia="Calibri" w:cs="Times New Roman"/>
          <w:color w:val="000000"/>
          <w:szCs w:val="20"/>
        </w:rPr>
        <w:t xml:space="preserve">results (rather than Gallium scans) </w:t>
      </w:r>
      <w:r w:rsidRPr="00994611">
        <w:rPr>
          <w:rFonts w:eastAsia="Calibri" w:cs="Times New Roman"/>
          <w:color w:val="000000"/>
          <w:szCs w:val="20"/>
        </w:rPr>
        <w:t xml:space="preserve">and because of inadequate allocation </w:t>
      </w:r>
      <w:proofErr w:type="gramStart"/>
      <w:r w:rsidRPr="00994611">
        <w:rPr>
          <w:rFonts w:eastAsia="Calibri" w:cs="Times New Roman"/>
          <w:color w:val="000000"/>
          <w:szCs w:val="20"/>
        </w:rPr>
        <w:t>concealment</w:t>
      </w:r>
      <w:proofErr w:type="gramEnd"/>
    </w:p>
    <w:p w14:paraId="4236DF5A"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Pr>
          <w:rFonts w:eastAsia="Calibri" w:cs="Times New Roman"/>
          <w:color w:val="000000"/>
          <w:szCs w:val="20"/>
        </w:rPr>
        <w:t>measurement bias because seven of the</w:t>
      </w:r>
      <w:r w:rsidRPr="0009478E">
        <w:rPr>
          <w:rFonts w:eastAsia="Calibri" w:cs="Times New Roman"/>
          <w:color w:val="000000"/>
          <w:szCs w:val="20"/>
        </w:rPr>
        <w:t xml:space="preserve"> studies were open label</w:t>
      </w:r>
      <w:r>
        <w:rPr>
          <w:rFonts w:eastAsia="Calibri" w:cs="Times New Roman"/>
          <w:color w:val="000000"/>
          <w:szCs w:val="20"/>
        </w:rPr>
        <w:t xml:space="preserve"> which may have led to </w:t>
      </w:r>
      <w:r w:rsidRPr="0009478E">
        <w:rPr>
          <w:rFonts w:eastAsia="Calibri" w:cs="Times New Roman"/>
          <w:color w:val="000000"/>
          <w:szCs w:val="20"/>
        </w:rPr>
        <w:t xml:space="preserve">subjective interpretation of PFS and risk of favouring </w:t>
      </w:r>
      <w:r>
        <w:rPr>
          <w:rFonts w:eastAsia="Calibri" w:cs="Times New Roman"/>
          <w:color w:val="000000"/>
          <w:szCs w:val="20"/>
        </w:rPr>
        <w:t xml:space="preserve">the </w:t>
      </w:r>
      <w:r w:rsidRPr="0009478E">
        <w:rPr>
          <w:rFonts w:eastAsia="Calibri" w:cs="Times New Roman"/>
          <w:color w:val="000000"/>
          <w:szCs w:val="20"/>
        </w:rPr>
        <w:t xml:space="preserve">intervention </w:t>
      </w:r>
      <w:r>
        <w:rPr>
          <w:rFonts w:eastAsia="Calibri" w:cs="Times New Roman"/>
          <w:color w:val="000000"/>
          <w:szCs w:val="20"/>
        </w:rPr>
        <w:t xml:space="preserve">(this </w:t>
      </w:r>
      <w:r w:rsidRPr="0009478E">
        <w:rPr>
          <w:rFonts w:eastAsia="Calibri" w:cs="Times New Roman"/>
          <w:color w:val="000000"/>
          <w:szCs w:val="20"/>
        </w:rPr>
        <w:t>incl</w:t>
      </w:r>
      <w:r>
        <w:rPr>
          <w:rFonts w:eastAsia="Calibri" w:cs="Times New Roman"/>
          <w:color w:val="000000"/>
          <w:szCs w:val="20"/>
        </w:rPr>
        <w:t>uded</w:t>
      </w:r>
      <w:r w:rsidRPr="0009478E">
        <w:rPr>
          <w:rFonts w:eastAsia="Calibri" w:cs="Times New Roman"/>
          <w:color w:val="000000"/>
          <w:szCs w:val="20"/>
        </w:rPr>
        <w:t xml:space="preserve"> NETTER-1</w:t>
      </w:r>
      <w:r>
        <w:rPr>
          <w:rFonts w:eastAsia="Calibri" w:cs="Times New Roman"/>
          <w:color w:val="000000"/>
          <w:szCs w:val="20"/>
        </w:rPr>
        <w:t>)</w:t>
      </w:r>
    </w:p>
    <w:p w14:paraId="4E234A66" w14:textId="77777777" w:rsidR="000B228E" w:rsidRPr="00994611" w:rsidRDefault="000B228E" w:rsidP="00C561D7">
      <w:pPr>
        <w:pStyle w:val="ListParagraph"/>
        <w:numPr>
          <w:ilvl w:val="0"/>
          <w:numId w:val="28"/>
        </w:numPr>
        <w:spacing w:before="0" w:after="240" w:line="240" w:lineRule="auto"/>
        <w:rPr>
          <w:rFonts w:eastAsia="Calibri" w:cs="Times New Roman"/>
          <w:color w:val="000000"/>
          <w:szCs w:val="20"/>
        </w:rPr>
      </w:pPr>
      <w:r>
        <w:rPr>
          <w:rFonts w:eastAsia="Calibri" w:cs="Times New Roman"/>
          <w:color w:val="000000"/>
          <w:szCs w:val="20"/>
        </w:rPr>
        <w:t xml:space="preserve">as already discussed above, the therapies in the trials were only for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(meaning that</w:t>
      </w:r>
      <w:r w:rsidRPr="000F7FD2">
        <w:t xml:space="preserve"> </w:t>
      </w:r>
      <w:r w:rsidRPr="000F7FD2">
        <w:rPr>
          <w:rFonts w:eastAsia="Calibri" w:cs="Times New Roman"/>
          <w:color w:val="000000"/>
          <w:szCs w:val="20"/>
        </w:rPr>
        <w:t xml:space="preserve">for assessment purposes, </w:t>
      </w:r>
      <w:r>
        <w:rPr>
          <w:rFonts w:eastAsia="Calibri" w:cs="Times New Roman"/>
          <w:color w:val="000000"/>
          <w:szCs w:val="20"/>
        </w:rPr>
        <w:t>non-inferiority</w:t>
      </w:r>
      <w:r w:rsidRPr="000F7FD2">
        <w:rPr>
          <w:rFonts w:eastAsia="Calibri" w:cs="Times New Roman"/>
          <w:color w:val="000000"/>
          <w:szCs w:val="20"/>
        </w:rPr>
        <w:t xml:space="preserve"> between</w:t>
      </w:r>
      <w:r>
        <w:rPr>
          <w:rFonts w:eastAsia="Calibri" w:cs="Times New Roman"/>
          <w:color w:val="000000"/>
          <w:szCs w:val="20"/>
        </w:rPr>
        <w:t xml:space="preserve">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and </w:t>
      </w:r>
      <w:r w:rsidRPr="00D934CD">
        <w:rPr>
          <w:rFonts w:eastAsia="Calibri" w:cs="Times New Roman"/>
          <w:color w:val="000000"/>
          <w:szCs w:val="20"/>
          <w:vertAlign w:val="superscript"/>
        </w:rPr>
        <w:t>177</w:t>
      </w:r>
      <w:r w:rsidRPr="00D934CD">
        <w:rPr>
          <w:rFonts w:eastAsia="Calibri" w:cs="Times New Roman"/>
          <w:color w:val="000000"/>
          <w:szCs w:val="20"/>
        </w:rPr>
        <w:t>Lu(</w:t>
      </w:r>
      <w:proofErr w:type="spellStart"/>
      <w:r>
        <w:rPr>
          <w:rFonts w:eastAsia="Calibri" w:cs="Times New Roman"/>
          <w:color w:val="000000"/>
          <w:szCs w:val="20"/>
        </w:rPr>
        <w:t>n</w:t>
      </w:r>
      <w:r w:rsidRPr="00D934CD">
        <w:rPr>
          <w:rFonts w:eastAsia="Calibri" w:cs="Times New Roman"/>
          <w:color w:val="000000"/>
          <w:szCs w:val="20"/>
        </w:rPr>
        <w:t>ca</w:t>
      </w:r>
      <w:proofErr w:type="spellEnd"/>
      <w:r w:rsidRPr="00D934CD">
        <w:rPr>
          <w:rFonts w:eastAsia="Calibri" w:cs="Times New Roman"/>
          <w:color w:val="000000"/>
          <w:szCs w:val="20"/>
        </w:rPr>
        <w:t>)-DOTA-</w:t>
      </w:r>
      <w:proofErr w:type="spellStart"/>
      <w:r w:rsidRPr="00D934CD">
        <w:rPr>
          <w:rFonts w:eastAsia="Calibri" w:cs="Times New Roman"/>
          <w:color w:val="000000"/>
          <w:szCs w:val="20"/>
        </w:rPr>
        <w:t>octreotate</w:t>
      </w:r>
      <w:proofErr w:type="spellEnd"/>
      <w:r>
        <w:rPr>
          <w:rFonts w:eastAsia="Calibri" w:cs="Times New Roman"/>
          <w:color w:val="000000"/>
          <w:szCs w:val="20"/>
        </w:rPr>
        <w:t xml:space="preserve"> was assumed). </w:t>
      </w:r>
    </w:p>
    <w:p w14:paraId="3AEA0891" w14:textId="77777777" w:rsidR="000B228E" w:rsidRDefault="000B228E" w:rsidP="000B228E">
      <w:pPr>
        <w:spacing w:before="0" w:after="240" w:line="240" w:lineRule="auto"/>
        <w:rPr>
          <w:rFonts w:eastAsia="Calibri" w:cs="Times New Roman"/>
          <w:color w:val="000000"/>
          <w:szCs w:val="20"/>
        </w:rPr>
      </w:pPr>
      <w:r>
        <w:rPr>
          <w:rFonts w:eastAsia="Calibri" w:cs="Times New Roman"/>
          <w:color w:val="000000"/>
          <w:szCs w:val="20"/>
        </w:rPr>
        <w:t>ESC also noted the following uncertainties related to the network meta-analysis (NMA):</w:t>
      </w:r>
    </w:p>
    <w:p w14:paraId="3F577087"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t xml:space="preserve">Only 1 or 2 trials were available to inform each pairwise connection in the network for the assessment of comparative efficacy which introduces statistical imprecision due to results being </w:t>
      </w:r>
      <w:proofErr w:type="gramStart"/>
      <w:r>
        <w:t>underpowered</w:t>
      </w:r>
      <w:proofErr w:type="gramEnd"/>
    </w:p>
    <w:p w14:paraId="1884BA52"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sidRPr="001F05B7">
        <w:rPr>
          <w:rFonts w:eastAsia="Calibri" w:cs="Times New Roman"/>
          <w:color w:val="000000"/>
          <w:szCs w:val="20"/>
        </w:rPr>
        <w:t xml:space="preserve">NMA relies on </w:t>
      </w:r>
      <w:r>
        <w:rPr>
          <w:rFonts w:eastAsia="Calibri" w:cs="Times New Roman"/>
          <w:color w:val="000000"/>
          <w:szCs w:val="20"/>
        </w:rPr>
        <w:t xml:space="preserve">the </w:t>
      </w:r>
      <w:r w:rsidRPr="001F05B7">
        <w:rPr>
          <w:rFonts w:eastAsia="Calibri" w:cs="Times New Roman"/>
          <w:color w:val="000000"/>
          <w:szCs w:val="20"/>
        </w:rPr>
        <w:t>key assumption</w:t>
      </w:r>
      <w:r>
        <w:rPr>
          <w:rFonts w:eastAsia="Calibri" w:cs="Times New Roman"/>
          <w:color w:val="000000"/>
          <w:szCs w:val="20"/>
        </w:rPr>
        <w:t>s</w:t>
      </w:r>
      <w:r w:rsidRPr="001F05B7">
        <w:rPr>
          <w:rFonts w:eastAsia="Calibri" w:cs="Times New Roman"/>
          <w:color w:val="000000"/>
          <w:szCs w:val="20"/>
        </w:rPr>
        <w:t xml:space="preserve"> of similarity and transitivity and consistency of </w:t>
      </w:r>
      <w:proofErr w:type="gramStart"/>
      <w:r w:rsidRPr="001F05B7">
        <w:rPr>
          <w:rFonts w:eastAsia="Calibri" w:cs="Times New Roman"/>
          <w:color w:val="000000"/>
          <w:szCs w:val="20"/>
        </w:rPr>
        <w:t>results</w:t>
      </w:r>
      <w:proofErr w:type="gramEnd"/>
    </w:p>
    <w:p w14:paraId="36EC9602"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Pr>
          <w:rFonts w:eastAsia="Calibri" w:cs="Times New Roman"/>
          <w:color w:val="000000"/>
          <w:szCs w:val="20"/>
        </w:rPr>
        <w:lastRenderedPageBreak/>
        <w:t>The NENs discussed in the trials comprising the NMA had different origins (</w:t>
      </w:r>
      <w:r w:rsidRPr="00BF6342">
        <w:rPr>
          <w:rFonts w:eastAsia="Calibri" w:cs="Times New Roman"/>
          <w:color w:val="000000"/>
          <w:szCs w:val="20"/>
        </w:rPr>
        <w:t xml:space="preserve">11/14 were pancreatic or GI; </w:t>
      </w:r>
      <w:r>
        <w:rPr>
          <w:rFonts w:eastAsia="Calibri" w:cs="Times New Roman"/>
          <w:color w:val="000000"/>
          <w:szCs w:val="20"/>
        </w:rPr>
        <w:t xml:space="preserve">the </w:t>
      </w:r>
      <w:r w:rsidRPr="00BF6342">
        <w:rPr>
          <w:rFonts w:eastAsia="Calibri" w:cs="Times New Roman"/>
          <w:color w:val="000000"/>
          <w:szCs w:val="20"/>
        </w:rPr>
        <w:t>sensitivity analys</w:t>
      </w:r>
      <w:r>
        <w:rPr>
          <w:rFonts w:eastAsia="Calibri" w:cs="Times New Roman"/>
          <w:color w:val="000000"/>
          <w:szCs w:val="20"/>
        </w:rPr>
        <w:t>es</w:t>
      </w:r>
      <w:r w:rsidRPr="00BF6342">
        <w:rPr>
          <w:rFonts w:eastAsia="Calibri" w:cs="Times New Roman"/>
          <w:color w:val="000000"/>
          <w:szCs w:val="20"/>
        </w:rPr>
        <w:t xml:space="preserve"> excl</w:t>
      </w:r>
      <w:r>
        <w:rPr>
          <w:rFonts w:eastAsia="Calibri" w:cs="Times New Roman"/>
          <w:color w:val="000000"/>
          <w:szCs w:val="20"/>
        </w:rPr>
        <w:t>uded cancers originating in the lung)</w:t>
      </w:r>
    </w:p>
    <w:p w14:paraId="2D43A9BD"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sidRPr="004C71D9">
        <w:rPr>
          <w:rFonts w:eastAsia="Calibri" w:cs="Times New Roman"/>
          <w:color w:val="000000"/>
          <w:szCs w:val="20"/>
        </w:rPr>
        <w:t xml:space="preserve">Not all </w:t>
      </w:r>
      <w:r>
        <w:rPr>
          <w:rFonts w:eastAsia="Calibri" w:cs="Times New Roman"/>
          <w:color w:val="000000"/>
          <w:szCs w:val="20"/>
        </w:rPr>
        <w:t xml:space="preserve">the trials </w:t>
      </w:r>
      <w:r w:rsidRPr="004C71D9">
        <w:rPr>
          <w:rFonts w:eastAsia="Calibri" w:cs="Times New Roman"/>
          <w:color w:val="000000"/>
          <w:szCs w:val="20"/>
        </w:rPr>
        <w:t xml:space="preserve">required SSTRs on target </w:t>
      </w:r>
      <w:proofErr w:type="gramStart"/>
      <w:r w:rsidRPr="004C71D9">
        <w:rPr>
          <w:rFonts w:eastAsia="Calibri" w:cs="Times New Roman"/>
          <w:color w:val="000000"/>
          <w:szCs w:val="20"/>
        </w:rPr>
        <w:t>lesions</w:t>
      </w:r>
      <w:proofErr w:type="gramEnd"/>
    </w:p>
    <w:p w14:paraId="17D3776D"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Pr>
          <w:rFonts w:eastAsia="Calibri" w:cs="Times New Roman"/>
          <w:color w:val="000000"/>
          <w:szCs w:val="20"/>
        </w:rPr>
        <w:t>The interventions being studied were used in d</w:t>
      </w:r>
      <w:r w:rsidRPr="00B96643">
        <w:rPr>
          <w:rFonts w:eastAsia="Calibri" w:cs="Times New Roman"/>
          <w:color w:val="000000"/>
          <w:szCs w:val="20"/>
        </w:rPr>
        <w:t xml:space="preserve">ifferent lines of treatment and </w:t>
      </w:r>
      <w:r>
        <w:rPr>
          <w:rFonts w:eastAsia="Calibri" w:cs="Times New Roman"/>
          <w:color w:val="000000"/>
          <w:szCs w:val="20"/>
        </w:rPr>
        <w:t xml:space="preserve">in differing </w:t>
      </w:r>
      <w:r w:rsidRPr="00B96643">
        <w:rPr>
          <w:rFonts w:eastAsia="Calibri" w:cs="Times New Roman"/>
          <w:color w:val="000000"/>
          <w:szCs w:val="20"/>
        </w:rPr>
        <w:t>doses</w:t>
      </w:r>
      <w:r>
        <w:rPr>
          <w:rFonts w:eastAsia="Calibri" w:cs="Times New Roman"/>
          <w:color w:val="000000"/>
          <w:szCs w:val="20"/>
        </w:rPr>
        <w:t xml:space="preserve"> across </w:t>
      </w:r>
      <w:proofErr w:type="gramStart"/>
      <w:r>
        <w:rPr>
          <w:rFonts w:eastAsia="Calibri" w:cs="Times New Roman"/>
          <w:color w:val="000000"/>
          <w:szCs w:val="20"/>
        </w:rPr>
        <w:t>trials</w:t>
      </w:r>
      <w:proofErr w:type="gramEnd"/>
      <w:r>
        <w:rPr>
          <w:rFonts w:eastAsia="Calibri" w:cs="Times New Roman"/>
          <w:color w:val="000000"/>
          <w:szCs w:val="20"/>
        </w:rPr>
        <w:t xml:space="preserve"> but these were assumed to be similar for the purpose of the NMA</w:t>
      </w:r>
    </w:p>
    <w:p w14:paraId="26995A2E" w14:textId="77777777" w:rsidR="000B228E" w:rsidRPr="00D934CD" w:rsidRDefault="000B228E" w:rsidP="00C561D7">
      <w:pPr>
        <w:pStyle w:val="ListParagraph"/>
        <w:numPr>
          <w:ilvl w:val="0"/>
          <w:numId w:val="28"/>
        </w:numPr>
        <w:spacing w:before="0" w:after="240" w:line="240" w:lineRule="auto"/>
      </w:pPr>
      <w:r>
        <w:rPr>
          <w:rFonts w:eastAsia="Calibri" w:cs="Times New Roman"/>
          <w:color w:val="000000"/>
          <w:szCs w:val="20"/>
        </w:rPr>
        <w:t>There will be biases associated with the individual studies with the direction and magnitude of the bias unknown.</w:t>
      </w:r>
    </w:p>
    <w:p w14:paraId="6425586C" w14:textId="77777777" w:rsidR="000B228E" w:rsidRDefault="000B228E" w:rsidP="000B228E">
      <w:pPr>
        <w:spacing w:before="0" w:after="240" w:line="240" w:lineRule="auto"/>
        <w:rPr>
          <w:rFonts w:eastAsia="Calibri" w:cs="Times New Roman"/>
          <w:color w:val="000000"/>
          <w:szCs w:val="20"/>
        </w:rPr>
      </w:pPr>
      <w:r>
        <w:t xml:space="preserve">ESC noted that based on the NMA, </w:t>
      </w:r>
      <w:r w:rsidRPr="001345FE">
        <w:rPr>
          <w:vertAlign w:val="superscript"/>
        </w:rPr>
        <w:t>177</w:t>
      </w:r>
      <w:r w:rsidRPr="001345FE">
        <w:t>Lu-DOTATATE</w:t>
      </w:r>
      <w:r w:rsidRPr="00050981">
        <w:t xml:space="preserve"> </w:t>
      </w:r>
      <w:r w:rsidRPr="00D0475F">
        <w:t xml:space="preserve">was associated with statistically significant improvements in PFS </w:t>
      </w:r>
      <w:r>
        <w:t>over</w:t>
      </w:r>
      <w:r w:rsidRPr="00D0475F">
        <w:t xml:space="preserve"> all examined comparators</w:t>
      </w:r>
      <w:r>
        <w:t xml:space="preserve">. </w:t>
      </w:r>
      <w:r>
        <w:rPr>
          <w:rFonts w:eastAsia="Calibri" w:cs="Times New Roman"/>
          <w:color w:val="000000"/>
          <w:szCs w:val="20"/>
        </w:rPr>
        <w:t xml:space="preserve">ESC noted that when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w:t>
      </w:r>
      <w:r>
        <w:rPr>
          <w:rFonts w:eastAsia="Calibri" w:cs="Times New Roman"/>
          <w:color w:val="000000"/>
          <w:szCs w:val="20"/>
        </w:rPr>
        <w:t xml:space="preserve">is </w:t>
      </w:r>
      <w:r w:rsidRPr="000C6079">
        <w:rPr>
          <w:rFonts w:eastAsia="Calibri" w:cs="Times New Roman"/>
          <w:color w:val="000000"/>
          <w:szCs w:val="20"/>
        </w:rPr>
        <w:t xml:space="preserve">compared against </w:t>
      </w:r>
      <w:r>
        <w:rPr>
          <w:rFonts w:eastAsia="Calibri" w:cs="Times New Roman"/>
          <w:color w:val="000000"/>
          <w:szCs w:val="20"/>
        </w:rPr>
        <w:t xml:space="preserve">all </w:t>
      </w:r>
      <w:r w:rsidRPr="000C6079">
        <w:rPr>
          <w:rFonts w:eastAsia="Calibri" w:cs="Times New Roman"/>
          <w:color w:val="000000"/>
          <w:szCs w:val="20"/>
        </w:rPr>
        <w:t>5 comparators</w:t>
      </w:r>
      <w:r>
        <w:rPr>
          <w:rFonts w:eastAsia="Calibri" w:cs="Times New Roman"/>
          <w:color w:val="000000"/>
          <w:szCs w:val="20"/>
        </w:rPr>
        <w:t xml:space="preserve"> on the outcome of OS</w:t>
      </w:r>
      <w:r w:rsidRPr="000C6079">
        <w:rPr>
          <w:rFonts w:eastAsia="Calibri" w:cs="Times New Roman"/>
          <w:color w:val="000000"/>
          <w:szCs w:val="20"/>
        </w:rPr>
        <w:t xml:space="preserve"> </w:t>
      </w:r>
      <w:r>
        <w:rPr>
          <w:rFonts w:eastAsia="Calibri" w:cs="Times New Roman"/>
          <w:color w:val="000000"/>
          <w:szCs w:val="20"/>
        </w:rPr>
        <w:t>only</w:t>
      </w:r>
      <w:r w:rsidRPr="000C6079">
        <w:rPr>
          <w:rFonts w:eastAsia="Calibri" w:cs="Times New Roman"/>
          <w:color w:val="000000"/>
          <w:szCs w:val="20"/>
        </w:rPr>
        <w:t xml:space="preserve"> non</w:t>
      </w:r>
      <w:r>
        <w:rPr>
          <w:rFonts w:eastAsia="Calibri" w:cs="Times New Roman"/>
          <w:color w:val="000000"/>
          <w:szCs w:val="20"/>
        </w:rPr>
        <w:t>-</w:t>
      </w:r>
      <w:r w:rsidRPr="000C6079">
        <w:rPr>
          <w:rFonts w:eastAsia="Calibri" w:cs="Times New Roman"/>
          <w:color w:val="000000"/>
          <w:szCs w:val="20"/>
        </w:rPr>
        <w:t xml:space="preserve">significant improvement </w:t>
      </w:r>
      <w:r>
        <w:rPr>
          <w:rFonts w:eastAsia="Calibri" w:cs="Times New Roman"/>
          <w:color w:val="000000"/>
          <w:szCs w:val="20"/>
        </w:rPr>
        <w:t xml:space="preserve">was identified for four of these comparators (while </w:t>
      </w:r>
      <w:r w:rsidRPr="000C6079">
        <w:rPr>
          <w:rFonts w:eastAsia="Calibri" w:cs="Times New Roman"/>
          <w:color w:val="000000"/>
          <w:szCs w:val="20"/>
        </w:rPr>
        <w:t xml:space="preserve">sunitinib </w:t>
      </w:r>
      <w:r>
        <w:rPr>
          <w:rFonts w:eastAsia="Calibri" w:cs="Times New Roman"/>
          <w:color w:val="000000"/>
          <w:szCs w:val="20"/>
        </w:rPr>
        <w:t>was</w:t>
      </w:r>
      <w:r w:rsidRPr="000C6079">
        <w:rPr>
          <w:rFonts w:eastAsia="Calibri" w:cs="Times New Roman"/>
          <w:color w:val="000000"/>
          <w:szCs w:val="20"/>
        </w:rPr>
        <w:t xml:space="preserve"> superior to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While the DCAR interpreted this finding as indicating that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was at least non-inferior to sunitinib (as the difference was non-significant), ESC considered that it may be more appropriate to interpret these results with caution, as there was no evidence of comparable effectiveness between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and sunitinib, at least on OS. In addition, there was inconsistency between OS and PFS results across comparators (e.g. sunitinib was ranked as most likely to be best for OS compared with fourth best for PFS).  ESC considered this may reflect the transitivity and potential biases associated with the indirect treatment comparisons.</w:t>
      </w:r>
    </w:p>
    <w:p w14:paraId="07BE0C8B" w14:textId="496DEA53" w:rsidR="000B228E" w:rsidRDefault="000B228E" w:rsidP="000B228E">
      <w:pPr>
        <w:spacing w:before="0" w:after="240" w:line="240" w:lineRule="auto"/>
        <w:rPr>
          <w:rFonts w:eastAsia="Calibri" w:cs="Times New Roman"/>
          <w:color w:val="000000"/>
          <w:szCs w:val="20"/>
        </w:rPr>
      </w:pPr>
      <w:r>
        <w:rPr>
          <w:rFonts w:eastAsia="Calibri" w:cs="Times New Roman"/>
          <w:color w:val="000000"/>
          <w:szCs w:val="20"/>
        </w:rPr>
        <w:t>While a</w:t>
      </w:r>
      <w:r w:rsidRPr="007E2C25">
        <w:rPr>
          <w:rFonts w:eastAsia="Calibri" w:cs="Times New Roman"/>
          <w:color w:val="000000"/>
          <w:szCs w:val="20"/>
        </w:rPr>
        <w:t>cknowledg</w:t>
      </w:r>
      <w:r>
        <w:rPr>
          <w:rFonts w:eastAsia="Calibri" w:cs="Times New Roman"/>
          <w:color w:val="000000"/>
          <w:szCs w:val="20"/>
        </w:rPr>
        <w:t>ing</w:t>
      </w:r>
      <w:r w:rsidRPr="007E2C25">
        <w:rPr>
          <w:rFonts w:eastAsia="Calibri" w:cs="Times New Roman"/>
          <w:color w:val="000000"/>
          <w:szCs w:val="20"/>
        </w:rPr>
        <w:t xml:space="preserve"> the context of high clinical need and </w:t>
      </w:r>
      <w:r>
        <w:rPr>
          <w:rFonts w:eastAsia="Calibri" w:cs="Times New Roman"/>
          <w:color w:val="000000"/>
          <w:szCs w:val="20"/>
        </w:rPr>
        <w:t xml:space="preserve">that </w:t>
      </w:r>
      <w:r w:rsidRPr="007E2C25">
        <w:rPr>
          <w:rFonts w:eastAsia="Calibri" w:cs="Times New Roman"/>
          <w:color w:val="000000"/>
          <w:szCs w:val="20"/>
        </w:rPr>
        <w:t xml:space="preserve">current practice already includes both the </w:t>
      </w:r>
      <w:r>
        <w:rPr>
          <w:rFonts w:eastAsia="Calibri" w:cs="Times New Roman"/>
          <w:color w:val="000000"/>
          <w:szCs w:val="20"/>
        </w:rPr>
        <w:t xml:space="preserve">proposed </w:t>
      </w:r>
      <w:r w:rsidRPr="007E2C25">
        <w:rPr>
          <w:rFonts w:eastAsia="Calibri" w:cs="Times New Roman"/>
          <w:color w:val="000000"/>
          <w:szCs w:val="20"/>
        </w:rPr>
        <w:t>test</w:t>
      </w:r>
      <w:r>
        <w:rPr>
          <w:rFonts w:eastAsia="Calibri" w:cs="Times New Roman"/>
          <w:color w:val="000000"/>
          <w:szCs w:val="20"/>
        </w:rPr>
        <w:t>s</w:t>
      </w:r>
      <w:r w:rsidRPr="007E2C25">
        <w:rPr>
          <w:rFonts w:eastAsia="Calibri" w:cs="Times New Roman"/>
          <w:color w:val="000000"/>
          <w:szCs w:val="20"/>
        </w:rPr>
        <w:t xml:space="preserve"> and the intervention</w:t>
      </w:r>
      <w:r>
        <w:rPr>
          <w:rFonts w:eastAsia="Calibri" w:cs="Times New Roman"/>
          <w:color w:val="000000"/>
          <w:szCs w:val="20"/>
        </w:rPr>
        <w:t xml:space="preserve">, ESC considered that the indirect </w:t>
      </w:r>
      <w:r w:rsidRPr="00472D80">
        <w:rPr>
          <w:rFonts w:eastAsia="Calibri" w:cs="Times New Roman"/>
          <w:color w:val="000000"/>
          <w:szCs w:val="20"/>
        </w:rPr>
        <w:t>evidence</w:t>
      </w:r>
      <w:r>
        <w:rPr>
          <w:rFonts w:eastAsia="Calibri" w:cs="Times New Roman"/>
          <w:color w:val="000000"/>
          <w:szCs w:val="20"/>
        </w:rPr>
        <w:t xml:space="preserve"> from the NMA</w:t>
      </w:r>
      <w:r w:rsidRPr="00472D80">
        <w:rPr>
          <w:rFonts w:eastAsia="Calibri" w:cs="Times New Roman"/>
          <w:color w:val="000000"/>
          <w:szCs w:val="20"/>
        </w:rPr>
        <w:t xml:space="preserve"> </w:t>
      </w:r>
      <w:r>
        <w:rPr>
          <w:rFonts w:eastAsia="Calibri" w:cs="Times New Roman"/>
          <w:color w:val="000000"/>
          <w:szCs w:val="20"/>
        </w:rPr>
        <w:t xml:space="preserve">provided to support </w:t>
      </w:r>
      <w:r w:rsidRPr="00472D80">
        <w:rPr>
          <w:rFonts w:eastAsia="Calibri" w:cs="Times New Roman"/>
          <w:color w:val="000000"/>
          <w:szCs w:val="20"/>
        </w:rPr>
        <w:t xml:space="preserve">improvement in </w:t>
      </w:r>
      <w:r>
        <w:rPr>
          <w:rFonts w:eastAsia="Calibri" w:cs="Times New Roman"/>
          <w:color w:val="000000"/>
          <w:szCs w:val="20"/>
        </w:rPr>
        <w:t>progression free survival (</w:t>
      </w:r>
      <w:r w:rsidRPr="00472D80">
        <w:rPr>
          <w:rFonts w:eastAsia="Calibri" w:cs="Times New Roman"/>
          <w:color w:val="000000"/>
          <w:szCs w:val="20"/>
        </w:rPr>
        <w:t>PFS</w:t>
      </w:r>
      <w:r>
        <w:rPr>
          <w:rFonts w:eastAsia="Calibri" w:cs="Times New Roman"/>
          <w:color w:val="000000"/>
          <w:szCs w:val="20"/>
        </w:rPr>
        <w:t>) was weak</w:t>
      </w:r>
      <w:r w:rsidRPr="00472D80">
        <w:rPr>
          <w:rFonts w:eastAsia="Calibri" w:cs="Times New Roman"/>
          <w:color w:val="000000"/>
          <w:szCs w:val="20"/>
        </w:rPr>
        <w:t>,</w:t>
      </w:r>
      <w:r>
        <w:rPr>
          <w:rFonts w:eastAsia="Calibri" w:cs="Times New Roman"/>
          <w:color w:val="000000"/>
          <w:szCs w:val="20"/>
        </w:rPr>
        <w:t xml:space="preserve"> there was</w:t>
      </w:r>
      <w:r w:rsidRPr="00472D80">
        <w:rPr>
          <w:rFonts w:eastAsia="Calibri" w:cs="Times New Roman"/>
          <w:color w:val="000000"/>
          <w:szCs w:val="20"/>
        </w:rPr>
        <w:t xml:space="preserve"> no evidence of change in overall survival and extensive assumptions </w:t>
      </w:r>
      <w:r>
        <w:rPr>
          <w:rFonts w:eastAsia="Calibri" w:cs="Times New Roman"/>
          <w:color w:val="000000"/>
          <w:szCs w:val="20"/>
        </w:rPr>
        <w:t xml:space="preserve">were </w:t>
      </w:r>
      <w:r w:rsidRPr="00472D80">
        <w:rPr>
          <w:rFonts w:eastAsia="Calibri" w:cs="Times New Roman"/>
          <w:color w:val="000000"/>
          <w:szCs w:val="20"/>
        </w:rPr>
        <w:t xml:space="preserve">made at each step of the </w:t>
      </w:r>
      <w:r>
        <w:rPr>
          <w:rFonts w:eastAsia="Calibri" w:cs="Times New Roman"/>
          <w:color w:val="000000"/>
          <w:szCs w:val="20"/>
        </w:rPr>
        <w:t xml:space="preserve">clinical </w:t>
      </w:r>
      <w:r w:rsidRPr="00472D80">
        <w:rPr>
          <w:rFonts w:eastAsia="Calibri" w:cs="Times New Roman"/>
          <w:color w:val="000000"/>
          <w:szCs w:val="20"/>
        </w:rPr>
        <w:t>assessment phase due to lack of evidence.</w:t>
      </w:r>
      <w:r>
        <w:rPr>
          <w:rFonts w:eastAsia="Calibri" w:cs="Times New Roman"/>
          <w:color w:val="000000"/>
          <w:szCs w:val="20"/>
        </w:rPr>
        <w:t xml:space="preserve">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ESC considered that there was a clear need for further RCT based evidence. </w:t>
      </w:r>
      <w:proofErr w:type="gramStart"/>
      <w:r>
        <w:rPr>
          <w:rFonts w:eastAsia="Calibri" w:cs="Times New Roman"/>
          <w:color w:val="000000"/>
          <w:szCs w:val="20"/>
        </w:rPr>
        <w:t>However</w:t>
      </w:r>
      <w:proofErr w:type="gramEnd"/>
      <w:r w:rsidRPr="006207E1">
        <w:t xml:space="preserve"> </w:t>
      </w:r>
      <w:r>
        <w:rPr>
          <w:rFonts w:eastAsia="Calibri" w:cs="Times New Roman"/>
          <w:color w:val="000000"/>
          <w:szCs w:val="20"/>
        </w:rPr>
        <w:t>w</w:t>
      </w:r>
      <w:r w:rsidRPr="006207E1">
        <w:rPr>
          <w:rFonts w:eastAsia="Calibri" w:cs="Times New Roman"/>
          <w:color w:val="000000"/>
          <w:szCs w:val="20"/>
        </w:rPr>
        <w:t>hilst clinical trials are underway, results will not be available for some years to</w:t>
      </w:r>
      <w:r>
        <w:rPr>
          <w:rFonts w:eastAsia="Calibri" w:cs="Times New Roman"/>
          <w:color w:val="000000"/>
          <w:szCs w:val="20"/>
        </w:rPr>
        <w:t xml:space="preserve"> come.</w:t>
      </w:r>
    </w:p>
    <w:p w14:paraId="20F3D3CA" w14:textId="77777777" w:rsidR="000B228E" w:rsidRDefault="000B228E" w:rsidP="000B228E">
      <w:pPr>
        <w:spacing w:before="0" w:after="240" w:line="240" w:lineRule="auto"/>
        <w:rPr>
          <w:rFonts w:eastAsia="Calibri" w:cs="Times New Roman"/>
          <w:color w:val="000000"/>
          <w:szCs w:val="20"/>
        </w:rPr>
      </w:pPr>
      <w:r>
        <w:rPr>
          <w:rFonts w:eastAsia="Calibri" w:cs="Times New Roman"/>
          <w:color w:val="000000"/>
          <w:szCs w:val="20"/>
        </w:rPr>
        <w:t xml:space="preserve">In addition, ESC considered that due to the high uncertainty in the indirect NMA results that the direct evidence for comparative efficacy from the NETTER-1 and OCULRANDOM were likely most informative for decision making (see </w:t>
      </w:r>
      <w:r>
        <w:rPr>
          <w:rFonts w:eastAsia="Calibri" w:cs="Times New Roman"/>
          <w:color w:val="000000"/>
          <w:szCs w:val="20"/>
        </w:rPr>
        <w:fldChar w:fldCharType="begin"/>
      </w:r>
      <w:r>
        <w:rPr>
          <w:rFonts w:eastAsia="Calibri" w:cs="Times New Roman"/>
          <w:color w:val="000000"/>
          <w:szCs w:val="20"/>
        </w:rPr>
        <w:instrText xml:space="preserve"> REF _Ref170324519 \h </w:instrText>
      </w:r>
      <w:r>
        <w:rPr>
          <w:rFonts w:eastAsia="Calibri" w:cs="Times New Roman"/>
          <w:color w:val="000000"/>
          <w:szCs w:val="20"/>
        </w:rPr>
      </w:r>
      <w:r>
        <w:rPr>
          <w:rFonts w:eastAsia="Calibri" w:cs="Times New Roman"/>
          <w:color w:val="000000"/>
          <w:szCs w:val="20"/>
        </w:rPr>
        <w:fldChar w:fldCharType="separate"/>
      </w:r>
      <w:r>
        <w:t xml:space="preserve">Direct evidence: </w:t>
      </w:r>
      <w:r w:rsidRPr="00C905BB">
        <w:rPr>
          <w:vertAlign w:val="superscript"/>
        </w:rPr>
        <w:t>177</w:t>
      </w:r>
      <w:r w:rsidRPr="00961C59">
        <w:t>Lu</w:t>
      </w:r>
      <w:r>
        <w:t>-DOTATATE trials</w:t>
      </w:r>
      <w:r>
        <w:rPr>
          <w:rFonts w:eastAsia="Calibri" w:cs="Times New Roman"/>
          <w:color w:val="000000"/>
          <w:szCs w:val="20"/>
        </w:rPr>
        <w:fldChar w:fldCharType="end"/>
      </w:r>
      <w:r>
        <w:rPr>
          <w:rFonts w:eastAsia="Calibri" w:cs="Times New Roman"/>
          <w:color w:val="000000"/>
          <w:szCs w:val="20"/>
        </w:rPr>
        <w:t xml:space="preserve"> in Section 9 of this document).</w:t>
      </w:r>
    </w:p>
    <w:p w14:paraId="4510B510" w14:textId="77777777" w:rsidR="000B228E" w:rsidRDefault="000B228E" w:rsidP="000B228E">
      <w:pPr>
        <w:spacing w:before="0" w:after="240" w:line="240" w:lineRule="auto"/>
        <w:rPr>
          <w:rFonts w:eastAsia="Times New Roman" w:cs="Times New Roman"/>
          <w:color w:val="000000"/>
          <w:szCs w:val="20"/>
          <w:lang w:eastAsia="en-AU"/>
        </w:rPr>
      </w:pPr>
      <w:r>
        <w:rPr>
          <w:rFonts w:eastAsia="Calibri" w:cs="Times New Roman"/>
          <w:color w:val="000000"/>
          <w:szCs w:val="20"/>
        </w:rPr>
        <w:t>Overall, ESC considered that there was limited direct evidence to support the claim that</w:t>
      </w:r>
      <w:r w:rsidRPr="00C905BB">
        <w:rPr>
          <w:vertAlign w:val="superscript"/>
        </w:rPr>
        <w:t>177</w:t>
      </w:r>
      <w:r w:rsidRPr="00961C59">
        <w:t>Lu</w:t>
      </w:r>
      <w:r>
        <w:t>-DOTATATE (</w:t>
      </w:r>
      <w:r>
        <w:rPr>
          <w:rFonts w:eastAsia="Calibri" w:cs="Times New Roman"/>
          <w:color w:val="000000"/>
          <w:szCs w:val="20"/>
        </w:rPr>
        <w:t>and thus</w:t>
      </w:r>
      <w:r>
        <w:rPr>
          <w:rFonts w:eastAsia="Times New Roman" w:cs="Times New Roman"/>
          <w:color w:val="000000"/>
          <w:szCs w:val="20"/>
          <w:lang w:eastAsia="en-AU"/>
        </w:rPr>
        <w:t xml:space="preserve"> </w:t>
      </w:r>
      <w:r w:rsidRPr="00A87EEF">
        <w:rPr>
          <w:rFonts w:eastAsia="Times New Roman" w:cs="Times New Roman"/>
          <w:color w:val="000000"/>
          <w:szCs w:val="20"/>
          <w:vertAlign w:val="superscript"/>
          <w:lang w:eastAsia="en-AU"/>
        </w:rPr>
        <w:t>177</w:t>
      </w:r>
      <w:r w:rsidRPr="00F01F46">
        <w:rPr>
          <w:rFonts w:eastAsia="Times New Roman" w:cs="Times New Roman"/>
          <w:color w:val="000000"/>
          <w:szCs w:val="20"/>
          <w:lang w:eastAsia="en-AU"/>
        </w:rPr>
        <w:t>Lu-DOTA-octreotate</w:t>
      </w:r>
      <w:r>
        <w:rPr>
          <w:rFonts w:eastAsia="Times New Roman" w:cs="Times New Roman"/>
          <w:color w:val="000000"/>
          <w:szCs w:val="20"/>
          <w:lang w:eastAsia="en-AU"/>
        </w:rPr>
        <w:t xml:space="preserve"> based on assumed noninferiority between the two products) </w:t>
      </w:r>
      <w:r>
        <w:t>had</w:t>
      </w:r>
      <w:r>
        <w:rPr>
          <w:rFonts w:eastAsia="Calibri" w:cs="Times New Roman"/>
          <w:color w:val="000000"/>
          <w:szCs w:val="20"/>
        </w:rPr>
        <w:t xml:space="preserve"> </w:t>
      </w:r>
      <w:r w:rsidRPr="0063391D">
        <w:t>superior</w:t>
      </w:r>
      <w:r w:rsidRPr="00CE28E3">
        <w:t xml:space="preserve"> effectiveness compared with</w:t>
      </w:r>
      <w:r>
        <w:t xml:space="preserve"> nominated comparators.  ESC also considered that the indirect evidence from NMA was also not convincing to support the superiority claim.</w:t>
      </w:r>
    </w:p>
    <w:p w14:paraId="2CFF07FF" w14:textId="77777777" w:rsidR="000B228E" w:rsidRPr="00D934CD" w:rsidRDefault="000B228E" w:rsidP="000B228E">
      <w:pPr>
        <w:spacing w:before="0" w:after="240" w:line="240" w:lineRule="auto"/>
        <w:rPr>
          <w:rFonts w:eastAsia="Times New Roman" w:cs="Times New Roman"/>
          <w:color w:val="000000"/>
          <w:szCs w:val="20"/>
          <w:lang w:eastAsia="en-AU"/>
        </w:rPr>
      </w:pPr>
      <w:r w:rsidRPr="00D934CD">
        <w:rPr>
          <w:rFonts w:eastAsia="Times New Roman" w:cs="Times New Roman"/>
          <w:color w:val="000000"/>
          <w:szCs w:val="20"/>
          <w:lang w:eastAsia="en-AU"/>
        </w:rPr>
        <w:t>ESC noted that a cost-utility analysis was undertaken considering lifetime quality-adjusted life years (QALYs) and healthcare costs.</w:t>
      </w:r>
      <w:r>
        <w:rPr>
          <w:rFonts w:eastAsia="Times New Roman" w:cs="Times New Roman"/>
          <w:color w:val="000000"/>
          <w:szCs w:val="20"/>
          <w:lang w:eastAsia="en-AU"/>
        </w:rPr>
        <w:t xml:space="preserve"> ESC considered that the modelled economic valuation relied on the subsequent acceptance of the clinical evaluation which</w:t>
      </w:r>
      <w:r w:rsidRPr="00994578">
        <w:rPr>
          <w:rFonts w:eastAsia="Times New Roman" w:cs="Times New Roman"/>
          <w:color w:val="000000"/>
          <w:szCs w:val="20"/>
          <w:lang w:eastAsia="en-AU"/>
        </w:rPr>
        <w:t xml:space="preserve"> assumed that the efficacy and safety of </w:t>
      </w:r>
      <w:r w:rsidRPr="00994611">
        <w:rPr>
          <w:rFonts w:eastAsia="Times New Roman" w:cs="Times New Roman"/>
          <w:color w:val="000000"/>
          <w:szCs w:val="20"/>
          <w:vertAlign w:val="superscript"/>
          <w:lang w:eastAsia="en-AU"/>
        </w:rPr>
        <w:t>177</w:t>
      </w:r>
      <w:r w:rsidRPr="00994578">
        <w:rPr>
          <w:rFonts w:eastAsia="Times New Roman" w:cs="Times New Roman"/>
          <w:color w:val="000000"/>
          <w:szCs w:val="20"/>
          <w:lang w:eastAsia="en-AU"/>
        </w:rPr>
        <w:t xml:space="preserve">Lu-DOTA-octreotate </w:t>
      </w:r>
      <w:r>
        <w:rPr>
          <w:rFonts w:eastAsia="Times New Roman" w:cs="Times New Roman"/>
          <w:color w:val="000000"/>
          <w:szCs w:val="20"/>
          <w:lang w:eastAsia="en-AU"/>
        </w:rPr>
        <w:t>wa</w:t>
      </w:r>
      <w:r w:rsidRPr="00994578">
        <w:rPr>
          <w:rFonts w:eastAsia="Times New Roman" w:cs="Times New Roman"/>
          <w:color w:val="000000"/>
          <w:szCs w:val="20"/>
          <w:lang w:eastAsia="en-AU"/>
        </w:rPr>
        <w:t xml:space="preserve">s </w:t>
      </w:r>
      <w:r>
        <w:rPr>
          <w:rFonts w:eastAsia="Times New Roman" w:cs="Times New Roman"/>
          <w:color w:val="000000"/>
          <w:szCs w:val="20"/>
          <w:lang w:eastAsia="en-AU"/>
        </w:rPr>
        <w:t>noninferior</w:t>
      </w:r>
      <w:r w:rsidRPr="00994578">
        <w:rPr>
          <w:rFonts w:eastAsia="Times New Roman" w:cs="Times New Roman"/>
          <w:color w:val="000000"/>
          <w:szCs w:val="20"/>
          <w:lang w:eastAsia="en-AU"/>
        </w:rPr>
        <w:t xml:space="preserve"> to </w:t>
      </w:r>
      <w:r w:rsidRPr="00994611">
        <w:rPr>
          <w:rFonts w:eastAsia="Times New Roman" w:cs="Times New Roman"/>
          <w:color w:val="000000"/>
          <w:szCs w:val="20"/>
          <w:vertAlign w:val="superscript"/>
          <w:lang w:eastAsia="en-AU"/>
        </w:rPr>
        <w:t>177</w:t>
      </w:r>
      <w:r w:rsidRPr="00994578">
        <w:rPr>
          <w:rFonts w:eastAsia="Times New Roman" w:cs="Times New Roman"/>
          <w:color w:val="000000"/>
          <w:szCs w:val="20"/>
          <w:lang w:eastAsia="en-AU"/>
        </w:rPr>
        <w:t>Lu-DOTATATE</w:t>
      </w:r>
      <w:r>
        <w:rPr>
          <w:rFonts w:eastAsia="Times New Roman" w:cs="Times New Roman"/>
          <w:color w:val="000000"/>
          <w:szCs w:val="20"/>
          <w:lang w:eastAsia="en-AU"/>
        </w:rPr>
        <w:t>.</w:t>
      </w:r>
      <w:r w:rsidRPr="00D934CD">
        <w:rPr>
          <w:rFonts w:eastAsia="Times New Roman" w:cs="Times New Roman"/>
          <w:color w:val="000000"/>
          <w:szCs w:val="20"/>
          <w:lang w:eastAsia="en-AU"/>
        </w:rPr>
        <w:t xml:space="preserve"> The partitioned survival model considers the cost-effectiveness of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w:t>
      </w:r>
      <w:r>
        <w:rPr>
          <w:rFonts w:eastAsia="Times New Roman" w:cs="Times New Roman"/>
          <w:color w:val="000000"/>
          <w:szCs w:val="20"/>
          <w:lang w:eastAsia="en-AU"/>
        </w:rPr>
        <w:t xml:space="preserve"> </w:t>
      </w:r>
      <w:r w:rsidRPr="00D934CD">
        <w:rPr>
          <w:rFonts w:eastAsia="Times New Roman" w:cs="Times New Roman"/>
          <w:color w:val="000000"/>
          <w:szCs w:val="20"/>
          <w:lang w:eastAsia="en-AU"/>
        </w:rPr>
        <w:t>compared with all six comparator therapies independently, with the results expressed in terms of incremental cost per QALY gained. ESC considered this model to be reasonable.</w:t>
      </w:r>
    </w:p>
    <w:p w14:paraId="4EE28BAA" w14:textId="77777777" w:rsidR="000B228E"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while the DCAR’s economic model presented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w:t>
      </w:r>
      <w:r>
        <w:rPr>
          <w:rFonts w:eastAsia="Times New Roman" w:cs="Times New Roman"/>
          <w:color w:val="000000"/>
          <w:szCs w:val="20"/>
          <w:lang w:eastAsia="en-AU"/>
        </w:rPr>
        <w:t xml:space="preserve"> as a first-line treatment against the six comparators, it is potentially more likely to be used as a second-line treatment in actual clinical practice. ESC also considered that PRRT treatment may also likely be used in combination with octreotide, everolimus, lanreotide and sunitinib, which was not modelled in the economic evaluation.</w:t>
      </w:r>
    </w:p>
    <w:p w14:paraId="6414E447" w14:textId="77777777" w:rsidR="000B228E"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the validity of the model inputs and their appropriateness to an Australian setting were a potential issue insofar as there were no direct Australian RCTs and the background </w:t>
      </w:r>
      <w:r>
        <w:rPr>
          <w:rFonts w:eastAsia="Times New Roman" w:cs="Times New Roman"/>
          <w:color w:val="000000"/>
          <w:szCs w:val="20"/>
          <w:lang w:eastAsia="en-AU"/>
        </w:rPr>
        <w:lastRenderedPageBreak/>
        <w:t>healthcare resource use was based on UK settings (</w:t>
      </w:r>
      <w:proofErr w:type="gramStart"/>
      <w:r>
        <w:rPr>
          <w:rFonts w:eastAsia="Times New Roman" w:cs="Times New Roman"/>
          <w:color w:val="000000"/>
          <w:szCs w:val="20"/>
          <w:lang w:eastAsia="en-AU"/>
        </w:rPr>
        <w:t>in particular the</w:t>
      </w:r>
      <w:proofErr w:type="gramEnd"/>
      <w:r>
        <w:rPr>
          <w:rFonts w:eastAsia="Times New Roman" w:cs="Times New Roman"/>
          <w:color w:val="000000"/>
          <w:szCs w:val="20"/>
          <w:lang w:eastAsia="en-AU"/>
        </w:rPr>
        <w:t xml:space="preserve"> heavy reliance on the</w:t>
      </w:r>
      <w:r w:rsidRPr="00DF5406">
        <w:t xml:space="preserve"> </w:t>
      </w:r>
      <w:r w:rsidRPr="00DF5406">
        <w:rPr>
          <w:rFonts w:eastAsia="Times New Roman" w:cs="Times New Roman"/>
          <w:color w:val="000000"/>
          <w:szCs w:val="20"/>
          <w:lang w:eastAsia="en-AU"/>
        </w:rPr>
        <w:t>UK NICE TA539</w:t>
      </w:r>
      <w:r>
        <w:rPr>
          <w:rFonts w:eastAsia="Times New Roman" w:cs="Times New Roman"/>
          <w:color w:val="000000"/>
          <w:szCs w:val="20"/>
          <w:lang w:eastAsia="en-AU"/>
        </w:rPr>
        <w:t>).</w:t>
      </w:r>
      <w:r>
        <w:rPr>
          <w:rStyle w:val="FootnoteReference"/>
          <w:rFonts w:eastAsia="Times New Roman" w:cs="Times New Roman"/>
          <w:color w:val="000000"/>
          <w:szCs w:val="20"/>
          <w:lang w:eastAsia="en-AU"/>
        </w:rPr>
        <w:footnoteReference w:id="38"/>
      </w:r>
      <w:r>
        <w:rPr>
          <w:rFonts w:eastAsia="Times New Roman" w:cs="Times New Roman"/>
          <w:color w:val="000000"/>
          <w:szCs w:val="20"/>
          <w:lang w:eastAsia="en-AU"/>
        </w:rPr>
        <w:t xml:space="preserve"> ESC considered that the model validity had been thoroughly undertaken. </w:t>
      </w:r>
    </w:p>
    <w:p w14:paraId="10866ABC" w14:textId="1EC2DC9E" w:rsidR="000B228E" w:rsidRDefault="000B228E" w:rsidP="000B228E">
      <w:pPr>
        <w:spacing w:before="0" w:after="240" w:line="240" w:lineRule="auto"/>
        <w:rPr>
          <w:rFonts w:eastAsia="Times New Roman" w:cs="Times New Roman"/>
          <w:color w:val="000000"/>
          <w:szCs w:val="20"/>
          <w:lang w:eastAsia="en-AU"/>
        </w:rPr>
      </w:pPr>
      <w:r w:rsidRPr="00D934CD">
        <w:rPr>
          <w:rFonts w:eastAsia="Times New Roman" w:cs="Times New Roman"/>
          <w:color w:val="000000"/>
          <w:szCs w:val="20"/>
          <w:lang w:eastAsia="en-AU"/>
        </w:rPr>
        <w:t>ESC noted that the base case incremental cost-effectiveness ratio (ICER) range comparing</w:t>
      </w:r>
      <w:r w:rsidR="002253C0">
        <w:rPr>
          <w:rFonts w:eastAsia="Times New Roman" w:cs="Times New Roman"/>
          <w:color w:val="000000"/>
          <w:szCs w:val="20"/>
          <w:lang w:eastAsia="en-AU"/>
        </w:rPr>
        <w:br/>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 xml:space="preserve">Lu-DOTA-octreotate versus all six identified comparators ranged from $18,643 to $31,792 per QALY gained, with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 being dominated against sunitinib.</w:t>
      </w:r>
      <w:r>
        <w:rPr>
          <w:rFonts w:eastAsia="Times New Roman" w:cs="Times New Roman"/>
          <w:color w:val="000000"/>
          <w:szCs w:val="20"/>
          <w:lang w:eastAsia="en-AU"/>
        </w:rPr>
        <w:t xml:space="preserve"> ESC agreed with the DCAR that the ICER was highly uncertain as it was highly sensitive to changes in the comparative effectiveness of the intervention relative to the six comparators. ESC also noted the significant uncertainty introduced because the ICERs were derived based on a lifetime model even though the mean survival time followed in the NETTER-1 was under 5 years (see </w:t>
      </w:r>
      <w:r>
        <w:rPr>
          <w:rFonts w:eastAsia="Times New Roman" w:cs="Times New Roman"/>
          <w:color w:val="000000"/>
          <w:szCs w:val="20"/>
          <w:lang w:eastAsia="en-AU"/>
        </w:rPr>
        <w:fldChar w:fldCharType="begin"/>
      </w:r>
      <w:r>
        <w:rPr>
          <w:rFonts w:eastAsia="Times New Roman" w:cs="Times New Roman"/>
          <w:color w:val="000000"/>
          <w:szCs w:val="20"/>
          <w:lang w:eastAsia="en-AU"/>
        </w:rPr>
        <w:instrText xml:space="preserve"> REF _Ref170134149 \h </w:instrText>
      </w:r>
      <w:r>
        <w:rPr>
          <w:rFonts w:eastAsia="Times New Roman" w:cs="Times New Roman"/>
          <w:color w:val="000000"/>
          <w:szCs w:val="20"/>
          <w:lang w:eastAsia="en-AU"/>
        </w:rPr>
      </w:r>
      <w:r>
        <w:rPr>
          <w:rFonts w:eastAsia="Times New Roman" w:cs="Times New Roman"/>
          <w:color w:val="000000"/>
          <w:szCs w:val="20"/>
          <w:lang w:eastAsia="en-AU"/>
        </w:rPr>
        <w:fldChar w:fldCharType="separate"/>
      </w:r>
      <w:r>
        <w:t xml:space="preserve">Figure </w:t>
      </w:r>
      <w:r>
        <w:rPr>
          <w:noProof/>
        </w:rPr>
        <w:t>4</w:t>
      </w:r>
      <w:r>
        <w:rPr>
          <w:rFonts w:eastAsia="Times New Roman" w:cs="Times New Roman"/>
          <w:color w:val="000000"/>
          <w:szCs w:val="20"/>
          <w:lang w:eastAsia="en-AU"/>
        </w:rPr>
        <w:fldChar w:fldCharType="end"/>
      </w:r>
      <w:r>
        <w:rPr>
          <w:rFonts w:eastAsia="Times New Roman" w:cs="Times New Roman"/>
          <w:color w:val="000000"/>
          <w:szCs w:val="20"/>
          <w:lang w:eastAsia="en-AU"/>
        </w:rPr>
        <w:t>). However, ESC noted that time horizon was not a driver of the ICER in the model.</w:t>
      </w:r>
    </w:p>
    <w:p w14:paraId="0FB97A34" w14:textId="34964FDF"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the modelled average time on treatment for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w:t>
      </w:r>
      <w:r>
        <w:rPr>
          <w:rFonts w:eastAsia="Times New Roman" w:cs="Times New Roman"/>
          <w:color w:val="000000"/>
          <w:szCs w:val="20"/>
          <w:lang w:eastAsia="en-AU"/>
        </w:rPr>
        <w:t xml:space="preserve"> was based on the </w:t>
      </w:r>
      <w:r w:rsidRPr="00A7701D">
        <w:rPr>
          <w:rFonts w:eastAsia="Times New Roman" w:cs="Times New Roman"/>
          <w:color w:val="000000"/>
          <w:szCs w:val="20"/>
          <w:lang w:eastAsia="en-AU"/>
        </w:rPr>
        <w:t xml:space="preserve">weighted average number of administrations that patients received in the </w:t>
      </w:r>
      <w:r w:rsidRPr="00994611">
        <w:rPr>
          <w:rFonts w:eastAsia="Times New Roman" w:cs="Times New Roman"/>
          <w:color w:val="000000"/>
          <w:szCs w:val="20"/>
          <w:vertAlign w:val="superscript"/>
          <w:lang w:eastAsia="en-AU"/>
        </w:rPr>
        <w:t>177</w:t>
      </w:r>
      <w:r w:rsidRPr="00A7701D">
        <w:rPr>
          <w:rFonts w:eastAsia="Times New Roman" w:cs="Times New Roman"/>
          <w:color w:val="000000"/>
          <w:szCs w:val="20"/>
          <w:lang w:eastAsia="en-AU"/>
        </w:rPr>
        <w:t>Lu-DOTATATE arm of the NETTER-1 trial</w:t>
      </w:r>
      <w:r>
        <w:rPr>
          <w:rFonts w:eastAsia="Times New Roman" w:cs="Times New Roman"/>
          <w:color w:val="000000"/>
          <w:szCs w:val="20"/>
          <w:lang w:eastAsia="en-AU"/>
        </w:rPr>
        <w:t xml:space="preserve"> (3.5 administrations converted to time based on dosing regimen in trial: 4 infusions at 1 infusion every 8 weeks; time on treatment = 6.5 months). ESC considered this was appropriate. Given the proposed MBS item for </w:t>
      </w:r>
      <w:r w:rsidRPr="0088514D">
        <w:rPr>
          <w:rFonts w:eastAsia="Times New Roman" w:cs="Times New Roman"/>
          <w:color w:val="000000"/>
          <w:szCs w:val="20"/>
          <w:vertAlign w:val="superscript"/>
          <w:lang w:eastAsia="en-AU"/>
        </w:rPr>
        <w:t>177</w:t>
      </w:r>
      <w:r>
        <w:rPr>
          <w:rFonts w:eastAsia="Times New Roman" w:cs="Times New Roman"/>
          <w:color w:val="000000"/>
          <w:szCs w:val="20"/>
          <w:lang w:eastAsia="en-AU"/>
        </w:rPr>
        <w:t xml:space="preserve">Lu PRRT therapy is unrestricted in terms of treatment cycles, ESC conducted further sensitivity analyses investigating the scenarios whereby patients modelled in the intervention arm received the full induction treatment course of 4 cycles over 8 months of </w:t>
      </w:r>
      <w:r w:rsidRPr="00994611">
        <w:rPr>
          <w:rFonts w:eastAsia="Times New Roman" w:cs="Times New Roman"/>
          <w:color w:val="000000"/>
          <w:szCs w:val="20"/>
          <w:vertAlign w:val="superscript"/>
          <w:lang w:eastAsia="en-AU"/>
        </w:rPr>
        <w:t>177</w:t>
      </w:r>
      <w:r>
        <w:rPr>
          <w:rFonts w:eastAsia="Times New Roman" w:cs="Times New Roman"/>
          <w:color w:val="000000"/>
          <w:szCs w:val="20"/>
          <w:lang w:eastAsia="en-AU"/>
        </w:rPr>
        <w:t xml:space="preserve">Lu PRRT treatment (rather than the average 3.5 cycles over 6.5 months of PRRT treatment in base case); and also when all patients in the intervention arm received an additional two consolidation cycles of </w:t>
      </w:r>
      <w:r w:rsidRPr="0088514D">
        <w:rPr>
          <w:rFonts w:eastAsia="Times New Roman" w:cs="Times New Roman"/>
          <w:color w:val="000000"/>
          <w:szCs w:val="20"/>
          <w:vertAlign w:val="superscript"/>
          <w:lang w:eastAsia="en-AU"/>
        </w:rPr>
        <w:t>177</w:t>
      </w:r>
      <w:r>
        <w:rPr>
          <w:rFonts w:eastAsia="Times New Roman" w:cs="Times New Roman"/>
          <w:color w:val="000000"/>
          <w:szCs w:val="20"/>
          <w:lang w:eastAsia="en-AU"/>
        </w:rPr>
        <w:t xml:space="preserve">Lu PRRT therapy following progression of disease (see </w:t>
      </w:r>
      <w:r>
        <w:rPr>
          <w:rFonts w:eastAsia="Times New Roman" w:cs="Times New Roman"/>
          <w:color w:val="000000"/>
          <w:szCs w:val="20"/>
          <w:lang w:eastAsia="en-AU"/>
        </w:rPr>
        <w:fldChar w:fldCharType="begin"/>
      </w:r>
      <w:r>
        <w:rPr>
          <w:rFonts w:eastAsia="Times New Roman" w:cs="Times New Roman"/>
          <w:color w:val="000000"/>
          <w:szCs w:val="20"/>
          <w:lang w:eastAsia="en-AU"/>
        </w:rPr>
        <w:instrText xml:space="preserve"> REF _Ref160472682 \h </w:instrText>
      </w:r>
      <w:r>
        <w:rPr>
          <w:rFonts w:eastAsia="Times New Roman" w:cs="Times New Roman"/>
          <w:color w:val="000000"/>
          <w:szCs w:val="20"/>
          <w:lang w:eastAsia="en-AU"/>
        </w:rPr>
      </w:r>
      <w:r>
        <w:rPr>
          <w:rFonts w:eastAsia="Times New Roman" w:cs="Times New Roman"/>
          <w:color w:val="000000"/>
          <w:szCs w:val="20"/>
          <w:lang w:eastAsia="en-AU"/>
        </w:rPr>
        <w:fldChar w:fldCharType="separate"/>
      </w:r>
      <w:r>
        <w:t xml:space="preserve">Table </w:t>
      </w:r>
      <w:r>
        <w:rPr>
          <w:noProof/>
        </w:rPr>
        <w:t>14</w:t>
      </w:r>
      <w:r>
        <w:rPr>
          <w:rFonts w:eastAsia="Times New Roman" w:cs="Times New Roman"/>
          <w:color w:val="000000"/>
          <w:szCs w:val="20"/>
          <w:lang w:eastAsia="en-AU"/>
        </w:rPr>
        <w:fldChar w:fldCharType="end"/>
      </w:r>
      <w:r>
        <w:rPr>
          <w:rFonts w:eastAsia="Times New Roman" w:cs="Times New Roman"/>
          <w:color w:val="000000"/>
          <w:szCs w:val="20"/>
          <w:lang w:eastAsia="en-AU"/>
        </w:rPr>
        <w:t xml:space="preserve">). ESC considered that this indicative sensitivity analyses demonstrated that the ICER was sensitive to the time on treatment and number of cycles of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w:t>
      </w:r>
      <w:r>
        <w:rPr>
          <w:rFonts w:eastAsia="Times New Roman" w:cs="Times New Roman"/>
          <w:color w:val="000000"/>
          <w:szCs w:val="20"/>
          <w:lang w:eastAsia="en-AU"/>
        </w:rPr>
        <w:t xml:space="preserve"> treatment in the model.</w:t>
      </w:r>
      <w:r w:rsidRPr="00ED6644">
        <w:rPr>
          <w:rFonts w:eastAsia="Times New Roman" w:cs="Times New Roman"/>
          <w:color w:val="000000"/>
          <w:szCs w:val="20"/>
          <w:lang w:eastAsia="en-AU"/>
        </w:rPr>
        <w:t xml:space="preserve"> </w:t>
      </w:r>
      <w:r>
        <w:rPr>
          <w:rFonts w:eastAsia="Times New Roman" w:cs="Times New Roman"/>
          <w:color w:val="000000"/>
          <w:szCs w:val="20"/>
          <w:lang w:eastAsia="en-AU"/>
        </w:rPr>
        <w:t xml:space="preserve">ESC further considered that the number of cycles of </w:t>
      </w:r>
      <w:r w:rsidR="002253C0">
        <w:rPr>
          <w:rFonts w:eastAsia="Times New Roman" w:cs="Times New Roman"/>
          <w:color w:val="000000"/>
          <w:szCs w:val="20"/>
          <w:lang w:eastAsia="en-AU"/>
        </w:rPr>
        <w:br/>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w:t>
      </w:r>
      <w:r>
        <w:rPr>
          <w:rFonts w:eastAsia="Times New Roman" w:cs="Times New Roman"/>
          <w:color w:val="000000"/>
          <w:szCs w:val="20"/>
          <w:lang w:eastAsia="en-AU"/>
        </w:rPr>
        <w:t>PRRT as well as the choice of parametric curves should be tested further in sensitivity analyses. Two-</w:t>
      </w:r>
      <w:r w:rsidRPr="00B5058E">
        <w:rPr>
          <w:rFonts w:eastAsia="Times New Roman" w:cs="Times New Roman"/>
          <w:color w:val="000000"/>
          <w:szCs w:val="20"/>
          <w:lang w:eastAsia="en-AU"/>
        </w:rPr>
        <w:t>way analyse</w:t>
      </w:r>
      <w:r>
        <w:rPr>
          <w:rFonts w:eastAsia="Times New Roman" w:cs="Times New Roman"/>
          <w:color w:val="000000"/>
          <w:szCs w:val="20"/>
          <w:lang w:eastAsia="en-AU"/>
        </w:rPr>
        <w:t>s</w:t>
      </w:r>
      <w:r w:rsidRPr="00B5058E">
        <w:rPr>
          <w:rFonts w:eastAsia="Times New Roman" w:cs="Times New Roman"/>
          <w:color w:val="000000"/>
          <w:szCs w:val="20"/>
          <w:lang w:eastAsia="en-AU"/>
        </w:rPr>
        <w:t xml:space="preserve"> incorporating </w:t>
      </w:r>
      <w:r>
        <w:rPr>
          <w:rFonts w:eastAsia="Times New Roman" w:cs="Times New Roman"/>
          <w:color w:val="000000"/>
          <w:szCs w:val="20"/>
          <w:lang w:eastAsia="en-AU"/>
        </w:rPr>
        <w:t>variation in</w:t>
      </w:r>
      <w:r w:rsidRPr="00B5058E">
        <w:rPr>
          <w:rFonts w:eastAsia="Times New Roman" w:cs="Times New Roman"/>
          <w:color w:val="000000"/>
          <w:szCs w:val="20"/>
          <w:lang w:eastAsia="en-AU"/>
        </w:rPr>
        <w:t xml:space="preserve"> treatment costs (n</w:t>
      </w:r>
      <w:r>
        <w:rPr>
          <w:rFonts w:eastAsia="Times New Roman" w:cs="Times New Roman"/>
          <w:color w:val="000000"/>
          <w:szCs w:val="20"/>
          <w:lang w:eastAsia="en-AU"/>
        </w:rPr>
        <w:t>umber</w:t>
      </w:r>
      <w:r w:rsidRPr="00B5058E">
        <w:rPr>
          <w:rFonts w:eastAsia="Times New Roman" w:cs="Times New Roman"/>
          <w:color w:val="000000"/>
          <w:szCs w:val="20"/>
          <w:lang w:eastAsia="en-AU"/>
        </w:rPr>
        <w:t xml:space="preserve"> of cycles)</w:t>
      </w:r>
      <w:r>
        <w:rPr>
          <w:rFonts w:eastAsia="Times New Roman" w:cs="Times New Roman"/>
          <w:color w:val="000000"/>
          <w:szCs w:val="20"/>
          <w:lang w:eastAsia="en-AU"/>
        </w:rPr>
        <w:t xml:space="preserve"> and use of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imaging for monitoring treatment response</w:t>
      </w:r>
      <w:r w:rsidRPr="00B5058E">
        <w:rPr>
          <w:rFonts w:eastAsia="Times New Roman" w:cs="Times New Roman"/>
          <w:color w:val="000000"/>
          <w:szCs w:val="20"/>
          <w:lang w:eastAsia="en-AU"/>
        </w:rPr>
        <w:t xml:space="preserve"> </w:t>
      </w:r>
      <w:r>
        <w:rPr>
          <w:rFonts w:eastAsia="Times New Roman" w:cs="Times New Roman"/>
          <w:color w:val="000000"/>
          <w:szCs w:val="20"/>
          <w:lang w:eastAsia="en-AU"/>
        </w:rPr>
        <w:t>would also be informative.</w:t>
      </w:r>
    </w:p>
    <w:p w14:paraId="5991D071" w14:textId="691299C2"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the pre-ESC response asserted that by failing to identify quality of life (QOL) as </w:t>
      </w:r>
      <w:r w:rsidRPr="00FC5014">
        <w:rPr>
          <w:rFonts w:eastAsia="Times New Roman" w:cs="Times New Roman"/>
          <w:color w:val="000000"/>
          <w:szCs w:val="20"/>
          <w:lang w:eastAsia="en-AU"/>
        </w:rPr>
        <w:t xml:space="preserve">the main patient important outcome measure </w:t>
      </w:r>
      <w:r>
        <w:rPr>
          <w:rFonts w:eastAsia="Times New Roman" w:cs="Times New Roman"/>
          <w:color w:val="000000"/>
          <w:szCs w:val="20"/>
          <w:lang w:eastAsia="en-AU"/>
        </w:rPr>
        <w:t xml:space="preserve">the DCAR had introduced significant potential for </w:t>
      </w:r>
      <w:r w:rsidRPr="00FC5014">
        <w:rPr>
          <w:rFonts w:eastAsia="Times New Roman" w:cs="Times New Roman"/>
          <w:color w:val="000000"/>
          <w:szCs w:val="20"/>
          <w:lang w:eastAsia="en-AU"/>
        </w:rPr>
        <w:t>bias into the economic evaluation</w:t>
      </w:r>
      <w:r>
        <w:rPr>
          <w:rFonts w:eastAsia="Times New Roman" w:cs="Times New Roman"/>
          <w:color w:val="000000"/>
          <w:szCs w:val="20"/>
          <w:lang w:eastAsia="en-AU"/>
        </w:rPr>
        <w:t xml:space="preserve">. However, ESC considered that the DCAR included a comprehensive assessment of AEs included in QALY measurement and healthcare resource use in the economic evaluation. ESC also noted and agreed with the rejoinder’s response that </w:t>
      </w:r>
      <w:r w:rsidRPr="00B2422D">
        <w:rPr>
          <w:rFonts w:eastAsia="Times New Roman" w:cs="Times New Roman"/>
          <w:color w:val="000000"/>
          <w:szCs w:val="20"/>
          <w:lang w:eastAsia="en-AU"/>
        </w:rPr>
        <w:t xml:space="preserve">OS </w:t>
      </w:r>
      <w:r>
        <w:rPr>
          <w:rFonts w:eastAsia="Times New Roman" w:cs="Times New Roman"/>
          <w:color w:val="000000"/>
          <w:szCs w:val="20"/>
          <w:lang w:eastAsia="en-AU"/>
        </w:rPr>
        <w:t>should be regarded as</w:t>
      </w:r>
      <w:r w:rsidRPr="00B2422D">
        <w:rPr>
          <w:rFonts w:eastAsia="Times New Roman" w:cs="Times New Roman"/>
          <w:color w:val="000000"/>
          <w:szCs w:val="20"/>
          <w:lang w:eastAsia="en-AU"/>
        </w:rPr>
        <w:t xml:space="preserve"> the most important patient relevant outcome and that health state utilities are</w:t>
      </w:r>
      <w:r>
        <w:rPr>
          <w:rFonts w:eastAsia="Times New Roman" w:cs="Times New Roman"/>
          <w:color w:val="000000"/>
          <w:szCs w:val="20"/>
          <w:lang w:eastAsia="en-AU"/>
        </w:rPr>
        <w:t xml:space="preserve"> adequately </w:t>
      </w:r>
      <w:r w:rsidRPr="00B2422D">
        <w:rPr>
          <w:rFonts w:eastAsia="Times New Roman" w:cs="Times New Roman"/>
          <w:color w:val="000000"/>
          <w:szCs w:val="20"/>
          <w:lang w:eastAsia="en-AU"/>
        </w:rPr>
        <w:t>captured in the economic assessment.</w:t>
      </w:r>
    </w:p>
    <w:p w14:paraId="53FD1938" w14:textId="3CAE0C62" w:rsidR="0066551E" w:rsidRDefault="000B228E" w:rsidP="0066551E">
      <w:pPr>
        <w:spacing w:before="0" w:after="240" w:line="240" w:lineRule="auto"/>
        <w:rPr>
          <w:rFonts w:eastAsia="Calibri" w:cs="Times New Roman"/>
          <w:color w:val="000000"/>
          <w:szCs w:val="20"/>
        </w:rPr>
      </w:pPr>
      <w:r w:rsidRPr="00D934CD">
        <w:rPr>
          <w:rFonts w:eastAsia="Times New Roman" w:cs="Times New Roman"/>
          <w:color w:val="000000"/>
          <w:szCs w:val="20"/>
          <w:lang w:eastAsia="en-AU"/>
        </w:rPr>
        <w:t xml:space="preserve">ESC noted that diagnostic costs </w:t>
      </w:r>
      <w:r w:rsidRPr="005A31E0">
        <w:rPr>
          <w:rFonts w:eastAsia="Times New Roman" w:cs="Times New Roman"/>
          <w:color w:val="000000"/>
          <w:szCs w:val="20"/>
          <w:lang w:eastAsia="en-AU"/>
        </w:rPr>
        <w:t>accounted for in the economic model only include</w:t>
      </w:r>
      <w:r>
        <w:rPr>
          <w:rFonts w:eastAsia="Times New Roman" w:cs="Times New Roman"/>
          <w:color w:val="000000"/>
          <w:szCs w:val="20"/>
          <w:lang w:eastAsia="en-AU"/>
        </w:rPr>
        <w:t>d</w:t>
      </w:r>
      <w:r w:rsidRPr="005A31E0">
        <w:rPr>
          <w:rFonts w:eastAsia="Times New Roman" w:cs="Times New Roman"/>
          <w:color w:val="000000"/>
          <w:szCs w:val="20"/>
          <w:lang w:eastAsia="en-AU"/>
        </w:rPr>
        <w:t xml:space="preserve"> diagnostic costs associated with patients already deemed eligible for treatment (</w:t>
      </w:r>
      <w:r>
        <w:rPr>
          <w:rFonts w:eastAsia="Times New Roman" w:cs="Times New Roman"/>
          <w:color w:val="000000"/>
          <w:szCs w:val="20"/>
          <w:lang w:eastAsia="en-AU"/>
        </w:rPr>
        <w:t xml:space="preserve">i.e. it was </w:t>
      </w:r>
      <w:r w:rsidRPr="005A31E0">
        <w:rPr>
          <w:rFonts w:eastAsia="Times New Roman" w:cs="Times New Roman"/>
          <w:color w:val="000000"/>
          <w:szCs w:val="20"/>
          <w:lang w:eastAsia="en-AU"/>
        </w:rPr>
        <w:t xml:space="preserve">assumed </w:t>
      </w:r>
      <w:r>
        <w:rPr>
          <w:rFonts w:eastAsia="Times New Roman" w:cs="Times New Roman"/>
          <w:color w:val="000000"/>
          <w:szCs w:val="20"/>
          <w:lang w:eastAsia="en-AU"/>
        </w:rPr>
        <w:t xml:space="preserve">in the base case </w:t>
      </w:r>
      <w:r w:rsidRPr="005A31E0">
        <w:rPr>
          <w:rFonts w:eastAsia="Times New Roman" w:cs="Times New Roman"/>
          <w:color w:val="000000"/>
          <w:szCs w:val="20"/>
          <w:lang w:eastAsia="en-AU"/>
        </w:rPr>
        <w:t>that 100% of people tested will qualify for treatment).</w:t>
      </w:r>
      <w:r w:rsidRPr="00D934CD">
        <w:rPr>
          <w:rFonts w:eastAsia="Times New Roman" w:cs="Times New Roman"/>
          <w:color w:val="000000"/>
          <w:szCs w:val="20"/>
          <w:lang w:eastAsia="en-AU"/>
        </w:rPr>
        <w:t xml:space="preserve"> </w:t>
      </w:r>
      <w:r>
        <w:rPr>
          <w:rFonts w:eastAsia="Times New Roman" w:cs="Times New Roman"/>
          <w:color w:val="000000"/>
          <w:szCs w:val="20"/>
          <w:lang w:eastAsia="en-AU"/>
        </w:rPr>
        <w:t xml:space="preserve">Therefore, the model did not consider the screening-related costs or performance outcomes of testing all patients by PET/CT to select those eligible for </w:t>
      </w:r>
      <w:r w:rsidRPr="00994611">
        <w:rPr>
          <w:rFonts w:eastAsia="Times New Roman" w:cs="Times New Roman"/>
          <w:color w:val="000000"/>
          <w:szCs w:val="20"/>
          <w:vertAlign w:val="superscript"/>
          <w:lang w:eastAsia="en-AU"/>
        </w:rPr>
        <w:t>177</w:t>
      </w:r>
      <w:r>
        <w:rPr>
          <w:rFonts w:eastAsia="Times New Roman" w:cs="Times New Roman"/>
          <w:color w:val="000000"/>
          <w:szCs w:val="20"/>
          <w:lang w:eastAsia="en-AU"/>
        </w:rPr>
        <w:t xml:space="preserve">Lu PRRT treatment. However, ESC considered that because most patients (intervention and comparator groups) would receive </w:t>
      </w:r>
      <w:r>
        <w:rPr>
          <w:rFonts w:eastAsia="Calibri" w:cs="Times New Roman"/>
          <w:color w:val="000000"/>
          <w:szCs w:val="20"/>
        </w:rPr>
        <w:t xml:space="preserve">PET/CT testing regardless of treatment decision, </w:t>
      </w:r>
      <w:r>
        <w:rPr>
          <w:rFonts w:eastAsia="Times New Roman" w:cs="Times New Roman"/>
          <w:color w:val="000000"/>
          <w:szCs w:val="20"/>
          <w:lang w:eastAsia="en-AU"/>
        </w:rPr>
        <w:t>the ICER was not substantially affected by this assumption.</w:t>
      </w:r>
      <w:r w:rsidRPr="00EC2196">
        <w:rPr>
          <w:rFonts w:eastAsia="Calibri" w:cs="Times New Roman"/>
          <w:color w:val="000000"/>
          <w:szCs w:val="20"/>
        </w:rPr>
        <w:t xml:space="preserve"> </w:t>
      </w:r>
      <w:r>
        <w:rPr>
          <w:rFonts w:eastAsia="Calibri" w:cs="Times New Roman"/>
          <w:color w:val="000000"/>
          <w:szCs w:val="20"/>
        </w:rPr>
        <w:t>ESC also considered that the economic model excluded follow-up investigations and associated costs necessary to assess treatment response.</w:t>
      </w:r>
      <w:r w:rsidR="0066551E">
        <w:rPr>
          <w:rFonts w:eastAsia="Calibri" w:cs="Times New Roman"/>
          <w:color w:val="000000"/>
          <w:szCs w:val="20"/>
        </w:rPr>
        <w:br w:type="page"/>
      </w:r>
    </w:p>
    <w:p w14:paraId="0A8EF693" w14:textId="77777777" w:rsidR="000B228E" w:rsidRDefault="000B228E" w:rsidP="000B228E">
      <w:pPr>
        <w:pBdr>
          <w:top w:val="single" w:sz="4" w:space="1" w:color="auto"/>
          <w:left w:val="single" w:sz="4" w:space="4" w:color="auto"/>
          <w:bottom w:val="single" w:sz="4" w:space="1" w:color="auto"/>
          <w:right w:val="single" w:sz="4" w:space="4" w:color="auto"/>
        </w:pBdr>
        <w:spacing w:before="0" w:after="240" w:line="240" w:lineRule="auto"/>
        <w:rPr>
          <w:rFonts w:eastAsia="Times New Roman" w:cs="Times New Roman"/>
          <w:color w:val="000000"/>
          <w:szCs w:val="20"/>
          <w:lang w:eastAsia="en-AU"/>
        </w:rPr>
      </w:pPr>
      <w:r>
        <w:rPr>
          <w:rFonts w:eastAsia="Calibri" w:cs="Times New Roman"/>
          <w:color w:val="000000"/>
          <w:szCs w:val="20"/>
        </w:rPr>
        <w:lastRenderedPageBreak/>
        <w:t xml:space="preserve">Following the ESC meeting, the assessment group produced an Addendum to address the ESC’s information request for the economic model. This resulted in </w:t>
      </w:r>
      <w:r>
        <w:rPr>
          <w:iCs/>
        </w:rPr>
        <w:t xml:space="preserve">additional sensitivity analyses conducted to explore the impact of choice of parametric distribution on the estimated cost-effectiveness of </w:t>
      </w:r>
      <w:r w:rsidRPr="00FA1DA7">
        <w:rPr>
          <w:iCs/>
          <w:vertAlign w:val="superscript"/>
        </w:rPr>
        <w:t>177</w:t>
      </w:r>
      <w:r w:rsidRPr="00FA1DA7">
        <w:rPr>
          <w:iCs/>
        </w:rPr>
        <w:t>Lu</w:t>
      </w:r>
      <w:r>
        <w:rPr>
          <w:iCs/>
        </w:rPr>
        <w:t>tetium (Lu)</w:t>
      </w:r>
      <w:r w:rsidRPr="00FA1DA7">
        <w:rPr>
          <w:iCs/>
        </w:rPr>
        <w:t xml:space="preserve">-DOTA-octreotate for the treatment of advanced </w:t>
      </w:r>
      <w:r>
        <w:rPr>
          <w:iCs/>
        </w:rPr>
        <w:t xml:space="preserve">NENs, as well as the mean number of treatment cycles influencing the total cost of treatment. The choice of parametric distribution for progression-free survival (PFS) and overall survival (OS) had a moderate impact on the estimated cost-effectiveness of </w:t>
      </w:r>
      <w:r w:rsidRPr="00FA1DA7">
        <w:rPr>
          <w:iCs/>
          <w:vertAlign w:val="superscript"/>
        </w:rPr>
        <w:t>177</w:t>
      </w:r>
      <w:r w:rsidRPr="00FA1DA7">
        <w:rPr>
          <w:iCs/>
        </w:rPr>
        <w:t>Lu-DOTA-octreotate</w:t>
      </w:r>
      <w:r>
        <w:rPr>
          <w:iCs/>
        </w:rPr>
        <w:t xml:space="preserve">. </w:t>
      </w:r>
      <w:r w:rsidRPr="00CB54B9">
        <w:rPr>
          <w:iCs/>
        </w:rPr>
        <w:t>Another scenario</w:t>
      </w:r>
      <w:r>
        <w:rPr>
          <w:iCs/>
        </w:rPr>
        <w:t xml:space="preserve"> analysis was also conducted which </w:t>
      </w:r>
      <w:r w:rsidRPr="00CB54B9">
        <w:rPr>
          <w:iCs/>
        </w:rPr>
        <w:t xml:space="preserve">assumed </w:t>
      </w:r>
      <w:r>
        <w:rPr>
          <w:iCs/>
        </w:rPr>
        <w:t>an</w:t>
      </w:r>
      <w:r w:rsidRPr="00CB54B9">
        <w:rPr>
          <w:iCs/>
        </w:rPr>
        <w:t xml:space="preserve"> additional 68Gallium (Ga)-DOTA-octreotate positron emission tomography (PET)/computed tomography (CT)—68Ga-DOTA-octreotate PET/CT— diagnostic test for patients treated with </w:t>
      </w:r>
      <w:r w:rsidRPr="005D1C24">
        <w:rPr>
          <w:vertAlign w:val="superscript"/>
        </w:rPr>
        <w:t>177</w:t>
      </w:r>
      <w:r w:rsidRPr="00CB54B9">
        <w:rPr>
          <w:iCs/>
        </w:rPr>
        <w:t xml:space="preserve">Lu-DOTA-octreotate </w:t>
      </w:r>
      <w:r>
        <w:rPr>
          <w:iCs/>
        </w:rPr>
        <w:t>was conducted</w:t>
      </w:r>
      <w:r w:rsidRPr="00CB54B9">
        <w:rPr>
          <w:iCs/>
        </w:rPr>
        <w:t xml:space="preserve"> as part of follow-up monitoring, in contrast with the model base case which assumes that additional monitoring costs will be equivalent between the intervention and comparators. This scenario resulted in a small increase in the ICER for treatment with </w:t>
      </w:r>
      <w:r w:rsidRPr="005D1C24">
        <w:rPr>
          <w:vertAlign w:val="superscript"/>
        </w:rPr>
        <w:t>177</w:t>
      </w:r>
      <w:r w:rsidRPr="00CB54B9">
        <w:rPr>
          <w:iCs/>
        </w:rPr>
        <w:t>Lu-DOTA-octreotate</w:t>
      </w:r>
      <w:r>
        <w:rPr>
          <w:iCs/>
        </w:rPr>
        <w:t xml:space="preserve"> (see </w:t>
      </w:r>
      <w:r w:rsidRPr="005D1C24">
        <w:rPr>
          <w:b/>
        </w:rPr>
        <w:t>Attachment</w:t>
      </w:r>
      <w:r>
        <w:rPr>
          <w:iCs/>
        </w:rPr>
        <w:t>)</w:t>
      </w:r>
      <w:r w:rsidRPr="00CB54B9">
        <w:rPr>
          <w:iCs/>
        </w:rPr>
        <w:t>.</w:t>
      </w:r>
    </w:p>
    <w:p w14:paraId="29960DA4" w14:textId="77777777"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ESC noted that the DCAR estimated a net cost to the MBS of approximately $8.96 million by 2029 based on an assumption of a constant 3.5% of the incident population with NENs undergoing the proposed imaging scan and treatment. ESC noted that the DCAR’s sensitivity analysis assuming 75% of the incident population undertook the proposed imaging and a doubling of the population undergoing treatment estimated a net cost of $17.9 million by 2029.</w:t>
      </w:r>
    </w:p>
    <w:p w14:paraId="7C9614CE" w14:textId="77777777" w:rsidR="000B228E"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w:t>
      </w:r>
      <w:r w:rsidRPr="000B3381">
        <w:rPr>
          <w:rFonts w:eastAsia="Times New Roman" w:cs="Times New Roman"/>
          <w:color w:val="000000"/>
          <w:szCs w:val="20"/>
          <w:lang w:eastAsia="en-AU"/>
        </w:rPr>
        <w:t xml:space="preserve">the </w:t>
      </w:r>
      <w:r>
        <w:rPr>
          <w:rFonts w:eastAsia="Times New Roman" w:cs="Times New Roman"/>
          <w:color w:val="000000"/>
          <w:szCs w:val="20"/>
          <w:lang w:eastAsia="en-AU"/>
        </w:rPr>
        <w:t>d</w:t>
      </w:r>
      <w:r w:rsidRPr="000B3381">
        <w:rPr>
          <w:rFonts w:eastAsia="Times New Roman" w:cs="Times New Roman"/>
          <w:color w:val="000000"/>
          <w:szCs w:val="20"/>
          <w:lang w:eastAsia="en-AU"/>
        </w:rPr>
        <w:t>epartment has received advice from the applicant that approximately 65% of patients diagnosed with a NENs</w:t>
      </w:r>
      <w:r>
        <w:rPr>
          <w:rFonts w:eastAsia="Times New Roman" w:cs="Times New Roman"/>
          <w:color w:val="000000"/>
          <w:szCs w:val="20"/>
          <w:lang w:eastAsia="en-AU"/>
        </w:rPr>
        <w:t xml:space="preserve"> </w:t>
      </w:r>
      <w:r w:rsidRPr="00DA4FC7">
        <w:rPr>
          <w:rFonts w:eastAsia="Times New Roman" w:cs="Times New Roman"/>
          <w:color w:val="000000"/>
          <w:szCs w:val="20"/>
          <w:lang w:eastAsia="en-AU"/>
        </w:rPr>
        <w:t xml:space="preserve">(i.e. </w:t>
      </w:r>
      <w:r>
        <w:rPr>
          <w:rFonts w:eastAsia="Times New Roman" w:cs="Times New Roman"/>
          <w:color w:val="000000"/>
          <w:szCs w:val="20"/>
          <w:lang w:eastAsia="en-AU"/>
        </w:rPr>
        <w:t xml:space="preserve">those with </w:t>
      </w:r>
      <w:r w:rsidRPr="00DA4FC7">
        <w:rPr>
          <w:rFonts w:eastAsia="Times New Roman" w:cs="Times New Roman"/>
          <w:color w:val="000000"/>
          <w:szCs w:val="20"/>
          <w:lang w:eastAsia="en-AU"/>
        </w:rPr>
        <w:t>suspected high SSTR expression)</w:t>
      </w:r>
      <w:r>
        <w:rPr>
          <w:rFonts w:eastAsia="Times New Roman" w:cs="Times New Roman"/>
          <w:color w:val="000000"/>
          <w:szCs w:val="20"/>
          <w:lang w:eastAsia="en-AU"/>
        </w:rPr>
        <w:t xml:space="preserve"> </w:t>
      </w:r>
      <w:r w:rsidRPr="000B3381">
        <w:rPr>
          <w:rFonts w:eastAsia="Times New Roman" w:cs="Times New Roman"/>
          <w:color w:val="000000"/>
          <w:szCs w:val="20"/>
          <w:lang w:eastAsia="en-AU"/>
        </w:rPr>
        <w:t xml:space="preserve">would receive a </w:t>
      </w:r>
      <w:r>
        <w:rPr>
          <w:rFonts w:eastAsia="Times New Roman" w:cs="Times New Roman"/>
          <w:color w:val="000000"/>
          <w:szCs w:val="20"/>
          <w:lang w:eastAsia="en-AU"/>
        </w:rPr>
        <w:t>w</w:t>
      </w:r>
      <w:r w:rsidRPr="000B3381">
        <w:rPr>
          <w:rFonts w:eastAsia="Times New Roman" w:cs="Times New Roman"/>
          <w:color w:val="000000"/>
          <w:szCs w:val="20"/>
          <w:lang w:eastAsia="en-AU"/>
        </w:rPr>
        <w:t>hole</w:t>
      </w:r>
      <w:r>
        <w:rPr>
          <w:rFonts w:eastAsia="Times New Roman" w:cs="Times New Roman"/>
          <w:color w:val="000000"/>
          <w:szCs w:val="20"/>
          <w:lang w:eastAsia="en-AU"/>
        </w:rPr>
        <w:t>-</w:t>
      </w:r>
      <w:r w:rsidRPr="000B3381">
        <w:rPr>
          <w:rFonts w:eastAsia="Times New Roman" w:cs="Times New Roman"/>
          <w:color w:val="000000"/>
          <w:szCs w:val="20"/>
          <w:lang w:eastAsia="en-AU"/>
        </w:rPr>
        <w:t>body 68Ga-DOTA-octreotate PET study</w:t>
      </w:r>
      <w:r>
        <w:rPr>
          <w:rFonts w:eastAsia="Times New Roman" w:cs="Times New Roman"/>
          <w:color w:val="000000"/>
          <w:szCs w:val="20"/>
          <w:lang w:eastAsia="en-AU"/>
        </w:rPr>
        <w:t xml:space="preserve">, </w:t>
      </w:r>
      <w:r w:rsidRPr="000B3381">
        <w:rPr>
          <w:rFonts w:eastAsia="Times New Roman" w:cs="Times New Roman"/>
          <w:color w:val="000000"/>
          <w:szCs w:val="20"/>
          <w:lang w:eastAsia="en-AU"/>
        </w:rPr>
        <w:t>of these 30% would also undergo a FDG PET</w:t>
      </w:r>
      <w:r>
        <w:rPr>
          <w:rFonts w:eastAsia="Times New Roman" w:cs="Times New Roman"/>
          <w:color w:val="000000"/>
          <w:szCs w:val="20"/>
          <w:lang w:eastAsia="en-AU"/>
        </w:rPr>
        <w:t xml:space="preserve"> and based on this be potentially eligible for</w:t>
      </w:r>
      <w:r w:rsidRPr="001347A2">
        <w:rPr>
          <w:rFonts w:eastAsia="Times New Roman" w:cs="Times New Roman"/>
          <w:color w:val="000000"/>
          <w:szCs w:val="20"/>
          <w:lang w:eastAsia="en-AU"/>
        </w:rPr>
        <w:t xml:space="preserve"> </w:t>
      </w:r>
      <w:r w:rsidRPr="00994611">
        <w:rPr>
          <w:rFonts w:eastAsia="Times New Roman" w:cs="Times New Roman"/>
          <w:color w:val="000000"/>
          <w:szCs w:val="20"/>
          <w:vertAlign w:val="superscript"/>
          <w:lang w:eastAsia="en-AU"/>
        </w:rPr>
        <w:t>177</w:t>
      </w:r>
      <w:r w:rsidRPr="001347A2">
        <w:rPr>
          <w:rFonts w:eastAsia="Times New Roman" w:cs="Times New Roman"/>
          <w:color w:val="000000"/>
          <w:szCs w:val="20"/>
          <w:lang w:eastAsia="en-AU"/>
        </w:rPr>
        <w:t>Lu-DOTA-octreotate</w:t>
      </w:r>
      <w:r>
        <w:rPr>
          <w:rFonts w:eastAsia="Times New Roman" w:cs="Times New Roman"/>
          <w:color w:val="000000"/>
          <w:szCs w:val="20"/>
          <w:lang w:eastAsia="en-AU"/>
        </w:rPr>
        <w:t xml:space="preserve">. However, ESC noted that published estimates indicated that the estimate of those with suspected high SSTR expression and thus eligible for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testing could be as high as 80% in well differentiated NETs</w:t>
      </w:r>
      <w:r>
        <w:rPr>
          <w:rStyle w:val="FootnoteReference"/>
          <w:rFonts w:eastAsia="Times New Roman" w:cs="Times New Roman"/>
          <w:color w:val="000000"/>
          <w:szCs w:val="20"/>
          <w:lang w:eastAsia="en-AU"/>
        </w:rPr>
        <w:footnoteReference w:id="39"/>
      </w:r>
      <w:r>
        <w:rPr>
          <w:rFonts w:eastAsia="Times New Roman" w:cs="Times New Roman"/>
          <w:color w:val="000000"/>
          <w:szCs w:val="20"/>
          <w:lang w:eastAsia="en-AU"/>
        </w:rPr>
        <w:t xml:space="preserve"> and &gt;80% in endocrine tumours of </w:t>
      </w:r>
      <w:proofErr w:type="spellStart"/>
      <w:r>
        <w:rPr>
          <w:rFonts w:eastAsia="Times New Roman" w:cs="Times New Roman"/>
          <w:color w:val="000000"/>
          <w:szCs w:val="20"/>
          <w:lang w:eastAsia="en-AU"/>
        </w:rPr>
        <w:t>gastroenteropancreatic</w:t>
      </w:r>
      <w:proofErr w:type="spellEnd"/>
      <w:r>
        <w:rPr>
          <w:rFonts w:eastAsia="Times New Roman" w:cs="Times New Roman"/>
          <w:color w:val="000000"/>
          <w:szCs w:val="20"/>
          <w:lang w:eastAsia="en-AU"/>
        </w:rPr>
        <w:t>-NETs</w:t>
      </w:r>
      <w:r>
        <w:rPr>
          <w:rStyle w:val="FootnoteReference"/>
          <w:rFonts w:eastAsia="Times New Roman" w:cs="Times New Roman"/>
          <w:color w:val="000000"/>
          <w:szCs w:val="20"/>
          <w:lang w:eastAsia="en-AU"/>
        </w:rPr>
        <w:footnoteReference w:id="40"/>
      </w:r>
      <w:r>
        <w:rPr>
          <w:rFonts w:eastAsia="Times New Roman" w:cs="Times New Roman"/>
          <w:color w:val="000000"/>
          <w:szCs w:val="20"/>
          <w:lang w:eastAsia="en-AU"/>
        </w:rPr>
        <w:t xml:space="preserve"> . ESC conducted additional sensitivity analysis assuming 80% </w:t>
      </w:r>
      <w:r w:rsidRPr="00C12AA1">
        <w:rPr>
          <w:rFonts w:eastAsia="Times New Roman" w:cs="Times New Roman"/>
          <w:color w:val="000000"/>
          <w:szCs w:val="20"/>
          <w:lang w:eastAsia="en-AU"/>
        </w:rPr>
        <w:t>of the incident population undertook the proposed imaging and a doubling of the population undergoing treatment</w:t>
      </w:r>
      <w:r>
        <w:rPr>
          <w:rFonts w:eastAsia="Times New Roman" w:cs="Times New Roman"/>
          <w:color w:val="000000"/>
          <w:szCs w:val="20"/>
          <w:lang w:eastAsia="en-AU"/>
        </w:rPr>
        <w:t xml:space="preserve"> (as uptake of </w:t>
      </w:r>
      <w:r w:rsidRPr="00A87EEF">
        <w:rPr>
          <w:rFonts w:eastAsia="Times New Roman" w:cs="Times New Roman"/>
          <w:color w:val="000000"/>
          <w:szCs w:val="20"/>
          <w:vertAlign w:val="superscript"/>
          <w:lang w:eastAsia="en-AU"/>
        </w:rPr>
        <w:t>177</w:t>
      </w:r>
      <w:r w:rsidRPr="001347A2">
        <w:rPr>
          <w:rFonts w:eastAsia="Times New Roman" w:cs="Times New Roman"/>
          <w:color w:val="000000"/>
          <w:szCs w:val="20"/>
          <w:lang w:eastAsia="en-AU"/>
        </w:rPr>
        <w:t>Lu-DOTA-octreotate</w:t>
      </w:r>
      <w:r>
        <w:rPr>
          <w:rFonts w:eastAsia="Times New Roman" w:cs="Times New Roman"/>
          <w:color w:val="000000"/>
          <w:szCs w:val="20"/>
          <w:lang w:eastAsia="en-AU"/>
        </w:rPr>
        <w:t xml:space="preserve"> also based on assumption)</w:t>
      </w:r>
      <w:r w:rsidRPr="00C12AA1">
        <w:rPr>
          <w:rFonts w:eastAsia="Times New Roman" w:cs="Times New Roman"/>
          <w:color w:val="000000"/>
          <w:szCs w:val="20"/>
          <w:lang w:eastAsia="en-AU"/>
        </w:rPr>
        <w:t xml:space="preserve"> estimated a net cost of $</w:t>
      </w:r>
      <w:r>
        <w:rPr>
          <w:rFonts w:eastAsia="Times New Roman" w:cs="Times New Roman"/>
          <w:color w:val="000000"/>
          <w:szCs w:val="20"/>
          <w:lang w:eastAsia="en-AU"/>
        </w:rPr>
        <w:t>23.95</w:t>
      </w:r>
      <w:r w:rsidRPr="00C12AA1">
        <w:rPr>
          <w:rFonts w:eastAsia="Times New Roman" w:cs="Times New Roman"/>
          <w:color w:val="000000"/>
          <w:szCs w:val="20"/>
          <w:lang w:eastAsia="en-AU"/>
        </w:rPr>
        <w:t xml:space="preserve"> million by</w:t>
      </w:r>
      <w:r>
        <w:rPr>
          <w:rFonts w:eastAsia="Times New Roman" w:cs="Times New Roman"/>
          <w:color w:val="000000"/>
          <w:szCs w:val="20"/>
          <w:lang w:eastAsia="en-AU"/>
        </w:rPr>
        <w:t xml:space="preserve"> 2029 (see </w:t>
      </w:r>
      <w:r>
        <w:rPr>
          <w:rFonts w:eastAsia="Times New Roman" w:cs="Times New Roman"/>
          <w:color w:val="000000"/>
          <w:szCs w:val="20"/>
          <w:lang w:eastAsia="en-AU"/>
        </w:rPr>
        <w:fldChar w:fldCharType="begin"/>
      </w:r>
      <w:r>
        <w:rPr>
          <w:rFonts w:eastAsia="Times New Roman" w:cs="Times New Roman"/>
          <w:color w:val="000000"/>
          <w:szCs w:val="20"/>
          <w:lang w:eastAsia="en-AU"/>
        </w:rPr>
        <w:instrText xml:space="preserve"> REF _Ref170204677 \h </w:instrText>
      </w:r>
      <w:r>
        <w:rPr>
          <w:rFonts w:eastAsia="Times New Roman" w:cs="Times New Roman"/>
          <w:color w:val="000000"/>
          <w:szCs w:val="20"/>
          <w:lang w:eastAsia="en-AU"/>
        </w:rPr>
      </w:r>
      <w:r>
        <w:rPr>
          <w:rFonts w:eastAsia="Times New Roman" w:cs="Times New Roman"/>
          <w:color w:val="000000"/>
          <w:szCs w:val="20"/>
          <w:lang w:eastAsia="en-AU"/>
        </w:rPr>
        <w:fldChar w:fldCharType="separate"/>
      </w:r>
      <w:r>
        <w:t xml:space="preserve">Table </w:t>
      </w:r>
      <w:r>
        <w:rPr>
          <w:noProof/>
        </w:rPr>
        <w:t>17</w:t>
      </w:r>
      <w:r>
        <w:rPr>
          <w:rFonts w:eastAsia="Times New Roman" w:cs="Times New Roman"/>
          <w:color w:val="000000"/>
          <w:szCs w:val="20"/>
          <w:lang w:eastAsia="en-AU"/>
        </w:rPr>
        <w:fldChar w:fldCharType="end"/>
      </w:r>
      <w:r>
        <w:rPr>
          <w:rFonts w:eastAsia="Times New Roman" w:cs="Times New Roman"/>
          <w:color w:val="000000"/>
          <w:szCs w:val="20"/>
          <w:lang w:eastAsia="en-AU"/>
        </w:rPr>
        <w:t>).</w:t>
      </w:r>
    </w:p>
    <w:p w14:paraId="7BF1081C" w14:textId="21967E26" w:rsidR="006E0188" w:rsidRDefault="000B228E" w:rsidP="006E0188">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Due to the high uncertainty in the financial estimates which heavily relied on assumption, ESC advised that the assessment group investigate whether the financial estimates could be refined to better estimate the incident testing population based on published estimates</w:t>
      </w:r>
      <w:r>
        <w:rPr>
          <w:rStyle w:val="FootnoteReference"/>
          <w:rFonts w:eastAsia="Times New Roman" w:cs="Times New Roman"/>
          <w:color w:val="000000"/>
          <w:szCs w:val="20"/>
          <w:lang w:eastAsia="en-AU"/>
        </w:rPr>
        <w:footnoteReference w:id="41"/>
      </w:r>
      <w:r>
        <w:rPr>
          <w:rFonts w:eastAsia="Times New Roman" w:cs="Times New Roman"/>
          <w:color w:val="000000"/>
          <w:szCs w:val="20"/>
          <w:lang w:eastAsia="en-AU"/>
        </w:rPr>
        <w:t xml:space="preserve">. In addition, ESC queried whether repeat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imaging for monitoring treatment response (permissible in the proposed MBS item) was adequately captured in the financial analysis. ESC also considered that the </w:t>
      </w:r>
      <w:r w:rsidRPr="00D97574">
        <w:rPr>
          <w:rFonts w:eastAsia="Times New Roman" w:cs="Times New Roman"/>
          <w:color w:val="000000"/>
          <w:szCs w:val="20"/>
          <w:lang w:eastAsia="en-AU"/>
        </w:rPr>
        <w:t xml:space="preserve">financial analysis </w:t>
      </w:r>
      <w:proofErr w:type="gramStart"/>
      <w:r w:rsidRPr="00D97574">
        <w:rPr>
          <w:rFonts w:eastAsia="Times New Roman" w:cs="Times New Roman"/>
          <w:color w:val="000000"/>
          <w:szCs w:val="20"/>
          <w:lang w:eastAsia="en-AU"/>
        </w:rPr>
        <w:t>us</w:t>
      </w:r>
      <w:r>
        <w:rPr>
          <w:rFonts w:eastAsia="Times New Roman" w:cs="Times New Roman"/>
          <w:color w:val="000000"/>
          <w:szCs w:val="20"/>
          <w:lang w:eastAsia="en-AU"/>
        </w:rPr>
        <w:t>e</w:t>
      </w:r>
      <w:proofErr w:type="gramEnd"/>
      <w:r>
        <w:rPr>
          <w:rFonts w:eastAsia="Times New Roman" w:cs="Times New Roman"/>
          <w:color w:val="000000"/>
          <w:szCs w:val="20"/>
          <w:lang w:eastAsia="en-AU"/>
        </w:rPr>
        <w:t xml:space="preserve"> the amended fee of</w:t>
      </w:r>
      <w:r w:rsidRPr="00D97574">
        <w:rPr>
          <w:rFonts w:eastAsia="Times New Roman" w:cs="Times New Roman"/>
          <w:color w:val="000000"/>
          <w:szCs w:val="20"/>
          <w:lang w:eastAsia="en-AU"/>
        </w:rPr>
        <w:t xml:space="preserve"> $10,000 fee for </w:t>
      </w:r>
      <w:r w:rsidRPr="00994611">
        <w:rPr>
          <w:rFonts w:eastAsia="Times New Roman" w:cs="Times New Roman"/>
          <w:color w:val="000000"/>
          <w:szCs w:val="20"/>
          <w:vertAlign w:val="superscript"/>
          <w:lang w:eastAsia="en-AU"/>
        </w:rPr>
        <w:t>177</w:t>
      </w:r>
      <w:r w:rsidRPr="00705061">
        <w:rPr>
          <w:rFonts w:eastAsia="Times New Roman" w:cs="Times New Roman"/>
          <w:color w:val="000000"/>
          <w:szCs w:val="20"/>
          <w:lang w:eastAsia="en-AU"/>
        </w:rPr>
        <w:t>Lutetium-somastatin receptor agonist treatment</w:t>
      </w:r>
      <w:r w:rsidRPr="00896435">
        <w:rPr>
          <w:rFonts w:eastAsia="Times New Roman" w:cs="Times New Roman"/>
          <w:color w:val="000000"/>
          <w:szCs w:val="20"/>
          <w:lang w:eastAsia="en-AU"/>
        </w:rPr>
        <w:t xml:space="preserve"> </w:t>
      </w:r>
      <w:r>
        <w:rPr>
          <w:rFonts w:eastAsia="Times New Roman" w:cs="Times New Roman"/>
          <w:color w:val="000000"/>
          <w:szCs w:val="20"/>
          <w:lang w:eastAsia="en-AU"/>
        </w:rPr>
        <w:t>in the proposed item for PRRT therapy.</w:t>
      </w:r>
      <w:r w:rsidR="006E0188">
        <w:rPr>
          <w:rFonts w:eastAsia="Times New Roman" w:cs="Times New Roman"/>
          <w:color w:val="000000"/>
          <w:szCs w:val="20"/>
          <w:lang w:eastAsia="en-AU"/>
        </w:rPr>
        <w:br w:type="page"/>
      </w:r>
    </w:p>
    <w:p w14:paraId="084781A9" w14:textId="77777777" w:rsidR="000B228E" w:rsidRPr="00B729B9" w:rsidRDefault="000B228E" w:rsidP="000B228E">
      <w:pPr>
        <w:pBdr>
          <w:top w:val="single" w:sz="4" w:space="1" w:color="auto"/>
          <w:left w:val="single" w:sz="4" w:space="4" w:color="auto"/>
          <w:bottom w:val="single" w:sz="4" w:space="1" w:color="auto"/>
          <w:right w:val="single" w:sz="4" w:space="4" w:color="auto"/>
        </w:pBdr>
        <w:spacing w:before="0" w:after="240" w:line="240" w:lineRule="auto"/>
        <w:rPr>
          <w:rFonts w:eastAsia="Times New Roman" w:cs="Times New Roman"/>
          <w:color w:val="000000"/>
          <w:szCs w:val="20"/>
          <w:lang w:eastAsia="en-AU"/>
        </w:rPr>
      </w:pPr>
      <w:r>
        <w:rPr>
          <w:rFonts w:eastAsia="Calibri" w:cs="Times New Roman"/>
          <w:color w:val="000000"/>
          <w:szCs w:val="20"/>
        </w:rPr>
        <w:lastRenderedPageBreak/>
        <w:t xml:space="preserve">Following the ESC meeting, the assessment group produced an Addendum to address the ESC’s information request for the financial model. This resulted in an </w:t>
      </w:r>
      <w:r>
        <w:rPr>
          <w:iCs/>
        </w:rPr>
        <w:t xml:space="preserve">additional sensitivity analysis which updated the financial impact of </w:t>
      </w:r>
      <w:r>
        <w:rPr>
          <w:iCs/>
          <w:vertAlign w:val="superscript"/>
        </w:rPr>
        <w:t>177</w:t>
      </w:r>
      <w:r>
        <w:rPr>
          <w:iCs/>
        </w:rPr>
        <w:t xml:space="preserve">Lu-DOTA-octreotate </w:t>
      </w:r>
      <w:r w:rsidRPr="00743C06">
        <w:t>using the amended MBS fee of $10,000 fo</w:t>
      </w:r>
      <w:r>
        <w:t xml:space="preserve">r each treatment </w:t>
      </w:r>
      <w:r w:rsidRPr="00743C06">
        <w:t>cycle</w:t>
      </w:r>
      <w:r>
        <w:t xml:space="preserve"> (</w:t>
      </w:r>
      <w:r w:rsidRPr="00C64781">
        <w:rPr>
          <w:iCs/>
        </w:rPr>
        <w:t>rebate=</w:t>
      </w:r>
      <w:r w:rsidRPr="002F5BB7">
        <w:rPr>
          <w:rFonts w:cs="Segoe UI"/>
        </w:rPr>
        <w:t>$9,901.30</w:t>
      </w:r>
      <w:r>
        <w:rPr>
          <w:rFonts w:cs="Segoe UI"/>
        </w:rPr>
        <w:t xml:space="preserve"> for each treatment cycle</w:t>
      </w:r>
      <w:r w:rsidRPr="002F5BB7">
        <w:rPr>
          <w:rFonts w:cs="Segoe UI"/>
        </w:rPr>
        <w:t xml:space="preserve"> after </w:t>
      </w:r>
      <w:r>
        <w:rPr>
          <w:rFonts w:cs="Segoe UI"/>
        </w:rPr>
        <w:t>consideration of the</w:t>
      </w:r>
      <w:r w:rsidRPr="002F5BB7">
        <w:rPr>
          <w:rFonts w:cs="Segoe UI"/>
        </w:rPr>
        <w:t xml:space="preserve"> greatest permissible gap)</w:t>
      </w:r>
      <w:r w:rsidRPr="00C64781">
        <w:rPr>
          <w:iCs/>
        </w:rPr>
        <w:t>.</w:t>
      </w:r>
      <w:r>
        <w:rPr>
          <w:iCs/>
        </w:rPr>
        <w:t xml:space="preserve"> The assessment group also conducted additional scenario analyses: where an additional diagnostic test is assumed to be conducted as part of monitoring; and also an additional scenario exploring the impact of 80% of the eligible incident population receiving diagnostic testing was assessed based on published estimates which </w:t>
      </w:r>
      <w:r w:rsidRPr="00742B8A">
        <w:rPr>
          <w:iCs/>
        </w:rPr>
        <w:t>indicat</w:t>
      </w:r>
      <w:r>
        <w:rPr>
          <w:iCs/>
        </w:rPr>
        <w:t xml:space="preserve">ed that </w:t>
      </w:r>
      <w:r w:rsidRPr="00090960">
        <w:rPr>
          <w:color w:val="000000"/>
        </w:rPr>
        <w:t xml:space="preserve">the estimate of those with suspected high SSTR expression and thus eligible for </w:t>
      </w:r>
      <w:r w:rsidRPr="00090960">
        <w:rPr>
          <w:color w:val="000000"/>
          <w:vertAlign w:val="superscript"/>
        </w:rPr>
        <w:t>68</w:t>
      </w:r>
      <w:r w:rsidRPr="00090960">
        <w:rPr>
          <w:color w:val="000000"/>
        </w:rPr>
        <w:t xml:space="preserve">Ga-DOTA-octreotate PET/CT testing could be as high as 80% in well differentiated </w:t>
      </w:r>
      <w:r>
        <w:rPr>
          <w:iCs/>
        </w:rPr>
        <w:t>NENs</w:t>
      </w:r>
      <w:r>
        <w:rPr>
          <w:iCs/>
          <w:vertAlign w:val="superscript"/>
        </w:rPr>
        <w:t>7</w:t>
      </w:r>
      <w:r>
        <w:rPr>
          <w:iCs/>
        </w:rPr>
        <w:t xml:space="preserve">. Sensitivity analyses were also conducted for each additional scenario (see </w:t>
      </w:r>
      <w:r w:rsidRPr="003503BC">
        <w:rPr>
          <w:b/>
        </w:rPr>
        <w:t>Attachment</w:t>
      </w:r>
      <w:r>
        <w:rPr>
          <w:iCs/>
        </w:rPr>
        <w:t xml:space="preserve">). The financial impact under the ESC scenario (80% of eligible population tested; additional </w:t>
      </w:r>
      <w:r w:rsidRPr="00C06124">
        <w:rPr>
          <w:vertAlign w:val="superscript"/>
        </w:rPr>
        <w:t>68</w:t>
      </w:r>
      <w:r w:rsidRPr="00C06124">
        <w:t>Ga-</w:t>
      </w:r>
      <w:r>
        <w:t>DOTA-octreotate PET study for treated patients) resulted in a higher net cost of $82.93 million by 2029.</w:t>
      </w:r>
    </w:p>
    <w:p w14:paraId="23DF6F3B" w14:textId="09A19ACB" w:rsidR="000B228E" w:rsidRPr="001B421A" w:rsidRDefault="000B228E" w:rsidP="000B228E">
      <w:pPr>
        <w:spacing w:before="0" w:after="240" w:line="240" w:lineRule="auto"/>
        <w:contextualSpacing/>
        <w:rPr>
          <w:rFonts w:eastAsia="Times New Roman" w:cs="Times New Roman"/>
          <w:color w:val="000000"/>
          <w:szCs w:val="20"/>
          <w:lang w:eastAsia="en-AU"/>
        </w:rPr>
      </w:pPr>
      <w:r>
        <w:rPr>
          <w:rFonts w:eastAsia="Times New Roman" w:cs="Times New Roman"/>
          <w:color w:val="000000"/>
          <w:szCs w:val="20"/>
          <w:lang w:eastAsia="en-AU"/>
        </w:rPr>
        <w:t xml:space="preserve">In addition, </w:t>
      </w:r>
      <w:r w:rsidRPr="00D934CD">
        <w:rPr>
          <w:rFonts w:eastAsia="Times New Roman" w:cs="Times New Roman"/>
          <w:color w:val="000000"/>
          <w:szCs w:val="20"/>
          <w:lang w:eastAsia="en-AU"/>
        </w:rPr>
        <w:t xml:space="preserve">ESC </w:t>
      </w:r>
      <w:r>
        <w:rPr>
          <w:rFonts w:eastAsia="Times New Roman" w:cs="Times New Roman"/>
          <w:color w:val="000000"/>
          <w:szCs w:val="20"/>
          <w:lang w:eastAsia="en-AU"/>
        </w:rPr>
        <w:t xml:space="preserve">queried whether the applicant could provide </w:t>
      </w:r>
      <w:r w:rsidRPr="00D934CD">
        <w:rPr>
          <w:rFonts w:eastAsia="Times New Roman" w:cs="Times New Roman"/>
          <w:color w:val="000000"/>
          <w:szCs w:val="20"/>
          <w:lang w:eastAsia="en-AU"/>
        </w:rPr>
        <w:t>additional advice on extent of current use</w:t>
      </w:r>
      <w:r>
        <w:rPr>
          <w:rFonts w:eastAsia="Times New Roman" w:cs="Times New Roman"/>
          <w:color w:val="000000"/>
          <w:szCs w:val="20"/>
          <w:lang w:eastAsia="en-AU"/>
        </w:rPr>
        <w:t xml:space="preserve"> of </w:t>
      </w:r>
      <w:r w:rsidRPr="001501CD">
        <w:rPr>
          <w:rFonts w:eastAsia="Times New Roman" w:cs="Times New Roman"/>
          <w:color w:val="000000"/>
          <w:szCs w:val="20"/>
          <w:vertAlign w:val="superscript"/>
          <w:lang w:eastAsia="en-AU"/>
        </w:rPr>
        <w:t>177</w:t>
      </w:r>
      <w:r>
        <w:rPr>
          <w:rFonts w:eastAsia="Times New Roman" w:cs="Times New Roman"/>
          <w:color w:val="000000"/>
          <w:szCs w:val="20"/>
          <w:lang w:eastAsia="en-AU"/>
        </w:rPr>
        <w:t>Lu PRRT therapy, such as</w:t>
      </w:r>
      <w:r w:rsidRPr="00D934CD">
        <w:rPr>
          <w:rFonts w:eastAsia="Times New Roman" w:cs="Times New Roman"/>
          <w:color w:val="000000"/>
          <w:szCs w:val="20"/>
          <w:lang w:eastAsia="en-AU"/>
        </w:rPr>
        <w:t xml:space="preserve"> from DVA claim</w:t>
      </w:r>
      <w:r>
        <w:rPr>
          <w:rFonts w:eastAsia="Times New Roman" w:cs="Times New Roman"/>
          <w:color w:val="000000"/>
          <w:szCs w:val="20"/>
          <w:lang w:eastAsia="en-AU"/>
        </w:rPr>
        <w:t xml:space="preserve">ing data. ESC noted that patients also may be currently paying out-of-pocket for </w:t>
      </w:r>
      <w:r w:rsidRPr="001501CD">
        <w:rPr>
          <w:rFonts w:eastAsia="Times New Roman" w:cs="Times New Roman"/>
          <w:color w:val="000000"/>
          <w:szCs w:val="20"/>
          <w:vertAlign w:val="superscript"/>
          <w:lang w:eastAsia="en-AU"/>
        </w:rPr>
        <w:t>177</w:t>
      </w:r>
      <w:r>
        <w:rPr>
          <w:rFonts w:eastAsia="Times New Roman" w:cs="Times New Roman"/>
          <w:color w:val="000000"/>
          <w:szCs w:val="20"/>
          <w:lang w:eastAsia="en-AU"/>
        </w:rPr>
        <w:t>Lu PRRT therapy.</w:t>
      </w:r>
    </w:p>
    <w:p w14:paraId="4DBAFF40" w14:textId="77777777" w:rsidR="000B228E" w:rsidRPr="00994611" w:rsidRDefault="000B228E" w:rsidP="000B228E">
      <w:pPr>
        <w:spacing w:before="0" w:after="240" w:line="240" w:lineRule="auto"/>
        <w:rPr>
          <w:rFonts w:eastAsia="Calibri" w:cs="Times New Roman"/>
          <w:color w:val="000000"/>
          <w:szCs w:val="20"/>
        </w:rPr>
      </w:pPr>
      <w:r>
        <w:rPr>
          <w:rFonts w:eastAsia="Calibri" w:cs="Times New Roman"/>
          <w:color w:val="000000"/>
          <w:szCs w:val="20"/>
        </w:rPr>
        <w:t xml:space="preserve">ESC also noted that insofar as there were evidence gaps deserving of future areas of research, </w:t>
      </w:r>
      <w:r w:rsidRPr="00D36FB1">
        <w:rPr>
          <w:rFonts w:eastAsia="Calibri" w:cs="Times New Roman"/>
          <w:color w:val="000000"/>
          <w:szCs w:val="20"/>
        </w:rPr>
        <w:t xml:space="preserve">evidence on patient outcomes </w:t>
      </w:r>
      <w:r>
        <w:rPr>
          <w:rFonts w:eastAsia="Calibri" w:cs="Times New Roman"/>
          <w:color w:val="000000"/>
          <w:szCs w:val="20"/>
        </w:rPr>
        <w:t>and significant adverse events</w:t>
      </w:r>
      <w:r w:rsidRPr="00D36FB1">
        <w:rPr>
          <w:rFonts w:eastAsia="Calibri" w:cs="Times New Roman"/>
          <w:color w:val="000000"/>
          <w:szCs w:val="20"/>
        </w:rPr>
        <w:t xml:space="preserve"> should </w:t>
      </w:r>
      <w:r>
        <w:rPr>
          <w:rFonts w:eastAsia="Calibri" w:cs="Times New Roman"/>
          <w:color w:val="000000"/>
          <w:szCs w:val="20"/>
        </w:rPr>
        <w:t xml:space="preserve">already </w:t>
      </w:r>
      <w:r w:rsidRPr="00D36FB1">
        <w:rPr>
          <w:rFonts w:eastAsia="Calibri" w:cs="Times New Roman"/>
          <w:color w:val="000000"/>
          <w:szCs w:val="20"/>
        </w:rPr>
        <w:t xml:space="preserve">be available from major hospitals with </w:t>
      </w:r>
      <w:r>
        <w:rPr>
          <w:rFonts w:eastAsia="Calibri" w:cs="Times New Roman"/>
          <w:color w:val="000000"/>
          <w:szCs w:val="20"/>
        </w:rPr>
        <w:t xml:space="preserve">a </w:t>
      </w:r>
      <w:r w:rsidRPr="00D36FB1">
        <w:rPr>
          <w:rFonts w:eastAsia="Calibri" w:cs="Times New Roman"/>
          <w:color w:val="000000"/>
          <w:szCs w:val="20"/>
        </w:rPr>
        <w:t>nuclear medicine</w:t>
      </w:r>
      <w:r>
        <w:rPr>
          <w:rFonts w:eastAsia="Calibri" w:cs="Times New Roman"/>
          <w:color w:val="000000"/>
          <w:szCs w:val="20"/>
        </w:rPr>
        <w:t xml:space="preserve"> facility.</w:t>
      </w:r>
    </w:p>
    <w:p w14:paraId="08518D8C" w14:textId="77777777" w:rsidR="001B421A" w:rsidRDefault="001B421A" w:rsidP="001B421A">
      <w:pPr>
        <w:pStyle w:val="Heading2"/>
        <w:numPr>
          <w:ilvl w:val="0"/>
          <w:numId w:val="0"/>
        </w:numPr>
      </w:pPr>
      <w:r>
        <w:t>17.</w:t>
      </w:r>
      <w:r>
        <w:tab/>
        <w:t>Applicant comments on MSAC’s Public Summary Document</w:t>
      </w:r>
    </w:p>
    <w:p w14:paraId="51F776FF" w14:textId="77777777" w:rsidR="004F6F0A" w:rsidRPr="00F00D56" w:rsidRDefault="004F6F0A" w:rsidP="001B421A">
      <w:pPr>
        <w:spacing w:after="240"/>
        <w:rPr>
          <w:color w:val="00B0F0"/>
        </w:rPr>
      </w:pPr>
    </w:p>
    <w:p w14:paraId="648FFF54" w14:textId="77777777" w:rsidR="001B421A" w:rsidRDefault="001B421A" w:rsidP="001B421A">
      <w:pPr>
        <w:pStyle w:val="Heading2"/>
        <w:numPr>
          <w:ilvl w:val="0"/>
          <w:numId w:val="0"/>
        </w:numPr>
      </w:pPr>
      <w:r>
        <w:t>18.</w:t>
      </w:r>
      <w:r>
        <w:tab/>
        <w:t>Further information on MSAC</w:t>
      </w:r>
    </w:p>
    <w:p w14:paraId="5B0CB18A" w14:textId="74FC392F" w:rsidR="00624BA7" w:rsidRPr="001B421A" w:rsidRDefault="001B421A" w:rsidP="001B421A">
      <w:pPr>
        <w:pStyle w:val="BodyText"/>
        <w:rPr>
          <w:rFonts w:ascii="Franklin Gothic Book" w:hAnsi="Franklin Gothic Book" w:cstheme="minorBidi"/>
          <w:b/>
          <w:bCs/>
          <w:i/>
          <w:iCs/>
          <w:sz w:val="22"/>
        </w:rPr>
      </w:pPr>
      <w:r w:rsidRPr="00F309FA">
        <w:rPr>
          <w:rFonts w:ascii="Franklin Gothic Book" w:hAnsi="Franklin Gothic Book"/>
          <w:bCs/>
          <w:iCs/>
          <w:sz w:val="22"/>
        </w:rPr>
        <w:t xml:space="preserve">MSAC Terms of Reference and other information are available on the MSAC Website: </w:t>
      </w:r>
      <w:hyperlink r:id="rId18" w:tooltip="Link to the MSAC website" w:history="1">
        <w:r w:rsidRPr="00F309FA">
          <w:rPr>
            <w:rStyle w:val="Hyperlink"/>
            <w:rFonts w:ascii="Franklin Gothic Book" w:hAnsi="Franklin Gothic Book"/>
            <w:iCs/>
            <w:sz w:val="22"/>
          </w:rPr>
          <w:t>visit the MSAC website</w:t>
        </w:r>
      </w:hyperlink>
      <w:r w:rsidR="00624BA7">
        <w:br w:type="page"/>
      </w:r>
    </w:p>
    <w:p w14:paraId="22E01F21" w14:textId="7027D889" w:rsidR="00624BA7" w:rsidRDefault="00624BA7" w:rsidP="00624BA7">
      <w:pPr>
        <w:pStyle w:val="Heading1"/>
        <w:numPr>
          <w:ilvl w:val="0"/>
          <w:numId w:val="0"/>
        </w:numPr>
        <w:ind w:left="426"/>
      </w:pPr>
      <w:r>
        <w:lastRenderedPageBreak/>
        <w:t>Attachment</w:t>
      </w:r>
    </w:p>
    <w:p w14:paraId="44FF05FD" w14:textId="7D65201F" w:rsidR="00624BA7" w:rsidRDefault="00624BA7" w:rsidP="00624BA7">
      <w:pPr>
        <w:pStyle w:val="Heading3"/>
      </w:pPr>
      <w:r>
        <w:t>Addendum</w:t>
      </w:r>
    </w:p>
    <w:p w14:paraId="6A90FC89" w14:textId="77777777" w:rsidR="004D7392" w:rsidRPr="00CE28E3" w:rsidRDefault="004D7392" w:rsidP="004D7392">
      <w:pPr>
        <w:pStyle w:val="Heading2"/>
        <w:numPr>
          <w:ilvl w:val="0"/>
          <w:numId w:val="0"/>
        </w:numPr>
      </w:pPr>
      <w:bookmarkStart w:id="119" w:name="_Toc170409072"/>
      <w:r>
        <w:t>1.</w:t>
      </w:r>
      <w:r>
        <w:tab/>
        <w:t>Additional cost-effectiveness sensitivity analysis</w:t>
      </w:r>
      <w:bookmarkEnd w:id="119"/>
    </w:p>
    <w:p w14:paraId="5734F613" w14:textId="77777777" w:rsidR="004D7392" w:rsidRDefault="004D7392" w:rsidP="004D7392">
      <w:pPr>
        <w:spacing w:after="240"/>
        <w:rPr>
          <w:iCs/>
        </w:rPr>
      </w:pPr>
      <w:r>
        <w:rPr>
          <w:iCs/>
        </w:rPr>
        <w:t xml:space="preserve">Additional sensitivity analysis has been conducted to explore the impact of choice of parametric distribution on the estimated cost-effectiveness of </w:t>
      </w:r>
      <w:r w:rsidRPr="00FA1DA7">
        <w:rPr>
          <w:iCs/>
          <w:vertAlign w:val="superscript"/>
        </w:rPr>
        <w:t>177</w:t>
      </w:r>
      <w:r w:rsidRPr="00FA1DA7">
        <w:rPr>
          <w:iCs/>
        </w:rPr>
        <w:t>Lu</w:t>
      </w:r>
      <w:r>
        <w:rPr>
          <w:iCs/>
        </w:rPr>
        <w:t>tetium (Lu)</w:t>
      </w:r>
      <w:r w:rsidRPr="00FA1DA7">
        <w:rPr>
          <w:iCs/>
        </w:rPr>
        <w:t xml:space="preserve">-DOTA-octreotate for the treatment of advanced </w:t>
      </w:r>
      <w:r>
        <w:rPr>
          <w:iCs/>
        </w:rPr>
        <w:t xml:space="preserve">neuroendocrine neoplasms (NENs), as well as the mean number of treatment cycles influencing the total cost of treatment. The results of these one- and 2-way sensitivity analyses are presented in </w:t>
      </w:r>
      <w:r>
        <w:rPr>
          <w:iCs/>
        </w:rPr>
        <w:fldChar w:fldCharType="begin"/>
      </w:r>
      <w:r>
        <w:rPr>
          <w:iCs/>
        </w:rPr>
        <w:instrText xml:space="preserve"> REF _Ref170408285 \h </w:instrText>
      </w:r>
      <w:r>
        <w:rPr>
          <w:iCs/>
        </w:rPr>
      </w:r>
      <w:r>
        <w:rPr>
          <w:iCs/>
        </w:rPr>
        <w:fldChar w:fldCharType="separate"/>
      </w:r>
      <w:r>
        <w:t xml:space="preserve">Table </w:t>
      </w:r>
      <w:r>
        <w:rPr>
          <w:noProof/>
        </w:rPr>
        <w:t>1</w:t>
      </w:r>
      <w:r>
        <w:rPr>
          <w:iCs/>
        </w:rPr>
        <w:fldChar w:fldCharType="end"/>
      </w:r>
      <w:r>
        <w:rPr>
          <w:iCs/>
        </w:rPr>
        <w:t>.</w:t>
      </w:r>
    </w:p>
    <w:p w14:paraId="25D11CBB" w14:textId="77777777" w:rsidR="004D7392" w:rsidRDefault="004D7392" w:rsidP="004D7392">
      <w:pPr>
        <w:spacing w:after="240"/>
        <w:rPr>
          <w:iCs/>
        </w:rPr>
      </w:pPr>
      <w:r>
        <w:rPr>
          <w:iCs/>
        </w:rPr>
        <w:t xml:space="preserve">The choice of parametric distribution for progression-free survival (PFS) and overall survival (OS) had a moderate impact on the estimated cost-effectiveness of </w:t>
      </w:r>
      <w:r w:rsidRPr="00FA1DA7">
        <w:rPr>
          <w:iCs/>
          <w:vertAlign w:val="superscript"/>
        </w:rPr>
        <w:t>177</w:t>
      </w:r>
      <w:r w:rsidRPr="00FA1DA7">
        <w:rPr>
          <w:iCs/>
        </w:rPr>
        <w:t>Lu-DOTA-octreotate</w:t>
      </w:r>
      <w:r>
        <w:rPr>
          <w:iCs/>
        </w:rPr>
        <w:t xml:space="preserve">. Incremental cost-effectiveness ratios (ICER) in comparison with placebo ranged between $31,576 per quality-adjusted life year (QALY) and $44,210/QALY for the lognormal and Gompertz distributions, respectively. This trend was consistent across considered comparators. </w:t>
      </w:r>
    </w:p>
    <w:p w14:paraId="62480600" w14:textId="77777777" w:rsidR="004D7392" w:rsidRDefault="004D7392" w:rsidP="004D7392">
      <w:pPr>
        <w:spacing w:after="240"/>
        <w:rPr>
          <w:iCs/>
        </w:rPr>
      </w:pPr>
      <w:r>
        <w:rPr>
          <w:iCs/>
        </w:rPr>
        <w:t xml:space="preserve">Scenarios using different estimated time on treatment for </w:t>
      </w:r>
      <w:r w:rsidRPr="00FA1DA7">
        <w:rPr>
          <w:iCs/>
          <w:vertAlign w:val="superscript"/>
        </w:rPr>
        <w:t>177</w:t>
      </w:r>
      <w:r w:rsidRPr="00FA1DA7">
        <w:rPr>
          <w:iCs/>
        </w:rPr>
        <w:t>Lu-DOTA-octreotate</w:t>
      </w:r>
      <w:r>
        <w:rPr>
          <w:iCs/>
        </w:rPr>
        <w:t xml:space="preserve"> also resulted in moderate changes in the estimated ICER, with an assumed additional 0.5 cycles of treatment increasing the estimated ICER in comparison with placebo from $31,792/QALY in the base case to $35,114/QALY. Similarly, assuming 0.5 fewer cycles of treatment resulted in a reduction in the estimated ICER in comparison with placebo to $28,378/QALY. This trend was repeated across all comparators, and regardless of the choice of parametric distribution. Sunitinib was a dominant treatment option in comparison with </w:t>
      </w:r>
      <w:r w:rsidRPr="00FA1DA7">
        <w:rPr>
          <w:iCs/>
          <w:vertAlign w:val="superscript"/>
        </w:rPr>
        <w:t>177</w:t>
      </w:r>
      <w:r w:rsidRPr="00FA1DA7">
        <w:rPr>
          <w:iCs/>
        </w:rPr>
        <w:t>Lu-DOTA-octreotate</w:t>
      </w:r>
      <w:r>
        <w:rPr>
          <w:iCs/>
        </w:rPr>
        <w:t xml:space="preserve"> in all scenarios.</w:t>
      </w:r>
    </w:p>
    <w:p w14:paraId="001B2690" w14:textId="77777777" w:rsidR="004D7392" w:rsidRDefault="004D7392" w:rsidP="004D7392">
      <w:pPr>
        <w:spacing w:after="240"/>
        <w:rPr>
          <w:iCs/>
        </w:rPr>
      </w:pPr>
      <w:r>
        <w:rPr>
          <w:iCs/>
        </w:rPr>
        <w:t xml:space="preserve">Another scenario considering an assumed additional </w:t>
      </w:r>
      <w:r w:rsidRPr="00024AB4">
        <w:rPr>
          <w:iCs/>
          <w:vertAlign w:val="superscript"/>
        </w:rPr>
        <w:t>68</w:t>
      </w:r>
      <w:r w:rsidRPr="00024AB4">
        <w:rPr>
          <w:iCs/>
        </w:rPr>
        <w:t>Ga</w:t>
      </w:r>
      <w:r>
        <w:rPr>
          <w:iCs/>
        </w:rPr>
        <w:t>llium (Ga)</w:t>
      </w:r>
      <w:r w:rsidRPr="00024AB4">
        <w:rPr>
          <w:iCs/>
        </w:rPr>
        <w:t xml:space="preserve">-DOTA-octreotate </w:t>
      </w:r>
      <w:r>
        <w:rPr>
          <w:iCs/>
        </w:rPr>
        <w:t>positron emission tomography (</w:t>
      </w:r>
      <w:r w:rsidRPr="00024AB4">
        <w:rPr>
          <w:iCs/>
        </w:rPr>
        <w:t>PET</w:t>
      </w:r>
      <w:r>
        <w:rPr>
          <w:iCs/>
        </w:rPr>
        <w:t>)</w:t>
      </w:r>
      <w:r w:rsidRPr="00024AB4">
        <w:rPr>
          <w:iCs/>
        </w:rPr>
        <w:t>/</w:t>
      </w:r>
      <w:r>
        <w:rPr>
          <w:iCs/>
        </w:rPr>
        <w:t>computed tomography (</w:t>
      </w:r>
      <w:r w:rsidRPr="00024AB4">
        <w:rPr>
          <w:iCs/>
        </w:rPr>
        <w:t>CT</w:t>
      </w:r>
      <w:r>
        <w:rPr>
          <w:iCs/>
        </w:rPr>
        <w:t>)</w:t>
      </w:r>
      <w:r>
        <w:t>—</w:t>
      </w:r>
      <w:r w:rsidRPr="00C06124">
        <w:rPr>
          <w:vertAlign w:val="superscript"/>
        </w:rPr>
        <w:t>68</w:t>
      </w:r>
      <w:r w:rsidRPr="00C06124">
        <w:t>Ga-</w:t>
      </w:r>
      <w:r>
        <w:t>DOTA-octreotate PET/CT—</w:t>
      </w:r>
      <w:r>
        <w:rPr>
          <w:iCs/>
        </w:rPr>
        <w:t xml:space="preserve"> diagnostic test for patients treated with </w:t>
      </w:r>
      <w:r w:rsidRPr="00024AB4">
        <w:rPr>
          <w:iCs/>
          <w:vertAlign w:val="superscript"/>
        </w:rPr>
        <w:t>177</w:t>
      </w:r>
      <w:r w:rsidRPr="00024AB4">
        <w:rPr>
          <w:iCs/>
        </w:rPr>
        <w:t xml:space="preserve">Lu-DOTA-octreotate </w:t>
      </w:r>
      <w:r>
        <w:rPr>
          <w:iCs/>
        </w:rPr>
        <w:t xml:space="preserve">as part of follow-up monitoring was also considered, in contrast with the model base case which assumes that additional monitoring costs will be equivalent between the intervention and comparators. This scenario resulted in a small increase in the ICER for treatment with </w:t>
      </w:r>
      <w:r w:rsidRPr="00024AB4">
        <w:rPr>
          <w:iCs/>
          <w:vertAlign w:val="superscript"/>
        </w:rPr>
        <w:t>177</w:t>
      </w:r>
      <w:r w:rsidRPr="00024AB4">
        <w:rPr>
          <w:iCs/>
        </w:rPr>
        <w:t>Lu-DOTA-octreotate</w:t>
      </w:r>
      <w:r>
        <w:rPr>
          <w:iCs/>
        </w:rPr>
        <w:t>.</w:t>
      </w:r>
      <w:r>
        <w:rPr>
          <w:iCs/>
        </w:rPr>
        <w:br w:type="page"/>
      </w:r>
    </w:p>
    <w:p w14:paraId="2CA31FC1" w14:textId="77777777" w:rsidR="004D7392" w:rsidRDefault="004D7392" w:rsidP="004D7392">
      <w:pPr>
        <w:pStyle w:val="Caption"/>
        <w:sectPr w:rsidR="004D7392" w:rsidSect="00C65DF0">
          <w:headerReference w:type="even" r:id="rId19"/>
          <w:headerReference w:type="default" r:id="rId20"/>
          <w:footerReference w:type="even" r:id="rId21"/>
          <w:footerReference w:type="default" r:id="rId22"/>
          <w:headerReference w:type="first" r:id="rId23"/>
          <w:footerReference w:type="first" r:id="rId24"/>
          <w:pgSz w:w="11906" w:h="16838"/>
          <w:pgMar w:top="1134" w:right="1440" w:bottom="1440" w:left="1440" w:header="708" w:footer="708" w:gutter="0"/>
          <w:cols w:space="708"/>
          <w:docGrid w:linePitch="360"/>
        </w:sectPr>
      </w:pPr>
    </w:p>
    <w:p w14:paraId="090606DC" w14:textId="77777777" w:rsidR="004D7392" w:rsidRDefault="004D7392" w:rsidP="004D7392">
      <w:pPr>
        <w:pStyle w:val="Caption"/>
      </w:pPr>
      <w:bookmarkStart w:id="120" w:name="_Ref170408285"/>
      <w:r>
        <w:lastRenderedPageBreak/>
        <w:t xml:space="preserve">Table </w:t>
      </w:r>
      <w:r>
        <w:fldChar w:fldCharType="begin"/>
      </w:r>
      <w:r>
        <w:instrText xml:space="preserve"> SEQ Table \* ARABIC </w:instrText>
      </w:r>
      <w:r>
        <w:fldChar w:fldCharType="separate"/>
      </w:r>
      <w:r>
        <w:rPr>
          <w:noProof/>
        </w:rPr>
        <w:t>1</w:t>
      </w:r>
      <w:r>
        <w:rPr>
          <w:noProof/>
        </w:rPr>
        <w:fldChar w:fldCharType="end"/>
      </w:r>
      <w:bookmarkEnd w:id="120"/>
      <w:r>
        <w:t>: Additional sensitivity analysis exploring the impact of choice of parametric distribution and assumed treatment duration on the ICER (cost per QALY)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86"/>
        <w:gridCol w:w="1665"/>
        <w:gridCol w:w="1665"/>
        <w:gridCol w:w="1665"/>
        <w:gridCol w:w="1523"/>
        <w:gridCol w:w="1805"/>
        <w:gridCol w:w="1657"/>
      </w:tblGrid>
      <w:tr w:rsidR="004D7392" w:rsidRPr="00F6590F" w14:paraId="727F8FAF" w14:textId="77777777" w:rsidTr="00380727">
        <w:trPr>
          <w:trHeight w:val="315"/>
        </w:trPr>
        <w:tc>
          <w:tcPr>
            <w:tcW w:w="710" w:type="pct"/>
            <w:tcBorders>
              <w:right w:val="nil"/>
            </w:tcBorders>
            <w:shd w:val="clear" w:color="000000" w:fill="FFFFFF"/>
            <w:noWrap/>
            <w:vAlign w:val="center"/>
            <w:hideMark/>
          </w:tcPr>
          <w:p w14:paraId="4741DC52" w14:textId="77777777" w:rsidR="004D7392" w:rsidRPr="00F6590F" w:rsidRDefault="004D7392" w:rsidP="00380727">
            <w:pPr>
              <w:spacing w:before="0" w:after="0" w:line="240" w:lineRule="auto"/>
              <w:rPr>
                <w:rFonts w:ascii="Arial Narrow" w:eastAsia="Times New Roman" w:hAnsi="Arial Narrow" w:cs="Calibri"/>
                <w:color w:val="000000"/>
                <w:sz w:val="20"/>
                <w:szCs w:val="20"/>
                <w:lang w:val="en-US"/>
              </w:rPr>
            </w:pPr>
            <w:r w:rsidRPr="00F6590F">
              <w:rPr>
                <w:rFonts w:ascii="Arial Narrow" w:eastAsia="Times New Roman" w:hAnsi="Arial Narrow" w:cs="Calibri"/>
                <w:color w:val="000000"/>
                <w:sz w:val="20"/>
                <w:szCs w:val="20"/>
                <w:lang w:val="en-US"/>
              </w:rPr>
              <w:t> </w:t>
            </w:r>
          </w:p>
        </w:tc>
        <w:tc>
          <w:tcPr>
            <w:tcW w:w="711" w:type="pct"/>
            <w:tcBorders>
              <w:left w:val="nil"/>
            </w:tcBorders>
            <w:shd w:val="clear" w:color="000000" w:fill="FFFFFF"/>
            <w:noWrap/>
            <w:vAlign w:val="center"/>
            <w:hideMark/>
          </w:tcPr>
          <w:p w14:paraId="44AE0AAF" w14:textId="77777777" w:rsidR="004D7392" w:rsidRPr="00F6590F" w:rsidRDefault="004D7392" w:rsidP="00380727">
            <w:pPr>
              <w:spacing w:before="0" w:after="0" w:line="240" w:lineRule="auto"/>
              <w:rPr>
                <w:rFonts w:ascii="Arial Narrow" w:eastAsia="Times New Roman" w:hAnsi="Arial Narrow" w:cs="Calibri"/>
                <w:color w:val="000000"/>
                <w:sz w:val="20"/>
                <w:szCs w:val="20"/>
                <w:lang w:val="en-US"/>
              </w:rPr>
            </w:pPr>
            <w:r w:rsidRPr="00F6590F">
              <w:rPr>
                <w:rFonts w:ascii="Arial Narrow" w:eastAsia="Times New Roman" w:hAnsi="Arial Narrow" w:cs="Calibri"/>
                <w:color w:val="000000"/>
                <w:sz w:val="20"/>
                <w:szCs w:val="20"/>
                <w:lang w:val="en-US"/>
              </w:rPr>
              <w:t> </w:t>
            </w:r>
          </w:p>
        </w:tc>
        <w:tc>
          <w:tcPr>
            <w:tcW w:w="597" w:type="pct"/>
            <w:shd w:val="clear" w:color="000000" w:fill="FFFFFF"/>
            <w:noWrap/>
            <w:vAlign w:val="center"/>
            <w:hideMark/>
          </w:tcPr>
          <w:p w14:paraId="63DCADB2"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PBO</w:t>
            </w:r>
          </w:p>
        </w:tc>
        <w:tc>
          <w:tcPr>
            <w:tcW w:w="597" w:type="pct"/>
            <w:shd w:val="clear" w:color="000000" w:fill="FFFFFF"/>
            <w:noWrap/>
            <w:vAlign w:val="center"/>
            <w:hideMark/>
          </w:tcPr>
          <w:p w14:paraId="24006281"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OCT</w:t>
            </w:r>
          </w:p>
        </w:tc>
        <w:tc>
          <w:tcPr>
            <w:tcW w:w="597" w:type="pct"/>
            <w:shd w:val="clear" w:color="000000" w:fill="FFFFFF"/>
            <w:noWrap/>
            <w:vAlign w:val="center"/>
            <w:hideMark/>
          </w:tcPr>
          <w:p w14:paraId="3DCFA45D"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LAN</w:t>
            </w:r>
          </w:p>
        </w:tc>
        <w:tc>
          <w:tcPr>
            <w:tcW w:w="546" w:type="pct"/>
            <w:shd w:val="clear" w:color="000000" w:fill="FFFFFF"/>
            <w:noWrap/>
            <w:vAlign w:val="center"/>
            <w:hideMark/>
          </w:tcPr>
          <w:p w14:paraId="61E151C9"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EVO</w:t>
            </w:r>
          </w:p>
        </w:tc>
        <w:tc>
          <w:tcPr>
            <w:tcW w:w="647" w:type="pct"/>
            <w:shd w:val="clear" w:color="000000" w:fill="FFFFFF"/>
            <w:noWrap/>
            <w:vAlign w:val="center"/>
            <w:hideMark/>
          </w:tcPr>
          <w:p w14:paraId="1C0B693C"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SUN</w:t>
            </w:r>
          </w:p>
        </w:tc>
        <w:tc>
          <w:tcPr>
            <w:tcW w:w="594" w:type="pct"/>
            <w:shd w:val="clear" w:color="000000" w:fill="FFFFFF"/>
            <w:noWrap/>
            <w:vAlign w:val="center"/>
            <w:hideMark/>
          </w:tcPr>
          <w:p w14:paraId="7CD0D4C5"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OCT</w:t>
            </w:r>
            <w:r>
              <w:rPr>
                <w:rFonts w:ascii="Arial Narrow" w:eastAsia="Times New Roman" w:hAnsi="Arial Narrow" w:cs="Calibri"/>
                <w:b/>
                <w:bCs/>
                <w:color w:val="000000"/>
                <w:sz w:val="20"/>
                <w:szCs w:val="20"/>
                <w:lang w:val="en-US"/>
              </w:rPr>
              <w:t xml:space="preserve"> </w:t>
            </w:r>
            <w:r w:rsidRPr="00F6590F">
              <w:rPr>
                <w:rFonts w:ascii="Arial Narrow" w:eastAsia="Times New Roman" w:hAnsi="Arial Narrow" w:cs="Calibri"/>
                <w:b/>
                <w:bCs/>
                <w:color w:val="000000"/>
                <w:sz w:val="20"/>
                <w:szCs w:val="20"/>
                <w:lang w:val="en-US"/>
              </w:rPr>
              <w:t>+</w:t>
            </w:r>
            <w:r>
              <w:rPr>
                <w:rFonts w:ascii="Arial Narrow" w:eastAsia="Times New Roman" w:hAnsi="Arial Narrow" w:cs="Calibri"/>
                <w:b/>
                <w:bCs/>
                <w:color w:val="000000"/>
                <w:sz w:val="20"/>
                <w:szCs w:val="20"/>
                <w:lang w:val="en-US"/>
              </w:rPr>
              <w:t xml:space="preserve"> </w:t>
            </w:r>
            <w:r w:rsidRPr="00F6590F">
              <w:rPr>
                <w:rFonts w:ascii="Arial Narrow" w:eastAsia="Times New Roman" w:hAnsi="Arial Narrow" w:cs="Calibri"/>
                <w:b/>
                <w:bCs/>
                <w:color w:val="000000"/>
                <w:sz w:val="20"/>
                <w:szCs w:val="20"/>
                <w:lang w:val="en-US"/>
              </w:rPr>
              <w:t>EVO</w:t>
            </w:r>
          </w:p>
        </w:tc>
      </w:tr>
      <w:tr w:rsidR="004D7392" w:rsidRPr="00F6590F" w14:paraId="62DAA559" w14:textId="77777777" w:rsidTr="00380727">
        <w:trPr>
          <w:trHeight w:val="315"/>
        </w:trPr>
        <w:tc>
          <w:tcPr>
            <w:tcW w:w="1422" w:type="pct"/>
            <w:gridSpan w:val="2"/>
            <w:shd w:val="clear" w:color="000000" w:fill="FFFFFF"/>
            <w:noWrap/>
            <w:vAlign w:val="center"/>
            <w:hideMark/>
          </w:tcPr>
          <w:p w14:paraId="22B8322C" w14:textId="77777777" w:rsidR="004D7392" w:rsidRPr="00823B19" w:rsidRDefault="004D7392" w:rsidP="00380727">
            <w:pPr>
              <w:spacing w:before="0" w:after="0" w:line="240" w:lineRule="auto"/>
              <w:rPr>
                <w:rFonts w:ascii="Arial Narrow" w:hAnsi="Arial Narrow"/>
                <w:b/>
                <w:color w:val="000000"/>
                <w:sz w:val="18"/>
                <w:lang w:val="en-US"/>
              </w:rPr>
            </w:pPr>
            <w:r w:rsidRPr="00823B19">
              <w:rPr>
                <w:rFonts w:ascii="Arial Narrow" w:hAnsi="Arial Narrow"/>
                <w:b/>
                <w:color w:val="000000"/>
                <w:sz w:val="18"/>
                <w:lang w:val="en-US"/>
              </w:rPr>
              <w:t>Base case</w:t>
            </w:r>
          </w:p>
        </w:tc>
        <w:tc>
          <w:tcPr>
            <w:tcW w:w="597" w:type="pct"/>
            <w:shd w:val="clear" w:color="auto" w:fill="auto"/>
            <w:vAlign w:val="center"/>
            <w:hideMark/>
          </w:tcPr>
          <w:p w14:paraId="0F6996BB"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$31,792</w:t>
            </w:r>
          </w:p>
        </w:tc>
        <w:tc>
          <w:tcPr>
            <w:tcW w:w="597" w:type="pct"/>
            <w:shd w:val="clear" w:color="auto" w:fill="auto"/>
            <w:vAlign w:val="center"/>
            <w:hideMark/>
          </w:tcPr>
          <w:p w14:paraId="60C8481E"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$27,676</w:t>
            </w:r>
          </w:p>
        </w:tc>
        <w:tc>
          <w:tcPr>
            <w:tcW w:w="597" w:type="pct"/>
            <w:shd w:val="clear" w:color="auto" w:fill="auto"/>
            <w:vAlign w:val="center"/>
            <w:hideMark/>
          </w:tcPr>
          <w:p w14:paraId="7E838BF9"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$22,621</w:t>
            </w:r>
          </w:p>
        </w:tc>
        <w:tc>
          <w:tcPr>
            <w:tcW w:w="546" w:type="pct"/>
            <w:shd w:val="clear" w:color="auto" w:fill="auto"/>
            <w:vAlign w:val="center"/>
            <w:hideMark/>
          </w:tcPr>
          <w:p w14:paraId="179DD0F0"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$29,439</w:t>
            </w:r>
          </w:p>
        </w:tc>
        <w:tc>
          <w:tcPr>
            <w:tcW w:w="647" w:type="pct"/>
            <w:shd w:val="clear" w:color="auto" w:fill="auto"/>
            <w:vAlign w:val="center"/>
            <w:hideMark/>
          </w:tcPr>
          <w:p w14:paraId="1C6535DF"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Lutetium dominated</w:t>
            </w:r>
          </w:p>
        </w:tc>
        <w:tc>
          <w:tcPr>
            <w:tcW w:w="594" w:type="pct"/>
            <w:shd w:val="clear" w:color="auto" w:fill="auto"/>
            <w:vAlign w:val="center"/>
            <w:hideMark/>
          </w:tcPr>
          <w:p w14:paraId="71D065B4"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$18,643</w:t>
            </w:r>
          </w:p>
        </w:tc>
      </w:tr>
      <w:tr w:rsidR="004D7392" w:rsidRPr="00F6590F" w14:paraId="795F2051" w14:textId="77777777" w:rsidTr="00380727">
        <w:trPr>
          <w:trHeight w:val="315"/>
        </w:trPr>
        <w:tc>
          <w:tcPr>
            <w:tcW w:w="710" w:type="pct"/>
            <w:vMerge w:val="restart"/>
            <w:shd w:val="clear" w:color="000000" w:fill="FFFFFF"/>
            <w:noWrap/>
            <w:vAlign w:val="center"/>
            <w:hideMark/>
          </w:tcPr>
          <w:p w14:paraId="79062404"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Treatment cycles</w:t>
            </w:r>
          </w:p>
        </w:tc>
        <w:tc>
          <w:tcPr>
            <w:tcW w:w="711" w:type="pct"/>
            <w:shd w:val="clear" w:color="000000" w:fill="FFFFFF"/>
            <w:noWrap/>
            <w:vAlign w:val="center"/>
            <w:hideMark/>
          </w:tcPr>
          <w:p w14:paraId="7BA0A1BD"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0.5 additional treatment cycles (4.02)</w:t>
            </w:r>
          </w:p>
        </w:tc>
        <w:tc>
          <w:tcPr>
            <w:tcW w:w="597" w:type="pct"/>
            <w:shd w:val="clear" w:color="auto" w:fill="auto"/>
            <w:vAlign w:val="center"/>
            <w:hideMark/>
          </w:tcPr>
          <w:p w14:paraId="5C69CC4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$35,114</w:t>
            </w:r>
          </w:p>
        </w:tc>
        <w:tc>
          <w:tcPr>
            <w:tcW w:w="597" w:type="pct"/>
            <w:shd w:val="clear" w:color="auto" w:fill="auto"/>
            <w:vAlign w:val="center"/>
            <w:hideMark/>
          </w:tcPr>
          <w:p w14:paraId="61CE293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$33,691</w:t>
            </w:r>
          </w:p>
        </w:tc>
        <w:tc>
          <w:tcPr>
            <w:tcW w:w="597" w:type="pct"/>
            <w:shd w:val="clear" w:color="auto" w:fill="auto"/>
            <w:vAlign w:val="center"/>
            <w:hideMark/>
          </w:tcPr>
          <w:p w14:paraId="3D10EF8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$28,178</w:t>
            </w:r>
          </w:p>
        </w:tc>
        <w:tc>
          <w:tcPr>
            <w:tcW w:w="546" w:type="pct"/>
            <w:shd w:val="clear" w:color="auto" w:fill="auto"/>
            <w:vAlign w:val="center"/>
            <w:hideMark/>
          </w:tcPr>
          <w:p w14:paraId="4DC1531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w:t>
            </w:r>
            <w:r>
              <w:rPr>
                <w:rFonts w:ascii="Arial Narrow" w:hAnsi="Arial Narrow"/>
                <w:color w:val="000000"/>
                <w:sz w:val="18"/>
                <w:lang w:val="en-US"/>
              </w:rPr>
              <w:t>3,592</w:t>
            </w:r>
          </w:p>
        </w:tc>
        <w:tc>
          <w:tcPr>
            <w:tcW w:w="647" w:type="pct"/>
            <w:shd w:val="clear" w:color="auto" w:fill="auto"/>
            <w:vAlign w:val="center"/>
            <w:hideMark/>
          </w:tcPr>
          <w:p w14:paraId="0C9CDB9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78A1FC76"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$22,949</w:t>
            </w:r>
          </w:p>
        </w:tc>
      </w:tr>
      <w:tr w:rsidR="004D7392" w:rsidRPr="00F6590F" w14:paraId="3E829927" w14:textId="77777777" w:rsidTr="00380727">
        <w:trPr>
          <w:trHeight w:val="315"/>
        </w:trPr>
        <w:tc>
          <w:tcPr>
            <w:tcW w:w="710" w:type="pct"/>
            <w:vMerge/>
            <w:vAlign w:val="center"/>
            <w:hideMark/>
          </w:tcPr>
          <w:p w14:paraId="5167C188"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14784CDC"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0.5 fewer treatment cycle (3.02)</w:t>
            </w:r>
          </w:p>
        </w:tc>
        <w:tc>
          <w:tcPr>
            <w:tcW w:w="597" w:type="pct"/>
            <w:shd w:val="clear" w:color="auto" w:fill="auto"/>
            <w:vAlign w:val="center"/>
            <w:hideMark/>
          </w:tcPr>
          <w:p w14:paraId="66294E3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$28,378</w:t>
            </w:r>
          </w:p>
        </w:tc>
        <w:tc>
          <w:tcPr>
            <w:tcW w:w="597" w:type="pct"/>
            <w:shd w:val="clear" w:color="auto" w:fill="auto"/>
            <w:vAlign w:val="center"/>
            <w:hideMark/>
          </w:tcPr>
          <w:p w14:paraId="59AA79F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$21,494</w:t>
            </w:r>
          </w:p>
        </w:tc>
        <w:tc>
          <w:tcPr>
            <w:tcW w:w="597" w:type="pct"/>
            <w:shd w:val="clear" w:color="auto" w:fill="auto"/>
            <w:vAlign w:val="center"/>
            <w:hideMark/>
          </w:tcPr>
          <w:p w14:paraId="7C158E02"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$16,909</w:t>
            </w:r>
          </w:p>
        </w:tc>
        <w:tc>
          <w:tcPr>
            <w:tcW w:w="546" w:type="pct"/>
            <w:shd w:val="clear" w:color="auto" w:fill="auto"/>
            <w:vAlign w:val="center"/>
            <w:hideMark/>
          </w:tcPr>
          <w:p w14:paraId="61F5D30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$25,</w:t>
            </w:r>
            <w:r>
              <w:rPr>
                <w:rFonts w:ascii="Arial Narrow" w:hAnsi="Arial Narrow"/>
                <w:color w:val="000000"/>
                <w:sz w:val="18"/>
                <w:lang w:val="en-US"/>
              </w:rPr>
              <w:t>169</w:t>
            </w:r>
          </w:p>
        </w:tc>
        <w:tc>
          <w:tcPr>
            <w:tcW w:w="647" w:type="pct"/>
            <w:shd w:val="clear" w:color="auto" w:fill="auto"/>
            <w:vAlign w:val="center"/>
            <w:hideMark/>
          </w:tcPr>
          <w:p w14:paraId="2EAE31A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6BB29ECA"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$14,218</w:t>
            </w:r>
          </w:p>
        </w:tc>
      </w:tr>
      <w:tr w:rsidR="004D7392" w:rsidRPr="00F6590F" w14:paraId="62E595EA" w14:textId="77777777" w:rsidTr="00380727">
        <w:trPr>
          <w:trHeight w:val="315"/>
        </w:trPr>
        <w:tc>
          <w:tcPr>
            <w:tcW w:w="710" w:type="pct"/>
            <w:vMerge w:val="restart"/>
            <w:shd w:val="clear" w:color="000000" w:fill="FFFFFF"/>
            <w:vAlign w:val="center"/>
            <w:hideMark/>
          </w:tcPr>
          <w:p w14:paraId="333A4B0E"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Choice of parametric distribution - OS &amp; PFS</w:t>
            </w:r>
            <w:r w:rsidRPr="00823B19">
              <w:rPr>
                <w:rFonts w:ascii="Arial Narrow" w:hAnsi="Arial Narrow"/>
                <w:color w:val="000000"/>
                <w:sz w:val="18"/>
                <w:lang w:val="en-US"/>
              </w:rPr>
              <w:br/>
              <w:t>Base case number of treatment cycles (3.52)</w:t>
            </w:r>
          </w:p>
        </w:tc>
        <w:tc>
          <w:tcPr>
            <w:tcW w:w="711" w:type="pct"/>
            <w:shd w:val="clear" w:color="000000" w:fill="FFFFFF"/>
            <w:noWrap/>
            <w:vAlign w:val="center"/>
            <w:hideMark/>
          </w:tcPr>
          <w:p w14:paraId="5E5E226A"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Weibull</w:t>
            </w:r>
          </w:p>
        </w:tc>
        <w:tc>
          <w:tcPr>
            <w:tcW w:w="597" w:type="pct"/>
            <w:shd w:val="clear" w:color="auto" w:fill="auto"/>
            <w:vAlign w:val="center"/>
            <w:hideMark/>
          </w:tcPr>
          <w:p w14:paraId="5C5B1D8A"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$36,986</w:t>
            </w:r>
          </w:p>
        </w:tc>
        <w:tc>
          <w:tcPr>
            <w:tcW w:w="597" w:type="pct"/>
            <w:shd w:val="clear" w:color="auto" w:fill="auto"/>
            <w:vAlign w:val="center"/>
            <w:hideMark/>
          </w:tcPr>
          <w:p w14:paraId="2E89199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$44,886</w:t>
            </w:r>
          </w:p>
        </w:tc>
        <w:tc>
          <w:tcPr>
            <w:tcW w:w="597" w:type="pct"/>
            <w:shd w:val="clear" w:color="auto" w:fill="auto"/>
            <w:vAlign w:val="center"/>
            <w:hideMark/>
          </w:tcPr>
          <w:p w14:paraId="5CA7834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$38,517</w:t>
            </w:r>
          </w:p>
        </w:tc>
        <w:tc>
          <w:tcPr>
            <w:tcW w:w="546" w:type="pct"/>
            <w:shd w:val="clear" w:color="auto" w:fill="auto"/>
            <w:vAlign w:val="center"/>
            <w:hideMark/>
          </w:tcPr>
          <w:p w14:paraId="216346C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$35,727</w:t>
            </w:r>
          </w:p>
        </w:tc>
        <w:tc>
          <w:tcPr>
            <w:tcW w:w="647" w:type="pct"/>
            <w:shd w:val="clear" w:color="auto" w:fill="auto"/>
            <w:vAlign w:val="center"/>
            <w:hideMark/>
          </w:tcPr>
          <w:p w14:paraId="78A01FC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31F0186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$21,506</w:t>
            </w:r>
          </w:p>
        </w:tc>
      </w:tr>
      <w:tr w:rsidR="004D7392" w:rsidRPr="00F6590F" w14:paraId="0975D11F" w14:textId="77777777" w:rsidTr="00380727">
        <w:trPr>
          <w:trHeight w:val="315"/>
        </w:trPr>
        <w:tc>
          <w:tcPr>
            <w:tcW w:w="710" w:type="pct"/>
            <w:vMerge/>
            <w:vAlign w:val="center"/>
            <w:hideMark/>
          </w:tcPr>
          <w:p w14:paraId="1CB51212"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6982EAC5"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Loglogistic</w:t>
            </w:r>
          </w:p>
        </w:tc>
        <w:tc>
          <w:tcPr>
            <w:tcW w:w="597" w:type="pct"/>
            <w:shd w:val="clear" w:color="auto" w:fill="auto"/>
            <w:vAlign w:val="center"/>
            <w:hideMark/>
          </w:tcPr>
          <w:p w14:paraId="5E75642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$33,100</w:t>
            </w:r>
          </w:p>
        </w:tc>
        <w:tc>
          <w:tcPr>
            <w:tcW w:w="597" w:type="pct"/>
            <w:shd w:val="clear" w:color="auto" w:fill="auto"/>
            <w:vAlign w:val="center"/>
            <w:hideMark/>
          </w:tcPr>
          <w:p w14:paraId="5890FFA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$32,029</w:t>
            </w:r>
          </w:p>
        </w:tc>
        <w:tc>
          <w:tcPr>
            <w:tcW w:w="597" w:type="pct"/>
            <w:shd w:val="clear" w:color="auto" w:fill="auto"/>
            <w:vAlign w:val="center"/>
            <w:hideMark/>
          </w:tcPr>
          <w:p w14:paraId="4DAD1D7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$26,626</w:t>
            </w:r>
          </w:p>
        </w:tc>
        <w:tc>
          <w:tcPr>
            <w:tcW w:w="546" w:type="pct"/>
            <w:shd w:val="clear" w:color="auto" w:fill="auto"/>
            <w:vAlign w:val="center"/>
            <w:hideMark/>
          </w:tcPr>
          <w:p w14:paraId="0550FA2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$31,739</w:t>
            </w:r>
          </w:p>
        </w:tc>
        <w:tc>
          <w:tcPr>
            <w:tcW w:w="647" w:type="pct"/>
            <w:shd w:val="clear" w:color="auto" w:fill="auto"/>
            <w:vAlign w:val="center"/>
            <w:hideMark/>
          </w:tcPr>
          <w:p w14:paraId="0E98CD4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17072DD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$19,537</w:t>
            </w:r>
          </w:p>
        </w:tc>
      </w:tr>
      <w:tr w:rsidR="004D7392" w:rsidRPr="00F6590F" w14:paraId="3AA770F9" w14:textId="77777777" w:rsidTr="00380727">
        <w:trPr>
          <w:trHeight w:val="315"/>
        </w:trPr>
        <w:tc>
          <w:tcPr>
            <w:tcW w:w="710" w:type="pct"/>
            <w:vMerge/>
            <w:vAlign w:val="center"/>
            <w:hideMark/>
          </w:tcPr>
          <w:p w14:paraId="07E44118"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5AA1FD59"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Lognormal</w:t>
            </w:r>
          </w:p>
        </w:tc>
        <w:tc>
          <w:tcPr>
            <w:tcW w:w="597" w:type="pct"/>
            <w:shd w:val="clear" w:color="auto" w:fill="auto"/>
            <w:vAlign w:val="center"/>
            <w:hideMark/>
          </w:tcPr>
          <w:p w14:paraId="1381320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$31,576</w:t>
            </w:r>
          </w:p>
        </w:tc>
        <w:tc>
          <w:tcPr>
            <w:tcW w:w="597" w:type="pct"/>
            <w:shd w:val="clear" w:color="auto" w:fill="auto"/>
            <w:vAlign w:val="center"/>
            <w:hideMark/>
          </w:tcPr>
          <w:p w14:paraId="5E69D3B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$27,582</w:t>
            </w:r>
          </w:p>
        </w:tc>
        <w:tc>
          <w:tcPr>
            <w:tcW w:w="597" w:type="pct"/>
            <w:shd w:val="clear" w:color="auto" w:fill="auto"/>
            <w:vAlign w:val="center"/>
            <w:hideMark/>
          </w:tcPr>
          <w:p w14:paraId="1CEC202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$22,558</w:t>
            </w:r>
          </w:p>
        </w:tc>
        <w:tc>
          <w:tcPr>
            <w:tcW w:w="546" w:type="pct"/>
            <w:shd w:val="clear" w:color="auto" w:fill="auto"/>
            <w:vAlign w:val="center"/>
            <w:hideMark/>
          </w:tcPr>
          <w:p w14:paraId="29991CC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$29,968</w:t>
            </w:r>
          </w:p>
        </w:tc>
        <w:tc>
          <w:tcPr>
            <w:tcW w:w="647" w:type="pct"/>
            <w:shd w:val="clear" w:color="auto" w:fill="auto"/>
            <w:vAlign w:val="center"/>
            <w:hideMark/>
          </w:tcPr>
          <w:p w14:paraId="71F1DE2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66E357A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$18,561</w:t>
            </w:r>
          </w:p>
        </w:tc>
      </w:tr>
      <w:tr w:rsidR="004D7392" w:rsidRPr="00F6590F" w14:paraId="6D907898" w14:textId="77777777" w:rsidTr="00380727">
        <w:trPr>
          <w:trHeight w:val="315"/>
        </w:trPr>
        <w:tc>
          <w:tcPr>
            <w:tcW w:w="710" w:type="pct"/>
            <w:vMerge/>
            <w:vAlign w:val="center"/>
            <w:hideMark/>
          </w:tcPr>
          <w:p w14:paraId="44A5D43A"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28CB91C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Gompertz</w:t>
            </w:r>
          </w:p>
        </w:tc>
        <w:tc>
          <w:tcPr>
            <w:tcW w:w="597" w:type="pct"/>
            <w:shd w:val="clear" w:color="auto" w:fill="auto"/>
            <w:vAlign w:val="center"/>
            <w:hideMark/>
          </w:tcPr>
          <w:p w14:paraId="24A38D6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$44,210</w:t>
            </w:r>
          </w:p>
        </w:tc>
        <w:tc>
          <w:tcPr>
            <w:tcW w:w="597" w:type="pct"/>
            <w:shd w:val="clear" w:color="auto" w:fill="auto"/>
            <w:vAlign w:val="center"/>
            <w:hideMark/>
          </w:tcPr>
          <w:p w14:paraId="31747EA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$48,934</w:t>
            </w:r>
          </w:p>
        </w:tc>
        <w:tc>
          <w:tcPr>
            <w:tcW w:w="597" w:type="pct"/>
            <w:shd w:val="clear" w:color="auto" w:fill="auto"/>
            <w:vAlign w:val="center"/>
            <w:hideMark/>
          </w:tcPr>
          <w:p w14:paraId="5D2BF5D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$34,225</w:t>
            </w:r>
          </w:p>
        </w:tc>
        <w:tc>
          <w:tcPr>
            <w:tcW w:w="546" w:type="pct"/>
            <w:shd w:val="clear" w:color="auto" w:fill="auto"/>
            <w:vAlign w:val="center"/>
            <w:hideMark/>
          </w:tcPr>
          <w:p w14:paraId="7A83B1F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$41,898</w:t>
            </w:r>
          </w:p>
        </w:tc>
        <w:tc>
          <w:tcPr>
            <w:tcW w:w="647" w:type="pct"/>
            <w:shd w:val="clear" w:color="auto" w:fill="auto"/>
            <w:vAlign w:val="center"/>
            <w:hideMark/>
          </w:tcPr>
          <w:p w14:paraId="294E4D2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3BF2D2D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$23,440</w:t>
            </w:r>
          </w:p>
        </w:tc>
      </w:tr>
      <w:tr w:rsidR="004D7392" w:rsidRPr="00F6590F" w14:paraId="72BC42AE" w14:textId="77777777" w:rsidTr="00380727">
        <w:trPr>
          <w:trHeight w:val="315"/>
        </w:trPr>
        <w:tc>
          <w:tcPr>
            <w:tcW w:w="710" w:type="pct"/>
            <w:vMerge/>
            <w:vAlign w:val="center"/>
            <w:hideMark/>
          </w:tcPr>
          <w:p w14:paraId="5A6F5947"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7CC0CE95"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Exponential</w:t>
            </w:r>
          </w:p>
        </w:tc>
        <w:tc>
          <w:tcPr>
            <w:tcW w:w="597" w:type="pct"/>
            <w:shd w:val="clear" w:color="auto" w:fill="auto"/>
            <w:vAlign w:val="center"/>
            <w:hideMark/>
          </w:tcPr>
          <w:p w14:paraId="0BC2298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$32,217</w:t>
            </w:r>
          </w:p>
        </w:tc>
        <w:tc>
          <w:tcPr>
            <w:tcW w:w="597" w:type="pct"/>
            <w:shd w:val="clear" w:color="auto" w:fill="auto"/>
            <w:vAlign w:val="center"/>
            <w:hideMark/>
          </w:tcPr>
          <w:p w14:paraId="32BF31F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$30,472</w:t>
            </w:r>
          </w:p>
        </w:tc>
        <w:tc>
          <w:tcPr>
            <w:tcW w:w="597" w:type="pct"/>
            <w:shd w:val="clear" w:color="auto" w:fill="auto"/>
            <w:vAlign w:val="center"/>
            <w:hideMark/>
          </w:tcPr>
          <w:p w14:paraId="6BECFDD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$24,312</w:t>
            </w:r>
          </w:p>
        </w:tc>
        <w:tc>
          <w:tcPr>
            <w:tcW w:w="546" w:type="pct"/>
            <w:shd w:val="clear" w:color="auto" w:fill="auto"/>
            <w:vAlign w:val="center"/>
            <w:hideMark/>
          </w:tcPr>
          <w:p w14:paraId="7DD2050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$29,897</w:t>
            </w:r>
          </w:p>
        </w:tc>
        <w:tc>
          <w:tcPr>
            <w:tcW w:w="647" w:type="pct"/>
            <w:shd w:val="clear" w:color="auto" w:fill="auto"/>
            <w:vAlign w:val="center"/>
            <w:hideMark/>
          </w:tcPr>
          <w:p w14:paraId="7D17D01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159791A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$17,892</w:t>
            </w:r>
          </w:p>
        </w:tc>
      </w:tr>
      <w:tr w:rsidR="004D7392" w:rsidRPr="00F6590F" w14:paraId="73CC1A44" w14:textId="77777777" w:rsidTr="00380727">
        <w:trPr>
          <w:trHeight w:val="70"/>
        </w:trPr>
        <w:tc>
          <w:tcPr>
            <w:tcW w:w="710" w:type="pct"/>
            <w:vMerge/>
            <w:vAlign w:val="center"/>
            <w:hideMark/>
          </w:tcPr>
          <w:p w14:paraId="3B570D30"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15A1CD9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Gamma</w:t>
            </w:r>
          </w:p>
        </w:tc>
        <w:tc>
          <w:tcPr>
            <w:tcW w:w="597" w:type="pct"/>
            <w:shd w:val="clear" w:color="auto" w:fill="auto"/>
            <w:vAlign w:val="center"/>
            <w:hideMark/>
          </w:tcPr>
          <w:p w14:paraId="7B58196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$36,325</w:t>
            </w:r>
          </w:p>
        </w:tc>
        <w:tc>
          <w:tcPr>
            <w:tcW w:w="597" w:type="pct"/>
            <w:shd w:val="clear" w:color="auto" w:fill="auto"/>
            <w:vAlign w:val="center"/>
            <w:hideMark/>
          </w:tcPr>
          <w:p w14:paraId="7DD45E0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$42,877</w:t>
            </w:r>
          </w:p>
        </w:tc>
        <w:tc>
          <w:tcPr>
            <w:tcW w:w="597" w:type="pct"/>
            <w:shd w:val="clear" w:color="auto" w:fill="auto"/>
            <w:vAlign w:val="center"/>
            <w:hideMark/>
          </w:tcPr>
          <w:p w14:paraId="5729623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$36,495</w:t>
            </w:r>
          </w:p>
        </w:tc>
        <w:tc>
          <w:tcPr>
            <w:tcW w:w="546" w:type="pct"/>
            <w:shd w:val="clear" w:color="auto" w:fill="auto"/>
            <w:vAlign w:val="center"/>
            <w:hideMark/>
          </w:tcPr>
          <w:p w14:paraId="69A94F5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$34,961</w:t>
            </w:r>
          </w:p>
        </w:tc>
        <w:tc>
          <w:tcPr>
            <w:tcW w:w="647" w:type="pct"/>
            <w:shd w:val="clear" w:color="auto" w:fill="auto"/>
            <w:vAlign w:val="center"/>
            <w:hideMark/>
          </w:tcPr>
          <w:p w14:paraId="1F5680E6"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549BB06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$21,156</w:t>
            </w:r>
          </w:p>
        </w:tc>
      </w:tr>
      <w:tr w:rsidR="004D7392" w:rsidRPr="00F6590F" w14:paraId="652A7EA3" w14:textId="77777777" w:rsidTr="00380727">
        <w:trPr>
          <w:trHeight w:val="315"/>
        </w:trPr>
        <w:tc>
          <w:tcPr>
            <w:tcW w:w="710" w:type="pct"/>
            <w:vMerge w:val="restart"/>
            <w:shd w:val="clear" w:color="000000" w:fill="FFFFFF"/>
            <w:vAlign w:val="center"/>
            <w:hideMark/>
          </w:tcPr>
          <w:p w14:paraId="78188648"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Choice of parametric distribution - OS &amp; PFS</w:t>
            </w:r>
            <w:r w:rsidRPr="00823B19">
              <w:rPr>
                <w:rFonts w:ascii="Arial Narrow" w:hAnsi="Arial Narrow"/>
                <w:color w:val="000000"/>
                <w:sz w:val="18"/>
                <w:lang w:val="en-US"/>
              </w:rPr>
              <w:br/>
              <w:t>Assumed 0.5 additional treatment cycles (4.02)</w:t>
            </w:r>
          </w:p>
        </w:tc>
        <w:tc>
          <w:tcPr>
            <w:tcW w:w="711" w:type="pct"/>
            <w:shd w:val="clear" w:color="000000" w:fill="FFFFFF"/>
            <w:noWrap/>
            <w:vAlign w:val="center"/>
            <w:hideMark/>
          </w:tcPr>
          <w:p w14:paraId="5FE4616E"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Weibull</w:t>
            </w:r>
          </w:p>
        </w:tc>
        <w:tc>
          <w:tcPr>
            <w:tcW w:w="597" w:type="pct"/>
            <w:shd w:val="clear" w:color="auto" w:fill="auto"/>
            <w:vAlign w:val="center"/>
            <w:hideMark/>
          </w:tcPr>
          <w:p w14:paraId="577A9AB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$40,897</w:t>
            </w:r>
          </w:p>
        </w:tc>
        <w:tc>
          <w:tcPr>
            <w:tcW w:w="597" w:type="pct"/>
            <w:shd w:val="clear" w:color="auto" w:fill="auto"/>
            <w:vAlign w:val="center"/>
            <w:hideMark/>
          </w:tcPr>
          <w:p w14:paraId="158F467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$52,262</w:t>
            </w:r>
          </w:p>
        </w:tc>
        <w:tc>
          <w:tcPr>
            <w:tcW w:w="597" w:type="pct"/>
            <w:shd w:val="clear" w:color="auto" w:fill="auto"/>
            <w:vAlign w:val="center"/>
            <w:hideMark/>
          </w:tcPr>
          <w:p w14:paraId="348E013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$45,510</w:t>
            </w:r>
          </w:p>
        </w:tc>
        <w:tc>
          <w:tcPr>
            <w:tcW w:w="546" w:type="pct"/>
            <w:shd w:val="clear" w:color="auto" w:fill="auto"/>
            <w:vAlign w:val="center"/>
            <w:hideMark/>
          </w:tcPr>
          <w:p w14:paraId="46D2771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$40,589</w:t>
            </w:r>
          </w:p>
        </w:tc>
        <w:tc>
          <w:tcPr>
            <w:tcW w:w="647" w:type="pct"/>
            <w:shd w:val="clear" w:color="auto" w:fill="auto"/>
            <w:vAlign w:val="center"/>
            <w:hideMark/>
          </w:tcPr>
          <w:p w14:paraId="132FD02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2C521CE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$26,433</w:t>
            </w:r>
          </w:p>
        </w:tc>
      </w:tr>
      <w:tr w:rsidR="004D7392" w:rsidRPr="00F6590F" w14:paraId="13B1D69A" w14:textId="77777777" w:rsidTr="00380727">
        <w:trPr>
          <w:trHeight w:val="315"/>
        </w:trPr>
        <w:tc>
          <w:tcPr>
            <w:tcW w:w="710" w:type="pct"/>
            <w:vMerge/>
            <w:vAlign w:val="center"/>
            <w:hideMark/>
          </w:tcPr>
          <w:p w14:paraId="2A491513"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50BA35EB"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Loglogistic</w:t>
            </w:r>
          </w:p>
        </w:tc>
        <w:tc>
          <w:tcPr>
            <w:tcW w:w="597" w:type="pct"/>
            <w:shd w:val="clear" w:color="auto" w:fill="auto"/>
            <w:vAlign w:val="center"/>
            <w:hideMark/>
          </w:tcPr>
          <w:p w14:paraId="12B3652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$36,582</w:t>
            </w:r>
          </w:p>
        </w:tc>
        <w:tc>
          <w:tcPr>
            <w:tcW w:w="597" w:type="pct"/>
            <w:shd w:val="clear" w:color="auto" w:fill="auto"/>
            <w:vAlign w:val="center"/>
            <w:hideMark/>
          </w:tcPr>
          <w:p w14:paraId="073CF29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$38,451</w:t>
            </w:r>
          </w:p>
        </w:tc>
        <w:tc>
          <w:tcPr>
            <w:tcW w:w="597" w:type="pct"/>
            <w:shd w:val="clear" w:color="auto" w:fill="auto"/>
            <w:vAlign w:val="center"/>
            <w:hideMark/>
          </w:tcPr>
          <w:p w14:paraId="48329D9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$32,588</w:t>
            </w:r>
          </w:p>
        </w:tc>
        <w:tc>
          <w:tcPr>
            <w:tcW w:w="546" w:type="pct"/>
            <w:shd w:val="clear" w:color="auto" w:fill="auto"/>
            <w:vAlign w:val="center"/>
            <w:hideMark/>
          </w:tcPr>
          <w:p w14:paraId="58D549F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$36,103</w:t>
            </w:r>
          </w:p>
        </w:tc>
        <w:tc>
          <w:tcPr>
            <w:tcW w:w="647" w:type="pct"/>
            <w:shd w:val="clear" w:color="auto" w:fill="auto"/>
            <w:vAlign w:val="center"/>
            <w:hideMark/>
          </w:tcPr>
          <w:p w14:paraId="0982FF2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0182D85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$24,035</w:t>
            </w:r>
          </w:p>
        </w:tc>
      </w:tr>
      <w:tr w:rsidR="004D7392" w:rsidRPr="00F6590F" w14:paraId="03D61FD2" w14:textId="77777777" w:rsidTr="00380727">
        <w:trPr>
          <w:trHeight w:val="315"/>
        </w:trPr>
        <w:tc>
          <w:tcPr>
            <w:tcW w:w="710" w:type="pct"/>
            <w:vMerge/>
            <w:vAlign w:val="center"/>
            <w:hideMark/>
          </w:tcPr>
          <w:p w14:paraId="28827B62"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30C42EBD"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Lognormal</w:t>
            </w:r>
          </w:p>
        </w:tc>
        <w:tc>
          <w:tcPr>
            <w:tcW w:w="597" w:type="pct"/>
            <w:shd w:val="clear" w:color="auto" w:fill="auto"/>
            <w:vAlign w:val="center"/>
            <w:hideMark/>
          </w:tcPr>
          <w:p w14:paraId="7141D97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$34,866</w:t>
            </w:r>
          </w:p>
        </w:tc>
        <w:tc>
          <w:tcPr>
            <w:tcW w:w="597" w:type="pct"/>
            <w:shd w:val="clear" w:color="auto" w:fill="auto"/>
            <w:vAlign w:val="center"/>
            <w:hideMark/>
          </w:tcPr>
          <w:p w14:paraId="0640B9C2"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$33,566</w:t>
            </w:r>
          </w:p>
        </w:tc>
        <w:tc>
          <w:tcPr>
            <w:tcW w:w="597" w:type="pct"/>
            <w:shd w:val="clear" w:color="auto" w:fill="auto"/>
            <w:vAlign w:val="center"/>
            <w:hideMark/>
          </w:tcPr>
          <w:p w14:paraId="7C230B9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$28,089</w:t>
            </w:r>
          </w:p>
        </w:tc>
        <w:tc>
          <w:tcPr>
            <w:tcW w:w="546" w:type="pct"/>
            <w:shd w:val="clear" w:color="auto" w:fill="auto"/>
            <w:vAlign w:val="center"/>
            <w:hideMark/>
          </w:tcPr>
          <w:p w14:paraId="6780579A"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$34,087</w:t>
            </w:r>
          </w:p>
        </w:tc>
        <w:tc>
          <w:tcPr>
            <w:tcW w:w="647" w:type="pct"/>
            <w:shd w:val="clear" w:color="auto" w:fill="auto"/>
            <w:vAlign w:val="center"/>
            <w:hideMark/>
          </w:tcPr>
          <w:p w14:paraId="41AD8E2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3A344F6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$22,827</w:t>
            </w:r>
          </w:p>
        </w:tc>
      </w:tr>
      <w:tr w:rsidR="004D7392" w:rsidRPr="00F6590F" w14:paraId="4E7063B5" w14:textId="77777777" w:rsidTr="00380727">
        <w:trPr>
          <w:trHeight w:val="315"/>
        </w:trPr>
        <w:tc>
          <w:tcPr>
            <w:tcW w:w="710" w:type="pct"/>
            <w:vMerge/>
            <w:vAlign w:val="center"/>
            <w:hideMark/>
          </w:tcPr>
          <w:p w14:paraId="488F7E20"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43E66C5D"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Gompertz</w:t>
            </w:r>
          </w:p>
        </w:tc>
        <w:tc>
          <w:tcPr>
            <w:tcW w:w="597" w:type="pct"/>
            <w:shd w:val="clear" w:color="auto" w:fill="auto"/>
            <w:vAlign w:val="center"/>
            <w:hideMark/>
          </w:tcPr>
          <w:p w14:paraId="79D8045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$49,055</w:t>
            </w:r>
          </w:p>
        </w:tc>
        <w:tc>
          <w:tcPr>
            <w:tcW w:w="597" w:type="pct"/>
            <w:shd w:val="clear" w:color="auto" w:fill="auto"/>
            <w:vAlign w:val="center"/>
            <w:hideMark/>
          </w:tcPr>
          <w:p w14:paraId="6F2BBEF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$58,852</w:t>
            </w:r>
          </w:p>
        </w:tc>
        <w:tc>
          <w:tcPr>
            <w:tcW w:w="597" w:type="pct"/>
            <w:shd w:val="clear" w:color="auto" w:fill="auto"/>
            <w:vAlign w:val="center"/>
            <w:hideMark/>
          </w:tcPr>
          <w:p w14:paraId="7C4B0F6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$43,311</w:t>
            </w:r>
          </w:p>
        </w:tc>
        <w:tc>
          <w:tcPr>
            <w:tcW w:w="546" w:type="pct"/>
            <w:shd w:val="clear" w:color="auto" w:fill="auto"/>
            <w:vAlign w:val="center"/>
            <w:hideMark/>
          </w:tcPr>
          <w:p w14:paraId="669BE43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$48,189</w:t>
            </w:r>
          </w:p>
        </w:tc>
        <w:tc>
          <w:tcPr>
            <w:tcW w:w="647" w:type="pct"/>
            <w:shd w:val="clear" w:color="auto" w:fill="auto"/>
            <w:vAlign w:val="center"/>
            <w:hideMark/>
          </w:tcPr>
          <w:p w14:paraId="058F42E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6405D2A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$29,904</w:t>
            </w:r>
          </w:p>
        </w:tc>
      </w:tr>
      <w:tr w:rsidR="004D7392" w:rsidRPr="00F6590F" w14:paraId="239FF95F" w14:textId="77777777" w:rsidTr="00380727">
        <w:trPr>
          <w:trHeight w:val="315"/>
        </w:trPr>
        <w:tc>
          <w:tcPr>
            <w:tcW w:w="710" w:type="pct"/>
            <w:vMerge/>
            <w:vAlign w:val="center"/>
            <w:hideMark/>
          </w:tcPr>
          <w:p w14:paraId="48ADF251"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5435E5EA"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Exponential</w:t>
            </w:r>
          </w:p>
        </w:tc>
        <w:tc>
          <w:tcPr>
            <w:tcW w:w="597" w:type="pct"/>
            <w:shd w:val="clear" w:color="auto" w:fill="auto"/>
            <w:vAlign w:val="center"/>
            <w:hideMark/>
          </w:tcPr>
          <w:p w14:paraId="32C22FB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$35,558</w:t>
            </w:r>
          </w:p>
        </w:tc>
        <w:tc>
          <w:tcPr>
            <w:tcW w:w="597" w:type="pct"/>
            <w:shd w:val="clear" w:color="auto" w:fill="auto"/>
            <w:vAlign w:val="center"/>
            <w:hideMark/>
          </w:tcPr>
          <w:p w14:paraId="5EACE33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$36,498</w:t>
            </w:r>
          </w:p>
        </w:tc>
        <w:tc>
          <w:tcPr>
            <w:tcW w:w="597" w:type="pct"/>
            <w:shd w:val="clear" w:color="auto" w:fill="auto"/>
            <w:vAlign w:val="center"/>
            <w:hideMark/>
          </w:tcPr>
          <w:p w14:paraId="29963C4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$29,944</w:t>
            </w:r>
          </w:p>
        </w:tc>
        <w:tc>
          <w:tcPr>
            <w:tcW w:w="546" w:type="pct"/>
            <w:shd w:val="clear" w:color="auto" w:fill="auto"/>
            <w:vAlign w:val="center"/>
            <w:hideMark/>
          </w:tcPr>
          <w:p w14:paraId="0393549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$34,040</w:t>
            </w:r>
          </w:p>
        </w:tc>
        <w:tc>
          <w:tcPr>
            <w:tcW w:w="647" w:type="pct"/>
            <w:shd w:val="clear" w:color="auto" w:fill="auto"/>
            <w:vAlign w:val="center"/>
            <w:hideMark/>
          </w:tcPr>
          <w:p w14:paraId="46204AA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5FDC5B1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$22,153</w:t>
            </w:r>
          </w:p>
        </w:tc>
      </w:tr>
      <w:tr w:rsidR="004D7392" w:rsidRPr="00F6590F" w14:paraId="5534ABAE" w14:textId="77777777" w:rsidTr="00380727">
        <w:trPr>
          <w:trHeight w:val="315"/>
        </w:trPr>
        <w:tc>
          <w:tcPr>
            <w:tcW w:w="710" w:type="pct"/>
            <w:vMerge/>
            <w:vAlign w:val="center"/>
            <w:hideMark/>
          </w:tcPr>
          <w:p w14:paraId="4B2E6DD4"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4F38405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Gamma</w:t>
            </w:r>
          </w:p>
        </w:tc>
        <w:tc>
          <w:tcPr>
            <w:tcW w:w="597" w:type="pct"/>
            <w:shd w:val="clear" w:color="auto" w:fill="auto"/>
            <w:vAlign w:val="center"/>
            <w:hideMark/>
          </w:tcPr>
          <w:p w14:paraId="3C086F9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$40,158</w:t>
            </w:r>
          </w:p>
        </w:tc>
        <w:tc>
          <w:tcPr>
            <w:tcW w:w="597" w:type="pct"/>
            <w:shd w:val="clear" w:color="auto" w:fill="auto"/>
            <w:vAlign w:val="center"/>
            <w:hideMark/>
          </w:tcPr>
          <w:p w14:paraId="2AAED47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$50,065</w:t>
            </w:r>
          </w:p>
        </w:tc>
        <w:tc>
          <w:tcPr>
            <w:tcW w:w="597" w:type="pct"/>
            <w:shd w:val="clear" w:color="auto" w:fill="auto"/>
            <w:vAlign w:val="center"/>
            <w:hideMark/>
          </w:tcPr>
          <w:p w14:paraId="1019D1C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$43,296</w:t>
            </w:r>
          </w:p>
        </w:tc>
        <w:tc>
          <w:tcPr>
            <w:tcW w:w="546" w:type="pct"/>
            <w:shd w:val="clear" w:color="auto" w:fill="auto"/>
            <w:vAlign w:val="center"/>
            <w:hideMark/>
          </w:tcPr>
          <w:p w14:paraId="4992163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$39,725</w:t>
            </w:r>
          </w:p>
        </w:tc>
        <w:tc>
          <w:tcPr>
            <w:tcW w:w="647" w:type="pct"/>
            <w:shd w:val="clear" w:color="auto" w:fill="auto"/>
            <w:vAlign w:val="center"/>
            <w:hideMark/>
          </w:tcPr>
          <w:p w14:paraId="046A072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72A23E1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$25,994</w:t>
            </w:r>
          </w:p>
        </w:tc>
      </w:tr>
      <w:tr w:rsidR="004D7392" w:rsidRPr="00F6590F" w14:paraId="0E690088" w14:textId="77777777" w:rsidTr="00380727">
        <w:trPr>
          <w:trHeight w:val="315"/>
        </w:trPr>
        <w:tc>
          <w:tcPr>
            <w:tcW w:w="710" w:type="pct"/>
            <w:vMerge w:val="restart"/>
            <w:shd w:val="clear" w:color="000000" w:fill="FFFFFF"/>
            <w:vAlign w:val="center"/>
            <w:hideMark/>
          </w:tcPr>
          <w:p w14:paraId="60AB1C6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Choice of parametric distribution - OS &amp; PFS</w:t>
            </w:r>
            <w:r w:rsidRPr="00823B19">
              <w:rPr>
                <w:rFonts w:ascii="Arial Narrow" w:hAnsi="Arial Narrow"/>
                <w:color w:val="000000"/>
                <w:sz w:val="18"/>
                <w:lang w:val="en-US"/>
              </w:rPr>
              <w:br/>
              <w:t>Assumed 0.5 fewer treatment cycles (3.02)</w:t>
            </w:r>
          </w:p>
        </w:tc>
        <w:tc>
          <w:tcPr>
            <w:tcW w:w="711" w:type="pct"/>
            <w:shd w:val="clear" w:color="000000" w:fill="FFFFFF"/>
            <w:noWrap/>
            <w:vAlign w:val="center"/>
            <w:hideMark/>
          </w:tcPr>
          <w:p w14:paraId="1F6CC434"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Weibull</w:t>
            </w:r>
          </w:p>
        </w:tc>
        <w:tc>
          <w:tcPr>
            <w:tcW w:w="597" w:type="pct"/>
            <w:shd w:val="clear" w:color="auto" w:fill="auto"/>
            <w:vAlign w:val="center"/>
            <w:hideMark/>
          </w:tcPr>
          <w:p w14:paraId="2AAFC83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$32,983</w:t>
            </w:r>
          </w:p>
        </w:tc>
        <w:tc>
          <w:tcPr>
            <w:tcW w:w="597" w:type="pct"/>
            <w:shd w:val="clear" w:color="auto" w:fill="auto"/>
            <w:vAlign w:val="center"/>
            <w:hideMark/>
          </w:tcPr>
          <w:p w14:paraId="34A1EC0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$37,334</w:t>
            </w:r>
          </w:p>
        </w:tc>
        <w:tc>
          <w:tcPr>
            <w:tcW w:w="597" w:type="pct"/>
            <w:shd w:val="clear" w:color="auto" w:fill="auto"/>
            <w:vAlign w:val="center"/>
            <w:hideMark/>
          </w:tcPr>
          <w:p w14:paraId="42E9C6C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$31,357</w:t>
            </w:r>
          </w:p>
        </w:tc>
        <w:tc>
          <w:tcPr>
            <w:tcW w:w="546" w:type="pct"/>
            <w:shd w:val="clear" w:color="auto" w:fill="auto"/>
            <w:vAlign w:val="center"/>
            <w:hideMark/>
          </w:tcPr>
          <w:p w14:paraId="1D7AA2A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$30,750</w:t>
            </w:r>
          </w:p>
        </w:tc>
        <w:tc>
          <w:tcPr>
            <w:tcW w:w="647" w:type="pct"/>
            <w:shd w:val="clear" w:color="auto" w:fill="auto"/>
            <w:vAlign w:val="center"/>
            <w:hideMark/>
          </w:tcPr>
          <w:p w14:paraId="04BE673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17896EB6"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$16,462</w:t>
            </w:r>
          </w:p>
        </w:tc>
      </w:tr>
      <w:tr w:rsidR="004D7392" w:rsidRPr="00F6590F" w14:paraId="019125B3" w14:textId="77777777" w:rsidTr="00380727">
        <w:trPr>
          <w:trHeight w:val="315"/>
        </w:trPr>
        <w:tc>
          <w:tcPr>
            <w:tcW w:w="710" w:type="pct"/>
            <w:vMerge/>
            <w:vAlign w:val="center"/>
            <w:hideMark/>
          </w:tcPr>
          <w:p w14:paraId="6D460EA9"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33AD5E8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Loglogistic</w:t>
            </w:r>
          </w:p>
        </w:tc>
        <w:tc>
          <w:tcPr>
            <w:tcW w:w="597" w:type="pct"/>
            <w:shd w:val="clear" w:color="auto" w:fill="auto"/>
            <w:vAlign w:val="center"/>
            <w:hideMark/>
          </w:tcPr>
          <w:p w14:paraId="1D0F777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$29,530</w:t>
            </w:r>
          </w:p>
        </w:tc>
        <w:tc>
          <w:tcPr>
            <w:tcW w:w="597" w:type="pct"/>
            <w:shd w:val="clear" w:color="auto" w:fill="auto"/>
            <w:vAlign w:val="center"/>
            <w:hideMark/>
          </w:tcPr>
          <w:p w14:paraId="7567130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$25,444</w:t>
            </w:r>
          </w:p>
        </w:tc>
        <w:tc>
          <w:tcPr>
            <w:tcW w:w="597" w:type="pct"/>
            <w:shd w:val="clear" w:color="auto" w:fill="auto"/>
            <w:vAlign w:val="center"/>
            <w:hideMark/>
          </w:tcPr>
          <w:p w14:paraId="0E52DF7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$20,514</w:t>
            </w:r>
          </w:p>
        </w:tc>
        <w:tc>
          <w:tcPr>
            <w:tcW w:w="546" w:type="pct"/>
            <w:shd w:val="clear" w:color="auto" w:fill="auto"/>
            <w:vAlign w:val="center"/>
            <w:hideMark/>
          </w:tcPr>
          <w:p w14:paraId="1C53E14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$27,265</w:t>
            </w:r>
          </w:p>
        </w:tc>
        <w:tc>
          <w:tcPr>
            <w:tcW w:w="647" w:type="pct"/>
            <w:shd w:val="clear" w:color="auto" w:fill="auto"/>
            <w:vAlign w:val="center"/>
            <w:hideMark/>
          </w:tcPr>
          <w:p w14:paraId="58F61CB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74B93E1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$14,926</w:t>
            </w:r>
          </w:p>
        </w:tc>
      </w:tr>
      <w:tr w:rsidR="004D7392" w:rsidRPr="00F6590F" w14:paraId="11305868" w14:textId="77777777" w:rsidTr="00380727">
        <w:trPr>
          <w:trHeight w:val="315"/>
        </w:trPr>
        <w:tc>
          <w:tcPr>
            <w:tcW w:w="710" w:type="pct"/>
            <w:vMerge/>
            <w:vAlign w:val="center"/>
            <w:hideMark/>
          </w:tcPr>
          <w:p w14:paraId="385FF003"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53876E78"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Lognormal</w:t>
            </w:r>
          </w:p>
        </w:tc>
        <w:tc>
          <w:tcPr>
            <w:tcW w:w="597" w:type="pct"/>
            <w:shd w:val="clear" w:color="auto" w:fill="auto"/>
            <w:vAlign w:val="center"/>
            <w:hideMark/>
          </w:tcPr>
          <w:p w14:paraId="0DA5CC8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$28,195</w:t>
            </w:r>
          </w:p>
        </w:tc>
        <w:tc>
          <w:tcPr>
            <w:tcW w:w="597" w:type="pct"/>
            <w:shd w:val="clear" w:color="auto" w:fill="auto"/>
            <w:vAlign w:val="center"/>
            <w:hideMark/>
          </w:tcPr>
          <w:p w14:paraId="2CA5510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$21,432</w:t>
            </w:r>
          </w:p>
        </w:tc>
        <w:tc>
          <w:tcPr>
            <w:tcW w:w="597" w:type="pct"/>
            <w:shd w:val="clear" w:color="auto" w:fill="auto"/>
            <w:vAlign w:val="center"/>
            <w:hideMark/>
          </w:tcPr>
          <w:p w14:paraId="5D236E62"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$16,874</w:t>
            </w:r>
          </w:p>
        </w:tc>
        <w:tc>
          <w:tcPr>
            <w:tcW w:w="546" w:type="pct"/>
            <w:shd w:val="clear" w:color="auto" w:fill="auto"/>
            <w:vAlign w:val="center"/>
            <w:hideMark/>
          </w:tcPr>
          <w:p w14:paraId="334E9FD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$25,735</w:t>
            </w:r>
          </w:p>
        </w:tc>
        <w:tc>
          <w:tcPr>
            <w:tcW w:w="647" w:type="pct"/>
            <w:shd w:val="clear" w:color="auto" w:fill="auto"/>
            <w:vAlign w:val="center"/>
            <w:hideMark/>
          </w:tcPr>
          <w:p w14:paraId="6A55ABDA"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73AEBA5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$14,176</w:t>
            </w:r>
          </w:p>
        </w:tc>
      </w:tr>
      <w:tr w:rsidR="004D7392" w:rsidRPr="00F6590F" w14:paraId="5382BC01" w14:textId="77777777" w:rsidTr="00380727">
        <w:trPr>
          <w:trHeight w:val="315"/>
        </w:trPr>
        <w:tc>
          <w:tcPr>
            <w:tcW w:w="710" w:type="pct"/>
            <w:vMerge/>
            <w:vAlign w:val="center"/>
            <w:hideMark/>
          </w:tcPr>
          <w:p w14:paraId="06BC405D"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7EFDD43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Gompertz</w:t>
            </w:r>
          </w:p>
        </w:tc>
        <w:tc>
          <w:tcPr>
            <w:tcW w:w="597" w:type="pct"/>
            <w:shd w:val="clear" w:color="auto" w:fill="auto"/>
            <w:vAlign w:val="center"/>
            <w:hideMark/>
          </w:tcPr>
          <w:p w14:paraId="6AC28D0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$39,258</w:t>
            </w:r>
          </w:p>
        </w:tc>
        <w:tc>
          <w:tcPr>
            <w:tcW w:w="597" w:type="pct"/>
            <w:shd w:val="clear" w:color="auto" w:fill="auto"/>
            <w:vAlign w:val="center"/>
            <w:hideMark/>
          </w:tcPr>
          <w:p w14:paraId="44A84F8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$38,797</w:t>
            </w:r>
          </w:p>
        </w:tc>
        <w:tc>
          <w:tcPr>
            <w:tcW w:w="597" w:type="pct"/>
            <w:shd w:val="clear" w:color="auto" w:fill="auto"/>
            <w:vAlign w:val="center"/>
            <w:hideMark/>
          </w:tcPr>
          <w:p w14:paraId="07FFEB0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$24,938</w:t>
            </w:r>
          </w:p>
        </w:tc>
        <w:tc>
          <w:tcPr>
            <w:tcW w:w="546" w:type="pct"/>
            <w:shd w:val="clear" w:color="auto" w:fill="auto"/>
            <w:vAlign w:val="center"/>
            <w:hideMark/>
          </w:tcPr>
          <w:p w14:paraId="7FE81E1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$35,469</w:t>
            </w:r>
          </w:p>
        </w:tc>
        <w:tc>
          <w:tcPr>
            <w:tcW w:w="647" w:type="pct"/>
            <w:shd w:val="clear" w:color="auto" w:fill="auto"/>
            <w:vAlign w:val="center"/>
            <w:hideMark/>
          </w:tcPr>
          <w:p w14:paraId="06D8560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3469A24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$16,833</w:t>
            </w:r>
          </w:p>
        </w:tc>
      </w:tr>
      <w:tr w:rsidR="004D7392" w:rsidRPr="00F6590F" w14:paraId="1274575B" w14:textId="77777777" w:rsidTr="00380727">
        <w:trPr>
          <w:trHeight w:val="315"/>
        </w:trPr>
        <w:tc>
          <w:tcPr>
            <w:tcW w:w="710" w:type="pct"/>
            <w:vMerge/>
            <w:vAlign w:val="center"/>
            <w:hideMark/>
          </w:tcPr>
          <w:p w14:paraId="59736022"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3A3BD62A"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Exponential</w:t>
            </w:r>
          </w:p>
        </w:tc>
        <w:tc>
          <w:tcPr>
            <w:tcW w:w="597" w:type="pct"/>
            <w:shd w:val="clear" w:color="auto" w:fill="auto"/>
            <w:vAlign w:val="center"/>
            <w:hideMark/>
          </w:tcPr>
          <w:p w14:paraId="2493CC9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$28,796</w:t>
            </w:r>
          </w:p>
        </w:tc>
        <w:tc>
          <w:tcPr>
            <w:tcW w:w="597" w:type="pct"/>
            <w:shd w:val="clear" w:color="auto" w:fill="auto"/>
            <w:vAlign w:val="center"/>
            <w:hideMark/>
          </w:tcPr>
          <w:p w14:paraId="551DAE8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$24,303</w:t>
            </w:r>
          </w:p>
        </w:tc>
        <w:tc>
          <w:tcPr>
            <w:tcW w:w="597" w:type="pct"/>
            <w:shd w:val="clear" w:color="auto" w:fill="auto"/>
            <w:vAlign w:val="center"/>
            <w:hideMark/>
          </w:tcPr>
          <w:p w14:paraId="6EBE394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$18,547</w:t>
            </w:r>
          </w:p>
        </w:tc>
        <w:tc>
          <w:tcPr>
            <w:tcW w:w="546" w:type="pct"/>
            <w:shd w:val="clear" w:color="auto" w:fill="auto"/>
            <w:vAlign w:val="center"/>
            <w:hideMark/>
          </w:tcPr>
          <w:p w14:paraId="12A9364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$25,656</w:t>
            </w:r>
          </w:p>
        </w:tc>
        <w:tc>
          <w:tcPr>
            <w:tcW w:w="647" w:type="pct"/>
            <w:shd w:val="clear" w:color="auto" w:fill="auto"/>
            <w:vAlign w:val="center"/>
            <w:hideMark/>
          </w:tcPr>
          <w:p w14:paraId="0093626A"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3133273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$13,531</w:t>
            </w:r>
          </w:p>
        </w:tc>
      </w:tr>
      <w:tr w:rsidR="004D7392" w:rsidRPr="00F6590F" w14:paraId="32642158" w14:textId="77777777" w:rsidTr="00380727">
        <w:trPr>
          <w:trHeight w:val="70"/>
        </w:trPr>
        <w:tc>
          <w:tcPr>
            <w:tcW w:w="710" w:type="pct"/>
            <w:vMerge/>
            <w:vAlign w:val="center"/>
            <w:hideMark/>
          </w:tcPr>
          <w:p w14:paraId="1447EC08"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26369FF3"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Gamma</w:t>
            </w:r>
          </w:p>
        </w:tc>
        <w:tc>
          <w:tcPr>
            <w:tcW w:w="597" w:type="pct"/>
            <w:shd w:val="clear" w:color="auto" w:fill="auto"/>
            <w:vAlign w:val="center"/>
            <w:hideMark/>
          </w:tcPr>
          <w:p w14:paraId="18A2EF7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$32,397</w:t>
            </w:r>
          </w:p>
        </w:tc>
        <w:tc>
          <w:tcPr>
            <w:tcW w:w="597" w:type="pct"/>
            <w:shd w:val="clear" w:color="auto" w:fill="auto"/>
            <w:vAlign w:val="center"/>
            <w:hideMark/>
          </w:tcPr>
          <w:p w14:paraId="3DC9F46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$35,513</w:t>
            </w:r>
          </w:p>
        </w:tc>
        <w:tc>
          <w:tcPr>
            <w:tcW w:w="597" w:type="pct"/>
            <w:shd w:val="clear" w:color="auto" w:fill="auto"/>
            <w:vAlign w:val="center"/>
            <w:hideMark/>
          </w:tcPr>
          <w:p w14:paraId="07B0C8E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$29,527</w:t>
            </w:r>
          </w:p>
        </w:tc>
        <w:tc>
          <w:tcPr>
            <w:tcW w:w="546" w:type="pct"/>
            <w:shd w:val="clear" w:color="auto" w:fill="auto"/>
            <w:vAlign w:val="center"/>
            <w:hideMark/>
          </w:tcPr>
          <w:p w14:paraId="2418F72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$30,080</w:t>
            </w:r>
          </w:p>
        </w:tc>
        <w:tc>
          <w:tcPr>
            <w:tcW w:w="647" w:type="pct"/>
            <w:shd w:val="clear" w:color="auto" w:fill="auto"/>
            <w:vAlign w:val="center"/>
            <w:hideMark/>
          </w:tcPr>
          <w:p w14:paraId="6CCF5356"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68BCE9D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$16,199</w:t>
            </w:r>
          </w:p>
        </w:tc>
      </w:tr>
      <w:tr w:rsidR="004D7392" w:rsidRPr="00F6590F" w14:paraId="4C89AB89" w14:textId="77777777" w:rsidTr="00380727">
        <w:trPr>
          <w:trHeight w:val="70"/>
        </w:trPr>
        <w:tc>
          <w:tcPr>
            <w:tcW w:w="1422" w:type="pct"/>
            <w:gridSpan w:val="2"/>
            <w:vAlign w:val="center"/>
          </w:tcPr>
          <w:p w14:paraId="465FFBF1" w14:textId="77777777" w:rsidR="004D7392" w:rsidRPr="00823B19" w:rsidRDefault="004D7392" w:rsidP="00380727">
            <w:pPr>
              <w:spacing w:before="0" w:after="0" w:line="240" w:lineRule="auto"/>
              <w:rPr>
                <w:rFonts w:ascii="Arial Narrow" w:hAnsi="Arial Narrow"/>
                <w:color w:val="000000"/>
                <w:sz w:val="18"/>
                <w:lang w:val="en-US"/>
              </w:rPr>
            </w:pPr>
            <w:r>
              <w:rPr>
                <w:rFonts w:ascii="Arial Narrow" w:hAnsi="Arial Narrow"/>
                <w:color w:val="000000"/>
                <w:sz w:val="18"/>
                <w:lang w:val="en-US"/>
              </w:rPr>
              <w:t>Assumed o</w:t>
            </w:r>
            <w:r w:rsidRPr="00823B19">
              <w:rPr>
                <w:rFonts w:ascii="Arial Narrow" w:hAnsi="Arial Narrow"/>
                <w:color w:val="000000"/>
                <w:sz w:val="18"/>
                <w:lang w:val="en-US"/>
              </w:rPr>
              <w:t xml:space="preserve">ne additional </w:t>
            </w:r>
            <w:r w:rsidRPr="00823B19">
              <w:rPr>
                <w:rFonts w:ascii="Arial Narrow" w:hAnsi="Arial Narrow"/>
                <w:color w:val="000000"/>
                <w:sz w:val="18"/>
                <w:vertAlign w:val="superscript"/>
                <w:lang w:val="en-US"/>
              </w:rPr>
              <w:t>68</w:t>
            </w:r>
            <w:r w:rsidRPr="00823B19">
              <w:rPr>
                <w:rFonts w:ascii="Arial Narrow" w:hAnsi="Arial Narrow"/>
                <w:color w:val="000000"/>
                <w:sz w:val="18"/>
                <w:lang w:val="en-US"/>
              </w:rPr>
              <w:t xml:space="preserve">Ga-DOTA-octreotate PET/CT for patients treated with </w:t>
            </w:r>
            <w:r w:rsidRPr="00823B19">
              <w:rPr>
                <w:rFonts w:ascii="Arial Narrow" w:hAnsi="Arial Narrow"/>
                <w:color w:val="000000"/>
                <w:sz w:val="20"/>
                <w:vertAlign w:val="superscript"/>
                <w:lang w:val="en-US"/>
              </w:rPr>
              <w:t>177</w:t>
            </w:r>
            <w:r w:rsidRPr="00823B19">
              <w:rPr>
                <w:rFonts w:ascii="Arial Narrow" w:hAnsi="Arial Narrow"/>
                <w:color w:val="000000"/>
                <w:sz w:val="18"/>
                <w:lang w:val="en-US"/>
              </w:rPr>
              <w:t>Lu-DOTA-octreotate</w:t>
            </w:r>
          </w:p>
        </w:tc>
        <w:tc>
          <w:tcPr>
            <w:tcW w:w="597" w:type="pct"/>
            <w:shd w:val="clear" w:color="auto" w:fill="auto"/>
            <w:vAlign w:val="center"/>
          </w:tcPr>
          <w:p w14:paraId="6B51379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$32,496</w:t>
            </w:r>
          </w:p>
        </w:tc>
        <w:tc>
          <w:tcPr>
            <w:tcW w:w="597" w:type="pct"/>
            <w:shd w:val="clear" w:color="auto" w:fill="auto"/>
            <w:vAlign w:val="center"/>
          </w:tcPr>
          <w:p w14:paraId="25CFBE42"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$28,950</w:t>
            </w:r>
          </w:p>
        </w:tc>
        <w:tc>
          <w:tcPr>
            <w:tcW w:w="597" w:type="pct"/>
            <w:shd w:val="clear" w:color="auto" w:fill="auto"/>
            <w:vAlign w:val="center"/>
          </w:tcPr>
          <w:p w14:paraId="2DC2A83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$23,798</w:t>
            </w:r>
          </w:p>
        </w:tc>
        <w:tc>
          <w:tcPr>
            <w:tcW w:w="546" w:type="pct"/>
            <w:shd w:val="clear" w:color="auto" w:fill="auto"/>
            <w:vAlign w:val="center"/>
          </w:tcPr>
          <w:p w14:paraId="1FBD2A3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w:t>
            </w:r>
            <w:r>
              <w:rPr>
                <w:rFonts w:ascii="Arial Narrow" w:hAnsi="Arial Narrow"/>
                <w:color w:val="000000"/>
                <w:sz w:val="18"/>
                <w:lang w:val="en-US"/>
              </w:rPr>
              <w:t>0,318</w:t>
            </w:r>
          </w:p>
        </w:tc>
        <w:tc>
          <w:tcPr>
            <w:tcW w:w="647" w:type="pct"/>
            <w:shd w:val="clear" w:color="auto" w:fill="auto"/>
            <w:vAlign w:val="center"/>
          </w:tcPr>
          <w:p w14:paraId="3708613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tcPr>
          <w:p w14:paraId="57860C1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$19,555</w:t>
            </w:r>
          </w:p>
        </w:tc>
      </w:tr>
    </w:tbl>
    <w:p w14:paraId="58868BEC" w14:textId="77777777" w:rsidR="004D7392" w:rsidRPr="00901C78" w:rsidRDefault="004D7392" w:rsidP="004D7392">
      <w:pPr>
        <w:pStyle w:val="Tablenotes0"/>
        <w:tabs>
          <w:tab w:val="left" w:pos="7655"/>
        </w:tabs>
      </w:pPr>
      <w:r w:rsidRPr="00C20795">
        <w:t>Abbreviations</w:t>
      </w:r>
      <w:r w:rsidRPr="001053EF">
        <w:t xml:space="preserve">: </w:t>
      </w:r>
      <w:r>
        <w:t xml:space="preserve">CT = computed tomography; </w:t>
      </w:r>
      <w:r w:rsidRPr="00C20795">
        <w:t>EVO = everolimus</w:t>
      </w:r>
      <w:r w:rsidRPr="009B07CB">
        <w:t>;</w:t>
      </w:r>
      <w:r w:rsidRPr="0000312B">
        <w:t xml:space="preserve"> ICER = incremental cost-effectiveness ratio; LAN = lanreotide, </w:t>
      </w:r>
      <w:r w:rsidRPr="009B07CB">
        <w:t>OCT = octreotide</w:t>
      </w:r>
      <w:r w:rsidRPr="0000312B">
        <w:t>; OCT+EVO = octreotide plus everolimus combination therapy;</w:t>
      </w:r>
      <w:r>
        <w:t xml:space="preserve"> OS = overall survival;</w:t>
      </w:r>
      <w:r w:rsidRPr="0000312B">
        <w:t xml:space="preserve"> PBO = placeb</w:t>
      </w:r>
      <w:r>
        <w:t>o; PET = positron emission tomography; PFS = progression-free survival</w:t>
      </w:r>
      <w:r w:rsidRPr="0000312B">
        <w:t xml:space="preserve">; </w:t>
      </w:r>
      <w:r w:rsidRPr="001053EF">
        <w:t>QALY = quality-adjusted life year;</w:t>
      </w:r>
      <w:r w:rsidRPr="00C20795">
        <w:t xml:space="preserve"> </w:t>
      </w:r>
      <w:r w:rsidRPr="009B07CB">
        <w:t>SUN =sunitinib</w:t>
      </w:r>
      <w:r w:rsidRPr="0000312B">
        <w:t>.</w:t>
      </w:r>
    </w:p>
    <w:p w14:paraId="3CB2BED1" w14:textId="77777777" w:rsidR="004D7392" w:rsidRDefault="004D7392" w:rsidP="004D7392">
      <w:pPr>
        <w:spacing w:after="240"/>
        <w:sectPr w:rsidR="004D7392">
          <w:footerReference w:type="default" r:id="rId25"/>
          <w:pgSz w:w="16838" w:h="11906" w:orient="landscape"/>
          <w:pgMar w:top="1440" w:right="1440" w:bottom="1440" w:left="1440" w:header="709" w:footer="709" w:gutter="0"/>
          <w:cols w:space="708"/>
          <w:docGrid w:linePitch="360"/>
        </w:sectPr>
      </w:pPr>
    </w:p>
    <w:p w14:paraId="304F28DA" w14:textId="77777777" w:rsidR="004D7392" w:rsidRDefault="004D7392" w:rsidP="004D7392">
      <w:pPr>
        <w:pStyle w:val="Heading2"/>
        <w:numPr>
          <w:ilvl w:val="0"/>
          <w:numId w:val="0"/>
        </w:numPr>
      </w:pPr>
      <w:bookmarkStart w:id="121" w:name="_Toc170409073"/>
      <w:r>
        <w:lastRenderedPageBreak/>
        <w:t>2.</w:t>
      </w:r>
      <w:r>
        <w:tab/>
        <w:t>Additional financial impact sensitivity analysis</w:t>
      </w:r>
      <w:bookmarkEnd w:id="121"/>
    </w:p>
    <w:p w14:paraId="67DEED43" w14:textId="77777777" w:rsidR="004D7392" w:rsidRDefault="004D7392" w:rsidP="004D7392">
      <w:pPr>
        <w:rPr>
          <w:iCs/>
        </w:rPr>
      </w:pPr>
      <w:bookmarkStart w:id="122" w:name="_Ref170408535"/>
      <w:r>
        <w:t xml:space="preserve">The estimated financial impact of </w:t>
      </w:r>
      <w:r>
        <w:rPr>
          <w:iCs/>
          <w:vertAlign w:val="superscript"/>
        </w:rPr>
        <w:t>177</w:t>
      </w:r>
      <w:r>
        <w:rPr>
          <w:iCs/>
        </w:rPr>
        <w:t xml:space="preserve">Lu-DOTA-octreotate has been updated </w:t>
      </w:r>
      <w:r w:rsidRPr="00743C06">
        <w:t>using the amended MBS fee of $10,000 fo</w:t>
      </w:r>
      <w:r>
        <w:t xml:space="preserve">r each treatment </w:t>
      </w:r>
      <w:r w:rsidRPr="00743C06">
        <w:t>cycle</w:t>
      </w:r>
      <w:r>
        <w:t xml:space="preserve"> (</w:t>
      </w:r>
      <w:r>
        <w:fldChar w:fldCharType="begin"/>
      </w:r>
      <w:r>
        <w:instrText xml:space="preserve"> REF _Ref170981399 \h </w:instrText>
      </w:r>
      <w:r>
        <w:fldChar w:fldCharType="separate"/>
      </w:r>
      <w:r>
        <w:t xml:space="preserve">Table </w:t>
      </w:r>
      <w:r>
        <w:rPr>
          <w:noProof/>
        </w:rPr>
        <w:t>2</w:t>
      </w:r>
      <w:r>
        <w:fldChar w:fldCharType="end"/>
      </w:r>
      <w:r>
        <w:t>).</w:t>
      </w:r>
      <w:r>
        <w:rPr>
          <w:iCs/>
        </w:rPr>
        <w:t xml:space="preserve"> All scenarios presented in the addendum were undertaken using the updated MBS fee </w:t>
      </w:r>
      <w:r w:rsidRPr="00C64781">
        <w:rPr>
          <w:iCs/>
        </w:rPr>
        <w:t>(rebate=</w:t>
      </w:r>
      <w:r w:rsidRPr="002F5BB7">
        <w:rPr>
          <w:rFonts w:cs="Segoe UI"/>
        </w:rPr>
        <w:t>$9,901.30</w:t>
      </w:r>
      <w:r>
        <w:rPr>
          <w:rFonts w:cs="Segoe UI"/>
        </w:rPr>
        <w:t xml:space="preserve"> for each treatment cycle</w:t>
      </w:r>
      <w:r w:rsidRPr="002F5BB7">
        <w:rPr>
          <w:rFonts w:cs="Segoe UI"/>
        </w:rPr>
        <w:t xml:space="preserve"> after </w:t>
      </w:r>
      <w:r>
        <w:rPr>
          <w:rFonts w:cs="Segoe UI"/>
        </w:rPr>
        <w:t>consideration of the</w:t>
      </w:r>
      <w:r w:rsidRPr="002F5BB7">
        <w:rPr>
          <w:rFonts w:cs="Segoe UI"/>
        </w:rPr>
        <w:t xml:space="preserve"> greatest permissible gap)</w:t>
      </w:r>
      <w:r w:rsidRPr="00C64781">
        <w:rPr>
          <w:iCs/>
        </w:rPr>
        <w:t>.</w:t>
      </w:r>
    </w:p>
    <w:p w14:paraId="6E411AC6" w14:textId="77777777" w:rsidR="004D7392" w:rsidRPr="0040101A" w:rsidRDefault="004D7392" w:rsidP="004D7392">
      <w:pPr>
        <w:pStyle w:val="Caption"/>
      </w:pPr>
      <w:bookmarkStart w:id="123" w:name="_Ref170981399"/>
      <w:r>
        <w:t xml:space="preserve">Table </w:t>
      </w:r>
      <w:r>
        <w:fldChar w:fldCharType="begin"/>
      </w:r>
      <w:r>
        <w:instrText xml:space="preserve"> SEQ Table \* ARABIC </w:instrText>
      </w:r>
      <w:r>
        <w:fldChar w:fldCharType="separate"/>
      </w:r>
      <w:r>
        <w:rPr>
          <w:noProof/>
        </w:rPr>
        <w:t>2</w:t>
      </w:r>
      <w:r>
        <w:rPr>
          <w:noProof/>
        </w:rPr>
        <w:fldChar w:fldCharType="end"/>
      </w:r>
      <w:bookmarkEnd w:id="122"/>
      <w:bookmarkEnd w:id="123"/>
      <w:r>
        <w:t>: Financial impact with updated MBS fee</w:t>
      </w:r>
    </w:p>
    <w:tbl>
      <w:tblPr>
        <w:tblW w:w="5000" w:type="pct"/>
        <w:tblLook w:val="04A0" w:firstRow="1" w:lastRow="0" w:firstColumn="1" w:lastColumn="0" w:noHBand="0" w:noVBand="1"/>
      </w:tblPr>
      <w:tblGrid>
        <w:gridCol w:w="1756"/>
        <w:gridCol w:w="1210"/>
        <w:gridCol w:w="1210"/>
        <w:gridCol w:w="1210"/>
        <w:gridCol w:w="1210"/>
        <w:gridCol w:w="1210"/>
        <w:gridCol w:w="1210"/>
      </w:tblGrid>
      <w:tr w:rsidR="004D7392" w:rsidRPr="0040101A" w14:paraId="207EF46F" w14:textId="77777777" w:rsidTr="00380727">
        <w:trPr>
          <w:trHeight w:val="315"/>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D0C4C" w14:textId="77777777" w:rsidR="004D7392" w:rsidRPr="0040101A" w:rsidRDefault="004D7392" w:rsidP="00380727">
            <w:pPr>
              <w:spacing w:before="0" w:after="0" w:line="240" w:lineRule="auto"/>
              <w:rPr>
                <w:rFonts w:ascii="Arial Narrow" w:eastAsia="Times New Roman" w:hAnsi="Arial Narrow" w:cs="Calibri"/>
                <w:b/>
                <w:bCs/>
                <w:color w:val="000000"/>
                <w:sz w:val="20"/>
                <w:szCs w:val="20"/>
                <w:lang w:val="en-US"/>
              </w:rPr>
            </w:pPr>
            <w:bookmarkStart w:id="124" w:name="RANGE!D45"/>
            <w:r w:rsidRPr="0040101A">
              <w:rPr>
                <w:rFonts w:ascii="Arial Narrow" w:eastAsia="Times New Roman" w:hAnsi="Arial Narrow" w:cs="Calibri"/>
                <w:b/>
                <w:bCs/>
                <w:color w:val="000000"/>
                <w:sz w:val="20"/>
                <w:szCs w:val="20"/>
                <w:lang w:val="en-US"/>
              </w:rPr>
              <w:t xml:space="preserve">Parameter </w:t>
            </w:r>
            <w:bookmarkEnd w:id="124"/>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53BDAEE1"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2024 (year 1)</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2EEABD77"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2025 (year 2)</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7E733BE5"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2026 (year 3)</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25CDACD7"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2027 (year 4)</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5E6C7644"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2028 (year 5)</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0201F775"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2029 (year 6)</w:t>
            </w:r>
          </w:p>
        </w:tc>
      </w:tr>
      <w:tr w:rsidR="004D7392" w:rsidRPr="0040101A" w14:paraId="1CC6CDAC" w14:textId="77777777" w:rsidTr="00380727">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1741141" w14:textId="77777777" w:rsidR="004D7392" w:rsidRPr="0040101A" w:rsidRDefault="004D7392" w:rsidP="00380727">
            <w:pPr>
              <w:spacing w:before="0" w:after="0" w:line="240" w:lineRule="auto"/>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Estimated use and cost of the proposed health technology</w:t>
            </w:r>
          </w:p>
        </w:tc>
      </w:tr>
      <w:tr w:rsidR="004D7392" w:rsidRPr="0040101A" w14:paraId="2CF245AA"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11CCF7E9"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Incidence of NE</w:t>
            </w:r>
            <w:r>
              <w:rPr>
                <w:rFonts w:ascii="Arial Narrow" w:eastAsia="Times New Roman" w:hAnsi="Arial Narrow" w:cs="Calibri"/>
                <w:color w:val="000000"/>
                <w:sz w:val="20"/>
                <w:szCs w:val="20"/>
                <w:lang w:val="en-US"/>
              </w:rPr>
              <w:t>N</w:t>
            </w:r>
            <w:r w:rsidRPr="0040101A">
              <w:rPr>
                <w:rFonts w:ascii="Arial Narrow" w:eastAsia="Times New Roman" w:hAnsi="Arial Narrow" w:cs="Calibri"/>
                <w:color w:val="000000"/>
                <w:sz w:val="20"/>
                <w:szCs w:val="20"/>
                <w:lang w:val="en-US"/>
              </w:rPr>
              <w:t>s</w:t>
            </w:r>
          </w:p>
        </w:tc>
        <w:tc>
          <w:tcPr>
            <w:tcW w:w="671" w:type="pct"/>
            <w:tcBorders>
              <w:top w:val="nil"/>
              <w:left w:val="nil"/>
              <w:bottom w:val="single" w:sz="4" w:space="0" w:color="auto"/>
              <w:right w:val="single" w:sz="4" w:space="0" w:color="auto"/>
            </w:tcBorders>
            <w:shd w:val="clear" w:color="auto" w:fill="auto"/>
            <w:vAlign w:val="center"/>
            <w:hideMark/>
          </w:tcPr>
          <w:p w14:paraId="7F4F5080"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5,642</w:t>
            </w:r>
          </w:p>
        </w:tc>
        <w:tc>
          <w:tcPr>
            <w:tcW w:w="671" w:type="pct"/>
            <w:tcBorders>
              <w:top w:val="nil"/>
              <w:left w:val="nil"/>
              <w:bottom w:val="single" w:sz="4" w:space="0" w:color="auto"/>
              <w:right w:val="single" w:sz="4" w:space="0" w:color="auto"/>
            </w:tcBorders>
            <w:shd w:val="clear" w:color="auto" w:fill="auto"/>
            <w:vAlign w:val="center"/>
            <w:hideMark/>
          </w:tcPr>
          <w:p w14:paraId="20D03ACF"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5,857</w:t>
            </w:r>
          </w:p>
        </w:tc>
        <w:tc>
          <w:tcPr>
            <w:tcW w:w="671" w:type="pct"/>
            <w:tcBorders>
              <w:top w:val="nil"/>
              <w:left w:val="nil"/>
              <w:bottom w:val="single" w:sz="4" w:space="0" w:color="auto"/>
              <w:right w:val="single" w:sz="4" w:space="0" w:color="auto"/>
            </w:tcBorders>
            <w:shd w:val="clear" w:color="auto" w:fill="auto"/>
            <w:vAlign w:val="center"/>
            <w:hideMark/>
          </w:tcPr>
          <w:p w14:paraId="6F6CD7DC"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6,080</w:t>
            </w:r>
          </w:p>
        </w:tc>
        <w:tc>
          <w:tcPr>
            <w:tcW w:w="671" w:type="pct"/>
            <w:tcBorders>
              <w:top w:val="nil"/>
              <w:left w:val="nil"/>
              <w:bottom w:val="single" w:sz="4" w:space="0" w:color="auto"/>
              <w:right w:val="single" w:sz="4" w:space="0" w:color="auto"/>
            </w:tcBorders>
            <w:shd w:val="clear" w:color="auto" w:fill="auto"/>
            <w:vAlign w:val="center"/>
            <w:hideMark/>
          </w:tcPr>
          <w:p w14:paraId="3DA209C2"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6,312</w:t>
            </w:r>
          </w:p>
        </w:tc>
        <w:tc>
          <w:tcPr>
            <w:tcW w:w="671" w:type="pct"/>
            <w:tcBorders>
              <w:top w:val="nil"/>
              <w:left w:val="nil"/>
              <w:bottom w:val="single" w:sz="4" w:space="0" w:color="auto"/>
              <w:right w:val="single" w:sz="4" w:space="0" w:color="auto"/>
            </w:tcBorders>
            <w:shd w:val="clear" w:color="auto" w:fill="auto"/>
            <w:vAlign w:val="center"/>
            <w:hideMark/>
          </w:tcPr>
          <w:p w14:paraId="0C5D349E"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6,552</w:t>
            </w:r>
          </w:p>
        </w:tc>
        <w:tc>
          <w:tcPr>
            <w:tcW w:w="671" w:type="pct"/>
            <w:tcBorders>
              <w:top w:val="nil"/>
              <w:left w:val="nil"/>
              <w:bottom w:val="single" w:sz="4" w:space="0" w:color="auto"/>
              <w:right w:val="single" w:sz="4" w:space="0" w:color="auto"/>
            </w:tcBorders>
            <w:shd w:val="clear" w:color="auto" w:fill="auto"/>
            <w:vAlign w:val="center"/>
            <w:hideMark/>
          </w:tcPr>
          <w:p w14:paraId="6EB83C68"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6,802</w:t>
            </w:r>
          </w:p>
        </w:tc>
      </w:tr>
      <w:tr w:rsidR="004D7392" w:rsidRPr="0040101A" w14:paraId="35C202C5"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6567432D"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 xml:space="preserve">Number of people eligible for </w:t>
            </w:r>
            <w:r w:rsidRPr="0040101A">
              <w:rPr>
                <w:rFonts w:ascii="Arial Narrow" w:eastAsia="Times New Roman" w:hAnsi="Arial Narrow" w:cs="Calibri"/>
                <w:color w:val="000000"/>
                <w:sz w:val="20"/>
                <w:szCs w:val="20"/>
                <w:vertAlign w:val="superscript"/>
                <w:lang w:val="en-US"/>
              </w:rPr>
              <w:t>177</w:t>
            </w:r>
            <w:r w:rsidRPr="0040101A">
              <w:rPr>
                <w:rFonts w:ascii="Arial Narrow" w:eastAsia="Times New Roman" w:hAnsi="Arial Narrow" w:cs="Calibri"/>
                <w:color w:val="000000"/>
                <w:sz w:val="20"/>
                <w:szCs w:val="20"/>
                <w:lang w:val="en-US"/>
              </w:rPr>
              <w:t>Lu-DOTA-octreotate</w:t>
            </w:r>
          </w:p>
        </w:tc>
        <w:tc>
          <w:tcPr>
            <w:tcW w:w="4026" w:type="pct"/>
            <w:gridSpan w:val="6"/>
            <w:tcBorders>
              <w:top w:val="single" w:sz="4" w:space="0" w:color="auto"/>
              <w:left w:val="nil"/>
              <w:bottom w:val="single" w:sz="4" w:space="0" w:color="auto"/>
              <w:right w:val="single" w:sz="4" w:space="0" w:color="000000"/>
            </w:tcBorders>
            <w:shd w:val="clear" w:color="auto" w:fill="auto"/>
            <w:vAlign w:val="center"/>
            <w:hideMark/>
          </w:tcPr>
          <w:p w14:paraId="45890CEF"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Unknown</w:t>
            </w:r>
            <w:r w:rsidRPr="0040101A">
              <w:rPr>
                <w:rFonts w:ascii="Arial Narrow" w:eastAsia="Times New Roman" w:hAnsi="Arial Narrow" w:cs="Calibri"/>
                <w:color w:val="000000"/>
                <w:sz w:val="20"/>
                <w:szCs w:val="20"/>
                <w:lang w:val="en-US"/>
              </w:rPr>
              <w:br/>
              <w:t>Assumed 3.5% to match applicant advised treatment population of approximately 200</w:t>
            </w:r>
          </w:p>
        </w:tc>
      </w:tr>
      <w:tr w:rsidR="004D7392" w:rsidRPr="0040101A" w14:paraId="2F51FAC3"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6EF10027"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 xml:space="preserve">Number of people who receive </w:t>
            </w:r>
            <w:r w:rsidRPr="0040101A">
              <w:rPr>
                <w:rFonts w:ascii="Arial Narrow" w:eastAsia="Times New Roman" w:hAnsi="Arial Narrow" w:cs="Calibri"/>
                <w:color w:val="000000"/>
                <w:sz w:val="20"/>
                <w:szCs w:val="20"/>
                <w:vertAlign w:val="superscript"/>
                <w:lang w:val="en-US"/>
              </w:rPr>
              <w:t>177</w:t>
            </w:r>
            <w:r w:rsidRPr="0040101A">
              <w:rPr>
                <w:rFonts w:ascii="Arial Narrow" w:eastAsia="Times New Roman" w:hAnsi="Arial Narrow" w:cs="Calibri"/>
                <w:color w:val="000000"/>
                <w:sz w:val="20"/>
                <w:szCs w:val="20"/>
                <w:lang w:val="en-US"/>
              </w:rPr>
              <w:t>Lu-DOTA-octreotate</w:t>
            </w:r>
          </w:p>
        </w:tc>
        <w:tc>
          <w:tcPr>
            <w:tcW w:w="671" w:type="pct"/>
            <w:tcBorders>
              <w:top w:val="nil"/>
              <w:left w:val="nil"/>
              <w:bottom w:val="single" w:sz="4" w:space="0" w:color="auto"/>
              <w:right w:val="single" w:sz="4" w:space="0" w:color="auto"/>
            </w:tcBorders>
            <w:shd w:val="clear" w:color="auto" w:fill="auto"/>
            <w:vAlign w:val="center"/>
            <w:hideMark/>
          </w:tcPr>
          <w:p w14:paraId="2E9FC80A"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197</w:t>
            </w:r>
          </w:p>
        </w:tc>
        <w:tc>
          <w:tcPr>
            <w:tcW w:w="671" w:type="pct"/>
            <w:tcBorders>
              <w:top w:val="nil"/>
              <w:left w:val="nil"/>
              <w:bottom w:val="single" w:sz="4" w:space="0" w:color="auto"/>
              <w:right w:val="single" w:sz="4" w:space="0" w:color="auto"/>
            </w:tcBorders>
            <w:shd w:val="clear" w:color="auto" w:fill="auto"/>
            <w:vAlign w:val="center"/>
            <w:hideMark/>
          </w:tcPr>
          <w:p w14:paraId="42C9E274"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205</w:t>
            </w:r>
          </w:p>
        </w:tc>
        <w:tc>
          <w:tcPr>
            <w:tcW w:w="671" w:type="pct"/>
            <w:tcBorders>
              <w:top w:val="nil"/>
              <w:left w:val="nil"/>
              <w:bottom w:val="single" w:sz="4" w:space="0" w:color="auto"/>
              <w:right w:val="single" w:sz="4" w:space="0" w:color="auto"/>
            </w:tcBorders>
            <w:shd w:val="clear" w:color="auto" w:fill="auto"/>
            <w:vAlign w:val="center"/>
            <w:hideMark/>
          </w:tcPr>
          <w:p w14:paraId="5601462B"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213</w:t>
            </w:r>
          </w:p>
        </w:tc>
        <w:tc>
          <w:tcPr>
            <w:tcW w:w="671" w:type="pct"/>
            <w:tcBorders>
              <w:top w:val="nil"/>
              <w:left w:val="nil"/>
              <w:bottom w:val="single" w:sz="4" w:space="0" w:color="auto"/>
              <w:right w:val="single" w:sz="4" w:space="0" w:color="auto"/>
            </w:tcBorders>
            <w:shd w:val="clear" w:color="auto" w:fill="auto"/>
            <w:vAlign w:val="center"/>
            <w:hideMark/>
          </w:tcPr>
          <w:p w14:paraId="09EDCB26"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221</w:t>
            </w:r>
          </w:p>
        </w:tc>
        <w:tc>
          <w:tcPr>
            <w:tcW w:w="671" w:type="pct"/>
            <w:tcBorders>
              <w:top w:val="nil"/>
              <w:left w:val="nil"/>
              <w:bottom w:val="single" w:sz="4" w:space="0" w:color="auto"/>
              <w:right w:val="single" w:sz="4" w:space="0" w:color="auto"/>
            </w:tcBorders>
            <w:shd w:val="clear" w:color="auto" w:fill="auto"/>
            <w:vAlign w:val="center"/>
            <w:hideMark/>
          </w:tcPr>
          <w:p w14:paraId="02971706"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229</w:t>
            </w:r>
          </w:p>
        </w:tc>
        <w:tc>
          <w:tcPr>
            <w:tcW w:w="671" w:type="pct"/>
            <w:tcBorders>
              <w:top w:val="nil"/>
              <w:left w:val="nil"/>
              <w:bottom w:val="single" w:sz="4" w:space="0" w:color="auto"/>
              <w:right w:val="single" w:sz="4" w:space="0" w:color="auto"/>
            </w:tcBorders>
            <w:shd w:val="clear" w:color="auto" w:fill="auto"/>
            <w:vAlign w:val="center"/>
            <w:hideMark/>
          </w:tcPr>
          <w:p w14:paraId="795AE6B7"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238</w:t>
            </w:r>
          </w:p>
        </w:tc>
      </w:tr>
      <w:tr w:rsidR="004D7392" w:rsidRPr="0040101A" w14:paraId="2BF98C69"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770DD431"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 xml:space="preserve">Of which, diagnosed with </w:t>
            </w:r>
            <w:r w:rsidRPr="00D83BF3">
              <w:rPr>
                <w:rFonts w:ascii="Arial Narrow" w:eastAsia="Times New Roman" w:hAnsi="Arial Narrow" w:cs="Calibri"/>
                <w:color w:val="000000"/>
                <w:sz w:val="20"/>
                <w:szCs w:val="20"/>
                <w:vertAlign w:val="superscript"/>
                <w:lang w:val="en-US"/>
              </w:rPr>
              <w:t>68</w:t>
            </w:r>
            <w:r w:rsidRPr="00D83BF3">
              <w:rPr>
                <w:rFonts w:ascii="Arial Narrow" w:eastAsia="Times New Roman" w:hAnsi="Arial Narrow" w:cs="Calibri"/>
                <w:color w:val="000000"/>
                <w:sz w:val="20"/>
                <w:szCs w:val="20"/>
                <w:lang w:val="en-US"/>
              </w:rPr>
              <w:t>Ga-DOTA-octreotate PET/CT (100%)</w:t>
            </w:r>
          </w:p>
        </w:tc>
        <w:tc>
          <w:tcPr>
            <w:tcW w:w="671" w:type="pct"/>
            <w:tcBorders>
              <w:top w:val="nil"/>
              <w:left w:val="nil"/>
              <w:bottom w:val="single" w:sz="4" w:space="0" w:color="auto"/>
              <w:right w:val="single" w:sz="4" w:space="0" w:color="auto"/>
            </w:tcBorders>
            <w:shd w:val="clear" w:color="auto" w:fill="auto"/>
            <w:vAlign w:val="center"/>
            <w:hideMark/>
          </w:tcPr>
          <w:p w14:paraId="68925555"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197</w:t>
            </w:r>
          </w:p>
        </w:tc>
        <w:tc>
          <w:tcPr>
            <w:tcW w:w="671" w:type="pct"/>
            <w:tcBorders>
              <w:top w:val="nil"/>
              <w:left w:val="nil"/>
              <w:bottom w:val="single" w:sz="4" w:space="0" w:color="auto"/>
              <w:right w:val="single" w:sz="4" w:space="0" w:color="auto"/>
            </w:tcBorders>
            <w:shd w:val="clear" w:color="auto" w:fill="auto"/>
            <w:vAlign w:val="center"/>
            <w:hideMark/>
          </w:tcPr>
          <w:p w14:paraId="50E08FB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205</w:t>
            </w:r>
          </w:p>
        </w:tc>
        <w:tc>
          <w:tcPr>
            <w:tcW w:w="671" w:type="pct"/>
            <w:tcBorders>
              <w:top w:val="nil"/>
              <w:left w:val="nil"/>
              <w:bottom w:val="single" w:sz="4" w:space="0" w:color="auto"/>
              <w:right w:val="single" w:sz="4" w:space="0" w:color="auto"/>
            </w:tcBorders>
            <w:shd w:val="clear" w:color="auto" w:fill="auto"/>
            <w:vAlign w:val="center"/>
            <w:hideMark/>
          </w:tcPr>
          <w:p w14:paraId="51F57621"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213</w:t>
            </w:r>
          </w:p>
        </w:tc>
        <w:tc>
          <w:tcPr>
            <w:tcW w:w="671" w:type="pct"/>
            <w:tcBorders>
              <w:top w:val="nil"/>
              <w:left w:val="nil"/>
              <w:bottom w:val="single" w:sz="4" w:space="0" w:color="auto"/>
              <w:right w:val="single" w:sz="4" w:space="0" w:color="auto"/>
            </w:tcBorders>
            <w:shd w:val="clear" w:color="auto" w:fill="auto"/>
            <w:vAlign w:val="center"/>
            <w:hideMark/>
          </w:tcPr>
          <w:p w14:paraId="50C1C15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221</w:t>
            </w:r>
          </w:p>
        </w:tc>
        <w:tc>
          <w:tcPr>
            <w:tcW w:w="671" w:type="pct"/>
            <w:tcBorders>
              <w:top w:val="nil"/>
              <w:left w:val="nil"/>
              <w:bottom w:val="single" w:sz="4" w:space="0" w:color="auto"/>
              <w:right w:val="single" w:sz="4" w:space="0" w:color="auto"/>
            </w:tcBorders>
            <w:shd w:val="clear" w:color="auto" w:fill="auto"/>
            <w:vAlign w:val="center"/>
            <w:hideMark/>
          </w:tcPr>
          <w:p w14:paraId="34239315"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229</w:t>
            </w:r>
          </w:p>
        </w:tc>
        <w:tc>
          <w:tcPr>
            <w:tcW w:w="671" w:type="pct"/>
            <w:tcBorders>
              <w:top w:val="nil"/>
              <w:left w:val="nil"/>
              <w:bottom w:val="single" w:sz="4" w:space="0" w:color="auto"/>
              <w:right w:val="single" w:sz="4" w:space="0" w:color="auto"/>
            </w:tcBorders>
            <w:shd w:val="clear" w:color="auto" w:fill="auto"/>
            <w:vAlign w:val="center"/>
            <w:hideMark/>
          </w:tcPr>
          <w:p w14:paraId="53CE49FF"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238</w:t>
            </w:r>
          </w:p>
        </w:tc>
      </w:tr>
      <w:tr w:rsidR="004D7392" w:rsidRPr="0040101A" w14:paraId="65A218B0"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1F8C6AA5"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 xml:space="preserve">Of which, diagnosed with </w:t>
            </w:r>
            <w:r w:rsidRPr="00D83BF3">
              <w:rPr>
                <w:rFonts w:ascii="Arial Narrow" w:eastAsia="Times New Roman" w:hAnsi="Arial Narrow" w:cs="Calibri"/>
                <w:color w:val="000000"/>
                <w:sz w:val="20"/>
                <w:szCs w:val="20"/>
                <w:vertAlign w:val="superscript"/>
                <w:lang w:val="en-US"/>
              </w:rPr>
              <w:t>18</w:t>
            </w:r>
            <w:r w:rsidRPr="00D83BF3">
              <w:rPr>
                <w:rFonts w:ascii="Arial Narrow" w:eastAsia="Times New Roman" w:hAnsi="Arial Narrow" w:cs="Calibri"/>
                <w:color w:val="000000"/>
                <w:sz w:val="20"/>
                <w:szCs w:val="20"/>
                <w:lang w:val="en-US"/>
              </w:rPr>
              <w:t>FDG PET/CT (30%)</w:t>
            </w:r>
          </w:p>
        </w:tc>
        <w:tc>
          <w:tcPr>
            <w:tcW w:w="671" w:type="pct"/>
            <w:tcBorders>
              <w:top w:val="nil"/>
              <w:left w:val="nil"/>
              <w:bottom w:val="single" w:sz="4" w:space="0" w:color="auto"/>
              <w:right w:val="single" w:sz="4" w:space="0" w:color="auto"/>
            </w:tcBorders>
            <w:shd w:val="clear" w:color="auto" w:fill="auto"/>
            <w:vAlign w:val="center"/>
            <w:hideMark/>
          </w:tcPr>
          <w:p w14:paraId="68E3EEE4"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59</w:t>
            </w:r>
          </w:p>
        </w:tc>
        <w:tc>
          <w:tcPr>
            <w:tcW w:w="671" w:type="pct"/>
            <w:tcBorders>
              <w:top w:val="nil"/>
              <w:left w:val="nil"/>
              <w:bottom w:val="single" w:sz="4" w:space="0" w:color="auto"/>
              <w:right w:val="single" w:sz="4" w:space="0" w:color="auto"/>
            </w:tcBorders>
            <w:shd w:val="clear" w:color="auto" w:fill="auto"/>
            <w:vAlign w:val="center"/>
            <w:hideMark/>
          </w:tcPr>
          <w:p w14:paraId="0B508E74"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61</w:t>
            </w:r>
          </w:p>
        </w:tc>
        <w:tc>
          <w:tcPr>
            <w:tcW w:w="671" w:type="pct"/>
            <w:tcBorders>
              <w:top w:val="nil"/>
              <w:left w:val="nil"/>
              <w:bottom w:val="single" w:sz="4" w:space="0" w:color="auto"/>
              <w:right w:val="single" w:sz="4" w:space="0" w:color="auto"/>
            </w:tcBorders>
            <w:shd w:val="clear" w:color="auto" w:fill="auto"/>
            <w:vAlign w:val="center"/>
            <w:hideMark/>
          </w:tcPr>
          <w:p w14:paraId="2C75A1A7"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64</w:t>
            </w:r>
          </w:p>
        </w:tc>
        <w:tc>
          <w:tcPr>
            <w:tcW w:w="671" w:type="pct"/>
            <w:tcBorders>
              <w:top w:val="nil"/>
              <w:left w:val="nil"/>
              <w:bottom w:val="single" w:sz="4" w:space="0" w:color="auto"/>
              <w:right w:val="single" w:sz="4" w:space="0" w:color="auto"/>
            </w:tcBorders>
            <w:shd w:val="clear" w:color="auto" w:fill="auto"/>
            <w:vAlign w:val="center"/>
            <w:hideMark/>
          </w:tcPr>
          <w:p w14:paraId="37C74F45"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66</w:t>
            </w:r>
          </w:p>
        </w:tc>
        <w:tc>
          <w:tcPr>
            <w:tcW w:w="671" w:type="pct"/>
            <w:tcBorders>
              <w:top w:val="nil"/>
              <w:left w:val="nil"/>
              <w:bottom w:val="single" w:sz="4" w:space="0" w:color="auto"/>
              <w:right w:val="single" w:sz="4" w:space="0" w:color="auto"/>
            </w:tcBorders>
            <w:shd w:val="clear" w:color="auto" w:fill="auto"/>
            <w:vAlign w:val="center"/>
            <w:hideMark/>
          </w:tcPr>
          <w:p w14:paraId="7438EE78"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69</w:t>
            </w:r>
          </w:p>
        </w:tc>
        <w:tc>
          <w:tcPr>
            <w:tcW w:w="671" w:type="pct"/>
            <w:tcBorders>
              <w:top w:val="nil"/>
              <w:left w:val="nil"/>
              <w:bottom w:val="single" w:sz="4" w:space="0" w:color="auto"/>
              <w:right w:val="single" w:sz="4" w:space="0" w:color="auto"/>
            </w:tcBorders>
            <w:shd w:val="clear" w:color="auto" w:fill="auto"/>
            <w:vAlign w:val="center"/>
            <w:hideMark/>
          </w:tcPr>
          <w:p w14:paraId="47215AB8"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71</w:t>
            </w:r>
          </w:p>
        </w:tc>
      </w:tr>
      <w:tr w:rsidR="004D7392" w:rsidRPr="0040101A" w14:paraId="64FF38DC"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1699FB98"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Cost to the MBS; treatment drug cost</w:t>
            </w:r>
          </w:p>
        </w:tc>
        <w:tc>
          <w:tcPr>
            <w:tcW w:w="671" w:type="pct"/>
            <w:tcBorders>
              <w:top w:val="nil"/>
              <w:left w:val="nil"/>
              <w:bottom w:val="single" w:sz="4" w:space="0" w:color="auto"/>
              <w:right w:val="single" w:sz="4" w:space="0" w:color="auto"/>
            </w:tcBorders>
            <w:shd w:val="clear" w:color="auto" w:fill="auto"/>
            <w:vAlign w:val="center"/>
            <w:hideMark/>
          </w:tcPr>
          <w:p w14:paraId="2C55C006"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$6,890,666</w:t>
            </w:r>
          </w:p>
        </w:tc>
        <w:tc>
          <w:tcPr>
            <w:tcW w:w="671" w:type="pct"/>
            <w:tcBorders>
              <w:top w:val="nil"/>
              <w:left w:val="nil"/>
              <w:bottom w:val="single" w:sz="4" w:space="0" w:color="auto"/>
              <w:right w:val="single" w:sz="4" w:space="0" w:color="auto"/>
            </w:tcBorders>
            <w:shd w:val="clear" w:color="auto" w:fill="auto"/>
            <w:vAlign w:val="center"/>
            <w:hideMark/>
          </w:tcPr>
          <w:p w14:paraId="70B47CC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$7,153,235</w:t>
            </w:r>
          </w:p>
        </w:tc>
        <w:tc>
          <w:tcPr>
            <w:tcW w:w="671" w:type="pct"/>
            <w:tcBorders>
              <w:top w:val="nil"/>
              <w:left w:val="nil"/>
              <w:bottom w:val="single" w:sz="4" w:space="0" w:color="auto"/>
              <w:right w:val="single" w:sz="4" w:space="0" w:color="auto"/>
            </w:tcBorders>
            <w:shd w:val="clear" w:color="auto" w:fill="auto"/>
            <w:vAlign w:val="center"/>
            <w:hideMark/>
          </w:tcPr>
          <w:p w14:paraId="5724770C"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$7,425,809</w:t>
            </w:r>
          </w:p>
        </w:tc>
        <w:tc>
          <w:tcPr>
            <w:tcW w:w="671" w:type="pct"/>
            <w:tcBorders>
              <w:top w:val="nil"/>
              <w:left w:val="nil"/>
              <w:bottom w:val="single" w:sz="4" w:space="0" w:color="auto"/>
              <w:right w:val="single" w:sz="4" w:space="0" w:color="auto"/>
            </w:tcBorders>
            <w:shd w:val="clear" w:color="auto" w:fill="auto"/>
            <w:vAlign w:val="center"/>
            <w:hideMark/>
          </w:tcPr>
          <w:p w14:paraId="2CF7F894"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$7,708,769</w:t>
            </w:r>
          </w:p>
        </w:tc>
        <w:tc>
          <w:tcPr>
            <w:tcW w:w="671" w:type="pct"/>
            <w:tcBorders>
              <w:top w:val="nil"/>
              <w:left w:val="nil"/>
              <w:bottom w:val="single" w:sz="4" w:space="0" w:color="auto"/>
              <w:right w:val="single" w:sz="4" w:space="0" w:color="auto"/>
            </w:tcBorders>
            <w:shd w:val="clear" w:color="auto" w:fill="auto"/>
            <w:vAlign w:val="center"/>
            <w:hideMark/>
          </w:tcPr>
          <w:p w14:paraId="40080ADA"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$8,002,512</w:t>
            </w:r>
          </w:p>
        </w:tc>
        <w:tc>
          <w:tcPr>
            <w:tcW w:w="671" w:type="pct"/>
            <w:tcBorders>
              <w:top w:val="nil"/>
              <w:left w:val="nil"/>
              <w:bottom w:val="single" w:sz="4" w:space="0" w:color="auto"/>
              <w:right w:val="single" w:sz="4" w:space="0" w:color="auto"/>
            </w:tcBorders>
            <w:shd w:val="clear" w:color="auto" w:fill="auto"/>
            <w:vAlign w:val="center"/>
            <w:hideMark/>
          </w:tcPr>
          <w:p w14:paraId="0F9512CF"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$8,307,447</w:t>
            </w:r>
          </w:p>
        </w:tc>
      </w:tr>
      <w:tr w:rsidR="004D7392" w:rsidRPr="0040101A" w14:paraId="7C7113C8"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2E352976"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Cost to the MBS; diagnostic test cost</w:t>
            </w:r>
          </w:p>
        </w:tc>
        <w:tc>
          <w:tcPr>
            <w:tcW w:w="671" w:type="pct"/>
            <w:tcBorders>
              <w:top w:val="nil"/>
              <w:left w:val="nil"/>
              <w:bottom w:val="single" w:sz="4" w:space="0" w:color="auto"/>
              <w:right w:val="single" w:sz="4" w:space="0" w:color="auto"/>
            </w:tcBorders>
            <w:shd w:val="clear" w:color="auto" w:fill="auto"/>
            <w:vAlign w:val="center"/>
            <w:hideMark/>
          </w:tcPr>
          <w:p w14:paraId="48847007"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240,037</w:t>
            </w:r>
          </w:p>
        </w:tc>
        <w:tc>
          <w:tcPr>
            <w:tcW w:w="671" w:type="pct"/>
            <w:tcBorders>
              <w:top w:val="nil"/>
              <w:left w:val="nil"/>
              <w:bottom w:val="single" w:sz="4" w:space="0" w:color="auto"/>
              <w:right w:val="single" w:sz="4" w:space="0" w:color="auto"/>
            </w:tcBorders>
            <w:shd w:val="clear" w:color="auto" w:fill="auto"/>
            <w:vAlign w:val="center"/>
            <w:hideMark/>
          </w:tcPr>
          <w:p w14:paraId="1BCAA66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249,183</w:t>
            </w:r>
          </w:p>
        </w:tc>
        <w:tc>
          <w:tcPr>
            <w:tcW w:w="671" w:type="pct"/>
            <w:tcBorders>
              <w:top w:val="nil"/>
              <w:left w:val="nil"/>
              <w:bottom w:val="single" w:sz="4" w:space="0" w:color="auto"/>
              <w:right w:val="single" w:sz="4" w:space="0" w:color="auto"/>
            </w:tcBorders>
            <w:shd w:val="clear" w:color="auto" w:fill="auto"/>
            <w:vAlign w:val="center"/>
            <w:hideMark/>
          </w:tcPr>
          <w:p w14:paraId="485F239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258,679</w:t>
            </w:r>
          </w:p>
        </w:tc>
        <w:tc>
          <w:tcPr>
            <w:tcW w:w="671" w:type="pct"/>
            <w:tcBorders>
              <w:top w:val="nil"/>
              <w:left w:val="nil"/>
              <w:bottom w:val="single" w:sz="4" w:space="0" w:color="auto"/>
              <w:right w:val="single" w:sz="4" w:space="0" w:color="auto"/>
            </w:tcBorders>
            <w:shd w:val="clear" w:color="auto" w:fill="auto"/>
            <w:vAlign w:val="center"/>
            <w:hideMark/>
          </w:tcPr>
          <w:p w14:paraId="04E57E6D"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268,535</w:t>
            </w:r>
          </w:p>
        </w:tc>
        <w:tc>
          <w:tcPr>
            <w:tcW w:w="671" w:type="pct"/>
            <w:tcBorders>
              <w:top w:val="nil"/>
              <w:left w:val="nil"/>
              <w:bottom w:val="single" w:sz="4" w:space="0" w:color="auto"/>
              <w:right w:val="single" w:sz="4" w:space="0" w:color="auto"/>
            </w:tcBorders>
            <w:shd w:val="clear" w:color="auto" w:fill="auto"/>
            <w:vAlign w:val="center"/>
            <w:hideMark/>
          </w:tcPr>
          <w:p w14:paraId="732FC6E7"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278,768</w:t>
            </w:r>
          </w:p>
        </w:tc>
        <w:tc>
          <w:tcPr>
            <w:tcW w:w="671" w:type="pct"/>
            <w:tcBorders>
              <w:top w:val="nil"/>
              <w:left w:val="nil"/>
              <w:bottom w:val="single" w:sz="4" w:space="0" w:color="auto"/>
              <w:right w:val="single" w:sz="4" w:space="0" w:color="auto"/>
            </w:tcBorders>
            <w:shd w:val="clear" w:color="auto" w:fill="auto"/>
            <w:vAlign w:val="center"/>
            <w:hideMark/>
          </w:tcPr>
          <w:p w14:paraId="0AEE8BAD"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289,390</w:t>
            </w:r>
          </w:p>
        </w:tc>
      </w:tr>
      <w:tr w:rsidR="004D7392" w:rsidRPr="0040101A" w14:paraId="3657B8E1" w14:textId="77777777" w:rsidTr="00380727">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910D8BE" w14:textId="77777777" w:rsidR="004D7392" w:rsidRPr="00D83BF3" w:rsidRDefault="004D7392" w:rsidP="00380727">
            <w:pPr>
              <w:spacing w:before="0" w:after="0" w:line="240" w:lineRule="auto"/>
              <w:rPr>
                <w:rFonts w:ascii="Arial Narrow" w:eastAsia="Times New Roman" w:hAnsi="Arial Narrow" w:cs="Calibri"/>
                <w:b/>
                <w:bCs/>
                <w:color w:val="000000"/>
                <w:sz w:val="20"/>
                <w:szCs w:val="20"/>
                <w:lang w:val="en-US"/>
              </w:rPr>
            </w:pPr>
            <w:r w:rsidRPr="00D83BF3">
              <w:rPr>
                <w:rFonts w:ascii="Arial Narrow" w:eastAsia="Times New Roman" w:hAnsi="Arial Narrow" w:cs="Calibri"/>
                <w:b/>
                <w:bCs/>
                <w:color w:val="000000"/>
                <w:sz w:val="20"/>
                <w:szCs w:val="20"/>
                <w:lang w:val="en-US"/>
              </w:rPr>
              <w:t>Change in use and cost of other health technologies</w:t>
            </w:r>
          </w:p>
        </w:tc>
      </w:tr>
      <w:tr w:rsidR="004D7392" w:rsidRPr="0040101A" w14:paraId="74FCA940"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5E5C70FE"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Change in use of comparator and other.</w:t>
            </w:r>
          </w:p>
        </w:tc>
        <w:tc>
          <w:tcPr>
            <w:tcW w:w="4026" w:type="pct"/>
            <w:gridSpan w:val="6"/>
            <w:tcBorders>
              <w:top w:val="single" w:sz="4" w:space="0" w:color="auto"/>
              <w:left w:val="nil"/>
              <w:bottom w:val="single" w:sz="4" w:space="0" w:color="auto"/>
              <w:right w:val="single" w:sz="4" w:space="0" w:color="000000"/>
            </w:tcBorders>
            <w:shd w:val="clear" w:color="auto" w:fill="auto"/>
            <w:vAlign w:val="center"/>
            <w:hideMark/>
          </w:tcPr>
          <w:p w14:paraId="1B67B7A3"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N/A</w:t>
            </w:r>
            <w:r w:rsidRPr="00D83BF3">
              <w:rPr>
                <w:rFonts w:ascii="Arial Narrow" w:eastAsia="Times New Roman" w:hAnsi="Arial Narrow" w:cs="Calibri"/>
                <w:color w:val="000000"/>
                <w:sz w:val="20"/>
                <w:szCs w:val="20"/>
                <w:lang w:val="en-US"/>
              </w:rPr>
              <w:br/>
            </w:r>
            <w:r w:rsidRPr="00D83BF3">
              <w:rPr>
                <w:rFonts w:ascii="Arial Narrow" w:eastAsia="Times New Roman" w:hAnsi="Arial Narrow" w:cs="Calibri"/>
                <w:color w:val="000000"/>
                <w:sz w:val="20"/>
                <w:szCs w:val="20"/>
                <w:vertAlign w:val="superscript"/>
                <w:lang w:val="en-US"/>
              </w:rPr>
              <w:t>177</w:t>
            </w:r>
            <w:r w:rsidRPr="00D83BF3">
              <w:rPr>
                <w:rFonts w:ascii="Arial Narrow" w:eastAsia="Times New Roman" w:hAnsi="Arial Narrow" w:cs="Calibri"/>
                <w:color w:val="000000"/>
                <w:sz w:val="20"/>
                <w:szCs w:val="20"/>
                <w:lang w:val="en-US"/>
              </w:rPr>
              <w:t xml:space="preserve">Lu-DOTA-octreotate is proposed as an add-on therapy </w:t>
            </w:r>
          </w:p>
        </w:tc>
      </w:tr>
      <w:tr w:rsidR="004D7392" w:rsidRPr="0040101A" w14:paraId="6BDE9081"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1BF5EF91" w14:textId="77777777" w:rsidR="004D7392" w:rsidRPr="00D83BF3" w:rsidRDefault="004D7392" w:rsidP="00380727">
            <w:pPr>
              <w:spacing w:before="0" w:after="0" w:line="240" w:lineRule="auto"/>
              <w:rPr>
                <w:rFonts w:ascii="Arial Narrow" w:eastAsia="Times New Roman" w:hAnsi="Arial Narrow" w:cs="Calibri"/>
                <w:b/>
                <w:bCs/>
                <w:color w:val="000000"/>
                <w:sz w:val="20"/>
                <w:szCs w:val="20"/>
                <w:lang w:val="en-US"/>
              </w:rPr>
            </w:pPr>
            <w:r w:rsidRPr="00D83BF3">
              <w:rPr>
                <w:rFonts w:ascii="Arial Narrow" w:eastAsia="Times New Roman" w:hAnsi="Arial Narrow" w:cs="Calibri"/>
                <w:b/>
                <w:bCs/>
                <w:color w:val="000000"/>
                <w:sz w:val="20"/>
                <w:szCs w:val="20"/>
                <w:lang w:val="en-US"/>
              </w:rPr>
              <w:t>Net financial impact to the MBS</w:t>
            </w:r>
          </w:p>
        </w:tc>
        <w:tc>
          <w:tcPr>
            <w:tcW w:w="671" w:type="pct"/>
            <w:tcBorders>
              <w:top w:val="nil"/>
              <w:left w:val="nil"/>
              <w:bottom w:val="single" w:sz="4" w:space="0" w:color="auto"/>
              <w:right w:val="single" w:sz="4" w:space="0" w:color="auto"/>
            </w:tcBorders>
            <w:shd w:val="clear" w:color="auto" w:fill="auto"/>
            <w:vAlign w:val="center"/>
            <w:hideMark/>
          </w:tcPr>
          <w:p w14:paraId="44F45622"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$7,130,703</w:t>
            </w:r>
          </w:p>
        </w:tc>
        <w:tc>
          <w:tcPr>
            <w:tcW w:w="671" w:type="pct"/>
            <w:tcBorders>
              <w:top w:val="nil"/>
              <w:left w:val="nil"/>
              <w:bottom w:val="single" w:sz="4" w:space="0" w:color="auto"/>
              <w:right w:val="single" w:sz="4" w:space="0" w:color="auto"/>
            </w:tcBorders>
            <w:shd w:val="clear" w:color="auto" w:fill="auto"/>
            <w:vAlign w:val="center"/>
            <w:hideMark/>
          </w:tcPr>
          <w:p w14:paraId="6C9922A0"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$7,402,418</w:t>
            </w:r>
          </w:p>
        </w:tc>
        <w:tc>
          <w:tcPr>
            <w:tcW w:w="671" w:type="pct"/>
            <w:tcBorders>
              <w:top w:val="nil"/>
              <w:left w:val="nil"/>
              <w:bottom w:val="single" w:sz="4" w:space="0" w:color="auto"/>
              <w:right w:val="single" w:sz="4" w:space="0" w:color="auto"/>
            </w:tcBorders>
            <w:shd w:val="clear" w:color="auto" w:fill="auto"/>
            <w:vAlign w:val="center"/>
            <w:hideMark/>
          </w:tcPr>
          <w:p w14:paraId="49D250E1"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$7,684,487</w:t>
            </w:r>
          </w:p>
        </w:tc>
        <w:tc>
          <w:tcPr>
            <w:tcW w:w="671" w:type="pct"/>
            <w:tcBorders>
              <w:top w:val="nil"/>
              <w:left w:val="nil"/>
              <w:bottom w:val="single" w:sz="4" w:space="0" w:color="auto"/>
              <w:right w:val="single" w:sz="4" w:space="0" w:color="auto"/>
            </w:tcBorders>
            <w:shd w:val="clear" w:color="auto" w:fill="auto"/>
            <w:vAlign w:val="center"/>
            <w:hideMark/>
          </w:tcPr>
          <w:p w14:paraId="2475B237"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$7,977,305</w:t>
            </w:r>
          </w:p>
        </w:tc>
        <w:tc>
          <w:tcPr>
            <w:tcW w:w="671" w:type="pct"/>
            <w:tcBorders>
              <w:top w:val="nil"/>
              <w:left w:val="nil"/>
              <w:bottom w:val="single" w:sz="4" w:space="0" w:color="auto"/>
              <w:right w:val="single" w:sz="4" w:space="0" w:color="auto"/>
            </w:tcBorders>
            <w:shd w:val="clear" w:color="auto" w:fill="auto"/>
            <w:vAlign w:val="center"/>
            <w:hideMark/>
          </w:tcPr>
          <w:p w14:paraId="52429FBA"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$8,281,280</w:t>
            </w:r>
          </w:p>
        </w:tc>
        <w:tc>
          <w:tcPr>
            <w:tcW w:w="671" w:type="pct"/>
            <w:tcBorders>
              <w:top w:val="nil"/>
              <w:left w:val="nil"/>
              <w:bottom w:val="single" w:sz="4" w:space="0" w:color="auto"/>
              <w:right w:val="single" w:sz="4" w:space="0" w:color="auto"/>
            </w:tcBorders>
            <w:shd w:val="clear" w:color="auto" w:fill="auto"/>
            <w:vAlign w:val="center"/>
            <w:hideMark/>
          </w:tcPr>
          <w:p w14:paraId="60F681CD"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$8,596,838</w:t>
            </w:r>
          </w:p>
        </w:tc>
      </w:tr>
    </w:tbl>
    <w:p w14:paraId="545A8871" w14:textId="77777777" w:rsidR="004D7392" w:rsidRDefault="004D7392" w:rsidP="004D7392">
      <w:pPr>
        <w:pStyle w:val="Tablenotes0"/>
      </w:pPr>
      <w:r>
        <w:t>Abbreviations: CT = computed tomography; FDG =</w:t>
      </w:r>
      <w:r w:rsidRPr="00CF7C77">
        <w:t xml:space="preserve"> </w:t>
      </w:r>
      <w:r>
        <w:t>f</w:t>
      </w:r>
      <w:r w:rsidRPr="00CF7C77">
        <w:t>luorodeoxyglucose</w:t>
      </w:r>
      <w:r>
        <w:t>; MBS = Medicare Benefits Schedule; N/A = not applicable; NEN = neuroendocrine neoplasm; PET = positron emission tomography.</w:t>
      </w:r>
    </w:p>
    <w:p w14:paraId="30314054" w14:textId="597CB1B1" w:rsidR="004D7392" w:rsidRDefault="004D7392" w:rsidP="004D7392">
      <w:pPr>
        <w:rPr>
          <w:iCs/>
        </w:rPr>
      </w:pPr>
      <w:r>
        <w:rPr>
          <w:iCs/>
        </w:rPr>
        <w:t>A scenario where an additional diagnostic test is conducted as part of monitoring was conducted (</w:t>
      </w:r>
      <w:r>
        <w:rPr>
          <w:iCs/>
        </w:rPr>
        <w:fldChar w:fldCharType="begin"/>
      </w:r>
      <w:r>
        <w:rPr>
          <w:iCs/>
        </w:rPr>
        <w:instrText xml:space="preserve"> REF _Ref170408912 \h </w:instrText>
      </w:r>
      <w:r>
        <w:rPr>
          <w:iCs/>
        </w:rPr>
      </w:r>
      <w:r>
        <w:rPr>
          <w:iCs/>
        </w:rPr>
        <w:fldChar w:fldCharType="separate"/>
      </w:r>
      <w:r>
        <w:t xml:space="preserve">Table </w:t>
      </w:r>
      <w:r>
        <w:rPr>
          <w:noProof/>
        </w:rPr>
        <w:t>3</w:t>
      </w:r>
      <w:r>
        <w:rPr>
          <w:iCs/>
        </w:rPr>
        <w:fldChar w:fldCharType="end"/>
      </w:r>
      <w:r>
        <w:rPr>
          <w:iCs/>
        </w:rPr>
        <w:t xml:space="preserve">). In this scenario, the estimated net financial impact of </w:t>
      </w:r>
      <w:r>
        <w:rPr>
          <w:iCs/>
          <w:vertAlign w:val="superscript"/>
        </w:rPr>
        <w:t>177</w:t>
      </w:r>
      <w:r>
        <w:rPr>
          <w:iCs/>
        </w:rPr>
        <w:t xml:space="preserve">Lu-DOTA-octreotate to the Medicare Benefits Schedule (MBS) is estimated to be </w:t>
      </w:r>
      <w:r w:rsidRPr="00DD5E04">
        <w:rPr>
          <w:iCs/>
        </w:rPr>
        <w:t>$7,315,347</w:t>
      </w:r>
      <w:r>
        <w:rPr>
          <w:iCs/>
        </w:rPr>
        <w:t xml:space="preserve"> in </w:t>
      </w:r>
      <w:r w:rsidR="00686968">
        <w:rPr>
          <w:iCs/>
        </w:rPr>
        <w:t>Y</w:t>
      </w:r>
      <w:r>
        <w:rPr>
          <w:iCs/>
        </w:rPr>
        <w:t xml:space="preserve">ear 1, increasing to </w:t>
      </w:r>
      <w:r w:rsidRPr="00DD5E04">
        <w:rPr>
          <w:iCs/>
        </w:rPr>
        <w:t>$8,819,446</w:t>
      </w:r>
      <w:r>
        <w:rPr>
          <w:iCs/>
        </w:rPr>
        <w:t xml:space="preserve"> in </w:t>
      </w:r>
      <w:r w:rsidR="00686968">
        <w:rPr>
          <w:iCs/>
        </w:rPr>
        <w:t>Y</w:t>
      </w:r>
      <w:r>
        <w:rPr>
          <w:iCs/>
        </w:rPr>
        <w:t>ear 6. This corresponds to a total net financial impact over 6 years of $48.3 million, in comparison with $49.1 million in the original Department contracted assessment report (DCAR).</w:t>
      </w:r>
    </w:p>
    <w:p w14:paraId="6C7D91DB" w14:textId="77777777" w:rsidR="004D7392" w:rsidRDefault="004D7392" w:rsidP="004D7392">
      <w:pPr>
        <w:rPr>
          <w:iCs/>
        </w:rPr>
      </w:pPr>
      <w:r>
        <w:t xml:space="preserve">Additional sensitivity analyses were also conducted to explore the impact of assumptions around the duration of treatment with </w:t>
      </w:r>
      <w:r w:rsidRPr="00FA1DA7">
        <w:rPr>
          <w:iCs/>
          <w:vertAlign w:val="superscript"/>
        </w:rPr>
        <w:t>177</w:t>
      </w:r>
      <w:r w:rsidRPr="00FA1DA7">
        <w:rPr>
          <w:iCs/>
        </w:rPr>
        <w:t>Lu-DOTA-octreotate</w:t>
      </w:r>
      <w:r>
        <w:rPr>
          <w:iCs/>
        </w:rPr>
        <w:t xml:space="preserve"> (</w:t>
      </w:r>
      <w:r>
        <w:rPr>
          <w:iCs/>
        </w:rPr>
        <w:fldChar w:fldCharType="begin"/>
      </w:r>
      <w:r>
        <w:rPr>
          <w:iCs/>
        </w:rPr>
        <w:instrText xml:space="preserve"> REF _Ref170408912 \h </w:instrText>
      </w:r>
      <w:r>
        <w:rPr>
          <w:iCs/>
        </w:rPr>
      </w:r>
      <w:r>
        <w:rPr>
          <w:iCs/>
        </w:rPr>
        <w:fldChar w:fldCharType="separate"/>
      </w:r>
      <w:r>
        <w:t xml:space="preserve">Table </w:t>
      </w:r>
      <w:r>
        <w:rPr>
          <w:noProof/>
        </w:rPr>
        <w:t>3</w:t>
      </w:r>
      <w:r>
        <w:rPr>
          <w:iCs/>
        </w:rPr>
        <w:fldChar w:fldCharType="end"/>
      </w:r>
      <w:r>
        <w:rPr>
          <w:iCs/>
        </w:rPr>
        <w:t>). Consistent with cost-effectiveness estimates, assuming increased duration of treatment results in increased net financial impact, and a reduced treatment duration results in reduced net financial impact. Scenarios including additional costs of diagnostic testing as part of monitoring resulted in 6-year net budget impacts of $54.7 and $41.8 million for an assumed additional 0.5 cycles of treatment and 0.5 fewer cycles of treatment, respectively.</w:t>
      </w:r>
    </w:p>
    <w:p w14:paraId="2851795E" w14:textId="77777777" w:rsidR="004D7392" w:rsidRDefault="004D7392" w:rsidP="004D7392">
      <w:pPr>
        <w:rPr>
          <w:iCs/>
        </w:rPr>
      </w:pPr>
      <w:r>
        <w:rPr>
          <w:iCs/>
        </w:rPr>
        <w:lastRenderedPageBreak/>
        <w:t xml:space="preserve">An additional scenario exploring the impact of 80% of the eligible incident population receiving diagnostic testing was assessed based on published estimates </w:t>
      </w:r>
      <w:r w:rsidRPr="00742B8A">
        <w:rPr>
          <w:iCs/>
        </w:rPr>
        <w:t>indicat</w:t>
      </w:r>
      <w:r>
        <w:rPr>
          <w:iCs/>
        </w:rPr>
        <w:t xml:space="preserve">ing that </w:t>
      </w:r>
      <w:r w:rsidRPr="00090960">
        <w:rPr>
          <w:color w:val="000000"/>
        </w:rPr>
        <w:t xml:space="preserve">the estimate of those with suspected high SSTR expression and thus eligible for </w:t>
      </w:r>
      <w:r w:rsidRPr="00090960">
        <w:rPr>
          <w:color w:val="000000"/>
          <w:vertAlign w:val="superscript"/>
        </w:rPr>
        <w:t>68</w:t>
      </w:r>
      <w:r w:rsidRPr="00090960">
        <w:rPr>
          <w:color w:val="000000"/>
        </w:rPr>
        <w:t xml:space="preserve">Ga-DOTA-octreotate PET/CT testing could be as high as 80% in well differentiated </w:t>
      </w:r>
      <w:r>
        <w:rPr>
          <w:iCs/>
        </w:rPr>
        <w:t>NENs</w:t>
      </w:r>
      <w:r>
        <w:rPr>
          <w:rStyle w:val="FootnoteReference"/>
          <w:iCs/>
        </w:rPr>
        <w:footnoteReference w:id="42"/>
      </w:r>
      <w:r>
        <w:rPr>
          <w:iCs/>
        </w:rPr>
        <w:t xml:space="preserve">. It is noted that this scenario assumes that none of these patients would receive </w:t>
      </w:r>
      <w:r w:rsidRPr="00742B8A">
        <w:rPr>
          <w:iCs/>
          <w:vertAlign w:val="superscript"/>
        </w:rPr>
        <w:t>68</w:t>
      </w:r>
      <w:r w:rsidRPr="00742B8A">
        <w:rPr>
          <w:iCs/>
        </w:rPr>
        <w:t>Ga-DOTA-octreotate PET/CT testing</w:t>
      </w:r>
      <w:r>
        <w:rPr>
          <w:iCs/>
        </w:rPr>
        <w:t xml:space="preserve"> in the absence of </w:t>
      </w:r>
      <w:r w:rsidRPr="00742B8A">
        <w:rPr>
          <w:iCs/>
          <w:vertAlign w:val="superscript"/>
        </w:rPr>
        <w:t>177</w:t>
      </w:r>
      <w:r w:rsidRPr="00742B8A">
        <w:rPr>
          <w:iCs/>
        </w:rPr>
        <w:t>Lu-DOTA-octreotate</w:t>
      </w:r>
      <w:r>
        <w:rPr>
          <w:iCs/>
        </w:rPr>
        <w:t>.</w:t>
      </w:r>
    </w:p>
    <w:p w14:paraId="58A9D9E6" w14:textId="77777777" w:rsidR="004D7392" w:rsidRDefault="004D7392" w:rsidP="004D7392">
      <w:pPr>
        <w:rPr>
          <w:iCs/>
        </w:rPr>
      </w:pPr>
      <w:r>
        <w:rPr>
          <w:iCs/>
        </w:rPr>
        <w:t xml:space="preserve">In this scenario the 6-year budget impact increased to $81.7 million, with 44.3% of the net budget impact being attributable to increased diagnostic testing. Combined with an additional diagnostic test assumed as part of monitoring, the 6-year net budget impact increased to $82.9 million. The latter scenario (80% of eligible population tested; additional </w:t>
      </w:r>
      <w:r w:rsidRPr="00C06124">
        <w:rPr>
          <w:vertAlign w:val="superscript"/>
        </w:rPr>
        <w:t>68</w:t>
      </w:r>
      <w:r w:rsidRPr="00C06124">
        <w:t>Ga-</w:t>
      </w:r>
      <w:r>
        <w:t>DOTA-octreotate PET study for treated patients) captures the Evaluation Sub-Committee (ESC)-defined scenario (</w:t>
      </w:r>
      <w:r>
        <w:fldChar w:fldCharType="begin"/>
      </w:r>
      <w:r>
        <w:instrText xml:space="preserve"> REF _Ref171007123 \h </w:instrText>
      </w:r>
      <w:r>
        <w:fldChar w:fldCharType="separate"/>
      </w:r>
      <w:r>
        <w:t xml:space="preserve">Table </w:t>
      </w:r>
      <w:r>
        <w:rPr>
          <w:noProof/>
        </w:rPr>
        <w:t>4</w:t>
      </w:r>
      <w:r>
        <w:fldChar w:fldCharType="end"/>
      </w:r>
      <w:r>
        <w:t>).</w:t>
      </w:r>
    </w:p>
    <w:p w14:paraId="071922BA" w14:textId="77777777" w:rsidR="004D7392" w:rsidRPr="00286B3E" w:rsidRDefault="004D7392" w:rsidP="004D7392">
      <w:pPr>
        <w:pStyle w:val="Caption"/>
      </w:pPr>
      <w:bookmarkStart w:id="125" w:name="_Ref170408912"/>
      <w:r>
        <w:t xml:space="preserve">Table </w:t>
      </w:r>
      <w:r>
        <w:fldChar w:fldCharType="begin"/>
      </w:r>
      <w:r>
        <w:instrText xml:space="preserve"> SEQ Table \* ARABIC </w:instrText>
      </w:r>
      <w:r>
        <w:fldChar w:fldCharType="separate"/>
      </w:r>
      <w:r>
        <w:rPr>
          <w:noProof/>
        </w:rPr>
        <w:t>3</w:t>
      </w:r>
      <w:r>
        <w:rPr>
          <w:noProof/>
        </w:rPr>
        <w:fldChar w:fldCharType="end"/>
      </w:r>
      <w:bookmarkEnd w:id="125"/>
      <w:r>
        <w:t>: Financial impact sensitivity analysis varying treatment duration and additional costs of monitoring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210"/>
        <w:gridCol w:w="1210"/>
        <w:gridCol w:w="1210"/>
        <w:gridCol w:w="1210"/>
        <w:gridCol w:w="1210"/>
        <w:gridCol w:w="1210"/>
      </w:tblGrid>
      <w:tr w:rsidR="004D7392" w:rsidRPr="00E81F00" w14:paraId="5F4D89A3" w14:textId="77777777" w:rsidTr="00380727">
        <w:trPr>
          <w:cantSplit/>
          <w:trHeight w:val="510"/>
          <w:tblHeader/>
        </w:trPr>
        <w:tc>
          <w:tcPr>
            <w:tcW w:w="974" w:type="pct"/>
            <w:tcBorders>
              <w:bottom w:val="nil"/>
            </w:tcBorders>
            <w:shd w:val="clear" w:color="auto" w:fill="auto"/>
            <w:noWrap/>
            <w:vAlign w:val="bottom"/>
            <w:hideMark/>
          </w:tcPr>
          <w:p w14:paraId="6A55E8B3" w14:textId="77777777" w:rsidR="004D7392" w:rsidRPr="00E81F00" w:rsidRDefault="004D7392" w:rsidP="00380727">
            <w:pPr>
              <w:spacing w:before="0" w:after="0" w:line="240" w:lineRule="auto"/>
              <w:rPr>
                <w:rFonts w:ascii="Times New Roman" w:eastAsia="Times New Roman" w:hAnsi="Times New Roman" w:cs="Times New Roman"/>
                <w:sz w:val="24"/>
                <w:szCs w:val="24"/>
                <w:lang w:val="en-US"/>
              </w:rPr>
            </w:pPr>
          </w:p>
        </w:tc>
        <w:tc>
          <w:tcPr>
            <w:tcW w:w="4026" w:type="pct"/>
            <w:gridSpan w:val="6"/>
            <w:shd w:val="clear" w:color="auto" w:fill="auto"/>
            <w:vAlign w:val="center"/>
            <w:hideMark/>
          </w:tcPr>
          <w:p w14:paraId="7CCCFE87"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Net financial impact to the MBS</w:t>
            </w:r>
          </w:p>
        </w:tc>
      </w:tr>
      <w:tr w:rsidR="004D7392" w:rsidRPr="00E81F00" w14:paraId="46716B66" w14:textId="77777777" w:rsidTr="00380727">
        <w:trPr>
          <w:cantSplit/>
          <w:trHeight w:val="315"/>
          <w:tblHeader/>
        </w:trPr>
        <w:tc>
          <w:tcPr>
            <w:tcW w:w="974" w:type="pct"/>
            <w:tcBorders>
              <w:top w:val="nil"/>
            </w:tcBorders>
            <w:shd w:val="clear" w:color="auto" w:fill="auto"/>
            <w:vAlign w:val="center"/>
            <w:hideMark/>
          </w:tcPr>
          <w:p w14:paraId="3CA61126" w14:textId="77777777" w:rsidR="004D7392" w:rsidRPr="00E81F00" w:rsidRDefault="004D7392" w:rsidP="00380727">
            <w:pPr>
              <w:spacing w:before="0" w:after="0" w:line="240" w:lineRule="auto"/>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 xml:space="preserve">Parameter </w:t>
            </w:r>
          </w:p>
        </w:tc>
        <w:tc>
          <w:tcPr>
            <w:tcW w:w="671" w:type="pct"/>
            <w:shd w:val="clear" w:color="auto" w:fill="auto"/>
            <w:noWrap/>
            <w:vAlign w:val="center"/>
            <w:hideMark/>
          </w:tcPr>
          <w:p w14:paraId="49ECBDF7"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2024 (year 1)</w:t>
            </w:r>
          </w:p>
        </w:tc>
        <w:tc>
          <w:tcPr>
            <w:tcW w:w="671" w:type="pct"/>
            <w:shd w:val="clear" w:color="auto" w:fill="auto"/>
            <w:noWrap/>
            <w:vAlign w:val="center"/>
            <w:hideMark/>
          </w:tcPr>
          <w:p w14:paraId="1A407A6F"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2025 (year 2)</w:t>
            </w:r>
          </w:p>
        </w:tc>
        <w:tc>
          <w:tcPr>
            <w:tcW w:w="671" w:type="pct"/>
            <w:shd w:val="clear" w:color="auto" w:fill="auto"/>
            <w:noWrap/>
            <w:vAlign w:val="center"/>
            <w:hideMark/>
          </w:tcPr>
          <w:p w14:paraId="36A5B5AA"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2026 (year 3)</w:t>
            </w:r>
          </w:p>
        </w:tc>
        <w:tc>
          <w:tcPr>
            <w:tcW w:w="671" w:type="pct"/>
            <w:shd w:val="clear" w:color="auto" w:fill="auto"/>
            <w:noWrap/>
            <w:vAlign w:val="center"/>
            <w:hideMark/>
          </w:tcPr>
          <w:p w14:paraId="0E36FD39"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2027 (year 4)</w:t>
            </w:r>
          </w:p>
        </w:tc>
        <w:tc>
          <w:tcPr>
            <w:tcW w:w="671" w:type="pct"/>
            <w:shd w:val="clear" w:color="auto" w:fill="auto"/>
            <w:noWrap/>
            <w:vAlign w:val="center"/>
            <w:hideMark/>
          </w:tcPr>
          <w:p w14:paraId="6E9D2B9A"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2028 (year 5)</w:t>
            </w:r>
          </w:p>
        </w:tc>
        <w:tc>
          <w:tcPr>
            <w:tcW w:w="671" w:type="pct"/>
            <w:shd w:val="clear" w:color="auto" w:fill="auto"/>
            <w:noWrap/>
            <w:vAlign w:val="center"/>
            <w:hideMark/>
          </w:tcPr>
          <w:p w14:paraId="1E9EA01E"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2029 (year 6)</w:t>
            </w:r>
          </w:p>
        </w:tc>
      </w:tr>
      <w:tr w:rsidR="004D7392" w:rsidRPr="00E81F00" w14:paraId="68B0B37A" w14:textId="77777777" w:rsidTr="00380727">
        <w:trPr>
          <w:cantSplit/>
          <w:trHeight w:val="315"/>
        </w:trPr>
        <w:tc>
          <w:tcPr>
            <w:tcW w:w="974" w:type="pct"/>
            <w:shd w:val="clear" w:color="auto" w:fill="auto"/>
            <w:vAlign w:val="center"/>
            <w:hideMark/>
          </w:tcPr>
          <w:p w14:paraId="0832135B" w14:textId="77777777" w:rsidR="004D7392" w:rsidRPr="00F1126C" w:rsidRDefault="004D7392" w:rsidP="00380727">
            <w:pPr>
              <w:spacing w:before="0" w:after="0" w:line="240" w:lineRule="auto"/>
              <w:rPr>
                <w:rFonts w:ascii="Arial Narrow" w:hAnsi="Arial Narrow"/>
                <w:b/>
                <w:color w:val="000000"/>
                <w:sz w:val="20"/>
                <w:lang w:val="en-US"/>
              </w:rPr>
            </w:pPr>
            <w:r w:rsidRPr="00F1126C">
              <w:rPr>
                <w:rFonts w:ascii="Arial Narrow" w:hAnsi="Arial Narrow"/>
                <w:b/>
                <w:color w:val="000000"/>
                <w:sz w:val="20"/>
                <w:lang w:val="en-US"/>
              </w:rPr>
              <w:t>Base case</w:t>
            </w:r>
            <w:r w:rsidRPr="00C1046D">
              <w:rPr>
                <w:rFonts w:ascii="Arial Narrow" w:eastAsia="Times New Roman" w:hAnsi="Arial Narrow" w:cs="Calibri"/>
                <w:b/>
                <w:bCs/>
                <w:color w:val="000000"/>
                <w:sz w:val="20"/>
                <w:szCs w:val="20"/>
                <w:lang w:val="en-US"/>
              </w:rPr>
              <w:t xml:space="preserve"> with revised MBS item cost</w:t>
            </w:r>
          </w:p>
        </w:tc>
        <w:tc>
          <w:tcPr>
            <w:tcW w:w="671" w:type="pct"/>
            <w:shd w:val="clear" w:color="auto" w:fill="auto"/>
            <w:vAlign w:val="center"/>
            <w:hideMark/>
          </w:tcPr>
          <w:p w14:paraId="041D41BC"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$7,130,703</w:t>
            </w:r>
          </w:p>
        </w:tc>
        <w:tc>
          <w:tcPr>
            <w:tcW w:w="671" w:type="pct"/>
            <w:shd w:val="clear" w:color="auto" w:fill="auto"/>
            <w:vAlign w:val="center"/>
            <w:hideMark/>
          </w:tcPr>
          <w:p w14:paraId="716F7B32"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$7,402,418</w:t>
            </w:r>
          </w:p>
        </w:tc>
        <w:tc>
          <w:tcPr>
            <w:tcW w:w="671" w:type="pct"/>
            <w:shd w:val="clear" w:color="auto" w:fill="auto"/>
            <w:vAlign w:val="center"/>
            <w:hideMark/>
          </w:tcPr>
          <w:p w14:paraId="5CD62C51"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$7,684,487</w:t>
            </w:r>
          </w:p>
        </w:tc>
        <w:tc>
          <w:tcPr>
            <w:tcW w:w="671" w:type="pct"/>
            <w:shd w:val="clear" w:color="auto" w:fill="auto"/>
            <w:vAlign w:val="center"/>
            <w:hideMark/>
          </w:tcPr>
          <w:p w14:paraId="1F6F02B5"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$7,977,305</w:t>
            </w:r>
          </w:p>
        </w:tc>
        <w:tc>
          <w:tcPr>
            <w:tcW w:w="671" w:type="pct"/>
            <w:shd w:val="clear" w:color="auto" w:fill="auto"/>
            <w:vAlign w:val="center"/>
            <w:hideMark/>
          </w:tcPr>
          <w:p w14:paraId="00C7A716"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$8,281,280</w:t>
            </w:r>
          </w:p>
        </w:tc>
        <w:tc>
          <w:tcPr>
            <w:tcW w:w="671" w:type="pct"/>
            <w:shd w:val="clear" w:color="auto" w:fill="auto"/>
            <w:vAlign w:val="center"/>
            <w:hideMark/>
          </w:tcPr>
          <w:p w14:paraId="0661957E"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$8,596,838</w:t>
            </w:r>
          </w:p>
        </w:tc>
      </w:tr>
      <w:tr w:rsidR="004D7392" w:rsidRPr="00E81F00" w14:paraId="4171DD18" w14:textId="77777777" w:rsidTr="00380727">
        <w:trPr>
          <w:cantSplit/>
          <w:trHeight w:val="315"/>
        </w:trPr>
        <w:tc>
          <w:tcPr>
            <w:tcW w:w="974" w:type="pct"/>
            <w:shd w:val="clear" w:color="auto" w:fill="auto"/>
            <w:vAlign w:val="center"/>
          </w:tcPr>
          <w:p w14:paraId="5DE23734" w14:textId="77777777" w:rsidR="004D7392" w:rsidRPr="00E81F00" w:rsidRDefault="004D7392" w:rsidP="00380727">
            <w:pPr>
              <w:spacing w:before="0" w:after="0" w:line="240" w:lineRule="auto"/>
              <w:rPr>
                <w:rFonts w:ascii="Arial Narrow" w:eastAsia="Times New Roman" w:hAnsi="Arial Narrow" w:cs="Calibri"/>
                <w:color w:val="000000"/>
                <w:sz w:val="20"/>
                <w:szCs w:val="20"/>
                <w:lang w:val="en-US"/>
              </w:rPr>
            </w:pPr>
            <w:r w:rsidRPr="00E81F00">
              <w:rPr>
                <w:rFonts w:ascii="Arial Narrow" w:eastAsia="Times New Roman" w:hAnsi="Arial Narrow" w:cs="Calibri"/>
                <w:color w:val="000000"/>
                <w:sz w:val="20"/>
                <w:szCs w:val="20"/>
                <w:lang w:val="en-US"/>
              </w:rPr>
              <w:t>Additional diagnostic test</w:t>
            </w:r>
            <w:r>
              <w:rPr>
                <w:rFonts w:ascii="Arial Narrow" w:eastAsia="Times New Roman" w:hAnsi="Arial Narrow" w:cs="Calibri"/>
                <w:color w:val="000000"/>
                <w:sz w:val="20"/>
                <w:szCs w:val="20"/>
                <w:lang w:val="en-US"/>
              </w:rPr>
              <w:t xml:space="preserve"> (</w:t>
            </w:r>
            <w:r w:rsidRPr="005B0D8F">
              <w:rPr>
                <w:rFonts w:ascii="Arial Narrow" w:eastAsia="Times New Roman" w:hAnsi="Arial Narrow" w:cs="Calibri"/>
                <w:color w:val="000000"/>
                <w:sz w:val="20"/>
                <w:szCs w:val="20"/>
                <w:vertAlign w:val="superscript"/>
                <w:lang w:val="en-US"/>
              </w:rPr>
              <w:t>68</w:t>
            </w:r>
            <w:r w:rsidRPr="005B0D8F">
              <w:rPr>
                <w:rFonts w:ascii="Arial Narrow" w:eastAsia="Times New Roman" w:hAnsi="Arial Narrow" w:cs="Calibri"/>
                <w:color w:val="000000"/>
                <w:sz w:val="20"/>
                <w:szCs w:val="20"/>
                <w:lang w:val="en-US"/>
              </w:rPr>
              <w:t>Ga-DOTA-octreotate PET</w:t>
            </w:r>
            <w:r>
              <w:rPr>
                <w:rFonts w:ascii="Arial Narrow" w:eastAsia="Times New Roman" w:hAnsi="Arial Narrow" w:cs="Calibri"/>
                <w:color w:val="000000"/>
                <w:sz w:val="20"/>
                <w:szCs w:val="20"/>
                <w:lang w:val="en-US"/>
              </w:rPr>
              <w:t>/CT)</w:t>
            </w:r>
            <w:r w:rsidRPr="00E81F00">
              <w:rPr>
                <w:rFonts w:ascii="Arial Narrow" w:eastAsia="Times New Roman" w:hAnsi="Arial Narrow" w:cs="Calibri"/>
                <w:color w:val="000000"/>
                <w:sz w:val="20"/>
                <w:szCs w:val="20"/>
                <w:lang w:val="en-US"/>
              </w:rPr>
              <w:t xml:space="preserve"> as part of monitoring</w:t>
            </w:r>
          </w:p>
        </w:tc>
        <w:tc>
          <w:tcPr>
            <w:tcW w:w="671" w:type="pct"/>
            <w:shd w:val="clear" w:color="auto" w:fill="auto"/>
            <w:vAlign w:val="center"/>
          </w:tcPr>
          <w:p w14:paraId="4A6CA559"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$7,315,347</w:t>
            </w:r>
          </w:p>
        </w:tc>
        <w:tc>
          <w:tcPr>
            <w:tcW w:w="671" w:type="pct"/>
            <w:shd w:val="clear" w:color="auto" w:fill="auto"/>
            <w:vAlign w:val="center"/>
          </w:tcPr>
          <w:p w14:paraId="451030E8"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$7,594,098</w:t>
            </w:r>
          </w:p>
        </w:tc>
        <w:tc>
          <w:tcPr>
            <w:tcW w:w="671" w:type="pct"/>
            <w:shd w:val="clear" w:color="auto" w:fill="auto"/>
            <w:vAlign w:val="center"/>
          </w:tcPr>
          <w:p w14:paraId="19310B80"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$7,883,471</w:t>
            </w:r>
          </w:p>
        </w:tc>
        <w:tc>
          <w:tcPr>
            <w:tcW w:w="671" w:type="pct"/>
            <w:shd w:val="clear" w:color="auto" w:fill="auto"/>
            <w:vAlign w:val="center"/>
          </w:tcPr>
          <w:p w14:paraId="0992F177"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$8,183,870</w:t>
            </w:r>
          </w:p>
        </w:tc>
        <w:tc>
          <w:tcPr>
            <w:tcW w:w="671" w:type="pct"/>
            <w:shd w:val="clear" w:color="auto" w:fill="auto"/>
            <w:vAlign w:val="center"/>
          </w:tcPr>
          <w:p w14:paraId="65460C0A"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$8,495,717</w:t>
            </w:r>
          </w:p>
        </w:tc>
        <w:tc>
          <w:tcPr>
            <w:tcW w:w="671" w:type="pct"/>
            <w:shd w:val="clear" w:color="auto" w:fill="auto"/>
            <w:vAlign w:val="center"/>
          </w:tcPr>
          <w:p w14:paraId="4B48C31C"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$8,819,446</w:t>
            </w:r>
          </w:p>
        </w:tc>
      </w:tr>
      <w:tr w:rsidR="004D7392" w:rsidRPr="00E81F00" w14:paraId="60DB9152" w14:textId="77777777" w:rsidTr="00380727">
        <w:trPr>
          <w:cantSplit/>
          <w:trHeight w:val="315"/>
        </w:trPr>
        <w:tc>
          <w:tcPr>
            <w:tcW w:w="974" w:type="pct"/>
            <w:shd w:val="clear" w:color="auto" w:fill="auto"/>
            <w:vAlign w:val="center"/>
            <w:hideMark/>
          </w:tcPr>
          <w:p w14:paraId="483BA5FA" w14:textId="77777777" w:rsidR="004D7392" w:rsidRPr="00E81F00" w:rsidRDefault="004D7392" w:rsidP="00380727">
            <w:pPr>
              <w:spacing w:before="0" w:after="0" w:line="240" w:lineRule="auto"/>
              <w:rPr>
                <w:rFonts w:ascii="Arial Narrow" w:eastAsia="Times New Roman" w:hAnsi="Arial Narrow" w:cs="Calibri"/>
                <w:color w:val="000000"/>
                <w:sz w:val="20"/>
                <w:szCs w:val="20"/>
                <w:lang w:val="en-US"/>
              </w:rPr>
            </w:pPr>
            <w:r w:rsidRPr="00E81F00">
              <w:rPr>
                <w:rFonts w:ascii="Arial Narrow" w:eastAsia="Times New Roman" w:hAnsi="Arial Narrow" w:cs="Calibri"/>
                <w:color w:val="000000"/>
                <w:sz w:val="20"/>
                <w:szCs w:val="20"/>
                <w:lang w:val="en-US"/>
              </w:rPr>
              <w:t>0.5 additional treatment cycles (4.02)</w:t>
            </w:r>
          </w:p>
        </w:tc>
        <w:tc>
          <w:tcPr>
            <w:tcW w:w="671" w:type="pct"/>
            <w:shd w:val="clear" w:color="auto" w:fill="auto"/>
            <w:vAlign w:val="center"/>
            <w:hideMark/>
          </w:tcPr>
          <w:p w14:paraId="335B53DE"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$8,108,305</w:t>
            </w:r>
          </w:p>
        </w:tc>
        <w:tc>
          <w:tcPr>
            <w:tcW w:w="671" w:type="pct"/>
            <w:shd w:val="clear" w:color="auto" w:fill="auto"/>
            <w:vAlign w:val="center"/>
            <w:hideMark/>
          </w:tcPr>
          <w:p w14:paraId="51AD42A4"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$8,417,271</w:t>
            </w:r>
          </w:p>
        </w:tc>
        <w:tc>
          <w:tcPr>
            <w:tcW w:w="671" w:type="pct"/>
            <w:shd w:val="clear" w:color="auto" w:fill="auto"/>
            <w:vAlign w:val="center"/>
            <w:hideMark/>
          </w:tcPr>
          <w:p w14:paraId="7EE262FE"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$8,738,011</w:t>
            </w:r>
          </w:p>
        </w:tc>
        <w:tc>
          <w:tcPr>
            <w:tcW w:w="671" w:type="pct"/>
            <w:shd w:val="clear" w:color="auto" w:fill="auto"/>
            <w:vAlign w:val="center"/>
            <w:hideMark/>
          </w:tcPr>
          <w:p w14:paraId="4DFCAD2C"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$9,070,973</w:t>
            </w:r>
          </w:p>
        </w:tc>
        <w:tc>
          <w:tcPr>
            <w:tcW w:w="671" w:type="pct"/>
            <w:shd w:val="clear" w:color="auto" w:fill="auto"/>
            <w:vAlign w:val="center"/>
            <w:hideMark/>
          </w:tcPr>
          <w:p w14:paraId="718C576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$9,416,622</w:t>
            </w:r>
          </w:p>
        </w:tc>
        <w:tc>
          <w:tcPr>
            <w:tcW w:w="671" w:type="pct"/>
            <w:shd w:val="clear" w:color="auto" w:fill="auto"/>
            <w:vAlign w:val="center"/>
            <w:hideMark/>
          </w:tcPr>
          <w:p w14:paraId="30023C9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$9,775,443</w:t>
            </w:r>
          </w:p>
        </w:tc>
      </w:tr>
      <w:tr w:rsidR="004D7392" w:rsidRPr="00E81F00" w14:paraId="4A3A88F3" w14:textId="77777777" w:rsidTr="00380727">
        <w:trPr>
          <w:cantSplit/>
          <w:trHeight w:val="315"/>
        </w:trPr>
        <w:tc>
          <w:tcPr>
            <w:tcW w:w="974" w:type="pct"/>
            <w:shd w:val="clear" w:color="auto" w:fill="auto"/>
            <w:vAlign w:val="center"/>
            <w:hideMark/>
          </w:tcPr>
          <w:p w14:paraId="6262EB87" w14:textId="77777777" w:rsidR="004D7392" w:rsidRPr="0056547D" w:rsidRDefault="004D7392" w:rsidP="00380727">
            <w:pPr>
              <w:spacing w:before="0" w:after="0" w:line="240" w:lineRule="auto"/>
              <w:rPr>
                <w:rFonts w:ascii="Arial Narrow" w:eastAsia="Times New Roman" w:hAnsi="Arial Narrow" w:cs="Calibri"/>
                <w:sz w:val="20"/>
                <w:szCs w:val="20"/>
                <w:lang w:val="en-US"/>
              </w:rPr>
            </w:pPr>
            <w:r w:rsidRPr="0056547D">
              <w:rPr>
                <w:rFonts w:ascii="Arial Narrow" w:eastAsia="Times New Roman" w:hAnsi="Arial Narrow" w:cs="Calibri"/>
                <w:sz w:val="20"/>
                <w:szCs w:val="20"/>
                <w:lang w:val="en-US"/>
              </w:rPr>
              <w:t>0.5 fewer treatment cycle (3.02)</w:t>
            </w:r>
          </w:p>
        </w:tc>
        <w:tc>
          <w:tcPr>
            <w:tcW w:w="671" w:type="pct"/>
            <w:shd w:val="clear" w:color="auto" w:fill="auto"/>
            <w:vAlign w:val="center"/>
            <w:hideMark/>
          </w:tcPr>
          <w:p w14:paraId="07F273BC"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$6,153,102</w:t>
            </w:r>
          </w:p>
        </w:tc>
        <w:tc>
          <w:tcPr>
            <w:tcW w:w="671" w:type="pct"/>
            <w:shd w:val="clear" w:color="auto" w:fill="auto"/>
            <w:vAlign w:val="center"/>
            <w:hideMark/>
          </w:tcPr>
          <w:p w14:paraId="7B4EB707"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$6,387,566</w:t>
            </w:r>
          </w:p>
        </w:tc>
        <w:tc>
          <w:tcPr>
            <w:tcW w:w="671" w:type="pct"/>
            <w:shd w:val="clear" w:color="auto" w:fill="auto"/>
            <w:vAlign w:val="center"/>
            <w:hideMark/>
          </w:tcPr>
          <w:p w14:paraId="15D08F8A"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$6,630,964</w:t>
            </w:r>
          </w:p>
        </w:tc>
        <w:tc>
          <w:tcPr>
            <w:tcW w:w="671" w:type="pct"/>
            <w:shd w:val="clear" w:color="auto" w:fill="auto"/>
            <w:vAlign w:val="center"/>
            <w:hideMark/>
          </w:tcPr>
          <w:p w14:paraId="7D1F6EAE"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$6,883,636</w:t>
            </w:r>
          </w:p>
        </w:tc>
        <w:tc>
          <w:tcPr>
            <w:tcW w:w="671" w:type="pct"/>
            <w:shd w:val="clear" w:color="auto" w:fill="auto"/>
            <w:vAlign w:val="center"/>
            <w:hideMark/>
          </w:tcPr>
          <w:p w14:paraId="39E60957"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$7,145,937</w:t>
            </w:r>
          </w:p>
        </w:tc>
        <w:tc>
          <w:tcPr>
            <w:tcW w:w="671" w:type="pct"/>
            <w:shd w:val="clear" w:color="auto" w:fill="auto"/>
            <w:vAlign w:val="center"/>
            <w:hideMark/>
          </w:tcPr>
          <w:p w14:paraId="49011975"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$7,418,233</w:t>
            </w:r>
          </w:p>
        </w:tc>
      </w:tr>
      <w:tr w:rsidR="004D7392" w:rsidRPr="00E81F00" w14:paraId="7AFF6567" w14:textId="77777777" w:rsidTr="00380727">
        <w:trPr>
          <w:cantSplit/>
          <w:trHeight w:val="315"/>
        </w:trPr>
        <w:tc>
          <w:tcPr>
            <w:tcW w:w="974" w:type="pct"/>
            <w:shd w:val="clear" w:color="auto" w:fill="auto"/>
            <w:vAlign w:val="center"/>
            <w:hideMark/>
          </w:tcPr>
          <w:p w14:paraId="42A4BE40" w14:textId="77777777" w:rsidR="004D7392" w:rsidRPr="00E81F00" w:rsidRDefault="004D7392" w:rsidP="00380727">
            <w:pPr>
              <w:spacing w:before="0" w:after="0" w:line="240" w:lineRule="auto"/>
              <w:rPr>
                <w:rFonts w:ascii="Arial Narrow" w:eastAsia="Times New Roman" w:hAnsi="Arial Narrow" w:cs="Calibri"/>
                <w:color w:val="000000"/>
                <w:sz w:val="20"/>
                <w:szCs w:val="20"/>
                <w:lang w:val="en-US"/>
              </w:rPr>
            </w:pPr>
            <w:r w:rsidRPr="00E81F00">
              <w:rPr>
                <w:rFonts w:ascii="Arial Narrow" w:eastAsia="Times New Roman" w:hAnsi="Arial Narrow" w:cs="Calibri"/>
                <w:color w:val="000000"/>
                <w:sz w:val="20"/>
                <w:szCs w:val="20"/>
                <w:lang w:val="en-US"/>
              </w:rPr>
              <w:t>0.5 additional treatment cycles (4.02) + additional diagnostic</w:t>
            </w:r>
            <w:r>
              <w:rPr>
                <w:rFonts w:ascii="Arial Narrow" w:eastAsia="Times New Roman" w:hAnsi="Arial Narrow" w:cs="Calibri"/>
                <w:color w:val="000000"/>
                <w:sz w:val="20"/>
                <w:szCs w:val="20"/>
                <w:lang w:val="en-US"/>
              </w:rPr>
              <w:t xml:space="preserve"> test</w:t>
            </w:r>
          </w:p>
        </w:tc>
        <w:tc>
          <w:tcPr>
            <w:tcW w:w="671" w:type="pct"/>
            <w:shd w:val="clear" w:color="auto" w:fill="auto"/>
            <w:vAlign w:val="center"/>
            <w:hideMark/>
          </w:tcPr>
          <w:p w14:paraId="45236D46"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$8,292,948</w:t>
            </w:r>
          </w:p>
        </w:tc>
        <w:tc>
          <w:tcPr>
            <w:tcW w:w="671" w:type="pct"/>
            <w:shd w:val="clear" w:color="auto" w:fill="auto"/>
            <w:vAlign w:val="center"/>
            <w:hideMark/>
          </w:tcPr>
          <w:p w14:paraId="7B23EFF7"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$8,608,951</w:t>
            </w:r>
          </w:p>
        </w:tc>
        <w:tc>
          <w:tcPr>
            <w:tcW w:w="671" w:type="pct"/>
            <w:shd w:val="clear" w:color="auto" w:fill="auto"/>
            <w:vAlign w:val="center"/>
            <w:hideMark/>
          </w:tcPr>
          <w:p w14:paraId="2CB9D94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$8,936,995</w:t>
            </w:r>
          </w:p>
        </w:tc>
        <w:tc>
          <w:tcPr>
            <w:tcW w:w="671" w:type="pct"/>
            <w:shd w:val="clear" w:color="auto" w:fill="auto"/>
            <w:vAlign w:val="center"/>
            <w:hideMark/>
          </w:tcPr>
          <w:p w14:paraId="70D07CA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$9,277,539</w:t>
            </w:r>
          </w:p>
        </w:tc>
        <w:tc>
          <w:tcPr>
            <w:tcW w:w="671" w:type="pct"/>
            <w:shd w:val="clear" w:color="auto" w:fill="auto"/>
            <w:vAlign w:val="center"/>
            <w:hideMark/>
          </w:tcPr>
          <w:p w14:paraId="094A53E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$9,631,059</w:t>
            </w:r>
          </w:p>
        </w:tc>
        <w:tc>
          <w:tcPr>
            <w:tcW w:w="671" w:type="pct"/>
            <w:shd w:val="clear" w:color="auto" w:fill="auto"/>
            <w:vAlign w:val="center"/>
            <w:hideMark/>
          </w:tcPr>
          <w:p w14:paraId="0380B07D"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$9,998,051</w:t>
            </w:r>
          </w:p>
        </w:tc>
      </w:tr>
      <w:tr w:rsidR="004D7392" w:rsidRPr="00E81F00" w14:paraId="7D46D1C0" w14:textId="77777777" w:rsidTr="00380727">
        <w:trPr>
          <w:cantSplit/>
          <w:trHeight w:val="315"/>
        </w:trPr>
        <w:tc>
          <w:tcPr>
            <w:tcW w:w="974" w:type="pct"/>
            <w:shd w:val="clear" w:color="auto" w:fill="auto"/>
            <w:vAlign w:val="center"/>
            <w:hideMark/>
          </w:tcPr>
          <w:p w14:paraId="32E210E3" w14:textId="77777777" w:rsidR="004D7392" w:rsidRPr="00E81F00" w:rsidRDefault="004D7392" w:rsidP="00380727">
            <w:pPr>
              <w:spacing w:before="0" w:after="0" w:line="240" w:lineRule="auto"/>
              <w:rPr>
                <w:rFonts w:ascii="Arial Narrow" w:eastAsia="Times New Roman" w:hAnsi="Arial Narrow" w:cs="Calibri"/>
                <w:color w:val="000000"/>
                <w:sz w:val="20"/>
                <w:szCs w:val="20"/>
                <w:lang w:val="en-US"/>
              </w:rPr>
            </w:pPr>
            <w:r w:rsidRPr="00E81F00">
              <w:rPr>
                <w:rFonts w:ascii="Arial Narrow" w:eastAsia="Times New Roman" w:hAnsi="Arial Narrow" w:cs="Calibri"/>
                <w:color w:val="000000"/>
                <w:sz w:val="20"/>
                <w:szCs w:val="20"/>
                <w:lang w:val="en-US"/>
              </w:rPr>
              <w:t>0.5 fewer treatment cycle (3.02) + additional diagnostic</w:t>
            </w:r>
            <w:r>
              <w:rPr>
                <w:rFonts w:ascii="Arial Narrow" w:eastAsia="Times New Roman" w:hAnsi="Arial Narrow" w:cs="Calibri"/>
                <w:color w:val="000000"/>
                <w:sz w:val="20"/>
                <w:szCs w:val="20"/>
                <w:lang w:val="en-US"/>
              </w:rPr>
              <w:t xml:space="preserve"> test</w:t>
            </w:r>
          </w:p>
        </w:tc>
        <w:tc>
          <w:tcPr>
            <w:tcW w:w="671" w:type="pct"/>
            <w:shd w:val="clear" w:color="auto" w:fill="auto"/>
            <w:vAlign w:val="center"/>
            <w:hideMark/>
          </w:tcPr>
          <w:p w14:paraId="25AEA0A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$6,337,745</w:t>
            </w:r>
          </w:p>
        </w:tc>
        <w:tc>
          <w:tcPr>
            <w:tcW w:w="671" w:type="pct"/>
            <w:shd w:val="clear" w:color="auto" w:fill="auto"/>
            <w:vAlign w:val="center"/>
            <w:hideMark/>
          </w:tcPr>
          <w:p w14:paraId="37568F8C"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$6,579,245</w:t>
            </w:r>
          </w:p>
        </w:tc>
        <w:tc>
          <w:tcPr>
            <w:tcW w:w="671" w:type="pct"/>
            <w:shd w:val="clear" w:color="auto" w:fill="auto"/>
            <w:vAlign w:val="center"/>
            <w:hideMark/>
          </w:tcPr>
          <w:p w14:paraId="0ECDB605"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$6,829,947</w:t>
            </w:r>
          </w:p>
        </w:tc>
        <w:tc>
          <w:tcPr>
            <w:tcW w:w="671" w:type="pct"/>
            <w:shd w:val="clear" w:color="auto" w:fill="auto"/>
            <w:vAlign w:val="center"/>
            <w:hideMark/>
          </w:tcPr>
          <w:p w14:paraId="04CC8E3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$7,090,202</w:t>
            </w:r>
          </w:p>
        </w:tc>
        <w:tc>
          <w:tcPr>
            <w:tcW w:w="671" w:type="pct"/>
            <w:shd w:val="clear" w:color="auto" w:fill="auto"/>
            <w:vAlign w:val="center"/>
            <w:hideMark/>
          </w:tcPr>
          <w:p w14:paraId="3678E13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$7,360,374</w:t>
            </w:r>
          </w:p>
        </w:tc>
        <w:tc>
          <w:tcPr>
            <w:tcW w:w="671" w:type="pct"/>
            <w:shd w:val="clear" w:color="auto" w:fill="auto"/>
            <w:vAlign w:val="center"/>
            <w:hideMark/>
          </w:tcPr>
          <w:p w14:paraId="56650A3E"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$7,640,841</w:t>
            </w:r>
          </w:p>
        </w:tc>
      </w:tr>
      <w:tr w:rsidR="004D7392" w:rsidRPr="00E81F00" w14:paraId="1592EE7F" w14:textId="77777777" w:rsidTr="003807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5"/>
        </w:trPr>
        <w:tc>
          <w:tcPr>
            <w:tcW w:w="974" w:type="pct"/>
            <w:tcBorders>
              <w:top w:val="single" w:sz="4" w:space="0" w:color="auto"/>
              <w:left w:val="single" w:sz="4" w:space="0" w:color="auto"/>
              <w:bottom w:val="single" w:sz="4" w:space="0" w:color="auto"/>
              <w:right w:val="single" w:sz="4" w:space="0" w:color="auto"/>
            </w:tcBorders>
            <w:shd w:val="clear" w:color="auto" w:fill="auto"/>
          </w:tcPr>
          <w:p w14:paraId="20E99BCD" w14:textId="77777777" w:rsidR="004D7392" w:rsidRPr="00E81F00" w:rsidRDefault="004D7392" w:rsidP="00380727">
            <w:pPr>
              <w:spacing w:before="0" w:after="0" w:line="240" w:lineRule="auto"/>
              <w:rPr>
                <w:rFonts w:ascii="Arial Narrow" w:eastAsia="Times New Roman" w:hAnsi="Arial Narrow" w:cs="Calibri"/>
                <w:color w:val="000000"/>
                <w:sz w:val="20"/>
                <w:szCs w:val="20"/>
                <w:lang w:val="en-US"/>
              </w:rPr>
            </w:pPr>
            <w:r w:rsidRPr="004E2944">
              <w:rPr>
                <w:rFonts w:ascii="Arial Narrow" w:eastAsia="Times New Roman" w:hAnsi="Arial Narrow" w:cs="Calibri"/>
                <w:color w:val="000000"/>
                <w:sz w:val="20"/>
                <w:szCs w:val="20"/>
                <w:lang w:val="en-US"/>
              </w:rPr>
              <w:t xml:space="preserve">80% of incident population receive </w:t>
            </w:r>
            <w:r>
              <w:rPr>
                <w:rFonts w:ascii="Arial Narrow" w:eastAsia="Times New Roman" w:hAnsi="Arial Narrow" w:cs="Calibri"/>
                <w:color w:val="000000"/>
                <w:sz w:val="20"/>
                <w:szCs w:val="20"/>
                <w:lang w:val="en-US"/>
              </w:rPr>
              <w:t xml:space="preserve">initial </w:t>
            </w:r>
            <w:r w:rsidRPr="004E2944">
              <w:rPr>
                <w:rFonts w:ascii="Arial Narrow" w:eastAsia="Times New Roman" w:hAnsi="Arial Narrow" w:cs="Calibri"/>
                <w:color w:val="000000"/>
                <w:sz w:val="20"/>
                <w:szCs w:val="20"/>
                <w:lang w:val="en-US"/>
              </w:rPr>
              <w:t>diagnostic testing</w:t>
            </w:r>
          </w:p>
        </w:tc>
        <w:tc>
          <w:tcPr>
            <w:tcW w:w="671" w:type="pct"/>
            <w:tcBorders>
              <w:top w:val="single" w:sz="4" w:space="0" w:color="auto"/>
              <w:left w:val="nil"/>
              <w:bottom w:val="single" w:sz="4" w:space="0" w:color="auto"/>
              <w:right w:val="single" w:sz="4" w:space="0" w:color="auto"/>
            </w:tcBorders>
            <w:shd w:val="clear" w:color="auto" w:fill="auto"/>
            <w:vAlign w:val="center"/>
          </w:tcPr>
          <w:p w14:paraId="3D0AD46D"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$12,377,221</w:t>
            </w:r>
          </w:p>
        </w:tc>
        <w:tc>
          <w:tcPr>
            <w:tcW w:w="671" w:type="pct"/>
            <w:tcBorders>
              <w:top w:val="single" w:sz="4" w:space="0" w:color="auto"/>
              <w:left w:val="nil"/>
              <w:bottom w:val="single" w:sz="4" w:space="0" w:color="auto"/>
              <w:right w:val="single" w:sz="4" w:space="0" w:color="auto"/>
            </w:tcBorders>
            <w:shd w:val="clear" w:color="auto" w:fill="auto"/>
            <w:vAlign w:val="center"/>
          </w:tcPr>
          <w:p w14:paraId="638421FA"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$12,848,855</w:t>
            </w:r>
          </w:p>
        </w:tc>
        <w:tc>
          <w:tcPr>
            <w:tcW w:w="671" w:type="pct"/>
            <w:tcBorders>
              <w:top w:val="single" w:sz="4" w:space="0" w:color="auto"/>
              <w:left w:val="nil"/>
              <w:bottom w:val="single" w:sz="4" w:space="0" w:color="auto"/>
              <w:right w:val="single" w:sz="4" w:space="0" w:color="auto"/>
            </w:tcBorders>
            <w:shd w:val="clear" w:color="auto" w:fill="auto"/>
            <w:vAlign w:val="center"/>
          </w:tcPr>
          <w:p w14:paraId="5F185F7E"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$13,338,460</w:t>
            </w:r>
          </w:p>
        </w:tc>
        <w:tc>
          <w:tcPr>
            <w:tcW w:w="671" w:type="pct"/>
            <w:tcBorders>
              <w:top w:val="single" w:sz="4" w:space="0" w:color="auto"/>
              <w:left w:val="nil"/>
              <w:bottom w:val="single" w:sz="4" w:space="0" w:color="auto"/>
              <w:right w:val="single" w:sz="4" w:space="0" w:color="auto"/>
            </w:tcBorders>
            <w:shd w:val="clear" w:color="auto" w:fill="auto"/>
            <w:vAlign w:val="center"/>
          </w:tcPr>
          <w:p w14:paraId="45143F49"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$13,846,722</w:t>
            </w:r>
          </w:p>
        </w:tc>
        <w:tc>
          <w:tcPr>
            <w:tcW w:w="671" w:type="pct"/>
            <w:tcBorders>
              <w:top w:val="single" w:sz="4" w:space="0" w:color="auto"/>
              <w:left w:val="nil"/>
              <w:bottom w:val="single" w:sz="4" w:space="0" w:color="auto"/>
              <w:right w:val="single" w:sz="4" w:space="0" w:color="auto"/>
            </w:tcBorders>
            <w:shd w:val="clear" w:color="auto" w:fill="auto"/>
            <w:vAlign w:val="center"/>
          </w:tcPr>
          <w:p w14:paraId="34CCBD8B"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$14,374,351</w:t>
            </w:r>
          </w:p>
        </w:tc>
        <w:tc>
          <w:tcPr>
            <w:tcW w:w="671" w:type="pct"/>
            <w:tcBorders>
              <w:top w:val="single" w:sz="4" w:space="0" w:color="auto"/>
              <w:left w:val="nil"/>
              <w:bottom w:val="single" w:sz="4" w:space="0" w:color="auto"/>
              <w:right w:val="single" w:sz="4" w:space="0" w:color="auto"/>
            </w:tcBorders>
            <w:shd w:val="clear" w:color="auto" w:fill="auto"/>
            <w:vAlign w:val="center"/>
          </w:tcPr>
          <w:p w14:paraId="2D905829"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$14,922,086</w:t>
            </w:r>
          </w:p>
        </w:tc>
      </w:tr>
      <w:tr w:rsidR="004D7392" w:rsidRPr="00E81F00" w14:paraId="1317D2E7" w14:textId="77777777" w:rsidTr="00380727">
        <w:trPr>
          <w:cantSplit/>
          <w:trHeight w:val="315"/>
        </w:trPr>
        <w:tc>
          <w:tcPr>
            <w:tcW w:w="974" w:type="pct"/>
            <w:shd w:val="clear" w:color="auto" w:fill="auto"/>
            <w:vAlign w:val="center"/>
          </w:tcPr>
          <w:p w14:paraId="40D42A32" w14:textId="77777777" w:rsidR="004D7392" w:rsidRPr="002F5BB7" w:rsidRDefault="004D7392" w:rsidP="00380727">
            <w:pPr>
              <w:spacing w:before="0" w:after="0" w:line="240" w:lineRule="auto"/>
              <w:rPr>
                <w:rFonts w:ascii="Arial Narrow" w:hAnsi="Arial Narrow"/>
                <w:bCs/>
                <w:color w:val="000000"/>
                <w:sz w:val="20"/>
                <w:lang w:val="en-US"/>
              </w:rPr>
            </w:pPr>
            <w:r w:rsidRPr="002F5BB7">
              <w:rPr>
                <w:rFonts w:ascii="Arial Narrow" w:hAnsi="Arial Narrow"/>
                <w:bCs/>
                <w:color w:val="000000"/>
                <w:sz w:val="20"/>
                <w:lang w:val="en-US"/>
              </w:rPr>
              <w:t xml:space="preserve">80% of incident population receive diagnostic testing </w:t>
            </w:r>
            <w:r w:rsidRPr="002F5BB7">
              <w:rPr>
                <w:rFonts w:ascii="Arial Narrow" w:eastAsia="Times New Roman" w:hAnsi="Arial Narrow" w:cs="Calibri"/>
                <w:bCs/>
                <w:color w:val="000000"/>
                <w:sz w:val="20"/>
                <w:szCs w:val="20"/>
                <w:lang w:val="en-US"/>
              </w:rPr>
              <w:t>+</w:t>
            </w:r>
            <w:r w:rsidRPr="002F5BB7">
              <w:rPr>
                <w:rFonts w:ascii="Arial Narrow" w:hAnsi="Arial Narrow"/>
                <w:bCs/>
                <w:color w:val="000000"/>
                <w:sz w:val="20"/>
                <w:lang w:val="en-US"/>
              </w:rPr>
              <w:t xml:space="preserve"> additional diagnostic test as part of monitoring for patients </w:t>
            </w:r>
            <w:r w:rsidRPr="002F5BB7">
              <w:rPr>
                <w:rFonts w:ascii="Arial Narrow" w:eastAsia="Times New Roman" w:hAnsi="Arial Narrow" w:cs="Calibri"/>
                <w:bCs/>
                <w:color w:val="000000"/>
                <w:sz w:val="20"/>
                <w:szCs w:val="20"/>
                <w:lang w:val="en-US"/>
              </w:rPr>
              <w:t xml:space="preserve">who receive </w:t>
            </w:r>
            <w:r w:rsidRPr="002F5BB7">
              <w:rPr>
                <w:rFonts w:ascii="Arial Narrow" w:eastAsia="Times New Roman" w:hAnsi="Arial Narrow" w:cs="Calibri"/>
                <w:bCs/>
                <w:color w:val="000000"/>
                <w:sz w:val="20"/>
                <w:szCs w:val="20"/>
                <w:vertAlign w:val="superscript"/>
                <w:lang w:val="en-US"/>
              </w:rPr>
              <w:t>177</w:t>
            </w:r>
            <w:r w:rsidRPr="002F5BB7">
              <w:rPr>
                <w:rFonts w:ascii="Arial Narrow" w:eastAsia="Times New Roman" w:hAnsi="Arial Narrow" w:cs="Calibri"/>
                <w:bCs/>
                <w:color w:val="000000"/>
                <w:sz w:val="20"/>
                <w:szCs w:val="20"/>
                <w:lang w:val="en-US"/>
              </w:rPr>
              <w:t>Lu-DOTA-octreotate</w:t>
            </w:r>
          </w:p>
        </w:tc>
        <w:tc>
          <w:tcPr>
            <w:tcW w:w="671" w:type="pct"/>
            <w:shd w:val="clear" w:color="auto" w:fill="auto"/>
            <w:vAlign w:val="center"/>
          </w:tcPr>
          <w:p w14:paraId="26639283"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$12,561,865</w:t>
            </w:r>
          </w:p>
        </w:tc>
        <w:tc>
          <w:tcPr>
            <w:tcW w:w="671" w:type="pct"/>
            <w:shd w:val="clear" w:color="auto" w:fill="auto"/>
            <w:vAlign w:val="center"/>
          </w:tcPr>
          <w:p w14:paraId="54F876F7"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$13,040,535</w:t>
            </w:r>
          </w:p>
        </w:tc>
        <w:tc>
          <w:tcPr>
            <w:tcW w:w="671" w:type="pct"/>
            <w:shd w:val="clear" w:color="auto" w:fill="auto"/>
            <w:vAlign w:val="center"/>
          </w:tcPr>
          <w:p w14:paraId="5AF8D797"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$13,537,444</w:t>
            </w:r>
          </w:p>
        </w:tc>
        <w:tc>
          <w:tcPr>
            <w:tcW w:w="671" w:type="pct"/>
            <w:shd w:val="clear" w:color="auto" w:fill="auto"/>
            <w:vAlign w:val="center"/>
          </w:tcPr>
          <w:p w14:paraId="1773B159"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$14,053,288</w:t>
            </w:r>
          </w:p>
        </w:tc>
        <w:tc>
          <w:tcPr>
            <w:tcW w:w="671" w:type="pct"/>
            <w:shd w:val="clear" w:color="auto" w:fill="auto"/>
            <w:vAlign w:val="center"/>
          </w:tcPr>
          <w:p w14:paraId="4C674F9D"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$14,588,788</w:t>
            </w:r>
          </w:p>
        </w:tc>
        <w:tc>
          <w:tcPr>
            <w:tcW w:w="671" w:type="pct"/>
            <w:shd w:val="clear" w:color="auto" w:fill="auto"/>
            <w:vAlign w:val="center"/>
          </w:tcPr>
          <w:p w14:paraId="3266214A"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$15,144,694</w:t>
            </w:r>
          </w:p>
        </w:tc>
      </w:tr>
      <w:tr w:rsidR="004D7392" w:rsidRPr="00E81F00" w14:paraId="1B15E206" w14:textId="77777777" w:rsidTr="00380727">
        <w:trPr>
          <w:cantSplit/>
          <w:trHeight w:val="315"/>
        </w:trPr>
        <w:tc>
          <w:tcPr>
            <w:tcW w:w="974" w:type="pct"/>
            <w:shd w:val="clear" w:color="auto" w:fill="auto"/>
            <w:vAlign w:val="center"/>
          </w:tcPr>
          <w:p w14:paraId="1402922E" w14:textId="77777777" w:rsidR="004D7392" w:rsidRPr="00F1126C" w:rsidRDefault="004D7392" w:rsidP="00380727">
            <w:pPr>
              <w:spacing w:before="0" w:after="0" w:line="240" w:lineRule="auto"/>
              <w:rPr>
                <w:rFonts w:ascii="Arial Narrow" w:hAnsi="Arial Narrow"/>
                <w:b/>
                <w:color w:val="000000"/>
                <w:sz w:val="20"/>
                <w:lang w:val="en-US"/>
              </w:rPr>
            </w:pPr>
            <w:r w:rsidRPr="004E2944">
              <w:rPr>
                <w:rFonts w:ascii="Arial Narrow" w:eastAsia="Times New Roman" w:hAnsi="Arial Narrow" w:cs="Calibri"/>
                <w:color w:val="000000"/>
                <w:sz w:val="20"/>
                <w:szCs w:val="20"/>
                <w:lang w:val="en-US"/>
              </w:rPr>
              <w:lastRenderedPageBreak/>
              <w:t xml:space="preserve">80% of incident population receive </w:t>
            </w:r>
            <w:r>
              <w:rPr>
                <w:rFonts w:ascii="Arial Narrow" w:eastAsia="Times New Roman" w:hAnsi="Arial Narrow" w:cs="Calibri"/>
                <w:color w:val="000000"/>
                <w:sz w:val="20"/>
                <w:szCs w:val="20"/>
                <w:lang w:val="en-US"/>
              </w:rPr>
              <w:t xml:space="preserve">initial </w:t>
            </w:r>
            <w:r w:rsidRPr="004E2944">
              <w:rPr>
                <w:rFonts w:ascii="Arial Narrow" w:eastAsia="Times New Roman" w:hAnsi="Arial Narrow" w:cs="Calibri"/>
                <w:color w:val="000000"/>
                <w:sz w:val="20"/>
                <w:szCs w:val="20"/>
                <w:lang w:val="en-US"/>
              </w:rPr>
              <w:t>diagnostic testing</w:t>
            </w:r>
            <w:r>
              <w:rPr>
                <w:rFonts w:ascii="Arial Narrow" w:eastAsia="Times New Roman" w:hAnsi="Arial Narrow" w:cs="Calibri"/>
                <w:color w:val="000000"/>
                <w:sz w:val="20"/>
                <w:szCs w:val="20"/>
                <w:lang w:val="en-US"/>
              </w:rPr>
              <w:t xml:space="preserve"> + </w:t>
            </w:r>
            <w:r w:rsidRPr="00E81F00">
              <w:rPr>
                <w:rFonts w:ascii="Arial Narrow" w:eastAsia="Times New Roman" w:hAnsi="Arial Narrow" w:cs="Calibri"/>
                <w:color w:val="000000"/>
                <w:sz w:val="20"/>
                <w:szCs w:val="20"/>
                <w:lang w:val="en-US"/>
              </w:rPr>
              <w:t>0.5 additional treatment cycles (4.02)</w:t>
            </w:r>
          </w:p>
        </w:tc>
        <w:tc>
          <w:tcPr>
            <w:tcW w:w="671" w:type="pct"/>
            <w:shd w:val="clear" w:color="auto" w:fill="auto"/>
            <w:vAlign w:val="center"/>
          </w:tcPr>
          <w:p w14:paraId="41AEB345"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$13,354,823</w:t>
            </w:r>
          </w:p>
        </w:tc>
        <w:tc>
          <w:tcPr>
            <w:tcW w:w="671" w:type="pct"/>
            <w:shd w:val="clear" w:color="auto" w:fill="auto"/>
            <w:vAlign w:val="center"/>
          </w:tcPr>
          <w:p w14:paraId="66203F9F"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$13,863,708</w:t>
            </w:r>
          </w:p>
        </w:tc>
        <w:tc>
          <w:tcPr>
            <w:tcW w:w="671" w:type="pct"/>
            <w:shd w:val="clear" w:color="auto" w:fill="auto"/>
            <w:vAlign w:val="center"/>
          </w:tcPr>
          <w:p w14:paraId="7E35A3A1"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$14,391,984</w:t>
            </w:r>
          </w:p>
        </w:tc>
        <w:tc>
          <w:tcPr>
            <w:tcW w:w="671" w:type="pct"/>
            <w:shd w:val="clear" w:color="auto" w:fill="auto"/>
            <w:vAlign w:val="center"/>
          </w:tcPr>
          <w:p w14:paraId="6AD354C4"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$14,940,391</w:t>
            </w:r>
          </w:p>
        </w:tc>
        <w:tc>
          <w:tcPr>
            <w:tcW w:w="671" w:type="pct"/>
            <w:shd w:val="clear" w:color="auto" w:fill="auto"/>
            <w:vAlign w:val="center"/>
          </w:tcPr>
          <w:p w14:paraId="4867D804"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$15,509,694</w:t>
            </w:r>
          </w:p>
        </w:tc>
        <w:tc>
          <w:tcPr>
            <w:tcW w:w="671" w:type="pct"/>
            <w:shd w:val="clear" w:color="auto" w:fill="auto"/>
            <w:vAlign w:val="center"/>
          </w:tcPr>
          <w:p w14:paraId="52D6F22F"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$16,100,690</w:t>
            </w:r>
          </w:p>
        </w:tc>
      </w:tr>
      <w:tr w:rsidR="004D7392" w:rsidRPr="00E81F00" w14:paraId="6DDB1367" w14:textId="77777777" w:rsidTr="00380727">
        <w:trPr>
          <w:cantSplit/>
          <w:trHeight w:val="315"/>
        </w:trPr>
        <w:tc>
          <w:tcPr>
            <w:tcW w:w="974" w:type="pct"/>
            <w:shd w:val="clear" w:color="auto" w:fill="auto"/>
            <w:vAlign w:val="center"/>
          </w:tcPr>
          <w:p w14:paraId="318CB7B4" w14:textId="77777777" w:rsidR="004D7392" w:rsidRPr="00F1126C" w:rsidRDefault="004D7392" w:rsidP="00380727">
            <w:pPr>
              <w:spacing w:before="0" w:after="0" w:line="240" w:lineRule="auto"/>
              <w:rPr>
                <w:rFonts w:ascii="Arial Narrow" w:hAnsi="Arial Narrow"/>
                <w:b/>
                <w:color w:val="000000"/>
                <w:sz w:val="20"/>
                <w:lang w:val="en-US"/>
              </w:rPr>
            </w:pPr>
            <w:r w:rsidRPr="004E2944">
              <w:rPr>
                <w:rFonts w:ascii="Arial Narrow" w:eastAsia="Times New Roman" w:hAnsi="Arial Narrow" w:cs="Calibri"/>
                <w:color w:val="000000"/>
                <w:sz w:val="20"/>
                <w:szCs w:val="20"/>
                <w:lang w:val="en-US"/>
              </w:rPr>
              <w:t xml:space="preserve">80% of incident population receive </w:t>
            </w:r>
            <w:r>
              <w:rPr>
                <w:rFonts w:ascii="Arial Narrow" w:eastAsia="Times New Roman" w:hAnsi="Arial Narrow" w:cs="Calibri"/>
                <w:color w:val="000000"/>
                <w:sz w:val="20"/>
                <w:szCs w:val="20"/>
                <w:lang w:val="en-US"/>
              </w:rPr>
              <w:t xml:space="preserve">initial </w:t>
            </w:r>
            <w:r w:rsidRPr="004E2944">
              <w:rPr>
                <w:rFonts w:ascii="Arial Narrow" w:eastAsia="Times New Roman" w:hAnsi="Arial Narrow" w:cs="Calibri"/>
                <w:color w:val="000000"/>
                <w:sz w:val="20"/>
                <w:szCs w:val="20"/>
                <w:lang w:val="en-US"/>
              </w:rPr>
              <w:t>diagnostic testing</w:t>
            </w:r>
            <w:r>
              <w:rPr>
                <w:rFonts w:ascii="Arial Narrow" w:eastAsia="Times New Roman" w:hAnsi="Arial Narrow" w:cs="Calibri"/>
                <w:color w:val="000000"/>
                <w:sz w:val="20"/>
                <w:szCs w:val="20"/>
                <w:lang w:val="en-US"/>
              </w:rPr>
              <w:t xml:space="preserve"> + </w:t>
            </w:r>
            <w:r w:rsidRPr="00E81F00">
              <w:rPr>
                <w:rFonts w:ascii="Arial Narrow" w:eastAsia="Times New Roman" w:hAnsi="Arial Narrow" w:cs="Calibri"/>
                <w:color w:val="000000"/>
                <w:sz w:val="20"/>
                <w:szCs w:val="20"/>
                <w:lang w:val="en-US"/>
              </w:rPr>
              <w:t xml:space="preserve">0.5 </w:t>
            </w:r>
            <w:r>
              <w:rPr>
                <w:rFonts w:ascii="Arial Narrow" w:eastAsia="Times New Roman" w:hAnsi="Arial Narrow" w:cs="Calibri"/>
                <w:color w:val="000000"/>
                <w:sz w:val="20"/>
                <w:szCs w:val="20"/>
                <w:lang w:val="en-US"/>
              </w:rPr>
              <w:t>fewer</w:t>
            </w:r>
            <w:r w:rsidRPr="00E81F00">
              <w:rPr>
                <w:rFonts w:ascii="Arial Narrow" w:eastAsia="Times New Roman" w:hAnsi="Arial Narrow" w:cs="Calibri"/>
                <w:color w:val="000000"/>
                <w:sz w:val="20"/>
                <w:szCs w:val="20"/>
                <w:lang w:val="en-US"/>
              </w:rPr>
              <w:t xml:space="preserve"> treatment cycles (</w:t>
            </w:r>
            <w:r>
              <w:rPr>
                <w:rFonts w:ascii="Arial Narrow" w:eastAsia="Times New Roman" w:hAnsi="Arial Narrow" w:cs="Calibri"/>
                <w:color w:val="000000"/>
                <w:sz w:val="20"/>
                <w:szCs w:val="20"/>
                <w:lang w:val="en-US"/>
              </w:rPr>
              <w:t>3</w:t>
            </w:r>
            <w:r w:rsidRPr="00E81F00">
              <w:rPr>
                <w:rFonts w:ascii="Arial Narrow" w:eastAsia="Times New Roman" w:hAnsi="Arial Narrow" w:cs="Calibri"/>
                <w:color w:val="000000"/>
                <w:sz w:val="20"/>
                <w:szCs w:val="20"/>
                <w:lang w:val="en-US"/>
              </w:rPr>
              <w:t>.02)</w:t>
            </w:r>
          </w:p>
        </w:tc>
        <w:tc>
          <w:tcPr>
            <w:tcW w:w="671" w:type="pct"/>
            <w:shd w:val="clear" w:color="auto" w:fill="auto"/>
            <w:vAlign w:val="center"/>
          </w:tcPr>
          <w:p w14:paraId="7E703EB7"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$11,399,620</w:t>
            </w:r>
          </w:p>
        </w:tc>
        <w:tc>
          <w:tcPr>
            <w:tcW w:w="671" w:type="pct"/>
            <w:shd w:val="clear" w:color="auto" w:fill="auto"/>
            <w:vAlign w:val="center"/>
          </w:tcPr>
          <w:p w14:paraId="3322F9E1"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$11,834,002</w:t>
            </w:r>
          </w:p>
        </w:tc>
        <w:tc>
          <w:tcPr>
            <w:tcW w:w="671" w:type="pct"/>
            <w:shd w:val="clear" w:color="auto" w:fill="auto"/>
            <w:vAlign w:val="center"/>
          </w:tcPr>
          <w:p w14:paraId="5FD8E8E7"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$12,284,937</w:t>
            </w:r>
          </w:p>
        </w:tc>
        <w:tc>
          <w:tcPr>
            <w:tcW w:w="671" w:type="pct"/>
            <w:shd w:val="clear" w:color="auto" w:fill="auto"/>
            <w:vAlign w:val="center"/>
          </w:tcPr>
          <w:p w14:paraId="1F6BE0A7"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$12,753,054</w:t>
            </w:r>
          </w:p>
        </w:tc>
        <w:tc>
          <w:tcPr>
            <w:tcW w:w="671" w:type="pct"/>
            <w:shd w:val="clear" w:color="auto" w:fill="auto"/>
            <w:vAlign w:val="center"/>
          </w:tcPr>
          <w:p w14:paraId="08962E61"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$13,239,009</w:t>
            </w:r>
          </w:p>
        </w:tc>
        <w:tc>
          <w:tcPr>
            <w:tcW w:w="671" w:type="pct"/>
            <w:shd w:val="clear" w:color="auto" w:fill="auto"/>
            <w:vAlign w:val="center"/>
          </w:tcPr>
          <w:p w14:paraId="047DEC33"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$13,743,481</w:t>
            </w:r>
          </w:p>
        </w:tc>
      </w:tr>
    </w:tbl>
    <w:p w14:paraId="08843D13" w14:textId="77777777" w:rsidR="004D7392" w:rsidRDefault="004D7392" w:rsidP="004D7392">
      <w:pPr>
        <w:pStyle w:val="Tablenotes0"/>
      </w:pPr>
      <w:r>
        <w:t>Abbreviations: CT = computed tomography; MBS = Medicare Benefits Schedule; PET = positron emission tomography.</w:t>
      </w:r>
    </w:p>
    <w:p w14:paraId="5427AFAF" w14:textId="77777777" w:rsidR="004D7392" w:rsidRDefault="004D7392" w:rsidP="004D7392">
      <w:pPr>
        <w:pStyle w:val="Caption"/>
      </w:pPr>
      <w:bookmarkStart w:id="126" w:name="_Ref171007123"/>
      <w:r>
        <w:t xml:space="preserve">Table </w:t>
      </w:r>
      <w:r>
        <w:fldChar w:fldCharType="begin"/>
      </w:r>
      <w:r>
        <w:instrText xml:space="preserve"> SEQ Table \* ARABIC </w:instrText>
      </w:r>
      <w:r>
        <w:fldChar w:fldCharType="separate"/>
      </w:r>
      <w:r>
        <w:rPr>
          <w:noProof/>
        </w:rPr>
        <w:t>4</w:t>
      </w:r>
      <w:r>
        <w:rPr>
          <w:noProof/>
        </w:rPr>
        <w:fldChar w:fldCharType="end"/>
      </w:r>
      <w:bookmarkEnd w:id="126"/>
      <w:r>
        <w:t>:</w:t>
      </w:r>
      <w:r>
        <w:tab/>
        <w:t>Financial impact under ESC-defined scenario (</w:t>
      </w:r>
      <w:r>
        <w:rPr>
          <w:iCs/>
        </w:rPr>
        <w:t xml:space="preserve">80% of eligible population tested; additional </w:t>
      </w:r>
      <w:r w:rsidRPr="00C06124">
        <w:rPr>
          <w:vertAlign w:val="superscript"/>
        </w:rPr>
        <w:t>68</w:t>
      </w:r>
      <w:r w:rsidRPr="00C06124">
        <w:t>Ga-</w:t>
      </w:r>
      <w:r>
        <w:t>DOTA-octreotate PET study for treated patients)</w:t>
      </w:r>
    </w:p>
    <w:tbl>
      <w:tblPr>
        <w:tblW w:w="5000" w:type="pct"/>
        <w:tblLook w:val="04A0" w:firstRow="1" w:lastRow="0" w:firstColumn="1" w:lastColumn="0" w:noHBand="0" w:noVBand="1"/>
      </w:tblPr>
      <w:tblGrid>
        <w:gridCol w:w="1756"/>
        <w:gridCol w:w="1210"/>
        <w:gridCol w:w="1210"/>
        <w:gridCol w:w="1210"/>
        <w:gridCol w:w="1210"/>
        <w:gridCol w:w="1210"/>
        <w:gridCol w:w="1210"/>
      </w:tblGrid>
      <w:tr w:rsidR="004D7392" w:rsidRPr="0040101A" w14:paraId="6E3275CA" w14:textId="77777777" w:rsidTr="00380727">
        <w:trPr>
          <w:trHeight w:val="315"/>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BA5BE" w14:textId="77777777" w:rsidR="004D7392" w:rsidRPr="0040101A" w:rsidRDefault="004D7392" w:rsidP="00380727">
            <w:pPr>
              <w:spacing w:before="0" w:after="0" w:line="240" w:lineRule="auto"/>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 xml:space="preserve">Parameter </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35622358"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2024 (year 1)</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10F2BF16"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2025 (year 2)</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4B9979D8"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2026 (year 3)</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59E43EEA"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2027 (year 4)</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244E82FB"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2028 (year 5)</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7303A734"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2029 (year 6)</w:t>
            </w:r>
          </w:p>
        </w:tc>
      </w:tr>
      <w:tr w:rsidR="004D7392" w:rsidRPr="0040101A" w14:paraId="77743619" w14:textId="77777777" w:rsidTr="00380727">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0DDC8FC" w14:textId="77777777" w:rsidR="004D7392" w:rsidRPr="0040101A" w:rsidRDefault="004D7392" w:rsidP="00380727">
            <w:pPr>
              <w:spacing w:before="0" w:after="0" w:line="240" w:lineRule="auto"/>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Estimated use and cost of the proposed health technology</w:t>
            </w:r>
          </w:p>
        </w:tc>
      </w:tr>
      <w:tr w:rsidR="004D7392" w:rsidRPr="0040101A" w14:paraId="5146311C"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404C5305"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Incidence of NE</w:t>
            </w:r>
            <w:r>
              <w:rPr>
                <w:rFonts w:ascii="Arial Narrow" w:eastAsia="Times New Roman" w:hAnsi="Arial Narrow" w:cs="Calibri"/>
                <w:color w:val="000000"/>
                <w:sz w:val="20"/>
                <w:szCs w:val="20"/>
                <w:lang w:val="en-US"/>
              </w:rPr>
              <w:t>N</w:t>
            </w:r>
            <w:r w:rsidRPr="0040101A">
              <w:rPr>
                <w:rFonts w:ascii="Arial Narrow" w:eastAsia="Times New Roman" w:hAnsi="Arial Narrow" w:cs="Calibri"/>
                <w:color w:val="000000"/>
                <w:sz w:val="20"/>
                <w:szCs w:val="20"/>
                <w:lang w:val="en-US"/>
              </w:rPr>
              <w:t>s</w:t>
            </w:r>
          </w:p>
        </w:tc>
        <w:tc>
          <w:tcPr>
            <w:tcW w:w="671" w:type="pct"/>
            <w:tcBorders>
              <w:top w:val="nil"/>
              <w:left w:val="nil"/>
              <w:bottom w:val="single" w:sz="4" w:space="0" w:color="auto"/>
              <w:right w:val="single" w:sz="4" w:space="0" w:color="auto"/>
            </w:tcBorders>
            <w:shd w:val="clear" w:color="auto" w:fill="auto"/>
            <w:vAlign w:val="center"/>
            <w:hideMark/>
          </w:tcPr>
          <w:p w14:paraId="4B19BD0F"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5,642</w:t>
            </w:r>
          </w:p>
        </w:tc>
        <w:tc>
          <w:tcPr>
            <w:tcW w:w="671" w:type="pct"/>
            <w:tcBorders>
              <w:top w:val="nil"/>
              <w:left w:val="nil"/>
              <w:bottom w:val="single" w:sz="4" w:space="0" w:color="auto"/>
              <w:right w:val="single" w:sz="4" w:space="0" w:color="auto"/>
            </w:tcBorders>
            <w:shd w:val="clear" w:color="auto" w:fill="auto"/>
            <w:vAlign w:val="center"/>
            <w:hideMark/>
          </w:tcPr>
          <w:p w14:paraId="3576C4E9"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5,857</w:t>
            </w:r>
          </w:p>
        </w:tc>
        <w:tc>
          <w:tcPr>
            <w:tcW w:w="671" w:type="pct"/>
            <w:tcBorders>
              <w:top w:val="nil"/>
              <w:left w:val="nil"/>
              <w:bottom w:val="single" w:sz="4" w:space="0" w:color="auto"/>
              <w:right w:val="single" w:sz="4" w:space="0" w:color="auto"/>
            </w:tcBorders>
            <w:shd w:val="clear" w:color="auto" w:fill="auto"/>
            <w:vAlign w:val="center"/>
            <w:hideMark/>
          </w:tcPr>
          <w:p w14:paraId="286CFE08"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6,080</w:t>
            </w:r>
          </w:p>
        </w:tc>
        <w:tc>
          <w:tcPr>
            <w:tcW w:w="671" w:type="pct"/>
            <w:tcBorders>
              <w:top w:val="nil"/>
              <w:left w:val="nil"/>
              <w:bottom w:val="single" w:sz="4" w:space="0" w:color="auto"/>
              <w:right w:val="single" w:sz="4" w:space="0" w:color="auto"/>
            </w:tcBorders>
            <w:shd w:val="clear" w:color="auto" w:fill="auto"/>
            <w:vAlign w:val="center"/>
            <w:hideMark/>
          </w:tcPr>
          <w:p w14:paraId="785A3525"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6,312</w:t>
            </w:r>
          </w:p>
        </w:tc>
        <w:tc>
          <w:tcPr>
            <w:tcW w:w="671" w:type="pct"/>
            <w:tcBorders>
              <w:top w:val="nil"/>
              <w:left w:val="nil"/>
              <w:bottom w:val="single" w:sz="4" w:space="0" w:color="auto"/>
              <w:right w:val="single" w:sz="4" w:space="0" w:color="auto"/>
            </w:tcBorders>
            <w:shd w:val="clear" w:color="auto" w:fill="auto"/>
            <w:vAlign w:val="center"/>
            <w:hideMark/>
          </w:tcPr>
          <w:p w14:paraId="37B5CE25"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6,552</w:t>
            </w:r>
          </w:p>
        </w:tc>
        <w:tc>
          <w:tcPr>
            <w:tcW w:w="671" w:type="pct"/>
            <w:tcBorders>
              <w:top w:val="nil"/>
              <w:left w:val="nil"/>
              <w:bottom w:val="single" w:sz="4" w:space="0" w:color="auto"/>
              <w:right w:val="single" w:sz="4" w:space="0" w:color="auto"/>
            </w:tcBorders>
            <w:shd w:val="clear" w:color="auto" w:fill="auto"/>
            <w:vAlign w:val="center"/>
            <w:hideMark/>
          </w:tcPr>
          <w:p w14:paraId="54B2251A"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6,802</w:t>
            </w:r>
          </w:p>
        </w:tc>
      </w:tr>
      <w:tr w:rsidR="004D7392" w:rsidRPr="0040101A" w14:paraId="1EB7A742"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0CD6D0C6"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 xml:space="preserve">Number of people eligible for </w:t>
            </w:r>
            <w:r w:rsidRPr="0040101A">
              <w:rPr>
                <w:rFonts w:ascii="Arial Narrow" w:eastAsia="Times New Roman" w:hAnsi="Arial Narrow" w:cs="Calibri"/>
                <w:color w:val="000000"/>
                <w:sz w:val="20"/>
                <w:szCs w:val="20"/>
                <w:vertAlign w:val="superscript"/>
                <w:lang w:val="en-US"/>
              </w:rPr>
              <w:t>177</w:t>
            </w:r>
            <w:r w:rsidRPr="0040101A">
              <w:rPr>
                <w:rFonts w:ascii="Arial Narrow" w:eastAsia="Times New Roman" w:hAnsi="Arial Narrow" w:cs="Calibri"/>
                <w:color w:val="000000"/>
                <w:sz w:val="20"/>
                <w:szCs w:val="20"/>
                <w:lang w:val="en-US"/>
              </w:rPr>
              <w:t>Lu-DOTA-octreotate</w:t>
            </w:r>
          </w:p>
        </w:tc>
        <w:tc>
          <w:tcPr>
            <w:tcW w:w="4026" w:type="pct"/>
            <w:gridSpan w:val="6"/>
            <w:tcBorders>
              <w:top w:val="single" w:sz="4" w:space="0" w:color="auto"/>
              <w:left w:val="nil"/>
              <w:bottom w:val="single" w:sz="4" w:space="0" w:color="auto"/>
              <w:right w:val="single" w:sz="4" w:space="0" w:color="000000"/>
            </w:tcBorders>
            <w:shd w:val="clear" w:color="auto" w:fill="auto"/>
            <w:vAlign w:val="center"/>
            <w:hideMark/>
          </w:tcPr>
          <w:p w14:paraId="2813E7FD"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Unknown</w:t>
            </w:r>
            <w:r w:rsidRPr="0040101A">
              <w:rPr>
                <w:rFonts w:ascii="Arial Narrow" w:eastAsia="Times New Roman" w:hAnsi="Arial Narrow" w:cs="Calibri"/>
                <w:color w:val="000000"/>
                <w:sz w:val="20"/>
                <w:szCs w:val="20"/>
                <w:lang w:val="en-US"/>
              </w:rPr>
              <w:br/>
              <w:t>Assumed 3.5% to match applicant advised treatment population of approximately 200</w:t>
            </w:r>
          </w:p>
        </w:tc>
      </w:tr>
      <w:tr w:rsidR="004D7392" w:rsidRPr="0040101A" w14:paraId="377AC743"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tcPr>
          <w:p w14:paraId="06985A5C"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Pr>
                <w:rFonts w:ascii="Arial Narrow" w:eastAsia="Times New Roman" w:hAnsi="Arial Narrow" w:cs="Calibri"/>
                <w:color w:val="000000"/>
                <w:sz w:val="20"/>
                <w:szCs w:val="20"/>
                <w:lang w:val="en-US"/>
              </w:rPr>
              <w:t xml:space="preserve">Incident NEN patients who undergo </w:t>
            </w:r>
            <w:r w:rsidRPr="00D83BF3">
              <w:rPr>
                <w:rFonts w:ascii="Arial Narrow" w:eastAsia="Times New Roman" w:hAnsi="Arial Narrow" w:cs="Calibri"/>
                <w:color w:val="000000"/>
                <w:sz w:val="20"/>
                <w:szCs w:val="20"/>
                <w:vertAlign w:val="superscript"/>
                <w:lang w:val="en-US"/>
              </w:rPr>
              <w:t>68</w:t>
            </w:r>
            <w:r w:rsidRPr="00D83BF3">
              <w:rPr>
                <w:rFonts w:ascii="Arial Narrow" w:eastAsia="Times New Roman" w:hAnsi="Arial Narrow" w:cs="Calibri"/>
                <w:color w:val="000000"/>
                <w:sz w:val="20"/>
                <w:szCs w:val="20"/>
                <w:lang w:val="en-US"/>
              </w:rPr>
              <w:t>Ga-DOTA-octreotate PET/CT</w:t>
            </w:r>
            <w:r>
              <w:rPr>
                <w:rFonts w:ascii="Arial Narrow" w:eastAsia="Times New Roman" w:hAnsi="Arial Narrow" w:cs="Calibri"/>
                <w:color w:val="000000"/>
                <w:sz w:val="20"/>
                <w:szCs w:val="20"/>
                <w:lang w:val="en-US"/>
              </w:rPr>
              <w:t xml:space="preserve"> (80% of incident population)</w:t>
            </w:r>
          </w:p>
        </w:tc>
        <w:tc>
          <w:tcPr>
            <w:tcW w:w="671" w:type="pct"/>
            <w:tcBorders>
              <w:top w:val="nil"/>
              <w:left w:val="nil"/>
              <w:bottom w:val="single" w:sz="4" w:space="0" w:color="auto"/>
              <w:right w:val="single" w:sz="4" w:space="0" w:color="auto"/>
            </w:tcBorders>
            <w:shd w:val="clear" w:color="auto" w:fill="auto"/>
            <w:vAlign w:val="center"/>
          </w:tcPr>
          <w:p w14:paraId="1DCF248F"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4,514</w:t>
            </w:r>
          </w:p>
        </w:tc>
        <w:tc>
          <w:tcPr>
            <w:tcW w:w="671" w:type="pct"/>
            <w:tcBorders>
              <w:top w:val="nil"/>
              <w:left w:val="nil"/>
              <w:bottom w:val="single" w:sz="4" w:space="0" w:color="auto"/>
              <w:right w:val="single" w:sz="4" w:space="0" w:color="auto"/>
            </w:tcBorders>
            <w:shd w:val="clear" w:color="auto" w:fill="auto"/>
            <w:vAlign w:val="center"/>
          </w:tcPr>
          <w:p w14:paraId="2EBA5113"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4,686</w:t>
            </w:r>
          </w:p>
        </w:tc>
        <w:tc>
          <w:tcPr>
            <w:tcW w:w="671" w:type="pct"/>
            <w:tcBorders>
              <w:top w:val="nil"/>
              <w:left w:val="nil"/>
              <w:bottom w:val="single" w:sz="4" w:space="0" w:color="auto"/>
              <w:right w:val="single" w:sz="4" w:space="0" w:color="auto"/>
            </w:tcBorders>
            <w:shd w:val="clear" w:color="auto" w:fill="auto"/>
            <w:vAlign w:val="center"/>
          </w:tcPr>
          <w:p w14:paraId="3CC5188C"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4,864</w:t>
            </w:r>
          </w:p>
        </w:tc>
        <w:tc>
          <w:tcPr>
            <w:tcW w:w="671" w:type="pct"/>
            <w:tcBorders>
              <w:top w:val="nil"/>
              <w:left w:val="nil"/>
              <w:bottom w:val="single" w:sz="4" w:space="0" w:color="auto"/>
              <w:right w:val="single" w:sz="4" w:space="0" w:color="auto"/>
            </w:tcBorders>
            <w:shd w:val="clear" w:color="auto" w:fill="auto"/>
            <w:vAlign w:val="center"/>
          </w:tcPr>
          <w:p w14:paraId="704B9A1C"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5,049</w:t>
            </w:r>
          </w:p>
        </w:tc>
        <w:tc>
          <w:tcPr>
            <w:tcW w:w="671" w:type="pct"/>
            <w:tcBorders>
              <w:top w:val="nil"/>
              <w:left w:val="nil"/>
              <w:bottom w:val="single" w:sz="4" w:space="0" w:color="auto"/>
              <w:right w:val="single" w:sz="4" w:space="0" w:color="auto"/>
            </w:tcBorders>
            <w:shd w:val="clear" w:color="auto" w:fill="auto"/>
            <w:vAlign w:val="center"/>
          </w:tcPr>
          <w:p w14:paraId="1F64098D"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5,242</w:t>
            </w:r>
          </w:p>
        </w:tc>
        <w:tc>
          <w:tcPr>
            <w:tcW w:w="671" w:type="pct"/>
            <w:tcBorders>
              <w:top w:val="nil"/>
              <w:left w:val="nil"/>
              <w:bottom w:val="single" w:sz="4" w:space="0" w:color="auto"/>
              <w:right w:val="single" w:sz="4" w:space="0" w:color="auto"/>
            </w:tcBorders>
            <w:shd w:val="clear" w:color="auto" w:fill="auto"/>
            <w:vAlign w:val="center"/>
          </w:tcPr>
          <w:p w14:paraId="5BCF36EB"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5,442</w:t>
            </w:r>
          </w:p>
        </w:tc>
      </w:tr>
      <w:tr w:rsidR="004D7392" w:rsidRPr="0040101A" w14:paraId="6717304D"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7C3B32C6"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 xml:space="preserve">Of which, diagnosed with </w:t>
            </w:r>
            <w:r w:rsidRPr="00D83BF3">
              <w:rPr>
                <w:rFonts w:ascii="Arial Narrow" w:eastAsia="Times New Roman" w:hAnsi="Arial Narrow" w:cs="Calibri"/>
                <w:color w:val="000000"/>
                <w:sz w:val="20"/>
                <w:szCs w:val="20"/>
                <w:vertAlign w:val="superscript"/>
                <w:lang w:val="en-US"/>
              </w:rPr>
              <w:t>18</w:t>
            </w:r>
            <w:r w:rsidRPr="00D83BF3">
              <w:rPr>
                <w:rFonts w:ascii="Arial Narrow" w:eastAsia="Times New Roman" w:hAnsi="Arial Narrow" w:cs="Calibri"/>
                <w:color w:val="000000"/>
                <w:sz w:val="20"/>
                <w:szCs w:val="20"/>
                <w:lang w:val="en-US"/>
              </w:rPr>
              <w:t>FDG PET/CT (30%)</w:t>
            </w:r>
          </w:p>
        </w:tc>
        <w:tc>
          <w:tcPr>
            <w:tcW w:w="671" w:type="pct"/>
            <w:tcBorders>
              <w:top w:val="nil"/>
              <w:left w:val="nil"/>
              <w:bottom w:val="single" w:sz="4" w:space="0" w:color="auto"/>
              <w:right w:val="single" w:sz="4" w:space="0" w:color="auto"/>
            </w:tcBorders>
            <w:shd w:val="clear" w:color="auto" w:fill="auto"/>
            <w:vAlign w:val="center"/>
            <w:hideMark/>
          </w:tcPr>
          <w:p w14:paraId="0617C32E"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1,354</w:t>
            </w:r>
          </w:p>
        </w:tc>
        <w:tc>
          <w:tcPr>
            <w:tcW w:w="671" w:type="pct"/>
            <w:tcBorders>
              <w:top w:val="nil"/>
              <w:left w:val="nil"/>
              <w:bottom w:val="single" w:sz="4" w:space="0" w:color="auto"/>
              <w:right w:val="single" w:sz="4" w:space="0" w:color="auto"/>
            </w:tcBorders>
            <w:shd w:val="clear" w:color="auto" w:fill="auto"/>
            <w:vAlign w:val="center"/>
            <w:hideMark/>
          </w:tcPr>
          <w:p w14:paraId="58A768E4"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1,406</w:t>
            </w:r>
          </w:p>
        </w:tc>
        <w:tc>
          <w:tcPr>
            <w:tcW w:w="671" w:type="pct"/>
            <w:tcBorders>
              <w:top w:val="nil"/>
              <w:left w:val="nil"/>
              <w:bottom w:val="single" w:sz="4" w:space="0" w:color="auto"/>
              <w:right w:val="single" w:sz="4" w:space="0" w:color="auto"/>
            </w:tcBorders>
            <w:shd w:val="clear" w:color="auto" w:fill="auto"/>
            <w:vAlign w:val="center"/>
            <w:hideMark/>
          </w:tcPr>
          <w:p w14:paraId="296FE0F9"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1,459</w:t>
            </w:r>
          </w:p>
        </w:tc>
        <w:tc>
          <w:tcPr>
            <w:tcW w:w="671" w:type="pct"/>
            <w:tcBorders>
              <w:top w:val="nil"/>
              <w:left w:val="nil"/>
              <w:bottom w:val="single" w:sz="4" w:space="0" w:color="auto"/>
              <w:right w:val="single" w:sz="4" w:space="0" w:color="auto"/>
            </w:tcBorders>
            <w:shd w:val="clear" w:color="auto" w:fill="auto"/>
            <w:vAlign w:val="center"/>
            <w:hideMark/>
          </w:tcPr>
          <w:p w14:paraId="44168ABF"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1,515</w:t>
            </w:r>
          </w:p>
        </w:tc>
        <w:tc>
          <w:tcPr>
            <w:tcW w:w="671" w:type="pct"/>
            <w:tcBorders>
              <w:top w:val="nil"/>
              <w:left w:val="nil"/>
              <w:bottom w:val="single" w:sz="4" w:space="0" w:color="auto"/>
              <w:right w:val="single" w:sz="4" w:space="0" w:color="auto"/>
            </w:tcBorders>
            <w:shd w:val="clear" w:color="auto" w:fill="auto"/>
            <w:vAlign w:val="center"/>
            <w:hideMark/>
          </w:tcPr>
          <w:p w14:paraId="2FD59682"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1,573</w:t>
            </w:r>
          </w:p>
        </w:tc>
        <w:tc>
          <w:tcPr>
            <w:tcW w:w="671" w:type="pct"/>
            <w:tcBorders>
              <w:top w:val="nil"/>
              <w:left w:val="nil"/>
              <w:bottom w:val="single" w:sz="4" w:space="0" w:color="auto"/>
              <w:right w:val="single" w:sz="4" w:space="0" w:color="auto"/>
            </w:tcBorders>
            <w:shd w:val="clear" w:color="auto" w:fill="auto"/>
            <w:vAlign w:val="center"/>
            <w:hideMark/>
          </w:tcPr>
          <w:p w14:paraId="2FFBB9E4"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1,632</w:t>
            </w:r>
          </w:p>
        </w:tc>
      </w:tr>
      <w:tr w:rsidR="004D7392" w:rsidRPr="0040101A" w14:paraId="3098ADB4"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7FA4D6F5"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 xml:space="preserve">Number of people who receive </w:t>
            </w:r>
            <w:r w:rsidRPr="0040101A">
              <w:rPr>
                <w:rFonts w:ascii="Arial Narrow" w:eastAsia="Times New Roman" w:hAnsi="Arial Narrow" w:cs="Calibri"/>
                <w:color w:val="000000"/>
                <w:sz w:val="20"/>
                <w:szCs w:val="20"/>
                <w:vertAlign w:val="superscript"/>
                <w:lang w:val="en-US"/>
              </w:rPr>
              <w:t>177</w:t>
            </w:r>
            <w:r w:rsidRPr="0040101A">
              <w:rPr>
                <w:rFonts w:ascii="Arial Narrow" w:eastAsia="Times New Roman" w:hAnsi="Arial Narrow" w:cs="Calibri"/>
                <w:color w:val="000000"/>
                <w:sz w:val="20"/>
                <w:szCs w:val="20"/>
                <w:lang w:val="en-US"/>
              </w:rPr>
              <w:t>Lu-DOTA-octreotate</w:t>
            </w:r>
          </w:p>
        </w:tc>
        <w:tc>
          <w:tcPr>
            <w:tcW w:w="671" w:type="pct"/>
            <w:tcBorders>
              <w:top w:val="nil"/>
              <w:left w:val="nil"/>
              <w:bottom w:val="single" w:sz="4" w:space="0" w:color="auto"/>
              <w:right w:val="single" w:sz="4" w:space="0" w:color="auto"/>
            </w:tcBorders>
            <w:shd w:val="clear" w:color="auto" w:fill="auto"/>
            <w:vAlign w:val="center"/>
            <w:hideMark/>
          </w:tcPr>
          <w:p w14:paraId="71D75ECD"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197</w:t>
            </w:r>
          </w:p>
        </w:tc>
        <w:tc>
          <w:tcPr>
            <w:tcW w:w="671" w:type="pct"/>
            <w:tcBorders>
              <w:top w:val="nil"/>
              <w:left w:val="nil"/>
              <w:bottom w:val="single" w:sz="4" w:space="0" w:color="auto"/>
              <w:right w:val="single" w:sz="4" w:space="0" w:color="auto"/>
            </w:tcBorders>
            <w:shd w:val="clear" w:color="auto" w:fill="auto"/>
            <w:vAlign w:val="center"/>
            <w:hideMark/>
          </w:tcPr>
          <w:p w14:paraId="6E5CCA97"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205</w:t>
            </w:r>
          </w:p>
        </w:tc>
        <w:tc>
          <w:tcPr>
            <w:tcW w:w="671" w:type="pct"/>
            <w:tcBorders>
              <w:top w:val="nil"/>
              <w:left w:val="nil"/>
              <w:bottom w:val="single" w:sz="4" w:space="0" w:color="auto"/>
              <w:right w:val="single" w:sz="4" w:space="0" w:color="auto"/>
            </w:tcBorders>
            <w:shd w:val="clear" w:color="auto" w:fill="auto"/>
            <w:vAlign w:val="center"/>
            <w:hideMark/>
          </w:tcPr>
          <w:p w14:paraId="78D50740"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213</w:t>
            </w:r>
          </w:p>
        </w:tc>
        <w:tc>
          <w:tcPr>
            <w:tcW w:w="671" w:type="pct"/>
            <w:tcBorders>
              <w:top w:val="nil"/>
              <w:left w:val="nil"/>
              <w:bottom w:val="single" w:sz="4" w:space="0" w:color="auto"/>
              <w:right w:val="single" w:sz="4" w:space="0" w:color="auto"/>
            </w:tcBorders>
            <w:shd w:val="clear" w:color="auto" w:fill="auto"/>
            <w:vAlign w:val="center"/>
            <w:hideMark/>
          </w:tcPr>
          <w:p w14:paraId="1F8420F5"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221</w:t>
            </w:r>
          </w:p>
        </w:tc>
        <w:tc>
          <w:tcPr>
            <w:tcW w:w="671" w:type="pct"/>
            <w:tcBorders>
              <w:top w:val="nil"/>
              <w:left w:val="nil"/>
              <w:bottom w:val="single" w:sz="4" w:space="0" w:color="auto"/>
              <w:right w:val="single" w:sz="4" w:space="0" w:color="auto"/>
            </w:tcBorders>
            <w:shd w:val="clear" w:color="auto" w:fill="auto"/>
            <w:vAlign w:val="center"/>
            <w:hideMark/>
          </w:tcPr>
          <w:p w14:paraId="2AF1107A"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229</w:t>
            </w:r>
          </w:p>
        </w:tc>
        <w:tc>
          <w:tcPr>
            <w:tcW w:w="671" w:type="pct"/>
            <w:tcBorders>
              <w:top w:val="nil"/>
              <w:left w:val="nil"/>
              <w:bottom w:val="single" w:sz="4" w:space="0" w:color="auto"/>
              <w:right w:val="single" w:sz="4" w:space="0" w:color="auto"/>
            </w:tcBorders>
            <w:shd w:val="clear" w:color="auto" w:fill="auto"/>
            <w:vAlign w:val="center"/>
            <w:hideMark/>
          </w:tcPr>
          <w:p w14:paraId="7D11D802"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238</w:t>
            </w:r>
          </w:p>
        </w:tc>
      </w:tr>
      <w:tr w:rsidR="004D7392" w:rsidRPr="0040101A" w14:paraId="7796D5B2"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tcPr>
          <w:p w14:paraId="6C4C984C"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344A4A">
              <w:rPr>
                <w:rFonts w:ascii="Arial Narrow" w:eastAsia="Times New Roman" w:hAnsi="Arial Narrow" w:cs="Calibri"/>
                <w:color w:val="000000"/>
                <w:sz w:val="20"/>
                <w:szCs w:val="20"/>
                <w:lang w:val="en-US"/>
              </w:rPr>
              <w:t xml:space="preserve">Additional </w:t>
            </w:r>
            <w:r w:rsidRPr="00344A4A">
              <w:rPr>
                <w:rFonts w:ascii="Arial Narrow" w:eastAsia="Times New Roman" w:hAnsi="Arial Narrow" w:cs="Calibri"/>
                <w:color w:val="000000"/>
                <w:sz w:val="20"/>
                <w:szCs w:val="20"/>
                <w:vertAlign w:val="superscript"/>
                <w:lang w:val="en-US"/>
              </w:rPr>
              <w:t>68</w:t>
            </w:r>
            <w:r w:rsidRPr="00344A4A">
              <w:rPr>
                <w:rFonts w:ascii="Arial Narrow" w:eastAsia="Times New Roman" w:hAnsi="Arial Narrow" w:cs="Calibri"/>
                <w:color w:val="000000"/>
                <w:sz w:val="20"/>
                <w:szCs w:val="20"/>
                <w:lang w:val="en-US"/>
              </w:rPr>
              <w:t xml:space="preserve">Ga-DOTA-octreotate PET study for </w:t>
            </w:r>
            <w:r>
              <w:rPr>
                <w:rFonts w:ascii="Arial Narrow" w:eastAsia="Times New Roman" w:hAnsi="Arial Narrow" w:cs="Calibri"/>
                <w:color w:val="000000"/>
                <w:sz w:val="20"/>
                <w:szCs w:val="20"/>
                <w:lang w:val="en-US"/>
              </w:rPr>
              <w:t>monitoring</w:t>
            </w:r>
          </w:p>
        </w:tc>
        <w:tc>
          <w:tcPr>
            <w:tcW w:w="671" w:type="pct"/>
            <w:tcBorders>
              <w:top w:val="nil"/>
              <w:left w:val="nil"/>
              <w:bottom w:val="single" w:sz="4" w:space="0" w:color="auto"/>
              <w:right w:val="single" w:sz="4" w:space="0" w:color="auto"/>
            </w:tcBorders>
            <w:shd w:val="clear" w:color="auto" w:fill="auto"/>
            <w:vAlign w:val="center"/>
          </w:tcPr>
          <w:p w14:paraId="517B8781"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197</w:t>
            </w:r>
          </w:p>
        </w:tc>
        <w:tc>
          <w:tcPr>
            <w:tcW w:w="671" w:type="pct"/>
            <w:tcBorders>
              <w:top w:val="nil"/>
              <w:left w:val="nil"/>
              <w:bottom w:val="single" w:sz="4" w:space="0" w:color="auto"/>
              <w:right w:val="single" w:sz="4" w:space="0" w:color="auto"/>
            </w:tcBorders>
            <w:shd w:val="clear" w:color="auto" w:fill="auto"/>
            <w:vAlign w:val="center"/>
          </w:tcPr>
          <w:p w14:paraId="0B0A4F4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205</w:t>
            </w:r>
          </w:p>
        </w:tc>
        <w:tc>
          <w:tcPr>
            <w:tcW w:w="671" w:type="pct"/>
            <w:tcBorders>
              <w:top w:val="nil"/>
              <w:left w:val="nil"/>
              <w:bottom w:val="single" w:sz="4" w:space="0" w:color="auto"/>
              <w:right w:val="single" w:sz="4" w:space="0" w:color="auto"/>
            </w:tcBorders>
            <w:shd w:val="clear" w:color="auto" w:fill="auto"/>
            <w:vAlign w:val="center"/>
          </w:tcPr>
          <w:p w14:paraId="25905AD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213</w:t>
            </w:r>
          </w:p>
        </w:tc>
        <w:tc>
          <w:tcPr>
            <w:tcW w:w="671" w:type="pct"/>
            <w:tcBorders>
              <w:top w:val="nil"/>
              <w:left w:val="nil"/>
              <w:bottom w:val="single" w:sz="4" w:space="0" w:color="auto"/>
              <w:right w:val="single" w:sz="4" w:space="0" w:color="auto"/>
            </w:tcBorders>
            <w:shd w:val="clear" w:color="auto" w:fill="auto"/>
            <w:vAlign w:val="center"/>
          </w:tcPr>
          <w:p w14:paraId="2DF8DFB7"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221</w:t>
            </w:r>
          </w:p>
        </w:tc>
        <w:tc>
          <w:tcPr>
            <w:tcW w:w="671" w:type="pct"/>
            <w:tcBorders>
              <w:top w:val="nil"/>
              <w:left w:val="nil"/>
              <w:bottom w:val="single" w:sz="4" w:space="0" w:color="auto"/>
              <w:right w:val="single" w:sz="4" w:space="0" w:color="auto"/>
            </w:tcBorders>
            <w:shd w:val="clear" w:color="auto" w:fill="auto"/>
            <w:vAlign w:val="center"/>
          </w:tcPr>
          <w:p w14:paraId="3FAB3683"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229</w:t>
            </w:r>
          </w:p>
        </w:tc>
        <w:tc>
          <w:tcPr>
            <w:tcW w:w="671" w:type="pct"/>
            <w:tcBorders>
              <w:top w:val="nil"/>
              <w:left w:val="nil"/>
              <w:bottom w:val="single" w:sz="4" w:space="0" w:color="auto"/>
              <w:right w:val="single" w:sz="4" w:space="0" w:color="auto"/>
            </w:tcBorders>
            <w:shd w:val="clear" w:color="auto" w:fill="auto"/>
            <w:vAlign w:val="center"/>
          </w:tcPr>
          <w:p w14:paraId="265720EC"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238</w:t>
            </w:r>
          </w:p>
        </w:tc>
      </w:tr>
      <w:tr w:rsidR="004D7392" w:rsidRPr="0040101A" w14:paraId="0B4FF1FE"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7091174E"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Cost to the MBS; treatment drug cost</w:t>
            </w:r>
          </w:p>
        </w:tc>
        <w:tc>
          <w:tcPr>
            <w:tcW w:w="671" w:type="pct"/>
            <w:tcBorders>
              <w:top w:val="nil"/>
              <w:left w:val="nil"/>
              <w:bottom w:val="single" w:sz="4" w:space="0" w:color="auto"/>
              <w:right w:val="single" w:sz="4" w:space="0" w:color="auto"/>
            </w:tcBorders>
            <w:shd w:val="clear" w:color="auto" w:fill="auto"/>
            <w:vAlign w:val="center"/>
            <w:hideMark/>
          </w:tcPr>
          <w:p w14:paraId="0937FF1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$6,890,666</w:t>
            </w:r>
          </w:p>
        </w:tc>
        <w:tc>
          <w:tcPr>
            <w:tcW w:w="671" w:type="pct"/>
            <w:tcBorders>
              <w:top w:val="nil"/>
              <w:left w:val="nil"/>
              <w:bottom w:val="single" w:sz="4" w:space="0" w:color="auto"/>
              <w:right w:val="single" w:sz="4" w:space="0" w:color="auto"/>
            </w:tcBorders>
            <w:shd w:val="clear" w:color="auto" w:fill="auto"/>
            <w:vAlign w:val="center"/>
            <w:hideMark/>
          </w:tcPr>
          <w:p w14:paraId="4442545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$7,153,235</w:t>
            </w:r>
          </w:p>
        </w:tc>
        <w:tc>
          <w:tcPr>
            <w:tcW w:w="671" w:type="pct"/>
            <w:tcBorders>
              <w:top w:val="nil"/>
              <w:left w:val="nil"/>
              <w:bottom w:val="single" w:sz="4" w:space="0" w:color="auto"/>
              <w:right w:val="single" w:sz="4" w:space="0" w:color="auto"/>
            </w:tcBorders>
            <w:shd w:val="clear" w:color="auto" w:fill="auto"/>
            <w:vAlign w:val="center"/>
            <w:hideMark/>
          </w:tcPr>
          <w:p w14:paraId="3FAAB43F"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$7,425,809</w:t>
            </w:r>
          </w:p>
        </w:tc>
        <w:tc>
          <w:tcPr>
            <w:tcW w:w="671" w:type="pct"/>
            <w:tcBorders>
              <w:top w:val="nil"/>
              <w:left w:val="nil"/>
              <w:bottom w:val="single" w:sz="4" w:space="0" w:color="auto"/>
              <w:right w:val="single" w:sz="4" w:space="0" w:color="auto"/>
            </w:tcBorders>
            <w:shd w:val="clear" w:color="auto" w:fill="auto"/>
            <w:vAlign w:val="center"/>
            <w:hideMark/>
          </w:tcPr>
          <w:p w14:paraId="12D1AD88"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$7,708,769</w:t>
            </w:r>
          </w:p>
        </w:tc>
        <w:tc>
          <w:tcPr>
            <w:tcW w:w="671" w:type="pct"/>
            <w:tcBorders>
              <w:top w:val="nil"/>
              <w:left w:val="nil"/>
              <w:bottom w:val="single" w:sz="4" w:space="0" w:color="auto"/>
              <w:right w:val="single" w:sz="4" w:space="0" w:color="auto"/>
            </w:tcBorders>
            <w:shd w:val="clear" w:color="auto" w:fill="auto"/>
            <w:vAlign w:val="center"/>
            <w:hideMark/>
          </w:tcPr>
          <w:p w14:paraId="10FAE951"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$8,002,512</w:t>
            </w:r>
          </w:p>
        </w:tc>
        <w:tc>
          <w:tcPr>
            <w:tcW w:w="671" w:type="pct"/>
            <w:tcBorders>
              <w:top w:val="nil"/>
              <w:left w:val="nil"/>
              <w:bottom w:val="single" w:sz="4" w:space="0" w:color="auto"/>
              <w:right w:val="single" w:sz="4" w:space="0" w:color="auto"/>
            </w:tcBorders>
            <w:shd w:val="clear" w:color="auto" w:fill="auto"/>
            <w:vAlign w:val="center"/>
            <w:hideMark/>
          </w:tcPr>
          <w:p w14:paraId="04D570A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$8,307,447</w:t>
            </w:r>
          </w:p>
        </w:tc>
      </w:tr>
      <w:tr w:rsidR="004D7392" w:rsidRPr="0040101A" w14:paraId="7855ECE5"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150354A6"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Cost to the MBS; diagnostic test cost</w:t>
            </w:r>
          </w:p>
        </w:tc>
        <w:tc>
          <w:tcPr>
            <w:tcW w:w="671" w:type="pct"/>
            <w:tcBorders>
              <w:top w:val="nil"/>
              <w:left w:val="nil"/>
              <w:bottom w:val="single" w:sz="4" w:space="0" w:color="auto"/>
              <w:right w:val="single" w:sz="4" w:space="0" w:color="auto"/>
            </w:tcBorders>
            <w:shd w:val="clear" w:color="auto" w:fill="auto"/>
            <w:vAlign w:val="center"/>
            <w:hideMark/>
          </w:tcPr>
          <w:p w14:paraId="3BD320B3"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$5,671,199</w:t>
            </w:r>
          </w:p>
        </w:tc>
        <w:tc>
          <w:tcPr>
            <w:tcW w:w="671" w:type="pct"/>
            <w:tcBorders>
              <w:top w:val="nil"/>
              <w:left w:val="nil"/>
              <w:bottom w:val="single" w:sz="4" w:space="0" w:color="auto"/>
              <w:right w:val="single" w:sz="4" w:space="0" w:color="auto"/>
            </w:tcBorders>
            <w:shd w:val="clear" w:color="auto" w:fill="auto"/>
            <w:vAlign w:val="center"/>
            <w:hideMark/>
          </w:tcPr>
          <w:p w14:paraId="2D9A35F1"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$5,887,300</w:t>
            </w:r>
          </w:p>
        </w:tc>
        <w:tc>
          <w:tcPr>
            <w:tcW w:w="671" w:type="pct"/>
            <w:tcBorders>
              <w:top w:val="nil"/>
              <w:left w:val="nil"/>
              <w:bottom w:val="single" w:sz="4" w:space="0" w:color="auto"/>
              <w:right w:val="single" w:sz="4" w:space="0" w:color="auto"/>
            </w:tcBorders>
            <w:shd w:val="clear" w:color="auto" w:fill="auto"/>
            <w:vAlign w:val="center"/>
            <w:hideMark/>
          </w:tcPr>
          <w:p w14:paraId="101419E6"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$6,111,635</w:t>
            </w:r>
          </w:p>
        </w:tc>
        <w:tc>
          <w:tcPr>
            <w:tcW w:w="671" w:type="pct"/>
            <w:tcBorders>
              <w:top w:val="nil"/>
              <w:left w:val="nil"/>
              <w:bottom w:val="single" w:sz="4" w:space="0" w:color="auto"/>
              <w:right w:val="single" w:sz="4" w:space="0" w:color="auto"/>
            </w:tcBorders>
            <w:shd w:val="clear" w:color="auto" w:fill="auto"/>
            <w:vAlign w:val="center"/>
            <w:hideMark/>
          </w:tcPr>
          <w:p w14:paraId="6E323AA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$6,344,519</w:t>
            </w:r>
          </w:p>
        </w:tc>
        <w:tc>
          <w:tcPr>
            <w:tcW w:w="671" w:type="pct"/>
            <w:tcBorders>
              <w:top w:val="nil"/>
              <w:left w:val="nil"/>
              <w:bottom w:val="single" w:sz="4" w:space="0" w:color="auto"/>
              <w:right w:val="single" w:sz="4" w:space="0" w:color="auto"/>
            </w:tcBorders>
            <w:shd w:val="clear" w:color="auto" w:fill="auto"/>
            <w:vAlign w:val="center"/>
            <w:hideMark/>
          </w:tcPr>
          <w:p w14:paraId="18004DE4"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$6,586,276</w:t>
            </w:r>
          </w:p>
        </w:tc>
        <w:tc>
          <w:tcPr>
            <w:tcW w:w="671" w:type="pct"/>
            <w:tcBorders>
              <w:top w:val="nil"/>
              <w:left w:val="nil"/>
              <w:bottom w:val="single" w:sz="4" w:space="0" w:color="auto"/>
              <w:right w:val="single" w:sz="4" w:space="0" w:color="auto"/>
            </w:tcBorders>
            <w:shd w:val="clear" w:color="auto" w:fill="auto"/>
            <w:vAlign w:val="center"/>
            <w:hideMark/>
          </w:tcPr>
          <w:p w14:paraId="5EB8F32D"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$6,837,246</w:t>
            </w:r>
          </w:p>
        </w:tc>
      </w:tr>
      <w:tr w:rsidR="004D7392" w:rsidRPr="0040101A" w14:paraId="002CEBA2" w14:textId="77777777" w:rsidTr="00380727">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36E0E72" w14:textId="77777777" w:rsidR="004D7392" w:rsidRPr="00D83BF3" w:rsidRDefault="004D7392" w:rsidP="00380727">
            <w:pPr>
              <w:spacing w:before="0" w:after="0" w:line="240" w:lineRule="auto"/>
              <w:rPr>
                <w:rFonts w:ascii="Arial Narrow" w:eastAsia="Times New Roman" w:hAnsi="Arial Narrow" w:cs="Calibri"/>
                <w:b/>
                <w:bCs/>
                <w:color w:val="000000"/>
                <w:sz w:val="20"/>
                <w:szCs w:val="20"/>
                <w:lang w:val="en-US"/>
              </w:rPr>
            </w:pPr>
            <w:r w:rsidRPr="00D83BF3">
              <w:rPr>
                <w:rFonts w:ascii="Arial Narrow" w:eastAsia="Times New Roman" w:hAnsi="Arial Narrow" w:cs="Calibri"/>
                <w:b/>
                <w:bCs/>
                <w:color w:val="000000"/>
                <w:sz w:val="20"/>
                <w:szCs w:val="20"/>
                <w:lang w:val="en-US"/>
              </w:rPr>
              <w:t>Change in use and cost of other health technologies</w:t>
            </w:r>
          </w:p>
        </w:tc>
      </w:tr>
      <w:tr w:rsidR="004D7392" w:rsidRPr="0040101A" w14:paraId="7BC906E8"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56584C83"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Change in use of comparator and other.</w:t>
            </w:r>
          </w:p>
        </w:tc>
        <w:tc>
          <w:tcPr>
            <w:tcW w:w="4026" w:type="pct"/>
            <w:gridSpan w:val="6"/>
            <w:tcBorders>
              <w:top w:val="single" w:sz="4" w:space="0" w:color="auto"/>
              <w:left w:val="nil"/>
              <w:bottom w:val="single" w:sz="4" w:space="0" w:color="auto"/>
              <w:right w:val="single" w:sz="4" w:space="0" w:color="000000"/>
            </w:tcBorders>
            <w:shd w:val="clear" w:color="auto" w:fill="auto"/>
            <w:vAlign w:val="center"/>
            <w:hideMark/>
          </w:tcPr>
          <w:p w14:paraId="147C334E"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N/A</w:t>
            </w:r>
            <w:r w:rsidRPr="00D83BF3">
              <w:rPr>
                <w:rFonts w:ascii="Arial Narrow" w:eastAsia="Times New Roman" w:hAnsi="Arial Narrow" w:cs="Calibri"/>
                <w:color w:val="000000"/>
                <w:sz w:val="20"/>
                <w:szCs w:val="20"/>
                <w:lang w:val="en-US"/>
              </w:rPr>
              <w:br/>
            </w:r>
            <w:r w:rsidRPr="00D83BF3">
              <w:rPr>
                <w:rFonts w:ascii="Arial Narrow" w:eastAsia="Times New Roman" w:hAnsi="Arial Narrow" w:cs="Calibri"/>
                <w:color w:val="000000"/>
                <w:sz w:val="20"/>
                <w:szCs w:val="20"/>
                <w:vertAlign w:val="superscript"/>
                <w:lang w:val="en-US"/>
              </w:rPr>
              <w:t>177</w:t>
            </w:r>
            <w:r w:rsidRPr="00D83BF3">
              <w:rPr>
                <w:rFonts w:ascii="Arial Narrow" w:eastAsia="Times New Roman" w:hAnsi="Arial Narrow" w:cs="Calibri"/>
                <w:color w:val="000000"/>
                <w:sz w:val="20"/>
                <w:szCs w:val="20"/>
                <w:lang w:val="en-US"/>
              </w:rPr>
              <w:t xml:space="preserve">Lu-DOTA-octreotate is proposed as an add-on therapy </w:t>
            </w:r>
          </w:p>
        </w:tc>
      </w:tr>
      <w:tr w:rsidR="004D7392" w:rsidRPr="0040101A" w14:paraId="278F033B"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6A1AEEBC" w14:textId="77777777" w:rsidR="004D7392" w:rsidRPr="00D83BF3" w:rsidRDefault="004D7392" w:rsidP="00380727">
            <w:pPr>
              <w:spacing w:before="0" w:after="0" w:line="240" w:lineRule="auto"/>
              <w:rPr>
                <w:rFonts w:ascii="Arial Narrow" w:eastAsia="Times New Roman" w:hAnsi="Arial Narrow" w:cs="Calibri"/>
                <w:b/>
                <w:bCs/>
                <w:color w:val="000000"/>
                <w:sz w:val="20"/>
                <w:szCs w:val="20"/>
                <w:lang w:val="en-US"/>
              </w:rPr>
            </w:pPr>
            <w:r w:rsidRPr="00D83BF3">
              <w:rPr>
                <w:rFonts w:ascii="Arial Narrow" w:eastAsia="Times New Roman" w:hAnsi="Arial Narrow" w:cs="Calibri"/>
                <w:b/>
                <w:bCs/>
                <w:color w:val="000000"/>
                <w:sz w:val="20"/>
                <w:szCs w:val="20"/>
                <w:lang w:val="en-US"/>
              </w:rPr>
              <w:t>Net financial impact to the MBS</w:t>
            </w:r>
          </w:p>
        </w:tc>
        <w:tc>
          <w:tcPr>
            <w:tcW w:w="671" w:type="pct"/>
            <w:tcBorders>
              <w:top w:val="nil"/>
              <w:left w:val="nil"/>
              <w:bottom w:val="single" w:sz="4" w:space="0" w:color="auto"/>
              <w:right w:val="single" w:sz="4" w:space="0" w:color="auto"/>
            </w:tcBorders>
            <w:shd w:val="clear" w:color="auto" w:fill="auto"/>
            <w:vAlign w:val="center"/>
            <w:hideMark/>
          </w:tcPr>
          <w:p w14:paraId="26459743"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$12,561,865</w:t>
            </w:r>
          </w:p>
        </w:tc>
        <w:tc>
          <w:tcPr>
            <w:tcW w:w="671" w:type="pct"/>
            <w:tcBorders>
              <w:top w:val="nil"/>
              <w:left w:val="nil"/>
              <w:bottom w:val="single" w:sz="4" w:space="0" w:color="auto"/>
              <w:right w:val="single" w:sz="4" w:space="0" w:color="auto"/>
            </w:tcBorders>
            <w:shd w:val="clear" w:color="auto" w:fill="auto"/>
            <w:vAlign w:val="center"/>
            <w:hideMark/>
          </w:tcPr>
          <w:p w14:paraId="56C8AD92"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$13,040,535</w:t>
            </w:r>
          </w:p>
        </w:tc>
        <w:tc>
          <w:tcPr>
            <w:tcW w:w="671" w:type="pct"/>
            <w:tcBorders>
              <w:top w:val="nil"/>
              <w:left w:val="nil"/>
              <w:bottom w:val="single" w:sz="4" w:space="0" w:color="auto"/>
              <w:right w:val="single" w:sz="4" w:space="0" w:color="auto"/>
            </w:tcBorders>
            <w:shd w:val="clear" w:color="auto" w:fill="auto"/>
            <w:vAlign w:val="center"/>
            <w:hideMark/>
          </w:tcPr>
          <w:p w14:paraId="6BB797C6"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$13,537,444</w:t>
            </w:r>
          </w:p>
        </w:tc>
        <w:tc>
          <w:tcPr>
            <w:tcW w:w="671" w:type="pct"/>
            <w:tcBorders>
              <w:top w:val="nil"/>
              <w:left w:val="nil"/>
              <w:bottom w:val="single" w:sz="4" w:space="0" w:color="auto"/>
              <w:right w:val="single" w:sz="4" w:space="0" w:color="auto"/>
            </w:tcBorders>
            <w:shd w:val="clear" w:color="auto" w:fill="auto"/>
            <w:vAlign w:val="center"/>
            <w:hideMark/>
          </w:tcPr>
          <w:p w14:paraId="7D4669AF"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$14,053,288</w:t>
            </w:r>
          </w:p>
        </w:tc>
        <w:tc>
          <w:tcPr>
            <w:tcW w:w="671" w:type="pct"/>
            <w:tcBorders>
              <w:top w:val="nil"/>
              <w:left w:val="nil"/>
              <w:bottom w:val="single" w:sz="4" w:space="0" w:color="auto"/>
              <w:right w:val="single" w:sz="4" w:space="0" w:color="auto"/>
            </w:tcBorders>
            <w:shd w:val="clear" w:color="auto" w:fill="auto"/>
            <w:vAlign w:val="center"/>
            <w:hideMark/>
          </w:tcPr>
          <w:p w14:paraId="11514800"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$14,588,788</w:t>
            </w:r>
          </w:p>
        </w:tc>
        <w:tc>
          <w:tcPr>
            <w:tcW w:w="671" w:type="pct"/>
            <w:tcBorders>
              <w:top w:val="nil"/>
              <w:left w:val="nil"/>
              <w:bottom w:val="single" w:sz="4" w:space="0" w:color="auto"/>
              <w:right w:val="single" w:sz="4" w:space="0" w:color="auto"/>
            </w:tcBorders>
            <w:shd w:val="clear" w:color="auto" w:fill="auto"/>
            <w:vAlign w:val="center"/>
            <w:hideMark/>
          </w:tcPr>
          <w:p w14:paraId="7643F15A"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$15,144,694</w:t>
            </w:r>
          </w:p>
        </w:tc>
      </w:tr>
    </w:tbl>
    <w:p w14:paraId="305F9F71" w14:textId="037C2EFF" w:rsidR="00624BA7" w:rsidRPr="00624BA7" w:rsidRDefault="004D7392" w:rsidP="000716A1">
      <w:pPr>
        <w:pStyle w:val="Tablenotes0"/>
      </w:pPr>
      <w:r>
        <w:t>Abbreviations: CT = computed tomography; FDG =</w:t>
      </w:r>
      <w:r w:rsidRPr="00CF7C77">
        <w:t xml:space="preserve"> </w:t>
      </w:r>
      <w:r>
        <w:t>f</w:t>
      </w:r>
      <w:r w:rsidRPr="00CF7C77">
        <w:t>luorodeoxyglucose</w:t>
      </w:r>
      <w:r>
        <w:t>; MBS = Medicare Benefits Schedule; N/A = not applicable; NEN = neuroendocrine neoplasm; PET = positron emission tomography.</w:t>
      </w:r>
    </w:p>
    <w:sectPr w:rsidR="00624BA7" w:rsidRPr="00624BA7" w:rsidSect="006F3284">
      <w:headerReference w:type="default" r:id="rId26"/>
      <w:footerReference w:type="even" r:id="rId27"/>
      <w:footerReference w:type="default" r:id="rId28"/>
      <w:pgSz w:w="11906" w:h="16838"/>
      <w:pgMar w:top="568"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849DA" w14:textId="77777777" w:rsidR="00CA37A6" w:rsidRDefault="00CA37A6" w:rsidP="00B62DF2">
      <w:pPr>
        <w:spacing w:after="0" w:line="240" w:lineRule="auto"/>
      </w:pPr>
      <w:r>
        <w:separator/>
      </w:r>
    </w:p>
  </w:endnote>
  <w:endnote w:type="continuationSeparator" w:id="0">
    <w:p w14:paraId="2F799936" w14:textId="77777777" w:rsidR="00CA37A6" w:rsidRDefault="00CA37A6" w:rsidP="00B62DF2">
      <w:pPr>
        <w:spacing w:after="0" w:line="240" w:lineRule="auto"/>
      </w:pPr>
      <w:r>
        <w:continuationSeparator/>
      </w:r>
    </w:p>
  </w:endnote>
  <w:endnote w:type="continuationNotice" w:id="1">
    <w:p w14:paraId="410AC6E2" w14:textId="77777777" w:rsidR="00CA37A6" w:rsidRDefault="00CA37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Graebenbach">
    <w:altName w:val="Calibri"/>
    <w:charset w:val="00"/>
    <w:family w:val="swiss"/>
    <w:pitch w:val="variable"/>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51816"/>
      <w:docPartObj>
        <w:docPartGallery w:val="Page Numbers (Bottom of Page)"/>
        <w:docPartUnique/>
      </w:docPartObj>
    </w:sdtPr>
    <w:sdtEndPr>
      <w:rPr>
        <w:noProof/>
      </w:rPr>
    </w:sdtEndPr>
    <w:sdtContent>
      <w:p w14:paraId="66E2D1B8" w14:textId="55E7E31A" w:rsidR="004D7392" w:rsidRDefault="004D7392" w:rsidP="000B228E">
        <w:pPr>
          <w:pStyle w:val="Footer"/>
          <w:jc w:val="right"/>
        </w:pPr>
        <w:r>
          <w:fldChar w:fldCharType="begin"/>
        </w:r>
        <w:r>
          <w:instrText xml:space="preserve"> PAGE   \* MERGEFORMAT </w:instrText>
        </w:r>
        <w:r>
          <w:fldChar w:fldCharType="separate"/>
        </w:r>
        <w:r>
          <w:rPr>
            <w:noProof/>
          </w:rPr>
          <w:t>72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356178"/>
      <w:docPartObj>
        <w:docPartGallery w:val="Page Numbers (Bottom of Page)"/>
        <w:docPartUnique/>
      </w:docPartObj>
    </w:sdtPr>
    <w:sdtEndPr>
      <w:rPr>
        <w:noProof/>
      </w:rPr>
    </w:sdtEndPr>
    <w:sdtContent>
      <w:p w14:paraId="2A0C9D84" w14:textId="75A634A1" w:rsidR="004D7392" w:rsidRDefault="004D7392" w:rsidP="00052DD3">
        <w:pPr>
          <w:pStyle w:val="Footer"/>
          <w:jc w:val="right"/>
        </w:pPr>
        <w:r>
          <w:fldChar w:fldCharType="begin"/>
        </w:r>
        <w:r>
          <w:instrText xml:space="preserve"> PAGE   \* MERGEFORMAT </w:instrText>
        </w:r>
        <w:r>
          <w:fldChar w:fldCharType="separate"/>
        </w:r>
        <w:r>
          <w:rPr>
            <w:noProof/>
          </w:rPr>
          <w:t>73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254876"/>
      <w:docPartObj>
        <w:docPartGallery w:val="Page Numbers (Bottom of Page)"/>
        <w:docPartUnique/>
      </w:docPartObj>
    </w:sdtPr>
    <w:sdtEndPr>
      <w:rPr>
        <w:noProof/>
      </w:rPr>
    </w:sdtEndPr>
    <w:sdtContent>
      <w:p w14:paraId="351053D3" w14:textId="5DB4FB73" w:rsidR="00B34374" w:rsidRDefault="00471FED" w:rsidP="00471F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812985"/>
      <w:docPartObj>
        <w:docPartGallery w:val="Page Numbers (Bottom of Page)"/>
        <w:docPartUnique/>
      </w:docPartObj>
    </w:sdtPr>
    <w:sdtEndPr>
      <w:rPr>
        <w:noProof/>
      </w:rPr>
    </w:sdtEndPr>
    <w:sdtContent>
      <w:p w14:paraId="42325CA5" w14:textId="63DE9FC8" w:rsidR="004D7392" w:rsidRDefault="004D7392" w:rsidP="00052DD3">
        <w:pPr>
          <w:pStyle w:val="Footer"/>
          <w:jc w:val="right"/>
        </w:pPr>
        <w:r>
          <w:fldChar w:fldCharType="begin"/>
        </w:r>
        <w:r>
          <w:instrText xml:space="preserve"> PAGE   \* MERGEFORMAT </w:instrText>
        </w:r>
        <w:r>
          <w:fldChar w:fldCharType="separate"/>
        </w:r>
        <w:r>
          <w:rPr>
            <w:noProof/>
          </w:rPr>
          <w:t>73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537570"/>
      <w:docPartObj>
        <w:docPartGallery w:val="Page Numbers (Bottom of Page)"/>
        <w:docPartUnique/>
      </w:docPartObj>
    </w:sdtPr>
    <w:sdtEndPr>
      <w:rPr>
        <w:noProof/>
      </w:rPr>
    </w:sdtEndPr>
    <w:sdtContent>
      <w:p w14:paraId="45058F94" w14:textId="788CFA6E" w:rsidR="009404C6" w:rsidRDefault="009404C6" w:rsidP="00471FED">
        <w:pPr>
          <w:pStyle w:val="Footer"/>
          <w:jc w:val="right"/>
        </w:pPr>
        <w:r>
          <w:fldChar w:fldCharType="begin"/>
        </w:r>
        <w:r>
          <w:instrText xml:space="preserve"> PAGE   \* MERGEFORMAT </w:instrText>
        </w:r>
        <w:r>
          <w:fldChar w:fldCharType="separate"/>
        </w:r>
        <w:r>
          <w:rPr>
            <w:noProof/>
          </w:rPr>
          <w:t>72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463361"/>
      <w:docPartObj>
        <w:docPartGallery w:val="Page Numbers (Bottom of Page)"/>
        <w:docPartUnique/>
      </w:docPartObj>
    </w:sdtPr>
    <w:sdtEndPr>
      <w:rPr>
        <w:noProof/>
      </w:rPr>
    </w:sdtEndPr>
    <w:sdtContent>
      <w:p w14:paraId="747C3A88" w14:textId="78B9A7E6" w:rsidR="009404C6" w:rsidRDefault="009404C6" w:rsidP="00052DD3">
        <w:pPr>
          <w:pStyle w:val="Footer"/>
          <w:jc w:val="right"/>
        </w:pPr>
        <w:r>
          <w:fldChar w:fldCharType="begin"/>
        </w:r>
        <w:r>
          <w:instrText xml:space="preserve"> PAGE   \* MERGEFORMAT </w:instrText>
        </w:r>
        <w:r>
          <w:fldChar w:fldCharType="separate"/>
        </w:r>
        <w:r>
          <w:rPr>
            <w:noProof/>
          </w:rPr>
          <w:t>73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544C3" w14:textId="77777777" w:rsidR="00CA37A6" w:rsidRDefault="00CA37A6" w:rsidP="00B62DF2">
      <w:pPr>
        <w:spacing w:after="0" w:line="240" w:lineRule="auto"/>
      </w:pPr>
      <w:r>
        <w:separator/>
      </w:r>
    </w:p>
  </w:footnote>
  <w:footnote w:type="continuationSeparator" w:id="0">
    <w:p w14:paraId="2347B3BC" w14:textId="77777777" w:rsidR="00CA37A6" w:rsidRDefault="00CA37A6" w:rsidP="00B62DF2">
      <w:pPr>
        <w:spacing w:after="0" w:line="240" w:lineRule="auto"/>
      </w:pPr>
      <w:r>
        <w:continuationSeparator/>
      </w:r>
    </w:p>
  </w:footnote>
  <w:footnote w:type="continuationNotice" w:id="1">
    <w:p w14:paraId="3B22797F" w14:textId="77777777" w:rsidR="00CA37A6" w:rsidRDefault="00CA37A6">
      <w:pPr>
        <w:spacing w:before="0" w:after="0" w:line="240" w:lineRule="auto"/>
      </w:pPr>
    </w:p>
  </w:footnote>
  <w:footnote w:id="2">
    <w:p w14:paraId="3028A895" w14:textId="77777777" w:rsidR="009205B2" w:rsidRPr="00F34AE9" w:rsidRDefault="009205B2" w:rsidP="009205B2">
      <w:pPr>
        <w:pStyle w:val="FootnoteText"/>
      </w:pPr>
      <w:r>
        <w:rPr>
          <w:rStyle w:val="FootnoteReference"/>
        </w:rPr>
        <w:footnoteRef/>
      </w:r>
      <w:r>
        <w:t xml:space="preserve"> Nalder M, Ladwa R, Raina A, Burge ME, Love A, Pattison DA et al. (2021). </w:t>
      </w:r>
      <w:hyperlink r:id="rId1" w:history="1">
        <w:r w:rsidRPr="00FE7D9E">
          <w:rPr>
            <w:rStyle w:val="Hyperlink"/>
            <w:vertAlign w:val="superscript"/>
          </w:rPr>
          <w:t>177</w:t>
        </w:r>
        <w:r w:rsidRPr="00FE7D9E">
          <w:rPr>
            <w:rStyle w:val="Hyperlink"/>
          </w:rPr>
          <w:t>Lu-DOTATATE peptide receptor radionuclide therapy (PRRT) in patients with somatostatin-expressing neuroendocrine tumors: a real-world retrospective review of efficacy and safety from an Australian tertiary cancer Center</w:t>
        </w:r>
      </w:hyperlink>
      <w:r w:rsidRPr="00F34AE9">
        <w:t xml:space="preserve"> [abstract]</w:t>
      </w:r>
      <w:r w:rsidRPr="00FE7D9E">
        <w:t>.</w:t>
      </w:r>
      <w:r>
        <w:t xml:space="preserve"> </w:t>
      </w:r>
      <w:r>
        <w:rPr>
          <w:i/>
          <w:iCs/>
        </w:rPr>
        <w:t xml:space="preserve">Journal of Clinical Oncology </w:t>
      </w:r>
      <w:r>
        <w:t>39(15_suppl</w:t>
      </w:r>
      <w:proofErr w:type="gramStart"/>
      <w:r>
        <w:t>):e</w:t>
      </w:r>
      <w:proofErr w:type="gramEnd"/>
      <w:r>
        <w:t>16198.</w:t>
      </w:r>
    </w:p>
  </w:footnote>
  <w:footnote w:id="3">
    <w:p w14:paraId="7DE8F957" w14:textId="5D3E59C1" w:rsidR="009404C6" w:rsidRDefault="009404C6" w:rsidP="00E55100">
      <w:pPr>
        <w:pStyle w:val="Tablenotes0"/>
      </w:pPr>
      <w:r>
        <w:rPr>
          <w:rStyle w:val="FootnoteReference"/>
        </w:rPr>
        <w:footnoteRef/>
      </w:r>
      <w:r>
        <w:t xml:space="preserve"> Therapeutic Goods Administration </w:t>
      </w:r>
      <w:r>
        <w:rPr>
          <w:i/>
          <w:iCs/>
        </w:rPr>
        <w:t>GMP information for manufacturers of compounded medicines and DAAs</w:t>
      </w:r>
      <w:r>
        <w:t>, viewed 02/2024, &lt;https://www.tga.gov.au/resources/resource/guidance/gmp-information-manufacturers-compounded-medicines-and-daas&gt;.</w:t>
      </w:r>
    </w:p>
  </w:footnote>
  <w:footnote w:id="4">
    <w:p w14:paraId="5893DECF" w14:textId="4621357D" w:rsidR="009404C6" w:rsidRDefault="009404C6" w:rsidP="003835C7">
      <w:pPr>
        <w:pStyle w:val="Tablenotes0"/>
      </w:pPr>
      <w:r>
        <w:rPr>
          <w:rStyle w:val="FootnoteReference"/>
        </w:rPr>
        <w:footnoteRef/>
      </w:r>
      <w:r>
        <w:t xml:space="preserve"> Pavel, M, Oberg, K, Falconi, M, Krenning, EP, Sundin, A, Perren, A, Berruti, A &amp; clinicalguidelines@esmo.org, EGCEa 2020, 'Gastroenteropancreatic neuroendocrine neoplasms: ESMO Clinical Practice Guidelines for diagnosis, treatment and follow-up', </w:t>
      </w:r>
      <w:r>
        <w:rPr>
          <w:i/>
          <w:iCs/>
        </w:rPr>
        <w:t>Ann Oncol</w:t>
      </w:r>
      <w:r>
        <w:t>, vol. 31, no. 7, pp. 844-60.</w:t>
      </w:r>
    </w:p>
  </w:footnote>
  <w:footnote w:id="5">
    <w:p w14:paraId="62BA7B00" w14:textId="537C804F" w:rsidR="009404C6" w:rsidRDefault="009404C6" w:rsidP="008E04B4">
      <w:pPr>
        <w:pStyle w:val="Tablenotes0"/>
      </w:pPr>
      <w:r>
        <w:rPr>
          <w:rStyle w:val="FootnoteReference"/>
        </w:rPr>
        <w:footnoteRef/>
      </w:r>
      <w:r>
        <w:t xml:space="preserve"> Pavel, M, Oberg, K, Falconi, M, Krenning, EP, Sundin, A, Perren, A, Berruti, A &amp; clinicalguidelines@esmo.org, EGCEa 2020, 'Gastroenteropancreatic neuroendocrine neoplasms: ESMO Clinical Practice Guidelines for diagnosis, treatment and follow-up', </w:t>
      </w:r>
      <w:r>
        <w:rPr>
          <w:i/>
          <w:iCs/>
        </w:rPr>
        <w:t>Ann Oncol</w:t>
      </w:r>
      <w:r>
        <w:t>, vol. 31, no. 7, pp. 844-60.</w:t>
      </w:r>
    </w:p>
  </w:footnote>
  <w:footnote w:id="6">
    <w:p w14:paraId="0961CA25" w14:textId="291F8760" w:rsidR="009404C6" w:rsidRDefault="009404C6" w:rsidP="008E04B4">
      <w:pPr>
        <w:pStyle w:val="Tablenotes0"/>
      </w:pPr>
      <w:r>
        <w:rPr>
          <w:rStyle w:val="FootnoteReference"/>
        </w:rPr>
        <w:footnoteRef/>
      </w:r>
      <w:r>
        <w:t xml:space="preserve"> Pavel, M, Oberg, K, Falconi, M, Krenning, EP, Sundin, A, Perren, A, Berruti, A &amp; clinicalguidelines@esmo.org, EGCEa 2020, 'Gastroenteropancreatic neuroendocrine neoplasms: ESMO Clinical Practice Guidelines for diagnosis, treatment and follow-up', </w:t>
      </w:r>
      <w:r>
        <w:rPr>
          <w:i/>
          <w:iCs/>
        </w:rPr>
        <w:t>Ann Oncol</w:t>
      </w:r>
      <w:r>
        <w:t>, vol. 31, no. 7, pp. 844-60.</w:t>
      </w:r>
    </w:p>
  </w:footnote>
  <w:footnote w:id="7">
    <w:p w14:paraId="7D0A1467" w14:textId="36CCBC97" w:rsidR="009404C6" w:rsidRPr="001053EF" w:rsidRDefault="009404C6">
      <w:pPr>
        <w:pStyle w:val="FootnoteText"/>
        <w:rPr>
          <w:lang w:val="en-US"/>
        </w:rPr>
      </w:pPr>
      <w:r w:rsidRPr="001053EF">
        <w:rPr>
          <w:rFonts w:ascii="Arial Narrow" w:hAnsi="Arial Narrow" w:cs="Arial"/>
          <w:szCs w:val="22"/>
        </w:rPr>
        <w:footnoteRef/>
      </w:r>
      <w:r w:rsidRPr="001053EF">
        <w:rPr>
          <w:rFonts w:ascii="Arial Narrow" w:hAnsi="Arial Narrow" w:cs="Arial"/>
          <w:szCs w:val="22"/>
        </w:rPr>
        <w:t xml:space="preserve"> European Medicines Agency. Lutathera: EPAR - Product Information. 2024.</w:t>
      </w:r>
      <w:r>
        <w:rPr>
          <w:rFonts w:ascii="Arial Narrow" w:hAnsi="Arial Narrow" w:cs="Arial"/>
          <w:szCs w:val="22"/>
        </w:rPr>
        <w:t xml:space="preserve"> Available at: </w:t>
      </w:r>
      <w:hyperlink r:id="rId2" w:history="1">
        <w:r w:rsidRPr="001053EF">
          <w:rPr>
            <w:rStyle w:val="Hyperlink"/>
            <w:rFonts w:ascii="Arial Narrow" w:hAnsi="Arial Narrow" w:cs="Arial"/>
            <w:szCs w:val="22"/>
          </w:rPr>
          <w:t>https://www.ema.europa.eu/en/medicines/human/EPAR/lutathera</w:t>
        </w:r>
      </w:hyperlink>
      <w:r>
        <w:rPr>
          <w:rFonts w:ascii="Arial Narrow" w:hAnsi="Arial Narrow" w:cs="Arial"/>
          <w:szCs w:val="22"/>
        </w:rPr>
        <w:t xml:space="preserve"> </w:t>
      </w:r>
    </w:p>
  </w:footnote>
  <w:footnote w:id="8">
    <w:p w14:paraId="15A2D0BC" w14:textId="79C4935D" w:rsidR="009404C6" w:rsidRPr="009F4D49" w:rsidRDefault="009404C6" w:rsidP="00C4246F">
      <w:pPr>
        <w:pStyle w:val="Tablenotes0"/>
      </w:pPr>
      <w:r w:rsidRPr="009F4D49">
        <w:rPr>
          <w:rStyle w:val="FootnoteReference"/>
          <w:vertAlign w:val="baseline"/>
        </w:rPr>
        <w:footnoteRef/>
      </w:r>
      <w:r w:rsidRPr="009F4D49">
        <w:t xml:space="preserve"> Bauckneht, M, Albano, D, Annunziata, S, Santo, G, Guglielmo, P, Frantellizzi, V, Branca, A, Ferrari, C, Vento, A, Mirabile, A, Nappi, AG, Evangelista, L, Alongi, P &amp; Laudicella, R 2020, 'Somatostatin Receptor PET/CT Imaging for the Detection and Staging of Pancreatic NET: A Systematic Review and Meta-Analysis', Diagnostics, vol. 10, no. 8, p. 598.</w:t>
      </w:r>
    </w:p>
  </w:footnote>
  <w:footnote w:id="9">
    <w:p w14:paraId="494430C7" w14:textId="389BFCDD" w:rsidR="009404C6" w:rsidRPr="009F4D49" w:rsidRDefault="009404C6" w:rsidP="00C4246F">
      <w:pPr>
        <w:pStyle w:val="Tablenotes0"/>
      </w:pPr>
      <w:r w:rsidRPr="009F4D49">
        <w:rPr>
          <w:rStyle w:val="FootnoteReference"/>
          <w:vertAlign w:val="baseline"/>
        </w:rPr>
        <w:footnoteRef/>
      </w:r>
      <w:r w:rsidRPr="009F4D49">
        <w:t xml:space="preserve"> Carideo, L, Prosperi, D, Panzuto, F, Magi, L, Pratesi, MS, Rinzivillo, M, Annibale, B &amp; Signore, A 2019, 'Role of Combined [(</w:t>
      </w:r>
      <w:proofErr w:type="gramStart"/>
      <w:r w:rsidRPr="009F4D49">
        <w:t>68)Ga</w:t>
      </w:r>
      <w:proofErr w:type="gramEnd"/>
      <w:r w:rsidRPr="009F4D49">
        <w:t>]Ga-DOTA-SST Analogues and [(18)F]FDG PET/CT in the Management of GEP-NENs: A Systematic Review', J Clin Med, vol. 8, no. 7.</w:t>
      </w:r>
    </w:p>
  </w:footnote>
  <w:footnote w:id="10">
    <w:p w14:paraId="6856AD68" w14:textId="70287633" w:rsidR="009404C6" w:rsidRPr="009F4D49" w:rsidRDefault="009404C6" w:rsidP="00C4246F">
      <w:pPr>
        <w:pStyle w:val="Tablenotes0"/>
      </w:pPr>
      <w:r w:rsidRPr="009F4D49">
        <w:rPr>
          <w:rStyle w:val="FootnoteReference"/>
          <w:vertAlign w:val="baseline"/>
        </w:rPr>
        <w:footnoteRef/>
      </w:r>
      <w:r w:rsidRPr="009F4D49">
        <w:t xml:space="preserve"> Treglia, G, Castaldi, P, Rindi, G, Giordano, A &amp; Rufini, V 2012, 'Diagnostic performance of Gallium-68 somatostatin receptor PET and PET/CT in patients with thoracic and gastroenteropancreatic neuroendocrine tumours: a meta-analysis', Endocrine, vol. 42, pp. 80-7.</w:t>
      </w:r>
    </w:p>
  </w:footnote>
  <w:footnote w:id="11">
    <w:p w14:paraId="08A93003" w14:textId="3CC53010" w:rsidR="009404C6" w:rsidRDefault="009404C6" w:rsidP="00C4246F">
      <w:pPr>
        <w:pStyle w:val="Tablenotes0"/>
      </w:pPr>
      <w:r w:rsidRPr="009F4D49">
        <w:rPr>
          <w:rStyle w:val="FootnoteReference"/>
          <w:vertAlign w:val="baseline"/>
        </w:rPr>
        <w:footnoteRef/>
      </w:r>
      <w:r w:rsidRPr="009F4D49">
        <w:t xml:space="preserve"> Alevroudis, E, Spei, ME, Chatziioannou, SN, Tsoli, M, Wallin, G, Kaltsas, G &amp; Daskalakis, K 2021, 'Clinical Utility of (18)F-FDG PET in Neuroendocrine Tumors Prior to Peptide Receptor Radionuclide Therapy: A Systematic Review and Meta-Analysis', Cancers (Basel), vol. 13, no. 8.</w:t>
      </w:r>
    </w:p>
  </w:footnote>
  <w:footnote w:id="12">
    <w:p w14:paraId="5D93AA28" w14:textId="63664223" w:rsidR="009404C6" w:rsidRDefault="009404C6" w:rsidP="00C4246F">
      <w:pPr>
        <w:pStyle w:val="Tablenotes0"/>
      </w:pPr>
      <w:r>
        <w:rPr>
          <w:rStyle w:val="FootnoteReference"/>
        </w:rPr>
        <w:footnoteRef/>
      </w:r>
      <w:r>
        <w:t xml:space="preserve"> </w:t>
      </w:r>
      <w:r w:rsidRPr="00C4246F">
        <w:t>Whiting, P, Savović, J, Higgins, JP, Caldwell, DM, Reeves, BC, Shea, B, Davies, P, Kleijnen, J &amp; Churchill, R 2016, 'ROBIS: a new tool to assess risk of bias in systematic reviews was developed', Journal of clinical epidemiology, vol. 69, pp. 225-34.</w:t>
      </w:r>
    </w:p>
  </w:footnote>
  <w:footnote w:id="13">
    <w:p w14:paraId="3F158E30" w14:textId="74242101" w:rsidR="009404C6" w:rsidRPr="004066B9" w:rsidRDefault="009404C6" w:rsidP="004066B9">
      <w:pPr>
        <w:pStyle w:val="Tablenotes0"/>
      </w:pPr>
      <w:r w:rsidRPr="004066B9">
        <w:rPr>
          <w:rStyle w:val="FootnoteReference"/>
          <w:vertAlign w:val="baseline"/>
        </w:rPr>
        <w:footnoteRef/>
      </w:r>
      <w:r w:rsidRPr="004066B9">
        <w:t xml:space="preserve"> van der Zwan, W, Wyld, D, Brabander, T, Teunissen, J, Kam, B, MacFarlane, D, Krenning, E, Kwekkeboom, D &amp; De Herder, W 2018, 'A randomized controlled study comparing treatment of gastro-entero-pancreatic neuroendocrine tumors (GEPNET) with 177lu-dotatate alone and in combination with capecitabine', Neuroendocrinology, vol. 106, p. 261.</w:t>
      </w:r>
    </w:p>
  </w:footnote>
  <w:footnote w:id="14">
    <w:p w14:paraId="4B8E8AB6" w14:textId="0DBF2619" w:rsidR="009404C6" w:rsidRPr="004066B9" w:rsidRDefault="009404C6" w:rsidP="004066B9">
      <w:pPr>
        <w:pStyle w:val="Tablenotes0"/>
      </w:pPr>
      <w:r w:rsidRPr="004066B9">
        <w:rPr>
          <w:rStyle w:val="FootnoteReference"/>
          <w:vertAlign w:val="baseline"/>
        </w:rPr>
        <w:footnoteRef/>
      </w:r>
      <w:r w:rsidRPr="004066B9">
        <w:t xml:space="preserve"> Sood, A, Satapathy, S &amp; Chandekar, K 2023, 'Concomitant 177Lu-DOTATATE and low-dose capecitabine versus 177Lu-DOTATATE alone in patients with advanced well-differentiated gastroenteropancreatic neuroendocrine tumours - preliminary results of a randomized controlled trial', Clinical Nuclear Medicine, vol. 48, no. 5, pp. e261-e2.</w:t>
      </w:r>
    </w:p>
  </w:footnote>
  <w:footnote w:id="15">
    <w:p w14:paraId="59C66627" w14:textId="01ACF9CD" w:rsidR="009404C6" w:rsidRPr="004066B9" w:rsidRDefault="009404C6" w:rsidP="004066B9">
      <w:pPr>
        <w:pStyle w:val="Tablenotes0"/>
      </w:pPr>
      <w:r w:rsidRPr="004066B9">
        <w:rPr>
          <w:rStyle w:val="FootnoteReference"/>
          <w:vertAlign w:val="baseline"/>
        </w:rPr>
        <w:footnoteRef/>
      </w:r>
      <w:r w:rsidRPr="004066B9">
        <w:t xml:space="preserve"> Higgins, JP, Altman, DG, Gotzsche, PC, Juni, P, Moher, D, Oxman, AD, Savovic, J, Schulz, KF, Weeks, L, Sterne, JA, Cochrane Bias Methods, G &amp; Cochrane Statistical Methods, G 2011, 'The Cochrane Collaboration's tool for assessing risk of bias in randomised trials', BMJ, vol. 343, p. d5928.</w:t>
      </w:r>
    </w:p>
  </w:footnote>
  <w:footnote w:id="16">
    <w:p w14:paraId="3B442723" w14:textId="77777777" w:rsidR="009404C6" w:rsidRPr="005E2913" w:rsidRDefault="009404C6" w:rsidP="000509B9">
      <w:pPr>
        <w:pStyle w:val="Tablenotes0"/>
      </w:pPr>
      <w:r w:rsidRPr="005E2913">
        <w:rPr>
          <w:rStyle w:val="FootnoteReference"/>
          <w:vertAlign w:val="baseline"/>
        </w:rPr>
        <w:footnoteRef/>
      </w:r>
      <w:r w:rsidRPr="005E2913">
        <w:t xml:space="preserve"> ClinicalTrials.gov 2022, A Study Comparing Treatment With 177Lu-DOTA0-Tyr3-Octreotate to Octreotide LAR in Patients </w:t>
      </w:r>
      <w:proofErr w:type="gramStart"/>
      <w:r w:rsidRPr="005E2913">
        <w:t>With</w:t>
      </w:r>
      <w:proofErr w:type="gramEnd"/>
      <w:r w:rsidRPr="005E2913">
        <w:t xml:space="preserve"> Inoperable, Progressive, Somatostatin Receptor Positive Midgut Carcinoid Tumours, https://classic.clinicaltrials.gov/show/NCT01578239.</w:t>
      </w:r>
    </w:p>
  </w:footnote>
  <w:footnote w:id="17">
    <w:p w14:paraId="409E4B46" w14:textId="77777777" w:rsidR="009404C6" w:rsidRPr="005E2913" w:rsidRDefault="009404C6" w:rsidP="000509B9">
      <w:pPr>
        <w:pStyle w:val="Tablenotes0"/>
      </w:pPr>
      <w:r w:rsidRPr="005E2913">
        <w:rPr>
          <w:rStyle w:val="FootnoteReference"/>
          <w:vertAlign w:val="baseline"/>
        </w:rPr>
        <w:footnoteRef/>
      </w:r>
      <w:r w:rsidRPr="005E2913">
        <w:t xml:space="preserve"> Baudin, E, Walter, T, Beron, A, Smith, D, Hadoux, J, Moreau-Triby, C, Taieb, D, Ansquer, C, Dierickx, L, De Mestier, L, Deshayes, E, Quak, E, Dahan, L, Guimbaud, R, Touchefeu, Y, Haissaguerre, M, Vuillez, J, Courbon, F, Hindie, E, Do Cao, C, Lombard-Bohas, C, Attard, M &amp; Foulon, S 2022, 'Results from OCLURANDOM: the first multicentric randomized phase II trial investigating the antitumor efficacy of peptide receptor radionuclide therapy with lutetium-177 octreotate (OCLU) in patients with unresectable progressive neuroendocrine pancreatic tumors', European Journal of Nuclear Medicine and Molecular Imaging, vol. 49, p. S52.</w:t>
      </w:r>
    </w:p>
  </w:footnote>
  <w:footnote w:id="18">
    <w:p w14:paraId="13BA82F1" w14:textId="77777777" w:rsidR="009404C6" w:rsidRPr="004066B9" w:rsidRDefault="009404C6" w:rsidP="000509B9">
      <w:pPr>
        <w:pStyle w:val="Tablenotes0"/>
      </w:pPr>
      <w:r w:rsidRPr="004066B9">
        <w:rPr>
          <w:rStyle w:val="FootnoteReference"/>
          <w:vertAlign w:val="baseline"/>
        </w:rPr>
        <w:footnoteRef/>
      </w:r>
      <w:r w:rsidRPr="004066B9">
        <w:t xml:space="preserve"> Caplin, ME, Pavel, M, Ćwikła, JB, Phan, AT, Raderer, M, Sedláčková, E, Cadiot, G, Wolin, EM, Capdevila, J &amp; Wall, L 2014, 'Lanreotide in metastatic enteropancreatic neuroendocrine tumors', New England Journal of Medicine, vol. 371, no. 3, pp. 224-33.</w:t>
      </w:r>
    </w:p>
  </w:footnote>
  <w:footnote w:id="19">
    <w:p w14:paraId="753E081A" w14:textId="77777777" w:rsidR="009404C6" w:rsidRPr="004066B9" w:rsidRDefault="009404C6" w:rsidP="000509B9">
      <w:pPr>
        <w:pStyle w:val="Tablenotes0"/>
      </w:pPr>
      <w:r w:rsidRPr="004066B9">
        <w:rPr>
          <w:rStyle w:val="FootnoteReference"/>
          <w:vertAlign w:val="baseline"/>
        </w:rPr>
        <w:footnoteRef/>
      </w:r>
      <w:r w:rsidRPr="004066B9">
        <w:t xml:space="preserve"> Rinke, A, Muller, H-H, Schade-Brittinger, C, Klose, K-J, Barth, P, Wied, M, Mayer, C, Aminossadati, B, Pape, U-F &amp; Blaker, M 2009, 'Placebo-controlled, double-blind, prospective, randomized study on the effect of octreotide LAR in the control of tumor growth in patients with metastatic neuroendocrine midgut tumors: a report from the PROMID Study Group', J Clin Oncol, vol. 27, no. 28, pp. 4656-63.</w:t>
      </w:r>
    </w:p>
  </w:footnote>
  <w:footnote w:id="20">
    <w:p w14:paraId="67C9C242" w14:textId="77777777" w:rsidR="009404C6" w:rsidRDefault="009404C6" w:rsidP="000509B9">
      <w:pPr>
        <w:pStyle w:val="Tablenotes0"/>
      </w:pPr>
      <w:r w:rsidRPr="004066B9">
        <w:rPr>
          <w:rStyle w:val="FootnoteReference"/>
          <w:vertAlign w:val="baseline"/>
        </w:rPr>
        <w:footnoteRef/>
      </w:r>
      <w:r w:rsidRPr="004066B9">
        <w:t xml:space="preserve"> Kunz, PL, Catalano, PJ, Nimeiri, H, Fisher, GA, Longacre, TA, Suarez, CJ, Yao, JC, Kulke, MH, Hendifar, AE, Shanks, JC, Shah, MH, Zalupski, M, Schmulbach, EL, Reidy, DL, Strosberg, JR, O'Dwyer, PJ &amp; Benson, AB 2018, 'A randomized study of temozolomide or temozolomide and capecitabine in patients with advanced pancreatic neuroendocrine tumors: A trial of the ECOG-ACRIN Cancer Research Group (E2211)', Journal of Clinical Oncology, vol. 36, no. 15.</w:t>
      </w:r>
    </w:p>
  </w:footnote>
  <w:footnote w:id="21">
    <w:p w14:paraId="422E3EB6" w14:textId="77777777" w:rsidR="009404C6" w:rsidRPr="00517103" w:rsidRDefault="009404C6" w:rsidP="000509B9">
      <w:pPr>
        <w:pStyle w:val="Tablenotes0"/>
      </w:pPr>
      <w:r>
        <w:rPr>
          <w:rStyle w:val="FootnoteReference"/>
        </w:rPr>
        <w:footnoteRef/>
      </w:r>
      <w:r>
        <w:t xml:space="preserve"> Morizane, C, Machida, N, Honma, Y, Okusaka, T, Boku, N, Kato, K, Nomura, S, Hiraoka, N, Sekine, S, Taniguchi, H, Okano, N, Yamaguchi, K, Sato, T, Ikeda, M, Mizuno, N, Ozaka, M, Kataoka, T, Ueno, M, Kitagawa, Y, Terashima, M &amp; Furuse, J 2022, 'Effectiveness of Etoposide and Cisplatin vs Irinotecan and Cisplatin Therapy for Patients with Advanced Neuroendocrine Carcinoma of the Digestive System: The TOPIC-NEC Phase 3 Randomized Clinical Trial', </w:t>
      </w:r>
      <w:r>
        <w:rPr>
          <w:i/>
          <w:iCs/>
        </w:rPr>
        <w:t>JAMA Oncology</w:t>
      </w:r>
      <w:r>
        <w:t>, vol. 8, no. 10, pp. 1447-55.</w:t>
      </w:r>
    </w:p>
  </w:footnote>
  <w:footnote w:id="22">
    <w:p w14:paraId="032892B4" w14:textId="77777777" w:rsidR="009404C6" w:rsidRDefault="009404C6" w:rsidP="000509B9">
      <w:pPr>
        <w:pStyle w:val="Tablenotes0"/>
      </w:pPr>
      <w:r>
        <w:rPr>
          <w:rStyle w:val="FootnoteReference"/>
        </w:rPr>
        <w:footnoteRef/>
      </w:r>
      <w:r>
        <w:t xml:space="preserve"> Pavel, ME, Hainsworth, JD, Baudin, E, Peeters, M, Horsch, D, Winkler, RE, Klimovsky, J, Lebwohl, D, Jehl, V, Wolin, EM, Oberg, K, Van Cutsem, E &amp; Yao, JC 2011, 'Everolimus plus octreotide long-acting repeatable for the treatment of advanced neuroendocrine tumours associated with carcinoid syndrome (RADIANT-2): A randomised, placebo-controlled, phase 3 study', </w:t>
      </w:r>
      <w:r>
        <w:rPr>
          <w:i/>
          <w:iCs/>
        </w:rPr>
        <w:t>The Lancet</w:t>
      </w:r>
      <w:r>
        <w:t>, vol. 378, no. 9808, pp. 2005-12.</w:t>
      </w:r>
    </w:p>
  </w:footnote>
  <w:footnote w:id="23">
    <w:p w14:paraId="4690BAEA" w14:textId="77777777" w:rsidR="009404C6" w:rsidRDefault="009404C6" w:rsidP="000509B9">
      <w:pPr>
        <w:pStyle w:val="Tablenotes0"/>
      </w:pPr>
      <w:r>
        <w:rPr>
          <w:rStyle w:val="FootnoteReference"/>
        </w:rPr>
        <w:footnoteRef/>
      </w:r>
      <w:r>
        <w:t xml:space="preserve"> Eads, JR, Catalano, PJ, Fisher, GA, Rubin, D, Iagaru, A, Klimstra, DS, Konda, B, Kwong, MS, Chan, JA, De Jesus-Acosta, A, Halfdanarson, TR, Shaib, WL, Soares, HP, Hong, SC, Wong, TZ &amp; O'Dwyer, PJ 2022, 'Randomized phase II study of platinum and etoposide (EP) versus temozolomide and capecitabine (CAPTEM) in patients (pts) with advanced G3 non-small cell gastroenteropancreatic neuroendocrine neoplasms (GEPNENs): ECOG-ACRIN EA2142', </w:t>
      </w:r>
      <w:r>
        <w:rPr>
          <w:i/>
          <w:iCs/>
        </w:rPr>
        <w:t>Journal of Clinical Oncology</w:t>
      </w:r>
      <w:r>
        <w:t>, vol. 40, no. 16.</w:t>
      </w:r>
    </w:p>
  </w:footnote>
  <w:footnote w:id="24">
    <w:p w14:paraId="395F6D57" w14:textId="77777777" w:rsidR="009404C6" w:rsidRDefault="009404C6" w:rsidP="000509B9">
      <w:pPr>
        <w:pStyle w:val="Tablenotes0"/>
      </w:pPr>
      <w:r>
        <w:rPr>
          <w:rStyle w:val="FootnoteReference"/>
        </w:rPr>
        <w:footnoteRef/>
      </w:r>
      <w:r>
        <w:t xml:space="preserve"> Lepage, C, Phelip, JM, Lievre, A, Le Malicot, K, Tougeron, D, Dahan, L, Toumpanakis, C, Di Fiore, F, Bohas, CL &amp; Borbath, I 'Lanreotide as maintenance therapy after first-line treatment in patients with non-resectable duodeno-pancreatic neuroendocrine tumours (NETs): an international double-blind, placebo-controlled randomized phase II trial', in vol. 31, pp. S774-S.</w:t>
      </w:r>
    </w:p>
  </w:footnote>
  <w:footnote w:id="25">
    <w:p w14:paraId="1CF27448" w14:textId="77777777" w:rsidR="009404C6" w:rsidRDefault="009404C6" w:rsidP="000509B9">
      <w:pPr>
        <w:pStyle w:val="Tablenotes0"/>
      </w:pPr>
      <w:r>
        <w:rPr>
          <w:rStyle w:val="FootnoteReference"/>
        </w:rPr>
        <w:footnoteRef/>
      </w:r>
      <w:r>
        <w:t xml:space="preserve"> Yao, JC, Shah, MH, Ito, T, Bohas, CL, Wolin, EM, Van Cutsem, E, Hobday, TJ, Okusaka, T, Capdevila, J &amp; De Vries, EGE 2011, 'Everolimus for advanced pancreatic neuroendocrine tumors', </w:t>
      </w:r>
      <w:r>
        <w:rPr>
          <w:i/>
          <w:iCs/>
        </w:rPr>
        <w:t>New England Journal of Medicine</w:t>
      </w:r>
      <w:r>
        <w:t>, vol. 364, no. 6, pp. 514-23.</w:t>
      </w:r>
    </w:p>
  </w:footnote>
  <w:footnote w:id="26">
    <w:p w14:paraId="1C63A12F" w14:textId="77777777" w:rsidR="009404C6" w:rsidRPr="00092ECB" w:rsidRDefault="009404C6" w:rsidP="000509B9">
      <w:pPr>
        <w:pStyle w:val="Tablenotes0"/>
      </w:pPr>
      <w:r w:rsidRPr="00092ECB">
        <w:rPr>
          <w:rStyle w:val="FootnoteReference"/>
          <w:vertAlign w:val="baseline"/>
        </w:rPr>
        <w:footnoteRef/>
      </w:r>
      <w:r w:rsidRPr="00092ECB">
        <w:t xml:space="preserve"> Yao, JC, Fazio, N, Singh, S, Buzzoni, R, Carnaghi, C, Wolin, E, Tomasek, J, Raderer, M, Lahner, H &amp; Voi, M 2016, 'Everolimus for the treatment of advanced, non-functional neuroendocrine tumours of the lung or gastrointestinal tract (RADIANT-4): a randomised, placebo-controlled, phase 3 study', The Lancet, vol. 387, no. 10022, pp. 968-77.</w:t>
      </w:r>
    </w:p>
  </w:footnote>
  <w:footnote w:id="27">
    <w:p w14:paraId="352B564D" w14:textId="77777777" w:rsidR="009404C6" w:rsidRPr="00092ECB" w:rsidRDefault="009404C6" w:rsidP="000509B9">
      <w:pPr>
        <w:pStyle w:val="Tablenotes0"/>
      </w:pPr>
      <w:r w:rsidRPr="00092ECB">
        <w:rPr>
          <w:rStyle w:val="FootnoteReference"/>
          <w:vertAlign w:val="baseline"/>
        </w:rPr>
        <w:footnoteRef/>
      </w:r>
      <w:r w:rsidRPr="00092ECB">
        <w:t xml:space="preserve"> Meyer, T, Qian, W, Caplin, ME, Armstrong, G, Lao-Sirieix, SH, Hardy, R, Valle, JW, Talbot, DC, Cunningham, D, Reed, N, Shaw, A, Navalkissoor, S, Luong, TV &amp; Corrie, PG 2014, 'Capecitabine and streptozocin +/- cisplatin in advanced gastroenteropancreatic neuroendocrine tumours', European Journal of Cancer, vol. 50, no. 5, pp. 902-11.</w:t>
      </w:r>
    </w:p>
  </w:footnote>
  <w:footnote w:id="28">
    <w:p w14:paraId="5A9A93B9" w14:textId="77777777" w:rsidR="009404C6" w:rsidRPr="005E2913" w:rsidRDefault="009404C6" w:rsidP="000509B9">
      <w:pPr>
        <w:pStyle w:val="Tablenotes0"/>
      </w:pPr>
      <w:r w:rsidRPr="005E2913">
        <w:rPr>
          <w:rStyle w:val="FootnoteReference"/>
          <w:vertAlign w:val="baseline"/>
        </w:rPr>
        <w:footnoteRef/>
      </w:r>
      <w:r w:rsidRPr="005E2913">
        <w:t xml:space="preserve"> ClinicalTrials.gov 2022, Efficacy and Safety of Lanreotide Autogel/ Depot 120 mg vs. Placebo in Subjects </w:t>
      </w:r>
      <w:proofErr w:type="gramStart"/>
      <w:r w:rsidRPr="005E2913">
        <w:t>With</w:t>
      </w:r>
      <w:proofErr w:type="gramEnd"/>
      <w:r w:rsidRPr="005E2913">
        <w:t xml:space="preserve"> Lung Neuroendocrine Tumours, https://classic.clinicaltrials.gov/show/NCT02683941.</w:t>
      </w:r>
    </w:p>
  </w:footnote>
  <w:footnote w:id="29">
    <w:p w14:paraId="7722128B" w14:textId="77777777" w:rsidR="009404C6" w:rsidRPr="005E2913" w:rsidRDefault="009404C6" w:rsidP="000509B9">
      <w:pPr>
        <w:pStyle w:val="Tablenotes0"/>
      </w:pPr>
      <w:r w:rsidRPr="005E2913">
        <w:rPr>
          <w:rStyle w:val="FootnoteReference"/>
          <w:vertAlign w:val="baseline"/>
        </w:rPr>
        <w:footnoteRef/>
      </w:r>
      <w:r w:rsidRPr="005E2913">
        <w:t xml:space="preserve"> Raymond, E, Dahan, L, Raoul, J-L, Bang, Y-J, Borbath, I, Lombard-Bohas, C, Valle, J, Metrakos, P, Smith, D &amp; Vinik, A 2011, 'Sunitinib malate for the treatment of pancreatic neuroendocrine tumors', New England Journal of Medicine, vol. 364, no. 6, pp. 501-13.</w:t>
      </w:r>
    </w:p>
  </w:footnote>
  <w:footnote w:id="30">
    <w:p w14:paraId="48304C43" w14:textId="73D44FAB" w:rsidR="009404C6" w:rsidRDefault="009404C6">
      <w:pPr>
        <w:pStyle w:val="FootnoteText"/>
      </w:pPr>
      <w:r>
        <w:rPr>
          <w:rStyle w:val="FootnoteReference"/>
        </w:rPr>
        <w:footnoteRef/>
      </w:r>
      <w:r>
        <w:t xml:space="preserve"> </w:t>
      </w:r>
      <w:r w:rsidRPr="00EF2D54">
        <w:rPr>
          <w:rFonts w:ascii="Arial Narrow" w:hAnsi="Arial Narrow"/>
        </w:rPr>
        <w:t xml:space="preserve">Strosberg, J, El-Haddad, G, Wolin, </w:t>
      </w:r>
      <w:r>
        <w:rPr>
          <w:rFonts w:ascii="Arial Narrow" w:hAnsi="Arial Narrow"/>
        </w:rPr>
        <w:t>et al.</w:t>
      </w:r>
      <w:r w:rsidRPr="00EF2D54">
        <w:rPr>
          <w:rFonts w:ascii="Arial Narrow" w:hAnsi="Arial Narrow"/>
        </w:rPr>
        <w:t xml:space="preserve"> N-T 2017, 'Phase 3 Trial of (</w:t>
      </w:r>
      <w:proofErr w:type="gramStart"/>
      <w:r w:rsidRPr="00EF2D54">
        <w:rPr>
          <w:rFonts w:ascii="Arial Narrow" w:hAnsi="Arial Narrow"/>
        </w:rPr>
        <w:t>177)Lu</w:t>
      </w:r>
      <w:proofErr w:type="gramEnd"/>
      <w:r w:rsidRPr="00EF2D54">
        <w:rPr>
          <w:rFonts w:ascii="Arial Narrow" w:hAnsi="Arial Narrow"/>
        </w:rPr>
        <w:t>-Dotatate for Midgut Neuroendocrine Tumors', N Engl J Med, vol. 376, no. 2, pp. 125-35.</w:t>
      </w:r>
    </w:p>
  </w:footnote>
  <w:footnote w:id="31">
    <w:p w14:paraId="4B2A1C17" w14:textId="503A12E2" w:rsidR="009404C6" w:rsidRPr="001053EF" w:rsidRDefault="009404C6">
      <w:pPr>
        <w:pStyle w:val="FootnoteText"/>
        <w:rPr>
          <w:lang w:val="en-US"/>
        </w:rPr>
      </w:pPr>
      <w:r w:rsidRPr="001053EF">
        <w:rPr>
          <w:rFonts w:ascii="Arial Narrow" w:hAnsi="Arial Narrow" w:cs="Arial"/>
          <w:szCs w:val="22"/>
        </w:rPr>
        <w:footnoteRef/>
      </w:r>
      <w:r w:rsidRPr="001053EF">
        <w:rPr>
          <w:rFonts w:ascii="Arial Narrow" w:hAnsi="Arial Narrow" w:cs="Arial"/>
          <w:szCs w:val="22"/>
        </w:rPr>
        <w:t xml:space="preserve"> Sood A, Aggarwal P, Satapathy S, et al. PP047 Concomitant 177Lu-DOTATATE and low dose capecitabine versus 177Lu-DOTATATE alone in patients with advanced well-differentiated gastroenteropancreatic neuroendocrine tumours–a randomized controlled trial. ESMO Open 2023;8(1)</w:t>
      </w:r>
    </w:p>
  </w:footnote>
  <w:footnote w:id="32">
    <w:p w14:paraId="7168D335" w14:textId="6D46AB09" w:rsidR="009404C6" w:rsidRDefault="009404C6" w:rsidP="00FB2E7A">
      <w:pPr>
        <w:pStyle w:val="Tablenotes0"/>
      </w:pPr>
      <w:r>
        <w:rPr>
          <w:rStyle w:val="FootnoteReference"/>
        </w:rPr>
        <w:footnoteRef/>
      </w:r>
      <w:r>
        <w:t xml:space="preserve"> NICE 2018, National Institute for Health and Care Excellence. Multiple Technology Appraisal. Lutetium (177Lu) oxodotreotide for treating unresectable or metastatic neuroendocrine tumours [ID1224]: Committee Papers.</w:t>
      </w:r>
    </w:p>
  </w:footnote>
  <w:footnote w:id="33">
    <w:p w14:paraId="19DF2BC5" w14:textId="77777777" w:rsidR="000B228E" w:rsidRDefault="000B228E" w:rsidP="000B228E">
      <w:pPr>
        <w:pStyle w:val="FootnoteText"/>
      </w:pPr>
      <w:r>
        <w:rPr>
          <w:rStyle w:val="FootnoteReference"/>
        </w:rPr>
        <w:footnoteRef/>
      </w:r>
      <w:r>
        <w:t xml:space="preserve"> </w:t>
      </w:r>
      <w:r w:rsidRPr="00617224">
        <w:t xml:space="preserve">  Pavel, M, Oberg, K, Falconi, M, Krenning, EP, Sundin, A, Perren, A, Berruti, A &amp; clinicalguidelines@esmo.org, EGCEa 2020, 'Gastroenteropancreatic neuroendocrine neoplasms: ESMO Clinical Practice Guidelines for diagnosis, treatment and follow-up', Ann Oncol, vol. 31, no. 7, pp. 844-60.</w:t>
      </w:r>
    </w:p>
  </w:footnote>
  <w:footnote w:id="34">
    <w:p w14:paraId="219EDF2A" w14:textId="77777777" w:rsidR="000B228E" w:rsidRDefault="000B228E" w:rsidP="000B228E">
      <w:pPr>
        <w:pStyle w:val="FootnoteText"/>
      </w:pPr>
      <w:r>
        <w:rPr>
          <w:rStyle w:val="FootnoteReference"/>
        </w:rPr>
        <w:footnoteRef/>
      </w:r>
      <w:r>
        <w:t xml:space="preserve"> </w:t>
      </w:r>
      <w:r w:rsidRPr="00160C4C">
        <w:t>Zhang J, Liu Q, Singh A, Schuchardt C, Kulkarni HR, Baum RP. Prognostic Value of 18F-FDG PET/CT in a Large Cohort of Patients with Advanced Metastatic Neuroendocrine Neoplasms Treated with Peptide Receptor Radionuclide Therapy. J Nucl Med. 2020 Nov;61(11):1560-1569. doi: 10.2967/jnumed.119.241414. Epub 2020 Mar 13. PMID: 32169914</w:t>
      </w:r>
      <w:r>
        <w:t>.</w:t>
      </w:r>
    </w:p>
  </w:footnote>
  <w:footnote w:id="35">
    <w:p w14:paraId="66E40361" w14:textId="77777777" w:rsidR="000B228E" w:rsidRDefault="000B228E" w:rsidP="000B228E">
      <w:pPr>
        <w:pStyle w:val="FootnoteText"/>
      </w:pPr>
      <w:r>
        <w:rPr>
          <w:rStyle w:val="FootnoteReference"/>
        </w:rPr>
        <w:footnoteRef/>
      </w:r>
      <w:r>
        <w:t xml:space="preserve"> </w:t>
      </w:r>
      <w:r w:rsidRPr="00A6071D">
        <w:t>Sitani K, Parghane RV, Talole S, Basu S. Long-term outcome of indigenous 177Lu-DOTATATE PRRT in patients with Metastatic Advanced Neuroendocrine Tumours: a single institutional observation in a large tertiary care setting. Br J Radiol. 2021 Jan 1;94(1117):20201041. doi: 10.1259/bjr.20201041. Epub 2020 Oct 29. PMID: 33095671; PMCID: PMC7774689.</w:t>
      </w:r>
    </w:p>
  </w:footnote>
  <w:footnote w:id="36">
    <w:p w14:paraId="5462981F" w14:textId="77777777" w:rsidR="000B228E" w:rsidRDefault="000B228E" w:rsidP="000B228E">
      <w:pPr>
        <w:pStyle w:val="FootnoteText"/>
      </w:pPr>
      <w:r>
        <w:rPr>
          <w:rStyle w:val="FootnoteReference"/>
        </w:rPr>
        <w:footnoteRef/>
      </w:r>
      <w:r>
        <w:t xml:space="preserve"> </w:t>
      </w:r>
      <w:r w:rsidRPr="00994611">
        <w:rPr>
          <w:rFonts w:cstheme="minorHAnsi"/>
          <w:color w:val="333333"/>
          <w:szCs w:val="18"/>
          <w:shd w:val="clear" w:color="auto" w:fill="FFFFFF"/>
        </w:rPr>
        <w:t>Strosberg, J., El-Haddad, G., Wolin, E., Hendifar, A., Yao, J., Chasen, B., Mittra, E., Kunz, P. L., Kulke, M. H., Jacene, H., Bushnell, D., O’Dorisio, T. M., Baum, R. P., Kulkarni, H. R., Caplin, M., Lebtahi, R., Hobday, T., Delpassand, E., Van Cutsem, E., … Krenning, E. (2017). Phase 3 Trial of 177Lu-Dotatate for Midgut Neuroendocrine Tumors. </w:t>
      </w:r>
      <w:r w:rsidRPr="00994611">
        <w:rPr>
          <w:rFonts w:cstheme="minorHAnsi"/>
          <w:i/>
          <w:iCs/>
          <w:color w:val="333333"/>
          <w:szCs w:val="18"/>
          <w:shd w:val="clear" w:color="auto" w:fill="FFFFFF"/>
        </w:rPr>
        <w:t>The New England Journal of Medicine</w:t>
      </w:r>
      <w:r w:rsidRPr="00994611">
        <w:rPr>
          <w:rFonts w:cstheme="minorHAnsi"/>
          <w:color w:val="333333"/>
          <w:szCs w:val="18"/>
          <w:shd w:val="clear" w:color="auto" w:fill="FFFFFF"/>
        </w:rPr>
        <w:t>, </w:t>
      </w:r>
      <w:r w:rsidRPr="00994611">
        <w:rPr>
          <w:rFonts w:cstheme="minorHAnsi"/>
          <w:i/>
          <w:iCs/>
          <w:color w:val="333333"/>
          <w:szCs w:val="18"/>
          <w:shd w:val="clear" w:color="auto" w:fill="FFFFFF"/>
        </w:rPr>
        <w:t>376</w:t>
      </w:r>
      <w:r w:rsidRPr="00994611">
        <w:rPr>
          <w:rFonts w:cstheme="minorHAnsi"/>
          <w:color w:val="333333"/>
          <w:szCs w:val="18"/>
          <w:shd w:val="clear" w:color="auto" w:fill="FFFFFF"/>
        </w:rPr>
        <w:t>(2), 125–135.</w:t>
      </w:r>
    </w:p>
  </w:footnote>
  <w:footnote w:id="37">
    <w:p w14:paraId="6572CF13" w14:textId="77777777" w:rsidR="000B228E" w:rsidRDefault="000B228E" w:rsidP="000B228E">
      <w:pPr>
        <w:pStyle w:val="FootnoteText"/>
      </w:pPr>
      <w:r>
        <w:rPr>
          <w:rStyle w:val="FootnoteReference"/>
        </w:rPr>
        <w:footnoteRef/>
      </w:r>
      <w:r>
        <w:t xml:space="preserve"> </w:t>
      </w:r>
      <w:r w:rsidRPr="00994611">
        <w:rPr>
          <w:rFonts w:cstheme="minorHAnsi"/>
          <w:color w:val="333333"/>
          <w:szCs w:val="18"/>
          <w:shd w:val="clear" w:color="auto" w:fill="FFFFFF"/>
        </w:rPr>
        <w:t>Sood, A., Aggarwal, P., Satapathy, S., Chandekar, K. R., Das, C. K., Kumar, A., Gupta, R., &amp; Mittal, B. R. (2023). PP047 Concomitant 177Lu-DOTATATE and low dose capecitabine versus 177Lu-DOTATATE alone in patients with advanced well-differentiated gastroenteropancreatic neuroendocrine tumours – a randomized controlled trial. </w:t>
      </w:r>
      <w:r w:rsidRPr="00994611">
        <w:rPr>
          <w:rFonts w:cstheme="minorHAnsi"/>
          <w:i/>
          <w:iCs/>
          <w:color w:val="333333"/>
          <w:szCs w:val="18"/>
          <w:shd w:val="clear" w:color="auto" w:fill="FFFFFF"/>
        </w:rPr>
        <w:t>ESMO Open</w:t>
      </w:r>
      <w:r w:rsidRPr="00994611">
        <w:rPr>
          <w:rFonts w:cstheme="minorHAnsi"/>
          <w:color w:val="333333"/>
          <w:szCs w:val="18"/>
          <w:shd w:val="clear" w:color="auto" w:fill="FFFFFF"/>
        </w:rPr>
        <w:t>, </w:t>
      </w:r>
      <w:r w:rsidRPr="00994611">
        <w:rPr>
          <w:rFonts w:cstheme="minorHAnsi"/>
          <w:i/>
          <w:iCs/>
          <w:color w:val="333333"/>
          <w:szCs w:val="18"/>
          <w:shd w:val="clear" w:color="auto" w:fill="FFFFFF"/>
        </w:rPr>
        <w:t>8</w:t>
      </w:r>
      <w:r w:rsidRPr="00994611">
        <w:rPr>
          <w:rFonts w:cstheme="minorHAnsi"/>
          <w:color w:val="333333"/>
          <w:szCs w:val="18"/>
          <w:shd w:val="clear" w:color="auto" w:fill="FFFFFF"/>
        </w:rPr>
        <w:t>(1), 102138.</w:t>
      </w:r>
    </w:p>
  </w:footnote>
  <w:footnote w:id="38">
    <w:p w14:paraId="007F08BD" w14:textId="77777777" w:rsidR="000B228E" w:rsidRDefault="000B228E" w:rsidP="000B228E">
      <w:pPr>
        <w:pStyle w:val="FootnoteText"/>
      </w:pPr>
      <w:r>
        <w:rPr>
          <w:rStyle w:val="FootnoteReference"/>
        </w:rPr>
        <w:footnoteRef/>
      </w:r>
      <w:r>
        <w:t xml:space="preserve"> </w:t>
      </w:r>
      <w:r w:rsidRPr="00E72279">
        <w:t>https://www.nice.org.uk/guidance/ta539</w:t>
      </w:r>
    </w:p>
  </w:footnote>
  <w:footnote w:id="39">
    <w:p w14:paraId="247EDF4D" w14:textId="77777777" w:rsidR="000B228E" w:rsidRDefault="000B228E" w:rsidP="000B228E">
      <w:pPr>
        <w:pStyle w:val="FootnoteText"/>
      </w:pPr>
      <w:r>
        <w:rPr>
          <w:rStyle w:val="FootnoteReference"/>
        </w:rPr>
        <w:footnoteRef/>
      </w:r>
      <w:r>
        <w:t xml:space="preserve"> </w:t>
      </w:r>
      <w:r w:rsidRPr="00067DDB">
        <w:t>Zhang JY, Kunz PL. Making Sense of a Complex Disease: A Practical Approach to Managing Neuroendocrine Tumors. JCO Oncol Pract. 2022 Apr;18(4):258-264. doi: 10.1200/OP.21.00240. Epub 2021 Oct 15. PMID: 34652954.</w:t>
      </w:r>
    </w:p>
  </w:footnote>
  <w:footnote w:id="40">
    <w:p w14:paraId="32495FFF" w14:textId="77777777" w:rsidR="000B228E" w:rsidRDefault="000B228E" w:rsidP="000B228E">
      <w:pPr>
        <w:pStyle w:val="FootnoteText"/>
      </w:pPr>
      <w:r>
        <w:rPr>
          <w:rStyle w:val="FootnoteReference"/>
        </w:rPr>
        <w:footnoteRef/>
      </w:r>
      <w:r>
        <w:t xml:space="preserve"> </w:t>
      </w:r>
      <w:r w:rsidRPr="0032110F">
        <w:t>Oberg K, Kvols L, Caplin M, Delle Fave G, de Herder W, Rindi G, Ruszniewski P, Woltering EA, Wiedenmann B. Consensus report on the use of somatostatin analogs for the management of neuroendocrine tumors of the gastroenteropancreatic system. Ann Oncol. 2004 Jun;15(6):966-73. doi: 10.1093/annonc/mdh216. PMID: 15151956.</w:t>
      </w:r>
    </w:p>
  </w:footnote>
  <w:footnote w:id="41">
    <w:p w14:paraId="43F48281" w14:textId="77777777" w:rsidR="000B228E" w:rsidRDefault="000B228E" w:rsidP="000B228E">
      <w:pPr>
        <w:pStyle w:val="FootnoteText"/>
      </w:pPr>
      <w:r>
        <w:rPr>
          <w:rStyle w:val="FootnoteReference"/>
        </w:rPr>
        <w:footnoteRef/>
      </w:r>
      <w:r>
        <w:t xml:space="preserve"> </w:t>
      </w:r>
      <w:r w:rsidRPr="007B363F">
        <w:t>Popa, O., Taban, S. M., Pantea, S., Plopeanu, A. D., Barna, R. A., Cornianu, M., Pascu, A., Dema, A. C."The new WHO classification of gastrointestinal neuroendocrine tumors and immunohistochemical expression of somatostatin receptor 2 and 5". Experimental and Therapeutic Medicine 22.4 (2021): 1179.</w:t>
      </w:r>
    </w:p>
  </w:footnote>
  <w:footnote w:id="42">
    <w:p w14:paraId="09970FF0" w14:textId="77777777" w:rsidR="004D7392" w:rsidRPr="000239DE" w:rsidRDefault="004D7392" w:rsidP="004D7392">
      <w:pPr>
        <w:pStyle w:val="FootnoteText"/>
        <w:rPr>
          <w:rFonts w:ascii="Franklin Gothic Book" w:hAnsi="Franklin Gothic Book"/>
          <w:lang w:val="en-GB"/>
        </w:rPr>
      </w:pPr>
      <w:r w:rsidRPr="000239DE">
        <w:rPr>
          <w:rStyle w:val="FootnoteReference"/>
          <w:rFonts w:ascii="Franklin Gothic Book" w:hAnsi="Franklin Gothic Book"/>
        </w:rPr>
        <w:footnoteRef/>
      </w:r>
      <w:r w:rsidRPr="000239DE">
        <w:rPr>
          <w:rFonts w:ascii="Franklin Gothic Book" w:hAnsi="Franklin Gothic Book"/>
        </w:rPr>
        <w:t xml:space="preserve"> Zhang JY, Kunz PL. Making Sense of a Complex Disease: A Practical Approach to Managing Neuroendocrine Tumors. JCO Oncol Pract. 2022 Apr;18(4):258-264. doi: 10.1200/OP.21.00240. Epub 2021 Oct 15. PMID: 34652954.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28CC" w14:textId="77777777" w:rsidR="00873468" w:rsidRDefault="008734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5FC7" w14:textId="77777777" w:rsidR="00873468" w:rsidRDefault="008734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0E81" w14:textId="77777777" w:rsidR="00873468" w:rsidRDefault="008734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4773" w14:textId="77777777" w:rsidR="00E45B08" w:rsidRDefault="00E45B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7D35"/>
    <w:multiLevelType w:val="hybridMultilevel"/>
    <w:tmpl w:val="66CC1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073C5"/>
    <w:multiLevelType w:val="multilevel"/>
    <w:tmpl w:val="4CDACFD8"/>
    <w:lvl w:ilvl="0">
      <w:start w:val="1"/>
      <w:numFmt w:val="decimal"/>
      <w:pStyle w:val="VAHeading1"/>
      <w:lvlText w:val="%1."/>
      <w:lvlJc w:val="left"/>
      <w:pPr>
        <w:ind w:left="360" w:hanging="360"/>
      </w:pPr>
      <w:rPr>
        <w:rFonts w:hint="default"/>
      </w:rPr>
    </w:lvl>
    <w:lvl w:ilvl="1">
      <w:start w:val="1"/>
      <w:numFmt w:val="decimal"/>
      <w:pStyle w:val="VAHeading2"/>
      <w:lvlText w:val="%1.%2."/>
      <w:lvlJc w:val="left"/>
      <w:pPr>
        <w:ind w:left="720" w:hanging="360"/>
      </w:pPr>
      <w:rPr>
        <w:rFonts w:hint="default"/>
      </w:rPr>
    </w:lvl>
    <w:lvl w:ilvl="2">
      <w:start w:val="1"/>
      <w:numFmt w:val="decimal"/>
      <w:pStyle w:val="VAHeading3"/>
      <w:lvlText w:val="%1.%2.%3."/>
      <w:lvlJc w:val="left"/>
      <w:pPr>
        <w:ind w:left="720" w:firstLine="357"/>
      </w:pPr>
      <w:rPr>
        <w:rFonts w:hint="default"/>
      </w:rPr>
    </w:lvl>
    <w:lvl w:ilvl="3">
      <w:start w:val="1"/>
      <w:numFmt w:val="decimal"/>
      <w:pStyle w:val="VAHeading4"/>
      <w:lvlText w:val="%1.%2.%3.%4."/>
      <w:lvlJc w:val="left"/>
      <w:pPr>
        <w:ind w:left="720" w:firstLine="360"/>
      </w:pPr>
      <w:rPr>
        <w:rFonts w:hint="default"/>
      </w:rPr>
    </w:lvl>
    <w:lvl w:ilvl="4">
      <w:start w:val="1"/>
      <w:numFmt w:val="decimal"/>
      <w:pStyle w:val="VAHeading5"/>
      <w:lvlText w:val="%1.%2.%3.%4.%5."/>
      <w:lvlJc w:val="left"/>
      <w:pPr>
        <w:ind w:left="720" w:firstLine="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4375BF"/>
    <w:multiLevelType w:val="hybridMultilevel"/>
    <w:tmpl w:val="D7D21A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FF556F"/>
    <w:multiLevelType w:val="hybridMultilevel"/>
    <w:tmpl w:val="6BC035C4"/>
    <w:lvl w:ilvl="0" w:tplc="FB94221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303F6B"/>
    <w:multiLevelType w:val="hybridMultilevel"/>
    <w:tmpl w:val="56440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D2930"/>
    <w:multiLevelType w:val="hybridMultilevel"/>
    <w:tmpl w:val="88128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F2C3A"/>
    <w:multiLevelType w:val="hybridMultilevel"/>
    <w:tmpl w:val="E9DC5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8633D4"/>
    <w:multiLevelType w:val="hybridMultilevel"/>
    <w:tmpl w:val="035AD18A"/>
    <w:lvl w:ilvl="0" w:tplc="EEDE5FA8">
      <w:numFmt w:val="bullet"/>
      <w:lvlText w:val="-"/>
      <w:lvlJc w:val="left"/>
      <w:pPr>
        <w:ind w:left="720" w:hanging="360"/>
      </w:pPr>
      <w:rPr>
        <w:rFonts w:ascii="Franklin Gothic Book" w:eastAsia="Calibri"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9F3096"/>
    <w:multiLevelType w:val="hybridMultilevel"/>
    <w:tmpl w:val="54E084D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21CE2746"/>
    <w:multiLevelType w:val="hybridMultilevel"/>
    <w:tmpl w:val="31D6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1" w15:restartNumberingAfterBreak="0">
    <w:nsid w:val="27575C58"/>
    <w:multiLevelType w:val="multilevel"/>
    <w:tmpl w:val="BE44A646"/>
    <w:lvl w:ilvl="0">
      <w:start w:val="1"/>
      <w:numFmt w:val="bullet"/>
      <w:pStyle w:val="Instruction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CC3584"/>
    <w:multiLevelType w:val="multilevel"/>
    <w:tmpl w:val="31A00E84"/>
    <w:lvl w:ilvl="0">
      <w:start w:val="1"/>
      <w:numFmt w:val="decimal"/>
      <w:lvlText w:val="%1"/>
      <w:lvlJc w:val="left"/>
      <w:pPr>
        <w:tabs>
          <w:tab w:val="num" w:pos="1134"/>
        </w:tabs>
        <w:ind w:left="1134" w:hanging="1134"/>
      </w:pPr>
      <w:rPr>
        <w:rFonts w:hint="default"/>
      </w:rPr>
    </w:lvl>
    <w:lvl w:ilvl="1">
      <w:start w:val="1"/>
      <w:numFmt w:val="decimal"/>
      <w:pStyle w:val="Numberedlevel2text"/>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pStyle w:val="Numberedheading1"/>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3" w15:restartNumberingAfterBreak="0">
    <w:nsid w:val="2A583F0D"/>
    <w:multiLevelType w:val="hybridMultilevel"/>
    <w:tmpl w:val="4AE6D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5E246B"/>
    <w:multiLevelType w:val="hybridMultilevel"/>
    <w:tmpl w:val="C4F2253C"/>
    <w:lvl w:ilvl="0" w:tplc="B0E28340">
      <w:start w:val="1"/>
      <w:numFmt w:val="decimal"/>
      <w:pStyle w:val="ESHeading1"/>
      <w:lvlText w:val="%1."/>
      <w:lvlJc w:val="left"/>
      <w:pPr>
        <w:ind w:left="216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2DF67021"/>
    <w:multiLevelType w:val="hybridMultilevel"/>
    <w:tmpl w:val="4FE2FF32"/>
    <w:lvl w:ilvl="0" w:tplc="BACA5EE0">
      <w:numFmt w:val="bullet"/>
      <w:lvlText w:val="-"/>
      <w:lvlJc w:val="left"/>
      <w:pPr>
        <w:ind w:left="720" w:hanging="360"/>
      </w:pPr>
      <w:rPr>
        <w:rFonts w:ascii="Franklin Gothic Book" w:eastAsiaTheme="minorHAnsi" w:hAnsi="Franklin Gothic 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4371DC"/>
    <w:multiLevelType w:val="multilevel"/>
    <w:tmpl w:val="4A02812C"/>
    <w:lvl w:ilvl="0">
      <w:start w:val="1"/>
      <w:numFmt w:val="decimal"/>
      <w:pStyle w:val="Heading1"/>
      <w:lvlText w:val="Section %1"/>
      <w:lvlJc w:val="left"/>
      <w:pPr>
        <w:ind w:left="786" w:hanging="360"/>
      </w:pPr>
      <w:rPr>
        <w:rFonts w:hint="default"/>
      </w:rPr>
    </w:lvl>
    <w:lvl w:ilvl="1">
      <w:start w:val="1"/>
      <w:numFmt w:val="decimal"/>
      <w:pStyle w:val="Heading2"/>
      <w:lvlText w:val="%1.%2"/>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9C7CF8"/>
    <w:multiLevelType w:val="hybridMultilevel"/>
    <w:tmpl w:val="F968B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B9277D"/>
    <w:multiLevelType w:val="hybridMultilevel"/>
    <w:tmpl w:val="374E1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CD55F8"/>
    <w:multiLevelType w:val="hybridMultilevel"/>
    <w:tmpl w:val="CABC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095746"/>
    <w:multiLevelType w:val="hybridMultilevel"/>
    <w:tmpl w:val="28BC0FCE"/>
    <w:lvl w:ilvl="0" w:tplc="A26EFB64">
      <w:start w:val="1"/>
      <w:numFmt w:val="bullet"/>
      <w:pStyle w:val="Instructionaltext-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89E16A9"/>
    <w:multiLevelType w:val="hybridMultilevel"/>
    <w:tmpl w:val="F21A6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96AD7"/>
    <w:multiLevelType w:val="hybridMultilevel"/>
    <w:tmpl w:val="2F9AB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B514A6"/>
    <w:multiLevelType w:val="hybridMultilevel"/>
    <w:tmpl w:val="5AD03504"/>
    <w:lvl w:ilvl="0" w:tplc="26168D6E">
      <w:start w:val="5"/>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C900743"/>
    <w:multiLevelType w:val="hybridMultilevel"/>
    <w:tmpl w:val="52A855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7A7982"/>
    <w:multiLevelType w:val="hybridMultilevel"/>
    <w:tmpl w:val="7882A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49E4DCA"/>
    <w:multiLevelType w:val="hybridMultilevel"/>
    <w:tmpl w:val="907EA192"/>
    <w:lvl w:ilvl="0" w:tplc="051AF72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7C53E75"/>
    <w:multiLevelType w:val="hybridMultilevel"/>
    <w:tmpl w:val="CDC451D2"/>
    <w:lvl w:ilvl="0" w:tplc="71FC6F3C">
      <w:start w:val="1"/>
      <w:numFmt w:val="bullet"/>
      <w:pStyle w:val="Table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680AF8"/>
    <w:multiLevelType w:val="hybridMultilevel"/>
    <w:tmpl w:val="1D384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2840CD"/>
    <w:multiLevelType w:val="hybridMultilevel"/>
    <w:tmpl w:val="6D36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8AB7ABD"/>
    <w:multiLevelType w:val="hybridMultilevel"/>
    <w:tmpl w:val="23446AC2"/>
    <w:lvl w:ilvl="0" w:tplc="D3EEFB74">
      <w:start w:val="1"/>
      <w:numFmt w:val="lowerLetter"/>
      <w:lvlText w:val="%1)"/>
      <w:lvlJc w:val="left"/>
      <w:pPr>
        <w:ind w:left="720" w:hanging="360"/>
      </w:pPr>
      <w:rPr>
        <w:rFonts w:eastAsia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370F02"/>
    <w:multiLevelType w:val="hybridMultilevel"/>
    <w:tmpl w:val="5FB07C66"/>
    <w:lvl w:ilvl="0" w:tplc="FFFFFFFF">
      <w:start w:val="1"/>
      <w:numFmt w:val="bullet"/>
      <w:lvlText w:val=""/>
      <w:lvlJc w:val="left"/>
      <w:pPr>
        <w:ind w:left="720" w:hanging="360"/>
      </w:pPr>
      <w:rPr>
        <w:rFonts w:ascii="Symbol" w:hAnsi="Symbol" w:hint="default"/>
      </w:rPr>
    </w:lvl>
    <w:lvl w:ilvl="1" w:tplc="08090017">
      <w:start w:val="1"/>
      <w:numFmt w:val="lowerLetter"/>
      <w:lvlText w:val="%2)"/>
      <w:lvlJc w:val="left"/>
      <w:pPr>
        <w:ind w:left="23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16cid:durableId="253511622">
    <w:abstractNumId w:val="17"/>
  </w:num>
  <w:num w:numId="2" w16cid:durableId="1568683664">
    <w:abstractNumId w:val="35"/>
  </w:num>
  <w:num w:numId="3" w16cid:durableId="2078478920">
    <w:abstractNumId w:val="3"/>
  </w:num>
  <w:num w:numId="4" w16cid:durableId="1319118939">
    <w:abstractNumId w:val="10"/>
  </w:num>
  <w:num w:numId="5" w16cid:durableId="69423460">
    <w:abstractNumId w:val="32"/>
  </w:num>
  <w:num w:numId="6" w16cid:durableId="1332832506">
    <w:abstractNumId w:val="11"/>
  </w:num>
  <w:num w:numId="7" w16cid:durableId="802967356">
    <w:abstractNumId w:val="14"/>
  </w:num>
  <w:num w:numId="8" w16cid:durableId="1457989788">
    <w:abstractNumId w:val="16"/>
  </w:num>
  <w:num w:numId="9" w16cid:durableId="159857836">
    <w:abstractNumId w:val="21"/>
  </w:num>
  <w:num w:numId="10" w16cid:durableId="1830515079">
    <w:abstractNumId w:val="2"/>
  </w:num>
  <w:num w:numId="11" w16cid:durableId="757795651">
    <w:abstractNumId w:val="28"/>
  </w:num>
  <w:num w:numId="12" w16cid:durableId="1023744156">
    <w:abstractNumId w:val="34"/>
  </w:num>
  <w:num w:numId="13" w16cid:durableId="1276215159">
    <w:abstractNumId w:val="1"/>
  </w:num>
  <w:num w:numId="14" w16cid:durableId="1800492258">
    <w:abstractNumId w:val="27"/>
  </w:num>
  <w:num w:numId="15" w16cid:durableId="1853185095">
    <w:abstractNumId w:val="31"/>
  </w:num>
  <w:num w:numId="16" w16cid:durableId="366417961">
    <w:abstractNumId w:val="0"/>
  </w:num>
  <w:num w:numId="17" w16cid:durableId="20270953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9896043">
    <w:abstractNumId w:val="33"/>
  </w:num>
  <w:num w:numId="19" w16cid:durableId="1934971891">
    <w:abstractNumId w:val="29"/>
  </w:num>
  <w:num w:numId="20" w16cid:durableId="1526015400">
    <w:abstractNumId w:val="23"/>
  </w:num>
  <w:num w:numId="21" w16cid:durableId="283194489">
    <w:abstractNumId w:val="19"/>
  </w:num>
  <w:num w:numId="22" w16cid:durableId="399714439">
    <w:abstractNumId w:val="18"/>
  </w:num>
  <w:num w:numId="23" w16cid:durableId="1706368034">
    <w:abstractNumId w:val="13"/>
  </w:num>
  <w:num w:numId="24" w16cid:durableId="1330133828">
    <w:abstractNumId w:val="6"/>
  </w:num>
  <w:num w:numId="25" w16cid:durableId="1082526894">
    <w:abstractNumId w:val="30"/>
  </w:num>
  <w:num w:numId="26" w16cid:durableId="1984844025">
    <w:abstractNumId w:val="5"/>
  </w:num>
  <w:num w:numId="27" w16cid:durableId="480512377">
    <w:abstractNumId w:val="26"/>
  </w:num>
  <w:num w:numId="28" w16cid:durableId="883250000">
    <w:abstractNumId w:val="7"/>
  </w:num>
  <w:num w:numId="29" w16cid:durableId="648636030">
    <w:abstractNumId w:val="25"/>
  </w:num>
  <w:num w:numId="30" w16cid:durableId="868953241">
    <w:abstractNumId w:val="8"/>
  </w:num>
  <w:num w:numId="31" w16cid:durableId="1454978101">
    <w:abstractNumId w:val="24"/>
  </w:num>
  <w:num w:numId="32" w16cid:durableId="1736587464">
    <w:abstractNumId w:val="9"/>
  </w:num>
  <w:num w:numId="33" w16cid:durableId="950405780">
    <w:abstractNumId w:val="4"/>
  </w:num>
  <w:num w:numId="34" w16cid:durableId="1665277408">
    <w:abstractNumId w:val="22"/>
  </w:num>
  <w:num w:numId="35" w16cid:durableId="122430944">
    <w:abstractNumId w:val="20"/>
  </w:num>
  <w:num w:numId="36" w16cid:durableId="1252928927">
    <w:abstractNumId w:val="15"/>
  </w:num>
  <w:num w:numId="37" w16cid:durableId="171573472">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DoH Copy&lt;/Style&gt;&lt;LeftDelim&gt;{&lt;/LeftDelim&gt;&lt;RightDelim&gt;}&lt;/RightDelim&gt;&lt;FontName&gt;Franklin Gothic Book&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rfsw5zfedv0leetdnpxzasfd92vr5ree0d&quot;&gt;Feedback DoH Initia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record-ids&gt;&lt;/item&gt;&lt;/Libraries&gt;"/>
  </w:docVars>
  <w:rsids>
    <w:rsidRoot w:val="008157F1"/>
    <w:rsid w:val="00000454"/>
    <w:rsid w:val="0000055F"/>
    <w:rsid w:val="0000061B"/>
    <w:rsid w:val="00000645"/>
    <w:rsid w:val="0000074D"/>
    <w:rsid w:val="00000795"/>
    <w:rsid w:val="000007FA"/>
    <w:rsid w:val="000008C8"/>
    <w:rsid w:val="000009EF"/>
    <w:rsid w:val="00000A06"/>
    <w:rsid w:val="00000FE5"/>
    <w:rsid w:val="0000109A"/>
    <w:rsid w:val="000010B2"/>
    <w:rsid w:val="000011C0"/>
    <w:rsid w:val="000011D8"/>
    <w:rsid w:val="0000126A"/>
    <w:rsid w:val="00001545"/>
    <w:rsid w:val="0000163B"/>
    <w:rsid w:val="0000166F"/>
    <w:rsid w:val="00001684"/>
    <w:rsid w:val="00001744"/>
    <w:rsid w:val="000018B7"/>
    <w:rsid w:val="000018EB"/>
    <w:rsid w:val="00001AE6"/>
    <w:rsid w:val="00001B4B"/>
    <w:rsid w:val="00001C85"/>
    <w:rsid w:val="00001CB9"/>
    <w:rsid w:val="00001CEA"/>
    <w:rsid w:val="00001D35"/>
    <w:rsid w:val="00001D7F"/>
    <w:rsid w:val="00001DD5"/>
    <w:rsid w:val="00001E1A"/>
    <w:rsid w:val="00001FE5"/>
    <w:rsid w:val="000020B3"/>
    <w:rsid w:val="000020D5"/>
    <w:rsid w:val="000021BF"/>
    <w:rsid w:val="000022F6"/>
    <w:rsid w:val="000023A4"/>
    <w:rsid w:val="000025BD"/>
    <w:rsid w:val="00002805"/>
    <w:rsid w:val="000028C6"/>
    <w:rsid w:val="00002A02"/>
    <w:rsid w:val="00002A97"/>
    <w:rsid w:val="00002B3B"/>
    <w:rsid w:val="00002C94"/>
    <w:rsid w:val="00002E56"/>
    <w:rsid w:val="00002FD6"/>
    <w:rsid w:val="0000312B"/>
    <w:rsid w:val="0000324D"/>
    <w:rsid w:val="00003276"/>
    <w:rsid w:val="000032E4"/>
    <w:rsid w:val="000035B6"/>
    <w:rsid w:val="00003648"/>
    <w:rsid w:val="000036AB"/>
    <w:rsid w:val="000036F7"/>
    <w:rsid w:val="000037AE"/>
    <w:rsid w:val="000037E1"/>
    <w:rsid w:val="00003800"/>
    <w:rsid w:val="000038C7"/>
    <w:rsid w:val="0000391B"/>
    <w:rsid w:val="000039B4"/>
    <w:rsid w:val="00003AC8"/>
    <w:rsid w:val="00003B4D"/>
    <w:rsid w:val="00003BE8"/>
    <w:rsid w:val="00003C26"/>
    <w:rsid w:val="00003C99"/>
    <w:rsid w:val="00003CA2"/>
    <w:rsid w:val="00003DB8"/>
    <w:rsid w:val="00003DEF"/>
    <w:rsid w:val="00003E6D"/>
    <w:rsid w:val="00003E77"/>
    <w:rsid w:val="00003ECE"/>
    <w:rsid w:val="00003F8F"/>
    <w:rsid w:val="000041B1"/>
    <w:rsid w:val="00004231"/>
    <w:rsid w:val="0000425F"/>
    <w:rsid w:val="000043D7"/>
    <w:rsid w:val="0000448B"/>
    <w:rsid w:val="000044B6"/>
    <w:rsid w:val="000047B0"/>
    <w:rsid w:val="00004870"/>
    <w:rsid w:val="000048CF"/>
    <w:rsid w:val="000049D8"/>
    <w:rsid w:val="00004D69"/>
    <w:rsid w:val="00004ED3"/>
    <w:rsid w:val="00004F7F"/>
    <w:rsid w:val="000054C9"/>
    <w:rsid w:val="000055A1"/>
    <w:rsid w:val="000055AC"/>
    <w:rsid w:val="0000569A"/>
    <w:rsid w:val="0000574A"/>
    <w:rsid w:val="000057EB"/>
    <w:rsid w:val="00005875"/>
    <w:rsid w:val="00005920"/>
    <w:rsid w:val="00005A61"/>
    <w:rsid w:val="00005C80"/>
    <w:rsid w:val="00005CFB"/>
    <w:rsid w:val="00005F78"/>
    <w:rsid w:val="00006119"/>
    <w:rsid w:val="00006362"/>
    <w:rsid w:val="000063BF"/>
    <w:rsid w:val="00006522"/>
    <w:rsid w:val="00006A25"/>
    <w:rsid w:val="00006AD4"/>
    <w:rsid w:val="00006D95"/>
    <w:rsid w:val="00006E0A"/>
    <w:rsid w:val="00006E57"/>
    <w:rsid w:val="00006E66"/>
    <w:rsid w:val="00006FC5"/>
    <w:rsid w:val="00007098"/>
    <w:rsid w:val="00007167"/>
    <w:rsid w:val="000071A0"/>
    <w:rsid w:val="0000740E"/>
    <w:rsid w:val="0000742A"/>
    <w:rsid w:val="00007754"/>
    <w:rsid w:val="000077C4"/>
    <w:rsid w:val="00007958"/>
    <w:rsid w:val="00007A80"/>
    <w:rsid w:val="00007AA3"/>
    <w:rsid w:val="00007ADC"/>
    <w:rsid w:val="00007D9A"/>
    <w:rsid w:val="00007EFF"/>
    <w:rsid w:val="00010157"/>
    <w:rsid w:val="00010162"/>
    <w:rsid w:val="00010369"/>
    <w:rsid w:val="0001039A"/>
    <w:rsid w:val="00010463"/>
    <w:rsid w:val="00010656"/>
    <w:rsid w:val="000108DA"/>
    <w:rsid w:val="00010902"/>
    <w:rsid w:val="00010996"/>
    <w:rsid w:val="00010AD7"/>
    <w:rsid w:val="00010B70"/>
    <w:rsid w:val="00010CAC"/>
    <w:rsid w:val="00010CB1"/>
    <w:rsid w:val="00010D4F"/>
    <w:rsid w:val="00010D9C"/>
    <w:rsid w:val="00010E5B"/>
    <w:rsid w:val="0001109A"/>
    <w:rsid w:val="00011179"/>
    <w:rsid w:val="0001121A"/>
    <w:rsid w:val="000113B4"/>
    <w:rsid w:val="0001141F"/>
    <w:rsid w:val="00011527"/>
    <w:rsid w:val="00011568"/>
    <w:rsid w:val="00011699"/>
    <w:rsid w:val="000116BA"/>
    <w:rsid w:val="00011A12"/>
    <w:rsid w:val="00011B77"/>
    <w:rsid w:val="00011C9B"/>
    <w:rsid w:val="00011EAD"/>
    <w:rsid w:val="00011F9C"/>
    <w:rsid w:val="00012144"/>
    <w:rsid w:val="000124AB"/>
    <w:rsid w:val="00012625"/>
    <w:rsid w:val="000126AB"/>
    <w:rsid w:val="000127E0"/>
    <w:rsid w:val="00012983"/>
    <w:rsid w:val="00012B9B"/>
    <w:rsid w:val="00012C1E"/>
    <w:rsid w:val="00012C2A"/>
    <w:rsid w:val="00012C79"/>
    <w:rsid w:val="00012D04"/>
    <w:rsid w:val="00012D9C"/>
    <w:rsid w:val="00012E1A"/>
    <w:rsid w:val="00012E93"/>
    <w:rsid w:val="00012FE3"/>
    <w:rsid w:val="00012FE8"/>
    <w:rsid w:val="000130FD"/>
    <w:rsid w:val="00013100"/>
    <w:rsid w:val="000133D0"/>
    <w:rsid w:val="00013401"/>
    <w:rsid w:val="00013538"/>
    <w:rsid w:val="00013721"/>
    <w:rsid w:val="00013729"/>
    <w:rsid w:val="000138C3"/>
    <w:rsid w:val="00013B2B"/>
    <w:rsid w:val="00013C7B"/>
    <w:rsid w:val="00013CB6"/>
    <w:rsid w:val="00013F2C"/>
    <w:rsid w:val="00013FFF"/>
    <w:rsid w:val="000140E6"/>
    <w:rsid w:val="000144BF"/>
    <w:rsid w:val="0001475D"/>
    <w:rsid w:val="00014974"/>
    <w:rsid w:val="00014A26"/>
    <w:rsid w:val="00014A6C"/>
    <w:rsid w:val="00014B02"/>
    <w:rsid w:val="00014BFD"/>
    <w:rsid w:val="00014CEB"/>
    <w:rsid w:val="00014D1F"/>
    <w:rsid w:val="00015083"/>
    <w:rsid w:val="00015418"/>
    <w:rsid w:val="000156CD"/>
    <w:rsid w:val="0001574D"/>
    <w:rsid w:val="00015A4A"/>
    <w:rsid w:val="00015A76"/>
    <w:rsid w:val="00015B00"/>
    <w:rsid w:val="00015C08"/>
    <w:rsid w:val="00015C31"/>
    <w:rsid w:val="00015D64"/>
    <w:rsid w:val="00015DEE"/>
    <w:rsid w:val="000162C5"/>
    <w:rsid w:val="00016455"/>
    <w:rsid w:val="00016AEF"/>
    <w:rsid w:val="00016B9C"/>
    <w:rsid w:val="00016F2B"/>
    <w:rsid w:val="00017265"/>
    <w:rsid w:val="00017497"/>
    <w:rsid w:val="000174D0"/>
    <w:rsid w:val="00017527"/>
    <w:rsid w:val="000175B5"/>
    <w:rsid w:val="0001772D"/>
    <w:rsid w:val="00017791"/>
    <w:rsid w:val="000177BC"/>
    <w:rsid w:val="0001789E"/>
    <w:rsid w:val="0001797D"/>
    <w:rsid w:val="00017AC5"/>
    <w:rsid w:val="00017D25"/>
    <w:rsid w:val="00017F4D"/>
    <w:rsid w:val="0002023D"/>
    <w:rsid w:val="0002032C"/>
    <w:rsid w:val="00020372"/>
    <w:rsid w:val="000203A9"/>
    <w:rsid w:val="000203E4"/>
    <w:rsid w:val="000203EB"/>
    <w:rsid w:val="00020420"/>
    <w:rsid w:val="0002063A"/>
    <w:rsid w:val="00020711"/>
    <w:rsid w:val="00020764"/>
    <w:rsid w:val="00020793"/>
    <w:rsid w:val="0002086F"/>
    <w:rsid w:val="00020A19"/>
    <w:rsid w:val="00020A87"/>
    <w:rsid w:val="00020E33"/>
    <w:rsid w:val="00021015"/>
    <w:rsid w:val="000210FD"/>
    <w:rsid w:val="00021492"/>
    <w:rsid w:val="0002157A"/>
    <w:rsid w:val="00021686"/>
    <w:rsid w:val="000218C3"/>
    <w:rsid w:val="00021996"/>
    <w:rsid w:val="000219E6"/>
    <w:rsid w:val="00021A63"/>
    <w:rsid w:val="00021B38"/>
    <w:rsid w:val="00021D8E"/>
    <w:rsid w:val="00021FB2"/>
    <w:rsid w:val="000220E3"/>
    <w:rsid w:val="0002223E"/>
    <w:rsid w:val="00022297"/>
    <w:rsid w:val="0002233C"/>
    <w:rsid w:val="000223DF"/>
    <w:rsid w:val="0002243E"/>
    <w:rsid w:val="000224A2"/>
    <w:rsid w:val="000226B0"/>
    <w:rsid w:val="000227A4"/>
    <w:rsid w:val="000227BD"/>
    <w:rsid w:val="000228B8"/>
    <w:rsid w:val="000228E2"/>
    <w:rsid w:val="00022D18"/>
    <w:rsid w:val="00022D7C"/>
    <w:rsid w:val="00022E50"/>
    <w:rsid w:val="00022ECB"/>
    <w:rsid w:val="00022FB4"/>
    <w:rsid w:val="00023032"/>
    <w:rsid w:val="00023154"/>
    <w:rsid w:val="0002323F"/>
    <w:rsid w:val="00023329"/>
    <w:rsid w:val="00023375"/>
    <w:rsid w:val="0002354C"/>
    <w:rsid w:val="0002354F"/>
    <w:rsid w:val="00023706"/>
    <w:rsid w:val="0002381B"/>
    <w:rsid w:val="000238E8"/>
    <w:rsid w:val="000239E8"/>
    <w:rsid w:val="000239F1"/>
    <w:rsid w:val="00023A64"/>
    <w:rsid w:val="00023A86"/>
    <w:rsid w:val="00023AB2"/>
    <w:rsid w:val="00023C3F"/>
    <w:rsid w:val="00023D54"/>
    <w:rsid w:val="00023E7D"/>
    <w:rsid w:val="00023F97"/>
    <w:rsid w:val="000240C0"/>
    <w:rsid w:val="0002412F"/>
    <w:rsid w:val="0002426E"/>
    <w:rsid w:val="000242A2"/>
    <w:rsid w:val="00024474"/>
    <w:rsid w:val="000244A0"/>
    <w:rsid w:val="00024610"/>
    <w:rsid w:val="0002469F"/>
    <w:rsid w:val="00024789"/>
    <w:rsid w:val="00024833"/>
    <w:rsid w:val="00024982"/>
    <w:rsid w:val="000249F0"/>
    <w:rsid w:val="000249F2"/>
    <w:rsid w:val="00024C8C"/>
    <w:rsid w:val="00024C97"/>
    <w:rsid w:val="00024D23"/>
    <w:rsid w:val="00024EA5"/>
    <w:rsid w:val="00024F68"/>
    <w:rsid w:val="0002501E"/>
    <w:rsid w:val="0002525B"/>
    <w:rsid w:val="000252E0"/>
    <w:rsid w:val="000252EF"/>
    <w:rsid w:val="000253A4"/>
    <w:rsid w:val="00025571"/>
    <w:rsid w:val="00025621"/>
    <w:rsid w:val="00025711"/>
    <w:rsid w:val="0002573E"/>
    <w:rsid w:val="00025883"/>
    <w:rsid w:val="0002596B"/>
    <w:rsid w:val="000259C0"/>
    <w:rsid w:val="00025AC2"/>
    <w:rsid w:val="00025D48"/>
    <w:rsid w:val="00025DC6"/>
    <w:rsid w:val="00025E33"/>
    <w:rsid w:val="0002609C"/>
    <w:rsid w:val="000261F6"/>
    <w:rsid w:val="000265D2"/>
    <w:rsid w:val="000267E8"/>
    <w:rsid w:val="0002693A"/>
    <w:rsid w:val="0002696D"/>
    <w:rsid w:val="00026A47"/>
    <w:rsid w:val="00026C6C"/>
    <w:rsid w:val="00026DA2"/>
    <w:rsid w:val="00026DDC"/>
    <w:rsid w:val="00026DF8"/>
    <w:rsid w:val="00026E31"/>
    <w:rsid w:val="00026EC5"/>
    <w:rsid w:val="00026FC5"/>
    <w:rsid w:val="00027046"/>
    <w:rsid w:val="00027060"/>
    <w:rsid w:val="0002720D"/>
    <w:rsid w:val="0002722A"/>
    <w:rsid w:val="000272C6"/>
    <w:rsid w:val="00027367"/>
    <w:rsid w:val="000273B7"/>
    <w:rsid w:val="00027460"/>
    <w:rsid w:val="000274ED"/>
    <w:rsid w:val="00027552"/>
    <w:rsid w:val="0002755F"/>
    <w:rsid w:val="0002767E"/>
    <w:rsid w:val="0002770F"/>
    <w:rsid w:val="000278C8"/>
    <w:rsid w:val="0002792D"/>
    <w:rsid w:val="000279F8"/>
    <w:rsid w:val="00027AAE"/>
    <w:rsid w:val="00027B05"/>
    <w:rsid w:val="00027B11"/>
    <w:rsid w:val="00027CB2"/>
    <w:rsid w:val="00027CDF"/>
    <w:rsid w:val="00027CFD"/>
    <w:rsid w:val="00027E31"/>
    <w:rsid w:val="00027EBF"/>
    <w:rsid w:val="00027FBF"/>
    <w:rsid w:val="00030233"/>
    <w:rsid w:val="000303BA"/>
    <w:rsid w:val="000305C9"/>
    <w:rsid w:val="00030618"/>
    <w:rsid w:val="000307E6"/>
    <w:rsid w:val="0003086F"/>
    <w:rsid w:val="0003087E"/>
    <w:rsid w:val="00030B26"/>
    <w:rsid w:val="00030B9D"/>
    <w:rsid w:val="00030BF2"/>
    <w:rsid w:val="00030D1E"/>
    <w:rsid w:val="00031131"/>
    <w:rsid w:val="000311CC"/>
    <w:rsid w:val="0003122F"/>
    <w:rsid w:val="000313BA"/>
    <w:rsid w:val="0003193E"/>
    <w:rsid w:val="00031BE5"/>
    <w:rsid w:val="00031CE7"/>
    <w:rsid w:val="00031D2B"/>
    <w:rsid w:val="00031FDC"/>
    <w:rsid w:val="0003225D"/>
    <w:rsid w:val="0003226F"/>
    <w:rsid w:val="000322F3"/>
    <w:rsid w:val="0003256B"/>
    <w:rsid w:val="000326C0"/>
    <w:rsid w:val="0003285A"/>
    <w:rsid w:val="0003287F"/>
    <w:rsid w:val="00032A9C"/>
    <w:rsid w:val="00032D32"/>
    <w:rsid w:val="00032D41"/>
    <w:rsid w:val="00032D53"/>
    <w:rsid w:val="00032D65"/>
    <w:rsid w:val="00032E0C"/>
    <w:rsid w:val="00032E7D"/>
    <w:rsid w:val="00032FAD"/>
    <w:rsid w:val="000333F4"/>
    <w:rsid w:val="00033426"/>
    <w:rsid w:val="00033578"/>
    <w:rsid w:val="000335C8"/>
    <w:rsid w:val="000335ED"/>
    <w:rsid w:val="00033779"/>
    <w:rsid w:val="00033972"/>
    <w:rsid w:val="000339BD"/>
    <w:rsid w:val="00033D46"/>
    <w:rsid w:val="00033D92"/>
    <w:rsid w:val="00033F27"/>
    <w:rsid w:val="000340BE"/>
    <w:rsid w:val="0003412B"/>
    <w:rsid w:val="0003423A"/>
    <w:rsid w:val="00034255"/>
    <w:rsid w:val="000342B5"/>
    <w:rsid w:val="0003434B"/>
    <w:rsid w:val="0003446C"/>
    <w:rsid w:val="00034584"/>
    <w:rsid w:val="00034614"/>
    <w:rsid w:val="000346AE"/>
    <w:rsid w:val="0003477F"/>
    <w:rsid w:val="00034B47"/>
    <w:rsid w:val="00034BBF"/>
    <w:rsid w:val="00034BE5"/>
    <w:rsid w:val="00034C0C"/>
    <w:rsid w:val="00034C5E"/>
    <w:rsid w:val="00034D11"/>
    <w:rsid w:val="00034FDF"/>
    <w:rsid w:val="00035101"/>
    <w:rsid w:val="00035254"/>
    <w:rsid w:val="00035263"/>
    <w:rsid w:val="00035452"/>
    <w:rsid w:val="000356A3"/>
    <w:rsid w:val="0003589E"/>
    <w:rsid w:val="00035B59"/>
    <w:rsid w:val="00035DB7"/>
    <w:rsid w:val="00035F12"/>
    <w:rsid w:val="00035F74"/>
    <w:rsid w:val="00035FC6"/>
    <w:rsid w:val="00036025"/>
    <w:rsid w:val="00036046"/>
    <w:rsid w:val="0003610F"/>
    <w:rsid w:val="000361C0"/>
    <w:rsid w:val="00036330"/>
    <w:rsid w:val="0003637D"/>
    <w:rsid w:val="000364AD"/>
    <w:rsid w:val="000364F0"/>
    <w:rsid w:val="000365E6"/>
    <w:rsid w:val="0003671B"/>
    <w:rsid w:val="00036736"/>
    <w:rsid w:val="0003675D"/>
    <w:rsid w:val="000367FF"/>
    <w:rsid w:val="000368A7"/>
    <w:rsid w:val="000368C7"/>
    <w:rsid w:val="000369BE"/>
    <w:rsid w:val="00036AD8"/>
    <w:rsid w:val="00036C01"/>
    <w:rsid w:val="00036DBF"/>
    <w:rsid w:val="00036F5F"/>
    <w:rsid w:val="00037037"/>
    <w:rsid w:val="000370FF"/>
    <w:rsid w:val="00037272"/>
    <w:rsid w:val="0003729C"/>
    <w:rsid w:val="00037302"/>
    <w:rsid w:val="00037395"/>
    <w:rsid w:val="00037456"/>
    <w:rsid w:val="00037487"/>
    <w:rsid w:val="000376D4"/>
    <w:rsid w:val="00037799"/>
    <w:rsid w:val="00037986"/>
    <w:rsid w:val="00037A9F"/>
    <w:rsid w:val="00037AF4"/>
    <w:rsid w:val="00037B42"/>
    <w:rsid w:val="00037E5F"/>
    <w:rsid w:val="00037F49"/>
    <w:rsid w:val="0004001F"/>
    <w:rsid w:val="0004005D"/>
    <w:rsid w:val="000400C8"/>
    <w:rsid w:val="00040147"/>
    <w:rsid w:val="00040422"/>
    <w:rsid w:val="000404AD"/>
    <w:rsid w:val="000405CA"/>
    <w:rsid w:val="0004079E"/>
    <w:rsid w:val="000409A2"/>
    <w:rsid w:val="00040ADF"/>
    <w:rsid w:val="00040B09"/>
    <w:rsid w:val="00040C91"/>
    <w:rsid w:val="00040EC4"/>
    <w:rsid w:val="00040EFC"/>
    <w:rsid w:val="00040FB4"/>
    <w:rsid w:val="00040FD1"/>
    <w:rsid w:val="0004102B"/>
    <w:rsid w:val="0004153C"/>
    <w:rsid w:val="0004163D"/>
    <w:rsid w:val="00041686"/>
    <w:rsid w:val="0004178C"/>
    <w:rsid w:val="00041853"/>
    <w:rsid w:val="00041923"/>
    <w:rsid w:val="00041B49"/>
    <w:rsid w:val="00041B61"/>
    <w:rsid w:val="00041C45"/>
    <w:rsid w:val="00041DCD"/>
    <w:rsid w:val="00041E47"/>
    <w:rsid w:val="00041F2B"/>
    <w:rsid w:val="00041F5D"/>
    <w:rsid w:val="000422B4"/>
    <w:rsid w:val="000422D6"/>
    <w:rsid w:val="000424FE"/>
    <w:rsid w:val="00042657"/>
    <w:rsid w:val="000427FC"/>
    <w:rsid w:val="000428B2"/>
    <w:rsid w:val="000428C1"/>
    <w:rsid w:val="00042BC9"/>
    <w:rsid w:val="00042E28"/>
    <w:rsid w:val="00042E56"/>
    <w:rsid w:val="00042FFC"/>
    <w:rsid w:val="000430C6"/>
    <w:rsid w:val="000431DD"/>
    <w:rsid w:val="00043355"/>
    <w:rsid w:val="00043393"/>
    <w:rsid w:val="000436A2"/>
    <w:rsid w:val="000436E8"/>
    <w:rsid w:val="0004374B"/>
    <w:rsid w:val="00043808"/>
    <w:rsid w:val="00043A15"/>
    <w:rsid w:val="00043AC8"/>
    <w:rsid w:val="00043B25"/>
    <w:rsid w:val="00043B2E"/>
    <w:rsid w:val="00043E70"/>
    <w:rsid w:val="00043EEF"/>
    <w:rsid w:val="00043F82"/>
    <w:rsid w:val="000441ED"/>
    <w:rsid w:val="00044276"/>
    <w:rsid w:val="000442A5"/>
    <w:rsid w:val="000442F5"/>
    <w:rsid w:val="000443A6"/>
    <w:rsid w:val="00044516"/>
    <w:rsid w:val="0004461C"/>
    <w:rsid w:val="00044704"/>
    <w:rsid w:val="00044730"/>
    <w:rsid w:val="00044925"/>
    <w:rsid w:val="000449D1"/>
    <w:rsid w:val="00044B94"/>
    <w:rsid w:val="00044E12"/>
    <w:rsid w:val="00045053"/>
    <w:rsid w:val="00045561"/>
    <w:rsid w:val="00045568"/>
    <w:rsid w:val="000455BF"/>
    <w:rsid w:val="00045607"/>
    <w:rsid w:val="00045722"/>
    <w:rsid w:val="0004574B"/>
    <w:rsid w:val="0004574F"/>
    <w:rsid w:val="000457A0"/>
    <w:rsid w:val="000457E9"/>
    <w:rsid w:val="0004593A"/>
    <w:rsid w:val="00045A32"/>
    <w:rsid w:val="00045B8D"/>
    <w:rsid w:val="00045BEA"/>
    <w:rsid w:val="00045CC5"/>
    <w:rsid w:val="00045ECA"/>
    <w:rsid w:val="00045F41"/>
    <w:rsid w:val="00046065"/>
    <w:rsid w:val="00046115"/>
    <w:rsid w:val="0004614E"/>
    <w:rsid w:val="0004617D"/>
    <w:rsid w:val="0004628B"/>
    <w:rsid w:val="000464FE"/>
    <w:rsid w:val="00046648"/>
    <w:rsid w:val="000466F0"/>
    <w:rsid w:val="00046701"/>
    <w:rsid w:val="00046768"/>
    <w:rsid w:val="000468FA"/>
    <w:rsid w:val="00046A28"/>
    <w:rsid w:val="00046B6A"/>
    <w:rsid w:val="00046E5F"/>
    <w:rsid w:val="0004707D"/>
    <w:rsid w:val="000470DB"/>
    <w:rsid w:val="00047158"/>
    <w:rsid w:val="0004722E"/>
    <w:rsid w:val="00047237"/>
    <w:rsid w:val="000472D4"/>
    <w:rsid w:val="00047319"/>
    <w:rsid w:val="00047555"/>
    <w:rsid w:val="00047594"/>
    <w:rsid w:val="000476B8"/>
    <w:rsid w:val="000477DD"/>
    <w:rsid w:val="000477FE"/>
    <w:rsid w:val="0004791A"/>
    <w:rsid w:val="000479B1"/>
    <w:rsid w:val="00047D03"/>
    <w:rsid w:val="00047E87"/>
    <w:rsid w:val="00047FE0"/>
    <w:rsid w:val="00050188"/>
    <w:rsid w:val="00050366"/>
    <w:rsid w:val="0005040C"/>
    <w:rsid w:val="00050622"/>
    <w:rsid w:val="000506AE"/>
    <w:rsid w:val="00050707"/>
    <w:rsid w:val="00050981"/>
    <w:rsid w:val="000509AD"/>
    <w:rsid w:val="000509B9"/>
    <w:rsid w:val="000509CF"/>
    <w:rsid w:val="00050A27"/>
    <w:rsid w:val="00050BC4"/>
    <w:rsid w:val="00050F30"/>
    <w:rsid w:val="00050FB1"/>
    <w:rsid w:val="0005107D"/>
    <w:rsid w:val="000511C1"/>
    <w:rsid w:val="000513FE"/>
    <w:rsid w:val="00051499"/>
    <w:rsid w:val="0005151A"/>
    <w:rsid w:val="00051537"/>
    <w:rsid w:val="0005180F"/>
    <w:rsid w:val="00051B8E"/>
    <w:rsid w:val="00051C58"/>
    <w:rsid w:val="00051F03"/>
    <w:rsid w:val="000520D4"/>
    <w:rsid w:val="0005218D"/>
    <w:rsid w:val="000521C6"/>
    <w:rsid w:val="00052200"/>
    <w:rsid w:val="00052203"/>
    <w:rsid w:val="00052307"/>
    <w:rsid w:val="00052511"/>
    <w:rsid w:val="000526C8"/>
    <w:rsid w:val="00052882"/>
    <w:rsid w:val="000528E2"/>
    <w:rsid w:val="00052C80"/>
    <w:rsid w:val="00052DD3"/>
    <w:rsid w:val="00052F84"/>
    <w:rsid w:val="00052F9C"/>
    <w:rsid w:val="000530BF"/>
    <w:rsid w:val="000530CF"/>
    <w:rsid w:val="00053199"/>
    <w:rsid w:val="000531B8"/>
    <w:rsid w:val="0005326D"/>
    <w:rsid w:val="0005332C"/>
    <w:rsid w:val="0005343D"/>
    <w:rsid w:val="0005359B"/>
    <w:rsid w:val="000535A6"/>
    <w:rsid w:val="00053703"/>
    <w:rsid w:val="000537EE"/>
    <w:rsid w:val="00053F6C"/>
    <w:rsid w:val="000541CC"/>
    <w:rsid w:val="0005420E"/>
    <w:rsid w:val="000543F4"/>
    <w:rsid w:val="00054562"/>
    <w:rsid w:val="0005471D"/>
    <w:rsid w:val="0005475C"/>
    <w:rsid w:val="00054827"/>
    <w:rsid w:val="00054934"/>
    <w:rsid w:val="000549BC"/>
    <w:rsid w:val="000549E6"/>
    <w:rsid w:val="00054A96"/>
    <w:rsid w:val="00054BAC"/>
    <w:rsid w:val="00054CBB"/>
    <w:rsid w:val="00054D34"/>
    <w:rsid w:val="00054ED2"/>
    <w:rsid w:val="00055038"/>
    <w:rsid w:val="00055056"/>
    <w:rsid w:val="000550D8"/>
    <w:rsid w:val="000554E3"/>
    <w:rsid w:val="00055588"/>
    <w:rsid w:val="00055614"/>
    <w:rsid w:val="00055636"/>
    <w:rsid w:val="0005570F"/>
    <w:rsid w:val="0005578B"/>
    <w:rsid w:val="000557A1"/>
    <w:rsid w:val="00055A42"/>
    <w:rsid w:val="00055B13"/>
    <w:rsid w:val="00055CC7"/>
    <w:rsid w:val="00055DD1"/>
    <w:rsid w:val="00055E06"/>
    <w:rsid w:val="00056067"/>
    <w:rsid w:val="00056098"/>
    <w:rsid w:val="0005610A"/>
    <w:rsid w:val="000561AC"/>
    <w:rsid w:val="000562D9"/>
    <w:rsid w:val="0005659B"/>
    <w:rsid w:val="00056621"/>
    <w:rsid w:val="0005667F"/>
    <w:rsid w:val="000567D0"/>
    <w:rsid w:val="00056864"/>
    <w:rsid w:val="00056B2E"/>
    <w:rsid w:val="00056C06"/>
    <w:rsid w:val="00056C59"/>
    <w:rsid w:val="00056D81"/>
    <w:rsid w:val="00056F08"/>
    <w:rsid w:val="00056F36"/>
    <w:rsid w:val="00057334"/>
    <w:rsid w:val="0005741A"/>
    <w:rsid w:val="000575B1"/>
    <w:rsid w:val="000575DB"/>
    <w:rsid w:val="00057B9B"/>
    <w:rsid w:val="00057D30"/>
    <w:rsid w:val="00057D8A"/>
    <w:rsid w:val="00057E60"/>
    <w:rsid w:val="00057E64"/>
    <w:rsid w:val="000600FA"/>
    <w:rsid w:val="0006015A"/>
    <w:rsid w:val="0006015D"/>
    <w:rsid w:val="0006017B"/>
    <w:rsid w:val="000603BF"/>
    <w:rsid w:val="000605E6"/>
    <w:rsid w:val="0006081F"/>
    <w:rsid w:val="0006082F"/>
    <w:rsid w:val="00060960"/>
    <w:rsid w:val="00060C83"/>
    <w:rsid w:val="000610B7"/>
    <w:rsid w:val="00061270"/>
    <w:rsid w:val="000614CA"/>
    <w:rsid w:val="0006165C"/>
    <w:rsid w:val="00061A67"/>
    <w:rsid w:val="00061A6D"/>
    <w:rsid w:val="00061C41"/>
    <w:rsid w:val="00061C75"/>
    <w:rsid w:val="00061CC0"/>
    <w:rsid w:val="00061D0F"/>
    <w:rsid w:val="00061D38"/>
    <w:rsid w:val="00061EFE"/>
    <w:rsid w:val="00062269"/>
    <w:rsid w:val="00062620"/>
    <w:rsid w:val="00062888"/>
    <w:rsid w:val="000628F9"/>
    <w:rsid w:val="0006296A"/>
    <w:rsid w:val="000629C6"/>
    <w:rsid w:val="00062A3D"/>
    <w:rsid w:val="00062AE4"/>
    <w:rsid w:val="00062BAC"/>
    <w:rsid w:val="00062D9F"/>
    <w:rsid w:val="00062E1B"/>
    <w:rsid w:val="00062FC9"/>
    <w:rsid w:val="00062FD3"/>
    <w:rsid w:val="00063045"/>
    <w:rsid w:val="0006307A"/>
    <w:rsid w:val="0006307F"/>
    <w:rsid w:val="000631C7"/>
    <w:rsid w:val="00063281"/>
    <w:rsid w:val="0006339C"/>
    <w:rsid w:val="00063449"/>
    <w:rsid w:val="000635D3"/>
    <w:rsid w:val="00063667"/>
    <w:rsid w:val="000636ED"/>
    <w:rsid w:val="00063854"/>
    <w:rsid w:val="0006392B"/>
    <w:rsid w:val="0006392D"/>
    <w:rsid w:val="000639A3"/>
    <w:rsid w:val="00063A2F"/>
    <w:rsid w:val="00063A8B"/>
    <w:rsid w:val="00063B4A"/>
    <w:rsid w:val="00063D0F"/>
    <w:rsid w:val="00063E82"/>
    <w:rsid w:val="00063ED7"/>
    <w:rsid w:val="00063F20"/>
    <w:rsid w:val="00064053"/>
    <w:rsid w:val="00064466"/>
    <w:rsid w:val="000645E3"/>
    <w:rsid w:val="00064783"/>
    <w:rsid w:val="000647C2"/>
    <w:rsid w:val="00064A98"/>
    <w:rsid w:val="00064B84"/>
    <w:rsid w:val="00064E4F"/>
    <w:rsid w:val="00064EF4"/>
    <w:rsid w:val="00064F14"/>
    <w:rsid w:val="00064F7E"/>
    <w:rsid w:val="00065001"/>
    <w:rsid w:val="00065023"/>
    <w:rsid w:val="0006502F"/>
    <w:rsid w:val="0006518F"/>
    <w:rsid w:val="000651AD"/>
    <w:rsid w:val="000651B6"/>
    <w:rsid w:val="00065292"/>
    <w:rsid w:val="000652B1"/>
    <w:rsid w:val="00065441"/>
    <w:rsid w:val="00065825"/>
    <w:rsid w:val="0006588E"/>
    <w:rsid w:val="00065A4D"/>
    <w:rsid w:val="00065C4F"/>
    <w:rsid w:val="00065DD5"/>
    <w:rsid w:val="00065F58"/>
    <w:rsid w:val="00066014"/>
    <w:rsid w:val="0006616B"/>
    <w:rsid w:val="000661DD"/>
    <w:rsid w:val="000662D8"/>
    <w:rsid w:val="000662EE"/>
    <w:rsid w:val="00066664"/>
    <w:rsid w:val="00066B1A"/>
    <w:rsid w:val="00066B68"/>
    <w:rsid w:val="00066C59"/>
    <w:rsid w:val="00066CE8"/>
    <w:rsid w:val="00066DC8"/>
    <w:rsid w:val="00066EA2"/>
    <w:rsid w:val="00066EF7"/>
    <w:rsid w:val="00066FBF"/>
    <w:rsid w:val="00067160"/>
    <w:rsid w:val="00067214"/>
    <w:rsid w:val="000672FB"/>
    <w:rsid w:val="00067450"/>
    <w:rsid w:val="000674E8"/>
    <w:rsid w:val="00067738"/>
    <w:rsid w:val="0006783E"/>
    <w:rsid w:val="00067845"/>
    <w:rsid w:val="000679A0"/>
    <w:rsid w:val="00067A81"/>
    <w:rsid w:val="00067DDB"/>
    <w:rsid w:val="00067EA6"/>
    <w:rsid w:val="00067F38"/>
    <w:rsid w:val="00067FA1"/>
    <w:rsid w:val="0007021F"/>
    <w:rsid w:val="000702D4"/>
    <w:rsid w:val="00070708"/>
    <w:rsid w:val="000709A0"/>
    <w:rsid w:val="000709B7"/>
    <w:rsid w:val="00070D3F"/>
    <w:rsid w:val="00070DBE"/>
    <w:rsid w:val="0007107C"/>
    <w:rsid w:val="00071114"/>
    <w:rsid w:val="0007123F"/>
    <w:rsid w:val="000714F7"/>
    <w:rsid w:val="00071620"/>
    <w:rsid w:val="000716A1"/>
    <w:rsid w:val="0007185B"/>
    <w:rsid w:val="00071A5D"/>
    <w:rsid w:val="00071A8A"/>
    <w:rsid w:val="00071AE1"/>
    <w:rsid w:val="00071E07"/>
    <w:rsid w:val="00071F6F"/>
    <w:rsid w:val="0007234B"/>
    <w:rsid w:val="00072360"/>
    <w:rsid w:val="00072361"/>
    <w:rsid w:val="00072371"/>
    <w:rsid w:val="000724B7"/>
    <w:rsid w:val="000724BA"/>
    <w:rsid w:val="00072557"/>
    <w:rsid w:val="000725F4"/>
    <w:rsid w:val="00072653"/>
    <w:rsid w:val="000726AA"/>
    <w:rsid w:val="000726E0"/>
    <w:rsid w:val="0007275B"/>
    <w:rsid w:val="00072965"/>
    <w:rsid w:val="00072B01"/>
    <w:rsid w:val="00072BBD"/>
    <w:rsid w:val="00072BE4"/>
    <w:rsid w:val="00072CE9"/>
    <w:rsid w:val="00072CF7"/>
    <w:rsid w:val="00072D0C"/>
    <w:rsid w:val="00072DF5"/>
    <w:rsid w:val="00072EC4"/>
    <w:rsid w:val="00072F24"/>
    <w:rsid w:val="00072F66"/>
    <w:rsid w:val="00072FEC"/>
    <w:rsid w:val="000731B6"/>
    <w:rsid w:val="000733DE"/>
    <w:rsid w:val="000734F7"/>
    <w:rsid w:val="000736B9"/>
    <w:rsid w:val="00073719"/>
    <w:rsid w:val="00073AFC"/>
    <w:rsid w:val="00073C37"/>
    <w:rsid w:val="00073D76"/>
    <w:rsid w:val="00073DBD"/>
    <w:rsid w:val="00073E05"/>
    <w:rsid w:val="00073F17"/>
    <w:rsid w:val="0007418F"/>
    <w:rsid w:val="00074199"/>
    <w:rsid w:val="00074598"/>
    <w:rsid w:val="00074600"/>
    <w:rsid w:val="00074647"/>
    <w:rsid w:val="000747FB"/>
    <w:rsid w:val="000748AE"/>
    <w:rsid w:val="00074C0A"/>
    <w:rsid w:val="00074CEF"/>
    <w:rsid w:val="00074DEE"/>
    <w:rsid w:val="00074F9D"/>
    <w:rsid w:val="0007503E"/>
    <w:rsid w:val="000750B4"/>
    <w:rsid w:val="000759D2"/>
    <w:rsid w:val="000759D3"/>
    <w:rsid w:val="00075BA7"/>
    <w:rsid w:val="00075F88"/>
    <w:rsid w:val="0007606F"/>
    <w:rsid w:val="000760DB"/>
    <w:rsid w:val="000761BC"/>
    <w:rsid w:val="0007641D"/>
    <w:rsid w:val="00076753"/>
    <w:rsid w:val="000767CE"/>
    <w:rsid w:val="0007684D"/>
    <w:rsid w:val="00076875"/>
    <w:rsid w:val="000768BA"/>
    <w:rsid w:val="000769D2"/>
    <w:rsid w:val="00076A2E"/>
    <w:rsid w:val="00076A35"/>
    <w:rsid w:val="00076B6E"/>
    <w:rsid w:val="00076C40"/>
    <w:rsid w:val="00076D9D"/>
    <w:rsid w:val="00077068"/>
    <w:rsid w:val="00077082"/>
    <w:rsid w:val="0007737F"/>
    <w:rsid w:val="000774FB"/>
    <w:rsid w:val="000777BF"/>
    <w:rsid w:val="00077826"/>
    <w:rsid w:val="0007797A"/>
    <w:rsid w:val="00077A25"/>
    <w:rsid w:val="00077CAA"/>
    <w:rsid w:val="00077E08"/>
    <w:rsid w:val="00077EFF"/>
    <w:rsid w:val="00077FC9"/>
    <w:rsid w:val="00080222"/>
    <w:rsid w:val="00080241"/>
    <w:rsid w:val="0008042C"/>
    <w:rsid w:val="000805A3"/>
    <w:rsid w:val="000806C4"/>
    <w:rsid w:val="00080716"/>
    <w:rsid w:val="000809EE"/>
    <w:rsid w:val="00080A94"/>
    <w:rsid w:val="00080ABC"/>
    <w:rsid w:val="00080CAA"/>
    <w:rsid w:val="00081141"/>
    <w:rsid w:val="00081206"/>
    <w:rsid w:val="000813B5"/>
    <w:rsid w:val="000813E5"/>
    <w:rsid w:val="00081509"/>
    <w:rsid w:val="00081778"/>
    <w:rsid w:val="00081854"/>
    <w:rsid w:val="00081A54"/>
    <w:rsid w:val="00081AB6"/>
    <w:rsid w:val="00081B04"/>
    <w:rsid w:val="00081C9D"/>
    <w:rsid w:val="00081CF8"/>
    <w:rsid w:val="00081DA0"/>
    <w:rsid w:val="00081FAB"/>
    <w:rsid w:val="0008210F"/>
    <w:rsid w:val="00082145"/>
    <w:rsid w:val="0008229F"/>
    <w:rsid w:val="00082366"/>
    <w:rsid w:val="00082462"/>
    <w:rsid w:val="0008268E"/>
    <w:rsid w:val="000826BD"/>
    <w:rsid w:val="000829AD"/>
    <w:rsid w:val="00082F5F"/>
    <w:rsid w:val="0008320C"/>
    <w:rsid w:val="0008343A"/>
    <w:rsid w:val="000834F9"/>
    <w:rsid w:val="00083674"/>
    <w:rsid w:val="000838E0"/>
    <w:rsid w:val="00083AC4"/>
    <w:rsid w:val="000841D8"/>
    <w:rsid w:val="000842FF"/>
    <w:rsid w:val="000845D3"/>
    <w:rsid w:val="000845E3"/>
    <w:rsid w:val="00084622"/>
    <w:rsid w:val="0008488A"/>
    <w:rsid w:val="000848E5"/>
    <w:rsid w:val="000848F1"/>
    <w:rsid w:val="00084929"/>
    <w:rsid w:val="00084956"/>
    <w:rsid w:val="00084A7A"/>
    <w:rsid w:val="00084BF0"/>
    <w:rsid w:val="00084BF2"/>
    <w:rsid w:val="00084C4F"/>
    <w:rsid w:val="00084C50"/>
    <w:rsid w:val="00084C59"/>
    <w:rsid w:val="00084E0D"/>
    <w:rsid w:val="00084F78"/>
    <w:rsid w:val="00084F82"/>
    <w:rsid w:val="0008517C"/>
    <w:rsid w:val="0008517E"/>
    <w:rsid w:val="00085180"/>
    <w:rsid w:val="000854C9"/>
    <w:rsid w:val="00085635"/>
    <w:rsid w:val="0008599A"/>
    <w:rsid w:val="000859B3"/>
    <w:rsid w:val="00085BA6"/>
    <w:rsid w:val="00085E68"/>
    <w:rsid w:val="00085E76"/>
    <w:rsid w:val="000861A8"/>
    <w:rsid w:val="00086213"/>
    <w:rsid w:val="00086220"/>
    <w:rsid w:val="00086245"/>
    <w:rsid w:val="00086351"/>
    <w:rsid w:val="0008671C"/>
    <w:rsid w:val="00086735"/>
    <w:rsid w:val="00086989"/>
    <w:rsid w:val="00086C42"/>
    <w:rsid w:val="00086CCC"/>
    <w:rsid w:val="000870B6"/>
    <w:rsid w:val="0008720E"/>
    <w:rsid w:val="0008762C"/>
    <w:rsid w:val="00087859"/>
    <w:rsid w:val="00087866"/>
    <w:rsid w:val="00087A39"/>
    <w:rsid w:val="00087CB5"/>
    <w:rsid w:val="00087EF0"/>
    <w:rsid w:val="00087EF8"/>
    <w:rsid w:val="00090039"/>
    <w:rsid w:val="000900F1"/>
    <w:rsid w:val="000902B8"/>
    <w:rsid w:val="0009034F"/>
    <w:rsid w:val="000903A1"/>
    <w:rsid w:val="000904C5"/>
    <w:rsid w:val="00090519"/>
    <w:rsid w:val="00090613"/>
    <w:rsid w:val="000908B7"/>
    <w:rsid w:val="0009095D"/>
    <w:rsid w:val="00090960"/>
    <w:rsid w:val="00090977"/>
    <w:rsid w:val="00090A3B"/>
    <w:rsid w:val="00090A7A"/>
    <w:rsid w:val="00090A7D"/>
    <w:rsid w:val="00090B4E"/>
    <w:rsid w:val="00090B55"/>
    <w:rsid w:val="00090BD1"/>
    <w:rsid w:val="00090C73"/>
    <w:rsid w:val="00090E44"/>
    <w:rsid w:val="00090FD2"/>
    <w:rsid w:val="00091294"/>
    <w:rsid w:val="000912EF"/>
    <w:rsid w:val="000913CE"/>
    <w:rsid w:val="0009150B"/>
    <w:rsid w:val="000916DC"/>
    <w:rsid w:val="0009171C"/>
    <w:rsid w:val="00091857"/>
    <w:rsid w:val="00091899"/>
    <w:rsid w:val="00091BA7"/>
    <w:rsid w:val="00091C59"/>
    <w:rsid w:val="00091C72"/>
    <w:rsid w:val="00091C86"/>
    <w:rsid w:val="00091E09"/>
    <w:rsid w:val="00091E2A"/>
    <w:rsid w:val="00091E3D"/>
    <w:rsid w:val="00091F2C"/>
    <w:rsid w:val="00092051"/>
    <w:rsid w:val="000922E0"/>
    <w:rsid w:val="00092429"/>
    <w:rsid w:val="0009247F"/>
    <w:rsid w:val="0009252D"/>
    <w:rsid w:val="00092550"/>
    <w:rsid w:val="00092806"/>
    <w:rsid w:val="00092A21"/>
    <w:rsid w:val="00092CE2"/>
    <w:rsid w:val="00092D01"/>
    <w:rsid w:val="00092D92"/>
    <w:rsid w:val="00092ECB"/>
    <w:rsid w:val="00093035"/>
    <w:rsid w:val="000930D8"/>
    <w:rsid w:val="00093112"/>
    <w:rsid w:val="0009318E"/>
    <w:rsid w:val="000931FD"/>
    <w:rsid w:val="000933F0"/>
    <w:rsid w:val="00093599"/>
    <w:rsid w:val="00093659"/>
    <w:rsid w:val="00093805"/>
    <w:rsid w:val="0009385E"/>
    <w:rsid w:val="00093903"/>
    <w:rsid w:val="00093A4E"/>
    <w:rsid w:val="00093A60"/>
    <w:rsid w:val="00093A65"/>
    <w:rsid w:val="00093AC2"/>
    <w:rsid w:val="00093CD8"/>
    <w:rsid w:val="00093D8A"/>
    <w:rsid w:val="00093D9A"/>
    <w:rsid w:val="00093FA6"/>
    <w:rsid w:val="000941ED"/>
    <w:rsid w:val="00094454"/>
    <w:rsid w:val="000944C4"/>
    <w:rsid w:val="000944F1"/>
    <w:rsid w:val="000945A2"/>
    <w:rsid w:val="000945D7"/>
    <w:rsid w:val="00094656"/>
    <w:rsid w:val="0009478E"/>
    <w:rsid w:val="000948AC"/>
    <w:rsid w:val="000949AF"/>
    <w:rsid w:val="00094A7A"/>
    <w:rsid w:val="00094AD2"/>
    <w:rsid w:val="00094B30"/>
    <w:rsid w:val="00094CBB"/>
    <w:rsid w:val="00095271"/>
    <w:rsid w:val="00095429"/>
    <w:rsid w:val="00095449"/>
    <w:rsid w:val="000955CE"/>
    <w:rsid w:val="000957E2"/>
    <w:rsid w:val="00095836"/>
    <w:rsid w:val="00095948"/>
    <w:rsid w:val="00095AD4"/>
    <w:rsid w:val="00095E0D"/>
    <w:rsid w:val="00095FA7"/>
    <w:rsid w:val="0009600F"/>
    <w:rsid w:val="00096134"/>
    <w:rsid w:val="0009616C"/>
    <w:rsid w:val="00096253"/>
    <w:rsid w:val="000962AB"/>
    <w:rsid w:val="0009642A"/>
    <w:rsid w:val="000964A6"/>
    <w:rsid w:val="00096508"/>
    <w:rsid w:val="0009657C"/>
    <w:rsid w:val="000965A2"/>
    <w:rsid w:val="0009665B"/>
    <w:rsid w:val="000966B6"/>
    <w:rsid w:val="000968FA"/>
    <w:rsid w:val="00096909"/>
    <w:rsid w:val="00096962"/>
    <w:rsid w:val="00096B52"/>
    <w:rsid w:val="00096B95"/>
    <w:rsid w:val="00096DA0"/>
    <w:rsid w:val="00096E00"/>
    <w:rsid w:val="00096EFB"/>
    <w:rsid w:val="00097204"/>
    <w:rsid w:val="00097244"/>
    <w:rsid w:val="0009739A"/>
    <w:rsid w:val="00097568"/>
    <w:rsid w:val="0009759D"/>
    <w:rsid w:val="0009763F"/>
    <w:rsid w:val="0009778E"/>
    <w:rsid w:val="000977B2"/>
    <w:rsid w:val="00097A40"/>
    <w:rsid w:val="00097B6C"/>
    <w:rsid w:val="00097BF3"/>
    <w:rsid w:val="00097C16"/>
    <w:rsid w:val="00097EA9"/>
    <w:rsid w:val="00097F7F"/>
    <w:rsid w:val="00097FEE"/>
    <w:rsid w:val="000A01F8"/>
    <w:rsid w:val="000A0270"/>
    <w:rsid w:val="000A02AD"/>
    <w:rsid w:val="000A0408"/>
    <w:rsid w:val="000A0546"/>
    <w:rsid w:val="000A0858"/>
    <w:rsid w:val="000A0A66"/>
    <w:rsid w:val="000A0DDB"/>
    <w:rsid w:val="000A0F92"/>
    <w:rsid w:val="000A10BF"/>
    <w:rsid w:val="000A11D2"/>
    <w:rsid w:val="000A1212"/>
    <w:rsid w:val="000A1218"/>
    <w:rsid w:val="000A128E"/>
    <w:rsid w:val="000A12BF"/>
    <w:rsid w:val="000A145F"/>
    <w:rsid w:val="000A15A4"/>
    <w:rsid w:val="000A1699"/>
    <w:rsid w:val="000A16B0"/>
    <w:rsid w:val="000A17FF"/>
    <w:rsid w:val="000A1A6A"/>
    <w:rsid w:val="000A1B0A"/>
    <w:rsid w:val="000A1B7D"/>
    <w:rsid w:val="000A1BDE"/>
    <w:rsid w:val="000A1C8E"/>
    <w:rsid w:val="000A1D39"/>
    <w:rsid w:val="000A1D56"/>
    <w:rsid w:val="000A2155"/>
    <w:rsid w:val="000A21D1"/>
    <w:rsid w:val="000A262B"/>
    <w:rsid w:val="000A2765"/>
    <w:rsid w:val="000A27EA"/>
    <w:rsid w:val="000A2ACD"/>
    <w:rsid w:val="000A2AE8"/>
    <w:rsid w:val="000A2B65"/>
    <w:rsid w:val="000A2B80"/>
    <w:rsid w:val="000A2C10"/>
    <w:rsid w:val="000A2C19"/>
    <w:rsid w:val="000A2C61"/>
    <w:rsid w:val="000A2DA8"/>
    <w:rsid w:val="000A2E4C"/>
    <w:rsid w:val="000A2F36"/>
    <w:rsid w:val="000A2F61"/>
    <w:rsid w:val="000A308B"/>
    <w:rsid w:val="000A32E7"/>
    <w:rsid w:val="000A33C3"/>
    <w:rsid w:val="000A33F0"/>
    <w:rsid w:val="000A3702"/>
    <w:rsid w:val="000A3748"/>
    <w:rsid w:val="000A38C6"/>
    <w:rsid w:val="000A3C51"/>
    <w:rsid w:val="000A3CA9"/>
    <w:rsid w:val="000A3D34"/>
    <w:rsid w:val="000A3DF9"/>
    <w:rsid w:val="000A4082"/>
    <w:rsid w:val="000A437D"/>
    <w:rsid w:val="000A4A1B"/>
    <w:rsid w:val="000A4AC6"/>
    <w:rsid w:val="000A4CD9"/>
    <w:rsid w:val="000A4D7C"/>
    <w:rsid w:val="000A4EB8"/>
    <w:rsid w:val="000A4F1F"/>
    <w:rsid w:val="000A50CF"/>
    <w:rsid w:val="000A50EA"/>
    <w:rsid w:val="000A50F4"/>
    <w:rsid w:val="000A534F"/>
    <w:rsid w:val="000A56B7"/>
    <w:rsid w:val="000A5820"/>
    <w:rsid w:val="000A58A9"/>
    <w:rsid w:val="000A594F"/>
    <w:rsid w:val="000A59CD"/>
    <w:rsid w:val="000A5B00"/>
    <w:rsid w:val="000A5C47"/>
    <w:rsid w:val="000A5C5C"/>
    <w:rsid w:val="000A5CB7"/>
    <w:rsid w:val="000A5D42"/>
    <w:rsid w:val="000A5D8D"/>
    <w:rsid w:val="000A5ED6"/>
    <w:rsid w:val="000A61AE"/>
    <w:rsid w:val="000A61BB"/>
    <w:rsid w:val="000A620E"/>
    <w:rsid w:val="000A6225"/>
    <w:rsid w:val="000A629E"/>
    <w:rsid w:val="000A6320"/>
    <w:rsid w:val="000A6508"/>
    <w:rsid w:val="000A6561"/>
    <w:rsid w:val="000A6582"/>
    <w:rsid w:val="000A66A0"/>
    <w:rsid w:val="000A67C6"/>
    <w:rsid w:val="000A68C1"/>
    <w:rsid w:val="000A6A0E"/>
    <w:rsid w:val="000A6AE7"/>
    <w:rsid w:val="000A6B30"/>
    <w:rsid w:val="000A6B8E"/>
    <w:rsid w:val="000A6CD3"/>
    <w:rsid w:val="000A6D1B"/>
    <w:rsid w:val="000A6F5D"/>
    <w:rsid w:val="000A6FA5"/>
    <w:rsid w:val="000A710B"/>
    <w:rsid w:val="000A712A"/>
    <w:rsid w:val="000A71DA"/>
    <w:rsid w:val="000A723E"/>
    <w:rsid w:val="000A7249"/>
    <w:rsid w:val="000A7369"/>
    <w:rsid w:val="000A75C4"/>
    <w:rsid w:val="000A785B"/>
    <w:rsid w:val="000A7883"/>
    <w:rsid w:val="000A7982"/>
    <w:rsid w:val="000A79BF"/>
    <w:rsid w:val="000A7A68"/>
    <w:rsid w:val="000A7B78"/>
    <w:rsid w:val="000A7E12"/>
    <w:rsid w:val="000A7E71"/>
    <w:rsid w:val="000A7FAA"/>
    <w:rsid w:val="000A7FAB"/>
    <w:rsid w:val="000A7FE5"/>
    <w:rsid w:val="000B01E1"/>
    <w:rsid w:val="000B041F"/>
    <w:rsid w:val="000B042D"/>
    <w:rsid w:val="000B0610"/>
    <w:rsid w:val="000B0912"/>
    <w:rsid w:val="000B09B7"/>
    <w:rsid w:val="000B0AE5"/>
    <w:rsid w:val="000B0D01"/>
    <w:rsid w:val="000B0FC0"/>
    <w:rsid w:val="000B10B7"/>
    <w:rsid w:val="000B1364"/>
    <w:rsid w:val="000B13CE"/>
    <w:rsid w:val="000B1561"/>
    <w:rsid w:val="000B1670"/>
    <w:rsid w:val="000B174E"/>
    <w:rsid w:val="000B19C5"/>
    <w:rsid w:val="000B1A1F"/>
    <w:rsid w:val="000B1BDB"/>
    <w:rsid w:val="000B1EB6"/>
    <w:rsid w:val="000B1FFE"/>
    <w:rsid w:val="000B2014"/>
    <w:rsid w:val="000B20CB"/>
    <w:rsid w:val="000B213F"/>
    <w:rsid w:val="000B2186"/>
    <w:rsid w:val="000B228E"/>
    <w:rsid w:val="000B24A8"/>
    <w:rsid w:val="000B24AD"/>
    <w:rsid w:val="000B24C6"/>
    <w:rsid w:val="000B2510"/>
    <w:rsid w:val="000B2834"/>
    <w:rsid w:val="000B2894"/>
    <w:rsid w:val="000B28D8"/>
    <w:rsid w:val="000B2BFA"/>
    <w:rsid w:val="000B2E4F"/>
    <w:rsid w:val="000B2E88"/>
    <w:rsid w:val="000B2EB1"/>
    <w:rsid w:val="000B315B"/>
    <w:rsid w:val="000B3330"/>
    <w:rsid w:val="000B3381"/>
    <w:rsid w:val="000B3569"/>
    <w:rsid w:val="000B3623"/>
    <w:rsid w:val="000B3797"/>
    <w:rsid w:val="000B397D"/>
    <w:rsid w:val="000B3A72"/>
    <w:rsid w:val="000B3ADC"/>
    <w:rsid w:val="000B3B43"/>
    <w:rsid w:val="000B3B7C"/>
    <w:rsid w:val="000B3BEC"/>
    <w:rsid w:val="000B3C12"/>
    <w:rsid w:val="000B3CA7"/>
    <w:rsid w:val="000B3D1B"/>
    <w:rsid w:val="000B3E2C"/>
    <w:rsid w:val="000B3FB2"/>
    <w:rsid w:val="000B408B"/>
    <w:rsid w:val="000B4173"/>
    <w:rsid w:val="000B42F1"/>
    <w:rsid w:val="000B4320"/>
    <w:rsid w:val="000B435A"/>
    <w:rsid w:val="000B45AD"/>
    <w:rsid w:val="000B4659"/>
    <w:rsid w:val="000B471A"/>
    <w:rsid w:val="000B4798"/>
    <w:rsid w:val="000B4A5C"/>
    <w:rsid w:val="000B4A6C"/>
    <w:rsid w:val="000B4D3F"/>
    <w:rsid w:val="000B4E79"/>
    <w:rsid w:val="000B4F5C"/>
    <w:rsid w:val="000B50C5"/>
    <w:rsid w:val="000B519C"/>
    <w:rsid w:val="000B52C8"/>
    <w:rsid w:val="000B5439"/>
    <w:rsid w:val="000B55AE"/>
    <w:rsid w:val="000B55B0"/>
    <w:rsid w:val="000B57C9"/>
    <w:rsid w:val="000B58C5"/>
    <w:rsid w:val="000B5991"/>
    <w:rsid w:val="000B5D15"/>
    <w:rsid w:val="000B5E2B"/>
    <w:rsid w:val="000B5F8F"/>
    <w:rsid w:val="000B60C7"/>
    <w:rsid w:val="000B6259"/>
    <w:rsid w:val="000B625B"/>
    <w:rsid w:val="000B64AF"/>
    <w:rsid w:val="000B65A0"/>
    <w:rsid w:val="000B66AA"/>
    <w:rsid w:val="000B6715"/>
    <w:rsid w:val="000B6908"/>
    <w:rsid w:val="000B693E"/>
    <w:rsid w:val="000B6987"/>
    <w:rsid w:val="000B6CF0"/>
    <w:rsid w:val="000B6D48"/>
    <w:rsid w:val="000B6DA6"/>
    <w:rsid w:val="000B6FB1"/>
    <w:rsid w:val="000B70AA"/>
    <w:rsid w:val="000B715C"/>
    <w:rsid w:val="000B720C"/>
    <w:rsid w:val="000B7250"/>
    <w:rsid w:val="000B7288"/>
    <w:rsid w:val="000B73C4"/>
    <w:rsid w:val="000B7518"/>
    <w:rsid w:val="000B7665"/>
    <w:rsid w:val="000B77A1"/>
    <w:rsid w:val="000B787D"/>
    <w:rsid w:val="000B7C36"/>
    <w:rsid w:val="000B7CD0"/>
    <w:rsid w:val="000B7CD5"/>
    <w:rsid w:val="000C005E"/>
    <w:rsid w:val="000C00C2"/>
    <w:rsid w:val="000C0167"/>
    <w:rsid w:val="000C0196"/>
    <w:rsid w:val="000C024B"/>
    <w:rsid w:val="000C0345"/>
    <w:rsid w:val="000C058F"/>
    <w:rsid w:val="000C068B"/>
    <w:rsid w:val="000C06AC"/>
    <w:rsid w:val="000C0872"/>
    <w:rsid w:val="000C0931"/>
    <w:rsid w:val="000C0984"/>
    <w:rsid w:val="000C0ABC"/>
    <w:rsid w:val="000C0B65"/>
    <w:rsid w:val="000C0BCE"/>
    <w:rsid w:val="000C0BD9"/>
    <w:rsid w:val="000C0BF0"/>
    <w:rsid w:val="000C0EAE"/>
    <w:rsid w:val="000C119D"/>
    <w:rsid w:val="000C1258"/>
    <w:rsid w:val="000C126C"/>
    <w:rsid w:val="000C14DD"/>
    <w:rsid w:val="000C152C"/>
    <w:rsid w:val="000C153D"/>
    <w:rsid w:val="000C17B6"/>
    <w:rsid w:val="000C17C1"/>
    <w:rsid w:val="000C19A7"/>
    <w:rsid w:val="000C1A8B"/>
    <w:rsid w:val="000C1A9F"/>
    <w:rsid w:val="000C1D77"/>
    <w:rsid w:val="000C1DB7"/>
    <w:rsid w:val="000C1E25"/>
    <w:rsid w:val="000C1F0C"/>
    <w:rsid w:val="000C206E"/>
    <w:rsid w:val="000C2186"/>
    <w:rsid w:val="000C2405"/>
    <w:rsid w:val="000C248C"/>
    <w:rsid w:val="000C2513"/>
    <w:rsid w:val="000C2832"/>
    <w:rsid w:val="000C288C"/>
    <w:rsid w:val="000C28A3"/>
    <w:rsid w:val="000C2949"/>
    <w:rsid w:val="000C29EC"/>
    <w:rsid w:val="000C2CC0"/>
    <w:rsid w:val="000C2E89"/>
    <w:rsid w:val="000C2E98"/>
    <w:rsid w:val="000C2E9B"/>
    <w:rsid w:val="000C2EFD"/>
    <w:rsid w:val="000C30BE"/>
    <w:rsid w:val="000C30C9"/>
    <w:rsid w:val="000C31AD"/>
    <w:rsid w:val="000C31BB"/>
    <w:rsid w:val="000C34A0"/>
    <w:rsid w:val="000C352D"/>
    <w:rsid w:val="000C363D"/>
    <w:rsid w:val="000C3640"/>
    <w:rsid w:val="000C3657"/>
    <w:rsid w:val="000C3850"/>
    <w:rsid w:val="000C38DE"/>
    <w:rsid w:val="000C3AAC"/>
    <w:rsid w:val="000C3C49"/>
    <w:rsid w:val="000C3D83"/>
    <w:rsid w:val="000C3DD3"/>
    <w:rsid w:val="000C3E56"/>
    <w:rsid w:val="000C3ECC"/>
    <w:rsid w:val="000C3F90"/>
    <w:rsid w:val="000C4013"/>
    <w:rsid w:val="000C415E"/>
    <w:rsid w:val="000C424E"/>
    <w:rsid w:val="000C4302"/>
    <w:rsid w:val="000C434C"/>
    <w:rsid w:val="000C4472"/>
    <w:rsid w:val="000C4645"/>
    <w:rsid w:val="000C4745"/>
    <w:rsid w:val="000C4873"/>
    <w:rsid w:val="000C4956"/>
    <w:rsid w:val="000C4D48"/>
    <w:rsid w:val="000C4F71"/>
    <w:rsid w:val="000C5025"/>
    <w:rsid w:val="000C50D6"/>
    <w:rsid w:val="000C5181"/>
    <w:rsid w:val="000C52EB"/>
    <w:rsid w:val="000C54D9"/>
    <w:rsid w:val="000C5692"/>
    <w:rsid w:val="000C5A1B"/>
    <w:rsid w:val="000C5BB7"/>
    <w:rsid w:val="000C5BFC"/>
    <w:rsid w:val="000C5C21"/>
    <w:rsid w:val="000C5DCB"/>
    <w:rsid w:val="000C6023"/>
    <w:rsid w:val="000C6030"/>
    <w:rsid w:val="000C6079"/>
    <w:rsid w:val="000C648C"/>
    <w:rsid w:val="000C64C8"/>
    <w:rsid w:val="000C6643"/>
    <w:rsid w:val="000C664D"/>
    <w:rsid w:val="000C69B2"/>
    <w:rsid w:val="000C69CC"/>
    <w:rsid w:val="000C6BDD"/>
    <w:rsid w:val="000C6CE0"/>
    <w:rsid w:val="000C6D59"/>
    <w:rsid w:val="000C6E23"/>
    <w:rsid w:val="000C6E2D"/>
    <w:rsid w:val="000C72A4"/>
    <w:rsid w:val="000C7411"/>
    <w:rsid w:val="000C7497"/>
    <w:rsid w:val="000C7509"/>
    <w:rsid w:val="000C75FA"/>
    <w:rsid w:val="000C76A7"/>
    <w:rsid w:val="000C76B6"/>
    <w:rsid w:val="000C76D6"/>
    <w:rsid w:val="000C76EA"/>
    <w:rsid w:val="000C78F7"/>
    <w:rsid w:val="000C7963"/>
    <w:rsid w:val="000C7AAB"/>
    <w:rsid w:val="000C7AFA"/>
    <w:rsid w:val="000C7BF7"/>
    <w:rsid w:val="000C7C46"/>
    <w:rsid w:val="000C7C97"/>
    <w:rsid w:val="000C7EE9"/>
    <w:rsid w:val="000C7FC2"/>
    <w:rsid w:val="000D00BB"/>
    <w:rsid w:val="000D00F7"/>
    <w:rsid w:val="000D0199"/>
    <w:rsid w:val="000D02F1"/>
    <w:rsid w:val="000D0407"/>
    <w:rsid w:val="000D0437"/>
    <w:rsid w:val="000D049F"/>
    <w:rsid w:val="000D04D8"/>
    <w:rsid w:val="000D0514"/>
    <w:rsid w:val="000D05DE"/>
    <w:rsid w:val="000D069C"/>
    <w:rsid w:val="000D0849"/>
    <w:rsid w:val="000D0A78"/>
    <w:rsid w:val="000D0ADD"/>
    <w:rsid w:val="000D0C25"/>
    <w:rsid w:val="000D0C57"/>
    <w:rsid w:val="000D0E06"/>
    <w:rsid w:val="000D0FA0"/>
    <w:rsid w:val="000D0FD0"/>
    <w:rsid w:val="000D10F7"/>
    <w:rsid w:val="000D11EF"/>
    <w:rsid w:val="000D127D"/>
    <w:rsid w:val="000D128C"/>
    <w:rsid w:val="000D1513"/>
    <w:rsid w:val="000D1570"/>
    <w:rsid w:val="000D15A0"/>
    <w:rsid w:val="000D1721"/>
    <w:rsid w:val="000D181C"/>
    <w:rsid w:val="000D187C"/>
    <w:rsid w:val="000D192A"/>
    <w:rsid w:val="000D19BD"/>
    <w:rsid w:val="000D1A61"/>
    <w:rsid w:val="000D1B52"/>
    <w:rsid w:val="000D1BB2"/>
    <w:rsid w:val="000D1BC7"/>
    <w:rsid w:val="000D1F92"/>
    <w:rsid w:val="000D201D"/>
    <w:rsid w:val="000D204D"/>
    <w:rsid w:val="000D213F"/>
    <w:rsid w:val="000D23CA"/>
    <w:rsid w:val="000D254A"/>
    <w:rsid w:val="000D25FB"/>
    <w:rsid w:val="000D2716"/>
    <w:rsid w:val="000D27D0"/>
    <w:rsid w:val="000D2A2F"/>
    <w:rsid w:val="000D2F08"/>
    <w:rsid w:val="000D32A1"/>
    <w:rsid w:val="000D32CC"/>
    <w:rsid w:val="000D35EF"/>
    <w:rsid w:val="000D3893"/>
    <w:rsid w:val="000D3B56"/>
    <w:rsid w:val="000D3CC9"/>
    <w:rsid w:val="000D3D14"/>
    <w:rsid w:val="000D412B"/>
    <w:rsid w:val="000D4236"/>
    <w:rsid w:val="000D4394"/>
    <w:rsid w:val="000D4503"/>
    <w:rsid w:val="000D4917"/>
    <w:rsid w:val="000D4A1C"/>
    <w:rsid w:val="000D4ABE"/>
    <w:rsid w:val="000D4B6E"/>
    <w:rsid w:val="000D4BD5"/>
    <w:rsid w:val="000D4BEE"/>
    <w:rsid w:val="000D4C1B"/>
    <w:rsid w:val="000D4C37"/>
    <w:rsid w:val="000D4CD8"/>
    <w:rsid w:val="000D4D4B"/>
    <w:rsid w:val="000D4EC0"/>
    <w:rsid w:val="000D4F16"/>
    <w:rsid w:val="000D52BD"/>
    <w:rsid w:val="000D5406"/>
    <w:rsid w:val="000D5479"/>
    <w:rsid w:val="000D5523"/>
    <w:rsid w:val="000D55B3"/>
    <w:rsid w:val="000D5C82"/>
    <w:rsid w:val="000D602A"/>
    <w:rsid w:val="000D613E"/>
    <w:rsid w:val="000D6184"/>
    <w:rsid w:val="000D6493"/>
    <w:rsid w:val="000D6624"/>
    <w:rsid w:val="000D663B"/>
    <w:rsid w:val="000D68D1"/>
    <w:rsid w:val="000D6970"/>
    <w:rsid w:val="000D6BA5"/>
    <w:rsid w:val="000D6D43"/>
    <w:rsid w:val="000D6DF6"/>
    <w:rsid w:val="000D6EE8"/>
    <w:rsid w:val="000D6FBD"/>
    <w:rsid w:val="000D7036"/>
    <w:rsid w:val="000D7136"/>
    <w:rsid w:val="000D72BC"/>
    <w:rsid w:val="000D72DB"/>
    <w:rsid w:val="000D7373"/>
    <w:rsid w:val="000D77FB"/>
    <w:rsid w:val="000D78C9"/>
    <w:rsid w:val="000D7AB5"/>
    <w:rsid w:val="000D7D01"/>
    <w:rsid w:val="000D7D72"/>
    <w:rsid w:val="000D7D9C"/>
    <w:rsid w:val="000D7EB8"/>
    <w:rsid w:val="000E006A"/>
    <w:rsid w:val="000E00EC"/>
    <w:rsid w:val="000E0203"/>
    <w:rsid w:val="000E03DC"/>
    <w:rsid w:val="000E04A5"/>
    <w:rsid w:val="000E04D2"/>
    <w:rsid w:val="000E0553"/>
    <w:rsid w:val="000E0635"/>
    <w:rsid w:val="000E08B4"/>
    <w:rsid w:val="000E0A4A"/>
    <w:rsid w:val="000E0BD2"/>
    <w:rsid w:val="000E0D68"/>
    <w:rsid w:val="000E0E72"/>
    <w:rsid w:val="000E1124"/>
    <w:rsid w:val="000E11BD"/>
    <w:rsid w:val="000E1244"/>
    <w:rsid w:val="000E12B9"/>
    <w:rsid w:val="000E12D3"/>
    <w:rsid w:val="000E1320"/>
    <w:rsid w:val="000E13CE"/>
    <w:rsid w:val="000E147E"/>
    <w:rsid w:val="000E14FC"/>
    <w:rsid w:val="000E16B9"/>
    <w:rsid w:val="000E16BB"/>
    <w:rsid w:val="000E16F3"/>
    <w:rsid w:val="000E1862"/>
    <w:rsid w:val="000E18B9"/>
    <w:rsid w:val="000E19D0"/>
    <w:rsid w:val="000E1E2D"/>
    <w:rsid w:val="000E1EBA"/>
    <w:rsid w:val="000E1F7F"/>
    <w:rsid w:val="000E2119"/>
    <w:rsid w:val="000E215C"/>
    <w:rsid w:val="000E23BB"/>
    <w:rsid w:val="000E25C5"/>
    <w:rsid w:val="000E2825"/>
    <w:rsid w:val="000E2966"/>
    <w:rsid w:val="000E2ACD"/>
    <w:rsid w:val="000E2B60"/>
    <w:rsid w:val="000E2D5C"/>
    <w:rsid w:val="000E2D99"/>
    <w:rsid w:val="000E2DE5"/>
    <w:rsid w:val="000E2DF2"/>
    <w:rsid w:val="000E2E44"/>
    <w:rsid w:val="000E2E7C"/>
    <w:rsid w:val="000E2E8F"/>
    <w:rsid w:val="000E2ED1"/>
    <w:rsid w:val="000E2EF9"/>
    <w:rsid w:val="000E2F61"/>
    <w:rsid w:val="000E3277"/>
    <w:rsid w:val="000E32F7"/>
    <w:rsid w:val="000E33E3"/>
    <w:rsid w:val="000E3963"/>
    <w:rsid w:val="000E39CF"/>
    <w:rsid w:val="000E39F1"/>
    <w:rsid w:val="000E3A90"/>
    <w:rsid w:val="000E3ADC"/>
    <w:rsid w:val="000E3B61"/>
    <w:rsid w:val="000E3FC1"/>
    <w:rsid w:val="000E41CF"/>
    <w:rsid w:val="000E41F3"/>
    <w:rsid w:val="000E4586"/>
    <w:rsid w:val="000E45DB"/>
    <w:rsid w:val="000E47AE"/>
    <w:rsid w:val="000E4821"/>
    <w:rsid w:val="000E49B4"/>
    <w:rsid w:val="000E4AAE"/>
    <w:rsid w:val="000E4CA2"/>
    <w:rsid w:val="000E4CF1"/>
    <w:rsid w:val="000E4FA4"/>
    <w:rsid w:val="000E4FE3"/>
    <w:rsid w:val="000E5017"/>
    <w:rsid w:val="000E50C3"/>
    <w:rsid w:val="000E511D"/>
    <w:rsid w:val="000E518A"/>
    <w:rsid w:val="000E51FA"/>
    <w:rsid w:val="000E5269"/>
    <w:rsid w:val="000E53A2"/>
    <w:rsid w:val="000E54CF"/>
    <w:rsid w:val="000E5531"/>
    <w:rsid w:val="000E56D4"/>
    <w:rsid w:val="000E56F0"/>
    <w:rsid w:val="000E579D"/>
    <w:rsid w:val="000E5831"/>
    <w:rsid w:val="000E5ACC"/>
    <w:rsid w:val="000E5C01"/>
    <w:rsid w:val="000E5CF4"/>
    <w:rsid w:val="000E627D"/>
    <w:rsid w:val="000E6410"/>
    <w:rsid w:val="000E6476"/>
    <w:rsid w:val="000E64CD"/>
    <w:rsid w:val="000E678B"/>
    <w:rsid w:val="000E68B9"/>
    <w:rsid w:val="000E6937"/>
    <w:rsid w:val="000E69F5"/>
    <w:rsid w:val="000E6C9F"/>
    <w:rsid w:val="000E6CEB"/>
    <w:rsid w:val="000E6D75"/>
    <w:rsid w:val="000E6D8C"/>
    <w:rsid w:val="000E700C"/>
    <w:rsid w:val="000E707A"/>
    <w:rsid w:val="000E70AF"/>
    <w:rsid w:val="000E70F2"/>
    <w:rsid w:val="000E72E1"/>
    <w:rsid w:val="000E739B"/>
    <w:rsid w:val="000E75D7"/>
    <w:rsid w:val="000E762C"/>
    <w:rsid w:val="000E7644"/>
    <w:rsid w:val="000E76EA"/>
    <w:rsid w:val="000E78E5"/>
    <w:rsid w:val="000E7AA9"/>
    <w:rsid w:val="000E7E1C"/>
    <w:rsid w:val="000F0182"/>
    <w:rsid w:val="000F0268"/>
    <w:rsid w:val="000F02F9"/>
    <w:rsid w:val="000F0325"/>
    <w:rsid w:val="000F0413"/>
    <w:rsid w:val="000F0429"/>
    <w:rsid w:val="000F04AB"/>
    <w:rsid w:val="000F0548"/>
    <w:rsid w:val="000F058E"/>
    <w:rsid w:val="000F063E"/>
    <w:rsid w:val="000F0D52"/>
    <w:rsid w:val="000F0D79"/>
    <w:rsid w:val="000F103F"/>
    <w:rsid w:val="000F1059"/>
    <w:rsid w:val="000F106F"/>
    <w:rsid w:val="000F10D3"/>
    <w:rsid w:val="000F10DA"/>
    <w:rsid w:val="000F12BE"/>
    <w:rsid w:val="000F1334"/>
    <w:rsid w:val="000F1351"/>
    <w:rsid w:val="000F1947"/>
    <w:rsid w:val="000F1C5C"/>
    <w:rsid w:val="000F1DBE"/>
    <w:rsid w:val="000F1E2F"/>
    <w:rsid w:val="000F1E6A"/>
    <w:rsid w:val="000F23FE"/>
    <w:rsid w:val="000F2509"/>
    <w:rsid w:val="000F254C"/>
    <w:rsid w:val="000F2618"/>
    <w:rsid w:val="000F27C1"/>
    <w:rsid w:val="000F28A0"/>
    <w:rsid w:val="000F2913"/>
    <w:rsid w:val="000F29C6"/>
    <w:rsid w:val="000F2BE5"/>
    <w:rsid w:val="000F2BF6"/>
    <w:rsid w:val="000F2DD1"/>
    <w:rsid w:val="000F2DEE"/>
    <w:rsid w:val="000F2E01"/>
    <w:rsid w:val="000F3088"/>
    <w:rsid w:val="000F31A1"/>
    <w:rsid w:val="000F31CD"/>
    <w:rsid w:val="000F321F"/>
    <w:rsid w:val="000F33A6"/>
    <w:rsid w:val="000F33FC"/>
    <w:rsid w:val="000F3436"/>
    <w:rsid w:val="000F34D6"/>
    <w:rsid w:val="000F356D"/>
    <w:rsid w:val="000F36A7"/>
    <w:rsid w:val="000F385D"/>
    <w:rsid w:val="000F385F"/>
    <w:rsid w:val="000F3899"/>
    <w:rsid w:val="000F396A"/>
    <w:rsid w:val="000F3AB7"/>
    <w:rsid w:val="000F3D1D"/>
    <w:rsid w:val="000F3D1F"/>
    <w:rsid w:val="000F3DB4"/>
    <w:rsid w:val="000F3E0A"/>
    <w:rsid w:val="000F406E"/>
    <w:rsid w:val="000F4156"/>
    <w:rsid w:val="000F4186"/>
    <w:rsid w:val="000F4337"/>
    <w:rsid w:val="000F4364"/>
    <w:rsid w:val="000F43A8"/>
    <w:rsid w:val="000F4477"/>
    <w:rsid w:val="000F46F9"/>
    <w:rsid w:val="000F476F"/>
    <w:rsid w:val="000F4852"/>
    <w:rsid w:val="000F49A7"/>
    <w:rsid w:val="000F4A3F"/>
    <w:rsid w:val="000F4B9C"/>
    <w:rsid w:val="000F4C37"/>
    <w:rsid w:val="000F4E75"/>
    <w:rsid w:val="000F4F04"/>
    <w:rsid w:val="000F4FEA"/>
    <w:rsid w:val="000F50AF"/>
    <w:rsid w:val="000F50D2"/>
    <w:rsid w:val="000F55D6"/>
    <w:rsid w:val="000F55FD"/>
    <w:rsid w:val="000F5768"/>
    <w:rsid w:val="000F57C4"/>
    <w:rsid w:val="000F584F"/>
    <w:rsid w:val="000F5A3E"/>
    <w:rsid w:val="000F5A54"/>
    <w:rsid w:val="000F5A96"/>
    <w:rsid w:val="000F5BDC"/>
    <w:rsid w:val="000F5E42"/>
    <w:rsid w:val="000F5F3A"/>
    <w:rsid w:val="000F60EC"/>
    <w:rsid w:val="000F63D7"/>
    <w:rsid w:val="000F6412"/>
    <w:rsid w:val="000F64E1"/>
    <w:rsid w:val="000F66D2"/>
    <w:rsid w:val="000F66DE"/>
    <w:rsid w:val="000F6BFD"/>
    <w:rsid w:val="000F6FBE"/>
    <w:rsid w:val="000F6FFF"/>
    <w:rsid w:val="000F7021"/>
    <w:rsid w:val="000F70C7"/>
    <w:rsid w:val="000F70DC"/>
    <w:rsid w:val="000F70E0"/>
    <w:rsid w:val="000F7168"/>
    <w:rsid w:val="000F73D7"/>
    <w:rsid w:val="000F74C3"/>
    <w:rsid w:val="000F7501"/>
    <w:rsid w:val="000F7526"/>
    <w:rsid w:val="000F7572"/>
    <w:rsid w:val="000F783F"/>
    <w:rsid w:val="000F7937"/>
    <w:rsid w:val="000F7987"/>
    <w:rsid w:val="000F7B26"/>
    <w:rsid w:val="000F7B94"/>
    <w:rsid w:val="000F7C63"/>
    <w:rsid w:val="000F7E2D"/>
    <w:rsid w:val="000F7FD2"/>
    <w:rsid w:val="00100270"/>
    <w:rsid w:val="0010045D"/>
    <w:rsid w:val="0010051C"/>
    <w:rsid w:val="00100634"/>
    <w:rsid w:val="001006F7"/>
    <w:rsid w:val="001007BE"/>
    <w:rsid w:val="001008DA"/>
    <w:rsid w:val="001009B6"/>
    <w:rsid w:val="00100A3B"/>
    <w:rsid w:val="00100A42"/>
    <w:rsid w:val="00100B88"/>
    <w:rsid w:val="00100D87"/>
    <w:rsid w:val="00100EF1"/>
    <w:rsid w:val="001010D7"/>
    <w:rsid w:val="0010139D"/>
    <w:rsid w:val="00101408"/>
    <w:rsid w:val="00101464"/>
    <w:rsid w:val="00101490"/>
    <w:rsid w:val="00101675"/>
    <w:rsid w:val="00101692"/>
    <w:rsid w:val="0010185C"/>
    <w:rsid w:val="00101AC3"/>
    <w:rsid w:val="00101B87"/>
    <w:rsid w:val="00101BB9"/>
    <w:rsid w:val="00101C3D"/>
    <w:rsid w:val="00101CDA"/>
    <w:rsid w:val="001021E6"/>
    <w:rsid w:val="00102296"/>
    <w:rsid w:val="00102470"/>
    <w:rsid w:val="00102473"/>
    <w:rsid w:val="00102609"/>
    <w:rsid w:val="0010263F"/>
    <w:rsid w:val="001027AA"/>
    <w:rsid w:val="00102837"/>
    <w:rsid w:val="00102889"/>
    <w:rsid w:val="00102D37"/>
    <w:rsid w:val="00102DC0"/>
    <w:rsid w:val="00102E76"/>
    <w:rsid w:val="00102F20"/>
    <w:rsid w:val="00102FDD"/>
    <w:rsid w:val="00103263"/>
    <w:rsid w:val="00103294"/>
    <w:rsid w:val="0010333C"/>
    <w:rsid w:val="00103648"/>
    <w:rsid w:val="0010380C"/>
    <w:rsid w:val="001038AC"/>
    <w:rsid w:val="001040C2"/>
    <w:rsid w:val="00104251"/>
    <w:rsid w:val="0010433D"/>
    <w:rsid w:val="0010448B"/>
    <w:rsid w:val="00104571"/>
    <w:rsid w:val="0010468E"/>
    <w:rsid w:val="001046CA"/>
    <w:rsid w:val="001047E2"/>
    <w:rsid w:val="00104870"/>
    <w:rsid w:val="0010488C"/>
    <w:rsid w:val="00104A04"/>
    <w:rsid w:val="00104A39"/>
    <w:rsid w:val="00104AB7"/>
    <w:rsid w:val="00104EC5"/>
    <w:rsid w:val="001050FF"/>
    <w:rsid w:val="00105210"/>
    <w:rsid w:val="0010521F"/>
    <w:rsid w:val="00105322"/>
    <w:rsid w:val="001053E3"/>
    <w:rsid w:val="001053EF"/>
    <w:rsid w:val="00105739"/>
    <w:rsid w:val="00105795"/>
    <w:rsid w:val="00105889"/>
    <w:rsid w:val="001058BF"/>
    <w:rsid w:val="001058D5"/>
    <w:rsid w:val="00105AE1"/>
    <w:rsid w:val="00105BE1"/>
    <w:rsid w:val="00105C76"/>
    <w:rsid w:val="00105C89"/>
    <w:rsid w:val="00105D00"/>
    <w:rsid w:val="00105DB6"/>
    <w:rsid w:val="00105FB5"/>
    <w:rsid w:val="00105FF6"/>
    <w:rsid w:val="0010611B"/>
    <w:rsid w:val="001061BE"/>
    <w:rsid w:val="0010625A"/>
    <w:rsid w:val="001062A2"/>
    <w:rsid w:val="001063DC"/>
    <w:rsid w:val="00106432"/>
    <w:rsid w:val="00106602"/>
    <w:rsid w:val="001066DF"/>
    <w:rsid w:val="00106A71"/>
    <w:rsid w:val="00106A74"/>
    <w:rsid w:val="00106B67"/>
    <w:rsid w:val="00106E27"/>
    <w:rsid w:val="00106E9C"/>
    <w:rsid w:val="00106F3B"/>
    <w:rsid w:val="00106F5F"/>
    <w:rsid w:val="00106FC5"/>
    <w:rsid w:val="00106FF3"/>
    <w:rsid w:val="00107001"/>
    <w:rsid w:val="00107099"/>
    <w:rsid w:val="001070AC"/>
    <w:rsid w:val="001070B1"/>
    <w:rsid w:val="00107102"/>
    <w:rsid w:val="00107467"/>
    <w:rsid w:val="0010750B"/>
    <w:rsid w:val="00107524"/>
    <w:rsid w:val="00107621"/>
    <w:rsid w:val="0010767F"/>
    <w:rsid w:val="001077FB"/>
    <w:rsid w:val="0010781A"/>
    <w:rsid w:val="001078A7"/>
    <w:rsid w:val="00107AFF"/>
    <w:rsid w:val="00107DB4"/>
    <w:rsid w:val="00107DCD"/>
    <w:rsid w:val="00107EF0"/>
    <w:rsid w:val="00107F0D"/>
    <w:rsid w:val="001100D7"/>
    <w:rsid w:val="001103DD"/>
    <w:rsid w:val="00110427"/>
    <w:rsid w:val="00110430"/>
    <w:rsid w:val="00110609"/>
    <w:rsid w:val="0011070D"/>
    <w:rsid w:val="0011077D"/>
    <w:rsid w:val="00110807"/>
    <w:rsid w:val="00110833"/>
    <w:rsid w:val="00110939"/>
    <w:rsid w:val="0011093D"/>
    <w:rsid w:val="00110998"/>
    <w:rsid w:val="00110A77"/>
    <w:rsid w:val="00110A99"/>
    <w:rsid w:val="00110B36"/>
    <w:rsid w:val="00110F2E"/>
    <w:rsid w:val="0011104A"/>
    <w:rsid w:val="00111356"/>
    <w:rsid w:val="00111364"/>
    <w:rsid w:val="0011136D"/>
    <w:rsid w:val="00111417"/>
    <w:rsid w:val="001117BA"/>
    <w:rsid w:val="001119DE"/>
    <w:rsid w:val="00111A8D"/>
    <w:rsid w:val="00111CC1"/>
    <w:rsid w:val="00112049"/>
    <w:rsid w:val="00112500"/>
    <w:rsid w:val="00112534"/>
    <w:rsid w:val="001125E5"/>
    <w:rsid w:val="00112637"/>
    <w:rsid w:val="001126B0"/>
    <w:rsid w:val="00112942"/>
    <w:rsid w:val="001129A7"/>
    <w:rsid w:val="00112A0D"/>
    <w:rsid w:val="00112A87"/>
    <w:rsid w:val="00112B98"/>
    <w:rsid w:val="00112BB1"/>
    <w:rsid w:val="00112C15"/>
    <w:rsid w:val="00112D58"/>
    <w:rsid w:val="00112D86"/>
    <w:rsid w:val="00112F01"/>
    <w:rsid w:val="001131E4"/>
    <w:rsid w:val="0011330D"/>
    <w:rsid w:val="00113517"/>
    <w:rsid w:val="00113580"/>
    <w:rsid w:val="001135A8"/>
    <w:rsid w:val="0011367C"/>
    <w:rsid w:val="001136BA"/>
    <w:rsid w:val="00113A84"/>
    <w:rsid w:val="00113A92"/>
    <w:rsid w:val="00113AAE"/>
    <w:rsid w:val="00113AFD"/>
    <w:rsid w:val="00113C60"/>
    <w:rsid w:val="00113C6C"/>
    <w:rsid w:val="00113DCF"/>
    <w:rsid w:val="00113E4E"/>
    <w:rsid w:val="00113F10"/>
    <w:rsid w:val="00113F3B"/>
    <w:rsid w:val="00114016"/>
    <w:rsid w:val="00114287"/>
    <w:rsid w:val="0011430F"/>
    <w:rsid w:val="001144ED"/>
    <w:rsid w:val="0011468B"/>
    <w:rsid w:val="00114710"/>
    <w:rsid w:val="00114719"/>
    <w:rsid w:val="001147A0"/>
    <w:rsid w:val="00114802"/>
    <w:rsid w:val="001148CA"/>
    <w:rsid w:val="00114C3B"/>
    <w:rsid w:val="00114C77"/>
    <w:rsid w:val="00114D7C"/>
    <w:rsid w:val="00114FA7"/>
    <w:rsid w:val="00114FBE"/>
    <w:rsid w:val="001151A9"/>
    <w:rsid w:val="00115297"/>
    <w:rsid w:val="00115332"/>
    <w:rsid w:val="0011553C"/>
    <w:rsid w:val="001155F1"/>
    <w:rsid w:val="00115622"/>
    <w:rsid w:val="00115691"/>
    <w:rsid w:val="001156E8"/>
    <w:rsid w:val="00115867"/>
    <w:rsid w:val="00115953"/>
    <w:rsid w:val="001159CB"/>
    <w:rsid w:val="00115CE1"/>
    <w:rsid w:val="00115D33"/>
    <w:rsid w:val="00115DFD"/>
    <w:rsid w:val="00115F93"/>
    <w:rsid w:val="00115FAF"/>
    <w:rsid w:val="001160C0"/>
    <w:rsid w:val="00116136"/>
    <w:rsid w:val="001164F3"/>
    <w:rsid w:val="00116546"/>
    <w:rsid w:val="001166A8"/>
    <w:rsid w:val="001166B8"/>
    <w:rsid w:val="00116A32"/>
    <w:rsid w:val="00116CC9"/>
    <w:rsid w:val="00116D2E"/>
    <w:rsid w:val="00116EAB"/>
    <w:rsid w:val="00116ED6"/>
    <w:rsid w:val="00116FAC"/>
    <w:rsid w:val="00117039"/>
    <w:rsid w:val="00117116"/>
    <w:rsid w:val="001172B1"/>
    <w:rsid w:val="0011735F"/>
    <w:rsid w:val="001174C0"/>
    <w:rsid w:val="001174C1"/>
    <w:rsid w:val="00117593"/>
    <w:rsid w:val="001176B3"/>
    <w:rsid w:val="00117712"/>
    <w:rsid w:val="00117CA0"/>
    <w:rsid w:val="00117CB2"/>
    <w:rsid w:val="00117D5A"/>
    <w:rsid w:val="00117E1D"/>
    <w:rsid w:val="00117F04"/>
    <w:rsid w:val="00120010"/>
    <w:rsid w:val="00120123"/>
    <w:rsid w:val="0012040F"/>
    <w:rsid w:val="001204C7"/>
    <w:rsid w:val="001205CF"/>
    <w:rsid w:val="00120819"/>
    <w:rsid w:val="0012098E"/>
    <w:rsid w:val="00120A10"/>
    <w:rsid w:val="00120A2E"/>
    <w:rsid w:val="00120B2C"/>
    <w:rsid w:val="00120C54"/>
    <w:rsid w:val="00120CA3"/>
    <w:rsid w:val="00121057"/>
    <w:rsid w:val="00121134"/>
    <w:rsid w:val="001211D5"/>
    <w:rsid w:val="00121219"/>
    <w:rsid w:val="0012122C"/>
    <w:rsid w:val="00121345"/>
    <w:rsid w:val="00121351"/>
    <w:rsid w:val="00121368"/>
    <w:rsid w:val="0012151B"/>
    <w:rsid w:val="001215E6"/>
    <w:rsid w:val="00121730"/>
    <w:rsid w:val="00121753"/>
    <w:rsid w:val="00121B65"/>
    <w:rsid w:val="00121BD4"/>
    <w:rsid w:val="00121C4F"/>
    <w:rsid w:val="00121C67"/>
    <w:rsid w:val="00121C6E"/>
    <w:rsid w:val="00122097"/>
    <w:rsid w:val="00122471"/>
    <w:rsid w:val="00122510"/>
    <w:rsid w:val="0012279C"/>
    <w:rsid w:val="001228F1"/>
    <w:rsid w:val="00122923"/>
    <w:rsid w:val="00122AE3"/>
    <w:rsid w:val="00122C2C"/>
    <w:rsid w:val="00122CE3"/>
    <w:rsid w:val="00122EE1"/>
    <w:rsid w:val="00122F8D"/>
    <w:rsid w:val="00123139"/>
    <w:rsid w:val="00123221"/>
    <w:rsid w:val="00123457"/>
    <w:rsid w:val="00123658"/>
    <w:rsid w:val="001237AF"/>
    <w:rsid w:val="00123937"/>
    <w:rsid w:val="001239CE"/>
    <w:rsid w:val="00123A19"/>
    <w:rsid w:val="00123A7C"/>
    <w:rsid w:val="00123A9E"/>
    <w:rsid w:val="00123C5E"/>
    <w:rsid w:val="00123DF3"/>
    <w:rsid w:val="00123FF4"/>
    <w:rsid w:val="0012414F"/>
    <w:rsid w:val="00124171"/>
    <w:rsid w:val="001241B4"/>
    <w:rsid w:val="0012421D"/>
    <w:rsid w:val="0012422E"/>
    <w:rsid w:val="0012446D"/>
    <w:rsid w:val="00124668"/>
    <w:rsid w:val="00124693"/>
    <w:rsid w:val="001247EB"/>
    <w:rsid w:val="00124B9D"/>
    <w:rsid w:val="00124BFB"/>
    <w:rsid w:val="00124E3F"/>
    <w:rsid w:val="00124F3C"/>
    <w:rsid w:val="00124F95"/>
    <w:rsid w:val="00124FA6"/>
    <w:rsid w:val="00125031"/>
    <w:rsid w:val="001250E5"/>
    <w:rsid w:val="001254A2"/>
    <w:rsid w:val="00125509"/>
    <w:rsid w:val="0012553B"/>
    <w:rsid w:val="00125612"/>
    <w:rsid w:val="0012577E"/>
    <w:rsid w:val="001259B9"/>
    <w:rsid w:val="00125A3D"/>
    <w:rsid w:val="00125B2A"/>
    <w:rsid w:val="00125B61"/>
    <w:rsid w:val="00125BF8"/>
    <w:rsid w:val="00125D84"/>
    <w:rsid w:val="00125F88"/>
    <w:rsid w:val="00125FF9"/>
    <w:rsid w:val="00126122"/>
    <w:rsid w:val="00126144"/>
    <w:rsid w:val="001261CC"/>
    <w:rsid w:val="00126471"/>
    <w:rsid w:val="001265EE"/>
    <w:rsid w:val="00126609"/>
    <w:rsid w:val="0012676E"/>
    <w:rsid w:val="001268FA"/>
    <w:rsid w:val="00126943"/>
    <w:rsid w:val="00126A01"/>
    <w:rsid w:val="00126A3A"/>
    <w:rsid w:val="00126BC1"/>
    <w:rsid w:val="00126D91"/>
    <w:rsid w:val="0012703E"/>
    <w:rsid w:val="00127202"/>
    <w:rsid w:val="00127264"/>
    <w:rsid w:val="0012741F"/>
    <w:rsid w:val="0012746A"/>
    <w:rsid w:val="001275A9"/>
    <w:rsid w:val="001275F8"/>
    <w:rsid w:val="00127601"/>
    <w:rsid w:val="001277D0"/>
    <w:rsid w:val="00127C5E"/>
    <w:rsid w:val="00127C5F"/>
    <w:rsid w:val="00127E02"/>
    <w:rsid w:val="00127EA4"/>
    <w:rsid w:val="00127F2A"/>
    <w:rsid w:val="00127FD1"/>
    <w:rsid w:val="00130153"/>
    <w:rsid w:val="00130173"/>
    <w:rsid w:val="001301D1"/>
    <w:rsid w:val="00130329"/>
    <w:rsid w:val="001304CB"/>
    <w:rsid w:val="001308F8"/>
    <w:rsid w:val="00130A5E"/>
    <w:rsid w:val="00130CAA"/>
    <w:rsid w:val="00130D5C"/>
    <w:rsid w:val="00130FA6"/>
    <w:rsid w:val="00130FEC"/>
    <w:rsid w:val="001310F4"/>
    <w:rsid w:val="001310FC"/>
    <w:rsid w:val="00131154"/>
    <w:rsid w:val="001313C6"/>
    <w:rsid w:val="0013144D"/>
    <w:rsid w:val="0013162D"/>
    <w:rsid w:val="0013167F"/>
    <w:rsid w:val="001316EC"/>
    <w:rsid w:val="001319CA"/>
    <w:rsid w:val="00131B59"/>
    <w:rsid w:val="00131CDF"/>
    <w:rsid w:val="00131D45"/>
    <w:rsid w:val="00131E4B"/>
    <w:rsid w:val="00131FD8"/>
    <w:rsid w:val="001320E7"/>
    <w:rsid w:val="001320EB"/>
    <w:rsid w:val="001320F0"/>
    <w:rsid w:val="001324F6"/>
    <w:rsid w:val="00132631"/>
    <w:rsid w:val="00132775"/>
    <w:rsid w:val="00132834"/>
    <w:rsid w:val="00132AEC"/>
    <w:rsid w:val="00132EBA"/>
    <w:rsid w:val="00132FD2"/>
    <w:rsid w:val="00133474"/>
    <w:rsid w:val="00133650"/>
    <w:rsid w:val="001336E0"/>
    <w:rsid w:val="0013391E"/>
    <w:rsid w:val="001339BE"/>
    <w:rsid w:val="00133A00"/>
    <w:rsid w:val="00133EB7"/>
    <w:rsid w:val="00133F34"/>
    <w:rsid w:val="001340AF"/>
    <w:rsid w:val="001340B3"/>
    <w:rsid w:val="0013415C"/>
    <w:rsid w:val="00134203"/>
    <w:rsid w:val="00134383"/>
    <w:rsid w:val="001345FE"/>
    <w:rsid w:val="00134682"/>
    <w:rsid w:val="0013470B"/>
    <w:rsid w:val="0013475E"/>
    <w:rsid w:val="0013479E"/>
    <w:rsid w:val="001347A2"/>
    <w:rsid w:val="001347E3"/>
    <w:rsid w:val="00134AB0"/>
    <w:rsid w:val="00135045"/>
    <w:rsid w:val="001350F2"/>
    <w:rsid w:val="001350F6"/>
    <w:rsid w:val="00135146"/>
    <w:rsid w:val="00135273"/>
    <w:rsid w:val="001352CE"/>
    <w:rsid w:val="00135304"/>
    <w:rsid w:val="00135357"/>
    <w:rsid w:val="00135412"/>
    <w:rsid w:val="00135469"/>
    <w:rsid w:val="00135521"/>
    <w:rsid w:val="00135549"/>
    <w:rsid w:val="00135644"/>
    <w:rsid w:val="0013566C"/>
    <w:rsid w:val="00135682"/>
    <w:rsid w:val="0013593A"/>
    <w:rsid w:val="00135A15"/>
    <w:rsid w:val="00135AB2"/>
    <w:rsid w:val="00135B2D"/>
    <w:rsid w:val="00135E07"/>
    <w:rsid w:val="00135FC9"/>
    <w:rsid w:val="0013621C"/>
    <w:rsid w:val="00136377"/>
    <w:rsid w:val="0013641B"/>
    <w:rsid w:val="0013643C"/>
    <w:rsid w:val="001364C6"/>
    <w:rsid w:val="001367D8"/>
    <w:rsid w:val="001369D2"/>
    <w:rsid w:val="001369D9"/>
    <w:rsid w:val="00136A39"/>
    <w:rsid w:val="00136AFA"/>
    <w:rsid w:val="00136C6E"/>
    <w:rsid w:val="00136E32"/>
    <w:rsid w:val="00136E33"/>
    <w:rsid w:val="00136E9F"/>
    <w:rsid w:val="00136EBD"/>
    <w:rsid w:val="00136F71"/>
    <w:rsid w:val="00137027"/>
    <w:rsid w:val="0013708A"/>
    <w:rsid w:val="00137203"/>
    <w:rsid w:val="00137220"/>
    <w:rsid w:val="00137380"/>
    <w:rsid w:val="0013738A"/>
    <w:rsid w:val="00137484"/>
    <w:rsid w:val="001374BD"/>
    <w:rsid w:val="00137800"/>
    <w:rsid w:val="00137839"/>
    <w:rsid w:val="00137872"/>
    <w:rsid w:val="001378E9"/>
    <w:rsid w:val="00137914"/>
    <w:rsid w:val="00137A15"/>
    <w:rsid w:val="00137A18"/>
    <w:rsid w:val="00137A70"/>
    <w:rsid w:val="00137DC4"/>
    <w:rsid w:val="00137DFE"/>
    <w:rsid w:val="00137F6B"/>
    <w:rsid w:val="00137FCE"/>
    <w:rsid w:val="00140076"/>
    <w:rsid w:val="0014026B"/>
    <w:rsid w:val="001403D0"/>
    <w:rsid w:val="001404C5"/>
    <w:rsid w:val="001404E1"/>
    <w:rsid w:val="00140660"/>
    <w:rsid w:val="0014081F"/>
    <w:rsid w:val="001408C0"/>
    <w:rsid w:val="00140B42"/>
    <w:rsid w:val="00140DDD"/>
    <w:rsid w:val="00140E76"/>
    <w:rsid w:val="00140EFE"/>
    <w:rsid w:val="00140F55"/>
    <w:rsid w:val="00140FFB"/>
    <w:rsid w:val="00141028"/>
    <w:rsid w:val="001410F9"/>
    <w:rsid w:val="0014117D"/>
    <w:rsid w:val="0014117E"/>
    <w:rsid w:val="00141220"/>
    <w:rsid w:val="00141406"/>
    <w:rsid w:val="001414A9"/>
    <w:rsid w:val="001415EE"/>
    <w:rsid w:val="0014169C"/>
    <w:rsid w:val="001416CF"/>
    <w:rsid w:val="00141773"/>
    <w:rsid w:val="0014195B"/>
    <w:rsid w:val="00141A47"/>
    <w:rsid w:val="00141A6E"/>
    <w:rsid w:val="00141E0F"/>
    <w:rsid w:val="00141EAC"/>
    <w:rsid w:val="00141F3B"/>
    <w:rsid w:val="001421D6"/>
    <w:rsid w:val="00142217"/>
    <w:rsid w:val="001422FA"/>
    <w:rsid w:val="00142413"/>
    <w:rsid w:val="00142424"/>
    <w:rsid w:val="00142543"/>
    <w:rsid w:val="001425F5"/>
    <w:rsid w:val="00142938"/>
    <w:rsid w:val="001429CC"/>
    <w:rsid w:val="00142EF8"/>
    <w:rsid w:val="0014319E"/>
    <w:rsid w:val="00143478"/>
    <w:rsid w:val="0014360D"/>
    <w:rsid w:val="0014369A"/>
    <w:rsid w:val="001437A1"/>
    <w:rsid w:val="00143C27"/>
    <w:rsid w:val="00143EAE"/>
    <w:rsid w:val="00143F2F"/>
    <w:rsid w:val="00143FBF"/>
    <w:rsid w:val="00144056"/>
    <w:rsid w:val="001441B9"/>
    <w:rsid w:val="00144237"/>
    <w:rsid w:val="0014423C"/>
    <w:rsid w:val="00144291"/>
    <w:rsid w:val="001445C0"/>
    <w:rsid w:val="0014460D"/>
    <w:rsid w:val="0014481A"/>
    <w:rsid w:val="00144A27"/>
    <w:rsid w:val="00144BA1"/>
    <w:rsid w:val="00144CE4"/>
    <w:rsid w:val="00144D4E"/>
    <w:rsid w:val="00144DE2"/>
    <w:rsid w:val="00144E19"/>
    <w:rsid w:val="00144F40"/>
    <w:rsid w:val="00144FD5"/>
    <w:rsid w:val="00145085"/>
    <w:rsid w:val="0014524C"/>
    <w:rsid w:val="00145383"/>
    <w:rsid w:val="0014574C"/>
    <w:rsid w:val="001457D6"/>
    <w:rsid w:val="00145961"/>
    <w:rsid w:val="00145C37"/>
    <w:rsid w:val="00145DA4"/>
    <w:rsid w:val="00145F5B"/>
    <w:rsid w:val="00145F7D"/>
    <w:rsid w:val="00145F98"/>
    <w:rsid w:val="0014607D"/>
    <w:rsid w:val="001462E5"/>
    <w:rsid w:val="001463C6"/>
    <w:rsid w:val="00146423"/>
    <w:rsid w:val="00146485"/>
    <w:rsid w:val="001464DC"/>
    <w:rsid w:val="00146536"/>
    <w:rsid w:val="00146581"/>
    <w:rsid w:val="00146624"/>
    <w:rsid w:val="001466F0"/>
    <w:rsid w:val="00146716"/>
    <w:rsid w:val="00146B3E"/>
    <w:rsid w:val="00146C85"/>
    <w:rsid w:val="00146D7E"/>
    <w:rsid w:val="00146EBA"/>
    <w:rsid w:val="00146FA2"/>
    <w:rsid w:val="00147020"/>
    <w:rsid w:val="00147131"/>
    <w:rsid w:val="0014724E"/>
    <w:rsid w:val="001472B3"/>
    <w:rsid w:val="00147459"/>
    <w:rsid w:val="0014784C"/>
    <w:rsid w:val="0014788F"/>
    <w:rsid w:val="001478DE"/>
    <w:rsid w:val="0014790B"/>
    <w:rsid w:val="001479EF"/>
    <w:rsid w:val="00147A85"/>
    <w:rsid w:val="00147B3E"/>
    <w:rsid w:val="00147C02"/>
    <w:rsid w:val="00147D0D"/>
    <w:rsid w:val="00147D8F"/>
    <w:rsid w:val="00147E43"/>
    <w:rsid w:val="00147F52"/>
    <w:rsid w:val="00147F7D"/>
    <w:rsid w:val="0015002F"/>
    <w:rsid w:val="0015009C"/>
    <w:rsid w:val="001501CD"/>
    <w:rsid w:val="0015022B"/>
    <w:rsid w:val="0015026F"/>
    <w:rsid w:val="00150274"/>
    <w:rsid w:val="001502B7"/>
    <w:rsid w:val="001502F5"/>
    <w:rsid w:val="00150376"/>
    <w:rsid w:val="001503B8"/>
    <w:rsid w:val="001504D4"/>
    <w:rsid w:val="001505A3"/>
    <w:rsid w:val="001507EC"/>
    <w:rsid w:val="00150823"/>
    <w:rsid w:val="00150B08"/>
    <w:rsid w:val="00150B85"/>
    <w:rsid w:val="00150C0D"/>
    <w:rsid w:val="00150C2D"/>
    <w:rsid w:val="00150E19"/>
    <w:rsid w:val="00150F23"/>
    <w:rsid w:val="00150F39"/>
    <w:rsid w:val="00151138"/>
    <w:rsid w:val="00151149"/>
    <w:rsid w:val="00151180"/>
    <w:rsid w:val="001512E2"/>
    <w:rsid w:val="0015147F"/>
    <w:rsid w:val="001514DB"/>
    <w:rsid w:val="001515C8"/>
    <w:rsid w:val="001515D2"/>
    <w:rsid w:val="00151732"/>
    <w:rsid w:val="00151746"/>
    <w:rsid w:val="00151A1C"/>
    <w:rsid w:val="00151AC8"/>
    <w:rsid w:val="00151B9B"/>
    <w:rsid w:val="00151D44"/>
    <w:rsid w:val="00151DBD"/>
    <w:rsid w:val="00151E6C"/>
    <w:rsid w:val="00151FE1"/>
    <w:rsid w:val="0015213C"/>
    <w:rsid w:val="00152172"/>
    <w:rsid w:val="00152183"/>
    <w:rsid w:val="00152231"/>
    <w:rsid w:val="00152238"/>
    <w:rsid w:val="0015231B"/>
    <w:rsid w:val="00152331"/>
    <w:rsid w:val="00152567"/>
    <w:rsid w:val="001529D3"/>
    <w:rsid w:val="00152A5D"/>
    <w:rsid w:val="00152AE1"/>
    <w:rsid w:val="00152B88"/>
    <w:rsid w:val="00152BD5"/>
    <w:rsid w:val="00152CA0"/>
    <w:rsid w:val="00152ED2"/>
    <w:rsid w:val="00152FE6"/>
    <w:rsid w:val="001531D6"/>
    <w:rsid w:val="00153225"/>
    <w:rsid w:val="001532BF"/>
    <w:rsid w:val="001534A0"/>
    <w:rsid w:val="0015371A"/>
    <w:rsid w:val="00153792"/>
    <w:rsid w:val="00153893"/>
    <w:rsid w:val="0015392D"/>
    <w:rsid w:val="00153BA7"/>
    <w:rsid w:val="00153D51"/>
    <w:rsid w:val="00153ED1"/>
    <w:rsid w:val="00153F34"/>
    <w:rsid w:val="001540E5"/>
    <w:rsid w:val="0015415A"/>
    <w:rsid w:val="001542A6"/>
    <w:rsid w:val="00154407"/>
    <w:rsid w:val="00154434"/>
    <w:rsid w:val="00154561"/>
    <w:rsid w:val="001546E0"/>
    <w:rsid w:val="00154796"/>
    <w:rsid w:val="0015484A"/>
    <w:rsid w:val="00154983"/>
    <w:rsid w:val="001549EB"/>
    <w:rsid w:val="00154BA1"/>
    <w:rsid w:val="00154BC8"/>
    <w:rsid w:val="00154F0E"/>
    <w:rsid w:val="00154F83"/>
    <w:rsid w:val="00155073"/>
    <w:rsid w:val="00155078"/>
    <w:rsid w:val="00155182"/>
    <w:rsid w:val="00155411"/>
    <w:rsid w:val="00155434"/>
    <w:rsid w:val="0015553E"/>
    <w:rsid w:val="00155605"/>
    <w:rsid w:val="00155726"/>
    <w:rsid w:val="00155741"/>
    <w:rsid w:val="00155900"/>
    <w:rsid w:val="00155AC3"/>
    <w:rsid w:val="00155BDA"/>
    <w:rsid w:val="00155C80"/>
    <w:rsid w:val="00155D6F"/>
    <w:rsid w:val="00155DD0"/>
    <w:rsid w:val="00155DE2"/>
    <w:rsid w:val="00155E3B"/>
    <w:rsid w:val="00156112"/>
    <w:rsid w:val="00156273"/>
    <w:rsid w:val="00156485"/>
    <w:rsid w:val="0015653A"/>
    <w:rsid w:val="00156548"/>
    <w:rsid w:val="00156640"/>
    <w:rsid w:val="001566CB"/>
    <w:rsid w:val="00156A51"/>
    <w:rsid w:val="00156BB3"/>
    <w:rsid w:val="00156BE9"/>
    <w:rsid w:val="00156EA9"/>
    <w:rsid w:val="00156EDC"/>
    <w:rsid w:val="00156FA7"/>
    <w:rsid w:val="001570DD"/>
    <w:rsid w:val="001571F0"/>
    <w:rsid w:val="001572DE"/>
    <w:rsid w:val="0015734D"/>
    <w:rsid w:val="001574E5"/>
    <w:rsid w:val="001574E8"/>
    <w:rsid w:val="00157511"/>
    <w:rsid w:val="0015754B"/>
    <w:rsid w:val="001576B4"/>
    <w:rsid w:val="00157785"/>
    <w:rsid w:val="00157858"/>
    <w:rsid w:val="001578D2"/>
    <w:rsid w:val="001579CC"/>
    <w:rsid w:val="00157A4E"/>
    <w:rsid w:val="00157DEF"/>
    <w:rsid w:val="00157FD9"/>
    <w:rsid w:val="0016023A"/>
    <w:rsid w:val="0016042C"/>
    <w:rsid w:val="0016045E"/>
    <w:rsid w:val="00160495"/>
    <w:rsid w:val="0016059C"/>
    <w:rsid w:val="001605B4"/>
    <w:rsid w:val="001605F0"/>
    <w:rsid w:val="00160A6F"/>
    <w:rsid w:val="00160AF4"/>
    <w:rsid w:val="00160BEC"/>
    <w:rsid w:val="00160C4C"/>
    <w:rsid w:val="00160D55"/>
    <w:rsid w:val="00160E49"/>
    <w:rsid w:val="00161133"/>
    <w:rsid w:val="00161167"/>
    <w:rsid w:val="001613BE"/>
    <w:rsid w:val="001614AE"/>
    <w:rsid w:val="001614C9"/>
    <w:rsid w:val="00161676"/>
    <w:rsid w:val="00161861"/>
    <w:rsid w:val="00161969"/>
    <w:rsid w:val="00161A71"/>
    <w:rsid w:val="00161AFE"/>
    <w:rsid w:val="00161B70"/>
    <w:rsid w:val="00161CB7"/>
    <w:rsid w:val="00161D81"/>
    <w:rsid w:val="00161D8C"/>
    <w:rsid w:val="00161E56"/>
    <w:rsid w:val="00161FDE"/>
    <w:rsid w:val="001620C4"/>
    <w:rsid w:val="001621BE"/>
    <w:rsid w:val="0016247C"/>
    <w:rsid w:val="001624FC"/>
    <w:rsid w:val="0016263A"/>
    <w:rsid w:val="001626B8"/>
    <w:rsid w:val="00162891"/>
    <w:rsid w:val="00162A04"/>
    <w:rsid w:val="00162A7A"/>
    <w:rsid w:val="00162AE6"/>
    <w:rsid w:val="00162B1B"/>
    <w:rsid w:val="00162BA7"/>
    <w:rsid w:val="00162D13"/>
    <w:rsid w:val="00162D80"/>
    <w:rsid w:val="00162DBF"/>
    <w:rsid w:val="00162F34"/>
    <w:rsid w:val="00162FED"/>
    <w:rsid w:val="00162FFA"/>
    <w:rsid w:val="00163248"/>
    <w:rsid w:val="00163411"/>
    <w:rsid w:val="00163599"/>
    <w:rsid w:val="001635A4"/>
    <w:rsid w:val="001635F1"/>
    <w:rsid w:val="001636F0"/>
    <w:rsid w:val="001636F7"/>
    <w:rsid w:val="00163980"/>
    <w:rsid w:val="00163C1C"/>
    <w:rsid w:val="00163C51"/>
    <w:rsid w:val="00163D43"/>
    <w:rsid w:val="00163DE7"/>
    <w:rsid w:val="00163E1E"/>
    <w:rsid w:val="00164058"/>
    <w:rsid w:val="00164148"/>
    <w:rsid w:val="0016449A"/>
    <w:rsid w:val="00164587"/>
    <w:rsid w:val="00164724"/>
    <w:rsid w:val="00164790"/>
    <w:rsid w:val="0016498F"/>
    <w:rsid w:val="00164B1F"/>
    <w:rsid w:val="00164C41"/>
    <w:rsid w:val="00164CF8"/>
    <w:rsid w:val="00164ECE"/>
    <w:rsid w:val="00165053"/>
    <w:rsid w:val="00165192"/>
    <w:rsid w:val="00165205"/>
    <w:rsid w:val="00165346"/>
    <w:rsid w:val="001653AE"/>
    <w:rsid w:val="00165535"/>
    <w:rsid w:val="00165569"/>
    <w:rsid w:val="00165628"/>
    <w:rsid w:val="001657B4"/>
    <w:rsid w:val="00165813"/>
    <w:rsid w:val="001658D9"/>
    <w:rsid w:val="0016598D"/>
    <w:rsid w:val="00165A16"/>
    <w:rsid w:val="00165A59"/>
    <w:rsid w:val="00165AA8"/>
    <w:rsid w:val="00165AA9"/>
    <w:rsid w:val="00165B19"/>
    <w:rsid w:val="00165B42"/>
    <w:rsid w:val="00165B69"/>
    <w:rsid w:val="00165C09"/>
    <w:rsid w:val="00165C80"/>
    <w:rsid w:val="00165D51"/>
    <w:rsid w:val="00165DA9"/>
    <w:rsid w:val="00165F02"/>
    <w:rsid w:val="001660F3"/>
    <w:rsid w:val="0016611A"/>
    <w:rsid w:val="00166432"/>
    <w:rsid w:val="00166568"/>
    <w:rsid w:val="00166793"/>
    <w:rsid w:val="001667C7"/>
    <w:rsid w:val="00166A1A"/>
    <w:rsid w:val="00166A8D"/>
    <w:rsid w:val="00166AC8"/>
    <w:rsid w:val="00166BC1"/>
    <w:rsid w:val="00166BCA"/>
    <w:rsid w:val="00166D6F"/>
    <w:rsid w:val="00166E4D"/>
    <w:rsid w:val="00166F3F"/>
    <w:rsid w:val="00166FCC"/>
    <w:rsid w:val="00166FF3"/>
    <w:rsid w:val="001670EF"/>
    <w:rsid w:val="0016712C"/>
    <w:rsid w:val="0016720A"/>
    <w:rsid w:val="00167385"/>
    <w:rsid w:val="00167447"/>
    <w:rsid w:val="001674FA"/>
    <w:rsid w:val="00167539"/>
    <w:rsid w:val="00167AD0"/>
    <w:rsid w:val="00167B5F"/>
    <w:rsid w:val="00167CE0"/>
    <w:rsid w:val="00170089"/>
    <w:rsid w:val="00170126"/>
    <w:rsid w:val="0017049C"/>
    <w:rsid w:val="001704DB"/>
    <w:rsid w:val="00170763"/>
    <w:rsid w:val="001708DE"/>
    <w:rsid w:val="00170A76"/>
    <w:rsid w:val="00170A7A"/>
    <w:rsid w:val="00170C37"/>
    <w:rsid w:val="00170D5B"/>
    <w:rsid w:val="001710D1"/>
    <w:rsid w:val="00171101"/>
    <w:rsid w:val="001711E5"/>
    <w:rsid w:val="0017128F"/>
    <w:rsid w:val="0017138D"/>
    <w:rsid w:val="001713A4"/>
    <w:rsid w:val="001713A7"/>
    <w:rsid w:val="00171678"/>
    <w:rsid w:val="001717A7"/>
    <w:rsid w:val="001717C1"/>
    <w:rsid w:val="0017182E"/>
    <w:rsid w:val="00171C2F"/>
    <w:rsid w:val="00171CA9"/>
    <w:rsid w:val="00171CBD"/>
    <w:rsid w:val="00171D1B"/>
    <w:rsid w:val="00171E49"/>
    <w:rsid w:val="00171EE6"/>
    <w:rsid w:val="0017202A"/>
    <w:rsid w:val="001720C1"/>
    <w:rsid w:val="00172146"/>
    <w:rsid w:val="00172495"/>
    <w:rsid w:val="001725ED"/>
    <w:rsid w:val="0017276E"/>
    <w:rsid w:val="0017278B"/>
    <w:rsid w:val="001727A9"/>
    <w:rsid w:val="00172B8F"/>
    <w:rsid w:val="00172E99"/>
    <w:rsid w:val="00172F4A"/>
    <w:rsid w:val="00172F6E"/>
    <w:rsid w:val="001732A5"/>
    <w:rsid w:val="001732EE"/>
    <w:rsid w:val="001734D6"/>
    <w:rsid w:val="00173575"/>
    <w:rsid w:val="001736C5"/>
    <w:rsid w:val="001736F8"/>
    <w:rsid w:val="00173782"/>
    <w:rsid w:val="001737D3"/>
    <w:rsid w:val="001738A8"/>
    <w:rsid w:val="00173908"/>
    <w:rsid w:val="0017390D"/>
    <w:rsid w:val="00173A21"/>
    <w:rsid w:val="00173A68"/>
    <w:rsid w:val="00173AEB"/>
    <w:rsid w:val="00173B40"/>
    <w:rsid w:val="00173B8B"/>
    <w:rsid w:val="00173CFE"/>
    <w:rsid w:val="00173D85"/>
    <w:rsid w:val="00174013"/>
    <w:rsid w:val="00174107"/>
    <w:rsid w:val="001744AC"/>
    <w:rsid w:val="001746B3"/>
    <w:rsid w:val="001747D8"/>
    <w:rsid w:val="00174B28"/>
    <w:rsid w:val="00174CC8"/>
    <w:rsid w:val="00174CD3"/>
    <w:rsid w:val="00174F42"/>
    <w:rsid w:val="00174FD4"/>
    <w:rsid w:val="00175024"/>
    <w:rsid w:val="0017528C"/>
    <w:rsid w:val="0017562A"/>
    <w:rsid w:val="001758AC"/>
    <w:rsid w:val="00175ADE"/>
    <w:rsid w:val="00175AEA"/>
    <w:rsid w:val="00175DB8"/>
    <w:rsid w:val="00175DD9"/>
    <w:rsid w:val="0017610F"/>
    <w:rsid w:val="00176178"/>
    <w:rsid w:val="001762A8"/>
    <w:rsid w:val="001763CD"/>
    <w:rsid w:val="00176566"/>
    <w:rsid w:val="001765F8"/>
    <w:rsid w:val="0017663D"/>
    <w:rsid w:val="0017675A"/>
    <w:rsid w:val="0017690E"/>
    <w:rsid w:val="00176A26"/>
    <w:rsid w:val="00176CB6"/>
    <w:rsid w:val="00176CF4"/>
    <w:rsid w:val="0017701F"/>
    <w:rsid w:val="00177185"/>
    <w:rsid w:val="00177210"/>
    <w:rsid w:val="00177255"/>
    <w:rsid w:val="00177258"/>
    <w:rsid w:val="001772A1"/>
    <w:rsid w:val="001772B3"/>
    <w:rsid w:val="0017741A"/>
    <w:rsid w:val="00177461"/>
    <w:rsid w:val="0017756D"/>
    <w:rsid w:val="001775C6"/>
    <w:rsid w:val="001775E2"/>
    <w:rsid w:val="001775ED"/>
    <w:rsid w:val="0017765A"/>
    <w:rsid w:val="001776EC"/>
    <w:rsid w:val="00177784"/>
    <w:rsid w:val="00177878"/>
    <w:rsid w:val="001779D3"/>
    <w:rsid w:val="00177A74"/>
    <w:rsid w:val="00177ADB"/>
    <w:rsid w:val="00177CB1"/>
    <w:rsid w:val="00177DB6"/>
    <w:rsid w:val="00177E74"/>
    <w:rsid w:val="00177F03"/>
    <w:rsid w:val="001801ED"/>
    <w:rsid w:val="00180515"/>
    <w:rsid w:val="00180659"/>
    <w:rsid w:val="0018068F"/>
    <w:rsid w:val="001806B6"/>
    <w:rsid w:val="00180794"/>
    <w:rsid w:val="001807D7"/>
    <w:rsid w:val="001809E9"/>
    <w:rsid w:val="00180A06"/>
    <w:rsid w:val="00180AD2"/>
    <w:rsid w:val="00180C03"/>
    <w:rsid w:val="00180CA3"/>
    <w:rsid w:val="0018113F"/>
    <w:rsid w:val="0018122D"/>
    <w:rsid w:val="00181342"/>
    <w:rsid w:val="001813C7"/>
    <w:rsid w:val="001813FD"/>
    <w:rsid w:val="00181476"/>
    <w:rsid w:val="00181586"/>
    <w:rsid w:val="001816D4"/>
    <w:rsid w:val="00181792"/>
    <w:rsid w:val="001817D5"/>
    <w:rsid w:val="001817F5"/>
    <w:rsid w:val="001818F4"/>
    <w:rsid w:val="001819A3"/>
    <w:rsid w:val="00181A67"/>
    <w:rsid w:val="00181A9C"/>
    <w:rsid w:val="00181B2F"/>
    <w:rsid w:val="00181B6D"/>
    <w:rsid w:val="00181CB9"/>
    <w:rsid w:val="00181D9D"/>
    <w:rsid w:val="0018203F"/>
    <w:rsid w:val="00182089"/>
    <w:rsid w:val="001823AB"/>
    <w:rsid w:val="00182452"/>
    <w:rsid w:val="001826E7"/>
    <w:rsid w:val="001827ED"/>
    <w:rsid w:val="001829AC"/>
    <w:rsid w:val="00182E0D"/>
    <w:rsid w:val="00182F9D"/>
    <w:rsid w:val="00182FEB"/>
    <w:rsid w:val="00183048"/>
    <w:rsid w:val="0018311E"/>
    <w:rsid w:val="0018324C"/>
    <w:rsid w:val="0018341C"/>
    <w:rsid w:val="001834BD"/>
    <w:rsid w:val="001834F1"/>
    <w:rsid w:val="0018361C"/>
    <w:rsid w:val="00183669"/>
    <w:rsid w:val="00183953"/>
    <w:rsid w:val="00183AE1"/>
    <w:rsid w:val="00183F39"/>
    <w:rsid w:val="00183F5C"/>
    <w:rsid w:val="0018407D"/>
    <w:rsid w:val="001841DE"/>
    <w:rsid w:val="001841F9"/>
    <w:rsid w:val="00184521"/>
    <w:rsid w:val="001847AE"/>
    <w:rsid w:val="0018486B"/>
    <w:rsid w:val="00184941"/>
    <w:rsid w:val="00184A88"/>
    <w:rsid w:val="00184B29"/>
    <w:rsid w:val="00184BAE"/>
    <w:rsid w:val="00184C2C"/>
    <w:rsid w:val="00184E91"/>
    <w:rsid w:val="00184F7C"/>
    <w:rsid w:val="00184F94"/>
    <w:rsid w:val="00185036"/>
    <w:rsid w:val="0018528F"/>
    <w:rsid w:val="00185363"/>
    <w:rsid w:val="00185564"/>
    <w:rsid w:val="00185A51"/>
    <w:rsid w:val="00185D21"/>
    <w:rsid w:val="00185E0D"/>
    <w:rsid w:val="00185E94"/>
    <w:rsid w:val="00185EA9"/>
    <w:rsid w:val="00185EC8"/>
    <w:rsid w:val="00185F44"/>
    <w:rsid w:val="0018602B"/>
    <w:rsid w:val="001864E2"/>
    <w:rsid w:val="001865BE"/>
    <w:rsid w:val="001865FC"/>
    <w:rsid w:val="0018669E"/>
    <w:rsid w:val="00186AE7"/>
    <w:rsid w:val="00186ED7"/>
    <w:rsid w:val="0018718C"/>
    <w:rsid w:val="0018723B"/>
    <w:rsid w:val="001872BA"/>
    <w:rsid w:val="001873E9"/>
    <w:rsid w:val="00187419"/>
    <w:rsid w:val="001874D2"/>
    <w:rsid w:val="00187630"/>
    <w:rsid w:val="00187717"/>
    <w:rsid w:val="001877A9"/>
    <w:rsid w:val="00187816"/>
    <w:rsid w:val="00187829"/>
    <w:rsid w:val="001878ED"/>
    <w:rsid w:val="0018796D"/>
    <w:rsid w:val="00187A6E"/>
    <w:rsid w:val="00187D96"/>
    <w:rsid w:val="00187DED"/>
    <w:rsid w:val="001901A7"/>
    <w:rsid w:val="001905F8"/>
    <w:rsid w:val="001906FB"/>
    <w:rsid w:val="001906FF"/>
    <w:rsid w:val="0019093B"/>
    <w:rsid w:val="00190967"/>
    <w:rsid w:val="00190A85"/>
    <w:rsid w:val="00190AA7"/>
    <w:rsid w:val="00190B4B"/>
    <w:rsid w:val="00190B60"/>
    <w:rsid w:val="00190C43"/>
    <w:rsid w:val="00190CB6"/>
    <w:rsid w:val="00190CB7"/>
    <w:rsid w:val="00190E9F"/>
    <w:rsid w:val="00190ED8"/>
    <w:rsid w:val="00190F92"/>
    <w:rsid w:val="00190FDC"/>
    <w:rsid w:val="001910EF"/>
    <w:rsid w:val="00191102"/>
    <w:rsid w:val="001911E4"/>
    <w:rsid w:val="0019150B"/>
    <w:rsid w:val="0019165C"/>
    <w:rsid w:val="00191A1B"/>
    <w:rsid w:val="00192147"/>
    <w:rsid w:val="0019217A"/>
    <w:rsid w:val="001921AB"/>
    <w:rsid w:val="001921B1"/>
    <w:rsid w:val="001921E7"/>
    <w:rsid w:val="001922BF"/>
    <w:rsid w:val="00192354"/>
    <w:rsid w:val="0019286E"/>
    <w:rsid w:val="00192A83"/>
    <w:rsid w:val="00192B50"/>
    <w:rsid w:val="00192B95"/>
    <w:rsid w:val="00192C1C"/>
    <w:rsid w:val="00192CA3"/>
    <w:rsid w:val="00192D6C"/>
    <w:rsid w:val="00192FB2"/>
    <w:rsid w:val="00192FC9"/>
    <w:rsid w:val="0019307F"/>
    <w:rsid w:val="001930E8"/>
    <w:rsid w:val="00193136"/>
    <w:rsid w:val="001931C9"/>
    <w:rsid w:val="00193268"/>
    <w:rsid w:val="0019345E"/>
    <w:rsid w:val="0019362A"/>
    <w:rsid w:val="00193871"/>
    <w:rsid w:val="001939D5"/>
    <w:rsid w:val="00193A2A"/>
    <w:rsid w:val="00193C3B"/>
    <w:rsid w:val="00193C68"/>
    <w:rsid w:val="00193C95"/>
    <w:rsid w:val="00193D5F"/>
    <w:rsid w:val="00193FD0"/>
    <w:rsid w:val="001940D0"/>
    <w:rsid w:val="001941E5"/>
    <w:rsid w:val="00194456"/>
    <w:rsid w:val="0019465E"/>
    <w:rsid w:val="00194721"/>
    <w:rsid w:val="0019474E"/>
    <w:rsid w:val="00194808"/>
    <w:rsid w:val="00194811"/>
    <w:rsid w:val="00194850"/>
    <w:rsid w:val="001948A3"/>
    <w:rsid w:val="00194A36"/>
    <w:rsid w:val="00194AD5"/>
    <w:rsid w:val="00194B71"/>
    <w:rsid w:val="00194C59"/>
    <w:rsid w:val="00194C8A"/>
    <w:rsid w:val="00194C8B"/>
    <w:rsid w:val="00194D02"/>
    <w:rsid w:val="00194E6D"/>
    <w:rsid w:val="00194EE6"/>
    <w:rsid w:val="001954AB"/>
    <w:rsid w:val="0019553F"/>
    <w:rsid w:val="0019561F"/>
    <w:rsid w:val="0019562C"/>
    <w:rsid w:val="00195673"/>
    <w:rsid w:val="00195728"/>
    <w:rsid w:val="001958B2"/>
    <w:rsid w:val="00195908"/>
    <w:rsid w:val="00195A4D"/>
    <w:rsid w:val="00195AA9"/>
    <w:rsid w:val="00195B4F"/>
    <w:rsid w:val="00195C3E"/>
    <w:rsid w:val="00195CC1"/>
    <w:rsid w:val="00195CFF"/>
    <w:rsid w:val="00195D56"/>
    <w:rsid w:val="00195E7F"/>
    <w:rsid w:val="00195F2B"/>
    <w:rsid w:val="00195F3A"/>
    <w:rsid w:val="00196204"/>
    <w:rsid w:val="001962FC"/>
    <w:rsid w:val="001963D6"/>
    <w:rsid w:val="00196448"/>
    <w:rsid w:val="001964DE"/>
    <w:rsid w:val="0019655D"/>
    <w:rsid w:val="001965E0"/>
    <w:rsid w:val="00196642"/>
    <w:rsid w:val="001966A8"/>
    <w:rsid w:val="001966D0"/>
    <w:rsid w:val="00196749"/>
    <w:rsid w:val="00196920"/>
    <w:rsid w:val="00196979"/>
    <w:rsid w:val="001969CF"/>
    <w:rsid w:val="00196ABB"/>
    <w:rsid w:val="00196B01"/>
    <w:rsid w:val="00196E05"/>
    <w:rsid w:val="00196EBC"/>
    <w:rsid w:val="00196F1C"/>
    <w:rsid w:val="00197054"/>
    <w:rsid w:val="001970C0"/>
    <w:rsid w:val="00197179"/>
    <w:rsid w:val="001972DE"/>
    <w:rsid w:val="0019736E"/>
    <w:rsid w:val="001973CF"/>
    <w:rsid w:val="00197499"/>
    <w:rsid w:val="001976E7"/>
    <w:rsid w:val="00197BDC"/>
    <w:rsid w:val="00197E2E"/>
    <w:rsid w:val="00197F12"/>
    <w:rsid w:val="00197F74"/>
    <w:rsid w:val="00197F88"/>
    <w:rsid w:val="001A03F3"/>
    <w:rsid w:val="001A043E"/>
    <w:rsid w:val="001A044B"/>
    <w:rsid w:val="001A04E5"/>
    <w:rsid w:val="001A0585"/>
    <w:rsid w:val="001A0611"/>
    <w:rsid w:val="001A081B"/>
    <w:rsid w:val="001A0B52"/>
    <w:rsid w:val="001A0E2B"/>
    <w:rsid w:val="001A0E95"/>
    <w:rsid w:val="001A0EB7"/>
    <w:rsid w:val="001A11E2"/>
    <w:rsid w:val="001A125E"/>
    <w:rsid w:val="001A12A7"/>
    <w:rsid w:val="001A1317"/>
    <w:rsid w:val="001A1428"/>
    <w:rsid w:val="001A1610"/>
    <w:rsid w:val="001A182E"/>
    <w:rsid w:val="001A1CB7"/>
    <w:rsid w:val="001A1CC1"/>
    <w:rsid w:val="001A1DF6"/>
    <w:rsid w:val="001A1FEA"/>
    <w:rsid w:val="001A20F3"/>
    <w:rsid w:val="001A2298"/>
    <w:rsid w:val="001A234A"/>
    <w:rsid w:val="001A2461"/>
    <w:rsid w:val="001A2885"/>
    <w:rsid w:val="001A29E6"/>
    <w:rsid w:val="001A2AF2"/>
    <w:rsid w:val="001A2B67"/>
    <w:rsid w:val="001A2C37"/>
    <w:rsid w:val="001A2C74"/>
    <w:rsid w:val="001A2C7B"/>
    <w:rsid w:val="001A2D80"/>
    <w:rsid w:val="001A2D91"/>
    <w:rsid w:val="001A2DB7"/>
    <w:rsid w:val="001A3023"/>
    <w:rsid w:val="001A30CE"/>
    <w:rsid w:val="001A31D5"/>
    <w:rsid w:val="001A3250"/>
    <w:rsid w:val="001A3320"/>
    <w:rsid w:val="001A337C"/>
    <w:rsid w:val="001A35C2"/>
    <w:rsid w:val="001A36CA"/>
    <w:rsid w:val="001A39F6"/>
    <w:rsid w:val="001A3B6B"/>
    <w:rsid w:val="001A3C83"/>
    <w:rsid w:val="001A40BE"/>
    <w:rsid w:val="001A420B"/>
    <w:rsid w:val="001A427C"/>
    <w:rsid w:val="001A45C4"/>
    <w:rsid w:val="001A4607"/>
    <w:rsid w:val="001A4759"/>
    <w:rsid w:val="001A4A46"/>
    <w:rsid w:val="001A4B4B"/>
    <w:rsid w:val="001A4B67"/>
    <w:rsid w:val="001A4B97"/>
    <w:rsid w:val="001A4D04"/>
    <w:rsid w:val="001A4DF0"/>
    <w:rsid w:val="001A4E87"/>
    <w:rsid w:val="001A4F43"/>
    <w:rsid w:val="001A4F7D"/>
    <w:rsid w:val="001A53CF"/>
    <w:rsid w:val="001A56FF"/>
    <w:rsid w:val="001A5728"/>
    <w:rsid w:val="001A5920"/>
    <w:rsid w:val="001A59FB"/>
    <w:rsid w:val="001A5ABC"/>
    <w:rsid w:val="001A5D58"/>
    <w:rsid w:val="001A62D6"/>
    <w:rsid w:val="001A664B"/>
    <w:rsid w:val="001A685A"/>
    <w:rsid w:val="001A6905"/>
    <w:rsid w:val="001A6A9F"/>
    <w:rsid w:val="001A6C12"/>
    <w:rsid w:val="001A6D40"/>
    <w:rsid w:val="001A6D90"/>
    <w:rsid w:val="001A6E63"/>
    <w:rsid w:val="001A6ED7"/>
    <w:rsid w:val="001A71A2"/>
    <w:rsid w:val="001A7258"/>
    <w:rsid w:val="001A7448"/>
    <w:rsid w:val="001A74EE"/>
    <w:rsid w:val="001A7723"/>
    <w:rsid w:val="001A7865"/>
    <w:rsid w:val="001A78F2"/>
    <w:rsid w:val="001A7915"/>
    <w:rsid w:val="001A7B42"/>
    <w:rsid w:val="001A7D8C"/>
    <w:rsid w:val="001A7D8F"/>
    <w:rsid w:val="001A7E4F"/>
    <w:rsid w:val="001A7E85"/>
    <w:rsid w:val="001B009D"/>
    <w:rsid w:val="001B01E7"/>
    <w:rsid w:val="001B0436"/>
    <w:rsid w:val="001B0708"/>
    <w:rsid w:val="001B080B"/>
    <w:rsid w:val="001B0A9F"/>
    <w:rsid w:val="001B0B3E"/>
    <w:rsid w:val="001B0B47"/>
    <w:rsid w:val="001B0BEE"/>
    <w:rsid w:val="001B0C8D"/>
    <w:rsid w:val="001B0D69"/>
    <w:rsid w:val="001B105C"/>
    <w:rsid w:val="001B1245"/>
    <w:rsid w:val="001B13D5"/>
    <w:rsid w:val="001B144D"/>
    <w:rsid w:val="001B149A"/>
    <w:rsid w:val="001B1500"/>
    <w:rsid w:val="001B177E"/>
    <w:rsid w:val="001B19F6"/>
    <w:rsid w:val="001B1B01"/>
    <w:rsid w:val="001B1B04"/>
    <w:rsid w:val="001B1B83"/>
    <w:rsid w:val="001B1BB7"/>
    <w:rsid w:val="001B1D15"/>
    <w:rsid w:val="001B1DF0"/>
    <w:rsid w:val="001B1E4B"/>
    <w:rsid w:val="001B1F09"/>
    <w:rsid w:val="001B2101"/>
    <w:rsid w:val="001B2270"/>
    <w:rsid w:val="001B237F"/>
    <w:rsid w:val="001B243B"/>
    <w:rsid w:val="001B249D"/>
    <w:rsid w:val="001B24F6"/>
    <w:rsid w:val="001B24FA"/>
    <w:rsid w:val="001B2504"/>
    <w:rsid w:val="001B288E"/>
    <w:rsid w:val="001B2A97"/>
    <w:rsid w:val="001B2CD4"/>
    <w:rsid w:val="001B2D6F"/>
    <w:rsid w:val="001B2F7D"/>
    <w:rsid w:val="001B31D1"/>
    <w:rsid w:val="001B3242"/>
    <w:rsid w:val="001B339B"/>
    <w:rsid w:val="001B3566"/>
    <w:rsid w:val="001B3598"/>
    <w:rsid w:val="001B35F5"/>
    <w:rsid w:val="001B3734"/>
    <w:rsid w:val="001B3A69"/>
    <w:rsid w:val="001B3AFF"/>
    <w:rsid w:val="001B3BC1"/>
    <w:rsid w:val="001B3EE5"/>
    <w:rsid w:val="001B4039"/>
    <w:rsid w:val="001B421A"/>
    <w:rsid w:val="001B43B7"/>
    <w:rsid w:val="001B46BB"/>
    <w:rsid w:val="001B49F0"/>
    <w:rsid w:val="001B4A25"/>
    <w:rsid w:val="001B4B14"/>
    <w:rsid w:val="001B4EFB"/>
    <w:rsid w:val="001B4FC6"/>
    <w:rsid w:val="001B503C"/>
    <w:rsid w:val="001B5198"/>
    <w:rsid w:val="001B51B7"/>
    <w:rsid w:val="001B5240"/>
    <w:rsid w:val="001B536A"/>
    <w:rsid w:val="001B53E1"/>
    <w:rsid w:val="001B5533"/>
    <w:rsid w:val="001B564F"/>
    <w:rsid w:val="001B5668"/>
    <w:rsid w:val="001B5CA1"/>
    <w:rsid w:val="001B5DA6"/>
    <w:rsid w:val="001B5DEC"/>
    <w:rsid w:val="001B5F16"/>
    <w:rsid w:val="001B5F3B"/>
    <w:rsid w:val="001B5F96"/>
    <w:rsid w:val="001B5FD2"/>
    <w:rsid w:val="001B61E9"/>
    <w:rsid w:val="001B6244"/>
    <w:rsid w:val="001B62FD"/>
    <w:rsid w:val="001B6347"/>
    <w:rsid w:val="001B6349"/>
    <w:rsid w:val="001B6392"/>
    <w:rsid w:val="001B645D"/>
    <w:rsid w:val="001B65D3"/>
    <w:rsid w:val="001B670F"/>
    <w:rsid w:val="001B68A8"/>
    <w:rsid w:val="001B6AC3"/>
    <w:rsid w:val="001B6E9B"/>
    <w:rsid w:val="001B6F3B"/>
    <w:rsid w:val="001B6FAE"/>
    <w:rsid w:val="001B70DA"/>
    <w:rsid w:val="001B7211"/>
    <w:rsid w:val="001B72FB"/>
    <w:rsid w:val="001B7329"/>
    <w:rsid w:val="001B75A5"/>
    <w:rsid w:val="001B7607"/>
    <w:rsid w:val="001B7740"/>
    <w:rsid w:val="001B77F7"/>
    <w:rsid w:val="001B789B"/>
    <w:rsid w:val="001B78F0"/>
    <w:rsid w:val="001B795F"/>
    <w:rsid w:val="001B79DE"/>
    <w:rsid w:val="001B7A30"/>
    <w:rsid w:val="001B7A3C"/>
    <w:rsid w:val="001B7A62"/>
    <w:rsid w:val="001B7B29"/>
    <w:rsid w:val="001B7B2E"/>
    <w:rsid w:val="001B7C99"/>
    <w:rsid w:val="001B7CAB"/>
    <w:rsid w:val="001B7CD0"/>
    <w:rsid w:val="001C007F"/>
    <w:rsid w:val="001C01E8"/>
    <w:rsid w:val="001C0240"/>
    <w:rsid w:val="001C02F8"/>
    <w:rsid w:val="001C06F2"/>
    <w:rsid w:val="001C07A0"/>
    <w:rsid w:val="001C087B"/>
    <w:rsid w:val="001C09F2"/>
    <w:rsid w:val="001C0AEA"/>
    <w:rsid w:val="001C0AF4"/>
    <w:rsid w:val="001C0DA9"/>
    <w:rsid w:val="001C148A"/>
    <w:rsid w:val="001C14DA"/>
    <w:rsid w:val="001C154A"/>
    <w:rsid w:val="001C174A"/>
    <w:rsid w:val="001C1D05"/>
    <w:rsid w:val="001C1D74"/>
    <w:rsid w:val="001C1D85"/>
    <w:rsid w:val="001C1EE2"/>
    <w:rsid w:val="001C21F3"/>
    <w:rsid w:val="001C2244"/>
    <w:rsid w:val="001C22C9"/>
    <w:rsid w:val="001C25E3"/>
    <w:rsid w:val="001C2692"/>
    <w:rsid w:val="001C26CF"/>
    <w:rsid w:val="001C2813"/>
    <w:rsid w:val="001C28E7"/>
    <w:rsid w:val="001C29F0"/>
    <w:rsid w:val="001C2A48"/>
    <w:rsid w:val="001C2A9E"/>
    <w:rsid w:val="001C2CF7"/>
    <w:rsid w:val="001C2DA7"/>
    <w:rsid w:val="001C2E03"/>
    <w:rsid w:val="001C2E35"/>
    <w:rsid w:val="001C2E84"/>
    <w:rsid w:val="001C2EB7"/>
    <w:rsid w:val="001C2ED0"/>
    <w:rsid w:val="001C3339"/>
    <w:rsid w:val="001C3387"/>
    <w:rsid w:val="001C33D4"/>
    <w:rsid w:val="001C33F0"/>
    <w:rsid w:val="001C37B1"/>
    <w:rsid w:val="001C3A16"/>
    <w:rsid w:val="001C3B7D"/>
    <w:rsid w:val="001C434D"/>
    <w:rsid w:val="001C4560"/>
    <w:rsid w:val="001C4566"/>
    <w:rsid w:val="001C46B4"/>
    <w:rsid w:val="001C46EF"/>
    <w:rsid w:val="001C4789"/>
    <w:rsid w:val="001C4A3F"/>
    <w:rsid w:val="001C4B9E"/>
    <w:rsid w:val="001C4D80"/>
    <w:rsid w:val="001C4EE5"/>
    <w:rsid w:val="001C4F17"/>
    <w:rsid w:val="001C4F1E"/>
    <w:rsid w:val="001C4F6C"/>
    <w:rsid w:val="001C50F3"/>
    <w:rsid w:val="001C51D6"/>
    <w:rsid w:val="001C53CB"/>
    <w:rsid w:val="001C53E7"/>
    <w:rsid w:val="001C5540"/>
    <w:rsid w:val="001C55C0"/>
    <w:rsid w:val="001C55EB"/>
    <w:rsid w:val="001C569A"/>
    <w:rsid w:val="001C5971"/>
    <w:rsid w:val="001C5C21"/>
    <w:rsid w:val="001C5C41"/>
    <w:rsid w:val="001C5CFD"/>
    <w:rsid w:val="001C5E09"/>
    <w:rsid w:val="001C5ED9"/>
    <w:rsid w:val="001C5F5A"/>
    <w:rsid w:val="001C60F0"/>
    <w:rsid w:val="001C64CC"/>
    <w:rsid w:val="001C6646"/>
    <w:rsid w:val="001C67E4"/>
    <w:rsid w:val="001C686F"/>
    <w:rsid w:val="001C6963"/>
    <w:rsid w:val="001C69CB"/>
    <w:rsid w:val="001C69E3"/>
    <w:rsid w:val="001C6A45"/>
    <w:rsid w:val="001C6A8A"/>
    <w:rsid w:val="001C6B5A"/>
    <w:rsid w:val="001C6B70"/>
    <w:rsid w:val="001C6C1F"/>
    <w:rsid w:val="001C6D44"/>
    <w:rsid w:val="001C6DFD"/>
    <w:rsid w:val="001C6FB4"/>
    <w:rsid w:val="001C6FFA"/>
    <w:rsid w:val="001C71E0"/>
    <w:rsid w:val="001C738E"/>
    <w:rsid w:val="001C74B3"/>
    <w:rsid w:val="001C7526"/>
    <w:rsid w:val="001C7530"/>
    <w:rsid w:val="001C7571"/>
    <w:rsid w:val="001C7580"/>
    <w:rsid w:val="001C7B9F"/>
    <w:rsid w:val="001C7C78"/>
    <w:rsid w:val="001C7D69"/>
    <w:rsid w:val="001D0049"/>
    <w:rsid w:val="001D027A"/>
    <w:rsid w:val="001D03A8"/>
    <w:rsid w:val="001D05AD"/>
    <w:rsid w:val="001D0960"/>
    <w:rsid w:val="001D096B"/>
    <w:rsid w:val="001D0A2F"/>
    <w:rsid w:val="001D0AA8"/>
    <w:rsid w:val="001D0AC6"/>
    <w:rsid w:val="001D0D33"/>
    <w:rsid w:val="001D0DF3"/>
    <w:rsid w:val="001D0F89"/>
    <w:rsid w:val="001D102F"/>
    <w:rsid w:val="001D118D"/>
    <w:rsid w:val="001D12E9"/>
    <w:rsid w:val="001D1354"/>
    <w:rsid w:val="001D13AA"/>
    <w:rsid w:val="001D14EF"/>
    <w:rsid w:val="001D15AE"/>
    <w:rsid w:val="001D15E0"/>
    <w:rsid w:val="001D164A"/>
    <w:rsid w:val="001D1871"/>
    <w:rsid w:val="001D18B3"/>
    <w:rsid w:val="001D19D0"/>
    <w:rsid w:val="001D1A79"/>
    <w:rsid w:val="001D1ACD"/>
    <w:rsid w:val="001D1D06"/>
    <w:rsid w:val="001D1DC2"/>
    <w:rsid w:val="001D1FA0"/>
    <w:rsid w:val="001D2010"/>
    <w:rsid w:val="001D2054"/>
    <w:rsid w:val="001D224C"/>
    <w:rsid w:val="001D2362"/>
    <w:rsid w:val="001D25C7"/>
    <w:rsid w:val="001D260C"/>
    <w:rsid w:val="001D26AC"/>
    <w:rsid w:val="001D2754"/>
    <w:rsid w:val="001D28CB"/>
    <w:rsid w:val="001D2A8F"/>
    <w:rsid w:val="001D2AB4"/>
    <w:rsid w:val="001D2C45"/>
    <w:rsid w:val="001D2F48"/>
    <w:rsid w:val="001D2FEC"/>
    <w:rsid w:val="001D30CA"/>
    <w:rsid w:val="001D3107"/>
    <w:rsid w:val="001D3121"/>
    <w:rsid w:val="001D3142"/>
    <w:rsid w:val="001D3221"/>
    <w:rsid w:val="001D32C0"/>
    <w:rsid w:val="001D3309"/>
    <w:rsid w:val="001D3466"/>
    <w:rsid w:val="001D352F"/>
    <w:rsid w:val="001D384C"/>
    <w:rsid w:val="001D3865"/>
    <w:rsid w:val="001D3951"/>
    <w:rsid w:val="001D3A64"/>
    <w:rsid w:val="001D3A9D"/>
    <w:rsid w:val="001D3B40"/>
    <w:rsid w:val="001D3F8E"/>
    <w:rsid w:val="001D40A5"/>
    <w:rsid w:val="001D41E6"/>
    <w:rsid w:val="001D41ED"/>
    <w:rsid w:val="001D4439"/>
    <w:rsid w:val="001D44B2"/>
    <w:rsid w:val="001D452B"/>
    <w:rsid w:val="001D46CF"/>
    <w:rsid w:val="001D46E9"/>
    <w:rsid w:val="001D4778"/>
    <w:rsid w:val="001D49BD"/>
    <w:rsid w:val="001D4B31"/>
    <w:rsid w:val="001D4D35"/>
    <w:rsid w:val="001D4E0D"/>
    <w:rsid w:val="001D4FCF"/>
    <w:rsid w:val="001D50C5"/>
    <w:rsid w:val="001D52BF"/>
    <w:rsid w:val="001D5403"/>
    <w:rsid w:val="001D5629"/>
    <w:rsid w:val="001D5734"/>
    <w:rsid w:val="001D574F"/>
    <w:rsid w:val="001D5793"/>
    <w:rsid w:val="001D5D1A"/>
    <w:rsid w:val="001D5EAF"/>
    <w:rsid w:val="001D5EE5"/>
    <w:rsid w:val="001D614C"/>
    <w:rsid w:val="001D61AB"/>
    <w:rsid w:val="001D623F"/>
    <w:rsid w:val="001D6346"/>
    <w:rsid w:val="001D6377"/>
    <w:rsid w:val="001D6441"/>
    <w:rsid w:val="001D64BA"/>
    <w:rsid w:val="001D6691"/>
    <w:rsid w:val="001D6692"/>
    <w:rsid w:val="001D676F"/>
    <w:rsid w:val="001D67F0"/>
    <w:rsid w:val="001D68D8"/>
    <w:rsid w:val="001D6A73"/>
    <w:rsid w:val="001D6B35"/>
    <w:rsid w:val="001D6CB7"/>
    <w:rsid w:val="001D6DF1"/>
    <w:rsid w:val="001D6DF5"/>
    <w:rsid w:val="001D6F1F"/>
    <w:rsid w:val="001D6F34"/>
    <w:rsid w:val="001D6F6D"/>
    <w:rsid w:val="001D6FE0"/>
    <w:rsid w:val="001D705D"/>
    <w:rsid w:val="001D729C"/>
    <w:rsid w:val="001D72A9"/>
    <w:rsid w:val="001D73B3"/>
    <w:rsid w:val="001D745A"/>
    <w:rsid w:val="001D74A7"/>
    <w:rsid w:val="001D7518"/>
    <w:rsid w:val="001D766C"/>
    <w:rsid w:val="001D7759"/>
    <w:rsid w:val="001D77BE"/>
    <w:rsid w:val="001D7881"/>
    <w:rsid w:val="001D7A4E"/>
    <w:rsid w:val="001D7BBF"/>
    <w:rsid w:val="001D7CCF"/>
    <w:rsid w:val="001D7D3F"/>
    <w:rsid w:val="001D7E8C"/>
    <w:rsid w:val="001E0120"/>
    <w:rsid w:val="001E0195"/>
    <w:rsid w:val="001E01C9"/>
    <w:rsid w:val="001E052C"/>
    <w:rsid w:val="001E0697"/>
    <w:rsid w:val="001E06CF"/>
    <w:rsid w:val="001E08E6"/>
    <w:rsid w:val="001E0A08"/>
    <w:rsid w:val="001E0B8C"/>
    <w:rsid w:val="001E0C5A"/>
    <w:rsid w:val="001E0C62"/>
    <w:rsid w:val="001E0D5D"/>
    <w:rsid w:val="001E1002"/>
    <w:rsid w:val="001E1121"/>
    <w:rsid w:val="001E1327"/>
    <w:rsid w:val="001E13F0"/>
    <w:rsid w:val="001E1467"/>
    <w:rsid w:val="001E15F2"/>
    <w:rsid w:val="001E1632"/>
    <w:rsid w:val="001E1677"/>
    <w:rsid w:val="001E17FB"/>
    <w:rsid w:val="001E1936"/>
    <w:rsid w:val="001E193D"/>
    <w:rsid w:val="001E195F"/>
    <w:rsid w:val="001E1B6F"/>
    <w:rsid w:val="001E1C15"/>
    <w:rsid w:val="001E1C1C"/>
    <w:rsid w:val="001E1CE5"/>
    <w:rsid w:val="001E1CFC"/>
    <w:rsid w:val="001E1DDD"/>
    <w:rsid w:val="001E1F04"/>
    <w:rsid w:val="001E2120"/>
    <w:rsid w:val="001E22F7"/>
    <w:rsid w:val="001E2379"/>
    <w:rsid w:val="001E24E6"/>
    <w:rsid w:val="001E24E7"/>
    <w:rsid w:val="001E2607"/>
    <w:rsid w:val="001E2710"/>
    <w:rsid w:val="001E28D6"/>
    <w:rsid w:val="001E28E1"/>
    <w:rsid w:val="001E28F9"/>
    <w:rsid w:val="001E2A09"/>
    <w:rsid w:val="001E2C88"/>
    <w:rsid w:val="001E2E45"/>
    <w:rsid w:val="001E316C"/>
    <w:rsid w:val="001E3180"/>
    <w:rsid w:val="001E33C2"/>
    <w:rsid w:val="001E33D5"/>
    <w:rsid w:val="001E3521"/>
    <w:rsid w:val="001E3522"/>
    <w:rsid w:val="001E35D5"/>
    <w:rsid w:val="001E371C"/>
    <w:rsid w:val="001E37A7"/>
    <w:rsid w:val="001E3969"/>
    <w:rsid w:val="001E3981"/>
    <w:rsid w:val="001E3BFC"/>
    <w:rsid w:val="001E3D04"/>
    <w:rsid w:val="001E3D25"/>
    <w:rsid w:val="001E3D98"/>
    <w:rsid w:val="001E3E0C"/>
    <w:rsid w:val="001E3E85"/>
    <w:rsid w:val="001E3FB2"/>
    <w:rsid w:val="001E4094"/>
    <w:rsid w:val="001E428D"/>
    <w:rsid w:val="001E45F0"/>
    <w:rsid w:val="001E465F"/>
    <w:rsid w:val="001E469B"/>
    <w:rsid w:val="001E478C"/>
    <w:rsid w:val="001E4824"/>
    <w:rsid w:val="001E4849"/>
    <w:rsid w:val="001E48E6"/>
    <w:rsid w:val="001E495E"/>
    <w:rsid w:val="001E49AC"/>
    <w:rsid w:val="001E49B0"/>
    <w:rsid w:val="001E4A06"/>
    <w:rsid w:val="001E4B2C"/>
    <w:rsid w:val="001E4C6B"/>
    <w:rsid w:val="001E4D68"/>
    <w:rsid w:val="001E50C0"/>
    <w:rsid w:val="001E524E"/>
    <w:rsid w:val="001E52CE"/>
    <w:rsid w:val="001E5531"/>
    <w:rsid w:val="001E5640"/>
    <w:rsid w:val="001E5774"/>
    <w:rsid w:val="001E5B02"/>
    <w:rsid w:val="001E5F90"/>
    <w:rsid w:val="001E607B"/>
    <w:rsid w:val="001E617F"/>
    <w:rsid w:val="001E63E0"/>
    <w:rsid w:val="001E653E"/>
    <w:rsid w:val="001E659C"/>
    <w:rsid w:val="001E66CF"/>
    <w:rsid w:val="001E680A"/>
    <w:rsid w:val="001E681F"/>
    <w:rsid w:val="001E68B8"/>
    <w:rsid w:val="001E69C0"/>
    <w:rsid w:val="001E6B7D"/>
    <w:rsid w:val="001E6CE1"/>
    <w:rsid w:val="001E6D32"/>
    <w:rsid w:val="001E6F20"/>
    <w:rsid w:val="001E6F4E"/>
    <w:rsid w:val="001E71CD"/>
    <w:rsid w:val="001E72FC"/>
    <w:rsid w:val="001E7403"/>
    <w:rsid w:val="001E747F"/>
    <w:rsid w:val="001E7482"/>
    <w:rsid w:val="001E74EC"/>
    <w:rsid w:val="001E775E"/>
    <w:rsid w:val="001E7766"/>
    <w:rsid w:val="001E7A58"/>
    <w:rsid w:val="001E7ADF"/>
    <w:rsid w:val="001E7D3C"/>
    <w:rsid w:val="001E7DBA"/>
    <w:rsid w:val="001E7ED1"/>
    <w:rsid w:val="001F0164"/>
    <w:rsid w:val="001F01F6"/>
    <w:rsid w:val="001F03C5"/>
    <w:rsid w:val="001F04D9"/>
    <w:rsid w:val="001F05B7"/>
    <w:rsid w:val="001F05DC"/>
    <w:rsid w:val="001F07C4"/>
    <w:rsid w:val="001F096A"/>
    <w:rsid w:val="001F0A0E"/>
    <w:rsid w:val="001F0A51"/>
    <w:rsid w:val="001F0B21"/>
    <w:rsid w:val="001F0C47"/>
    <w:rsid w:val="001F0E57"/>
    <w:rsid w:val="001F0EB4"/>
    <w:rsid w:val="001F0F71"/>
    <w:rsid w:val="001F0FF7"/>
    <w:rsid w:val="001F0FFF"/>
    <w:rsid w:val="001F1239"/>
    <w:rsid w:val="001F1269"/>
    <w:rsid w:val="001F1590"/>
    <w:rsid w:val="001F1626"/>
    <w:rsid w:val="001F1730"/>
    <w:rsid w:val="001F18A7"/>
    <w:rsid w:val="001F19CD"/>
    <w:rsid w:val="001F19ED"/>
    <w:rsid w:val="001F1A69"/>
    <w:rsid w:val="001F1C4A"/>
    <w:rsid w:val="001F1E25"/>
    <w:rsid w:val="001F1E30"/>
    <w:rsid w:val="001F1E93"/>
    <w:rsid w:val="001F2080"/>
    <w:rsid w:val="001F22F3"/>
    <w:rsid w:val="001F236F"/>
    <w:rsid w:val="001F24F6"/>
    <w:rsid w:val="001F26C3"/>
    <w:rsid w:val="001F2786"/>
    <w:rsid w:val="001F2792"/>
    <w:rsid w:val="001F27CF"/>
    <w:rsid w:val="001F2902"/>
    <w:rsid w:val="001F2A47"/>
    <w:rsid w:val="001F2A65"/>
    <w:rsid w:val="001F2BA8"/>
    <w:rsid w:val="001F2C0A"/>
    <w:rsid w:val="001F2C84"/>
    <w:rsid w:val="001F326D"/>
    <w:rsid w:val="001F32AB"/>
    <w:rsid w:val="001F36D0"/>
    <w:rsid w:val="001F38A7"/>
    <w:rsid w:val="001F393E"/>
    <w:rsid w:val="001F3A42"/>
    <w:rsid w:val="001F3A64"/>
    <w:rsid w:val="001F3B2A"/>
    <w:rsid w:val="001F3BE8"/>
    <w:rsid w:val="001F3C64"/>
    <w:rsid w:val="001F3EE8"/>
    <w:rsid w:val="001F3F36"/>
    <w:rsid w:val="001F412C"/>
    <w:rsid w:val="001F41AE"/>
    <w:rsid w:val="001F43C4"/>
    <w:rsid w:val="001F448C"/>
    <w:rsid w:val="001F44EB"/>
    <w:rsid w:val="001F4502"/>
    <w:rsid w:val="001F4578"/>
    <w:rsid w:val="001F45D9"/>
    <w:rsid w:val="001F4654"/>
    <w:rsid w:val="001F49F7"/>
    <w:rsid w:val="001F4BCC"/>
    <w:rsid w:val="001F4C4C"/>
    <w:rsid w:val="001F4E6B"/>
    <w:rsid w:val="001F4E7A"/>
    <w:rsid w:val="001F4ED4"/>
    <w:rsid w:val="001F4F34"/>
    <w:rsid w:val="001F50CE"/>
    <w:rsid w:val="001F50DE"/>
    <w:rsid w:val="001F52CD"/>
    <w:rsid w:val="001F5442"/>
    <w:rsid w:val="001F545A"/>
    <w:rsid w:val="001F5523"/>
    <w:rsid w:val="001F57FB"/>
    <w:rsid w:val="001F581A"/>
    <w:rsid w:val="001F584B"/>
    <w:rsid w:val="001F589E"/>
    <w:rsid w:val="001F5B64"/>
    <w:rsid w:val="001F5B8C"/>
    <w:rsid w:val="001F5CEF"/>
    <w:rsid w:val="001F5E9A"/>
    <w:rsid w:val="001F5FF5"/>
    <w:rsid w:val="001F6245"/>
    <w:rsid w:val="001F632D"/>
    <w:rsid w:val="001F635D"/>
    <w:rsid w:val="001F658C"/>
    <w:rsid w:val="001F660C"/>
    <w:rsid w:val="001F675C"/>
    <w:rsid w:val="001F6870"/>
    <w:rsid w:val="001F6961"/>
    <w:rsid w:val="001F6C25"/>
    <w:rsid w:val="001F6C5D"/>
    <w:rsid w:val="001F6D56"/>
    <w:rsid w:val="001F6D8D"/>
    <w:rsid w:val="001F6F44"/>
    <w:rsid w:val="001F6F48"/>
    <w:rsid w:val="001F704C"/>
    <w:rsid w:val="001F740D"/>
    <w:rsid w:val="001F74C3"/>
    <w:rsid w:val="001F7506"/>
    <w:rsid w:val="001F7563"/>
    <w:rsid w:val="001F762E"/>
    <w:rsid w:val="001F7681"/>
    <w:rsid w:val="001F7892"/>
    <w:rsid w:val="001F789C"/>
    <w:rsid w:val="001F7932"/>
    <w:rsid w:val="001F79DE"/>
    <w:rsid w:val="001F7A06"/>
    <w:rsid w:val="001F7A21"/>
    <w:rsid w:val="001F7BFC"/>
    <w:rsid w:val="001F7D89"/>
    <w:rsid w:val="001F7E3C"/>
    <w:rsid w:val="001F7E43"/>
    <w:rsid w:val="001F7E92"/>
    <w:rsid w:val="001F7F2E"/>
    <w:rsid w:val="00200028"/>
    <w:rsid w:val="00200157"/>
    <w:rsid w:val="00200177"/>
    <w:rsid w:val="0020022E"/>
    <w:rsid w:val="00200274"/>
    <w:rsid w:val="00200302"/>
    <w:rsid w:val="00200369"/>
    <w:rsid w:val="0020065C"/>
    <w:rsid w:val="00200735"/>
    <w:rsid w:val="0020078E"/>
    <w:rsid w:val="00200925"/>
    <w:rsid w:val="00200B34"/>
    <w:rsid w:val="00200C5F"/>
    <w:rsid w:val="00200C63"/>
    <w:rsid w:val="00200E43"/>
    <w:rsid w:val="002010D4"/>
    <w:rsid w:val="0020111C"/>
    <w:rsid w:val="002014AC"/>
    <w:rsid w:val="0020173F"/>
    <w:rsid w:val="002017F3"/>
    <w:rsid w:val="00201991"/>
    <w:rsid w:val="00201A9D"/>
    <w:rsid w:val="00201B9F"/>
    <w:rsid w:val="00201CB9"/>
    <w:rsid w:val="00201E94"/>
    <w:rsid w:val="00201EAD"/>
    <w:rsid w:val="00201FC6"/>
    <w:rsid w:val="00202463"/>
    <w:rsid w:val="00202C2C"/>
    <w:rsid w:val="00202C8D"/>
    <w:rsid w:val="00202ED5"/>
    <w:rsid w:val="00203133"/>
    <w:rsid w:val="002032AE"/>
    <w:rsid w:val="00203379"/>
    <w:rsid w:val="002033B8"/>
    <w:rsid w:val="002036E9"/>
    <w:rsid w:val="00203787"/>
    <w:rsid w:val="00203840"/>
    <w:rsid w:val="002038B7"/>
    <w:rsid w:val="00203983"/>
    <w:rsid w:val="002039AC"/>
    <w:rsid w:val="00203A3D"/>
    <w:rsid w:val="00203A97"/>
    <w:rsid w:val="00203B14"/>
    <w:rsid w:val="00203CED"/>
    <w:rsid w:val="00203DD0"/>
    <w:rsid w:val="00203E57"/>
    <w:rsid w:val="00203E5A"/>
    <w:rsid w:val="00203F3F"/>
    <w:rsid w:val="00203FBC"/>
    <w:rsid w:val="00204075"/>
    <w:rsid w:val="002042A3"/>
    <w:rsid w:val="00204329"/>
    <w:rsid w:val="00204808"/>
    <w:rsid w:val="00204907"/>
    <w:rsid w:val="002049D0"/>
    <w:rsid w:val="00204B1F"/>
    <w:rsid w:val="00204D60"/>
    <w:rsid w:val="00204F10"/>
    <w:rsid w:val="00205173"/>
    <w:rsid w:val="00205444"/>
    <w:rsid w:val="002054CE"/>
    <w:rsid w:val="0020563F"/>
    <w:rsid w:val="002058D2"/>
    <w:rsid w:val="0020598F"/>
    <w:rsid w:val="00205B6F"/>
    <w:rsid w:val="00205BF8"/>
    <w:rsid w:val="00205C63"/>
    <w:rsid w:val="00205CAE"/>
    <w:rsid w:val="00205DAC"/>
    <w:rsid w:val="00205E76"/>
    <w:rsid w:val="00205F7E"/>
    <w:rsid w:val="0020612C"/>
    <w:rsid w:val="00206306"/>
    <w:rsid w:val="002063C8"/>
    <w:rsid w:val="00206427"/>
    <w:rsid w:val="0020666A"/>
    <w:rsid w:val="002066D7"/>
    <w:rsid w:val="00206987"/>
    <w:rsid w:val="00206B19"/>
    <w:rsid w:val="00206D28"/>
    <w:rsid w:val="00206D9D"/>
    <w:rsid w:val="00206F08"/>
    <w:rsid w:val="00206FFE"/>
    <w:rsid w:val="0020702C"/>
    <w:rsid w:val="0020704C"/>
    <w:rsid w:val="00207248"/>
    <w:rsid w:val="002072A2"/>
    <w:rsid w:val="002073FE"/>
    <w:rsid w:val="00207469"/>
    <w:rsid w:val="002077A5"/>
    <w:rsid w:val="00207815"/>
    <w:rsid w:val="0020789F"/>
    <w:rsid w:val="00207956"/>
    <w:rsid w:val="00207A22"/>
    <w:rsid w:val="00207A73"/>
    <w:rsid w:val="00207C0F"/>
    <w:rsid w:val="00207C80"/>
    <w:rsid w:val="00207F59"/>
    <w:rsid w:val="00207FCB"/>
    <w:rsid w:val="002101E2"/>
    <w:rsid w:val="0021031E"/>
    <w:rsid w:val="00210470"/>
    <w:rsid w:val="0021053A"/>
    <w:rsid w:val="00210795"/>
    <w:rsid w:val="00210902"/>
    <w:rsid w:val="00210920"/>
    <w:rsid w:val="00210A2E"/>
    <w:rsid w:val="00210A68"/>
    <w:rsid w:val="00210AE1"/>
    <w:rsid w:val="00210CD4"/>
    <w:rsid w:val="00210CE8"/>
    <w:rsid w:val="00210D9A"/>
    <w:rsid w:val="0021102A"/>
    <w:rsid w:val="00211110"/>
    <w:rsid w:val="002113E7"/>
    <w:rsid w:val="00211445"/>
    <w:rsid w:val="0021144B"/>
    <w:rsid w:val="00211624"/>
    <w:rsid w:val="002116DC"/>
    <w:rsid w:val="002116E8"/>
    <w:rsid w:val="002117AF"/>
    <w:rsid w:val="00211D10"/>
    <w:rsid w:val="00211DC3"/>
    <w:rsid w:val="00211E85"/>
    <w:rsid w:val="002120A5"/>
    <w:rsid w:val="00212247"/>
    <w:rsid w:val="0021244D"/>
    <w:rsid w:val="00212469"/>
    <w:rsid w:val="002127DE"/>
    <w:rsid w:val="00212B20"/>
    <w:rsid w:val="00212CEC"/>
    <w:rsid w:val="002130A3"/>
    <w:rsid w:val="00213200"/>
    <w:rsid w:val="00213373"/>
    <w:rsid w:val="002133F3"/>
    <w:rsid w:val="00213538"/>
    <w:rsid w:val="00213662"/>
    <w:rsid w:val="0021374F"/>
    <w:rsid w:val="0021375C"/>
    <w:rsid w:val="00213770"/>
    <w:rsid w:val="00213940"/>
    <w:rsid w:val="00213BF6"/>
    <w:rsid w:val="00213C63"/>
    <w:rsid w:val="00213EA1"/>
    <w:rsid w:val="00213F70"/>
    <w:rsid w:val="00213FF5"/>
    <w:rsid w:val="002140EA"/>
    <w:rsid w:val="0021420E"/>
    <w:rsid w:val="002143A2"/>
    <w:rsid w:val="0021471A"/>
    <w:rsid w:val="00214861"/>
    <w:rsid w:val="002149CE"/>
    <w:rsid w:val="00214A70"/>
    <w:rsid w:val="00214C03"/>
    <w:rsid w:val="00214CD9"/>
    <w:rsid w:val="00214D38"/>
    <w:rsid w:val="00214E25"/>
    <w:rsid w:val="00214E30"/>
    <w:rsid w:val="00215010"/>
    <w:rsid w:val="00215036"/>
    <w:rsid w:val="0021526B"/>
    <w:rsid w:val="0021529B"/>
    <w:rsid w:val="002153D9"/>
    <w:rsid w:val="002154B3"/>
    <w:rsid w:val="00215584"/>
    <w:rsid w:val="002155B6"/>
    <w:rsid w:val="002156C2"/>
    <w:rsid w:val="002156D2"/>
    <w:rsid w:val="002157E4"/>
    <w:rsid w:val="00215842"/>
    <w:rsid w:val="00215929"/>
    <w:rsid w:val="00215AFB"/>
    <w:rsid w:val="00215BD7"/>
    <w:rsid w:val="00215C2B"/>
    <w:rsid w:val="00215D03"/>
    <w:rsid w:val="00215DEA"/>
    <w:rsid w:val="002161A1"/>
    <w:rsid w:val="0021624B"/>
    <w:rsid w:val="002162C0"/>
    <w:rsid w:val="0021635F"/>
    <w:rsid w:val="002163AF"/>
    <w:rsid w:val="002163CF"/>
    <w:rsid w:val="00216426"/>
    <w:rsid w:val="002164B0"/>
    <w:rsid w:val="00216549"/>
    <w:rsid w:val="0021654C"/>
    <w:rsid w:val="0021655D"/>
    <w:rsid w:val="002166AD"/>
    <w:rsid w:val="00216A63"/>
    <w:rsid w:val="00216CCB"/>
    <w:rsid w:val="00216E88"/>
    <w:rsid w:val="0021707D"/>
    <w:rsid w:val="0021710F"/>
    <w:rsid w:val="00217235"/>
    <w:rsid w:val="00217443"/>
    <w:rsid w:val="002174FC"/>
    <w:rsid w:val="00217674"/>
    <w:rsid w:val="002178D2"/>
    <w:rsid w:val="0021796C"/>
    <w:rsid w:val="00217B13"/>
    <w:rsid w:val="00217C00"/>
    <w:rsid w:val="00217E1F"/>
    <w:rsid w:val="00217EAB"/>
    <w:rsid w:val="002200D8"/>
    <w:rsid w:val="0022012D"/>
    <w:rsid w:val="00220446"/>
    <w:rsid w:val="0022045E"/>
    <w:rsid w:val="002207D0"/>
    <w:rsid w:val="0022081E"/>
    <w:rsid w:val="0022083E"/>
    <w:rsid w:val="0022085F"/>
    <w:rsid w:val="002208B6"/>
    <w:rsid w:val="0022092D"/>
    <w:rsid w:val="00220A53"/>
    <w:rsid w:val="00220A54"/>
    <w:rsid w:val="00220C85"/>
    <w:rsid w:val="00220DB3"/>
    <w:rsid w:val="00220F89"/>
    <w:rsid w:val="00220FA1"/>
    <w:rsid w:val="00220FF3"/>
    <w:rsid w:val="002210A6"/>
    <w:rsid w:val="002210E4"/>
    <w:rsid w:val="00221395"/>
    <w:rsid w:val="002213B8"/>
    <w:rsid w:val="00221457"/>
    <w:rsid w:val="00221658"/>
    <w:rsid w:val="002216CD"/>
    <w:rsid w:val="002218A6"/>
    <w:rsid w:val="002218B6"/>
    <w:rsid w:val="00221D75"/>
    <w:rsid w:val="00221DF5"/>
    <w:rsid w:val="00221E4C"/>
    <w:rsid w:val="00222105"/>
    <w:rsid w:val="00222173"/>
    <w:rsid w:val="00222191"/>
    <w:rsid w:val="0022248F"/>
    <w:rsid w:val="002226A7"/>
    <w:rsid w:val="002226AA"/>
    <w:rsid w:val="0022278E"/>
    <w:rsid w:val="00222797"/>
    <w:rsid w:val="0022286C"/>
    <w:rsid w:val="00222AE2"/>
    <w:rsid w:val="00222BDE"/>
    <w:rsid w:val="00222C0F"/>
    <w:rsid w:val="00222C3D"/>
    <w:rsid w:val="00222D68"/>
    <w:rsid w:val="00222DB6"/>
    <w:rsid w:val="00222E14"/>
    <w:rsid w:val="00222F41"/>
    <w:rsid w:val="00223157"/>
    <w:rsid w:val="0022315D"/>
    <w:rsid w:val="00223254"/>
    <w:rsid w:val="0022335A"/>
    <w:rsid w:val="002235B0"/>
    <w:rsid w:val="00223664"/>
    <w:rsid w:val="0022369F"/>
    <w:rsid w:val="002237EB"/>
    <w:rsid w:val="00223830"/>
    <w:rsid w:val="00223882"/>
    <w:rsid w:val="00223943"/>
    <w:rsid w:val="00223A56"/>
    <w:rsid w:val="00223AF9"/>
    <w:rsid w:val="00223D50"/>
    <w:rsid w:val="002240A8"/>
    <w:rsid w:val="002240EA"/>
    <w:rsid w:val="002241BB"/>
    <w:rsid w:val="0022452D"/>
    <w:rsid w:val="00224756"/>
    <w:rsid w:val="002247C9"/>
    <w:rsid w:val="00224ACD"/>
    <w:rsid w:val="00224B9D"/>
    <w:rsid w:val="00224BAF"/>
    <w:rsid w:val="00224C3F"/>
    <w:rsid w:val="00224C9D"/>
    <w:rsid w:val="00224C9F"/>
    <w:rsid w:val="00224D0F"/>
    <w:rsid w:val="00224D5B"/>
    <w:rsid w:val="00224DD3"/>
    <w:rsid w:val="00224E06"/>
    <w:rsid w:val="00224F22"/>
    <w:rsid w:val="00224F64"/>
    <w:rsid w:val="00224FE9"/>
    <w:rsid w:val="00225041"/>
    <w:rsid w:val="0022535F"/>
    <w:rsid w:val="002253C0"/>
    <w:rsid w:val="00225402"/>
    <w:rsid w:val="002254BB"/>
    <w:rsid w:val="0022554D"/>
    <w:rsid w:val="0022556F"/>
    <w:rsid w:val="00225608"/>
    <w:rsid w:val="002256AE"/>
    <w:rsid w:val="002257DD"/>
    <w:rsid w:val="002257F8"/>
    <w:rsid w:val="00225833"/>
    <w:rsid w:val="00225A92"/>
    <w:rsid w:val="00225D4B"/>
    <w:rsid w:val="00225D5E"/>
    <w:rsid w:val="00225DCA"/>
    <w:rsid w:val="00226095"/>
    <w:rsid w:val="00226513"/>
    <w:rsid w:val="00226616"/>
    <w:rsid w:val="00226680"/>
    <w:rsid w:val="002267B1"/>
    <w:rsid w:val="0022691C"/>
    <w:rsid w:val="002269A4"/>
    <w:rsid w:val="00226BC7"/>
    <w:rsid w:val="00226D84"/>
    <w:rsid w:val="00226F2C"/>
    <w:rsid w:val="00226F56"/>
    <w:rsid w:val="00227003"/>
    <w:rsid w:val="00227088"/>
    <w:rsid w:val="002271F5"/>
    <w:rsid w:val="0022756C"/>
    <w:rsid w:val="002275E0"/>
    <w:rsid w:val="00227825"/>
    <w:rsid w:val="00227937"/>
    <w:rsid w:val="00227B89"/>
    <w:rsid w:val="00227E38"/>
    <w:rsid w:val="00227E5D"/>
    <w:rsid w:val="00227E93"/>
    <w:rsid w:val="00227F26"/>
    <w:rsid w:val="00227F43"/>
    <w:rsid w:val="002301AC"/>
    <w:rsid w:val="002301BC"/>
    <w:rsid w:val="002304A6"/>
    <w:rsid w:val="002305DE"/>
    <w:rsid w:val="0023085F"/>
    <w:rsid w:val="00230861"/>
    <w:rsid w:val="00230869"/>
    <w:rsid w:val="00230A00"/>
    <w:rsid w:val="00230A12"/>
    <w:rsid w:val="00230B1C"/>
    <w:rsid w:val="00230DCB"/>
    <w:rsid w:val="00230DEC"/>
    <w:rsid w:val="00230E88"/>
    <w:rsid w:val="00230F2F"/>
    <w:rsid w:val="00231141"/>
    <w:rsid w:val="0023124E"/>
    <w:rsid w:val="002312C2"/>
    <w:rsid w:val="00231326"/>
    <w:rsid w:val="002315C1"/>
    <w:rsid w:val="002315DA"/>
    <w:rsid w:val="00231816"/>
    <w:rsid w:val="002319CE"/>
    <w:rsid w:val="002319D7"/>
    <w:rsid w:val="00231A9F"/>
    <w:rsid w:val="00231C03"/>
    <w:rsid w:val="00231DAF"/>
    <w:rsid w:val="00232029"/>
    <w:rsid w:val="002320E0"/>
    <w:rsid w:val="002322A2"/>
    <w:rsid w:val="002324A5"/>
    <w:rsid w:val="002325E0"/>
    <w:rsid w:val="00232649"/>
    <w:rsid w:val="002327A8"/>
    <w:rsid w:val="002328D9"/>
    <w:rsid w:val="002329C7"/>
    <w:rsid w:val="00232A7E"/>
    <w:rsid w:val="00232A93"/>
    <w:rsid w:val="00232C5B"/>
    <w:rsid w:val="00232CF1"/>
    <w:rsid w:val="00232F7D"/>
    <w:rsid w:val="00232F92"/>
    <w:rsid w:val="002331E2"/>
    <w:rsid w:val="00233278"/>
    <w:rsid w:val="00233450"/>
    <w:rsid w:val="00233454"/>
    <w:rsid w:val="0023348E"/>
    <w:rsid w:val="002335A9"/>
    <w:rsid w:val="0023372A"/>
    <w:rsid w:val="00233782"/>
    <w:rsid w:val="00233789"/>
    <w:rsid w:val="0023388E"/>
    <w:rsid w:val="00233B28"/>
    <w:rsid w:val="00233CB0"/>
    <w:rsid w:val="00233D6A"/>
    <w:rsid w:val="00233E08"/>
    <w:rsid w:val="00233EA3"/>
    <w:rsid w:val="00233F8D"/>
    <w:rsid w:val="00234077"/>
    <w:rsid w:val="0023412A"/>
    <w:rsid w:val="0023432F"/>
    <w:rsid w:val="00234560"/>
    <w:rsid w:val="002345A6"/>
    <w:rsid w:val="00234640"/>
    <w:rsid w:val="0023465E"/>
    <w:rsid w:val="00234661"/>
    <w:rsid w:val="002346E2"/>
    <w:rsid w:val="00234781"/>
    <w:rsid w:val="002347CA"/>
    <w:rsid w:val="002348F6"/>
    <w:rsid w:val="0023494F"/>
    <w:rsid w:val="0023497D"/>
    <w:rsid w:val="00234AC4"/>
    <w:rsid w:val="00234B78"/>
    <w:rsid w:val="00234CB6"/>
    <w:rsid w:val="00234EBB"/>
    <w:rsid w:val="00234F84"/>
    <w:rsid w:val="00234FE9"/>
    <w:rsid w:val="002351BA"/>
    <w:rsid w:val="002351E8"/>
    <w:rsid w:val="0023542B"/>
    <w:rsid w:val="002354D3"/>
    <w:rsid w:val="0023570A"/>
    <w:rsid w:val="00235856"/>
    <w:rsid w:val="0023589C"/>
    <w:rsid w:val="002358F3"/>
    <w:rsid w:val="00235B06"/>
    <w:rsid w:val="00235B5B"/>
    <w:rsid w:val="00235CA6"/>
    <w:rsid w:val="0023615A"/>
    <w:rsid w:val="0023638B"/>
    <w:rsid w:val="002363D7"/>
    <w:rsid w:val="002364A2"/>
    <w:rsid w:val="00236672"/>
    <w:rsid w:val="002367F3"/>
    <w:rsid w:val="00236984"/>
    <w:rsid w:val="002369F5"/>
    <w:rsid w:val="00236C31"/>
    <w:rsid w:val="00236E0B"/>
    <w:rsid w:val="00236F19"/>
    <w:rsid w:val="00236FDA"/>
    <w:rsid w:val="00237161"/>
    <w:rsid w:val="002371FA"/>
    <w:rsid w:val="002371FC"/>
    <w:rsid w:val="0023736E"/>
    <w:rsid w:val="002373D3"/>
    <w:rsid w:val="00237594"/>
    <w:rsid w:val="002378CD"/>
    <w:rsid w:val="00237B39"/>
    <w:rsid w:val="00237B3B"/>
    <w:rsid w:val="00237BC7"/>
    <w:rsid w:val="00237C19"/>
    <w:rsid w:val="00237DB9"/>
    <w:rsid w:val="00237EB9"/>
    <w:rsid w:val="00237F9F"/>
    <w:rsid w:val="00240106"/>
    <w:rsid w:val="0024047B"/>
    <w:rsid w:val="00240486"/>
    <w:rsid w:val="0024060E"/>
    <w:rsid w:val="00240871"/>
    <w:rsid w:val="00240D5E"/>
    <w:rsid w:val="00240F3B"/>
    <w:rsid w:val="00240FFC"/>
    <w:rsid w:val="0024106C"/>
    <w:rsid w:val="002411C7"/>
    <w:rsid w:val="002412FC"/>
    <w:rsid w:val="00241377"/>
    <w:rsid w:val="00241443"/>
    <w:rsid w:val="00241534"/>
    <w:rsid w:val="002415A3"/>
    <w:rsid w:val="002416B6"/>
    <w:rsid w:val="00241896"/>
    <w:rsid w:val="0024189B"/>
    <w:rsid w:val="00241905"/>
    <w:rsid w:val="00241B2C"/>
    <w:rsid w:val="00241B49"/>
    <w:rsid w:val="00241C8F"/>
    <w:rsid w:val="00241D9C"/>
    <w:rsid w:val="00241DB5"/>
    <w:rsid w:val="00241DD1"/>
    <w:rsid w:val="00241E25"/>
    <w:rsid w:val="00241E5D"/>
    <w:rsid w:val="00241EA0"/>
    <w:rsid w:val="00241F9D"/>
    <w:rsid w:val="00241FEC"/>
    <w:rsid w:val="002424F0"/>
    <w:rsid w:val="002426E6"/>
    <w:rsid w:val="00242729"/>
    <w:rsid w:val="00242887"/>
    <w:rsid w:val="00242907"/>
    <w:rsid w:val="0024294B"/>
    <w:rsid w:val="002429B6"/>
    <w:rsid w:val="00242D1A"/>
    <w:rsid w:val="00242E0E"/>
    <w:rsid w:val="00242F0B"/>
    <w:rsid w:val="00242F4E"/>
    <w:rsid w:val="00242F99"/>
    <w:rsid w:val="002432FE"/>
    <w:rsid w:val="00243498"/>
    <w:rsid w:val="002434AC"/>
    <w:rsid w:val="002436A7"/>
    <w:rsid w:val="00243804"/>
    <w:rsid w:val="002438D4"/>
    <w:rsid w:val="00243A5C"/>
    <w:rsid w:val="00243A9B"/>
    <w:rsid w:val="00243B40"/>
    <w:rsid w:val="00243B78"/>
    <w:rsid w:val="00243B7C"/>
    <w:rsid w:val="00243D9A"/>
    <w:rsid w:val="00243E09"/>
    <w:rsid w:val="00244008"/>
    <w:rsid w:val="00244061"/>
    <w:rsid w:val="00244128"/>
    <w:rsid w:val="002444F6"/>
    <w:rsid w:val="00244635"/>
    <w:rsid w:val="00244941"/>
    <w:rsid w:val="002449A4"/>
    <w:rsid w:val="00244A4A"/>
    <w:rsid w:val="00244A71"/>
    <w:rsid w:val="00244E01"/>
    <w:rsid w:val="00244E8C"/>
    <w:rsid w:val="00244EC1"/>
    <w:rsid w:val="002451CA"/>
    <w:rsid w:val="002452A0"/>
    <w:rsid w:val="00245347"/>
    <w:rsid w:val="002453A8"/>
    <w:rsid w:val="00245426"/>
    <w:rsid w:val="002454C1"/>
    <w:rsid w:val="00245637"/>
    <w:rsid w:val="00245649"/>
    <w:rsid w:val="0024574E"/>
    <w:rsid w:val="0024577B"/>
    <w:rsid w:val="002457A3"/>
    <w:rsid w:val="00245818"/>
    <w:rsid w:val="002458C1"/>
    <w:rsid w:val="00245AC1"/>
    <w:rsid w:val="00245B37"/>
    <w:rsid w:val="00245BC9"/>
    <w:rsid w:val="002460F6"/>
    <w:rsid w:val="00246154"/>
    <w:rsid w:val="0024622B"/>
    <w:rsid w:val="002463A6"/>
    <w:rsid w:val="0024658C"/>
    <w:rsid w:val="002465A0"/>
    <w:rsid w:val="0024673E"/>
    <w:rsid w:val="0024681B"/>
    <w:rsid w:val="00246A6E"/>
    <w:rsid w:val="00246A90"/>
    <w:rsid w:val="00246ADB"/>
    <w:rsid w:val="00246AE9"/>
    <w:rsid w:val="00246AF1"/>
    <w:rsid w:val="00246C4C"/>
    <w:rsid w:val="00246CDD"/>
    <w:rsid w:val="00246D3B"/>
    <w:rsid w:val="00246DE4"/>
    <w:rsid w:val="00246DE7"/>
    <w:rsid w:val="00246E2D"/>
    <w:rsid w:val="00247029"/>
    <w:rsid w:val="0024723A"/>
    <w:rsid w:val="00247284"/>
    <w:rsid w:val="002474D5"/>
    <w:rsid w:val="002474FB"/>
    <w:rsid w:val="002476A3"/>
    <w:rsid w:val="00247874"/>
    <w:rsid w:val="00247915"/>
    <w:rsid w:val="00247995"/>
    <w:rsid w:val="00247CE5"/>
    <w:rsid w:val="00247EFE"/>
    <w:rsid w:val="0025038E"/>
    <w:rsid w:val="00250401"/>
    <w:rsid w:val="00250551"/>
    <w:rsid w:val="0025062C"/>
    <w:rsid w:val="00250BF2"/>
    <w:rsid w:val="00250BF5"/>
    <w:rsid w:val="00250D40"/>
    <w:rsid w:val="00250E1E"/>
    <w:rsid w:val="00250FA4"/>
    <w:rsid w:val="00251167"/>
    <w:rsid w:val="00251524"/>
    <w:rsid w:val="00251735"/>
    <w:rsid w:val="002517A5"/>
    <w:rsid w:val="002517DB"/>
    <w:rsid w:val="002518A5"/>
    <w:rsid w:val="00251A15"/>
    <w:rsid w:val="00251A46"/>
    <w:rsid w:val="00251A61"/>
    <w:rsid w:val="00251A97"/>
    <w:rsid w:val="00251AAA"/>
    <w:rsid w:val="00251DF1"/>
    <w:rsid w:val="00251E9D"/>
    <w:rsid w:val="00251F6C"/>
    <w:rsid w:val="00251FEB"/>
    <w:rsid w:val="0025201D"/>
    <w:rsid w:val="002520C4"/>
    <w:rsid w:val="00252137"/>
    <w:rsid w:val="002521C9"/>
    <w:rsid w:val="00252316"/>
    <w:rsid w:val="0025249C"/>
    <w:rsid w:val="0025254D"/>
    <w:rsid w:val="00252567"/>
    <w:rsid w:val="002528D6"/>
    <w:rsid w:val="00252934"/>
    <w:rsid w:val="00252A05"/>
    <w:rsid w:val="00252A25"/>
    <w:rsid w:val="00252B99"/>
    <w:rsid w:val="00252C9F"/>
    <w:rsid w:val="00252D20"/>
    <w:rsid w:val="00252FA7"/>
    <w:rsid w:val="002534EE"/>
    <w:rsid w:val="0025351B"/>
    <w:rsid w:val="002537CB"/>
    <w:rsid w:val="0025385F"/>
    <w:rsid w:val="002539ED"/>
    <w:rsid w:val="00253A9E"/>
    <w:rsid w:val="00253BA1"/>
    <w:rsid w:val="00253D5C"/>
    <w:rsid w:val="00253E9F"/>
    <w:rsid w:val="00253F00"/>
    <w:rsid w:val="0025440D"/>
    <w:rsid w:val="002544E4"/>
    <w:rsid w:val="0025450E"/>
    <w:rsid w:val="00254540"/>
    <w:rsid w:val="002545F2"/>
    <w:rsid w:val="00254606"/>
    <w:rsid w:val="0025462B"/>
    <w:rsid w:val="00254699"/>
    <w:rsid w:val="002546A6"/>
    <w:rsid w:val="00254736"/>
    <w:rsid w:val="002548FE"/>
    <w:rsid w:val="00254F67"/>
    <w:rsid w:val="002550C7"/>
    <w:rsid w:val="0025511D"/>
    <w:rsid w:val="00255152"/>
    <w:rsid w:val="00255227"/>
    <w:rsid w:val="00255234"/>
    <w:rsid w:val="0025526B"/>
    <w:rsid w:val="002552EF"/>
    <w:rsid w:val="002552F2"/>
    <w:rsid w:val="00255367"/>
    <w:rsid w:val="00255402"/>
    <w:rsid w:val="00255487"/>
    <w:rsid w:val="002554A5"/>
    <w:rsid w:val="00255511"/>
    <w:rsid w:val="0025554E"/>
    <w:rsid w:val="0025558F"/>
    <w:rsid w:val="002555B6"/>
    <w:rsid w:val="0025583B"/>
    <w:rsid w:val="0025598E"/>
    <w:rsid w:val="00255B2A"/>
    <w:rsid w:val="00255E06"/>
    <w:rsid w:val="00255F03"/>
    <w:rsid w:val="00255F88"/>
    <w:rsid w:val="00255FAA"/>
    <w:rsid w:val="00256179"/>
    <w:rsid w:val="002565BD"/>
    <w:rsid w:val="00256627"/>
    <w:rsid w:val="0025692F"/>
    <w:rsid w:val="0025695A"/>
    <w:rsid w:val="00256A69"/>
    <w:rsid w:val="00256BFB"/>
    <w:rsid w:val="00256E65"/>
    <w:rsid w:val="002571C5"/>
    <w:rsid w:val="002572D2"/>
    <w:rsid w:val="002572D7"/>
    <w:rsid w:val="00257409"/>
    <w:rsid w:val="00257434"/>
    <w:rsid w:val="00257446"/>
    <w:rsid w:val="00257745"/>
    <w:rsid w:val="0025799D"/>
    <w:rsid w:val="00257A08"/>
    <w:rsid w:val="00257BF6"/>
    <w:rsid w:val="00257E6B"/>
    <w:rsid w:val="00257E91"/>
    <w:rsid w:val="00257FBA"/>
    <w:rsid w:val="00257FF0"/>
    <w:rsid w:val="002600AE"/>
    <w:rsid w:val="0026038A"/>
    <w:rsid w:val="002603FC"/>
    <w:rsid w:val="00260417"/>
    <w:rsid w:val="002605B5"/>
    <w:rsid w:val="002605D7"/>
    <w:rsid w:val="002606F6"/>
    <w:rsid w:val="002607EA"/>
    <w:rsid w:val="00260D08"/>
    <w:rsid w:val="00260D26"/>
    <w:rsid w:val="00260D8F"/>
    <w:rsid w:val="00260E21"/>
    <w:rsid w:val="00260E3A"/>
    <w:rsid w:val="00260ED2"/>
    <w:rsid w:val="00261500"/>
    <w:rsid w:val="00261560"/>
    <w:rsid w:val="002615D3"/>
    <w:rsid w:val="00261729"/>
    <w:rsid w:val="002617D7"/>
    <w:rsid w:val="002619ED"/>
    <w:rsid w:val="00261BAD"/>
    <w:rsid w:val="00261CB1"/>
    <w:rsid w:val="00261E88"/>
    <w:rsid w:val="00261F0E"/>
    <w:rsid w:val="0026207B"/>
    <w:rsid w:val="002620D9"/>
    <w:rsid w:val="00262374"/>
    <w:rsid w:val="002623DB"/>
    <w:rsid w:val="002624F7"/>
    <w:rsid w:val="00262521"/>
    <w:rsid w:val="0026253A"/>
    <w:rsid w:val="00262564"/>
    <w:rsid w:val="002626A3"/>
    <w:rsid w:val="002626CF"/>
    <w:rsid w:val="002627B2"/>
    <w:rsid w:val="00262847"/>
    <w:rsid w:val="00262A5C"/>
    <w:rsid w:val="00262AC8"/>
    <w:rsid w:val="00262BE4"/>
    <w:rsid w:val="00262D8C"/>
    <w:rsid w:val="00262DB2"/>
    <w:rsid w:val="00262E24"/>
    <w:rsid w:val="00262F5B"/>
    <w:rsid w:val="00263031"/>
    <w:rsid w:val="00263067"/>
    <w:rsid w:val="00263078"/>
    <w:rsid w:val="002630A7"/>
    <w:rsid w:val="002630F0"/>
    <w:rsid w:val="00263120"/>
    <w:rsid w:val="00263188"/>
    <w:rsid w:val="0026327F"/>
    <w:rsid w:val="00263386"/>
    <w:rsid w:val="0026384E"/>
    <w:rsid w:val="002638F4"/>
    <w:rsid w:val="002638FC"/>
    <w:rsid w:val="00263936"/>
    <w:rsid w:val="00263A20"/>
    <w:rsid w:val="00263ADB"/>
    <w:rsid w:val="00263C0E"/>
    <w:rsid w:val="00263D86"/>
    <w:rsid w:val="00263DF6"/>
    <w:rsid w:val="00263E07"/>
    <w:rsid w:val="00263EB4"/>
    <w:rsid w:val="00263EF2"/>
    <w:rsid w:val="00264085"/>
    <w:rsid w:val="0026441E"/>
    <w:rsid w:val="00264431"/>
    <w:rsid w:val="002644D2"/>
    <w:rsid w:val="0026464B"/>
    <w:rsid w:val="002646A8"/>
    <w:rsid w:val="002647F8"/>
    <w:rsid w:val="00264879"/>
    <w:rsid w:val="002649D2"/>
    <w:rsid w:val="00264B1F"/>
    <w:rsid w:val="00264C53"/>
    <w:rsid w:val="00264FA0"/>
    <w:rsid w:val="00265254"/>
    <w:rsid w:val="00265385"/>
    <w:rsid w:val="00265428"/>
    <w:rsid w:val="00265454"/>
    <w:rsid w:val="002654D9"/>
    <w:rsid w:val="00265687"/>
    <w:rsid w:val="00265C89"/>
    <w:rsid w:val="00265E46"/>
    <w:rsid w:val="00265EA1"/>
    <w:rsid w:val="00265FDB"/>
    <w:rsid w:val="002661C1"/>
    <w:rsid w:val="0026630A"/>
    <w:rsid w:val="00266388"/>
    <w:rsid w:val="0026642D"/>
    <w:rsid w:val="002664B3"/>
    <w:rsid w:val="002666F2"/>
    <w:rsid w:val="0026678D"/>
    <w:rsid w:val="00266835"/>
    <w:rsid w:val="0026693E"/>
    <w:rsid w:val="0026694F"/>
    <w:rsid w:val="00266C10"/>
    <w:rsid w:val="00266CCC"/>
    <w:rsid w:val="00266CE0"/>
    <w:rsid w:val="00266D54"/>
    <w:rsid w:val="00266E09"/>
    <w:rsid w:val="00267003"/>
    <w:rsid w:val="0026712D"/>
    <w:rsid w:val="00267182"/>
    <w:rsid w:val="00267207"/>
    <w:rsid w:val="00267416"/>
    <w:rsid w:val="0026750C"/>
    <w:rsid w:val="002675C8"/>
    <w:rsid w:val="002676AA"/>
    <w:rsid w:val="00267732"/>
    <w:rsid w:val="00267809"/>
    <w:rsid w:val="002678C0"/>
    <w:rsid w:val="00267921"/>
    <w:rsid w:val="0026796C"/>
    <w:rsid w:val="00267D35"/>
    <w:rsid w:val="00267D37"/>
    <w:rsid w:val="00267EAA"/>
    <w:rsid w:val="0027063D"/>
    <w:rsid w:val="00270984"/>
    <w:rsid w:val="002709FC"/>
    <w:rsid w:val="00270A98"/>
    <w:rsid w:val="00270CF0"/>
    <w:rsid w:val="00271038"/>
    <w:rsid w:val="00271280"/>
    <w:rsid w:val="00271301"/>
    <w:rsid w:val="0027160C"/>
    <w:rsid w:val="00271668"/>
    <w:rsid w:val="002716C3"/>
    <w:rsid w:val="00271795"/>
    <w:rsid w:val="002718FA"/>
    <w:rsid w:val="0027190C"/>
    <w:rsid w:val="00271912"/>
    <w:rsid w:val="00271A64"/>
    <w:rsid w:val="00271A77"/>
    <w:rsid w:val="00271AF1"/>
    <w:rsid w:val="00271BA6"/>
    <w:rsid w:val="00271C92"/>
    <w:rsid w:val="00271DA2"/>
    <w:rsid w:val="00271F82"/>
    <w:rsid w:val="002722AB"/>
    <w:rsid w:val="00272349"/>
    <w:rsid w:val="002724BB"/>
    <w:rsid w:val="0027256A"/>
    <w:rsid w:val="0027259F"/>
    <w:rsid w:val="00272656"/>
    <w:rsid w:val="00272722"/>
    <w:rsid w:val="002727E7"/>
    <w:rsid w:val="0027284E"/>
    <w:rsid w:val="00272AEE"/>
    <w:rsid w:val="00272B52"/>
    <w:rsid w:val="00272F62"/>
    <w:rsid w:val="002734E9"/>
    <w:rsid w:val="002739B0"/>
    <w:rsid w:val="00273AA1"/>
    <w:rsid w:val="00273BE7"/>
    <w:rsid w:val="00273C90"/>
    <w:rsid w:val="00273CF4"/>
    <w:rsid w:val="00273D01"/>
    <w:rsid w:val="00273F31"/>
    <w:rsid w:val="00273FF5"/>
    <w:rsid w:val="0027406E"/>
    <w:rsid w:val="0027408D"/>
    <w:rsid w:val="00274173"/>
    <w:rsid w:val="002741B9"/>
    <w:rsid w:val="00274207"/>
    <w:rsid w:val="0027477F"/>
    <w:rsid w:val="00274943"/>
    <w:rsid w:val="002749AF"/>
    <w:rsid w:val="00274A3D"/>
    <w:rsid w:val="00274CB1"/>
    <w:rsid w:val="00274D13"/>
    <w:rsid w:val="00274E11"/>
    <w:rsid w:val="00274E4C"/>
    <w:rsid w:val="00275064"/>
    <w:rsid w:val="002751D1"/>
    <w:rsid w:val="00275209"/>
    <w:rsid w:val="002752F6"/>
    <w:rsid w:val="002753CF"/>
    <w:rsid w:val="002754BC"/>
    <w:rsid w:val="002754FE"/>
    <w:rsid w:val="0027552B"/>
    <w:rsid w:val="002755C4"/>
    <w:rsid w:val="00275848"/>
    <w:rsid w:val="002758D2"/>
    <w:rsid w:val="00275ABD"/>
    <w:rsid w:val="00275AC0"/>
    <w:rsid w:val="00275AF9"/>
    <w:rsid w:val="00275BCB"/>
    <w:rsid w:val="00275E76"/>
    <w:rsid w:val="00275FB8"/>
    <w:rsid w:val="00275FE0"/>
    <w:rsid w:val="00275FF3"/>
    <w:rsid w:val="0027604B"/>
    <w:rsid w:val="00276135"/>
    <w:rsid w:val="00276163"/>
    <w:rsid w:val="00276190"/>
    <w:rsid w:val="00276364"/>
    <w:rsid w:val="00276592"/>
    <w:rsid w:val="00276666"/>
    <w:rsid w:val="0027670E"/>
    <w:rsid w:val="00276797"/>
    <w:rsid w:val="0027694F"/>
    <w:rsid w:val="00276A1B"/>
    <w:rsid w:val="00276A24"/>
    <w:rsid w:val="00276A65"/>
    <w:rsid w:val="00276AFF"/>
    <w:rsid w:val="002770A3"/>
    <w:rsid w:val="00277185"/>
    <w:rsid w:val="0027728C"/>
    <w:rsid w:val="00277308"/>
    <w:rsid w:val="00277343"/>
    <w:rsid w:val="00277369"/>
    <w:rsid w:val="00277425"/>
    <w:rsid w:val="0027747D"/>
    <w:rsid w:val="002774D7"/>
    <w:rsid w:val="002775EC"/>
    <w:rsid w:val="002776B2"/>
    <w:rsid w:val="002776FC"/>
    <w:rsid w:val="002777B1"/>
    <w:rsid w:val="00277824"/>
    <w:rsid w:val="0027783E"/>
    <w:rsid w:val="002778AF"/>
    <w:rsid w:val="00277939"/>
    <w:rsid w:val="00277A38"/>
    <w:rsid w:val="00277A64"/>
    <w:rsid w:val="00277A8E"/>
    <w:rsid w:val="00280270"/>
    <w:rsid w:val="002804D7"/>
    <w:rsid w:val="0028060C"/>
    <w:rsid w:val="00280859"/>
    <w:rsid w:val="00280A7F"/>
    <w:rsid w:val="00280BB4"/>
    <w:rsid w:val="00280CDE"/>
    <w:rsid w:val="00280D1D"/>
    <w:rsid w:val="00280DF9"/>
    <w:rsid w:val="00280DFA"/>
    <w:rsid w:val="00280E3B"/>
    <w:rsid w:val="00280ED6"/>
    <w:rsid w:val="00280F03"/>
    <w:rsid w:val="00280F29"/>
    <w:rsid w:val="002810CC"/>
    <w:rsid w:val="002810D1"/>
    <w:rsid w:val="00281124"/>
    <w:rsid w:val="00281193"/>
    <w:rsid w:val="00281203"/>
    <w:rsid w:val="002812F2"/>
    <w:rsid w:val="002813F2"/>
    <w:rsid w:val="002814B7"/>
    <w:rsid w:val="002815E8"/>
    <w:rsid w:val="0028160B"/>
    <w:rsid w:val="00281657"/>
    <w:rsid w:val="0028182A"/>
    <w:rsid w:val="0028187F"/>
    <w:rsid w:val="002818E9"/>
    <w:rsid w:val="00281922"/>
    <w:rsid w:val="00281EB7"/>
    <w:rsid w:val="0028221B"/>
    <w:rsid w:val="002823A8"/>
    <w:rsid w:val="00282481"/>
    <w:rsid w:val="002824F8"/>
    <w:rsid w:val="00282624"/>
    <w:rsid w:val="00282656"/>
    <w:rsid w:val="0028273B"/>
    <w:rsid w:val="0028275E"/>
    <w:rsid w:val="00282867"/>
    <w:rsid w:val="0028299F"/>
    <w:rsid w:val="002829E8"/>
    <w:rsid w:val="00282AB3"/>
    <w:rsid w:val="00282B45"/>
    <w:rsid w:val="00282CA9"/>
    <w:rsid w:val="00282D5D"/>
    <w:rsid w:val="00282F02"/>
    <w:rsid w:val="0028309C"/>
    <w:rsid w:val="00283125"/>
    <w:rsid w:val="002831A2"/>
    <w:rsid w:val="002837A2"/>
    <w:rsid w:val="002837F9"/>
    <w:rsid w:val="0028381B"/>
    <w:rsid w:val="00283896"/>
    <w:rsid w:val="00283959"/>
    <w:rsid w:val="00283A26"/>
    <w:rsid w:val="00283CEE"/>
    <w:rsid w:val="00283DA6"/>
    <w:rsid w:val="00283F59"/>
    <w:rsid w:val="00283F98"/>
    <w:rsid w:val="00284040"/>
    <w:rsid w:val="002840A1"/>
    <w:rsid w:val="00284340"/>
    <w:rsid w:val="002843C5"/>
    <w:rsid w:val="002843F2"/>
    <w:rsid w:val="00284468"/>
    <w:rsid w:val="0028456A"/>
    <w:rsid w:val="00284614"/>
    <w:rsid w:val="0028471F"/>
    <w:rsid w:val="00284754"/>
    <w:rsid w:val="00284787"/>
    <w:rsid w:val="002848B1"/>
    <w:rsid w:val="0028498E"/>
    <w:rsid w:val="00284A7F"/>
    <w:rsid w:val="00284BE7"/>
    <w:rsid w:val="00284CF3"/>
    <w:rsid w:val="00284D4C"/>
    <w:rsid w:val="00284DFA"/>
    <w:rsid w:val="0028504C"/>
    <w:rsid w:val="00285310"/>
    <w:rsid w:val="00285313"/>
    <w:rsid w:val="002853DA"/>
    <w:rsid w:val="00285480"/>
    <w:rsid w:val="002855CB"/>
    <w:rsid w:val="0028570D"/>
    <w:rsid w:val="00285871"/>
    <w:rsid w:val="00285BEF"/>
    <w:rsid w:val="00285D43"/>
    <w:rsid w:val="00285E36"/>
    <w:rsid w:val="00285F24"/>
    <w:rsid w:val="00286272"/>
    <w:rsid w:val="002862A0"/>
    <w:rsid w:val="002864ED"/>
    <w:rsid w:val="00286655"/>
    <w:rsid w:val="002867A6"/>
    <w:rsid w:val="00286941"/>
    <w:rsid w:val="00286953"/>
    <w:rsid w:val="00286B5E"/>
    <w:rsid w:val="00286BBC"/>
    <w:rsid w:val="00286CF9"/>
    <w:rsid w:val="00286D2E"/>
    <w:rsid w:val="00286D59"/>
    <w:rsid w:val="00286D93"/>
    <w:rsid w:val="00286DA7"/>
    <w:rsid w:val="00286FAD"/>
    <w:rsid w:val="0028709D"/>
    <w:rsid w:val="0028738F"/>
    <w:rsid w:val="002873B4"/>
    <w:rsid w:val="002874BD"/>
    <w:rsid w:val="0028775D"/>
    <w:rsid w:val="0028781C"/>
    <w:rsid w:val="00287945"/>
    <w:rsid w:val="002879C6"/>
    <w:rsid w:val="00287C11"/>
    <w:rsid w:val="00287C29"/>
    <w:rsid w:val="00287D58"/>
    <w:rsid w:val="00287E12"/>
    <w:rsid w:val="00287E78"/>
    <w:rsid w:val="002900E1"/>
    <w:rsid w:val="00290139"/>
    <w:rsid w:val="00290202"/>
    <w:rsid w:val="00290414"/>
    <w:rsid w:val="00290676"/>
    <w:rsid w:val="002906AD"/>
    <w:rsid w:val="00290755"/>
    <w:rsid w:val="00290816"/>
    <w:rsid w:val="0029083E"/>
    <w:rsid w:val="0029092A"/>
    <w:rsid w:val="00290A77"/>
    <w:rsid w:val="00290BA2"/>
    <w:rsid w:val="00290E88"/>
    <w:rsid w:val="00290EA1"/>
    <w:rsid w:val="00290EB7"/>
    <w:rsid w:val="00290F0C"/>
    <w:rsid w:val="00290F66"/>
    <w:rsid w:val="0029114A"/>
    <w:rsid w:val="0029122C"/>
    <w:rsid w:val="0029124D"/>
    <w:rsid w:val="00291252"/>
    <w:rsid w:val="00291462"/>
    <w:rsid w:val="0029146A"/>
    <w:rsid w:val="0029148D"/>
    <w:rsid w:val="002914BC"/>
    <w:rsid w:val="00291572"/>
    <w:rsid w:val="0029167F"/>
    <w:rsid w:val="002916EB"/>
    <w:rsid w:val="002917BB"/>
    <w:rsid w:val="00291851"/>
    <w:rsid w:val="00291936"/>
    <w:rsid w:val="0029197C"/>
    <w:rsid w:val="00291A36"/>
    <w:rsid w:val="00291A9D"/>
    <w:rsid w:val="00291E43"/>
    <w:rsid w:val="00291E65"/>
    <w:rsid w:val="002922F9"/>
    <w:rsid w:val="00292328"/>
    <w:rsid w:val="00292343"/>
    <w:rsid w:val="00292471"/>
    <w:rsid w:val="0029256E"/>
    <w:rsid w:val="002928E2"/>
    <w:rsid w:val="002929F7"/>
    <w:rsid w:val="00292AC5"/>
    <w:rsid w:val="00292B30"/>
    <w:rsid w:val="00292B58"/>
    <w:rsid w:val="00292DA2"/>
    <w:rsid w:val="002931F5"/>
    <w:rsid w:val="0029324A"/>
    <w:rsid w:val="00293375"/>
    <w:rsid w:val="0029350C"/>
    <w:rsid w:val="00293548"/>
    <w:rsid w:val="002936DF"/>
    <w:rsid w:val="002936FD"/>
    <w:rsid w:val="002937C4"/>
    <w:rsid w:val="00293B79"/>
    <w:rsid w:val="00293CC7"/>
    <w:rsid w:val="00293D87"/>
    <w:rsid w:val="00293F60"/>
    <w:rsid w:val="00293F86"/>
    <w:rsid w:val="002940BE"/>
    <w:rsid w:val="00294188"/>
    <w:rsid w:val="00294290"/>
    <w:rsid w:val="0029443A"/>
    <w:rsid w:val="00294495"/>
    <w:rsid w:val="00294531"/>
    <w:rsid w:val="0029460C"/>
    <w:rsid w:val="002946ED"/>
    <w:rsid w:val="002947C1"/>
    <w:rsid w:val="002947CC"/>
    <w:rsid w:val="00294885"/>
    <w:rsid w:val="002949A7"/>
    <w:rsid w:val="00294A82"/>
    <w:rsid w:val="00294ABE"/>
    <w:rsid w:val="00294AF6"/>
    <w:rsid w:val="00294BEF"/>
    <w:rsid w:val="00294D31"/>
    <w:rsid w:val="00294D90"/>
    <w:rsid w:val="00294E7C"/>
    <w:rsid w:val="00294F0D"/>
    <w:rsid w:val="00294F10"/>
    <w:rsid w:val="00295350"/>
    <w:rsid w:val="00295449"/>
    <w:rsid w:val="002954A7"/>
    <w:rsid w:val="002954EE"/>
    <w:rsid w:val="0029558B"/>
    <w:rsid w:val="002955D5"/>
    <w:rsid w:val="00295624"/>
    <w:rsid w:val="00295681"/>
    <w:rsid w:val="00295692"/>
    <w:rsid w:val="002956FE"/>
    <w:rsid w:val="00295796"/>
    <w:rsid w:val="002957D0"/>
    <w:rsid w:val="00295873"/>
    <w:rsid w:val="002958B9"/>
    <w:rsid w:val="002959B9"/>
    <w:rsid w:val="00295AE3"/>
    <w:rsid w:val="00295C99"/>
    <w:rsid w:val="00295DEB"/>
    <w:rsid w:val="00295E67"/>
    <w:rsid w:val="00295F2F"/>
    <w:rsid w:val="0029607D"/>
    <w:rsid w:val="0029610F"/>
    <w:rsid w:val="00296193"/>
    <w:rsid w:val="00296255"/>
    <w:rsid w:val="002962DE"/>
    <w:rsid w:val="00296315"/>
    <w:rsid w:val="0029633D"/>
    <w:rsid w:val="0029659D"/>
    <w:rsid w:val="00296632"/>
    <w:rsid w:val="002967BF"/>
    <w:rsid w:val="0029681A"/>
    <w:rsid w:val="002969E9"/>
    <w:rsid w:val="00296C32"/>
    <w:rsid w:val="00296D36"/>
    <w:rsid w:val="00296D90"/>
    <w:rsid w:val="00296DAF"/>
    <w:rsid w:val="00296DCA"/>
    <w:rsid w:val="00296F74"/>
    <w:rsid w:val="00297243"/>
    <w:rsid w:val="00297255"/>
    <w:rsid w:val="00297282"/>
    <w:rsid w:val="002972B6"/>
    <w:rsid w:val="002973F2"/>
    <w:rsid w:val="0029767A"/>
    <w:rsid w:val="0029768F"/>
    <w:rsid w:val="0029771A"/>
    <w:rsid w:val="0029789D"/>
    <w:rsid w:val="002978B8"/>
    <w:rsid w:val="00297B23"/>
    <w:rsid w:val="00297B34"/>
    <w:rsid w:val="00297EC0"/>
    <w:rsid w:val="002A0029"/>
    <w:rsid w:val="002A0073"/>
    <w:rsid w:val="002A0153"/>
    <w:rsid w:val="002A03E6"/>
    <w:rsid w:val="002A04B4"/>
    <w:rsid w:val="002A07AC"/>
    <w:rsid w:val="002A07DA"/>
    <w:rsid w:val="002A0933"/>
    <w:rsid w:val="002A09DD"/>
    <w:rsid w:val="002A0AF2"/>
    <w:rsid w:val="002A0D66"/>
    <w:rsid w:val="002A0E26"/>
    <w:rsid w:val="002A0EA5"/>
    <w:rsid w:val="002A0EFB"/>
    <w:rsid w:val="002A0F41"/>
    <w:rsid w:val="002A0F84"/>
    <w:rsid w:val="002A1075"/>
    <w:rsid w:val="002A1384"/>
    <w:rsid w:val="002A145B"/>
    <w:rsid w:val="002A15ED"/>
    <w:rsid w:val="002A1629"/>
    <w:rsid w:val="002A17A4"/>
    <w:rsid w:val="002A18BE"/>
    <w:rsid w:val="002A18CB"/>
    <w:rsid w:val="002A1913"/>
    <w:rsid w:val="002A1B16"/>
    <w:rsid w:val="002A1C57"/>
    <w:rsid w:val="002A1C72"/>
    <w:rsid w:val="002A1CF8"/>
    <w:rsid w:val="002A1F00"/>
    <w:rsid w:val="002A1F53"/>
    <w:rsid w:val="002A225A"/>
    <w:rsid w:val="002A229B"/>
    <w:rsid w:val="002A22B8"/>
    <w:rsid w:val="002A2352"/>
    <w:rsid w:val="002A2521"/>
    <w:rsid w:val="002A256E"/>
    <w:rsid w:val="002A2889"/>
    <w:rsid w:val="002A2A56"/>
    <w:rsid w:val="002A2BC1"/>
    <w:rsid w:val="002A2DB1"/>
    <w:rsid w:val="002A2ED6"/>
    <w:rsid w:val="002A2FD1"/>
    <w:rsid w:val="002A2FE5"/>
    <w:rsid w:val="002A3045"/>
    <w:rsid w:val="002A31B9"/>
    <w:rsid w:val="002A3219"/>
    <w:rsid w:val="002A3471"/>
    <w:rsid w:val="002A353D"/>
    <w:rsid w:val="002A356E"/>
    <w:rsid w:val="002A36F6"/>
    <w:rsid w:val="002A3740"/>
    <w:rsid w:val="002A3871"/>
    <w:rsid w:val="002A38A5"/>
    <w:rsid w:val="002A38CF"/>
    <w:rsid w:val="002A38F4"/>
    <w:rsid w:val="002A3949"/>
    <w:rsid w:val="002A3A56"/>
    <w:rsid w:val="002A3D79"/>
    <w:rsid w:val="002A3DDF"/>
    <w:rsid w:val="002A3E34"/>
    <w:rsid w:val="002A3E61"/>
    <w:rsid w:val="002A3E7D"/>
    <w:rsid w:val="002A404C"/>
    <w:rsid w:val="002A4084"/>
    <w:rsid w:val="002A4123"/>
    <w:rsid w:val="002A44CE"/>
    <w:rsid w:val="002A45AC"/>
    <w:rsid w:val="002A48D2"/>
    <w:rsid w:val="002A4A21"/>
    <w:rsid w:val="002A4AD6"/>
    <w:rsid w:val="002A4B43"/>
    <w:rsid w:val="002A4B8B"/>
    <w:rsid w:val="002A4F88"/>
    <w:rsid w:val="002A509B"/>
    <w:rsid w:val="002A5195"/>
    <w:rsid w:val="002A53B8"/>
    <w:rsid w:val="002A5466"/>
    <w:rsid w:val="002A55C1"/>
    <w:rsid w:val="002A58A5"/>
    <w:rsid w:val="002A58EB"/>
    <w:rsid w:val="002A5A1B"/>
    <w:rsid w:val="002A5A53"/>
    <w:rsid w:val="002A5A6C"/>
    <w:rsid w:val="002A5F29"/>
    <w:rsid w:val="002A5FE1"/>
    <w:rsid w:val="002A6217"/>
    <w:rsid w:val="002A644D"/>
    <w:rsid w:val="002A6533"/>
    <w:rsid w:val="002A66E6"/>
    <w:rsid w:val="002A6772"/>
    <w:rsid w:val="002A6822"/>
    <w:rsid w:val="002A6911"/>
    <w:rsid w:val="002A694B"/>
    <w:rsid w:val="002A69F5"/>
    <w:rsid w:val="002A6A6E"/>
    <w:rsid w:val="002A6AD9"/>
    <w:rsid w:val="002A6B6E"/>
    <w:rsid w:val="002A6B88"/>
    <w:rsid w:val="002A6BB2"/>
    <w:rsid w:val="002A6C20"/>
    <w:rsid w:val="002A6D19"/>
    <w:rsid w:val="002A6D5C"/>
    <w:rsid w:val="002A6DB6"/>
    <w:rsid w:val="002A6DD3"/>
    <w:rsid w:val="002A6E98"/>
    <w:rsid w:val="002A6F00"/>
    <w:rsid w:val="002A6F65"/>
    <w:rsid w:val="002A7019"/>
    <w:rsid w:val="002A70D0"/>
    <w:rsid w:val="002A7128"/>
    <w:rsid w:val="002A7142"/>
    <w:rsid w:val="002A7151"/>
    <w:rsid w:val="002A7196"/>
    <w:rsid w:val="002A76AE"/>
    <w:rsid w:val="002A7714"/>
    <w:rsid w:val="002A775B"/>
    <w:rsid w:val="002A77E6"/>
    <w:rsid w:val="002A786D"/>
    <w:rsid w:val="002A78DC"/>
    <w:rsid w:val="002A78DE"/>
    <w:rsid w:val="002A7AA9"/>
    <w:rsid w:val="002A7CA4"/>
    <w:rsid w:val="002A7CED"/>
    <w:rsid w:val="002A7D00"/>
    <w:rsid w:val="002A7D0B"/>
    <w:rsid w:val="002A7D77"/>
    <w:rsid w:val="002B020D"/>
    <w:rsid w:val="002B0241"/>
    <w:rsid w:val="002B0468"/>
    <w:rsid w:val="002B055F"/>
    <w:rsid w:val="002B0648"/>
    <w:rsid w:val="002B07A0"/>
    <w:rsid w:val="002B09A5"/>
    <w:rsid w:val="002B0A5D"/>
    <w:rsid w:val="002B0A82"/>
    <w:rsid w:val="002B0CA2"/>
    <w:rsid w:val="002B0CCD"/>
    <w:rsid w:val="002B0FA2"/>
    <w:rsid w:val="002B1184"/>
    <w:rsid w:val="002B11BE"/>
    <w:rsid w:val="002B1384"/>
    <w:rsid w:val="002B14C8"/>
    <w:rsid w:val="002B14F9"/>
    <w:rsid w:val="002B1745"/>
    <w:rsid w:val="002B1976"/>
    <w:rsid w:val="002B1A17"/>
    <w:rsid w:val="002B1AE4"/>
    <w:rsid w:val="002B1C32"/>
    <w:rsid w:val="002B1CE2"/>
    <w:rsid w:val="002B1D8C"/>
    <w:rsid w:val="002B1EB2"/>
    <w:rsid w:val="002B1FA4"/>
    <w:rsid w:val="002B20DD"/>
    <w:rsid w:val="002B2118"/>
    <w:rsid w:val="002B22EF"/>
    <w:rsid w:val="002B247B"/>
    <w:rsid w:val="002B258E"/>
    <w:rsid w:val="002B29A9"/>
    <w:rsid w:val="002B2ADA"/>
    <w:rsid w:val="002B2B3D"/>
    <w:rsid w:val="002B2C0C"/>
    <w:rsid w:val="002B2D9C"/>
    <w:rsid w:val="002B2DFF"/>
    <w:rsid w:val="002B2E9B"/>
    <w:rsid w:val="002B2FB6"/>
    <w:rsid w:val="002B302E"/>
    <w:rsid w:val="002B30D1"/>
    <w:rsid w:val="002B3142"/>
    <w:rsid w:val="002B33F3"/>
    <w:rsid w:val="002B344D"/>
    <w:rsid w:val="002B3459"/>
    <w:rsid w:val="002B35C8"/>
    <w:rsid w:val="002B35D6"/>
    <w:rsid w:val="002B3681"/>
    <w:rsid w:val="002B3728"/>
    <w:rsid w:val="002B37A4"/>
    <w:rsid w:val="002B3DDB"/>
    <w:rsid w:val="002B3E4B"/>
    <w:rsid w:val="002B3E7E"/>
    <w:rsid w:val="002B3FD0"/>
    <w:rsid w:val="002B4130"/>
    <w:rsid w:val="002B4434"/>
    <w:rsid w:val="002B4449"/>
    <w:rsid w:val="002B45C3"/>
    <w:rsid w:val="002B4715"/>
    <w:rsid w:val="002B476F"/>
    <w:rsid w:val="002B48BC"/>
    <w:rsid w:val="002B4975"/>
    <w:rsid w:val="002B4ADC"/>
    <w:rsid w:val="002B4DC2"/>
    <w:rsid w:val="002B4DE8"/>
    <w:rsid w:val="002B50EA"/>
    <w:rsid w:val="002B5456"/>
    <w:rsid w:val="002B54A6"/>
    <w:rsid w:val="002B5524"/>
    <w:rsid w:val="002B55AE"/>
    <w:rsid w:val="002B578D"/>
    <w:rsid w:val="002B57C5"/>
    <w:rsid w:val="002B5A1F"/>
    <w:rsid w:val="002B5BDB"/>
    <w:rsid w:val="002B5EC5"/>
    <w:rsid w:val="002B610E"/>
    <w:rsid w:val="002B6179"/>
    <w:rsid w:val="002B61EA"/>
    <w:rsid w:val="002B61FF"/>
    <w:rsid w:val="002B629B"/>
    <w:rsid w:val="002B6604"/>
    <w:rsid w:val="002B6643"/>
    <w:rsid w:val="002B667C"/>
    <w:rsid w:val="002B66AD"/>
    <w:rsid w:val="002B670E"/>
    <w:rsid w:val="002B67B3"/>
    <w:rsid w:val="002B67CE"/>
    <w:rsid w:val="002B6875"/>
    <w:rsid w:val="002B6883"/>
    <w:rsid w:val="002B6ADF"/>
    <w:rsid w:val="002B6B01"/>
    <w:rsid w:val="002B6B65"/>
    <w:rsid w:val="002B6D48"/>
    <w:rsid w:val="002B6F4A"/>
    <w:rsid w:val="002B73E6"/>
    <w:rsid w:val="002B749E"/>
    <w:rsid w:val="002B74C6"/>
    <w:rsid w:val="002B78C2"/>
    <w:rsid w:val="002B7BAF"/>
    <w:rsid w:val="002B7C79"/>
    <w:rsid w:val="002C001D"/>
    <w:rsid w:val="002C0098"/>
    <w:rsid w:val="002C0197"/>
    <w:rsid w:val="002C01E0"/>
    <w:rsid w:val="002C03A6"/>
    <w:rsid w:val="002C0423"/>
    <w:rsid w:val="002C0733"/>
    <w:rsid w:val="002C087A"/>
    <w:rsid w:val="002C0885"/>
    <w:rsid w:val="002C0DA4"/>
    <w:rsid w:val="002C0DB2"/>
    <w:rsid w:val="002C0F60"/>
    <w:rsid w:val="002C1084"/>
    <w:rsid w:val="002C11CA"/>
    <w:rsid w:val="002C12EF"/>
    <w:rsid w:val="002C1496"/>
    <w:rsid w:val="002C1542"/>
    <w:rsid w:val="002C1564"/>
    <w:rsid w:val="002C15E7"/>
    <w:rsid w:val="002C1708"/>
    <w:rsid w:val="002C1836"/>
    <w:rsid w:val="002C183F"/>
    <w:rsid w:val="002C1869"/>
    <w:rsid w:val="002C187B"/>
    <w:rsid w:val="002C19A4"/>
    <w:rsid w:val="002C19DC"/>
    <w:rsid w:val="002C1B40"/>
    <w:rsid w:val="002C1BCA"/>
    <w:rsid w:val="002C1C20"/>
    <w:rsid w:val="002C1EAE"/>
    <w:rsid w:val="002C1FD5"/>
    <w:rsid w:val="002C217D"/>
    <w:rsid w:val="002C23E6"/>
    <w:rsid w:val="002C23F0"/>
    <w:rsid w:val="002C271B"/>
    <w:rsid w:val="002C2855"/>
    <w:rsid w:val="002C2877"/>
    <w:rsid w:val="002C2942"/>
    <w:rsid w:val="002C2947"/>
    <w:rsid w:val="002C296C"/>
    <w:rsid w:val="002C2ACD"/>
    <w:rsid w:val="002C2BE7"/>
    <w:rsid w:val="002C2C8A"/>
    <w:rsid w:val="002C2D3C"/>
    <w:rsid w:val="002C2EA3"/>
    <w:rsid w:val="002C30FE"/>
    <w:rsid w:val="002C33D7"/>
    <w:rsid w:val="002C3488"/>
    <w:rsid w:val="002C34D2"/>
    <w:rsid w:val="002C35C1"/>
    <w:rsid w:val="002C35E3"/>
    <w:rsid w:val="002C3693"/>
    <w:rsid w:val="002C382D"/>
    <w:rsid w:val="002C383E"/>
    <w:rsid w:val="002C3855"/>
    <w:rsid w:val="002C39BB"/>
    <w:rsid w:val="002C3B62"/>
    <w:rsid w:val="002C3BE2"/>
    <w:rsid w:val="002C3CD0"/>
    <w:rsid w:val="002C3CEA"/>
    <w:rsid w:val="002C3EA3"/>
    <w:rsid w:val="002C3F93"/>
    <w:rsid w:val="002C3FBB"/>
    <w:rsid w:val="002C40BE"/>
    <w:rsid w:val="002C4141"/>
    <w:rsid w:val="002C4180"/>
    <w:rsid w:val="002C41D7"/>
    <w:rsid w:val="002C42BA"/>
    <w:rsid w:val="002C45E8"/>
    <w:rsid w:val="002C4645"/>
    <w:rsid w:val="002C478D"/>
    <w:rsid w:val="002C481C"/>
    <w:rsid w:val="002C49D9"/>
    <w:rsid w:val="002C4A19"/>
    <w:rsid w:val="002C4AD2"/>
    <w:rsid w:val="002C4B14"/>
    <w:rsid w:val="002C4B8F"/>
    <w:rsid w:val="002C4B9D"/>
    <w:rsid w:val="002C4D28"/>
    <w:rsid w:val="002C4D5C"/>
    <w:rsid w:val="002C4DD9"/>
    <w:rsid w:val="002C4E48"/>
    <w:rsid w:val="002C4FAA"/>
    <w:rsid w:val="002C5164"/>
    <w:rsid w:val="002C51B8"/>
    <w:rsid w:val="002C51CA"/>
    <w:rsid w:val="002C55AD"/>
    <w:rsid w:val="002C580B"/>
    <w:rsid w:val="002C58DD"/>
    <w:rsid w:val="002C5A79"/>
    <w:rsid w:val="002C5D53"/>
    <w:rsid w:val="002C5E84"/>
    <w:rsid w:val="002C5E88"/>
    <w:rsid w:val="002C5F17"/>
    <w:rsid w:val="002C61B3"/>
    <w:rsid w:val="002C6441"/>
    <w:rsid w:val="002C6491"/>
    <w:rsid w:val="002C6497"/>
    <w:rsid w:val="002C6609"/>
    <w:rsid w:val="002C6730"/>
    <w:rsid w:val="002C67A0"/>
    <w:rsid w:val="002C67D7"/>
    <w:rsid w:val="002C6816"/>
    <w:rsid w:val="002C69A0"/>
    <w:rsid w:val="002C69CC"/>
    <w:rsid w:val="002C6B0C"/>
    <w:rsid w:val="002C6BB3"/>
    <w:rsid w:val="002C6D58"/>
    <w:rsid w:val="002C6DCC"/>
    <w:rsid w:val="002C6E7D"/>
    <w:rsid w:val="002C6EDA"/>
    <w:rsid w:val="002C700B"/>
    <w:rsid w:val="002C7017"/>
    <w:rsid w:val="002C70CE"/>
    <w:rsid w:val="002C732F"/>
    <w:rsid w:val="002C7646"/>
    <w:rsid w:val="002C79C0"/>
    <w:rsid w:val="002C7AA1"/>
    <w:rsid w:val="002C7C59"/>
    <w:rsid w:val="002C7C5D"/>
    <w:rsid w:val="002C7CD3"/>
    <w:rsid w:val="002C7D07"/>
    <w:rsid w:val="002C7EDF"/>
    <w:rsid w:val="002C7F41"/>
    <w:rsid w:val="002C7F43"/>
    <w:rsid w:val="002D03D4"/>
    <w:rsid w:val="002D04C8"/>
    <w:rsid w:val="002D07D4"/>
    <w:rsid w:val="002D0842"/>
    <w:rsid w:val="002D0991"/>
    <w:rsid w:val="002D09BD"/>
    <w:rsid w:val="002D0A0D"/>
    <w:rsid w:val="002D0A21"/>
    <w:rsid w:val="002D0A42"/>
    <w:rsid w:val="002D0DEA"/>
    <w:rsid w:val="002D0F90"/>
    <w:rsid w:val="002D1205"/>
    <w:rsid w:val="002D14AC"/>
    <w:rsid w:val="002D152C"/>
    <w:rsid w:val="002D16F6"/>
    <w:rsid w:val="002D1965"/>
    <w:rsid w:val="002D1A41"/>
    <w:rsid w:val="002D1C3E"/>
    <w:rsid w:val="002D1E91"/>
    <w:rsid w:val="002D200D"/>
    <w:rsid w:val="002D21B3"/>
    <w:rsid w:val="002D2221"/>
    <w:rsid w:val="002D235F"/>
    <w:rsid w:val="002D24B6"/>
    <w:rsid w:val="002D27C8"/>
    <w:rsid w:val="002D2E61"/>
    <w:rsid w:val="002D2F50"/>
    <w:rsid w:val="002D2F80"/>
    <w:rsid w:val="002D3002"/>
    <w:rsid w:val="002D31B5"/>
    <w:rsid w:val="002D33BD"/>
    <w:rsid w:val="002D33C8"/>
    <w:rsid w:val="002D3428"/>
    <w:rsid w:val="002D3604"/>
    <w:rsid w:val="002D39C9"/>
    <w:rsid w:val="002D3F81"/>
    <w:rsid w:val="002D4033"/>
    <w:rsid w:val="002D406E"/>
    <w:rsid w:val="002D40EC"/>
    <w:rsid w:val="002D4209"/>
    <w:rsid w:val="002D4351"/>
    <w:rsid w:val="002D459B"/>
    <w:rsid w:val="002D45F6"/>
    <w:rsid w:val="002D47E4"/>
    <w:rsid w:val="002D49A3"/>
    <w:rsid w:val="002D4BD0"/>
    <w:rsid w:val="002D4DA0"/>
    <w:rsid w:val="002D4FDC"/>
    <w:rsid w:val="002D5097"/>
    <w:rsid w:val="002D50F4"/>
    <w:rsid w:val="002D51A0"/>
    <w:rsid w:val="002D52D5"/>
    <w:rsid w:val="002D5407"/>
    <w:rsid w:val="002D5499"/>
    <w:rsid w:val="002D549B"/>
    <w:rsid w:val="002D5586"/>
    <w:rsid w:val="002D55B2"/>
    <w:rsid w:val="002D55E4"/>
    <w:rsid w:val="002D56FC"/>
    <w:rsid w:val="002D5803"/>
    <w:rsid w:val="002D5ACC"/>
    <w:rsid w:val="002D5BDC"/>
    <w:rsid w:val="002D5CEF"/>
    <w:rsid w:val="002D5CFE"/>
    <w:rsid w:val="002D5D00"/>
    <w:rsid w:val="002D5EA6"/>
    <w:rsid w:val="002D5F14"/>
    <w:rsid w:val="002D5F81"/>
    <w:rsid w:val="002D6051"/>
    <w:rsid w:val="002D613B"/>
    <w:rsid w:val="002D61BD"/>
    <w:rsid w:val="002D620E"/>
    <w:rsid w:val="002D6274"/>
    <w:rsid w:val="002D6546"/>
    <w:rsid w:val="002D6595"/>
    <w:rsid w:val="002D68AD"/>
    <w:rsid w:val="002D690D"/>
    <w:rsid w:val="002D6A43"/>
    <w:rsid w:val="002D6A7F"/>
    <w:rsid w:val="002D6CE2"/>
    <w:rsid w:val="002D6D76"/>
    <w:rsid w:val="002D6DE2"/>
    <w:rsid w:val="002D7172"/>
    <w:rsid w:val="002D7216"/>
    <w:rsid w:val="002D7363"/>
    <w:rsid w:val="002D73DD"/>
    <w:rsid w:val="002D755D"/>
    <w:rsid w:val="002D7665"/>
    <w:rsid w:val="002D76DC"/>
    <w:rsid w:val="002D772E"/>
    <w:rsid w:val="002D7735"/>
    <w:rsid w:val="002D7798"/>
    <w:rsid w:val="002D7801"/>
    <w:rsid w:val="002D7A11"/>
    <w:rsid w:val="002D7C29"/>
    <w:rsid w:val="002D7CFC"/>
    <w:rsid w:val="002D7DA1"/>
    <w:rsid w:val="002D7EBE"/>
    <w:rsid w:val="002D7F1E"/>
    <w:rsid w:val="002D7F57"/>
    <w:rsid w:val="002E001B"/>
    <w:rsid w:val="002E0041"/>
    <w:rsid w:val="002E0384"/>
    <w:rsid w:val="002E0420"/>
    <w:rsid w:val="002E04E7"/>
    <w:rsid w:val="002E061F"/>
    <w:rsid w:val="002E0621"/>
    <w:rsid w:val="002E0955"/>
    <w:rsid w:val="002E0B0C"/>
    <w:rsid w:val="002E0CFE"/>
    <w:rsid w:val="002E0E09"/>
    <w:rsid w:val="002E101C"/>
    <w:rsid w:val="002E106A"/>
    <w:rsid w:val="002E11E8"/>
    <w:rsid w:val="002E12F5"/>
    <w:rsid w:val="002E1332"/>
    <w:rsid w:val="002E1442"/>
    <w:rsid w:val="002E154E"/>
    <w:rsid w:val="002E159B"/>
    <w:rsid w:val="002E178D"/>
    <w:rsid w:val="002E1991"/>
    <w:rsid w:val="002E1A0C"/>
    <w:rsid w:val="002E1D22"/>
    <w:rsid w:val="002E1D7B"/>
    <w:rsid w:val="002E2035"/>
    <w:rsid w:val="002E2176"/>
    <w:rsid w:val="002E2195"/>
    <w:rsid w:val="002E2321"/>
    <w:rsid w:val="002E2585"/>
    <w:rsid w:val="002E2753"/>
    <w:rsid w:val="002E29E5"/>
    <w:rsid w:val="002E2B96"/>
    <w:rsid w:val="002E2D95"/>
    <w:rsid w:val="002E2DC0"/>
    <w:rsid w:val="002E2E00"/>
    <w:rsid w:val="002E2F19"/>
    <w:rsid w:val="002E2F5F"/>
    <w:rsid w:val="002E3275"/>
    <w:rsid w:val="002E32FB"/>
    <w:rsid w:val="002E332C"/>
    <w:rsid w:val="002E346F"/>
    <w:rsid w:val="002E3535"/>
    <w:rsid w:val="002E38B2"/>
    <w:rsid w:val="002E38CE"/>
    <w:rsid w:val="002E3931"/>
    <w:rsid w:val="002E3955"/>
    <w:rsid w:val="002E3959"/>
    <w:rsid w:val="002E3B3F"/>
    <w:rsid w:val="002E3B79"/>
    <w:rsid w:val="002E3BD9"/>
    <w:rsid w:val="002E3D0C"/>
    <w:rsid w:val="002E3E21"/>
    <w:rsid w:val="002E3EDA"/>
    <w:rsid w:val="002E3FCF"/>
    <w:rsid w:val="002E415F"/>
    <w:rsid w:val="002E4300"/>
    <w:rsid w:val="002E4329"/>
    <w:rsid w:val="002E43B3"/>
    <w:rsid w:val="002E4459"/>
    <w:rsid w:val="002E4585"/>
    <w:rsid w:val="002E467C"/>
    <w:rsid w:val="002E483C"/>
    <w:rsid w:val="002E48F4"/>
    <w:rsid w:val="002E496E"/>
    <w:rsid w:val="002E49C0"/>
    <w:rsid w:val="002E4AFC"/>
    <w:rsid w:val="002E4CC2"/>
    <w:rsid w:val="002E5456"/>
    <w:rsid w:val="002E573F"/>
    <w:rsid w:val="002E57F4"/>
    <w:rsid w:val="002E58AA"/>
    <w:rsid w:val="002E5E62"/>
    <w:rsid w:val="002E5F32"/>
    <w:rsid w:val="002E6008"/>
    <w:rsid w:val="002E6680"/>
    <w:rsid w:val="002E66E6"/>
    <w:rsid w:val="002E676B"/>
    <w:rsid w:val="002E6949"/>
    <w:rsid w:val="002E6A0F"/>
    <w:rsid w:val="002E6A4C"/>
    <w:rsid w:val="002E6B81"/>
    <w:rsid w:val="002E6C7F"/>
    <w:rsid w:val="002E6C8E"/>
    <w:rsid w:val="002E6FB8"/>
    <w:rsid w:val="002E700C"/>
    <w:rsid w:val="002E7226"/>
    <w:rsid w:val="002E73CA"/>
    <w:rsid w:val="002E7420"/>
    <w:rsid w:val="002E7775"/>
    <w:rsid w:val="002E78EE"/>
    <w:rsid w:val="002E7912"/>
    <w:rsid w:val="002E79EC"/>
    <w:rsid w:val="002E7A48"/>
    <w:rsid w:val="002E7AD2"/>
    <w:rsid w:val="002E7B14"/>
    <w:rsid w:val="002E7D1B"/>
    <w:rsid w:val="002E7D36"/>
    <w:rsid w:val="002E7D43"/>
    <w:rsid w:val="002E7D66"/>
    <w:rsid w:val="002E7DD2"/>
    <w:rsid w:val="002E7E4D"/>
    <w:rsid w:val="002E7E97"/>
    <w:rsid w:val="002E7EBB"/>
    <w:rsid w:val="002F0156"/>
    <w:rsid w:val="002F01E5"/>
    <w:rsid w:val="002F0670"/>
    <w:rsid w:val="002F074B"/>
    <w:rsid w:val="002F0C96"/>
    <w:rsid w:val="002F0CE5"/>
    <w:rsid w:val="002F0FF4"/>
    <w:rsid w:val="002F0FFB"/>
    <w:rsid w:val="002F1166"/>
    <w:rsid w:val="002F1399"/>
    <w:rsid w:val="002F142F"/>
    <w:rsid w:val="002F1591"/>
    <w:rsid w:val="002F1718"/>
    <w:rsid w:val="002F1763"/>
    <w:rsid w:val="002F1901"/>
    <w:rsid w:val="002F1A1E"/>
    <w:rsid w:val="002F1A3E"/>
    <w:rsid w:val="002F1A54"/>
    <w:rsid w:val="002F1B12"/>
    <w:rsid w:val="002F1B37"/>
    <w:rsid w:val="002F1B75"/>
    <w:rsid w:val="002F1C3C"/>
    <w:rsid w:val="002F1C7B"/>
    <w:rsid w:val="002F1CD2"/>
    <w:rsid w:val="002F1E00"/>
    <w:rsid w:val="002F1E85"/>
    <w:rsid w:val="002F21DD"/>
    <w:rsid w:val="002F221E"/>
    <w:rsid w:val="002F23A2"/>
    <w:rsid w:val="002F248D"/>
    <w:rsid w:val="002F24C4"/>
    <w:rsid w:val="002F2764"/>
    <w:rsid w:val="002F2833"/>
    <w:rsid w:val="002F287F"/>
    <w:rsid w:val="002F28F9"/>
    <w:rsid w:val="002F293A"/>
    <w:rsid w:val="002F2948"/>
    <w:rsid w:val="002F2987"/>
    <w:rsid w:val="002F29A5"/>
    <w:rsid w:val="002F2A0F"/>
    <w:rsid w:val="002F2ABE"/>
    <w:rsid w:val="002F2B85"/>
    <w:rsid w:val="002F2EA4"/>
    <w:rsid w:val="002F3036"/>
    <w:rsid w:val="002F3287"/>
    <w:rsid w:val="002F32A6"/>
    <w:rsid w:val="002F32FB"/>
    <w:rsid w:val="002F3711"/>
    <w:rsid w:val="002F3722"/>
    <w:rsid w:val="002F372B"/>
    <w:rsid w:val="002F3B29"/>
    <w:rsid w:val="002F3CAD"/>
    <w:rsid w:val="002F3FAB"/>
    <w:rsid w:val="002F3FB1"/>
    <w:rsid w:val="002F4015"/>
    <w:rsid w:val="002F42DE"/>
    <w:rsid w:val="002F4614"/>
    <w:rsid w:val="002F467C"/>
    <w:rsid w:val="002F46B5"/>
    <w:rsid w:val="002F46B9"/>
    <w:rsid w:val="002F46E2"/>
    <w:rsid w:val="002F474B"/>
    <w:rsid w:val="002F4932"/>
    <w:rsid w:val="002F4AF6"/>
    <w:rsid w:val="002F4B13"/>
    <w:rsid w:val="002F4B65"/>
    <w:rsid w:val="002F4C83"/>
    <w:rsid w:val="002F4D82"/>
    <w:rsid w:val="002F5043"/>
    <w:rsid w:val="002F5189"/>
    <w:rsid w:val="002F5223"/>
    <w:rsid w:val="002F5450"/>
    <w:rsid w:val="002F5611"/>
    <w:rsid w:val="002F5686"/>
    <w:rsid w:val="002F56F1"/>
    <w:rsid w:val="002F57B9"/>
    <w:rsid w:val="002F5901"/>
    <w:rsid w:val="002F5AE3"/>
    <w:rsid w:val="002F5BB7"/>
    <w:rsid w:val="002F5CC7"/>
    <w:rsid w:val="002F5DEB"/>
    <w:rsid w:val="002F5F5E"/>
    <w:rsid w:val="002F5F85"/>
    <w:rsid w:val="002F5F9F"/>
    <w:rsid w:val="002F6206"/>
    <w:rsid w:val="002F626F"/>
    <w:rsid w:val="002F6275"/>
    <w:rsid w:val="002F628E"/>
    <w:rsid w:val="002F62C9"/>
    <w:rsid w:val="002F6324"/>
    <w:rsid w:val="002F63CE"/>
    <w:rsid w:val="002F646C"/>
    <w:rsid w:val="002F6476"/>
    <w:rsid w:val="002F656C"/>
    <w:rsid w:val="002F6837"/>
    <w:rsid w:val="002F693F"/>
    <w:rsid w:val="002F694D"/>
    <w:rsid w:val="002F6AD6"/>
    <w:rsid w:val="002F6BFE"/>
    <w:rsid w:val="002F6C63"/>
    <w:rsid w:val="002F6C9E"/>
    <w:rsid w:val="002F6CC9"/>
    <w:rsid w:val="002F6D13"/>
    <w:rsid w:val="002F6E3C"/>
    <w:rsid w:val="002F7089"/>
    <w:rsid w:val="002F744B"/>
    <w:rsid w:val="002F7698"/>
    <w:rsid w:val="002F7801"/>
    <w:rsid w:val="002F796A"/>
    <w:rsid w:val="002F7A6A"/>
    <w:rsid w:val="002F7AFE"/>
    <w:rsid w:val="002F7C78"/>
    <w:rsid w:val="002F7F4D"/>
    <w:rsid w:val="00300100"/>
    <w:rsid w:val="0030021E"/>
    <w:rsid w:val="00300293"/>
    <w:rsid w:val="003007A5"/>
    <w:rsid w:val="003008CC"/>
    <w:rsid w:val="00300AC5"/>
    <w:rsid w:val="00300E85"/>
    <w:rsid w:val="0030101C"/>
    <w:rsid w:val="0030151D"/>
    <w:rsid w:val="00301763"/>
    <w:rsid w:val="003018E9"/>
    <w:rsid w:val="00301B46"/>
    <w:rsid w:val="00301B72"/>
    <w:rsid w:val="00301BD3"/>
    <w:rsid w:val="00301D9A"/>
    <w:rsid w:val="00301FC4"/>
    <w:rsid w:val="00302019"/>
    <w:rsid w:val="0030207C"/>
    <w:rsid w:val="003021D9"/>
    <w:rsid w:val="00302252"/>
    <w:rsid w:val="00302271"/>
    <w:rsid w:val="00302390"/>
    <w:rsid w:val="003024B5"/>
    <w:rsid w:val="003024E7"/>
    <w:rsid w:val="003025C1"/>
    <w:rsid w:val="003027F0"/>
    <w:rsid w:val="00302858"/>
    <w:rsid w:val="003028D7"/>
    <w:rsid w:val="003028ED"/>
    <w:rsid w:val="00302A43"/>
    <w:rsid w:val="00302C26"/>
    <w:rsid w:val="00302DAA"/>
    <w:rsid w:val="00302DB3"/>
    <w:rsid w:val="00302F0E"/>
    <w:rsid w:val="00302FA2"/>
    <w:rsid w:val="00302FC2"/>
    <w:rsid w:val="00303016"/>
    <w:rsid w:val="0030317C"/>
    <w:rsid w:val="00303333"/>
    <w:rsid w:val="003035B4"/>
    <w:rsid w:val="003035F5"/>
    <w:rsid w:val="0030369C"/>
    <w:rsid w:val="00303778"/>
    <w:rsid w:val="00303890"/>
    <w:rsid w:val="00303958"/>
    <w:rsid w:val="00303985"/>
    <w:rsid w:val="003039AA"/>
    <w:rsid w:val="00303B2E"/>
    <w:rsid w:val="00303B39"/>
    <w:rsid w:val="00303C60"/>
    <w:rsid w:val="00304004"/>
    <w:rsid w:val="00304433"/>
    <w:rsid w:val="003044F9"/>
    <w:rsid w:val="00304501"/>
    <w:rsid w:val="003046FA"/>
    <w:rsid w:val="00304801"/>
    <w:rsid w:val="00304857"/>
    <w:rsid w:val="003048D6"/>
    <w:rsid w:val="003049E0"/>
    <w:rsid w:val="00304AB2"/>
    <w:rsid w:val="00304B54"/>
    <w:rsid w:val="00304C25"/>
    <w:rsid w:val="00304D0B"/>
    <w:rsid w:val="00304FB8"/>
    <w:rsid w:val="003050A4"/>
    <w:rsid w:val="00305124"/>
    <w:rsid w:val="003051AF"/>
    <w:rsid w:val="003051D3"/>
    <w:rsid w:val="00305213"/>
    <w:rsid w:val="00305235"/>
    <w:rsid w:val="00305324"/>
    <w:rsid w:val="00305499"/>
    <w:rsid w:val="003055D1"/>
    <w:rsid w:val="00305663"/>
    <w:rsid w:val="003056F7"/>
    <w:rsid w:val="0030584E"/>
    <w:rsid w:val="00305B5C"/>
    <w:rsid w:val="00305C3B"/>
    <w:rsid w:val="00305CFC"/>
    <w:rsid w:val="003060D6"/>
    <w:rsid w:val="003064D5"/>
    <w:rsid w:val="00306793"/>
    <w:rsid w:val="003067A9"/>
    <w:rsid w:val="003067B2"/>
    <w:rsid w:val="00306B5F"/>
    <w:rsid w:val="00306BC6"/>
    <w:rsid w:val="00306CF9"/>
    <w:rsid w:val="00306D43"/>
    <w:rsid w:val="00306F88"/>
    <w:rsid w:val="00307050"/>
    <w:rsid w:val="003071B8"/>
    <w:rsid w:val="00307299"/>
    <w:rsid w:val="003072E0"/>
    <w:rsid w:val="003073A7"/>
    <w:rsid w:val="00307442"/>
    <w:rsid w:val="00307B9A"/>
    <w:rsid w:val="00307F10"/>
    <w:rsid w:val="0031008D"/>
    <w:rsid w:val="00310118"/>
    <w:rsid w:val="00310125"/>
    <w:rsid w:val="00310180"/>
    <w:rsid w:val="00310191"/>
    <w:rsid w:val="003101D4"/>
    <w:rsid w:val="0031028E"/>
    <w:rsid w:val="003104E5"/>
    <w:rsid w:val="003105E6"/>
    <w:rsid w:val="0031063F"/>
    <w:rsid w:val="003106AD"/>
    <w:rsid w:val="00310945"/>
    <w:rsid w:val="00310B9B"/>
    <w:rsid w:val="00310C3F"/>
    <w:rsid w:val="00310F5C"/>
    <w:rsid w:val="00310F95"/>
    <w:rsid w:val="00310FCA"/>
    <w:rsid w:val="003112BF"/>
    <w:rsid w:val="003114C0"/>
    <w:rsid w:val="0031157D"/>
    <w:rsid w:val="00311799"/>
    <w:rsid w:val="003118A7"/>
    <w:rsid w:val="00311922"/>
    <w:rsid w:val="00311966"/>
    <w:rsid w:val="0031198A"/>
    <w:rsid w:val="00311A4E"/>
    <w:rsid w:val="00311AF9"/>
    <w:rsid w:val="00311B0B"/>
    <w:rsid w:val="00311CAB"/>
    <w:rsid w:val="00311F4A"/>
    <w:rsid w:val="00312024"/>
    <w:rsid w:val="003122D7"/>
    <w:rsid w:val="0031231D"/>
    <w:rsid w:val="0031251C"/>
    <w:rsid w:val="00312568"/>
    <w:rsid w:val="003125BE"/>
    <w:rsid w:val="00312894"/>
    <w:rsid w:val="0031289D"/>
    <w:rsid w:val="003128FE"/>
    <w:rsid w:val="00312B12"/>
    <w:rsid w:val="00312BF1"/>
    <w:rsid w:val="00312EA5"/>
    <w:rsid w:val="00312F00"/>
    <w:rsid w:val="00312F7D"/>
    <w:rsid w:val="00313123"/>
    <w:rsid w:val="003131C4"/>
    <w:rsid w:val="00313298"/>
    <w:rsid w:val="00313380"/>
    <w:rsid w:val="00313463"/>
    <w:rsid w:val="0031370B"/>
    <w:rsid w:val="0031372D"/>
    <w:rsid w:val="00313898"/>
    <w:rsid w:val="00313965"/>
    <w:rsid w:val="00313A5C"/>
    <w:rsid w:val="00313B10"/>
    <w:rsid w:val="00313BF3"/>
    <w:rsid w:val="00313CF4"/>
    <w:rsid w:val="00313D73"/>
    <w:rsid w:val="00314099"/>
    <w:rsid w:val="003140D2"/>
    <w:rsid w:val="00314192"/>
    <w:rsid w:val="00314217"/>
    <w:rsid w:val="003142C1"/>
    <w:rsid w:val="00314522"/>
    <w:rsid w:val="00314574"/>
    <w:rsid w:val="00314652"/>
    <w:rsid w:val="00314783"/>
    <w:rsid w:val="00314816"/>
    <w:rsid w:val="0031487C"/>
    <w:rsid w:val="00314899"/>
    <w:rsid w:val="0031493D"/>
    <w:rsid w:val="00314988"/>
    <w:rsid w:val="00314B62"/>
    <w:rsid w:val="00314E85"/>
    <w:rsid w:val="00314F2D"/>
    <w:rsid w:val="00314F48"/>
    <w:rsid w:val="0031502D"/>
    <w:rsid w:val="003150F1"/>
    <w:rsid w:val="00315134"/>
    <w:rsid w:val="003151CB"/>
    <w:rsid w:val="003152AF"/>
    <w:rsid w:val="003153DE"/>
    <w:rsid w:val="00315433"/>
    <w:rsid w:val="00315516"/>
    <w:rsid w:val="0031551D"/>
    <w:rsid w:val="003155C1"/>
    <w:rsid w:val="00315666"/>
    <w:rsid w:val="0031586E"/>
    <w:rsid w:val="003158E5"/>
    <w:rsid w:val="00315908"/>
    <w:rsid w:val="0031592C"/>
    <w:rsid w:val="003159C2"/>
    <w:rsid w:val="00315C8D"/>
    <w:rsid w:val="00315CE7"/>
    <w:rsid w:val="00315D0E"/>
    <w:rsid w:val="00315FC8"/>
    <w:rsid w:val="00316219"/>
    <w:rsid w:val="003162F0"/>
    <w:rsid w:val="003162F6"/>
    <w:rsid w:val="003164FD"/>
    <w:rsid w:val="0031652B"/>
    <w:rsid w:val="003165D0"/>
    <w:rsid w:val="0031672B"/>
    <w:rsid w:val="003168CE"/>
    <w:rsid w:val="00316A0D"/>
    <w:rsid w:val="00316DB6"/>
    <w:rsid w:val="003170F8"/>
    <w:rsid w:val="003172F9"/>
    <w:rsid w:val="003174D0"/>
    <w:rsid w:val="00317714"/>
    <w:rsid w:val="00317764"/>
    <w:rsid w:val="0031797D"/>
    <w:rsid w:val="00317B57"/>
    <w:rsid w:val="00317C43"/>
    <w:rsid w:val="00317CE5"/>
    <w:rsid w:val="00317FF6"/>
    <w:rsid w:val="0032008D"/>
    <w:rsid w:val="003201D1"/>
    <w:rsid w:val="003204E6"/>
    <w:rsid w:val="00320590"/>
    <w:rsid w:val="003206F0"/>
    <w:rsid w:val="003207BF"/>
    <w:rsid w:val="003208C3"/>
    <w:rsid w:val="00320A17"/>
    <w:rsid w:val="00320A82"/>
    <w:rsid w:val="00320A93"/>
    <w:rsid w:val="00320C51"/>
    <w:rsid w:val="00320E9D"/>
    <w:rsid w:val="00321021"/>
    <w:rsid w:val="0032110F"/>
    <w:rsid w:val="00321139"/>
    <w:rsid w:val="00321235"/>
    <w:rsid w:val="00321330"/>
    <w:rsid w:val="00321363"/>
    <w:rsid w:val="00321386"/>
    <w:rsid w:val="003214EB"/>
    <w:rsid w:val="003215CC"/>
    <w:rsid w:val="003217E5"/>
    <w:rsid w:val="00321845"/>
    <w:rsid w:val="003218BC"/>
    <w:rsid w:val="00321905"/>
    <w:rsid w:val="00321938"/>
    <w:rsid w:val="00321A57"/>
    <w:rsid w:val="00321A58"/>
    <w:rsid w:val="00321B2E"/>
    <w:rsid w:val="00321CC8"/>
    <w:rsid w:val="00321D7B"/>
    <w:rsid w:val="00321EDB"/>
    <w:rsid w:val="00321F4F"/>
    <w:rsid w:val="00321F7C"/>
    <w:rsid w:val="00321FF6"/>
    <w:rsid w:val="00322080"/>
    <w:rsid w:val="003222E0"/>
    <w:rsid w:val="0032261A"/>
    <w:rsid w:val="003228E3"/>
    <w:rsid w:val="00322952"/>
    <w:rsid w:val="003229A3"/>
    <w:rsid w:val="00322C95"/>
    <w:rsid w:val="00322CB4"/>
    <w:rsid w:val="00322DA9"/>
    <w:rsid w:val="00322E9C"/>
    <w:rsid w:val="00322F65"/>
    <w:rsid w:val="00323490"/>
    <w:rsid w:val="00323767"/>
    <w:rsid w:val="00323AF6"/>
    <w:rsid w:val="00323B4F"/>
    <w:rsid w:val="00323B6C"/>
    <w:rsid w:val="00323E8B"/>
    <w:rsid w:val="00323EAA"/>
    <w:rsid w:val="00323F88"/>
    <w:rsid w:val="00323FE5"/>
    <w:rsid w:val="0032404D"/>
    <w:rsid w:val="003240B7"/>
    <w:rsid w:val="0032410B"/>
    <w:rsid w:val="003241C4"/>
    <w:rsid w:val="003244ED"/>
    <w:rsid w:val="00324570"/>
    <w:rsid w:val="00324596"/>
    <w:rsid w:val="00324754"/>
    <w:rsid w:val="00324980"/>
    <w:rsid w:val="00324A53"/>
    <w:rsid w:val="00324B8A"/>
    <w:rsid w:val="00324BE8"/>
    <w:rsid w:val="00324C63"/>
    <w:rsid w:val="00324CC1"/>
    <w:rsid w:val="00324FE6"/>
    <w:rsid w:val="00325141"/>
    <w:rsid w:val="00325193"/>
    <w:rsid w:val="003251C2"/>
    <w:rsid w:val="0032534D"/>
    <w:rsid w:val="0032541E"/>
    <w:rsid w:val="003254CF"/>
    <w:rsid w:val="0032567B"/>
    <w:rsid w:val="003257A2"/>
    <w:rsid w:val="003258F0"/>
    <w:rsid w:val="00325996"/>
    <w:rsid w:val="00325B0F"/>
    <w:rsid w:val="00325C8B"/>
    <w:rsid w:val="00325D00"/>
    <w:rsid w:val="00325D30"/>
    <w:rsid w:val="00325FA0"/>
    <w:rsid w:val="00325FE3"/>
    <w:rsid w:val="00325FF1"/>
    <w:rsid w:val="003262BB"/>
    <w:rsid w:val="0032637C"/>
    <w:rsid w:val="0032681C"/>
    <w:rsid w:val="0032686E"/>
    <w:rsid w:val="003268A1"/>
    <w:rsid w:val="0032690D"/>
    <w:rsid w:val="00326A50"/>
    <w:rsid w:val="00326DA9"/>
    <w:rsid w:val="00326F1C"/>
    <w:rsid w:val="00326FBF"/>
    <w:rsid w:val="003270CC"/>
    <w:rsid w:val="00327162"/>
    <w:rsid w:val="003271D5"/>
    <w:rsid w:val="0032738A"/>
    <w:rsid w:val="003273B7"/>
    <w:rsid w:val="00327475"/>
    <w:rsid w:val="00327828"/>
    <w:rsid w:val="00327857"/>
    <w:rsid w:val="0032795F"/>
    <w:rsid w:val="003279F1"/>
    <w:rsid w:val="00327A8E"/>
    <w:rsid w:val="00327AE6"/>
    <w:rsid w:val="00327C26"/>
    <w:rsid w:val="00327C7B"/>
    <w:rsid w:val="00327DA1"/>
    <w:rsid w:val="00327E35"/>
    <w:rsid w:val="00327E44"/>
    <w:rsid w:val="00327E89"/>
    <w:rsid w:val="00327F13"/>
    <w:rsid w:val="00327F59"/>
    <w:rsid w:val="00327FD3"/>
    <w:rsid w:val="003301C4"/>
    <w:rsid w:val="003305E6"/>
    <w:rsid w:val="003306A0"/>
    <w:rsid w:val="00330701"/>
    <w:rsid w:val="00330705"/>
    <w:rsid w:val="00330767"/>
    <w:rsid w:val="00330773"/>
    <w:rsid w:val="00330870"/>
    <w:rsid w:val="00330A0A"/>
    <w:rsid w:val="00330AC2"/>
    <w:rsid w:val="00330C56"/>
    <w:rsid w:val="00330D72"/>
    <w:rsid w:val="00330DCD"/>
    <w:rsid w:val="00330DEE"/>
    <w:rsid w:val="0033126A"/>
    <w:rsid w:val="003312EC"/>
    <w:rsid w:val="0033133A"/>
    <w:rsid w:val="00331375"/>
    <w:rsid w:val="003314F1"/>
    <w:rsid w:val="003317EE"/>
    <w:rsid w:val="00331936"/>
    <w:rsid w:val="00331A37"/>
    <w:rsid w:val="00331BD8"/>
    <w:rsid w:val="00331CE9"/>
    <w:rsid w:val="00331DA3"/>
    <w:rsid w:val="00331E09"/>
    <w:rsid w:val="00331E13"/>
    <w:rsid w:val="00331E2E"/>
    <w:rsid w:val="0033211F"/>
    <w:rsid w:val="0033229B"/>
    <w:rsid w:val="003322CC"/>
    <w:rsid w:val="00332383"/>
    <w:rsid w:val="003328A9"/>
    <w:rsid w:val="003328AE"/>
    <w:rsid w:val="00332A3C"/>
    <w:rsid w:val="00332AF1"/>
    <w:rsid w:val="00332BB5"/>
    <w:rsid w:val="00332BC3"/>
    <w:rsid w:val="00332E4F"/>
    <w:rsid w:val="00332FD9"/>
    <w:rsid w:val="00333262"/>
    <w:rsid w:val="00333329"/>
    <w:rsid w:val="003333B1"/>
    <w:rsid w:val="0033346D"/>
    <w:rsid w:val="003334BB"/>
    <w:rsid w:val="0033352F"/>
    <w:rsid w:val="003336C3"/>
    <w:rsid w:val="00333794"/>
    <w:rsid w:val="003339C5"/>
    <w:rsid w:val="00333B48"/>
    <w:rsid w:val="00333D54"/>
    <w:rsid w:val="00333D9F"/>
    <w:rsid w:val="00333DAD"/>
    <w:rsid w:val="00333E72"/>
    <w:rsid w:val="0033430A"/>
    <w:rsid w:val="0033446D"/>
    <w:rsid w:val="003344B8"/>
    <w:rsid w:val="00334656"/>
    <w:rsid w:val="003346F5"/>
    <w:rsid w:val="0033479C"/>
    <w:rsid w:val="003347A6"/>
    <w:rsid w:val="003347B5"/>
    <w:rsid w:val="0033491C"/>
    <w:rsid w:val="00334927"/>
    <w:rsid w:val="003349CC"/>
    <w:rsid w:val="003349DB"/>
    <w:rsid w:val="003349FD"/>
    <w:rsid w:val="00334AC2"/>
    <w:rsid w:val="00334D36"/>
    <w:rsid w:val="00334D49"/>
    <w:rsid w:val="00334EF0"/>
    <w:rsid w:val="00334F3C"/>
    <w:rsid w:val="00334FAA"/>
    <w:rsid w:val="00335225"/>
    <w:rsid w:val="0033543C"/>
    <w:rsid w:val="00335466"/>
    <w:rsid w:val="003354A9"/>
    <w:rsid w:val="0033588A"/>
    <w:rsid w:val="0033593A"/>
    <w:rsid w:val="00335A15"/>
    <w:rsid w:val="00335C50"/>
    <w:rsid w:val="00335CE1"/>
    <w:rsid w:val="00335DCD"/>
    <w:rsid w:val="00335F5D"/>
    <w:rsid w:val="0033610B"/>
    <w:rsid w:val="003361FC"/>
    <w:rsid w:val="003363B2"/>
    <w:rsid w:val="00336423"/>
    <w:rsid w:val="003364DA"/>
    <w:rsid w:val="00336587"/>
    <w:rsid w:val="00336786"/>
    <w:rsid w:val="0033679D"/>
    <w:rsid w:val="0033682E"/>
    <w:rsid w:val="0033688D"/>
    <w:rsid w:val="00336972"/>
    <w:rsid w:val="0033697D"/>
    <w:rsid w:val="00336C50"/>
    <w:rsid w:val="00336D2B"/>
    <w:rsid w:val="00336E7F"/>
    <w:rsid w:val="00336F06"/>
    <w:rsid w:val="00336FA7"/>
    <w:rsid w:val="003371B5"/>
    <w:rsid w:val="0033726E"/>
    <w:rsid w:val="0033730C"/>
    <w:rsid w:val="00337468"/>
    <w:rsid w:val="003374CF"/>
    <w:rsid w:val="00337572"/>
    <w:rsid w:val="003377B8"/>
    <w:rsid w:val="003377BD"/>
    <w:rsid w:val="003377D0"/>
    <w:rsid w:val="0033780E"/>
    <w:rsid w:val="003378BA"/>
    <w:rsid w:val="00337B8A"/>
    <w:rsid w:val="00337BAF"/>
    <w:rsid w:val="00337C7C"/>
    <w:rsid w:val="00337D62"/>
    <w:rsid w:val="00337D68"/>
    <w:rsid w:val="00337D9D"/>
    <w:rsid w:val="00337E93"/>
    <w:rsid w:val="00337F60"/>
    <w:rsid w:val="00337FB8"/>
    <w:rsid w:val="00340108"/>
    <w:rsid w:val="00340209"/>
    <w:rsid w:val="00340267"/>
    <w:rsid w:val="00340341"/>
    <w:rsid w:val="003403CA"/>
    <w:rsid w:val="003403CD"/>
    <w:rsid w:val="003405F4"/>
    <w:rsid w:val="00340635"/>
    <w:rsid w:val="0034068E"/>
    <w:rsid w:val="003407A4"/>
    <w:rsid w:val="003407EC"/>
    <w:rsid w:val="003407F1"/>
    <w:rsid w:val="003407F7"/>
    <w:rsid w:val="0034086A"/>
    <w:rsid w:val="00340A1B"/>
    <w:rsid w:val="00340A30"/>
    <w:rsid w:val="00340D02"/>
    <w:rsid w:val="00340E9C"/>
    <w:rsid w:val="00340EFB"/>
    <w:rsid w:val="003410A5"/>
    <w:rsid w:val="0034136D"/>
    <w:rsid w:val="00341381"/>
    <w:rsid w:val="0034166A"/>
    <w:rsid w:val="003417C5"/>
    <w:rsid w:val="003417CB"/>
    <w:rsid w:val="00341B07"/>
    <w:rsid w:val="00341B7F"/>
    <w:rsid w:val="00341C5E"/>
    <w:rsid w:val="003420C9"/>
    <w:rsid w:val="00342206"/>
    <w:rsid w:val="0034231B"/>
    <w:rsid w:val="0034236B"/>
    <w:rsid w:val="00342490"/>
    <w:rsid w:val="003426AB"/>
    <w:rsid w:val="00342C70"/>
    <w:rsid w:val="00342C9F"/>
    <w:rsid w:val="00342D56"/>
    <w:rsid w:val="00342E6A"/>
    <w:rsid w:val="00343008"/>
    <w:rsid w:val="00343024"/>
    <w:rsid w:val="0034304A"/>
    <w:rsid w:val="0034304C"/>
    <w:rsid w:val="0034307F"/>
    <w:rsid w:val="0034313F"/>
    <w:rsid w:val="0034354B"/>
    <w:rsid w:val="003435A9"/>
    <w:rsid w:val="00343612"/>
    <w:rsid w:val="00343849"/>
    <w:rsid w:val="0034387E"/>
    <w:rsid w:val="0034389D"/>
    <w:rsid w:val="00343B2C"/>
    <w:rsid w:val="00344070"/>
    <w:rsid w:val="00344123"/>
    <w:rsid w:val="00344143"/>
    <w:rsid w:val="003441B1"/>
    <w:rsid w:val="00344214"/>
    <w:rsid w:val="003443E7"/>
    <w:rsid w:val="003443F4"/>
    <w:rsid w:val="003445C7"/>
    <w:rsid w:val="00344649"/>
    <w:rsid w:val="003446B2"/>
    <w:rsid w:val="003447C3"/>
    <w:rsid w:val="00344894"/>
    <w:rsid w:val="003449EB"/>
    <w:rsid w:val="00344A49"/>
    <w:rsid w:val="00344A4D"/>
    <w:rsid w:val="00344AE5"/>
    <w:rsid w:val="00344D17"/>
    <w:rsid w:val="00344EBE"/>
    <w:rsid w:val="0034516D"/>
    <w:rsid w:val="00345379"/>
    <w:rsid w:val="00345496"/>
    <w:rsid w:val="00345744"/>
    <w:rsid w:val="00345758"/>
    <w:rsid w:val="0034587D"/>
    <w:rsid w:val="003458D3"/>
    <w:rsid w:val="00345999"/>
    <w:rsid w:val="00345AAB"/>
    <w:rsid w:val="00345BCF"/>
    <w:rsid w:val="00345D46"/>
    <w:rsid w:val="00345DF5"/>
    <w:rsid w:val="00345E37"/>
    <w:rsid w:val="00345F48"/>
    <w:rsid w:val="00346313"/>
    <w:rsid w:val="00346397"/>
    <w:rsid w:val="003465CB"/>
    <w:rsid w:val="003465DF"/>
    <w:rsid w:val="00346678"/>
    <w:rsid w:val="003466F9"/>
    <w:rsid w:val="003469C1"/>
    <w:rsid w:val="003469E7"/>
    <w:rsid w:val="00346ABB"/>
    <w:rsid w:val="00346BC5"/>
    <w:rsid w:val="00346EAC"/>
    <w:rsid w:val="00346F12"/>
    <w:rsid w:val="00347186"/>
    <w:rsid w:val="0034746F"/>
    <w:rsid w:val="0034751F"/>
    <w:rsid w:val="003477F1"/>
    <w:rsid w:val="0034783F"/>
    <w:rsid w:val="0034792C"/>
    <w:rsid w:val="00347CE6"/>
    <w:rsid w:val="00347DBE"/>
    <w:rsid w:val="00350092"/>
    <w:rsid w:val="00350108"/>
    <w:rsid w:val="00350179"/>
    <w:rsid w:val="0035036E"/>
    <w:rsid w:val="003503AF"/>
    <w:rsid w:val="003503BC"/>
    <w:rsid w:val="003503C4"/>
    <w:rsid w:val="003509CA"/>
    <w:rsid w:val="00350B7E"/>
    <w:rsid w:val="00350BF6"/>
    <w:rsid w:val="00350C53"/>
    <w:rsid w:val="00350C69"/>
    <w:rsid w:val="00350D2B"/>
    <w:rsid w:val="00350DBE"/>
    <w:rsid w:val="00350E15"/>
    <w:rsid w:val="0035123C"/>
    <w:rsid w:val="0035138C"/>
    <w:rsid w:val="0035163E"/>
    <w:rsid w:val="003518B5"/>
    <w:rsid w:val="00351962"/>
    <w:rsid w:val="003519AD"/>
    <w:rsid w:val="00351DFB"/>
    <w:rsid w:val="00351E0E"/>
    <w:rsid w:val="00351E13"/>
    <w:rsid w:val="00351E5C"/>
    <w:rsid w:val="00352001"/>
    <w:rsid w:val="00352223"/>
    <w:rsid w:val="003523A1"/>
    <w:rsid w:val="00352424"/>
    <w:rsid w:val="003525CF"/>
    <w:rsid w:val="003525E3"/>
    <w:rsid w:val="00352648"/>
    <w:rsid w:val="003527B2"/>
    <w:rsid w:val="003527DC"/>
    <w:rsid w:val="003528E5"/>
    <w:rsid w:val="00352CC4"/>
    <w:rsid w:val="00352D85"/>
    <w:rsid w:val="00352DC0"/>
    <w:rsid w:val="003531F2"/>
    <w:rsid w:val="0035333A"/>
    <w:rsid w:val="0035341F"/>
    <w:rsid w:val="003535CA"/>
    <w:rsid w:val="003538E0"/>
    <w:rsid w:val="00353973"/>
    <w:rsid w:val="00353AB6"/>
    <w:rsid w:val="00353D4D"/>
    <w:rsid w:val="00353E0B"/>
    <w:rsid w:val="0035417D"/>
    <w:rsid w:val="0035417E"/>
    <w:rsid w:val="003541BD"/>
    <w:rsid w:val="00354405"/>
    <w:rsid w:val="003546A0"/>
    <w:rsid w:val="00354722"/>
    <w:rsid w:val="003547CB"/>
    <w:rsid w:val="00354819"/>
    <w:rsid w:val="00354BE0"/>
    <w:rsid w:val="00354CD9"/>
    <w:rsid w:val="00354D3A"/>
    <w:rsid w:val="00354D9F"/>
    <w:rsid w:val="00354EAB"/>
    <w:rsid w:val="00354EB4"/>
    <w:rsid w:val="00354EB7"/>
    <w:rsid w:val="00355061"/>
    <w:rsid w:val="00355085"/>
    <w:rsid w:val="003550FB"/>
    <w:rsid w:val="003551E4"/>
    <w:rsid w:val="00355275"/>
    <w:rsid w:val="00355280"/>
    <w:rsid w:val="00355459"/>
    <w:rsid w:val="00355720"/>
    <w:rsid w:val="00355810"/>
    <w:rsid w:val="0035592F"/>
    <w:rsid w:val="00355DEC"/>
    <w:rsid w:val="003561CF"/>
    <w:rsid w:val="0035632B"/>
    <w:rsid w:val="003564E1"/>
    <w:rsid w:val="003564FC"/>
    <w:rsid w:val="00356672"/>
    <w:rsid w:val="00356697"/>
    <w:rsid w:val="003566BB"/>
    <w:rsid w:val="003567C3"/>
    <w:rsid w:val="0035687B"/>
    <w:rsid w:val="00356A97"/>
    <w:rsid w:val="00356AF3"/>
    <w:rsid w:val="00356C1D"/>
    <w:rsid w:val="00356D29"/>
    <w:rsid w:val="00357183"/>
    <w:rsid w:val="003571C2"/>
    <w:rsid w:val="00357387"/>
    <w:rsid w:val="00357558"/>
    <w:rsid w:val="0035757B"/>
    <w:rsid w:val="0035764C"/>
    <w:rsid w:val="0035765F"/>
    <w:rsid w:val="0035780B"/>
    <w:rsid w:val="0035788A"/>
    <w:rsid w:val="003579A7"/>
    <w:rsid w:val="003579F4"/>
    <w:rsid w:val="00357C66"/>
    <w:rsid w:val="00357D36"/>
    <w:rsid w:val="00357D56"/>
    <w:rsid w:val="00357FCE"/>
    <w:rsid w:val="00360088"/>
    <w:rsid w:val="003602E5"/>
    <w:rsid w:val="0036038C"/>
    <w:rsid w:val="003605B1"/>
    <w:rsid w:val="003605DF"/>
    <w:rsid w:val="00360720"/>
    <w:rsid w:val="0036072B"/>
    <w:rsid w:val="0036073F"/>
    <w:rsid w:val="003607B0"/>
    <w:rsid w:val="00360856"/>
    <w:rsid w:val="003609B7"/>
    <w:rsid w:val="00360A94"/>
    <w:rsid w:val="00360C38"/>
    <w:rsid w:val="00360CF4"/>
    <w:rsid w:val="00361111"/>
    <w:rsid w:val="00361159"/>
    <w:rsid w:val="00361188"/>
    <w:rsid w:val="00361205"/>
    <w:rsid w:val="00361214"/>
    <w:rsid w:val="003612B1"/>
    <w:rsid w:val="003613BD"/>
    <w:rsid w:val="003615A6"/>
    <w:rsid w:val="00361604"/>
    <w:rsid w:val="0036163E"/>
    <w:rsid w:val="003616A2"/>
    <w:rsid w:val="0036175D"/>
    <w:rsid w:val="0036184A"/>
    <w:rsid w:val="003619C6"/>
    <w:rsid w:val="00361A75"/>
    <w:rsid w:val="00361BEF"/>
    <w:rsid w:val="00361CE5"/>
    <w:rsid w:val="00361D9C"/>
    <w:rsid w:val="00361DA3"/>
    <w:rsid w:val="00361F7A"/>
    <w:rsid w:val="00361FF9"/>
    <w:rsid w:val="0036209B"/>
    <w:rsid w:val="003623E9"/>
    <w:rsid w:val="00362413"/>
    <w:rsid w:val="0036257B"/>
    <w:rsid w:val="0036294B"/>
    <w:rsid w:val="0036299C"/>
    <w:rsid w:val="00362A1D"/>
    <w:rsid w:val="00362BA5"/>
    <w:rsid w:val="00362D28"/>
    <w:rsid w:val="00362F15"/>
    <w:rsid w:val="00362FD3"/>
    <w:rsid w:val="003630AC"/>
    <w:rsid w:val="00363198"/>
    <w:rsid w:val="003631FF"/>
    <w:rsid w:val="0036339C"/>
    <w:rsid w:val="003634A8"/>
    <w:rsid w:val="003634AC"/>
    <w:rsid w:val="003635BF"/>
    <w:rsid w:val="00363627"/>
    <w:rsid w:val="00363650"/>
    <w:rsid w:val="00363766"/>
    <w:rsid w:val="003639AB"/>
    <w:rsid w:val="00363AF7"/>
    <w:rsid w:val="00363C0E"/>
    <w:rsid w:val="00363C58"/>
    <w:rsid w:val="00363C99"/>
    <w:rsid w:val="00363E1F"/>
    <w:rsid w:val="003640A7"/>
    <w:rsid w:val="003640F1"/>
    <w:rsid w:val="0036418A"/>
    <w:rsid w:val="003643EA"/>
    <w:rsid w:val="0036440C"/>
    <w:rsid w:val="003644AD"/>
    <w:rsid w:val="003644CD"/>
    <w:rsid w:val="00364592"/>
    <w:rsid w:val="0036461F"/>
    <w:rsid w:val="00364AEF"/>
    <w:rsid w:val="00364C5A"/>
    <w:rsid w:val="00364CBA"/>
    <w:rsid w:val="003652E1"/>
    <w:rsid w:val="00365308"/>
    <w:rsid w:val="003653C0"/>
    <w:rsid w:val="00365447"/>
    <w:rsid w:val="0036550C"/>
    <w:rsid w:val="00365627"/>
    <w:rsid w:val="00365679"/>
    <w:rsid w:val="0036569F"/>
    <w:rsid w:val="00365820"/>
    <w:rsid w:val="00365A75"/>
    <w:rsid w:val="00365B59"/>
    <w:rsid w:val="00365BC7"/>
    <w:rsid w:val="00365C8C"/>
    <w:rsid w:val="00365D07"/>
    <w:rsid w:val="00365D4D"/>
    <w:rsid w:val="00365F1A"/>
    <w:rsid w:val="00366232"/>
    <w:rsid w:val="003664D5"/>
    <w:rsid w:val="00366509"/>
    <w:rsid w:val="00366560"/>
    <w:rsid w:val="00366579"/>
    <w:rsid w:val="003666A7"/>
    <w:rsid w:val="003666E6"/>
    <w:rsid w:val="003666EB"/>
    <w:rsid w:val="003666F5"/>
    <w:rsid w:val="00366905"/>
    <w:rsid w:val="00366AD6"/>
    <w:rsid w:val="00366AED"/>
    <w:rsid w:val="00366B8D"/>
    <w:rsid w:val="00366B93"/>
    <w:rsid w:val="00366BE9"/>
    <w:rsid w:val="00366CE6"/>
    <w:rsid w:val="00366D31"/>
    <w:rsid w:val="00366F18"/>
    <w:rsid w:val="0036700E"/>
    <w:rsid w:val="003672EB"/>
    <w:rsid w:val="003673F9"/>
    <w:rsid w:val="00367658"/>
    <w:rsid w:val="00367720"/>
    <w:rsid w:val="0036791F"/>
    <w:rsid w:val="0036794E"/>
    <w:rsid w:val="00367A27"/>
    <w:rsid w:val="00367AF3"/>
    <w:rsid w:val="00367C53"/>
    <w:rsid w:val="00367C8F"/>
    <w:rsid w:val="00367D06"/>
    <w:rsid w:val="00367DF7"/>
    <w:rsid w:val="00367E14"/>
    <w:rsid w:val="00367E64"/>
    <w:rsid w:val="00370027"/>
    <w:rsid w:val="003702D4"/>
    <w:rsid w:val="00370561"/>
    <w:rsid w:val="003705A8"/>
    <w:rsid w:val="00370641"/>
    <w:rsid w:val="0037069D"/>
    <w:rsid w:val="0037073F"/>
    <w:rsid w:val="00370924"/>
    <w:rsid w:val="00370A16"/>
    <w:rsid w:val="00370B78"/>
    <w:rsid w:val="00370BBC"/>
    <w:rsid w:val="00370D0B"/>
    <w:rsid w:val="00370D10"/>
    <w:rsid w:val="003710FA"/>
    <w:rsid w:val="0037119C"/>
    <w:rsid w:val="00371357"/>
    <w:rsid w:val="00371417"/>
    <w:rsid w:val="0037161B"/>
    <w:rsid w:val="00371650"/>
    <w:rsid w:val="00371753"/>
    <w:rsid w:val="0037186D"/>
    <w:rsid w:val="00371A5D"/>
    <w:rsid w:val="00371A78"/>
    <w:rsid w:val="00371B54"/>
    <w:rsid w:val="00371CEE"/>
    <w:rsid w:val="00371D5C"/>
    <w:rsid w:val="00371EA8"/>
    <w:rsid w:val="00371F1D"/>
    <w:rsid w:val="003720EE"/>
    <w:rsid w:val="0037215A"/>
    <w:rsid w:val="00372171"/>
    <w:rsid w:val="003721AF"/>
    <w:rsid w:val="00372471"/>
    <w:rsid w:val="00372473"/>
    <w:rsid w:val="0037251E"/>
    <w:rsid w:val="00372621"/>
    <w:rsid w:val="00372656"/>
    <w:rsid w:val="00372779"/>
    <w:rsid w:val="003727C6"/>
    <w:rsid w:val="003727F0"/>
    <w:rsid w:val="00372817"/>
    <w:rsid w:val="00372A10"/>
    <w:rsid w:val="00372A43"/>
    <w:rsid w:val="00372C72"/>
    <w:rsid w:val="00372C82"/>
    <w:rsid w:val="00372FF5"/>
    <w:rsid w:val="0037301B"/>
    <w:rsid w:val="003730F1"/>
    <w:rsid w:val="00373478"/>
    <w:rsid w:val="003734C9"/>
    <w:rsid w:val="00373607"/>
    <w:rsid w:val="003736CF"/>
    <w:rsid w:val="00373750"/>
    <w:rsid w:val="0037398A"/>
    <w:rsid w:val="00373B03"/>
    <w:rsid w:val="00373B1C"/>
    <w:rsid w:val="00373C37"/>
    <w:rsid w:val="00373E59"/>
    <w:rsid w:val="003745B0"/>
    <w:rsid w:val="0037482A"/>
    <w:rsid w:val="00374845"/>
    <w:rsid w:val="0037485F"/>
    <w:rsid w:val="003748DC"/>
    <w:rsid w:val="00374925"/>
    <w:rsid w:val="00374953"/>
    <w:rsid w:val="00374997"/>
    <w:rsid w:val="00374ED7"/>
    <w:rsid w:val="00374F0C"/>
    <w:rsid w:val="00375043"/>
    <w:rsid w:val="00375142"/>
    <w:rsid w:val="00375215"/>
    <w:rsid w:val="00375230"/>
    <w:rsid w:val="0037548D"/>
    <w:rsid w:val="003754B9"/>
    <w:rsid w:val="003755B0"/>
    <w:rsid w:val="003755E1"/>
    <w:rsid w:val="003756BF"/>
    <w:rsid w:val="003756E5"/>
    <w:rsid w:val="0037572C"/>
    <w:rsid w:val="003759DF"/>
    <w:rsid w:val="00375BB1"/>
    <w:rsid w:val="0037610F"/>
    <w:rsid w:val="00376268"/>
    <w:rsid w:val="00376308"/>
    <w:rsid w:val="003765F6"/>
    <w:rsid w:val="003765FE"/>
    <w:rsid w:val="0037662C"/>
    <w:rsid w:val="0037666C"/>
    <w:rsid w:val="00376712"/>
    <w:rsid w:val="0037673D"/>
    <w:rsid w:val="003768A6"/>
    <w:rsid w:val="003768E0"/>
    <w:rsid w:val="00376BCE"/>
    <w:rsid w:val="00376DC7"/>
    <w:rsid w:val="00376E5B"/>
    <w:rsid w:val="00376EFC"/>
    <w:rsid w:val="0037707B"/>
    <w:rsid w:val="0037712B"/>
    <w:rsid w:val="0037716C"/>
    <w:rsid w:val="00377187"/>
    <w:rsid w:val="00377197"/>
    <w:rsid w:val="0037724E"/>
    <w:rsid w:val="00377337"/>
    <w:rsid w:val="00377360"/>
    <w:rsid w:val="003774CE"/>
    <w:rsid w:val="003775AE"/>
    <w:rsid w:val="00377B09"/>
    <w:rsid w:val="00377B7D"/>
    <w:rsid w:val="00377D32"/>
    <w:rsid w:val="00377DC8"/>
    <w:rsid w:val="00377F63"/>
    <w:rsid w:val="00377F95"/>
    <w:rsid w:val="0038005C"/>
    <w:rsid w:val="00380163"/>
    <w:rsid w:val="003801B2"/>
    <w:rsid w:val="003802CB"/>
    <w:rsid w:val="003803E5"/>
    <w:rsid w:val="00380727"/>
    <w:rsid w:val="003807A3"/>
    <w:rsid w:val="003809C7"/>
    <w:rsid w:val="003809CA"/>
    <w:rsid w:val="00380A0F"/>
    <w:rsid w:val="00380A23"/>
    <w:rsid w:val="00380AF6"/>
    <w:rsid w:val="00380B50"/>
    <w:rsid w:val="00380C69"/>
    <w:rsid w:val="00380EB4"/>
    <w:rsid w:val="00380EE9"/>
    <w:rsid w:val="0038122E"/>
    <w:rsid w:val="003812C5"/>
    <w:rsid w:val="00381445"/>
    <w:rsid w:val="0038146C"/>
    <w:rsid w:val="0038153A"/>
    <w:rsid w:val="003816A9"/>
    <w:rsid w:val="00381731"/>
    <w:rsid w:val="00381878"/>
    <w:rsid w:val="00381A01"/>
    <w:rsid w:val="00381A36"/>
    <w:rsid w:val="00381C7E"/>
    <w:rsid w:val="00381ECF"/>
    <w:rsid w:val="00381F7F"/>
    <w:rsid w:val="00382177"/>
    <w:rsid w:val="003823C2"/>
    <w:rsid w:val="00382609"/>
    <w:rsid w:val="00382767"/>
    <w:rsid w:val="00382AF9"/>
    <w:rsid w:val="00382BAF"/>
    <w:rsid w:val="00382D9A"/>
    <w:rsid w:val="00382E5F"/>
    <w:rsid w:val="00382F11"/>
    <w:rsid w:val="00382F53"/>
    <w:rsid w:val="0038303D"/>
    <w:rsid w:val="003830C4"/>
    <w:rsid w:val="003831EE"/>
    <w:rsid w:val="00383267"/>
    <w:rsid w:val="003834B9"/>
    <w:rsid w:val="0038359C"/>
    <w:rsid w:val="003835C7"/>
    <w:rsid w:val="003837F3"/>
    <w:rsid w:val="00383AFB"/>
    <w:rsid w:val="00383BE1"/>
    <w:rsid w:val="00383C5D"/>
    <w:rsid w:val="00383CE1"/>
    <w:rsid w:val="00383ED2"/>
    <w:rsid w:val="00383EF6"/>
    <w:rsid w:val="00384057"/>
    <w:rsid w:val="00384202"/>
    <w:rsid w:val="00384394"/>
    <w:rsid w:val="0038447C"/>
    <w:rsid w:val="00384517"/>
    <w:rsid w:val="003845E3"/>
    <w:rsid w:val="00384724"/>
    <w:rsid w:val="003847E9"/>
    <w:rsid w:val="003848CB"/>
    <w:rsid w:val="003848F1"/>
    <w:rsid w:val="003849FD"/>
    <w:rsid w:val="00384A23"/>
    <w:rsid w:val="00384A96"/>
    <w:rsid w:val="00384B83"/>
    <w:rsid w:val="00384B90"/>
    <w:rsid w:val="00384D50"/>
    <w:rsid w:val="00384EFD"/>
    <w:rsid w:val="003850ED"/>
    <w:rsid w:val="0038536E"/>
    <w:rsid w:val="003853CE"/>
    <w:rsid w:val="0038545F"/>
    <w:rsid w:val="00385507"/>
    <w:rsid w:val="0038554D"/>
    <w:rsid w:val="00385704"/>
    <w:rsid w:val="003858D5"/>
    <w:rsid w:val="00385ABE"/>
    <w:rsid w:val="00385E3C"/>
    <w:rsid w:val="00385E81"/>
    <w:rsid w:val="0038600C"/>
    <w:rsid w:val="003860A1"/>
    <w:rsid w:val="003860DF"/>
    <w:rsid w:val="00386124"/>
    <w:rsid w:val="003862CF"/>
    <w:rsid w:val="0038633E"/>
    <w:rsid w:val="00386453"/>
    <w:rsid w:val="003864D5"/>
    <w:rsid w:val="00386906"/>
    <w:rsid w:val="0038696A"/>
    <w:rsid w:val="003869D1"/>
    <w:rsid w:val="00386A17"/>
    <w:rsid w:val="00386C66"/>
    <w:rsid w:val="00386D1C"/>
    <w:rsid w:val="00386D41"/>
    <w:rsid w:val="00386D47"/>
    <w:rsid w:val="00386DA2"/>
    <w:rsid w:val="00386E67"/>
    <w:rsid w:val="00386FC8"/>
    <w:rsid w:val="003870FE"/>
    <w:rsid w:val="0038730C"/>
    <w:rsid w:val="00387392"/>
    <w:rsid w:val="0038744B"/>
    <w:rsid w:val="0038758E"/>
    <w:rsid w:val="00387676"/>
    <w:rsid w:val="0038768E"/>
    <w:rsid w:val="00387E7B"/>
    <w:rsid w:val="00390567"/>
    <w:rsid w:val="003907F3"/>
    <w:rsid w:val="0039086D"/>
    <w:rsid w:val="003909C3"/>
    <w:rsid w:val="00390AA6"/>
    <w:rsid w:val="00390B4B"/>
    <w:rsid w:val="00390D20"/>
    <w:rsid w:val="00390E2A"/>
    <w:rsid w:val="00390F2D"/>
    <w:rsid w:val="00391016"/>
    <w:rsid w:val="00391173"/>
    <w:rsid w:val="0039119B"/>
    <w:rsid w:val="00391434"/>
    <w:rsid w:val="0039144A"/>
    <w:rsid w:val="003914AA"/>
    <w:rsid w:val="00391527"/>
    <w:rsid w:val="00391646"/>
    <w:rsid w:val="00391704"/>
    <w:rsid w:val="00391732"/>
    <w:rsid w:val="003917E2"/>
    <w:rsid w:val="003917EB"/>
    <w:rsid w:val="00391809"/>
    <w:rsid w:val="00391882"/>
    <w:rsid w:val="00391C57"/>
    <w:rsid w:val="00391C5A"/>
    <w:rsid w:val="00391D1F"/>
    <w:rsid w:val="00391DC0"/>
    <w:rsid w:val="00391DFE"/>
    <w:rsid w:val="00392002"/>
    <w:rsid w:val="003921DF"/>
    <w:rsid w:val="00392256"/>
    <w:rsid w:val="00392557"/>
    <w:rsid w:val="0039292C"/>
    <w:rsid w:val="00392E68"/>
    <w:rsid w:val="00392F61"/>
    <w:rsid w:val="003931CC"/>
    <w:rsid w:val="0039327A"/>
    <w:rsid w:val="003933A0"/>
    <w:rsid w:val="0039363A"/>
    <w:rsid w:val="003936F1"/>
    <w:rsid w:val="00393806"/>
    <w:rsid w:val="003938AC"/>
    <w:rsid w:val="003938EC"/>
    <w:rsid w:val="00393A54"/>
    <w:rsid w:val="00393B41"/>
    <w:rsid w:val="00393BE8"/>
    <w:rsid w:val="00393C12"/>
    <w:rsid w:val="00393D7B"/>
    <w:rsid w:val="00393E4E"/>
    <w:rsid w:val="00394167"/>
    <w:rsid w:val="0039427E"/>
    <w:rsid w:val="003942CE"/>
    <w:rsid w:val="0039458A"/>
    <w:rsid w:val="0039476F"/>
    <w:rsid w:val="003948CB"/>
    <w:rsid w:val="003948E3"/>
    <w:rsid w:val="003949E7"/>
    <w:rsid w:val="00394A6C"/>
    <w:rsid w:val="00394EE4"/>
    <w:rsid w:val="00394F77"/>
    <w:rsid w:val="0039509B"/>
    <w:rsid w:val="003950F7"/>
    <w:rsid w:val="00395120"/>
    <w:rsid w:val="00395164"/>
    <w:rsid w:val="00395188"/>
    <w:rsid w:val="00395296"/>
    <w:rsid w:val="003953F0"/>
    <w:rsid w:val="00395410"/>
    <w:rsid w:val="00395584"/>
    <w:rsid w:val="00395616"/>
    <w:rsid w:val="00395672"/>
    <w:rsid w:val="003956A5"/>
    <w:rsid w:val="0039589A"/>
    <w:rsid w:val="0039593B"/>
    <w:rsid w:val="00395AFE"/>
    <w:rsid w:val="00395B6A"/>
    <w:rsid w:val="00395BD8"/>
    <w:rsid w:val="00395D23"/>
    <w:rsid w:val="00395D8E"/>
    <w:rsid w:val="00395E0F"/>
    <w:rsid w:val="00395F26"/>
    <w:rsid w:val="00395F2B"/>
    <w:rsid w:val="00395F59"/>
    <w:rsid w:val="00395F64"/>
    <w:rsid w:val="00395FC1"/>
    <w:rsid w:val="00395FD8"/>
    <w:rsid w:val="00395FE3"/>
    <w:rsid w:val="0039609B"/>
    <w:rsid w:val="003960D8"/>
    <w:rsid w:val="0039615E"/>
    <w:rsid w:val="003961BF"/>
    <w:rsid w:val="003961F2"/>
    <w:rsid w:val="0039626E"/>
    <w:rsid w:val="003963F8"/>
    <w:rsid w:val="0039663A"/>
    <w:rsid w:val="00396678"/>
    <w:rsid w:val="003966F6"/>
    <w:rsid w:val="0039673F"/>
    <w:rsid w:val="00396750"/>
    <w:rsid w:val="0039675B"/>
    <w:rsid w:val="0039677D"/>
    <w:rsid w:val="00396A0E"/>
    <w:rsid w:val="00396A64"/>
    <w:rsid w:val="00396F3B"/>
    <w:rsid w:val="00397265"/>
    <w:rsid w:val="003974CD"/>
    <w:rsid w:val="0039761D"/>
    <w:rsid w:val="0039778A"/>
    <w:rsid w:val="003978C8"/>
    <w:rsid w:val="00397910"/>
    <w:rsid w:val="00397B4B"/>
    <w:rsid w:val="00397B58"/>
    <w:rsid w:val="00397B70"/>
    <w:rsid w:val="00397BD7"/>
    <w:rsid w:val="00397FF1"/>
    <w:rsid w:val="003A0044"/>
    <w:rsid w:val="003A00A3"/>
    <w:rsid w:val="003A00DB"/>
    <w:rsid w:val="003A038D"/>
    <w:rsid w:val="003A0461"/>
    <w:rsid w:val="003A04F2"/>
    <w:rsid w:val="003A050F"/>
    <w:rsid w:val="003A0660"/>
    <w:rsid w:val="003A0976"/>
    <w:rsid w:val="003A0D52"/>
    <w:rsid w:val="003A0D6A"/>
    <w:rsid w:val="003A0D8F"/>
    <w:rsid w:val="003A0EFA"/>
    <w:rsid w:val="003A0F31"/>
    <w:rsid w:val="003A1125"/>
    <w:rsid w:val="003A121B"/>
    <w:rsid w:val="003A13D7"/>
    <w:rsid w:val="003A14DD"/>
    <w:rsid w:val="003A1616"/>
    <w:rsid w:val="003A163E"/>
    <w:rsid w:val="003A1750"/>
    <w:rsid w:val="003A18B9"/>
    <w:rsid w:val="003A1A2E"/>
    <w:rsid w:val="003A1B8B"/>
    <w:rsid w:val="003A1DB1"/>
    <w:rsid w:val="003A1DC3"/>
    <w:rsid w:val="003A1F19"/>
    <w:rsid w:val="003A2107"/>
    <w:rsid w:val="003A22A1"/>
    <w:rsid w:val="003A23D6"/>
    <w:rsid w:val="003A2431"/>
    <w:rsid w:val="003A256A"/>
    <w:rsid w:val="003A269E"/>
    <w:rsid w:val="003A2840"/>
    <w:rsid w:val="003A291E"/>
    <w:rsid w:val="003A29AA"/>
    <w:rsid w:val="003A2CEC"/>
    <w:rsid w:val="003A2E69"/>
    <w:rsid w:val="003A2EB7"/>
    <w:rsid w:val="003A2ED1"/>
    <w:rsid w:val="003A30CE"/>
    <w:rsid w:val="003A313E"/>
    <w:rsid w:val="003A3168"/>
    <w:rsid w:val="003A3314"/>
    <w:rsid w:val="003A336F"/>
    <w:rsid w:val="003A3740"/>
    <w:rsid w:val="003A3886"/>
    <w:rsid w:val="003A3894"/>
    <w:rsid w:val="003A3B4E"/>
    <w:rsid w:val="003A4047"/>
    <w:rsid w:val="003A408D"/>
    <w:rsid w:val="003A4292"/>
    <w:rsid w:val="003A4316"/>
    <w:rsid w:val="003A434F"/>
    <w:rsid w:val="003A45A0"/>
    <w:rsid w:val="003A47E1"/>
    <w:rsid w:val="003A4854"/>
    <w:rsid w:val="003A4924"/>
    <w:rsid w:val="003A4A8A"/>
    <w:rsid w:val="003A4AC4"/>
    <w:rsid w:val="003A4C47"/>
    <w:rsid w:val="003A4CF7"/>
    <w:rsid w:val="003A4CFA"/>
    <w:rsid w:val="003A4D14"/>
    <w:rsid w:val="003A4D91"/>
    <w:rsid w:val="003A4E1C"/>
    <w:rsid w:val="003A4F19"/>
    <w:rsid w:val="003A5115"/>
    <w:rsid w:val="003A5357"/>
    <w:rsid w:val="003A536B"/>
    <w:rsid w:val="003A53FF"/>
    <w:rsid w:val="003A551F"/>
    <w:rsid w:val="003A5802"/>
    <w:rsid w:val="003A582C"/>
    <w:rsid w:val="003A58F8"/>
    <w:rsid w:val="003A5A54"/>
    <w:rsid w:val="003A5B66"/>
    <w:rsid w:val="003A5BEE"/>
    <w:rsid w:val="003A5D87"/>
    <w:rsid w:val="003A5E72"/>
    <w:rsid w:val="003A609C"/>
    <w:rsid w:val="003A6231"/>
    <w:rsid w:val="003A6233"/>
    <w:rsid w:val="003A6240"/>
    <w:rsid w:val="003A6373"/>
    <w:rsid w:val="003A63F6"/>
    <w:rsid w:val="003A65E7"/>
    <w:rsid w:val="003A6693"/>
    <w:rsid w:val="003A6697"/>
    <w:rsid w:val="003A6724"/>
    <w:rsid w:val="003A67D9"/>
    <w:rsid w:val="003A686A"/>
    <w:rsid w:val="003A6903"/>
    <w:rsid w:val="003A6960"/>
    <w:rsid w:val="003A69F6"/>
    <w:rsid w:val="003A6A05"/>
    <w:rsid w:val="003A6AC6"/>
    <w:rsid w:val="003A6AD3"/>
    <w:rsid w:val="003A6BF6"/>
    <w:rsid w:val="003A6D9D"/>
    <w:rsid w:val="003A6E1A"/>
    <w:rsid w:val="003A6F90"/>
    <w:rsid w:val="003A7025"/>
    <w:rsid w:val="003A70D0"/>
    <w:rsid w:val="003A730D"/>
    <w:rsid w:val="003A732B"/>
    <w:rsid w:val="003A761A"/>
    <w:rsid w:val="003A77B0"/>
    <w:rsid w:val="003A7A36"/>
    <w:rsid w:val="003A7AA1"/>
    <w:rsid w:val="003A7CBD"/>
    <w:rsid w:val="003B0244"/>
    <w:rsid w:val="003B0328"/>
    <w:rsid w:val="003B0491"/>
    <w:rsid w:val="003B05BB"/>
    <w:rsid w:val="003B0737"/>
    <w:rsid w:val="003B0B7F"/>
    <w:rsid w:val="003B0BA1"/>
    <w:rsid w:val="003B1160"/>
    <w:rsid w:val="003B1454"/>
    <w:rsid w:val="003B15FD"/>
    <w:rsid w:val="003B1694"/>
    <w:rsid w:val="003B16D5"/>
    <w:rsid w:val="003B185C"/>
    <w:rsid w:val="003B19B4"/>
    <w:rsid w:val="003B1B1A"/>
    <w:rsid w:val="003B1BDB"/>
    <w:rsid w:val="003B1D4E"/>
    <w:rsid w:val="003B1FA4"/>
    <w:rsid w:val="003B2095"/>
    <w:rsid w:val="003B2347"/>
    <w:rsid w:val="003B25EF"/>
    <w:rsid w:val="003B2726"/>
    <w:rsid w:val="003B27B0"/>
    <w:rsid w:val="003B27F4"/>
    <w:rsid w:val="003B2ACF"/>
    <w:rsid w:val="003B2B75"/>
    <w:rsid w:val="003B2B7B"/>
    <w:rsid w:val="003B2BA2"/>
    <w:rsid w:val="003B2D7B"/>
    <w:rsid w:val="003B30F2"/>
    <w:rsid w:val="003B3210"/>
    <w:rsid w:val="003B341A"/>
    <w:rsid w:val="003B35C0"/>
    <w:rsid w:val="003B368F"/>
    <w:rsid w:val="003B3878"/>
    <w:rsid w:val="003B3946"/>
    <w:rsid w:val="003B394C"/>
    <w:rsid w:val="003B39C6"/>
    <w:rsid w:val="003B3AF5"/>
    <w:rsid w:val="003B3B4E"/>
    <w:rsid w:val="003B3BA6"/>
    <w:rsid w:val="003B3C92"/>
    <w:rsid w:val="003B3F40"/>
    <w:rsid w:val="003B3FBF"/>
    <w:rsid w:val="003B4026"/>
    <w:rsid w:val="003B40B3"/>
    <w:rsid w:val="003B436A"/>
    <w:rsid w:val="003B4599"/>
    <w:rsid w:val="003B4658"/>
    <w:rsid w:val="003B4680"/>
    <w:rsid w:val="003B475E"/>
    <w:rsid w:val="003B48E3"/>
    <w:rsid w:val="003B4AD7"/>
    <w:rsid w:val="003B4BD7"/>
    <w:rsid w:val="003B4C03"/>
    <w:rsid w:val="003B4C6F"/>
    <w:rsid w:val="003B4CBA"/>
    <w:rsid w:val="003B4CCC"/>
    <w:rsid w:val="003B4F0F"/>
    <w:rsid w:val="003B514B"/>
    <w:rsid w:val="003B5197"/>
    <w:rsid w:val="003B5198"/>
    <w:rsid w:val="003B5253"/>
    <w:rsid w:val="003B5299"/>
    <w:rsid w:val="003B5492"/>
    <w:rsid w:val="003B54D5"/>
    <w:rsid w:val="003B54FC"/>
    <w:rsid w:val="003B56A8"/>
    <w:rsid w:val="003B5925"/>
    <w:rsid w:val="003B5AD0"/>
    <w:rsid w:val="003B5D21"/>
    <w:rsid w:val="003B5D73"/>
    <w:rsid w:val="003B5DBB"/>
    <w:rsid w:val="003B5E02"/>
    <w:rsid w:val="003B5F77"/>
    <w:rsid w:val="003B616D"/>
    <w:rsid w:val="003B61B7"/>
    <w:rsid w:val="003B6524"/>
    <w:rsid w:val="003B6655"/>
    <w:rsid w:val="003B66F8"/>
    <w:rsid w:val="003B67C4"/>
    <w:rsid w:val="003B6907"/>
    <w:rsid w:val="003B6985"/>
    <w:rsid w:val="003B698C"/>
    <w:rsid w:val="003B6ABD"/>
    <w:rsid w:val="003B6C95"/>
    <w:rsid w:val="003B6DEF"/>
    <w:rsid w:val="003B6DFC"/>
    <w:rsid w:val="003B704C"/>
    <w:rsid w:val="003B709A"/>
    <w:rsid w:val="003B71D8"/>
    <w:rsid w:val="003B7270"/>
    <w:rsid w:val="003B7285"/>
    <w:rsid w:val="003B7292"/>
    <w:rsid w:val="003B72B2"/>
    <w:rsid w:val="003B73D2"/>
    <w:rsid w:val="003B74E3"/>
    <w:rsid w:val="003B76B9"/>
    <w:rsid w:val="003B782F"/>
    <w:rsid w:val="003B7870"/>
    <w:rsid w:val="003B78BF"/>
    <w:rsid w:val="003B79E4"/>
    <w:rsid w:val="003B7B4A"/>
    <w:rsid w:val="003B7CBF"/>
    <w:rsid w:val="003B7EF2"/>
    <w:rsid w:val="003C012C"/>
    <w:rsid w:val="003C017A"/>
    <w:rsid w:val="003C01F3"/>
    <w:rsid w:val="003C0232"/>
    <w:rsid w:val="003C02EA"/>
    <w:rsid w:val="003C03EA"/>
    <w:rsid w:val="003C042D"/>
    <w:rsid w:val="003C05F1"/>
    <w:rsid w:val="003C0635"/>
    <w:rsid w:val="003C0728"/>
    <w:rsid w:val="003C0771"/>
    <w:rsid w:val="003C0838"/>
    <w:rsid w:val="003C0839"/>
    <w:rsid w:val="003C0858"/>
    <w:rsid w:val="003C08C9"/>
    <w:rsid w:val="003C0A64"/>
    <w:rsid w:val="003C0AEF"/>
    <w:rsid w:val="003C0CF7"/>
    <w:rsid w:val="003C0EF9"/>
    <w:rsid w:val="003C0F00"/>
    <w:rsid w:val="003C0FDE"/>
    <w:rsid w:val="003C1052"/>
    <w:rsid w:val="003C112F"/>
    <w:rsid w:val="003C142A"/>
    <w:rsid w:val="003C171B"/>
    <w:rsid w:val="003C1800"/>
    <w:rsid w:val="003C18EA"/>
    <w:rsid w:val="003C1992"/>
    <w:rsid w:val="003C19BA"/>
    <w:rsid w:val="003C1AE2"/>
    <w:rsid w:val="003C1BA7"/>
    <w:rsid w:val="003C1C07"/>
    <w:rsid w:val="003C1C47"/>
    <w:rsid w:val="003C1C48"/>
    <w:rsid w:val="003C1CD3"/>
    <w:rsid w:val="003C1D14"/>
    <w:rsid w:val="003C1F33"/>
    <w:rsid w:val="003C1F37"/>
    <w:rsid w:val="003C1F94"/>
    <w:rsid w:val="003C1F95"/>
    <w:rsid w:val="003C2112"/>
    <w:rsid w:val="003C231B"/>
    <w:rsid w:val="003C231F"/>
    <w:rsid w:val="003C2364"/>
    <w:rsid w:val="003C241B"/>
    <w:rsid w:val="003C24EE"/>
    <w:rsid w:val="003C260E"/>
    <w:rsid w:val="003C2680"/>
    <w:rsid w:val="003C27D8"/>
    <w:rsid w:val="003C2905"/>
    <w:rsid w:val="003C29B5"/>
    <w:rsid w:val="003C2B9B"/>
    <w:rsid w:val="003C2C9C"/>
    <w:rsid w:val="003C2DC5"/>
    <w:rsid w:val="003C2EED"/>
    <w:rsid w:val="003C2F11"/>
    <w:rsid w:val="003C30AE"/>
    <w:rsid w:val="003C32E8"/>
    <w:rsid w:val="003C34D2"/>
    <w:rsid w:val="003C365D"/>
    <w:rsid w:val="003C3721"/>
    <w:rsid w:val="003C377B"/>
    <w:rsid w:val="003C3823"/>
    <w:rsid w:val="003C3853"/>
    <w:rsid w:val="003C387A"/>
    <w:rsid w:val="003C38B8"/>
    <w:rsid w:val="003C3D5A"/>
    <w:rsid w:val="003C3DA2"/>
    <w:rsid w:val="003C4129"/>
    <w:rsid w:val="003C414E"/>
    <w:rsid w:val="003C43AA"/>
    <w:rsid w:val="003C4517"/>
    <w:rsid w:val="003C452E"/>
    <w:rsid w:val="003C4713"/>
    <w:rsid w:val="003C484B"/>
    <w:rsid w:val="003C4A0A"/>
    <w:rsid w:val="003C4A7E"/>
    <w:rsid w:val="003C4AA6"/>
    <w:rsid w:val="003C4B16"/>
    <w:rsid w:val="003C4B56"/>
    <w:rsid w:val="003C4C9C"/>
    <w:rsid w:val="003C4E90"/>
    <w:rsid w:val="003C4F60"/>
    <w:rsid w:val="003C4F8F"/>
    <w:rsid w:val="003C5177"/>
    <w:rsid w:val="003C52CA"/>
    <w:rsid w:val="003C531A"/>
    <w:rsid w:val="003C5570"/>
    <w:rsid w:val="003C56B2"/>
    <w:rsid w:val="003C57E5"/>
    <w:rsid w:val="003C5909"/>
    <w:rsid w:val="003C5AD0"/>
    <w:rsid w:val="003C5B0C"/>
    <w:rsid w:val="003C5DB2"/>
    <w:rsid w:val="003C5F0E"/>
    <w:rsid w:val="003C6053"/>
    <w:rsid w:val="003C6093"/>
    <w:rsid w:val="003C616F"/>
    <w:rsid w:val="003C6228"/>
    <w:rsid w:val="003C68C8"/>
    <w:rsid w:val="003C69EE"/>
    <w:rsid w:val="003C6A8B"/>
    <w:rsid w:val="003C6B59"/>
    <w:rsid w:val="003C6BE0"/>
    <w:rsid w:val="003C6C3F"/>
    <w:rsid w:val="003C6C6A"/>
    <w:rsid w:val="003C6D86"/>
    <w:rsid w:val="003C6DA2"/>
    <w:rsid w:val="003C6FF9"/>
    <w:rsid w:val="003C7129"/>
    <w:rsid w:val="003C727F"/>
    <w:rsid w:val="003C72EA"/>
    <w:rsid w:val="003C7350"/>
    <w:rsid w:val="003C7410"/>
    <w:rsid w:val="003C7511"/>
    <w:rsid w:val="003C7692"/>
    <w:rsid w:val="003C7712"/>
    <w:rsid w:val="003C7740"/>
    <w:rsid w:val="003C77D0"/>
    <w:rsid w:val="003C7831"/>
    <w:rsid w:val="003C7891"/>
    <w:rsid w:val="003C7928"/>
    <w:rsid w:val="003C793A"/>
    <w:rsid w:val="003C7B7A"/>
    <w:rsid w:val="003C7B8D"/>
    <w:rsid w:val="003D0077"/>
    <w:rsid w:val="003D0090"/>
    <w:rsid w:val="003D018C"/>
    <w:rsid w:val="003D03B2"/>
    <w:rsid w:val="003D03E4"/>
    <w:rsid w:val="003D0421"/>
    <w:rsid w:val="003D042B"/>
    <w:rsid w:val="003D049E"/>
    <w:rsid w:val="003D05C0"/>
    <w:rsid w:val="003D0604"/>
    <w:rsid w:val="003D06CC"/>
    <w:rsid w:val="003D0761"/>
    <w:rsid w:val="003D076D"/>
    <w:rsid w:val="003D07F0"/>
    <w:rsid w:val="003D090B"/>
    <w:rsid w:val="003D09FD"/>
    <w:rsid w:val="003D0AC3"/>
    <w:rsid w:val="003D0BA9"/>
    <w:rsid w:val="003D0DDD"/>
    <w:rsid w:val="003D0ECB"/>
    <w:rsid w:val="003D0ED6"/>
    <w:rsid w:val="003D1111"/>
    <w:rsid w:val="003D12B6"/>
    <w:rsid w:val="003D1450"/>
    <w:rsid w:val="003D1506"/>
    <w:rsid w:val="003D1830"/>
    <w:rsid w:val="003D1963"/>
    <w:rsid w:val="003D196A"/>
    <w:rsid w:val="003D1AA0"/>
    <w:rsid w:val="003D1B64"/>
    <w:rsid w:val="003D1CEC"/>
    <w:rsid w:val="003D1ED3"/>
    <w:rsid w:val="003D204C"/>
    <w:rsid w:val="003D2259"/>
    <w:rsid w:val="003D227D"/>
    <w:rsid w:val="003D2362"/>
    <w:rsid w:val="003D23F3"/>
    <w:rsid w:val="003D2541"/>
    <w:rsid w:val="003D26A5"/>
    <w:rsid w:val="003D2730"/>
    <w:rsid w:val="003D27DD"/>
    <w:rsid w:val="003D2811"/>
    <w:rsid w:val="003D294D"/>
    <w:rsid w:val="003D299E"/>
    <w:rsid w:val="003D2B30"/>
    <w:rsid w:val="003D2E02"/>
    <w:rsid w:val="003D2E83"/>
    <w:rsid w:val="003D2EC7"/>
    <w:rsid w:val="003D301D"/>
    <w:rsid w:val="003D3144"/>
    <w:rsid w:val="003D31D4"/>
    <w:rsid w:val="003D348D"/>
    <w:rsid w:val="003D3494"/>
    <w:rsid w:val="003D354B"/>
    <w:rsid w:val="003D3671"/>
    <w:rsid w:val="003D37DF"/>
    <w:rsid w:val="003D38CC"/>
    <w:rsid w:val="003D3990"/>
    <w:rsid w:val="003D3AF0"/>
    <w:rsid w:val="003D3B16"/>
    <w:rsid w:val="003D3C3C"/>
    <w:rsid w:val="003D3C87"/>
    <w:rsid w:val="003D41A8"/>
    <w:rsid w:val="003D430F"/>
    <w:rsid w:val="003D4325"/>
    <w:rsid w:val="003D4364"/>
    <w:rsid w:val="003D45BB"/>
    <w:rsid w:val="003D45C0"/>
    <w:rsid w:val="003D45F5"/>
    <w:rsid w:val="003D47E1"/>
    <w:rsid w:val="003D484D"/>
    <w:rsid w:val="003D4861"/>
    <w:rsid w:val="003D48C8"/>
    <w:rsid w:val="003D49C3"/>
    <w:rsid w:val="003D4DCF"/>
    <w:rsid w:val="003D55E1"/>
    <w:rsid w:val="003D55E2"/>
    <w:rsid w:val="003D55ED"/>
    <w:rsid w:val="003D57E3"/>
    <w:rsid w:val="003D599E"/>
    <w:rsid w:val="003D5A77"/>
    <w:rsid w:val="003D5DDD"/>
    <w:rsid w:val="003D5DFD"/>
    <w:rsid w:val="003D5F9A"/>
    <w:rsid w:val="003D6043"/>
    <w:rsid w:val="003D605D"/>
    <w:rsid w:val="003D6144"/>
    <w:rsid w:val="003D6169"/>
    <w:rsid w:val="003D6317"/>
    <w:rsid w:val="003D6333"/>
    <w:rsid w:val="003D63CF"/>
    <w:rsid w:val="003D6402"/>
    <w:rsid w:val="003D641A"/>
    <w:rsid w:val="003D6441"/>
    <w:rsid w:val="003D653D"/>
    <w:rsid w:val="003D658D"/>
    <w:rsid w:val="003D65D5"/>
    <w:rsid w:val="003D65F5"/>
    <w:rsid w:val="003D66BD"/>
    <w:rsid w:val="003D6769"/>
    <w:rsid w:val="003D6821"/>
    <w:rsid w:val="003D6860"/>
    <w:rsid w:val="003D6933"/>
    <w:rsid w:val="003D6A3D"/>
    <w:rsid w:val="003D6D7F"/>
    <w:rsid w:val="003D6E2E"/>
    <w:rsid w:val="003D6EE6"/>
    <w:rsid w:val="003D6F09"/>
    <w:rsid w:val="003D6FA0"/>
    <w:rsid w:val="003D711B"/>
    <w:rsid w:val="003D7120"/>
    <w:rsid w:val="003D71EB"/>
    <w:rsid w:val="003D72D8"/>
    <w:rsid w:val="003D7454"/>
    <w:rsid w:val="003D7525"/>
    <w:rsid w:val="003D75AB"/>
    <w:rsid w:val="003D77ED"/>
    <w:rsid w:val="003D77FD"/>
    <w:rsid w:val="003D784C"/>
    <w:rsid w:val="003D7A54"/>
    <w:rsid w:val="003D7BC2"/>
    <w:rsid w:val="003D7BEB"/>
    <w:rsid w:val="003D7F0B"/>
    <w:rsid w:val="003D7F2D"/>
    <w:rsid w:val="003E0028"/>
    <w:rsid w:val="003E0080"/>
    <w:rsid w:val="003E0116"/>
    <w:rsid w:val="003E0158"/>
    <w:rsid w:val="003E043E"/>
    <w:rsid w:val="003E0552"/>
    <w:rsid w:val="003E05DE"/>
    <w:rsid w:val="003E06B2"/>
    <w:rsid w:val="003E0BDD"/>
    <w:rsid w:val="003E0CA4"/>
    <w:rsid w:val="003E0E8A"/>
    <w:rsid w:val="003E0FC5"/>
    <w:rsid w:val="003E117F"/>
    <w:rsid w:val="003E1277"/>
    <w:rsid w:val="003E13E7"/>
    <w:rsid w:val="003E141D"/>
    <w:rsid w:val="003E1570"/>
    <w:rsid w:val="003E17CD"/>
    <w:rsid w:val="003E1879"/>
    <w:rsid w:val="003E1AD4"/>
    <w:rsid w:val="003E1AE6"/>
    <w:rsid w:val="003E208C"/>
    <w:rsid w:val="003E2160"/>
    <w:rsid w:val="003E22CB"/>
    <w:rsid w:val="003E2343"/>
    <w:rsid w:val="003E2392"/>
    <w:rsid w:val="003E239D"/>
    <w:rsid w:val="003E23B0"/>
    <w:rsid w:val="003E24E8"/>
    <w:rsid w:val="003E2640"/>
    <w:rsid w:val="003E27C5"/>
    <w:rsid w:val="003E28C5"/>
    <w:rsid w:val="003E2926"/>
    <w:rsid w:val="003E2A11"/>
    <w:rsid w:val="003E2AC9"/>
    <w:rsid w:val="003E2B40"/>
    <w:rsid w:val="003E2BE7"/>
    <w:rsid w:val="003E2C02"/>
    <w:rsid w:val="003E2CDF"/>
    <w:rsid w:val="003E2EBF"/>
    <w:rsid w:val="003E2F82"/>
    <w:rsid w:val="003E31BB"/>
    <w:rsid w:val="003E3226"/>
    <w:rsid w:val="003E322E"/>
    <w:rsid w:val="003E35A5"/>
    <w:rsid w:val="003E35D2"/>
    <w:rsid w:val="003E3885"/>
    <w:rsid w:val="003E3893"/>
    <w:rsid w:val="003E3BDB"/>
    <w:rsid w:val="003E3D4E"/>
    <w:rsid w:val="003E3D9B"/>
    <w:rsid w:val="003E406B"/>
    <w:rsid w:val="003E4152"/>
    <w:rsid w:val="003E454E"/>
    <w:rsid w:val="003E47C5"/>
    <w:rsid w:val="003E482B"/>
    <w:rsid w:val="003E4A08"/>
    <w:rsid w:val="003E4CA1"/>
    <w:rsid w:val="003E4D9C"/>
    <w:rsid w:val="003E4F96"/>
    <w:rsid w:val="003E502D"/>
    <w:rsid w:val="003E5209"/>
    <w:rsid w:val="003E52E6"/>
    <w:rsid w:val="003E52EA"/>
    <w:rsid w:val="003E5429"/>
    <w:rsid w:val="003E5774"/>
    <w:rsid w:val="003E578A"/>
    <w:rsid w:val="003E5825"/>
    <w:rsid w:val="003E5899"/>
    <w:rsid w:val="003E58E2"/>
    <w:rsid w:val="003E5C79"/>
    <w:rsid w:val="003E5CCA"/>
    <w:rsid w:val="003E5DD0"/>
    <w:rsid w:val="003E5F3D"/>
    <w:rsid w:val="003E5F8E"/>
    <w:rsid w:val="003E6346"/>
    <w:rsid w:val="003E63B8"/>
    <w:rsid w:val="003E6937"/>
    <w:rsid w:val="003E6D4C"/>
    <w:rsid w:val="003E6E0B"/>
    <w:rsid w:val="003E6F57"/>
    <w:rsid w:val="003E6F88"/>
    <w:rsid w:val="003E71A8"/>
    <w:rsid w:val="003E72A7"/>
    <w:rsid w:val="003E732F"/>
    <w:rsid w:val="003E754F"/>
    <w:rsid w:val="003E7773"/>
    <w:rsid w:val="003E79BA"/>
    <w:rsid w:val="003E7A07"/>
    <w:rsid w:val="003E7B13"/>
    <w:rsid w:val="003E7E29"/>
    <w:rsid w:val="003E7FB3"/>
    <w:rsid w:val="003F011D"/>
    <w:rsid w:val="003F0122"/>
    <w:rsid w:val="003F031E"/>
    <w:rsid w:val="003F03BE"/>
    <w:rsid w:val="003F03EB"/>
    <w:rsid w:val="003F0578"/>
    <w:rsid w:val="003F05DE"/>
    <w:rsid w:val="003F05F5"/>
    <w:rsid w:val="003F07C3"/>
    <w:rsid w:val="003F0A13"/>
    <w:rsid w:val="003F0A43"/>
    <w:rsid w:val="003F0B6B"/>
    <w:rsid w:val="003F0C85"/>
    <w:rsid w:val="003F0E40"/>
    <w:rsid w:val="003F1011"/>
    <w:rsid w:val="003F115E"/>
    <w:rsid w:val="003F12FD"/>
    <w:rsid w:val="003F1356"/>
    <w:rsid w:val="003F1372"/>
    <w:rsid w:val="003F1379"/>
    <w:rsid w:val="003F1487"/>
    <w:rsid w:val="003F14C2"/>
    <w:rsid w:val="003F1729"/>
    <w:rsid w:val="003F199D"/>
    <w:rsid w:val="003F19B8"/>
    <w:rsid w:val="003F1B2F"/>
    <w:rsid w:val="003F1B3E"/>
    <w:rsid w:val="003F1BC7"/>
    <w:rsid w:val="003F1CC5"/>
    <w:rsid w:val="003F1E19"/>
    <w:rsid w:val="003F1EE1"/>
    <w:rsid w:val="003F1F25"/>
    <w:rsid w:val="003F2081"/>
    <w:rsid w:val="003F20DC"/>
    <w:rsid w:val="003F21EC"/>
    <w:rsid w:val="003F21F0"/>
    <w:rsid w:val="003F2203"/>
    <w:rsid w:val="003F2210"/>
    <w:rsid w:val="003F229A"/>
    <w:rsid w:val="003F2422"/>
    <w:rsid w:val="003F25AE"/>
    <w:rsid w:val="003F2608"/>
    <w:rsid w:val="003F26EA"/>
    <w:rsid w:val="003F2758"/>
    <w:rsid w:val="003F2759"/>
    <w:rsid w:val="003F2778"/>
    <w:rsid w:val="003F29C6"/>
    <w:rsid w:val="003F2DD2"/>
    <w:rsid w:val="003F305F"/>
    <w:rsid w:val="003F3154"/>
    <w:rsid w:val="003F31D0"/>
    <w:rsid w:val="003F328B"/>
    <w:rsid w:val="003F3617"/>
    <w:rsid w:val="003F3658"/>
    <w:rsid w:val="003F365E"/>
    <w:rsid w:val="003F3810"/>
    <w:rsid w:val="003F391C"/>
    <w:rsid w:val="003F396B"/>
    <w:rsid w:val="003F3B04"/>
    <w:rsid w:val="003F3ED4"/>
    <w:rsid w:val="003F3F20"/>
    <w:rsid w:val="003F4353"/>
    <w:rsid w:val="003F43FD"/>
    <w:rsid w:val="003F44AD"/>
    <w:rsid w:val="003F4580"/>
    <w:rsid w:val="003F462F"/>
    <w:rsid w:val="003F4634"/>
    <w:rsid w:val="003F494F"/>
    <w:rsid w:val="003F4991"/>
    <w:rsid w:val="003F4AB9"/>
    <w:rsid w:val="003F4ACB"/>
    <w:rsid w:val="003F4C56"/>
    <w:rsid w:val="003F4F42"/>
    <w:rsid w:val="003F5039"/>
    <w:rsid w:val="003F50F2"/>
    <w:rsid w:val="003F5115"/>
    <w:rsid w:val="003F531E"/>
    <w:rsid w:val="003F535C"/>
    <w:rsid w:val="003F53C0"/>
    <w:rsid w:val="003F5486"/>
    <w:rsid w:val="003F54E4"/>
    <w:rsid w:val="003F553D"/>
    <w:rsid w:val="003F5560"/>
    <w:rsid w:val="003F5622"/>
    <w:rsid w:val="003F56D7"/>
    <w:rsid w:val="003F57EB"/>
    <w:rsid w:val="003F5875"/>
    <w:rsid w:val="003F5AFC"/>
    <w:rsid w:val="003F5B5F"/>
    <w:rsid w:val="003F5B81"/>
    <w:rsid w:val="003F5E06"/>
    <w:rsid w:val="003F5F79"/>
    <w:rsid w:val="003F6090"/>
    <w:rsid w:val="003F60A3"/>
    <w:rsid w:val="003F6380"/>
    <w:rsid w:val="003F679B"/>
    <w:rsid w:val="003F6945"/>
    <w:rsid w:val="003F695C"/>
    <w:rsid w:val="003F6A2E"/>
    <w:rsid w:val="003F6AD4"/>
    <w:rsid w:val="003F6D55"/>
    <w:rsid w:val="003F6DB9"/>
    <w:rsid w:val="003F6E06"/>
    <w:rsid w:val="003F6EDE"/>
    <w:rsid w:val="003F6EEB"/>
    <w:rsid w:val="003F6F88"/>
    <w:rsid w:val="003F7196"/>
    <w:rsid w:val="003F7279"/>
    <w:rsid w:val="003F72CD"/>
    <w:rsid w:val="003F7475"/>
    <w:rsid w:val="003F75FF"/>
    <w:rsid w:val="003F76E5"/>
    <w:rsid w:val="003F7A6D"/>
    <w:rsid w:val="003F7B00"/>
    <w:rsid w:val="003F7B3A"/>
    <w:rsid w:val="003F7D49"/>
    <w:rsid w:val="003F7D8C"/>
    <w:rsid w:val="00400324"/>
    <w:rsid w:val="0040038C"/>
    <w:rsid w:val="0040039D"/>
    <w:rsid w:val="00400402"/>
    <w:rsid w:val="00400434"/>
    <w:rsid w:val="004006B6"/>
    <w:rsid w:val="004006F9"/>
    <w:rsid w:val="004008AF"/>
    <w:rsid w:val="00400956"/>
    <w:rsid w:val="00400960"/>
    <w:rsid w:val="00400A87"/>
    <w:rsid w:val="00400AD4"/>
    <w:rsid w:val="00400B5F"/>
    <w:rsid w:val="00400B7C"/>
    <w:rsid w:val="00400C23"/>
    <w:rsid w:val="00400D12"/>
    <w:rsid w:val="00400F5F"/>
    <w:rsid w:val="00401030"/>
    <w:rsid w:val="00401167"/>
    <w:rsid w:val="00401208"/>
    <w:rsid w:val="0040192B"/>
    <w:rsid w:val="00401A5A"/>
    <w:rsid w:val="00401A8A"/>
    <w:rsid w:val="00401DBF"/>
    <w:rsid w:val="00401EEA"/>
    <w:rsid w:val="00401F67"/>
    <w:rsid w:val="0040208B"/>
    <w:rsid w:val="004020ED"/>
    <w:rsid w:val="004021E2"/>
    <w:rsid w:val="0040228B"/>
    <w:rsid w:val="004022C7"/>
    <w:rsid w:val="004023A0"/>
    <w:rsid w:val="00402440"/>
    <w:rsid w:val="00402449"/>
    <w:rsid w:val="00402577"/>
    <w:rsid w:val="00402683"/>
    <w:rsid w:val="004026C0"/>
    <w:rsid w:val="0040276F"/>
    <w:rsid w:val="0040285E"/>
    <w:rsid w:val="004029B1"/>
    <w:rsid w:val="00402AD8"/>
    <w:rsid w:val="00402F20"/>
    <w:rsid w:val="00403043"/>
    <w:rsid w:val="0040329A"/>
    <w:rsid w:val="004032FE"/>
    <w:rsid w:val="004033D9"/>
    <w:rsid w:val="0040352C"/>
    <w:rsid w:val="00403881"/>
    <w:rsid w:val="00403988"/>
    <w:rsid w:val="00403BC0"/>
    <w:rsid w:val="004041EC"/>
    <w:rsid w:val="00404215"/>
    <w:rsid w:val="00404309"/>
    <w:rsid w:val="004043F3"/>
    <w:rsid w:val="004048A1"/>
    <w:rsid w:val="00404A94"/>
    <w:rsid w:val="00404C04"/>
    <w:rsid w:val="00404CB9"/>
    <w:rsid w:val="00404D04"/>
    <w:rsid w:val="00404FA5"/>
    <w:rsid w:val="0040544B"/>
    <w:rsid w:val="0040551F"/>
    <w:rsid w:val="00405935"/>
    <w:rsid w:val="00405D5E"/>
    <w:rsid w:val="00405DE6"/>
    <w:rsid w:val="00405F52"/>
    <w:rsid w:val="004062F9"/>
    <w:rsid w:val="00406348"/>
    <w:rsid w:val="00406483"/>
    <w:rsid w:val="0040664D"/>
    <w:rsid w:val="004066B9"/>
    <w:rsid w:val="00406839"/>
    <w:rsid w:val="0040684D"/>
    <w:rsid w:val="004069B6"/>
    <w:rsid w:val="00406A28"/>
    <w:rsid w:val="00406AE7"/>
    <w:rsid w:val="00406E2C"/>
    <w:rsid w:val="00406F17"/>
    <w:rsid w:val="00406FE8"/>
    <w:rsid w:val="004070B5"/>
    <w:rsid w:val="0040730E"/>
    <w:rsid w:val="004073F1"/>
    <w:rsid w:val="004074C7"/>
    <w:rsid w:val="004074FF"/>
    <w:rsid w:val="0040769A"/>
    <w:rsid w:val="0040771F"/>
    <w:rsid w:val="00407F3B"/>
    <w:rsid w:val="004100A6"/>
    <w:rsid w:val="0041010B"/>
    <w:rsid w:val="00410157"/>
    <w:rsid w:val="00410180"/>
    <w:rsid w:val="0041027F"/>
    <w:rsid w:val="004103C3"/>
    <w:rsid w:val="004107BB"/>
    <w:rsid w:val="00410829"/>
    <w:rsid w:val="004108CD"/>
    <w:rsid w:val="004108F0"/>
    <w:rsid w:val="00410A55"/>
    <w:rsid w:val="00410ADA"/>
    <w:rsid w:val="00410B2D"/>
    <w:rsid w:val="00410C85"/>
    <w:rsid w:val="00410C9A"/>
    <w:rsid w:val="00410CB0"/>
    <w:rsid w:val="00410CFB"/>
    <w:rsid w:val="00410DA7"/>
    <w:rsid w:val="00410F11"/>
    <w:rsid w:val="004110A0"/>
    <w:rsid w:val="004111F7"/>
    <w:rsid w:val="00411203"/>
    <w:rsid w:val="00411224"/>
    <w:rsid w:val="0041124B"/>
    <w:rsid w:val="004114AE"/>
    <w:rsid w:val="00411507"/>
    <w:rsid w:val="00411B1E"/>
    <w:rsid w:val="00411F22"/>
    <w:rsid w:val="0041217D"/>
    <w:rsid w:val="00412277"/>
    <w:rsid w:val="0041236B"/>
    <w:rsid w:val="004124CD"/>
    <w:rsid w:val="00412518"/>
    <w:rsid w:val="00412588"/>
    <w:rsid w:val="004125C6"/>
    <w:rsid w:val="0041265C"/>
    <w:rsid w:val="0041275F"/>
    <w:rsid w:val="0041277F"/>
    <w:rsid w:val="00412923"/>
    <w:rsid w:val="00412AA5"/>
    <w:rsid w:val="00412AE3"/>
    <w:rsid w:val="00412BEE"/>
    <w:rsid w:val="00412C77"/>
    <w:rsid w:val="00412D79"/>
    <w:rsid w:val="00412E5B"/>
    <w:rsid w:val="0041300E"/>
    <w:rsid w:val="00413156"/>
    <w:rsid w:val="004137F5"/>
    <w:rsid w:val="00413CFD"/>
    <w:rsid w:val="00413D6B"/>
    <w:rsid w:val="00413E0C"/>
    <w:rsid w:val="00413EFE"/>
    <w:rsid w:val="00413F0B"/>
    <w:rsid w:val="004141D5"/>
    <w:rsid w:val="004141FA"/>
    <w:rsid w:val="00414275"/>
    <w:rsid w:val="004144E4"/>
    <w:rsid w:val="004146F7"/>
    <w:rsid w:val="00414737"/>
    <w:rsid w:val="00414812"/>
    <w:rsid w:val="004148FC"/>
    <w:rsid w:val="00414D68"/>
    <w:rsid w:val="00414D8D"/>
    <w:rsid w:val="00414DCF"/>
    <w:rsid w:val="00414E39"/>
    <w:rsid w:val="00415106"/>
    <w:rsid w:val="004151D4"/>
    <w:rsid w:val="00415209"/>
    <w:rsid w:val="00415230"/>
    <w:rsid w:val="0041547E"/>
    <w:rsid w:val="0041562D"/>
    <w:rsid w:val="00415656"/>
    <w:rsid w:val="0041578A"/>
    <w:rsid w:val="004159F4"/>
    <w:rsid w:val="00415AC8"/>
    <w:rsid w:val="00415AF0"/>
    <w:rsid w:val="00415C25"/>
    <w:rsid w:val="00415C35"/>
    <w:rsid w:val="00415CAA"/>
    <w:rsid w:val="00415E0F"/>
    <w:rsid w:val="00416097"/>
    <w:rsid w:val="0041611E"/>
    <w:rsid w:val="00416166"/>
    <w:rsid w:val="004161FB"/>
    <w:rsid w:val="00416477"/>
    <w:rsid w:val="00416499"/>
    <w:rsid w:val="004164F7"/>
    <w:rsid w:val="00416544"/>
    <w:rsid w:val="00416623"/>
    <w:rsid w:val="00416719"/>
    <w:rsid w:val="00416800"/>
    <w:rsid w:val="004169F0"/>
    <w:rsid w:val="00416A48"/>
    <w:rsid w:val="00416AA0"/>
    <w:rsid w:val="00416BE5"/>
    <w:rsid w:val="00416D0B"/>
    <w:rsid w:val="00416EA6"/>
    <w:rsid w:val="00416ED5"/>
    <w:rsid w:val="0041721A"/>
    <w:rsid w:val="00417336"/>
    <w:rsid w:val="004173D4"/>
    <w:rsid w:val="004173E5"/>
    <w:rsid w:val="004174BC"/>
    <w:rsid w:val="004176A3"/>
    <w:rsid w:val="004177E7"/>
    <w:rsid w:val="00417975"/>
    <w:rsid w:val="0041797B"/>
    <w:rsid w:val="00417A75"/>
    <w:rsid w:val="00417AFE"/>
    <w:rsid w:val="00417B5D"/>
    <w:rsid w:val="00417C64"/>
    <w:rsid w:val="00417CAD"/>
    <w:rsid w:val="00420008"/>
    <w:rsid w:val="00420034"/>
    <w:rsid w:val="004200AA"/>
    <w:rsid w:val="0042040C"/>
    <w:rsid w:val="00420411"/>
    <w:rsid w:val="004204AA"/>
    <w:rsid w:val="00420562"/>
    <w:rsid w:val="004205F2"/>
    <w:rsid w:val="004208A2"/>
    <w:rsid w:val="0042093B"/>
    <w:rsid w:val="004209D2"/>
    <w:rsid w:val="00420BF2"/>
    <w:rsid w:val="00420CE1"/>
    <w:rsid w:val="00420ECA"/>
    <w:rsid w:val="00420F00"/>
    <w:rsid w:val="00420FB8"/>
    <w:rsid w:val="0042110F"/>
    <w:rsid w:val="00421147"/>
    <w:rsid w:val="004213F2"/>
    <w:rsid w:val="004214AC"/>
    <w:rsid w:val="0042178B"/>
    <w:rsid w:val="00421939"/>
    <w:rsid w:val="0042198C"/>
    <w:rsid w:val="00421A11"/>
    <w:rsid w:val="00421A89"/>
    <w:rsid w:val="00421C0A"/>
    <w:rsid w:val="00421CDA"/>
    <w:rsid w:val="00421EBC"/>
    <w:rsid w:val="004220D1"/>
    <w:rsid w:val="00422135"/>
    <w:rsid w:val="004221AF"/>
    <w:rsid w:val="004222FC"/>
    <w:rsid w:val="00422307"/>
    <w:rsid w:val="00422362"/>
    <w:rsid w:val="00422385"/>
    <w:rsid w:val="0042256E"/>
    <w:rsid w:val="004225F9"/>
    <w:rsid w:val="004226CA"/>
    <w:rsid w:val="00422950"/>
    <w:rsid w:val="0042297A"/>
    <w:rsid w:val="00422984"/>
    <w:rsid w:val="00422A22"/>
    <w:rsid w:val="00422C50"/>
    <w:rsid w:val="00422DF5"/>
    <w:rsid w:val="0042304B"/>
    <w:rsid w:val="00423188"/>
    <w:rsid w:val="004231DC"/>
    <w:rsid w:val="0042320D"/>
    <w:rsid w:val="00423280"/>
    <w:rsid w:val="004233AA"/>
    <w:rsid w:val="004235B7"/>
    <w:rsid w:val="00423888"/>
    <w:rsid w:val="004238C5"/>
    <w:rsid w:val="0042390A"/>
    <w:rsid w:val="00423AD3"/>
    <w:rsid w:val="00423BF6"/>
    <w:rsid w:val="00424084"/>
    <w:rsid w:val="00424085"/>
    <w:rsid w:val="004242B1"/>
    <w:rsid w:val="004243E7"/>
    <w:rsid w:val="0042453B"/>
    <w:rsid w:val="00424661"/>
    <w:rsid w:val="00424983"/>
    <w:rsid w:val="004249B9"/>
    <w:rsid w:val="00424AE1"/>
    <w:rsid w:val="00424B19"/>
    <w:rsid w:val="00424C1F"/>
    <w:rsid w:val="00424C8E"/>
    <w:rsid w:val="00424F14"/>
    <w:rsid w:val="004251C8"/>
    <w:rsid w:val="0042552B"/>
    <w:rsid w:val="004255CA"/>
    <w:rsid w:val="00425607"/>
    <w:rsid w:val="00425729"/>
    <w:rsid w:val="0042577D"/>
    <w:rsid w:val="0042579F"/>
    <w:rsid w:val="004259F7"/>
    <w:rsid w:val="00425CA3"/>
    <w:rsid w:val="00425DCE"/>
    <w:rsid w:val="00425DF5"/>
    <w:rsid w:val="00425F13"/>
    <w:rsid w:val="00425FEE"/>
    <w:rsid w:val="00426027"/>
    <w:rsid w:val="00426037"/>
    <w:rsid w:val="00426060"/>
    <w:rsid w:val="0042609F"/>
    <w:rsid w:val="00426445"/>
    <w:rsid w:val="004264CF"/>
    <w:rsid w:val="004264D3"/>
    <w:rsid w:val="004266D0"/>
    <w:rsid w:val="00426735"/>
    <w:rsid w:val="00426997"/>
    <w:rsid w:val="004269DA"/>
    <w:rsid w:val="00426A4C"/>
    <w:rsid w:val="00426CD9"/>
    <w:rsid w:val="00426E9C"/>
    <w:rsid w:val="00426F72"/>
    <w:rsid w:val="00427068"/>
    <w:rsid w:val="00427229"/>
    <w:rsid w:val="0042724E"/>
    <w:rsid w:val="004273AD"/>
    <w:rsid w:val="004273DD"/>
    <w:rsid w:val="0042754F"/>
    <w:rsid w:val="0042756B"/>
    <w:rsid w:val="004275DB"/>
    <w:rsid w:val="004275F0"/>
    <w:rsid w:val="00427724"/>
    <w:rsid w:val="004278AF"/>
    <w:rsid w:val="00427A97"/>
    <w:rsid w:val="00427BBB"/>
    <w:rsid w:val="00427E10"/>
    <w:rsid w:val="00427F76"/>
    <w:rsid w:val="004300BE"/>
    <w:rsid w:val="00430137"/>
    <w:rsid w:val="004302A4"/>
    <w:rsid w:val="004303A9"/>
    <w:rsid w:val="004303EA"/>
    <w:rsid w:val="004304EB"/>
    <w:rsid w:val="004305AE"/>
    <w:rsid w:val="004305EF"/>
    <w:rsid w:val="0043073F"/>
    <w:rsid w:val="00430902"/>
    <w:rsid w:val="004309DD"/>
    <w:rsid w:val="00430A2C"/>
    <w:rsid w:val="00430D66"/>
    <w:rsid w:val="00430DC8"/>
    <w:rsid w:val="00430EC0"/>
    <w:rsid w:val="00430F8E"/>
    <w:rsid w:val="0043120C"/>
    <w:rsid w:val="00431429"/>
    <w:rsid w:val="004315D9"/>
    <w:rsid w:val="00431669"/>
    <w:rsid w:val="004316CF"/>
    <w:rsid w:val="00431789"/>
    <w:rsid w:val="004317B5"/>
    <w:rsid w:val="00431800"/>
    <w:rsid w:val="0043191E"/>
    <w:rsid w:val="004319B4"/>
    <w:rsid w:val="00431A45"/>
    <w:rsid w:val="00431A81"/>
    <w:rsid w:val="00431ABA"/>
    <w:rsid w:val="00431C7A"/>
    <w:rsid w:val="00431D68"/>
    <w:rsid w:val="00431F71"/>
    <w:rsid w:val="00432007"/>
    <w:rsid w:val="00432314"/>
    <w:rsid w:val="004323E7"/>
    <w:rsid w:val="00432AA5"/>
    <w:rsid w:val="00432C2C"/>
    <w:rsid w:val="00432D67"/>
    <w:rsid w:val="00432E47"/>
    <w:rsid w:val="00432F81"/>
    <w:rsid w:val="00433183"/>
    <w:rsid w:val="004331F4"/>
    <w:rsid w:val="00433541"/>
    <w:rsid w:val="004336ED"/>
    <w:rsid w:val="00433988"/>
    <w:rsid w:val="00433A5D"/>
    <w:rsid w:val="00433BA7"/>
    <w:rsid w:val="00433CD9"/>
    <w:rsid w:val="00433D70"/>
    <w:rsid w:val="00433E61"/>
    <w:rsid w:val="00433F1A"/>
    <w:rsid w:val="00433F8F"/>
    <w:rsid w:val="00434010"/>
    <w:rsid w:val="0043406C"/>
    <w:rsid w:val="00434144"/>
    <w:rsid w:val="0043421D"/>
    <w:rsid w:val="00434707"/>
    <w:rsid w:val="004347FA"/>
    <w:rsid w:val="004349D5"/>
    <w:rsid w:val="00434A18"/>
    <w:rsid w:val="00434B77"/>
    <w:rsid w:val="00434BEF"/>
    <w:rsid w:val="00434D06"/>
    <w:rsid w:val="00434F90"/>
    <w:rsid w:val="00435265"/>
    <w:rsid w:val="004352F7"/>
    <w:rsid w:val="00435537"/>
    <w:rsid w:val="004355EE"/>
    <w:rsid w:val="00435623"/>
    <w:rsid w:val="0043568C"/>
    <w:rsid w:val="004357C9"/>
    <w:rsid w:val="00435938"/>
    <w:rsid w:val="00435AD5"/>
    <w:rsid w:val="00435C2B"/>
    <w:rsid w:val="00435F2E"/>
    <w:rsid w:val="00436240"/>
    <w:rsid w:val="004362C2"/>
    <w:rsid w:val="0043649E"/>
    <w:rsid w:val="004364D6"/>
    <w:rsid w:val="00436514"/>
    <w:rsid w:val="004365D7"/>
    <w:rsid w:val="00436676"/>
    <w:rsid w:val="00436931"/>
    <w:rsid w:val="00436BD0"/>
    <w:rsid w:val="00436F9D"/>
    <w:rsid w:val="004370B0"/>
    <w:rsid w:val="00437125"/>
    <w:rsid w:val="004371BB"/>
    <w:rsid w:val="00437260"/>
    <w:rsid w:val="004373BF"/>
    <w:rsid w:val="004376AE"/>
    <w:rsid w:val="00437758"/>
    <w:rsid w:val="00437761"/>
    <w:rsid w:val="00437762"/>
    <w:rsid w:val="004378B3"/>
    <w:rsid w:val="00437ACD"/>
    <w:rsid w:val="00437CC3"/>
    <w:rsid w:val="0044020B"/>
    <w:rsid w:val="00440228"/>
    <w:rsid w:val="0044057A"/>
    <w:rsid w:val="0044061E"/>
    <w:rsid w:val="00440623"/>
    <w:rsid w:val="00440741"/>
    <w:rsid w:val="00440775"/>
    <w:rsid w:val="0044080D"/>
    <w:rsid w:val="00440935"/>
    <w:rsid w:val="004409BC"/>
    <w:rsid w:val="00440A82"/>
    <w:rsid w:val="00440B2C"/>
    <w:rsid w:val="00440BF9"/>
    <w:rsid w:val="00440C16"/>
    <w:rsid w:val="00440DC2"/>
    <w:rsid w:val="00440E99"/>
    <w:rsid w:val="00441238"/>
    <w:rsid w:val="004413A0"/>
    <w:rsid w:val="004413D4"/>
    <w:rsid w:val="0044178C"/>
    <w:rsid w:val="0044184B"/>
    <w:rsid w:val="004418A6"/>
    <w:rsid w:val="00441CCB"/>
    <w:rsid w:val="00441E0D"/>
    <w:rsid w:val="00441F38"/>
    <w:rsid w:val="00441FA3"/>
    <w:rsid w:val="004421C5"/>
    <w:rsid w:val="0044223C"/>
    <w:rsid w:val="0044225F"/>
    <w:rsid w:val="0044226D"/>
    <w:rsid w:val="0044239A"/>
    <w:rsid w:val="004423C7"/>
    <w:rsid w:val="004423CB"/>
    <w:rsid w:val="004423F7"/>
    <w:rsid w:val="004425DF"/>
    <w:rsid w:val="00442712"/>
    <w:rsid w:val="004428A5"/>
    <w:rsid w:val="004428E7"/>
    <w:rsid w:val="00442961"/>
    <w:rsid w:val="00442A30"/>
    <w:rsid w:val="00442A37"/>
    <w:rsid w:val="00442A49"/>
    <w:rsid w:val="00442A76"/>
    <w:rsid w:val="00442A84"/>
    <w:rsid w:val="00442B7B"/>
    <w:rsid w:val="00442BEA"/>
    <w:rsid w:val="00442DB6"/>
    <w:rsid w:val="00443253"/>
    <w:rsid w:val="004436A2"/>
    <w:rsid w:val="004436B4"/>
    <w:rsid w:val="004436D3"/>
    <w:rsid w:val="0044385C"/>
    <w:rsid w:val="0044388E"/>
    <w:rsid w:val="00443CD0"/>
    <w:rsid w:val="00443E35"/>
    <w:rsid w:val="0044414E"/>
    <w:rsid w:val="0044419A"/>
    <w:rsid w:val="0044430B"/>
    <w:rsid w:val="0044432A"/>
    <w:rsid w:val="0044435A"/>
    <w:rsid w:val="00444397"/>
    <w:rsid w:val="00444759"/>
    <w:rsid w:val="00444835"/>
    <w:rsid w:val="00444A27"/>
    <w:rsid w:val="00444CA9"/>
    <w:rsid w:val="00444F3E"/>
    <w:rsid w:val="00444F9E"/>
    <w:rsid w:val="0044510D"/>
    <w:rsid w:val="0044515D"/>
    <w:rsid w:val="00445296"/>
    <w:rsid w:val="004453DC"/>
    <w:rsid w:val="00445450"/>
    <w:rsid w:val="004456D0"/>
    <w:rsid w:val="0044571C"/>
    <w:rsid w:val="00445A53"/>
    <w:rsid w:val="00445CA2"/>
    <w:rsid w:val="00445D38"/>
    <w:rsid w:val="00445ED6"/>
    <w:rsid w:val="00445EEF"/>
    <w:rsid w:val="00445F17"/>
    <w:rsid w:val="00446436"/>
    <w:rsid w:val="004465CE"/>
    <w:rsid w:val="0044688A"/>
    <w:rsid w:val="004468D5"/>
    <w:rsid w:val="0044690B"/>
    <w:rsid w:val="00446BBE"/>
    <w:rsid w:val="00446C5A"/>
    <w:rsid w:val="00446DA2"/>
    <w:rsid w:val="00446EB7"/>
    <w:rsid w:val="00446F3E"/>
    <w:rsid w:val="00446FAE"/>
    <w:rsid w:val="00447002"/>
    <w:rsid w:val="00447003"/>
    <w:rsid w:val="004470BC"/>
    <w:rsid w:val="004471F6"/>
    <w:rsid w:val="004472F4"/>
    <w:rsid w:val="0044743B"/>
    <w:rsid w:val="00447538"/>
    <w:rsid w:val="004475A8"/>
    <w:rsid w:val="0044782C"/>
    <w:rsid w:val="00447940"/>
    <w:rsid w:val="004479A5"/>
    <w:rsid w:val="00447A3B"/>
    <w:rsid w:val="00447B13"/>
    <w:rsid w:val="00447B39"/>
    <w:rsid w:val="00447BA9"/>
    <w:rsid w:val="00447BE9"/>
    <w:rsid w:val="00447C03"/>
    <w:rsid w:val="00447C36"/>
    <w:rsid w:val="00447FBF"/>
    <w:rsid w:val="00450020"/>
    <w:rsid w:val="004500A8"/>
    <w:rsid w:val="00450190"/>
    <w:rsid w:val="00450391"/>
    <w:rsid w:val="004503FA"/>
    <w:rsid w:val="00450548"/>
    <w:rsid w:val="0045054C"/>
    <w:rsid w:val="00450593"/>
    <w:rsid w:val="004505B7"/>
    <w:rsid w:val="004506C1"/>
    <w:rsid w:val="004506FA"/>
    <w:rsid w:val="00450791"/>
    <w:rsid w:val="0045093D"/>
    <w:rsid w:val="00450980"/>
    <w:rsid w:val="00450B0B"/>
    <w:rsid w:val="00450C76"/>
    <w:rsid w:val="00450CDE"/>
    <w:rsid w:val="00450FF3"/>
    <w:rsid w:val="0045106D"/>
    <w:rsid w:val="00451176"/>
    <w:rsid w:val="004511AD"/>
    <w:rsid w:val="0045124C"/>
    <w:rsid w:val="00451449"/>
    <w:rsid w:val="00451586"/>
    <w:rsid w:val="00451599"/>
    <w:rsid w:val="00451645"/>
    <w:rsid w:val="00451B04"/>
    <w:rsid w:val="00451C31"/>
    <w:rsid w:val="00451C8D"/>
    <w:rsid w:val="00451CE3"/>
    <w:rsid w:val="004522C0"/>
    <w:rsid w:val="004522DA"/>
    <w:rsid w:val="0045230F"/>
    <w:rsid w:val="0045250D"/>
    <w:rsid w:val="00452588"/>
    <w:rsid w:val="004525D9"/>
    <w:rsid w:val="0045273E"/>
    <w:rsid w:val="00452871"/>
    <w:rsid w:val="0045288E"/>
    <w:rsid w:val="00452920"/>
    <w:rsid w:val="00452A2E"/>
    <w:rsid w:val="00452A46"/>
    <w:rsid w:val="00452B2B"/>
    <w:rsid w:val="00452B9E"/>
    <w:rsid w:val="00452BF8"/>
    <w:rsid w:val="00452CF1"/>
    <w:rsid w:val="00452E23"/>
    <w:rsid w:val="004533AF"/>
    <w:rsid w:val="004535F0"/>
    <w:rsid w:val="00453770"/>
    <w:rsid w:val="00453BA9"/>
    <w:rsid w:val="00453BEF"/>
    <w:rsid w:val="00453CDD"/>
    <w:rsid w:val="00453E31"/>
    <w:rsid w:val="00453E71"/>
    <w:rsid w:val="00453EBA"/>
    <w:rsid w:val="00453F4F"/>
    <w:rsid w:val="00453F98"/>
    <w:rsid w:val="00454313"/>
    <w:rsid w:val="00454334"/>
    <w:rsid w:val="004543B4"/>
    <w:rsid w:val="004543FD"/>
    <w:rsid w:val="0045454D"/>
    <w:rsid w:val="00454686"/>
    <w:rsid w:val="004548DA"/>
    <w:rsid w:val="00454AA2"/>
    <w:rsid w:val="00454BC5"/>
    <w:rsid w:val="00454D31"/>
    <w:rsid w:val="00454E86"/>
    <w:rsid w:val="00454EEF"/>
    <w:rsid w:val="00454F8E"/>
    <w:rsid w:val="00455063"/>
    <w:rsid w:val="00455071"/>
    <w:rsid w:val="004550B6"/>
    <w:rsid w:val="004550C7"/>
    <w:rsid w:val="004550E8"/>
    <w:rsid w:val="00455273"/>
    <w:rsid w:val="00455436"/>
    <w:rsid w:val="004554A5"/>
    <w:rsid w:val="004554AD"/>
    <w:rsid w:val="00455764"/>
    <w:rsid w:val="004557FA"/>
    <w:rsid w:val="00455829"/>
    <w:rsid w:val="004558F2"/>
    <w:rsid w:val="00455A65"/>
    <w:rsid w:val="00455AC4"/>
    <w:rsid w:val="00455E84"/>
    <w:rsid w:val="00455F27"/>
    <w:rsid w:val="00455FA5"/>
    <w:rsid w:val="00455FF7"/>
    <w:rsid w:val="00456026"/>
    <w:rsid w:val="004561F2"/>
    <w:rsid w:val="0045632E"/>
    <w:rsid w:val="00456386"/>
    <w:rsid w:val="004563BF"/>
    <w:rsid w:val="004563C4"/>
    <w:rsid w:val="004563C7"/>
    <w:rsid w:val="0045657E"/>
    <w:rsid w:val="004566A1"/>
    <w:rsid w:val="0045673E"/>
    <w:rsid w:val="0045692D"/>
    <w:rsid w:val="00456C23"/>
    <w:rsid w:val="00456EC3"/>
    <w:rsid w:val="00456EE2"/>
    <w:rsid w:val="00456FA9"/>
    <w:rsid w:val="00457001"/>
    <w:rsid w:val="0045702E"/>
    <w:rsid w:val="004570FB"/>
    <w:rsid w:val="0045721F"/>
    <w:rsid w:val="00457450"/>
    <w:rsid w:val="004575F0"/>
    <w:rsid w:val="004577A8"/>
    <w:rsid w:val="0045796D"/>
    <w:rsid w:val="00457B1D"/>
    <w:rsid w:val="00457D0F"/>
    <w:rsid w:val="00457D61"/>
    <w:rsid w:val="00457EC3"/>
    <w:rsid w:val="00457EFA"/>
    <w:rsid w:val="00457F26"/>
    <w:rsid w:val="00457FD1"/>
    <w:rsid w:val="004600D4"/>
    <w:rsid w:val="00460239"/>
    <w:rsid w:val="0046037F"/>
    <w:rsid w:val="00460493"/>
    <w:rsid w:val="004607C2"/>
    <w:rsid w:val="004608AF"/>
    <w:rsid w:val="00460AA3"/>
    <w:rsid w:val="00460B61"/>
    <w:rsid w:val="00460CEB"/>
    <w:rsid w:val="00460CF5"/>
    <w:rsid w:val="00460EC0"/>
    <w:rsid w:val="00460F73"/>
    <w:rsid w:val="00460FA2"/>
    <w:rsid w:val="0046100E"/>
    <w:rsid w:val="004610E4"/>
    <w:rsid w:val="00461233"/>
    <w:rsid w:val="004614B3"/>
    <w:rsid w:val="00461679"/>
    <w:rsid w:val="004616AC"/>
    <w:rsid w:val="0046195D"/>
    <w:rsid w:val="00461A79"/>
    <w:rsid w:val="00461ACB"/>
    <w:rsid w:val="00461B92"/>
    <w:rsid w:val="00461E09"/>
    <w:rsid w:val="00461E46"/>
    <w:rsid w:val="00462257"/>
    <w:rsid w:val="00462289"/>
    <w:rsid w:val="004626A6"/>
    <w:rsid w:val="00462734"/>
    <w:rsid w:val="00462778"/>
    <w:rsid w:val="00462BCF"/>
    <w:rsid w:val="00462BD6"/>
    <w:rsid w:val="00462C9D"/>
    <w:rsid w:val="00462E5E"/>
    <w:rsid w:val="00462EF3"/>
    <w:rsid w:val="00462F38"/>
    <w:rsid w:val="00462FCE"/>
    <w:rsid w:val="0046300B"/>
    <w:rsid w:val="004633A5"/>
    <w:rsid w:val="00463463"/>
    <w:rsid w:val="004634D7"/>
    <w:rsid w:val="004635AD"/>
    <w:rsid w:val="0046360A"/>
    <w:rsid w:val="00463675"/>
    <w:rsid w:val="00463694"/>
    <w:rsid w:val="00463858"/>
    <w:rsid w:val="004639B5"/>
    <w:rsid w:val="00463B16"/>
    <w:rsid w:val="00463B9A"/>
    <w:rsid w:val="00463C48"/>
    <w:rsid w:val="00463E48"/>
    <w:rsid w:val="00463EF5"/>
    <w:rsid w:val="00463F20"/>
    <w:rsid w:val="00464021"/>
    <w:rsid w:val="0046422D"/>
    <w:rsid w:val="004642CE"/>
    <w:rsid w:val="004646C0"/>
    <w:rsid w:val="00464771"/>
    <w:rsid w:val="004647FA"/>
    <w:rsid w:val="0046487F"/>
    <w:rsid w:val="0046497F"/>
    <w:rsid w:val="004649FF"/>
    <w:rsid w:val="00464A24"/>
    <w:rsid w:val="00464EF4"/>
    <w:rsid w:val="00464F6C"/>
    <w:rsid w:val="00464FF1"/>
    <w:rsid w:val="00465210"/>
    <w:rsid w:val="00465427"/>
    <w:rsid w:val="004654B0"/>
    <w:rsid w:val="004657B2"/>
    <w:rsid w:val="004659A2"/>
    <w:rsid w:val="00465CFD"/>
    <w:rsid w:val="00465F5D"/>
    <w:rsid w:val="0046608C"/>
    <w:rsid w:val="00466226"/>
    <w:rsid w:val="0046624F"/>
    <w:rsid w:val="00466269"/>
    <w:rsid w:val="004662DD"/>
    <w:rsid w:val="0046662B"/>
    <w:rsid w:val="0046666C"/>
    <w:rsid w:val="004668B8"/>
    <w:rsid w:val="0046694C"/>
    <w:rsid w:val="00466A53"/>
    <w:rsid w:val="00466C27"/>
    <w:rsid w:val="00466CA4"/>
    <w:rsid w:val="00466FDE"/>
    <w:rsid w:val="0046702A"/>
    <w:rsid w:val="0046719E"/>
    <w:rsid w:val="004671BF"/>
    <w:rsid w:val="0046725B"/>
    <w:rsid w:val="004673DE"/>
    <w:rsid w:val="0046746F"/>
    <w:rsid w:val="0046759D"/>
    <w:rsid w:val="00467601"/>
    <w:rsid w:val="0046765D"/>
    <w:rsid w:val="0046779B"/>
    <w:rsid w:val="004678B4"/>
    <w:rsid w:val="004678F6"/>
    <w:rsid w:val="00467964"/>
    <w:rsid w:val="004679BB"/>
    <w:rsid w:val="004679E2"/>
    <w:rsid w:val="00467B4D"/>
    <w:rsid w:val="00467B71"/>
    <w:rsid w:val="00467C2F"/>
    <w:rsid w:val="00467D98"/>
    <w:rsid w:val="0047013C"/>
    <w:rsid w:val="004701CE"/>
    <w:rsid w:val="004702BF"/>
    <w:rsid w:val="004702FC"/>
    <w:rsid w:val="00470365"/>
    <w:rsid w:val="0047044B"/>
    <w:rsid w:val="00470549"/>
    <w:rsid w:val="004705C3"/>
    <w:rsid w:val="004707F1"/>
    <w:rsid w:val="00470859"/>
    <w:rsid w:val="00470BD4"/>
    <w:rsid w:val="00470DAA"/>
    <w:rsid w:val="00470DD9"/>
    <w:rsid w:val="00471093"/>
    <w:rsid w:val="004711A3"/>
    <w:rsid w:val="00471222"/>
    <w:rsid w:val="00471309"/>
    <w:rsid w:val="0047134F"/>
    <w:rsid w:val="00471392"/>
    <w:rsid w:val="004713BE"/>
    <w:rsid w:val="004714D9"/>
    <w:rsid w:val="00471605"/>
    <w:rsid w:val="004717C4"/>
    <w:rsid w:val="004717D0"/>
    <w:rsid w:val="00471810"/>
    <w:rsid w:val="0047189A"/>
    <w:rsid w:val="00471AC6"/>
    <w:rsid w:val="00471C4C"/>
    <w:rsid w:val="00471D0D"/>
    <w:rsid w:val="00471FED"/>
    <w:rsid w:val="004721DD"/>
    <w:rsid w:val="0047221C"/>
    <w:rsid w:val="004722A7"/>
    <w:rsid w:val="004722E1"/>
    <w:rsid w:val="0047241A"/>
    <w:rsid w:val="00472735"/>
    <w:rsid w:val="004728DB"/>
    <w:rsid w:val="00472A3B"/>
    <w:rsid w:val="00472A65"/>
    <w:rsid w:val="00472A9F"/>
    <w:rsid w:val="00472D80"/>
    <w:rsid w:val="00472F69"/>
    <w:rsid w:val="00473085"/>
    <w:rsid w:val="00473497"/>
    <w:rsid w:val="004734C8"/>
    <w:rsid w:val="00473505"/>
    <w:rsid w:val="00473804"/>
    <w:rsid w:val="00473B6C"/>
    <w:rsid w:val="00473BF0"/>
    <w:rsid w:val="00473C20"/>
    <w:rsid w:val="004740E8"/>
    <w:rsid w:val="00474121"/>
    <w:rsid w:val="00474350"/>
    <w:rsid w:val="0047443F"/>
    <w:rsid w:val="00474479"/>
    <w:rsid w:val="00474748"/>
    <w:rsid w:val="0047491D"/>
    <w:rsid w:val="00474DDF"/>
    <w:rsid w:val="00474E01"/>
    <w:rsid w:val="00474E03"/>
    <w:rsid w:val="00475032"/>
    <w:rsid w:val="00475243"/>
    <w:rsid w:val="00475299"/>
    <w:rsid w:val="004753D6"/>
    <w:rsid w:val="0047548A"/>
    <w:rsid w:val="004754D0"/>
    <w:rsid w:val="004754EA"/>
    <w:rsid w:val="0047568B"/>
    <w:rsid w:val="00475A3D"/>
    <w:rsid w:val="00475C89"/>
    <w:rsid w:val="00475D79"/>
    <w:rsid w:val="00475E0E"/>
    <w:rsid w:val="00475EB1"/>
    <w:rsid w:val="004762AD"/>
    <w:rsid w:val="004762E9"/>
    <w:rsid w:val="004764B8"/>
    <w:rsid w:val="004765C8"/>
    <w:rsid w:val="00476736"/>
    <w:rsid w:val="00476887"/>
    <w:rsid w:val="00476BE4"/>
    <w:rsid w:val="00476CDA"/>
    <w:rsid w:val="00476E0C"/>
    <w:rsid w:val="00476FCB"/>
    <w:rsid w:val="004770BE"/>
    <w:rsid w:val="004773A8"/>
    <w:rsid w:val="004773BF"/>
    <w:rsid w:val="00477415"/>
    <w:rsid w:val="00477657"/>
    <w:rsid w:val="00477D05"/>
    <w:rsid w:val="00477F03"/>
    <w:rsid w:val="0048016A"/>
    <w:rsid w:val="004801A3"/>
    <w:rsid w:val="004801AA"/>
    <w:rsid w:val="0048047C"/>
    <w:rsid w:val="004805A2"/>
    <w:rsid w:val="0048063A"/>
    <w:rsid w:val="004806BE"/>
    <w:rsid w:val="004806FF"/>
    <w:rsid w:val="00480880"/>
    <w:rsid w:val="0048092B"/>
    <w:rsid w:val="00480963"/>
    <w:rsid w:val="00480B19"/>
    <w:rsid w:val="00480BAE"/>
    <w:rsid w:val="00480C87"/>
    <w:rsid w:val="00480D34"/>
    <w:rsid w:val="00480DAA"/>
    <w:rsid w:val="00480DAE"/>
    <w:rsid w:val="00480FCF"/>
    <w:rsid w:val="00481062"/>
    <w:rsid w:val="00481105"/>
    <w:rsid w:val="00481169"/>
    <w:rsid w:val="0048137E"/>
    <w:rsid w:val="00481496"/>
    <w:rsid w:val="004818AB"/>
    <w:rsid w:val="0048196D"/>
    <w:rsid w:val="00481B12"/>
    <w:rsid w:val="00481C1A"/>
    <w:rsid w:val="00481CAB"/>
    <w:rsid w:val="00481CC0"/>
    <w:rsid w:val="00481D11"/>
    <w:rsid w:val="00481DAE"/>
    <w:rsid w:val="00481F70"/>
    <w:rsid w:val="00481F9F"/>
    <w:rsid w:val="00482390"/>
    <w:rsid w:val="004826BB"/>
    <w:rsid w:val="00482804"/>
    <w:rsid w:val="004829D4"/>
    <w:rsid w:val="00482B47"/>
    <w:rsid w:val="00482DE4"/>
    <w:rsid w:val="00482ED2"/>
    <w:rsid w:val="00482ED8"/>
    <w:rsid w:val="00482FBB"/>
    <w:rsid w:val="00483081"/>
    <w:rsid w:val="00483139"/>
    <w:rsid w:val="0048319A"/>
    <w:rsid w:val="0048323E"/>
    <w:rsid w:val="00483597"/>
    <w:rsid w:val="004835EA"/>
    <w:rsid w:val="00483640"/>
    <w:rsid w:val="00483651"/>
    <w:rsid w:val="004836FE"/>
    <w:rsid w:val="00483AB5"/>
    <w:rsid w:val="00483ACA"/>
    <w:rsid w:val="00483AF5"/>
    <w:rsid w:val="00483BF7"/>
    <w:rsid w:val="0048400E"/>
    <w:rsid w:val="004840EA"/>
    <w:rsid w:val="00484169"/>
    <w:rsid w:val="004842D4"/>
    <w:rsid w:val="0048435D"/>
    <w:rsid w:val="00484432"/>
    <w:rsid w:val="00484488"/>
    <w:rsid w:val="004844BE"/>
    <w:rsid w:val="00484930"/>
    <w:rsid w:val="00484B27"/>
    <w:rsid w:val="00484DC5"/>
    <w:rsid w:val="00484DFB"/>
    <w:rsid w:val="00484E48"/>
    <w:rsid w:val="00484E84"/>
    <w:rsid w:val="00484F6C"/>
    <w:rsid w:val="00484FC5"/>
    <w:rsid w:val="0048503A"/>
    <w:rsid w:val="00485417"/>
    <w:rsid w:val="004854FB"/>
    <w:rsid w:val="00485675"/>
    <w:rsid w:val="0048573D"/>
    <w:rsid w:val="00485A3D"/>
    <w:rsid w:val="00485F2C"/>
    <w:rsid w:val="00485F35"/>
    <w:rsid w:val="00485F8F"/>
    <w:rsid w:val="0048602F"/>
    <w:rsid w:val="004864D3"/>
    <w:rsid w:val="0048664B"/>
    <w:rsid w:val="00486686"/>
    <w:rsid w:val="00486690"/>
    <w:rsid w:val="004866C6"/>
    <w:rsid w:val="004867EE"/>
    <w:rsid w:val="0048684A"/>
    <w:rsid w:val="0048695E"/>
    <w:rsid w:val="004869BD"/>
    <w:rsid w:val="00486B68"/>
    <w:rsid w:val="00486C4A"/>
    <w:rsid w:val="00486CA6"/>
    <w:rsid w:val="00486DB7"/>
    <w:rsid w:val="00486E1F"/>
    <w:rsid w:val="00486EF9"/>
    <w:rsid w:val="00487038"/>
    <w:rsid w:val="00487447"/>
    <w:rsid w:val="00487450"/>
    <w:rsid w:val="004874D1"/>
    <w:rsid w:val="00487548"/>
    <w:rsid w:val="004876AC"/>
    <w:rsid w:val="00487838"/>
    <w:rsid w:val="00487931"/>
    <w:rsid w:val="00487A6E"/>
    <w:rsid w:val="00487BEC"/>
    <w:rsid w:val="00487C10"/>
    <w:rsid w:val="00487C85"/>
    <w:rsid w:val="00487CF6"/>
    <w:rsid w:val="00487D95"/>
    <w:rsid w:val="0049011A"/>
    <w:rsid w:val="00490155"/>
    <w:rsid w:val="004903A4"/>
    <w:rsid w:val="004903E4"/>
    <w:rsid w:val="004903FB"/>
    <w:rsid w:val="00490505"/>
    <w:rsid w:val="004907AF"/>
    <w:rsid w:val="00490816"/>
    <w:rsid w:val="004908AE"/>
    <w:rsid w:val="004908C3"/>
    <w:rsid w:val="00490B74"/>
    <w:rsid w:val="00490C33"/>
    <w:rsid w:val="00490CC0"/>
    <w:rsid w:val="00490CC7"/>
    <w:rsid w:val="00490D1D"/>
    <w:rsid w:val="00490DC4"/>
    <w:rsid w:val="00490E05"/>
    <w:rsid w:val="00490ECC"/>
    <w:rsid w:val="00490F48"/>
    <w:rsid w:val="00490F63"/>
    <w:rsid w:val="00490F88"/>
    <w:rsid w:val="004912AA"/>
    <w:rsid w:val="00491449"/>
    <w:rsid w:val="0049146E"/>
    <w:rsid w:val="0049160D"/>
    <w:rsid w:val="004919A9"/>
    <w:rsid w:val="00491AE5"/>
    <w:rsid w:val="00491AEC"/>
    <w:rsid w:val="00491F18"/>
    <w:rsid w:val="00492044"/>
    <w:rsid w:val="00492076"/>
    <w:rsid w:val="004922F0"/>
    <w:rsid w:val="00492357"/>
    <w:rsid w:val="004924EC"/>
    <w:rsid w:val="00492511"/>
    <w:rsid w:val="00492674"/>
    <w:rsid w:val="00492B84"/>
    <w:rsid w:val="00492F9D"/>
    <w:rsid w:val="004931B5"/>
    <w:rsid w:val="004933A3"/>
    <w:rsid w:val="004933AE"/>
    <w:rsid w:val="00493859"/>
    <w:rsid w:val="004939F8"/>
    <w:rsid w:val="00493B8B"/>
    <w:rsid w:val="00493BDF"/>
    <w:rsid w:val="00493C19"/>
    <w:rsid w:val="00493CF9"/>
    <w:rsid w:val="00493D07"/>
    <w:rsid w:val="00493D5D"/>
    <w:rsid w:val="00493E0C"/>
    <w:rsid w:val="00493E11"/>
    <w:rsid w:val="0049401A"/>
    <w:rsid w:val="004941E6"/>
    <w:rsid w:val="0049436D"/>
    <w:rsid w:val="0049437B"/>
    <w:rsid w:val="00494601"/>
    <w:rsid w:val="004946C0"/>
    <w:rsid w:val="004947F8"/>
    <w:rsid w:val="004948AA"/>
    <w:rsid w:val="00494913"/>
    <w:rsid w:val="0049493C"/>
    <w:rsid w:val="00494A30"/>
    <w:rsid w:val="00494A58"/>
    <w:rsid w:val="00494A75"/>
    <w:rsid w:val="00494CC7"/>
    <w:rsid w:val="00494E5A"/>
    <w:rsid w:val="00494F3A"/>
    <w:rsid w:val="00494F64"/>
    <w:rsid w:val="00495054"/>
    <w:rsid w:val="00495226"/>
    <w:rsid w:val="004952B8"/>
    <w:rsid w:val="004953CE"/>
    <w:rsid w:val="00495428"/>
    <w:rsid w:val="00495444"/>
    <w:rsid w:val="00495679"/>
    <w:rsid w:val="004959C2"/>
    <w:rsid w:val="00495BD4"/>
    <w:rsid w:val="00495DDA"/>
    <w:rsid w:val="00495F01"/>
    <w:rsid w:val="004960B7"/>
    <w:rsid w:val="004961C0"/>
    <w:rsid w:val="0049624B"/>
    <w:rsid w:val="0049628A"/>
    <w:rsid w:val="004962A3"/>
    <w:rsid w:val="00496BE3"/>
    <w:rsid w:val="00496C6B"/>
    <w:rsid w:val="00496DAD"/>
    <w:rsid w:val="004970CA"/>
    <w:rsid w:val="0049718E"/>
    <w:rsid w:val="00497472"/>
    <w:rsid w:val="0049778D"/>
    <w:rsid w:val="0049796A"/>
    <w:rsid w:val="0049796C"/>
    <w:rsid w:val="004979E3"/>
    <w:rsid w:val="00497A14"/>
    <w:rsid w:val="00497A40"/>
    <w:rsid w:val="00497B3B"/>
    <w:rsid w:val="00497B81"/>
    <w:rsid w:val="00497B9F"/>
    <w:rsid w:val="00497DCA"/>
    <w:rsid w:val="00497EDE"/>
    <w:rsid w:val="004A00EE"/>
    <w:rsid w:val="004A015A"/>
    <w:rsid w:val="004A031F"/>
    <w:rsid w:val="004A0360"/>
    <w:rsid w:val="004A03C9"/>
    <w:rsid w:val="004A0475"/>
    <w:rsid w:val="004A04CC"/>
    <w:rsid w:val="004A0813"/>
    <w:rsid w:val="004A11F9"/>
    <w:rsid w:val="004A157F"/>
    <w:rsid w:val="004A1633"/>
    <w:rsid w:val="004A1644"/>
    <w:rsid w:val="004A165D"/>
    <w:rsid w:val="004A1B10"/>
    <w:rsid w:val="004A1B61"/>
    <w:rsid w:val="004A1E28"/>
    <w:rsid w:val="004A1F0E"/>
    <w:rsid w:val="004A1F2E"/>
    <w:rsid w:val="004A2002"/>
    <w:rsid w:val="004A2084"/>
    <w:rsid w:val="004A208B"/>
    <w:rsid w:val="004A20B5"/>
    <w:rsid w:val="004A2722"/>
    <w:rsid w:val="004A27E2"/>
    <w:rsid w:val="004A27F1"/>
    <w:rsid w:val="004A298D"/>
    <w:rsid w:val="004A29AC"/>
    <w:rsid w:val="004A29B9"/>
    <w:rsid w:val="004A2B25"/>
    <w:rsid w:val="004A2D51"/>
    <w:rsid w:val="004A2DFC"/>
    <w:rsid w:val="004A2E86"/>
    <w:rsid w:val="004A2EAB"/>
    <w:rsid w:val="004A2EC1"/>
    <w:rsid w:val="004A2F6A"/>
    <w:rsid w:val="004A30D0"/>
    <w:rsid w:val="004A326D"/>
    <w:rsid w:val="004A32E1"/>
    <w:rsid w:val="004A32FB"/>
    <w:rsid w:val="004A331C"/>
    <w:rsid w:val="004A33BE"/>
    <w:rsid w:val="004A3792"/>
    <w:rsid w:val="004A387A"/>
    <w:rsid w:val="004A395F"/>
    <w:rsid w:val="004A3995"/>
    <w:rsid w:val="004A3AF1"/>
    <w:rsid w:val="004A3B1B"/>
    <w:rsid w:val="004A3C5D"/>
    <w:rsid w:val="004A3C7E"/>
    <w:rsid w:val="004A3D7A"/>
    <w:rsid w:val="004A4003"/>
    <w:rsid w:val="004A4111"/>
    <w:rsid w:val="004A4335"/>
    <w:rsid w:val="004A439B"/>
    <w:rsid w:val="004A4430"/>
    <w:rsid w:val="004A44FD"/>
    <w:rsid w:val="004A456A"/>
    <w:rsid w:val="004A4851"/>
    <w:rsid w:val="004A4872"/>
    <w:rsid w:val="004A4910"/>
    <w:rsid w:val="004A493C"/>
    <w:rsid w:val="004A4B54"/>
    <w:rsid w:val="004A4BEF"/>
    <w:rsid w:val="004A4DE7"/>
    <w:rsid w:val="004A4F49"/>
    <w:rsid w:val="004A4F4C"/>
    <w:rsid w:val="004A4F9E"/>
    <w:rsid w:val="004A4FDF"/>
    <w:rsid w:val="004A52D6"/>
    <w:rsid w:val="004A5489"/>
    <w:rsid w:val="004A555B"/>
    <w:rsid w:val="004A5B18"/>
    <w:rsid w:val="004A5DCC"/>
    <w:rsid w:val="004A5E73"/>
    <w:rsid w:val="004A60BE"/>
    <w:rsid w:val="004A6144"/>
    <w:rsid w:val="004A614D"/>
    <w:rsid w:val="004A62B3"/>
    <w:rsid w:val="004A62D1"/>
    <w:rsid w:val="004A635D"/>
    <w:rsid w:val="004A64D7"/>
    <w:rsid w:val="004A6781"/>
    <w:rsid w:val="004A67CE"/>
    <w:rsid w:val="004A68C5"/>
    <w:rsid w:val="004A68F4"/>
    <w:rsid w:val="004A6E63"/>
    <w:rsid w:val="004A712C"/>
    <w:rsid w:val="004A7214"/>
    <w:rsid w:val="004A7733"/>
    <w:rsid w:val="004A78F1"/>
    <w:rsid w:val="004A793D"/>
    <w:rsid w:val="004A7A52"/>
    <w:rsid w:val="004A7C0C"/>
    <w:rsid w:val="004A7C2D"/>
    <w:rsid w:val="004A7D4F"/>
    <w:rsid w:val="004A7D9D"/>
    <w:rsid w:val="004A7E59"/>
    <w:rsid w:val="004A7EA5"/>
    <w:rsid w:val="004B00AE"/>
    <w:rsid w:val="004B01D5"/>
    <w:rsid w:val="004B01E5"/>
    <w:rsid w:val="004B03BB"/>
    <w:rsid w:val="004B0497"/>
    <w:rsid w:val="004B0569"/>
    <w:rsid w:val="004B05E5"/>
    <w:rsid w:val="004B0978"/>
    <w:rsid w:val="004B09CE"/>
    <w:rsid w:val="004B09DC"/>
    <w:rsid w:val="004B09DE"/>
    <w:rsid w:val="004B0B46"/>
    <w:rsid w:val="004B0BB0"/>
    <w:rsid w:val="004B0BD0"/>
    <w:rsid w:val="004B0BF5"/>
    <w:rsid w:val="004B0DB0"/>
    <w:rsid w:val="004B0E21"/>
    <w:rsid w:val="004B0E9E"/>
    <w:rsid w:val="004B0F52"/>
    <w:rsid w:val="004B0FE5"/>
    <w:rsid w:val="004B1020"/>
    <w:rsid w:val="004B1022"/>
    <w:rsid w:val="004B1103"/>
    <w:rsid w:val="004B1159"/>
    <w:rsid w:val="004B14EF"/>
    <w:rsid w:val="004B151A"/>
    <w:rsid w:val="004B15D0"/>
    <w:rsid w:val="004B164B"/>
    <w:rsid w:val="004B16BE"/>
    <w:rsid w:val="004B170A"/>
    <w:rsid w:val="004B1783"/>
    <w:rsid w:val="004B17D2"/>
    <w:rsid w:val="004B19FE"/>
    <w:rsid w:val="004B1DAB"/>
    <w:rsid w:val="004B28A9"/>
    <w:rsid w:val="004B2A4D"/>
    <w:rsid w:val="004B2A91"/>
    <w:rsid w:val="004B2B06"/>
    <w:rsid w:val="004B2B0E"/>
    <w:rsid w:val="004B2C97"/>
    <w:rsid w:val="004B2DE6"/>
    <w:rsid w:val="004B2F0B"/>
    <w:rsid w:val="004B2F45"/>
    <w:rsid w:val="004B2F73"/>
    <w:rsid w:val="004B2FC1"/>
    <w:rsid w:val="004B3057"/>
    <w:rsid w:val="004B306E"/>
    <w:rsid w:val="004B33C2"/>
    <w:rsid w:val="004B3402"/>
    <w:rsid w:val="004B343E"/>
    <w:rsid w:val="004B371B"/>
    <w:rsid w:val="004B371C"/>
    <w:rsid w:val="004B3848"/>
    <w:rsid w:val="004B3957"/>
    <w:rsid w:val="004B3A38"/>
    <w:rsid w:val="004B3A85"/>
    <w:rsid w:val="004B3B38"/>
    <w:rsid w:val="004B3EC4"/>
    <w:rsid w:val="004B3F2B"/>
    <w:rsid w:val="004B3F30"/>
    <w:rsid w:val="004B3F6F"/>
    <w:rsid w:val="004B40EF"/>
    <w:rsid w:val="004B4214"/>
    <w:rsid w:val="004B429A"/>
    <w:rsid w:val="004B42E4"/>
    <w:rsid w:val="004B4488"/>
    <w:rsid w:val="004B4614"/>
    <w:rsid w:val="004B49E5"/>
    <w:rsid w:val="004B4C67"/>
    <w:rsid w:val="004B4DD1"/>
    <w:rsid w:val="004B4DEA"/>
    <w:rsid w:val="004B50A7"/>
    <w:rsid w:val="004B51B8"/>
    <w:rsid w:val="004B52B8"/>
    <w:rsid w:val="004B53A4"/>
    <w:rsid w:val="004B5570"/>
    <w:rsid w:val="004B5662"/>
    <w:rsid w:val="004B585D"/>
    <w:rsid w:val="004B5983"/>
    <w:rsid w:val="004B5BB2"/>
    <w:rsid w:val="004B5C24"/>
    <w:rsid w:val="004B5C5C"/>
    <w:rsid w:val="004B5E95"/>
    <w:rsid w:val="004B6143"/>
    <w:rsid w:val="004B6455"/>
    <w:rsid w:val="004B64F0"/>
    <w:rsid w:val="004B671F"/>
    <w:rsid w:val="004B689D"/>
    <w:rsid w:val="004B68C6"/>
    <w:rsid w:val="004B68F3"/>
    <w:rsid w:val="004B6916"/>
    <w:rsid w:val="004B6B15"/>
    <w:rsid w:val="004B6BB0"/>
    <w:rsid w:val="004B6C18"/>
    <w:rsid w:val="004B6C69"/>
    <w:rsid w:val="004B6F93"/>
    <w:rsid w:val="004B7165"/>
    <w:rsid w:val="004B76E4"/>
    <w:rsid w:val="004B7796"/>
    <w:rsid w:val="004B7A66"/>
    <w:rsid w:val="004B7D04"/>
    <w:rsid w:val="004B7EFC"/>
    <w:rsid w:val="004B7FBB"/>
    <w:rsid w:val="004C0019"/>
    <w:rsid w:val="004C0109"/>
    <w:rsid w:val="004C017A"/>
    <w:rsid w:val="004C02A4"/>
    <w:rsid w:val="004C0430"/>
    <w:rsid w:val="004C0510"/>
    <w:rsid w:val="004C0607"/>
    <w:rsid w:val="004C078E"/>
    <w:rsid w:val="004C086F"/>
    <w:rsid w:val="004C0A64"/>
    <w:rsid w:val="004C0A72"/>
    <w:rsid w:val="004C0B0D"/>
    <w:rsid w:val="004C0CBE"/>
    <w:rsid w:val="004C0DAA"/>
    <w:rsid w:val="004C0E80"/>
    <w:rsid w:val="004C0E97"/>
    <w:rsid w:val="004C14DB"/>
    <w:rsid w:val="004C16C0"/>
    <w:rsid w:val="004C1714"/>
    <w:rsid w:val="004C171B"/>
    <w:rsid w:val="004C185B"/>
    <w:rsid w:val="004C18AA"/>
    <w:rsid w:val="004C18F4"/>
    <w:rsid w:val="004C1B9B"/>
    <w:rsid w:val="004C1BCC"/>
    <w:rsid w:val="004C1FED"/>
    <w:rsid w:val="004C21AF"/>
    <w:rsid w:val="004C2575"/>
    <w:rsid w:val="004C27A6"/>
    <w:rsid w:val="004C2804"/>
    <w:rsid w:val="004C28CD"/>
    <w:rsid w:val="004C2AA8"/>
    <w:rsid w:val="004C2B47"/>
    <w:rsid w:val="004C2C8A"/>
    <w:rsid w:val="004C2C8E"/>
    <w:rsid w:val="004C2E46"/>
    <w:rsid w:val="004C2F52"/>
    <w:rsid w:val="004C302A"/>
    <w:rsid w:val="004C3317"/>
    <w:rsid w:val="004C3373"/>
    <w:rsid w:val="004C3498"/>
    <w:rsid w:val="004C34D7"/>
    <w:rsid w:val="004C358E"/>
    <w:rsid w:val="004C3759"/>
    <w:rsid w:val="004C378D"/>
    <w:rsid w:val="004C38D1"/>
    <w:rsid w:val="004C391D"/>
    <w:rsid w:val="004C39A2"/>
    <w:rsid w:val="004C3A37"/>
    <w:rsid w:val="004C3B40"/>
    <w:rsid w:val="004C3BA5"/>
    <w:rsid w:val="004C3C5B"/>
    <w:rsid w:val="004C3D51"/>
    <w:rsid w:val="004C439F"/>
    <w:rsid w:val="004C451A"/>
    <w:rsid w:val="004C48C8"/>
    <w:rsid w:val="004C4ED7"/>
    <w:rsid w:val="004C4FA5"/>
    <w:rsid w:val="004C501C"/>
    <w:rsid w:val="004C51DF"/>
    <w:rsid w:val="004C52C6"/>
    <w:rsid w:val="004C5622"/>
    <w:rsid w:val="004C591C"/>
    <w:rsid w:val="004C598D"/>
    <w:rsid w:val="004C5C3E"/>
    <w:rsid w:val="004C5D9C"/>
    <w:rsid w:val="004C5E07"/>
    <w:rsid w:val="004C5E4E"/>
    <w:rsid w:val="004C5F20"/>
    <w:rsid w:val="004C6080"/>
    <w:rsid w:val="004C614F"/>
    <w:rsid w:val="004C6172"/>
    <w:rsid w:val="004C626F"/>
    <w:rsid w:val="004C63F3"/>
    <w:rsid w:val="004C66D2"/>
    <w:rsid w:val="004C6725"/>
    <w:rsid w:val="004C67D0"/>
    <w:rsid w:val="004C6941"/>
    <w:rsid w:val="004C6A7D"/>
    <w:rsid w:val="004C6D2A"/>
    <w:rsid w:val="004C6E72"/>
    <w:rsid w:val="004C7005"/>
    <w:rsid w:val="004C704F"/>
    <w:rsid w:val="004C71D0"/>
    <w:rsid w:val="004C71D7"/>
    <w:rsid w:val="004C71D9"/>
    <w:rsid w:val="004C7216"/>
    <w:rsid w:val="004C721F"/>
    <w:rsid w:val="004C731E"/>
    <w:rsid w:val="004C748B"/>
    <w:rsid w:val="004C74AE"/>
    <w:rsid w:val="004C7549"/>
    <w:rsid w:val="004C7651"/>
    <w:rsid w:val="004C7721"/>
    <w:rsid w:val="004C77D5"/>
    <w:rsid w:val="004C7807"/>
    <w:rsid w:val="004C78F7"/>
    <w:rsid w:val="004C793D"/>
    <w:rsid w:val="004C794D"/>
    <w:rsid w:val="004C7A1A"/>
    <w:rsid w:val="004C7A34"/>
    <w:rsid w:val="004C7ACB"/>
    <w:rsid w:val="004C7B71"/>
    <w:rsid w:val="004C7C14"/>
    <w:rsid w:val="004C7CDC"/>
    <w:rsid w:val="004C7E1D"/>
    <w:rsid w:val="004C7E6B"/>
    <w:rsid w:val="004C7EAC"/>
    <w:rsid w:val="004C7F2C"/>
    <w:rsid w:val="004C7F39"/>
    <w:rsid w:val="004C7FD2"/>
    <w:rsid w:val="004D008D"/>
    <w:rsid w:val="004D00C6"/>
    <w:rsid w:val="004D0145"/>
    <w:rsid w:val="004D0150"/>
    <w:rsid w:val="004D015A"/>
    <w:rsid w:val="004D018A"/>
    <w:rsid w:val="004D01AF"/>
    <w:rsid w:val="004D02F8"/>
    <w:rsid w:val="004D04E0"/>
    <w:rsid w:val="004D056C"/>
    <w:rsid w:val="004D0634"/>
    <w:rsid w:val="004D07CE"/>
    <w:rsid w:val="004D0923"/>
    <w:rsid w:val="004D0964"/>
    <w:rsid w:val="004D09DE"/>
    <w:rsid w:val="004D0A48"/>
    <w:rsid w:val="004D0B06"/>
    <w:rsid w:val="004D0B23"/>
    <w:rsid w:val="004D0DEC"/>
    <w:rsid w:val="004D0F32"/>
    <w:rsid w:val="004D1185"/>
    <w:rsid w:val="004D1320"/>
    <w:rsid w:val="004D144D"/>
    <w:rsid w:val="004D1666"/>
    <w:rsid w:val="004D1968"/>
    <w:rsid w:val="004D1AB1"/>
    <w:rsid w:val="004D1BCC"/>
    <w:rsid w:val="004D1C98"/>
    <w:rsid w:val="004D1CCC"/>
    <w:rsid w:val="004D1CE9"/>
    <w:rsid w:val="004D1E21"/>
    <w:rsid w:val="004D1E2F"/>
    <w:rsid w:val="004D21A0"/>
    <w:rsid w:val="004D21D7"/>
    <w:rsid w:val="004D22D0"/>
    <w:rsid w:val="004D2370"/>
    <w:rsid w:val="004D23F3"/>
    <w:rsid w:val="004D2422"/>
    <w:rsid w:val="004D2442"/>
    <w:rsid w:val="004D2569"/>
    <w:rsid w:val="004D256F"/>
    <w:rsid w:val="004D279B"/>
    <w:rsid w:val="004D2854"/>
    <w:rsid w:val="004D29E3"/>
    <w:rsid w:val="004D2A2D"/>
    <w:rsid w:val="004D2D0D"/>
    <w:rsid w:val="004D2D16"/>
    <w:rsid w:val="004D2D74"/>
    <w:rsid w:val="004D2FEE"/>
    <w:rsid w:val="004D3032"/>
    <w:rsid w:val="004D30D3"/>
    <w:rsid w:val="004D3105"/>
    <w:rsid w:val="004D31ED"/>
    <w:rsid w:val="004D333E"/>
    <w:rsid w:val="004D3438"/>
    <w:rsid w:val="004D34FA"/>
    <w:rsid w:val="004D3697"/>
    <w:rsid w:val="004D375D"/>
    <w:rsid w:val="004D3862"/>
    <w:rsid w:val="004D3897"/>
    <w:rsid w:val="004D38F1"/>
    <w:rsid w:val="004D3BDE"/>
    <w:rsid w:val="004D3C62"/>
    <w:rsid w:val="004D3F0D"/>
    <w:rsid w:val="004D3F52"/>
    <w:rsid w:val="004D4104"/>
    <w:rsid w:val="004D4423"/>
    <w:rsid w:val="004D4425"/>
    <w:rsid w:val="004D445B"/>
    <w:rsid w:val="004D460F"/>
    <w:rsid w:val="004D4644"/>
    <w:rsid w:val="004D4684"/>
    <w:rsid w:val="004D4695"/>
    <w:rsid w:val="004D47AB"/>
    <w:rsid w:val="004D4814"/>
    <w:rsid w:val="004D4A22"/>
    <w:rsid w:val="004D4A79"/>
    <w:rsid w:val="004D4AC7"/>
    <w:rsid w:val="004D4C7A"/>
    <w:rsid w:val="004D4D45"/>
    <w:rsid w:val="004D4E25"/>
    <w:rsid w:val="004D4E94"/>
    <w:rsid w:val="004D4FFE"/>
    <w:rsid w:val="004D505E"/>
    <w:rsid w:val="004D50F1"/>
    <w:rsid w:val="004D52F1"/>
    <w:rsid w:val="004D53C3"/>
    <w:rsid w:val="004D5403"/>
    <w:rsid w:val="004D55FF"/>
    <w:rsid w:val="004D56A0"/>
    <w:rsid w:val="004D56F2"/>
    <w:rsid w:val="004D585A"/>
    <w:rsid w:val="004D58FA"/>
    <w:rsid w:val="004D5B01"/>
    <w:rsid w:val="004D5B07"/>
    <w:rsid w:val="004D5BB4"/>
    <w:rsid w:val="004D5C3B"/>
    <w:rsid w:val="004D5C60"/>
    <w:rsid w:val="004D5D6E"/>
    <w:rsid w:val="004D5F7E"/>
    <w:rsid w:val="004D5FC0"/>
    <w:rsid w:val="004D6051"/>
    <w:rsid w:val="004D6185"/>
    <w:rsid w:val="004D62CD"/>
    <w:rsid w:val="004D62F8"/>
    <w:rsid w:val="004D6640"/>
    <w:rsid w:val="004D6691"/>
    <w:rsid w:val="004D6755"/>
    <w:rsid w:val="004D67B1"/>
    <w:rsid w:val="004D6935"/>
    <w:rsid w:val="004D6B18"/>
    <w:rsid w:val="004D6B58"/>
    <w:rsid w:val="004D6C15"/>
    <w:rsid w:val="004D6F3F"/>
    <w:rsid w:val="004D6FCD"/>
    <w:rsid w:val="004D70E7"/>
    <w:rsid w:val="004D71B1"/>
    <w:rsid w:val="004D722F"/>
    <w:rsid w:val="004D72B6"/>
    <w:rsid w:val="004D7317"/>
    <w:rsid w:val="004D736B"/>
    <w:rsid w:val="004D7392"/>
    <w:rsid w:val="004D73A5"/>
    <w:rsid w:val="004D74B7"/>
    <w:rsid w:val="004D76AC"/>
    <w:rsid w:val="004D77D8"/>
    <w:rsid w:val="004D784A"/>
    <w:rsid w:val="004D7971"/>
    <w:rsid w:val="004D7B25"/>
    <w:rsid w:val="004D7E77"/>
    <w:rsid w:val="004D7FF3"/>
    <w:rsid w:val="004E0247"/>
    <w:rsid w:val="004E02C6"/>
    <w:rsid w:val="004E03D6"/>
    <w:rsid w:val="004E04CB"/>
    <w:rsid w:val="004E05C9"/>
    <w:rsid w:val="004E0769"/>
    <w:rsid w:val="004E07BF"/>
    <w:rsid w:val="004E07D1"/>
    <w:rsid w:val="004E0C3D"/>
    <w:rsid w:val="004E0E05"/>
    <w:rsid w:val="004E0FA8"/>
    <w:rsid w:val="004E122A"/>
    <w:rsid w:val="004E168E"/>
    <w:rsid w:val="004E16C1"/>
    <w:rsid w:val="004E1A52"/>
    <w:rsid w:val="004E1A53"/>
    <w:rsid w:val="004E1DFA"/>
    <w:rsid w:val="004E20E0"/>
    <w:rsid w:val="004E20F9"/>
    <w:rsid w:val="004E2297"/>
    <w:rsid w:val="004E22AA"/>
    <w:rsid w:val="004E22D8"/>
    <w:rsid w:val="004E22E9"/>
    <w:rsid w:val="004E252D"/>
    <w:rsid w:val="004E2533"/>
    <w:rsid w:val="004E258D"/>
    <w:rsid w:val="004E2591"/>
    <w:rsid w:val="004E2616"/>
    <w:rsid w:val="004E26EF"/>
    <w:rsid w:val="004E277F"/>
    <w:rsid w:val="004E27CF"/>
    <w:rsid w:val="004E282A"/>
    <w:rsid w:val="004E28FA"/>
    <w:rsid w:val="004E2B2F"/>
    <w:rsid w:val="004E2BD6"/>
    <w:rsid w:val="004E2C4B"/>
    <w:rsid w:val="004E2D18"/>
    <w:rsid w:val="004E2DAF"/>
    <w:rsid w:val="004E2DEC"/>
    <w:rsid w:val="004E2E05"/>
    <w:rsid w:val="004E2EB1"/>
    <w:rsid w:val="004E32FD"/>
    <w:rsid w:val="004E36A5"/>
    <w:rsid w:val="004E3717"/>
    <w:rsid w:val="004E38CB"/>
    <w:rsid w:val="004E3926"/>
    <w:rsid w:val="004E3A0C"/>
    <w:rsid w:val="004E3ACE"/>
    <w:rsid w:val="004E3BCD"/>
    <w:rsid w:val="004E3C53"/>
    <w:rsid w:val="004E3D26"/>
    <w:rsid w:val="004E3EC6"/>
    <w:rsid w:val="004E3EF3"/>
    <w:rsid w:val="004E47BC"/>
    <w:rsid w:val="004E491E"/>
    <w:rsid w:val="004E4A09"/>
    <w:rsid w:val="004E4A37"/>
    <w:rsid w:val="004E4A7C"/>
    <w:rsid w:val="004E4BAA"/>
    <w:rsid w:val="004E4C7A"/>
    <w:rsid w:val="004E4CB3"/>
    <w:rsid w:val="004E4D10"/>
    <w:rsid w:val="004E4D8D"/>
    <w:rsid w:val="004E538C"/>
    <w:rsid w:val="004E5440"/>
    <w:rsid w:val="004E5482"/>
    <w:rsid w:val="004E5491"/>
    <w:rsid w:val="004E5786"/>
    <w:rsid w:val="004E5889"/>
    <w:rsid w:val="004E591E"/>
    <w:rsid w:val="004E5934"/>
    <w:rsid w:val="004E5980"/>
    <w:rsid w:val="004E5998"/>
    <w:rsid w:val="004E59B7"/>
    <w:rsid w:val="004E59C6"/>
    <w:rsid w:val="004E5A52"/>
    <w:rsid w:val="004E5DAD"/>
    <w:rsid w:val="004E5FAE"/>
    <w:rsid w:val="004E5FDC"/>
    <w:rsid w:val="004E5FF3"/>
    <w:rsid w:val="004E6253"/>
    <w:rsid w:val="004E62C2"/>
    <w:rsid w:val="004E630E"/>
    <w:rsid w:val="004E637A"/>
    <w:rsid w:val="004E6415"/>
    <w:rsid w:val="004E6459"/>
    <w:rsid w:val="004E6460"/>
    <w:rsid w:val="004E6644"/>
    <w:rsid w:val="004E6673"/>
    <w:rsid w:val="004E6691"/>
    <w:rsid w:val="004E66BA"/>
    <w:rsid w:val="004E674E"/>
    <w:rsid w:val="004E679C"/>
    <w:rsid w:val="004E6825"/>
    <w:rsid w:val="004E6883"/>
    <w:rsid w:val="004E69F6"/>
    <w:rsid w:val="004E6A10"/>
    <w:rsid w:val="004E6A4E"/>
    <w:rsid w:val="004E6AC5"/>
    <w:rsid w:val="004E6AF3"/>
    <w:rsid w:val="004E6B94"/>
    <w:rsid w:val="004E6BD4"/>
    <w:rsid w:val="004E6D09"/>
    <w:rsid w:val="004E6EE2"/>
    <w:rsid w:val="004E6FD6"/>
    <w:rsid w:val="004E7059"/>
    <w:rsid w:val="004E707C"/>
    <w:rsid w:val="004E7240"/>
    <w:rsid w:val="004E72C6"/>
    <w:rsid w:val="004E735D"/>
    <w:rsid w:val="004E766E"/>
    <w:rsid w:val="004E773D"/>
    <w:rsid w:val="004E799C"/>
    <w:rsid w:val="004E7E0B"/>
    <w:rsid w:val="004E7F23"/>
    <w:rsid w:val="004F017D"/>
    <w:rsid w:val="004F03E2"/>
    <w:rsid w:val="004F065E"/>
    <w:rsid w:val="004F072E"/>
    <w:rsid w:val="004F079C"/>
    <w:rsid w:val="004F0834"/>
    <w:rsid w:val="004F090B"/>
    <w:rsid w:val="004F0C5D"/>
    <w:rsid w:val="004F0CED"/>
    <w:rsid w:val="004F0D58"/>
    <w:rsid w:val="004F0E18"/>
    <w:rsid w:val="004F1061"/>
    <w:rsid w:val="004F1277"/>
    <w:rsid w:val="004F12DE"/>
    <w:rsid w:val="004F1370"/>
    <w:rsid w:val="004F148A"/>
    <w:rsid w:val="004F1612"/>
    <w:rsid w:val="004F1708"/>
    <w:rsid w:val="004F17B9"/>
    <w:rsid w:val="004F1866"/>
    <w:rsid w:val="004F196A"/>
    <w:rsid w:val="004F1A2E"/>
    <w:rsid w:val="004F1A8D"/>
    <w:rsid w:val="004F1C0C"/>
    <w:rsid w:val="004F1DDF"/>
    <w:rsid w:val="004F1E2F"/>
    <w:rsid w:val="004F1ED7"/>
    <w:rsid w:val="004F1F1E"/>
    <w:rsid w:val="004F1F3B"/>
    <w:rsid w:val="004F2005"/>
    <w:rsid w:val="004F223E"/>
    <w:rsid w:val="004F25D9"/>
    <w:rsid w:val="004F2623"/>
    <w:rsid w:val="004F2680"/>
    <w:rsid w:val="004F26CF"/>
    <w:rsid w:val="004F27B5"/>
    <w:rsid w:val="004F28D4"/>
    <w:rsid w:val="004F2A40"/>
    <w:rsid w:val="004F2AB0"/>
    <w:rsid w:val="004F2BF9"/>
    <w:rsid w:val="004F2C63"/>
    <w:rsid w:val="004F2C74"/>
    <w:rsid w:val="004F2F4C"/>
    <w:rsid w:val="004F3622"/>
    <w:rsid w:val="004F3649"/>
    <w:rsid w:val="004F391E"/>
    <w:rsid w:val="004F3B4E"/>
    <w:rsid w:val="004F3B9C"/>
    <w:rsid w:val="004F3F8D"/>
    <w:rsid w:val="004F40A7"/>
    <w:rsid w:val="004F4576"/>
    <w:rsid w:val="004F45F3"/>
    <w:rsid w:val="004F45FB"/>
    <w:rsid w:val="004F4843"/>
    <w:rsid w:val="004F497E"/>
    <w:rsid w:val="004F4C85"/>
    <w:rsid w:val="004F4D8C"/>
    <w:rsid w:val="004F5068"/>
    <w:rsid w:val="004F5089"/>
    <w:rsid w:val="004F5184"/>
    <w:rsid w:val="004F5332"/>
    <w:rsid w:val="004F5341"/>
    <w:rsid w:val="004F5439"/>
    <w:rsid w:val="004F5495"/>
    <w:rsid w:val="004F54B4"/>
    <w:rsid w:val="004F54C6"/>
    <w:rsid w:val="004F5617"/>
    <w:rsid w:val="004F5724"/>
    <w:rsid w:val="004F5B88"/>
    <w:rsid w:val="004F5C72"/>
    <w:rsid w:val="004F5DDE"/>
    <w:rsid w:val="004F5F08"/>
    <w:rsid w:val="004F5FAA"/>
    <w:rsid w:val="004F627A"/>
    <w:rsid w:val="004F6596"/>
    <w:rsid w:val="004F6815"/>
    <w:rsid w:val="004F69AF"/>
    <w:rsid w:val="004F69DD"/>
    <w:rsid w:val="004F6ABD"/>
    <w:rsid w:val="004F6AD3"/>
    <w:rsid w:val="004F6C77"/>
    <w:rsid w:val="004F6F0A"/>
    <w:rsid w:val="004F6F65"/>
    <w:rsid w:val="004F70B7"/>
    <w:rsid w:val="004F717D"/>
    <w:rsid w:val="004F71BE"/>
    <w:rsid w:val="004F72C6"/>
    <w:rsid w:val="004F72F2"/>
    <w:rsid w:val="004F737A"/>
    <w:rsid w:val="004F7398"/>
    <w:rsid w:val="004F73C9"/>
    <w:rsid w:val="004F7400"/>
    <w:rsid w:val="004F789B"/>
    <w:rsid w:val="004F7BA6"/>
    <w:rsid w:val="004F7BC9"/>
    <w:rsid w:val="004F7F8A"/>
    <w:rsid w:val="00500026"/>
    <w:rsid w:val="005002B0"/>
    <w:rsid w:val="00500536"/>
    <w:rsid w:val="0050065E"/>
    <w:rsid w:val="00500787"/>
    <w:rsid w:val="00500947"/>
    <w:rsid w:val="00500BC9"/>
    <w:rsid w:val="00500C40"/>
    <w:rsid w:val="005010DA"/>
    <w:rsid w:val="00501225"/>
    <w:rsid w:val="005012E5"/>
    <w:rsid w:val="00501331"/>
    <w:rsid w:val="00501386"/>
    <w:rsid w:val="005015BB"/>
    <w:rsid w:val="0050168E"/>
    <w:rsid w:val="0050172C"/>
    <w:rsid w:val="005018E7"/>
    <w:rsid w:val="00501BC6"/>
    <w:rsid w:val="00501BD9"/>
    <w:rsid w:val="00501BF0"/>
    <w:rsid w:val="00501C25"/>
    <w:rsid w:val="00501CE8"/>
    <w:rsid w:val="005021C4"/>
    <w:rsid w:val="0050246B"/>
    <w:rsid w:val="0050271F"/>
    <w:rsid w:val="005027A6"/>
    <w:rsid w:val="0050284B"/>
    <w:rsid w:val="00502AAC"/>
    <w:rsid w:val="00502C87"/>
    <w:rsid w:val="00502C8F"/>
    <w:rsid w:val="00502D52"/>
    <w:rsid w:val="00502D88"/>
    <w:rsid w:val="00502DAE"/>
    <w:rsid w:val="00502FFB"/>
    <w:rsid w:val="00503061"/>
    <w:rsid w:val="00503206"/>
    <w:rsid w:val="005032FF"/>
    <w:rsid w:val="0050333D"/>
    <w:rsid w:val="005034A2"/>
    <w:rsid w:val="00503672"/>
    <w:rsid w:val="005036B9"/>
    <w:rsid w:val="0050370D"/>
    <w:rsid w:val="0050373A"/>
    <w:rsid w:val="005038A0"/>
    <w:rsid w:val="00503A30"/>
    <w:rsid w:val="00503B9D"/>
    <w:rsid w:val="00503CEF"/>
    <w:rsid w:val="00503E54"/>
    <w:rsid w:val="00503F09"/>
    <w:rsid w:val="00503F6C"/>
    <w:rsid w:val="00504201"/>
    <w:rsid w:val="005042BA"/>
    <w:rsid w:val="0050451F"/>
    <w:rsid w:val="00504606"/>
    <w:rsid w:val="00504607"/>
    <w:rsid w:val="00504660"/>
    <w:rsid w:val="0050471E"/>
    <w:rsid w:val="005048D9"/>
    <w:rsid w:val="00504A82"/>
    <w:rsid w:val="00504A83"/>
    <w:rsid w:val="00504C85"/>
    <w:rsid w:val="00504DA0"/>
    <w:rsid w:val="00504DF0"/>
    <w:rsid w:val="00504E6A"/>
    <w:rsid w:val="00504FCE"/>
    <w:rsid w:val="0050510D"/>
    <w:rsid w:val="00505268"/>
    <w:rsid w:val="005052E0"/>
    <w:rsid w:val="00505329"/>
    <w:rsid w:val="00505337"/>
    <w:rsid w:val="005055EC"/>
    <w:rsid w:val="0050568D"/>
    <w:rsid w:val="005056C3"/>
    <w:rsid w:val="005056E9"/>
    <w:rsid w:val="0050576E"/>
    <w:rsid w:val="005057AD"/>
    <w:rsid w:val="005057BE"/>
    <w:rsid w:val="0050594A"/>
    <w:rsid w:val="00505AF4"/>
    <w:rsid w:val="00505B05"/>
    <w:rsid w:val="00505CCE"/>
    <w:rsid w:val="00505D61"/>
    <w:rsid w:val="00505D98"/>
    <w:rsid w:val="00505E19"/>
    <w:rsid w:val="00505EE0"/>
    <w:rsid w:val="00505F23"/>
    <w:rsid w:val="00505F84"/>
    <w:rsid w:val="00505FAA"/>
    <w:rsid w:val="00505FB0"/>
    <w:rsid w:val="0050606F"/>
    <w:rsid w:val="005060B0"/>
    <w:rsid w:val="0050636A"/>
    <w:rsid w:val="00506372"/>
    <w:rsid w:val="005064F4"/>
    <w:rsid w:val="0050667F"/>
    <w:rsid w:val="005068C8"/>
    <w:rsid w:val="00506CCF"/>
    <w:rsid w:val="00506D98"/>
    <w:rsid w:val="00506FF6"/>
    <w:rsid w:val="0050721F"/>
    <w:rsid w:val="0050733E"/>
    <w:rsid w:val="00507381"/>
    <w:rsid w:val="0050775E"/>
    <w:rsid w:val="00507831"/>
    <w:rsid w:val="00507892"/>
    <w:rsid w:val="00507A15"/>
    <w:rsid w:val="00507A22"/>
    <w:rsid w:val="00507BDA"/>
    <w:rsid w:val="00507CD7"/>
    <w:rsid w:val="00507E99"/>
    <w:rsid w:val="00510092"/>
    <w:rsid w:val="00510101"/>
    <w:rsid w:val="005103C5"/>
    <w:rsid w:val="00510517"/>
    <w:rsid w:val="00510670"/>
    <w:rsid w:val="00510ACF"/>
    <w:rsid w:val="00510AEC"/>
    <w:rsid w:val="00510C03"/>
    <w:rsid w:val="00510C8A"/>
    <w:rsid w:val="00510D98"/>
    <w:rsid w:val="00510DDA"/>
    <w:rsid w:val="00510E05"/>
    <w:rsid w:val="00510E59"/>
    <w:rsid w:val="00510E88"/>
    <w:rsid w:val="00511048"/>
    <w:rsid w:val="00511358"/>
    <w:rsid w:val="00511564"/>
    <w:rsid w:val="0051163A"/>
    <w:rsid w:val="0051191B"/>
    <w:rsid w:val="00511A1B"/>
    <w:rsid w:val="00511C4E"/>
    <w:rsid w:val="00511D23"/>
    <w:rsid w:val="00511D3D"/>
    <w:rsid w:val="00511D76"/>
    <w:rsid w:val="00511F29"/>
    <w:rsid w:val="005120C7"/>
    <w:rsid w:val="005120EF"/>
    <w:rsid w:val="00512155"/>
    <w:rsid w:val="0051224D"/>
    <w:rsid w:val="0051229E"/>
    <w:rsid w:val="005123B8"/>
    <w:rsid w:val="00512412"/>
    <w:rsid w:val="00512510"/>
    <w:rsid w:val="00512737"/>
    <w:rsid w:val="005127F2"/>
    <w:rsid w:val="005128C7"/>
    <w:rsid w:val="00512953"/>
    <w:rsid w:val="00512A65"/>
    <w:rsid w:val="00512A7B"/>
    <w:rsid w:val="00512AD8"/>
    <w:rsid w:val="00512B83"/>
    <w:rsid w:val="00512BDD"/>
    <w:rsid w:val="005131D3"/>
    <w:rsid w:val="00513337"/>
    <w:rsid w:val="00513401"/>
    <w:rsid w:val="00513469"/>
    <w:rsid w:val="00513473"/>
    <w:rsid w:val="005134B7"/>
    <w:rsid w:val="0051352C"/>
    <w:rsid w:val="005135EC"/>
    <w:rsid w:val="00513636"/>
    <w:rsid w:val="0051363B"/>
    <w:rsid w:val="0051363F"/>
    <w:rsid w:val="00513677"/>
    <w:rsid w:val="005136B9"/>
    <w:rsid w:val="005139C2"/>
    <w:rsid w:val="005139CC"/>
    <w:rsid w:val="00513A62"/>
    <w:rsid w:val="00513A7A"/>
    <w:rsid w:val="00513AAA"/>
    <w:rsid w:val="00513AC3"/>
    <w:rsid w:val="00513C21"/>
    <w:rsid w:val="00513C65"/>
    <w:rsid w:val="00513C68"/>
    <w:rsid w:val="00513CFC"/>
    <w:rsid w:val="00513E5B"/>
    <w:rsid w:val="00513EB4"/>
    <w:rsid w:val="00514193"/>
    <w:rsid w:val="0051421E"/>
    <w:rsid w:val="0051436B"/>
    <w:rsid w:val="005145C5"/>
    <w:rsid w:val="00514A41"/>
    <w:rsid w:val="00514B71"/>
    <w:rsid w:val="00514FC2"/>
    <w:rsid w:val="005150C1"/>
    <w:rsid w:val="005151D4"/>
    <w:rsid w:val="0051522E"/>
    <w:rsid w:val="005153EF"/>
    <w:rsid w:val="00515542"/>
    <w:rsid w:val="0051585B"/>
    <w:rsid w:val="00515956"/>
    <w:rsid w:val="00515AC2"/>
    <w:rsid w:val="00515B0F"/>
    <w:rsid w:val="00515B48"/>
    <w:rsid w:val="00515BFA"/>
    <w:rsid w:val="00515E32"/>
    <w:rsid w:val="00515FA8"/>
    <w:rsid w:val="00515FBA"/>
    <w:rsid w:val="005160E8"/>
    <w:rsid w:val="0051615A"/>
    <w:rsid w:val="005162A6"/>
    <w:rsid w:val="0051648C"/>
    <w:rsid w:val="00516501"/>
    <w:rsid w:val="005165F2"/>
    <w:rsid w:val="00516695"/>
    <w:rsid w:val="00516766"/>
    <w:rsid w:val="005167BF"/>
    <w:rsid w:val="00516850"/>
    <w:rsid w:val="005168B1"/>
    <w:rsid w:val="00516940"/>
    <w:rsid w:val="00516972"/>
    <w:rsid w:val="00516B6A"/>
    <w:rsid w:val="00516C09"/>
    <w:rsid w:val="00516CD2"/>
    <w:rsid w:val="00516D3E"/>
    <w:rsid w:val="00516D7E"/>
    <w:rsid w:val="00516EBC"/>
    <w:rsid w:val="00516FE4"/>
    <w:rsid w:val="00517103"/>
    <w:rsid w:val="00517177"/>
    <w:rsid w:val="00517346"/>
    <w:rsid w:val="00517382"/>
    <w:rsid w:val="005173BA"/>
    <w:rsid w:val="005173F1"/>
    <w:rsid w:val="00517469"/>
    <w:rsid w:val="00517728"/>
    <w:rsid w:val="00517875"/>
    <w:rsid w:val="0051791C"/>
    <w:rsid w:val="00517983"/>
    <w:rsid w:val="00517A86"/>
    <w:rsid w:val="00517BA5"/>
    <w:rsid w:val="00517BFE"/>
    <w:rsid w:val="00517D23"/>
    <w:rsid w:val="00517DD5"/>
    <w:rsid w:val="0052007D"/>
    <w:rsid w:val="00520260"/>
    <w:rsid w:val="00520324"/>
    <w:rsid w:val="005203A3"/>
    <w:rsid w:val="005203E9"/>
    <w:rsid w:val="0052041E"/>
    <w:rsid w:val="00520592"/>
    <w:rsid w:val="005209D1"/>
    <w:rsid w:val="00520B48"/>
    <w:rsid w:val="00520B92"/>
    <w:rsid w:val="00520BE2"/>
    <w:rsid w:val="00520C81"/>
    <w:rsid w:val="00520D19"/>
    <w:rsid w:val="00520F18"/>
    <w:rsid w:val="00521025"/>
    <w:rsid w:val="00521090"/>
    <w:rsid w:val="005211E5"/>
    <w:rsid w:val="005213BC"/>
    <w:rsid w:val="005214AB"/>
    <w:rsid w:val="00521652"/>
    <w:rsid w:val="00521684"/>
    <w:rsid w:val="005216C1"/>
    <w:rsid w:val="0052183B"/>
    <w:rsid w:val="005218E1"/>
    <w:rsid w:val="00521911"/>
    <w:rsid w:val="0052195A"/>
    <w:rsid w:val="00521AD2"/>
    <w:rsid w:val="00521FF6"/>
    <w:rsid w:val="0052207D"/>
    <w:rsid w:val="00522188"/>
    <w:rsid w:val="0052229A"/>
    <w:rsid w:val="005223C1"/>
    <w:rsid w:val="0052273A"/>
    <w:rsid w:val="0052279E"/>
    <w:rsid w:val="00522915"/>
    <w:rsid w:val="0052291A"/>
    <w:rsid w:val="00522A86"/>
    <w:rsid w:val="00522A8A"/>
    <w:rsid w:val="00522BCE"/>
    <w:rsid w:val="00522BEC"/>
    <w:rsid w:val="00522C62"/>
    <w:rsid w:val="00522DA3"/>
    <w:rsid w:val="00522EAE"/>
    <w:rsid w:val="00522FA5"/>
    <w:rsid w:val="0052349D"/>
    <w:rsid w:val="00523C5A"/>
    <w:rsid w:val="00523CED"/>
    <w:rsid w:val="00523D53"/>
    <w:rsid w:val="005242FD"/>
    <w:rsid w:val="00524301"/>
    <w:rsid w:val="00524482"/>
    <w:rsid w:val="005245E9"/>
    <w:rsid w:val="005246C2"/>
    <w:rsid w:val="0052486D"/>
    <w:rsid w:val="005249D3"/>
    <w:rsid w:val="00524BD3"/>
    <w:rsid w:val="00524BE8"/>
    <w:rsid w:val="00524C7A"/>
    <w:rsid w:val="00524CD2"/>
    <w:rsid w:val="00525032"/>
    <w:rsid w:val="005250C2"/>
    <w:rsid w:val="005251A8"/>
    <w:rsid w:val="00525571"/>
    <w:rsid w:val="005256F3"/>
    <w:rsid w:val="0052575D"/>
    <w:rsid w:val="005257DD"/>
    <w:rsid w:val="005258D7"/>
    <w:rsid w:val="00525982"/>
    <w:rsid w:val="005259B8"/>
    <w:rsid w:val="00525C3C"/>
    <w:rsid w:val="00525C46"/>
    <w:rsid w:val="00525C85"/>
    <w:rsid w:val="00525DCA"/>
    <w:rsid w:val="00525E71"/>
    <w:rsid w:val="00525EF8"/>
    <w:rsid w:val="00525F0D"/>
    <w:rsid w:val="00525F58"/>
    <w:rsid w:val="005260B6"/>
    <w:rsid w:val="0052610C"/>
    <w:rsid w:val="005261B2"/>
    <w:rsid w:val="005262A6"/>
    <w:rsid w:val="00526436"/>
    <w:rsid w:val="00526439"/>
    <w:rsid w:val="00526484"/>
    <w:rsid w:val="0052648B"/>
    <w:rsid w:val="005265A4"/>
    <w:rsid w:val="00526627"/>
    <w:rsid w:val="005266D7"/>
    <w:rsid w:val="005266FB"/>
    <w:rsid w:val="0052670B"/>
    <w:rsid w:val="0052683D"/>
    <w:rsid w:val="00526840"/>
    <w:rsid w:val="005268A9"/>
    <w:rsid w:val="005268FE"/>
    <w:rsid w:val="005269E9"/>
    <w:rsid w:val="005269EF"/>
    <w:rsid w:val="005269F0"/>
    <w:rsid w:val="00526C10"/>
    <w:rsid w:val="00526C92"/>
    <w:rsid w:val="00526C9B"/>
    <w:rsid w:val="00526E6F"/>
    <w:rsid w:val="0052706C"/>
    <w:rsid w:val="00527307"/>
    <w:rsid w:val="005273AD"/>
    <w:rsid w:val="0052752C"/>
    <w:rsid w:val="00527578"/>
    <w:rsid w:val="005275FC"/>
    <w:rsid w:val="0052768C"/>
    <w:rsid w:val="00527793"/>
    <w:rsid w:val="005278AC"/>
    <w:rsid w:val="00527C22"/>
    <w:rsid w:val="00527CAC"/>
    <w:rsid w:val="00527D0B"/>
    <w:rsid w:val="00527D1D"/>
    <w:rsid w:val="00527D9B"/>
    <w:rsid w:val="00527DA5"/>
    <w:rsid w:val="00527EE1"/>
    <w:rsid w:val="005303BF"/>
    <w:rsid w:val="005304EA"/>
    <w:rsid w:val="005306F2"/>
    <w:rsid w:val="00530896"/>
    <w:rsid w:val="00530AD2"/>
    <w:rsid w:val="00530AF9"/>
    <w:rsid w:val="00530BB4"/>
    <w:rsid w:val="00530D29"/>
    <w:rsid w:val="00530EA2"/>
    <w:rsid w:val="005310AF"/>
    <w:rsid w:val="00531340"/>
    <w:rsid w:val="005313FF"/>
    <w:rsid w:val="00531486"/>
    <w:rsid w:val="005314D0"/>
    <w:rsid w:val="0053151F"/>
    <w:rsid w:val="00531561"/>
    <w:rsid w:val="005316C5"/>
    <w:rsid w:val="00531A2F"/>
    <w:rsid w:val="00531AC5"/>
    <w:rsid w:val="00531CA6"/>
    <w:rsid w:val="00531D62"/>
    <w:rsid w:val="00532264"/>
    <w:rsid w:val="00532274"/>
    <w:rsid w:val="005324E5"/>
    <w:rsid w:val="00532503"/>
    <w:rsid w:val="0053251E"/>
    <w:rsid w:val="00532528"/>
    <w:rsid w:val="00532616"/>
    <w:rsid w:val="00532734"/>
    <w:rsid w:val="0053277C"/>
    <w:rsid w:val="005328D1"/>
    <w:rsid w:val="00532922"/>
    <w:rsid w:val="00532982"/>
    <w:rsid w:val="00532D4D"/>
    <w:rsid w:val="00532D58"/>
    <w:rsid w:val="00532EE8"/>
    <w:rsid w:val="00532F21"/>
    <w:rsid w:val="00533057"/>
    <w:rsid w:val="00533118"/>
    <w:rsid w:val="00533239"/>
    <w:rsid w:val="00533388"/>
    <w:rsid w:val="00533488"/>
    <w:rsid w:val="0053365D"/>
    <w:rsid w:val="005338AB"/>
    <w:rsid w:val="00533C29"/>
    <w:rsid w:val="00533C7D"/>
    <w:rsid w:val="00533D2E"/>
    <w:rsid w:val="00533D80"/>
    <w:rsid w:val="00533E6D"/>
    <w:rsid w:val="00533F1D"/>
    <w:rsid w:val="00533FDB"/>
    <w:rsid w:val="00534153"/>
    <w:rsid w:val="00534200"/>
    <w:rsid w:val="005342C3"/>
    <w:rsid w:val="00534304"/>
    <w:rsid w:val="005344ED"/>
    <w:rsid w:val="0053454D"/>
    <w:rsid w:val="00534675"/>
    <w:rsid w:val="00534786"/>
    <w:rsid w:val="005348A0"/>
    <w:rsid w:val="005348C0"/>
    <w:rsid w:val="005349B7"/>
    <w:rsid w:val="00534ADB"/>
    <w:rsid w:val="00534B4E"/>
    <w:rsid w:val="00534CA8"/>
    <w:rsid w:val="00534DC9"/>
    <w:rsid w:val="00534E38"/>
    <w:rsid w:val="00534E51"/>
    <w:rsid w:val="00534E5A"/>
    <w:rsid w:val="00534E87"/>
    <w:rsid w:val="0053501B"/>
    <w:rsid w:val="00535146"/>
    <w:rsid w:val="0053517D"/>
    <w:rsid w:val="0053546F"/>
    <w:rsid w:val="0053548E"/>
    <w:rsid w:val="005355CE"/>
    <w:rsid w:val="00535719"/>
    <w:rsid w:val="005358ED"/>
    <w:rsid w:val="00535931"/>
    <w:rsid w:val="00535A51"/>
    <w:rsid w:val="00535A72"/>
    <w:rsid w:val="00535B13"/>
    <w:rsid w:val="00535DE5"/>
    <w:rsid w:val="00535E06"/>
    <w:rsid w:val="005362F5"/>
    <w:rsid w:val="00536468"/>
    <w:rsid w:val="00536474"/>
    <w:rsid w:val="005364B2"/>
    <w:rsid w:val="005364C2"/>
    <w:rsid w:val="005365D7"/>
    <w:rsid w:val="00536730"/>
    <w:rsid w:val="005367A9"/>
    <w:rsid w:val="005367FF"/>
    <w:rsid w:val="005368E9"/>
    <w:rsid w:val="005369AC"/>
    <w:rsid w:val="00536B12"/>
    <w:rsid w:val="00536B76"/>
    <w:rsid w:val="00536EC4"/>
    <w:rsid w:val="00536FD7"/>
    <w:rsid w:val="00536FD8"/>
    <w:rsid w:val="0053725B"/>
    <w:rsid w:val="00537269"/>
    <w:rsid w:val="005373CD"/>
    <w:rsid w:val="005374C4"/>
    <w:rsid w:val="0053783A"/>
    <w:rsid w:val="00537851"/>
    <w:rsid w:val="0053791A"/>
    <w:rsid w:val="005379F6"/>
    <w:rsid w:val="00537B89"/>
    <w:rsid w:val="00537D7F"/>
    <w:rsid w:val="005401C8"/>
    <w:rsid w:val="00540276"/>
    <w:rsid w:val="0054029C"/>
    <w:rsid w:val="005402CB"/>
    <w:rsid w:val="0054038C"/>
    <w:rsid w:val="005403CF"/>
    <w:rsid w:val="0054047E"/>
    <w:rsid w:val="00540637"/>
    <w:rsid w:val="00540656"/>
    <w:rsid w:val="00540664"/>
    <w:rsid w:val="0054081D"/>
    <w:rsid w:val="00540BA8"/>
    <w:rsid w:val="00540C57"/>
    <w:rsid w:val="00540C9D"/>
    <w:rsid w:val="00540E25"/>
    <w:rsid w:val="005413F3"/>
    <w:rsid w:val="005414FF"/>
    <w:rsid w:val="0054157D"/>
    <w:rsid w:val="005418EB"/>
    <w:rsid w:val="005419AF"/>
    <w:rsid w:val="00541B33"/>
    <w:rsid w:val="00541C46"/>
    <w:rsid w:val="00541DD0"/>
    <w:rsid w:val="00541E4E"/>
    <w:rsid w:val="00541EBA"/>
    <w:rsid w:val="005421F6"/>
    <w:rsid w:val="0054220F"/>
    <w:rsid w:val="0054228E"/>
    <w:rsid w:val="005426C5"/>
    <w:rsid w:val="0054273C"/>
    <w:rsid w:val="00542BDF"/>
    <w:rsid w:val="00542CCB"/>
    <w:rsid w:val="00542D70"/>
    <w:rsid w:val="00542E19"/>
    <w:rsid w:val="00543235"/>
    <w:rsid w:val="0054331E"/>
    <w:rsid w:val="005433FA"/>
    <w:rsid w:val="00543405"/>
    <w:rsid w:val="0054342B"/>
    <w:rsid w:val="00543465"/>
    <w:rsid w:val="0054353B"/>
    <w:rsid w:val="0054360A"/>
    <w:rsid w:val="0054386B"/>
    <w:rsid w:val="00543879"/>
    <w:rsid w:val="00543995"/>
    <w:rsid w:val="0054401B"/>
    <w:rsid w:val="005445DA"/>
    <w:rsid w:val="00544876"/>
    <w:rsid w:val="00544ADC"/>
    <w:rsid w:val="00544B42"/>
    <w:rsid w:val="00544E7B"/>
    <w:rsid w:val="00544F00"/>
    <w:rsid w:val="00544FDB"/>
    <w:rsid w:val="005452C9"/>
    <w:rsid w:val="005453D4"/>
    <w:rsid w:val="005453FF"/>
    <w:rsid w:val="00545500"/>
    <w:rsid w:val="0054554A"/>
    <w:rsid w:val="00545565"/>
    <w:rsid w:val="00545566"/>
    <w:rsid w:val="00545691"/>
    <w:rsid w:val="00545700"/>
    <w:rsid w:val="0054577D"/>
    <w:rsid w:val="005457A0"/>
    <w:rsid w:val="0054596A"/>
    <w:rsid w:val="005459B1"/>
    <w:rsid w:val="00545A36"/>
    <w:rsid w:val="00545BE9"/>
    <w:rsid w:val="00545D70"/>
    <w:rsid w:val="00545E0A"/>
    <w:rsid w:val="0054609F"/>
    <w:rsid w:val="005461FA"/>
    <w:rsid w:val="00546263"/>
    <w:rsid w:val="005462BB"/>
    <w:rsid w:val="00546363"/>
    <w:rsid w:val="005463EC"/>
    <w:rsid w:val="00546640"/>
    <w:rsid w:val="005466E3"/>
    <w:rsid w:val="00546766"/>
    <w:rsid w:val="005467F5"/>
    <w:rsid w:val="00546874"/>
    <w:rsid w:val="00546A33"/>
    <w:rsid w:val="00546B36"/>
    <w:rsid w:val="00546D49"/>
    <w:rsid w:val="00546FFE"/>
    <w:rsid w:val="0054705D"/>
    <w:rsid w:val="005471EF"/>
    <w:rsid w:val="0054724C"/>
    <w:rsid w:val="005472A2"/>
    <w:rsid w:val="005472EB"/>
    <w:rsid w:val="005473D5"/>
    <w:rsid w:val="00547518"/>
    <w:rsid w:val="00547777"/>
    <w:rsid w:val="0054796F"/>
    <w:rsid w:val="00547A40"/>
    <w:rsid w:val="00547B10"/>
    <w:rsid w:val="00547C0D"/>
    <w:rsid w:val="00547CDB"/>
    <w:rsid w:val="00547CEA"/>
    <w:rsid w:val="00547F20"/>
    <w:rsid w:val="00547FF0"/>
    <w:rsid w:val="005500D4"/>
    <w:rsid w:val="00550168"/>
    <w:rsid w:val="0055029A"/>
    <w:rsid w:val="005502E9"/>
    <w:rsid w:val="00550463"/>
    <w:rsid w:val="005505A0"/>
    <w:rsid w:val="005505D3"/>
    <w:rsid w:val="00550691"/>
    <w:rsid w:val="00550860"/>
    <w:rsid w:val="00550925"/>
    <w:rsid w:val="0055095F"/>
    <w:rsid w:val="00550C1A"/>
    <w:rsid w:val="00550D9D"/>
    <w:rsid w:val="00550FB5"/>
    <w:rsid w:val="00551046"/>
    <w:rsid w:val="005510DD"/>
    <w:rsid w:val="005511E0"/>
    <w:rsid w:val="005512E2"/>
    <w:rsid w:val="00551387"/>
    <w:rsid w:val="005515E2"/>
    <w:rsid w:val="0055175F"/>
    <w:rsid w:val="0055190A"/>
    <w:rsid w:val="00551A7F"/>
    <w:rsid w:val="00551B1B"/>
    <w:rsid w:val="00551DA9"/>
    <w:rsid w:val="00551DFC"/>
    <w:rsid w:val="005521D8"/>
    <w:rsid w:val="0055221C"/>
    <w:rsid w:val="00552334"/>
    <w:rsid w:val="0055277A"/>
    <w:rsid w:val="005528BB"/>
    <w:rsid w:val="00552B3E"/>
    <w:rsid w:val="00552B6A"/>
    <w:rsid w:val="00552D49"/>
    <w:rsid w:val="00552E79"/>
    <w:rsid w:val="0055300F"/>
    <w:rsid w:val="005531BD"/>
    <w:rsid w:val="005532B8"/>
    <w:rsid w:val="005532E5"/>
    <w:rsid w:val="005534B4"/>
    <w:rsid w:val="0055357E"/>
    <w:rsid w:val="005535CC"/>
    <w:rsid w:val="0055375C"/>
    <w:rsid w:val="00553867"/>
    <w:rsid w:val="00553964"/>
    <w:rsid w:val="00553A3B"/>
    <w:rsid w:val="00553C57"/>
    <w:rsid w:val="00553D30"/>
    <w:rsid w:val="00553E3E"/>
    <w:rsid w:val="00553F48"/>
    <w:rsid w:val="00553F4C"/>
    <w:rsid w:val="00554063"/>
    <w:rsid w:val="00554125"/>
    <w:rsid w:val="0055422A"/>
    <w:rsid w:val="005543E4"/>
    <w:rsid w:val="00554426"/>
    <w:rsid w:val="0055454A"/>
    <w:rsid w:val="005545CE"/>
    <w:rsid w:val="005547FB"/>
    <w:rsid w:val="00554A65"/>
    <w:rsid w:val="00554CF2"/>
    <w:rsid w:val="00554DAF"/>
    <w:rsid w:val="00554E6A"/>
    <w:rsid w:val="00555017"/>
    <w:rsid w:val="0055502B"/>
    <w:rsid w:val="005550DF"/>
    <w:rsid w:val="00555129"/>
    <w:rsid w:val="0055522D"/>
    <w:rsid w:val="005553A8"/>
    <w:rsid w:val="00555643"/>
    <w:rsid w:val="005558FB"/>
    <w:rsid w:val="0055593D"/>
    <w:rsid w:val="00555AA7"/>
    <w:rsid w:val="00555B48"/>
    <w:rsid w:val="00555D6C"/>
    <w:rsid w:val="00555D6D"/>
    <w:rsid w:val="00555E22"/>
    <w:rsid w:val="005561EF"/>
    <w:rsid w:val="005562A5"/>
    <w:rsid w:val="00556508"/>
    <w:rsid w:val="0055653A"/>
    <w:rsid w:val="005566D3"/>
    <w:rsid w:val="005567B2"/>
    <w:rsid w:val="00556818"/>
    <w:rsid w:val="0055692E"/>
    <w:rsid w:val="005569F0"/>
    <w:rsid w:val="00556E3E"/>
    <w:rsid w:val="00556E7A"/>
    <w:rsid w:val="0055745F"/>
    <w:rsid w:val="00557870"/>
    <w:rsid w:val="005578DF"/>
    <w:rsid w:val="00557EC2"/>
    <w:rsid w:val="00557F1D"/>
    <w:rsid w:val="0056004D"/>
    <w:rsid w:val="00560277"/>
    <w:rsid w:val="0056034F"/>
    <w:rsid w:val="00560363"/>
    <w:rsid w:val="0056048C"/>
    <w:rsid w:val="0056066F"/>
    <w:rsid w:val="005606F1"/>
    <w:rsid w:val="00560938"/>
    <w:rsid w:val="00560951"/>
    <w:rsid w:val="00560A27"/>
    <w:rsid w:val="00560AF1"/>
    <w:rsid w:val="00560BBC"/>
    <w:rsid w:val="00560F02"/>
    <w:rsid w:val="00560F3B"/>
    <w:rsid w:val="005610CB"/>
    <w:rsid w:val="00561101"/>
    <w:rsid w:val="005612ED"/>
    <w:rsid w:val="00561538"/>
    <w:rsid w:val="00561562"/>
    <w:rsid w:val="00561984"/>
    <w:rsid w:val="005619CE"/>
    <w:rsid w:val="00561A26"/>
    <w:rsid w:val="00561D0F"/>
    <w:rsid w:val="00561DC2"/>
    <w:rsid w:val="00561DEB"/>
    <w:rsid w:val="00561EB2"/>
    <w:rsid w:val="0056215B"/>
    <w:rsid w:val="005622BE"/>
    <w:rsid w:val="00562405"/>
    <w:rsid w:val="0056246C"/>
    <w:rsid w:val="00562605"/>
    <w:rsid w:val="00562766"/>
    <w:rsid w:val="005627A6"/>
    <w:rsid w:val="0056288A"/>
    <w:rsid w:val="00562CB6"/>
    <w:rsid w:val="00562CBC"/>
    <w:rsid w:val="00562F37"/>
    <w:rsid w:val="005632C4"/>
    <w:rsid w:val="0056363B"/>
    <w:rsid w:val="005636AD"/>
    <w:rsid w:val="005637F5"/>
    <w:rsid w:val="00563804"/>
    <w:rsid w:val="005639FC"/>
    <w:rsid w:val="00563A81"/>
    <w:rsid w:val="00563CCE"/>
    <w:rsid w:val="00563CF6"/>
    <w:rsid w:val="00563D22"/>
    <w:rsid w:val="00563DE6"/>
    <w:rsid w:val="00563E50"/>
    <w:rsid w:val="00563E5B"/>
    <w:rsid w:val="00563EF4"/>
    <w:rsid w:val="00563EFE"/>
    <w:rsid w:val="005641BA"/>
    <w:rsid w:val="00564246"/>
    <w:rsid w:val="005642AA"/>
    <w:rsid w:val="005642BB"/>
    <w:rsid w:val="00564404"/>
    <w:rsid w:val="00564544"/>
    <w:rsid w:val="005645B1"/>
    <w:rsid w:val="005645BA"/>
    <w:rsid w:val="005646D0"/>
    <w:rsid w:val="00564794"/>
    <w:rsid w:val="005647AC"/>
    <w:rsid w:val="0056484B"/>
    <w:rsid w:val="00564855"/>
    <w:rsid w:val="00564933"/>
    <w:rsid w:val="00564958"/>
    <w:rsid w:val="00564AE5"/>
    <w:rsid w:val="00564F77"/>
    <w:rsid w:val="00565026"/>
    <w:rsid w:val="005650E0"/>
    <w:rsid w:val="0056526D"/>
    <w:rsid w:val="0056528D"/>
    <w:rsid w:val="00565430"/>
    <w:rsid w:val="005656CF"/>
    <w:rsid w:val="0056591A"/>
    <w:rsid w:val="00565984"/>
    <w:rsid w:val="005659B8"/>
    <w:rsid w:val="00565A10"/>
    <w:rsid w:val="00565D7D"/>
    <w:rsid w:val="00565DA7"/>
    <w:rsid w:val="00565DB9"/>
    <w:rsid w:val="00565DE7"/>
    <w:rsid w:val="0056602F"/>
    <w:rsid w:val="00566048"/>
    <w:rsid w:val="00566051"/>
    <w:rsid w:val="005661F8"/>
    <w:rsid w:val="0056628B"/>
    <w:rsid w:val="00566298"/>
    <w:rsid w:val="0056639C"/>
    <w:rsid w:val="00566539"/>
    <w:rsid w:val="00566766"/>
    <w:rsid w:val="0056677C"/>
    <w:rsid w:val="005668EF"/>
    <w:rsid w:val="00566A83"/>
    <w:rsid w:val="00566BB0"/>
    <w:rsid w:val="00566C70"/>
    <w:rsid w:val="00566FA2"/>
    <w:rsid w:val="00567261"/>
    <w:rsid w:val="00567892"/>
    <w:rsid w:val="005678FD"/>
    <w:rsid w:val="00567944"/>
    <w:rsid w:val="00567A12"/>
    <w:rsid w:val="00567A6E"/>
    <w:rsid w:val="00567FA4"/>
    <w:rsid w:val="0057009D"/>
    <w:rsid w:val="00570140"/>
    <w:rsid w:val="0057018D"/>
    <w:rsid w:val="00570225"/>
    <w:rsid w:val="005702D4"/>
    <w:rsid w:val="005703AE"/>
    <w:rsid w:val="0057064E"/>
    <w:rsid w:val="005708E4"/>
    <w:rsid w:val="0057091E"/>
    <w:rsid w:val="00570957"/>
    <w:rsid w:val="00570A02"/>
    <w:rsid w:val="00570AC9"/>
    <w:rsid w:val="00570D72"/>
    <w:rsid w:val="00570DBF"/>
    <w:rsid w:val="00570EA5"/>
    <w:rsid w:val="00570F00"/>
    <w:rsid w:val="0057130A"/>
    <w:rsid w:val="00571405"/>
    <w:rsid w:val="00571479"/>
    <w:rsid w:val="00571695"/>
    <w:rsid w:val="0057184C"/>
    <w:rsid w:val="00571977"/>
    <w:rsid w:val="005719CA"/>
    <w:rsid w:val="00571BF9"/>
    <w:rsid w:val="00571EBA"/>
    <w:rsid w:val="00572006"/>
    <w:rsid w:val="005723D6"/>
    <w:rsid w:val="00572422"/>
    <w:rsid w:val="00572518"/>
    <w:rsid w:val="0057257B"/>
    <w:rsid w:val="0057276F"/>
    <w:rsid w:val="00572787"/>
    <w:rsid w:val="0057292D"/>
    <w:rsid w:val="00572933"/>
    <w:rsid w:val="00572976"/>
    <w:rsid w:val="00572978"/>
    <w:rsid w:val="005729F1"/>
    <w:rsid w:val="00572AE9"/>
    <w:rsid w:val="00572B93"/>
    <w:rsid w:val="00572CBA"/>
    <w:rsid w:val="00572D4C"/>
    <w:rsid w:val="00572DD0"/>
    <w:rsid w:val="00572F4D"/>
    <w:rsid w:val="00573007"/>
    <w:rsid w:val="0057326D"/>
    <w:rsid w:val="005732F5"/>
    <w:rsid w:val="00573384"/>
    <w:rsid w:val="005733FB"/>
    <w:rsid w:val="0057352C"/>
    <w:rsid w:val="00573553"/>
    <w:rsid w:val="005735BA"/>
    <w:rsid w:val="00573745"/>
    <w:rsid w:val="0057383C"/>
    <w:rsid w:val="00573D1C"/>
    <w:rsid w:val="00573E51"/>
    <w:rsid w:val="00573E87"/>
    <w:rsid w:val="00573F1C"/>
    <w:rsid w:val="00573FDF"/>
    <w:rsid w:val="0057414D"/>
    <w:rsid w:val="0057433E"/>
    <w:rsid w:val="005743C1"/>
    <w:rsid w:val="0057441F"/>
    <w:rsid w:val="005745AB"/>
    <w:rsid w:val="00574921"/>
    <w:rsid w:val="00574A6E"/>
    <w:rsid w:val="00574B15"/>
    <w:rsid w:val="00574B98"/>
    <w:rsid w:val="00574C85"/>
    <w:rsid w:val="00574C88"/>
    <w:rsid w:val="00574CC7"/>
    <w:rsid w:val="00574D3F"/>
    <w:rsid w:val="00574DC5"/>
    <w:rsid w:val="00574E15"/>
    <w:rsid w:val="00574ED9"/>
    <w:rsid w:val="00575445"/>
    <w:rsid w:val="00575564"/>
    <w:rsid w:val="005755D7"/>
    <w:rsid w:val="00575612"/>
    <w:rsid w:val="005756F5"/>
    <w:rsid w:val="005757A9"/>
    <w:rsid w:val="00575845"/>
    <w:rsid w:val="00575A12"/>
    <w:rsid w:val="00575A2B"/>
    <w:rsid w:val="00575A5F"/>
    <w:rsid w:val="00575C3C"/>
    <w:rsid w:val="00575CF8"/>
    <w:rsid w:val="00575CFC"/>
    <w:rsid w:val="00575E20"/>
    <w:rsid w:val="00575E8B"/>
    <w:rsid w:val="00575F19"/>
    <w:rsid w:val="00576274"/>
    <w:rsid w:val="0057633A"/>
    <w:rsid w:val="005763A0"/>
    <w:rsid w:val="00576586"/>
    <w:rsid w:val="005765B8"/>
    <w:rsid w:val="0057689A"/>
    <w:rsid w:val="005768F2"/>
    <w:rsid w:val="005769CD"/>
    <w:rsid w:val="00576B1A"/>
    <w:rsid w:val="00576BB9"/>
    <w:rsid w:val="00576C29"/>
    <w:rsid w:val="00576F74"/>
    <w:rsid w:val="00577145"/>
    <w:rsid w:val="005772E3"/>
    <w:rsid w:val="005773BE"/>
    <w:rsid w:val="005778DA"/>
    <w:rsid w:val="005779A7"/>
    <w:rsid w:val="00577B2A"/>
    <w:rsid w:val="00577B33"/>
    <w:rsid w:val="00577B88"/>
    <w:rsid w:val="00577CBD"/>
    <w:rsid w:val="00577CE2"/>
    <w:rsid w:val="00577E8E"/>
    <w:rsid w:val="00577EB2"/>
    <w:rsid w:val="00577F41"/>
    <w:rsid w:val="00580031"/>
    <w:rsid w:val="0058016D"/>
    <w:rsid w:val="005803F2"/>
    <w:rsid w:val="005804FE"/>
    <w:rsid w:val="00580538"/>
    <w:rsid w:val="0058055F"/>
    <w:rsid w:val="00580719"/>
    <w:rsid w:val="00580836"/>
    <w:rsid w:val="00580886"/>
    <w:rsid w:val="0058088B"/>
    <w:rsid w:val="00580A60"/>
    <w:rsid w:val="00580A8E"/>
    <w:rsid w:val="00580ADA"/>
    <w:rsid w:val="00580E84"/>
    <w:rsid w:val="00580F89"/>
    <w:rsid w:val="00581112"/>
    <w:rsid w:val="0058129D"/>
    <w:rsid w:val="00581330"/>
    <w:rsid w:val="005814B8"/>
    <w:rsid w:val="005816AC"/>
    <w:rsid w:val="0058179F"/>
    <w:rsid w:val="005818DD"/>
    <w:rsid w:val="0058197F"/>
    <w:rsid w:val="00581982"/>
    <w:rsid w:val="005819A6"/>
    <w:rsid w:val="00581D7B"/>
    <w:rsid w:val="00581F2D"/>
    <w:rsid w:val="00582053"/>
    <w:rsid w:val="005820D7"/>
    <w:rsid w:val="0058229C"/>
    <w:rsid w:val="0058233F"/>
    <w:rsid w:val="00582365"/>
    <w:rsid w:val="005823E8"/>
    <w:rsid w:val="005824D4"/>
    <w:rsid w:val="0058250A"/>
    <w:rsid w:val="005825FC"/>
    <w:rsid w:val="005827D8"/>
    <w:rsid w:val="005828E4"/>
    <w:rsid w:val="00582A06"/>
    <w:rsid w:val="00582B14"/>
    <w:rsid w:val="00582D1C"/>
    <w:rsid w:val="00582E04"/>
    <w:rsid w:val="00583026"/>
    <w:rsid w:val="005830F3"/>
    <w:rsid w:val="00583142"/>
    <w:rsid w:val="0058320C"/>
    <w:rsid w:val="0058360D"/>
    <w:rsid w:val="005838A1"/>
    <w:rsid w:val="00583994"/>
    <w:rsid w:val="00583A43"/>
    <w:rsid w:val="00583B10"/>
    <w:rsid w:val="00583BE1"/>
    <w:rsid w:val="00583C80"/>
    <w:rsid w:val="00583D74"/>
    <w:rsid w:val="00583D79"/>
    <w:rsid w:val="00583F29"/>
    <w:rsid w:val="00583FAA"/>
    <w:rsid w:val="0058413B"/>
    <w:rsid w:val="005841DF"/>
    <w:rsid w:val="005845D7"/>
    <w:rsid w:val="00584626"/>
    <w:rsid w:val="005848FE"/>
    <w:rsid w:val="00584963"/>
    <w:rsid w:val="00584A19"/>
    <w:rsid w:val="00584AD2"/>
    <w:rsid w:val="00584F13"/>
    <w:rsid w:val="00585208"/>
    <w:rsid w:val="005852C4"/>
    <w:rsid w:val="0058533A"/>
    <w:rsid w:val="00585451"/>
    <w:rsid w:val="005855C7"/>
    <w:rsid w:val="005857CC"/>
    <w:rsid w:val="005857E2"/>
    <w:rsid w:val="005859FA"/>
    <w:rsid w:val="00585AD6"/>
    <w:rsid w:val="00585B88"/>
    <w:rsid w:val="00585C1B"/>
    <w:rsid w:val="00585C84"/>
    <w:rsid w:val="00585F0F"/>
    <w:rsid w:val="00585FA8"/>
    <w:rsid w:val="005861BF"/>
    <w:rsid w:val="0058627B"/>
    <w:rsid w:val="00586548"/>
    <w:rsid w:val="005867FF"/>
    <w:rsid w:val="00586858"/>
    <w:rsid w:val="00586A8A"/>
    <w:rsid w:val="00586AED"/>
    <w:rsid w:val="00586B6E"/>
    <w:rsid w:val="00586BAE"/>
    <w:rsid w:val="005870A7"/>
    <w:rsid w:val="00587639"/>
    <w:rsid w:val="00587643"/>
    <w:rsid w:val="005876A1"/>
    <w:rsid w:val="0058772C"/>
    <w:rsid w:val="0058778D"/>
    <w:rsid w:val="0058787E"/>
    <w:rsid w:val="0058792D"/>
    <w:rsid w:val="00587A82"/>
    <w:rsid w:val="00587B01"/>
    <w:rsid w:val="00587B9D"/>
    <w:rsid w:val="00587E67"/>
    <w:rsid w:val="00587FF7"/>
    <w:rsid w:val="00590004"/>
    <w:rsid w:val="0059006C"/>
    <w:rsid w:val="005900BE"/>
    <w:rsid w:val="0059025D"/>
    <w:rsid w:val="00590402"/>
    <w:rsid w:val="005904DB"/>
    <w:rsid w:val="00590545"/>
    <w:rsid w:val="005905F7"/>
    <w:rsid w:val="005908C5"/>
    <w:rsid w:val="00590943"/>
    <w:rsid w:val="005909BC"/>
    <w:rsid w:val="00590E0C"/>
    <w:rsid w:val="00590FE1"/>
    <w:rsid w:val="005910D7"/>
    <w:rsid w:val="005911DA"/>
    <w:rsid w:val="005914ED"/>
    <w:rsid w:val="00591541"/>
    <w:rsid w:val="005915FD"/>
    <w:rsid w:val="0059175B"/>
    <w:rsid w:val="005917C5"/>
    <w:rsid w:val="00591956"/>
    <w:rsid w:val="00591A60"/>
    <w:rsid w:val="00591AA4"/>
    <w:rsid w:val="00591AA5"/>
    <w:rsid w:val="00591B8A"/>
    <w:rsid w:val="00591E28"/>
    <w:rsid w:val="00591EAD"/>
    <w:rsid w:val="00591FEA"/>
    <w:rsid w:val="005921AB"/>
    <w:rsid w:val="00592246"/>
    <w:rsid w:val="0059242D"/>
    <w:rsid w:val="005924AB"/>
    <w:rsid w:val="00592526"/>
    <w:rsid w:val="00592638"/>
    <w:rsid w:val="0059266B"/>
    <w:rsid w:val="00592770"/>
    <w:rsid w:val="00592983"/>
    <w:rsid w:val="00592D25"/>
    <w:rsid w:val="00592E9A"/>
    <w:rsid w:val="00593035"/>
    <w:rsid w:val="00593138"/>
    <w:rsid w:val="00593167"/>
    <w:rsid w:val="0059318D"/>
    <w:rsid w:val="0059320D"/>
    <w:rsid w:val="0059323A"/>
    <w:rsid w:val="00593289"/>
    <w:rsid w:val="0059328E"/>
    <w:rsid w:val="00593465"/>
    <w:rsid w:val="00593700"/>
    <w:rsid w:val="0059379C"/>
    <w:rsid w:val="00593910"/>
    <w:rsid w:val="00593A33"/>
    <w:rsid w:val="00593AC3"/>
    <w:rsid w:val="00593BBE"/>
    <w:rsid w:val="00593C2D"/>
    <w:rsid w:val="00593F08"/>
    <w:rsid w:val="005940D2"/>
    <w:rsid w:val="005941DC"/>
    <w:rsid w:val="00594217"/>
    <w:rsid w:val="0059437B"/>
    <w:rsid w:val="00594705"/>
    <w:rsid w:val="00594756"/>
    <w:rsid w:val="005947AF"/>
    <w:rsid w:val="005947B5"/>
    <w:rsid w:val="00594828"/>
    <w:rsid w:val="00594886"/>
    <w:rsid w:val="00594998"/>
    <w:rsid w:val="00594B56"/>
    <w:rsid w:val="00594BDD"/>
    <w:rsid w:val="00594C4B"/>
    <w:rsid w:val="00594FD5"/>
    <w:rsid w:val="00595033"/>
    <w:rsid w:val="00595255"/>
    <w:rsid w:val="00595272"/>
    <w:rsid w:val="0059528B"/>
    <w:rsid w:val="005952A6"/>
    <w:rsid w:val="005952DC"/>
    <w:rsid w:val="005953B1"/>
    <w:rsid w:val="0059578C"/>
    <w:rsid w:val="005958C2"/>
    <w:rsid w:val="005959BE"/>
    <w:rsid w:val="00595AFD"/>
    <w:rsid w:val="00595B14"/>
    <w:rsid w:val="00595B5C"/>
    <w:rsid w:val="00595C14"/>
    <w:rsid w:val="00595D6B"/>
    <w:rsid w:val="005960BB"/>
    <w:rsid w:val="005961FD"/>
    <w:rsid w:val="00596451"/>
    <w:rsid w:val="0059645F"/>
    <w:rsid w:val="005964DD"/>
    <w:rsid w:val="0059654C"/>
    <w:rsid w:val="00596876"/>
    <w:rsid w:val="005968E2"/>
    <w:rsid w:val="00596960"/>
    <w:rsid w:val="005969D5"/>
    <w:rsid w:val="00596AE2"/>
    <w:rsid w:val="00596AF1"/>
    <w:rsid w:val="00596E91"/>
    <w:rsid w:val="00596F6F"/>
    <w:rsid w:val="0059704D"/>
    <w:rsid w:val="005971BF"/>
    <w:rsid w:val="00597246"/>
    <w:rsid w:val="005972BA"/>
    <w:rsid w:val="00597407"/>
    <w:rsid w:val="0059745E"/>
    <w:rsid w:val="005974A7"/>
    <w:rsid w:val="00597715"/>
    <w:rsid w:val="005979CA"/>
    <w:rsid w:val="00597A94"/>
    <w:rsid w:val="00597A9A"/>
    <w:rsid w:val="00597D2F"/>
    <w:rsid w:val="00597D54"/>
    <w:rsid w:val="00597E9C"/>
    <w:rsid w:val="00597EF7"/>
    <w:rsid w:val="00597FE2"/>
    <w:rsid w:val="005A012B"/>
    <w:rsid w:val="005A0294"/>
    <w:rsid w:val="005A0369"/>
    <w:rsid w:val="005A0449"/>
    <w:rsid w:val="005A0496"/>
    <w:rsid w:val="005A04C2"/>
    <w:rsid w:val="005A0727"/>
    <w:rsid w:val="005A0732"/>
    <w:rsid w:val="005A0C6C"/>
    <w:rsid w:val="005A0D49"/>
    <w:rsid w:val="005A0FDC"/>
    <w:rsid w:val="005A103D"/>
    <w:rsid w:val="005A1068"/>
    <w:rsid w:val="005A1100"/>
    <w:rsid w:val="005A150E"/>
    <w:rsid w:val="005A156C"/>
    <w:rsid w:val="005A1648"/>
    <w:rsid w:val="005A16B1"/>
    <w:rsid w:val="005A18BB"/>
    <w:rsid w:val="005A18E3"/>
    <w:rsid w:val="005A1EF5"/>
    <w:rsid w:val="005A1FE9"/>
    <w:rsid w:val="005A2106"/>
    <w:rsid w:val="005A2188"/>
    <w:rsid w:val="005A22FA"/>
    <w:rsid w:val="005A2591"/>
    <w:rsid w:val="005A2879"/>
    <w:rsid w:val="005A2A21"/>
    <w:rsid w:val="005A2AB6"/>
    <w:rsid w:val="005A2B10"/>
    <w:rsid w:val="005A2CDD"/>
    <w:rsid w:val="005A2E95"/>
    <w:rsid w:val="005A2EAF"/>
    <w:rsid w:val="005A2F36"/>
    <w:rsid w:val="005A2FFA"/>
    <w:rsid w:val="005A31E0"/>
    <w:rsid w:val="005A320E"/>
    <w:rsid w:val="005A341B"/>
    <w:rsid w:val="005A368E"/>
    <w:rsid w:val="005A36B5"/>
    <w:rsid w:val="005A3937"/>
    <w:rsid w:val="005A3A3C"/>
    <w:rsid w:val="005A3ACF"/>
    <w:rsid w:val="005A3BAE"/>
    <w:rsid w:val="005A3E35"/>
    <w:rsid w:val="005A3E52"/>
    <w:rsid w:val="005A3EF6"/>
    <w:rsid w:val="005A3F8E"/>
    <w:rsid w:val="005A4047"/>
    <w:rsid w:val="005A40E5"/>
    <w:rsid w:val="005A410D"/>
    <w:rsid w:val="005A42BA"/>
    <w:rsid w:val="005A431A"/>
    <w:rsid w:val="005A4384"/>
    <w:rsid w:val="005A476E"/>
    <w:rsid w:val="005A48AB"/>
    <w:rsid w:val="005A49EE"/>
    <w:rsid w:val="005A4A1A"/>
    <w:rsid w:val="005A4A2C"/>
    <w:rsid w:val="005A4C84"/>
    <w:rsid w:val="005A4E3D"/>
    <w:rsid w:val="005A4F75"/>
    <w:rsid w:val="005A502C"/>
    <w:rsid w:val="005A5205"/>
    <w:rsid w:val="005A5556"/>
    <w:rsid w:val="005A5612"/>
    <w:rsid w:val="005A5724"/>
    <w:rsid w:val="005A585A"/>
    <w:rsid w:val="005A58D1"/>
    <w:rsid w:val="005A58EC"/>
    <w:rsid w:val="005A5BFD"/>
    <w:rsid w:val="005A5C2B"/>
    <w:rsid w:val="005A5C98"/>
    <w:rsid w:val="005A6319"/>
    <w:rsid w:val="005A63FE"/>
    <w:rsid w:val="005A6425"/>
    <w:rsid w:val="005A6575"/>
    <w:rsid w:val="005A6730"/>
    <w:rsid w:val="005A681F"/>
    <w:rsid w:val="005A6836"/>
    <w:rsid w:val="005A68FA"/>
    <w:rsid w:val="005A6905"/>
    <w:rsid w:val="005A6CA9"/>
    <w:rsid w:val="005A7012"/>
    <w:rsid w:val="005A713D"/>
    <w:rsid w:val="005A724E"/>
    <w:rsid w:val="005A73FB"/>
    <w:rsid w:val="005A746C"/>
    <w:rsid w:val="005A766B"/>
    <w:rsid w:val="005A7831"/>
    <w:rsid w:val="005A7A5E"/>
    <w:rsid w:val="005A7AE0"/>
    <w:rsid w:val="005A7CBE"/>
    <w:rsid w:val="005A7EA7"/>
    <w:rsid w:val="005A7F94"/>
    <w:rsid w:val="005A7FCC"/>
    <w:rsid w:val="005B00B3"/>
    <w:rsid w:val="005B022A"/>
    <w:rsid w:val="005B034D"/>
    <w:rsid w:val="005B0375"/>
    <w:rsid w:val="005B0519"/>
    <w:rsid w:val="005B0548"/>
    <w:rsid w:val="005B0602"/>
    <w:rsid w:val="005B07F5"/>
    <w:rsid w:val="005B0826"/>
    <w:rsid w:val="005B08E3"/>
    <w:rsid w:val="005B0A28"/>
    <w:rsid w:val="005B0A73"/>
    <w:rsid w:val="005B0A81"/>
    <w:rsid w:val="005B0BDA"/>
    <w:rsid w:val="005B0C81"/>
    <w:rsid w:val="005B0CB3"/>
    <w:rsid w:val="005B0CFA"/>
    <w:rsid w:val="005B0D4A"/>
    <w:rsid w:val="005B0D92"/>
    <w:rsid w:val="005B0DC1"/>
    <w:rsid w:val="005B0DFA"/>
    <w:rsid w:val="005B0F17"/>
    <w:rsid w:val="005B0FFC"/>
    <w:rsid w:val="005B1274"/>
    <w:rsid w:val="005B1319"/>
    <w:rsid w:val="005B1462"/>
    <w:rsid w:val="005B158F"/>
    <w:rsid w:val="005B1AE7"/>
    <w:rsid w:val="005B1B0C"/>
    <w:rsid w:val="005B1C07"/>
    <w:rsid w:val="005B1C0C"/>
    <w:rsid w:val="005B1DA5"/>
    <w:rsid w:val="005B1DF2"/>
    <w:rsid w:val="005B1EF1"/>
    <w:rsid w:val="005B228A"/>
    <w:rsid w:val="005B22FF"/>
    <w:rsid w:val="005B233A"/>
    <w:rsid w:val="005B234D"/>
    <w:rsid w:val="005B242B"/>
    <w:rsid w:val="005B25AC"/>
    <w:rsid w:val="005B25DA"/>
    <w:rsid w:val="005B27C4"/>
    <w:rsid w:val="005B2C18"/>
    <w:rsid w:val="005B2C48"/>
    <w:rsid w:val="005B2C5C"/>
    <w:rsid w:val="005B2DA4"/>
    <w:rsid w:val="005B2EAB"/>
    <w:rsid w:val="005B2EC4"/>
    <w:rsid w:val="005B2FE8"/>
    <w:rsid w:val="005B304C"/>
    <w:rsid w:val="005B30A5"/>
    <w:rsid w:val="005B30D9"/>
    <w:rsid w:val="005B30F0"/>
    <w:rsid w:val="005B3277"/>
    <w:rsid w:val="005B3343"/>
    <w:rsid w:val="005B3432"/>
    <w:rsid w:val="005B34B5"/>
    <w:rsid w:val="005B34DC"/>
    <w:rsid w:val="005B3518"/>
    <w:rsid w:val="005B3614"/>
    <w:rsid w:val="005B3632"/>
    <w:rsid w:val="005B369F"/>
    <w:rsid w:val="005B377A"/>
    <w:rsid w:val="005B3B1F"/>
    <w:rsid w:val="005B3BD6"/>
    <w:rsid w:val="005B3C12"/>
    <w:rsid w:val="005B4011"/>
    <w:rsid w:val="005B40B9"/>
    <w:rsid w:val="005B4265"/>
    <w:rsid w:val="005B4365"/>
    <w:rsid w:val="005B44C9"/>
    <w:rsid w:val="005B4633"/>
    <w:rsid w:val="005B474C"/>
    <w:rsid w:val="005B474F"/>
    <w:rsid w:val="005B48D1"/>
    <w:rsid w:val="005B490D"/>
    <w:rsid w:val="005B4917"/>
    <w:rsid w:val="005B4A34"/>
    <w:rsid w:val="005B4CA5"/>
    <w:rsid w:val="005B4ECC"/>
    <w:rsid w:val="005B4F11"/>
    <w:rsid w:val="005B4FEE"/>
    <w:rsid w:val="005B5014"/>
    <w:rsid w:val="005B50C8"/>
    <w:rsid w:val="005B5126"/>
    <w:rsid w:val="005B53D0"/>
    <w:rsid w:val="005B5434"/>
    <w:rsid w:val="005B5439"/>
    <w:rsid w:val="005B5A05"/>
    <w:rsid w:val="005B5B7F"/>
    <w:rsid w:val="005B5E24"/>
    <w:rsid w:val="005B6060"/>
    <w:rsid w:val="005B6312"/>
    <w:rsid w:val="005B63C3"/>
    <w:rsid w:val="005B6432"/>
    <w:rsid w:val="005B6551"/>
    <w:rsid w:val="005B656F"/>
    <w:rsid w:val="005B65D7"/>
    <w:rsid w:val="005B6618"/>
    <w:rsid w:val="005B671F"/>
    <w:rsid w:val="005B695C"/>
    <w:rsid w:val="005B6A1E"/>
    <w:rsid w:val="005B6B46"/>
    <w:rsid w:val="005B6B7C"/>
    <w:rsid w:val="005B6CE6"/>
    <w:rsid w:val="005B6CF9"/>
    <w:rsid w:val="005B6ED2"/>
    <w:rsid w:val="005B7135"/>
    <w:rsid w:val="005B71AC"/>
    <w:rsid w:val="005B71B0"/>
    <w:rsid w:val="005B729B"/>
    <w:rsid w:val="005B72A2"/>
    <w:rsid w:val="005B7404"/>
    <w:rsid w:val="005B7548"/>
    <w:rsid w:val="005B76F0"/>
    <w:rsid w:val="005B788C"/>
    <w:rsid w:val="005B78C4"/>
    <w:rsid w:val="005B791C"/>
    <w:rsid w:val="005B7A34"/>
    <w:rsid w:val="005B7A7A"/>
    <w:rsid w:val="005B7B0F"/>
    <w:rsid w:val="005B7D6C"/>
    <w:rsid w:val="005B7F9F"/>
    <w:rsid w:val="005C00C9"/>
    <w:rsid w:val="005C00E1"/>
    <w:rsid w:val="005C02CA"/>
    <w:rsid w:val="005C02F8"/>
    <w:rsid w:val="005C031F"/>
    <w:rsid w:val="005C0350"/>
    <w:rsid w:val="005C0357"/>
    <w:rsid w:val="005C0368"/>
    <w:rsid w:val="005C0576"/>
    <w:rsid w:val="005C05B3"/>
    <w:rsid w:val="005C06F2"/>
    <w:rsid w:val="005C082F"/>
    <w:rsid w:val="005C0840"/>
    <w:rsid w:val="005C0940"/>
    <w:rsid w:val="005C0BE9"/>
    <w:rsid w:val="005C0BF2"/>
    <w:rsid w:val="005C0C79"/>
    <w:rsid w:val="005C0D71"/>
    <w:rsid w:val="005C0DEA"/>
    <w:rsid w:val="005C0E75"/>
    <w:rsid w:val="005C112B"/>
    <w:rsid w:val="005C14B0"/>
    <w:rsid w:val="005C15D7"/>
    <w:rsid w:val="005C1630"/>
    <w:rsid w:val="005C163E"/>
    <w:rsid w:val="005C1641"/>
    <w:rsid w:val="005C1655"/>
    <w:rsid w:val="005C1656"/>
    <w:rsid w:val="005C1658"/>
    <w:rsid w:val="005C175A"/>
    <w:rsid w:val="005C196F"/>
    <w:rsid w:val="005C1B63"/>
    <w:rsid w:val="005C1C15"/>
    <w:rsid w:val="005C1D2F"/>
    <w:rsid w:val="005C2251"/>
    <w:rsid w:val="005C227A"/>
    <w:rsid w:val="005C2291"/>
    <w:rsid w:val="005C23A8"/>
    <w:rsid w:val="005C2496"/>
    <w:rsid w:val="005C24BF"/>
    <w:rsid w:val="005C2691"/>
    <w:rsid w:val="005C27B2"/>
    <w:rsid w:val="005C2A5E"/>
    <w:rsid w:val="005C2A65"/>
    <w:rsid w:val="005C2AC6"/>
    <w:rsid w:val="005C2C03"/>
    <w:rsid w:val="005C2D26"/>
    <w:rsid w:val="005C2E2C"/>
    <w:rsid w:val="005C2EA6"/>
    <w:rsid w:val="005C2F3A"/>
    <w:rsid w:val="005C3056"/>
    <w:rsid w:val="005C31A3"/>
    <w:rsid w:val="005C32C3"/>
    <w:rsid w:val="005C3325"/>
    <w:rsid w:val="005C385D"/>
    <w:rsid w:val="005C38A7"/>
    <w:rsid w:val="005C38DE"/>
    <w:rsid w:val="005C3E06"/>
    <w:rsid w:val="005C4174"/>
    <w:rsid w:val="005C4249"/>
    <w:rsid w:val="005C45CC"/>
    <w:rsid w:val="005C4653"/>
    <w:rsid w:val="005C4707"/>
    <w:rsid w:val="005C471C"/>
    <w:rsid w:val="005C4B12"/>
    <w:rsid w:val="005C4C2C"/>
    <w:rsid w:val="005C4CC2"/>
    <w:rsid w:val="005C5065"/>
    <w:rsid w:val="005C54A0"/>
    <w:rsid w:val="005C552D"/>
    <w:rsid w:val="005C55CB"/>
    <w:rsid w:val="005C56E6"/>
    <w:rsid w:val="005C576C"/>
    <w:rsid w:val="005C57F9"/>
    <w:rsid w:val="005C5B92"/>
    <w:rsid w:val="005C5C15"/>
    <w:rsid w:val="005C5CC6"/>
    <w:rsid w:val="005C5EFE"/>
    <w:rsid w:val="005C5F42"/>
    <w:rsid w:val="005C5FD8"/>
    <w:rsid w:val="005C614A"/>
    <w:rsid w:val="005C6298"/>
    <w:rsid w:val="005C6312"/>
    <w:rsid w:val="005C63D5"/>
    <w:rsid w:val="005C6727"/>
    <w:rsid w:val="005C69D5"/>
    <w:rsid w:val="005C6A66"/>
    <w:rsid w:val="005C6D5F"/>
    <w:rsid w:val="005C6DBD"/>
    <w:rsid w:val="005C6E34"/>
    <w:rsid w:val="005C6F2D"/>
    <w:rsid w:val="005C7215"/>
    <w:rsid w:val="005C7251"/>
    <w:rsid w:val="005C73C4"/>
    <w:rsid w:val="005C754C"/>
    <w:rsid w:val="005C756E"/>
    <w:rsid w:val="005C79BC"/>
    <w:rsid w:val="005C7CF5"/>
    <w:rsid w:val="005C7CFD"/>
    <w:rsid w:val="005C7E98"/>
    <w:rsid w:val="005D00EA"/>
    <w:rsid w:val="005D0186"/>
    <w:rsid w:val="005D01F9"/>
    <w:rsid w:val="005D023B"/>
    <w:rsid w:val="005D02C8"/>
    <w:rsid w:val="005D0445"/>
    <w:rsid w:val="005D06E8"/>
    <w:rsid w:val="005D0703"/>
    <w:rsid w:val="005D077E"/>
    <w:rsid w:val="005D082A"/>
    <w:rsid w:val="005D08DB"/>
    <w:rsid w:val="005D08F7"/>
    <w:rsid w:val="005D0BCA"/>
    <w:rsid w:val="005D0BD8"/>
    <w:rsid w:val="005D0C85"/>
    <w:rsid w:val="005D0CB9"/>
    <w:rsid w:val="005D0CED"/>
    <w:rsid w:val="005D0D53"/>
    <w:rsid w:val="005D0E42"/>
    <w:rsid w:val="005D0ED8"/>
    <w:rsid w:val="005D0F65"/>
    <w:rsid w:val="005D151D"/>
    <w:rsid w:val="005D1637"/>
    <w:rsid w:val="005D1688"/>
    <w:rsid w:val="005D19A3"/>
    <w:rsid w:val="005D1AB7"/>
    <w:rsid w:val="005D1BA0"/>
    <w:rsid w:val="005D1C24"/>
    <w:rsid w:val="005D1DA3"/>
    <w:rsid w:val="005D1E12"/>
    <w:rsid w:val="005D1E3A"/>
    <w:rsid w:val="005D1EA2"/>
    <w:rsid w:val="005D200A"/>
    <w:rsid w:val="005D2057"/>
    <w:rsid w:val="005D229B"/>
    <w:rsid w:val="005D2304"/>
    <w:rsid w:val="005D2404"/>
    <w:rsid w:val="005D25D5"/>
    <w:rsid w:val="005D279E"/>
    <w:rsid w:val="005D2A86"/>
    <w:rsid w:val="005D2A94"/>
    <w:rsid w:val="005D2B8B"/>
    <w:rsid w:val="005D2C5F"/>
    <w:rsid w:val="005D2F94"/>
    <w:rsid w:val="005D2FBE"/>
    <w:rsid w:val="005D30B5"/>
    <w:rsid w:val="005D3132"/>
    <w:rsid w:val="005D31D1"/>
    <w:rsid w:val="005D31E9"/>
    <w:rsid w:val="005D32C7"/>
    <w:rsid w:val="005D3338"/>
    <w:rsid w:val="005D3577"/>
    <w:rsid w:val="005D3A04"/>
    <w:rsid w:val="005D3B55"/>
    <w:rsid w:val="005D3BF1"/>
    <w:rsid w:val="005D3C26"/>
    <w:rsid w:val="005D3C74"/>
    <w:rsid w:val="005D3D68"/>
    <w:rsid w:val="005D3FE2"/>
    <w:rsid w:val="005D415C"/>
    <w:rsid w:val="005D445C"/>
    <w:rsid w:val="005D44A7"/>
    <w:rsid w:val="005D46BF"/>
    <w:rsid w:val="005D46C8"/>
    <w:rsid w:val="005D47F8"/>
    <w:rsid w:val="005D484E"/>
    <w:rsid w:val="005D4881"/>
    <w:rsid w:val="005D48FE"/>
    <w:rsid w:val="005D499A"/>
    <w:rsid w:val="005D4A01"/>
    <w:rsid w:val="005D4B70"/>
    <w:rsid w:val="005D5162"/>
    <w:rsid w:val="005D5251"/>
    <w:rsid w:val="005D527E"/>
    <w:rsid w:val="005D5411"/>
    <w:rsid w:val="005D565C"/>
    <w:rsid w:val="005D57DC"/>
    <w:rsid w:val="005D58C7"/>
    <w:rsid w:val="005D594D"/>
    <w:rsid w:val="005D596B"/>
    <w:rsid w:val="005D596F"/>
    <w:rsid w:val="005D5A41"/>
    <w:rsid w:val="005D5BC7"/>
    <w:rsid w:val="005D5CE3"/>
    <w:rsid w:val="005D5D02"/>
    <w:rsid w:val="005D5F8B"/>
    <w:rsid w:val="005D6108"/>
    <w:rsid w:val="005D6514"/>
    <w:rsid w:val="005D6588"/>
    <w:rsid w:val="005D6859"/>
    <w:rsid w:val="005D6929"/>
    <w:rsid w:val="005D6A87"/>
    <w:rsid w:val="005D6B0D"/>
    <w:rsid w:val="005D6B77"/>
    <w:rsid w:val="005D6D33"/>
    <w:rsid w:val="005D6E01"/>
    <w:rsid w:val="005D6E13"/>
    <w:rsid w:val="005D705A"/>
    <w:rsid w:val="005D70A6"/>
    <w:rsid w:val="005D71FB"/>
    <w:rsid w:val="005D72BB"/>
    <w:rsid w:val="005D7471"/>
    <w:rsid w:val="005D749D"/>
    <w:rsid w:val="005D7634"/>
    <w:rsid w:val="005D768C"/>
    <w:rsid w:val="005D7983"/>
    <w:rsid w:val="005D7A90"/>
    <w:rsid w:val="005D7B0D"/>
    <w:rsid w:val="005D7C19"/>
    <w:rsid w:val="005E05CB"/>
    <w:rsid w:val="005E068B"/>
    <w:rsid w:val="005E06EF"/>
    <w:rsid w:val="005E091B"/>
    <w:rsid w:val="005E09C5"/>
    <w:rsid w:val="005E0B32"/>
    <w:rsid w:val="005E0C0D"/>
    <w:rsid w:val="005E0E04"/>
    <w:rsid w:val="005E0FF6"/>
    <w:rsid w:val="005E1013"/>
    <w:rsid w:val="005E1173"/>
    <w:rsid w:val="005E121C"/>
    <w:rsid w:val="005E12F3"/>
    <w:rsid w:val="005E13B1"/>
    <w:rsid w:val="005E1662"/>
    <w:rsid w:val="005E1747"/>
    <w:rsid w:val="005E176A"/>
    <w:rsid w:val="005E188E"/>
    <w:rsid w:val="005E1A9C"/>
    <w:rsid w:val="005E1BB8"/>
    <w:rsid w:val="005E1BFF"/>
    <w:rsid w:val="005E1CED"/>
    <w:rsid w:val="005E1FA9"/>
    <w:rsid w:val="005E230A"/>
    <w:rsid w:val="005E254A"/>
    <w:rsid w:val="005E2702"/>
    <w:rsid w:val="005E2913"/>
    <w:rsid w:val="005E29D7"/>
    <w:rsid w:val="005E2AAD"/>
    <w:rsid w:val="005E2B79"/>
    <w:rsid w:val="005E2BB4"/>
    <w:rsid w:val="005E2C7A"/>
    <w:rsid w:val="005E2C95"/>
    <w:rsid w:val="005E2CCE"/>
    <w:rsid w:val="005E2D48"/>
    <w:rsid w:val="005E2E5F"/>
    <w:rsid w:val="005E2E61"/>
    <w:rsid w:val="005E2EE5"/>
    <w:rsid w:val="005E3104"/>
    <w:rsid w:val="005E3419"/>
    <w:rsid w:val="005E3492"/>
    <w:rsid w:val="005E3541"/>
    <w:rsid w:val="005E3593"/>
    <w:rsid w:val="005E3640"/>
    <w:rsid w:val="005E378B"/>
    <w:rsid w:val="005E37D0"/>
    <w:rsid w:val="005E3871"/>
    <w:rsid w:val="005E3A7B"/>
    <w:rsid w:val="005E3C0A"/>
    <w:rsid w:val="005E3C58"/>
    <w:rsid w:val="005E3C8F"/>
    <w:rsid w:val="005E3E68"/>
    <w:rsid w:val="005E3EA0"/>
    <w:rsid w:val="005E4083"/>
    <w:rsid w:val="005E4311"/>
    <w:rsid w:val="005E45BC"/>
    <w:rsid w:val="005E47CE"/>
    <w:rsid w:val="005E48A5"/>
    <w:rsid w:val="005E499C"/>
    <w:rsid w:val="005E49A4"/>
    <w:rsid w:val="005E4A20"/>
    <w:rsid w:val="005E4AE9"/>
    <w:rsid w:val="005E4CE8"/>
    <w:rsid w:val="005E4E02"/>
    <w:rsid w:val="005E4EBB"/>
    <w:rsid w:val="005E50E6"/>
    <w:rsid w:val="005E5176"/>
    <w:rsid w:val="005E51C4"/>
    <w:rsid w:val="005E5391"/>
    <w:rsid w:val="005E5400"/>
    <w:rsid w:val="005E5414"/>
    <w:rsid w:val="005E54FB"/>
    <w:rsid w:val="005E557A"/>
    <w:rsid w:val="005E558E"/>
    <w:rsid w:val="005E5667"/>
    <w:rsid w:val="005E56D1"/>
    <w:rsid w:val="005E5765"/>
    <w:rsid w:val="005E5784"/>
    <w:rsid w:val="005E5787"/>
    <w:rsid w:val="005E5874"/>
    <w:rsid w:val="005E5DB5"/>
    <w:rsid w:val="005E5E31"/>
    <w:rsid w:val="005E6013"/>
    <w:rsid w:val="005E625E"/>
    <w:rsid w:val="005E629A"/>
    <w:rsid w:val="005E62D7"/>
    <w:rsid w:val="005E6311"/>
    <w:rsid w:val="005E63E3"/>
    <w:rsid w:val="005E65A3"/>
    <w:rsid w:val="005E6936"/>
    <w:rsid w:val="005E696D"/>
    <w:rsid w:val="005E69FA"/>
    <w:rsid w:val="005E6D03"/>
    <w:rsid w:val="005E6D55"/>
    <w:rsid w:val="005E6F0D"/>
    <w:rsid w:val="005E6FF7"/>
    <w:rsid w:val="005E7040"/>
    <w:rsid w:val="005E706E"/>
    <w:rsid w:val="005E726A"/>
    <w:rsid w:val="005E727B"/>
    <w:rsid w:val="005E74EE"/>
    <w:rsid w:val="005E75D5"/>
    <w:rsid w:val="005E7858"/>
    <w:rsid w:val="005E7AD6"/>
    <w:rsid w:val="005E7B70"/>
    <w:rsid w:val="005E7BF4"/>
    <w:rsid w:val="005E7C05"/>
    <w:rsid w:val="005E7C1A"/>
    <w:rsid w:val="005E7C95"/>
    <w:rsid w:val="005E7CD9"/>
    <w:rsid w:val="005E7D91"/>
    <w:rsid w:val="005E7FC3"/>
    <w:rsid w:val="005F0005"/>
    <w:rsid w:val="005F01BB"/>
    <w:rsid w:val="005F0277"/>
    <w:rsid w:val="005F036A"/>
    <w:rsid w:val="005F0543"/>
    <w:rsid w:val="005F05BF"/>
    <w:rsid w:val="005F0677"/>
    <w:rsid w:val="005F067E"/>
    <w:rsid w:val="005F08CA"/>
    <w:rsid w:val="005F09EB"/>
    <w:rsid w:val="005F0B53"/>
    <w:rsid w:val="005F0BC5"/>
    <w:rsid w:val="005F0C45"/>
    <w:rsid w:val="005F0E17"/>
    <w:rsid w:val="005F0F95"/>
    <w:rsid w:val="005F102A"/>
    <w:rsid w:val="005F12A2"/>
    <w:rsid w:val="005F12A5"/>
    <w:rsid w:val="005F1555"/>
    <w:rsid w:val="005F18B2"/>
    <w:rsid w:val="005F1957"/>
    <w:rsid w:val="005F1B88"/>
    <w:rsid w:val="005F1D07"/>
    <w:rsid w:val="005F210A"/>
    <w:rsid w:val="005F234E"/>
    <w:rsid w:val="005F250A"/>
    <w:rsid w:val="005F2568"/>
    <w:rsid w:val="005F27B2"/>
    <w:rsid w:val="005F289A"/>
    <w:rsid w:val="005F28E0"/>
    <w:rsid w:val="005F2970"/>
    <w:rsid w:val="005F2978"/>
    <w:rsid w:val="005F2998"/>
    <w:rsid w:val="005F2B99"/>
    <w:rsid w:val="005F2C4E"/>
    <w:rsid w:val="005F2E2A"/>
    <w:rsid w:val="005F3222"/>
    <w:rsid w:val="005F33AC"/>
    <w:rsid w:val="005F3485"/>
    <w:rsid w:val="005F3702"/>
    <w:rsid w:val="005F38B0"/>
    <w:rsid w:val="005F38FE"/>
    <w:rsid w:val="005F3A05"/>
    <w:rsid w:val="005F3A28"/>
    <w:rsid w:val="005F3A4F"/>
    <w:rsid w:val="005F3ABC"/>
    <w:rsid w:val="005F3B2E"/>
    <w:rsid w:val="005F3B3C"/>
    <w:rsid w:val="005F3B98"/>
    <w:rsid w:val="005F3D66"/>
    <w:rsid w:val="005F40C5"/>
    <w:rsid w:val="005F417C"/>
    <w:rsid w:val="005F41A2"/>
    <w:rsid w:val="005F422B"/>
    <w:rsid w:val="005F42CA"/>
    <w:rsid w:val="005F42F5"/>
    <w:rsid w:val="005F4428"/>
    <w:rsid w:val="005F448D"/>
    <w:rsid w:val="005F44E3"/>
    <w:rsid w:val="005F45B7"/>
    <w:rsid w:val="005F460B"/>
    <w:rsid w:val="005F4703"/>
    <w:rsid w:val="005F4721"/>
    <w:rsid w:val="005F4726"/>
    <w:rsid w:val="005F4778"/>
    <w:rsid w:val="005F493B"/>
    <w:rsid w:val="005F4976"/>
    <w:rsid w:val="005F49CA"/>
    <w:rsid w:val="005F4A7B"/>
    <w:rsid w:val="005F4BE7"/>
    <w:rsid w:val="005F4C3E"/>
    <w:rsid w:val="005F4D29"/>
    <w:rsid w:val="005F4D8D"/>
    <w:rsid w:val="005F4F27"/>
    <w:rsid w:val="005F4F7E"/>
    <w:rsid w:val="005F53A6"/>
    <w:rsid w:val="005F54BF"/>
    <w:rsid w:val="005F56FF"/>
    <w:rsid w:val="005F593F"/>
    <w:rsid w:val="005F5A3D"/>
    <w:rsid w:val="005F5A66"/>
    <w:rsid w:val="005F5A67"/>
    <w:rsid w:val="005F5CCB"/>
    <w:rsid w:val="005F5CD8"/>
    <w:rsid w:val="005F5D95"/>
    <w:rsid w:val="005F5EE2"/>
    <w:rsid w:val="005F5F4F"/>
    <w:rsid w:val="005F5F5A"/>
    <w:rsid w:val="005F5FF6"/>
    <w:rsid w:val="005F6079"/>
    <w:rsid w:val="005F611E"/>
    <w:rsid w:val="005F624B"/>
    <w:rsid w:val="005F637E"/>
    <w:rsid w:val="005F63DF"/>
    <w:rsid w:val="005F6464"/>
    <w:rsid w:val="005F652A"/>
    <w:rsid w:val="005F67E2"/>
    <w:rsid w:val="005F6877"/>
    <w:rsid w:val="005F69BF"/>
    <w:rsid w:val="005F6ACF"/>
    <w:rsid w:val="005F6E5B"/>
    <w:rsid w:val="005F6E9A"/>
    <w:rsid w:val="005F6F68"/>
    <w:rsid w:val="005F720A"/>
    <w:rsid w:val="005F7387"/>
    <w:rsid w:val="005F7489"/>
    <w:rsid w:val="005F74CB"/>
    <w:rsid w:val="005F7511"/>
    <w:rsid w:val="005F756F"/>
    <w:rsid w:val="005F7642"/>
    <w:rsid w:val="005F7714"/>
    <w:rsid w:val="005F79DF"/>
    <w:rsid w:val="005F7C97"/>
    <w:rsid w:val="005F7D72"/>
    <w:rsid w:val="005F7E37"/>
    <w:rsid w:val="00600134"/>
    <w:rsid w:val="006002E6"/>
    <w:rsid w:val="00600331"/>
    <w:rsid w:val="00600554"/>
    <w:rsid w:val="006005E3"/>
    <w:rsid w:val="0060062D"/>
    <w:rsid w:val="006006F2"/>
    <w:rsid w:val="0060076B"/>
    <w:rsid w:val="006007E6"/>
    <w:rsid w:val="00600996"/>
    <w:rsid w:val="00600AE4"/>
    <w:rsid w:val="00600B4D"/>
    <w:rsid w:val="00600BCF"/>
    <w:rsid w:val="00600CC4"/>
    <w:rsid w:val="00600DE7"/>
    <w:rsid w:val="00600EF8"/>
    <w:rsid w:val="00600F06"/>
    <w:rsid w:val="00601154"/>
    <w:rsid w:val="0060118C"/>
    <w:rsid w:val="0060120A"/>
    <w:rsid w:val="0060134C"/>
    <w:rsid w:val="00601618"/>
    <w:rsid w:val="00601637"/>
    <w:rsid w:val="00601885"/>
    <w:rsid w:val="006019FE"/>
    <w:rsid w:val="00601A3D"/>
    <w:rsid w:val="00601B59"/>
    <w:rsid w:val="00601C8F"/>
    <w:rsid w:val="00601D36"/>
    <w:rsid w:val="00601D59"/>
    <w:rsid w:val="00601D88"/>
    <w:rsid w:val="00601DBC"/>
    <w:rsid w:val="00602045"/>
    <w:rsid w:val="00602202"/>
    <w:rsid w:val="0060224E"/>
    <w:rsid w:val="00602343"/>
    <w:rsid w:val="00602345"/>
    <w:rsid w:val="0060259A"/>
    <w:rsid w:val="006027EE"/>
    <w:rsid w:val="006028D1"/>
    <w:rsid w:val="0060294B"/>
    <w:rsid w:val="00602CED"/>
    <w:rsid w:val="00602E43"/>
    <w:rsid w:val="00602F43"/>
    <w:rsid w:val="006032AE"/>
    <w:rsid w:val="006032CE"/>
    <w:rsid w:val="006033C2"/>
    <w:rsid w:val="006034D8"/>
    <w:rsid w:val="0060356E"/>
    <w:rsid w:val="00603723"/>
    <w:rsid w:val="006037C3"/>
    <w:rsid w:val="00603858"/>
    <w:rsid w:val="006038C9"/>
    <w:rsid w:val="00603B08"/>
    <w:rsid w:val="00603B58"/>
    <w:rsid w:val="00603C25"/>
    <w:rsid w:val="00603CBE"/>
    <w:rsid w:val="00604071"/>
    <w:rsid w:val="0060407F"/>
    <w:rsid w:val="00604224"/>
    <w:rsid w:val="00604318"/>
    <w:rsid w:val="006043E8"/>
    <w:rsid w:val="006047D4"/>
    <w:rsid w:val="006048D5"/>
    <w:rsid w:val="006049F8"/>
    <w:rsid w:val="00604B11"/>
    <w:rsid w:val="00604C2E"/>
    <w:rsid w:val="00604CC0"/>
    <w:rsid w:val="00604CC8"/>
    <w:rsid w:val="00604E42"/>
    <w:rsid w:val="00604EE4"/>
    <w:rsid w:val="00604FD5"/>
    <w:rsid w:val="006052D4"/>
    <w:rsid w:val="00605507"/>
    <w:rsid w:val="00605756"/>
    <w:rsid w:val="00605776"/>
    <w:rsid w:val="006057B7"/>
    <w:rsid w:val="006057E0"/>
    <w:rsid w:val="006059DC"/>
    <w:rsid w:val="00605B22"/>
    <w:rsid w:val="00605B32"/>
    <w:rsid w:val="00605B43"/>
    <w:rsid w:val="00605BD6"/>
    <w:rsid w:val="00605C5A"/>
    <w:rsid w:val="00605D37"/>
    <w:rsid w:val="00605E2D"/>
    <w:rsid w:val="00605F93"/>
    <w:rsid w:val="006061D9"/>
    <w:rsid w:val="006064D2"/>
    <w:rsid w:val="006066AC"/>
    <w:rsid w:val="006066B3"/>
    <w:rsid w:val="00606A0B"/>
    <w:rsid w:val="00606A8B"/>
    <w:rsid w:val="00606AE1"/>
    <w:rsid w:val="00606B16"/>
    <w:rsid w:val="00606C1F"/>
    <w:rsid w:val="00606E3E"/>
    <w:rsid w:val="00606F13"/>
    <w:rsid w:val="00606FEE"/>
    <w:rsid w:val="00607126"/>
    <w:rsid w:val="0060718E"/>
    <w:rsid w:val="006074A7"/>
    <w:rsid w:val="00607525"/>
    <w:rsid w:val="00607786"/>
    <w:rsid w:val="00607791"/>
    <w:rsid w:val="00607795"/>
    <w:rsid w:val="00607811"/>
    <w:rsid w:val="00607898"/>
    <w:rsid w:val="006078C0"/>
    <w:rsid w:val="00607971"/>
    <w:rsid w:val="00607A19"/>
    <w:rsid w:val="00607D6F"/>
    <w:rsid w:val="00607D95"/>
    <w:rsid w:val="00607F22"/>
    <w:rsid w:val="00607F66"/>
    <w:rsid w:val="0061005D"/>
    <w:rsid w:val="00610162"/>
    <w:rsid w:val="00610177"/>
    <w:rsid w:val="00610303"/>
    <w:rsid w:val="006105DA"/>
    <w:rsid w:val="0061066C"/>
    <w:rsid w:val="006106FC"/>
    <w:rsid w:val="006108C3"/>
    <w:rsid w:val="00610972"/>
    <w:rsid w:val="00610ABA"/>
    <w:rsid w:val="00610E18"/>
    <w:rsid w:val="00611040"/>
    <w:rsid w:val="00611395"/>
    <w:rsid w:val="006113B8"/>
    <w:rsid w:val="006113D7"/>
    <w:rsid w:val="006113E5"/>
    <w:rsid w:val="006114F8"/>
    <w:rsid w:val="006115BF"/>
    <w:rsid w:val="00611767"/>
    <w:rsid w:val="006117E5"/>
    <w:rsid w:val="00611881"/>
    <w:rsid w:val="00611A2F"/>
    <w:rsid w:val="00611AB3"/>
    <w:rsid w:val="00611B26"/>
    <w:rsid w:val="00611C69"/>
    <w:rsid w:val="00611CC7"/>
    <w:rsid w:val="00611D6C"/>
    <w:rsid w:val="00611D79"/>
    <w:rsid w:val="0061212D"/>
    <w:rsid w:val="00612186"/>
    <w:rsid w:val="006124C9"/>
    <w:rsid w:val="00612619"/>
    <w:rsid w:val="00612679"/>
    <w:rsid w:val="00612777"/>
    <w:rsid w:val="006129C3"/>
    <w:rsid w:val="006129CF"/>
    <w:rsid w:val="00612B0E"/>
    <w:rsid w:val="00612C69"/>
    <w:rsid w:val="00612E04"/>
    <w:rsid w:val="00613037"/>
    <w:rsid w:val="00613061"/>
    <w:rsid w:val="00613136"/>
    <w:rsid w:val="00613149"/>
    <w:rsid w:val="006131C2"/>
    <w:rsid w:val="006131DA"/>
    <w:rsid w:val="00613400"/>
    <w:rsid w:val="00613464"/>
    <w:rsid w:val="006135AB"/>
    <w:rsid w:val="006136F2"/>
    <w:rsid w:val="00613813"/>
    <w:rsid w:val="006138E4"/>
    <w:rsid w:val="00613906"/>
    <w:rsid w:val="006139A1"/>
    <w:rsid w:val="00613ACD"/>
    <w:rsid w:val="00613B8F"/>
    <w:rsid w:val="00613C3B"/>
    <w:rsid w:val="00613DB8"/>
    <w:rsid w:val="00613F1A"/>
    <w:rsid w:val="00614214"/>
    <w:rsid w:val="0061439E"/>
    <w:rsid w:val="006143B4"/>
    <w:rsid w:val="006143C1"/>
    <w:rsid w:val="00614444"/>
    <w:rsid w:val="006144F6"/>
    <w:rsid w:val="00614583"/>
    <w:rsid w:val="006147F0"/>
    <w:rsid w:val="00614882"/>
    <w:rsid w:val="0061491F"/>
    <w:rsid w:val="00614AE0"/>
    <w:rsid w:val="00614B47"/>
    <w:rsid w:val="00614D3A"/>
    <w:rsid w:val="00614F51"/>
    <w:rsid w:val="006150DF"/>
    <w:rsid w:val="00615182"/>
    <w:rsid w:val="006151F8"/>
    <w:rsid w:val="00615264"/>
    <w:rsid w:val="0061528C"/>
    <w:rsid w:val="006152BE"/>
    <w:rsid w:val="00615391"/>
    <w:rsid w:val="0061584F"/>
    <w:rsid w:val="00615871"/>
    <w:rsid w:val="00615A14"/>
    <w:rsid w:val="00615BD4"/>
    <w:rsid w:val="00615C4F"/>
    <w:rsid w:val="00615D4E"/>
    <w:rsid w:val="00615D6D"/>
    <w:rsid w:val="00615D79"/>
    <w:rsid w:val="00615E05"/>
    <w:rsid w:val="00615E76"/>
    <w:rsid w:val="00615FAF"/>
    <w:rsid w:val="00616050"/>
    <w:rsid w:val="00616407"/>
    <w:rsid w:val="00616518"/>
    <w:rsid w:val="00616680"/>
    <w:rsid w:val="0061670C"/>
    <w:rsid w:val="006168FC"/>
    <w:rsid w:val="00616924"/>
    <w:rsid w:val="00616A72"/>
    <w:rsid w:val="00616CC9"/>
    <w:rsid w:val="00616FB0"/>
    <w:rsid w:val="00616FED"/>
    <w:rsid w:val="0061712C"/>
    <w:rsid w:val="00617152"/>
    <w:rsid w:val="00617224"/>
    <w:rsid w:val="00617258"/>
    <w:rsid w:val="0061734C"/>
    <w:rsid w:val="006173AC"/>
    <w:rsid w:val="00617448"/>
    <w:rsid w:val="00617A09"/>
    <w:rsid w:val="00617E23"/>
    <w:rsid w:val="00617E56"/>
    <w:rsid w:val="006200EE"/>
    <w:rsid w:val="00620292"/>
    <w:rsid w:val="00620455"/>
    <w:rsid w:val="0062050E"/>
    <w:rsid w:val="006207E1"/>
    <w:rsid w:val="00620914"/>
    <w:rsid w:val="00620A47"/>
    <w:rsid w:val="00620BC9"/>
    <w:rsid w:val="00620CA0"/>
    <w:rsid w:val="00620CA9"/>
    <w:rsid w:val="00620D96"/>
    <w:rsid w:val="00620DE7"/>
    <w:rsid w:val="00620E5A"/>
    <w:rsid w:val="00620F93"/>
    <w:rsid w:val="006210AF"/>
    <w:rsid w:val="006210DB"/>
    <w:rsid w:val="0062111E"/>
    <w:rsid w:val="006215E3"/>
    <w:rsid w:val="00621A52"/>
    <w:rsid w:val="00621C93"/>
    <w:rsid w:val="00621E70"/>
    <w:rsid w:val="006221B4"/>
    <w:rsid w:val="006222AF"/>
    <w:rsid w:val="00622519"/>
    <w:rsid w:val="006226F8"/>
    <w:rsid w:val="006228D2"/>
    <w:rsid w:val="00622A2C"/>
    <w:rsid w:val="00622A92"/>
    <w:rsid w:val="00622B0D"/>
    <w:rsid w:val="00622B23"/>
    <w:rsid w:val="00622BD5"/>
    <w:rsid w:val="00622E1E"/>
    <w:rsid w:val="00622E3C"/>
    <w:rsid w:val="00622EFD"/>
    <w:rsid w:val="0062315C"/>
    <w:rsid w:val="00623265"/>
    <w:rsid w:val="006232AE"/>
    <w:rsid w:val="006232B0"/>
    <w:rsid w:val="0062345F"/>
    <w:rsid w:val="006235B1"/>
    <w:rsid w:val="006237A2"/>
    <w:rsid w:val="006239F3"/>
    <w:rsid w:val="00623D34"/>
    <w:rsid w:val="00623D99"/>
    <w:rsid w:val="00623DBD"/>
    <w:rsid w:val="00623E57"/>
    <w:rsid w:val="00623EB5"/>
    <w:rsid w:val="00624104"/>
    <w:rsid w:val="00624234"/>
    <w:rsid w:val="0062433C"/>
    <w:rsid w:val="00624354"/>
    <w:rsid w:val="006246BE"/>
    <w:rsid w:val="00624757"/>
    <w:rsid w:val="006247D3"/>
    <w:rsid w:val="006247FA"/>
    <w:rsid w:val="006249A1"/>
    <w:rsid w:val="00624AD0"/>
    <w:rsid w:val="00624BA7"/>
    <w:rsid w:val="00624C48"/>
    <w:rsid w:val="0062500D"/>
    <w:rsid w:val="006250AF"/>
    <w:rsid w:val="006250E9"/>
    <w:rsid w:val="006251EF"/>
    <w:rsid w:val="00625280"/>
    <w:rsid w:val="0062544B"/>
    <w:rsid w:val="0062550E"/>
    <w:rsid w:val="006258EB"/>
    <w:rsid w:val="0062595F"/>
    <w:rsid w:val="00625994"/>
    <w:rsid w:val="00625B0F"/>
    <w:rsid w:val="00625BEF"/>
    <w:rsid w:val="00625D5F"/>
    <w:rsid w:val="00625F05"/>
    <w:rsid w:val="00625F11"/>
    <w:rsid w:val="00625F4C"/>
    <w:rsid w:val="00626114"/>
    <w:rsid w:val="00626139"/>
    <w:rsid w:val="00626157"/>
    <w:rsid w:val="00626499"/>
    <w:rsid w:val="00626678"/>
    <w:rsid w:val="0062667F"/>
    <w:rsid w:val="006266BA"/>
    <w:rsid w:val="0062674B"/>
    <w:rsid w:val="00626994"/>
    <w:rsid w:val="00626AD1"/>
    <w:rsid w:val="00626B0C"/>
    <w:rsid w:val="00626B8D"/>
    <w:rsid w:val="00626C5E"/>
    <w:rsid w:val="00626C64"/>
    <w:rsid w:val="00626DF8"/>
    <w:rsid w:val="00626F4F"/>
    <w:rsid w:val="006270EA"/>
    <w:rsid w:val="00627210"/>
    <w:rsid w:val="006272BB"/>
    <w:rsid w:val="006272D2"/>
    <w:rsid w:val="00627350"/>
    <w:rsid w:val="00627453"/>
    <w:rsid w:val="006276FE"/>
    <w:rsid w:val="00627723"/>
    <w:rsid w:val="00627734"/>
    <w:rsid w:val="00627779"/>
    <w:rsid w:val="0063009B"/>
    <w:rsid w:val="006301AB"/>
    <w:rsid w:val="006301AD"/>
    <w:rsid w:val="006301E1"/>
    <w:rsid w:val="0063028A"/>
    <w:rsid w:val="0063050F"/>
    <w:rsid w:val="0063055D"/>
    <w:rsid w:val="00630562"/>
    <w:rsid w:val="006305D3"/>
    <w:rsid w:val="006307DA"/>
    <w:rsid w:val="006307EB"/>
    <w:rsid w:val="00630B90"/>
    <w:rsid w:val="00630FB5"/>
    <w:rsid w:val="00631044"/>
    <w:rsid w:val="006311AE"/>
    <w:rsid w:val="0063128D"/>
    <w:rsid w:val="00631369"/>
    <w:rsid w:val="00631470"/>
    <w:rsid w:val="00631516"/>
    <w:rsid w:val="006315A9"/>
    <w:rsid w:val="006316AC"/>
    <w:rsid w:val="00631803"/>
    <w:rsid w:val="006318C0"/>
    <w:rsid w:val="0063194E"/>
    <w:rsid w:val="006319CB"/>
    <w:rsid w:val="00631B5B"/>
    <w:rsid w:val="00631E84"/>
    <w:rsid w:val="00632405"/>
    <w:rsid w:val="00632482"/>
    <w:rsid w:val="00632567"/>
    <w:rsid w:val="00632775"/>
    <w:rsid w:val="0063277F"/>
    <w:rsid w:val="00632954"/>
    <w:rsid w:val="00632A40"/>
    <w:rsid w:val="00632AAE"/>
    <w:rsid w:val="00632B6F"/>
    <w:rsid w:val="00632F94"/>
    <w:rsid w:val="00632FEA"/>
    <w:rsid w:val="00633025"/>
    <w:rsid w:val="006331CB"/>
    <w:rsid w:val="00633249"/>
    <w:rsid w:val="006334E3"/>
    <w:rsid w:val="006336E3"/>
    <w:rsid w:val="0063391D"/>
    <w:rsid w:val="00633AC3"/>
    <w:rsid w:val="00633B2F"/>
    <w:rsid w:val="00633E94"/>
    <w:rsid w:val="00634094"/>
    <w:rsid w:val="00634298"/>
    <w:rsid w:val="00634329"/>
    <w:rsid w:val="0063435F"/>
    <w:rsid w:val="00634360"/>
    <w:rsid w:val="00634485"/>
    <w:rsid w:val="00634548"/>
    <w:rsid w:val="00634617"/>
    <w:rsid w:val="00634694"/>
    <w:rsid w:val="00634880"/>
    <w:rsid w:val="00634922"/>
    <w:rsid w:val="0063492E"/>
    <w:rsid w:val="00634977"/>
    <w:rsid w:val="006349AB"/>
    <w:rsid w:val="006350DA"/>
    <w:rsid w:val="006351BC"/>
    <w:rsid w:val="00635506"/>
    <w:rsid w:val="0063562E"/>
    <w:rsid w:val="0063570F"/>
    <w:rsid w:val="006357FF"/>
    <w:rsid w:val="0063589F"/>
    <w:rsid w:val="00635B7F"/>
    <w:rsid w:val="00635C99"/>
    <w:rsid w:val="00635CD4"/>
    <w:rsid w:val="00635DD3"/>
    <w:rsid w:val="00636178"/>
    <w:rsid w:val="0063618F"/>
    <w:rsid w:val="00636801"/>
    <w:rsid w:val="00636917"/>
    <w:rsid w:val="0063694D"/>
    <w:rsid w:val="00636979"/>
    <w:rsid w:val="00636AF4"/>
    <w:rsid w:val="00636B3A"/>
    <w:rsid w:val="00636BCB"/>
    <w:rsid w:val="00636C3D"/>
    <w:rsid w:val="00636DCB"/>
    <w:rsid w:val="00637180"/>
    <w:rsid w:val="006372FB"/>
    <w:rsid w:val="00637378"/>
    <w:rsid w:val="00637387"/>
    <w:rsid w:val="006373CE"/>
    <w:rsid w:val="0063747E"/>
    <w:rsid w:val="006377CE"/>
    <w:rsid w:val="00637A8F"/>
    <w:rsid w:val="00637CF3"/>
    <w:rsid w:val="00637D01"/>
    <w:rsid w:val="00637DEC"/>
    <w:rsid w:val="00637DF0"/>
    <w:rsid w:val="00637E08"/>
    <w:rsid w:val="00637FA3"/>
    <w:rsid w:val="00640015"/>
    <w:rsid w:val="00640077"/>
    <w:rsid w:val="006402E7"/>
    <w:rsid w:val="00640392"/>
    <w:rsid w:val="00640408"/>
    <w:rsid w:val="00640512"/>
    <w:rsid w:val="006408BA"/>
    <w:rsid w:val="006408EF"/>
    <w:rsid w:val="00640A43"/>
    <w:rsid w:val="00640AC2"/>
    <w:rsid w:val="00640ADE"/>
    <w:rsid w:val="00640AE7"/>
    <w:rsid w:val="00640BC9"/>
    <w:rsid w:val="00640C31"/>
    <w:rsid w:val="00640D51"/>
    <w:rsid w:val="00640E29"/>
    <w:rsid w:val="00640E3E"/>
    <w:rsid w:val="00640E9C"/>
    <w:rsid w:val="00640F76"/>
    <w:rsid w:val="00640FC7"/>
    <w:rsid w:val="00641138"/>
    <w:rsid w:val="00641164"/>
    <w:rsid w:val="00641199"/>
    <w:rsid w:val="006411DF"/>
    <w:rsid w:val="006413AA"/>
    <w:rsid w:val="006414DB"/>
    <w:rsid w:val="006415DB"/>
    <w:rsid w:val="0064161A"/>
    <w:rsid w:val="0064181E"/>
    <w:rsid w:val="00641A33"/>
    <w:rsid w:val="00641AA6"/>
    <w:rsid w:val="00641B24"/>
    <w:rsid w:val="00641C91"/>
    <w:rsid w:val="00641C97"/>
    <w:rsid w:val="00641CDE"/>
    <w:rsid w:val="00642140"/>
    <w:rsid w:val="006422FF"/>
    <w:rsid w:val="0064254C"/>
    <w:rsid w:val="00642583"/>
    <w:rsid w:val="0064264D"/>
    <w:rsid w:val="00642A47"/>
    <w:rsid w:val="00642A7C"/>
    <w:rsid w:val="00642D28"/>
    <w:rsid w:val="00642F19"/>
    <w:rsid w:val="00642FA3"/>
    <w:rsid w:val="00642FCA"/>
    <w:rsid w:val="006430B1"/>
    <w:rsid w:val="0064310C"/>
    <w:rsid w:val="00643112"/>
    <w:rsid w:val="00643226"/>
    <w:rsid w:val="00643536"/>
    <w:rsid w:val="006435AC"/>
    <w:rsid w:val="0064368C"/>
    <w:rsid w:val="006438F3"/>
    <w:rsid w:val="00643A5A"/>
    <w:rsid w:val="00643B07"/>
    <w:rsid w:val="00643BD7"/>
    <w:rsid w:val="00643FF1"/>
    <w:rsid w:val="006440B8"/>
    <w:rsid w:val="006441E0"/>
    <w:rsid w:val="006443B3"/>
    <w:rsid w:val="00644482"/>
    <w:rsid w:val="00644568"/>
    <w:rsid w:val="0064475E"/>
    <w:rsid w:val="006447AC"/>
    <w:rsid w:val="00644815"/>
    <w:rsid w:val="00644878"/>
    <w:rsid w:val="00644947"/>
    <w:rsid w:val="00644A4F"/>
    <w:rsid w:val="00644AF7"/>
    <w:rsid w:val="00644E48"/>
    <w:rsid w:val="00644E95"/>
    <w:rsid w:val="00644EC9"/>
    <w:rsid w:val="00644F0D"/>
    <w:rsid w:val="00645008"/>
    <w:rsid w:val="0064520B"/>
    <w:rsid w:val="006452E8"/>
    <w:rsid w:val="0064533A"/>
    <w:rsid w:val="00645360"/>
    <w:rsid w:val="0064548C"/>
    <w:rsid w:val="00645946"/>
    <w:rsid w:val="006459EF"/>
    <w:rsid w:val="00645A4A"/>
    <w:rsid w:val="00646007"/>
    <w:rsid w:val="0064604F"/>
    <w:rsid w:val="0064614A"/>
    <w:rsid w:val="0064637F"/>
    <w:rsid w:val="00646471"/>
    <w:rsid w:val="0064649A"/>
    <w:rsid w:val="006465F3"/>
    <w:rsid w:val="0064677A"/>
    <w:rsid w:val="006468FD"/>
    <w:rsid w:val="00646ACF"/>
    <w:rsid w:val="00646C77"/>
    <w:rsid w:val="00646DF2"/>
    <w:rsid w:val="00646E4A"/>
    <w:rsid w:val="00646E94"/>
    <w:rsid w:val="00646E98"/>
    <w:rsid w:val="00647070"/>
    <w:rsid w:val="0064710E"/>
    <w:rsid w:val="006471E6"/>
    <w:rsid w:val="00647276"/>
    <w:rsid w:val="0064727A"/>
    <w:rsid w:val="0064757F"/>
    <w:rsid w:val="00647655"/>
    <w:rsid w:val="006476E9"/>
    <w:rsid w:val="006477AA"/>
    <w:rsid w:val="006477FC"/>
    <w:rsid w:val="0064785A"/>
    <w:rsid w:val="006478D7"/>
    <w:rsid w:val="006479CE"/>
    <w:rsid w:val="00647E47"/>
    <w:rsid w:val="00647F93"/>
    <w:rsid w:val="006500B9"/>
    <w:rsid w:val="006500BE"/>
    <w:rsid w:val="00650659"/>
    <w:rsid w:val="00650858"/>
    <w:rsid w:val="00650867"/>
    <w:rsid w:val="006508DD"/>
    <w:rsid w:val="0065098D"/>
    <w:rsid w:val="006509F7"/>
    <w:rsid w:val="00650A5B"/>
    <w:rsid w:val="00650E52"/>
    <w:rsid w:val="00650ECF"/>
    <w:rsid w:val="00650F07"/>
    <w:rsid w:val="00650FA1"/>
    <w:rsid w:val="00651168"/>
    <w:rsid w:val="00651183"/>
    <w:rsid w:val="00651281"/>
    <w:rsid w:val="006513DF"/>
    <w:rsid w:val="0065157F"/>
    <w:rsid w:val="0065163C"/>
    <w:rsid w:val="006516E4"/>
    <w:rsid w:val="006517EA"/>
    <w:rsid w:val="006519D7"/>
    <w:rsid w:val="00651F74"/>
    <w:rsid w:val="00652024"/>
    <w:rsid w:val="006520A5"/>
    <w:rsid w:val="006520E1"/>
    <w:rsid w:val="006522F1"/>
    <w:rsid w:val="0065258A"/>
    <w:rsid w:val="006525D7"/>
    <w:rsid w:val="00652636"/>
    <w:rsid w:val="006526B4"/>
    <w:rsid w:val="00652B23"/>
    <w:rsid w:val="00652B77"/>
    <w:rsid w:val="00652C6E"/>
    <w:rsid w:val="00652D27"/>
    <w:rsid w:val="00652EEE"/>
    <w:rsid w:val="00652F18"/>
    <w:rsid w:val="00652F64"/>
    <w:rsid w:val="00653374"/>
    <w:rsid w:val="00653377"/>
    <w:rsid w:val="006533BC"/>
    <w:rsid w:val="006534BF"/>
    <w:rsid w:val="006537D7"/>
    <w:rsid w:val="0065388D"/>
    <w:rsid w:val="006538ED"/>
    <w:rsid w:val="00653922"/>
    <w:rsid w:val="00653AF3"/>
    <w:rsid w:val="00653BA0"/>
    <w:rsid w:val="00653C6A"/>
    <w:rsid w:val="00653CF4"/>
    <w:rsid w:val="00653F41"/>
    <w:rsid w:val="0065402B"/>
    <w:rsid w:val="006542CA"/>
    <w:rsid w:val="0065444A"/>
    <w:rsid w:val="006545E2"/>
    <w:rsid w:val="006546F5"/>
    <w:rsid w:val="006548A2"/>
    <w:rsid w:val="0065496E"/>
    <w:rsid w:val="00654993"/>
    <w:rsid w:val="00654AD8"/>
    <w:rsid w:val="00654E18"/>
    <w:rsid w:val="00654F1F"/>
    <w:rsid w:val="00654F68"/>
    <w:rsid w:val="006551BF"/>
    <w:rsid w:val="0065545D"/>
    <w:rsid w:val="006554F5"/>
    <w:rsid w:val="006555FF"/>
    <w:rsid w:val="00655617"/>
    <w:rsid w:val="006558C8"/>
    <w:rsid w:val="006558FB"/>
    <w:rsid w:val="00655997"/>
    <w:rsid w:val="006559A6"/>
    <w:rsid w:val="00655C0E"/>
    <w:rsid w:val="00655C58"/>
    <w:rsid w:val="00655CF9"/>
    <w:rsid w:val="00655D45"/>
    <w:rsid w:val="00655E43"/>
    <w:rsid w:val="006561A6"/>
    <w:rsid w:val="006564C5"/>
    <w:rsid w:val="006564D6"/>
    <w:rsid w:val="006565FF"/>
    <w:rsid w:val="00656643"/>
    <w:rsid w:val="006567AB"/>
    <w:rsid w:val="006568D8"/>
    <w:rsid w:val="00656EFD"/>
    <w:rsid w:val="00656FCC"/>
    <w:rsid w:val="0065709A"/>
    <w:rsid w:val="0065714C"/>
    <w:rsid w:val="00657166"/>
    <w:rsid w:val="0065727B"/>
    <w:rsid w:val="00657570"/>
    <w:rsid w:val="006577BE"/>
    <w:rsid w:val="00657878"/>
    <w:rsid w:val="00657A63"/>
    <w:rsid w:val="00657C15"/>
    <w:rsid w:val="00657C4F"/>
    <w:rsid w:val="00657D45"/>
    <w:rsid w:val="00657D96"/>
    <w:rsid w:val="006600C8"/>
    <w:rsid w:val="0066011B"/>
    <w:rsid w:val="0066040A"/>
    <w:rsid w:val="006604AB"/>
    <w:rsid w:val="006604C1"/>
    <w:rsid w:val="00660566"/>
    <w:rsid w:val="006605D2"/>
    <w:rsid w:val="00660660"/>
    <w:rsid w:val="006606FF"/>
    <w:rsid w:val="00660804"/>
    <w:rsid w:val="006608A5"/>
    <w:rsid w:val="006608B5"/>
    <w:rsid w:val="0066097B"/>
    <w:rsid w:val="00660A74"/>
    <w:rsid w:val="00660DC7"/>
    <w:rsid w:val="00660DFA"/>
    <w:rsid w:val="006610DE"/>
    <w:rsid w:val="0066114B"/>
    <w:rsid w:val="00661178"/>
    <w:rsid w:val="00661386"/>
    <w:rsid w:val="00661557"/>
    <w:rsid w:val="00661572"/>
    <w:rsid w:val="00661739"/>
    <w:rsid w:val="006617B2"/>
    <w:rsid w:val="006618B1"/>
    <w:rsid w:val="00661B57"/>
    <w:rsid w:val="00661B90"/>
    <w:rsid w:val="00661CE2"/>
    <w:rsid w:val="00661D17"/>
    <w:rsid w:val="00661D30"/>
    <w:rsid w:val="00661D85"/>
    <w:rsid w:val="00661E18"/>
    <w:rsid w:val="00661F67"/>
    <w:rsid w:val="00662004"/>
    <w:rsid w:val="00662288"/>
    <w:rsid w:val="006622FA"/>
    <w:rsid w:val="0066246A"/>
    <w:rsid w:val="0066248A"/>
    <w:rsid w:val="00662534"/>
    <w:rsid w:val="00662615"/>
    <w:rsid w:val="006627A0"/>
    <w:rsid w:val="006627C2"/>
    <w:rsid w:val="00662808"/>
    <w:rsid w:val="0066288A"/>
    <w:rsid w:val="006628D2"/>
    <w:rsid w:val="006629FE"/>
    <w:rsid w:val="00662C21"/>
    <w:rsid w:val="00662D5E"/>
    <w:rsid w:val="00662DEE"/>
    <w:rsid w:val="00662E5F"/>
    <w:rsid w:val="00662E78"/>
    <w:rsid w:val="00662F55"/>
    <w:rsid w:val="00663108"/>
    <w:rsid w:val="0066316E"/>
    <w:rsid w:val="0066318C"/>
    <w:rsid w:val="006633F1"/>
    <w:rsid w:val="0066343B"/>
    <w:rsid w:val="00663462"/>
    <w:rsid w:val="006636A0"/>
    <w:rsid w:val="00663741"/>
    <w:rsid w:val="0066377F"/>
    <w:rsid w:val="006637E0"/>
    <w:rsid w:val="006638D3"/>
    <w:rsid w:val="00663999"/>
    <w:rsid w:val="00663D5C"/>
    <w:rsid w:val="00663EF7"/>
    <w:rsid w:val="006640E7"/>
    <w:rsid w:val="00664100"/>
    <w:rsid w:val="00664158"/>
    <w:rsid w:val="00664289"/>
    <w:rsid w:val="0066433D"/>
    <w:rsid w:val="0066436E"/>
    <w:rsid w:val="00664434"/>
    <w:rsid w:val="00664474"/>
    <w:rsid w:val="006644D1"/>
    <w:rsid w:val="00664531"/>
    <w:rsid w:val="0066465D"/>
    <w:rsid w:val="0066468F"/>
    <w:rsid w:val="00664702"/>
    <w:rsid w:val="006647DB"/>
    <w:rsid w:val="0066480A"/>
    <w:rsid w:val="0066483D"/>
    <w:rsid w:val="0066486C"/>
    <w:rsid w:val="00664C7B"/>
    <w:rsid w:val="00664F39"/>
    <w:rsid w:val="00665310"/>
    <w:rsid w:val="00665312"/>
    <w:rsid w:val="00665390"/>
    <w:rsid w:val="0066539B"/>
    <w:rsid w:val="00665504"/>
    <w:rsid w:val="0066551E"/>
    <w:rsid w:val="0066561F"/>
    <w:rsid w:val="006656DC"/>
    <w:rsid w:val="00665941"/>
    <w:rsid w:val="0066599D"/>
    <w:rsid w:val="00665A90"/>
    <w:rsid w:val="00665B42"/>
    <w:rsid w:val="00665F66"/>
    <w:rsid w:val="00666142"/>
    <w:rsid w:val="00666185"/>
    <w:rsid w:val="006661A7"/>
    <w:rsid w:val="0066622D"/>
    <w:rsid w:val="00666379"/>
    <w:rsid w:val="0066638D"/>
    <w:rsid w:val="00666406"/>
    <w:rsid w:val="006664A8"/>
    <w:rsid w:val="006664CC"/>
    <w:rsid w:val="00666568"/>
    <w:rsid w:val="00666600"/>
    <w:rsid w:val="0066669A"/>
    <w:rsid w:val="0066669D"/>
    <w:rsid w:val="0066677B"/>
    <w:rsid w:val="006668AD"/>
    <w:rsid w:val="00666A0E"/>
    <w:rsid w:val="00666A58"/>
    <w:rsid w:val="00666A74"/>
    <w:rsid w:val="00666AA3"/>
    <w:rsid w:val="00666AC2"/>
    <w:rsid w:val="00666B2D"/>
    <w:rsid w:val="00666C01"/>
    <w:rsid w:val="00666F12"/>
    <w:rsid w:val="0066710D"/>
    <w:rsid w:val="00667112"/>
    <w:rsid w:val="0066723C"/>
    <w:rsid w:val="0066746D"/>
    <w:rsid w:val="006678AC"/>
    <w:rsid w:val="0066795D"/>
    <w:rsid w:val="00667AC6"/>
    <w:rsid w:val="00667B97"/>
    <w:rsid w:val="00667D74"/>
    <w:rsid w:val="00667EF5"/>
    <w:rsid w:val="006700A1"/>
    <w:rsid w:val="006700AC"/>
    <w:rsid w:val="00670441"/>
    <w:rsid w:val="006704BD"/>
    <w:rsid w:val="00670650"/>
    <w:rsid w:val="00670685"/>
    <w:rsid w:val="006706C7"/>
    <w:rsid w:val="00670773"/>
    <w:rsid w:val="00670888"/>
    <w:rsid w:val="006708CE"/>
    <w:rsid w:val="00670A9E"/>
    <w:rsid w:val="00670B58"/>
    <w:rsid w:val="00670C3F"/>
    <w:rsid w:val="00670EF2"/>
    <w:rsid w:val="00671099"/>
    <w:rsid w:val="00671188"/>
    <w:rsid w:val="006711CA"/>
    <w:rsid w:val="006711D5"/>
    <w:rsid w:val="006712B3"/>
    <w:rsid w:val="006712C0"/>
    <w:rsid w:val="006713F9"/>
    <w:rsid w:val="006715A8"/>
    <w:rsid w:val="00671815"/>
    <w:rsid w:val="0067181A"/>
    <w:rsid w:val="00671AAD"/>
    <w:rsid w:val="00671B27"/>
    <w:rsid w:val="00671F8F"/>
    <w:rsid w:val="0067209A"/>
    <w:rsid w:val="0067209D"/>
    <w:rsid w:val="0067211E"/>
    <w:rsid w:val="00672142"/>
    <w:rsid w:val="006721F9"/>
    <w:rsid w:val="00672230"/>
    <w:rsid w:val="00672243"/>
    <w:rsid w:val="0067230A"/>
    <w:rsid w:val="006723FB"/>
    <w:rsid w:val="006724F3"/>
    <w:rsid w:val="006728ED"/>
    <w:rsid w:val="00672970"/>
    <w:rsid w:val="00672DCA"/>
    <w:rsid w:val="006730FF"/>
    <w:rsid w:val="0067319D"/>
    <w:rsid w:val="0067324B"/>
    <w:rsid w:val="00673992"/>
    <w:rsid w:val="00673994"/>
    <w:rsid w:val="00673B32"/>
    <w:rsid w:val="00673C40"/>
    <w:rsid w:val="00673D63"/>
    <w:rsid w:val="00673DD6"/>
    <w:rsid w:val="00674165"/>
    <w:rsid w:val="0067418F"/>
    <w:rsid w:val="00674293"/>
    <w:rsid w:val="006742EB"/>
    <w:rsid w:val="006744AC"/>
    <w:rsid w:val="006745C2"/>
    <w:rsid w:val="00674829"/>
    <w:rsid w:val="006748A6"/>
    <w:rsid w:val="00674966"/>
    <w:rsid w:val="00674B29"/>
    <w:rsid w:val="00674C7D"/>
    <w:rsid w:val="00674D5E"/>
    <w:rsid w:val="00674D77"/>
    <w:rsid w:val="00674DA3"/>
    <w:rsid w:val="00675006"/>
    <w:rsid w:val="006750F6"/>
    <w:rsid w:val="006752D8"/>
    <w:rsid w:val="00675345"/>
    <w:rsid w:val="00675364"/>
    <w:rsid w:val="006753A3"/>
    <w:rsid w:val="00675441"/>
    <w:rsid w:val="006757CA"/>
    <w:rsid w:val="00675909"/>
    <w:rsid w:val="00675A11"/>
    <w:rsid w:val="00675A9C"/>
    <w:rsid w:val="00675AD2"/>
    <w:rsid w:val="00675B1D"/>
    <w:rsid w:val="00675B84"/>
    <w:rsid w:val="00675B88"/>
    <w:rsid w:val="00675B8C"/>
    <w:rsid w:val="00675D2C"/>
    <w:rsid w:val="00675DC6"/>
    <w:rsid w:val="00676100"/>
    <w:rsid w:val="00676126"/>
    <w:rsid w:val="00676350"/>
    <w:rsid w:val="00676613"/>
    <w:rsid w:val="00676673"/>
    <w:rsid w:val="0067684F"/>
    <w:rsid w:val="00676870"/>
    <w:rsid w:val="00676895"/>
    <w:rsid w:val="006768D3"/>
    <w:rsid w:val="0067690B"/>
    <w:rsid w:val="006769B5"/>
    <w:rsid w:val="006769E4"/>
    <w:rsid w:val="00676B89"/>
    <w:rsid w:val="00676D4F"/>
    <w:rsid w:val="00676D8E"/>
    <w:rsid w:val="00676E2A"/>
    <w:rsid w:val="00676E58"/>
    <w:rsid w:val="0067703A"/>
    <w:rsid w:val="00677102"/>
    <w:rsid w:val="006773EB"/>
    <w:rsid w:val="00677695"/>
    <w:rsid w:val="0067770C"/>
    <w:rsid w:val="0067774E"/>
    <w:rsid w:val="00677778"/>
    <w:rsid w:val="006777A8"/>
    <w:rsid w:val="006777CD"/>
    <w:rsid w:val="0067797A"/>
    <w:rsid w:val="006779F3"/>
    <w:rsid w:val="00677A16"/>
    <w:rsid w:val="00677BE7"/>
    <w:rsid w:val="00677C53"/>
    <w:rsid w:val="00677EEE"/>
    <w:rsid w:val="00677FC2"/>
    <w:rsid w:val="006800E7"/>
    <w:rsid w:val="006801C9"/>
    <w:rsid w:val="006802AB"/>
    <w:rsid w:val="006802D2"/>
    <w:rsid w:val="006802D4"/>
    <w:rsid w:val="0068065B"/>
    <w:rsid w:val="006806C7"/>
    <w:rsid w:val="00680710"/>
    <w:rsid w:val="0068075B"/>
    <w:rsid w:val="006807B4"/>
    <w:rsid w:val="00680817"/>
    <w:rsid w:val="0068096C"/>
    <w:rsid w:val="00680A33"/>
    <w:rsid w:val="00680B40"/>
    <w:rsid w:val="00680C5F"/>
    <w:rsid w:val="00680C87"/>
    <w:rsid w:val="00680DA9"/>
    <w:rsid w:val="00680E48"/>
    <w:rsid w:val="00680EDC"/>
    <w:rsid w:val="00681526"/>
    <w:rsid w:val="0068167B"/>
    <w:rsid w:val="0068179F"/>
    <w:rsid w:val="006817DA"/>
    <w:rsid w:val="006818BE"/>
    <w:rsid w:val="006818D9"/>
    <w:rsid w:val="00681B69"/>
    <w:rsid w:val="00681EC9"/>
    <w:rsid w:val="00681F6D"/>
    <w:rsid w:val="00681FEB"/>
    <w:rsid w:val="006821ED"/>
    <w:rsid w:val="006822FA"/>
    <w:rsid w:val="00682404"/>
    <w:rsid w:val="00682468"/>
    <w:rsid w:val="006824BA"/>
    <w:rsid w:val="0068252F"/>
    <w:rsid w:val="0068254F"/>
    <w:rsid w:val="00682560"/>
    <w:rsid w:val="00682608"/>
    <w:rsid w:val="00682658"/>
    <w:rsid w:val="00682693"/>
    <w:rsid w:val="00682707"/>
    <w:rsid w:val="00682765"/>
    <w:rsid w:val="0068288C"/>
    <w:rsid w:val="00682A6F"/>
    <w:rsid w:val="00682DCA"/>
    <w:rsid w:val="00682EB5"/>
    <w:rsid w:val="00683050"/>
    <w:rsid w:val="00683293"/>
    <w:rsid w:val="00683512"/>
    <w:rsid w:val="006835A9"/>
    <w:rsid w:val="00683616"/>
    <w:rsid w:val="00683969"/>
    <w:rsid w:val="006839C2"/>
    <w:rsid w:val="00683BB7"/>
    <w:rsid w:val="00683D0B"/>
    <w:rsid w:val="00683EA9"/>
    <w:rsid w:val="00683F36"/>
    <w:rsid w:val="00683FDE"/>
    <w:rsid w:val="00684094"/>
    <w:rsid w:val="00684272"/>
    <w:rsid w:val="006842C5"/>
    <w:rsid w:val="00684325"/>
    <w:rsid w:val="00684353"/>
    <w:rsid w:val="00684550"/>
    <w:rsid w:val="0068456B"/>
    <w:rsid w:val="00684673"/>
    <w:rsid w:val="0068468A"/>
    <w:rsid w:val="006846BD"/>
    <w:rsid w:val="0068482F"/>
    <w:rsid w:val="00684837"/>
    <w:rsid w:val="0068490B"/>
    <w:rsid w:val="00684AB2"/>
    <w:rsid w:val="00684CCB"/>
    <w:rsid w:val="00684CD9"/>
    <w:rsid w:val="00684E6C"/>
    <w:rsid w:val="00684EA0"/>
    <w:rsid w:val="00685047"/>
    <w:rsid w:val="00685430"/>
    <w:rsid w:val="006854B5"/>
    <w:rsid w:val="006854BA"/>
    <w:rsid w:val="006854D1"/>
    <w:rsid w:val="00685589"/>
    <w:rsid w:val="00685904"/>
    <w:rsid w:val="006859B6"/>
    <w:rsid w:val="00685B34"/>
    <w:rsid w:val="00685B6E"/>
    <w:rsid w:val="00685D55"/>
    <w:rsid w:val="00685DDD"/>
    <w:rsid w:val="00685E73"/>
    <w:rsid w:val="00685FFB"/>
    <w:rsid w:val="00686437"/>
    <w:rsid w:val="0068682C"/>
    <w:rsid w:val="00686968"/>
    <w:rsid w:val="00686A38"/>
    <w:rsid w:val="00686AD9"/>
    <w:rsid w:val="00686BB4"/>
    <w:rsid w:val="00686BD8"/>
    <w:rsid w:val="00686C6C"/>
    <w:rsid w:val="00686D17"/>
    <w:rsid w:val="00686DC7"/>
    <w:rsid w:val="00686E4E"/>
    <w:rsid w:val="0068707A"/>
    <w:rsid w:val="006872C5"/>
    <w:rsid w:val="0068732E"/>
    <w:rsid w:val="00687446"/>
    <w:rsid w:val="006874E8"/>
    <w:rsid w:val="00687539"/>
    <w:rsid w:val="0068756F"/>
    <w:rsid w:val="00687610"/>
    <w:rsid w:val="00687767"/>
    <w:rsid w:val="006877F5"/>
    <w:rsid w:val="006878E5"/>
    <w:rsid w:val="0068798B"/>
    <w:rsid w:val="00687B9C"/>
    <w:rsid w:val="00687D18"/>
    <w:rsid w:val="00687D50"/>
    <w:rsid w:val="00687F32"/>
    <w:rsid w:val="00687FCB"/>
    <w:rsid w:val="00687FED"/>
    <w:rsid w:val="0069001D"/>
    <w:rsid w:val="0069004C"/>
    <w:rsid w:val="006900E3"/>
    <w:rsid w:val="00690113"/>
    <w:rsid w:val="0069035C"/>
    <w:rsid w:val="00690406"/>
    <w:rsid w:val="006904F3"/>
    <w:rsid w:val="0069069B"/>
    <w:rsid w:val="006907CA"/>
    <w:rsid w:val="00690841"/>
    <w:rsid w:val="00690B9B"/>
    <w:rsid w:val="00690BCF"/>
    <w:rsid w:val="00690CFA"/>
    <w:rsid w:val="00690DA0"/>
    <w:rsid w:val="00690F17"/>
    <w:rsid w:val="00690FF0"/>
    <w:rsid w:val="00691014"/>
    <w:rsid w:val="00691247"/>
    <w:rsid w:val="0069144C"/>
    <w:rsid w:val="006916ED"/>
    <w:rsid w:val="0069173B"/>
    <w:rsid w:val="006918BF"/>
    <w:rsid w:val="006919E3"/>
    <w:rsid w:val="00691A69"/>
    <w:rsid w:val="00691AC6"/>
    <w:rsid w:val="00691C5D"/>
    <w:rsid w:val="00691CE3"/>
    <w:rsid w:val="00691D53"/>
    <w:rsid w:val="00691D85"/>
    <w:rsid w:val="00691E6A"/>
    <w:rsid w:val="00692135"/>
    <w:rsid w:val="006921DD"/>
    <w:rsid w:val="00692232"/>
    <w:rsid w:val="00692425"/>
    <w:rsid w:val="006925C1"/>
    <w:rsid w:val="00692606"/>
    <w:rsid w:val="0069270C"/>
    <w:rsid w:val="0069290C"/>
    <w:rsid w:val="00692C51"/>
    <w:rsid w:val="00692C7E"/>
    <w:rsid w:val="00692E60"/>
    <w:rsid w:val="00692EE2"/>
    <w:rsid w:val="00692F46"/>
    <w:rsid w:val="006931CF"/>
    <w:rsid w:val="00693247"/>
    <w:rsid w:val="00693359"/>
    <w:rsid w:val="00693547"/>
    <w:rsid w:val="006935C9"/>
    <w:rsid w:val="00693600"/>
    <w:rsid w:val="00693657"/>
    <w:rsid w:val="006936F1"/>
    <w:rsid w:val="006938AA"/>
    <w:rsid w:val="00693B3E"/>
    <w:rsid w:val="00693B52"/>
    <w:rsid w:val="00693BB2"/>
    <w:rsid w:val="00693BC3"/>
    <w:rsid w:val="00693CAD"/>
    <w:rsid w:val="00693E83"/>
    <w:rsid w:val="00693FF6"/>
    <w:rsid w:val="006940DE"/>
    <w:rsid w:val="0069411C"/>
    <w:rsid w:val="006941EF"/>
    <w:rsid w:val="00694437"/>
    <w:rsid w:val="0069474B"/>
    <w:rsid w:val="0069475D"/>
    <w:rsid w:val="006947B7"/>
    <w:rsid w:val="0069484C"/>
    <w:rsid w:val="006948A4"/>
    <w:rsid w:val="00694AEC"/>
    <w:rsid w:val="00694B4B"/>
    <w:rsid w:val="00694BC4"/>
    <w:rsid w:val="00694D0E"/>
    <w:rsid w:val="00694D17"/>
    <w:rsid w:val="00694E91"/>
    <w:rsid w:val="00695073"/>
    <w:rsid w:val="00695083"/>
    <w:rsid w:val="00695109"/>
    <w:rsid w:val="0069526E"/>
    <w:rsid w:val="00695363"/>
    <w:rsid w:val="00695661"/>
    <w:rsid w:val="00695A8B"/>
    <w:rsid w:val="00695D33"/>
    <w:rsid w:val="00695D53"/>
    <w:rsid w:val="00695F7D"/>
    <w:rsid w:val="00695FC3"/>
    <w:rsid w:val="006962AF"/>
    <w:rsid w:val="0069636D"/>
    <w:rsid w:val="0069642E"/>
    <w:rsid w:val="006964B3"/>
    <w:rsid w:val="006964E8"/>
    <w:rsid w:val="00696815"/>
    <w:rsid w:val="00696A5F"/>
    <w:rsid w:val="00696C01"/>
    <w:rsid w:val="00696D19"/>
    <w:rsid w:val="00696EE1"/>
    <w:rsid w:val="00696FA2"/>
    <w:rsid w:val="00697136"/>
    <w:rsid w:val="006971AC"/>
    <w:rsid w:val="0069729C"/>
    <w:rsid w:val="00697306"/>
    <w:rsid w:val="006973B7"/>
    <w:rsid w:val="00697557"/>
    <w:rsid w:val="006975D5"/>
    <w:rsid w:val="006975DE"/>
    <w:rsid w:val="0069761B"/>
    <w:rsid w:val="00697966"/>
    <w:rsid w:val="00697C10"/>
    <w:rsid w:val="00697FB0"/>
    <w:rsid w:val="006A0038"/>
    <w:rsid w:val="006A015C"/>
    <w:rsid w:val="006A023B"/>
    <w:rsid w:val="006A035F"/>
    <w:rsid w:val="006A037A"/>
    <w:rsid w:val="006A03C5"/>
    <w:rsid w:val="006A048E"/>
    <w:rsid w:val="006A054A"/>
    <w:rsid w:val="006A05B4"/>
    <w:rsid w:val="006A05E3"/>
    <w:rsid w:val="006A060C"/>
    <w:rsid w:val="006A09EC"/>
    <w:rsid w:val="006A0B7D"/>
    <w:rsid w:val="006A0B99"/>
    <w:rsid w:val="006A0C58"/>
    <w:rsid w:val="006A0CAA"/>
    <w:rsid w:val="006A0D90"/>
    <w:rsid w:val="006A0F18"/>
    <w:rsid w:val="006A0FC6"/>
    <w:rsid w:val="006A11DE"/>
    <w:rsid w:val="006A12E1"/>
    <w:rsid w:val="006A1342"/>
    <w:rsid w:val="006A146A"/>
    <w:rsid w:val="006A1578"/>
    <w:rsid w:val="006A17BF"/>
    <w:rsid w:val="006A1872"/>
    <w:rsid w:val="006A1BEE"/>
    <w:rsid w:val="006A1DB1"/>
    <w:rsid w:val="006A1DD9"/>
    <w:rsid w:val="006A1E95"/>
    <w:rsid w:val="006A1FCB"/>
    <w:rsid w:val="006A1FE4"/>
    <w:rsid w:val="006A2166"/>
    <w:rsid w:val="006A2292"/>
    <w:rsid w:val="006A234D"/>
    <w:rsid w:val="006A23F4"/>
    <w:rsid w:val="006A241B"/>
    <w:rsid w:val="006A244C"/>
    <w:rsid w:val="006A246C"/>
    <w:rsid w:val="006A25B5"/>
    <w:rsid w:val="006A2893"/>
    <w:rsid w:val="006A29CF"/>
    <w:rsid w:val="006A2A53"/>
    <w:rsid w:val="006A2CD4"/>
    <w:rsid w:val="006A2D72"/>
    <w:rsid w:val="006A2DC0"/>
    <w:rsid w:val="006A2E02"/>
    <w:rsid w:val="006A2E0A"/>
    <w:rsid w:val="006A31A0"/>
    <w:rsid w:val="006A3241"/>
    <w:rsid w:val="006A32B1"/>
    <w:rsid w:val="006A3305"/>
    <w:rsid w:val="006A3653"/>
    <w:rsid w:val="006A3990"/>
    <w:rsid w:val="006A3A2B"/>
    <w:rsid w:val="006A3A44"/>
    <w:rsid w:val="006A3CD7"/>
    <w:rsid w:val="006A3DAF"/>
    <w:rsid w:val="006A3E63"/>
    <w:rsid w:val="006A405C"/>
    <w:rsid w:val="006A40B3"/>
    <w:rsid w:val="006A4118"/>
    <w:rsid w:val="006A4135"/>
    <w:rsid w:val="006A41B0"/>
    <w:rsid w:val="006A4211"/>
    <w:rsid w:val="006A427C"/>
    <w:rsid w:val="006A428A"/>
    <w:rsid w:val="006A472B"/>
    <w:rsid w:val="006A4743"/>
    <w:rsid w:val="006A4F7B"/>
    <w:rsid w:val="006A51A2"/>
    <w:rsid w:val="006A5348"/>
    <w:rsid w:val="006A53A9"/>
    <w:rsid w:val="006A5486"/>
    <w:rsid w:val="006A54B3"/>
    <w:rsid w:val="006A555D"/>
    <w:rsid w:val="006A5625"/>
    <w:rsid w:val="006A56F0"/>
    <w:rsid w:val="006A57F3"/>
    <w:rsid w:val="006A5837"/>
    <w:rsid w:val="006A5CB2"/>
    <w:rsid w:val="006A5DF5"/>
    <w:rsid w:val="006A5F6B"/>
    <w:rsid w:val="006A61AE"/>
    <w:rsid w:val="006A6356"/>
    <w:rsid w:val="006A63F1"/>
    <w:rsid w:val="006A64D7"/>
    <w:rsid w:val="006A6651"/>
    <w:rsid w:val="006A68BF"/>
    <w:rsid w:val="006A6A50"/>
    <w:rsid w:val="006A6B7F"/>
    <w:rsid w:val="006A6BE6"/>
    <w:rsid w:val="006A6BF1"/>
    <w:rsid w:val="006A6F1D"/>
    <w:rsid w:val="006A6F7E"/>
    <w:rsid w:val="006A6FD2"/>
    <w:rsid w:val="006A7624"/>
    <w:rsid w:val="006A773D"/>
    <w:rsid w:val="006A77A4"/>
    <w:rsid w:val="006A78A5"/>
    <w:rsid w:val="006A7930"/>
    <w:rsid w:val="006A793F"/>
    <w:rsid w:val="006A7998"/>
    <w:rsid w:val="006A7B22"/>
    <w:rsid w:val="006A7DF9"/>
    <w:rsid w:val="006B027C"/>
    <w:rsid w:val="006B0342"/>
    <w:rsid w:val="006B0372"/>
    <w:rsid w:val="006B03E9"/>
    <w:rsid w:val="006B03EA"/>
    <w:rsid w:val="006B042C"/>
    <w:rsid w:val="006B042D"/>
    <w:rsid w:val="006B050E"/>
    <w:rsid w:val="006B059D"/>
    <w:rsid w:val="006B080B"/>
    <w:rsid w:val="006B0E6D"/>
    <w:rsid w:val="006B0EEA"/>
    <w:rsid w:val="006B0F7F"/>
    <w:rsid w:val="006B1028"/>
    <w:rsid w:val="006B1644"/>
    <w:rsid w:val="006B1706"/>
    <w:rsid w:val="006B170D"/>
    <w:rsid w:val="006B17FC"/>
    <w:rsid w:val="006B180F"/>
    <w:rsid w:val="006B19FF"/>
    <w:rsid w:val="006B1BFB"/>
    <w:rsid w:val="006B1C86"/>
    <w:rsid w:val="006B1D2C"/>
    <w:rsid w:val="006B1DDB"/>
    <w:rsid w:val="006B1E25"/>
    <w:rsid w:val="006B1E6A"/>
    <w:rsid w:val="006B2002"/>
    <w:rsid w:val="006B21CC"/>
    <w:rsid w:val="006B24A8"/>
    <w:rsid w:val="006B24FA"/>
    <w:rsid w:val="006B25C8"/>
    <w:rsid w:val="006B272B"/>
    <w:rsid w:val="006B28CC"/>
    <w:rsid w:val="006B28D5"/>
    <w:rsid w:val="006B28F9"/>
    <w:rsid w:val="006B2AF1"/>
    <w:rsid w:val="006B2B0C"/>
    <w:rsid w:val="006B2B26"/>
    <w:rsid w:val="006B2BDE"/>
    <w:rsid w:val="006B2C89"/>
    <w:rsid w:val="006B2C90"/>
    <w:rsid w:val="006B2CA9"/>
    <w:rsid w:val="006B2CB7"/>
    <w:rsid w:val="006B2CC0"/>
    <w:rsid w:val="006B2D4F"/>
    <w:rsid w:val="006B2DDD"/>
    <w:rsid w:val="006B2E3A"/>
    <w:rsid w:val="006B3032"/>
    <w:rsid w:val="006B31FB"/>
    <w:rsid w:val="006B3298"/>
    <w:rsid w:val="006B332F"/>
    <w:rsid w:val="006B3442"/>
    <w:rsid w:val="006B34AB"/>
    <w:rsid w:val="006B34C4"/>
    <w:rsid w:val="006B35AF"/>
    <w:rsid w:val="006B36AB"/>
    <w:rsid w:val="006B3707"/>
    <w:rsid w:val="006B37AA"/>
    <w:rsid w:val="006B38CD"/>
    <w:rsid w:val="006B390F"/>
    <w:rsid w:val="006B3B29"/>
    <w:rsid w:val="006B3BA6"/>
    <w:rsid w:val="006B4059"/>
    <w:rsid w:val="006B405D"/>
    <w:rsid w:val="006B434B"/>
    <w:rsid w:val="006B467A"/>
    <w:rsid w:val="006B4706"/>
    <w:rsid w:val="006B477A"/>
    <w:rsid w:val="006B4783"/>
    <w:rsid w:val="006B4806"/>
    <w:rsid w:val="006B4AEA"/>
    <w:rsid w:val="006B4B4A"/>
    <w:rsid w:val="006B4BC7"/>
    <w:rsid w:val="006B4DA3"/>
    <w:rsid w:val="006B4E63"/>
    <w:rsid w:val="006B4ECC"/>
    <w:rsid w:val="006B507E"/>
    <w:rsid w:val="006B50B2"/>
    <w:rsid w:val="006B5164"/>
    <w:rsid w:val="006B5470"/>
    <w:rsid w:val="006B5584"/>
    <w:rsid w:val="006B5712"/>
    <w:rsid w:val="006B58E1"/>
    <w:rsid w:val="006B59FA"/>
    <w:rsid w:val="006B5BF6"/>
    <w:rsid w:val="006B5D17"/>
    <w:rsid w:val="006B5F18"/>
    <w:rsid w:val="006B5FFF"/>
    <w:rsid w:val="006B6015"/>
    <w:rsid w:val="006B616C"/>
    <w:rsid w:val="006B627F"/>
    <w:rsid w:val="006B62E0"/>
    <w:rsid w:val="006B6469"/>
    <w:rsid w:val="006B65A8"/>
    <w:rsid w:val="006B6648"/>
    <w:rsid w:val="006B671E"/>
    <w:rsid w:val="006B685F"/>
    <w:rsid w:val="006B6BC5"/>
    <w:rsid w:val="006B6DF6"/>
    <w:rsid w:val="006B73E5"/>
    <w:rsid w:val="006B7526"/>
    <w:rsid w:val="006B75C6"/>
    <w:rsid w:val="006B75F1"/>
    <w:rsid w:val="006B7629"/>
    <w:rsid w:val="006B77D4"/>
    <w:rsid w:val="006B7823"/>
    <w:rsid w:val="006B7932"/>
    <w:rsid w:val="006B7977"/>
    <w:rsid w:val="006B798D"/>
    <w:rsid w:val="006B7A12"/>
    <w:rsid w:val="006B7A73"/>
    <w:rsid w:val="006B7B42"/>
    <w:rsid w:val="006B7DA6"/>
    <w:rsid w:val="006C018B"/>
    <w:rsid w:val="006C0321"/>
    <w:rsid w:val="006C0549"/>
    <w:rsid w:val="006C057C"/>
    <w:rsid w:val="006C058F"/>
    <w:rsid w:val="006C0770"/>
    <w:rsid w:val="006C083D"/>
    <w:rsid w:val="006C0A8B"/>
    <w:rsid w:val="006C0B6A"/>
    <w:rsid w:val="006C0B84"/>
    <w:rsid w:val="006C0D3B"/>
    <w:rsid w:val="006C0DC6"/>
    <w:rsid w:val="006C0FD4"/>
    <w:rsid w:val="006C0FF6"/>
    <w:rsid w:val="006C1114"/>
    <w:rsid w:val="006C1181"/>
    <w:rsid w:val="006C13A6"/>
    <w:rsid w:val="006C13D0"/>
    <w:rsid w:val="006C14F8"/>
    <w:rsid w:val="006C16AA"/>
    <w:rsid w:val="006C1CB0"/>
    <w:rsid w:val="006C1E6E"/>
    <w:rsid w:val="006C1F57"/>
    <w:rsid w:val="006C1F94"/>
    <w:rsid w:val="006C21E7"/>
    <w:rsid w:val="006C2359"/>
    <w:rsid w:val="006C24B0"/>
    <w:rsid w:val="006C252C"/>
    <w:rsid w:val="006C270A"/>
    <w:rsid w:val="006C2889"/>
    <w:rsid w:val="006C28C3"/>
    <w:rsid w:val="006C28E5"/>
    <w:rsid w:val="006C2A77"/>
    <w:rsid w:val="006C2D6E"/>
    <w:rsid w:val="006C2E72"/>
    <w:rsid w:val="006C2EC3"/>
    <w:rsid w:val="006C30AA"/>
    <w:rsid w:val="006C3425"/>
    <w:rsid w:val="006C354C"/>
    <w:rsid w:val="006C35E0"/>
    <w:rsid w:val="006C36AA"/>
    <w:rsid w:val="006C3715"/>
    <w:rsid w:val="006C3832"/>
    <w:rsid w:val="006C38E9"/>
    <w:rsid w:val="006C3926"/>
    <w:rsid w:val="006C3983"/>
    <w:rsid w:val="006C3AF7"/>
    <w:rsid w:val="006C3B76"/>
    <w:rsid w:val="006C3CA2"/>
    <w:rsid w:val="006C4025"/>
    <w:rsid w:val="006C418A"/>
    <w:rsid w:val="006C41F1"/>
    <w:rsid w:val="006C42F3"/>
    <w:rsid w:val="006C4572"/>
    <w:rsid w:val="006C4629"/>
    <w:rsid w:val="006C463C"/>
    <w:rsid w:val="006C472F"/>
    <w:rsid w:val="006C47A0"/>
    <w:rsid w:val="006C48C0"/>
    <w:rsid w:val="006C4909"/>
    <w:rsid w:val="006C49BA"/>
    <w:rsid w:val="006C4B41"/>
    <w:rsid w:val="006C4B46"/>
    <w:rsid w:val="006C4BC2"/>
    <w:rsid w:val="006C4C4C"/>
    <w:rsid w:val="006C4D96"/>
    <w:rsid w:val="006C4F80"/>
    <w:rsid w:val="006C501E"/>
    <w:rsid w:val="006C5220"/>
    <w:rsid w:val="006C5248"/>
    <w:rsid w:val="006C535D"/>
    <w:rsid w:val="006C5387"/>
    <w:rsid w:val="006C5452"/>
    <w:rsid w:val="006C5477"/>
    <w:rsid w:val="006C54D7"/>
    <w:rsid w:val="006C578B"/>
    <w:rsid w:val="006C5893"/>
    <w:rsid w:val="006C595D"/>
    <w:rsid w:val="006C5A8F"/>
    <w:rsid w:val="006C5C84"/>
    <w:rsid w:val="006C5EBF"/>
    <w:rsid w:val="006C610D"/>
    <w:rsid w:val="006C63A8"/>
    <w:rsid w:val="006C63C7"/>
    <w:rsid w:val="006C64C0"/>
    <w:rsid w:val="006C64D3"/>
    <w:rsid w:val="006C652C"/>
    <w:rsid w:val="006C67D3"/>
    <w:rsid w:val="006C684C"/>
    <w:rsid w:val="006C6956"/>
    <w:rsid w:val="006C699E"/>
    <w:rsid w:val="006C6ADB"/>
    <w:rsid w:val="006C6B5F"/>
    <w:rsid w:val="006C6C80"/>
    <w:rsid w:val="006C6D73"/>
    <w:rsid w:val="006C6DFB"/>
    <w:rsid w:val="006C6ED9"/>
    <w:rsid w:val="006C6F9A"/>
    <w:rsid w:val="006C716E"/>
    <w:rsid w:val="006C74AA"/>
    <w:rsid w:val="006C7643"/>
    <w:rsid w:val="006C7660"/>
    <w:rsid w:val="006C770F"/>
    <w:rsid w:val="006C7744"/>
    <w:rsid w:val="006C7820"/>
    <w:rsid w:val="006C7B03"/>
    <w:rsid w:val="006C7B66"/>
    <w:rsid w:val="006C7B95"/>
    <w:rsid w:val="006C7E4F"/>
    <w:rsid w:val="006C7E82"/>
    <w:rsid w:val="006D00A3"/>
    <w:rsid w:val="006D01CD"/>
    <w:rsid w:val="006D037C"/>
    <w:rsid w:val="006D0445"/>
    <w:rsid w:val="006D0523"/>
    <w:rsid w:val="006D05F8"/>
    <w:rsid w:val="006D0910"/>
    <w:rsid w:val="006D095E"/>
    <w:rsid w:val="006D0984"/>
    <w:rsid w:val="006D09E8"/>
    <w:rsid w:val="006D0E7B"/>
    <w:rsid w:val="006D0EC2"/>
    <w:rsid w:val="006D10FA"/>
    <w:rsid w:val="006D119F"/>
    <w:rsid w:val="006D13BC"/>
    <w:rsid w:val="006D1418"/>
    <w:rsid w:val="006D1618"/>
    <w:rsid w:val="006D1629"/>
    <w:rsid w:val="006D1658"/>
    <w:rsid w:val="006D17EE"/>
    <w:rsid w:val="006D1815"/>
    <w:rsid w:val="006D18E9"/>
    <w:rsid w:val="006D1914"/>
    <w:rsid w:val="006D1A79"/>
    <w:rsid w:val="006D1AF2"/>
    <w:rsid w:val="006D1C38"/>
    <w:rsid w:val="006D1E71"/>
    <w:rsid w:val="006D1F32"/>
    <w:rsid w:val="006D2087"/>
    <w:rsid w:val="006D20E2"/>
    <w:rsid w:val="006D21B2"/>
    <w:rsid w:val="006D21DF"/>
    <w:rsid w:val="006D2221"/>
    <w:rsid w:val="006D2268"/>
    <w:rsid w:val="006D23D8"/>
    <w:rsid w:val="006D2598"/>
    <w:rsid w:val="006D264C"/>
    <w:rsid w:val="006D26AB"/>
    <w:rsid w:val="006D27FA"/>
    <w:rsid w:val="006D2A72"/>
    <w:rsid w:val="006D2B4F"/>
    <w:rsid w:val="006D2C8E"/>
    <w:rsid w:val="006D2CF7"/>
    <w:rsid w:val="006D2EEE"/>
    <w:rsid w:val="006D2F4E"/>
    <w:rsid w:val="006D3449"/>
    <w:rsid w:val="006D350C"/>
    <w:rsid w:val="006D3682"/>
    <w:rsid w:val="006D36B4"/>
    <w:rsid w:val="006D36E1"/>
    <w:rsid w:val="006D3AC7"/>
    <w:rsid w:val="006D3AE4"/>
    <w:rsid w:val="006D3AF4"/>
    <w:rsid w:val="006D3B76"/>
    <w:rsid w:val="006D3CB3"/>
    <w:rsid w:val="006D3E13"/>
    <w:rsid w:val="006D3FE0"/>
    <w:rsid w:val="006D4080"/>
    <w:rsid w:val="006D413E"/>
    <w:rsid w:val="006D427F"/>
    <w:rsid w:val="006D4348"/>
    <w:rsid w:val="006D4380"/>
    <w:rsid w:val="006D438F"/>
    <w:rsid w:val="006D43B4"/>
    <w:rsid w:val="006D4560"/>
    <w:rsid w:val="006D4758"/>
    <w:rsid w:val="006D47E1"/>
    <w:rsid w:val="006D4C25"/>
    <w:rsid w:val="006D4C72"/>
    <w:rsid w:val="006D4D49"/>
    <w:rsid w:val="006D4E05"/>
    <w:rsid w:val="006D4E38"/>
    <w:rsid w:val="006D4E4C"/>
    <w:rsid w:val="006D5036"/>
    <w:rsid w:val="006D53F9"/>
    <w:rsid w:val="006D5434"/>
    <w:rsid w:val="006D550B"/>
    <w:rsid w:val="006D554D"/>
    <w:rsid w:val="006D5585"/>
    <w:rsid w:val="006D55BC"/>
    <w:rsid w:val="006D5665"/>
    <w:rsid w:val="006D585A"/>
    <w:rsid w:val="006D5932"/>
    <w:rsid w:val="006D5A48"/>
    <w:rsid w:val="006D5CA7"/>
    <w:rsid w:val="006D5D55"/>
    <w:rsid w:val="006D5F76"/>
    <w:rsid w:val="006D5F99"/>
    <w:rsid w:val="006D5FF3"/>
    <w:rsid w:val="006D620A"/>
    <w:rsid w:val="006D621E"/>
    <w:rsid w:val="006D622D"/>
    <w:rsid w:val="006D6399"/>
    <w:rsid w:val="006D6446"/>
    <w:rsid w:val="006D6539"/>
    <w:rsid w:val="006D6766"/>
    <w:rsid w:val="006D6813"/>
    <w:rsid w:val="006D68F3"/>
    <w:rsid w:val="006D6CD0"/>
    <w:rsid w:val="006D6D0D"/>
    <w:rsid w:val="006D6D96"/>
    <w:rsid w:val="006D7211"/>
    <w:rsid w:val="006D729F"/>
    <w:rsid w:val="006D72E8"/>
    <w:rsid w:val="006D7332"/>
    <w:rsid w:val="006D7422"/>
    <w:rsid w:val="006D74DC"/>
    <w:rsid w:val="006D75C8"/>
    <w:rsid w:val="006D75E8"/>
    <w:rsid w:val="006D77A4"/>
    <w:rsid w:val="006D7984"/>
    <w:rsid w:val="006D7985"/>
    <w:rsid w:val="006D79C2"/>
    <w:rsid w:val="006D7B72"/>
    <w:rsid w:val="006D7CC6"/>
    <w:rsid w:val="006D7E6F"/>
    <w:rsid w:val="006D7F6D"/>
    <w:rsid w:val="006D7F77"/>
    <w:rsid w:val="006D7FB2"/>
    <w:rsid w:val="006E0106"/>
    <w:rsid w:val="006E0188"/>
    <w:rsid w:val="006E0207"/>
    <w:rsid w:val="006E0284"/>
    <w:rsid w:val="006E0301"/>
    <w:rsid w:val="006E05D4"/>
    <w:rsid w:val="006E05ED"/>
    <w:rsid w:val="006E081F"/>
    <w:rsid w:val="006E09CE"/>
    <w:rsid w:val="006E09E0"/>
    <w:rsid w:val="006E0AFF"/>
    <w:rsid w:val="006E0D26"/>
    <w:rsid w:val="006E0D8D"/>
    <w:rsid w:val="006E0F28"/>
    <w:rsid w:val="006E0F68"/>
    <w:rsid w:val="006E1698"/>
    <w:rsid w:val="006E19DC"/>
    <w:rsid w:val="006E1BA3"/>
    <w:rsid w:val="006E1D2B"/>
    <w:rsid w:val="006E1DE7"/>
    <w:rsid w:val="006E1FAF"/>
    <w:rsid w:val="006E2055"/>
    <w:rsid w:val="006E2204"/>
    <w:rsid w:val="006E2269"/>
    <w:rsid w:val="006E232F"/>
    <w:rsid w:val="006E24AA"/>
    <w:rsid w:val="006E2896"/>
    <w:rsid w:val="006E2C7C"/>
    <w:rsid w:val="006E2CBD"/>
    <w:rsid w:val="006E2E87"/>
    <w:rsid w:val="006E2F1A"/>
    <w:rsid w:val="006E33F8"/>
    <w:rsid w:val="006E3521"/>
    <w:rsid w:val="006E353E"/>
    <w:rsid w:val="006E3555"/>
    <w:rsid w:val="006E3604"/>
    <w:rsid w:val="006E36AB"/>
    <w:rsid w:val="006E36C4"/>
    <w:rsid w:val="006E36F3"/>
    <w:rsid w:val="006E37F8"/>
    <w:rsid w:val="006E3809"/>
    <w:rsid w:val="006E38CB"/>
    <w:rsid w:val="006E3A19"/>
    <w:rsid w:val="006E3B78"/>
    <w:rsid w:val="006E3B90"/>
    <w:rsid w:val="006E3C05"/>
    <w:rsid w:val="006E3C5E"/>
    <w:rsid w:val="006E3D29"/>
    <w:rsid w:val="006E3DAF"/>
    <w:rsid w:val="006E3E0B"/>
    <w:rsid w:val="006E3EC7"/>
    <w:rsid w:val="006E42B1"/>
    <w:rsid w:val="006E42DE"/>
    <w:rsid w:val="006E43DD"/>
    <w:rsid w:val="006E4400"/>
    <w:rsid w:val="006E446B"/>
    <w:rsid w:val="006E4608"/>
    <w:rsid w:val="006E46B2"/>
    <w:rsid w:val="006E476F"/>
    <w:rsid w:val="006E479D"/>
    <w:rsid w:val="006E47D2"/>
    <w:rsid w:val="006E4A56"/>
    <w:rsid w:val="006E4B91"/>
    <w:rsid w:val="006E4BA7"/>
    <w:rsid w:val="006E4C55"/>
    <w:rsid w:val="006E4E6F"/>
    <w:rsid w:val="006E4F2C"/>
    <w:rsid w:val="006E503B"/>
    <w:rsid w:val="006E50A8"/>
    <w:rsid w:val="006E51C1"/>
    <w:rsid w:val="006E5580"/>
    <w:rsid w:val="006E5631"/>
    <w:rsid w:val="006E5843"/>
    <w:rsid w:val="006E59DD"/>
    <w:rsid w:val="006E5B30"/>
    <w:rsid w:val="006E5BBA"/>
    <w:rsid w:val="006E5DEF"/>
    <w:rsid w:val="006E5E2B"/>
    <w:rsid w:val="006E5E35"/>
    <w:rsid w:val="006E5E53"/>
    <w:rsid w:val="006E5EF1"/>
    <w:rsid w:val="006E5EF3"/>
    <w:rsid w:val="006E613C"/>
    <w:rsid w:val="006E621C"/>
    <w:rsid w:val="006E6221"/>
    <w:rsid w:val="006E6352"/>
    <w:rsid w:val="006E63E5"/>
    <w:rsid w:val="006E6597"/>
    <w:rsid w:val="006E65FC"/>
    <w:rsid w:val="006E662C"/>
    <w:rsid w:val="006E67C3"/>
    <w:rsid w:val="006E6832"/>
    <w:rsid w:val="006E6944"/>
    <w:rsid w:val="006E6987"/>
    <w:rsid w:val="006E6A5D"/>
    <w:rsid w:val="006E6B7E"/>
    <w:rsid w:val="006E6BA9"/>
    <w:rsid w:val="006E6BBA"/>
    <w:rsid w:val="006E6CC0"/>
    <w:rsid w:val="006E6CCF"/>
    <w:rsid w:val="006E6CDE"/>
    <w:rsid w:val="006E6D32"/>
    <w:rsid w:val="006E6E60"/>
    <w:rsid w:val="006E6ECC"/>
    <w:rsid w:val="006E70F6"/>
    <w:rsid w:val="006E7238"/>
    <w:rsid w:val="006E7239"/>
    <w:rsid w:val="006E7266"/>
    <w:rsid w:val="006E7358"/>
    <w:rsid w:val="006E73FD"/>
    <w:rsid w:val="006E760C"/>
    <w:rsid w:val="006E7679"/>
    <w:rsid w:val="006E793A"/>
    <w:rsid w:val="006E79BF"/>
    <w:rsid w:val="006E7C07"/>
    <w:rsid w:val="006E7D63"/>
    <w:rsid w:val="006E7E1D"/>
    <w:rsid w:val="006E7ED6"/>
    <w:rsid w:val="006E7F95"/>
    <w:rsid w:val="006F0019"/>
    <w:rsid w:val="006F0050"/>
    <w:rsid w:val="006F02B0"/>
    <w:rsid w:val="006F039A"/>
    <w:rsid w:val="006F03E8"/>
    <w:rsid w:val="006F0509"/>
    <w:rsid w:val="006F0599"/>
    <w:rsid w:val="006F06B2"/>
    <w:rsid w:val="006F086E"/>
    <w:rsid w:val="006F0A44"/>
    <w:rsid w:val="006F0D41"/>
    <w:rsid w:val="006F0D46"/>
    <w:rsid w:val="006F0D5E"/>
    <w:rsid w:val="006F0E2E"/>
    <w:rsid w:val="006F14A5"/>
    <w:rsid w:val="006F14BB"/>
    <w:rsid w:val="006F153B"/>
    <w:rsid w:val="006F159A"/>
    <w:rsid w:val="006F1680"/>
    <w:rsid w:val="006F1733"/>
    <w:rsid w:val="006F183B"/>
    <w:rsid w:val="006F188C"/>
    <w:rsid w:val="006F1A60"/>
    <w:rsid w:val="006F1B0E"/>
    <w:rsid w:val="006F1B43"/>
    <w:rsid w:val="006F1E53"/>
    <w:rsid w:val="006F1FA7"/>
    <w:rsid w:val="006F2044"/>
    <w:rsid w:val="006F2059"/>
    <w:rsid w:val="006F2359"/>
    <w:rsid w:val="006F23DD"/>
    <w:rsid w:val="006F28FB"/>
    <w:rsid w:val="006F2999"/>
    <w:rsid w:val="006F29C8"/>
    <w:rsid w:val="006F2A6B"/>
    <w:rsid w:val="006F2AC9"/>
    <w:rsid w:val="006F2C49"/>
    <w:rsid w:val="006F2D70"/>
    <w:rsid w:val="006F2F00"/>
    <w:rsid w:val="006F3061"/>
    <w:rsid w:val="006F3100"/>
    <w:rsid w:val="006F3158"/>
    <w:rsid w:val="006F3284"/>
    <w:rsid w:val="006F33F6"/>
    <w:rsid w:val="006F341F"/>
    <w:rsid w:val="006F348D"/>
    <w:rsid w:val="006F3643"/>
    <w:rsid w:val="006F3688"/>
    <w:rsid w:val="006F3C5D"/>
    <w:rsid w:val="006F3C6A"/>
    <w:rsid w:val="006F3C85"/>
    <w:rsid w:val="006F3DC8"/>
    <w:rsid w:val="006F3FDA"/>
    <w:rsid w:val="006F4262"/>
    <w:rsid w:val="006F4329"/>
    <w:rsid w:val="006F4644"/>
    <w:rsid w:val="006F4B6C"/>
    <w:rsid w:val="006F4EE5"/>
    <w:rsid w:val="006F5057"/>
    <w:rsid w:val="006F5158"/>
    <w:rsid w:val="006F5261"/>
    <w:rsid w:val="006F52C5"/>
    <w:rsid w:val="006F5335"/>
    <w:rsid w:val="006F54A6"/>
    <w:rsid w:val="006F556E"/>
    <w:rsid w:val="006F55A6"/>
    <w:rsid w:val="006F5701"/>
    <w:rsid w:val="006F588A"/>
    <w:rsid w:val="006F5926"/>
    <w:rsid w:val="006F5B17"/>
    <w:rsid w:val="006F5BBA"/>
    <w:rsid w:val="006F5C8F"/>
    <w:rsid w:val="006F5F0D"/>
    <w:rsid w:val="006F5FD3"/>
    <w:rsid w:val="006F6268"/>
    <w:rsid w:val="006F6373"/>
    <w:rsid w:val="006F669D"/>
    <w:rsid w:val="006F67A5"/>
    <w:rsid w:val="006F6911"/>
    <w:rsid w:val="006F69FE"/>
    <w:rsid w:val="006F6A83"/>
    <w:rsid w:val="006F6C37"/>
    <w:rsid w:val="006F6EB7"/>
    <w:rsid w:val="006F6F04"/>
    <w:rsid w:val="006F716F"/>
    <w:rsid w:val="006F7247"/>
    <w:rsid w:val="006F72FA"/>
    <w:rsid w:val="006F747A"/>
    <w:rsid w:val="006F748C"/>
    <w:rsid w:val="006F75E2"/>
    <w:rsid w:val="006F774A"/>
    <w:rsid w:val="006F774B"/>
    <w:rsid w:val="006F774F"/>
    <w:rsid w:val="006F79C8"/>
    <w:rsid w:val="006F7C9F"/>
    <w:rsid w:val="006F7CB7"/>
    <w:rsid w:val="006F7CD9"/>
    <w:rsid w:val="006F7E2C"/>
    <w:rsid w:val="006F7FAF"/>
    <w:rsid w:val="006F7FEB"/>
    <w:rsid w:val="00700003"/>
    <w:rsid w:val="007000FD"/>
    <w:rsid w:val="00700246"/>
    <w:rsid w:val="007003B4"/>
    <w:rsid w:val="007003EE"/>
    <w:rsid w:val="00700452"/>
    <w:rsid w:val="007004F4"/>
    <w:rsid w:val="0070050D"/>
    <w:rsid w:val="007005B0"/>
    <w:rsid w:val="007006CA"/>
    <w:rsid w:val="0070071C"/>
    <w:rsid w:val="00700950"/>
    <w:rsid w:val="00700A46"/>
    <w:rsid w:val="00700D12"/>
    <w:rsid w:val="00700F2C"/>
    <w:rsid w:val="00700FA0"/>
    <w:rsid w:val="00700FBA"/>
    <w:rsid w:val="00701136"/>
    <w:rsid w:val="00701154"/>
    <w:rsid w:val="007011FB"/>
    <w:rsid w:val="00701350"/>
    <w:rsid w:val="007014A3"/>
    <w:rsid w:val="007014CD"/>
    <w:rsid w:val="00701552"/>
    <w:rsid w:val="00701B7C"/>
    <w:rsid w:val="00701C7F"/>
    <w:rsid w:val="00701C81"/>
    <w:rsid w:val="00701D4E"/>
    <w:rsid w:val="00701E57"/>
    <w:rsid w:val="00701EFF"/>
    <w:rsid w:val="00701F8A"/>
    <w:rsid w:val="00702185"/>
    <w:rsid w:val="00702215"/>
    <w:rsid w:val="007022EF"/>
    <w:rsid w:val="00702414"/>
    <w:rsid w:val="0070249D"/>
    <w:rsid w:val="007024F8"/>
    <w:rsid w:val="007028AF"/>
    <w:rsid w:val="007028D3"/>
    <w:rsid w:val="0070293A"/>
    <w:rsid w:val="007029F4"/>
    <w:rsid w:val="00702AAB"/>
    <w:rsid w:val="00702AF5"/>
    <w:rsid w:val="00702DC0"/>
    <w:rsid w:val="00702E60"/>
    <w:rsid w:val="00703138"/>
    <w:rsid w:val="0070319A"/>
    <w:rsid w:val="007032AC"/>
    <w:rsid w:val="007034E3"/>
    <w:rsid w:val="0070355E"/>
    <w:rsid w:val="00703A4C"/>
    <w:rsid w:val="00703AA5"/>
    <w:rsid w:val="00703CB4"/>
    <w:rsid w:val="00703F1D"/>
    <w:rsid w:val="00704355"/>
    <w:rsid w:val="007045F1"/>
    <w:rsid w:val="007047DF"/>
    <w:rsid w:val="00704930"/>
    <w:rsid w:val="00704D84"/>
    <w:rsid w:val="00704EE3"/>
    <w:rsid w:val="00704F08"/>
    <w:rsid w:val="00704F28"/>
    <w:rsid w:val="00704FF8"/>
    <w:rsid w:val="0070505D"/>
    <w:rsid w:val="00705061"/>
    <w:rsid w:val="007050A2"/>
    <w:rsid w:val="007050F8"/>
    <w:rsid w:val="00705175"/>
    <w:rsid w:val="007051AB"/>
    <w:rsid w:val="007051F9"/>
    <w:rsid w:val="007054C7"/>
    <w:rsid w:val="00705525"/>
    <w:rsid w:val="00705673"/>
    <w:rsid w:val="007056CE"/>
    <w:rsid w:val="007056F9"/>
    <w:rsid w:val="00705786"/>
    <w:rsid w:val="007057B5"/>
    <w:rsid w:val="007057F0"/>
    <w:rsid w:val="00705854"/>
    <w:rsid w:val="00705951"/>
    <w:rsid w:val="00705952"/>
    <w:rsid w:val="00705B76"/>
    <w:rsid w:val="00705C97"/>
    <w:rsid w:val="00705CCE"/>
    <w:rsid w:val="00705E07"/>
    <w:rsid w:val="00705ED5"/>
    <w:rsid w:val="00705F11"/>
    <w:rsid w:val="00705F3B"/>
    <w:rsid w:val="00705F69"/>
    <w:rsid w:val="00706037"/>
    <w:rsid w:val="00706261"/>
    <w:rsid w:val="007062E0"/>
    <w:rsid w:val="0070636C"/>
    <w:rsid w:val="00706562"/>
    <w:rsid w:val="007067E3"/>
    <w:rsid w:val="00706B87"/>
    <w:rsid w:val="00706BA9"/>
    <w:rsid w:val="00706E20"/>
    <w:rsid w:val="00707095"/>
    <w:rsid w:val="007070FF"/>
    <w:rsid w:val="007071AC"/>
    <w:rsid w:val="0070724C"/>
    <w:rsid w:val="007072A2"/>
    <w:rsid w:val="00707461"/>
    <w:rsid w:val="007075CD"/>
    <w:rsid w:val="007076C4"/>
    <w:rsid w:val="00707869"/>
    <w:rsid w:val="00707C18"/>
    <w:rsid w:val="00707C6F"/>
    <w:rsid w:val="00707C74"/>
    <w:rsid w:val="00710079"/>
    <w:rsid w:val="007100FE"/>
    <w:rsid w:val="0071030F"/>
    <w:rsid w:val="007103A9"/>
    <w:rsid w:val="007104D9"/>
    <w:rsid w:val="0071051D"/>
    <w:rsid w:val="0071066C"/>
    <w:rsid w:val="007106D7"/>
    <w:rsid w:val="00710728"/>
    <w:rsid w:val="0071072D"/>
    <w:rsid w:val="0071084E"/>
    <w:rsid w:val="00710953"/>
    <w:rsid w:val="00710986"/>
    <w:rsid w:val="00710990"/>
    <w:rsid w:val="00710995"/>
    <w:rsid w:val="00710AD6"/>
    <w:rsid w:val="00710F4C"/>
    <w:rsid w:val="0071107F"/>
    <w:rsid w:val="0071110B"/>
    <w:rsid w:val="007111D6"/>
    <w:rsid w:val="0071127B"/>
    <w:rsid w:val="0071167B"/>
    <w:rsid w:val="007116D0"/>
    <w:rsid w:val="007117D6"/>
    <w:rsid w:val="0071189F"/>
    <w:rsid w:val="007118FF"/>
    <w:rsid w:val="00711AC1"/>
    <w:rsid w:val="00711B86"/>
    <w:rsid w:val="00711E79"/>
    <w:rsid w:val="00711F96"/>
    <w:rsid w:val="007120C3"/>
    <w:rsid w:val="0071210D"/>
    <w:rsid w:val="007122A4"/>
    <w:rsid w:val="00712326"/>
    <w:rsid w:val="007123F1"/>
    <w:rsid w:val="007124A2"/>
    <w:rsid w:val="007125FA"/>
    <w:rsid w:val="0071263B"/>
    <w:rsid w:val="007126D0"/>
    <w:rsid w:val="00712718"/>
    <w:rsid w:val="00712757"/>
    <w:rsid w:val="00712783"/>
    <w:rsid w:val="0071293F"/>
    <w:rsid w:val="00712A28"/>
    <w:rsid w:val="00712A85"/>
    <w:rsid w:val="00712AB8"/>
    <w:rsid w:val="00712B2F"/>
    <w:rsid w:val="00712C51"/>
    <w:rsid w:val="00712CF9"/>
    <w:rsid w:val="00713039"/>
    <w:rsid w:val="00713091"/>
    <w:rsid w:val="007130DF"/>
    <w:rsid w:val="007131A1"/>
    <w:rsid w:val="007132A7"/>
    <w:rsid w:val="007133AD"/>
    <w:rsid w:val="007135B4"/>
    <w:rsid w:val="007135ED"/>
    <w:rsid w:val="007135EF"/>
    <w:rsid w:val="007136F1"/>
    <w:rsid w:val="0071371F"/>
    <w:rsid w:val="007137FF"/>
    <w:rsid w:val="00713A55"/>
    <w:rsid w:val="00713A64"/>
    <w:rsid w:val="00713AF0"/>
    <w:rsid w:val="00714047"/>
    <w:rsid w:val="007140C3"/>
    <w:rsid w:val="00714266"/>
    <w:rsid w:val="00714269"/>
    <w:rsid w:val="007147BE"/>
    <w:rsid w:val="0071484C"/>
    <w:rsid w:val="00714850"/>
    <w:rsid w:val="0071489D"/>
    <w:rsid w:val="00714974"/>
    <w:rsid w:val="007149B4"/>
    <w:rsid w:val="00714BEF"/>
    <w:rsid w:val="00714C7C"/>
    <w:rsid w:val="00714C86"/>
    <w:rsid w:val="0071501F"/>
    <w:rsid w:val="0071507F"/>
    <w:rsid w:val="007153A6"/>
    <w:rsid w:val="007153AB"/>
    <w:rsid w:val="007155AE"/>
    <w:rsid w:val="007155C1"/>
    <w:rsid w:val="00715986"/>
    <w:rsid w:val="00715A2A"/>
    <w:rsid w:val="00715B29"/>
    <w:rsid w:val="00715B30"/>
    <w:rsid w:val="00715B80"/>
    <w:rsid w:val="00715BF0"/>
    <w:rsid w:val="00715BF1"/>
    <w:rsid w:val="00715CFA"/>
    <w:rsid w:val="00715D0E"/>
    <w:rsid w:val="00715F72"/>
    <w:rsid w:val="00716065"/>
    <w:rsid w:val="007160D9"/>
    <w:rsid w:val="00716184"/>
    <w:rsid w:val="007166F7"/>
    <w:rsid w:val="007167EA"/>
    <w:rsid w:val="0071689F"/>
    <w:rsid w:val="00716987"/>
    <w:rsid w:val="00716AA3"/>
    <w:rsid w:val="00716AD2"/>
    <w:rsid w:val="00716B29"/>
    <w:rsid w:val="00717097"/>
    <w:rsid w:val="00717193"/>
    <w:rsid w:val="00717268"/>
    <w:rsid w:val="007172FA"/>
    <w:rsid w:val="00717342"/>
    <w:rsid w:val="0071743A"/>
    <w:rsid w:val="007174AE"/>
    <w:rsid w:val="007175D2"/>
    <w:rsid w:val="00717670"/>
    <w:rsid w:val="007176CE"/>
    <w:rsid w:val="00717890"/>
    <w:rsid w:val="007178F7"/>
    <w:rsid w:val="007179C4"/>
    <w:rsid w:val="007179D1"/>
    <w:rsid w:val="00717A18"/>
    <w:rsid w:val="00717CE4"/>
    <w:rsid w:val="00717DA8"/>
    <w:rsid w:val="00717DBB"/>
    <w:rsid w:val="00717E16"/>
    <w:rsid w:val="00717F26"/>
    <w:rsid w:val="00717FF4"/>
    <w:rsid w:val="00720038"/>
    <w:rsid w:val="00720289"/>
    <w:rsid w:val="007203CA"/>
    <w:rsid w:val="00720496"/>
    <w:rsid w:val="007204A3"/>
    <w:rsid w:val="00720846"/>
    <w:rsid w:val="007209FD"/>
    <w:rsid w:val="00720B70"/>
    <w:rsid w:val="0072106A"/>
    <w:rsid w:val="0072148A"/>
    <w:rsid w:val="00721648"/>
    <w:rsid w:val="00721B3A"/>
    <w:rsid w:val="00721BC2"/>
    <w:rsid w:val="00721CD2"/>
    <w:rsid w:val="00721CDC"/>
    <w:rsid w:val="00721D53"/>
    <w:rsid w:val="00722048"/>
    <w:rsid w:val="00722050"/>
    <w:rsid w:val="00722132"/>
    <w:rsid w:val="00722279"/>
    <w:rsid w:val="007225C1"/>
    <w:rsid w:val="007225E5"/>
    <w:rsid w:val="007226BA"/>
    <w:rsid w:val="007226F5"/>
    <w:rsid w:val="00722A95"/>
    <w:rsid w:val="00722C7A"/>
    <w:rsid w:val="00722ECC"/>
    <w:rsid w:val="00722F35"/>
    <w:rsid w:val="0072309D"/>
    <w:rsid w:val="00723418"/>
    <w:rsid w:val="00723521"/>
    <w:rsid w:val="0072356A"/>
    <w:rsid w:val="007235AE"/>
    <w:rsid w:val="00723790"/>
    <w:rsid w:val="007238A7"/>
    <w:rsid w:val="00723915"/>
    <w:rsid w:val="00723B2C"/>
    <w:rsid w:val="00723DDD"/>
    <w:rsid w:val="00723E88"/>
    <w:rsid w:val="00723F8D"/>
    <w:rsid w:val="007242D7"/>
    <w:rsid w:val="00724359"/>
    <w:rsid w:val="007243F3"/>
    <w:rsid w:val="0072459C"/>
    <w:rsid w:val="007245D0"/>
    <w:rsid w:val="00724979"/>
    <w:rsid w:val="00724AC6"/>
    <w:rsid w:val="00724ED0"/>
    <w:rsid w:val="00724F1A"/>
    <w:rsid w:val="00724F2B"/>
    <w:rsid w:val="00724F92"/>
    <w:rsid w:val="0072517F"/>
    <w:rsid w:val="007251A2"/>
    <w:rsid w:val="007253D6"/>
    <w:rsid w:val="00725460"/>
    <w:rsid w:val="007254AF"/>
    <w:rsid w:val="0072578A"/>
    <w:rsid w:val="007257A1"/>
    <w:rsid w:val="00725854"/>
    <w:rsid w:val="00725978"/>
    <w:rsid w:val="0072597A"/>
    <w:rsid w:val="00725B92"/>
    <w:rsid w:val="00725CAD"/>
    <w:rsid w:val="00725D31"/>
    <w:rsid w:val="00725D97"/>
    <w:rsid w:val="0072601E"/>
    <w:rsid w:val="007261F4"/>
    <w:rsid w:val="0072631F"/>
    <w:rsid w:val="0072634D"/>
    <w:rsid w:val="007263F5"/>
    <w:rsid w:val="007264D8"/>
    <w:rsid w:val="00726523"/>
    <w:rsid w:val="00726541"/>
    <w:rsid w:val="00726572"/>
    <w:rsid w:val="0072661A"/>
    <w:rsid w:val="00726720"/>
    <w:rsid w:val="007267BE"/>
    <w:rsid w:val="0072682C"/>
    <w:rsid w:val="00726BBF"/>
    <w:rsid w:val="00726BCF"/>
    <w:rsid w:val="00726CC7"/>
    <w:rsid w:val="00726D0D"/>
    <w:rsid w:val="00726E7E"/>
    <w:rsid w:val="00726EF7"/>
    <w:rsid w:val="00726F01"/>
    <w:rsid w:val="0072708D"/>
    <w:rsid w:val="00727342"/>
    <w:rsid w:val="00727570"/>
    <w:rsid w:val="0072759F"/>
    <w:rsid w:val="00727606"/>
    <w:rsid w:val="007276E6"/>
    <w:rsid w:val="00727787"/>
    <w:rsid w:val="007278E1"/>
    <w:rsid w:val="0072796B"/>
    <w:rsid w:val="00727B45"/>
    <w:rsid w:val="00727B9E"/>
    <w:rsid w:val="00727DB7"/>
    <w:rsid w:val="00727E13"/>
    <w:rsid w:val="007300E2"/>
    <w:rsid w:val="0073020E"/>
    <w:rsid w:val="00730652"/>
    <w:rsid w:val="007306D0"/>
    <w:rsid w:val="007307D7"/>
    <w:rsid w:val="00730868"/>
    <w:rsid w:val="007308D1"/>
    <w:rsid w:val="007308E0"/>
    <w:rsid w:val="00730920"/>
    <w:rsid w:val="00730C18"/>
    <w:rsid w:val="00730C70"/>
    <w:rsid w:val="00730DD1"/>
    <w:rsid w:val="00730E29"/>
    <w:rsid w:val="00730E35"/>
    <w:rsid w:val="00730EE3"/>
    <w:rsid w:val="00730F43"/>
    <w:rsid w:val="007310E9"/>
    <w:rsid w:val="007311BE"/>
    <w:rsid w:val="00731471"/>
    <w:rsid w:val="007314A0"/>
    <w:rsid w:val="007314A8"/>
    <w:rsid w:val="00731CF8"/>
    <w:rsid w:val="00731DCC"/>
    <w:rsid w:val="00731F2E"/>
    <w:rsid w:val="00731F39"/>
    <w:rsid w:val="00731F58"/>
    <w:rsid w:val="0073211A"/>
    <w:rsid w:val="00732148"/>
    <w:rsid w:val="00732463"/>
    <w:rsid w:val="00732586"/>
    <w:rsid w:val="007326D6"/>
    <w:rsid w:val="00732897"/>
    <w:rsid w:val="007329D9"/>
    <w:rsid w:val="00732A56"/>
    <w:rsid w:val="00732B94"/>
    <w:rsid w:val="00732D5F"/>
    <w:rsid w:val="00732D60"/>
    <w:rsid w:val="00732DAB"/>
    <w:rsid w:val="00732DC2"/>
    <w:rsid w:val="00732F43"/>
    <w:rsid w:val="00733249"/>
    <w:rsid w:val="007333EA"/>
    <w:rsid w:val="007333F3"/>
    <w:rsid w:val="00733457"/>
    <w:rsid w:val="00733549"/>
    <w:rsid w:val="007335B8"/>
    <w:rsid w:val="0073369C"/>
    <w:rsid w:val="007337AB"/>
    <w:rsid w:val="00733851"/>
    <w:rsid w:val="00733926"/>
    <w:rsid w:val="00733A7D"/>
    <w:rsid w:val="00733D33"/>
    <w:rsid w:val="007344FD"/>
    <w:rsid w:val="00734518"/>
    <w:rsid w:val="00734590"/>
    <w:rsid w:val="00734C61"/>
    <w:rsid w:val="00734D83"/>
    <w:rsid w:val="00734F58"/>
    <w:rsid w:val="00734F6D"/>
    <w:rsid w:val="00735441"/>
    <w:rsid w:val="00735456"/>
    <w:rsid w:val="007356C1"/>
    <w:rsid w:val="007356F6"/>
    <w:rsid w:val="007358A2"/>
    <w:rsid w:val="007359E2"/>
    <w:rsid w:val="00735A20"/>
    <w:rsid w:val="00735BBC"/>
    <w:rsid w:val="00735C3E"/>
    <w:rsid w:val="00735C9D"/>
    <w:rsid w:val="00735DB5"/>
    <w:rsid w:val="00735E2E"/>
    <w:rsid w:val="00735F0E"/>
    <w:rsid w:val="00735FD7"/>
    <w:rsid w:val="007361FA"/>
    <w:rsid w:val="007362BB"/>
    <w:rsid w:val="007362C6"/>
    <w:rsid w:val="00736305"/>
    <w:rsid w:val="0073650F"/>
    <w:rsid w:val="007365A2"/>
    <w:rsid w:val="00736637"/>
    <w:rsid w:val="00736697"/>
    <w:rsid w:val="007366C4"/>
    <w:rsid w:val="00736757"/>
    <w:rsid w:val="00736801"/>
    <w:rsid w:val="00736864"/>
    <w:rsid w:val="00736A25"/>
    <w:rsid w:val="00736A98"/>
    <w:rsid w:val="00736B70"/>
    <w:rsid w:val="00736BDB"/>
    <w:rsid w:val="00736D5B"/>
    <w:rsid w:val="00736D7B"/>
    <w:rsid w:val="00736F54"/>
    <w:rsid w:val="00737314"/>
    <w:rsid w:val="00737401"/>
    <w:rsid w:val="007377F5"/>
    <w:rsid w:val="00737811"/>
    <w:rsid w:val="0073792C"/>
    <w:rsid w:val="0073793E"/>
    <w:rsid w:val="007379DC"/>
    <w:rsid w:val="00737B01"/>
    <w:rsid w:val="00737B54"/>
    <w:rsid w:val="00737C0F"/>
    <w:rsid w:val="00737C41"/>
    <w:rsid w:val="00737D39"/>
    <w:rsid w:val="00737D41"/>
    <w:rsid w:val="00737F58"/>
    <w:rsid w:val="00737F7D"/>
    <w:rsid w:val="00740009"/>
    <w:rsid w:val="0074014E"/>
    <w:rsid w:val="0074019D"/>
    <w:rsid w:val="00740317"/>
    <w:rsid w:val="00740337"/>
    <w:rsid w:val="007403D7"/>
    <w:rsid w:val="00740400"/>
    <w:rsid w:val="007404CD"/>
    <w:rsid w:val="007404D1"/>
    <w:rsid w:val="0074087D"/>
    <w:rsid w:val="007408ED"/>
    <w:rsid w:val="00740B3B"/>
    <w:rsid w:val="00740BAF"/>
    <w:rsid w:val="00740C09"/>
    <w:rsid w:val="00740C2E"/>
    <w:rsid w:val="00740ED4"/>
    <w:rsid w:val="00740F04"/>
    <w:rsid w:val="00740FD4"/>
    <w:rsid w:val="00741019"/>
    <w:rsid w:val="00741302"/>
    <w:rsid w:val="0074131B"/>
    <w:rsid w:val="0074141B"/>
    <w:rsid w:val="00741479"/>
    <w:rsid w:val="0074149A"/>
    <w:rsid w:val="007414CD"/>
    <w:rsid w:val="00741B96"/>
    <w:rsid w:val="00741CCE"/>
    <w:rsid w:val="00741D08"/>
    <w:rsid w:val="00741D5A"/>
    <w:rsid w:val="00741E19"/>
    <w:rsid w:val="00741EC9"/>
    <w:rsid w:val="007420B9"/>
    <w:rsid w:val="007420F5"/>
    <w:rsid w:val="007420FE"/>
    <w:rsid w:val="007421EC"/>
    <w:rsid w:val="00742216"/>
    <w:rsid w:val="0074257A"/>
    <w:rsid w:val="007426E0"/>
    <w:rsid w:val="007426F2"/>
    <w:rsid w:val="007428B2"/>
    <w:rsid w:val="00742B8A"/>
    <w:rsid w:val="00742BA2"/>
    <w:rsid w:val="00742C01"/>
    <w:rsid w:val="00742C61"/>
    <w:rsid w:val="00742E01"/>
    <w:rsid w:val="00742EA4"/>
    <w:rsid w:val="00742EBA"/>
    <w:rsid w:val="00742ED7"/>
    <w:rsid w:val="00742F6F"/>
    <w:rsid w:val="00742FC1"/>
    <w:rsid w:val="007432DC"/>
    <w:rsid w:val="00743413"/>
    <w:rsid w:val="00743468"/>
    <w:rsid w:val="007435DB"/>
    <w:rsid w:val="0074368D"/>
    <w:rsid w:val="007436F7"/>
    <w:rsid w:val="0074374F"/>
    <w:rsid w:val="00743845"/>
    <w:rsid w:val="0074385E"/>
    <w:rsid w:val="0074397F"/>
    <w:rsid w:val="00743A74"/>
    <w:rsid w:val="00743C06"/>
    <w:rsid w:val="00743DF2"/>
    <w:rsid w:val="00743E73"/>
    <w:rsid w:val="007440C1"/>
    <w:rsid w:val="00744287"/>
    <w:rsid w:val="00744656"/>
    <w:rsid w:val="00744784"/>
    <w:rsid w:val="007447E5"/>
    <w:rsid w:val="00744845"/>
    <w:rsid w:val="00744A4C"/>
    <w:rsid w:val="00744AAC"/>
    <w:rsid w:val="00744BC9"/>
    <w:rsid w:val="00744C32"/>
    <w:rsid w:val="00744C66"/>
    <w:rsid w:val="00744EAA"/>
    <w:rsid w:val="00744EAB"/>
    <w:rsid w:val="00745298"/>
    <w:rsid w:val="0074536A"/>
    <w:rsid w:val="00745574"/>
    <w:rsid w:val="007456E5"/>
    <w:rsid w:val="0074578D"/>
    <w:rsid w:val="0074580E"/>
    <w:rsid w:val="00745847"/>
    <w:rsid w:val="007458B6"/>
    <w:rsid w:val="007458E4"/>
    <w:rsid w:val="00745911"/>
    <w:rsid w:val="007459BD"/>
    <w:rsid w:val="007459EA"/>
    <w:rsid w:val="00745B45"/>
    <w:rsid w:val="00745B8D"/>
    <w:rsid w:val="00746053"/>
    <w:rsid w:val="00746338"/>
    <w:rsid w:val="0074642A"/>
    <w:rsid w:val="0074645B"/>
    <w:rsid w:val="007464BB"/>
    <w:rsid w:val="007465F1"/>
    <w:rsid w:val="00746711"/>
    <w:rsid w:val="00746736"/>
    <w:rsid w:val="007468ED"/>
    <w:rsid w:val="007469C7"/>
    <w:rsid w:val="00746AAC"/>
    <w:rsid w:val="00746B18"/>
    <w:rsid w:val="00746B8E"/>
    <w:rsid w:val="00746CF4"/>
    <w:rsid w:val="00746D34"/>
    <w:rsid w:val="00746EB9"/>
    <w:rsid w:val="007470F1"/>
    <w:rsid w:val="00747217"/>
    <w:rsid w:val="00747254"/>
    <w:rsid w:val="00747308"/>
    <w:rsid w:val="0074733C"/>
    <w:rsid w:val="007473C8"/>
    <w:rsid w:val="00747406"/>
    <w:rsid w:val="00747434"/>
    <w:rsid w:val="007474FE"/>
    <w:rsid w:val="00747546"/>
    <w:rsid w:val="007475AE"/>
    <w:rsid w:val="0074785D"/>
    <w:rsid w:val="0074788B"/>
    <w:rsid w:val="00747B6D"/>
    <w:rsid w:val="00747BBC"/>
    <w:rsid w:val="00747BD6"/>
    <w:rsid w:val="00747CBB"/>
    <w:rsid w:val="00747F5A"/>
    <w:rsid w:val="007501AD"/>
    <w:rsid w:val="00750319"/>
    <w:rsid w:val="0075032A"/>
    <w:rsid w:val="007504EA"/>
    <w:rsid w:val="00750542"/>
    <w:rsid w:val="007506D9"/>
    <w:rsid w:val="0075076A"/>
    <w:rsid w:val="007509F0"/>
    <w:rsid w:val="00750B6E"/>
    <w:rsid w:val="00750C9D"/>
    <w:rsid w:val="00750CD9"/>
    <w:rsid w:val="00750CDF"/>
    <w:rsid w:val="00750DBE"/>
    <w:rsid w:val="00750ED0"/>
    <w:rsid w:val="00751142"/>
    <w:rsid w:val="0075116C"/>
    <w:rsid w:val="007512A8"/>
    <w:rsid w:val="007512E2"/>
    <w:rsid w:val="0075137C"/>
    <w:rsid w:val="007513A1"/>
    <w:rsid w:val="00751551"/>
    <w:rsid w:val="00751A21"/>
    <w:rsid w:val="00751A25"/>
    <w:rsid w:val="00751A8D"/>
    <w:rsid w:val="00751BEC"/>
    <w:rsid w:val="00751CB7"/>
    <w:rsid w:val="00752157"/>
    <w:rsid w:val="00752213"/>
    <w:rsid w:val="007524BC"/>
    <w:rsid w:val="0075263C"/>
    <w:rsid w:val="00752802"/>
    <w:rsid w:val="00752C09"/>
    <w:rsid w:val="00752D84"/>
    <w:rsid w:val="00752F7D"/>
    <w:rsid w:val="00753044"/>
    <w:rsid w:val="00753059"/>
    <w:rsid w:val="00753132"/>
    <w:rsid w:val="007533AF"/>
    <w:rsid w:val="007533B9"/>
    <w:rsid w:val="0075340C"/>
    <w:rsid w:val="007534EA"/>
    <w:rsid w:val="007537D4"/>
    <w:rsid w:val="00753826"/>
    <w:rsid w:val="0075386D"/>
    <w:rsid w:val="0075389E"/>
    <w:rsid w:val="0075389F"/>
    <w:rsid w:val="007538D4"/>
    <w:rsid w:val="0075397C"/>
    <w:rsid w:val="007539EF"/>
    <w:rsid w:val="00753B44"/>
    <w:rsid w:val="00753DA1"/>
    <w:rsid w:val="00753E91"/>
    <w:rsid w:val="00753EBF"/>
    <w:rsid w:val="00753FBC"/>
    <w:rsid w:val="00753FD0"/>
    <w:rsid w:val="0075418A"/>
    <w:rsid w:val="0075424F"/>
    <w:rsid w:val="00754478"/>
    <w:rsid w:val="00754490"/>
    <w:rsid w:val="00754566"/>
    <w:rsid w:val="0075460F"/>
    <w:rsid w:val="007547D8"/>
    <w:rsid w:val="0075490E"/>
    <w:rsid w:val="0075493C"/>
    <w:rsid w:val="00754C75"/>
    <w:rsid w:val="00754E91"/>
    <w:rsid w:val="00754FCB"/>
    <w:rsid w:val="00754FE4"/>
    <w:rsid w:val="007550FC"/>
    <w:rsid w:val="007551EC"/>
    <w:rsid w:val="007552E0"/>
    <w:rsid w:val="0075536A"/>
    <w:rsid w:val="007553DD"/>
    <w:rsid w:val="007554DC"/>
    <w:rsid w:val="007554FE"/>
    <w:rsid w:val="0075573C"/>
    <w:rsid w:val="0075583D"/>
    <w:rsid w:val="00755AA6"/>
    <w:rsid w:val="00755BCF"/>
    <w:rsid w:val="00755EA1"/>
    <w:rsid w:val="00756134"/>
    <w:rsid w:val="007562FE"/>
    <w:rsid w:val="0075660C"/>
    <w:rsid w:val="0075670F"/>
    <w:rsid w:val="0075688B"/>
    <w:rsid w:val="007568B5"/>
    <w:rsid w:val="007569C5"/>
    <w:rsid w:val="00756AEA"/>
    <w:rsid w:val="00756B39"/>
    <w:rsid w:val="00756B94"/>
    <w:rsid w:val="00756C01"/>
    <w:rsid w:val="00756D9D"/>
    <w:rsid w:val="00756E08"/>
    <w:rsid w:val="00756E0C"/>
    <w:rsid w:val="00757047"/>
    <w:rsid w:val="00757092"/>
    <w:rsid w:val="00757134"/>
    <w:rsid w:val="00757171"/>
    <w:rsid w:val="007571DF"/>
    <w:rsid w:val="0075756F"/>
    <w:rsid w:val="007575A9"/>
    <w:rsid w:val="0075762D"/>
    <w:rsid w:val="007576D1"/>
    <w:rsid w:val="007576ED"/>
    <w:rsid w:val="00757723"/>
    <w:rsid w:val="0075773D"/>
    <w:rsid w:val="0075776C"/>
    <w:rsid w:val="007577CA"/>
    <w:rsid w:val="00757A8B"/>
    <w:rsid w:val="00757AF7"/>
    <w:rsid w:val="00757BDA"/>
    <w:rsid w:val="00757BF1"/>
    <w:rsid w:val="00757C2A"/>
    <w:rsid w:val="00757DBF"/>
    <w:rsid w:val="00757E04"/>
    <w:rsid w:val="0076007C"/>
    <w:rsid w:val="0076014A"/>
    <w:rsid w:val="00760353"/>
    <w:rsid w:val="007603BF"/>
    <w:rsid w:val="00760561"/>
    <w:rsid w:val="00760897"/>
    <w:rsid w:val="00760901"/>
    <w:rsid w:val="007609FC"/>
    <w:rsid w:val="00760A75"/>
    <w:rsid w:val="00760C04"/>
    <w:rsid w:val="00760DB6"/>
    <w:rsid w:val="00760E22"/>
    <w:rsid w:val="00760EA4"/>
    <w:rsid w:val="00760F16"/>
    <w:rsid w:val="0076114E"/>
    <w:rsid w:val="0076121D"/>
    <w:rsid w:val="007612D3"/>
    <w:rsid w:val="007612D8"/>
    <w:rsid w:val="007613A9"/>
    <w:rsid w:val="0076145C"/>
    <w:rsid w:val="007616BE"/>
    <w:rsid w:val="00761810"/>
    <w:rsid w:val="00761816"/>
    <w:rsid w:val="00761C54"/>
    <w:rsid w:val="00761CAA"/>
    <w:rsid w:val="00761E42"/>
    <w:rsid w:val="00761FD3"/>
    <w:rsid w:val="00761FED"/>
    <w:rsid w:val="0076246F"/>
    <w:rsid w:val="00762547"/>
    <w:rsid w:val="0076260D"/>
    <w:rsid w:val="0076293B"/>
    <w:rsid w:val="00762A6D"/>
    <w:rsid w:val="00762A86"/>
    <w:rsid w:val="00762B16"/>
    <w:rsid w:val="00762BF8"/>
    <w:rsid w:val="00762F66"/>
    <w:rsid w:val="007631DD"/>
    <w:rsid w:val="007633FF"/>
    <w:rsid w:val="007635A4"/>
    <w:rsid w:val="007636B0"/>
    <w:rsid w:val="007638ED"/>
    <w:rsid w:val="00763961"/>
    <w:rsid w:val="00763B77"/>
    <w:rsid w:val="00763E51"/>
    <w:rsid w:val="0076437E"/>
    <w:rsid w:val="007644CD"/>
    <w:rsid w:val="00764965"/>
    <w:rsid w:val="00764B42"/>
    <w:rsid w:val="00764C16"/>
    <w:rsid w:val="00764C22"/>
    <w:rsid w:val="00764D60"/>
    <w:rsid w:val="00764D80"/>
    <w:rsid w:val="00764F29"/>
    <w:rsid w:val="00764F58"/>
    <w:rsid w:val="00764FB5"/>
    <w:rsid w:val="00765179"/>
    <w:rsid w:val="007651F2"/>
    <w:rsid w:val="00765239"/>
    <w:rsid w:val="0076540F"/>
    <w:rsid w:val="00765445"/>
    <w:rsid w:val="0076559A"/>
    <w:rsid w:val="007658A2"/>
    <w:rsid w:val="00765ED9"/>
    <w:rsid w:val="0076612A"/>
    <w:rsid w:val="007661FA"/>
    <w:rsid w:val="00766242"/>
    <w:rsid w:val="007663A9"/>
    <w:rsid w:val="0076666B"/>
    <w:rsid w:val="0076667B"/>
    <w:rsid w:val="00766734"/>
    <w:rsid w:val="007667AE"/>
    <w:rsid w:val="007668BC"/>
    <w:rsid w:val="00766936"/>
    <w:rsid w:val="00766C68"/>
    <w:rsid w:val="00766C79"/>
    <w:rsid w:val="00766ECB"/>
    <w:rsid w:val="0076702C"/>
    <w:rsid w:val="00767478"/>
    <w:rsid w:val="007674D2"/>
    <w:rsid w:val="00767591"/>
    <w:rsid w:val="007675B2"/>
    <w:rsid w:val="00767665"/>
    <w:rsid w:val="0076799B"/>
    <w:rsid w:val="00767BBD"/>
    <w:rsid w:val="00767BC4"/>
    <w:rsid w:val="00767E66"/>
    <w:rsid w:val="00767F6C"/>
    <w:rsid w:val="00767FFD"/>
    <w:rsid w:val="007700CC"/>
    <w:rsid w:val="007701D2"/>
    <w:rsid w:val="00770296"/>
    <w:rsid w:val="0077046E"/>
    <w:rsid w:val="0077056E"/>
    <w:rsid w:val="007705A2"/>
    <w:rsid w:val="007705D3"/>
    <w:rsid w:val="00770603"/>
    <w:rsid w:val="00770667"/>
    <w:rsid w:val="0077082A"/>
    <w:rsid w:val="00770A0A"/>
    <w:rsid w:val="00770D11"/>
    <w:rsid w:val="00770EC9"/>
    <w:rsid w:val="00770FA4"/>
    <w:rsid w:val="00770FC3"/>
    <w:rsid w:val="007710B3"/>
    <w:rsid w:val="00771107"/>
    <w:rsid w:val="0077111C"/>
    <w:rsid w:val="00771137"/>
    <w:rsid w:val="007711B3"/>
    <w:rsid w:val="007712EE"/>
    <w:rsid w:val="007713E2"/>
    <w:rsid w:val="00771405"/>
    <w:rsid w:val="0077150C"/>
    <w:rsid w:val="00771513"/>
    <w:rsid w:val="007718D2"/>
    <w:rsid w:val="00771930"/>
    <w:rsid w:val="0077196C"/>
    <w:rsid w:val="00771A72"/>
    <w:rsid w:val="00771AFE"/>
    <w:rsid w:val="00771B5F"/>
    <w:rsid w:val="00771B96"/>
    <w:rsid w:val="00771C79"/>
    <w:rsid w:val="00771CE4"/>
    <w:rsid w:val="00771CF7"/>
    <w:rsid w:val="00771D3D"/>
    <w:rsid w:val="00771DA7"/>
    <w:rsid w:val="00772026"/>
    <w:rsid w:val="007721B7"/>
    <w:rsid w:val="0077221C"/>
    <w:rsid w:val="007722E7"/>
    <w:rsid w:val="007723B5"/>
    <w:rsid w:val="007724E7"/>
    <w:rsid w:val="007724FE"/>
    <w:rsid w:val="007726AD"/>
    <w:rsid w:val="007727F9"/>
    <w:rsid w:val="00772829"/>
    <w:rsid w:val="0077288B"/>
    <w:rsid w:val="00772952"/>
    <w:rsid w:val="00772CF6"/>
    <w:rsid w:val="00772D92"/>
    <w:rsid w:val="00772E91"/>
    <w:rsid w:val="007730BA"/>
    <w:rsid w:val="007731C4"/>
    <w:rsid w:val="00773214"/>
    <w:rsid w:val="007733AC"/>
    <w:rsid w:val="0077356E"/>
    <w:rsid w:val="00773570"/>
    <w:rsid w:val="0077389B"/>
    <w:rsid w:val="00773AB8"/>
    <w:rsid w:val="00773B52"/>
    <w:rsid w:val="00773C4F"/>
    <w:rsid w:val="00773EAA"/>
    <w:rsid w:val="00773F5B"/>
    <w:rsid w:val="00774084"/>
    <w:rsid w:val="00774095"/>
    <w:rsid w:val="007741CA"/>
    <w:rsid w:val="0077442E"/>
    <w:rsid w:val="0077450D"/>
    <w:rsid w:val="0077459B"/>
    <w:rsid w:val="00774678"/>
    <w:rsid w:val="0077467F"/>
    <w:rsid w:val="00774992"/>
    <w:rsid w:val="00774BD2"/>
    <w:rsid w:val="00774CC3"/>
    <w:rsid w:val="00774F6F"/>
    <w:rsid w:val="00774FBF"/>
    <w:rsid w:val="00775058"/>
    <w:rsid w:val="007752E4"/>
    <w:rsid w:val="0077534E"/>
    <w:rsid w:val="00775422"/>
    <w:rsid w:val="00775790"/>
    <w:rsid w:val="0077586C"/>
    <w:rsid w:val="00775A62"/>
    <w:rsid w:val="00775B37"/>
    <w:rsid w:val="00775CB5"/>
    <w:rsid w:val="00775D61"/>
    <w:rsid w:val="00775E48"/>
    <w:rsid w:val="00775EBC"/>
    <w:rsid w:val="0077621B"/>
    <w:rsid w:val="007762D3"/>
    <w:rsid w:val="0077631A"/>
    <w:rsid w:val="007765B7"/>
    <w:rsid w:val="007767F3"/>
    <w:rsid w:val="0077681D"/>
    <w:rsid w:val="00776934"/>
    <w:rsid w:val="00776955"/>
    <w:rsid w:val="00776A31"/>
    <w:rsid w:val="00776A9B"/>
    <w:rsid w:val="00776ABD"/>
    <w:rsid w:val="00776BCE"/>
    <w:rsid w:val="00776C4F"/>
    <w:rsid w:val="00776ECF"/>
    <w:rsid w:val="00776ED2"/>
    <w:rsid w:val="007770EC"/>
    <w:rsid w:val="007771B4"/>
    <w:rsid w:val="00777215"/>
    <w:rsid w:val="00777223"/>
    <w:rsid w:val="007773F6"/>
    <w:rsid w:val="0077744E"/>
    <w:rsid w:val="00777840"/>
    <w:rsid w:val="00777848"/>
    <w:rsid w:val="00777893"/>
    <w:rsid w:val="00777B05"/>
    <w:rsid w:val="00777CC7"/>
    <w:rsid w:val="00777DEF"/>
    <w:rsid w:val="007800A1"/>
    <w:rsid w:val="007800FA"/>
    <w:rsid w:val="00780471"/>
    <w:rsid w:val="00780906"/>
    <w:rsid w:val="00780927"/>
    <w:rsid w:val="00780A9E"/>
    <w:rsid w:val="00780C56"/>
    <w:rsid w:val="00780CB3"/>
    <w:rsid w:val="00780D1E"/>
    <w:rsid w:val="00780D61"/>
    <w:rsid w:val="00780E2E"/>
    <w:rsid w:val="00780E89"/>
    <w:rsid w:val="00780EB0"/>
    <w:rsid w:val="0078122E"/>
    <w:rsid w:val="00781346"/>
    <w:rsid w:val="007813D5"/>
    <w:rsid w:val="007815F5"/>
    <w:rsid w:val="00781646"/>
    <w:rsid w:val="00781828"/>
    <w:rsid w:val="00781A36"/>
    <w:rsid w:val="00781CD2"/>
    <w:rsid w:val="00781E95"/>
    <w:rsid w:val="00781EAB"/>
    <w:rsid w:val="00781EB4"/>
    <w:rsid w:val="0078220A"/>
    <w:rsid w:val="00782363"/>
    <w:rsid w:val="007824AC"/>
    <w:rsid w:val="00782765"/>
    <w:rsid w:val="00782828"/>
    <w:rsid w:val="0078288E"/>
    <w:rsid w:val="00782B4C"/>
    <w:rsid w:val="00782C10"/>
    <w:rsid w:val="00782D1D"/>
    <w:rsid w:val="00782E9B"/>
    <w:rsid w:val="007831B0"/>
    <w:rsid w:val="00783361"/>
    <w:rsid w:val="00783438"/>
    <w:rsid w:val="007838F2"/>
    <w:rsid w:val="00783A20"/>
    <w:rsid w:val="00783A5A"/>
    <w:rsid w:val="00783A60"/>
    <w:rsid w:val="00783BE1"/>
    <w:rsid w:val="00783CCA"/>
    <w:rsid w:val="00783D7E"/>
    <w:rsid w:val="00783E54"/>
    <w:rsid w:val="00783EBF"/>
    <w:rsid w:val="00783FCF"/>
    <w:rsid w:val="00784008"/>
    <w:rsid w:val="00784091"/>
    <w:rsid w:val="00784177"/>
    <w:rsid w:val="00784318"/>
    <w:rsid w:val="0078456A"/>
    <w:rsid w:val="00784783"/>
    <w:rsid w:val="007847E3"/>
    <w:rsid w:val="00784964"/>
    <w:rsid w:val="00784BBC"/>
    <w:rsid w:val="00784BD0"/>
    <w:rsid w:val="00784D68"/>
    <w:rsid w:val="00784D9D"/>
    <w:rsid w:val="00784DA4"/>
    <w:rsid w:val="00784E13"/>
    <w:rsid w:val="00784FC2"/>
    <w:rsid w:val="00785005"/>
    <w:rsid w:val="00785032"/>
    <w:rsid w:val="0078504F"/>
    <w:rsid w:val="007852E9"/>
    <w:rsid w:val="0078550F"/>
    <w:rsid w:val="0078556D"/>
    <w:rsid w:val="0078564E"/>
    <w:rsid w:val="007859DA"/>
    <w:rsid w:val="00785BA1"/>
    <w:rsid w:val="00785D10"/>
    <w:rsid w:val="00785DF9"/>
    <w:rsid w:val="00785EF6"/>
    <w:rsid w:val="00785F34"/>
    <w:rsid w:val="00785F3A"/>
    <w:rsid w:val="007861A7"/>
    <w:rsid w:val="007865DE"/>
    <w:rsid w:val="00786780"/>
    <w:rsid w:val="00786A40"/>
    <w:rsid w:val="00786AD1"/>
    <w:rsid w:val="00786D8A"/>
    <w:rsid w:val="00786E69"/>
    <w:rsid w:val="00786EED"/>
    <w:rsid w:val="007874AE"/>
    <w:rsid w:val="00787693"/>
    <w:rsid w:val="007876D7"/>
    <w:rsid w:val="007876F5"/>
    <w:rsid w:val="0078776D"/>
    <w:rsid w:val="00787831"/>
    <w:rsid w:val="007878A7"/>
    <w:rsid w:val="00787AA0"/>
    <w:rsid w:val="00787B1E"/>
    <w:rsid w:val="00787B28"/>
    <w:rsid w:val="00787B53"/>
    <w:rsid w:val="00787B67"/>
    <w:rsid w:val="00787B7D"/>
    <w:rsid w:val="00787CB4"/>
    <w:rsid w:val="00787D07"/>
    <w:rsid w:val="00787DB6"/>
    <w:rsid w:val="00787DC3"/>
    <w:rsid w:val="00787E55"/>
    <w:rsid w:val="007900B3"/>
    <w:rsid w:val="007902AF"/>
    <w:rsid w:val="007902F1"/>
    <w:rsid w:val="0079036F"/>
    <w:rsid w:val="007903B0"/>
    <w:rsid w:val="007905D9"/>
    <w:rsid w:val="007905E3"/>
    <w:rsid w:val="0079068B"/>
    <w:rsid w:val="0079070D"/>
    <w:rsid w:val="007907C7"/>
    <w:rsid w:val="007907D0"/>
    <w:rsid w:val="00790856"/>
    <w:rsid w:val="00790B15"/>
    <w:rsid w:val="00790BA1"/>
    <w:rsid w:val="00790BA4"/>
    <w:rsid w:val="00790C25"/>
    <w:rsid w:val="00790CDE"/>
    <w:rsid w:val="00790F49"/>
    <w:rsid w:val="00790FA8"/>
    <w:rsid w:val="00791230"/>
    <w:rsid w:val="00791251"/>
    <w:rsid w:val="0079129E"/>
    <w:rsid w:val="007914C8"/>
    <w:rsid w:val="007915D3"/>
    <w:rsid w:val="007916C2"/>
    <w:rsid w:val="007916D5"/>
    <w:rsid w:val="007916E4"/>
    <w:rsid w:val="00791838"/>
    <w:rsid w:val="007919B3"/>
    <w:rsid w:val="00791BCA"/>
    <w:rsid w:val="00791EC5"/>
    <w:rsid w:val="00791F8F"/>
    <w:rsid w:val="00792163"/>
    <w:rsid w:val="00792569"/>
    <w:rsid w:val="007928E7"/>
    <w:rsid w:val="00792959"/>
    <w:rsid w:val="00792983"/>
    <w:rsid w:val="007929C5"/>
    <w:rsid w:val="00792C8E"/>
    <w:rsid w:val="00792F05"/>
    <w:rsid w:val="00792F37"/>
    <w:rsid w:val="00793059"/>
    <w:rsid w:val="00793199"/>
    <w:rsid w:val="007931CB"/>
    <w:rsid w:val="007932A5"/>
    <w:rsid w:val="00793317"/>
    <w:rsid w:val="00793536"/>
    <w:rsid w:val="00793562"/>
    <w:rsid w:val="00793699"/>
    <w:rsid w:val="00793834"/>
    <w:rsid w:val="00793848"/>
    <w:rsid w:val="00793903"/>
    <w:rsid w:val="00793E1D"/>
    <w:rsid w:val="00793E2C"/>
    <w:rsid w:val="00793E5F"/>
    <w:rsid w:val="00793FF9"/>
    <w:rsid w:val="0079410A"/>
    <w:rsid w:val="0079412D"/>
    <w:rsid w:val="0079432C"/>
    <w:rsid w:val="0079432F"/>
    <w:rsid w:val="00794378"/>
    <w:rsid w:val="007943DE"/>
    <w:rsid w:val="00794637"/>
    <w:rsid w:val="007946A2"/>
    <w:rsid w:val="00794896"/>
    <w:rsid w:val="00794B74"/>
    <w:rsid w:val="00794BD6"/>
    <w:rsid w:val="00794CD5"/>
    <w:rsid w:val="00794E06"/>
    <w:rsid w:val="00794E38"/>
    <w:rsid w:val="00794E4A"/>
    <w:rsid w:val="00795019"/>
    <w:rsid w:val="007951BD"/>
    <w:rsid w:val="007951D4"/>
    <w:rsid w:val="007952BA"/>
    <w:rsid w:val="007952C3"/>
    <w:rsid w:val="00795461"/>
    <w:rsid w:val="00795496"/>
    <w:rsid w:val="007955A9"/>
    <w:rsid w:val="007955AE"/>
    <w:rsid w:val="007955F1"/>
    <w:rsid w:val="00795800"/>
    <w:rsid w:val="0079588C"/>
    <w:rsid w:val="00795CFB"/>
    <w:rsid w:val="00795D78"/>
    <w:rsid w:val="00795E3E"/>
    <w:rsid w:val="00795F31"/>
    <w:rsid w:val="00796304"/>
    <w:rsid w:val="0079630D"/>
    <w:rsid w:val="007964E9"/>
    <w:rsid w:val="007965CC"/>
    <w:rsid w:val="0079672B"/>
    <w:rsid w:val="007967B7"/>
    <w:rsid w:val="0079683B"/>
    <w:rsid w:val="007968B7"/>
    <w:rsid w:val="00796BF2"/>
    <w:rsid w:val="00796E32"/>
    <w:rsid w:val="007970F6"/>
    <w:rsid w:val="007971E3"/>
    <w:rsid w:val="007972AF"/>
    <w:rsid w:val="007973F8"/>
    <w:rsid w:val="00797402"/>
    <w:rsid w:val="00797430"/>
    <w:rsid w:val="007975B8"/>
    <w:rsid w:val="007976C9"/>
    <w:rsid w:val="00797798"/>
    <w:rsid w:val="00797823"/>
    <w:rsid w:val="00797B68"/>
    <w:rsid w:val="00797C46"/>
    <w:rsid w:val="00797C6C"/>
    <w:rsid w:val="00797D66"/>
    <w:rsid w:val="00797D80"/>
    <w:rsid w:val="007A00C4"/>
    <w:rsid w:val="007A02A9"/>
    <w:rsid w:val="007A032D"/>
    <w:rsid w:val="007A0589"/>
    <w:rsid w:val="007A05FC"/>
    <w:rsid w:val="007A079A"/>
    <w:rsid w:val="007A0A28"/>
    <w:rsid w:val="007A0A30"/>
    <w:rsid w:val="007A0A61"/>
    <w:rsid w:val="007A0AD8"/>
    <w:rsid w:val="007A0B2F"/>
    <w:rsid w:val="007A0BDC"/>
    <w:rsid w:val="007A0DC2"/>
    <w:rsid w:val="007A0FC4"/>
    <w:rsid w:val="007A0FDA"/>
    <w:rsid w:val="007A101F"/>
    <w:rsid w:val="007A10AA"/>
    <w:rsid w:val="007A10E5"/>
    <w:rsid w:val="007A1108"/>
    <w:rsid w:val="007A1408"/>
    <w:rsid w:val="007A1466"/>
    <w:rsid w:val="007A1513"/>
    <w:rsid w:val="007A151F"/>
    <w:rsid w:val="007A17B1"/>
    <w:rsid w:val="007A19F6"/>
    <w:rsid w:val="007A1AEA"/>
    <w:rsid w:val="007A1C1B"/>
    <w:rsid w:val="007A1C92"/>
    <w:rsid w:val="007A1F57"/>
    <w:rsid w:val="007A1FCF"/>
    <w:rsid w:val="007A2010"/>
    <w:rsid w:val="007A2158"/>
    <w:rsid w:val="007A2323"/>
    <w:rsid w:val="007A24BA"/>
    <w:rsid w:val="007A259B"/>
    <w:rsid w:val="007A27E2"/>
    <w:rsid w:val="007A2908"/>
    <w:rsid w:val="007A29EF"/>
    <w:rsid w:val="007A29F9"/>
    <w:rsid w:val="007A2A06"/>
    <w:rsid w:val="007A2A4B"/>
    <w:rsid w:val="007A2B65"/>
    <w:rsid w:val="007A2BA2"/>
    <w:rsid w:val="007A2BED"/>
    <w:rsid w:val="007A2D8A"/>
    <w:rsid w:val="007A311A"/>
    <w:rsid w:val="007A3341"/>
    <w:rsid w:val="007A344C"/>
    <w:rsid w:val="007A383A"/>
    <w:rsid w:val="007A385D"/>
    <w:rsid w:val="007A39C3"/>
    <w:rsid w:val="007A3BD0"/>
    <w:rsid w:val="007A3CB2"/>
    <w:rsid w:val="007A3E5D"/>
    <w:rsid w:val="007A3FAD"/>
    <w:rsid w:val="007A40A6"/>
    <w:rsid w:val="007A4186"/>
    <w:rsid w:val="007A4339"/>
    <w:rsid w:val="007A43CD"/>
    <w:rsid w:val="007A479C"/>
    <w:rsid w:val="007A489C"/>
    <w:rsid w:val="007A489D"/>
    <w:rsid w:val="007A492A"/>
    <w:rsid w:val="007A496D"/>
    <w:rsid w:val="007A4A3C"/>
    <w:rsid w:val="007A4BC2"/>
    <w:rsid w:val="007A4F32"/>
    <w:rsid w:val="007A4FC6"/>
    <w:rsid w:val="007A5089"/>
    <w:rsid w:val="007A51B2"/>
    <w:rsid w:val="007A52EE"/>
    <w:rsid w:val="007A54D1"/>
    <w:rsid w:val="007A5530"/>
    <w:rsid w:val="007A5617"/>
    <w:rsid w:val="007A5642"/>
    <w:rsid w:val="007A59DF"/>
    <w:rsid w:val="007A5A80"/>
    <w:rsid w:val="007A5BAF"/>
    <w:rsid w:val="007A5F52"/>
    <w:rsid w:val="007A6001"/>
    <w:rsid w:val="007A6023"/>
    <w:rsid w:val="007A60F5"/>
    <w:rsid w:val="007A61C6"/>
    <w:rsid w:val="007A61CF"/>
    <w:rsid w:val="007A61E4"/>
    <w:rsid w:val="007A6238"/>
    <w:rsid w:val="007A62E2"/>
    <w:rsid w:val="007A633A"/>
    <w:rsid w:val="007A65DE"/>
    <w:rsid w:val="007A6617"/>
    <w:rsid w:val="007A679C"/>
    <w:rsid w:val="007A67CC"/>
    <w:rsid w:val="007A6837"/>
    <w:rsid w:val="007A698B"/>
    <w:rsid w:val="007A6CAE"/>
    <w:rsid w:val="007A6CBA"/>
    <w:rsid w:val="007A6E23"/>
    <w:rsid w:val="007A6E50"/>
    <w:rsid w:val="007A6E80"/>
    <w:rsid w:val="007A6EF8"/>
    <w:rsid w:val="007A70FA"/>
    <w:rsid w:val="007A711F"/>
    <w:rsid w:val="007A7131"/>
    <w:rsid w:val="007A72FE"/>
    <w:rsid w:val="007A73D0"/>
    <w:rsid w:val="007A73DD"/>
    <w:rsid w:val="007A73EF"/>
    <w:rsid w:val="007A745D"/>
    <w:rsid w:val="007A7584"/>
    <w:rsid w:val="007A7585"/>
    <w:rsid w:val="007A7586"/>
    <w:rsid w:val="007A77BB"/>
    <w:rsid w:val="007A7B46"/>
    <w:rsid w:val="007A7C1F"/>
    <w:rsid w:val="007A7D76"/>
    <w:rsid w:val="007A7DFA"/>
    <w:rsid w:val="007A7EC1"/>
    <w:rsid w:val="007A7F42"/>
    <w:rsid w:val="007B0111"/>
    <w:rsid w:val="007B0206"/>
    <w:rsid w:val="007B0245"/>
    <w:rsid w:val="007B0457"/>
    <w:rsid w:val="007B07F2"/>
    <w:rsid w:val="007B083F"/>
    <w:rsid w:val="007B0880"/>
    <w:rsid w:val="007B088F"/>
    <w:rsid w:val="007B0A0A"/>
    <w:rsid w:val="007B0A20"/>
    <w:rsid w:val="007B0B28"/>
    <w:rsid w:val="007B0C97"/>
    <w:rsid w:val="007B0D01"/>
    <w:rsid w:val="007B0E44"/>
    <w:rsid w:val="007B0F00"/>
    <w:rsid w:val="007B101E"/>
    <w:rsid w:val="007B1069"/>
    <w:rsid w:val="007B1243"/>
    <w:rsid w:val="007B1291"/>
    <w:rsid w:val="007B13F2"/>
    <w:rsid w:val="007B16FA"/>
    <w:rsid w:val="007B1748"/>
    <w:rsid w:val="007B1956"/>
    <w:rsid w:val="007B19D6"/>
    <w:rsid w:val="007B1E29"/>
    <w:rsid w:val="007B1FB8"/>
    <w:rsid w:val="007B2016"/>
    <w:rsid w:val="007B2085"/>
    <w:rsid w:val="007B2180"/>
    <w:rsid w:val="007B227B"/>
    <w:rsid w:val="007B23EF"/>
    <w:rsid w:val="007B261B"/>
    <w:rsid w:val="007B2901"/>
    <w:rsid w:val="007B2B27"/>
    <w:rsid w:val="007B2CDE"/>
    <w:rsid w:val="007B2F17"/>
    <w:rsid w:val="007B2F48"/>
    <w:rsid w:val="007B2FB7"/>
    <w:rsid w:val="007B2FDC"/>
    <w:rsid w:val="007B2FEA"/>
    <w:rsid w:val="007B301F"/>
    <w:rsid w:val="007B3040"/>
    <w:rsid w:val="007B313B"/>
    <w:rsid w:val="007B355C"/>
    <w:rsid w:val="007B35FA"/>
    <w:rsid w:val="007B3604"/>
    <w:rsid w:val="007B363F"/>
    <w:rsid w:val="007B36D2"/>
    <w:rsid w:val="007B38A0"/>
    <w:rsid w:val="007B38B7"/>
    <w:rsid w:val="007B38BA"/>
    <w:rsid w:val="007B3967"/>
    <w:rsid w:val="007B3A7B"/>
    <w:rsid w:val="007B3B71"/>
    <w:rsid w:val="007B3B8C"/>
    <w:rsid w:val="007B3BC8"/>
    <w:rsid w:val="007B3C92"/>
    <w:rsid w:val="007B40E9"/>
    <w:rsid w:val="007B41D9"/>
    <w:rsid w:val="007B4607"/>
    <w:rsid w:val="007B46A2"/>
    <w:rsid w:val="007B4715"/>
    <w:rsid w:val="007B471E"/>
    <w:rsid w:val="007B4AFA"/>
    <w:rsid w:val="007B4BC7"/>
    <w:rsid w:val="007B4DF7"/>
    <w:rsid w:val="007B4E8B"/>
    <w:rsid w:val="007B4F7B"/>
    <w:rsid w:val="007B50E9"/>
    <w:rsid w:val="007B51EC"/>
    <w:rsid w:val="007B5351"/>
    <w:rsid w:val="007B53F7"/>
    <w:rsid w:val="007B554B"/>
    <w:rsid w:val="007B56C8"/>
    <w:rsid w:val="007B583D"/>
    <w:rsid w:val="007B58C1"/>
    <w:rsid w:val="007B591E"/>
    <w:rsid w:val="007B5C10"/>
    <w:rsid w:val="007B5C2D"/>
    <w:rsid w:val="007B5CFF"/>
    <w:rsid w:val="007B5D4C"/>
    <w:rsid w:val="007B5EAB"/>
    <w:rsid w:val="007B5F6F"/>
    <w:rsid w:val="007B61AC"/>
    <w:rsid w:val="007B622C"/>
    <w:rsid w:val="007B632A"/>
    <w:rsid w:val="007B63E9"/>
    <w:rsid w:val="007B65A4"/>
    <w:rsid w:val="007B65EF"/>
    <w:rsid w:val="007B6684"/>
    <w:rsid w:val="007B67E1"/>
    <w:rsid w:val="007B6B21"/>
    <w:rsid w:val="007B6FAA"/>
    <w:rsid w:val="007B7024"/>
    <w:rsid w:val="007B7033"/>
    <w:rsid w:val="007B71DB"/>
    <w:rsid w:val="007B71E2"/>
    <w:rsid w:val="007B72A7"/>
    <w:rsid w:val="007B76E1"/>
    <w:rsid w:val="007B7716"/>
    <w:rsid w:val="007B771B"/>
    <w:rsid w:val="007B792D"/>
    <w:rsid w:val="007B797D"/>
    <w:rsid w:val="007B79C5"/>
    <w:rsid w:val="007B7A36"/>
    <w:rsid w:val="007B7A62"/>
    <w:rsid w:val="007B7CF4"/>
    <w:rsid w:val="007B7D8D"/>
    <w:rsid w:val="007B7FF1"/>
    <w:rsid w:val="007C00FD"/>
    <w:rsid w:val="007C02B4"/>
    <w:rsid w:val="007C0390"/>
    <w:rsid w:val="007C04CA"/>
    <w:rsid w:val="007C0527"/>
    <w:rsid w:val="007C059C"/>
    <w:rsid w:val="007C05C6"/>
    <w:rsid w:val="007C05D2"/>
    <w:rsid w:val="007C0605"/>
    <w:rsid w:val="007C0845"/>
    <w:rsid w:val="007C08E7"/>
    <w:rsid w:val="007C098F"/>
    <w:rsid w:val="007C0AD0"/>
    <w:rsid w:val="007C0DCA"/>
    <w:rsid w:val="007C0FD8"/>
    <w:rsid w:val="007C12D3"/>
    <w:rsid w:val="007C14A2"/>
    <w:rsid w:val="007C156E"/>
    <w:rsid w:val="007C15D7"/>
    <w:rsid w:val="007C17CD"/>
    <w:rsid w:val="007C1822"/>
    <w:rsid w:val="007C190D"/>
    <w:rsid w:val="007C1980"/>
    <w:rsid w:val="007C1CE4"/>
    <w:rsid w:val="007C1DD2"/>
    <w:rsid w:val="007C21BE"/>
    <w:rsid w:val="007C2380"/>
    <w:rsid w:val="007C2506"/>
    <w:rsid w:val="007C25E0"/>
    <w:rsid w:val="007C267D"/>
    <w:rsid w:val="007C27B5"/>
    <w:rsid w:val="007C290B"/>
    <w:rsid w:val="007C2A30"/>
    <w:rsid w:val="007C2B46"/>
    <w:rsid w:val="007C2C82"/>
    <w:rsid w:val="007C2C8D"/>
    <w:rsid w:val="007C2C9A"/>
    <w:rsid w:val="007C2D83"/>
    <w:rsid w:val="007C2DAC"/>
    <w:rsid w:val="007C2EBE"/>
    <w:rsid w:val="007C2EFE"/>
    <w:rsid w:val="007C300E"/>
    <w:rsid w:val="007C30FB"/>
    <w:rsid w:val="007C3121"/>
    <w:rsid w:val="007C328D"/>
    <w:rsid w:val="007C336F"/>
    <w:rsid w:val="007C3467"/>
    <w:rsid w:val="007C364C"/>
    <w:rsid w:val="007C37F3"/>
    <w:rsid w:val="007C38CA"/>
    <w:rsid w:val="007C39FA"/>
    <w:rsid w:val="007C3AA0"/>
    <w:rsid w:val="007C3B46"/>
    <w:rsid w:val="007C3E69"/>
    <w:rsid w:val="007C3F26"/>
    <w:rsid w:val="007C4088"/>
    <w:rsid w:val="007C4156"/>
    <w:rsid w:val="007C4192"/>
    <w:rsid w:val="007C41B1"/>
    <w:rsid w:val="007C41C5"/>
    <w:rsid w:val="007C447F"/>
    <w:rsid w:val="007C4550"/>
    <w:rsid w:val="007C4749"/>
    <w:rsid w:val="007C4AFA"/>
    <w:rsid w:val="007C549F"/>
    <w:rsid w:val="007C55C2"/>
    <w:rsid w:val="007C586B"/>
    <w:rsid w:val="007C5A16"/>
    <w:rsid w:val="007C5B99"/>
    <w:rsid w:val="007C5E4F"/>
    <w:rsid w:val="007C5EB8"/>
    <w:rsid w:val="007C6316"/>
    <w:rsid w:val="007C6495"/>
    <w:rsid w:val="007C6660"/>
    <w:rsid w:val="007C66D7"/>
    <w:rsid w:val="007C6829"/>
    <w:rsid w:val="007C6A59"/>
    <w:rsid w:val="007C6AD1"/>
    <w:rsid w:val="007C6C76"/>
    <w:rsid w:val="007C6D1D"/>
    <w:rsid w:val="007C6D67"/>
    <w:rsid w:val="007C6D6E"/>
    <w:rsid w:val="007C6E0B"/>
    <w:rsid w:val="007C6EC5"/>
    <w:rsid w:val="007C70E7"/>
    <w:rsid w:val="007C7107"/>
    <w:rsid w:val="007C725F"/>
    <w:rsid w:val="007C79FF"/>
    <w:rsid w:val="007C7A6D"/>
    <w:rsid w:val="007C7FAA"/>
    <w:rsid w:val="007D0022"/>
    <w:rsid w:val="007D00F9"/>
    <w:rsid w:val="007D0454"/>
    <w:rsid w:val="007D0772"/>
    <w:rsid w:val="007D0813"/>
    <w:rsid w:val="007D09AA"/>
    <w:rsid w:val="007D0A0F"/>
    <w:rsid w:val="007D0BB5"/>
    <w:rsid w:val="007D0BF3"/>
    <w:rsid w:val="007D0C7A"/>
    <w:rsid w:val="007D0CC9"/>
    <w:rsid w:val="007D1507"/>
    <w:rsid w:val="007D1706"/>
    <w:rsid w:val="007D1965"/>
    <w:rsid w:val="007D1A0E"/>
    <w:rsid w:val="007D1AB1"/>
    <w:rsid w:val="007D1D7E"/>
    <w:rsid w:val="007D1DB8"/>
    <w:rsid w:val="007D1F60"/>
    <w:rsid w:val="007D200E"/>
    <w:rsid w:val="007D22E8"/>
    <w:rsid w:val="007D2431"/>
    <w:rsid w:val="007D2509"/>
    <w:rsid w:val="007D251E"/>
    <w:rsid w:val="007D261F"/>
    <w:rsid w:val="007D268B"/>
    <w:rsid w:val="007D2690"/>
    <w:rsid w:val="007D2764"/>
    <w:rsid w:val="007D29B2"/>
    <w:rsid w:val="007D2A9E"/>
    <w:rsid w:val="007D2C22"/>
    <w:rsid w:val="007D2DBB"/>
    <w:rsid w:val="007D2DD9"/>
    <w:rsid w:val="007D2E36"/>
    <w:rsid w:val="007D30B7"/>
    <w:rsid w:val="007D30D5"/>
    <w:rsid w:val="007D3303"/>
    <w:rsid w:val="007D33BF"/>
    <w:rsid w:val="007D3569"/>
    <w:rsid w:val="007D381B"/>
    <w:rsid w:val="007D3903"/>
    <w:rsid w:val="007D3BD4"/>
    <w:rsid w:val="007D3C0E"/>
    <w:rsid w:val="007D3D34"/>
    <w:rsid w:val="007D3DA9"/>
    <w:rsid w:val="007D4138"/>
    <w:rsid w:val="007D4370"/>
    <w:rsid w:val="007D43DF"/>
    <w:rsid w:val="007D44D5"/>
    <w:rsid w:val="007D4586"/>
    <w:rsid w:val="007D494A"/>
    <w:rsid w:val="007D49AA"/>
    <w:rsid w:val="007D4AD0"/>
    <w:rsid w:val="007D4AFC"/>
    <w:rsid w:val="007D4B61"/>
    <w:rsid w:val="007D4C79"/>
    <w:rsid w:val="007D500A"/>
    <w:rsid w:val="007D5023"/>
    <w:rsid w:val="007D5262"/>
    <w:rsid w:val="007D52BA"/>
    <w:rsid w:val="007D5373"/>
    <w:rsid w:val="007D5436"/>
    <w:rsid w:val="007D5578"/>
    <w:rsid w:val="007D5606"/>
    <w:rsid w:val="007D56B9"/>
    <w:rsid w:val="007D57A7"/>
    <w:rsid w:val="007D57FB"/>
    <w:rsid w:val="007D583D"/>
    <w:rsid w:val="007D58B9"/>
    <w:rsid w:val="007D593B"/>
    <w:rsid w:val="007D5ABE"/>
    <w:rsid w:val="007D5B48"/>
    <w:rsid w:val="007D5BFE"/>
    <w:rsid w:val="007D5CB8"/>
    <w:rsid w:val="007D5EA4"/>
    <w:rsid w:val="007D60E0"/>
    <w:rsid w:val="007D6163"/>
    <w:rsid w:val="007D62B4"/>
    <w:rsid w:val="007D6374"/>
    <w:rsid w:val="007D64BF"/>
    <w:rsid w:val="007D64CE"/>
    <w:rsid w:val="007D6534"/>
    <w:rsid w:val="007D6641"/>
    <w:rsid w:val="007D66CB"/>
    <w:rsid w:val="007D6705"/>
    <w:rsid w:val="007D67A7"/>
    <w:rsid w:val="007D68F4"/>
    <w:rsid w:val="007D6987"/>
    <w:rsid w:val="007D6B30"/>
    <w:rsid w:val="007D6B8E"/>
    <w:rsid w:val="007D6BD9"/>
    <w:rsid w:val="007D6C37"/>
    <w:rsid w:val="007D6C7E"/>
    <w:rsid w:val="007D6E23"/>
    <w:rsid w:val="007D6F00"/>
    <w:rsid w:val="007D70A5"/>
    <w:rsid w:val="007D70C2"/>
    <w:rsid w:val="007D7328"/>
    <w:rsid w:val="007D7708"/>
    <w:rsid w:val="007D7723"/>
    <w:rsid w:val="007D78FA"/>
    <w:rsid w:val="007D7A8F"/>
    <w:rsid w:val="007D7AEB"/>
    <w:rsid w:val="007D7E14"/>
    <w:rsid w:val="007D7F5C"/>
    <w:rsid w:val="007E0101"/>
    <w:rsid w:val="007E0116"/>
    <w:rsid w:val="007E01AC"/>
    <w:rsid w:val="007E03E2"/>
    <w:rsid w:val="007E04B1"/>
    <w:rsid w:val="007E051D"/>
    <w:rsid w:val="007E0678"/>
    <w:rsid w:val="007E06F5"/>
    <w:rsid w:val="007E0A1D"/>
    <w:rsid w:val="007E0C40"/>
    <w:rsid w:val="007E0F4B"/>
    <w:rsid w:val="007E0FD8"/>
    <w:rsid w:val="007E1065"/>
    <w:rsid w:val="007E109E"/>
    <w:rsid w:val="007E1127"/>
    <w:rsid w:val="007E1234"/>
    <w:rsid w:val="007E12AF"/>
    <w:rsid w:val="007E12E4"/>
    <w:rsid w:val="007E134A"/>
    <w:rsid w:val="007E138F"/>
    <w:rsid w:val="007E1397"/>
    <w:rsid w:val="007E149F"/>
    <w:rsid w:val="007E151E"/>
    <w:rsid w:val="007E152B"/>
    <w:rsid w:val="007E15AD"/>
    <w:rsid w:val="007E187D"/>
    <w:rsid w:val="007E1900"/>
    <w:rsid w:val="007E1A84"/>
    <w:rsid w:val="007E1AE8"/>
    <w:rsid w:val="007E1B77"/>
    <w:rsid w:val="007E1B91"/>
    <w:rsid w:val="007E1F38"/>
    <w:rsid w:val="007E1F7E"/>
    <w:rsid w:val="007E1F93"/>
    <w:rsid w:val="007E200C"/>
    <w:rsid w:val="007E216F"/>
    <w:rsid w:val="007E21BB"/>
    <w:rsid w:val="007E21C2"/>
    <w:rsid w:val="007E24D9"/>
    <w:rsid w:val="007E25E1"/>
    <w:rsid w:val="007E25ED"/>
    <w:rsid w:val="007E289A"/>
    <w:rsid w:val="007E2969"/>
    <w:rsid w:val="007E2A5D"/>
    <w:rsid w:val="007E2A5F"/>
    <w:rsid w:val="007E2BC0"/>
    <w:rsid w:val="007E2C20"/>
    <w:rsid w:val="007E2C25"/>
    <w:rsid w:val="007E2E79"/>
    <w:rsid w:val="007E2EBE"/>
    <w:rsid w:val="007E3086"/>
    <w:rsid w:val="007E3093"/>
    <w:rsid w:val="007E3231"/>
    <w:rsid w:val="007E34E7"/>
    <w:rsid w:val="007E351E"/>
    <w:rsid w:val="007E36B1"/>
    <w:rsid w:val="007E39CA"/>
    <w:rsid w:val="007E3B2C"/>
    <w:rsid w:val="007E3C7D"/>
    <w:rsid w:val="007E3DE2"/>
    <w:rsid w:val="007E3E4B"/>
    <w:rsid w:val="007E3FFC"/>
    <w:rsid w:val="007E4092"/>
    <w:rsid w:val="007E415E"/>
    <w:rsid w:val="007E42A6"/>
    <w:rsid w:val="007E42AA"/>
    <w:rsid w:val="007E42C9"/>
    <w:rsid w:val="007E4663"/>
    <w:rsid w:val="007E4A45"/>
    <w:rsid w:val="007E4BD0"/>
    <w:rsid w:val="007E4CD4"/>
    <w:rsid w:val="007E4EE4"/>
    <w:rsid w:val="007E4F32"/>
    <w:rsid w:val="007E51D7"/>
    <w:rsid w:val="007E51FF"/>
    <w:rsid w:val="007E5460"/>
    <w:rsid w:val="007E54D0"/>
    <w:rsid w:val="007E5526"/>
    <w:rsid w:val="007E56BD"/>
    <w:rsid w:val="007E56CB"/>
    <w:rsid w:val="007E5A52"/>
    <w:rsid w:val="007E5D27"/>
    <w:rsid w:val="007E62B1"/>
    <w:rsid w:val="007E63D9"/>
    <w:rsid w:val="007E6641"/>
    <w:rsid w:val="007E66C7"/>
    <w:rsid w:val="007E6998"/>
    <w:rsid w:val="007E6B3E"/>
    <w:rsid w:val="007E6B56"/>
    <w:rsid w:val="007E6BB4"/>
    <w:rsid w:val="007E6C54"/>
    <w:rsid w:val="007E6D40"/>
    <w:rsid w:val="007E6D54"/>
    <w:rsid w:val="007E6EB3"/>
    <w:rsid w:val="007E6FC5"/>
    <w:rsid w:val="007E7085"/>
    <w:rsid w:val="007E70E5"/>
    <w:rsid w:val="007E7228"/>
    <w:rsid w:val="007E730D"/>
    <w:rsid w:val="007E74C7"/>
    <w:rsid w:val="007E7550"/>
    <w:rsid w:val="007E75BD"/>
    <w:rsid w:val="007E7668"/>
    <w:rsid w:val="007E77CF"/>
    <w:rsid w:val="007E77D8"/>
    <w:rsid w:val="007E789B"/>
    <w:rsid w:val="007E79DE"/>
    <w:rsid w:val="007E79E9"/>
    <w:rsid w:val="007E7A7F"/>
    <w:rsid w:val="007E7D35"/>
    <w:rsid w:val="007E7DE8"/>
    <w:rsid w:val="007F028A"/>
    <w:rsid w:val="007F0344"/>
    <w:rsid w:val="007F03EC"/>
    <w:rsid w:val="007F05AE"/>
    <w:rsid w:val="007F0779"/>
    <w:rsid w:val="007F0791"/>
    <w:rsid w:val="007F07B7"/>
    <w:rsid w:val="007F07B8"/>
    <w:rsid w:val="007F0818"/>
    <w:rsid w:val="007F0835"/>
    <w:rsid w:val="007F083B"/>
    <w:rsid w:val="007F088A"/>
    <w:rsid w:val="007F0A40"/>
    <w:rsid w:val="007F0E60"/>
    <w:rsid w:val="007F0ECE"/>
    <w:rsid w:val="007F0FCC"/>
    <w:rsid w:val="007F106E"/>
    <w:rsid w:val="007F145D"/>
    <w:rsid w:val="007F14C8"/>
    <w:rsid w:val="007F15D6"/>
    <w:rsid w:val="007F15F1"/>
    <w:rsid w:val="007F16EC"/>
    <w:rsid w:val="007F1816"/>
    <w:rsid w:val="007F198F"/>
    <w:rsid w:val="007F19CC"/>
    <w:rsid w:val="007F1BFE"/>
    <w:rsid w:val="007F1C1C"/>
    <w:rsid w:val="007F1D16"/>
    <w:rsid w:val="007F1D70"/>
    <w:rsid w:val="007F1DD9"/>
    <w:rsid w:val="007F1DE8"/>
    <w:rsid w:val="007F1E73"/>
    <w:rsid w:val="007F1EF3"/>
    <w:rsid w:val="007F1FE7"/>
    <w:rsid w:val="007F2027"/>
    <w:rsid w:val="007F2165"/>
    <w:rsid w:val="007F2170"/>
    <w:rsid w:val="007F223E"/>
    <w:rsid w:val="007F23F9"/>
    <w:rsid w:val="007F2563"/>
    <w:rsid w:val="007F2567"/>
    <w:rsid w:val="007F25B8"/>
    <w:rsid w:val="007F25D4"/>
    <w:rsid w:val="007F25F8"/>
    <w:rsid w:val="007F2644"/>
    <w:rsid w:val="007F287D"/>
    <w:rsid w:val="007F2B63"/>
    <w:rsid w:val="007F2BBD"/>
    <w:rsid w:val="007F2BEC"/>
    <w:rsid w:val="007F2DA6"/>
    <w:rsid w:val="007F2FE8"/>
    <w:rsid w:val="007F3060"/>
    <w:rsid w:val="007F3264"/>
    <w:rsid w:val="007F3279"/>
    <w:rsid w:val="007F32C8"/>
    <w:rsid w:val="007F35A3"/>
    <w:rsid w:val="007F35FF"/>
    <w:rsid w:val="007F3611"/>
    <w:rsid w:val="007F3685"/>
    <w:rsid w:val="007F37E9"/>
    <w:rsid w:val="007F38BA"/>
    <w:rsid w:val="007F3BE6"/>
    <w:rsid w:val="007F3E06"/>
    <w:rsid w:val="007F3E2B"/>
    <w:rsid w:val="007F3F91"/>
    <w:rsid w:val="007F406D"/>
    <w:rsid w:val="007F42E3"/>
    <w:rsid w:val="007F42F8"/>
    <w:rsid w:val="007F43B0"/>
    <w:rsid w:val="007F4418"/>
    <w:rsid w:val="007F4500"/>
    <w:rsid w:val="007F453A"/>
    <w:rsid w:val="007F45AC"/>
    <w:rsid w:val="007F45C7"/>
    <w:rsid w:val="007F4623"/>
    <w:rsid w:val="007F4669"/>
    <w:rsid w:val="007F469B"/>
    <w:rsid w:val="007F48DC"/>
    <w:rsid w:val="007F4918"/>
    <w:rsid w:val="007F4A3D"/>
    <w:rsid w:val="007F4B17"/>
    <w:rsid w:val="007F4BD2"/>
    <w:rsid w:val="007F4F55"/>
    <w:rsid w:val="007F513D"/>
    <w:rsid w:val="007F529E"/>
    <w:rsid w:val="007F573F"/>
    <w:rsid w:val="007F57FE"/>
    <w:rsid w:val="007F586F"/>
    <w:rsid w:val="007F5A92"/>
    <w:rsid w:val="007F5AD6"/>
    <w:rsid w:val="007F5C8D"/>
    <w:rsid w:val="007F5D85"/>
    <w:rsid w:val="007F6115"/>
    <w:rsid w:val="007F619F"/>
    <w:rsid w:val="007F62F5"/>
    <w:rsid w:val="007F6411"/>
    <w:rsid w:val="007F661B"/>
    <w:rsid w:val="007F6782"/>
    <w:rsid w:val="007F67E9"/>
    <w:rsid w:val="007F6CC3"/>
    <w:rsid w:val="007F6D7B"/>
    <w:rsid w:val="007F6FA6"/>
    <w:rsid w:val="007F700C"/>
    <w:rsid w:val="007F711B"/>
    <w:rsid w:val="007F724A"/>
    <w:rsid w:val="007F72FA"/>
    <w:rsid w:val="007F7352"/>
    <w:rsid w:val="007F7354"/>
    <w:rsid w:val="007F7398"/>
    <w:rsid w:val="007F75D3"/>
    <w:rsid w:val="007F75EF"/>
    <w:rsid w:val="007F76C5"/>
    <w:rsid w:val="007F7950"/>
    <w:rsid w:val="007F7C7B"/>
    <w:rsid w:val="007F7C94"/>
    <w:rsid w:val="007F7CF1"/>
    <w:rsid w:val="007F7D68"/>
    <w:rsid w:val="007F7D6B"/>
    <w:rsid w:val="007F7E67"/>
    <w:rsid w:val="007F7E87"/>
    <w:rsid w:val="007F7EFC"/>
    <w:rsid w:val="00800270"/>
    <w:rsid w:val="0080038A"/>
    <w:rsid w:val="008003A2"/>
    <w:rsid w:val="00800467"/>
    <w:rsid w:val="008004CA"/>
    <w:rsid w:val="00800678"/>
    <w:rsid w:val="008006A0"/>
    <w:rsid w:val="00800799"/>
    <w:rsid w:val="00800875"/>
    <w:rsid w:val="00800B3B"/>
    <w:rsid w:val="00800DAA"/>
    <w:rsid w:val="00800E33"/>
    <w:rsid w:val="00800ED4"/>
    <w:rsid w:val="00800EFF"/>
    <w:rsid w:val="00800F0B"/>
    <w:rsid w:val="00801014"/>
    <w:rsid w:val="008013C2"/>
    <w:rsid w:val="00801413"/>
    <w:rsid w:val="008014A1"/>
    <w:rsid w:val="0080161B"/>
    <w:rsid w:val="0080162A"/>
    <w:rsid w:val="008017BD"/>
    <w:rsid w:val="00801896"/>
    <w:rsid w:val="008019AC"/>
    <w:rsid w:val="00801A95"/>
    <w:rsid w:val="00801B16"/>
    <w:rsid w:val="00801B37"/>
    <w:rsid w:val="00801D64"/>
    <w:rsid w:val="00801E2A"/>
    <w:rsid w:val="00802299"/>
    <w:rsid w:val="00802438"/>
    <w:rsid w:val="008024F0"/>
    <w:rsid w:val="0080262F"/>
    <w:rsid w:val="0080265B"/>
    <w:rsid w:val="00802801"/>
    <w:rsid w:val="00802830"/>
    <w:rsid w:val="008028E6"/>
    <w:rsid w:val="0080290A"/>
    <w:rsid w:val="0080296F"/>
    <w:rsid w:val="00802B03"/>
    <w:rsid w:val="00802C02"/>
    <w:rsid w:val="00802F05"/>
    <w:rsid w:val="0080306A"/>
    <w:rsid w:val="008031CF"/>
    <w:rsid w:val="008032AA"/>
    <w:rsid w:val="008033BF"/>
    <w:rsid w:val="008034AE"/>
    <w:rsid w:val="00803765"/>
    <w:rsid w:val="008037BB"/>
    <w:rsid w:val="00803897"/>
    <w:rsid w:val="00803946"/>
    <w:rsid w:val="00803A11"/>
    <w:rsid w:val="00803BBA"/>
    <w:rsid w:val="00803F05"/>
    <w:rsid w:val="008040A2"/>
    <w:rsid w:val="008040A7"/>
    <w:rsid w:val="008042C7"/>
    <w:rsid w:val="008042F5"/>
    <w:rsid w:val="008043A3"/>
    <w:rsid w:val="00804467"/>
    <w:rsid w:val="008044B9"/>
    <w:rsid w:val="00804632"/>
    <w:rsid w:val="0080484C"/>
    <w:rsid w:val="0080485D"/>
    <w:rsid w:val="00804931"/>
    <w:rsid w:val="00804C1C"/>
    <w:rsid w:val="00804DA5"/>
    <w:rsid w:val="00804F0B"/>
    <w:rsid w:val="00805253"/>
    <w:rsid w:val="008053AD"/>
    <w:rsid w:val="008054D9"/>
    <w:rsid w:val="008055DA"/>
    <w:rsid w:val="00805708"/>
    <w:rsid w:val="0080579D"/>
    <w:rsid w:val="00805883"/>
    <w:rsid w:val="00805C2F"/>
    <w:rsid w:val="00805C3C"/>
    <w:rsid w:val="00805C61"/>
    <w:rsid w:val="00805D36"/>
    <w:rsid w:val="00805D97"/>
    <w:rsid w:val="0080601C"/>
    <w:rsid w:val="00806157"/>
    <w:rsid w:val="0080616D"/>
    <w:rsid w:val="008065D9"/>
    <w:rsid w:val="00806688"/>
    <w:rsid w:val="0080668F"/>
    <w:rsid w:val="008066C5"/>
    <w:rsid w:val="0080678F"/>
    <w:rsid w:val="0080685A"/>
    <w:rsid w:val="00806887"/>
    <w:rsid w:val="008069C2"/>
    <w:rsid w:val="00806B5D"/>
    <w:rsid w:val="00806BC0"/>
    <w:rsid w:val="00806C91"/>
    <w:rsid w:val="00806DDB"/>
    <w:rsid w:val="00807157"/>
    <w:rsid w:val="008071BE"/>
    <w:rsid w:val="0080726A"/>
    <w:rsid w:val="00807499"/>
    <w:rsid w:val="008074C7"/>
    <w:rsid w:val="0080760D"/>
    <w:rsid w:val="00807839"/>
    <w:rsid w:val="0080787C"/>
    <w:rsid w:val="00807962"/>
    <w:rsid w:val="008079A0"/>
    <w:rsid w:val="00807A3E"/>
    <w:rsid w:val="00807A53"/>
    <w:rsid w:val="00807B9B"/>
    <w:rsid w:val="00807C04"/>
    <w:rsid w:val="00807F6D"/>
    <w:rsid w:val="00807FE7"/>
    <w:rsid w:val="0081001A"/>
    <w:rsid w:val="0081007D"/>
    <w:rsid w:val="008101C6"/>
    <w:rsid w:val="00810338"/>
    <w:rsid w:val="0081036E"/>
    <w:rsid w:val="00810371"/>
    <w:rsid w:val="00810658"/>
    <w:rsid w:val="008107A9"/>
    <w:rsid w:val="00810809"/>
    <w:rsid w:val="008109D3"/>
    <w:rsid w:val="00810C3D"/>
    <w:rsid w:val="00810C77"/>
    <w:rsid w:val="00810CE1"/>
    <w:rsid w:val="00810DD8"/>
    <w:rsid w:val="00810E06"/>
    <w:rsid w:val="00810E6D"/>
    <w:rsid w:val="00810FB0"/>
    <w:rsid w:val="00811050"/>
    <w:rsid w:val="008110EF"/>
    <w:rsid w:val="00811235"/>
    <w:rsid w:val="00811269"/>
    <w:rsid w:val="00811541"/>
    <w:rsid w:val="00811576"/>
    <w:rsid w:val="00811577"/>
    <w:rsid w:val="0081167D"/>
    <w:rsid w:val="00811B86"/>
    <w:rsid w:val="00811D3C"/>
    <w:rsid w:val="00811D7F"/>
    <w:rsid w:val="00811F2E"/>
    <w:rsid w:val="00811F43"/>
    <w:rsid w:val="008120B7"/>
    <w:rsid w:val="0081214F"/>
    <w:rsid w:val="00812282"/>
    <w:rsid w:val="00812300"/>
    <w:rsid w:val="0081238D"/>
    <w:rsid w:val="008123B8"/>
    <w:rsid w:val="00812568"/>
    <w:rsid w:val="0081265F"/>
    <w:rsid w:val="00812708"/>
    <w:rsid w:val="00812901"/>
    <w:rsid w:val="00812B06"/>
    <w:rsid w:val="00812B2E"/>
    <w:rsid w:val="00812E8A"/>
    <w:rsid w:val="0081300A"/>
    <w:rsid w:val="00813090"/>
    <w:rsid w:val="008131C8"/>
    <w:rsid w:val="00813228"/>
    <w:rsid w:val="00813376"/>
    <w:rsid w:val="00813503"/>
    <w:rsid w:val="00813532"/>
    <w:rsid w:val="00813626"/>
    <w:rsid w:val="0081369B"/>
    <w:rsid w:val="008136B3"/>
    <w:rsid w:val="0081371E"/>
    <w:rsid w:val="00813826"/>
    <w:rsid w:val="0081383D"/>
    <w:rsid w:val="00813846"/>
    <w:rsid w:val="00813A30"/>
    <w:rsid w:val="00813AD1"/>
    <w:rsid w:val="00813B97"/>
    <w:rsid w:val="00813D56"/>
    <w:rsid w:val="00813F58"/>
    <w:rsid w:val="00813FBB"/>
    <w:rsid w:val="0081405C"/>
    <w:rsid w:val="00814191"/>
    <w:rsid w:val="008145AF"/>
    <w:rsid w:val="008145CB"/>
    <w:rsid w:val="008148E4"/>
    <w:rsid w:val="00814A36"/>
    <w:rsid w:val="00814CE8"/>
    <w:rsid w:val="00814D69"/>
    <w:rsid w:val="00814DC7"/>
    <w:rsid w:val="008150D8"/>
    <w:rsid w:val="00815179"/>
    <w:rsid w:val="008152A2"/>
    <w:rsid w:val="008152A7"/>
    <w:rsid w:val="008152DE"/>
    <w:rsid w:val="00815352"/>
    <w:rsid w:val="00815556"/>
    <w:rsid w:val="00815594"/>
    <w:rsid w:val="008155E8"/>
    <w:rsid w:val="0081568C"/>
    <w:rsid w:val="008157F1"/>
    <w:rsid w:val="00815844"/>
    <w:rsid w:val="008159C8"/>
    <w:rsid w:val="00815A02"/>
    <w:rsid w:val="00815B3C"/>
    <w:rsid w:val="00815C10"/>
    <w:rsid w:val="00815D0F"/>
    <w:rsid w:val="00815D7B"/>
    <w:rsid w:val="00815EE1"/>
    <w:rsid w:val="00815F32"/>
    <w:rsid w:val="00815FFB"/>
    <w:rsid w:val="008161DC"/>
    <w:rsid w:val="00816349"/>
    <w:rsid w:val="008164DF"/>
    <w:rsid w:val="00816546"/>
    <w:rsid w:val="00816585"/>
    <w:rsid w:val="0081663B"/>
    <w:rsid w:val="00816704"/>
    <w:rsid w:val="00816A82"/>
    <w:rsid w:val="00816C28"/>
    <w:rsid w:val="00816E28"/>
    <w:rsid w:val="00816EA2"/>
    <w:rsid w:val="00816EC2"/>
    <w:rsid w:val="00816EF4"/>
    <w:rsid w:val="00816FB9"/>
    <w:rsid w:val="00816FEA"/>
    <w:rsid w:val="0081709B"/>
    <w:rsid w:val="008170E2"/>
    <w:rsid w:val="00817280"/>
    <w:rsid w:val="0081729F"/>
    <w:rsid w:val="00817368"/>
    <w:rsid w:val="00817407"/>
    <w:rsid w:val="00817533"/>
    <w:rsid w:val="00817539"/>
    <w:rsid w:val="008175C0"/>
    <w:rsid w:val="00817649"/>
    <w:rsid w:val="00817945"/>
    <w:rsid w:val="00817BFD"/>
    <w:rsid w:val="00817DF4"/>
    <w:rsid w:val="00817E80"/>
    <w:rsid w:val="00817F8A"/>
    <w:rsid w:val="00820174"/>
    <w:rsid w:val="00820339"/>
    <w:rsid w:val="0082040D"/>
    <w:rsid w:val="00820763"/>
    <w:rsid w:val="008207CF"/>
    <w:rsid w:val="00820FAF"/>
    <w:rsid w:val="008210A9"/>
    <w:rsid w:val="00821293"/>
    <w:rsid w:val="008212D0"/>
    <w:rsid w:val="0082164A"/>
    <w:rsid w:val="00821677"/>
    <w:rsid w:val="008217CB"/>
    <w:rsid w:val="008219D4"/>
    <w:rsid w:val="00821A93"/>
    <w:rsid w:val="00821B9F"/>
    <w:rsid w:val="00821D9E"/>
    <w:rsid w:val="00821DA0"/>
    <w:rsid w:val="00821DAE"/>
    <w:rsid w:val="00821EA7"/>
    <w:rsid w:val="00822328"/>
    <w:rsid w:val="008223C6"/>
    <w:rsid w:val="008223CD"/>
    <w:rsid w:val="0082260B"/>
    <w:rsid w:val="00822810"/>
    <w:rsid w:val="00822819"/>
    <w:rsid w:val="0082282A"/>
    <w:rsid w:val="00822D04"/>
    <w:rsid w:val="00822E29"/>
    <w:rsid w:val="00822EC8"/>
    <w:rsid w:val="00822FDF"/>
    <w:rsid w:val="00823090"/>
    <w:rsid w:val="00823171"/>
    <w:rsid w:val="0082330B"/>
    <w:rsid w:val="008236E1"/>
    <w:rsid w:val="0082378E"/>
    <w:rsid w:val="00823872"/>
    <w:rsid w:val="00823950"/>
    <w:rsid w:val="00823A71"/>
    <w:rsid w:val="00823BA9"/>
    <w:rsid w:val="00823C2D"/>
    <w:rsid w:val="00823C34"/>
    <w:rsid w:val="00823DC0"/>
    <w:rsid w:val="00823E76"/>
    <w:rsid w:val="00823FCB"/>
    <w:rsid w:val="00824025"/>
    <w:rsid w:val="00824364"/>
    <w:rsid w:val="008243CE"/>
    <w:rsid w:val="00824458"/>
    <w:rsid w:val="00824679"/>
    <w:rsid w:val="0082471D"/>
    <w:rsid w:val="0082492E"/>
    <w:rsid w:val="008249F7"/>
    <w:rsid w:val="00824A05"/>
    <w:rsid w:val="00824B4E"/>
    <w:rsid w:val="00824B74"/>
    <w:rsid w:val="00824E69"/>
    <w:rsid w:val="00824E76"/>
    <w:rsid w:val="00824F0E"/>
    <w:rsid w:val="00824F4F"/>
    <w:rsid w:val="00825028"/>
    <w:rsid w:val="008250A1"/>
    <w:rsid w:val="008250CC"/>
    <w:rsid w:val="0082515B"/>
    <w:rsid w:val="0082517C"/>
    <w:rsid w:val="0082519B"/>
    <w:rsid w:val="008253CF"/>
    <w:rsid w:val="008254B7"/>
    <w:rsid w:val="008255E3"/>
    <w:rsid w:val="008255FE"/>
    <w:rsid w:val="0082585C"/>
    <w:rsid w:val="00825DAE"/>
    <w:rsid w:val="00825DD5"/>
    <w:rsid w:val="00825DDF"/>
    <w:rsid w:val="00825E67"/>
    <w:rsid w:val="00825FC5"/>
    <w:rsid w:val="0082623B"/>
    <w:rsid w:val="00826290"/>
    <w:rsid w:val="0082636B"/>
    <w:rsid w:val="00826923"/>
    <w:rsid w:val="00826A02"/>
    <w:rsid w:val="00826BF3"/>
    <w:rsid w:val="00826C2D"/>
    <w:rsid w:val="00826CB8"/>
    <w:rsid w:val="00826D55"/>
    <w:rsid w:val="00826DDF"/>
    <w:rsid w:val="00826E68"/>
    <w:rsid w:val="00827027"/>
    <w:rsid w:val="0082717B"/>
    <w:rsid w:val="008271E3"/>
    <w:rsid w:val="00827278"/>
    <w:rsid w:val="008274EB"/>
    <w:rsid w:val="008276D0"/>
    <w:rsid w:val="0082771F"/>
    <w:rsid w:val="00827892"/>
    <w:rsid w:val="008279CC"/>
    <w:rsid w:val="008279DB"/>
    <w:rsid w:val="00827C82"/>
    <w:rsid w:val="00827CDD"/>
    <w:rsid w:val="00827EFE"/>
    <w:rsid w:val="00827FFB"/>
    <w:rsid w:val="00830213"/>
    <w:rsid w:val="008303B7"/>
    <w:rsid w:val="0083044F"/>
    <w:rsid w:val="00830485"/>
    <w:rsid w:val="00830617"/>
    <w:rsid w:val="00830821"/>
    <w:rsid w:val="0083088B"/>
    <w:rsid w:val="008309EB"/>
    <w:rsid w:val="00830ABB"/>
    <w:rsid w:val="00830F39"/>
    <w:rsid w:val="0083110F"/>
    <w:rsid w:val="0083119A"/>
    <w:rsid w:val="00831242"/>
    <w:rsid w:val="0083124B"/>
    <w:rsid w:val="00831267"/>
    <w:rsid w:val="0083129B"/>
    <w:rsid w:val="008314A1"/>
    <w:rsid w:val="008314F8"/>
    <w:rsid w:val="00831570"/>
    <w:rsid w:val="008318A1"/>
    <w:rsid w:val="00831903"/>
    <w:rsid w:val="0083196A"/>
    <w:rsid w:val="00831AF3"/>
    <w:rsid w:val="00831B18"/>
    <w:rsid w:val="00831BD1"/>
    <w:rsid w:val="00831D2C"/>
    <w:rsid w:val="00831D76"/>
    <w:rsid w:val="00831DF8"/>
    <w:rsid w:val="00831F7A"/>
    <w:rsid w:val="00831F92"/>
    <w:rsid w:val="00832136"/>
    <w:rsid w:val="00832333"/>
    <w:rsid w:val="008324E1"/>
    <w:rsid w:val="008325C4"/>
    <w:rsid w:val="00832711"/>
    <w:rsid w:val="00832987"/>
    <w:rsid w:val="00832A15"/>
    <w:rsid w:val="00832C68"/>
    <w:rsid w:val="00832EBC"/>
    <w:rsid w:val="0083301A"/>
    <w:rsid w:val="00833028"/>
    <w:rsid w:val="008333A0"/>
    <w:rsid w:val="00833535"/>
    <w:rsid w:val="008335FF"/>
    <w:rsid w:val="0083367F"/>
    <w:rsid w:val="008336F1"/>
    <w:rsid w:val="00833973"/>
    <w:rsid w:val="008339EC"/>
    <w:rsid w:val="00833A02"/>
    <w:rsid w:val="00833AC8"/>
    <w:rsid w:val="00833B3C"/>
    <w:rsid w:val="00833BA0"/>
    <w:rsid w:val="00833C8A"/>
    <w:rsid w:val="00833E78"/>
    <w:rsid w:val="00834109"/>
    <w:rsid w:val="0083417B"/>
    <w:rsid w:val="008341DC"/>
    <w:rsid w:val="008343B5"/>
    <w:rsid w:val="0083441E"/>
    <w:rsid w:val="00834459"/>
    <w:rsid w:val="008346C9"/>
    <w:rsid w:val="008346FC"/>
    <w:rsid w:val="00834712"/>
    <w:rsid w:val="00834821"/>
    <w:rsid w:val="00834A0B"/>
    <w:rsid w:val="00834A70"/>
    <w:rsid w:val="00834BBF"/>
    <w:rsid w:val="00834C17"/>
    <w:rsid w:val="00834CB0"/>
    <w:rsid w:val="00834CD8"/>
    <w:rsid w:val="00834D93"/>
    <w:rsid w:val="00834DF8"/>
    <w:rsid w:val="00834E3D"/>
    <w:rsid w:val="00834F3D"/>
    <w:rsid w:val="00834F53"/>
    <w:rsid w:val="0083506D"/>
    <w:rsid w:val="00835123"/>
    <w:rsid w:val="00835214"/>
    <w:rsid w:val="0083532B"/>
    <w:rsid w:val="0083532D"/>
    <w:rsid w:val="00835420"/>
    <w:rsid w:val="00835679"/>
    <w:rsid w:val="00835736"/>
    <w:rsid w:val="00835780"/>
    <w:rsid w:val="00835826"/>
    <w:rsid w:val="00835953"/>
    <w:rsid w:val="0083597F"/>
    <w:rsid w:val="00835B18"/>
    <w:rsid w:val="00835B55"/>
    <w:rsid w:val="00835BF8"/>
    <w:rsid w:val="00835E09"/>
    <w:rsid w:val="00835E73"/>
    <w:rsid w:val="00835EC9"/>
    <w:rsid w:val="00835F36"/>
    <w:rsid w:val="00835F58"/>
    <w:rsid w:val="00836143"/>
    <w:rsid w:val="0083630C"/>
    <w:rsid w:val="0083639D"/>
    <w:rsid w:val="008365C2"/>
    <w:rsid w:val="008365E7"/>
    <w:rsid w:val="008367CD"/>
    <w:rsid w:val="00836880"/>
    <w:rsid w:val="008369FD"/>
    <w:rsid w:val="00836AE4"/>
    <w:rsid w:val="00836C53"/>
    <w:rsid w:val="00836CE2"/>
    <w:rsid w:val="00836D78"/>
    <w:rsid w:val="00836D9B"/>
    <w:rsid w:val="00836F61"/>
    <w:rsid w:val="0083703C"/>
    <w:rsid w:val="008371F0"/>
    <w:rsid w:val="008372BE"/>
    <w:rsid w:val="008374E7"/>
    <w:rsid w:val="0083792E"/>
    <w:rsid w:val="00837979"/>
    <w:rsid w:val="00837ADC"/>
    <w:rsid w:val="00837BA2"/>
    <w:rsid w:val="00837C40"/>
    <w:rsid w:val="00837CDE"/>
    <w:rsid w:val="00837F66"/>
    <w:rsid w:val="00837F83"/>
    <w:rsid w:val="00837F93"/>
    <w:rsid w:val="00837FA9"/>
    <w:rsid w:val="00837FB6"/>
    <w:rsid w:val="0084001D"/>
    <w:rsid w:val="008401E9"/>
    <w:rsid w:val="00840481"/>
    <w:rsid w:val="008405B1"/>
    <w:rsid w:val="008405B5"/>
    <w:rsid w:val="0084079D"/>
    <w:rsid w:val="00840BC0"/>
    <w:rsid w:val="00840C8D"/>
    <w:rsid w:val="00840EF7"/>
    <w:rsid w:val="00841035"/>
    <w:rsid w:val="00841201"/>
    <w:rsid w:val="008412EA"/>
    <w:rsid w:val="00841388"/>
    <w:rsid w:val="00841409"/>
    <w:rsid w:val="0084163F"/>
    <w:rsid w:val="0084170E"/>
    <w:rsid w:val="008418B3"/>
    <w:rsid w:val="008418C2"/>
    <w:rsid w:val="008418C8"/>
    <w:rsid w:val="00841A02"/>
    <w:rsid w:val="00841E14"/>
    <w:rsid w:val="00841E6A"/>
    <w:rsid w:val="00841EFB"/>
    <w:rsid w:val="00841F44"/>
    <w:rsid w:val="00841F87"/>
    <w:rsid w:val="00842013"/>
    <w:rsid w:val="00842105"/>
    <w:rsid w:val="008422C6"/>
    <w:rsid w:val="00842304"/>
    <w:rsid w:val="00842482"/>
    <w:rsid w:val="00842497"/>
    <w:rsid w:val="008427A2"/>
    <w:rsid w:val="008427F7"/>
    <w:rsid w:val="00842884"/>
    <w:rsid w:val="008428F0"/>
    <w:rsid w:val="0084295C"/>
    <w:rsid w:val="00842BD8"/>
    <w:rsid w:val="00842C82"/>
    <w:rsid w:val="00842CD0"/>
    <w:rsid w:val="0084311F"/>
    <w:rsid w:val="0084326E"/>
    <w:rsid w:val="0084340F"/>
    <w:rsid w:val="00843559"/>
    <w:rsid w:val="008436D7"/>
    <w:rsid w:val="008436F2"/>
    <w:rsid w:val="008437FD"/>
    <w:rsid w:val="008439A3"/>
    <w:rsid w:val="008439E0"/>
    <w:rsid w:val="00843AD9"/>
    <w:rsid w:val="00843B7C"/>
    <w:rsid w:val="00843B86"/>
    <w:rsid w:val="00843D01"/>
    <w:rsid w:val="00843E6E"/>
    <w:rsid w:val="00843EA7"/>
    <w:rsid w:val="00843F01"/>
    <w:rsid w:val="0084408C"/>
    <w:rsid w:val="008440FE"/>
    <w:rsid w:val="00844368"/>
    <w:rsid w:val="008444C4"/>
    <w:rsid w:val="0084467D"/>
    <w:rsid w:val="008447D7"/>
    <w:rsid w:val="008448B6"/>
    <w:rsid w:val="00844C07"/>
    <w:rsid w:val="00844D60"/>
    <w:rsid w:val="00844DF3"/>
    <w:rsid w:val="00844FE5"/>
    <w:rsid w:val="0084506F"/>
    <w:rsid w:val="008450A4"/>
    <w:rsid w:val="0084539B"/>
    <w:rsid w:val="00845428"/>
    <w:rsid w:val="0084549C"/>
    <w:rsid w:val="008454D0"/>
    <w:rsid w:val="008455A6"/>
    <w:rsid w:val="008458D5"/>
    <w:rsid w:val="00845906"/>
    <w:rsid w:val="00845A95"/>
    <w:rsid w:val="00845AEA"/>
    <w:rsid w:val="00845B27"/>
    <w:rsid w:val="00845BF4"/>
    <w:rsid w:val="00845C45"/>
    <w:rsid w:val="00845DEC"/>
    <w:rsid w:val="00845E5F"/>
    <w:rsid w:val="00845EB8"/>
    <w:rsid w:val="00846119"/>
    <w:rsid w:val="0084611C"/>
    <w:rsid w:val="008462D6"/>
    <w:rsid w:val="008463B9"/>
    <w:rsid w:val="00846430"/>
    <w:rsid w:val="00846538"/>
    <w:rsid w:val="00846660"/>
    <w:rsid w:val="00846687"/>
    <w:rsid w:val="00846AD7"/>
    <w:rsid w:val="00846B0A"/>
    <w:rsid w:val="00846BAA"/>
    <w:rsid w:val="00846BF7"/>
    <w:rsid w:val="00846C84"/>
    <w:rsid w:val="00846C9D"/>
    <w:rsid w:val="00846CB1"/>
    <w:rsid w:val="00846D3A"/>
    <w:rsid w:val="0084706B"/>
    <w:rsid w:val="008470AC"/>
    <w:rsid w:val="008471E1"/>
    <w:rsid w:val="00847304"/>
    <w:rsid w:val="008473E4"/>
    <w:rsid w:val="008474E3"/>
    <w:rsid w:val="00847723"/>
    <w:rsid w:val="00847933"/>
    <w:rsid w:val="00847A6F"/>
    <w:rsid w:val="00847B72"/>
    <w:rsid w:val="00847CDF"/>
    <w:rsid w:val="00847E22"/>
    <w:rsid w:val="00847F6B"/>
    <w:rsid w:val="00847F72"/>
    <w:rsid w:val="0085010A"/>
    <w:rsid w:val="00850548"/>
    <w:rsid w:val="0085062A"/>
    <w:rsid w:val="00850630"/>
    <w:rsid w:val="00850789"/>
    <w:rsid w:val="00850924"/>
    <w:rsid w:val="00850C20"/>
    <w:rsid w:val="00850E65"/>
    <w:rsid w:val="00850EC8"/>
    <w:rsid w:val="00851050"/>
    <w:rsid w:val="00851171"/>
    <w:rsid w:val="00851233"/>
    <w:rsid w:val="00851257"/>
    <w:rsid w:val="008512E9"/>
    <w:rsid w:val="00851459"/>
    <w:rsid w:val="00851548"/>
    <w:rsid w:val="008515CB"/>
    <w:rsid w:val="00851630"/>
    <w:rsid w:val="008516C5"/>
    <w:rsid w:val="00851752"/>
    <w:rsid w:val="008517BF"/>
    <w:rsid w:val="008518B3"/>
    <w:rsid w:val="0085199D"/>
    <w:rsid w:val="00851AFA"/>
    <w:rsid w:val="00851BB9"/>
    <w:rsid w:val="00851DF3"/>
    <w:rsid w:val="00851E0E"/>
    <w:rsid w:val="00851EBE"/>
    <w:rsid w:val="008520E3"/>
    <w:rsid w:val="00852103"/>
    <w:rsid w:val="00852118"/>
    <w:rsid w:val="0085211E"/>
    <w:rsid w:val="008521F0"/>
    <w:rsid w:val="008523C7"/>
    <w:rsid w:val="00852411"/>
    <w:rsid w:val="0085259C"/>
    <w:rsid w:val="00852789"/>
    <w:rsid w:val="008527ED"/>
    <w:rsid w:val="00852848"/>
    <w:rsid w:val="0085291F"/>
    <w:rsid w:val="0085295B"/>
    <w:rsid w:val="008529C1"/>
    <w:rsid w:val="00852AB7"/>
    <w:rsid w:val="00852B2C"/>
    <w:rsid w:val="00852B7A"/>
    <w:rsid w:val="00852F79"/>
    <w:rsid w:val="0085323A"/>
    <w:rsid w:val="008532E2"/>
    <w:rsid w:val="00853341"/>
    <w:rsid w:val="00853502"/>
    <w:rsid w:val="0085364C"/>
    <w:rsid w:val="008537F7"/>
    <w:rsid w:val="008537FE"/>
    <w:rsid w:val="00853EA0"/>
    <w:rsid w:val="00854321"/>
    <w:rsid w:val="00854383"/>
    <w:rsid w:val="0085452F"/>
    <w:rsid w:val="008546BE"/>
    <w:rsid w:val="0085486B"/>
    <w:rsid w:val="00854CF2"/>
    <w:rsid w:val="00854E0A"/>
    <w:rsid w:val="00854EAD"/>
    <w:rsid w:val="00854EC1"/>
    <w:rsid w:val="00854ED5"/>
    <w:rsid w:val="00854FB3"/>
    <w:rsid w:val="00854FD6"/>
    <w:rsid w:val="00854FF3"/>
    <w:rsid w:val="0085502F"/>
    <w:rsid w:val="008550A8"/>
    <w:rsid w:val="00855292"/>
    <w:rsid w:val="00855348"/>
    <w:rsid w:val="00855426"/>
    <w:rsid w:val="00855553"/>
    <w:rsid w:val="008555D1"/>
    <w:rsid w:val="00855636"/>
    <w:rsid w:val="008558F0"/>
    <w:rsid w:val="00855958"/>
    <w:rsid w:val="008559BB"/>
    <w:rsid w:val="00855B27"/>
    <w:rsid w:val="00855EB3"/>
    <w:rsid w:val="00855F13"/>
    <w:rsid w:val="00855F8A"/>
    <w:rsid w:val="00856074"/>
    <w:rsid w:val="008560D8"/>
    <w:rsid w:val="0085626A"/>
    <w:rsid w:val="00856299"/>
    <w:rsid w:val="008562DB"/>
    <w:rsid w:val="008563F7"/>
    <w:rsid w:val="00856509"/>
    <w:rsid w:val="008565B4"/>
    <w:rsid w:val="008565C8"/>
    <w:rsid w:val="008565FF"/>
    <w:rsid w:val="0085661C"/>
    <w:rsid w:val="0085666E"/>
    <w:rsid w:val="00856B48"/>
    <w:rsid w:val="00856C48"/>
    <w:rsid w:val="00856DC9"/>
    <w:rsid w:val="0085714B"/>
    <w:rsid w:val="00857306"/>
    <w:rsid w:val="008574A1"/>
    <w:rsid w:val="00857683"/>
    <w:rsid w:val="00857771"/>
    <w:rsid w:val="00857949"/>
    <w:rsid w:val="00857A4D"/>
    <w:rsid w:val="00857B6E"/>
    <w:rsid w:val="00857C5E"/>
    <w:rsid w:val="00857C91"/>
    <w:rsid w:val="00857D81"/>
    <w:rsid w:val="00857F71"/>
    <w:rsid w:val="00860032"/>
    <w:rsid w:val="00860041"/>
    <w:rsid w:val="008600C1"/>
    <w:rsid w:val="008600C3"/>
    <w:rsid w:val="008600D8"/>
    <w:rsid w:val="008600EB"/>
    <w:rsid w:val="008603F8"/>
    <w:rsid w:val="0086041C"/>
    <w:rsid w:val="00860431"/>
    <w:rsid w:val="008604A6"/>
    <w:rsid w:val="008604F3"/>
    <w:rsid w:val="008605E5"/>
    <w:rsid w:val="00860634"/>
    <w:rsid w:val="0086085E"/>
    <w:rsid w:val="00860950"/>
    <w:rsid w:val="00860A37"/>
    <w:rsid w:val="00860B05"/>
    <w:rsid w:val="00860BEC"/>
    <w:rsid w:val="00860DFF"/>
    <w:rsid w:val="00860F74"/>
    <w:rsid w:val="00860FA4"/>
    <w:rsid w:val="00860FB3"/>
    <w:rsid w:val="0086129B"/>
    <w:rsid w:val="00861373"/>
    <w:rsid w:val="00861380"/>
    <w:rsid w:val="00861441"/>
    <w:rsid w:val="008616E8"/>
    <w:rsid w:val="00861788"/>
    <w:rsid w:val="00861AF6"/>
    <w:rsid w:val="00861B58"/>
    <w:rsid w:val="00861B5D"/>
    <w:rsid w:val="00861C98"/>
    <w:rsid w:val="00861E23"/>
    <w:rsid w:val="00861E53"/>
    <w:rsid w:val="00861F71"/>
    <w:rsid w:val="00861F84"/>
    <w:rsid w:val="008622B6"/>
    <w:rsid w:val="008622ED"/>
    <w:rsid w:val="008627D9"/>
    <w:rsid w:val="00862832"/>
    <w:rsid w:val="00862A2C"/>
    <w:rsid w:val="00862B58"/>
    <w:rsid w:val="00862E1F"/>
    <w:rsid w:val="00862EC0"/>
    <w:rsid w:val="0086328E"/>
    <w:rsid w:val="008632E5"/>
    <w:rsid w:val="0086335B"/>
    <w:rsid w:val="00863390"/>
    <w:rsid w:val="0086345D"/>
    <w:rsid w:val="008634DD"/>
    <w:rsid w:val="008636A4"/>
    <w:rsid w:val="008637B1"/>
    <w:rsid w:val="00863891"/>
    <w:rsid w:val="00863963"/>
    <w:rsid w:val="00863C8F"/>
    <w:rsid w:val="00863DC9"/>
    <w:rsid w:val="00863E4C"/>
    <w:rsid w:val="00863F02"/>
    <w:rsid w:val="00863F88"/>
    <w:rsid w:val="0086402D"/>
    <w:rsid w:val="00864041"/>
    <w:rsid w:val="0086407C"/>
    <w:rsid w:val="00864142"/>
    <w:rsid w:val="0086419A"/>
    <w:rsid w:val="008642BF"/>
    <w:rsid w:val="008642E8"/>
    <w:rsid w:val="00864506"/>
    <w:rsid w:val="00864526"/>
    <w:rsid w:val="008645BF"/>
    <w:rsid w:val="00864646"/>
    <w:rsid w:val="008648C2"/>
    <w:rsid w:val="008648DC"/>
    <w:rsid w:val="00864B12"/>
    <w:rsid w:val="00864BAF"/>
    <w:rsid w:val="00864BB5"/>
    <w:rsid w:val="00864BE2"/>
    <w:rsid w:val="00864C40"/>
    <w:rsid w:val="00864E47"/>
    <w:rsid w:val="00864E50"/>
    <w:rsid w:val="00864E91"/>
    <w:rsid w:val="00864F5A"/>
    <w:rsid w:val="00864F8C"/>
    <w:rsid w:val="00865018"/>
    <w:rsid w:val="0086519E"/>
    <w:rsid w:val="008651F8"/>
    <w:rsid w:val="008652FB"/>
    <w:rsid w:val="0086538A"/>
    <w:rsid w:val="008653D3"/>
    <w:rsid w:val="0086542E"/>
    <w:rsid w:val="0086546B"/>
    <w:rsid w:val="008654B4"/>
    <w:rsid w:val="00865599"/>
    <w:rsid w:val="008655E3"/>
    <w:rsid w:val="00865725"/>
    <w:rsid w:val="00865A99"/>
    <w:rsid w:val="00865AC9"/>
    <w:rsid w:val="00865BB3"/>
    <w:rsid w:val="00865D6E"/>
    <w:rsid w:val="00865E22"/>
    <w:rsid w:val="00865F07"/>
    <w:rsid w:val="00865F94"/>
    <w:rsid w:val="008660A8"/>
    <w:rsid w:val="008661B8"/>
    <w:rsid w:val="008664CD"/>
    <w:rsid w:val="00866945"/>
    <w:rsid w:val="00866A68"/>
    <w:rsid w:val="00866B01"/>
    <w:rsid w:val="00866B08"/>
    <w:rsid w:val="00866BA0"/>
    <w:rsid w:val="00866BD8"/>
    <w:rsid w:val="00866C9D"/>
    <w:rsid w:val="00866D75"/>
    <w:rsid w:val="00866E76"/>
    <w:rsid w:val="0086734C"/>
    <w:rsid w:val="0086737C"/>
    <w:rsid w:val="00867534"/>
    <w:rsid w:val="00867537"/>
    <w:rsid w:val="0086762D"/>
    <w:rsid w:val="00867678"/>
    <w:rsid w:val="0086771D"/>
    <w:rsid w:val="00867774"/>
    <w:rsid w:val="00867851"/>
    <w:rsid w:val="0086799E"/>
    <w:rsid w:val="00867A27"/>
    <w:rsid w:val="00867D89"/>
    <w:rsid w:val="00867E57"/>
    <w:rsid w:val="00867EBB"/>
    <w:rsid w:val="008701E1"/>
    <w:rsid w:val="00870221"/>
    <w:rsid w:val="008704BC"/>
    <w:rsid w:val="00870502"/>
    <w:rsid w:val="008706A6"/>
    <w:rsid w:val="00870D5C"/>
    <w:rsid w:val="00870E30"/>
    <w:rsid w:val="00870F4D"/>
    <w:rsid w:val="00871149"/>
    <w:rsid w:val="00871336"/>
    <w:rsid w:val="008715A8"/>
    <w:rsid w:val="00871814"/>
    <w:rsid w:val="00871842"/>
    <w:rsid w:val="00871849"/>
    <w:rsid w:val="0087185C"/>
    <w:rsid w:val="008719F2"/>
    <w:rsid w:val="00871A2E"/>
    <w:rsid w:val="00871D59"/>
    <w:rsid w:val="00871F17"/>
    <w:rsid w:val="00871F18"/>
    <w:rsid w:val="00872173"/>
    <w:rsid w:val="008722D6"/>
    <w:rsid w:val="00872479"/>
    <w:rsid w:val="00872523"/>
    <w:rsid w:val="0087267C"/>
    <w:rsid w:val="008726BE"/>
    <w:rsid w:val="0087277A"/>
    <w:rsid w:val="008729DA"/>
    <w:rsid w:val="00872A1B"/>
    <w:rsid w:val="00872A47"/>
    <w:rsid w:val="00872ABF"/>
    <w:rsid w:val="00872B22"/>
    <w:rsid w:val="00872B87"/>
    <w:rsid w:val="00872BA2"/>
    <w:rsid w:val="008732D7"/>
    <w:rsid w:val="00873371"/>
    <w:rsid w:val="00873468"/>
    <w:rsid w:val="008734BC"/>
    <w:rsid w:val="008735A7"/>
    <w:rsid w:val="00873684"/>
    <w:rsid w:val="008736A2"/>
    <w:rsid w:val="008736E2"/>
    <w:rsid w:val="0087371E"/>
    <w:rsid w:val="008737CF"/>
    <w:rsid w:val="008737D2"/>
    <w:rsid w:val="008739F4"/>
    <w:rsid w:val="008739F7"/>
    <w:rsid w:val="00873B00"/>
    <w:rsid w:val="00873BA2"/>
    <w:rsid w:val="00873C8E"/>
    <w:rsid w:val="00873CB6"/>
    <w:rsid w:val="00873D3F"/>
    <w:rsid w:val="00873D67"/>
    <w:rsid w:val="00873DC1"/>
    <w:rsid w:val="00873F55"/>
    <w:rsid w:val="00873F99"/>
    <w:rsid w:val="008741D2"/>
    <w:rsid w:val="00874411"/>
    <w:rsid w:val="00874457"/>
    <w:rsid w:val="00874467"/>
    <w:rsid w:val="008744AE"/>
    <w:rsid w:val="00874565"/>
    <w:rsid w:val="0087465A"/>
    <w:rsid w:val="00874674"/>
    <w:rsid w:val="008747F9"/>
    <w:rsid w:val="00874938"/>
    <w:rsid w:val="00874C63"/>
    <w:rsid w:val="00874FD3"/>
    <w:rsid w:val="00875363"/>
    <w:rsid w:val="008756D8"/>
    <w:rsid w:val="008759A2"/>
    <w:rsid w:val="008759CC"/>
    <w:rsid w:val="008759EC"/>
    <w:rsid w:val="00875A67"/>
    <w:rsid w:val="00875A72"/>
    <w:rsid w:val="00875AB3"/>
    <w:rsid w:val="00875B77"/>
    <w:rsid w:val="00875BE5"/>
    <w:rsid w:val="00875E9D"/>
    <w:rsid w:val="00875F02"/>
    <w:rsid w:val="00875F03"/>
    <w:rsid w:val="00875F05"/>
    <w:rsid w:val="00876096"/>
    <w:rsid w:val="0087611C"/>
    <w:rsid w:val="008761B6"/>
    <w:rsid w:val="008763E1"/>
    <w:rsid w:val="00876402"/>
    <w:rsid w:val="00876509"/>
    <w:rsid w:val="00876649"/>
    <w:rsid w:val="00876787"/>
    <w:rsid w:val="008767FA"/>
    <w:rsid w:val="00876846"/>
    <w:rsid w:val="00876869"/>
    <w:rsid w:val="0087686E"/>
    <w:rsid w:val="00876878"/>
    <w:rsid w:val="008768E6"/>
    <w:rsid w:val="00876CD6"/>
    <w:rsid w:val="00876CE9"/>
    <w:rsid w:val="00876D1B"/>
    <w:rsid w:val="00876E1A"/>
    <w:rsid w:val="00876EFE"/>
    <w:rsid w:val="00876FAD"/>
    <w:rsid w:val="00877036"/>
    <w:rsid w:val="008770DC"/>
    <w:rsid w:val="00877107"/>
    <w:rsid w:val="00877247"/>
    <w:rsid w:val="00877362"/>
    <w:rsid w:val="00877385"/>
    <w:rsid w:val="008773C0"/>
    <w:rsid w:val="008773EF"/>
    <w:rsid w:val="00877418"/>
    <w:rsid w:val="00877460"/>
    <w:rsid w:val="00877496"/>
    <w:rsid w:val="00877695"/>
    <w:rsid w:val="0087772F"/>
    <w:rsid w:val="00877B99"/>
    <w:rsid w:val="00877BE4"/>
    <w:rsid w:val="00877C28"/>
    <w:rsid w:val="00877EA0"/>
    <w:rsid w:val="00877EF2"/>
    <w:rsid w:val="008801AE"/>
    <w:rsid w:val="00880240"/>
    <w:rsid w:val="008802A5"/>
    <w:rsid w:val="0088037E"/>
    <w:rsid w:val="008804A5"/>
    <w:rsid w:val="00880517"/>
    <w:rsid w:val="0088076E"/>
    <w:rsid w:val="00880773"/>
    <w:rsid w:val="00880787"/>
    <w:rsid w:val="00880869"/>
    <w:rsid w:val="00880AA3"/>
    <w:rsid w:val="00880B23"/>
    <w:rsid w:val="00880CA2"/>
    <w:rsid w:val="00880D0B"/>
    <w:rsid w:val="00880D0C"/>
    <w:rsid w:val="00880DC9"/>
    <w:rsid w:val="00880DF0"/>
    <w:rsid w:val="00880E5D"/>
    <w:rsid w:val="00880E6D"/>
    <w:rsid w:val="00880E91"/>
    <w:rsid w:val="00880F58"/>
    <w:rsid w:val="00880FD8"/>
    <w:rsid w:val="00880FF8"/>
    <w:rsid w:val="00881035"/>
    <w:rsid w:val="00881189"/>
    <w:rsid w:val="008812F1"/>
    <w:rsid w:val="00881468"/>
    <w:rsid w:val="008817FB"/>
    <w:rsid w:val="008818A9"/>
    <w:rsid w:val="008818ED"/>
    <w:rsid w:val="0088198A"/>
    <w:rsid w:val="00881A90"/>
    <w:rsid w:val="00881A91"/>
    <w:rsid w:val="00881B65"/>
    <w:rsid w:val="00881D30"/>
    <w:rsid w:val="00881E29"/>
    <w:rsid w:val="00881F0A"/>
    <w:rsid w:val="0088250E"/>
    <w:rsid w:val="00882916"/>
    <w:rsid w:val="00882970"/>
    <w:rsid w:val="00882B2F"/>
    <w:rsid w:val="00882B98"/>
    <w:rsid w:val="00882D1B"/>
    <w:rsid w:val="00882E0F"/>
    <w:rsid w:val="008830D9"/>
    <w:rsid w:val="008831A7"/>
    <w:rsid w:val="00883319"/>
    <w:rsid w:val="008835AA"/>
    <w:rsid w:val="008838D1"/>
    <w:rsid w:val="008839FE"/>
    <w:rsid w:val="00883A11"/>
    <w:rsid w:val="00883C1B"/>
    <w:rsid w:val="00883C4F"/>
    <w:rsid w:val="00883C98"/>
    <w:rsid w:val="00883CC5"/>
    <w:rsid w:val="00883D6E"/>
    <w:rsid w:val="00884064"/>
    <w:rsid w:val="00884132"/>
    <w:rsid w:val="0088421C"/>
    <w:rsid w:val="00884244"/>
    <w:rsid w:val="0088424E"/>
    <w:rsid w:val="008842CC"/>
    <w:rsid w:val="00884382"/>
    <w:rsid w:val="008843DD"/>
    <w:rsid w:val="0088445B"/>
    <w:rsid w:val="008844C2"/>
    <w:rsid w:val="008845B9"/>
    <w:rsid w:val="00884738"/>
    <w:rsid w:val="0088485F"/>
    <w:rsid w:val="00884994"/>
    <w:rsid w:val="00884A36"/>
    <w:rsid w:val="00884E4C"/>
    <w:rsid w:val="00884E7F"/>
    <w:rsid w:val="00884F0D"/>
    <w:rsid w:val="00884FC2"/>
    <w:rsid w:val="008852ED"/>
    <w:rsid w:val="008854DE"/>
    <w:rsid w:val="008856C6"/>
    <w:rsid w:val="008857AA"/>
    <w:rsid w:val="008858B7"/>
    <w:rsid w:val="00885AD6"/>
    <w:rsid w:val="00885B16"/>
    <w:rsid w:val="0088608B"/>
    <w:rsid w:val="008861F9"/>
    <w:rsid w:val="0088652D"/>
    <w:rsid w:val="0088652E"/>
    <w:rsid w:val="008866C8"/>
    <w:rsid w:val="008867A8"/>
    <w:rsid w:val="008867F8"/>
    <w:rsid w:val="008869DB"/>
    <w:rsid w:val="008869FE"/>
    <w:rsid w:val="00886A04"/>
    <w:rsid w:val="00886A0B"/>
    <w:rsid w:val="00886A54"/>
    <w:rsid w:val="00886E5F"/>
    <w:rsid w:val="00886F4E"/>
    <w:rsid w:val="008870ED"/>
    <w:rsid w:val="008871E2"/>
    <w:rsid w:val="0088725C"/>
    <w:rsid w:val="00887262"/>
    <w:rsid w:val="008873A6"/>
    <w:rsid w:val="00887572"/>
    <w:rsid w:val="008875A8"/>
    <w:rsid w:val="00887820"/>
    <w:rsid w:val="0088785C"/>
    <w:rsid w:val="008879A9"/>
    <w:rsid w:val="008879BD"/>
    <w:rsid w:val="00887A48"/>
    <w:rsid w:val="00887D37"/>
    <w:rsid w:val="00887DC1"/>
    <w:rsid w:val="00887E45"/>
    <w:rsid w:val="00890031"/>
    <w:rsid w:val="0089009E"/>
    <w:rsid w:val="0089036E"/>
    <w:rsid w:val="00890444"/>
    <w:rsid w:val="008905CE"/>
    <w:rsid w:val="008905EB"/>
    <w:rsid w:val="008907B0"/>
    <w:rsid w:val="00890DBC"/>
    <w:rsid w:val="00890DFE"/>
    <w:rsid w:val="008911D2"/>
    <w:rsid w:val="0089121B"/>
    <w:rsid w:val="008912FE"/>
    <w:rsid w:val="0089145E"/>
    <w:rsid w:val="00891479"/>
    <w:rsid w:val="008914BE"/>
    <w:rsid w:val="008915D4"/>
    <w:rsid w:val="00891705"/>
    <w:rsid w:val="008917DF"/>
    <w:rsid w:val="008918D6"/>
    <w:rsid w:val="00891939"/>
    <w:rsid w:val="00891964"/>
    <w:rsid w:val="00891AF6"/>
    <w:rsid w:val="00891B74"/>
    <w:rsid w:val="00891BA6"/>
    <w:rsid w:val="00891BC3"/>
    <w:rsid w:val="00891E31"/>
    <w:rsid w:val="00891EEE"/>
    <w:rsid w:val="00892029"/>
    <w:rsid w:val="00892030"/>
    <w:rsid w:val="0089203E"/>
    <w:rsid w:val="008922B9"/>
    <w:rsid w:val="0089232D"/>
    <w:rsid w:val="00892692"/>
    <w:rsid w:val="00892708"/>
    <w:rsid w:val="00892790"/>
    <w:rsid w:val="008927E0"/>
    <w:rsid w:val="00892957"/>
    <w:rsid w:val="00892C54"/>
    <w:rsid w:val="00892DDD"/>
    <w:rsid w:val="00892E4F"/>
    <w:rsid w:val="00892EBA"/>
    <w:rsid w:val="00893181"/>
    <w:rsid w:val="00893343"/>
    <w:rsid w:val="0089346D"/>
    <w:rsid w:val="008936F0"/>
    <w:rsid w:val="00893773"/>
    <w:rsid w:val="008937C8"/>
    <w:rsid w:val="00893955"/>
    <w:rsid w:val="00893A19"/>
    <w:rsid w:val="00893A23"/>
    <w:rsid w:val="00893B32"/>
    <w:rsid w:val="00893DBF"/>
    <w:rsid w:val="00893E19"/>
    <w:rsid w:val="00893F27"/>
    <w:rsid w:val="0089454B"/>
    <w:rsid w:val="008945AA"/>
    <w:rsid w:val="008945FE"/>
    <w:rsid w:val="008947A1"/>
    <w:rsid w:val="00894875"/>
    <w:rsid w:val="00894BF8"/>
    <w:rsid w:val="00894C1E"/>
    <w:rsid w:val="00894EAD"/>
    <w:rsid w:val="00894F00"/>
    <w:rsid w:val="008952D6"/>
    <w:rsid w:val="00895416"/>
    <w:rsid w:val="008956C1"/>
    <w:rsid w:val="008956E1"/>
    <w:rsid w:val="00895A34"/>
    <w:rsid w:val="00895C0E"/>
    <w:rsid w:val="00895FAF"/>
    <w:rsid w:val="00895FC3"/>
    <w:rsid w:val="00896061"/>
    <w:rsid w:val="008962A6"/>
    <w:rsid w:val="0089641E"/>
    <w:rsid w:val="00896435"/>
    <w:rsid w:val="00896577"/>
    <w:rsid w:val="00896616"/>
    <w:rsid w:val="00896632"/>
    <w:rsid w:val="008967C4"/>
    <w:rsid w:val="008968A0"/>
    <w:rsid w:val="00896A42"/>
    <w:rsid w:val="00896ADB"/>
    <w:rsid w:val="00897047"/>
    <w:rsid w:val="00897216"/>
    <w:rsid w:val="0089729E"/>
    <w:rsid w:val="00897458"/>
    <w:rsid w:val="008976A4"/>
    <w:rsid w:val="008977E7"/>
    <w:rsid w:val="00897847"/>
    <w:rsid w:val="0089789E"/>
    <w:rsid w:val="00897DA4"/>
    <w:rsid w:val="008A0056"/>
    <w:rsid w:val="008A00CB"/>
    <w:rsid w:val="008A0B30"/>
    <w:rsid w:val="008A0B66"/>
    <w:rsid w:val="008A0BE6"/>
    <w:rsid w:val="008A0D2A"/>
    <w:rsid w:val="008A1016"/>
    <w:rsid w:val="008A110F"/>
    <w:rsid w:val="008A1168"/>
    <w:rsid w:val="008A11EC"/>
    <w:rsid w:val="008A1629"/>
    <w:rsid w:val="008A1687"/>
    <w:rsid w:val="008A1693"/>
    <w:rsid w:val="008A16E3"/>
    <w:rsid w:val="008A17AB"/>
    <w:rsid w:val="008A18C1"/>
    <w:rsid w:val="008A1931"/>
    <w:rsid w:val="008A199A"/>
    <w:rsid w:val="008A1BFE"/>
    <w:rsid w:val="008A1C5F"/>
    <w:rsid w:val="008A1C60"/>
    <w:rsid w:val="008A1D78"/>
    <w:rsid w:val="008A1E80"/>
    <w:rsid w:val="008A213E"/>
    <w:rsid w:val="008A2164"/>
    <w:rsid w:val="008A22E7"/>
    <w:rsid w:val="008A23FA"/>
    <w:rsid w:val="008A254F"/>
    <w:rsid w:val="008A25FE"/>
    <w:rsid w:val="008A2630"/>
    <w:rsid w:val="008A26E1"/>
    <w:rsid w:val="008A271C"/>
    <w:rsid w:val="008A27A1"/>
    <w:rsid w:val="008A295A"/>
    <w:rsid w:val="008A2A17"/>
    <w:rsid w:val="008A2B14"/>
    <w:rsid w:val="008A2B3C"/>
    <w:rsid w:val="008A2BA2"/>
    <w:rsid w:val="008A2BF9"/>
    <w:rsid w:val="008A2C2F"/>
    <w:rsid w:val="008A2D81"/>
    <w:rsid w:val="008A2DFA"/>
    <w:rsid w:val="008A2E94"/>
    <w:rsid w:val="008A2E9E"/>
    <w:rsid w:val="008A2F01"/>
    <w:rsid w:val="008A3020"/>
    <w:rsid w:val="008A325F"/>
    <w:rsid w:val="008A33AE"/>
    <w:rsid w:val="008A33DF"/>
    <w:rsid w:val="008A3590"/>
    <w:rsid w:val="008A3664"/>
    <w:rsid w:val="008A3669"/>
    <w:rsid w:val="008A3783"/>
    <w:rsid w:val="008A381F"/>
    <w:rsid w:val="008A3C06"/>
    <w:rsid w:val="008A3C16"/>
    <w:rsid w:val="008A3C22"/>
    <w:rsid w:val="008A3C3B"/>
    <w:rsid w:val="008A3F9B"/>
    <w:rsid w:val="008A4190"/>
    <w:rsid w:val="008A4282"/>
    <w:rsid w:val="008A4454"/>
    <w:rsid w:val="008A4688"/>
    <w:rsid w:val="008A46B4"/>
    <w:rsid w:val="008A4797"/>
    <w:rsid w:val="008A4798"/>
    <w:rsid w:val="008A479E"/>
    <w:rsid w:val="008A4815"/>
    <w:rsid w:val="008A48E5"/>
    <w:rsid w:val="008A4952"/>
    <w:rsid w:val="008A4AA0"/>
    <w:rsid w:val="008A4E4A"/>
    <w:rsid w:val="008A4FC2"/>
    <w:rsid w:val="008A5047"/>
    <w:rsid w:val="008A581E"/>
    <w:rsid w:val="008A5833"/>
    <w:rsid w:val="008A5834"/>
    <w:rsid w:val="008A584E"/>
    <w:rsid w:val="008A5A2A"/>
    <w:rsid w:val="008A5BE5"/>
    <w:rsid w:val="008A5D28"/>
    <w:rsid w:val="008A5DD2"/>
    <w:rsid w:val="008A5EEA"/>
    <w:rsid w:val="008A5F1A"/>
    <w:rsid w:val="008A6164"/>
    <w:rsid w:val="008A64BD"/>
    <w:rsid w:val="008A6598"/>
    <w:rsid w:val="008A681F"/>
    <w:rsid w:val="008A6860"/>
    <w:rsid w:val="008A6CCF"/>
    <w:rsid w:val="008A6D4D"/>
    <w:rsid w:val="008A6DDD"/>
    <w:rsid w:val="008A6EBC"/>
    <w:rsid w:val="008A70A9"/>
    <w:rsid w:val="008A70BD"/>
    <w:rsid w:val="008A7191"/>
    <w:rsid w:val="008A725D"/>
    <w:rsid w:val="008A740E"/>
    <w:rsid w:val="008A75D1"/>
    <w:rsid w:val="008A7BC4"/>
    <w:rsid w:val="008A7D1B"/>
    <w:rsid w:val="008A7E76"/>
    <w:rsid w:val="008B03F1"/>
    <w:rsid w:val="008B04E7"/>
    <w:rsid w:val="008B0555"/>
    <w:rsid w:val="008B0563"/>
    <w:rsid w:val="008B0715"/>
    <w:rsid w:val="008B0740"/>
    <w:rsid w:val="008B074D"/>
    <w:rsid w:val="008B0867"/>
    <w:rsid w:val="008B0AFC"/>
    <w:rsid w:val="008B0D4A"/>
    <w:rsid w:val="008B0E81"/>
    <w:rsid w:val="008B0E9E"/>
    <w:rsid w:val="008B0EED"/>
    <w:rsid w:val="008B0F05"/>
    <w:rsid w:val="008B1102"/>
    <w:rsid w:val="008B124A"/>
    <w:rsid w:val="008B128C"/>
    <w:rsid w:val="008B1346"/>
    <w:rsid w:val="008B13BB"/>
    <w:rsid w:val="008B1644"/>
    <w:rsid w:val="008B168A"/>
    <w:rsid w:val="008B16F3"/>
    <w:rsid w:val="008B1713"/>
    <w:rsid w:val="008B17ED"/>
    <w:rsid w:val="008B18A7"/>
    <w:rsid w:val="008B1929"/>
    <w:rsid w:val="008B1A08"/>
    <w:rsid w:val="008B1A1C"/>
    <w:rsid w:val="008B1A47"/>
    <w:rsid w:val="008B1AA1"/>
    <w:rsid w:val="008B1BCE"/>
    <w:rsid w:val="008B1CE1"/>
    <w:rsid w:val="008B1D56"/>
    <w:rsid w:val="008B20D5"/>
    <w:rsid w:val="008B22F4"/>
    <w:rsid w:val="008B263E"/>
    <w:rsid w:val="008B26A7"/>
    <w:rsid w:val="008B28A4"/>
    <w:rsid w:val="008B2A52"/>
    <w:rsid w:val="008B2A9C"/>
    <w:rsid w:val="008B311A"/>
    <w:rsid w:val="008B312E"/>
    <w:rsid w:val="008B3163"/>
    <w:rsid w:val="008B3210"/>
    <w:rsid w:val="008B3315"/>
    <w:rsid w:val="008B3373"/>
    <w:rsid w:val="008B3415"/>
    <w:rsid w:val="008B3574"/>
    <w:rsid w:val="008B3602"/>
    <w:rsid w:val="008B3772"/>
    <w:rsid w:val="008B3A60"/>
    <w:rsid w:val="008B3A88"/>
    <w:rsid w:val="008B3AB0"/>
    <w:rsid w:val="008B3B86"/>
    <w:rsid w:val="008B3B94"/>
    <w:rsid w:val="008B3C36"/>
    <w:rsid w:val="008B3C61"/>
    <w:rsid w:val="008B3C75"/>
    <w:rsid w:val="008B3D6A"/>
    <w:rsid w:val="008B3D7F"/>
    <w:rsid w:val="008B3D86"/>
    <w:rsid w:val="008B4173"/>
    <w:rsid w:val="008B42E8"/>
    <w:rsid w:val="008B43A3"/>
    <w:rsid w:val="008B44E6"/>
    <w:rsid w:val="008B4771"/>
    <w:rsid w:val="008B488C"/>
    <w:rsid w:val="008B48E0"/>
    <w:rsid w:val="008B4A88"/>
    <w:rsid w:val="008B4B15"/>
    <w:rsid w:val="008B4BFC"/>
    <w:rsid w:val="008B4E45"/>
    <w:rsid w:val="008B4EE1"/>
    <w:rsid w:val="008B4F21"/>
    <w:rsid w:val="008B4F44"/>
    <w:rsid w:val="008B50F9"/>
    <w:rsid w:val="008B5114"/>
    <w:rsid w:val="008B5151"/>
    <w:rsid w:val="008B5176"/>
    <w:rsid w:val="008B51B4"/>
    <w:rsid w:val="008B5259"/>
    <w:rsid w:val="008B531D"/>
    <w:rsid w:val="008B5797"/>
    <w:rsid w:val="008B57FB"/>
    <w:rsid w:val="008B5892"/>
    <w:rsid w:val="008B5993"/>
    <w:rsid w:val="008B5B67"/>
    <w:rsid w:val="008B5B70"/>
    <w:rsid w:val="008B5D13"/>
    <w:rsid w:val="008B5D7A"/>
    <w:rsid w:val="008B5DAA"/>
    <w:rsid w:val="008B5EAC"/>
    <w:rsid w:val="008B6412"/>
    <w:rsid w:val="008B65A6"/>
    <w:rsid w:val="008B65CB"/>
    <w:rsid w:val="008B66E3"/>
    <w:rsid w:val="008B66F9"/>
    <w:rsid w:val="008B67E2"/>
    <w:rsid w:val="008B698C"/>
    <w:rsid w:val="008B6A0B"/>
    <w:rsid w:val="008B6AA1"/>
    <w:rsid w:val="008B6CBA"/>
    <w:rsid w:val="008B6D28"/>
    <w:rsid w:val="008B6DB4"/>
    <w:rsid w:val="008B6F11"/>
    <w:rsid w:val="008B6F2F"/>
    <w:rsid w:val="008B702B"/>
    <w:rsid w:val="008B70EC"/>
    <w:rsid w:val="008B715B"/>
    <w:rsid w:val="008B71FE"/>
    <w:rsid w:val="008B7276"/>
    <w:rsid w:val="008B73D8"/>
    <w:rsid w:val="008B7467"/>
    <w:rsid w:val="008B756C"/>
    <w:rsid w:val="008B760B"/>
    <w:rsid w:val="008B76D1"/>
    <w:rsid w:val="008B77B5"/>
    <w:rsid w:val="008B77B9"/>
    <w:rsid w:val="008B7848"/>
    <w:rsid w:val="008B7A4D"/>
    <w:rsid w:val="008B7A63"/>
    <w:rsid w:val="008B7BFA"/>
    <w:rsid w:val="008B7C0C"/>
    <w:rsid w:val="008B7F29"/>
    <w:rsid w:val="008B7F54"/>
    <w:rsid w:val="008B7F5B"/>
    <w:rsid w:val="008C00F6"/>
    <w:rsid w:val="008C00F8"/>
    <w:rsid w:val="008C0164"/>
    <w:rsid w:val="008C0181"/>
    <w:rsid w:val="008C01C2"/>
    <w:rsid w:val="008C01FD"/>
    <w:rsid w:val="008C0260"/>
    <w:rsid w:val="008C02C4"/>
    <w:rsid w:val="008C0374"/>
    <w:rsid w:val="008C04A2"/>
    <w:rsid w:val="008C055D"/>
    <w:rsid w:val="008C069C"/>
    <w:rsid w:val="008C069F"/>
    <w:rsid w:val="008C076F"/>
    <w:rsid w:val="008C07D8"/>
    <w:rsid w:val="008C083B"/>
    <w:rsid w:val="008C0882"/>
    <w:rsid w:val="008C0947"/>
    <w:rsid w:val="008C09A7"/>
    <w:rsid w:val="008C0A9B"/>
    <w:rsid w:val="008C0B69"/>
    <w:rsid w:val="008C0E56"/>
    <w:rsid w:val="008C0EDA"/>
    <w:rsid w:val="008C0F8D"/>
    <w:rsid w:val="008C1037"/>
    <w:rsid w:val="008C11C5"/>
    <w:rsid w:val="008C12A4"/>
    <w:rsid w:val="008C140F"/>
    <w:rsid w:val="008C17B9"/>
    <w:rsid w:val="008C1939"/>
    <w:rsid w:val="008C19C8"/>
    <w:rsid w:val="008C1CFF"/>
    <w:rsid w:val="008C1D41"/>
    <w:rsid w:val="008C1E05"/>
    <w:rsid w:val="008C1E07"/>
    <w:rsid w:val="008C1FBD"/>
    <w:rsid w:val="008C2183"/>
    <w:rsid w:val="008C21D2"/>
    <w:rsid w:val="008C2507"/>
    <w:rsid w:val="008C2771"/>
    <w:rsid w:val="008C2A79"/>
    <w:rsid w:val="008C2AAB"/>
    <w:rsid w:val="008C2B9B"/>
    <w:rsid w:val="008C2CFF"/>
    <w:rsid w:val="008C2E0A"/>
    <w:rsid w:val="008C2ECF"/>
    <w:rsid w:val="008C2F4C"/>
    <w:rsid w:val="008C2F79"/>
    <w:rsid w:val="008C3324"/>
    <w:rsid w:val="008C3495"/>
    <w:rsid w:val="008C34A0"/>
    <w:rsid w:val="008C34BB"/>
    <w:rsid w:val="008C3588"/>
    <w:rsid w:val="008C35EC"/>
    <w:rsid w:val="008C377D"/>
    <w:rsid w:val="008C37B2"/>
    <w:rsid w:val="008C37C5"/>
    <w:rsid w:val="008C380B"/>
    <w:rsid w:val="008C380E"/>
    <w:rsid w:val="008C387A"/>
    <w:rsid w:val="008C38CB"/>
    <w:rsid w:val="008C3910"/>
    <w:rsid w:val="008C3935"/>
    <w:rsid w:val="008C3955"/>
    <w:rsid w:val="008C3982"/>
    <w:rsid w:val="008C3A37"/>
    <w:rsid w:val="008C3AA0"/>
    <w:rsid w:val="008C3AB2"/>
    <w:rsid w:val="008C3B6D"/>
    <w:rsid w:val="008C3B99"/>
    <w:rsid w:val="008C3D00"/>
    <w:rsid w:val="008C3D93"/>
    <w:rsid w:val="008C3E9F"/>
    <w:rsid w:val="008C3EF7"/>
    <w:rsid w:val="008C3F84"/>
    <w:rsid w:val="008C409D"/>
    <w:rsid w:val="008C4218"/>
    <w:rsid w:val="008C4277"/>
    <w:rsid w:val="008C4285"/>
    <w:rsid w:val="008C428A"/>
    <w:rsid w:val="008C440D"/>
    <w:rsid w:val="008C45E2"/>
    <w:rsid w:val="008C45F3"/>
    <w:rsid w:val="008C47EE"/>
    <w:rsid w:val="008C4860"/>
    <w:rsid w:val="008C48CE"/>
    <w:rsid w:val="008C4987"/>
    <w:rsid w:val="008C4AA4"/>
    <w:rsid w:val="008C4B2C"/>
    <w:rsid w:val="008C4B8C"/>
    <w:rsid w:val="008C4BF8"/>
    <w:rsid w:val="008C4FD3"/>
    <w:rsid w:val="008C516B"/>
    <w:rsid w:val="008C51AE"/>
    <w:rsid w:val="008C51EF"/>
    <w:rsid w:val="008C54C2"/>
    <w:rsid w:val="008C5505"/>
    <w:rsid w:val="008C5586"/>
    <w:rsid w:val="008C5718"/>
    <w:rsid w:val="008C5752"/>
    <w:rsid w:val="008C57CF"/>
    <w:rsid w:val="008C57D3"/>
    <w:rsid w:val="008C5821"/>
    <w:rsid w:val="008C5A6C"/>
    <w:rsid w:val="008C5A74"/>
    <w:rsid w:val="008C5E84"/>
    <w:rsid w:val="008C60C5"/>
    <w:rsid w:val="008C60FA"/>
    <w:rsid w:val="008C6193"/>
    <w:rsid w:val="008C61BA"/>
    <w:rsid w:val="008C62CC"/>
    <w:rsid w:val="008C64A5"/>
    <w:rsid w:val="008C64CF"/>
    <w:rsid w:val="008C66B0"/>
    <w:rsid w:val="008C6AB7"/>
    <w:rsid w:val="008C6B05"/>
    <w:rsid w:val="008C6BB1"/>
    <w:rsid w:val="008C6CB8"/>
    <w:rsid w:val="008C6D70"/>
    <w:rsid w:val="008C6DC2"/>
    <w:rsid w:val="008C6EC5"/>
    <w:rsid w:val="008C6FF9"/>
    <w:rsid w:val="008C7055"/>
    <w:rsid w:val="008C71A6"/>
    <w:rsid w:val="008C71D4"/>
    <w:rsid w:val="008C751A"/>
    <w:rsid w:val="008C75AB"/>
    <w:rsid w:val="008C77CC"/>
    <w:rsid w:val="008C79E8"/>
    <w:rsid w:val="008C7A8E"/>
    <w:rsid w:val="008C7AEA"/>
    <w:rsid w:val="008C7BA4"/>
    <w:rsid w:val="008C7DA5"/>
    <w:rsid w:val="008D0038"/>
    <w:rsid w:val="008D005C"/>
    <w:rsid w:val="008D011F"/>
    <w:rsid w:val="008D049E"/>
    <w:rsid w:val="008D04AD"/>
    <w:rsid w:val="008D0574"/>
    <w:rsid w:val="008D0884"/>
    <w:rsid w:val="008D0992"/>
    <w:rsid w:val="008D0AE8"/>
    <w:rsid w:val="008D0C55"/>
    <w:rsid w:val="008D0E61"/>
    <w:rsid w:val="008D0FCC"/>
    <w:rsid w:val="008D100B"/>
    <w:rsid w:val="008D116A"/>
    <w:rsid w:val="008D182E"/>
    <w:rsid w:val="008D1963"/>
    <w:rsid w:val="008D1A14"/>
    <w:rsid w:val="008D1B52"/>
    <w:rsid w:val="008D1F57"/>
    <w:rsid w:val="008D1FD0"/>
    <w:rsid w:val="008D20D9"/>
    <w:rsid w:val="008D20DA"/>
    <w:rsid w:val="008D2321"/>
    <w:rsid w:val="008D256D"/>
    <w:rsid w:val="008D2575"/>
    <w:rsid w:val="008D260F"/>
    <w:rsid w:val="008D261F"/>
    <w:rsid w:val="008D268C"/>
    <w:rsid w:val="008D28C5"/>
    <w:rsid w:val="008D2932"/>
    <w:rsid w:val="008D2BE2"/>
    <w:rsid w:val="008D2D32"/>
    <w:rsid w:val="008D2E1D"/>
    <w:rsid w:val="008D2F38"/>
    <w:rsid w:val="008D2F88"/>
    <w:rsid w:val="008D2FC9"/>
    <w:rsid w:val="008D312E"/>
    <w:rsid w:val="008D31C2"/>
    <w:rsid w:val="008D33BE"/>
    <w:rsid w:val="008D345B"/>
    <w:rsid w:val="008D35AF"/>
    <w:rsid w:val="008D35D6"/>
    <w:rsid w:val="008D3726"/>
    <w:rsid w:val="008D3799"/>
    <w:rsid w:val="008D3865"/>
    <w:rsid w:val="008D38E4"/>
    <w:rsid w:val="008D392C"/>
    <w:rsid w:val="008D3982"/>
    <w:rsid w:val="008D39D3"/>
    <w:rsid w:val="008D3AF0"/>
    <w:rsid w:val="008D3CBF"/>
    <w:rsid w:val="008D3D10"/>
    <w:rsid w:val="008D418A"/>
    <w:rsid w:val="008D4326"/>
    <w:rsid w:val="008D4671"/>
    <w:rsid w:val="008D46AD"/>
    <w:rsid w:val="008D47E9"/>
    <w:rsid w:val="008D4CB0"/>
    <w:rsid w:val="008D4E40"/>
    <w:rsid w:val="008D4F5B"/>
    <w:rsid w:val="008D4FD9"/>
    <w:rsid w:val="008D5103"/>
    <w:rsid w:val="008D5197"/>
    <w:rsid w:val="008D5288"/>
    <w:rsid w:val="008D546A"/>
    <w:rsid w:val="008D546F"/>
    <w:rsid w:val="008D5738"/>
    <w:rsid w:val="008D5806"/>
    <w:rsid w:val="008D5836"/>
    <w:rsid w:val="008D58BD"/>
    <w:rsid w:val="008D594F"/>
    <w:rsid w:val="008D596F"/>
    <w:rsid w:val="008D59AC"/>
    <w:rsid w:val="008D59E0"/>
    <w:rsid w:val="008D5C59"/>
    <w:rsid w:val="008D5E4A"/>
    <w:rsid w:val="008D5F45"/>
    <w:rsid w:val="008D5FBC"/>
    <w:rsid w:val="008D5FBE"/>
    <w:rsid w:val="008D60D0"/>
    <w:rsid w:val="008D60D2"/>
    <w:rsid w:val="008D60F8"/>
    <w:rsid w:val="008D6137"/>
    <w:rsid w:val="008D6310"/>
    <w:rsid w:val="008D6375"/>
    <w:rsid w:val="008D6397"/>
    <w:rsid w:val="008D63EE"/>
    <w:rsid w:val="008D6679"/>
    <w:rsid w:val="008D6691"/>
    <w:rsid w:val="008D68D8"/>
    <w:rsid w:val="008D693C"/>
    <w:rsid w:val="008D6A1A"/>
    <w:rsid w:val="008D6A57"/>
    <w:rsid w:val="008D6AC3"/>
    <w:rsid w:val="008D6D78"/>
    <w:rsid w:val="008D6F49"/>
    <w:rsid w:val="008D70A4"/>
    <w:rsid w:val="008D70C2"/>
    <w:rsid w:val="008D713E"/>
    <w:rsid w:val="008D7152"/>
    <w:rsid w:val="008D73C9"/>
    <w:rsid w:val="008D7429"/>
    <w:rsid w:val="008D74B3"/>
    <w:rsid w:val="008D787A"/>
    <w:rsid w:val="008D7902"/>
    <w:rsid w:val="008D796B"/>
    <w:rsid w:val="008D7D06"/>
    <w:rsid w:val="008D7EBC"/>
    <w:rsid w:val="008D7F21"/>
    <w:rsid w:val="008E0071"/>
    <w:rsid w:val="008E02C5"/>
    <w:rsid w:val="008E04B4"/>
    <w:rsid w:val="008E0732"/>
    <w:rsid w:val="008E0913"/>
    <w:rsid w:val="008E0917"/>
    <w:rsid w:val="008E0A44"/>
    <w:rsid w:val="008E0C90"/>
    <w:rsid w:val="008E0D92"/>
    <w:rsid w:val="008E0E6A"/>
    <w:rsid w:val="008E1099"/>
    <w:rsid w:val="008E115E"/>
    <w:rsid w:val="008E1212"/>
    <w:rsid w:val="008E13AA"/>
    <w:rsid w:val="008E147B"/>
    <w:rsid w:val="008E16BF"/>
    <w:rsid w:val="008E186A"/>
    <w:rsid w:val="008E1876"/>
    <w:rsid w:val="008E18AE"/>
    <w:rsid w:val="008E197B"/>
    <w:rsid w:val="008E1D2A"/>
    <w:rsid w:val="008E1D8A"/>
    <w:rsid w:val="008E1E55"/>
    <w:rsid w:val="008E1F08"/>
    <w:rsid w:val="008E2000"/>
    <w:rsid w:val="008E207E"/>
    <w:rsid w:val="008E2155"/>
    <w:rsid w:val="008E21E7"/>
    <w:rsid w:val="008E236E"/>
    <w:rsid w:val="008E2461"/>
    <w:rsid w:val="008E25B6"/>
    <w:rsid w:val="008E2AD0"/>
    <w:rsid w:val="008E2CF1"/>
    <w:rsid w:val="008E2DD4"/>
    <w:rsid w:val="008E2E25"/>
    <w:rsid w:val="008E2EEA"/>
    <w:rsid w:val="008E3049"/>
    <w:rsid w:val="008E309A"/>
    <w:rsid w:val="008E30CD"/>
    <w:rsid w:val="008E3292"/>
    <w:rsid w:val="008E3524"/>
    <w:rsid w:val="008E3529"/>
    <w:rsid w:val="008E35A3"/>
    <w:rsid w:val="008E3620"/>
    <w:rsid w:val="008E3637"/>
    <w:rsid w:val="008E378E"/>
    <w:rsid w:val="008E37E1"/>
    <w:rsid w:val="008E38D2"/>
    <w:rsid w:val="008E3991"/>
    <w:rsid w:val="008E3A11"/>
    <w:rsid w:val="008E3A30"/>
    <w:rsid w:val="008E3ACF"/>
    <w:rsid w:val="008E3E9F"/>
    <w:rsid w:val="008E3FBB"/>
    <w:rsid w:val="008E400D"/>
    <w:rsid w:val="008E4246"/>
    <w:rsid w:val="008E4298"/>
    <w:rsid w:val="008E4300"/>
    <w:rsid w:val="008E443C"/>
    <w:rsid w:val="008E455C"/>
    <w:rsid w:val="008E495F"/>
    <w:rsid w:val="008E49F2"/>
    <w:rsid w:val="008E4AAF"/>
    <w:rsid w:val="008E4ACD"/>
    <w:rsid w:val="008E4AD8"/>
    <w:rsid w:val="008E4AE4"/>
    <w:rsid w:val="008E4B4A"/>
    <w:rsid w:val="008E4CAD"/>
    <w:rsid w:val="008E4EC0"/>
    <w:rsid w:val="008E4F12"/>
    <w:rsid w:val="008E4FF1"/>
    <w:rsid w:val="008E543D"/>
    <w:rsid w:val="008E5770"/>
    <w:rsid w:val="008E58DB"/>
    <w:rsid w:val="008E591A"/>
    <w:rsid w:val="008E5947"/>
    <w:rsid w:val="008E5B4D"/>
    <w:rsid w:val="008E5B70"/>
    <w:rsid w:val="008E5C3C"/>
    <w:rsid w:val="008E5E81"/>
    <w:rsid w:val="008E5EB3"/>
    <w:rsid w:val="008E6226"/>
    <w:rsid w:val="008E623D"/>
    <w:rsid w:val="008E62D2"/>
    <w:rsid w:val="008E652F"/>
    <w:rsid w:val="008E6636"/>
    <w:rsid w:val="008E67B3"/>
    <w:rsid w:val="008E6953"/>
    <w:rsid w:val="008E6AFC"/>
    <w:rsid w:val="008E7274"/>
    <w:rsid w:val="008E732D"/>
    <w:rsid w:val="008E739E"/>
    <w:rsid w:val="008E7438"/>
    <w:rsid w:val="008E743F"/>
    <w:rsid w:val="008E7498"/>
    <w:rsid w:val="008E7619"/>
    <w:rsid w:val="008E763D"/>
    <w:rsid w:val="008E7672"/>
    <w:rsid w:val="008E7853"/>
    <w:rsid w:val="008E7A16"/>
    <w:rsid w:val="008E7C1A"/>
    <w:rsid w:val="008E7C68"/>
    <w:rsid w:val="008E7DA4"/>
    <w:rsid w:val="008E7EA5"/>
    <w:rsid w:val="008E7ECD"/>
    <w:rsid w:val="008F0085"/>
    <w:rsid w:val="008F00FF"/>
    <w:rsid w:val="008F018C"/>
    <w:rsid w:val="008F0411"/>
    <w:rsid w:val="008F0562"/>
    <w:rsid w:val="008F0600"/>
    <w:rsid w:val="008F0686"/>
    <w:rsid w:val="008F06E5"/>
    <w:rsid w:val="008F07F3"/>
    <w:rsid w:val="008F0849"/>
    <w:rsid w:val="008F087C"/>
    <w:rsid w:val="008F09AC"/>
    <w:rsid w:val="008F0AB0"/>
    <w:rsid w:val="008F0FB2"/>
    <w:rsid w:val="008F10DC"/>
    <w:rsid w:val="008F122D"/>
    <w:rsid w:val="008F12C9"/>
    <w:rsid w:val="008F1325"/>
    <w:rsid w:val="008F139E"/>
    <w:rsid w:val="008F1569"/>
    <w:rsid w:val="008F161F"/>
    <w:rsid w:val="008F1730"/>
    <w:rsid w:val="008F17F6"/>
    <w:rsid w:val="008F1906"/>
    <w:rsid w:val="008F1F31"/>
    <w:rsid w:val="008F1F8F"/>
    <w:rsid w:val="008F2011"/>
    <w:rsid w:val="008F20CD"/>
    <w:rsid w:val="008F2151"/>
    <w:rsid w:val="008F24F4"/>
    <w:rsid w:val="008F25BF"/>
    <w:rsid w:val="008F260B"/>
    <w:rsid w:val="008F2977"/>
    <w:rsid w:val="008F2993"/>
    <w:rsid w:val="008F2A98"/>
    <w:rsid w:val="008F2B6B"/>
    <w:rsid w:val="008F2E86"/>
    <w:rsid w:val="008F2E9B"/>
    <w:rsid w:val="008F3069"/>
    <w:rsid w:val="008F3270"/>
    <w:rsid w:val="008F377D"/>
    <w:rsid w:val="008F37AA"/>
    <w:rsid w:val="008F3A67"/>
    <w:rsid w:val="008F3A84"/>
    <w:rsid w:val="008F3B0A"/>
    <w:rsid w:val="008F3B82"/>
    <w:rsid w:val="008F3BE0"/>
    <w:rsid w:val="008F3BFA"/>
    <w:rsid w:val="008F3D14"/>
    <w:rsid w:val="008F3D3E"/>
    <w:rsid w:val="008F3D93"/>
    <w:rsid w:val="008F3DF9"/>
    <w:rsid w:val="008F3F4D"/>
    <w:rsid w:val="008F3F99"/>
    <w:rsid w:val="008F403D"/>
    <w:rsid w:val="008F40D4"/>
    <w:rsid w:val="008F4227"/>
    <w:rsid w:val="008F42DD"/>
    <w:rsid w:val="008F43A8"/>
    <w:rsid w:val="008F4436"/>
    <w:rsid w:val="008F4478"/>
    <w:rsid w:val="008F461C"/>
    <w:rsid w:val="008F4680"/>
    <w:rsid w:val="008F4823"/>
    <w:rsid w:val="008F49BE"/>
    <w:rsid w:val="008F4C11"/>
    <w:rsid w:val="008F4D15"/>
    <w:rsid w:val="008F4EAE"/>
    <w:rsid w:val="008F50A8"/>
    <w:rsid w:val="008F50F8"/>
    <w:rsid w:val="008F511C"/>
    <w:rsid w:val="008F514F"/>
    <w:rsid w:val="008F54D1"/>
    <w:rsid w:val="008F56A8"/>
    <w:rsid w:val="008F596C"/>
    <w:rsid w:val="008F5DD1"/>
    <w:rsid w:val="008F5EE9"/>
    <w:rsid w:val="008F6012"/>
    <w:rsid w:val="008F60E5"/>
    <w:rsid w:val="008F61BF"/>
    <w:rsid w:val="008F63AB"/>
    <w:rsid w:val="008F65A0"/>
    <w:rsid w:val="008F65A9"/>
    <w:rsid w:val="008F6601"/>
    <w:rsid w:val="008F6673"/>
    <w:rsid w:val="008F66D1"/>
    <w:rsid w:val="008F68D0"/>
    <w:rsid w:val="008F691E"/>
    <w:rsid w:val="008F6A7D"/>
    <w:rsid w:val="008F6BD9"/>
    <w:rsid w:val="008F6D7B"/>
    <w:rsid w:val="008F6DF4"/>
    <w:rsid w:val="008F6EF4"/>
    <w:rsid w:val="008F6F26"/>
    <w:rsid w:val="008F6F32"/>
    <w:rsid w:val="008F703D"/>
    <w:rsid w:val="008F71C4"/>
    <w:rsid w:val="008F7203"/>
    <w:rsid w:val="008F7302"/>
    <w:rsid w:val="008F7638"/>
    <w:rsid w:val="008F77CB"/>
    <w:rsid w:val="008F780D"/>
    <w:rsid w:val="008F7851"/>
    <w:rsid w:val="008F78D4"/>
    <w:rsid w:val="008F7C58"/>
    <w:rsid w:val="008F7E02"/>
    <w:rsid w:val="00900154"/>
    <w:rsid w:val="009001C2"/>
    <w:rsid w:val="009003B1"/>
    <w:rsid w:val="0090046A"/>
    <w:rsid w:val="00900748"/>
    <w:rsid w:val="00900782"/>
    <w:rsid w:val="009007A0"/>
    <w:rsid w:val="009007E5"/>
    <w:rsid w:val="009008AC"/>
    <w:rsid w:val="00900B5F"/>
    <w:rsid w:val="00900C62"/>
    <w:rsid w:val="00900CE5"/>
    <w:rsid w:val="00900D5B"/>
    <w:rsid w:val="00901148"/>
    <w:rsid w:val="009011E3"/>
    <w:rsid w:val="009011FD"/>
    <w:rsid w:val="009012B5"/>
    <w:rsid w:val="00901322"/>
    <w:rsid w:val="009013E0"/>
    <w:rsid w:val="00901576"/>
    <w:rsid w:val="0090175F"/>
    <w:rsid w:val="009018EA"/>
    <w:rsid w:val="00901A64"/>
    <w:rsid w:val="00901A67"/>
    <w:rsid w:val="00901A6F"/>
    <w:rsid w:val="00901B73"/>
    <w:rsid w:val="00901C71"/>
    <w:rsid w:val="00901D9C"/>
    <w:rsid w:val="00901F0D"/>
    <w:rsid w:val="00902103"/>
    <w:rsid w:val="009021EB"/>
    <w:rsid w:val="009022AD"/>
    <w:rsid w:val="0090230E"/>
    <w:rsid w:val="00902321"/>
    <w:rsid w:val="0090251B"/>
    <w:rsid w:val="0090254B"/>
    <w:rsid w:val="0090270A"/>
    <w:rsid w:val="00902836"/>
    <w:rsid w:val="009028FD"/>
    <w:rsid w:val="00902928"/>
    <w:rsid w:val="00902A7D"/>
    <w:rsid w:val="00902ACB"/>
    <w:rsid w:val="00902CB9"/>
    <w:rsid w:val="00902DF9"/>
    <w:rsid w:val="00902EC7"/>
    <w:rsid w:val="00902F21"/>
    <w:rsid w:val="00902FD8"/>
    <w:rsid w:val="00903060"/>
    <w:rsid w:val="00903783"/>
    <w:rsid w:val="009037C1"/>
    <w:rsid w:val="00903C55"/>
    <w:rsid w:val="00903CF2"/>
    <w:rsid w:val="00903CFA"/>
    <w:rsid w:val="00903D21"/>
    <w:rsid w:val="00903ECA"/>
    <w:rsid w:val="00903F82"/>
    <w:rsid w:val="00904102"/>
    <w:rsid w:val="0090416B"/>
    <w:rsid w:val="0090437E"/>
    <w:rsid w:val="00904476"/>
    <w:rsid w:val="00904512"/>
    <w:rsid w:val="009046A4"/>
    <w:rsid w:val="00904934"/>
    <w:rsid w:val="0090496C"/>
    <w:rsid w:val="00904984"/>
    <w:rsid w:val="00904A1A"/>
    <w:rsid w:val="00904A6F"/>
    <w:rsid w:val="00904CFA"/>
    <w:rsid w:val="00904E5A"/>
    <w:rsid w:val="00905132"/>
    <w:rsid w:val="0090515D"/>
    <w:rsid w:val="0090526D"/>
    <w:rsid w:val="009054AF"/>
    <w:rsid w:val="00905576"/>
    <w:rsid w:val="0090560A"/>
    <w:rsid w:val="00905979"/>
    <w:rsid w:val="00905A90"/>
    <w:rsid w:val="00905B1B"/>
    <w:rsid w:val="00905C8D"/>
    <w:rsid w:val="00905CFA"/>
    <w:rsid w:val="00905E18"/>
    <w:rsid w:val="00905E3E"/>
    <w:rsid w:val="00905EC6"/>
    <w:rsid w:val="00906093"/>
    <w:rsid w:val="0090616C"/>
    <w:rsid w:val="00906249"/>
    <w:rsid w:val="009069D2"/>
    <w:rsid w:val="00906B62"/>
    <w:rsid w:val="00906B93"/>
    <w:rsid w:val="00906CD1"/>
    <w:rsid w:val="00906E65"/>
    <w:rsid w:val="00906E7E"/>
    <w:rsid w:val="009071A1"/>
    <w:rsid w:val="009072AF"/>
    <w:rsid w:val="00907402"/>
    <w:rsid w:val="0090755A"/>
    <w:rsid w:val="0090790E"/>
    <w:rsid w:val="00907B1B"/>
    <w:rsid w:val="00907D1E"/>
    <w:rsid w:val="00907E4F"/>
    <w:rsid w:val="0091011A"/>
    <w:rsid w:val="00910493"/>
    <w:rsid w:val="009104F8"/>
    <w:rsid w:val="009105DB"/>
    <w:rsid w:val="0091073D"/>
    <w:rsid w:val="009108FC"/>
    <w:rsid w:val="00910960"/>
    <w:rsid w:val="00910A68"/>
    <w:rsid w:val="00910A8C"/>
    <w:rsid w:val="00910CB8"/>
    <w:rsid w:val="00910CF2"/>
    <w:rsid w:val="00910F3E"/>
    <w:rsid w:val="00910F87"/>
    <w:rsid w:val="00911012"/>
    <w:rsid w:val="009111EB"/>
    <w:rsid w:val="0091131B"/>
    <w:rsid w:val="0091151A"/>
    <w:rsid w:val="00911537"/>
    <w:rsid w:val="009115E1"/>
    <w:rsid w:val="0091182B"/>
    <w:rsid w:val="00911921"/>
    <w:rsid w:val="00911A29"/>
    <w:rsid w:val="00911AB1"/>
    <w:rsid w:val="00911AEA"/>
    <w:rsid w:val="00911B13"/>
    <w:rsid w:val="00911BD4"/>
    <w:rsid w:val="00911C9A"/>
    <w:rsid w:val="00911CE0"/>
    <w:rsid w:val="00911D14"/>
    <w:rsid w:val="00911FB5"/>
    <w:rsid w:val="00912016"/>
    <w:rsid w:val="009120D9"/>
    <w:rsid w:val="009120F6"/>
    <w:rsid w:val="009120FD"/>
    <w:rsid w:val="00912419"/>
    <w:rsid w:val="00912438"/>
    <w:rsid w:val="00912439"/>
    <w:rsid w:val="0091260D"/>
    <w:rsid w:val="00912778"/>
    <w:rsid w:val="00912809"/>
    <w:rsid w:val="00912811"/>
    <w:rsid w:val="00912A00"/>
    <w:rsid w:val="00912A46"/>
    <w:rsid w:val="00912CE6"/>
    <w:rsid w:val="00912E09"/>
    <w:rsid w:val="00912E2F"/>
    <w:rsid w:val="009131A7"/>
    <w:rsid w:val="0091348B"/>
    <w:rsid w:val="00913544"/>
    <w:rsid w:val="009135D4"/>
    <w:rsid w:val="009135D5"/>
    <w:rsid w:val="00913694"/>
    <w:rsid w:val="009138C3"/>
    <w:rsid w:val="009139C1"/>
    <w:rsid w:val="00913CCA"/>
    <w:rsid w:val="00913CD3"/>
    <w:rsid w:val="00913E14"/>
    <w:rsid w:val="00913F00"/>
    <w:rsid w:val="00913FEA"/>
    <w:rsid w:val="00913FF5"/>
    <w:rsid w:val="0091405C"/>
    <w:rsid w:val="009142CC"/>
    <w:rsid w:val="0091432D"/>
    <w:rsid w:val="0091433F"/>
    <w:rsid w:val="00914449"/>
    <w:rsid w:val="00914455"/>
    <w:rsid w:val="009144D5"/>
    <w:rsid w:val="009145CD"/>
    <w:rsid w:val="00914619"/>
    <w:rsid w:val="00914680"/>
    <w:rsid w:val="00914802"/>
    <w:rsid w:val="0091484C"/>
    <w:rsid w:val="009149AD"/>
    <w:rsid w:val="00914BB7"/>
    <w:rsid w:val="00914C58"/>
    <w:rsid w:val="00914E5F"/>
    <w:rsid w:val="00914E80"/>
    <w:rsid w:val="00914EFC"/>
    <w:rsid w:val="00914F35"/>
    <w:rsid w:val="0091532A"/>
    <w:rsid w:val="00915731"/>
    <w:rsid w:val="009157EC"/>
    <w:rsid w:val="00915866"/>
    <w:rsid w:val="009158A0"/>
    <w:rsid w:val="009158BB"/>
    <w:rsid w:val="00915A69"/>
    <w:rsid w:val="00915A72"/>
    <w:rsid w:val="00915F98"/>
    <w:rsid w:val="00915FA3"/>
    <w:rsid w:val="0091601A"/>
    <w:rsid w:val="00916050"/>
    <w:rsid w:val="009161B8"/>
    <w:rsid w:val="009163D4"/>
    <w:rsid w:val="0091669B"/>
    <w:rsid w:val="009166B0"/>
    <w:rsid w:val="0091690C"/>
    <w:rsid w:val="00916D6C"/>
    <w:rsid w:val="00916F30"/>
    <w:rsid w:val="00917007"/>
    <w:rsid w:val="009171D2"/>
    <w:rsid w:val="009177BA"/>
    <w:rsid w:val="00917868"/>
    <w:rsid w:val="00917951"/>
    <w:rsid w:val="00917C49"/>
    <w:rsid w:val="00917E7C"/>
    <w:rsid w:val="00920003"/>
    <w:rsid w:val="0092040C"/>
    <w:rsid w:val="009204F3"/>
    <w:rsid w:val="00920501"/>
    <w:rsid w:val="00920560"/>
    <w:rsid w:val="00920569"/>
    <w:rsid w:val="009205B2"/>
    <w:rsid w:val="00920A39"/>
    <w:rsid w:val="00920A3B"/>
    <w:rsid w:val="00920A7F"/>
    <w:rsid w:val="00920BF8"/>
    <w:rsid w:val="00920D37"/>
    <w:rsid w:val="00920DB7"/>
    <w:rsid w:val="00920EBE"/>
    <w:rsid w:val="00921194"/>
    <w:rsid w:val="009212C5"/>
    <w:rsid w:val="0092135F"/>
    <w:rsid w:val="009213A9"/>
    <w:rsid w:val="00921401"/>
    <w:rsid w:val="00921454"/>
    <w:rsid w:val="00921542"/>
    <w:rsid w:val="00921639"/>
    <w:rsid w:val="009217B2"/>
    <w:rsid w:val="009217F8"/>
    <w:rsid w:val="00921800"/>
    <w:rsid w:val="00921876"/>
    <w:rsid w:val="009218EC"/>
    <w:rsid w:val="009219A9"/>
    <w:rsid w:val="00921A5D"/>
    <w:rsid w:val="00921B4F"/>
    <w:rsid w:val="00921B5A"/>
    <w:rsid w:val="00921E74"/>
    <w:rsid w:val="00922151"/>
    <w:rsid w:val="00922262"/>
    <w:rsid w:val="009222E3"/>
    <w:rsid w:val="009223EC"/>
    <w:rsid w:val="00922A21"/>
    <w:rsid w:val="00922B51"/>
    <w:rsid w:val="00922FAE"/>
    <w:rsid w:val="009230E5"/>
    <w:rsid w:val="0092311A"/>
    <w:rsid w:val="00923203"/>
    <w:rsid w:val="009232EF"/>
    <w:rsid w:val="0092330C"/>
    <w:rsid w:val="00923383"/>
    <w:rsid w:val="009233A2"/>
    <w:rsid w:val="009233F9"/>
    <w:rsid w:val="009236C3"/>
    <w:rsid w:val="009237FB"/>
    <w:rsid w:val="009239E7"/>
    <w:rsid w:val="00923A84"/>
    <w:rsid w:val="00923B48"/>
    <w:rsid w:val="00923BEF"/>
    <w:rsid w:val="00923C4E"/>
    <w:rsid w:val="00923FC6"/>
    <w:rsid w:val="00924007"/>
    <w:rsid w:val="00924229"/>
    <w:rsid w:val="00924241"/>
    <w:rsid w:val="00924297"/>
    <w:rsid w:val="009243BA"/>
    <w:rsid w:val="00924443"/>
    <w:rsid w:val="009245C5"/>
    <w:rsid w:val="009246F2"/>
    <w:rsid w:val="0092470E"/>
    <w:rsid w:val="0092477C"/>
    <w:rsid w:val="009247F4"/>
    <w:rsid w:val="00924879"/>
    <w:rsid w:val="00924887"/>
    <w:rsid w:val="009249FB"/>
    <w:rsid w:val="00924A81"/>
    <w:rsid w:val="00924C9B"/>
    <w:rsid w:val="00924CE1"/>
    <w:rsid w:val="00924DA3"/>
    <w:rsid w:val="00924E73"/>
    <w:rsid w:val="00925094"/>
    <w:rsid w:val="009250C6"/>
    <w:rsid w:val="00925187"/>
    <w:rsid w:val="009251D6"/>
    <w:rsid w:val="0092520F"/>
    <w:rsid w:val="009252C7"/>
    <w:rsid w:val="0092536D"/>
    <w:rsid w:val="009256BE"/>
    <w:rsid w:val="00925783"/>
    <w:rsid w:val="00925863"/>
    <w:rsid w:val="00925AD1"/>
    <w:rsid w:val="00925BDF"/>
    <w:rsid w:val="00925C9F"/>
    <w:rsid w:val="00925D8E"/>
    <w:rsid w:val="0092605E"/>
    <w:rsid w:val="00926093"/>
    <w:rsid w:val="00926164"/>
    <w:rsid w:val="0092624E"/>
    <w:rsid w:val="009266EA"/>
    <w:rsid w:val="009267B2"/>
    <w:rsid w:val="00926888"/>
    <w:rsid w:val="00926986"/>
    <w:rsid w:val="00926B3A"/>
    <w:rsid w:val="00926C4A"/>
    <w:rsid w:val="00926DE8"/>
    <w:rsid w:val="00926E49"/>
    <w:rsid w:val="00926F70"/>
    <w:rsid w:val="0092709C"/>
    <w:rsid w:val="0092717F"/>
    <w:rsid w:val="00927280"/>
    <w:rsid w:val="0092749C"/>
    <w:rsid w:val="009276C4"/>
    <w:rsid w:val="00927744"/>
    <w:rsid w:val="009277C8"/>
    <w:rsid w:val="009277E1"/>
    <w:rsid w:val="0092796F"/>
    <w:rsid w:val="0092799B"/>
    <w:rsid w:val="009279D5"/>
    <w:rsid w:val="00927B05"/>
    <w:rsid w:val="00927B82"/>
    <w:rsid w:val="00927BA5"/>
    <w:rsid w:val="00927BAB"/>
    <w:rsid w:val="00927C6A"/>
    <w:rsid w:val="00927DCB"/>
    <w:rsid w:val="009304D0"/>
    <w:rsid w:val="009306E6"/>
    <w:rsid w:val="00930769"/>
    <w:rsid w:val="00930771"/>
    <w:rsid w:val="00930915"/>
    <w:rsid w:val="00930AB4"/>
    <w:rsid w:val="00930C39"/>
    <w:rsid w:val="00930D3D"/>
    <w:rsid w:val="00930D7B"/>
    <w:rsid w:val="00930F4E"/>
    <w:rsid w:val="00931048"/>
    <w:rsid w:val="009311F4"/>
    <w:rsid w:val="009311FD"/>
    <w:rsid w:val="00931241"/>
    <w:rsid w:val="009313BE"/>
    <w:rsid w:val="009315A0"/>
    <w:rsid w:val="0093160D"/>
    <w:rsid w:val="00931616"/>
    <w:rsid w:val="0093171B"/>
    <w:rsid w:val="00931832"/>
    <w:rsid w:val="00931997"/>
    <w:rsid w:val="009319C0"/>
    <w:rsid w:val="00931A12"/>
    <w:rsid w:val="00931A82"/>
    <w:rsid w:val="00931C22"/>
    <w:rsid w:val="00931E3E"/>
    <w:rsid w:val="00931F16"/>
    <w:rsid w:val="00931F77"/>
    <w:rsid w:val="00931FF3"/>
    <w:rsid w:val="00932100"/>
    <w:rsid w:val="00932151"/>
    <w:rsid w:val="0093263D"/>
    <w:rsid w:val="009326BD"/>
    <w:rsid w:val="009326EF"/>
    <w:rsid w:val="0093271D"/>
    <w:rsid w:val="009327B1"/>
    <w:rsid w:val="0093284E"/>
    <w:rsid w:val="009329EF"/>
    <w:rsid w:val="00932BA3"/>
    <w:rsid w:val="00932CD6"/>
    <w:rsid w:val="00932D9C"/>
    <w:rsid w:val="00932E75"/>
    <w:rsid w:val="00932F4B"/>
    <w:rsid w:val="00932F91"/>
    <w:rsid w:val="00932FA7"/>
    <w:rsid w:val="0093326E"/>
    <w:rsid w:val="00933272"/>
    <w:rsid w:val="00933384"/>
    <w:rsid w:val="00933991"/>
    <w:rsid w:val="00933A19"/>
    <w:rsid w:val="00933A84"/>
    <w:rsid w:val="00933AF9"/>
    <w:rsid w:val="009340A7"/>
    <w:rsid w:val="009341D5"/>
    <w:rsid w:val="00934380"/>
    <w:rsid w:val="009343DA"/>
    <w:rsid w:val="009344CB"/>
    <w:rsid w:val="00934799"/>
    <w:rsid w:val="009347A8"/>
    <w:rsid w:val="009348C2"/>
    <w:rsid w:val="0093495B"/>
    <w:rsid w:val="00934A17"/>
    <w:rsid w:val="00934E19"/>
    <w:rsid w:val="00934EE8"/>
    <w:rsid w:val="009351AF"/>
    <w:rsid w:val="009351D2"/>
    <w:rsid w:val="00935257"/>
    <w:rsid w:val="0093527F"/>
    <w:rsid w:val="009354F0"/>
    <w:rsid w:val="00935584"/>
    <w:rsid w:val="00935683"/>
    <w:rsid w:val="009356CB"/>
    <w:rsid w:val="0093577E"/>
    <w:rsid w:val="009359A8"/>
    <w:rsid w:val="00935C1C"/>
    <w:rsid w:val="00935D68"/>
    <w:rsid w:val="00935EAF"/>
    <w:rsid w:val="00935FE2"/>
    <w:rsid w:val="00936062"/>
    <w:rsid w:val="009361D5"/>
    <w:rsid w:val="0093630B"/>
    <w:rsid w:val="0093639F"/>
    <w:rsid w:val="009364C5"/>
    <w:rsid w:val="0093656D"/>
    <w:rsid w:val="0093661E"/>
    <w:rsid w:val="009366D3"/>
    <w:rsid w:val="009367E7"/>
    <w:rsid w:val="009368F2"/>
    <w:rsid w:val="00936935"/>
    <w:rsid w:val="00936A87"/>
    <w:rsid w:val="00936AF6"/>
    <w:rsid w:val="00936BAE"/>
    <w:rsid w:val="00936BD7"/>
    <w:rsid w:val="00936C2B"/>
    <w:rsid w:val="00936F23"/>
    <w:rsid w:val="00936F5B"/>
    <w:rsid w:val="00936FB2"/>
    <w:rsid w:val="00937305"/>
    <w:rsid w:val="0093731E"/>
    <w:rsid w:val="0093761F"/>
    <w:rsid w:val="00937823"/>
    <w:rsid w:val="00937B17"/>
    <w:rsid w:val="00937B29"/>
    <w:rsid w:val="00937C4F"/>
    <w:rsid w:val="00937CBE"/>
    <w:rsid w:val="00937EA5"/>
    <w:rsid w:val="00937EAD"/>
    <w:rsid w:val="00937EB7"/>
    <w:rsid w:val="00937EDA"/>
    <w:rsid w:val="00937EEF"/>
    <w:rsid w:val="00937F30"/>
    <w:rsid w:val="00937FC2"/>
    <w:rsid w:val="00940019"/>
    <w:rsid w:val="009401BA"/>
    <w:rsid w:val="00940434"/>
    <w:rsid w:val="009404C6"/>
    <w:rsid w:val="009404E3"/>
    <w:rsid w:val="0094051D"/>
    <w:rsid w:val="00940622"/>
    <w:rsid w:val="009407C4"/>
    <w:rsid w:val="009409B8"/>
    <w:rsid w:val="009409F9"/>
    <w:rsid w:val="009409FD"/>
    <w:rsid w:val="00940A90"/>
    <w:rsid w:val="00940C3E"/>
    <w:rsid w:val="00940D2E"/>
    <w:rsid w:val="00940D68"/>
    <w:rsid w:val="00940EC3"/>
    <w:rsid w:val="0094108B"/>
    <w:rsid w:val="009410AB"/>
    <w:rsid w:val="009411E0"/>
    <w:rsid w:val="0094127D"/>
    <w:rsid w:val="0094159B"/>
    <w:rsid w:val="009415BC"/>
    <w:rsid w:val="009415E9"/>
    <w:rsid w:val="009417AE"/>
    <w:rsid w:val="009418A7"/>
    <w:rsid w:val="00941A82"/>
    <w:rsid w:val="00941AC7"/>
    <w:rsid w:val="00941CD3"/>
    <w:rsid w:val="00941DF4"/>
    <w:rsid w:val="00941E95"/>
    <w:rsid w:val="009420A5"/>
    <w:rsid w:val="0094225E"/>
    <w:rsid w:val="00942339"/>
    <w:rsid w:val="0094249C"/>
    <w:rsid w:val="009425F6"/>
    <w:rsid w:val="00942661"/>
    <w:rsid w:val="00942830"/>
    <w:rsid w:val="00942B84"/>
    <w:rsid w:val="00942BED"/>
    <w:rsid w:val="00942D6C"/>
    <w:rsid w:val="00942DC4"/>
    <w:rsid w:val="00942FD9"/>
    <w:rsid w:val="0094305D"/>
    <w:rsid w:val="00943184"/>
    <w:rsid w:val="0094324A"/>
    <w:rsid w:val="00943250"/>
    <w:rsid w:val="009432C7"/>
    <w:rsid w:val="009433CA"/>
    <w:rsid w:val="009433D7"/>
    <w:rsid w:val="00943402"/>
    <w:rsid w:val="00943544"/>
    <w:rsid w:val="00943564"/>
    <w:rsid w:val="009435BE"/>
    <w:rsid w:val="009435E7"/>
    <w:rsid w:val="009436DD"/>
    <w:rsid w:val="009437B8"/>
    <w:rsid w:val="009437D1"/>
    <w:rsid w:val="009438BF"/>
    <w:rsid w:val="00943954"/>
    <w:rsid w:val="00943A46"/>
    <w:rsid w:val="00943B48"/>
    <w:rsid w:val="00943B86"/>
    <w:rsid w:val="00943CF6"/>
    <w:rsid w:val="00943D49"/>
    <w:rsid w:val="00943DB7"/>
    <w:rsid w:val="00943E02"/>
    <w:rsid w:val="00943F14"/>
    <w:rsid w:val="00943F50"/>
    <w:rsid w:val="00944087"/>
    <w:rsid w:val="009441B6"/>
    <w:rsid w:val="00944235"/>
    <w:rsid w:val="0094438E"/>
    <w:rsid w:val="00944427"/>
    <w:rsid w:val="00944653"/>
    <w:rsid w:val="009447CA"/>
    <w:rsid w:val="009447F9"/>
    <w:rsid w:val="00944814"/>
    <w:rsid w:val="00944843"/>
    <w:rsid w:val="009448B0"/>
    <w:rsid w:val="00944998"/>
    <w:rsid w:val="009449C0"/>
    <w:rsid w:val="00944AC0"/>
    <w:rsid w:val="00944C84"/>
    <w:rsid w:val="00944E74"/>
    <w:rsid w:val="00944FA3"/>
    <w:rsid w:val="00944FBB"/>
    <w:rsid w:val="009452BA"/>
    <w:rsid w:val="00945363"/>
    <w:rsid w:val="00945404"/>
    <w:rsid w:val="00945779"/>
    <w:rsid w:val="009458F9"/>
    <w:rsid w:val="00945C90"/>
    <w:rsid w:val="00945DA1"/>
    <w:rsid w:val="00945F8C"/>
    <w:rsid w:val="00945FAE"/>
    <w:rsid w:val="00945FED"/>
    <w:rsid w:val="0094600B"/>
    <w:rsid w:val="0094607C"/>
    <w:rsid w:val="0094618B"/>
    <w:rsid w:val="00946409"/>
    <w:rsid w:val="009464B6"/>
    <w:rsid w:val="009464DC"/>
    <w:rsid w:val="0094654B"/>
    <w:rsid w:val="00946788"/>
    <w:rsid w:val="009468CD"/>
    <w:rsid w:val="009468EA"/>
    <w:rsid w:val="0094696F"/>
    <w:rsid w:val="00946A26"/>
    <w:rsid w:val="00946A5C"/>
    <w:rsid w:val="00946AAF"/>
    <w:rsid w:val="00946AF0"/>
    <w:rsid w:val="00946C8F"/>
    <w:rsid w:val="00946F75"/>
    <w:rsid w:val="0094713A"/>
    <w:rsid w:val="00947374"/>
    <w:rsid w:val="00947387"/>
    <w:rsid w:val="009473A7"/>
    <w:rsid w:val="009475EB"/>
    <w:rsid w:val="00947709"/>
    <w:rsid w:val="0094782F"/>
    <w:rsid w:val="00947A8D"/>
    <w:rsid w:val="00947E11"/>
    <w:rsid w:val="0095000B"/>
    <w:rsid w:val="00950045"/>
    <w:rsid w:val="0095012E"/>
    <w:rsid w:val="0095024A"/>
    <w:rsid w:val="009503D1"/>
    <w:rsid w:val="0095055A"/>
    <w:rsid w:val="0095056C"/>
    <w:rsid w:val="00950727"/>
    <w:rsid w:val="00950787"/>
    <w:rsid w:val="00950935"/>
    <w:rsid w:val="009509CF"/>
    <w:rsid w:val="00950AB7"/>
    <w:rsid w:val="00950B50"/>
    <w:rsid w:val="00950C2F"/>
    <w:rsid w:val="00950CBD"/>
    <w:rsid w:val="00950CE4"/>
    <w:rsid w:val="00950F5A"/>
    <w:rsid w:val="009510BC"/>
    <w:rsid w:val="009510EC"/>
    <w:rsid w:val="00951459"/>
    <w:rsid w:val="009515D9"/>
    <w:rsid w:val="0095178C"/>
    <w:rsid w:val="00951934"/>
    <w:rsid w:val="00951BF7"/>
    <w:rsid w:val="00951C22"/>
    <w:rsid w:val="00951DD1"/>
    <w:rsid w:val="00951F3A"/>
    <w:rsid w:val="0095207B"/>
    <w:rsid w:val="0095216A"/>
    <w:rsid w:val="00952177"/>
    <w:rsid w:val="009521A6"/>
    <w:rsid w:val="009521CE"/>
    <w:rsid w:val="009523CB"/>
    <w:rsid w:val="00952783"/>
    <w:rsid w:val="00952818"/>
    <w:rsid w:val="00952902"/>
    <w:rsid w:val="00952980"/>
    <w:rsid w:val="009529A8"/>
    <w:rsid w:val="00952A23"/>
    <w:rsid w:val="00952A50"/>
    <w:rsid w:val="00952A63"/>
    <w:rsid w:val="00952AD1"/>
    <w:rsid w:val="00952BD6"/>
    <w:rsid w:val="00952DC6"/>
    <w:rsid w:val="009531D4"/>
    <w:rsid w:val="00953296"/>
    <w:rsid w:val="00953556"/>
    <w:rsid w:val="009535EB"/>
    <w:rsid w:val="009537FC"/>
    <w:rsid w:val="00953817"/>
    <w:rsid w:val="00953869"/>
    <w:rsid w:val="009539A4"/>
    <w:rsid w:val="00953CF4"/>
    <w:rsid w:val="00953E1F"/>
    <w:rsid w:val="00953EC5"/>
    <w:rsid w:val="00953EEB"/>
    <w:rsid w:val="00953F4E"/>
    <w:rsid w:val="00953F74"/>
    <w:rsid w:val="009541CF"/>
    <w:rsid w:val="00954211"/>
    <w:rsid w:val="00954357"/>
    <w:rsid w:val="0095453B"/>
    <w:rsid w:val="009546D9"/>
    <w:rsid w:val="00954A40"/>
    <w:rsid w:val="00954ACD"/>
    <w:rsid w:val="00954C8C"/>
    <w:rsid w:val="00954D03"/>
    <w:rsid w:val="00954D20"/>
    <w:rsid w:val="00954D47"/>
    <w:rsid w:val="00954FC1"/>
    <w:rsid w:val="009551AD"/>
    <w:rsid w:val="00955280"/>
    <w:rsid w:val="009555AB"/>
    <w:rsid w:val="009557E8"/>
    <w:rsid w:val="0095585E"/>
    <w:rsid w:val="009559B6"/>
    <w:rsid w:val="00955B70"/>
    <w:rsid w:val="00955B83"/>
    <w:rsid w:val="00955FE5"/>
    <w:rsid w:val="0095605A"/>
    <w:rsid w:val="00956139"/>
    <w:rsid w:val="009561DD"/>
    <w:rsid w:val="009561EF"/>
    <w:rsid w:val="00956231"/>
    <w:rsid w:val="00956364"/>
    <w:rsid w:val="0095639B"/>
    <w:rsid w:val="0095653C"/>
    <w:rsid w:val="00956642"/>
    <w:rsid w:val="00956998"/>
    <w:rsid w:val="009569AB"/>
    <w:rsid w:val="009569B1"/>
    <w:rsid w:val="00956A09"/>
    <w:rsid w:val="00956A82"/>
    <w:rsid w:val="00956ACE"/>
    <w:rsid w:val="00956B15"/>
    <w:rsid w:val="00956B4B"/>
    <w:rsid w:val="00956BFA"/>
    <w:rsid w:val="00956C35"/>
    <w:rsid w:val="009570BB"/>
    <w:rsid w:val="009572A0"/>
    <w:rsid w:val="00957423"/>
    <w:rsid w:val="00957573"/>
    <w:rsid w:val="00957621"/>
    <w:rsid w:val="0095772F"/>
    <w:rsid w:val="00957909"/>
    <w:rsid w:val="00957A0D"/>
    <w:rsid w:val="00957BDA"/>
    <w:rsid w:val="00957C42"/>
    <w:rsid w:val="00957D24"/>
    <w:rsid w:val="0096001B"/>
    <w:rsid w:val="009600DE"/>
    <w:rsid w:val="009600FC"/>
    <w:rsid w:val="0096011E"/>
    <w:rsid w:val="009602F9"/>
    <w:rsid w:val="00960303"/>
    <w:rsid w:val="0096035C"/>
    <w:rsid w:val="00960364"/>
    <w:rsid w:val="00960622"/>
    <w:rsid w:val="0096066A"/>
    <w:rsid w:val="009608AC"/>
    <w:rsid w:val="00960910"/>
    <w:rsid w:val="00960A6C"/>
    <w:rsid w:val="00960B73"/>
    <w:rsid w:val="00960CB3"/>
    <w:rsid w:val="00960D4C"/>
    <w:rsid w:val="00960DCF"/>
    <w:rsid w:val="00961109"/>
    <w:rsid w:val="009611CE"/>
    <w:rsid w:val="00961202"/>
    <w:rsid w:val="0096133D"/>
    <w:rsid w:val="0096136B"/>
    <w:rsid w:val="009613DC"/>
    <w:rsid w:val="00961427"/>
    <w:rsid w:val="0096142D"/>
    <w:rsid w:val="00961551"/>
    <w:rsid w:val="009615CB"/>
    <w:rsid w:val="00961734"/>
    <w:rsid w:val="00961746"/>
    <w:rsid w:val="009617E7"/>
    <w:rsid w:val="009618B7"/>
    <w:rsid w:val="00961996"/>
    <w:rsid w:val="009619D8"/>
    <w:rsid w:val="00961B53"/>
    <w:rsid w:val="00961C59"/>
    <w:rsid w:val="00961C60"/>
    <w:rsid w:val="00961E6C"/>
    <w:rsid w:val="009620AA"/>
    <w:rsid w:val="009620FD"/>
    <w:rsid w:val="0096215C"/>
    <w:rsid w:val="00962172"/>
    <w:rsid w:val="00962361"/>
    <w:rsid w:val="00962469"/>
    <w:rsid w:val="009625D4"/>
    <w:rsid w:val="009626F9"/>
    <w:rsid w:val="00962776"/>
    <w:rsid w:val="00962917"/>
    <w:rsid w:val="009629DB"/>
    <w:rsid w:val="009629E2"/>
    <w:rsid w:val="00962CDE"/>
    <w:rsid w:val="00962D9F"/>
    <w:rsid w:val="0096300C"/>
    <w:rsid w:val="00963084"/>
    <w:rsid w:val="009630DC"/>
    <w:rsid w:val="0096314A"/>
    <w:rsid w:val="00963252"/>
    <w:rsid w:val="00963264"/>
    <w:rsid w:val="00963362"/>
    <w:rsid w:val="009635AE"/>
    <w:rsid w:val="00963620"/>
    <w:rsid w:val="009636C8"/>
    <w:rsid w:val="009636F6"/>
    <w:rsid w:val="009637C4"/>
    <w:rsid w:val="0096389D"/>
    <w:rsid w:val="009638B2"/>
    <w:rsid w:val="009639A7"/>
    <w:rsid w:val="00963A7D"/>
    <w:rsid w:val="00963B66"/>
    <w:rsid w:val="00963CD7"/>
    <w:rsid w:val="00963FC0"/>
    <w:rsid w:val="009642B9"/>
    <w:rsid w:val="009643BC"/>
    <w:rsid w:val="00964524"/>
    <w:rsid w:val="00964578"/>
    <w:rsid w:val="009645D7"/>
    <w:rsid w:val="00964703"/>
    <w:rsid w:val="00964786"/>
    <w:rsid w:val="00964957"/>
    <w:rsid w:val="009649FF"/>
    <w:rsid w:val="00964AAD"/>
    <w:rsid w:val="00964AE0"/>
    <w:rsid w:val="00964B4A"/>
    <w:rsid w:val="00964E93"/>
    <w:rsid w:val="00964F65"/>
    <w:rsid w:val="00965054"/>
    <w:rsid w:val="00965093"/>
    <w:rsid w:val="009652B8"/>
    <w:rsid w:val="009652D5"/>
    <w:rsid w:val="0096536F"/>
    <w:rsid w:val="009653CE"/>
    <w:rsid w:val="0096542B"/>
    <w:rsid w:val="009655DB"/>
    <w:rsid w:val="0096579F"/>
    <w:rsid w:val="00965A52"/>
    <w:rsid w:val="00965AE2"/>
    <w:rsid w:val="00965AE4"/>
    <w:rsid w:val="00965C9F"/>
    <w:rsid w:val="00965F21"/>
    <w:rsid w:val="00965F42"/>
    <w:rsid w:val="00966238"/>
    <w:rsid w:val="0096664A"/>
    <w:rsid w:val="009666DD"/>
    <w:rsid w:val="00966725"/>
    <w:rsid w:val="0096672D"/>
    <w:rsid w:val="00966770"/>
    <w:rsid w:val="009668A2"/>
    <w:rsid w:val="009668D0"/>
    <w:rsid w:val="0096691C"/>
    <w:rsid w:val="0096693C"/>
    <w:rsid w:val="00966BEE"/>
    <w:rsid w:val="00966DB5"/>
    <w:rsid w:val="00966DFC"/>
    <w:rsid w:val="00966E06"/>
    <w:rsid w:val="009670F6"/>
    <w:rsid w:val="00967127"/>
    <w:rsid w:val="009671D7"/>
    <w:rsid w:val="009673FB"/>
    <w:rsid w:val="009674C6"/>
    <w:rsid w:val="009674D9"/>
    <w:rsid w:val="00967549"/>
    <w:rsid w:val="00967583"/>
    <w:rsid w:val="00967584"/>
    <w:rsid w:val="009675C2"/>
    <w:rsid w:val="009676C0"/>
    <w:rsid w:val="00967746"/>
    <w:rsid w:val="009677C2"/>
    <w:rsid w:val="009677EB"/>
    <w:rsid w:val="00967812"/>
    <w:rsid w:val="00967B04"/>
    <w:rsid w:val="00967B8B"/>
    <w:rsid w:val="00967C23"/>
    <w:rsid w:val="00967C66"/>
    <w:rsid w:val="00967D3D"/>
    <w:rsid w:val="00967FC7"/>
    <w:rsid w:val="00970111"/>
    <w:rsid w:val="0097016C"/>
    <w:rsid w:val="009701B0"/>
    <w:rsid w:val="009701E7"/>
    <w:rsid w:val="00970288"/>
    <w:rsid w:val="00970604"/>
    <w:rsid w:val="009707B5"/>
    <w:rsid w:val="009708EE"/>
    <w:rsid w:val="00970A48"/>
    <w:rsid w:val="00970A51"/>
    <w:rsid w:val="00970A8C"/>
    <w:rsid w:val="00970ABF"/>
    <w:rsid w:val="00970BFA"/>
    <w:rsid w:val="00970C0E"/>
    <w:rsid w:val="00970C8F"/>
    <w:rsid w:val="00970CEF"/>
    <w:rsid w:val="00970DE3"/>
    <w:rsid w:val="00970FB8"/>
    <w:rsid w:val="00971022"/>
    <w:rsid w:val="0097111E"/>
    <w:rsid w:val="0097118A"/>
    <w:rsid w:val="009711A7"/>
    <w:rsid w:val="0097160E"/>
    <w:rsid w:val="00971670"/>
    <w:rsid w:val="00971758"/>
    <w:rsid w:val="009717FE"/>
    <w:rsid w:val="00971800"/>
    <w:rsid w:val="00971823"/>
    <w:rsid w:val="00971DC7"/>
    <w:rsid w:val="00971ED9"/>
    <w:rsid w:val="009720FA"/>
    <w:rsid w:val="0097217D"/>
    <w:rsid w:val="0097244E"/>
    <w:rsid w:val="00972A7E"/>
    <w:rsid w:val="00972AA6"/>
    <w:rsid w:val="00972DFB"/>
    <w:rsid w:val="00972FA7"/>
    <w:rsid w:val="009730D7"/>
    <w:rsid w:val="009731BB"/>
    <w:rsid w:val="00973208"/>
    <w:rsid w:val="00973239"/>
    <w:rsid w:val="009732D4"/>
    <w:rsid w:val="00973338"/>
    <w:rsid w:val="009736E2"/>
    <w:rsid w:val="0097377C"/>
    <w:rsid w:val="00973BBF"/>
    <w:rsid w:val="00973C6F"/>
    <w:rsid w:val="00973CA4"/>
    <w:rsid w:val="00973E0F"/>
    <w:rsid w:val="00974063"/>
    <w:rsid w:val="009740D5"/>
    <w:rsid w:val="0097415F"/>
    <w:rsid w:val="009742D4"/>
    <w:rsid w:val="0097454D"/>
    <w:rsid w:val="0097466C"/>
    <w:rsid w:val="0097473D"/>
    <w:rsid w:val="0097496B"/>
    <w:rsid w:val="009749F0"/>
    <w:rsid w:val="00974A58"/>
    <w:rsid w:val="00974A5D"/>
    <w:rsid w:val="00974C34"/>
    <w:rsid w:val="00974E73"/>
    <w:rsid w:val="00974EE0"/>
    <w:rsid w:val="00974F53"/>
    <w:rsid w:val="00975157"/>
    <w:rsid w:val="009751E6"/>
    <w:rsid w:val="00975336"/>
    <w:rsid w:val="00975338"/>
    <w:rsid w:val="009753B8"/>
    <w:rsid w:val="0097559F"/>
    <w:rsid w:val="0097567A"/>
    <w:rsid w:val="00975795"/>
    <w:rsid w:val="009757D6"/>
    <w:rsid w:val="0097594E"/>
    <w:rsid w:val="00975DA4"/>
    <w:rsid w:val="00975F3F"/>
    <w:rsid w:val="00975F5F"/>
    <w:rsid w:val="00975FEC"/>
    <w:rsid w:val="00975FFF"/>
    <w:rsid w:val="009762BC"/>
    <w:rsid w:val="009763B2"/>
    <w:rsid w:val="00976535"/>
    <w:rsid w:val="00976547"/>
    <w:rsid w:val="0097662C"/>
    <w:rsid w:val="0097674A"/>
    <w:rsid w:val="009768AD"/>
    <w:rsid w:val="00976924"/>
    <w:rsid w:val="00976A0A"/>
    <w:rsid w:val="00976B30"/>
    <w:rsid w:val="00976B5E"/>
    <w:rsid w:val="00976CEF"/>
    <w:rsid w:val="00976D26"/>
    <w:rsid w:val="00976D60"/>
    <w:rsid w:val="00976E73"/>
    <w:rsid w:val="00976FB0"/>
    <w:rsid w:val="009770EC"/>
    <w:rsid w:val="0097713A"/>
    <w:rsid w:val="009771E3"/>
    <w:rsid w:val="0097725A"/>
    <w:rsid w:val="009772B8"/>
    <w:rsid w:val="00977453"/>
    <w:rsid w:val="009776CF"/>
    <w:rsid w:val="009776EA"/>
    <w:rsid w:val="009778C9"/>
    <w:rsid w:val="009779E8"/>
    <w:rsid w:val="00977A77"/>
    <w:rsid w:val="00977BB1"/>
    <w:rsid w:val="00977D68"/>
    <w:rsid w:val="00977DC3"/>
    <w:rsid w:val="00977E0A"/>
    <w:rsid w:val="00977E8F"/>
    <w:rsid w:val="00977EA9"/>
    <w:rsid w:val="00977F4C"/>
    <w:rsid w:val="00977F99"/>
    <w:rsid w:val="00980030"/>
    <w:rsid w:val="00980064"/>
    <w:rsid w:val="0098006C"/>
    <w:rsid w:val="0098008C"/>
    <w:rsid w:val="009800A7"/>
    <w:rsid w:val="009800AC"/>
    <w:rsid w:val="009800D5"/>
    <w:rsid w:val="009800FC"/>
    <w:rsid w:val="00980114"/>
    <w:rsid w:val="00980157"/>
    <w:rsid w:val="009803A9"/>
    <w:rsid w:val="009803CB"/>
    <w:rsid w:val="009803D4"/>
    <w:rsid w:val="00980447"/>
    <w:rsid w:val="009807A2"/>
    <w:rsid w:val="00980AA2"/>
    <w:rsid w:val="00980E86"/>
    <w:rsid w:val="00980EDC"/>
    <w:rsid w:val="00981063"/>
    <w:rsid w:val="0098118E"/>
    <w:rsid w:val="009814AE"/>
    <w:rsid w:val="0098168A"/>
    <w:rsid w:val="00981993"/>
    <w:rsid w:val="0098199C"/>
    <w:rsid w:val="00981B55"/>
    <w:rsid w:val="00981C15"/>
    <w:rsid w:val="00981F31"/>
    <w:rsid w:val="00981F6B"/>
    <w:rsid w:val="00981FF4"/>
    <w:rsid w:val="009820B7"/>
    <w:rsid w:val="009821A6"/>
    <w:rsid w:val="009821F3"/>
    <w:rsid w:val="0098221F"/>
    <w:rsid w:val="0098231E"/>
    <w:rsid w:val="009824B9"/>
    <w:rsid w:val="0098262F"/>
    <w:rsid w:val="0098268D"/>
    <w:rsid w:val="009826B7"/>
    <w:rsid w:val="00982737"/>
    <w:rsid w:val="00982957"/>
    <w:rsid w:val="00982ACA"/>
    <w:rsid w:val="00982CA4"/>
    <w:rsid w:val="00982DD5"/>
    <w:rsid w:val="00982E85"/>
    <w:rsid w:val="00982F26"/>
    <w:rsid w:val="00982F3C"/>
    <w:rsid w:val="00982FC1"/>
    <w:rsid w:val="0098301E"/>
    <w:rsid w:val="009830AE"/>
    <w:rsid w:val="009831A8"/>
    <w:rsid w:val="00983254"/>
    <w:rsid w:val="009835A7"/>
    <w:rsid w:val="009836D4"/>
    <w:rsid w:val="00983F41"/>
    <w:rsid w:val="0098402B"/>
    <w:rsid w:val="00984244"/>
    <w:rsid w:val="0098438B"/>
    <w:rsid w:val="009844C4"/>
    <w:rsid w:val="009846F6"/>
    <w:rsid w:val="0098483D"/>
    <w:rsid w:val="009849B3"/>
    <w:rsid w:val="00984B39"/>
    <w:rsid w:val="00984CB2"/>
    <w:rsid w:val="00984E27"/>
    <w:rsid w:val="00984F64"/>
    <w:rsid w:val="00984F84"/>
    <w:rsid w:val="00984F98"/>
    <w:rsid w:val="009851C8"/>
    <w:rsid w:val="00985227"/>
    <w:rsid w:val="0098531F"/>
    <w:rsid w:val="009854B1"/>
    <w:rsid w:val="0098563C"/>
    <w:rsid w:val="00985702"/>
    <w:rsid w:val="009858BC"/>
    <w:rsid w:val="00985977"/>
    <w:rsid w:val="00986116"/>
    <w:rsid w:val="00986175"/>
    <w:rsid w:val="0098658B"/>
    <w:rsid w:val="00986605"/>
    <w:rsid w:val="00986640"/>
    <w:rsid w:val="009866A9"/>
    <w:rsid w:val="009866F7"/>
    <w:rsid w:val="0098682E"/>
    <w:rsid w:val="009868B2"/>
    <w:rsid w:val="00986A39"/>
    <w:rsid w:val="00986A81"/>
    <w:rsid w:val="00986CEF"/>
    <w:rsid w:val="00986DA5"/>
    <w:rsid w:val="00986FD2"/>
    <w:rsid w:val="00987002"/>
    <w:rsid w:val="009872F0"/>
    <w:rsid w:val="00987327"/>
    <w:rsid w:val="0098732B"/>
    <w:rsid w:val="009873A7"/>
    <w:rsid w:val="009873B6"/>
    <w:rsid w:val="009873F3"/>
    <w:rsid w:val="00987438"/>
    <w:rsid w:val="00987497"/>
    <w:rsid w:val="009874A2"/>
    <w:rsid w:val="00987546"/>
    <w:rsid w:val="00987679"/>
    <w:rsid w:val="009876C1"/>
    <w:rsid w:val="00987AD9"/>
    <w:rsid w:val="00987BBD"/>
    <w:rsid w:val="00987CA7"/>
    <w:rsid w:val="00987ECE"/>
    <w:rsid w:val="00987EE8"/>
    <w:rsid w:val="00987FF2"/>
    <w:rsid w:val="00990033"/>
    <w:rsid w:val="00990109"/>
    <w:rsid w:val="00990155"/>
    <w:rsid w:val="009903F1"/>
    <w:rsid w:val="009904EF"/>
    <w:rsid w:val="009905EA"/>
    <w:rsid w:val="0099075F"/>
    <w:rsid w:val="00990862"/>
    <w:rsid w:val="00990947"/>
    <w:rsid w:val="00990A0D"/>
    <w:rsid w:val="00990B89"/>
    <w:rsid w:val="00990BDF"/>
    <w:rsid w:val="00990D5F"/>
    <w:rsid w:val="00990EB7"/>
    <w:rsid w:val="00990F36"/>
    <w:rsid w:val="00990FFA"/>
    <w:rsid w:val="009911C9"/>
    <w:rsid w:val="009911E0"/>
    <w:rsid w:val="009912E7"/>
    <w:rsid w:val="00991459"/>
    <w:rsid w:val="0099169C"/>
    <w:rsid w:val="00991A89"/>
    <w:rsid w:val="00991F23"/>
    <w:rsid w:val="00991F81"/>
    <w:rsid w:val="00992191"/>
    <w:rsid w:val="009921B2"/>
    <w:rsid w:val="009924FD"/>
    <w:rsid w:val="009926D1"/>
    <w:rsid w:val="009927C1"/>
    <w:rsid w:val="00992831"/>
    <w:rsid w:val="009928DA"/>
    <w:rsid w:val="00992A0A"/>
    <w:rsid w:val="00992BE6"/>
    <w:rsid w:val="00992D3B"/>
    <w:rsid w:val="00992D6B"/>
    <w:rsid w:val="00992FC1"/>
    <w:rsid w:val="0099317D"/>
    <w:rsid w:val="009932F6"/>
    <w:rsid w:val="0099331D"/>
    <w:rsid w:val="0099368B"/>
    <w:rsid w:val="00993825"/>
    <w:rsid w:val="00993865"/>
    <w:rsid w:val="009939D6"/>
    <w:rsid w:val="00993C7E"/>
    <w:rsid w:val="00993C98"/>
    <w:rsid w:val="00993DB4"/>
    <w:rsid w:val="00993E1D"/>
    <w:rsid w:val="00993F0D"/>
    <w:rsid w:val="00993FC4"/>
    <w:rsid w:val="0099406C"/>
    <w:rsid w:val="0099412B"/>
    <w:rsid w:val="00994578"/>
    <w:rsid w:val="00994611"/>
    <w:rsid w:val="009949A3"/>
    <w:rsid w:val="009949D4"/>
    <w:rsid w:val="00994A63"/>
    <w:rsid w:val="00994B99"/>
    <w:rsid w:val="00994BB9"/>
    <w:rsid w:val="00994CD4"/>
    <w:rsid w:val="00994D2C"/>
    <w:rsid w:val="00994D90"/>
    <w:rsid w:val="00994E50"/>
    <w:rsid w:val="00994EAB"/>
    <w:rsid w:val="0099500E"/>
    <w:rsid w:val="0099505E"/>
    <w:rsid w:val="00995133"/>
    <w:rsid w:val="00995227"/>
    <w:rsid w:val="0099537D"/>
    <w:rsid w:val="009953B6"/>
    <w:rsid w:val="009955EC"/>
    <w:rsid w:val="00995752"/>
    <w:rsid w:val="00995882"/>
    <w:rsid w:val="009959BB"/>
    <w:rsid w:val="00995A48"/>
    <w:rsid w:val="00995C29"/>
    <w:rsid w:val="00995E98"/>
    <w:rsid w:val="0099601E"/>
    <w:rsid w:val="009960D5"/>
    <w:rsid w:val="009960ED"/>
    <w:rsid w:val="00996279"/>
    <w:rsid w:val="00996561"/>
    <w:rsid w:val="009965E8"/>
    <w:rsid w:val="00996818"/>
    <w:rsid w:val="0099688A"/>
    <w:rsid w:val="00996917"/>
    <w:rsid w:val="00996A4C"/>
    <w:rsid w:val="00996A64"/>
    <w:rsid w:val="00996B79"/>
    <w:rsid w:val="00996BFE"/>
    <w:rsid w:val="00996CD4"/>
    <w:rsid w:val="00996F15"/>
    <w:rsid w:val="00996FEB"/>
    <w:rsid w:val="0099730E"/>
    <w:rsid w:val="0099748D"/>
    <w:rsid w:val="009978E0"/>
    <w:rsid w:val="00997934"/>
    <w:rsid w:val="00997BA8"/>
    <w:rsid w:val="00997C38"/>
    <w:rsid w:val="00997DCB"/>
    <w:rsid w:val="00997FA6"/>
    <w:rsid w:val="009A0028"/>
    <w:rsid w:val="009A00ED"/>
    <w:rsid w:val="009A00F4"/>
    <w:rsid w:val="009A0112"/>
    <w:rsid w:val="009A03F0"/>
    <w:rsid w:val="009A03F7"/>
    <w:rsid w:val="009A0419"/>
    <w:rsid w:val="009A0482"/>
    <w:rsid w:val="009A06F4"/>
    <w:rsid w:val="009A09C2"/>
    <w:rsid w:val="009A0A08"/>
    <w:rsid w:val="009A0C2F"/>
    <w:rsid w:val="009A0DA3"/>
    <w:rsid w:val="009A0DD3"/>
    <w:rsid w:val="009A0F69"/>
    <w:rsid w:val="009A1128"/>
    <w:rsid w:val="009A11E3"/>
    <w:rsid w:val="009A1283"/>
    <w:rsid w:val="009A136A"/>
    <w:rsid w:val="009A1634"/>
    <w:rsid w:val="009A164C"/>
    <w:rsid w:val="009A1A72"/>
    <w:rsid w:val="009A1B07"/>
    <w:rsid w:val="009A1CD3"/>
    <w:rsid w:val="009A20E4"/>
    <w:rsid w:val="009A2107"/>
    <w:rsid w:val="009A2316"/>
    <w:rsid w:val="009A25C4"/>
    <w:rsid w:val="009A25DB"/>
    <w:rsid w:val="009A294C"/>
    <w:rsid w:val="009A2B90"/>
    <w:rsid w:val="009A30C3"/>
    <w:rsid w:val="009A30D3"/>
    <w:rsid w:val="009A34CB"/>
    <w:rsid w:val="009A34EA"/>
    <w:rsid w:val="009A3692"/>
    <w:rsid w:val="009A372B"/>
    <w:rsid w:val="009A3778"/>
    <w:rsid w:val="009A3808"/>
    <w:rsid w:val="009A3A05"/>
    <w:rsid w:val="009A3AB8"/>
    <w:rsid w:val="009A3C78"/>
    <w:rsid w:val="009A3D8B"/>
    <w:rsid w:val="009A3E2E"/>
    <w:rsid w:val="009A3E50"/>
    <w:rsid w:val="009A3E89"/>
    <w:rsid w:val="009A3E8B"/>
    <w:rsid w:val="009A3F84"/>
    <w:rsid w:val="009A4163"/>
    <w:rsid w:val="009A4210"/>
    <w:rsid w:val="009A4299"/>
    <w:rsid w:val="009A44EE"/>
    <w:rsid w:val="009A4AD1"/>
    <w:rsid w:val="009A4B73"/>
    <w:rsid w:val="009A4B8B"/>
    <w:rsid w:val="009A4C3F"/>
    <w:rsid w:val="009A4D2F"/>
    <w:rsid w:val="009A4E0A"/>
    <w:rsid w:val="009A4E7D"/>
    <w:rsid w:val="009A4FD3"/>
    <w:rsid w:val="009A51BF"/>
    <w:rsid w:val="009A527F"/>
    <w:rsid w:val="009A5681"/>
    <w:rsid w:val="009A56B0"/>
    <w:rsid w:val="009A5A23"/>
    <w:rsid w:val="009A5ADC"/>
    <w:rsid w:val="009A5AFA"/>
    <w:rsid w:val="009A5E14"/>
    <w:rsid w:val="009A5F0E"/>
    <w:rsid w:val="009A6081"/>
    <w:rsid w:val="009A6527"/>
    <w:rsid w:val="009A669D"/>
    <w:rsid w:val="009A66F3"/>
    <w:rsid w:val="009A69E5"/>
    <w:rsid w:val="009A69F8"/>
    <w:rsid w:val="009A6A00"/>
    <w:rsid w:val="009A6A30"/>
    <w:rsid w:val="009A6B80"/>
    <w:rsid w:val="009A6C66"/>
    <w:rsid w:val="009A6D2B"/>
    <w:rsid w:val="009A6DC1"/>
    <w:rsid w:val="009A6F54"/>
    <w:rsid w:val="009A71AA"/>
    <w:rsid w:val="009A76C2"/>
    <w:rsid w:val="009A76F7"/>
    <w:rsid w:val="009A7A21"/>
    <w:rsid w:val="009A7A6D"/>
    <w:rsid w:val="009A7D9F"/>
    <w:rsid w:val="009A7F34"/>
    <w:rsid w:val="009B00CA"/>
    <w:rsid w:val="009B0127"/>
    <w:rsid w:val="009B01BF"/>
    <w:rsid w:val="009B0252"/>
    <w:rsid w:val="009B074C"/>
    <w:rsid w:val="009B0777"/>
    <w:rsid w:val="009B07CB"/>
    <w:rsid w:val="009B0861"/>
    <w:rsid w:val="009B0CC0"/>
    <w:rsid w:val="009B0D37"/>
    <w:rsid w:val="009B1020"/>
    <w:rsid w:val="009B128A"/>
    <w:rsid w:val="009B15DB"/>
    <w:rsid w:val="009B185E"/>
    <w:rsid w:val="009B1B09"/>
    <w:rsid w:val="009B1B9C"/>
    <w:rsid w:val="009B1D4E"/>
    <w:rsid w:val="009B1EB9"/>
    <w:rsid w:val="009B1FB0"/>
    <w:rsid w:val="009B1FB9"/>
    <w:rsid w:val="009B1FF0"/>
    <w:rsid w:val="009B2113"/>
    <w:rsid w:val="009B2145"/>
    <w:rsid w:val="009B2245"/>
    <w:rsid w:val="009B258E"/>
    <w:rsid w:val="009B26FD"/>
    <w:rsid w:val="009B2A7E"/>
    <w:rsid w:val="009B2B72"/>
    <w:rsid w:val="009B2BA2"/>
    <w:rsid w:val="009B2C66"/>
    <w:rsid w:val="009B2F76"/>
    <w:rsid w:val="009B30EC"/>
    <w:rsid w:val="009B3117"/>
    <w:rsid w:val="009B332B"/>
    <w:rsid w:val="009B33B4"/>
    <w:rsid w:val="009B33D6"/>
    <w:rsid w:val="009B342E"/>
    <w:rsid w:val="009B3483"/>
    <w:rsid w:val="009B374A"/>
    <w:rsid w:val="009B3817"/>
    <w:rsid w:val="009B399C"/>
    <w:rsid w:val="009B39EA"/>
    <w:rsid w:val="009B3FF5"/>
    <w:rsid w:val="009B4124"/>
    <w:rsid w:val="009B41C7"/>
    <w:rsid w:val="009B41CB"/>
    <w:rsid w:val="009B4271"/>
    <w:rsid w:val="009B45E0"/>
    <w:rsid w:val="009B48F2"/>
    <w:rsid w:val="009B4900"/>
    <w:rsid w:val="009B4B1F"/>
    <w:rsid w:val="009B4B32"/>
    <w:rsid w:val="009B4C71"/>
    <w:rsid w:val="009B4DFA"/>
    <w:rsid w:val="009B5039"/>
    <w:rsid w:val="009B512A"/>
    <w:rsid w:val="009B5295"/>
    <w:rsid w:val="009B53A4"/>
    <w:rsid w:val="009B53AA"/>
    <w:rsid w:val="009B543D"/>
    <w:rsid w:val="009B5574"/>
    <w:rsid w:val="009B55C1"/>
    <w:rsid w:val="009B55E9"/>
    <w:rsid w:val="009B5706"/>
    <w:rsid w:val="009B5720"/>
    <w:rsid w:val="009B57A1"/>
    <w:rsid w:val="009B588E"/>
    <w:rsid w:val="009B5962"/>
    <w:rsid w:val="009B5997"/>
    <w:rsid w:val="009B5C60"/>
    <w:rsid w:val="009B5CDA"/>
    <w:rsid w:val="009B5EE3"/>
    <w:rsid w:val="009B6546"/>
    <w:rsid w:val="009B67B2"/>
    <w:rsid w:val="009B67F1"/>
    <w:rsid w:val="009B6AF9"/>
    <w:rsid w:val="009B6B23"/>
    <w:rsid w:val="009B6B35"/>
    <w:rsid w:val="009B6BEA"/>
    <w:rsid w:val="009B6C41"/>
    <w:rsid w:val="009B6C90"/>
    <w:rsid w:val="009B6D11"/>
    <w:rsid w:val="009B6ED3"/>
    <w:rsid w:val="009B6F45"/>
    <w:rsid w:val="009B70D2"/>
    <w:rsid w:val="009B726B"/>
    <w:rsid w:val="009B72F2"/>
    <w:rsid w:val="009B7567"/>
    <w:rsid w:val="009B7626"/>
    <w:rsid w:val="009B7782"/>
    <w:rsid w:val="009B78D4"/>
    <w:rsid w:val="009B7ABD"/>
    <w:rsid w:val="009B7B1D"/>
    <w:rsid w:val="009B7B54"/>
    <w:rsid w:val="009B7B5A"/>
    <w:rsid w:val="009B7F2C"/>
    <w:rsid w:val="009C0007"/>
    <w:rsid w:val="009C008A"/>
    <w:rsid w:val="009C0114"/>
    <w:rsid w:val="009C01C7"/>
    <w:rsid w:val="009C0367"/>
    <w:rsid w:val="009C0579"/>
    <w:rsid w:val="009C05B1"/>
    <w:rsid w:val="009C0678"/>
    <w:rsid w:val="009C06D6"/>
    <w:rsid w:val="009C073F"/>
    <w:rsid w:val="009C08B7"/>
    <w:rsid w:val="009C08E3"/>
    <w:rsid w:val="009C0A34"/>
    <w:rsid w:val="009C0A87"/>
    <w:rsid w:val="009C0B87"/>
    <w:rsid w:val="009C0C62"/>
    <w:rsid w:val="009C0EA5"/>
    <w:rsid w:val="009C0F59"/>
    <w:rsid w:val="009C161A"/>
    <w:rsid w:val="009C17A3"/>
    <w:rsid w:val="009C18FF"/>
    <w:rsid w:val="009C1971"/>
    <w:rsid w:val="009C1CA6"/>
    <w:rsid w:val="009C1CCB"/>
    <w:rsid w:val="009C1D27"/>
    <w:rsid w:val="009C1F04"/>
    <w:rsid w:val="009C24F9"/>
    <w:rsid w:val="009C2777"/>
    <w:rsid w:val="009C2799"/>
    <w:rsid w:val="009C280F"/>
    <w:rsid w:val="009C282D"/>
    <w:rsid w:val="009C2A06"/>
    <w:rsid w:val="009C2A52"/>
    <w:rsid w:val="009C2C27"/>
    <w:rsid w:val="009C2CBE"/>
    <w:rsid w:val="009C2D45"/>
    <w:rsid w:val="009C2DA9"/>
    <w:rsid w:val="009C2F37"/>
    <w:rsid w:val="009C2FE8"/>
    <w:rsid w:val="009C303F"/>
    <w:rsid w:val="009C32FB"/>
    <w:rsid w:val="009C3447"/>
    <w:rsid w:val="009C3462"/>
    <w:rsid w:val="009C3944"/>
    <w:rsid w:val="009C3AB6"/>
    <w:rsid w:val="009C3BD9"/>
    <w:rsid w:val="009C3CCD"/>
    <w:rsid w:val="009C3CFD"/>
    <w:rsid w:val="009C3D84"/>
    <w:rsid w:val="009C42C9"/>
    <w:rsid w:val="009C43ED"/>
    <w:rsid w:val="009C46DB"/>
    <w:rsid w:val="009C4704"/>
    <w:rsid w:val="009C473F"/>
    <w:rsid w:val="009C4846"/>
    <w:rsid w:val="009C4885"/>
    <w:rsid w:val="009C4911"/>
    <w:rsid w:val="009C4A1B"/>
    <w:rsid w:val="009C4BCB"/>
    <w:rsid w:val="009C4FA7"/>
    <w:rsid w:val="009C4FBD"/>
    <w:rsid w:val="009C503C"/>
    <w:rsid w:val="009C5150"/>
    <w:rsid w:val="009C545D"/>
    <w:rsid w:val="009C562B"/>
    <w:rsid w:val="009C5657"/>
    <w:rsid w:val="009C56A6"/>
    <w:rsid w:val="009C56B2"/>
    <w:rsid w:val="009C5786"/>
    <w:rsid w:val="009C5825"/>
    <w:rsid w:val="009C5924"/>
    <w:rsid w:val="009C59A6"/>
    <w:rsid w:val="009C59E5"/>
    <w:rsid w:val="009C5A4F"/>
    <w:rsid w:val="009C5B82"/>
    <w:rsid w:val="009C5E97"/>
    <w:rsid w:val="009C5E9E"/>
    <w:rsid w:val="009C5EC3"/>
    <w:rsid w:val="009C60AB"/>
    <w:rsid w:val="009C6130"/>
    <w:rsid w:val="009C632F"/>
    <w:rsid w:val="009C63AD"/>
    <w:rsid w:val="009C664D"/>
    <w:rsid w:val="009C66BD"/>
    <w:rsid w:val="009C6709"/>
    <w:rsid w:val="009C68F9"/>
    <w:rsid w:val="009C6942"/>
    <w:rsid w:val="009C6B52"/>
    <w:rsid w:val="009C6D34"/>
    <w:rsid w:val="009C6DF1"/>
    <w:rsid w:val="009C6E3E"/>
    <w:rsid w:val="009C6ED4"/>
    <w:rsid w:val="009C6F88"/>
    <w:rsid w:val="009C72A2"/>
    <w:rsid w:val="009C746B"/>
    <w:rsid w:val="009C749B"/>
    <w:rsid w:val="009C756E"/>
    <w:rsid w:val="009C757D"/>
    <w:rsid w:val="009C76C9"/>
    <w:rsid w:val="009C785B"/>
    <w:rsid w:val="009C7A6E"/>
    <w:rsid w:val="009C7A97"/>
    <w:rsid w:val="009D0074"/>
    <w:rsid w:val="009D010E"/>
    <w:rsid w:val="009D02BB"/>
    <w:rsid w:val="009D0705"/>
    <w:rsid w:val="009D0727"/>
    <w:rsid w:val="009D07E3"/>
    <w:rsid w:val="009D093D"/>
    <w:rsid w:val="009D0ABE"/>
    <w:rsid w:val="009D0AC0"/>
    <w:rsid w:val="009D0CFF"/>
    <w:rsid w:val="009D0D85"/>
    <w:rsid w:val="009D0E55"/>
    <w:rsid w:val="009D0EB9"/>
    <w:rsid w:val="009D0EF2"/>
    <w:rsid w:val="009D0F7B"/>
    <w:rsid w:val="009D0FD5"/>
    <w:rsid w:val="009D0FE3"/>
    <w:rsid w:val="009D1049"/>
    <w:rsid w:val="009D1130"/>
    <w:rsid w:val="009D1364"/>
    <w:rsid w:val="009D1379"/>
    <w:rsid w:val="009D14A2"/>
    <w:rsid w:val="009D1514"/>
    <w:rsid w:val="009D1607"/>
    <w:rsid w:val="009D1622"/>
    <w:rsid w:val="009D1774"/>
    <w:rsid w:val="009D1822"/>
    <w:rsid w:val="009D19DD"/>
    <w:rsid w:val="009D1A19"/>
    <w:rsid w:val="009D1A78"/>
    <w:rsid w:val="009D1B01"/>
    <w:rsid w:val="009D1B3F"/>
    <w:rsid w:val="009D1EA0"/>
    <w:rsid w:val="009D1EE7"/>
    <w:rsid w:val="009D1F23"/>
    <w:rsid w:val="009D20F4"/>
    <w:rsid w:val="009D2125"/>
    <w:rsid w:val="009D214B"/>
    <w:rsid w:val="009D21BE"/>
    <w:rsid w:val="009D243A"/>
    <w:rsid w:val="009D2563"/>
    <w:rsid w:val="009D26B7"/>
    <w:rsid w:val="009D2770"/>
    <w:rsid w:val="009D29A5"/>
    <w:rsid w:val="009D2A3A"/>
    <w:rsid w:val="009D2ADA"/>
    <w:rsid w:val="009D2D27"/>
    <w:rsid w:val="009D2D79"/>
    <w:rsid w:val="009D304D"/>
    <w:rsid w:val="009D3063"/>
    <w:rsid w:val="009D30A9"/>
    <w:rsid w:val="009D313E"/>
    <w:rsid w:val="009D3157"/>
    <w:rsid w:val="009D334E"/>
    <w:rsid w:val="009D33E8"/>
    <w:rsid w:val="009D342A"/>
    <w:rsid w:val="009D3452"/>
    <w:rsid w:val="009D3456"/>
    <w:rsid w:val="009D3496"/>
    <w:rsid w:val="009D34AD"/>
    <w:rsid w:val="009D34C6"/>
    <w:rsid w:val="009D3734"/>
    <w:rsid w:val="009D3779"/>
    <w:rsid w:val="009D3882"/>
    <w:rsid w:val="009D3B9E"/>
    <w:rsid w:val="009D3C3D"/>
    <w:rsid w:val="009D3D4E"/>
    <w:rsid w:val="009D3ED1"/>
    <w:rsid w:val="009D3F1A"/>
    <w:rsid w:val="009D410C"/>
    <w:rsid w:val="009D4300"/>
    <w:rsid w:val="009D430D"/>
    <w:rsid w:val="009D4310"/>
    <w:rsid w:val="009D43AA"/>
    <w:rsid w:val="009D45B1"/>
    <w:rsid w:val="009D45EF"/>
    <w:rsid w:val="009D474D"/>
    <w:rsid w:val="009D479B"/>
    <w:rsid w:val="009D48A1"/>
    <w:rsid w:val="009D496A"/>
    <w:rsid w:val="009D4C8D"/>
    <w:rsid w:val="009D4CB2"/>
    <w:rsid w:val="009D4CDF"/>
    <w:rsid w:val="009D4CE0"/>
    <w:rsid w:val="009D4D47"/>
    <w:rsid w:val="009D4DB2"/>
    <w:rsid w:val="009D524A"/>
    <w:rsid w:val="009D5271"/>
    <w:rsid w:val="009D5288"/>
    <w:rsid w:val="009D5627"/>
    <w:rsid w:val="009D5654"/>
    <w:rsid w:val="009D56B2"/>
    <w:rsid w:val="009D56D9"/>
    <w:rsid w:val="009D5733"/>
    <w:rsid w:val="009D5757"/>
    <w:rsid w:val="009D5948"/>
    <w:rsid w:val="009D5D46"/>
    <w:rsid w:val="009D5EDA"/>
    <w:rsid w:val="009D5FD9"/>
    <w:rsid w:val="009D64EC"/>
    <w:rsid w:val="009D6523"/>
    <w:rsid w:val="009D6553"/>
    <w:rsid w:val="009D6663"/>
    <w:rsid w:val="009D6724"/>
    <w:rsid w:val="009D6870"/>
    <w:rsid w:val="009D6958"/>
    <w:rsid w:val="009D6BD2"/>
    <w:rsid w:val="009D6C8E"/>
    <w:rsid w:val="009D6D58"/>
    <w:rsid w:val="009D6DD4"/>
    <w:rsid w:val="009D6E8E"/>
    <w:rsid w:val="009D6FC5"/>
    <w:rsid w:val="009D6FC8"/>
    <w:rsid w:val="009D70A0"/>
    <w:rsid w:val="009D70B8"/>
    <w:rsid w:val="009D7170"/>
    <w:rsid w:val="009D72CB"/>
    <w:rsid w:val="009D785D"/>
    <w:rsid w:val="009D79B9"/>
    <w:rsid w:val="009D7CA6"/>
    <w:rsid w:val="009D7D56"/>
    <w:rsid w:val="009D7F9C"/>
    <w:rsid w:val="009E025A"/>
    <w:rsid w:val="009E0269"/>
    <w:rsid w:val="009E04C8"/>
    <w:rsid w:val="009E077A"/>
    <w:rsid w:val="009E0A87"/>
    <w:rsid w:val="009E0D4C"/>
    <w:rsid w:val="009E0FAE"/>
    <w:rsid w:val="009E129A"/>
    <w:rsid w:val="009E134C"/>
    <w:rsid w:val="009E134E"/>
    <w:rsid w:val="009E1A3C"/>
    <w:rsid w:val="009E1CC2"/>
    <w:rsid w:val="009E1EA7"/>
    <w:rsid w:val="009E1FAE"/>
    <w:rsid w:val="009E2635"/>
    <w:rsid w:val="009E2887"/>
    <w:rsid w:val="009E28C7"/>
    <w:rsid w:val="009E29B3"/>
    <w:rsid w:val="009E29F7"/>
    <w:rsid w:val="009E2AD3"/>
    <w:rsid w:val="009E2E54"/>
    <w:rsid w:val="009E30FE"/>
    <w:rsid w:val="009E31A7"/>
    <w:rsid w:val="009E325C"/>
    <w:rsid w:val="009E32CB"/>
    <w:rsid w:val="009E3473"/>
    <w:rsid w:val="009E34C3"/>
    <w:rsid w:val="009E34E9"/>
    <w:rsid w:val="009E35FF"/>
    <w:rsid w:val="009E3747"/>
    <w:rsid w:val="009E3834"/>
    <w:rsid w:val="009E391C"/>
    <w:rsid w:val="009E3BA0"/>
    <w:rsid w:val="009E4042"/>
    <w:rsid w:val="009E41AC"/>
    <w:rsid w:val="009E41B2"/>
    <w:rsid w:val="009E41E1"/>
    <w:rsid w:val="009E4315"/>
    <w:rsid w:val="009E43B8"/>
    <w:rsid w:val="009E467C"/>
    <w:rsid w:val="009E47E5"/>
    <w:rsid w:val="009E49B3"/>
    <w:rsid w:val="009E4B40"/>
    <w:rsid w:val="009E4C6B"/>
    <w:rsid w:val="009E4D44"/>
    <w:rsid w:val="009E506D"/>
    <w:rsid w:val="009E50D6"/>
    <w:rsid w:val="009E5148"/>
    <w:rsid w:val="009E525B"/>
    <w:rsid w:val="009E5498"/>
    <w:rsid w:val="009E54CE"/>
    <w:rsid w:val="009E550F"/>
    <w:rsid w:val="009E559C"/>
    <w:rsid w:val="009E599F"/>
    <w:rsid w:val="009E5B20"/>
    <w:rsid w:val="009E5B9B"/>
    <w:rsid w:val="009E5CD8"/>
    <w:rsid w:val="009E5EA6"/>
    <w:rsid w:val="009E5EB8"/>
    <w:rsid w:val="009E6035"/>
    <w:rsid w:val="009E603E"/>
    <w:rsid w:val="009E60C4"/>
    <w:rsid w:val="009E629B"/>
    <w:rsid w:val="009E636E"/>
    <w:rsid w:val="009E6376"/>
    <w:rsid w:val="009E6425"/>
    <w:rsid w:val="009E6585"/>
    <w:rsid w:val="009E679D"/>
    <w:rsid w:val="009E67F4"/>
    <w:rsid w:val="009E6FE5"/>
    <w:rsid w:val="009E6FFF"/>
    <w:rsid w:val="009E7297"/>
    <w:rsid w:val="009E7440"/>
    <w:rsid w:val="009E7535"/>
    <w:rsid w:val="009E753D"/>
    <w:rsid w:val="009E7562"/>
    <w:rsid w:val="009E75A1"/>
    <w:rsid w:val="009E75FC"/>
    <w:rsid w:val="009E76D3"/>
    <w:rsid w:val="009E7886"/>
    <w:rsid w:val="009E789A"/>
    <w:rsid w:val="009E7953"/>
    <w:rsid w:val="009E7ADB"/>
    <w:rsid w:val="009E7BFA"/>
    <w:rsid w:val="009E7C15"/>
    <w:rsid w:val="009E7C4B"/>
    <w:rsid w:val="009E7C89"/>
    <w:rsid w:val="009E7D6C"/>
    <w:rsid w:val="009E7E8C"/>
    <w:rsid w:val="009E7ECA"/>
    <w:rsid w:val="009E7FE5"/>
    <w:rsid w:val="009F0149"/>
    <w:rsid w:val="009F0283"/>
    <w:rsid w:val="009F0379"/>
    <w:rsid w:val="009F04D9"/>
    <w:rsid w:val="009F0577"/>
    <w:rsid w:val="009F0582"/>
    <w:rsid w:val="009F05CF"/>
    <w:rsid w:val="009F064A"/>
    <w:rsid w:val="009F06E3"/>
    <w:rsid w:val="009F06FE"/>
    <w:rsid w:val="009F0782"/>
    <w:rsid w:val="009F091E"/>
    <w:rsid w:val="009F093C"/>
    <w:rsid w:val="009F0A8F"/>
    <w:rsid w:val="009F0B4B"/>
    <w:rsid w:val="009F0C78"/>
    <w:rsid w:val="009F0CD8"/>
    <w:rsid w:val="009F0EB7"/>
    <w:rsid w:val="009F0ECE"/>
    <w:rsid w:val="009F10BC"/>
    <w:rsid w:val="009F10EC"/>
    <w:rsid w:val="009F11F6"/>
    <w:rsid w:val="009F12B8"/>
    <w:rsid w:val="009F13C1"/>
    <w:rsid w:val="009F146F"/>
    <w:rsid w:val="009F1535"/>
    <w:rsid w:val="009F1847"/>
    <w:rsid w:val="009F1942"/>
    <w:rsid w:val="009F1AC9"/>
    <w:rsid w:val="009F1B0D"/>
    <w:rsid w:val="009F1BF0"/>
    <w:rsid w:val="009F1BF9"/>
    <w:rsid w:val="009F1C30"/>
    <w:rsid w:val="009F1DF3"/>
    <w:rsid w:val="009F1DF7"/>
    <w:rsid w:val="009F1E21"/>
    <w:rsid w:val="009F1E71"/>
    <w:rsid w:val="009F1EB8"/>
    <w:rsid w:val="009F1F52"/>
    <w:rsid w:val="009F20B7"/>
    <w:rsid w:val="009F21E8"/>
    <w:rsid w:val="009F229F"/>
    <w:rsid w:val="009F231F"/>
    <w:rsid w:val="009F2515"/>
    <w:rsid w:val="009F2891"/>
    <w:rsid w:val="009F295C"/>
    <w:rsid w:val="009F29AE"/>
    <w:rsid w:val="009F29B3"/>
    <w:rsid w:val="009F2A92"/>
    <w:rsid w:val="009F2B22"/>
    <w:rsid w:val="009F2C67"/>
    <w:rsid w:val="009F2EBB"/>
    <w:rsid w:val="009F2F0A"/>
    <w:rsid w:val="009F326D"/>
    <w:rsid w:val="009F33C5"/>
    <w:rsid w:val="009F3427"/>
    <w:rsid w:val="009F3483"/>
    <w:rsid w:val="009F3519"/>
    <w:rsid w:val="009F36E8"/>
    <w:rsid w:val="009F3A3A"/>
    <w:rsid w:val="009F3A7E"/>
    <w:rsid w:val="009F3BE1"/>
    <w:rsid w:val="009F3C75"/>
    <w:rsid w:val="009F3E5C"/>
    <w:rsid w:val="009F3EBB"/>
    <w:rsid w:val="009F4039"/>
    <w:rsid w:val="009F4046"/>
    <w:rsid w:val="009F40D6"/>
    <w:rsid w:val="009F422E"/>
    <w:rsid w:val="009F454B"/>
    <w:rsid w:val="009F456B"/>
    <w:rsid w:val="009F45B5"/>
    <w:rsid w:val="009F46DD"/>
    <w:rsid w:val="009F4B64"/>
    <w:rsid w:val="009F4D12"/>
    <w:rsid w:val="009F4D49"/>
    <w:rsid w:val="009F4DAB"/>
    <w:rsid w:val="009F522C"/>
    <w:rsid w:val="009F5336"/>
    <w:rsid w:val="009F5400"/>
    <w:rsid w:val="009F5413"/>
    <w:rsid w:val="009F5475"/>
    <w:rsid w:val="009F54E1"/>
    <w:rsid w:val="009F5720"/>
    <w:rsid w:val="009F5803"/>
    <w:rsid w:val="009F5959"/>
    <w:rsid w:val="009F5989"/>
    <w:rsid w:val="009F59E6"/>
    <w:rsid w:val="009F5A0F"/>
    <w:rsid w:val="009F5A13"/>
    <w:rsid w:val="009F5AB1"/>
    <w:rsid w:val="009F5BD1"/>
    <w:rsid w:val="009F5E4A"/>
    <w:rsid w:val="009F5E78"/>
    <w:rsid w:val="009F5F10"/>
    <w:rsid w:val="009F613F"/>
    <w:rsid w:val="009F62FC"/>
    <w:rsid w:val="009F6636"/>
    <w:rsid w:val="009F673E"/>
    <w:rsid w:val="009F673F"/>
    <w:rsid w:val="009F6A6A"/>
    <w:rsid w:val="009F6CED"/>
    <w:rsid w:val="009F6D4D"/>
    <w:rsid w:val="009F6E27"/>
    <w:rsid w:val="009F6E4E"/>
    <w:rsid w:val="009F7010"/>
    <w:rsid w:val="009F7011"/>
    <w:rsid w:val="009F709B"/>
    <w:rsid w:val="009F70C1"/>
    <w:rsid w:val="009F730C"/>
    <w:rsid w:val="009F7311"/>
    <w:rsid w:val="009F774E"/>
    <w:rsid w:val="009F7BF4"/>
    <w:rsid w:val="009F7EB6"/>
    <w:rsid w:val="009F7F7C"/>
    <w:rsid w:val="00A00322"/>
    <w:rsid w:val="00A0037E"/>
    <w:rsid w:val="00A0054A"/>
    <w:rsid w:val="00A00698"/>
    <w:rsid w:val="00A006A9"/>
    <w:rsid w:val="00A0084C"/>
    <w:rsid w:val="00A00A1D"/>
    <w:rsid w:val="00A00A21"/>
    <w:rsid w:val="00A00AF5"/>
    <w:rsid w:val="00A00BDD"/>
    <w:rsid w:val="00A00CA9"/>
    <w:rsid w:val="00A00DF3"/>
    <w:rsid w:val="00A00E4E"/>
    <w:rsid w:val="00A00F15"/>
    <w:rsid w:val="00A0102D"/>
    <w:rsid w:val="00A010C8"/>
    <w:rsid w:val="00A01303"/>
    <w:rsid w:val="00A01428"/>
    <w:rsid w:val="00A014BC"/>
    <w:rsid w:val="00A0155A"/>
    <w:rsid w:val="00A016BB"/>
    <w:rsid w:val="00A01781"/>
    <w:rsid w:val="00A017D0"/>
    <w:rsid w:val="00A01859"/>
    <w:rsid w:val="00A018FD"/>
    <w:rsid w:val="00A01C1D"/>
    <w:rsid w:val="00A01CB1"/>
    <w:rsid w:val="00A01F16"/>
    <w:rsid w:val="00A01F55"/>
    <w:rsid w:val="00A01FE4"/>
    <w:rsid w:val="00A01FFB"/>
    <w:rsid w:val="00A02010"/>
    <w:rsid w:val="00A02140"/>
    <w:rsid w:val="00A02470"/>
    <w:rsid w:val="00A02595"/>
    <w:rsid w:val="00A02B6A"/>
    <w:rsid w:val="00A02B74"/>
    <w:rsid w:val="00A02BED"/>
    <w:rsid w:val="00A02C23"/>
    <w:rsid w:val="00A02C4F"/>
    <w:rsid w:val="00A02CA1"/>
    <w:rsid w:val="00A02E64"/>
    <w:rsid w:val="00A02F0E"/>
    <w:rsid w:val="00A03059"/>
    <w:rsid w:val="00A0320A"/>
    <w:rsid w:val="00A03254"/>
    <w:rsid w:val="00A03258"/>
    <w:rsid w:val="00A0338F"/>
    <w:rsid w:val="00A03455"/>
    <w:rsid w:val="00A034BA"/>
    <w:rsid w:val="00A034C5"/>
    <w:rsid w:val="00A034F8"/>
    <w:rsid w:val="00A0368F"/>
    <w:rsid w:val="00A03A40"/>
    <w:rsid w:val="00A03A99"/>
    <w:rsid w:val="00A03B79"/>
    <w:rsid w:val="00A03BE0"/>
    <w:rsid w:val="00A03CE7"/>
    <w:rsid w:val="00A03E18"/>
    <w:rsid w:val="00A03EEE"/>
    <w:rsid w:val="00A0400C"/>
    <w:rsid w:val="00A0415D"/>
    <w:rsid w:val="00A041B5"/>
    <w:rsid w:val="00A043F1"/>
    <w:rsid w:val="00A04507"/>
    <w:rsid w:val="00A0454A"/>
    <w:rsid w:val="00A0470D"/>
    <w:rsid w:val="00A04718"/>
    <w:rsid w:val="00A0471A"/>
    <w:rsid w:val="00A048A0"/>
    <w:rsid w:val="00A048F7"/>
    <w:rsid w:val="00A04A09"/>
    <w:rsid w:val="00A04BCA"/>
    <w:rsid w:val="00A04BE6"/>
    <w:rsid w:val="00A04C82"/>
    <w:rsid w:val="00A04DB9"/>
    <w:rsid w:val="00A04DD6"/>
    <w:rsid w:val="00A04E9A"/>
    <w:rsid w:val="00A05177"/>
    <w:rsid w:val="00A052D7"/>
    <w:rsid w:val="00A0549E"/>
    <w:rsid w:val="00A05821"/>
    <w:rsid w:val="00A0587D"/>
    <w:rsid w:val="00A05900"/>
    <w:rsid w:val="00A05A83"/>
    <w:rsid w:val="00A05B1D"/>
    <w:rsid w:val="00A05C8B"/>
    <w:rsid w:val="00A05D1D"/>
    <w:rsid w:val="00A05DFD"/>
    <w:rsid w:val="00A05E45"/>
    <w:rsid w:val="00A05EA2"/>
    <w:rsid w:val="00A05F9C"/>
    <w:rsid w:val="00A05FB1"/>
    <w:rsid w:val="00A062A2"/>
    <w:rsid w:val="00A063A0"/>
    <w:rsid w:val="00A06479"/>
    <w:rsid w:val="00A06616"/>
    <w:rsid w:val="00A0673B"/>
    <w:rsid w:val="00A0676F"/>
    <w:rsid w:val="00A06876"/>
    <w:rsid w:val="00A06A97"/>
    <w:rsid w:val="00A06CA7"/>
    <w:rsid w:val="00A06CB7"/>
    <w:rsid w:val="00A07021"/>
    <w:rsid w:val="00A0703B"/>
    <w:rsid w:val="00A0708E"/>
    <w:rsid w:val="00A0709F"/>
    <w:rsid w:val="00A0710D"/>
    <w:rsid w:val="00A071F5"/>
    <w:rsid w:val="00A0730A"/>
    <w:rsid w:val="00A0745A"/>
    <w:rsid w:val="00A0750F"/>
    <w:rsid w:val="00A0757B"/>
    <w:rsid w:val="00A076CC"/>
    <w:rsid w:val="00A07869"/>
    <w:rsid w:val="00A078B1"/>
    <w:rsid w:val="00A07D80"/>
    <w:rsid w:val="00A07E11"/>
    <w:rsid w:val="00A07E22"/>
    <w:rsid w:val="00A07FCC"/>
    <w:rsid w:val="00A10347"/>
    <w:rsid w:val="00A1044E"/>
    <w:rsid w:val="00A106E3"/>
    <w:rsid w:val="00A109EF"/>
    <w:rsid w:val="00A10B4A"/>
    <w:rsid w:val="00A10C4A"/>
    <w:rsid w:val="00A10D9D"/>
    <w:rsid w:val="00A11100"/>
    <w:rsid w:val="00A11166"/>
    <w:rsid w:val="00A112AF"/>
    <w:rsid w:val="00A1145B"/>
    <w:rsid w:val="00A11646"/>
    <w:rsid w:val="00A1165C"/>
    <w:rsid w:val="00A116DF"/>
    <w:rsid w:val="00A11C37"/>
    <w:rsid w:val="00A11CD6"/>
    <w:rsid w:val="00A11CDF"/>
    <w:rsid w:val="00A11E08"/>
    <w:rsid w:val="00A11F10"/>
    <w:rsid w:val="00A12284"/>
    <w:rsid w:val="00A125D6"/>
    <w:rsid w:val="00A127DC"/>
    <w:rsid w:val="00A1285E"/>
    <w:rsid w:val="00A12B0C"/>
    <w:rsid w:val="00A12E08"/>
    <w:rsid w:val="00A12E31"/>
    <w:rsid w:val="00A12E56"/>
    <w:rsid w:val="00A12E91"/>
    <w:rsid w:val="00A12FD6"/>
    <w:rsid w:val="00A1305F"/>
    <w:rsid w:val="00A130F7"/>
    <w:rsid w:val="00A131BB"/>
    <w:rsid w:val="00A133CC"/>
    <w:rsid w:val="00A13534"/>
    <w:rsid w:val="00A135C1"/>
    <w:rsid w:val="00A13687"/>
    <w:rsid w:val="00A136D8"/>
    <w:rsid w:val="00A137F4"/>
    <w:rsid w:val="00A13A34"/>
    <w:rsid w:val="00A13BDA"/>
    <w:rsid w:val="00A13D70"/>
    <w:rsid w:val="00A13E40"/>
    <w:rsid w:val="00A13EA5"/>
    <w:rsid w:val="00A14248"/>
    <w:rsid w:val="00A1432D"/>
    <w:rsid w:val="00A14453"/>
    <w:rsid w:val="00A1474C"/>
    <w:rsid w:val="00A14978"/>
    <w:rsid w:val="00A14AE0"/>
    <w:rsid w:val="00A14C13"/>
    <w:rsid w:val="00A14CB8"/>
    <w:rsid w:val="00A14E53"/>
    <w:rsid w:val="00A14ED4"/>
    <w:rsid w:val="00A150B4"/>
    <w:rsid w:val="00A1525F"/>
    <w:rsid w:val="00A154CB"/>
    <w:rsid w:val="00A15580"/>
    <w:rsid w:val="00A156CC"/>
    <w:rsid w:val="00A15735"/>
    <w:rsid w:val="00A157D8"/>
    <w:rsid w:val="00A15803"/>
    <w:rsid w:val="00A15938"/>
    <w:rsid w:val="00A1597E"/>
    <w:rsid w:val="00A1598C"/>
    <w:rsid w:val="00A159EA"/>
    <w:rsid w:val="00A15A71"/>
    <w:rsid w:val="00A15ACD"/>
    <w:rsid w:val="00A15B27"/>
    <w:rsid w:val="00A15B7B"/>
    <w:rsid w:val="00A15C23"/>
    <w:rsid w:val="00A15D44"/>
    <w:rsid w:val="00A15DD9"/>
    <w:rsid w:val="00A15E02"/>
    <w:rsid w:val="00A15EE2"/>
    <w:rsid w:val="00A15FBB"/>
    <w:rsid w:val="00A16121"/>
    <w:rsid w:val="00A16188"/>
    <w:rsid w:val="00A161EA"/>
    <w:rsid w:val="00A1628A"/>
    <w:rsid w:val="00A1633B"/>
    <w:rsid w:val="00A163CF"/>
    <w:rsid w:val="00A16407"/>
    <w:rsid w:val="00A16438"/>
    <w:rsid w:val="00A16449"/>
    <w:rsid w:val="00A164E2"/>
    <w:rsid w:val="00A16514"/>
    <w:rsid w:val="00A16972"/>
    <w:rsid w:val="00A16AAE"/>
    <w:rsid w:val="00A16C4C"/>
    <w:rsid w:val="00A16C9F"/>
    <w:rsid w:val="00A16D75"/>
    <w:rsid w:val="00A16D7E"/>
    <w:rsid w:val="00A17620"/>
    <w:rsid w:val="00A176B6"/>
    <w:rsid w:val="00A17730"/>
    <w:rsid w:val="00A17A2B"/>
    <w:rsid w:val="00A17B66"/>
    <w:rsid w:val="00A17B9D"/>
    <w:rsid w:val="00A17DB7"/>
    <w:rsid w:val="00A200C9"/>
    <w:rsid w:val="00A201C8"/>
    <w:rsid w:val="00A20316"/>
    <w:rsid w:val="00A2041F"/>
    <w:rsid w:val="00A20423"/>
    <w:rsid w:val="00A20536"/>
    <w:rsid w:val="00A2057A"/>
    <w:rsid w:val="00A206E8"/>
    <w:rsid w:val="00A20714"/>
    <w:rsid w:val="00A20858"/>
    <w:rsid w:val="00A208C2"/>
    <w:rsid w:val="00A20912"/>
    <w:rsid w:val="00A20A29"/>
    <w:rsid w:val="00A20BE2"/>
    <w:rsid w:val="00A20CA6"/>
    <w:rsid w:val="00A20DAD"/>
    <w:rsid w:val="00A20E24"/>
    <w:rsid w:val="00A20E79"/>
    <w:rsid w:val="00A20ECF"/>
    <w:rsid w:val="00A20F55"/>
    <w:rsid w:val="00A20F5A"/>
    <w:rsid w:val="00A2109E"/>
    <w:rsid w:val="00A210A4"/>
    <w:rsid w:val="00A21283"/>
    <w:rsid w:val="00A2148D"/>
    <w:rsid w:val="00A214D2"/>
    <w:rsid w:val="00A2168A"/>
    <w:rsid w:val="00A21815"/>
    <w:rsid w:val="00A21861"/>
    <w:rsid w:val="00A2186C"/>
    <w:rsid w:val="00A218D2"/>
    <w:rsid w:val="00A21995"/>
    <w:rsid w:val="00A21A36"/>
    <w:rsid w:val="00A21CA9"/>
    <w:rsid w:val="00A21E00"/>
    <w:rsid w:val="00A21F0A"/>
    <w:rsid w:val="00A21F18"/>
    <w:rsid w:val="00A22002"/>
    <w:rsid w:val="00A22022"/>
    <w:rsid w:val="00A22052"/>
    <w:rsid w:val="00A22066"/>
    <w:rsid w:val="00A2219A"/>
    <w:rsid w:val="00A221A1"/>
    <w:rsid w:val="00A22330"/>
    <w:rsid w:val="00A22424"/>
    <w:rsid w:val="00A22463"/>
    <w:rsid w:val="00A22469"/>
    <w:rsid w:val="00A22542"/>
    <w:rsid w:val="00A22917"/>
    <w:rsid w:val="00A2293D"/>
    <w:rsid w:val="00A22985"/>
    <w:rsid w:val="00A2299E"/>
    <w:rsid w:val="00A22A45"/>
    <w:rsid w:val="00A22E00"/>
    <w:rsid w:val="00A22EFC"/>
    <w:rsid w:val="00A230A2"/>
    <w:rsid w:val="00A23246"/>
    <w:rsid w:val="00A2336C"/>
    <w:rsid w:val="00A233D2"/>
    <w:rsid w:val="00A236CE"/>
    <w:rsid w:val="00A23890"/>
    <w:rsid w:val="00A23923"/>
    <w:rsid w:val="00A2392F"/>
    <w:rsid w:val="00A239EB"/>
    <w:rsid w:val="00A23B33"/>
    <w:rsid w:val="00A23BB1"/>
    <w:rsid w:val="00A23BEB"/>
    <w:rsid w:val="00A23D1F"/>
    <w:rsid w:val="00A23D6F"/>
    <w:rsid w:val="00A23FCF"/>
    <w:rsid w:val="00A2408B"/>
    <w:rsid w:val="00A240ED"/>
    <w:rsid w:val="00A242AA"/>
    <w:rsid w:val="00A242CE"/>
    <w:rsid w:val="00A242F8"/>
    <w:rsid w:val="00A243AF"/>
    <w:rsid w:val="00A2444A"/>
    <w:rsid w:val="00A2444E"/>
    <w:rsid w:val="00A2483D"/>
    <w:rsid w:val="00A24968"/>
    <w:rsid w:val="00A24975"/>
    <w:rsid w:val="00A249B0"/>
    <w:rsid w:val="00A249E2"/>
    <w:rsid w:val="00A24AE8"/>
    <w:rsid w:val="00A24C01"/>
    <w:rsid w:val="00A24CF3"/>
    <w:rsid w:val="00A24D02"/>
    <w:rsid w:val="00A24FE4"/>
    <w:rsid w:val="00A2518F"/>
    <w:rsid w:val="00A253B4"/>
    <w:rsid w:val="00A254DE"/>
    <w:rsid w:val="00A25640"/>
    <w:rsid w:val="00A256B8"/>
    <w:rsid w:val="00A256D8"/>
    <w:rsid w:val="00A25782"/>
    <w:rsid w:val="00A25A81"/>
    <w:rsid w:val="00A25AF9"/>
    <w:rsid w:val="00A25C7E"/>
    <w:rsid w:val="00A25CDC"/>
    <w:rsid w:val="00A25D8A"/>
    <w:rsid w:val="00A25E9D"/>
    <w:rsid w:val="00A25EAF"/>
    <w:rsid w:val="00A25F85"/>
    <w:rsid w:val="00A25FF5"/>
    <w:rsid w:val="00A2632A"/>
    <w:rsid w:val="00A2636D"/>
    <w:rsid w:val="00A26389"/>
    <w:rsid w:val="00A26421"/>
    <w:rsid w:val="00A26501"/>
    <w:rsid w:val="00A265C3"/>
    <w:rsid w:val="00A265D5"/>
    <w:rsid w:val="00A26790"/>
    <w:rsid w:val="00A268F0"/>
    <w:rsid w:val="00A26A35"/>
    <w:rsid w:val="00A26D7C"/>
    <w:rsid w:val="00A26E8E"/>
    <w:rsid w:val="00A270E6"/>
    <w:rsid w:val="00A271E6"/>
    <w:rsid w:val="00A271ED"/>
    <w:rsid w:val="00A27529"/>
    <w:rsid w:val="00A2753B"/>
    <w:rsid w:val="00A2791F"/>
    <w:rsid w:val="00A27B31"/>
    <w:rsid w:val="00A27B97"/>
    <w:rsid w:val="00A300AB"/>
    <w:rsid w:val="00A30369"/>
    <w:rsid w:val="00A3039D"/>
    <w:rsid w:val="00A303B8"/>
    <w:rsid w:val="00A30942"/>
    <w:rsid w:val="00A30983"/>
    <w:rsid w:val="00A309EE"/>
    <w:rsid w:val="00A30AF9"/>
    <w:rsid w:val="00A30BF0"/>
    <w:rsid w:val="00A30C13"/>
    <w:rsid w:val="00A30C2D"/>
    <w:rsid w:val="00A30C4D"/>
    <w:rsid w:val="00A30D09"/>
    <w:rsid w:val="00A30D0C"/>
    <w:rsid w:val="00A30DCE"/>
    <w:rsid w:val="00A30E2B"/>
    <w:rsid w:val="00A30F14"/>
    <w:rsid w:val="00A30F5E"/>
    <w:rsid w:val="00A31210"/>
    <w:rsid w:val="00A31413"/>
    <w:rsid w:val="00A314CA"/>
    <w:rsid w:val="00A31510"/>
    <w:rsid w:val="00A315A5"/>
    <w:rsid w:val="00A3167D"/>
    <w:rsid w:val="00A317C5"/>
    <w:rsid w:val="00A31816"/>
    <w:rsid w:val="00A31852"/>
    <w:rsid w:val="00A3185B"/>
    <w:rsid w:val="00A319F2"/>
    <w:rsid w:val="00A319F7"/>
    <w:rsid w:val="00A31BE0"/>
    <w:rsid w:val="00A31C22"/>
    <w:rsid w:val="00A31DDA"/>
    <w:rsid w:val="00A31FA2"/>
    <w:rsid w:val="00A32053"/>
    <w:rsid w:val="00A321AF"/>
    <w:rsid w:val="00A32381"/>
    <w:rsid w:val="00A3244E"/>
    <w:rsid w:val="00A32458"/>
    <w:rsid w:val="00A325E0"/>
    <w:rsid w:val="00A32728"/>
    <w:rsid w:val="00A3273D"/>
    <w:rsid w:val="00A32A06"/>
    <w:rsid w:val="00A32B06"/>
    <w:rsid w:val="00A32CF5"/>
    <w:rsid w:val="00A32D24"/>
    <w:rsid w:val="00A3306D"/>
    <w:rsid w:val="00A33115"/>
    <w:rsid w:val="00A33116"/>
    <w:rsid w:val="00A3324C"/>
    <w:rsid w:val="00A3325E"/>
    <w:rsid w:val="00A3332F"/>
    <w:rsid w:val="00A3336B"/>
    <w:rsid w:val="00A33459"/>
    <w:rsid w:val="00A3346D"/>
    <w:rsid w:val="00A334E4"/>
    <w:rsid w:val="00A3372D"/>
    <w:rsid w:val="00A33811"/>
    <w:rsid w:val="00A338C2"/>
    <w:rsid w:val="00A33952"/>
    <w:rsid w:val="00A33C4D"/>
    <w:rsid w:val="00A33C76"/>
    <w:rsid w:val="00A33C89"/>
    <w:rsid w:val="00A33C91"/>
    <w:rsid w:val="00A33D8B"/>
    <w:rsid w:val="00A33ED0"/>
    <w:rsid w:val="00A33F31"/>
    <w:rsid w:val="00A33FBC"/>
    <w:rsid w:val="00A34073"/>
    <w:rsid w:val="00A3409C"/>
    <w:rsid w:val="00A342E6"/>
    <w:rsid w:val="00A34522"/>
    <w:rsid w:val="00A3455F"/>
    <w:rsid w:val="00A3470C"/>
    <w:rsid w:val="00A349F6"/>
    <w:rsid w:val="00A34BA7"/>
    <w:rsid w:val="00A34D24"/>
    <w:rsid w:val="00A34EAD"/>
    <w:rsid w:val="00A351B0"/>
    <w:rsid w:val="00A3533D"/>
    <w:rsid w:val="00A354CF"/>
    <w:rsid w:val="00A35829"/>
    <w:rsid w:val="00A3599A"/>
    <w:rsid w:val="00A35AA4"/>
    <w:rsid w:val="00A35BD1"/>
    <w:rsid w:val="00A35CDE"/>
    <w:rsid w:val="00A35D1B"/>
    <w:rsid w:val="00A35D65"/>
    <w:rsid w:val="00A35DF8"/>
    <w:rsid w:val="00A361C3"/>
    <w:rsid w:val="00A3621F"/>
    <w:rsid w:val="00A36333"/>
    <w:rsid w:val="00A36389"/>
    <w:rsid w:val="00A36649"/>
    <w:rsid w:val="00A36655"/>
    <w:rsid w:val="00A3666A"/>
    <w:rsid w:val="00A36843"/>
    <w:rsid w:val="00A36A8C"/>
    <w:rsid w:val="00A36AA5"/>
    <w:rsid w:val="00A36C3E"/>
    <w:rsid w:val="00A36C50"/>
    <w:rsid w:val="00A3701D"/>
    <w:rsid w:val="00A3709E"/>
    <w:rsid w:val="00A37278"/>
    <w:rsid w:val="00A3728E"/>
    <w:rsid w:val="00A374B9"/>
    <w:rsid w:val="00A37524"/>
    <w:rsid w:val="00A375BB"/>
    <w:rsid w:val="00A378EA"/>
    <w:rsid w:val="00A379B6"/>
    <w:rsid w:val="00A37A5B"/>
    <w:rsid w:val="00A37A9A"/>
    <w:rsid w:val="00A37E11"/>
    <w:rsid w:val="00A37F01"/>
    <w:rsid w:val="00A37F0E"/>
    <w:rsid w:val="00A37FA1"/>
    <w:rsid w:val="00A40131"/>
    <w:rsid w:val="00A40428"/>
    <w:rsid w:val="00A4065B"/>
    <w:rsid w:val="00A4067F"/>
    <w:rsid w:val="00A406BA"/>
    <w:rsid w:val="00A406D7"/>
    <w:rsid w:val="00A408F1"/>
    <w:rsid w:val="00A40C3E"/>
    <w:rsid w:val="00A411FA"/>
    <w:rsid w:val="00A41278"/>
    <w:rsid w:val="00A412C3"/>
    <w:rsid w:val="00A4137F"/>
    <w:rsid w:val="00A414AD"/>
    <w:rsid w:val="00A417B3"/>
    <w:rsid w:val="00A4185C"/>
    <w:rsid w:val="00A41899"/>
    <w:rsid w:val="00A419E5"/>
    <w:rsid w:val="00A419FA"/>
    <w:rsid w:val="00A41AA6"/>
    <w:rsid w:val="00A41AC7"/>
    <w:rsid w:val="00A41B9F"/>
    <w:rsid w:val="00A41BD3"/>
    <w:rsid w:val="00A41D9A"/>
    <w:rsid w:val="00A41E58"/>
    <w:rsid w:val="00A41ECB"/>
    <w:rsid w:val="00A41FC5"/>
    <w:rsid w:val="00A421C4"/>
    <w:rsid w:val="00A421E9"/>
    <w:rsid w:val="00A424D1"/>
    <w:rsid w:val="00A42563"/>
    <w:rsid w:val="00A4258F"/>
    <w:rsid w:val="00A426DF"/>
    <w:rsid w:val="00A4279F"/>
    <w:rsid w:val="00A42F85"/>
    <w:rsid w:val="00A42F99"/>
    <w:rsid w:val="00A43043"/>
    <w:rsid w:val="00A4309E"/>
    <w:rsid w:val="00A43289"/>
    <w:rsid w:val="00A433CB"/>
    <w:rsid w:val="00A43553"/>
    <w:rsid w:val="00A4364A"/>
    <w:rsid w:val="00A4379E"/>
    <w:rsid w:val="00A4399E"/>
    <w:rsid w:val="00A43AB9"/>
    <w:rsid w:val="00A43C6A"/>
    <w:rsid w:val="00A44020"/>
    <w:rsid w:val="00A443A1"/>
    <w:rsid w:val="00A443E7"/>
    <w:rsid w:val="00A44454"/>
    <w:rsid w:val="00A44592"/>
    <w:rsid w:val="00A44ADC"/>
    <w:rsid w:val="00A44B40"/>
    <w:rsid w:val="00A44BA8"/>
    <w:rsid w:val="00A44C4B"/>
    <w:rsid w:val="00A44C79"/>
    <w:rsid w:val="00A44EC1"/>
    <w:rsid w:val="00A45002"/>
    <w:rsid w:val="00A4505A"/>
    <w:rsid w:val="00A450A9"/>
    <w:rsid w:val="00A45177"/>
    <w:rsid w:val="00A453E4"/>
    <w:rsid w:val="00A454B3"/>
    <w:rsid w:val="00A45617"/>
    <w:rsid w:val="00A45639"/>
    <w:rsid w:val="00A458AD"/>
    <w:rsid w:val="00A45908"/>
    <w:rsid w:val="00A45971"/>
    <w:rsid w:val="00A45BC6"/>
    <w:rsid w:val="00A45D01"/>
    <w:rsid w:val="00A45E52"/>
    <w:rsid w:val="00A45EA5"/>
    <w:rsid w:val="00A4604F"/>
    <w:rsid w:val="00A46482"/>
    <w:rsid w:val="00A4657F"/>
    <w:rsid w:val="00A465D1"/>
    <w:rsid w:val="00A46652"/>
    <w:rsid w:val="00A466C3"/>
    <w:rsid w:val="00A466CB"/>
    <w:rsid w:val="00A46707"/>
    <w:rsid w:val="00A46741"/>
    <w:rsid w:val="00A467B3"/>
    <w:rsid w:val="00A467BA"/>
    <w:rsid w:val="00A46BD4"/>
    <w:rsid w:val="00A46C2E"/>
    <w:rsid w:val="00A46C7C"/>
    <w:rsid w:val="00A46C96"/>
    <w:rsid w:val="00A46D15"/>
    <w:rsid w:val="00A46E58"/>
    <w:rsid w:val="00A46EFE"/>
    <w:rsid w:val="00A47090"/>
    <w:rsid w:val="00A4713D"/>
    <w:rsid w:val="00A471FC"/>
    <w:rsid w:val="00A47626"/>
    <w:rsid w:val="00A47671"/>
    <w:rsid w:val="00A47785"/>
    <w:rsid w:val="00A477C7"/>
    <w:rsid w:val="00A47AA5"/>
    <w:rsid w:val="00A47C6D"/>
    <w:rsid w:val="00A47D3A"/>
    <w:rsid w:val="00A47D7D"/>
    <w:rsid w:val="00A47E8B"/>
    <w:rsid w:val="00A500FD"/>
    <w:rsid w:val="00A5026D"/>
    <w:rsid w:val="00A50369"/>
    <w:rsid w:val="00A506F5"/>
    <w:rsid w:val="00A506FE"/>
    <w:rsid w:val="00A50E6B"/>
    <w:rsid w:val="00A51048"/>
    <w:rsid w:val="00A5124F"/>
    <w:rsid w:val="00A513F1"/>
    <w:rsid w:val="00A51477"/>
    <w:rsid w:val="00A51486"/>
    <w:rsid w:val="00A515D5"/>
    <w:rsid w:val="00A5170E"/>
    <w:rsid w:val="00A51967"/>
    <w:rsid w:val="00A51A5E"/>
    <w:rsid w:val="00A51CEF"/>
    <w:rsid w:val="00A51DCE"/>
    <w:rsid w:val="00A51E3B"/>
    <w:rsid w:val="00A51F4B"/>
    <w:rsid w:val="00A52134"/>
    <w:rsid w:val="00A52204"/>
    <w:rsid w:val="00A522EA"/>
    <w:rsid w:val="00A5246A"/>
    <w:rsid w:val="00A524B0"/>
    <w:rsid w:val="00A527A9"/>
    <w:rsid w:val="00A52830"/>
    <w:rsid w:val="00A5295F"/>
    <w:rsid w:val="00A529E8"/>
    <w:rsid w:val="00A52A5F"/>
    <w:rsid w:val="00A52D07"/>
    <w:rsid w:val="00A52E6C"/>
    <w:rsid w:val="00A52ED5"/>
    <w:rsid w:val="00A530C6"/>
    <w:rsid w:val="00A53106"/>
    <w:rsid w:val="00A531B2"/>
    <w:rsid w:val="00A5323B"/>
    <w:rsid w:val="00A53279"/>
    <w:rsid w:val="00A532F8"/>
    <w:rsid w:val="00A53510"/>
    <w:rsid w:val="00A538DB"/>
    <w:rsid w:val="00A53A7C"/>
    <w:rsid w:val="00A53AE2"/>
    <w:rsid w:val="00A53D5A"/>
    <w:rsid w:val="00A53EBA"/>
    <w:rsid w:val="00A53F28"/>
    <w:rsid w:val="00A54178"/>
    <w:rsid w:val="00A5422E"/>
    <w:rsid w:val="00A54239"/>
    <w:rsid w:val="00A5431A"/>
    <w:rsid w:val="00A54382"/>
    <w:rsid w:val="00A54567"/>
    <w:rsid w:val="00A54841"/>
    <w:rsid w:val="00A549B5"/>
    <w:rsid w:val="00A549C2"/>
    <w:rsid w:val="00A54A2A"/>
    <w:rsid w:val="00A54C33"/>
    <w:rsid w:val="00A54D6F"/>
    <w:rsid w:val="00A54E52"/>
    <w:rsid w:val="00A54E8B"/>
    <w:rsid w:val="00A54FB4"/>
    <w:rsid w:val="00A55013"/>
    <w:rsid w:val="00A550C3"/>
    <w:rsid w:val="00A555F5"/>
    <w:rsid w:val="00A55686"/>
    <w:rsid w:val="00A558E7"/>
    <w:rsid w:val="00A55938"/>
    <w:rsid w:val="00A55B35"/>
    <w:rsid w:val="00A55D87"/>
    <w:rsid w:val="00A55E58"/>
    <w:rsid w:val="00A56098"/>
    <w:rsid w:val="00A560C3"/>
    <w:rsid w:val="00A56181"/>
    <w:rsid w:val="00A562C4"/>
    <w:rsid w:val="00A56531"/>
    <w:rsid w:val="00A565E5"/>
    <w:rsid w:val="00A56606"/>
    <w:rsid w:val="00A56681"/>
    <w:rsid w:val="00A56716"/>
    <w:rsid w:val="00A569C7"/>
    <w:rsid w:val="00A56B5E"/>
    <w:rsid w:val="00A56B96"/>
    <w:rsid w:val="00A56BC8"/>
    <w:rsid w:val="00A56CFF"/>
    <w:rsid w:val="00A56D2F"/>
    <w:rsid w:val="00A56DE0"/>
    <w:rsid w:val="00A56DF5"/>
    <w:rsid w:val="00A56FC0"/>
    <w:rsid w:val="00A57092"/>
    <w:rsid w:val="00A57400"/>
    <w:rsid w:val="00A57935"/>
    <w:rsid w:val="00A57A68"/>
    <w:rsid w:val="00A57A97"/>
    <w:rsid w:val="00A57AD9"/>
    <w:rsid w:val="00A57B1A"/>
    <w:rsid w:val="00A57B7F"/>
    <w:rsid w:val="00A57D95"/>
    <w:rsid w:val="00A57F80"/>
    <w:rsid w:val="00A6005F"/>
    <w:rsid w:val="00A60081"/>
    <w:rsid w:val="00A601A0"/>
    <w:rsid w:val="00A602EE"/>
    <w:rsid w:val="00A60316"/>
    <w:rsid w:val="00A60465"/>
    <w:rsid w:val="00A6071D"/>
    <w:rsid w:val="00A6096B"/>
    <w:rsid w:val="00A60972"/>
    <w:rsid w:val="00A60A30"/>
    <w:rsid w:val="00A60B1C"/>
    <w:rsid w:val="00A60CEB"/>
    <w:rsid w:val="00A60CF3"/>
    <w:rsid w:val="00A60D14"/>
    <w:rsid w:val="00A60D8C"/>
    <w:rsid w:val="00A60E09"/>
    <w:rsid w:val="00A6123C"/>
    <w:rsid w:val="00A61331"/>
    <w:rsid w:val="00A6135E"/>
    <w:rsid w:val="00A614B2"/>
    <w:rsid w:val="00A6157A"/>
    <w:rsid w:val="00A61586"/>
    <w:rsid w:val="00A615F2"/>
    <w:rsid w:val="00A61730"/>
    <w:rsid w:val="00A6177D"/>
    <w:rsid w:val="00A61800"/>
    <w:rsid w:val="00A61A43"/>
    <w:rsid w:val="00A61B16"/>
    <w:rsid w:val="00A61C5D"/>
    <w:rsid w:val="00A620B3"/>
    <w:rsid w:val="00A6217B"/>
    <w:rsid w:val="00A623C8"/>
    <w:rsid w:val="00A623CB"/>
    <w:rsid w:val="00A62540"/>
    <w:rsid w:val="00A62549"/>
    <w:rsid w:val="00A6257E"/>
    <w:rsid w:val="00A625CB"/>
    <w:rsid w:val="00A628EF"/>
    <w:rsid w:val="00A62C47"/>
    <w:rsid w:val="00A62D1D"/>
    <w:rsid w:val="00A62D1E"/>
    <w:rsid w:val="00A62D98"/>
    <w:rsid w:val="00A62E79"/>
    <w:rsid w:val="00A62F6E"/>
    <w:rsid w:val="00A632E8"/>
    <w:rsid w:val="00A6333D"/>
    <w:rsid w:val="00A633C5"/>
    <w:rsid w:val="00A6344B"/>
    <w:rsid w:val="00A6370D"/>
    <w:rsid w:val="00A63B92"/>
    <w:rsid w:val="00A63BC1"/>
    <w:rsid w:val="00A63C18"/>
    <w:rsid w:val="00A63D56"/>
    <w:rsid w:val="00A640A3"/>
    <w:rsid w:val="00A6426C"/>
    <w:rsid w:val="00A643CB"/>
    <w:rsid w:val="00A6444E"/>
    <w:rsid w:val="00A64458"/>
    <w:rsid w:val="00A644B7"/>
    <w:rsid w:val="00A644E6"/>
    <w:rsid w:val="00A64678"/>
    <w:rsid w:val="00A647CE"/>
    <w:rsid w:val="00A64A5E"/>
    <w:rsid w:val="00A64AA9"/>
    <w:rsid w:val="00A64B04"/>
    <w:rsid w:val="00A64BAE"/>
    <w:rsid w:val="00A64CB2"/>
    <w:rsid w:val="00A64D69"/>
    <w:rsid w:val="00A651DF"/>
    <w:rsid w:val="00A651F1"/>
    <w:rsid w:val="00A65271"/>
    <w:rsid w:val="00A652BB"/>
    <w:rsid w:val="00A654BF"/>
    <w:rsid w:val="00A658E0"/>
    <w:rsid w:val="00A65AB6"/>
    <w:rsid w:val="00A65B51"/>
    <w:rsid w:val="00A65C09"/>
    <w:rsid w:val="00A65C26"/>
    <w:rsid w:val="00A65E23"/>
    <w:rsid w:val="00A6621C"/>
    <w:rsid w:val="00A662DC"/>
    <w:rsid w:val="00A6648F"/>
    <w:rsid w:val="00A66555"/>
    <w:rsid w:val="00A6685A"/>
    <w:rsid w:val="00A66A5B"/>
    <w:rsid w:val="00A66ACA"/>
    <w:rsid w:val="00A66B5E"/>
    <w:rsid w:val="00A66F0D"/>
    <w:rsid w:val="00A66FAA"/>
    <w:rsid w:val="00A66FBB"/>
    <w:rsid w:val="00A6710D"/>
    <w:rsid w:val="00A671C9"/>
    <w:rsid w:val="00A673BD"/>
    <w:rsid w:val="00A673E0"/>
    <w:rsid w:val="00A6741B"/>
    <w:rsid w:val="00A67513"/>
    <w:rsid w:val="00A67632"/>
    <w:rsid w:val="00A676AD"/>
    <w:rsid w:val="00A67756"/>
    <w:rsid w:val="00A67998"/>
    <w:rsid w:val="00A67D19"/>
    <w:rsid w:val="00A67DFB"/>
    <w:rsid w:val="00A67F19"/>
    <w:rsid w:val="00A7002C"/>
    <w:rsid w:val="00A70143"/>
    <w:rsid w:val="00A7034C"/>
    <w:rsid w:val="00A70650"/>
    <w:rsid w:val="00A70874"/>
    <w:rsid w:val="00A70A18"/>
    <w:rsid w:val="00A70ABD"/>
    <w:rsid w:val="00A70C16"/>
    <w:rsid w:val="00A70C56"/>
    <w:rsid w:val="00A70C86"/>
    <w:rsid w:val="00A70CE9"/>
    <w:rsid w:val="00A70D1D"/>
    <w:rsid w:val="00A71183"/>
    <w:rsid w:val="00A71199"/>
    <w:rsid w:val="00A711A8"/>
    <w:rsid w:val="00A715A6"/>
    <w:rsid w:val="00A7195A"/>
    <w:rsid w:val="00A71989"/>
    <w:rsid w:val="00A719C1"/>
    <w:rsid w:val="00A71A03"/>
    <w:rsid w:val="00A71A3E"/>
    <w:rsid w:val="00A71C05"/>
    <w:rsid w:val="00A71EB8"/>
    <w:rsid w:val="00A71F57"/>
    <w:rsid w:val="00A71F79"/>
    <w:rsid w:val="00A722BC"/>
    <w:rsid w:val="00A7248A"/>
    <w:rsid w:val="00A724E4"/>
    <w:rsid w:val="00A72608"/>
    <w:rsid w:val="00A72733"/>
    <w:rsid w:val="00A72975"/>
    <w:rsid w:val="00A72A3A"/>
    <w:rsid w:val="00A72AC9"/>
    <w:rsid w:val="00A72C7E"/>
    <w:rsid w:val="00A72E2C"/>
    <w:rsid w:val="00A72E86"/>
    <w:rsid w:val="00A7301E"/>
    <w:rsid w:val="00A73050"/>
    <w:rsid w:val="00A73130"/>
    <w:rsid w:val="00A7321F"/>
    <w:rsid w:val="00A732E7"/>
    <w:rsid w:val="00A73364"/>
    <w:rsid w:val="00A733A4"/>
    <w:rsid w:val="00A7341F"/>
    <w:rsid w:val="00A734D3"/>
    <w:rsid w:val="00A7369D"/>
    <w:rsid w:val="00A7385E"/>
    <w:rsid w:val="00A73939"/>
    <w:rsid w:val="00A73995"/>
    <w:rsid w:val="00A73BA7"/>
    <w:rsid w:val="00A73D2F"/>
    <w:rsid w:val="00A73DF3"/>
    <w:rsid w:val="00A73E96"/>
    <w:rsid w:val="00A74189"/>
    <w:rsid w:val="00A74213"/>
    <w:rsid w:val="00A74226"/>
    <w:rsid w:val="00A74338"/>
    <w:rsid w:val="00A7438B"/>
    <w:rsid w:val="00A74430"/>
    <w:rsid w:val="00A7448C"/>
    <w:rsid w:val="00A74702"/>
    <w:rsid w:val="00A74761"/>
    <w:rsid w:val="00A747AC"/>
    <w:rsid w:val="00A747E5"/>
    <w:rsid w:val="00A74803"/>
    <w:rsid w:val="00A748AF"/>
    <w:rsid w:val="00A74B0A"/>
    <w:rsid w:val="00A74D44"/>
    <w:rsid w:val="00A75009"/>
    <w:rsid w:val="00A75174"/>
    <w:rsid w:val="00A75400"/>
    <w:rsid w:val="00A755CF"/>
    <w:rsid w:val="00A75655"/>
    <w:rsid w:val="00A757B0"/>
    <w:rsid w:val="00A75828"/>
    <w:rsid w:val="00A759E0"/>
    <w:rsid w:val="00A75A8C"/>
    <w:rsid w:val="00A75B73"/>
    <w:rsid w:val="00A75B9D"/>
    <w:rsid w:val="00A75C2B"/>
    <w:rsid w:val="00A75CEE"/>
    <w:rsid w:val="00A75D60"/>
    <w:rsid w:val="00A75D7C"/>
    <w:rsid w:val="00A75E81"/>
    <w:rsid w:val="00A75F35"/>
    <w:rsid w:val="00A75F37"/>
    <w:rsid w:val="00A76001"/>
    <w:rsid w:val="00A763F5"/>
    <w:rsid w:val="00A764C9"/>
    <w:rsid w:val="00A765B2"/>
    <w:rsid w:val="00A765CD"/>
    <w:rsid w:val="00A76648"/>
    <w:rsid w:val="00A766CB"/>
    <w:rsid w:val="00A76976"/>
    <w:rsid w:val="00A76979"/>
    <w:rsid w:val="00A76CF2"/>
    <w:rsid w:val="00A76D67"/>
    <w:rsid w:val="00A76D76"/>
    <w:rsid w:val="00A76F4C"/>
    <w:rsid w:val="00A76FE1"/>
    <w:rsid w:val="00A7700E"/>
    <w:rsid w:val="00A7701D"/>
    <w:rsid w:val="00A77055"/>
    <w:rsid w:val="00A770EF"/>
    <w:rsid w:val="00A77117"/>
    <w:rsid w:val="00A7714E"/>
    <w:rsid w:val="00A77157"/>
    <w:rsid w:val="00A7724D"/>
    <w:rsid w:val="00A772ED"/>
    <w:rsid w:val="00A776A4"/>
    <w:rsid w:val="00A777ED"/>
    <w:rsid w:val="00A77870"/>
    <w:rsid w:val="00A77A26"/>
    <w:rsid w:val="00A77C65"/>
    <w:rsid w:val="00A77C84"/>
    <w:rsid w:val="00A77DC9"/>
    <w:rsid w:val="00A77DD5"/>
    <w:rsid w:val="00A77E49"/>
    <w:rsid w:val="00A77EF8"/>
    <w:rsid w:val="00A77F70"/>
    <w:rsid w:val="00A80060"/>
    <w:rsid w:val="00A80150"/>
    <w:rsid w:val="00A8019A"/>
    <w:rsid w:val="00A8049B"/>
    <w:rsid w:val="00A8049D"/>
    <w:rsid w:val="00A8057D"/>
    <w:rsid w:val="00A80665"/>
    <w:rsid w:val="00A809AB"/>
    <w:rsid w:val="00A80B13"/>
    <w:rsid w:val="00A80C9C"/>
    <w:rsid w:val="00A80CD3"/>
    <w:rsid w:val="00A80E67"/>
    <w:rsid w:val="00A80F6E"/>
    <w:rsid w:val="00A80FB5"/>
    <w:rsid w:val="00A8113A"/>
    <w:rsid w:val="00A81296"/>
    <w:rsid w:val="00A81459"/>
    <w:rsid w:val="00A815D8"/>
    <w:rsid w:val="00A81B73"/>
    <w:rsid w:val="00A81DB2"/>
    <w:rsid w:val="00A8216D"/>
    <w:rsid w:val="00A822C2"/>
    <w:rsid w:val="00A824FA"/>
    <w:rsid w:val="00A8255E"/>
    <w:rsid w:val="00A825AC"/>
    <w:rsid w:val="00A825B4"/>
    <w:rsid w:val="00A825F1"/>
    <w:rsid w:val="00A826D4"/>
    <w:rsid w:val="00A82949"/>
    <w:rsid w:val="00A82990"/>
    <w:rsid w:val="00A82DCF"/>
    <w:rsid w:val="00A82FE9"/>
    <w:rsid w:val="00A83004"/>
    <w:rsid w:val="00A8318E"/>
    <w:rsid w:val="00A83396"/>
    <w:rsid w:val="00A83443"/>
    <w:rsid w:val="00A83558"/>
    <w:rsid w:val="00A836B0"/>
    <w:rsid w:val="00A83719"/>
    <w:rsid w:val="00A8374E"/>
    <w:rsid w:val="00A83861"/>
    <w:rsid w:val="00A83A93"/>
    <w:rsid w:val="00A83BDF"/>
    <w:rsid w:val="00A83EEA"/>
    <w:rsid w:val="00A83F1C"/>
    <w:rsid w:val="00A8422B"/>
    <w:rsid w:val="00A84464"/>
    <w:rsid w:val="00A84496"/>
    <w:rsid w:val="00A8475E"/>
    <w:rsid w:val="00A847C1"/>
    <w:rsid w:val="00A8484C"/>
    <w:rsid w:val="00A848F0"/>
    <w:rsid w:val="00A8490A"/>
    <w:rsid w:val="00A849E0"/>
    <w:rsid w:val="00A84AED"/>
    <w:rsid w:val="00A84CBE"/>
    <w:rsid w:val="00A84D54"/>
    <w:rsid w:val="00A84D85"/>
    <w:rsid w:val="00A84DB6"/>
    <w:rsid w:val="00A84EA2"/>
    <w:rsid w:val="00A84EA8"/>
    <w:rsid w:val="00A84EB0"/>
    <w:rsid w:val="00A84F86"/>
    <w:rsid w:val="00A85081"/>
    <w:rsid w:val="00A850D5"/>
    <w:rsid w:val="00A8514C"/>
    <w:rsid w:val="00A852EE"/>
    <w:rsid w:val="00A8561D"/>
    <w:rsid w:val="00A856E7"/>
    <w:rsid w:val="00A85776"/>
    <w:rsid w:val="00A858FC"/>
    <w:rsid w:val="00A85C43"/>
    <w:rsid w:val="00A85D5A"/>
    <w:rsid w:val="00A85DDC"/>
    <w:rsid w:val="00A85E90"/>
    <w:rsid w:val="00A85F43"/>
    <w:rsid w:val="00A85FD5"/>
    <w:rsid w:val="00A860C3"/>
    <w:rsid w:val="00A86126"/>
    <w:rsid w:val="00A861B6"/>
    <w:rsid w:val="00A863F4"/>
    <w:rsid w:val="00A866A7"/>
    <w:rsid w:val="00A86AC4"/>
    <w:rsid w:val="00A86B15"/>
    <w:rsid w:val="00A86B2B"/>
    <w:rsid w:val="00A86BBA"/>
    <w:rsid w:val="00A86BBF"/>
    <w:rsid w:val="00A86C1F"/>
    <w:rsid w:val="00A86E72"/>
    <w:rsid w:val="00A8736C"/>
    <w:rsid w:val="00A87478"/>
    <w:rsid w:val="00A87673"/>
    <w:rsid w:val="00A87758"/>
    <w:rsid w:val="00A8779D"/>
    <w:rsid w:val="00A87908"/>
    <w:rsid w:val="00A879EF"/>
    <w:rsid w:val="00A87D32"/>
    <w:rsid w:val="00A87D7C"/>
    <w:rsid w:val="00A87F6F"/>
    <w:rsid w:val="00A9013D"/>
    <w:rsid w:val="00A903B7"/>
    <w:rsid w:val="00A90401"/>
    <w:rsid w:val="00A905ED"/>
    <w:rsid w:val="00A90817"/>
    <w:rsid w:val="00A90A13"/>
    <w:rsid w:val="00A90CAA"/>
    <w:rsid w:val="00A91000"/>
    <w:rsid w:val="00A91016"/>
    <w:rsid w:val="00A91135"/>
    <w:rsid w:val="00A91273"/>
    <w:rsid w:val="00A91275"/>
    <w:rsid w:val="00A913C4"/>
    <w:rsid w:val="00A9146D"/>
    <w:rsid w:val="00A9152A"/>
    <w:rsid w:val="00A91573"/>
    <w:rsid w:val="00A91708"/>
    <w:rsid w:val="00A919BC"/>
    <w:rsid w:val="00A919C3"/>
    <w:rsid w:val="00A91A34"/>
    <w:rsid w:val="00A91A6F"/>
    <w:rsid w:val="00A91BFF"/>
    <w:rsid w:val="00A91C92"/>
    <w:rsid w:val="00A91D32"/>
    <w:rsid w:val="00A91DD4"/>
    <w:rsid w:val="00A91F1B"/>
    <w:rsid w:val="00A92048"/>
    <w:rsid w:val="00A92093"/>
    <w:rsid w:val="00A9211D"/>
    <w:rsid w:val="00A92155"/>
    <w:rsid w:val="00A921E3"/>
    <w:rsid w:val="00A92255"/>
    <w:rsid w:val="00A9259E"/>
    <w:rsid w:val="00A926F5"/>
    <w:rsid w:val="00A9284D"/>
    <w:rsid w:val="00A92A63"/>
    <w:rsid w:val="00A92C4B"/>
    <w:rsid w:val="00A92E60"/>
    <w:rsid w:val="00A930C2"/>
    <w:rsid w:val="00A930DD"/>
    <w:rsid w:val="00A93239"/>
    <w:rsid w:val="00A933CE"/>
    <w:rsid w:val="00A934AC"/>
    <w:rsid w:val="00A93683"/>
    <w:rsid w:val="00A9387C"/>
    <w:rsid w:val="00A93974"/>
    <w:rsid w:val="00A93CF5"/>
    <w:rsid w:val="00A93D0C"/>
    <w:rsid w:val="00A93E5E"/>
    <w:rsid w:val="00A93FD6"/>
    <w:rsid w:val="00A9426E"/>
    <w:rsid w:val="00A942FD"/>
    <w:rsid w:val="00A9452E"/>
    <w:rsid w:val="00A946F5"/>
    <w:rsid w:val="00A947F9"/>
    <w:rsid w:val="00A94896"/>
    <w:rsid w:val="00A948CF"/>
    <w:rsid w:val="00A948DA"/>
    <w:rsid w:val="00A94904"/>
    <w:rsid w:val="00A94955"/>
    <w:rsid w:val="00A94B03"/>
    <w:rsid w:val="00A94BA9"/>
    <w:rsid w:val="00A94D20"/>
    <w:rsid w:val="00A94D65"/>
    <w:rsid w:val="00A9519F"/>
    <w:rsid w:val="00A952BF"/>
    <w:rsid w:val="00A95303"/>
    <w:rsid w:val="00A95556"/>
    <w:rsid w:val="00A955A3"/>
    <w:rsid w:val="00A95640"/>
    <w:rsid w:val="00A9566F"/>
    <w:rsid w:val="00A9586A"/>
    <w:rsid w:val="00A95AD2"/>
    <w:rsid w:val="00A95AE1"/>
    <w:rsid w:val="00A96185"/>
    <w:rsid w:val="00A96528"/>
    <w:rsid w:val="00A9654C"/>
    <w:rsid w:val="00A9655B"/>
    <w:rsid w:val="00A96602"/>
    <w:rsid w:val="00A9660E"/>
    <w:rsid w:val="00A96725"/>
    <w:rsid w:val="00A96B5F"/>
    <w:rsid w:val="00A96C08"/>
    <w:rsid w:val="00A96C20"/>
    <w:rsid w:val="00A96D53"/>
    <w:rsid w:val="00A96DE4"/>
    <w:rsid w:val="00A96E1B"/>
    <w:rsid w:val="00A971B8"/>
    <w:rsid w:val="00A97501"/>
    <w:rsid w:val="00A9752B"/>
    <w:rsid w:val="00A9791F"/>
    <w:rsid w:val="00A97A9A"/>
    <w:rsid w:val="00A97ED6"/>
    <w:rsid w:val="00A97EF7"/>
    <w:rsid w:val="00A97F5F"/>
    <w:rsid w:val="00AA0104"/>
    <w:rsid w:val="00AA0208"/>
    <w:rsid w:val="00AA0281"/>
    <w:rsid w:val="00AA03AA"/>
    <w:rsid w:val="00AA06C9"/>
    <w:rsid w:val="00AA0733"/>
    <w:rsid w:val="00AA0767"/>
    <w:rsid w:val="00AA0786"/>
    <w:rsid w:val="00AA07DC"/>
    <w:rsid w:val="00AA0846"/>
    <w:rsid w:val="00AA09BA"/>
    <w:rsid w:val="00AA0B9A"/>
    <w:rsid w:val="00AA0C96"/>
    <w:rsid w:val="00AA0D56"/>
    <w:rsid w:val="00AA0FFD"/>
    <w:rsid w:val="00AA104C"/>
    <w:rsid w:val="00AA114C"/>
    <w:rsid w:val="00AA1557"/>
    <w:rsid w:val="00AA15F4"/>
    <w:rsid w:val="00AA166F"/>
    <w:rsid w:val="00AA187D"/>
    <w:rsid w:val="00AA191C"/>
    <w:rsid w:val="00AA1CBD"/>
    <w:rsid w:val="00AA1D7D"/>
    <w:rsid w:val="00AA1DAF"/>
    <w:rsid w:val="00AA1EB2"/>
    <w:rsid w:val="00AA2000"/>
    <w:rsid w:val="00AA20FE"/>
    <w:rsid w:val="00AA211F"/>
    <w:rsid w:val="00AA2153"/>
    <w:rsid w:val="00AA21A7"/>
    <w:rsid w:val="00AA22CC"/>
    <w:rsid w:val="00AA2461"/>
    <w:rsid w:val="00AA26B5"/>
    <w:rsid w:val="00AA26E0"/>
    <w:rsid w:val="00AA27A3"/>
    <w:rsid w:val="00AA2865"/>
    <w:rsid w:val="00AA29E1"/>
    <w:rsid w:val="00AA29FB"/>
    <w:rsid w:val="00AA2AFC"/>
    <w:rsid w:val="00AA2DB4"/>
    <w:rsid w:val="00AA3010"/>
    <w:rsid w:val="00AA3110"/>
    <w:rsid w:val="00AA31C5"/>
    <w:rsid w:val="00AA3266"/>
    <w:rsid w:val="00AA3406"/>
    <w:rsid w:val="00AA35BC"/>
    <w:rsid w:val="00AA35D9"/>
    <w:rsid w:val="00AA3714"/>
    <w:rsid w:val="00AA3790"/>
    <w:rsid w:val="00AA398F"/>
    <w:rsid w:val="00AA3994"/>
    <w:rsid w:val="00AA3A71"/>
    <w:rsid w:val="00AA3A9B"/>
    <w:rsid w:val="00AA3B7A"/>
    <w:rsid w:val="00AA3BF1"/>
    <w:rsid w:val="00AA3CB6"/>
    <w:rsid w:val="00AA3DAE"/>
    <w:rsid w:val="00AA3E64"/>
    <w:rsid w:val="00AA3FA7"/>
    <w:rsid w:val="00AA3FBA"/>
    <w:rsid w:val="00AA4047"/>
    <w:rsid w:val="00AA4078"/>
    <w:rsid w:val="00AA449E"/>
    <w:rsid w:val="00AA4585"/>
    <w:rsid w:val="00AA4867"/>
    <w:rsid w:val="00AA49AA"/>
    <w:rsid w:val="00AA49C5"/>
    <w:rsid w:val="00AA4A75"/>
    <w:rsid w:val="00AA4D74"/>
    <w:rsid w:val="00AA4E92"/>
    <w:rsid w:val="00AA4F80"/>
    <w:rsid w:val="00AA4F90"/>
    <w:rsid w:val="00AA4F98"/>
    <w:rsid w:val="00AA4FCC"/>
    <w:rsid w:val="00AA51D3"/>
    <w:rsid w:val="00AA525E"/>
    <w:rsid w:val="00AA527F"/>
    <w:rsid w:val="00AA53EA"/>
    <w:rsid w:val="00AA5410"/>
    <w:rsid w:val="00AA5422"/>
    <w:rsid w:val="00AA5538"/>
    <w:rsid w:val="00AA55ED"/>
    <w:rsid w:val="00AA5630"/>
    <w:rsid w:val="00AA56E1"/>
    <w:rsid w:val="00AA5741"/>
    <w:rsid w:val="00AA57A4"/>
    <w:rsid w:val="00AA57D6"/>
    <w:rsid w:val="00AA58E4"/>
    <w:rsid w:val="00AA58FE"/>
    <w:rsid w:val="00AA590B"/>
    <w:rsid w:val="00AA5BC9"/>
    <w:rsid w:val="00AA5BD1"/>
    <w:rsid w:val="00AA61A6"/>
    <w:rsid w:val="00AA61C5"/>
    <w:rsid w:val="00AA6223"/>
    <w:rsid w:val="00AA6317"/>
    <w:rsid w:val="00AA63E1"/>
    <w:rsid w:val="00AA64BC"/>
    <w:rsid w:val="00AA64D7"/>
    <w:rsid w:val="00AA6594"/>
    <w:rsid w:val="00AA66BF"/>
    <w:rsid w:val="00AA683F"/>
    <w:rsid w:val="00AA692B"/>
    <w:rsid w:val="00AA6BF4"/>
    <w:rsid w:val="00AA6DD8"/>
    <w:rsid w:val="00AA6FBB"/>
    <w:rsid w:val="00AA6FD3"/>
    <w:rsid w:val="00AA7079"/>
    <w:rsid w:val="00AA7182"/>
    <w:rsid w:val="00AA726C"/>
    <w:rsid w:val="00AA73A1"/>
    <w:rsid w:val="00AA7528"/>
    <w:rsid w:val="00AA7802"/>
    <w:rsid w:val="00AA78FC"/>
    <w:rsid w:val="00AA793F"/>
    <w:rsid w:val="00AA7B67"/>
    <w:rsid w:val="00AA7B7C"/>
    <w:rsid w:val="00AA7C20"/>
    <w:rsid w:val="00AA7C2A"/>
    <w:rsid w:val="00AA7CEB"/>
    <w:rsid w:val="00AA7E13"/>
    <w:rsid w:val="00AA7E91"/>
    <w:rsid w:val="00AB000A"/>
    <w:rsid w:val="00AB00FC"/>
    <w:rsid w:val="00AB01AE"/>
    <w:rsid w:val="00AB0243"/>
    <w:rsid w:val="00AB0275"/>
    <w:rsid w:val="00AB05E1"/>
    <w:rsid w:val="00AB0731"/>
    <w:rsid w:val="00AB0850"/>
    <w:rsid w:val="00AB0867"/>
    <w:rsid w:val="00AB08E2"/>
    <w:rsid w:val="00AB0A16"/>
    <w:rsid w:val="00AB0A56"/>
    <w:rsid w:val="00AB0B65"/>
    <w:rsid w:val="00AB0C47"/>
    <w:rsid w:val="00AB0E6F"/>
    <w:rsid w:val="00AB109B"/>
    <w:rsid w:val="00AB1131"/>
    <w:rsid w:val="00AB11F4"/>
    <w:rsid w:val="00AB127B"/>
    <w:rsid w:val="00AB12E1"/>
    <w:rsid w:val="00AB138B"/>
    <w:rsid w:val="00AB1672"/>
    <w:rsid w:val="00AB1845"/>
    <w:rsid w:val="00AB1902"/>
    <w:rsid w:val="00AB1D24"/>
    <w:rsid w:val="00AB1DA0"/>
    <w:rsid w:val="00AB1DB4"/>
    <w:rsid w:val="00AB1E5B"/>
    <w:rsid w:val="00AB1FE6"/>
    <w:rsid w:val="00AB21C6"/>
    <w:rsid w:val="00AB21F1"/>
    <w:rsid w:val="00AB24DA"/>
    <w:rsid w:val="00AB27C6"/>
    <w:rsid w:val="00AB2841"/>
    <w:rsid w:val="00AB28FD"/>
    <w:rsid w:val="00AB2E0E"/>
    <w:rsid w:val="00AB3033"/>
    <w:rsid w:val="00AB3192"/>
    <w:rsid w:val="00AB3215"/>
    <w:rsid w:val="00AB3382"/>
    <w:rsid w:val="00AB35EB"/>
    <w:rsid w:val="00AB377C"/>
    <w:rsid w:val="00AB3949"/>
    <w:rsid w:val="00AB398B"/>
    <w:rsid w:val="00AB39AA"/>
    <w:rsid w:val="00AB3BE6"/>
    <w:rsid w:val="00AB3C8B"/>
    <w:rsid w:val="00AB3E7F"/>
    <w:rsid w:val="00AB3EB4"/>
    <w:rsid w:val="00AB3F40"/>
    <w:rsid w:val="00AB3F4B"/>
    <w:rsid w:val="00AB40A3"/>
    <w:rsid w:val="00AB412D"/>
    <w:rsid w:val="00AB41C0"/>
    <w:rsid w:val="00AB41D2"/>
    <w:rsid w:val="00AB431E"/>
    <w:rsid w:val="00AB455A"/>
    <w:rsid w:val="00AB45D7"/>
    <w:rsid w:val="00AB4768"/>
    <w:rsid w:val="00AB479B"/>
    <w:rsid w:val="00AB4960"/>
    <w:rsid w:val="00AB4B31"/>
    <w:rsid w:val="00AB4DCC"/>
    <w:rsid w:val="00AB4E2A"/>
    <w:rsid w:val="00AB4E50"/>
    <w:rsid w:val="00AB53D5"/>
    <w:rsid w:val="00AB5746"/>
    <w:rsid w:val="00AB57F4"/>
    <w:rsid w:val="00AB585D"/>
    <w:rsid w:val="00AB5928"/>
    <w:rsid w:val="00AB5966"/>
    <w:rsid w:val="00AB5A06"/>
    <w:rsid w:val="00AB5BEA"/>
    <w:rsid w:val="00AB5D39"/>
    <w:rsid w:val="00AB5D78"/>
    <w:rsid w:val="00AB5E29"/>
    <w:rsid w:val="00AB60D5"/>
    <w:rsid w:val="00AB62CD"/>
    <w:rsid w:val="00AB6569"/>
    <w:rsid w:val="00AB658D"/>
    <w:rsid w:val="00AB65E6"/>
    <w:rsid w:val="00AB6733"/>
    <w:rsid w:val="00AB676C"/>
    <w:rsid w:val="00AB67DE"/>
    <w:rsid w:val="00AB685D"/>
    <w:rsid w:val="00AB69FA"/>
    <w:rsid w:val="00AB6B59"/>
    <w:rsid w:val="00AB6B8D"/>
    <w:rsid w:val="00AB6CCB"/>
    <w:rsid w:val="00AB6E4E"/>
    <w:rsid w:val="00AB6F02"/>
    <w:rsid w:val="00AB6F58"/>
    <w:rsid w:val="00AB6F6D"/>
    <w:rsid w:val="00AB6F6E"/>
    <w:rsid w:val="00AB7093"/>
    <w:rsid w:val="00AB71AE"/>
    <w:rsid w:val="00AB737C"/>
    <w:rsid w:val="00AB7B40"/>
    <w:rsid w:val="00AB7B6B"/>
    <w:rsid w:val="00AB7BE7"/>
    <w:rsid w:val="00AB7C6E"/>
    <w:rsid w:val="00AB7D13"/>
    <w:rsid w:val="00AC01B3"/>
    <w:rsid w:val="00AC030E"/>
    <w:rsid w:val="00AC0379"/>
    <w:rsid w:val="00AC0394"/>
    <w:rsid w:val="00AC03F1"/>
    <w:rsid w:val="00AC0701"/>
    <w:rsid w:val="00AC0702"/>
    <w:rsid w:val="00AC0963"/>
    <w:rsid w:val="00AC0A4A"/>
    <w:rsid w:val="00AC0F2C"/>
    <w:rsid w:val="00AC1076"/>
    <w:rsid w:val="00AC170E"/>
    <w:rsid w:val="00AC1891"/>
    <w:rsid w:val="00AC18CF"/>
    <w:rsid w:val="00AC1AF4"/>
    <w:rsid w:val="00AC1C20"/>
    <w:rsid w:val="00AC1CCF"/>
    <w:rsid w:val="00AC1D07"/>
    <w:rsid w:val="00AC1E4D"/>
    <w:rsid w:val="00AC1F4B"/>
    <w:rsid w:val="00AC200F"/>
    <w:rsid w:val="00AC2278"/>
    <w:rsid w:val="00AC22BE"/>
    <w:rsid w:val="00AC2362"/>
    <w:rsid w:val="00AC2485"/>
    <w:rsid w:val="00AC25B3"/>
    <w:rsid w:val="00AC26DF"/>
    <w:rsid w:val="00AC2719"/>
    <w:rsid w:val="00AC29D9"/>
    <w:rsid w:val="00AC2A2E"/>
    <w:rsid w:val="00AC2B91"/>
    <w:rsid w:val="00AC2C81"/>
    <w:rsid w:val="00AC2DB6"/>
    <w:rsid w:val="00AC2EEA"/>
    <w:rsid w:val="00AC2F91"/>
    <w:rsid w:val="00AC2FCA"/>
    <w:rsid w:val="00AC3020"/>
    <w:rsid w:val="00AC328B"/>
    <w:rsid w:val="00AC34F6"/>
    <w:rsid w:val="00AC35B8"/>
    <w:rsid w:val="00AC36DE"/>
    <w:rsid w:val="00AC3765"/>
    <w:rsid w:val="00AC3815"/>
    <w:rsid w:val="00AC396B"/>
    <w:rsid w:val="00AC39AA"/>
    <w:rsid w:val="00AC3A67"/>
    <w:rsid w:val="00AC3A6C"/>
    <w:rsid w:val="00AC3B1A"/>
    <w:rsid w:val="00AC3C18"/>
    <w:rsid w:val="00AC3DC8"/>
    <w:rsid w:val="00AC3E23"/>
    <w:rsid w:val="00AC3ECD"/>
    <w:rsid w:val="00AC401A"/>
    <w:rsid w:val="00AC407D"/>
    <w:rsid w:val="00AC4171"/>
    <w:rsid w:val="00AC41BE"/>
    <w:rsid w:val="00AC427B"/>
    <w:rsid w:val="00AC4882"/>
    <w:rsid w:val="00AC4A2D"/>
    <w:rsid w:val="00AC4A8F"/>
    <w:rsid w:val="00AC4AB7"/>
    <w:rsid w:val="00AC4AC1"/>
    <w:rsid w:val="00AC4B40"/>
    <w:rsid w:val="00AC4F2E"/>
    <w:rsid w:val="00AC4FE4"/>
    <w:rsid w:val="00AC50EC"/>
    <w:rsid w:val="00AC5252"/>
    <w:rsid w:val="00AC53BE"/>
    <w:rsid w:val="00AC54C4"/>
    <w:rsid w:val="00AC54FA"/>
    <w:rsid w:val="00AC555B"/>
    <w:rsid w:val="00AC5576"/>
    <w:rsid w:val="00AC57DE"/>
    <w:rsid w:val="00AC59C5"/>
    <w:rsid w:val="00AC59FA"/>
    <w:rsid w:val="00AC5C10"/>
    <w:rsid w:val="00AC5C5E"/>
    <w:rsid w:val="00AC5DE5"/>
    <w:rsid w:val="00AC5E98"/>
    <w:rsid w:val="00AC63C7"/>
    <w:rsid w:val="00AC6403"/>
    <w:rsid w:val="00AC6556"/>
    <w:rsid w:val="00AC65DE"/>
    <w:rsid w:val="00AC6782"/>
    <w:rsid w:val="00AC681C"/>
    <w:rsid w:val="00AC697F"/>
    <w:rsid w:val="00AC6A3F"/>
    <w:rsid w:val="00AC6AA9"/>
    <w:rsid w:val="00AC6D8A"/>
    <w:rsid w:val="00AC6F7D"/>
    <w:rsid w:val="00AC7093"/>
    <w:rsid w:val="00AC71C5"/>
    <w:rsid w:val="00AC720A"/>
    <w:rsid w:val="00AC732C"/>
    <w:rsid w:val="00AC7333"/>
    <w:rsid w:val="00AC734E"/>
    <w:rsid w:val="00AC7537"/>
    <w:rsid w:val="00AC7654"/>
    <w:rsid w:val="00AC77A5"/>
    <w:rsid w:val="00AC7818"/>
    <w:rsid w:val="00AC797B"/>
    <w:rsid w:val="00AC7A76"/>
    <w:rsid w:val="00AC7AEA"/>
    <w:rsid w:val="00AC7BD5"/>
    <w:rsid w:val="00AC7BDD"/>
    <w:rsid w:val="00AC7C34"/>
    <w:rsid w:val="00AC7C6E"/>
    <w:rsid w:val="00AC7CD5"/>
    <w:rsid w:val="00AC7D50"/>
    <w:rsid w:val="00AD016A"/>
    <w:rsid w:val="00AD01F2"/>
    <w:rsid w:val="00AD037C"/>
    <w:rsid w:val="00AD0539"/>
    <w:rsid w:val="00AD053D"/>
    <w:rsid w:val="00AD0562"/>
    <w:rsid w:val="00AD058D"/>
    <w:rsid w:val="00AD05A1"/>
    <w:rsid w:val="00AD06A3"/>
    <w:rsid w:val="00AD08DA"/>
    <w:rsid w:val="00AD0B21"/>
    <w:rsid w:val="00AD0B8E"/>
    <w:rsid w:val="00AD0C08"/>
    <w:rsid w:val="00AD0CD2"/>
    <w:rsid w:val="00AD0F4D"/>
    <w:rsid w:val="00AD1087"/>
    <w:rsid w:val="00AD10CC"/>
    <w:rsid w:val="00AD11AC"/>
    <w:rsid w:val="00AD129F"/>
    <w:rsid w:val="00AD12F4"/>
    <w:rsid w:val="00AD148D"/>
    <w:rsid w:val="00AD1519"/>
    <w:rsid w:val="00AD164D"/>
    <w:rsid w:val="00AD171A"/>
    <w:rsid w:val="00AD1783"/>
    <w:rsid w:val="00AD1A70"/>
    <w:rsid w:val="00AD1BAC"/>
    <w:rsid w:val="00AD1C82"/>
    <w:rsid w:val="00AD1D71"/>
    <w:rsid w:val="00AD1F9B"/>
    <w:rsid w:val="00AD2021"/>
    <w:rsid w:val="00AD21D6"/>
    <w:rsid w:val="00AD21E6"/>
    <w:rsid w:val="00AD2334"/>
    <w:rsid w:val="00AD24D9"/>
    <w:rsid w:val="00AD287A"/>
    <w:rsid w:val="00AD28D9"/>
    <w:rsid w:val="00AD299E"/>
    <w:rsid w:val="00AD2AC0"/>
    <w:rsid w:val="00AD2AF9"/>
    <w:rsid w:val="00AD2B4C"/>
    <w:rsid w:val="00AD2B4E"/>
    <w:rsid w:val="00AD2B6D"/>
    <w:rsid w:val="00AD2CF5"/>
    <w:rsid w:val="00AD2E87"/>
    <w:rsid w:val="00AD2FAB"/>
    <w:rsid w:val="00AD31EC"/>
    <w:rsid w:val="00AD3356"/>
    <w:rsid w:val="00AD336E"/>
    <w:rsid w:val="00AD33A0"/>
    <w:rsid w:val="00AD342F"/>
    <w:rsid w:val="00AD3547"/>
    <w:rsid w:val="00AD35EB"/>
    <w:rsid w:val="00AD3725"/>
    <w:rsid w:val="00AD37D8"/>
    <w:rsid w:val="00AD3A3C"/>
    <w:rsid w:val="00AD3CA2"/>
    <w:rsid w:val="00AD3CF9"/>
    <w:rsid w:val="00AD3FA2"/>
    <w:rsid w:val="00AD3FF8"/>
    <w:rsid w:val="00AD4540"/>
    <w:rsid w:val="00AD456F"/>
    <w:rsid w:val="00AD45F3"/>
    <w:rsid w:val="00AD463C"/>
    <w:rsid w:val="00AD4640"/>
    <w:rsid w:val="00AD4643"/>
    <w:rsid w:val="00AD4668"/>
    <w:rsid w:val="00AD46A4"/>
    <w:rsid w:val="00AD4732"/>
    <w:rsid w:val="00AD481C"/>
    <w:rsid w:val="00AD4844"/>
    <w:rsid w:val="00AD48D0"/>
    <w:rsid w:val="00AD4994"/>
    <w:rsid w:val="00AD4B90"/>
    <w:rsid w:val="00AD4C05"/>
    <w:rsid w:val="00AD4E83"/>
    <w:rsid w:val="00AD4F3B"/>
    <w:rsid w:val="00AD50B0"/>
    <w:rsid w:val="00AD50E4"/>
    <w:rsid w:val="00AD54BA"/>
    <w:rsid w:val="00AD565F"/>
    <w:rsid w:val="00AD5671"/>
    <w:rsid w:val="00AD5842"/>
    <w:rsid w:val="00AD59BA"/>
    <w:rsid w:val="00AD5A3D"/>
    <w:rsid w:val="00AD5A99"/>
    <w:rsid w:val="00AD5D5E"/>
    <w:rsid w:val="00AD5FF4"/>
    <w:rsid w:val="00AD60EA"/>
    <w:rsid w:val="00AD618D"/>
    <w:rsid w:val="00AD625D"/>
    <w:rsid w:val="00AD6293"/>
    <w:rsid w:val="00AD62F7"/>
    <w:rsid w:val="00AD6464"/>
    <w:rsid w:val="00AD6538"/>
    <w:rsid w:val="00AD6578"/>
    <w:rsid w:val="00AD65A2"/>
    <w:rsid w:val="00AD65FD"/>
    <w:rsid w:val="00AD6768"/>
    <w:rsid w:val="00AD67D4"/>
    <w:rsid w:val="00AD67FB"/>
    <w:rsid w:val="00AD69C2"/>
    <w:rsid w:val="00AD6E95"/>
    <w:rsid w:val="00AD71E7"/>
    <w:rsid w:val="00AD7377"/>
    <w:rsid w:val="00AD73C1"/>
    <w:rsid w:val="00AD73CC"/>
    <w:rsid w:val="00AD7539"/>
    <w:rsid w:val="00AD75F2"/>
    <w:rsid w:val="00AD764D"/>
    <w:rsid w:val="00AD76F3"/>
    <w:rsid w:val="00AD77B0"/>
    <w:rsid w:val="00AD77FD"/>
    <w:rsid w:val="00AD79C0"/>
    <w:rsid w:val="00AD79FF"/>
    <w:rsid w:val="00AD7B4A"/>
    <w:rsid w:val="00AD7E2C"/>
    <w:rsid w:val="00AD7FBF"/>
    <w:rsid w:val="00AE0108"/>
    <w:rsid w:val="00AE0244"/>
    <w:rsid w:val="00AE02A7"/>
    <w:rsid w:val="00AE0336"/>
    <w:rsid w:val="00AE03FA"/>
    <w:rsid w:val="00AE0431"/>
    <w:rsid w:val="00AE04DF"/>
    <w:rsid w:val="00AE053D"/>
    <w:rsid w:val="00AE06C7"/>
    <w:rsid w:val="00AE0967"/>
    <w:rsid w:val="00AE0A02"/>
    <w:rsid w:val="00AE0C34"/>
    <w:rsid w:val="00AE0E66"/>
    <w:rsid w:val="00AE0F70"/>
    <w:rsid w:val="00AE105B"/>
    <w:rsid w:val="00AE1091"/>
    <w:rsid w:val="00AE1135"/>
    <w:rsid w:val="00AE1411"/>
    <w:rsid w:val="00AE150A"/>
    <w:rsid w:val="00AE178A"/>
    <w:rsid w:val="00AE17E6"/>
    <w:rsid w:val="00AE1876"/>
    <w:rsid w:val="00AE1953"/>
    <w:rsid w:val="00AE1B81"/>
    <w:rsid w:val="00AE1C83"/>
    <w:rsid w:val="00AE1D95"/>
    <w:rsid w:val="00AE1DBB"/>
    <w:rsid w:val="00AE1FA0"/>
    <w:rsid w:val="00AE2046"/>
    <w:rsid w:val="00AE21A2"/>
    <w:rsid w:val="00AE25AE"/>
    <w:rsid w:val="00AE2804"/>
    <w:rsid w:val="00AE28E3"/>
    <w:rsid w:val="00AE29AF"/>
    <w:rsid w:val="00AE2A71"/>
    <w:rsid w:val="00AE2AD0"/>
    <w:rsid w:val="00AE2BC8"/>
    <w:rsid w:val="00AE2C46"/>
    <w:rsid w:val="00AE2DC7"/>
    <w:rsid w:val="00AE2DD0"/>
    <w:rsid w:val="00AE2FD3"/>
    <w:rsid w:val="00AE31D6"/>
    <w:rsid w:val="00AE3261"/>
    <w:rsid w:val="00AE33EE"/>
    <w:rsid w:val="00AE349A"/>
    <w:rsid w:val="00AE354B"/>
    <w:rsid w:val="00AE3711"/>
    <w:rsid w:val="00AE378A"/>
    <w:rsid w:val="00AE3C03"/>
    <w:rsid w:val="00AE3CA6"/>
    <w:rsid w:val="00AE3D7F"/>
    <w:rsid w:val="00AE3ECB"/>
    <w:rsid w:val="00AE3F31"/>
    <w:rsid w:val="00AE3F9F"/>
    <w:rsid w:val="00AE4108"/>
    <w:rsid w:val="00AE4331"/>
    <w:rsid w:val="00AE439B"/>
    <w:rsid w:val="00AE4400"/>
    <w:rsid w:val="00AE457A"/>
    <w:rsid w:val="00AE4674"/>
    <w:rsid w:val="00AE479B"/>
    <w:rsid w:val="00AE47FE"/>
    <w:rsid w:val="00AE4892"/>
    <w:rsid w:val="00AE48C0"/>
    <w:rsid w:val="00AE4918"/>
    <w:rsid w:val="00AE497A"/>
    <w:rsid w:val="00AE4BC5"/>
    <w:rsid w:val="00AE4E6A"/>
    <w:rsid w:val="00AE4FF8"/>
    <w:rsid w:val="00AE5076"/>
    <w:rsid w:val="00AE5290"/>
    <w:rsid w:val="00AE52F2"/>
    <w:rsid w:val="00AE5382"/>
    <w:rsid w:val="00AE550C"/>
    <w:rsid w:val="00AE584E"/>
    <w:rsid w:val="00AE5ACC"/>
    <w:rsid w:val="00AE5C32"/>
    <w:rsid w:val="00AE5DD8"/>
    <w:rsid w:val="00AE5F2D"/>
    <w:rsid w:val="00AE5F83"/>
    <w:rsid w:val="00AE5FB5"/>
    <w:rsid w:val="00AE614D"/>
    <w:rsid w:val="00AE63E6"/>
    <w:rsid w:val="00AE6403"/>
    <w:rsid w:val="00AE65BC"/>
    <w:rsid w:val="00AE65C5"/>
    <w:rsid w:val="00AE65D3"/>
    <w:rsid w:val="00AE672F"/>
    <w:rsid w:val="00AE676B"/>
    <w:rsid w:val="00AE67F7"/>
    <w:rsid w:val="00AE703E"/>
    <w:rsid w:val="00AE70C9"/>
    <w:rsid w:val="00AE725D"/>
    <w:rsid w:val="00AE7583"/>
    <w:rsid w:val="00AE7680"/>
    <w:rsid w:val="00AE77C5"/>
    <w:rsid w:val="00AE7846"/>
    <w:rsid w:val="00AE7849"/>
    <w:rsid w:val="00AE7977"/>
    <w:rsid w:val="00AE7A11"/>
    <w:rsid w:val="00AE7B9A"/>
    <w:rsid w:val="00AE7CF9"/>
    <w:rsid w:val="00AE7D78"/>
    <w:rsid w:val="00AE7DA8"/>
    <w:rsid w:val="00AE7EEB"/>
    <w:rsid w:val="00AF00EE"/>
    <w:rsid w:val="00AF0138"/>
    <w:rsid w:val="00AF047E"/>
    <w:rsid w:val="00AF05E7"/>
    <w:rsid w:val="00AF06E4"/>
    <w:rsid w:val="00AF0759"/>
    <w:rsid w:val="00AF0940"/>
    <w:rsid w:val="00AF094A"/>
    <w:rsid w:val="00AF09B6"/>
    <w:rsid w:val="00AF0A53"/>
    <w:rsid w:val="00AF0A96"/>
    <w:rsid w:val="00AF0C0E"/>
    <w:rsid w:val="00AF0EBD"/>
    <w:rsid w:val="00AF0ECE"/>
    <w:rsid w:val="00AF0FD7"/>
    <w:rsid w:val="00AF107A"/>
    <w:rsid w:val="00AF13CC"/>
    <w:rsid w:val="00AF1459"/>
    <w:rsid w:val="00AF1473"/>
    <w:rsid w:val="00AF151B"/>
    <w:rsid w:val="00AF15C0"/>
    <w:rsid w:val="00AF16D7"/>
    <w:rsid w:val="00AF17A1"/>
    <w:rsid w:val="00AF18B0"/>
    <w:rsid w:val="00AF1ACF"/>
    <w:rsid w:val="00AF1AD3"/>
    <w:rsid w:val="00AF1BAC"/>
    <w:rsid w:val="00AF1CF6"/>
    <w:rsid w:val="00AF1D9E"/>
    <w:rsid w:val="00AF1F0C"/>
    <w:rsid w:val="00AF1F10"/>
    <w:rsid w:val="00AF1FF8"/>
    <w:rsid w:val="00AF201C"/>
    <w:rsid w:val="00AF2089"/>
    <w:rsid w:val="00AF212C"/>
    <w:rsid w:val="00AF24E3"/>
    <w:rsid w:val="00AF25C5"/>
    <w:rsid w:val="00AF25E1"/>
    <w:rsid w:val="00AF27A3"/>
    <w:rsid w:val="00AF2916"/>
    <w:rsid w:val="00AF29FC"/>
    <w:rsid w:val="00AF2ADD"/>
    <w:rsid w:val="00AF2BB9"/>
    <w:rsid w:val="00AF2F5F"/>
    <w:rsid w:val="00AF3117"/>
    <w:rsid w:val="00AF31DC"/>
    <w:rsid w:val="00AF347C"/>
    <w:rsid w:val="00AF3580"/>
    <w:rsid w:val="00AF36D6"/>
    <w:rsid w:val="00AF3871"/>
    <w:rsid w:val="00AF3D39"/>
    <w:rsid w:val="00AF3DF3"/>
    <w:rsid w:val="00AF3EB2"/>
    <w:rsid w:val="00AF40D5"/>
    <w:rsid w:val="00AF40EA"/>
    <w:rsid w:val="00AF4428"/>
    <w:rsid w:val="00AF4530"/>
    <w:rsid w:val="00AF4690"/>
    <w:rsid w:val="00AF46D3"/>
    <w:rsid w:val="00AF48B9"/>
    <w:rsid w:val="00AF497B"/>
    <w:rsid w:val="00AF4ADC"/>
    <w:rsid w:val="00AF4C15"/>
    <w:rsid w:val="00AF4CC5"/>
    <w:rsid w:val="00AF4D2F"/>
    <w:rsid w:val="00AF4DE8"/>
    <w:rsid w:val="00AF5100"/>
    <w:rsid w:val="00AF53BB"/>
    <w:rsid w:val="00AF5575"/>
    <w:rsid w:val="00AF5577"/>
    <w:rsid w:val="00AF5602"/>
    <w:rsid w:val="00AF5840"/>
    <w:rsid w:val="00AF5846"/>
    <w:rsid w:val="00AF58B0"/>
    <w:rsid w:val="00AF5905"/>
    <w:rsid w:val="00AF59ED"/>
    <w:rsid w:val="00AF5C2F"/>
    <w:rsid w:val="00AF5E38"/>
    <w:rsid w:val="00AF6189"/>
    <w:rsid w:val="00AF6263"/>
    <w:rsid w:val="00AF62E7"/>
    <w:rsid w:val="00AF642C"/>
    <w:rsid w:val="00AF6484"/>
    <w:rsid w:val="00AF65F0"/>
    <w:rsid w:val="00AF6728"/>
    <w:rsid w:val="00AF695B"/>
    <w:rsid w:val="00AF6A4C"/>
    <w:rsid w:val="00AF6A63"/>
    <w:rsid w:val="00AF6C89"/>
    <w:rsid w:val="00AF6F2F"/>
    <w:rsid w:val="00AF73B2"/>
    <w:rsid w:val="00AF75A5"/>
    <w:rsid w:val="00AF764D"/>
    <w:rsid w:val="00AF76E3"/>
    <w:rsid w:val="00AF7B07"/>
    <w:rsid w:val="00AF7BAD"/>
    <w:rsid w:val="00AF7C1B"/>
    <w:rsid w:val="00B00031"/>
    <w:rsid w:val="00B00276"/>
    <w:rsid w:val="00B002AE"/>
    <w:rsid w:val="00B00403"/>
    <w:rsid w:val="00B00502"/>
    <w:rsid w:val="00B0053C"/>
    <w:rsid w:val="00B005A7"/>
    <w:rsid w:val="00B0081F"/>
    <w:rsid w:val="00B0083B"/>
    <w:rsid w:val="00B008D7"/>
    <w:rsid w:val="00B00AFE"/>
    <w:rsid w:val="00B00BB5"/>
    <w:rsid w:val="00B00BE8"/>
    <w:rsid w:val="00B00BEA"/>
    <w:rsid w:val="00B00D60"/>
    <w:rsid w:val="00B00E72"/>
    <w:rsid w:val="00B00E83"/>
    <w:rsid w:val="00B00EA7"/>
    <w:rsid w:val="00B00F2A"/>
    <w:rsid w:val="00B0113A"/>
    <w:rsid w:val="00B0115A"/>
    <w:rsid w:val="00B011B8"/>
    <w:rsid w:val="00B01272"/>
    <w:rsid w:val="00B01400"/>
    <w:rsid w:val="00B015E9"/>
    <w:rsid w:val="00B01722"/>
    <w:rsid w:val="00B01749"/>
    <w:rsid w:val="00B017D2"/>
    <w:rsid w:val="00B01813"/>
    <w:rsid w:val="00B0192D"/>
    <w:rsid w:val="00B019CC"/>
    <w:rsid w:val="00B01BED"/>
    <w:rsid w:val="00B01C3F"/>
    <w:rsid w:val="00B01C6B"/>
    <w:rsid w:val="00B01CEE"/>
    <w:rsid w:val="00B01D3D"/>
    <w:rsid w:val="00B01DBE"/>
    <w:rsid w:val="00B01DEB"/>
    <w:rsid w:val="00B01F7E"/>
    <w:rsid w:val="00B0207D"/>
    <w:rsid w:val="00B020EA"/>
    <w:rsid w:val="00B02183"/>
    <w:rsid w:val="00B021FB"/>
    <w:rsid w:val="00B022B4"/>
    <w:rsid w:val="00B0236F"/>
    <w:rsid w:val="00B0249E"/>
    <w:rsid w:val="00B02581"/>
    <w:rsid w:val="00B02620"/>
    <w:rsid w:val="00B026A6"/>
    <w:rsid w:val="00B026C2"/>
    <w:rsid w:val="00B02731"/>
    <w:rsid w:val="00B02ADF"/>
    <w:rsid w:val="00B02BE4"/>
    <w:rsid w:val="00B02D14"/>
    <w:rsid w:val="00B02D24"/>
    <w:rsid w:val="00B0302F"/>
    <w:rsid w:val="00B030B3"/>
    <w:rsid w:val="00B030DE"/>
    <w:rsid w:val="00B033A1"/>
    <w:rsid w:val="00B0385B"/>
    <w:rsid w:val="00B03BB4"/>
    <w:rsid w:val="00B03E59"/>
    <w:rsid w:val="00B03ED8"/>
    <w:rsid w:val="00B03FBF"/>
    <w:rsid w:val="00B0405E"/>
    <w:rsid w:val="00B04263"/>
    <w:rsid w:val="00B04288"/>
    <w:rsid w:val="00B042DC"/>
    <w:rsid w:val="00B043A7"/>
    <w:rsid w:val="00B04406"/>
    <w:rsid w:val="00B04491"/>
    <w:rsid w:val="00B04687"/>
    <w:rsid w:val="00B047C2"/>
    <w:rsid w:val="00B04927"/>
    <w:rsid w:val="00B04AED"/>
    <w:rsid w:val="00B04C74"/>
    <w:rsid w:val="00B04CB1"/>
    <w:rsid w:val="00B04CC2"/>
    <w:rsid w:val="00B04F20"/>
    <w:rsid w:val="00B04F8A"/>
    <w:rsid w:val="00B051DB"/>
    <w:rsid w:val="00B0541D"/>
    <w:rsid w:val="00B05635"/>
    <w:rsid w:val="00B05A3F"/>
    <w:rsid w:val="00B05B9E"/>
    <w:rsid w:val="00B05BE2"/>
    <w:rsid w:val="00B05C9A"/>
    <w:rsid w:val="00B05D5B"/>
    <w:rsid w:val="00B05D5C"/>
    <w:rsid w:val="00B05F80"/>
    <w:rsid w:val="00B061AA"/>
    <w:rsid w:val="00B06306"/>
    <w:rsid w:val="00B0641E"/>
    <w:rsid w:val="00B0649A"/>
    <w:rsid w:val="00B064BB"/>
    <w:rsid w:val="00B065E0"/>
    <w:rsid w:val="00B06668"/>
    <w:rsid w:val="00B066A3"/>
    <w:rsid w:val="00B068F0"/>
    <w:rsid w:val="00B069CD"/>
    <w:rsid w:val="00B069E3"/>
    <w:rsid w:val="00B06DE0"/>
    <w:rsid w:val="00B06E9A"/>
    <w:rsid w:val="00B06ED6"/>
    <w:rsid w:val="00B06F71"/>
    <w:rsid w:val="00B0702D"/>
    <w:rsid w:val="00B070AD"/>
    <w:rsid w:val="00B0725D"/>
    <w:rsid w:val="00B07410"/>
    <w:rsid w:val="00B075FD"/>
    <w:rsid w:val="00B07620"/>
    <w:rsid w:val="00B07875"/>
    <w:rsid w:val="00B078A3"/>
    <w:rsid w:val="00B07916"/>
    <w:rsid w:val="00B07952"/>
    <w:rsid w:val="00B07BE7"/>
    <w:rsid w:val="00B07CF9"/>
    <w:rsid w:val="00B07EB7"/>
    <w:rsid w:val="00B07F6C"/>
    <w:rsid w:val="00B102AE"/>
    <w:rsid w:val="00B1030E"/>
    <w:rsid w:val="00B10405"/>
    <w:rsid w:val="00B10886"/>
    <w:rsid w:val="00B109F1"/>
    <w:rsid w:val="00B10A82"/>
    <w:rsid w:val="00B10B0A"/>
    <w:rsid w:val="00B10BFD"/>
    <w:rsid w:val="00B10E75"/>
    <w:rsid w:val="00B10EF6"/>
    <w:rsid w:val="00B10F31"/>
    <w:rsid w:val="00B10F5D"/>
    <w:rsid w:val="00B10FA2"/>
    <w:rsid w:val="00B110FE"/>
    <w:rsid w:val="00B111E7"/>
    <w:rsid w:val="00B11249"/>
    <w:rsid w:val="00B1131A"/>
    <w:rsid w:val="00B11738"/>
    <w:rsid w:val="00B118DD"/>
    <w:rsid w:val="00B11913"/>
    <w:rsid w:val="00B11C3D"/>
    <w:rsid w:val="00B11C45"/>
    <w:rsid w:val="00B12007"/>
    <w:rsid w:val="00B121F7"/>
    <w:rsid w:val="00B122C1"/>
    <w:rsid w:val="00B122E6"/>
    <w:rsid w:val="00B123A8"/>
    <w:rsid w:val="00B1245B"/>
    <w:rsid w:val="00B12516"/>
    <w:rsid w:val="00B1256B"/>
    <w:rsid w:val="00B12968"/>
    <w:rsid w:val="00B1296D"/>
    <w:rsid w:val="00B12B55"/>
    <w:rsid w:val="00B1314F"/>
    <w:rsid w:val="00B1349F"/>
    <w:rsid w:val="00B13705"/>
    <w:rsid w:val="00B13A37"/>
    <w:rsid w:val="00B13A65"/>
    <w:rsid w:val="00B13A83"/>
    <w:rsid w:val="00B13CE1"/>
    <w:rsid w:val="00B14154"/>
    <w:rsid w:val="00B146AE"/>
    <w:rsid w:val="00B146C0"/>
    <w:rsid w:val="00B14748"/>
    <w:rsid w:val="00B148C2"/>
    <w:rsid w:val="00B148C8"/>
    <w:rsid w:val="00B148F4"/>
    <w:rsid w:val="00B149CC"/>
    <w:rsid w:val="00B14B3E"/>
    <w:rsid w:val="00B14C15"/>
    <w:rsid w:val="00B14E90"/>
    <w:rsid w:val="00B14EE2"/>
    <w:rsid w:val="00B150FC"/>
    <w:rsid w:val="00B1519D"/>
    <w:rsid w:val="00B1519F"/>
    <w:rsid w:val="00B151CF"/>
    <w:rsid w:val="00B153F5"/>
    <w:rsid w:val="00B15665"/>
    <w:rsid w:val="00B15B4E"/>
    <w:rsid w:val="00B15BC5"/>
    <w:rsid w:val="00B15CF8"/>
    <w:rsid w:val="00B15EB8"/>
    <w:rsid w:val="00B15FFE"/>
    <w:rsid w:val="00B160BE"/>
    <w:rsid w:val="00B1645E"/>
    <w:rsid w:val="00B16603"/>
    <w:rsid w:val="00B1661F"/>
    <w:rsid w:val="00B16668"/>
    <w:rsid w:val="00B16A19"/>
    <w:rsid w:val="00B16B6F"/>
    <w:rsid w:val="00B16BDB"/>
    <w:rsid w:val="00B16C90"/>
    <w:rsid w:val="00B16CDA"/>
    <w:rsid w:val="00B16D89"/>
    <w:rsid w:val="00B16E1D"/>
    <w:rsid w:val="00B16EB8"/>
    <w:rsid w:val="00B16F9C"/>
    <w:rsid w:val="00B170EB"/>
    <w:rsid w:val="00B171FF"/>
    <w:rsid w:val="00B17240"/>
    <w:rsid w:val="00B1761D"/>
    <w:rsid w:val="00B17624"/>
    <w:rsid w:val="00B17798"/>
    <w:rsid w:val="00B17808"/>
    <w:rsid w:val="00B178CF"/>
    <w:rsid w:val="00B17932"/>
    <w:rsid w:val="00B17CBF"/>
    <w:rsid w:val="00B17D95"/>
    <w:rsid w:val="00B20004"/>
    <w:rsid w:val="00B2000E"/>
    <w:rsid w:val="00B202CD"/>
    <w:rsid w:val="00B202CF"/>
    <w:rsid w:val="00B208A8"/>
    <w:rsid w:val="00B209FC"/>
    <w:rsid w:val="00B20B9D"/>
    <w:rsid w:val="00B20C20"/>
    <w:rsid w:val="00B20C21"/>
    <w:rsid w:val="00B20C39"/>
    <w:rsid w:val="00B20CDF"/>
    <w:rsid w:val="00B20D55"/>
    <w:rsid w:val="00B20F2D"/>
    <w:rsid w:val="00B20FEA"/>
    <w:rsid w:val="00B21229"/>
    <w:rsid w:val="00B21290"/>
    <w:rsid w:val="00B212D6"/>
    <w:rsid w:val="00B213A0"/>
    <w:rsid w:val="00B21636"/>
    <w:rsid w:val="00B2176A"/>
    <w:rsid w:val="00B21811"/>
    <w:rsid w:val="00B21866"/>
    <w:rsid w:val="00B21965"/>
    <w:rsid w:val="00B21CB0"/>
    <w:rsid w:val="00B21CC6"/>
    <w:rsid w:val="00B21E66"/>
    <w:rsid w:val="00B21E6D"/>
    <w:rsid w:val="00B21F37"/>
    <w:rsid w:val="00B2213A"/>
    <w:rsid w:val="00B221B0"/>
    <w:rsid w:val="00B22372"/>
    <w:rsid w:val="00B22525"/>
    <w:rsid w:val="00B225D9"/>
    <w:rsid w:val="00B227DC"/>
    <w:rsid w:val="00B228A1"/>
    <w:rsid w:val="00B2292A"/>
    <w:rsid w:val="00B22C55"/>
    <w:rsid w:val="00B23161"/>
    <w:rsid w:val="00B23200"/>
    <w:rsid w:val="00B2341B"/>
    <w:rsid w:val="00B23599"/>
    <w:rsid w:val="00B235C4"/>
    <w:rsid w:val="00B23755"/>
    <w:rsid w:val="00B23822"/>
    <w:rsid w:val="00B238F7"/>
    <w:rsid w:val="00B2395D"/>
    <w:rsid w:val="00B23A2E"/>
    <w:rsid w:val="00B23B3A"/>
    <w:rsid w:val="00B23D4B"/>
    <w:rsid w:val="00B23D54"/>
    <w:rsid w:val="00B23E69"/>
    <w:rsid w:val="00B23FB8"/>
    <w:rsid w:val="00B24177"/>
    <w:rsid w:val="00B2418D"/>
    <w:rsid w:val="00B2422B"/>
    <w:rsid w:val="00B2422D"/>
    <w:rsid w:val="00B24322"/>
    <w:rsid w:val="00B24527"/>
    <w:rsid w:val="00B2470D"/>
    <w:rsid w:val="00B2476E"/>
    <w:rsid w:val="00B24793"/>
    <w:rsid w:val="00B247AD"/>
    <w:rsid w:val="00B24894"/>
    <w:rsid w:val="00B24913"/>
    <w:rsid w:val="00B24A18"/>
    <w:rsid w:val="00B24AE7"/>
    <w:rsid w:val="00B24B79"/>
    <w:rsid w:val="00B24BD4"/>
    <w:rsid w:val="00B24D3D"/>
    <w:rsid w:val="00B24DB0"/>
    <w:rsid w:val="00B25035"/>
    <w:rsid w:val="00B2515D"/>
    <w:rsid w:val="00B25398"/>
    <w:rsid w:val="00B25596"/>
    <w:rsid w:val="00B256D3"/>
    <w:rsid w:val="00B2575A"/>
    <w:rsid w:val="00B258F2"/>
    <w:rsid w:val="00B25930"/>
    <w:rsid w:val="00B259E7"/>
    <w:rsid w:val="00B25D05"/>
    <w:rsid w:val="00B2602B"/>
    <w:rsid w:val="00B2605B"/>
    <w:rsid w:val="00B26280"/>
    <w:rsid w:val="00B26430"/>
    <w:rsid w:val="00B265B4"/>
    <w:rsid w:val="00B26622"/>
    <w:rsid w:val="00B2663F"/>
    <w:rsid w:val="00B26669"/>
    <w:rsid w:val="00B26715"/>
    <w:rsid w:val="00B267C0"/>
    <w:rsid w:val="00B268B2"/>
    <w:rsid w:val="00B26A97"/>
    <w:rsid w:val="00B26BCA"/>
    <w:rsid w:val="00B26D26"/>
    <w:rsid w:val="00B26EC9"/>
    <w:rsid w:val="00B270AE"/>
    <w:rsid w:val="00B270F3"/>
    <w:rsid w:val="00B274BA"/>
    <w:rsid w:val="00B274F3"/>
    <w:rsid w:val="00B27501"/>
    <w:rsid w:val="00B2751B"/>
    <w:rsid w:val="00B276B4"/>
    <w:rsid w:val="00B276E7"/>
    <w:rsid w:val="00B27845"/>
    <w:rsid w:val="00B278C6"/>
    <w:rsid w:val="00B278D7"/>
    <w:rsid w:val="00B27944"/>
    <w:rsid w:val="00B279A5"/>
    <w:rsid w:val="00B27A2A"/>
    <w:rsid w:val="00B27B8F"/>
    <w:rsid w:val="00B27C10"/>
    <w:rsid w:val="00B27C63"/>
    <w:rsid w:val="00B27D10"/>
    <w:rsid w:val="00B27DF9"/>
    <w:rsid w:val="00B27E7C"/>
    <w:rsid w:val="00B27F89"/>
    <w:rsid w:val="00B303F6"/>
    <w:rsid w:val="00B3041E"/>
    <w:rsid w:val="00B30472"/>
    <w:rsid w:val="00B3053E"/>
    <w:rsid w:val="00B306E3"/>
    <w:rsid w:val="00B307B5"/>
    <w:rsid w:val="00B307B7"/>
    <w:rsid w:val="00B3091C"/>
    <w:rsid w:val="00B30B50"/>
    <w:rsid w:val="00B30CF6"/>
    <w:rsid w:val="00B3114D"/>
    <w:rsid w:val="00B31221"/>
    <w:rsid w:val="00B3123B"/>
    <w:rsid w:val="00B3132B"/>
    <w:rsid w:val="00B313D9"/>
    <w:rsid w:val="00B3158A"/>
    <w:rsid w:val="00B31738"/>
    <w:rsid w:val="00B3180A"/>
    <w:rsid w:val="00B31A32"/>
    <w:rsid w:val="00B31EFE"/>
    <w:rsid w:val="00B3204B"/>
    <w:rsid w:val="00B3204E"/>
    <w:rsid w:val="00B321BB"/>
    <w:rsid w:val="00B321DC"/>
    <w:rsid w:val="00B3225C"/>
    <w:rsid w:val="00B32266"/>
    <w:rsid w:val="00B32331"/>
    <w:rsid w:val="00B32521"/>
    <w:rsid w:val="00B32667"/>
    <w:rsid w:val="00B32767"/>
    <w:rsid w:val="00B32773"/>
    <w:rsid w:val="00B328BD"/>
    <w:rsid w:val="00B32C21"/>
    <w:rsid w:val="00B32F66"/>
    <w:rsid w:val="00B330A5"/>
    <w:rsid w:val="00B330EB"/>
    <w:rsid w:val="00B333B7"/>
    <w:rsid w:val="00B336F3"/>
    <w:rsid w:val="00B337B1"/>
    <w:rsid w:val="00B339C7"/>
    <w:rsid w:val="00B33AA8"/>
    <w:rsid w:val="00B33B05"/>
    <w:rsid w:val="00B33B33"/>
    <w:rsid w:val="00B33C92"/>
    <w:rsid w:val="00B33D1C"/>
    <w:rsid w:val="00B33E5F"/>
    <w:rsid w:val="00B33F62"/>
    <w:rsid w:val="00B340D6"/>
    <w:rsid w:val="00B341D4"/>
    <w:rsid w:val="00B342AE"/>
    <w:rsid w:val="00B34322"/>
    <w:rsid w:val="00B34374"/>
    <w:rsid w:val="00B34400"/>
    <w:rsid w:val="00B3444A"/>
    <w:rsid w:val="00B3464A"/>
    <w:rsid w:val="00B346A8"/>
    <w:rsid w:val="00B348CA"/>
    <w:rsid w:val="00B348D5"/>
    <w:rsid w:val="00B34977"/>
    <w:rsid w:val="00B34A66"/>
    <w:rsid w:val="00B34B1E"/>
    <w:rsid w:val="00B34D51"/>
    <w:rsid w:val="00B34E04"/>
    <w:rsid w:val="00B34EDC"/>
    <w:rsid w:val="00B35053"/>
    <w:rsid w:val="00B35072"/>
    <w:rsid w:val="00B351CD"/>
    <w:rsid w:val="00B353F5"/>
    <w:rsid w:val="00B3564D"/>
    <w:rsid w:val="00B356B5"/>
    <w:rsid w:val="00B357C6"/>
    <w:rsid w:val="00B357E5"/>
    <w:rsid w:val="00B358C5"/>
    <w:rsid w:val="00B359AC"/>
    <w:rsid w:val="00B35A7F"/>
    <w:rsid w:val="00B35BC9"/>
    <w:rsid w:val="00B36028"/>
    <w:rsid w:val="00B3632E"/>
    <w:rsid w:val="00B364A5"/>
    <w:rsid w:val="00B364BD"/>
    <w:rsid w:val="00B366F4"/>
    <w:rsid w:val="00B3679C"/>
    <w:rsid w:val="00B367F6"/>
    <w:rsid w:val="00B36849"/>
    <w:rsid w:val="00B3688C"/>
    <w:rsid w:val="00B368E6"/>
    <w:rsid w:val="00B36B5F"/>
    <w:rsid w:val="00B36C1D"/>
    <w:rsid w:val="00B36CB0"/>
    <w:rsid w:val="00B36E9D"/>
    <w:rsid w:val="00B37277"/>
    <w:rsid w:val="00B3739B"/>
    <w:rsid w:val="00B3776F"/>
    <w:rsid w:val="00B3778F"/>
    <w:rsid w:val="00B377E3"/>
    <w:rsid w:val="00B37831"/>
    <w:rsid w:val="00B379B9"/>
    <w:rsid w:val="00B37C1A"/>
    <w:rsid w:val="00B37C24"/>
    <w:rsid w:val="00B40064"/>
    <w:rsid w:val="00B40193"/>
    <w:rsid w:val="00B401D9"/>
    <w:rsid w:val="00B4031E"/>
    <w:rsid w:val="00B403CC"/>
    <w:rsid w:val="00B4048D"/>
    <w:rsid w:val="00B4071E"/>
    <w:rsid w:val="00B4084B"/>
    <w:rsid w:val="00B40A77"/>
    <w:rsid w:val="00B40CBA"/>
    <w:rsid w:val="00B4102D"/>
    <w:rsid w:val="00B41553"/>
    <w:rsid w:val="00B41681"/>
    <w:rsid w:val="00B4188E"/>
    <w:rsid w:val="00B41962"/>
    <w:rsid w:val="00B419E6"/>
    <w:rsid w:val="00B41B09"/>
    <w:rsid w:val="00B41B4F"/>
    <w:rsid w:val="00B41C3C"/>
    <w:rsid w:val="00B41C8F"/>
    <w:rsid w:val="00B41D31"/>
    <w:rsid w:val="00B4207B"/>
    <w:rsid w:val="00B4209B"/>
    <w:rsid w:val="00B422B6"/>
    <w:rsid w:val="00B4257C"/>
    <w:rsid w:val="00B4259C"/>
    <w:rsid w:val="00B425A3"/>
    <w:rsid w:val="00B425EE"/>
    <w:rsid w:val="00B42610"/>
    <w:rsid w:val="00B42804"/>
    <w:rsid w:val="00B42876"/>
    <w:rsid w:val="00B429AA"/>
    <w:rsid w:val="00B42BD9"/>
    <w:rsid w:val="00B42C09"/>
    <w:rsid w:val="00B42DF5"/>
    <w:rsid w:val="00B42E91"/>
    <w:rsid w:val="00B43164"/>
    <w:rsid w:val="00B431D6"/>
    <w:rsid w:val="00B4323B"/>
    <w:rsid w:val="00B433D7"/>
    <w:rsid w:val="00B4354F"/>
    <w:rsid w:val="00B435AD"/>
    <w:rsid w:val="00B436E3"/>
    <w:rsid w:val="00B43708"/>
    <w:rsid w:val="00B4372E"/>
    <w:rsid w:val="00B4384D"/>
    <w:rsid w:val="00B43914"/>
    <w:rsid w:val="00B43A0D"/>
    <w:rsid w:val="00B43A51"/>
    <w:rsid w:val="00B43A79"/>
    <w:rsid w:val="00B43D08"/>
    <w:rsid w:val="00B43D57"/>
    <w:rsid w:val="00B43D6A"/>
    <w:rsid w:val="00B43DED"/>
    <w:rsid w:val="00B44008"/>
    <w:rsid w:val="00B4410A"/>
    <w:rsid w:val="00B44621"/>
    <w:rsid w:val="00B447C4"/>
    <w:rsid w:val="00B4492B"/>
    <w:rsid w:val="00B449F7"/>
    <w:rsid w:val="00B44A0C"/>
    <w:rsid w:val="00B44AA1"/>
    <w:rsid w:val="00B44BE1"/>
    <w:rsid w:val="00B44BEF"/>
    <w:rsid w:val="00B44FD8"/>
    <w:rsid w:val="00B45089"/>
    <w:rsid w:val="00B450D5"/>
    <w:rsid w:val="00B45105"/>
    <w:rsid w:val="00B4527C"/>
    <w:rsid w:val="00B452B5"/>
    <w:rsid w:val="00B454A6"/>
    <w:rsid w:val="00B455F1"/>
    <w:rsid w:val="00B459D8"/>
    <w:rsid w:val="00B45A4F"/>
    <w:rsid w:val="00B45A7E"/>
    <w:rsid w:val="00B45C1D"/>
    <w:rsid w:val="00B45DFA"/>
    <w:rsid w:val="00B4612F"/>
    <w:rsid w:val="00B46148"/>
    <w:rsid w:val="00B46538"/>
    <w:rsid w:val="00B465B8"/>
    <w:rsid w:val="00B465FB"/>
    <w:rsid w:val="00B4663A"/>
    <w:rsid w:val="00B46877"/>
    <w:rsid w:val="00B468D6"/>
    <w:rsid w:val="00B4692C"/>
    <w:rsid w:val="00B4697A"/>
    <w:rsid w:val="00B469A9"/>
    <w:rsid w:val="00B46CF4"/>
    <w:rsid w:val="00B4701C"/>
    <w:rsid w:val="00B47073"/>
    <w:rsid w:val="00B470E1"/>
    <w:rsid w:val="00B47116"/>
    <w:rsid w:val="00B4737C"/>
    <w:rsid w:val="00B47380"/>
    <w:rsid w:val="00B474C3"/>
    <w:rsid w:val="00B47557"/>
    <w:rsid w:val="00B4772D"/>
    <w:rsid w:val="00B4777C"/>
    <w:rsid w:val="00B47C87"/>
    <w:rsid w:val="00B47D90"/>
    <w:rsid w:val="00B47D9E"/>
    <w:rsid w:val="00B47F10"/>
    <w:rsid w:val="00B5001A"/>
    <w:rsid w:val="00B500E4"/>
    <w:rsid w:val="00B5019E"/>
    <w:rsid w:val="00B50271"/>
    <w:rsid w:val="00B503CC"/>
    <w:rsid w:val="00B50422"/>
    <w:rsid w:val="00B504A6"/>
    <w:rsid w:val="00B50532"/>
    <w:rsid w:val="00B5058E"/>
    <w:rsid w:val="00B50742"/>
    <w:rsid w:val="00B50753"/>
    <w:rsid w:val="00B507EA"/>
    <w:rsid w:val="00B5083A"/>
    <w:rsid w:val="00B5088F"/>
    <w:rsid w:val="00B509B3"/>
    <w:rsid w:val="00B509BC"/>
    <w:rsid w:val="00B509DB"/>
    <w:rsid w:val="00B50A44"/>
    <w:rsid w:val="00B50AAA"/>
    <w:rsid w:val="00B50AB2"/>
    <w:rsid w:val="00B50DD5"/>
    <w:rsid w:val="00B51013"/>
    <w:rsid w:val="00B51022"/>
    <w:rsid w:val="00B51157"/>
    <w:rsid w:val="00B51225"/>
    <w:rsid w:val="00B512C3"/>
    <w:rsid w:val="00B5135B"/>
    <w:rsid w:val="00B513DD"/>
    <w:rsid w:val="00B515D8"/>
    <w:rsid w:val="00B51704"/>
    <w:rsid w:val="00B51759"/>
    <w:rsid w:val="00B517C8"/>
    <w:rsid w:val="00B517DA"/>
    <w:rsid w:val="00B518A8"/>
    <w:rsid w:val="00B5190E"/>
    <w:rsid w:val="00B51C59"/>
    <w:rsid w:val="00B51CEE"/>
    <w:rsid w:val="00B51D9B"/>
    <w:rsid w:val="00B51E01"/>
    <w:rsid w:val="00B51EC0"/>
    <w:rsid w:val="00B51ED9"/>
    <w:rsid w:val="00B51F62"/>
    <w:rsid w:val="00B51F8F"/>
    <w:rsid w:val="00B51FDD"/>
    <w:rsid w:val="00B5205E"/>
    <w:rsid w:val="00B520CB"/>
    <w:rsid w:val="00B52411"/>
    <w:rsid w:val="00B52479"/>
    <w:rsid w:val="00B52533"/>
    <w:rsid w:val="00B5285F"/>
    <w:rsid w:val="00B52870"/>
    <w:rsid w:val="00B52892"/>
    <w:rsid w:val="00B529BD"/>
    <w:rsid w:val="00B52EE3"/>
    <w:rsid w:val="00B52F93"/>
    <w:rsid w:val="00B52FC0"/>
    <w:rsid w:val="00B536D0"/>
    <w:rsid w:val="00B53850"/>
    <w:rsid w:val="00B539B7"/>
    <w:rsid w:val="00B53A06"/>
    <w:rsid w:val="00B53BEC"/>
    <w:rsid w:val="00B53EA2"/>
    <w:rsid w:val="00B53FA1"/>
    <w:rsid w:val="00B53FB7"/>
    <w:rsid w:val="00B53FC2"/>
    <w:rsid w:val="00B5401D"/>
    <w:rsid w:val="00B540BB"/>
    <w:rsid w:val="00B540C9"/>
    <w:rsid w:val="00B543F4"/>
    <w:rsid w:val="00B54466"/>
    <w:rsid w:val="00B545CA"/>
    <w:rsid w:val="00B54743"/>
    <w:rsid w:val="00B54981"/>
    <w:rsid w:val="00B54A0D"/>
    <w:rsid w:val="00B54AB7"/>
    <w:rsid w:val="00B54B18"/>
    <w:rsid w:val="00B54E27"/>
    <w:rsid w:val="00B54E3B"/>
    <w:rsid w:val="00B54F5D"/>
    <w:rsid w:val="00B54FC1"/>
    <w:rsid w:val="00B55217"/>
    <w:rsid w:val="00B5541E"/>
    <w:rsid w:val="00B5543B"/>
    <w:rsid w:val="00B554D4"/>
    <w:rsid w:val="00B55516"/>
    <w:rsid w:val="00B55524"/>
    <w:rsid w:val="00B55539"/>
    <w:rsid w:val="00B55554"/>
    <w:rsid w:val="00B5587E"/>
    <w:rsid w:val="00B55C4D"/>
    <w:rsid w:val="00B55CDB"/>
    <w:rsid w:val="00B56152"/>
    <w:rsid w:val="00B563EA"/>
    <w:rsid w:val="00B5641C"/>
    <w:rsid w:val="00B566F7"/>
    <w:rsid w:val="00B566FF"/>
    <w:rsid w:val="00B569F0"/>
    <w:rsid w:val="00B56A6C"/>
    <w:rsid w:val="00B56A93"/>
    <w:rsid w:val="00B56B11"/>
    <w:rsid w:val="00B56D97"/>
    <w:rsid w:val="00B571AC"/>
    <w:rsid w:val="00B575BF"/>
    <w:rsid w:val="00B5765F"/>
    <w:rsid w:val="00B57814"/>
    <w:rsid w:val="00B579BB"/>
    <w:rsid w:val="00B57AF6"/>
    <w:rsid w:val="00B57B46"/>
    <w:rsid w:val="00B57BAC"/>
    <w:rsid w:val="00B57BDD"/>
    <w:rsid w:val="00B57E16"/>
    <w:rsid w:val="00B60071"/>
    <w:rsid w:val="00B60257"/>
    <w:rsid w:val="00B602D7"/>
    <w:rsid w:val="00B6038D"/>
    <w:rsid w:val="00B60435"/>
    <w:rsid w:val="00B605C3"/>
    <w:rsid w:val="00B606F4"/>
    <w:rsid w:val="00B6096B"/>
    <w:rsid w:val="00B60A3C"/>
    <w:rsid w:val="00B60B29"/>
    <w:rsid w:val="00B60B7E"/>
    <w:rsid w:val="00B60CC8"/>
    <w:rsid w:val="00B60D67"/>
    <w:rsid w:val="00B60D8D"/>
    <w:rsid w:val="00B60EE2"/>
    <w:rsid w:val="00B60FDD"/>
    <w:rsid w:val="00B6111C"/>
    <w:rsid w:val="00B61187"/>
    <w:rsid w:val="00B611DE"/>
    <w:rsid w:val="00B612BB"/>
    <w:rsid w:val="00B612EA"/>
    <w:rsid w:val="00B6133E"/>
    <w:rsid w:val="00B613C5"/>
    <w:rsid w:val="00B61518"/>
    <w:rsid w:val="00B616F2"/>
    <w:rsid w:val="00B61A7B"/>
    <w:rsid w:val="00B61A92"/>
    <w:rsid w:val="00B61C2C"/>
    <w:rsid w:val="00B61C66"/>
    <w:rsid w:val="00B61C9A"/>
    <w:rsid w:val="00B61CF3"/>
    <w:rsid w:val="00B61E51"/>
    <w:rsid w:val="00B61E9C"/>
    <w:rsid w:val="00B61EDD"/>
    <w:rsid w:val="00B62400"/>
    <w:rsid w:val="00B625C8"/>
    <w:rsid w:val="00B62604"/>
    <w:rsid w:val="00B62668"/>
    <w:rsid w:val="00B626EE"/>
    <w:rsid w:val="00B626FA"/>
    <w:rsid w:val="00B62993"/>
    <w:rsid w:val="00B62A61"/>
    <w:rsid w:val="00B62C2C"/>
    <w:rsid w:val="00B62C94"/>
    <w:rsid w:val="00B62DF2"/>
    <w:rsid w:val="00B62DF8"/>
    <w:rsid w:val="00B62EBC"/>
    <w:rsid w:val="00B62F17"/>
    <w:rsid w:val="00B62F47"/>
    <w:rsid w:val="00B62FE4"/>
    <w:rsid w:val="00B6310A"/>
    <w:rsid w:val="00B63154"/>
    <w:rsid w:val="00B631CE"/>
    <w:rsid w:val="00B6331F"/>
    <w:rsid w:val="00B633E6"/>
    <w:rsid w:val="00B635D7"/>
    <w:rsid w:val="00B636C8"/>
    <w:rsid w:val="00B636FF"/>
    <w:rsid w:val="00B63750"/>
    <w:rsid w:val="00B637CF"/>
    <w:rsid w:val="00B6398D"/>
    <w:rsid w:val="00B63997"/>
    <w:rsid w:val="00B63A53"/>
    <w:rsid w:val="00B63AF6"/>
    <w:rsid w:val="00B63C29"/>
    <w:rsid w:val="00B63C6A"/>
    <w:rsid w:val="00B63E46"/>
    <w:rsid w:val="00B63EC3"/>
    <w:rsid w:val="00B63FCB"/>
    <w:rsid w:val="00B641EF"/>
    <w:rsid w:val="00B64222"/>
    <w:rsid w:val="00B642FE"/>
    <w:rsid w:val="00B64350"/>
    <w:rsid w:val="00B6442A"/>
    <w:rsid w:val="00B64491"/>
    <w:rsid w:val="00B644DC"/>
    <w:rsid w:val="00B6450A"/>
    <w:rsid w:val="00B6468E"/>
    <w:rsid w:val="00B646F5"/>
    <w:rsid w:val="00B64798"/>
    <w:rsid w:val="00B64830"/>
    <w:rsid w:val="00B6488C"/>
    <w:rsid w:val="00B648EB"/>
    <w:rsid w:val="00B6493C"/>
    <w:rsid w:val="00B64BF2"/>
    <w:rsid w:val="00B64C90"/>
    <w:rsid w:val="00B64D8A"/>
    <w:rsid w:val="00B64FD9"/>
    <w:rsid w:val="00B65026"/>
    <w:rsid w:val="00B65096"/>
    <w:rsid w:val="00B65237"/>
    <w:rsid w:val="00B65346"/>
    <w:rsid w:val="00B653FA"/>
    <w:rsid w:val="00B65461"/>
    <w:rsid w:val="00B654C6"/>
    <w:rsid w:val="00B65661"/>
    <w:rsid w:val="00B656C5"/>
    <w:rsid w:val="00B6594F"/>
    <w:rsid w:val="00B659BB"/>
    <w:rsid w:val="00B65A72"/>
    <w:rsid w:val="00B65B9F"/>
    <w:rsid w:val="00B65BA8"/>
    <w:rsid w:val="00B65CA9"/>
    <w:rsid w:val="00B65D03"/>
    <w:rsid w:val="00B6612F"/>
    <w:rsid w:val="00B661A3"/>
    <w:rsid w:val="00B665A0"/>
    <w:rsid w:val="00B665B2"/>
    <w:rsid w:val="00B665FA"/>
    <w:rsid w:val="00B6674E"/>
    <w:rsid w:val="00B66A87"/>
    <w:rsid w:val="00B66B19"/>
    <w:rsid w:val="00B66BF5"/>
    <w:rsid w:val="00B66D97"/>
    <w:rsid w:val="00B67244"/>
    <w:rsid w:val="00B6728B"/>
    <w:rsid w:val="00B67335"/>
    <w:rsid w:val="00B67449"/>
    <w:rsid w:val="00B67523"/>
    <w:rsid w:val="00B67755"/>
    <w:rsid w:val="00B677ED"/>
    <w:rsid w:val="00B67883"/>
    <w:rsid w:val="00B678C3"/>
    <w:rsid w:val="00B67997"/>
    <w:rsid w:val="00B67A41"/>
    <w:rsid w:val="00B67A5D"/>
    <w:rsid w:val="00B67B81"/>
    <w:rsid w:val="00B67CB3"/>
    <w:rsid w:val="00B67CE5"/>
    <w:rsid w:val="00B67E07"/>
    <w:rsid w:val="00B67FDB"/>
    <w:rsid w:val="00B70234"/>
    <w:rsid w:val="00B70256"/>
    <w:rsid w:val="00B70316"/>
    <w:rsid w:val="00B704DA"/>
    <w:rsid w:val="00B7067D"/>
    <w:rsid w:val="00B706B9"/>
    <w:rsid w:val="00B706D8"/>
    <w:rsid w:val="00B70813"/>
    <w:rsid w:val="00B70ACA"/>
    <w:rsid w:val="00B70AFA"/>
    <w:rsid w:val="00B70B21"/>
    <w:rsid w:val="00B70B2F"/>
    <w:rsid w:val="00B70BC1"/>
    <w:rsid w:val="00B70C52"/>
    <w:rsid w:val="00B70CFA"/>
    <w:rsid w:val="00B70D74"/>
    <w:rsid w:val="00B70DE6"/>
    <w:rsid w:val="00B70E2E"/>
    <w:rsid w:val="00B710B2"/>
    <w:rsid w:val="00B712A6"/>
    <w:rsid w:val="00B712D0"/>
    <w:rsid w:val="00B71454"/>
    <w:rsid w:val="00B71653"/>
    <w:rsid w:val="00B717A4"/>
    <w:rsid w:val="00B71806"/>
    <w:rsid w:val="00B718C8"/>
    <w:rsid w:val="00B7193C"/>
    <w:rsid w:val="00B71A81"/>
    <w:rsid w:val="00B71F14"/>
    <w:rsid w:val="00B7207A"/>
    <w:rsid w:val="00B721AD"/>
    <w:rsid w:val="00B7247A"/>
    <w:rsid w:val="00B7263E"/>
    <w:rsid w:val="00B726F9"/>
    <w:rsid w:val="00B727DB"/>
    <w:rsid w:val="00B72957"/>
    <w:rsid w:val="00B729B9"/>
    <w:rsid w:val="00B72ACB"/>
    <w:rsid w:val="00B72DEC"/>
    <w:rsid w:val="00B72F04"/>
    <w:rsid w:val="00B72FED"/>
    <w:rsid w:val="00B7306B"/>
    <w:rsid w:val="00B73157"/>
    <w:rsid w:val="00B73218"/>
    <w:rsid w:val="00B732B3"/>
    <w:rsid w:val="00B7331D"/>
    <w:rsid w:val="00B73448"/>
    <w:rsid w:val="00B7345D"/>
    <w:rsid w:val="00B7347B"/>
    <w:rsid w:val="00B73484"/>
    <w:rsid w:val="00B735BC"/>
    <w:rsid w:val="00B738C9"/>
    <w:rsid w:val="00B73923"/>
    <w:rsid w:val="00B73ADF"/>
    <w:rsid w:val="00B73B2F"/>
    <w:rsid w:val="00B73C75"/>
    <w:rsid w:val="00B73DC8"/>
    <w:rsid w:val="00B73EAB"/>
    <w:rsid w:val="00B7402C"/>
    <w:rsid w:val="00B741DF"/>
    <w:rsid w:val="00B7425F"/>
    <w:rsid w:val="00B7434B"/>
    <w:rsid w:val="00B7435D"/>
    <w:rsid w:val="00B74411"/>
    <w:rsid w:val="00B7480F"/>
    <w:rsid w:val="00B74824"/>
    <w:rsid w:val="00B74BD6"/>
    <w:rsid w:val="00B751C0"/>
    <w:rsid w:val="00B7526C"/>
    <w:rsid w:val="00B755AC"/>
    <w:rsid w:val="00B757E5"/>
    <w:rsid w:val="00B757F9"/>
    <w:rsid w:val="00B759CE"/>
    <w:rsid w:val="00B75B90"/>
    <w:rsid w:val="00B75C89"/>
    <w:rsid w:val="00B75CC3"/>
    <w:rsid w:val="00B75D65"/>
    <w:rsid w:val="00B75EAC"/>
    <w:rsid w:val="00B7612C"/>
    <w:rsid w:val="00B762FC"/>
    <w:rsid w:val="00B763E1"/>
    <w:rsid w:val="00B76421"/>
    <w:rsid w:val="00B76783"/>
    <w:rsid w:val="00B7685D"/>
    <w:rsid w:val="00B76AB4"/>
    <w:rsid w:val="00B76CDF"/>
    <w:rsid w:val="00B76D18"/>
    <w:rsid w:val="00B76ED5"/>
    <w:rsid w:val="00B77091"/>
    <w:rsid w:val="00B77136"/>
    <w:rsid w:val="00B77140"/>
    <w:rsid w:val="00B771A1"/>
    <w:rsid w:val="00B77345"/>
    <w:rsid w:val="00B77540"/>
    <w:rsid w:val="00B77588"/>
    <w:rsid w:val="00B77647"/>
    <w:rsid w:val="00B77654"/>
    <w:rsid w:val="00B776A4"/>
    <w:rsid w:val="00B77746"/>
    <w:rsid w:val="00B77786"/>
    <w:rsid w:val="00B77915"/>
    <w:rsid w:val="00B77996"/>
    <w:rsid w:val="00B779B7"/>
    <w:rsid w:val="00B779CD"/>
    <w:rsid w:val="00B779D1"/>
    <w:rsid w:val="00B77BD5"/>
    <w:rsid w:val="00B77C39"/>
    <w:rsid w:val="00B80331"/>
    <w:rsid w:val="00B80370"/>
    <w:rsid w:val="00B803FE"/>
    <w:rsid w:val="00B8040C"/>
    <w:rsid w:val="00B80507"/>
    <w:rsid w:val="00B8066A"/>
    <w:rsid w:val="00B806A0"/>
    <w:rsid w:val="00B806B7"/>
    <w:rsid w:val="00B807EA"/>
    <w:rsid w:val="00B8080A"/>
    <w:rsid w:val="00B80873"/>
    <w:rsid w:val="00B8090C"/>
    <w:rsid w:val="00B80B0A"/>
    <w:rsid w:val="00B80C06"/>
    <w:rsid w:val="00B80F04"/>
    <w:rsid w:val="00B80FC1"/>
    <w:rsid w:val="00B81029"/>
    <w:rsid w:val="00B8103C"/>
    <w:rsid w:val="00B81119"/>
    <w:rsid w:val="00B81248"/>
    <w:rsid w:val="00B8131F"/>
    <w:rsid w:val="00B813E1"/>
    <w:rsid w:val="00B81511"/>
    <w:rsid w:val="00B81637"/>
    <w:rsid w:val="00B816BB"/>
    <w:rsid w:val="00B816CC"/>
    <w:rsid w:val="00B8190F"/>
    <w:rsid w:val="00B81AFB"/>
    <w:rsid w:val="00B81C04"/>
    <w:rsid w:val="00B81CFE"/>
    <w:rsid w:val="00B81E7A"/>
    <w:rsid w:val="00B81E7B"/>
    <w:rsid w:val="00B81EF7"/>
    <w:rsid w:val="00B81F38"/>
    <w:rsid w:val="00B825B1"/>
    <w:rsid w:val="00B82761"/>
    <w:rsid w:val="00B8283F"/>
    <w:rsid w:val="00B8290F"/>
    <w:rsid w:val="00B82B52"/>
    <w:rsid w:val="00B82DB0"/>
    <w:rsid w:val="00B82F83"/>
    <w:rsid w:val="00B830FA"/>
    <w:rsid w:val="00B83306"/>
    <w:rsid w:val="00B83393"/>
    <w:rsid w:val="00B833D6"/>
    <w:rsid w:val="00B835BC"/>
    <w:rsid w:val="00B8383C"/>
    <w:rsid w:val="00B838B0"/>
    <w:rsid w:val="00B8396B"/>
    <w:rsid w:val="00B83B53"/>
    <w:rsid w:val="00B83B62"/>
    <w:rsid w:val="00B83B87"/>
    <w:rsid w:val="00B83B8C"/>
    <w:rsid w:val="00B83D38"/>
    <w:rsid w:val="00B83D46"/>
    <w:rsid w:val="00B83F97"/>
    <w:rsid w:val="00B83FB1"/>
    <w:rsid w:val="00B84143"/>
    <w:rsid w:val="00B8419E"/>
    <w:rsid w:val="00B84351"/>
    <w:rsid w:val="00B84355"/>
    <w:rsid w:val="00B84453"/>
    <w:rsid w:val="00B8492A"/>
    <w:rsid w:val="00B84B06"/>
    <w:rsid w:val="00B84CCE"/>
    <w:rsid w:val="00B84E8D"/>
    <w:rsid w:val="00B84E91"/>
    <w:rsid w:val="00B8506A"/>
    <w:rsid w:val="00B850F2"/>
    <w:rsid w:val="00B85259"/>
    <w:rsid w:val="00B8526D"/>
    <w:rsid w:val="00B8535F"/>
    <w:rsid w:val="00B854C6"/>
    <w:rsid w:val="00B85618"/>
    <w:rsid w:val="00B8576C"/>
    <w:rsid w:val="00B85957"/>
    <w:rsid w:val="00B85A3A"/>
    <w:rsid w:val="00B85AF8"/>
    <w:rsid w:val="00B85BC8"/>
    <w:rsid w:val="00B85CFA"/>
    <w:rsid w:val="00B85E18"/>
    <w:rsid w:val="00B85F5A"/>
    <w:rsid w:val="00B85F69"/>
    <w:rsid w:val="00B8607E"/>
    <w:rsid w:val="00B8609C"/>
    <w:rsid w:val="00B860DF"/>
    <w:rsid w:val="00B860ED"/>
    <w:rsid w:val="00B860F4"/>
    <w:rsid w:val="00B86104"/>
    <w:rsid w:val="00B8612B"/>
    <w:rsid w:val="00B86213"/>
    <w:rsid w:val="00B86348"/>
    <w:rsid w:val="00B8658F"/>
    <w:rsid w:val="00B86629"/>
    <w:rsid w:val="00B869E8"/>
    <w:rsid w:val="00B86A2E"/>
    <w:rsid w:val="00B86B6E"/>
    <w:rsid w:val="00B86C32"/>
    <w:rsid w:val="00B86D0F"/>
    <w:rsid w:val="00B86D59"/>
    <w:rsid w:val="00B86FB3"/>
    <w:rsid w:val="00B870EF"/>
    <w:rsid w:val="00B871BD"/>
    <w:rsid w:val="00B8723B"/>
    <w:rsid w:val="00B872BD"/>
    <w:rsid w:val="00B8745B"/>
    <w:rsid w:val="00B8752E"/>
    <w:rsid w:val="00B8755D"/>
    <w:rsid w:val="00B87605"/>
    <w:rsid w:val="00B876FE"/>
    <w:rsid w:val="00B8771D"/>
    <w:rsid w:val="00B878CD"/>
    <w:rsid w:val="00B87C50"/>
    <w:rsid w:val="00B87D76"/>
    <w:rsid w:val="00B87D92"/>
    <w:rsid w:val="00B87E84"/>
    <w:rsid w:val="00B87EAC"/>
    <w:rsid w:val="00B90093"/>
    <w:rsid w:val="00B902A6"/>
    <w:rsid w:val="00B904A9"/>
    <w:rsid w:val="00B904BF"/>
    <w:rsid w:val="00B906FB"/>
    <w:rsid w:val="00B9072F"/>
    <w:rsid w:val="00B90A4B"/>
    <w:rsid w:val="00B90A57"/>
    <w:rsid w:val="00B90DB7"/>
    <w:rsid w:val="00B90ED2"/>
    <w:rsid w:val="00B91278"/>
    <w:rsid w:val="00B9159C"/>
    <w:rsid w:val="00B9169C"/>
    <w:rsid w:val="00B91863"/>
    <w:rsid w:val="00B91B17"/>
    <w:rsid w:val="00B91B48"/>
    <w:rsid w:val="00B91CB1"/>
    <w:rsid w:val="00B91CBC"/>
    <w:rsid w:val="00B91E37"/>
    <w:rsid w:val="00B92016"/>
    <w:rsid w:val="00B9208B"/>
    <w:rsid w:val="00B920E4"/>
    <w:rsid w:val="00B92378"/>
    <w:rsid w:val="00B92468"/>
    <w:rsid w:val="00B9249B"/>
    <w:rsid w:val="00B9255A"/>
    <w:rsid w:val="00B9265B"/>
    <w:rsid w:val="00B9289C"/>
    <w:rsid w:val="00B929AA"/>
    <w:rsid w:val="00B92A54"/>
    <w:rsid w:val="00B92A63"/>
    <w:rsid w:val="00B92BDA"/>
    <w:rsid w:val="00B92CBF"/>
    <w:rsid w:val="00B92E24"/>
    <w:rsid w:val="00B92E57"/>
    <w:rsid w:val="00B92F9C"/>
    <w:rsid w:val="00B93110"/>
    <w:rsid w:val="00B9323C"/>
    <w:rsid w:val="00B93599"/>
    <w:rsid w:val="00B93753"/>
    <w:rsid w:val="00B938D3"/>
    <w:rsid w:val="00B93AFF"/>
    <w:rsid w:val="00B93E6D"/>
    <w:rsid w:val="00B93FD1"/>
    <w:rsid w:val="00B94067"/>
    <w:rsid w:val="00B940B5"/>
    <w:rsid w:val="00B94165"/>
    <w:rsid w:val="00B941EE"/>
    <w:rsid w:val="00B944DA"/>
    <w:rsid w:val="00B944E5"/>
    <w:rsid w:val="00B9452D"/>
    <w:rsid w:val="00B94722"/>
    <w:rsid w:val="00B948AC"/>
    <w:rsid w:val="00B949AF"/>
    <w:rsid w:val="00B94AB8"/>
    <w:rsid w:val="00B94E68"/>
    <w:rsid w:val="00B94F6E"/>
    <w:rsid w:val="00B9510D"/>
    <w:rsid w:val="00B9536C"/>
    <w:rsid w:val="00B953B2"/>
    <w:rsid w:val="00B9546D"/>
    <w:rsid w:val="00B955EE"/>
    <w:rsid w:val="00B958B1"/>
    <w:rsid w:val="00B95983"/>
    <w:rsid w:val="00B95F7B"/>
    <w:rsid w:val="00B96063"/>
    <w:rsid w:val="00B96156"/>
    <w:rsid w:val="00B9627B"/>
    <w:rsid w:val="00B962F8"/>
    <w:rsid w:val="00B96412"/>
    <w:rsid w:val="00B96444"/>
    <w:rsid w:val="00B965E6"/>
    <w:rsid w:val="00B96643"/>
    <w:rsid w:val="00B9691E"/>
    <w:rsid w:val="00B9694C"/>
    <w:rsid w:val="00B969C7"/>
    <w:rsid w:val="00B96A21"/>
    <w:rsid w:val="00B96A5F"/>
    <w:rsid w:val="00B96B90"/>
    <w:rsid w:val="00B96BB5"/>
    <w:rsid w:val="00B96F8A"/>
    <w:rsid w:val="00B97009"/>
    <w:rsid w:val="00B97289"/>
    <w:rsid w:val="00B974D2"/>
    <w:rsid w:val="00B97723"/>
    <w:rsid w:val="00B977CD"/>
    <w:rsid w:val="00B978D5"/>
    <w:rsid w:val="00B97917"/>
    <w:rsid w:val="00B979D7"/>
    <w:rsid w:val="00B97A68"/>
    <w:rsid w:val="00B97ACC"/>
    <w:rsid w:val="00B97B84"/>
    <w:rsid w:val="00B97C02"/>
    <w:rsid w:val="00B97CF6"/>
    <w:rsid w:val="00B97D73"/>
    <w:rsid w:val="00B97E25"/>
    <w:rsid w:val="00B97FA1"/>
    <w:rsid w:val="00BA033C"/>
    <w:rsid w:val="00BA0371"/>
    <w:rsid w:val="00BA03D3"/>
    <w:rsid w:val="00BA03D5"/>
    <w:rsid w:val="00BA069C"/>
    <w:rsid w:val="00BA07F6"/>
    <w:rsid w:val="00BA0A95"/>
    <w:rsid w:val="00BA0B8B"/>
    <w:rsid w:val="00BA0BDE"/>
    <w:rsid w:val="00BA0C48"/>
    <w:rsid w:val="00BA0CEE"/>
    <w:rsid w:val="00BA0DF6"/>
    <w:rsid w:val="00BA0F8B"/>
    <w:rsid w:val="00BA1088"/>
    <w:rsid w:val="00BA1192"/>
    <w:rsid w:val="00BA11AF"/>
    <w:rsid w:val="00BA1293"/>
    <w:rsid w:val="00BA1336"/>
    <w:rsid w:val="00BA13A6"/>
    <w:rsid w:val="00BA13C1"/>
    <w:rsid w:val="00BA1862"/>
    <w:rsid w:val="00BA1B99"/>
    <w:rsid w:val="00BA1D9D"/>
    <w:rsid w:val="00BA1E7D"/>
    <w:rsid w:val="00BA1FFB"/>
    <w:rsid w:val="00BA2122"/>
    <w:rsid w:val="00BA2130"/>
    <w:rsid w:val="00BA214F"/>
    <w:rsid w:val="00BA218B"/>
    <w:rsid w:val="00BA2341"/>
    <w:rsid w:val="00BA249E"/>
    <w:rsid w:val="00BA281F"/>
    <w:rsid w:val="00BA29DC"/>
    <w:rsid w:val="00BA2A2F"/>
    <w:rsid w:val="00BA2AE7"/>
    <w:rsid w:val="00BA2B1D"/>
    <w:rsid w:val="00BA2B3F"/>
    <w:rsid w:val="00BA2B6C"/>
    <w:rsid w:val="00BA2C42"/>
    <w:rsid w:val="00BA2D98"/>
    <w:rsid w:val="00BA2EEB"/>
    <w:rsid w:val="00BA30F4"/>
    <w:rsid w:val="00BA35B6"/>
    <w:rsid w:val="00BA3690"/>
    <w:rsid w:val="00BA3739"/>
    <w:rsid w:val="00BA379F"/>
    <w:rsid w:val="00BA382C"/>
    <w:rsid w:val="00BA3B23"/>
    <w:rsid w:val="00BA3BC2"/>
    <w:rsid w:val="00BA3E50"/>
    <w:rsid w:val="00BA3EDB"/>
    <w:rsid w:val="00BA40F1"/>
    <w:rsid w:val="00BA4138"/>
    <w:rsid w:val="00BA4156"/>
    <w:rsid w:val="00BA421C"/>
    <w:rsid w:val="00BA4269"/>
    <w:rsid w:val="00BA446B"/>
    <w:rsid w:val="00BA4563"/>
    <w:rsid w:val="00BA45F4"/>
    <w:rsid w:val="00BA4621"/>
    <w:rsid w:val="00BA4712"/>
    <w:rsid w:val="00BA47AA"/>
    <w:rsid w:val="00BA47C1"/>
    <w:rsid w:val="00BA4843"/>
    <w:rsid w:val="00BA48AF"/>
    <w:rsid w:val="00BA48B8"/>
    <w:rsid w:val="00BA497D"/>
    <w:rsid w:val="00BA4A6F"/>
    <w:rsid w:val="00BA4B6B"/>
    <w:rsid w:val="00BA4BA4"/>
    <w:rsid w:val="00BA4BEA"/>
    <w:rsid w:val="00BA4BFB"/>
    <w:rsid w:val="00BA4E45"/>
    <w:rsid w:val="00BA4E7A"/>
    <w:rsid w:val="00BA4ED9"/>
    <w:rsid w:val="00BA504F"/>
    <w:rsid w:val="00BA513F"/>
    <w:rsid w:val="00BA51A1"/>
    <w:rsid w:val="00BA5247"/>
    <w:rsid w:val="00BA552E"/>
    <w:rsid w:val="00BA592C"/>
    <w:rsid w:val="00BA59FB"/>
    <w:rsid w:val="00BA5A39"/>
    <w:rsid w:val="00BA5A57"/>
    <w:rsid w:val="00BA5D4A"/>
    <w:rsid w:val="00BA5DA9"/>
    <w:rsid w:val="00BA5DB6"/>
    <w:rsid w:val="00BA5DE6"/>
    <w:rsid w:val="00BA5EA4"/>
    <w:rsid w:val="00BA5EAE"/>
    <w:rsid w:val="00BA6232"/>
    <w:rsid w:val="00BA648B"/>
    <w:rsid w:val="00BA6576"/>
    <w:rsid w:val="00BA6729"/>
    <w:rsid w:val="00BA67E9"/>
    <w:rsid w:val="00BA68E0"/>
    <w:rsid w:val="00BA697E"/>
    <w:rsid w:val="00BA6A55"/>
    <w:rsid w:val="00BA6A92"/>
    <w:rsid w:val="00BA6B52"/>
    <w:rsid w:val="00BA6C25"/>
    <w:rsid w:val="00BA6CCD"/>
    <w:rsid w:val="00BA71AA"/>
    <w:rsid w:val="00BA7221"/>
    <w:rsid w:val="00BA73CD"/>
    <w:rsid w:val="00BA73D7"/>
    <w:rsid w:val="00BA779A"/>
    <w:rsid w:val="00BA77B3"/>
    <w:rsid w:val="00BA77EF"/>
    <w:rsid w:val="00BA78BD"/>
    <w:rsid w:val="00BA79D7"/>
    <w:rsid w:val="00BA7B04"/>
    <w:rsid w:val="00BA7B59"/>
    <w:rsid w:val="00BA7C9E"/>
    <w:rsid w:val="00BA7D09"/>
    <w:rsid w:val="00BA7DA8"/>
    <w:rsid w:val="00BA7EFD"/>
    <w:rsid w:val="00BA7FB5"/>
    <w:rsid w:val="00BB0364"/>
    <w:rsid w:val="00BB0587"/>
    <w:rsid w:val="00BB061D"/>
    <w:rsid w:val="00BB0648"/>
    <w:rsid w:val="00BB06AC"/>
    <w:rsid w:val="00BB079A"/>
    <w:rsid w:val="00BB0A85"/>
    <w:rsid w:val="00BB0D02"/>
    <w:rsid w:val="00BB11CA"/>
    <w:rsid w:val="00BB11F8"/>
    <w:rsid w:val="00BB12A4"/>
    <w:rsid w:val="00BB13BA"/>
    <w:rsid w:val="00BB14A3"/>
    <w:rsid w:val="00BB18D9"/>
    <w:rsid w:val="00BB18FA"/>
    <w:rsid w:val="00BB19A9"/>
    <w:rsid w:val="00BB19E7"/>
    <w:rsid w:val="00BB1ABE"/>
    <w:rsid w:val="00BB1B50"/>
    <w:rsid w:val="00BB1D05"/>
    <w:rsid w:val="00BB1E6C"/>
    <w:rsid w:val="00BB262F"/>
    <w:rsid w:val="00BB2733"/>
    <w:rsid w:val="00BB28AB"/>
    <w:rsid w:val="00BB293A"/>
    <w:rsid w:val="00BB2B4E"/>
    <w:rsid w:val="00BB2D99"/>
    <w:rsid w:val="00BB2EE9"/>
    <w:rsid w:val="00BB301E"/>
    <w:rsid w:val="00BB3154"/>
    <w:rsid w:val="00BB32E7"/>
    <w:rsid w:val="00BB3375"/>
    <w:rsid w:val="00BB342F"/>
    <w:rsid w:val="00BB3607"/>
    <w:rsid w:val="00BB362E"/>
    <w:rsid w:val="00BB369A"/>
    <w:rsid w:val="00BB36A2"/>
    <w:rsid w:val="00BB3763"/>
    <w:rsid w:val="00BB3873"/>
    <w:rsid w:val="00BB391B"/>
    <w:rsid w:val="00BB3A26"/>
    <w:rsid w:val="00BB3CBB"/>
    <w:rsid w:val="00BB3CD4"/>
    <w:rsid w:val="00BB3E71"/>
    <w:rsid w:val="00BB3EE8"/>
    <w:rsid w:val="00BB3FFE"/>
    <w:rsid w:val="00BB4019"/>
    <w:rsid w:val="00BB4043"/>
    <w:rsid w:val="00BB4223"/>
    <w:rsid w:val="00BB4224"/>
    <w:rsid w:val="00BB443D"/>
    <w:rsid w:val="00BB44E7"/>
    <w:rsid w:val="00BB4708"/>
    <w:rsid w:val="00BB4800"/>
    <w:rsid w:val="00BB48C5"/>
    <w:rsid w:val="00BB48F4"/>
    <w:rsid w:val="00BB4A6A"/>
    <w:rsid w:val="00BB4BC3"/>
    <w:rsid w:val="00BB4DDD"/>
    <w:rsid w:val="00BB4EB1"/>
    <w:rsid w:val="00BB4EB2"/>
    <w:rsid w:val="00BB4ED2"/>
    <w:rsid w:val="00BB5177"/>
    <w:rsid w:val="00BB5178"/>
    <w:rsid w:val="00BB51AF"/>
    <w:rsid w:val="00BB534F"/>
    <w:rsid w:val="00BB54FA"/>
    <w:rsid w:val="00BB5546"/>
    <w:rsid w:val="00BB55AB"/>
    <w:rsid w:val="00BB5B1C"/>
    <w:rsid w:val="00BB5C45"/>
    <w:rsid w:val="00BB5CA0"/>
    <w:rsid w:val="00BB5E90"/>
    <w:rsid w:val="00BB5F83"/>
    <w:rsid w:val="00BB6199"/>
    <w:rsid w:val="00BB654E"/>
    <w:rsid w:val="00BB677C"/>
    <w:rsid w:val="00BB69BC"/>
    <w:rsid w:val="00BB6B95"/>
    <w:rsid w:val="00BB6C71"/>
    <w:rsid w:val="00BB6C8C"/>
    <w:rsid w:val="00BB6CA5"/>
    <w:rsid w:val="00BB6CBC"/>
    <w:rsid w:val="00BB6CC9"/>
    <w:rsid w:val="00BB6F3C"/>
    <w:rsid w:val="00BB6F73"/>
    <w:rsid w:val="00BB7076"/>
    <w:rsid w:val="00BB71DC"/>
    <w:rsid w:val="00BB72B0"/>
    <w:rsid w:val="00BB737C"/>
    <w:rsid w:val="00BB7665"/>
    <w:rsid w:val="00BB7706"/>
    <w:rsid w:val="00BB77EB"/>
    <w:rsid w:val="00BB7AA2"/>
    <w:rsid w:val="00BB7AD2"/>
    <w:rsid w:val="00BB7E15"/>
    <w:rsid w:val="00BC012D"/>
    <w:rsid w:val="00BC0380"/>
    <w:rsid w:val="00BC03AF"/>
    <w:rsid w:val="00BC03FB"/>
    <w:rsid w:val="00BC0452"/>
    <w:rsid w:val="00BC04D3"/>
    <w:rsid w:val="00BC05E9"/>
    <w:rsid w:val="00BC0798"/>
    <w:rsid w:val="00BC07DB"/>
    <w:rsid w:val="00BC0886"/>
    <w:rsid w:val="00BC08C6"/>
    <w:rsid w:val="00BC08F8"/>
    <w:rsid w:val="00BC0CA6"/>
    <w:rsid w:val="00BC0D49"/>
    <w:rsid w:val="00BC104E"/>
    <w:rsid w:val="00BC1057"/>
    <w:rsid w:val="00BC1490"/>
    <w:rsid w:val="00BC15DE"/>
    <w:rsid w:val="00BC1682"/>
    <w:rsid w:val="00BC1749"/>
    <w:rsid w:val="00BC17C8"/>
    <w:rsid w:val="00BC195C"/>
    <w:rsid w:val="00BC1A08"/>
    <w:rsid w:val="00BC1A39"/>
    <w:rsid w:val="00BC1A65"/>
    <w:rsid w:val="00BC1B81"/>
    <w:rsid w:val="00BC1B96"/>
    <w:rsid w:val="00BC1F8F"/>
    <w:rsid w:val="00BC23EC"/>
    <w:rsid w:val="00BC24FA"/>
    <w:rsid w:val="00BC25C4"/>
    <w:rsid w:val="00BC2937"/>
    <w:rsid w:val="00BC2F89"/>
    <w:rsid w:val="00BC3172"/>
    <w:rsid w:val="00BC32E4"/>
    <w:rsid w:val="00BC337E"/>
    <w:rsid w:val="00BC34E8"/>
    <w:rsid w:val="00BC34F9"/>
    <w:rsid w:val="00BC365E"/>
    <w:rsid w:val="00BC369C"/>
    <w:rsid w:val="00BC38B2"/>
    <w:rsid w:val="00BC3910"/>
    <w:rsid w:val="00BC3977"/>
    <w:rsid w:val="00BC39A6"/>
    <w:rsid w:val="00BC3B1D"/>
    <w:rsid w:val="00BC3C62"/>
    <w:rsid w:val="00BC3E11"/>
    <w:rsid w:val="00BC3F78"/>
    <w:rsid w:val="00BC4007"/>
    <w:rsid w:val="00BC4040"/>
    <w:rsid w:val="00BC43E7"/>
    <w:rsid w:val="00BC4452"/>
    <w:rsid w:val="00BC44D3"/>
    <w:rsid w:val="00BC4510"/>
    <w:rsid w:val="00BC453A"/>
    <w:rsid w:val="00BC4642"/>
    <w:rsid w:val="00BC466F"/>
    <w:rsid w:val="00BC48A5"/>
    <w:rsid w:val="00BC4972"/>
    <w:rsid w:val="00BC4A13"/>
    <w:rsid w:val="00BC4DFA"/>
    <w:rsid w:val="00BC4E0A"/>
    <w:rsid w:val="00BC4E24"/>
    <w:rsid w:val="00BC4E80"/>
    <w:rsid w:val="00BC4EA2"/>
    <w:rsid w:val="00BC4EAC"/>
    <w:rsid w:val="00BC4F6B"/>
    <w:rsid w:val="00BC51E5"/>
    <w:rsid w:val="00BC523C"/>
    <w:rsid w:val="00BC5379"/>
    <w:rsid w:val="00BC53EF"/>
    <w:rsid w:val="00BC5552"/>
    <w:rsid w:val="00BC560D"/>
    <w:rsid w:val="00BC56E7"/>
    <w:rsid w:val="00BC56EA"/>
    <w:rsid w:val="00BC573A"/>
    <w:rsid w:val="00BC57C8"/>
    <w:rsid w:val="00BC5960"/>
    <w:rsid w:val="00BC5A1D"/>
    <w:rsid w:val="00BC5C3F"/>
    <w:rsid w:val="00BC5FBA"/>
    <w:rsid w:val="00BC6106"/>
    <w:rsid w:val="00BC61D4"/>
    <w:rsid w:val="00BC62A5"/>
    <w:rsid w:val="00BC65EA"/>
    <w:rsid w:val="00BC683C"/>
    <w:rsid w:val="00BC6897"/>
    <w:rsid w:val="00BC6906"/>
    <w:rsid w:val="00BC6955"/>
    <w:rsid w:val="00BC69BD"/>
    <w:rsid w:val="00BC69C9"/>
    <w:rsid w:val="00BC6AB6"/>
    <w:rsid w:val="00BC6B74"/>
    <w:rsid w:val="00BC6C2A"/>
    <w:rsid w:val="00BC6E1D"/>
    <w:rsid w:val="00BC6F0A"/>
    <w:rsid w:val="00BC70B3"/>
    <w:rsid w:val="00BC7108"/>
    <w:rsid w:val="00BC7165"/>
    <w:rsid w:val="00BC7179"/>
    <w:rsid w:val="00BC71AC"/>
    <w:rsid w:val="00BC7257"/>
    <w:rsid w:val="00BC794D"/>
    <w:rsid w:val="00BC7B52"/>
    <w:rsid w:val="00BC7B9C"/>
    <w:rsid w:val="00BC7CA4"/>
    <w:rsid w:val="00BC7CC7"/>
    <w:rsid w:val="00BC7D2C"/>
    <w:rsid w:val="00BC7D96"/>
    <w:rsid w:val="00BD00F8"/>
    <w:rsid w:val="00BD0117"/>
    <w:rsid w:val="00BD0123"/>
    <w:rsid w:val="00BD0141"/>
    <w:rsid w:val="00BD02EF"/>
    <w:rsid w:val="00BD03A2"/>
    <w:rsid w:val="00BD0535"/>
    <w:rsid w:val="00BD0663"/>
    <w:rsid w:val="00BD0683"/>
    <w:rsid w:val="00BD078C"/>
    <w:rsid w:val="00BD0791"/>
    <w:rsid w:val="00BD0813"/>
    <w:rsid w:val="00BD0820"/>
    <w:rsid w:val="00BD0821"/>
    <w:rsid w:val="00BD0B5B"/>
    <w:rsid w:val="00BD0C6B"/>
    <w:rsid w:val="00BD0C76"/>
    <w:rsid w:val="00BD0D98"/>
    <w:rsid w:val="00BD0E2B"/>
    <w:rsid w:val="00BD0F7F"/>
    <w:rsid w:val="00BD10B4"/>
    <w:rsid w:val="00BD1203"/>
    <w:rsid w:val="00BD125B"/>
    <w:rsid w:val="00BD127A"/>
    <w:rsid w:val="00BD14F8"/>
    <w:rsid w:val="00BD15FF"/>
    <w:rsid w:val="00BD172E"/>
    <w:rsid w:val="00BD1AC2"/>
    <w:rsid w:val="00BD1C17"/>
    <w:rsid w:val="00BD1C7C"/>
    <w:rsid w:val="00BD1CA8"/>
    <w:rsid w:val="00BD1D02"/>
    <w:rsid w:val="00BD1D49"/>
    <w:rsid w:val="00BD1D65"/>
    <w:rsid w:val="00BD1D71"/>
    <w:rsid w:val="00BD1D91"/>
    <w:rsid w:val="00BD1E86"/>
    <w:rsid w:val="00BD20B7"/>
    <w:rsid w:val="00BD211F"/>
    <w:rsid w:val="00BD21B7"/>
    <w:rsid w:val="00BD21CA"/>
    <w:rsid w:val="00BD21CD"/>
    <w:rsid w:val="00BD2353"/>
    <w:rsid w:val="00BD2366"/>
    <w:rsid w:val="00BD237B"/>
    <w:rsid w:val="00BD2397"/>
    <w:rsid w:val="00BD23C3"/>
    <w:rsid w:val="00BD23CD"/>
    <w:rsid w:val="00BD2454"/>
    <w:rsid w:val="00BD25E1"/>
    <w:rsid w:val="00BD28B6"/>
    <w:rsid w:val="00BD2A83"/>
    <w:rsid w:val="00BD2DDE"/>
    <w:rsid w:val="00BD2E02"/>
    <w:rsid w:val="00BD2EE5"/>
    <w:rsid w:val="00BD2FD5"/>
    <w:rsid w:val="00BD3130"/>
    <w:rsid w:val="00BD316A"/>
    <w:rsid w:val="00BD3230"/>
    <w:rsid w:val="00BD3255"/>
    <w:rsid w:val="00BD330B"/>
    <w:rsid w:val="00BD33D4"/>
    <w:rsid w:val="00BD3509"/>
    <w:rsid w:val="00BD35B4"/>
    <w:rsid w:val="00BD35CA"/>
    <w:rsid w:val="00BD376E"/>
    <w:rsid w:val="00BD377D"/>
    <w:rsid w:val="00BD3828"/>
    <w:rsid w:val="00BD38E0"/>
    <w:rsid w:val="00BD38E7"/>
    <w:rsid w:val="00BD3B47"/>
    <w:rsid w:val="00BD3C87"/>
    <w:rsid w:val="00BD3CAA"/>
    <w:rsid w:val="00BD4086"/>
    <w:rsid w:val="00BD40B1"/>
    <w:rsid w:val="00BD429B"/>
    <w:rsid w:val="00BD458D"/>
    <w:rsid w:val="00BD4931"/>
    <w:rsid w:val="00BD4AA0"/>
    <w:rsid w:val="00BD4AFD"/>
    <w:rsid w:val="00BD4B54"/>
    <w:rsid w:val="00BD4C3B"/>
    <w:rsid w:val="00BD4CEB"/>
    <w:rsid w:val="00BD4F31"/>
    <w:rsid w:val="00BD5030"/>
    <w:rsid w:val="00BD51E0"/>
    <w:rsid w:val="00BD523D"/>
    <w:rsid w:val="00BD52BC"/>
    <w:rsid w:val="00BD53D2"/>
    <w:rsid w:val="00BD560E"/>
    <w:rsid w:val="00BD580D"/>
    <w:rsid w:val="00BD5863"/>
    <w:rsid w:val="00BD5896"/>
    <w:rsid w:val="00BD5E12"/>
    <w:rsid w:val="00BD5FCF"/>
    <w:rsid w:val="00BD608B"/>
    <w:rsid w:val="00BD619F"/>
    <w:rsid w:val="00BD62C4"/>
    <w:rsid w:val="00BD64AD"/>
    <w:rsid w:val="00BD655C"/>
    <w:rsid w:val="00BD661B"/>
    <w:rsid w:val="00BD6770"/>
    <w:rsid w:val="00BD6ABD"/>
    <w:rsid w:val="00BD6C18"/>
    <w:rsid w:val="00BD6D94"/>
    <w:rsid w:val="00BD6F9F"/>
    <w:rsid w:val="00BD6FDC"/>
    <w:rsid w:val="00BD710A"/>
    <w:rsid w:val="00BD711D"/>
    <w:rsid w:val="00BD75D4"/>
    <w:rsid w:val="00BD76B2"/>
    <w:rsid w:val="00BD78AE"/>
    <w:rsid w:val="00BD7B2D"/>
    <w:rsid w:val="00BD7C1B"/>
    <w:rsid w:val="00BD7C84"/>
    <w:rsid w:val="00BD7CEF"/>
    <w:rsid w:val="00BD7DD6"/>
    <w:rsid w:val="00BE014A"/>
    <w:rsid w:val="00BE016E"/>
    <w:rsid w:val="00BE02C3"/>
    <w:rsid w:val="00BE05D1"/>
    <w:rsid w:val="00BE06D6"/>
    <w:rsid w:val="00BE087E"/>
    <w:rsid w:val="00BE0945"/>
    <w:rsid w:val="00BE0DBB"/>
    <w:rsid w:val="00BE0E99"/>
    <w:rsid w:val="00BE0EBF"/>
    <w:rsid w:val="00BE1192"/>
    <w:rsid w:val="00BE14A4"/>
    <w:rsid w:val="00BE14F9"/>
    <w:rsid w:val="00BE1597"/>
    <w:rsid w:val="00BE171C"/>
    <w:rsid w:val="00BE1732"/>
    <w:rsid w:val="00BE1861"/>
    <w:rsid w:val="00BE1890"/>
    <w:rsid w:val="00BE192B"/>
    <w:rsid w:val="00BE1AD5"/>
    <w:rsid w:val="00BE1BD5"/>
    <w:rsid w:val="00BE1E59"/>
    <w:rsid w:val="00BE1F37"/>
    <w:rsid w:val="00BE1F8A"/>
    <w:rsid w:val="00BE21AE"/>
    <w:rsid w:val="00BE22A4"/>
    <w:rsid w:val="00BE22FD"/>
    <w:rsid w:val="00BE23EC"/>
    <w:rsid w:val="00BE2452"/>
    <w:rsid w:val="00BE263B"/>
    <w:rsid w:val="00BE285A"/>
    <w:rsid w:val="00BE28EA"/>
    <w:rsid w:val="00BE2990"/>
    <w:rsid w:val="00BE2A59"/>
    <w:rsid w:val="00BE2EB5"/>
    <w:rsid w:val="00BE2F52"/>
    <w:rsid w:val="00BE315D"/>
    <w:rsid w:val="00BE31F2"/>
    <w:rsid w:val="00BE32DC"/>
    <w:rsid w:val="00BE348C"/>
    <w:rsid w:val="00BE34A0"/>
    <w:rsid w:val="00BE34A2"/>
    <w:rsid w:val="00BE35DA"/>
    <w:rsid w:val="00BE3660"/>
    <w:rsid w:val="00BE368C"/>
    <w:rsid w:val="00BE3690"/>
    <w:rsid w:val="00BE38B4"/>
    <w:rsid w:val="00BE390F"/>
    <w:rsid w:val="00BE3AFD"/>
    <w:rsid w:val="00BE3B8F"/>
    <w:rsid w:val="00BE3BCE"/>
    <w:rsid w:val="00BE3D32"/>
    <w:rsid w:val="00BE3D59"/>
    <w:rsid w:val="00BE3DCD"/>
    <w:rsid w:val="00BE3E80"/>
    <w:rsid w:val="00BE401C"/>
    <w:rsid w:val="00BE411C"/>
    <w:rsid w:val="00BE4224"/>
    <w:rsid w:val="00BE4354"/>
    <w:rsid w:val="00BE4386"/>
    <w:rsid w:val="00BE44E1"/>
    <w:rsid w:val="00BE4784"/>
    <w:rsid w:val="00BE47BF"/>
    <w:rsid w:val="00BE4D05"/>
    <w:rsid w:val="00BE4E04"/>
    <w:rsid w:val="00BE4E0F"/>
    <w:rsid w:val="00BE4F9E"/>
    <w:rsid w:val="00BE4FAB"/>
    <w:rsid w:val="00BE50EE"/>
    <w:rsid w:val="00BE51FB"/>
    <w:rsid w:val="00BE521E"/>
    <w:rsid w:val="00BE5374"/>
    <w:rsid w:val="00BE5488"/>
    <w:rsid w:val="00BE5506"/>
    <w:rsid w:val="00BE5780"/>
    <w:rsid w:val="00BE57F6"/>
    <w:rsid w:val="00BE5ABA"/>
    <w:rsid w:val="00BE5BFF"/>
    <w:rsid w:val="00BE5E98"/>
    <w:rsid w:val="00BE5EB8"/>
    <w:rsid w:val="00BE61D3"/>
    <w:rsid w:val="00BE6201"/>
    <w:rsid w:val="00BE627A"/>
    <w:rsid w:val="00BE62DC"/>
    <w:rsid w:val="00BE63C1"/>
    <w:rsid w:val="00BE63E0"/>
    <w:rsid w:val="00BE6498"/>
    <w:rsid w:val="00BE64AC"/>
    <w:rsid w:val="00BE6525"/>
    <w:rsid w:val="00BE660E"/>
    <w:rsid w:val="00BE6788"/>
    <w:rsid w:val="00BE6794"/>
    <w:rsid w:val="00BE6B26"/>
    <w:rsid w:val="00BE6BBF"/>
    <w:rsid w:val="00BE6CA3"/>
    <w:rsid w:val="00BE6CE8"/>
    <w:rsid w:val="00BE6DF5"/>
    <w:rsid w:val="00BE6E0A"/>
    <w:rsid w:val="00BE7009"/>
    <w:rsid w:val="00BE71EC"/>
    <w:rsid w:val="00BE72E3"/>
    <w:rsid w:val="00BE73D7"/>
    <w:rsid w:val="00BE7523"/>
    <w:rsid w:val="00BE758E"/>
    <w:rsid w:val="00BE76FB"/>
    <w:rsid w:val="00BE774F"/>
    <w:rsid w:val="00BE7974"/>
    <w:rsid w:val="00BE7B7A"/>
    <w:rsid w:val="00BE7E15"/>
    <w:rsid w:val="00BF012B"/>
    <w:rsid w:val="00BF0404"/>
    <w:rsid w:val="00BF056D"/>
    <w:rsid w:val="00BF0629"/>
    <w:rsid w:val="00BF0700"/>
    <w:rsid w:val="00BF07EA"/>
    <w:rsid w:val="00BF0B65"/>
    <w:rsid w:val="00BF104B"/>
    <w:rsid w:val="00BF13B5"/>
    <w:rsid w:val="00BF14DB"/>
    <w:rsid w:val="00BF1508"/>
    <w:rsid w:val="00BF1520"/>
    <w:rsid w:val="00BF1A0C"/>
    <w:rsid w:val="00BF1A4B"/>
    <w:rsid w:val="00BF1AFA"/>
    <w:rsid w:val="00BF1C85"/>
    <w:rsid w:val="00BF1D05"/>
    <w:rsid w:val="00BF1F18"/>
    <w:rsid w:val="00BF20B1"/>
    <w:rsid w:val="00BF212E"/>
    <w:rsid w:val="00BF21DC"/>
    <w:rsid w:val="00BF242D"/>
    <w:rsid w:val="00BF2697"/>
    <w:rsid w:val="00BF26A1"/>
    <w:rsid w:val="00BF2725"/>
    <w:rsid w:val="00BF2A9D"/>
    <w:rsid w:val="00BF2B0C"/>
    <w:rsid w:val="00BF2C43"/>
    <w:rsid w:val="00BF2C4E"/>
    <w:rsid w:val="00BF2CE3"/>
    <w:rsid w:val="00BF2DFB"/>
    <w:rsid w:val="00BF31BE"/>
    <w:rsid w:val="00BF31D0"/>
    <w:rsid w:val="00BF3452"/>
    <w:rsid w:val="00BF366F"/>
    <w:rsid w:val="00BF36BA"/>
    <w:rsid w:val="00BF37F7"/>
    <w:rsid w:val="00BF3974"/>
    <w:rsid w:val="00BF3A59"/>
    <w:rsid w:val="00BF3A6B"/>
    <w:rsid w:val="00BF3B37"/>
    <w:rsid w:val="00BF3BDF"/>
    <w:rsid w:val="00BF3C6B"/>
    <w:rsid w:val="00BF3FAA"/>
    <w:rsid w:val="00BF4009"/>
    <w:rsid w:val="00BF4055"/>
    <w:rsid w:val="00BF40ED"/>
    <w:rsid w:val="00BF4142"/>
    <w:rsid w:val="00BF4162"/>
    <w:rsid w:val="00BF4192"/>
    <w:rsid w:val="00BF44F3"/>
    <w:rsid w:val="00BF45FF"/>
    <w:rsid w:val="00BF4601"/>
    <w:rsid w:val="00BF46BE"/>
    <w:rsid w:val="00BF4701"/>
    <w:rsid w:val="00BF4A87"/>
    <w:rsid w:val="00BF4B78"/>
    <w:rsid w:val="00BF4CC1"/>
    <w:rsid w:val="00BF4D20"/>
    <w:rsid w:val="00BF4F7B"/>
    <w:rsid w:val="00BF5131"/>
    <w:rsid w:val="00BF53DC"/>
    <w:rsid w:val="00BF5473"/>
    <w:rsid w:val="00BF587A"/>
    <w:rsid w:val="00BF58A7"/>
    <w:rsid w:val="00BF5984"/>
    <w:rsid w:val="00BF5B2B"/>
    <w:rsid w:val="00BF5DBB"/>
    <w:rsid w:val="00BF5E65"/>
    <w:rsid w:val="00BF5E6C"/>
    <w:rsid w:val="00BF5FB1"/>
    <w:rsid w:val="00BF62B8"/>
    <w:rsid w:val="00BF6342"/>
    <w:rsid w:val="00BF6350"/>
    <w:rsid w:val="00BF642C"/>
    <w:rsid w:val="00BF648F"/>
    <w:rsid w:val="00BF65AC"/>
    <w:rsid w:val="00BF6937"/>
    <w:rsid w:val="00BF6A74"/>
    <w:rsid w:val="00BF6AE9"/>
    <w:rsid w:val="00BF6B15"/>
    <w:rsid w:val="00BF6CFA"/>
    <w:rsid w:val="00BF6FD6"/>
    <w:rsid w:val="00BF7037"/>
    <w:rsid w:val="00BF7382"/>
    <w:rsid w:val="00BF7396"/>
    <w:rsid w:val="00BF743A"/>
    <w:rsid w:val="00BF754D"/>
    <w:rsid w:val="00BF764F"/>
    <w:rsid w:val="00BF77A2"/>
    <w:rsid w:val="00BF78EB"/>
    <w:rsid w:val="00BF79C5"/>
    <w:rsid w:val="00BF7BC8"/>
    <w:rsid w:val="00BF7C54"/>
    <w:rsid w:val="00BF7C73"/>
    <w:rsid w:val="00BF7CA6"/>
    <w:rsid w:val="00BF7CD9"/>
    <w:rsid w:val="00BF7E06"/>
    <w:rsid w:val="00BF7E8F"/>
    <w:rsid w:val="00BF7F25"/>
    <w:rsid w:val="00BF7FE6"/>
    <w:rsid w:val="00BF7FED"/>
    <w:rsid w:val="00C0000B"/>
    <w:rsid w:val="00C00015"/>
    <w:rsid w:val="00C00231"/>
    <w:rsid w:val="00C0069A"/>
    <w:rsid w:val="00C0069C"/>
    <w:rsid w:val="00C0071A"/>
    <w:rsid w:val="00C00808"/>
    <w:rsid w:val="00C0081D"/>
    <w:rsid w:val="00C00A02"/>
    <w:rsid w:val="00C00A5D"/>
    <w:rsid w:val="00C00B16"/>
    <w:rsid w:val="00C00C57"/>
    <w:rsid w:val="00C00CDF"/>
    <w:rsid w:val="00C00FE4"/>
    <w:rsid w:val="00C0120F"/>
    <w:rsid w:val="00C01250"/>
    <w:rsid w:val="00C01315"/>
    <w:rsid w:val="00C013D6"/>
    <w:rsid w:val="00C013FB"/>
    <w:rsid w:val="00C017AC"/>
    <w:rsid w:val="00C0199F"/>
    <w:rsid w:val="00C01A2E"/>
    <w:rsid w:val="00C01B6F"/>
    <w:rsid w:val="00C01B8D"/>
    <w:rsid w:val="00C01D5F"/>
    <w:rsid w:val="00C01F19"/>
    <w:rsid w:val="00C01FB9"/>
    <w:rsid w:val="00C01FD4"/>
    <w:rsid w:val="00C023C4"/>
    <w:rsid w:val="00C02578"/>
    <w:rsid w:val="00C0261E"/>
    <w:rsid w:val="00C027A3"/>
    <w:rsid w:val="00C027F8"/>
    <w:rsid w:val="00C02A0E"/>
    <w:rsid w:val="00C03110"/>
    <w:rsid w:val="00C031AB"/>
    <w:rsid w:val="00C032FF"/>
    <w:rsid w:val="00C0337C"/>
    <w:rsid w:val="00C0345A"/>
    <w:rsid w:val="00C034C5"/>
    <w:rsid w:val="00C034F1"/>
    <w:rsid w:val="00C03511"/>
    <w:rsid w:val="00C03798"/>
    <w:rsid w:val="00C037F3"/>
    <w:rsid w:val="00C03AAC"/>
    <w:rsid w:val="00C03B0E"/>
    <w:rsid w:val="00C03DE0"/>
    <w:rsid w:val="00C03EB8"/>
    <w:rsid w:val="00C03F76"/>
    <w:rsid w:val="00C03FA1"/>
    <w:rsid w:val="00C040D2"/>
    <w:rsid w:val="00C04174"/>
    <w:rsid w:val="00C0428C"/>
    <w:rsid w:val="00C0434B"/>
    <w:rsid w:val="00C043AD"/>
    <w:rsid w:val="00C04406"/>
    <w:rsid w:val="00C0443F"/>
    <w:rsid w:val="00C04645"/>
    <w:rsid w:val="00C046BA"/>
    <w:rsid w:val="00C04714"/>
    <w:rsid w:val="00C04A56"/>
    <w:rsid w:val="00C04AE2"/>
    <w:rsid w:val="00C04B9D"/>
    <w:rsid w:val="00C04C3A"/>
    <w:rsid w:val="00C04D4D"/>
    <w:rsid w:val="00C04DD1"/>
    <w:rsid w:val="00C04FFD"/>
    <w:rsid w:val="00C051AC"/>
    <w:rsid w:val="00C054A3"/>
    <w:rsid w:val="00C05579"/>
    <w:rsid w:val="00C0558D"/>
    <w:rsid w:val="00C05700"/>
    <w:rsid w:val="00C05750"/>
    <w:rsid w:val="00C05754"/>
    <w:rsid w:val="00C05793"/>
    <w:rsid w:val="00C05880"/>
    <w:rsid w:val="00C05903"/>
    <w:rsid w:val="00C059DC"/>
    <w:rsid w:val="00C05B13"/>
    <w:rsid w:val="00C05B92"/>
    <w:rsid w:val="00C05C43"/>
    <w:rsid w:val="00C06022"/>
    <w:rsid w:val="00C06027"/>
    <w:rsid w:val="00C0608E"/>
    <w:rsid w:val="00C06124"/>
    <w:rsid w:val="00C0612B"/>
    <w:rsid w:val="00C06699"/>
    <w:rsid w:val="00C066D7"/>
    <w:rsid w:val="00C06768"/>
    <w:rsid w:val="00C068D9"/>
    <w:rsid w:val="00C06913"/>
    <w:rsid w:val="00C06A5E"/>
    <w:rsid w:val="00C06B03"/>
    <w:rsid w:val="00C06B80"/>
    <w:rsid w:val="00C06F2A"/>
    <w:rsid w:val="00C07044"/>
    <w:rsid w:val="00C07191"/>
    <w:rsid w:val="00C071EA"/>
    <w:rsid w:val="00C072BC"/>
    <w:rsid w:val="00C07335"/>
    <w:rsid w:val="00C073A6"/>
    <w:rsid w:val="00C074CD"/>
    <w:rsid w:val="00C07809"/>
    <w:rsid w:val="00C07A05"/>
    <w:rsid w:val="00C07A6E"/>
    <w:rsid w:val="00C07BDE"/>
    <w:rsid w:val="00C07D23"/>
    <w:rsid w:val="00C07E27"/>
    <w:rsid w:val="00C07F85"/>
    <w:rsid w:val="00C10082"/>
    <w:rsid w:val="00C1013A"/>
    <w:rsid w:val="00C1020C"/>
    <w:rsid w:val="00C1026B"/>
    <w:rsid w:val="00C107B6"/>
    <w:rsid w:val="00C107C3"/>
    <w:rsid w:val="00C10887"/>
    <w:rsid w:val="00C10889"/>
    <w:rsid w:val="00C1093B"/>
    <w:rsid w:val="00C10A51"/>
    <w:rsid w:val="00C10B4A"/>
    <w:rsid w:val="00C10BC3"/>
    <w:rsid w:val="00C10CF6"/>
    <w:rsid w:val="00C10DE7"/>
    <w:rsid w:val="00C10E88"/>
    <w:rsid w:val="00C10ECA"/>
    <w:rsid w:val="00C10F44"/>
    <w:rsid w:val="00C10FB2"/>
    <w:rsid w:val="00C111D4"/>
    <w:rsid w:val="00C112B6"/>
    <w:rsid w:val="00C112E5"/>
    <w:rsid w:val="00C1139D"/>
    <w:rsid w:val="00C1139F"/>
    <w:rsid w:val="00C113B3"/>
    <w:rsid w:val="00C1156C"/>
    <w:rsid w:val="00C11614"/>
    <w:rsid w:val="00C11658"/>
    <w:rsid w:val="00C116C1"/>
    <w:rsid w:val="00C118FE"/>
    <w:rsid w:val="00C11983"/>
    <w:rsid w:val="00C11D85"/>
    <w:rsid w:val="00C11E11"/>
    <w:rsid w:val="00C122E7"/>
    <w:rsid w:val="00C1233A"/>
    <w:rsid w:val="00C12363"/>
    <w:rsid w:val="00C123B5"/>
    <w:rsid w:val="00C123E7"/>
    <w:rsid w:val="00C12475"/>
    <w:rsid w:val="00C12508"/>
    <w:rsid w:val="00C12767"/>
    <w:rsid w:val="00C12A10"/>
    <w:rsid w:val="00C12AA1"/>
    <w:rsid w:val="00C12BAF"/>
    <w:rsid w:val="00C12BD6"/>
    <w:rsid w:val="00C12D20"/>
    <w:rsid w:val="00C12DFB"/>
    <w:rsid w:val="00C12E77"/>
    <w:rsid w:val="00C13023"/>
    <w:rsid w:val="00C13131"/>
    <w:rsid w:val="00C132EB"/>
    <w:rsid w:val="00C13362"/>
    <w:rsid w:val="00C1339D"/>
    <w:rsid w:val="00C134DA"/>
    <w:rsid w:val="00C134F7"/>
    <w:rsid w:val="00C13520"/>
    <w:rsid w:val="00C13536"/>
    <w:rsid w:val="00C1353E"/>
    <w:rsid w:val="00C137E2"/>
    <w:rsid w:val="00C13872"/>
    <w:rsid w:val="00C13A29"/>
    <w:rsid w:val="00C13AC2"/>
    <w:rsid w:val="00C13B9C"/>
    <w:rsid w:val="00C13D19"/>
    <w:rsid w:val="00C13F27"/>
    <w:rsid w:val="00C1402D"/>
    <w:rsid w:val="00C142E7"/>
    <w:rsid w:val="00C14302"/>
    <w:rsid w:val="00C14408"/>
    <w:rsid w:val="00C1479B"/>
    <w:rsid w:val="00C14BAB"/>
    <w:rsid w:val="00C14C1A"/>
    <w:rsid w:val="00C14EDF"/>
    <w:rsid w:val="00C14F9B"/>
    <w:rsid w:val="00C14FAB"/>
    <w:rsid w:val="00C15154"/>
    <w:rsid w:val="00C15162"/>
    <w:rsid w:val="00C15297"/>
    <w:rsid w:val="00C152DA"/>
    <w:rsid w:val="00C15564"/>
    <w:rsid w:val="00C156AB"/>
    <w:rsid w:val="00C15977"/>
    <w:rsid w:val="00C159F4"/>
    <w:rsid w:val="00C159FD"/>
    <w:rsid w:val="00C15CD0"/>
    <w:rsid w:val="00C15D60"/>
    <w:rsid w:val="00C15DE2"/>
    <w:rsid w:val="00C15EE0"/>
    <w:rsid w:val="00C15F42"/>
    <w:rsid w:val="00C16007"/>
    <w:rsid w:val="00C16025"/>
    <w:rsid w:val="00C16032"/>
    <w:rsid w:val="00C1610B"/>
    <w:rsid w:val="00C1611D"/>
    <w:rsid w:val="00C1618A"/>
    <w:rsid w:val="00C162B6"/>
    <w:rsid w:val="00C163A3"/>
    <w:rsid w:val="00C164F2"/>
    <w:rsid w:val="00C1656D"/>
    <w:rsid w:val="00C1669B"/>
    <w:rsid w:val="00C16784"/>
    <w:rsid w:val="00C16858"/>
    <w:rsid w:val="00C168B9"/>
    <w:rsid w:val="00C1693B"/>
    <w:rsid w:val="00C1698D"/>
    <w:rsid w:val="00C16BA9"/>
    <w:rsid w:val="00C16C09"/>
    <w:rsid w:val="00C16C28"/>
    <w:rsid w:val="00C16C6D"/>
    <w:rsid w:val="00C16C9A"/>
    <w:rsid w:val="00C16CE3"/>
    <w:rsid w:val="00C16D7B"/>
    <w:rsid w:val="00C16F9A"/>
    <w:rsid w:val="00C17180"/>
    <w:rsid w:val="00C1725E"/>
    <w:rsid w:val="00C1726E"/>
    <w:rsid w:val="00C172B9"/>
    <w:rsid w:val="00C172FF"/>
    <w:rsid w:val="00C1738A"/>
    <w:rsid w:val="00C17557"/>
    <w:rsid w:val="00C175E4"/>
    <w:rsid w:val="00C17664"/>
    <w:rsid w:val="00C176CC"/>
    <w:rsid w:val="00C176D5"/>
    <w:rsid w:val="00C1795D"/>
    <w:rsid w:val="00C17B21"/>
    <w:rsid w:val="00C17C32"/>
    <w:rsid w:val="00C17C3C"/>
    <w:rsid w:val="00C17D45"/>
    <w:rsid w:val="00C17F11"/>
    <w:rsid w:val="00C20086"/>
    <w:rsid w:val="00C20137"/>
    <w:rsid w:val="00C201B6"/>
    <w:rsid w:val="00C2070A"/>
    <w:rsid w:val="00C20784"/>
    <w:rsid w:val="00C20795"/>
    <w:rsid w:val="00C207B0"/>
    <w:rsid w:val="00C20871"/>
    <w:rsid w:val="00C20AF0"/>
    <w:rsid w:val="00C20EB7"/>
    <w:rsid w:val="00C20F6C"/>
    <w:rsid w:val="00C20FA0"/>
    <w:rsid w:val="00C2105B"/>
    <w:rsid w:val="00C21097"/>
    <w:rsid w:val="00C2109B"/>
    <w:rsid w:val="00C21112"/>
    <w:rsid w:val="00C212C2"/>
    <w:rsid w:val="00C212CD"/>
    <w:rsid w:val="00C21356"/>
    <w:rsid w:val="00C213BF"/>
    <w:rsid w:val="00C21432"/>
    <w:rsid w:val="00C21468"/>
    <w:rsid w:val="00C21504"/>
    <w:rsid w:val="00C21506"/>
    <w:rsid w:val="00C21619"/>
    <w:rsid w:val="00C2167C"/>
    <w:rsid w:val="00C21782"/>
    <w:rsid w:val="00C2188D"/>
    <w:rsid w:val="00C21A60"/>
    <w:rsid w:val="00C21BEB"/>
    <w:rsid w:val="00C21E2B"/>
    <w:rsid w:val="00C21FEC"/>
    <w:rsid w:val="00C22063"/>
    <w:rsid w:val="00C2211C"/>
    <w:rsid w:val="00C22294"/>
    <w:rsid w:val="00C222AA"/>
    <w:rsid w:val="00C222CA"/>
    <w:rsid w:val="00C22337"/>
    <w:rsid w:val="00C2234B"/>
    <w:rsid w:val="00C22452"/>
    <w:rsid w:val="00C2256A"/>
    <w:rsid w:val="00C22577"/>
    <w:rsid w:val="00C227C8"/>
    <w:rsid w:val="00C22BE1"/>
    <w:rsid w:val="00C22E15"/>
    <w:rsid w:val="00C22F2E"/>
    <w:rsid w:val="00C23024"/>
    <w:rsid w:val="00C230AE"/>
    <w:rsid w:val="00C2313E"/>
    <w:rsid w:val="00C232E0"/>
    <w:rsid w:val="00C23322"/>
    <w:rsid w:val="00C2337D"/>
    <w:rsid w:val="00C2339C"/>
    <w:rsid w:val="00C2376B"/>
    <w:rsid w:val="00C238A2"/>
    <w:rsid w:val="00C238D5"/>
    <w:rsid w:val="00C2391C"/>
    <w:rsid w:val="00C2392D"/>
    <w:rsid w:val="00C2396A"/>
    <w:rsid w:val="00C23A65"/>
    <w:rsid w:val="00C23A89"/>
    <w:rsid w:val="00C23C21"/>
    <w:rsid w:val="00C23C53"/>
    <w:rsid w:val="00C240B5"/>
    <w:rsid w:val="00C243C7"/>
    <w:rsid w:val="00C24416"/>
    <w:rsid w:val="00C24511"/>
    <w:rsid w:val="00C24736"/>
    <w:rsid w:val="00C247A2"/>
    <w:rsid w:val="00C2485C"/>
    <w:rsid w:val="00C24862"/>
    <w:rsid w:val="00C248E8"/>
    <w:rsid w:val="00C249DB"/>
    <w:rsid w:val="00C24B1F"/>
    <w:rsid w:val="00C24B5E"/>
    <w:rsid w:val="00C24BCE"/>
    <w:rsid w:val="00C24DB4"/>
    <w:rsid w:val="00C24EAA"/>
    <w:rsid w:val="00C24EE1"/>
    <w:rsid w:val="00C2501A"/>
    <w:rsid w:val="00C25046"/>
    <w:rsid w:val="00C252EF"/>
    <w:rsid w:val="00C2534F"/>
    <w:rsid w:val="00C2535D"/>
    <w:rsid w:val="00C25751"/>
    <w:rsid w:val="00C258FE"/>
    <w:rsid w:val="00C25CF8"/>
    <w:rsid w:val="00C25D1D"/>
    <w:rsid w:val="00C25F4C"/>
    <w:rsid w:val="00C2601F"/>
    <w:rsid w:val="00C260D5"/>
    <w:rsid w:val="00C26388"/>
    <w:rsid w:val="00C26407"/>
    <w:rsid w:val="00C2646D"/>
    <w:rsid w:val="00C26589"/>
    <w:rsid w:val="00C26688"/>
    <w:rsid w:val="00C266A1"/>
    <w:rsid w:val="00C26766"/>
    <w:rsid w:val="00C26803"/>
    <w:rsid w:val="00C26908"/>
    <w:rsid w:val="00C269FE"/>
    <w:rsid w:val="00C26B9B"/>
    <w:rsid w:val="00C26BA7"/>
    <w:rsid w:val="00C26FFE"/>
    <w:rsid w:val="00C27058"/>
    <w:rsid w:val="00C270AC"/>
    <w:rsid w:val="00C27187"/>
    <w:rsid w:val="00C271AF"/>
    <w:rsid w:val="00C271B8"/>
    <w:rsid w:val="00C272A6"/>
    <w:rsid w:val="00C272FB"/>
    <w:rsid w:val="00C273AE"/>
    <w:rsid w:val="00C2746E"/>
    <w:rsid w:val="00C274D4"/>
    <w:rsid w:val="00C2750C"/>
    <w:rsid w:val="00C276AD"/>
    <w:rsid w:val="00C27759"/>
    <w:rsid w:val="00C2780F"/>
    <w:rsid w:val="00C27891"/>
    <w:rsid w:val="00C27C0A"/>
    <w:rsid w:val="00C27CF9"/>
    <w:rsid w:val="00C27D61"/>
    <w:rsid w:val="00C27E4F"/>
    <w:rsid w:val="00C27E73"/>
    <w:rsid w:val="00C30029"/>
    <w:rsid w:val="00C30058"/>
    <w:rsid w:val="00C30111"/>
    <w:rsid w:val="00C302CE"/>
    <w:rsid w:val="00C30342"/>
    <w:rsid w:val="00C30890"/>
    <w:rsid w:val="00C30909"/>
    <w:rsid w:val="00C30969"/>
    <w:rsid w:val="00C30972"/>
    <w:rsid w:val="00C309C1"/>
    <w:rsid w:val="00C30B70"/>
    <w:rsid w:val="00C30C8B"/>
    <w:rsid w:val="00C30D9E"/>
    <w:rsid w:val="00C30E7A"/>
    <w:rsid w:val="00C30FD3"/>
    <w:rsid w:val="00C312FE"/>
    <w:rsid w:val="00C313C2"/>
    <w:rsid w:val="00C315FC"/>
    <w:rsid w:val="00C31667"/>
    <w:rsid w:val="00C317A2"/>
    <w:rsid w:val="00C31AB3"/>
    <w:rsid w:val="00C31BD8"/>
    <w:rsid w:val="00C31BD9"/>
    <w:rsid w:val="00C31CB3"/>
    <w:rsid w:val="00C31D1E"/>
    <w:rsid w:val="00C31D26"/>
    <w:rsid w:val="00C31D3D"/>
    <w:rsid w:val="00C31D9C"/>
    <w:rsid w:val="00C3206F"/>
    <w:rsid w:val="00C323F6"/>
    <w:rsid w:val="00C324F4"/>
    <w:rsid w:val="00C32719"/>
    <w:rsid w:val="00C32775"/>
    <w:rsid w:val="00C3288B"/>
    <w:rsid w:val="00C3290B"/>
    <w:rsid w:val="00C32AC7"/>
    <w:rsid w:val="00C32E19"/>
    <w:rsid w:val="00C32F8B"/>
    <w:rsid w:val="00C32FA0"/>
    <w:rsid w:val="00C3305F"/>
    <w:rsid w:val="00C33068"/>
    <w:rsid w:val="00C330C7"/>
    <w:rsid w:val="00C330D0"/>
    <w:rsid w:val="00C3311C"/>
    <w:rsid w:val="00C3319F"/>
    <w:rsid w:val="00C332A5"/>
    <w:rsid w:val="00C33434"/>
    <w:rsid w:val="00C334D3"/>
    <w:rsid w:val="00C337A7"/>
    <w:rsid w:val="00C339BD"/>
    <w:rsid w:val="00C33A35"/>
    <w:rsid w:val="00C33C42"/>
    <w:rsid w:val="00C33EE8"/>
    <w:rsid w:val="00C33EEF"/>
    <w:rsid w:val="00C3406D"/>
    <w:rsid w:val="00C34316"/>
    <w:rsid w:val="00C34343"/>
    <w:rsid w:val="00C343A2"/>
    <w:rsid w:val="00C343FC"/>
    <w:rsid w:val="00C3469B"/>
    <w:rsid w:val="00C347FB"/>
    <w:rsid w:val="00C348B9"/>
    <w:rsid w:val="00C348F0"/>
    <w:rsid w:val="00C3496D"/>
    <w:rsid w:val="00C34ACF"/>
    <w:rsid w:val="00C34D16"/>
    <w:rsid w:val="00C350EB"/>
    <w:rsid w:val="00C35243"/>
    <w:rsid w:val="00C35329"/>
    <w:rsid w:val="00C356B9"/>
    <w:rsid w:val="00C356E3"/>
    <w:rsid w:val="00C35946"/>
    <w:rsid w:val="00C35A7E"/>
    <w:rsid w:val="00C35B9B"/>
    <w:rsid w:val="00C35ECF"/>
    <w:rsid w:val="00C36223"/>
    <w:rsid w:val="00C3624E"/>
    <w:rsid w:val="00C364B9"/>
    <w:rsid w:val="00C3651F"/>
    <w:rsid w:val="00C36633"/>
    <w:rsid w:val="00C367FF"/>
    <w:rsid w:val="00C3686E"/>
    <w:rsid w:val="00C36D99"/>
    <w:rsid w:val="00C36DFD"/>
    <w:rsid w:val="00C36E3F"/>
    <w:rsid w:val="00C36E9D"/>
    <w:rsid w:val="00C36FBE"/>
    <w:rsid w:val="00C371E7"/>
    <w:rsid w:val="00C372B9"/>
    <w:rsid w:val="00C372BE"/>
    <w:rsid w:val="00C372D0"/>
    <w:rsid w:val="00C376DF"/>
    <w:rsid w:val="00C3789D"/>
    <w:rsid w:val="00C379E6"/>
    <w:rsid w:val="00C37A2F"/>
    <w:rsid w:val="00C37C86"/>
    <w:rsid w:val="00C37F2D"/>
    <w:rsid w:val="00C40112"/>
    <w:rsid w:val="00C4033A"/>
    <w:rsid w:val="00C40410"/>
    <w:rsid w:val="00C40590"/>
    <w:rsid w:val="00C40796"/>
    <w:rsid w:val="00C40877"/>
    <w:rsid w:val="00C40905"/>
    <w:rsid w:val="00C409D6"/>
    <w:rsid w:val="00C40A0F"/>
    <w:rsid w:val="00C40B6C"/>
    <w:rsid w:val="00C40BF7"/>
    <w:rsid w:val="00C40C0C"/>
    <w:rsid w:val="00C40E46"/>
    <w:rsid w:val="00C40EFD"/>
    <w:rsid w:val="00C40FB5"/>
    <w:rsid w:val="00C41098"/>
    <w:rsid w:val="00C410DE"/>
    <w:rsid w:val="00C412B1"/>
    <w:rsid w:val="00C413D4"/>
    <w:rsid w:val="00C41437"/>
    <w:rsid w:val="00C41545"/>
    <w:rsid w:val="00C41597"/>
    <w:rsid w:val="00C4177A"/>
    <w:rsid w:val="00C41858"/>
    <w:rsid w:val="00C419AE"/>
    <w:rsid w:val="00C41A16"/>
    <w:rsid w:val="00C41A25"/>
    <w:rsid w:val="00C41C09"/>
    <w:rsid w:val="00C41D32"/>
    <w:rsid w:val="00C41DFF"/>
    <w:rsid w:val="00C41E83"/>
    <w:rsid w:val="00C423CD"/>
    <w:rsid w:val="00C4246F"/>
    <w:rsid w:val="00C42578"/>
    <w:rsid w:val="00C42911"/>
    <w:rsid w:val="00C42B4E"/>
    <w:rsid w:val="00C42C3C"/>
    <w:rsid w:val="00C42EE6"/>
    <w:rsid w:val="00C43094"/>
    <w:rsid w:val="00C431C9"/>
    <w:rsid w:val="00C434C3"/>
    <w:rsid w:val="00C43821"/>
    <w:rsid w:val="00C43950"/>
    <w:rsid w:val="00C43A9D"/>
    <w:rsid w:val="00C43AA9"/>
    <w:rsid w:val="00C43BFD"/>
    <w:rsid w:val="00C43CC6"/>
    <w:rsid w:val="00C43D8D"/>
    <w:rsid w:val="00C4413C"/>
    <w:rsid w:val="00C4414C"/>
    <w:rsid w:val="00C4424E"/>
    <w:rsid w:val="00C442A4"/>
    <w:rsid w:val="00C4436C"/>
    <w:rsid w:val="00C444E1"/>
    <w:rsid w:val="00C44562"/>
    <w:rsid w:val="00C44579"/>
    <w:rsid w:val="00C44593"/>
    <w:rsid w:val="00C445E8"/>
    <w:rsid w:val="00C44682"/>
    <w:rsid w:val="00C446E1"/>
    <w:rsid w:val="00C44745"/>
    <w:rsid w:val="00C44811"/>
    <w:rsid w:val="00C44868"/>
    <w:rsid w:val="00C44973"/>
    <w:rsid w:val="00C4499F"/>
    <w:rsid w:val="00C44A46"/>
    <w:rsid w:val="00C44B2B"/>
    <w:rsid w:val="00C44D8A"/>
    <w:rsid w:val="00C44E47"/>
    <w:rsid w:val="00C44F53"/>
    <w:rsid w:val="00C44FF8"/>
    <w:rsid w:val="00C45001"/>
    <w:rsid w:val="00C4503C"/>
    <w:rsid w:val="00C450B1"/>
    <w:rsid w:val="00C450F4"/>
    <w:rsid w:val="00C45180"/>
    <w:rsid w:val="00C45549"/>
    <w:rsid w:val="00C4588B"/>
    <w:rsid w:val="00C459AC"/>
    <w:rsid w:val="00C45AFB"/>
    <w:rsid w:val="00C45BB5"/>
    <w:rsid w:val="00C45BD7"/>
    <w:rsid w:val="00C45C58"/>
    <w:rsid w:val="00C45D3A"/>
    <w:rsid w:val="00C45E37"/>
    <w:rsid w:val="00C45E6A"/>
    <w:rsid w:val="00C45EF3"/>
    <w:rsid w:val="00C45EFE"/>
    <w:rsid w:val="00C45F70"/>
    <w:rsid w:val="00C45FCE"/>
    <w:rsid w:val="00C4601E"/>
    <w:rsid w:val="00C461B2"/>
    <w:rsid w:val="00C463E4"/>
    <w:rsid w:val="00C46416"/>
    <w:rsid w:val="00C46677"/>
    <w:rsid w:val="00C468A4"/>
    <w:rsid w:val="00C46C7B"/>
    <w:rsid w:val="00C46F73"/>
    <w:rsid w:val="00C4727E"/>
    <w:rsid w:val="00C473C7"/>
    <w:rsid w:val="00C47455"/>
    <w:rsid w:val="00C47527"/>
    <w:rsid w:val="00C47547"/>
    <w:rsid w:val="00C4765A"/>
    <w:rsid w:val="00C476DB"/>
    <w:rsid w:val="00C47812"/>
    <w:rsid w:val="00C47867"/>
    <w:rsid w:val="00C4786C"/>
    <w:rsid w:val="00C4796F"/>
    <w:rsid w:val="00C47A1D"/>
    <w:rsid w:val="00C47A7C"/>
    <w:rsid w:val="00C47BBB"/>
    <w:rsid w:val="00C47C8E"/>
    <w:rsid w:val="00C47F54"/>
    <w:rsid w:val="00C47F60"/>
    <w:rsid w:val="00C500B5"/>
    <w:rsid w:val="00C50101"/>
    <w:rsid w:val="00C5010B"/>
    <w:rsid w:val="00C50161"/>
    <w:rsid w:val="00C50185"/>
    <w:rsid w:val="00C50458"/>
    <w:rsid w:val="00C506E1"/>
    <w:rsid w:val="00C5081B"/>
    <w:rsid w:val="00C50907"/>
    <w:rsid w:val="00C5090F"/>
    <w:rsid w:val="00C50A28"/>
    <w:rsid w:val="00C50EBC"/>
    <w:rsid w:val="00C50F9F"/>
    <w:rsid w:val="00C510A0"/>
    <w:rsid w:val="00C510E4"/>
    <w:rsid w:val="00C513BC"/>
    <w:rsid w:val="00C514A1"/>
    <w:rsid w:val="00C5159E"/>
    <w:rsid w:val="00C51656"/>
    <w:rsid w:val="00C51684"/>
    <w:rsid w:val="00C51727"/>
    <w:rsid w:val="00C51938"/>
    <w:rsid w:val="00C51946"/>
    <w:rsid w:val="00C51947"/>
    <w:rsid w:val="00C51FD3"/>
    <w:rsid w:val="00C52318"/>
    <w:rsid w:val="00C523BC"/>
    <w:rsid w:val="00C5250E"/>
    <w:rsid w:val="00C52543"/>
    <w:rsid w:val="00C52575"/>
    <w:rsid w:val="00C5258F"/>
    <w:rsid w:val="00C525B9"/>
    <w:rsid w:val="00C5262C"/>
    <w:rsid w:val="00C527F6"/>
    <w:rsid w:val="00C5284F"/>
    <w:rsid w:val="00C52A10"/>
    <w:rsid w:val="00C52BBB"/>
    <w:rsid w:val="00C52C99"/>
    <w:rsid w:val="00C52CA0"/>
    <w:rsid w:val="00C52CA9"/>
    <w:rsid w:val="00C52D71"/>
    <w:rsid w:val="00C52FA3"/>
    <w:rsid w:val="00C52FC2"/>
    <w:rsid w:val="00C52FD1"/>
    <w:rsid w:val="00C530F7"/>
    <w:rsid w:val="00C53219"/>
    <w:rsid w:val="00C533A1"/>
    <w:rsid w:val="00C5359B"/>
    <w:rsid w:val="00C537B9"/>
    <w:rsid w:val="00C53997"/>
    <w:rsid w:val="00C539A8"/>
    <w:rsid w:val="00C539F5"/>
    <w:rsid w:val="00C53AC7"/>
    <w:rsid w:val="00C53AF7"/>
    <w:rsid w:val="00C53B52"/>
    <w:rsid w:val="00C53BBA"/>
    <w:rsid w:val="00C53E38"/>
    <w:rsid w:val="00C53EA6"/>
    <w:rsid w:val="00C53F84"/>
    <w:rsid w:val="00C5426A"/>
    <w:rsid w:val="00C5430A"/>
    <w:rsid w:val="00C54332"/>
    <w:rsid w:val="00C5433F"/>
    <w:rsid w:val="00C543A8"/>
    <w:rsid w:val="00C545D1"/>
    <w:rsid w:val="00C5463E"/>
    <w:rsid w:val="00C54882"/>
    <w:rsid w:val="00C54923"/>
    <w:rsid w:val="00C5495C"/>
    <w:rsid w:val="00C54B41"/>
    <w:rsid w:val="00C54BE1"/>
    <w:rsid w:val="00C54D82"/>
    <w:rsid w:val="00C54DA9"/>
    <w:rsid w:val="00C54E3A"/>
    <w:rsid w:val="00C5504D"/>
    <w:rsid w:val="00C550D0"/>
    <w:rsid w:val="00C5516F"/>
    <w:rsid w:val="00C5520D"/>
    <w:rsid w:val="00C554B5"/>
    <w:rsid w:val="00C5556E"/>
    <w:rsid w:val="00C55A36"/>
    <w:rsid w:val="00C55A7B"/>
    <w:rsid w:val="00C55BEC"/>
    <w:rsid w:val="00C55C23"/>
    <w:rsid w:val="00C55E92"/>
    <w:rsid w:val="00C55FFA"/>
    <w:rsid w:val="00C56010"/>
    <w:rsid w:val="00C561D7"/>
    <w:rsid w:val="00C562FD"/>
    <w:rsid w:val="00C56380"/>
    <w:rsid w:val="00C563E5"/>
    <w:rsid w:val="00C56458"/>
    <w:rsid w:val="00C5680C"/>
    <w:rsid w:val="00C5681D"/>
    <w:rsid w:val="00C56855"/>
    <w:rsid w:val="00C568AD"/>
    <w:rsid w:val="00C56A03"/>
    <w:rsid w:val="00C56B37"/>
    <w:rsid w:val="00C56B97"/>
    <w:rsid w:val="00C56C3D"/>
    <w:rsid w:val="00C56EF2"/>
    <w:rsid w:val="00C56F7A"/>
    <w:rsid w:val="00C570A6"/>
    <w:rsid w:val="00C571FD"/>
    <w:rsid w:val="00C57399"/>
    <w:rsid w:val="00C573C1"/>
    <w:rsid w:val="00C57466"/>
    <w:rsid w:val="00C57602"/>
    <w:rsid w:val="00C576C2"/>
    <w:rsid w:val="00C5778F"/>
    <w:rsid w:val="00C57971"/>
    <w:rsid w:val="00C579F3"/>
    <w:rsid w:val="00C57A4F"/>
    <w:rsid w:val="00C57A56"/>
    <w:rsid w:val="00C57B94"/>
    <w:rsid w:val="00C57C50"/>
    <w:rsid w:val="00C57CC1"/>
    <w:rsid w:val="00C57FCB"/>
    <w:rsid w:val="00C600B3"/>
    <w:rsid w:val="00C601DF"/>
    <w:rsid w:val="00C60393"/>
    <w:rsid w:val="00C6059A"/>
    <w:rsid w:val="00C607A9"/>
    <w:rsid w:val="00C609AC"/>
    <w:rsid w:val="00C60CC0"/>
    <w:rsid w:val="00C60E46"/>
    <w:rsid w:val="00C60E72"/>
    <w:rsid w:val="00C60ED0"/>
    <w:rsid w:val="00C60F64"/>
    <w:rsid w:val="00C61135"/>
    <w:rsid w:val="00C612D4"/>
    <w:rsid w:val="00C61369"/>
    <w:rsid w:val="00C6136E"/>
    <w:rsid w:val="00C61464"/>
    <w:rsid w:val="00C614AC"/>
    <w:rsid w:val="00C617CB"/>
    <w:rsid w:val="00C619E0"/>
    <w:rsid w:val="00C61A17"/>
    <w:rsid w:val="00C61AF3"/>
    <w:rsid w:val="00C61C87"/>
    <w:rsid w:val="00C61D92"/>
    <w:rsid w:val="00C62034"/>
    <w:rsid w:val="00C620F3"/>
    <w:rsid w:val="00C62229"/>
    <w:rsid w:val="00C62357"/>
    <w:rsid w:val="00C62552"/>
    <w:rsid w:val="00C625B4"/>
    <w:rsid w:val="00C62637"/>
    <w:rsid w:val="00C62851"/>
    <w:rsid w:val="00C62A40"/>
    <w:rsid w:val="00C62E04"/>
    <w:rsid w:val="00C62F15"/>
    <w:rsid w:val="00C62F23"/>
    <w:rsid w:val="00C63078"/>
    <w:rsid w:val="00C63222"/>
    <w:rsid w:val="00C63284"/>
    <w:rsid w:val="00C63289"/>
    <w:rsid w:val="00C6368E"/>
    <w:rsid w:val="00C63746"/>
    <w:rsid w:val="00C63868"/>
    <w:rsid w:val="00C63BD2"/>
    <w:rsid w:val="00C63E23"/>
    <w:rsid w:val="00C64028"/>
    <w:rsid w:val="00C64031"/>
    <w:rsid w:val="00C640C4"/>
    <w:rsid w:val="00C641C6"/>
    <w:rsid w:val="00C644EC"/>
    <w:rsid w:val="00C6459E"/>
    <w:rsid w:val="00C64716"/>
    <w:rsid w:val="00C64781"/>
    <w:rsid w:val="00C647AC"/>
    <w:rsid w:val="00C6480A"/>
    <w:rsid w:val="00C64A23"/>
    <w:rsid w:val="00C64B7B"/>
    <w:rsid w:val="00C64D07"/>
    <w:rsid w:val="00C64DAC"/>
    <w:rsid w:val="00C64FF0"/>
    <w:rsid w:val="00C650A6"/>
    <w:rsid w:val="00C650D5"/>
    <w:rsid w:val="00C6520A"/>
    <w:rsid w:val="00C65250"/>
    <w:rsid w:val="00C652CE"/>
    <w:rsid w:val="00C6538A"/>
    <w:rsid w:val="00C6557A"/>
    <w:rsid w:val="00C655AB"/>
    <w:rsid w:val="00C657CB"/>
    <w:rsid w:val="00C65819"/>
    <w:rsid w:val="00C6593B"/>
    <w:rsid w:val="00C6595F"/>
    <w:rsid w:val="00C659F4"/>
    <w:rsid w:val="00C65A36"/>
    <w:rsid w:val="00C65A98"/>
    <w:rsid w:val="00C65AF4"/>
    <w:rsid w:val="00C65BB2"/>
    <w:rsid w:val="00C65BCA"/>
    <w:rsid w:val="00C65BDE"/>
    <w:rsid w:val="00C65C73"/>
    <w:rsid w:val="00C65CF7"/>
    <w:rsid w:val="00C65D2B"/>
    <w:rsid w:val="00C65DB7"/>
    <w:rsid w:val="00C65DF0"/>
    <w:rsid w:val="00C65EA4"/>
    <w:rsid w:val="00C65F09"/>
    <w:rsid w:val="00C65FE6"/>
    <w:rsid w:val="00C66001"/>
    <w:rsid w:val="00C66050"/>
    <w:rsid w:val="00C66201"/>
    <w:rsid w:val="00C6635E"/>
    <w:rsid w:val="00C6651E"/>
    <w:rsid w:val="00C6668E"/>
    <w:rsid w:val="00C66812"/>
    <w:rsid w:val="00C66842"/>
    <w:rsid w:val="00C669DE"/>
    <w:rsid w:val="00C66E22"/>
    <w:rsid w:val="00C66E65"/>
    <w:rsid w:val="00C66E8C"/>
    <w:rsid w:val="00C66EB2"/>
    <w:rsid w:val="00C66EDB"/>
    <w:rsid w:val="00C66FD3"/>
    <w:rsid w:val="00C67080"/>
    <w:rsid w:val="00C67143"/>
    <w:rsid w:val="00C675A3"/>
    <w:rsid w:val="00C67721"/>
    <w:rsid w:val="00C67761"/>
    <w:rsid w:val="00C67967"/>
    <w:rsid w:val="00C67A7B"/>
    <w:rsid w:val="00C67BBF"/>
    <w:rsid w:val="00C67E8E"/>
    <w:rsid w:val="00C67F45"/>
    <w:rsid w:val="00C67F94"/>
    <w:rsid w:val="00C7021C"/>
    <w:rsid w:val="00C70252"/>
    <w:rsid w:val="00C7060B"/>
    <w:rsid w:val="00C706CB"/>
    <w:rsid w:val="00C70796"/>
    <w:rsid w:val="00C70A14"/>
    <w:rsid w:val="00C70E4E"/>
    <w:rsid w:val="00C70F95"/>
    <w:rsid w:val="00C712D5"/>
    <w:rsid w:val="00C7134B"/>
    <w:rsid w:val="00C71412"/>
    <w:rsid w:val="00C714BB"/>
    <w:rsid w:val="00C715B7"/>
    <w:rsid w:val="00C715F1"/>
    <w:rsid w:val="00C716A2"/>
    <w:rsid w:val="00C71C04"/>
    <w:rsid w:val="00C71C15"/>
    <w:rsid w:val="00C71D4F"/>
    <w:rsid w:val="00C71D9C"/>
    <w:rsid w:val="00C71F2E"/>
    <w:rsid w:val="00C7204E"/>
    <w:rsid w:val="00C72075"/>
    <w:rsid w:val="00C720C5"/>
    <w:rsid w:val="00C720DE"/>
    <w:rsid w:val="00C720F0"/>
    <w:rsid w:val="00C72139"/>
    <w:rsid w:val="00C72177"/>
    <w:rsid w:val="00C7217D"/>
    <w:rsid w:val="00C722B9"/>
    <w:rsid w:val="00C722D9"/>
    <w:rsid w:val="00C7233A"/>
    <w:rsid w:val="00C72380"/>
    <w:rsid w:val="00C72412"/>
    <w:rsid w:val="00C72465"/>
    <w:rsid w:val="00C72481"/>
    <w:rsid w:val="00C724CD"/>
    <w:rsid w:val="00C724DF"/>
    <w:rsid w:val="00C725D2"/>
    <w:rsid w:val="00C72A18"/>
    <w:rsid w:val="00C72B27"/>
    <w:rsid w:val="00C72B50"/>
    <w:rsid w:val="00C72F6B"/>
    <w:rsid w:val="00C7310F"/>
    <w:rsid w:val="00C7313E"/>
    <w:rsid w:val="00C7323E"/>
    <w:rsid w:val="00C73264"/>
    <w:rsid w:val="00C73274"/>
    <w:rsid w:val="00C73349"/>
    <w:rsid w:val="00C73455"/>
    <w:rsid w:val="00C7346F"/>
    <w:rsid w:val="00C73508"/>
    <w:rsid w:val="00C73676"/>
    <w:rsid w:val="00C7380B"/>
    <w:rsid w:val="00C73A8C"/>
    <w:rsid w:val="00C73B3C"/>
    <w:rsid w:val="00C73D10"/>
    <w:rsid w:val="00C73EA6"/>
    <w:rsid w:val="00C73EC9"/>
    <w:rsid w:val="00C740B6"/>
    <w:rsid w:val="00C7429A"/>
    <w:rsid w:val="00C7448D"/>
    <w:rsid w:val="00C744E6"/>
    <w:rsid w:val="00C744FB"/>
    <w:rsid w:val="00C74527"/>
    <w:rsid w:val="00C745CB"/>
    <w:rsid w:val="00C745CF"/>
    <w:rsid w:val="00C7460A"/>
    <w:rsid w:val="00C7461E"/>
    <w:rsid w:val="00C74670"/>
    <w:rsid w:val="00C74A4D"/>
    <w:rsid w:val="00C74A5A"/>
    <w:rsid w:val="00C74A9A"/>
    <w:rsid w:val="00C74B0E"/>
    <w:rsid w:val="00C74B8C"/>
    <w:rsid w:val="00C74BEC"/>
    <w:rsid w:val="00C74C5E"/>
    <w:rsid w:val="00C74D33"/>
    <w:rsid w:val="00C74D7D"/>
    <w:rsid w:val="00C74D9B"/>
    <w:rsid w:val="00C74E76"/>
    <w:rsid w:val="00C74F45"/>
    <w:rsid w:val="00C750E3"/>
    <w:rsid w:val="00C753A6"/>
    <w:rsid w:val="00C753A8"/>
    <w:rsid w:val="00C753CF"/>
    <w:rsid w:val="00C75495"/>
    <w:rsid w:val="00C756CE"/>
    <w:rsid w:val="00C757BE"/>
    <w:rsid w:val="00C75912"/>
    <w:rsid w:val="00C75CE2"/>
    <w:rsid w:val="00C75CFA"/>
    <w:rsid w:val="00C75D40"/>
    <w:rsid w:val="00C75DA6"/>
    <w:rsid w:val="00C75F04"/>
    <w:rsid w:val="00C761CF"/>
    <w:rsid w:val="00C76222"/>
    <w:rsid w:val="00C7627D"/>
    <w:rsid w:val="00C76522"/>
    <w:rsid w:val="00C76586"/>
    <w:rsid w:val="00C765BA"/>
    <w:rsid w:val="00C766F8"/>
    <w:rsid w:val="00C76896"/>
    <w:rsid w:val="00C76AAF"/>
    <w:rsid w:val="00C76C77"/>
    <w:rsid w:val="00C76CE0"/>
    <w:rsid w:val="00C76F16"/>
    <w:rsid w:val="00C771A5"/>
    <w:rsid w:val="00C772C8"/>
    <w:rsid w:val="00C772F6"/>
    <w:rsid w:val="00C77329"/>
    <w:rsid w:val="00C77335"/>
    <w:rsid w:val="00C77438"/>
    <w:rsid w:val="00C77446"/>
    <w:rsid w:val="00C7749B"/>
    <w:rsid w:val="00C77577"/>
    <w:rsid w:val="00C776AC"/>
    <w:rsid w:val="00C77733"/>
    <w:rsid w:val="00C77772"/>
    <w:rsid w:val="00C7778A"/>
    <w:rsid w:val="00C7783D"/>
    <w:rsid w:val="00C7791D"/>
    <w:rsid w:val="00C7795B"/>
    <w:rsid w:val="00C77A11"/>
    <w:rsid w:val="00C77A24"/>
    <w:rsid w:val="00C77AC6"/>
    <w:rsid w:val="00C77B16"/>
    <w:rsid w:val="00C77BFE"/>
    <w:rsid w:val="00C77EB8"/>
    <w:rsid w:val="00C77ECC"/>
    <w:rsid w:val="00C77FBA"/>
    <w:rsid w:val="00C80016"/>
    <w:rsid w:val="00C8005C"/>
    <w:rsid w:val="00C80111"/>
    <w:rsid w:val="00C801C4"/>
    <w:rsid w:val="00C8023E"/>
    <w:rsid w:val="00C80261"/>
    <w:rsid w:val="00C80287"/>
    <w:rsid w:val="00C802F9"/>
    <w:rsid w:val="00C80405"/>
    <w:rsid w:val="00C804D4"/>
    <w:rsid w:val="00C805D8"/>
    <w:rsid w:val="00C805ED"/>
    <w:rsid w:val="00C8064D"/>
    <w:rsid w:val="00C806C1"/>
    <w:rsid w:val="00C80AA3"/>
    <w:rsid w:val="00C80CD9"/>
    <w:rsid w:val="00C80DEB"/>
    <w:rsid w:val="00C80DFC"/>
    <w:rsid w:val="00C80F43"/>
    <w:rsid w:val="00C80F63"/>
    <w:rsid w:val="00C80FB4"/>
    <w:rsid w:val="00C80FFB"/>
    <w:rsid w:val="00C810BA"/>
    <w:rsid w:val="00C8115D"/>
    <w:rsid w:val="00C812FC"/>
    <w:rsid w:val="00C812FE"/>
    <w:rsid w:val="00C81427"/>
    <w:rsid w:val="00C8146F"/>
    <w:rsid w:val="00C81493"/>
    <w:rsid w:val="00C8161A"/>
    <w:rsid w:val="00C81764"/>
    <w:rsid w:val="00C818AB"/>
    <w:rsid w:val="00C81983"/>
    <w:rsid w:val="00C819F2"/>
    <w:rsid w:val="00C81CA5"/>
    <w:rsid w:val="00C81D72"/>
    <w:rsid w:val="00C81D81"/>
    <w:rsid w:val="00C81F17"/>
    <w:rsid w:val="00C81FA9"/>
    <w:rsid w:val="00C82060"/>
    <w:rsid w:val="00C820A3"/>
    <w:rsid w:val="00C821A7"/>
    <w:rsid w:val="00C821AB"/>
    <w:rsid w:val="00C821FC"/>
    <w:rsid w:val="00C82235"/>
    <w:rsid w:val="00C82350"/>
    <w:rsid w:val="00C82383"/>
    <w:rsid w:val="00C823BC"/>
    <w:rsid w:val="00C823E6"/>
    <w:rsid w:val="00C825F7"/>
    <w:rsid w:val="00C82675"/>
    <w:rsid w:val="00C8268F"/>
    <w:rsid w:val="00C82B46"/>
    <w:rsid w:val="00C82C42"/>
    <w:rsid w:val="00C82C9B"/>
    <w:rsid w:val="00C82E0B"/>
    <w:rsid w:val="00C82E5D"/>
    <w:rsid w:val="00C82FD3"/>
    <w:rsid w:val="00C831B5"/>
    <w:rsid w:val="00C83209"/>
    <w:rsid w:val="00C833C4"/>
    <w:rsid w:val="00C834E0"/>
    <w:rsid w:val="00C83535"/>
    <w:rsid w:val="00C8358E"/>
    <w:rsid w:val="00C83635"/>
    <w:rsid w:val="00C836D8"/>
    <w:rsid w:val="00C83905"/>
    <w:rsid w:val="00C8390C"/>
    <w:rsid w:val="00C8395B"/>
    <w:rsid w:val="00C83C42"/>
    <w:rsid w:val="00C83CCC"/>
    <w:rsid w:val="00C83CED"/>
    <w:rsid w:val="00C83D05"/>
    <w:rsid w:val="00C83D84"/>
    <w:rsid w:val="00C83E0C"/>
    <w:rsid w:val="00C83F5C"/>
    <w:rsid w:val="00C83F77"/>
    <w:rsid w:val="00C841D3"/>
    <w:rsid w:val="00C843D1"/>
    <w:rsid w:val="00C847C6"/>
    <w:rsid w:val="00C8481D"/>
    <w:rsid w:val="00C8498F"/>
    <w:rsid w:val="00C849E9"/>
    <w:rsid w:val="00C84D48"/>
    <w:rsid w:val="00C84E3F"/>
    <w:rsid w:val="00C84F3D"/>
    <w:rsid w:val="00C85011"/>
    <w:rsid w:val="00C85380"/>
    <w:rsid w:val="00C853EF"/>
    <w:rsid w:val="00C854B8"/>
    <w:rsid w:val="00C856B2"/>
    <w:rsid w:val="00C8584C"/>
    <w:rsid w:val="00C85991"/>
    <w:rsid w:val="00C85A6C"/>
    <w:rsid w:val="00C85AAF"/>
    <w:rsid w:val="00C85D09"/>
    <w:rsid w:val="00C85E58"/>
    <w:rsid w:val="00C85F44"/>
    <w:rsid w:val="00C863A3"/>
    <w:rsid w:val="00C866EB"/>
    <w:rsid w:val="00C86947"/>
    <w:rsid w:val="00C869E2"/>
    <w:rsid w:val="00C86A00"/>
    <w:rsid w:val="00C86CFD"/>
    <w:rsid w:val="00C86DBC"/>
    <w:rsid w:val="00C86F5F"/>
    <w:rsid w:val="00C86F79"/>
    <w:rsid w:val="00C87039"/>
    <w:rsid w:val="00C87185"/>
    <w:rsid w:val="00C87209"/>
    <w:rsid w:val="00C87436"/>
    <w:rsid w:val="00C879CD"/>
    <w:rsid w:val="00C87A52"/>
    <w:rsid w:val="00C87A5E"/>
    <w:rsid w:val="00C87B28"/>
    <w:rsid w:val="00C87B86"/>
    <w:rsid w:val="00C87C61"/>
    <w:rsid w:val="00C87E68"/>
    <w:rsid w:val="00C87E88"/>
    <w:rsid w:val="00C87EAB"/>
    <w:rsid w:val="00C87FD9"/>
    <w:rsid w:val="00C90151"/>
    <w:rsid w:val="00C903D2"/>
    <w:rsid w:val="00C9043C"/>
    <w:rsid w:val="00C904C1"/>
    <w:rsid w:val="00C90530"/>
    <w:rsid w:val="00C905BB"/>
    <w:rsid w:val="00C905C0"/>
    <w:rsid w:val="00C90641"/>
    <w:rsid w:val="00C90720"/>
    <w:rsid w:val="00C9089E"/>
    <w:rsid w:val="00C90907"/>
    <w:rsid w:val="00C90A2F"/>
    <w:rsid w:val="00C90ACE"/>
    <w:rsid w:val="00C90BC2"/>
    <w:rsid w:val="00C90C04"/>
    <w:rsid w:val="00C90C0E"/>
    <w:rsid w:val="00C90D3D"/>
    <w:rsid w:val="00C90F40"/>
    <w:rsid w:val="00C90F88"/>
    <w:rsid w:val="00C910B0"/>
    <w:rsid w:val="00C9112D"/>
    <w:rsid w:val="00C91186"/>
    <w:rsid w:val="00C911A1"/>
    <w:rsid w:val="00C9136F"/>
    <w:rsid w:val="00C91651"/>
    <w:rsid w:val="00C917A4"/>
    <w:rsid w:val="00C917E1"/>
    <w:rsid w:val="00C91858"/>
    <w:rsid w:val="00C9187C"/>
    <w:rsid w:val="00C918F6"/>
    <w:rsid w:val="00C91956"/>
    <w:rsid w:val="00C91981"/>
    <w:rsid w:val="00C91A23"/>
    <w:rsid w:val="00C91D3A"/>
    <w:rsid w:val="00C92033"/>
    <w:rsid w:val="00C9203F"/>
    <w:rsid w:val="00C92211"/>
    <w:rsid w:val="00C92276"/>
    <w:rsid w:val="00C922A2"/>
    <w:rsid w:val="00C922B6"/>
    <w:rsid w:val="00C92388"/>
    <w:rsid w:val="00C9253E"/>
    <w:rsid w:val="00C925F7"/>
    <w:rsid w:val="00C92607"/>
    <w:rsid w:val="00C9263E"/>
    <w:rsid w:val="00C9265C"/>
    <w:rsid w:val="00C92695"/>
    <w:rsid w:val="00C926C0"/>
    <w:rsid w:val="00C927B6"/>
    <w:rsid w:val="00C9284C"/>
    <w:rsid w:val="00C92A32"/>
    <w:rsid w:val="00C92AA3"/>
    <w:rsid w:val="00C92C8D"/>
    <w:rsid w:val="00C92CC9"/>
    <w:rsid w:val="00C92CCF"/>
    <w:rsid w:val="00C92ED1"/>
    <w:rsid w:val="00C92F9F"/>
    <w:rsid w:val="00C9303C"/>
    <w:rsid w:val="00C931A1"/>
    <w:rsid w:val="00C93280"/>
    <w:rsid w:val="00C93689"/>
    <w:rsid w:val="00C9372F"/>
    <w:rsid w:val="00C9376B"/>
    <w:rsid w:val="00C9378C"/>
    <w:rsid w:val="00C93AD9"/>
    <w:rsid w:val="00C93C27"/>
    <w:rsid w:val="00C93F1E"/>
    <w:rsid w:val="00C93FC2"/>
    <w:rsid w:val="00C93FF7"/>
    <w:rsid w:val="00C94152"/>
    <w:rsid w:val="00C94643"/>
    <w:rsid w:val="00C94690"/>
    <w:rsid w:val="00C94955"/>
    <w:rsid w:val="00C94E17"/>
    <w:rsid w:val="00C94EFB"/>
    <w:rsid w:val="00C95109"/>
    <w:rsid w:val="00C952C5"/>
    <w:rsid w:val="00C953BA"/>
    <w:rsid w:val="00C9545F"/>
    <w:rsid w:val="00C95476"/>
    <w:rsid w:val="00C954B0"/>
    <w:rsid w:val="00C954DF"/>
    <w:rsid w:val="00C9550A"/>
    <w:rsid w:val="00C955FA"/>
    <w:rsid w:val="00C9565F"/>
    <w:rsid w:val="00C95795"/>
    <w:rsid w:val="00C95857"/>
    <w:rsid w:val="00C95890"/>
    <w:rsid w:val="00C95A43"/>
    <w:rsid w:val="00C95AB6"/>
    <w:rsid w:val="00C95C69"/>
    <w:rsid w:val="00C9603D"/>
    <w:rsid w:val="00C96520"/>
    <w:rsid w:val="00C965DB"/>
    <w:rsid w:val="00C96A7E"/>
    <w:rsid w:val="00C96F91"/>
    <w:rsid w:val="00C97106"/>
    <w:rsid w:val="00C9718D"/>
    <w:rsid w:val="00C971AF"/>
    <w:rsid w:val="00C971B9"/>
    <w:rsid w:val="00C97247"/>
    <w:rsid w:val="00C972CA"/>
    <w:rsid w:val="00C97580"/>
    <w:rsid w:val="00C9797F"/>
    <w:rsid w:val="00C97B11"/>
    <w:rsid w:val="00C97CAA"/>
    <w:rsid w:val="00C97CEE"/>
    <w:rsid w:val="00C97E1E"/>
    <w:rsid w:val="00C97E93"/>
    <w:rsid w:val="00C97F64"/>
    <w:rsid w:val="00C97F81"/>
    <w:rsid w:val="00CA0076"/>
    <w:rsid w:val="00CA00AB"/>
    <w:rsid w:val="00CA0239"/>
    <w:rsid w:val="00CA0470"/>
    <w:rsid w:val="00CA0541"/>
    <w:rsid w:val="00CA058B"/>
    <w:rsid w:val="00CA064A"/>
    <w:rsid w:val="00CA07CE"/>
    <w:rsid w:val="00CA087E"/>
    <w:rsid w:val="00CA093E"/>
    <w:rsid w:val="00CA0F89"/>
    <w:rsid w:val="00CA12B7"/>
    <w:rsid w:val="00CA1398"/>
    <w:rsid w:val="00CA1862"/>
    <w:rsid w:val="00CA18AB"/>
    <w:rsid w:val="00CA1A0F"/>
    <w:rsid w:val="00CA1A86"/>
    <w:rsid w:val="00CA1B7D"/>
    <w:rsid w:val="00CA1C68"/>
    <w:rsid w:val="00CA1E84"/>
    <w:rsid w:val="00CA1EA0"/>
    <w:rsid w:val="00CA1FAA"/>
    <w:rsid w:val="00CA20C7"/>
    <w:rsid w:val="00CA20EF"/>
    <w:rsid w:val="00CA21C3"/>
    <w:rsid w:val="00CA2394"/>
    <w:rsid w:val="00CA264D"/>
    <w:rsid w:val="00CA26EA"/>
    <w:rsid w:val="00CA26ED"/>
    <w:rsid w:val="00CA26F6"/>
    <w:rsid w:val="00CA2759"/>
    <w:rsid w:val="00CA275C"/>
    <w:rsid w:val="00CA27D3"/>
    <w:rsid w:val="00CA2814"/>
    <w:rsid w:val="00CA285D"/>
    <w:rsid w:val="00CA28E2"/>
    <w:rsid w:val="00CA2921"/>
    <w:rsid w:val="00CA29D3"/>
    <w:rsid w:val="00CA2ED1"/>
    <w:rsid w:val="00CA2EFE"/>
    <w:rsid w:val="00CA2FB2"/>
    <w:rsid w:val="00CA31C0"/>
    <w:rsid w:val="00CA32EC"/>
    <w:rsid w:val="00CA3406"/>
    <w:rsid w:val="00CA34CF"/>
    <w:rsid w:val="00CA34F4"/>
    <w:rsid w:val="00CA37A6"/>
    <w:rsid w:val="00CA3897"/>
    <w:rsid w:val="00CA38D6"/>
    <w:rsid w:val="00CA39E9"/>
    <w:rsid w:val="00CA3A22"/>
    <w:rsid w:val="00CA3A30"/>
    <w:rsid w:val="00CA3A61"/>
    <w:rsid w:val="00CA3D3A"/>
    <w:rsid w:val="00CA3D7B"/>
    <w:rsid w:val="00CA3E20"/>
    <w:rsid w:val="00CA4123"/>
    <w:rsid w:val="00CA42BD"/>
    <w:rsid w:val="00CA42D6"/>
    <w:rsid w:val="00CA45BB"/>
    <w:rsid w:val="00CA4619"/>
    <w:rsid w:val="00CA48A9"/>
    <w:rsid w:val="00CA4A65"/>
    <w:rsid w:val="00CA4C83"/>
    <w:rsid w:val="00CA4D3C"/>
    <w:rsid w:val="00CA4F1A"/>
    <w:rsid w:val="00CA5011"/>
    <w:rsid w:val="00CA5189"/>
    <w:rsid w:val="00CA528A"/>
    <w:rsid w:val="00CA5401"/>
    <w:rsid w:val="00CA540A"/>
    <w:rsid w:val="00CA558A"/>
    <w:rsid w:val="00CA55E6"/>
    <w:rsid w:val="00CA57A8"/>
    <w:rsid w:val="00CA58E6"/>
    <w:rsid w:val="00CA59B9"/>
    <w:rsid w:val="00CA5C73"/>
    <w:rsid w:val="00CA5D02"/>
    <w:rsid w:val="00CA5D87"/>
    <w:rsid w:val="00CA5E4A"/>
    <w:rsid w:val="00CA5EE4"/>
    <w:rsid w:val="00CA5F01"/>
    <w:rsid w:val="00CA5F98"/>
    <w:rsid w:val="00CA5FDA"/>
    <w:rsid w:val="00CA64AF"/>
    <w:rsid w:val="00CA64B0"/>
    <w:rsid w:val="00CA64F5"/>
    <w:rsid w:val="00CA6588"/>
    <w:rsid w:val="00CA6599"/>
    <w:rsid w:val="00CA679F"/>
    <w:rsid w:val="00CA692F"/>
    <w:rsid w:val="00CA6B4D"/>
    <w:rsid w:val="00CA6BC2"/>
    <w:rsid w:val="00CA6D2C"/>
    <w:rsid w:val="00CA6D2F"/>
    <w:rsid w:val="00CA6E0C"/>
    <w:rsid w:val="00CA6F7C"/>
    <w:rsid w:val="00CA6FD7"/>
    <w:rsid w:val="00CA7056"/>
    <w:rsid w:val="00CA71E3"/>
    <w:rsid w:val="00CA7381"/>
    <w:rsid w:val="00CA7824"/>
    <w:rsid w:val="00CA79BA"/>
    <w:rsid w:val="00CA7B29"/>
    <w:rsid w:val="00CA7E8A"/>
    <w:rsid w:val="00CA7F42"/>
    <w:rsid w:val="00CB012B"/>
    <w:rsid w:val="00CB0166"/>
    <w:rsid w:val="00CB0269"/>
    <w:rsid w:val="00CB037B"/>
    <w:rsid w:val="00CB0395"/>
    <w:rsid w:val="00CB0504"/>
    <w:rsid w:val="00CB0593"/>
    <w:rsid w:val="00CB05A9"/>
    <w:rsid w:val="00CB0954"/>
    <w:rsid w:val="00CB095F"/>
    <w:rsid w:val="00CB0B5B"/>
    <w:rsid w:val="00CB0D43"/>
    <w:rsid w:val="00CB0D7D"/>
    <w:rsid w:val="00CB0FCC"/>
    <w:rsid w:val="00CB111C"/>
    <w:rsid w:val="00CB11B3"/>
    <w:rsid w:val="00CB136A"/>
    <w:rsid w:val="00CB15E9"/>
    <w:rsid w:val="00CB15FE"/>
    <w:rsid w:val="00CB16D7"/>
    <w:rsid w:val="00CB1768"/>
    <w:rsid w:val="00CB19FB"/>
    <w:rsid w:val="00CB1B81"/>
    <w:rsid w:val="00CB1D0C"/>
    <w:rsid w:val="00CB1E54"/>
    <w:rsid w:val="00CB1F4E"/>
    <w:rsid w:val="00CB2050"/>
    <w:rsid w:val="00CB206C"/>
    <w:rsid w:val="00CB2174"/>
    <w:rsid w:val="00CB22F5"/>
    <w:rsid w:val="00CB25AC"/>
    <w:rsid w:val="00CB26AB"/>
    <w:rsid w:val="00CB26C2"/>
    <w:rsid w:val="00CB28C1"/>
    <w:rsid w:val="00CB2925"/>
    <w:rsid w:val="00CB2A44"/>
    <w:rsid w:val="00CB2BD5"/>
    <w:rsid w:val="00CB2C11"/>
    <w:rsid w:val="00CB2C7D"/>
    <w:rsid w:val="00CB2DF3"/>
    <w:rsid w:val="00CB2F9F"/>
    <w:rsid w:val="00CB30B1"/>
    <w:rsid w:val="00CB32E5"/>
    <w:rsid w:val="00CB353A"/>
    <w:rsid w:val="00CB3544"/>
    <w:rsid w:val="00CB3562"/>
    <w:rsid w:val="00CB3589"/>
    <w:rsid w:val="00CB3699"/>
    <w:rsid w:val="00CB3794"/>
    <w:rsid w:val="00CB379B"/>
    <w:rsid w:val="00CB390C"/>
    <w:rsid w:val="00CB3A80"/>
    <w:rsid w:val="00CB3B6E"/>
    <w:rsid w:val="00CB3B76"/>
    <w:rsid w:val="00CB3D7F"/>
    <w:rsid w:val="00CB3EDC"/>
    <w:rsid w:val="00CB400D"/>
    <w:rsid w:val="00CB41EE"/>
    <w:rsid w:val="00CB4251"/>
    <w:rsid w:val="00CB44DF"/>
    <w:rsid w:val="00CB4500"/>
    <w:rsid w:val="00CB476A"/>
    <w:rsid w:val="00CB48A5"/>
    <w:rsid w:val="00CB4A60"/>
    <w:rsid w:val="00CB4B82"/>
    <w:rsid w:val="00CB4EFF"/>
    <w:rsid w:val="00CB5127"/>
    <w:rsid w:val="00CB51DA"/>
    <w:rsid w:val="00CB54B9"/>
    <w:rsid w:val="00CB54C4"/>
    <w:rsid w:val="00CB560B"/>
    <w:rsid w:val="00CB565D"/>
    <w:rsid w:val="00CB58D6"/>
    <w:rsid w:val="00CB5995"/>
    <w:rsid w:val="00CB59B1"/>
    <w:rsid w:val="00CB5A0E"/>
    <w:rsid w:val="00CB5A12"/>
    <w:rsid w:val="00CB5C55"/>
    <w:rsid w:val="00CB5D4C"/>
    <w:rsid w:val="00CB5D5B"/>
    <w:rsid w:val="00CB5DE1"/>
    <w:rsid w:val="00CB5DF9"/>
    <w:rsid w:val="00CB5E67"/>
    <w:rsid w:val="00CB5F5E"/>
    <w:rsid w:val="00CB6019"/>
    <w:rsid w:val="00CB610B"/>
    <w:rsid w:val="00CB6123"/>
    <w:rsid w:val="00CB631F"/>
    <w:rsid w:val="00CB63D9"/>
    <w:rsid w:val="00CB63DC"/>
    <w:rsid w:val="00CB63FC"/>
    <w:rsid w:val="00CB6734"/>
    <w:rsid w:val="00CB683A"/>
    <w:rsid w:val="00CB6A92"/>
    <w:rsid w:val="00CB6CDE"/>
    <w:rsid w:val="00CB703A"/>
    <w:rsid w:val="00CB7118"/>
    <w:rsid w:val="00CB7169"/>
    <w:rsid w:val="00CB7316"/>
    <w:rsid w:val="00CB737F"/>
    <w:rsid w:val="00CB73A7"/>
    <w:rsid w:val="00CB73DC"/>
    <w:rsid w:val="00CB74B0"/>
    <w:rsid w:val="00CB74B9"/>
    <w:rsid w:val="00CB7691"/>
    <w:rsid w:val="00CB7A92"/>
    <w:rsid w:val="00CB7E35"/>
    <w:rsid w:val="00CC0216"/>
    <w:rsid w:val="00CC02A4"/>
    <w:rsid w:val="00CC03F9"/>
    <w:rsid w:val="00CC054C"/>
    <w:rsid w:val="00CC0743"/>
    <w:rsid w:val="00CC0855"/>
    <w:rsid w:val="00CC0958"/>
    <w:rsid w:val="00CC0AE1"/>
    <w:rsid w:val="00CC0C63"/>
    <w:rsid w:val="00CC0CC2"/>
    <w:rsid w:val="00CC0E5A"/>
    <w:rsid w:val="00CC0F27"/>
    <w:rsid w:val="00CC0F5B"/>
    <w:rsid w:val="00CC0F99"/>
    <w:rsid w:val="00CC12D2"/>
    <w:rsid w:val="00CC16C3"/>
    <w:rsid w:val="00CC171C"/>
    <w:rsid w:val="00CC1880"/>
    <w:rsid w:val="00CC19EE"/>
    <w:rsid w:val="00CC1A41"/>
    <w:rsid w:val="00CC1D1A"/>
    <w:rsid w:val="00CC1D1F"/>
    <w:rsid w:val="00CC1D28"/>
    <w:rsid w:val="00CC1EF0"/>
    <w:rsid w:val="00CC1EFA"/>
    <w:rsid w:val="00CC2098"/>
    <w:rsid w:val="00CC21B3"/>
    <w:rsid w:val="00CC2218"/>
    <w:rsid w:val="00CC22DB"/>
    <w:rsid w:val="00CC24B0"/>
    <w:rsid w:val="00CC2632"/>
    <w:rsid w:val="00CC2693"/>
    <w:rsid w:val="00CC26D7"/>
    <w:rsid w:val="00CC277D"/>
    <w:rsid w:val="00CC2840"/>
    <w:rsid w:val="00CC2872"/>
    <w:rsid w:val="00CC2B43"/>
    <w:rsid w:val="00CC2BE3"/>
    <w:rsid w:val="00CC2C93"/>
    <w:rsid w:val="00CC2DDD"/>
    <w:rsid w:val="00CC2E2C"/>
    <w:rsid w:val="00CC2F3C"/>
    <w:rsid w:val="00CC313D"/>
    <w:rsid w:val="00CC31D3"/>
    <w:rsid w:val="00CC3244"/>
    <w:rsid w:val="00CC3515"/>
    <w:rsid w:val="00CC3526"/>
    <w:rsid w:val="00CC3726"/>
    <w:rsid w:val="00CC3838"/>
    <w:rsid w:val="00CC3870"/>
    <w:rsid w:val="00CC3890"/>
    <w:rsid w:val="00CC3908"/>
    <w:rsid w:val="00CC39BC"/>
    <w:rsid w:val="00CC3AD9"/>
    <w:rsid w:val="00CC3C07"/>
    <w:rsid w:val="00CC3D72"/>
    <w:rsid w:val="00CC429B"/>
    <w:rsid w:val="00CC434D"/>
    <w:rsid w:val="00CC4368"/>
    <w:rsid w:val="00CC44E3"/>
    <w:rsid w:val="00CC4571"/>
    <w:rsid w:val="00CC4665"/>
    <w:rsid w:val="00CC4A62"/>
    <w:rsid w:val="00CC4B43"/>
    <w:rsid w:val="00CC4B80"/>
    <w:rsid w:val="00CC4BA9"/>
    <w:rsid w:val="00CC4C6A"/>
    <w:rsid w:val="00CC4C88"/>
    <w:rsid w:val="00CC4D8A"/>
    <w:rsid w:val="00CC4E24"/>
    <w:rsid w:val="00CC4F5C"/>
    <w:rsid w:val="00CC512A"/>
    <w:rsid w:val="00CC530E"/>
    <w:rsid w:val="00CC5424"/>
    <w:rsid w:val="00CC5477"/>
    <w:rsid w:val="00CC5563"/>
    <w:rsid w:val="00CC5715"/>
    <w:rsid w:val="00CC5776"/>
    <w:rsid w:val="00CC592B"/>
    <w:rsid w:val="00CC599E"/>
    <w:rsid w:val="00CC5A3B"/>
    <w:rsid w:val="00CC5BA6"/>
    <w:rsid w:val="00CC5BFA"/>
    <w:rsid w:val="00CC5D47"/>
    <w:rsid w:val="00CC5ED1"/>
    <w:rsid w:val="00CC5F82"/>
    <w:rsid w:val="00CC5FF3"/>
    <w:rsid w:val="00CC605A"/>
    <w:rsid w:val="00CC61F4"/>
    <w:rsid w:val="00CC6260"/>
    <w:rsid w:val="00CC628C"/>
    <w:rsid w:val="00CC6395"/>
    <w:rsid w:val="00CC63EE"/>
    <w:rsid w:val="00CC6442"/>
    <w:rsid w:val="00CC6559"/>
    <w:rsid w:val="00CC65CA"/>
    <w:rsid w:val="00CC664F"/>
    <w:rsid w:val="00CC667C"/>
    <w:rsid w:val="00CC6782"/>
    <w:rsid w:val="00CC67DC"/>
    <w:rsid w:val="00CC698E"/>
    <w:rsid w:val="00CC6B2B"/>
    <w:rsid w:val="00CC6C0A"/>
    <w:rsid w:val="00CC6D00"/>
    <w:rsid w:val="00CC6EDA"/>
    <w:rsid w:val="00CC6EEE"/>
    <w:rsid w:val="00CC70D8"/>
    <w:rsid w:val="00CC7242"/>
    <w:rsid w:val="00CC72EB"/>
    <w:rsid w:val="00CC732A"/>
    <w:rsid w:val="00CC7394"/>
    <w:rsid w:val="00CC74E3"/>
    <w:rsid w:val="00CC7501"/>
    <w:rsid w:val="00CC760D"/>
    <w:rsid w:val="00CC77EB"/>
    <w:rsid w:val="00CC7816"/>
    <w:rsid w:val="00CC785C"/>
    <w:rsid w:val="00CC7948"/>
    <w:rsid w:val="00CC7A26"/>
    <w:rsid w:val="00CC7BCC"/>
    <w:rsid w:val="00CC7D66"/>
    <w:rsid w:val="00CC7D90"/>
    <w:rsid w:val="00CD026D"/>
    <w:rsid w:val="00CD02A5"/>
    <w:rsid w:val="00CD033A"/>
    <w:rsid w:val="00CD0432"/>
    <w:rsid w:val="00CD06A7"/>
    <w:rsid w:val="00CD06DD"/>
    <w:rsid w:val="00CD0919"/>
    <w:rsid w:val="00CD093B"/>
    <w:rsid w:val="00CD0A15"/>
    <w:rsid w:val="00CD0BC5"/>
    <w:rsid w:val="00CD0BD0"/>
    <w:rsid w:val="00CD0D7C"/>
    <w:rsid w:val="00CD0DB9"/>
    <w:rsid w:val="00CD0E61"/>
    <w:rsid w:val="00CD0F66"/>
    <w:rsid w:val="00CD0F69"/>
    <w:rsid w:val="00CD113F"/>
    <w:rsid w:val="00CD1404"/>
    <w:rsid w:val="00CD162D"/>
    <w:rsid w:val="00CD181F"/>
    <w:rsid w:val="00CD1A07"/>
    <w:rsid w:val="00CD1C56"/>
    <w:rsid w:val="00CD1F44"/>
    <w:rsid w:val="00CD203A"/>
    <w:rsid w:val="00CD214F"/>
    <w:rsid w:val="00CD2195"/>
    <w:rsid w:val="00CD25FA"/>
    <w:rsid w:val="00CD2651"/>
    <w:rsid w:val="00CD266C"/>
    <w:rsid w:val="00CD27FC"/>
    <w:rsid w:val="00CD29A5"/>
    <w:rsid w:val="00CD29F2"/>
    <w:rsid w:val="00CD2BD5"/>
    <w:rsid w:val="00CD2BD7"/>
    <w:rsid w:val="00CD2CD0"/>
    <w:rsid w:val="00CD2E1A"/>
    <w:rsid w:val="00CD2EAC"/>
    <w:rsid w:val="00CD2F31"/>
    <w:rsid w:val="00CD2F7F"/>
    <w:rsid w:val="00CD2FAC"/>
    <w:rsid w:val="00CD2FBB"/>
    <w:rsid w:val="00CD2FE2"/>
    <w:rsid w:val="00CD3024"/>
    <w:rsid w:val="00CD3720"/>
    <w:rsid w:val="00CD3A1B"/>
    <w:rsid w:val="00CD3D85"/>
    <w:rsid w:val="00CD41C9"/>
    <w:rsid w:val="00CD41F4"/>
    <w:rsid w:val="00CD4432"/>
    <w:rsid w:val="00CD4450"/>
    <w:rsid w:val="00CD4504"/>
    <w:rsid w:val="00CD4521"/>
    <w:rsid w:val="00CD4579"/>
    <w:rsid w:val="00CD45A8"/>
    <w:rsid w:val="00CD47D6"/>
    <w:rsid w:val="00CD4909"/>
    <w:rsid w:val="00CD4918"/>
    <w:rsid w:val="00CD4C1B"/>
    <w:rsid w:val="00CD4C20"/>
    <w:rsid w:val="00CD4E19"/>
    <w:rsid w:val="00CD5163"/>
    <w:rsid w:val="00CD519E"/>
    <w:rsid w:val="00CD51C4"/>
    <w:rsid w:val="00CD5376"/>
    <w:rsid w:val="00CD53AF"/>
    <w:rsid w:val="00CD542E"/>
    <w:rsid w:val="00CD5598"/>
    <w:rsid w:val="00CD55F5"/>
    <w:rsid w:val="00CD562F"/>
    <w:rsid w:val="00CD566D"/>
    <w:rsid w:val="00CD5837"/>
    <w:rsid w:val="00CD58ED"/>
    <w:rsid w:val="00CD5993"/>
    <w:rsid w:val="00CD5BBC"/>
    <w:rsid w:val="00CD5D2C"/>
    <w:rsid w:val="00CD5D3D"/>
    <w:rsid w:val="00CD5D9F"/>
    <w:rsid w:val="00CD5E6D"/>
    <w:rsid w:val="00CD5EED"/>
    <w:rsid w:val="00CD6010"/>
    <w:rsid w:val="00CD6115"/>
    <w:rsid w:val="00CD61FD"/>
    <w:rsid w:val="00CD6420"/>
    <w:rsid w:val="00CD67C5"/>
    <w:rsid w:val="00CD684F"/>
    <w:rsid w:val="00CD6AC7"/>
    <w:rsid w:val="00CD6EC8"/>
    <w:rsid w:val="00CD6FC3"/>
    <w:rsid w:val="00CD7066"/>
    <w:rsid w:val="00CD711E"/>
    <w:rsid w:val="00CD7456"/>
    <w:rsid w:val="00CD761D"/>
    <w:rsid w:val="00CD7623"/>
    <w:rsid w:val="00CD78A2"/>
    <w:rsid w:val="00CD7939"/>
    <w:rsid w:val="00CD7A58"/>
    <w:rsid w:val="00CD7A7E"/>
    <w:rsid w:val="00CD7D82"/>
    <w:rsid w:val="00CD7EB4"/>
    <w:rsid w:val="00CD7FC4"/>
    <w:rsid w:val="00CD7FFA"/>
    <w:rsid w:val="00CE0098"/>
    <w:rsid w:val="00CE01C0"/>
    <w:rsid w:val="00CE0368"/>
    <w:rsid w:val="00CE05D4"/>
    <w:rsid w:val="00CE09A2"/>
    <w:rsid w:val="00CE0A06"/>
    <w:rsid w:val="00CE0A2B"/>
    <w:rsid w:val="00CE0D96"/>
    <w:rsid w:val="00CE0E1B"/>
    <w:rsid w:val="00CE0E8E"/>
    <w:rsid w:val="00CE0FC6"/>
    <w:rsid w:val="00CE109F"/>
    <w:rsid w:val="00CE10F9"/>
    <w:rsid w:val="00CE136E"/>
    <w:rsid w:val="00CE14B7"/>
    <w:rsid w:val="00CE150A"/>
    <w:rsid w:val="00CE15F1"/>
    <w:rsid w:val="00CE1666"/>
    <w:rsid w:val="00CE1758"/>
    <w:rsid w:val="00CE1840"/>
    <w:rsid w:val="00CE1969"/>
    <w:rsid w:val="00CE1BD0"/>
    <w:rsid w:val="00CE1C24"/>
    <w:rsid w:val="00CE1C86"/>
    <w:rsid w:val="00CE1D53"/>
    <w:rsid w:val="00CE1E39"/>
    <w:rsid w:val="00CE2024"/>
    <w:rsid w:val="00CE2057"/>
    <w:rsid w:val="00CE2067"/>
    <w:rsid w:val="00CE229E"/>
    <w:rsid w:val="00CE23BD"/>
    <w:rsid w:val="00CE23FA"/>
    <w:rsid w:val="00CE24CE"/>
    <w:rsid w:val="00CE24DD"/>
    <w:rsid w:val="00CE25D5"/>
    <w:rsid w:val="00CE25D7"/>
    <w:rsid w:val="00CE2654"/>
    <w:rsid w:val="00CE2684"/>
    <w:rsid w:val="00CE28E3"/>
    <w:rsid w:val="00CE2A0B"/>
    <w:rsid w:val="00CE2EAD"/>
    <w:rsid w:val="00CE3154"/>
    <w:rsid w:val="00CE321F"/>
    <w:rsid w:val="00CE3463"/>
    <w:rsid w:val="00CE34E0"/>
    <w:rsid w:val="00CE38C5"/>
    <w:rsid w:val="00CE3B1E"/>
    <w:rsid w:val="00CE3BAC"/>
    <w:rsid w:val="00CE3BD5"/>
    <w:rsid w:val="00CE3F2E"/>
    <w:rsid w:val="00CE406E"/>
    <w:rsid w:val="00CE42DB"/>
    <w:rsid w:val="00CE44E7"/>
    <w:rsid w:val="00CE4723"/>
    <w:rsid w:val="00CE4885"/>
    <w:rsid w:val="00CE48C7"/>
    <w:rsid w:val="00CE49EA"/>
    <w:rsid w:val="00CE4C1C"/>
    <w:rsid w:val="00CE4CD2"/>
    <w:rsid w:val="00CE4D7B"/>
    <w:rsid w:val="00CE4F88"/>
    <w:rsid w:val="00CE5128"/>
    <w:rsid w:val="00CE51F8"/>
    <w:rsid w:val="00CE5436"/>
    <w:rsid w:val="00CE546C"/>
    <w:rsid w:val="00CE5700"/>
    <w:rsid w:val="00CE58AC"/>
    <w:rsid w:val="00CE591F"/>
    <w:rsid w:val="00CE5A87"/>
    <w:rsid w:val="00CE5BD2"/>
    <w:rsid w:val="00CE5CB1"/>
    <w:rsid w:val="00CE5CDC"/>
    <w:rsid w:val="00CE5CF9"/>
    <w:rsid w:val="00CE5D96"/>
    <w:rsid w:val="00CE6072"/>
    <w:rsid w:val="00CE6106"/>
    <w:rsid w:val="00CE6147"/>
    <w:rsid w:val="00CE6510"/>
    <w:rsid w:val="00CE657E"/>
    <w:rsid w:val="00CE65F6"/>
    <w:rsid w:val="00CE6717"/>
    <w:rsid w:val="00CE674E"/>
    <w:rsid w:val="00CE697C"/>
    <w:rsid w:val="00CE6B77"/>
    <w:rsid w:val="00CE6BC8"/>
    <w:rsid w:val="00CE6C64"/>
    <w:rsid w:val="00CE6DEE"/>
    <w:rsid w:val="00CE6DF2"/>
    <w:rsid w:val="00CE7142"/>
    <w:rsid w:val="00CE7260"/>
    <w:rsid w:val="00CE7456"/>
    <w:rsid w:val="00CE769B"/>
    <w:rsid w:val="00CE76F2"/>
    <w:rsid w:val="00CE774F"/>
    <w:rsid w:val="00CE7918"/>
    <w:rsid w:val="00CE7A53"/>
    <w:rsid w:val="00CE7BAF"/>
    <w:rsid w:val="00CE7EC3"/>
    <w:rsid w:val="00CE7FC6"/>
    <w:rsid w:val="00CF005A"/>
    <w:rsid w:val="00CF0597"/>
    <w:rsid w:val="00CF060F"/>
    <w:rsid w:val="00CF06FB"/>
    <w:rsid w:val="00CF0804"/>
    <w:rsid w:val="00CF0929"/>
    <w:rsid w:val="00CF0B00"/>
    <w:rsid w:val="00CF0C39"/>
    <w:rsid w:val="00CF0C93"/>
    <w:rsid w:val="00CF0D6A"/>
    <w:rsid w:val="00CF0EB4"/>
    <w:rsid w:val="00CF1095"/>
    <w:rsid w:val="00CF10AE"/>
    <w:rsid w:val="00CF1158"/>
    <w:rsid w:val="00CF1381"/>
    <w:rsid w:val="00CF13F5"/>
    <w:rsid w:val="00CF1676"/>
    <w:rsid w:val="00CF16FA"/>
    <w:rsid w:val="00CF175C"/>
    <w:rsid w:val="00CF1863"/>
    <w:rsid w:val="00CF18ED"/>
    <w:rsid w:val="00CF1958"/>
    <w:rsid w:val="00CF1983"/>
    <w:rsid w:val="00CF1987"/>
    <w:rsid w:val="00CF1A2D"/>
    <w:rsid w:val="00CF1BD1"/>
    <w:rsid w:val="00CF1D20"/>
    <w:rsid w:val="00CF1D41"/>
    <w:rsid w:val="00CF1DBE"/>
    <w:rsid w:val="00CF1E45"/>
    <w:rsid w:val="00CF1EBD"/>
    <w:rsid w:val="00CF1F85"/>
    <w:rsid w:val="00CF20D4"/>
    <w:rsid w:val="00CF2120"/>
    <w:rsid w:val="00CF22D8"/>
    <w:rsid w:val="00CF234C"/>
    <w:rsid w:val="00CF2633"/>
    <w:rsid w:val="00CF2913"/>
    <w:rsid w:val="00CF2ACA"/>
    <w:rsid w:val="00CF2B14"/>
    <w:rsid w:val="00CF2BC3"/>
    <w:rsid w:val="00CF2C66"/>
    <w:rsid w:val="00CF2C97"/>
    <w:rsid w:val="00CF2D3E"/>
    <w:rsid w:val="00CF2D7D"/>
    <w:rsid w:val="00CF2F85"/>
    <w:rsid w:val="00CF315F"/>
    <w:rsid w:val="00CF3498"/>
    <w:rsid w:val="00CF3636"/>
    <w:rsid w:val="00CF37F3"/>
    <w:rsid w:val="00CF3B40"/>
    <w:rsid w:val="00CF3B7A"/>
    <w:rsid w:val="00CF3BA0"/>
    <w:rsid w:val="00CF3BF8"/>
    <w:rsid w:val="00CF3CD3"/>
    <w:rsid w:val="00CF3E31"/>
    <w:rsid w:val="00CF3EE4"/>
    <w:rsid w:val="00CF3F51"/>
    <w:rsid w:val="00CF3FFE"/>
    <w:rsid w:val="00CF403C"/>
    <w:rsid w:val="00CF4092"/>
    <w:rsid w:val="00CF4123"/>
    <w:rsid w:val="00CF42BA"/>
    <w:rsid w:val="00CF4377"/>
    <w:rsid w:val="00CF438F"/>
    <w:rsid w:val="00CF439F"/>
    <w:rsid w:val="00CF43E1"/>
    <w:rsid w:val="00CF4509"/>
    <w:rsid w:val="00CF4658"/>
    <w:rsid w:val="00CF4811"/>
    <w:rsid w:val="00CF48BE"/>
    <w:rsid w:val="00CF490A"/>
    <w:rsid w:val="00CF4AA8"/>
    <w:rsid w:val="00CF4AB0"/>
    <w:rsid w:val="00CF4C79"/>
    <w:rsid w:val="00CF4CEB"/>
    <w:rsid w:val="00CF4D3D"/>
    <w:rsid w:val="00CF4D6F"/>
    <w:rsid w:val="00CF4E5C"/>
    <w:rsid w:val="00CF4EB4"/>
    <w:rsid w:val="00CF5341"/>
    <w:rsid w:val="00CF570A"/>
    <w:rsid w:val="00CF5B88"/>
    <w:rsid w:val="00CF5CDF"/>
    <w:rsid w:val="00CF5CEE"/>
    <w:rsid w:val="00CF5D2B"/>
    <w:rsid w:val="00CF5D3A"/>
    <w:rsid w:val="00CF5E2D"/>
    <w:rsid w:val="00CF5F92"/>
    <w:rsid w:val="00CF5FED"/>
    <w:rsid w:val="00CF6052"/>
    <w:rsid w:val="00CF61CE"/>
    <w:rsid w:val="00CF651D"/>
    <w:rsid w:val="00CF6672"/>
    <w:rsid w:val="00CF6823"/>
    <w:rsid w:val="00CF6EBD"/>
    <w:rsid w:val="00CF6EDA"/>
    <w:rsid w:val="00CF6EFB"/>
    <w:rsid w:val="00CF6FF2"/>
    <w:rsid w:val="00CF7120"/>
    <w:rsid w:val="00CF724C"/>
    <w:rsid w:val="00CF7270"/>
    <w:rsid w:val="00CF74CD"/>
    <w:rsid w:val="00CF75EA"/>
    <w:rsid w:val="00CF765E"/>
    <w:rsid w:val="00CF7764"/>
    <w:rsid w:val="00CF777E"/>
    <w:rsid w:val="00CF78C8"/>
    <w:rsid w:val="00CF7A4B"/>
    <w:rsid w:val="00CF7AAE"/>
    <w:rsid w:val="00CF7AFF"/>
    <w:rsid w:val="00CF7B08"/>
    <w:rsid w:val="00CF7C5F"/>
    <w:rsid w:val="00CF7C77"/>
    <w:rsid w:val="00CF7D86"/>
    <w:rsid w:val="00CF7EC3"/>
    <w:rsid w:val="00CF7F01"/>
    <w:rsid w:val="00CF7F0D"/>
    <w:rsid w:val="00D0003B"/>
    <w:rsid w:val="00D0007E"/>
    <w:rsid w:val="00D000D0"/>
    <w:rsid w:val="00D000EE"/>
    <w:rsid w:val="00D001B4"/>
    <w:rsid w:val="00D001DE"/>
    <w:rsid w:val="00D002AC"/>
    <w:rsid w:val="00D00374"/>
    <w:rsid w:val="00D003B7"/>
    <w:rsid w:val="00D006B8"/>
    <w:rsid w:val="00D0072A"/>
    <w:rsid w:val="00D007C0"/>
    <w:rsid w:val="00D007D3"/>
    <w:rsid w:val="00D0099D"/>
    <w:rsid w:val="00D00A19"/>
    <w:rsid w:val="00D00AB5"/>
    <w:rsid w:val="00D00C32"/>
    <w:rsid w:val="00D00E36"/>
    <w:rsid w:val="00D00E56"/>
    <w:rsid w:val="00D01026"/>
    <w:rsid w:val="00D01062"/>
    <w:rsid w:val="00D0109C"/>
    <w:rsid w:val="00D01116"/>
    <w:rsid w:val="00D0119E"/>
    <w:rsid w:val="00D011AA"/>
    <w:rsid w:val="00D011FB"/>
    <w:rsid w:val="00D012FC"/>
    <w:rsid w:val="00D0130F"/>
    <w:rsid w:val="00D0156D"/>
    <w:rsid w:val="00D015C4"/>
    <w:rsid w:val="00D01667"/>
    <w:rsid w:val="00D017DE"/>
    <w:rsid w:val="00D01A2F"/>
    <w:rsid w:val="00D01BA5"/>
    <w:rsid w:val="00D01C1D"/>
    <w:rsid w:val="00D01CAE"/>
    <w:rsid w:val="00D01D7D"/>
    <w:rsid w:val="00D02028"/>
    <w:rsid w:val="00D0213B"/>
    <w:rsid w:val="00D021B9"/>
    <w:rsid w:val="00D0233F"/>
    <w:rsid w:val="00D02511"/>
    <w:rsid w:val="00D02599"/>
    <w:rsid w:val="00D02865"/>
    <w:rsid w:val="00D028DF"/>
    <w:rsid w:val="00D02A52"/>
    <w:rsid w:val="00D02C89"/>
    <w:rsid w:val="00D02CD2"/>
    <w:rsid w:val="00D02DE2"/>
    <w:rsid w:val="00D02DED"/>
    <w:rsid w:val="00D02F4F"/>
    <w:rsid w:val="00D02FE6"/>
    <w:rsid w:val="00D03077"/>
    <w:rsid w:val="00D03116"/>
    <w:rsid w:val="00D034A6"/>
    <w:rsid w:val="00D03539"/>
    <w:rsid w:val="00D03584"/>
    <w:rsid w:val="00D035D0"/>
    <w:rsid w:val="00D038EF"/>
    <w:rsid w:val="00D03C65"/>
    <w:rsid w:val="00D03DE9"/>
    <w:rsid w:val="00D03E51"/>
    <w:rsid w:val="00D03EF2"/>
    <w:rsid w:val="00D03FE6"/>
    <w:rsid w:val="00D04433"/>
    <w:rsid w:val="00D044D7"/>
    <w:rsid w:val="00D04637"/>
    <w:rsid w:val="00D04646"/>
    <w:rsid w:val="00D0475F"/>
    <w:rsid w:val="00D048F2"/>
    <w:rsid w:val="00D04991"/>
    <w:rsid w:val="00D04BCB"/>
    <w:rsid w:val="00D04C4F"/>
    <w:rsid w:val="00D04CB3"/>
    <w:rsid w:val="00D04DE5"/>
    <w:rsid w:val="00D04EBA"/>
    <w:rsid w:val="00D05160"/>
    <w:rsid w:val="00D051B0"/>
    <w:rsid w:val="00D0527C"/>
    <w:rsid w:val="00D053A2"/>
    <w:rsid w:val="00D053FD"/>
    <w:rsid w:val="00D055B5"/>
    <w:rsid w:val="00D055B6"/>
    <w:rsid w:val="00D0585B"/>
    <w:rsid w:val="00D05B91"/>
    <w:rsid w:val="00D05C14"/>
    <w:rsid w:val="00D05DCF"/>
    <w:rsid w:val="00D05DE9"/>
    <w:rsid w:val="00D05F05"/>
    <w:rsid w:val="00D06129"/>
    <w:rsid w:val="00D062F5"/>
    <w:rsid w:val="00D0657C"/>
    <w:rsid w:val="00D06599"/>
    <w:rsid w:val="00D066CC"/>
    <w:rsid w:val="00D068A4"/>
    <w:rsid w:val="00D06A3D"/>
    <w:rsid w:val="00D06D3D"/>
    <w:rsid w:val="00D06E15"/>
    <w:rsid w:val="00D06FCA"/>
    <w:rsid w:val="00D07431"/>
    <w:rsid w:val="00D0752F"/>
    <w:rsid w:val="00D07990"/>
    <w:rsid w:val="00D07A8E"/>
    <w:rsid w:val="00D07B19"/>
    <w:rsid w:val="00D07B78"/>
    <w:rsid w:val="00D07CE6"/>
    <w:rsid w:val="00D07E96"/>
    <w:rsid w:val="00D07F55"/>
    <w:rsid w:val="00D100F6"/>
    <w:rsid w:val="00D101FB"/>
    <w:rsid w:val="00D10379"/>
    <w:rsid w:val="00D1041A"/>
    <w:rsid w:val="00D104DE"/>
    <w:rsid w:val="00D1093D"/>
    <w:rsid w:val="00D1098D"/>
    <w:rsid w:val="00D10B6A"/>
    <w:rsid w:val="00D10F1B"/>
    <w:rsid w:val="00D110E8"/>
    <w:rsid w:val="00D111DE"/>
    <w:rsid w:val="00D1134A"/>
    <w:rsid w:val="00D11485"/>
    <w:rsid w:val="00D1174B"/>
    <w:rsid w:val="00D1184D"/>
    <w:rsid w:val="00D119AA"/>
    <w:rsid w:val="00D11A88"/>
    <w:rsid w:val="00D11A8A"/>
    <w:rsid w:val="00D11ADA"/>
    <w:rsid w:val="00D11BCB"/>
    <w:rsid w:val="00D11DB7"/>
    <w:rsid w:val="00D11E02"/>
    <w:rsid w:val="00D11F40"/>
    <w:rsid w:val="00D11F78"/>
    <w:rsid w:val="00D11FBE"/>
    <w:rsid w:val="00D12305"/>
    <w:rsid w:val="00D1274E"/>
    <w:rsid w:val="00D12758"/>
    <w:rsid w:val="00D127DC"/>
    <w:rsid w:val="00D128A9"/>
    <w:rsid w:val="00D12A77"/>
    <w:rsid w:val="00D12D65"/>
    <w:rsid w:val="00D12DA9"/>
    <w:rsid w:val="00D12E1D"/>
    <w:rsid w:val="00D13281"/>
    <w:rsid w:val="00D13402"/>
    <w:rsid w:val="00D1348A"/>
    <w:rsid w:val="00D134FA"/>
    <w:rsid w:val="00D1359E"/>
    <w:rsid w:val="00D13842"/>
    <w:rsid w:val="00D13865"/>
    <w:rsid w:val="00D138CC"/>
    <w:rsid w:val="00D13BE7"/>
    <w:rsid w:val="00D13CB0"/>
    <w:rsid w:val="00D13E1B"/>
    <w:rsid w:val="00D13F73"/>
    <w:rsid w:val="00D13FB7"/>
    <w:rsid w:val="00D13FDD"/>
    <w:rsid w:val="00D14058"/>
    <w:rsid w:val="00D140F2"/>
    <w:rsid w:val="00D141D7"/>
    <w:rsid w:val="00D14300"/>
    <w:rsid w:val="00D1448D"/>
    <w:rsid w:val="00D14787"/>
    <w:rsid w:val="00D147AB"/>
    <w:rsid w:val="00D14865"/>
    <w:rsid w:val="00D14908"/>
    <w:rsid w:val="00D1491A"/>
    <w:rsid w:val="00D14A3B"/>
    <w:rsid w:val="00D14A8D"/>
    <w:rsid w:val="00D14B96"/>
    <w:rsid w:val="00D14CC0"/>
    <w:rsid w:val="00D14DF9"/>
    <w:rsid w:val="00D14E59"/>
    <w:rsid w:val="00D150C2"/>
    <w:rsid w:val="00D15101"/>
    <w:rsid w:val="00D15128"/>
    <w:rsid w:val="00D15186"/>
    <w:rsid w:val="00D15206"/>
    <w:rsid w:val="00D1525B"/>
    <w:rsid w:val="00D15377"/>
    <w:rsid w:val="00D155F3"/>
    <w:rsid w:val="00D15698"/>
    <w:rsid w:val="00D15716"/>
    <w:rsid w:val="00D15972"/>
    <w:rsid w:val="00D159FD"/>
    <w:rsid w:val="00D1600E"/>
    <w:rsid w:val="00D160CA"/>
    <w:rsid w:val="00D1625F"/>
    <w:rsid w:val="00D1628C"/>
    <w:rsid w:val="00D163FB"/>
    <w:rsid w:val="00D167A0"/>
    <w:rsid w:val="00D168FC"/>
    <w:rsid w:val="00D16964"/>
    <w:rsid w:val="00D16A20"/>
    <w:rsid w:val="00D16A61"/>
    <w:rsid w:val="00D16B68"/>
    <w:rsid w:val="00D16BDA"/>
    <w:rsid w:val="00D16D7B"/>
    <w:rsid w:val="00D16F64"/>
    <w:rsid w:val="00D16FAF"/>
    <w:rsid w:val="00D170E6"/>
    <w:rsid w:val="00D1710D"/>
    <w:rsid w:val="00D17209"/>
    <w:rsid w:val="00D17355"/>
    <w:rsid w:val="00D1738D"/>
    <w:rsid w:val="00D174D8"/>
    <w:rsid w:val="00D174DD"/>
    <w:rsid w:val="00D174F9"/>
    <w:rsid w:val="00D17506"/>
    <w:rsid w:val="00D17617"/>
    <w:rsid w:val="00D1791F"/>
    <w:rsid w:val="00D17B7A"/>
    <w:rsid w:val="00D17DCD"/>
    <w:rsid w:val="00D17E7D"/>
    <w:rsid w:val="00D20031"/>
    <w:rsid w:val="00D20051"/>
    <w:rsid w:val="00D2011B"/>
    <w:rsid w:val="00D20195"/>
    <w:rsid w:val="00D2029B"/>
    <w:rsid w:val="00D202CC"/>
    <w:rsid w:val="00D20485"/>
    <w:rsid w:val="00D20512"/>
    <w:rsid w:val="00D205EC"/>
    <w:rsid w:val="00D206D9"/>
    <w:rsid w:val="00D20807"/>
    <w:rsid w:val="00D20995"/>
    <w:rsid w:val="00D20A29"/>
    <w:rsid w:val="00D20AC6"/>
    <w:rsid w:val="00D20B54"/>
    <w:rsid w:val="00D20DBA"/>
    <w:rsid w:val="00D20EA9"/>
    <w:rsid w:val="00D20ECC"/>
    <w:rsid w:val="00D21094"/>
    <w:rsid w:val="00D2146F"/>
    <w:rsid w:val="00D214A8"/>
    <w:rsid w:val="00D214EF"/>
    <w:rsid w:val="00D2154E"/>
    <w:rsid w:val="00D21552"/>
    <w:rsid w:val="00D2167A"/>
    <w:rsid w:val="00D2184C"/>
    <w:rsid w:val="00D21928"/>
    <w:rsid w:val="00D21BB5"/>
    <w:rsid w:val="00D21C0A"/>
    <w:rsid w:val="00D21CD6"/>
    <w:rsid w:val="00D21E5D"/>
    <w:rsid w:val="00D21F9B"/>
    <w:rsid w:val="00D21FD0"/>
    <w:rsid w:val="00D22247"/>
    <w:rsid w:val="00D22306"/>
    <w:rsid w:val="00D22496"/>
    <w:rsid w:val="00D2254B"/>
    <w:rsid w:val="00D226CE"/>
    <w:rsid w:val="00D22C19"/>
    <w:rsid w:val="00D22E7E"/>
    <w:rsid w:val="00D22F9A"/>
    <w:rsid w:val="00D22FA0"/>
    <w:rsid w:val="00D230A8"/>
    <w:rsid w:val="00D2318F"/>
    <w:rsid w:val="00D232E3"/>
    <w:rsid w:val="00D2334C"/>
    <w:rsid w:val="00D23372"/>
    <w:rsid w:val="00D235AD"/>
    <w:rsid w:val="00D23617"/>
    <w:rsid w:val="00D2364B"/>
    <w:rsid w:val="00D23674"/>
    <w:rsid w:val="00D236ED"/>
    <w:rsid w:val="00D23737"/>
    <w:rsid w:val="00D23DBE"/>
    <w:rsid w:val="00D23E1F"/>
    <w:rsid w:val="00D23E2C"/>
    <w:rsid w:val="00D23E32"/>
    <w:rsid w:val="00D23E89"/>
    <w:rsid w:val="00D2413D"/>
    <w:rsid w:val="00D241D3"/>
    <w:rsid w:val="00D2444B"/>
    <w:rsid w:val="00D24471"/>
    <w:rsid w:val="00D245E9"/>
    <w:rsid w:val="00D24788"/>
    <w:rsid w:val="00D2480F"/>
    <w:rsid w:val="00D2487B"/>
    <w:rsid w:val="00D24984"/>
    <w:rsid w:val="00D24AB1"/>
    <w:rsid w:val="00D24DAE"/>
    <w:rsid w:val="00D24E8E"/>
    <w:rsid w:val="00D24F95"/>
    <w:rsid w:val="00D251E2"/>
    <w:rsid w:val="00D25247"/>
    <w:rsid w:val="00D254B8"/>
    <w:rsid w:val="00D25536"/>
    <w:rsid w:val="00D2557D"/>
    <w:rsid w:val="00D2569D"/>
    <w:rsid w:val="00D256BC"/>
    <w:rsid w:val="00D25725"/>
    <w:rsid w:val="00D2589F"/>
    <w:rsid w:val="00D258D1"/>
    <w:rsid w:val="00D25ABD"/>
    <w:rsid w:val="00D25B02"/>
    <w:rsid w:val="00D25B8B"/>
    <w:rsid w:val="00D25E7C"/>
    <w:rsid w:val="00D26109"/>
    <w:rsid w:val="00D2614D"/>
    <w:rsid w:val="00D261C6"/>
    <w:rsid w:val="00D26225"/>
    <w:rsid w:val="00D2623F"/>
    <w:rsid w:val="00D262E7"/>
    <w:rsid w:val="00D262F7"/>
    <w:rsid w:val="00D263A8"/>
    <w:rsid w:val="00D263D1"/>
    <w:rsid w:val="00D265C6"/>
    <w:rsid w:val="00D26610"/>
    <w:rsid w:val="00D2675A"/>
    <w:rsid w:val="00D267FE"/>
    <w:rsid w:val="00D2682A"/>
    <w:rsid w:val="00D26A3C"/>
    <w:rsid w:val="00D26E08"/>
    <w:rsid w:val="00D26E30"/>
    <w:rsid w:val="00D26E92"/>
    <w:rsid w:val="00D26EE2"/>
    <w:rsid w:val="00D26F53"/>
    <w:rsid w:val="00D2717A"/>
    <w:rsid w:val="00D272F7"/>
    <w:rsid w:val="00D27351"/>
    <w:rsid w:val="00D27462"/>
    <w:rsid w:val="00D2750E"/>
    <w:rsid w:val="00D275A9"/>
    <w:rsid w:val="00D276F4"/>
    <w:rsid w:val="00D27799"/>
    <w:rsid w:val="00D277BF"/>
    <w:rsid w:val="00D27895"/>
    <w:rsid w:val="00D27AB9"/>
    <w:rsid w:val="00D305AA"/>
    <w:rsid w:val="00D305FD"/>
    <w:rsid w:val="00D3098D"/>
    <w:rsid w:val="00D30B68"/>
    <w:rsid w:val="00D30BAA"/>
    <w:rsid w:val="00D30D0E"/>
    <w:rsid w:val="00D30E8F"/>
    <w:rsid w:val="00D30FFE"/>
    <w:rsid w:val="00D3116C"/>
    <w:rsid w:val="00D311A5"/>
    <w:rsid w:val="00D31372"/>
    <w:rsid w:val="00D313B3"/>
    <w:rsid w:val="00D3159F"/>
    <w:rsid w:val="00D317CA"/>
    <w:rsid w:val="00D31853"/>
    <w:rsid w:val="00D31986"/>
    <w:rsid w:val="00D31B06"/>
    <w:rsid w:val="00D31C5D"/>
    <w:rsid w:val="00D31E34"/>
    <w:rsid w:val="00D32520"/>
    <w:rsid w:val="00D325FB"/>
    <w:rsid w:val="00D32644"/>
    <w:rsid w:val="00D328AB"/>
    <w:rsid w:val="00D3292B"/>
    <w:rsid w:val="00D329F2"/>
    <w:rsid w:val="00D32B67"/>
    <w:rsid w:val="00D32DEE"/>
    <w:rsid w:val="00D32E71"/>
    <w:rsid w:val="00D32ED6"/>
    <w:rsid w:val="00D32FDB"/>
    <w:rsid w:val="00D33196"/>
    <w:rsid w:val="00D33207"/>
    <w:rsid w:val="00D3340B"/>
    <w:rsid w:val="00D3358E"/>
    <w:rsid w:val="00D3362D"/>
    <w:rsid w:val="00D336F0"/>
    <w:rsid w:val="00D3380E"/>
    <w:rsid w:val="00D339CA"/>
    <w:rsid w:val="00D339F2"/>
    <w:rsid w:val="00D33A56"/>
    <w:rsid w:val="00D33AEC"/>
    <w:rsid w:val="00D33AFC"/>
    <w:rsid w:val="00D33DAF"/>
    <w:rsid w:val="00D33DFA"/>
    <w:rsid w:val="00D33F02"/>
    <w:rsid w:val="00D3409B"/>
    <w:rsid w:val="00D34212"/>
    <w:rsid w:val="00D34282"/>
    <w:rsid w:val="00D343D1"/>
    <w:rsid w:val="00D34521"/>
    <w:rsid w:val="00D34808"/>
    <w:rsid w:val="00D34BA4"/>
    <w:rsid w:val="00D34CA0"/>
    <w:rsid w:val="00D34DA3"/>
    <w:rsid w:val="00D34E49"/>
    <w:rsid w:val="00D352DF"/>
    <w:rsid w:val="00D3535D"/>
    <w:rsid w:val="00D35599"/>
    <w:rsid w:val="00D3572E"/>
    <w:rsid w:val="00D35828"/>
    <w:rsid w:val="00D358F7"/>
    <w:rsid w:val="00D3599C"/>
    <w:rsid w:val="00D35B40"/>
    <w:rsid w:val="00D36376"/>
    <w:rsid w:val="00D3639E"/>
    <w:rsid w:val="00D363B6"/>
    <w:rsid w:val="00D3656E"/>
    <w:rsid w:val="00D365E2"/>
    <w:rsid w:val="00D36689"/>
    <w:rsid w:val="00D36998"/>
    <w:rsid w:val="00D36A63"/>
    <w:rsid w:val="00D36C19"/>
    <w:rsid w:val="00D36C43"/>
    <w:rsid w:val="00D36CE6"/>
    <w:rsid w:val="00D36D06"/>
    <w:rsid w:val="00D36D53"/>
    <w:rsid w:val="00D36DB2"/>
    <w:rsid w:val="00D36E67"/>
    <w:rsid w:val="00D36FB1"/>
    <w:rsid w:val="00D36FE1"/>
    <w:rsid w:val="00D370A7"/>
    <w:rsid w:val="00D37177"/>
    <w:rsid w:val="00D372B4"/>
    <w:rsid w:val="00D37345"/>
    <w:rsid w:val="00D37397"/>
    <w:rsid w:val="00D373C4"/>
    <w:rsid w:val="00D37463"/>
    <w:rsid w:val="00D374CF"/>
    <w:rsid w:val="00D374E4"/>
    <w:rsid w:val="00D37563"/>
    <w:rsid w:val="00D37594"/>
    <w:rsid w:val="00D37605"/>
    <w:rsid w:val="00D376A0"/>
    <w:rsid w:val="00D376E8"/>
    <w:rsid w:val="00D3775D"/>
    <w:rsid w:val="00D37850"/>
    <w:rsid w:val="00D37920"/>
    <w:rsid w:val="00D3792B"/>
    <w:rsid w:val="00D37A68"/>
    <w:rsid w:val="00D37B5B"/>
    <w:rsid w:val="00D37B6C"/>
    <w:rsid w:val="00D37B8A"/>
    <w:rsid w:val="00D37EF5"/>
    <w:rsid w:val="00D400D1"/>
    <w:rsid w:val="00D402CA"/>
    <w:rsid w:val="00D40354"/>
    <w:rsid w:val="00D40515"/>
    <w:rsid w:val="00D4063F"/>
    <w:rsid w:val="00D40696"/>
    <w:rsid w:val="00D406C3"/>
    <w:rsid w:val="00D40999"/>
    <w:rsid w:val="00D40A06"/>
    <w:rsid w:val="00D40AE2"/>
    <w:rsid w:val="00D40C75"/>
    <w:rsid w:val="00D40CB2"/>
    <w:rsid w:val="00D40EDA"/>
    <w:rsid w:val="00D41023"/>
    <w:rsid w:val="00D41281"/>
    <w:rsid w:val="00D412C0"/>
    <w:rsid w:val="00D41693"/>
    <w:rsid w:val="00D4195B"/>
    <w:rsid w:val="00D419C9"/>
    <w:rsid w:val="00D41BA6"/>
    <w:rsid w:val="00D41CEB"/>
    <w:rsid w:val="00D41F13"/>
    <w:rsid w:val="00D41FC3"/>
    <w:rsid w:val="00D41FEA"/>
    <w:rsid w:val="00D42163"/>
    <w:rsid w:val="00D421BC"/>
    <w:rsid w:val="00D42226"/>
    <w:rsid w:val="00D42312"/>
    <w:rsid w:val="00D4231F"/>
    <w:rsid w:val="00D42359"/>
    <w:rsid w:val="00D42404"/>
    <w:rsid w:val="00D4247C"/>
    <w:rsid w:val="00D424D2"/>
    <w:rsid w:val="00D424E3"/>
    <w:rsid w:val="00D42610"/>
    <w:rsid w:val="00D4261B"/>
    <w:rsid w:val="00D4261D"/>
    <w:rsid w:val="00D42857"/>
    <w:rsid w:val="00D4288F"/>
    <w:rsid w:val="00D428B9"/>
    <w:rsid w:val="00D428E8"/>
    <w:rsid w:val="00D42911"/>
    <w:rsid w:val="00D42976"/>
    <w:rsid w:val="00D42A80"/>
    <w:rsid w:val="00D42C9D"/>
    <w:rsid w:val="00D42CC5"/>
    <w:rsid w:val="00D42E50"/>
    <w:rsid w:val="00D42F27"/>
    <w:rsid w:val="00D42FEF"/>
    <w:rsid w:val="00D430DE"/>
    <w:rsid w:val="00D43246"/>
    <w:rsid w:val="00D4331B"/>
    <w:rsid w:val="00D43352"/>
    <w:rsid w:val="00D4339A"/>
    <w:rsid w:val="00D4350C"/>
    <w:rsid w:val="00D4354A"/>
    <w:rsid w:val="00D435D7"/>
    <w:rsid w:val="00D43711"/>
    <w:rsid w:val="00D43792"/>
    <w:rsid w:val="00D437D3"/>
    <w:rsid w:val="00D43979"/>
    <w:rsid w:val="00D43C85"/>
    <w:rsid w:val="00D43E3F"/>
    <w:rsid w:val="00D43E4E"/>
    <w:rsid w:val="00D43F01"/>
    <w:rsid w:val="00D44162"/>
    <w:rsid w:val="00D4416D"/>
    <w:rsid w:val="00D442FD"/>
    <w:rsid w:val="00D444C9"/>
    <w:rsid w:val="00D4450F"/>
    <w:rsid w:val="00D4460E"/>
    <w:rsid w:val="00D44747"/>
    <w:rsid w:val="00D44851"/>
    <w:rsid w:val="00D44AC8"/>
    <w:rsid w:val="00D44C1E"/>
    <w:rsid w:val="00D44EC8"/>
    <w:rsid w:val="00D44F9B"/>
    <w:rsid w:val="00D4506E"/>
    <w:rsid w:val="00D451DB"/>
    <w:rsid w:val="00D453AB"/>
    <w:rsid w:val="00D45562"/>
    <w:rsid w:val="00D45612"/>
    <w:rsid w:val="00D456C1"/>
    <w:rsid w:val="00D45750"/>
    <w:rsid w:val="00D457EA"/>
    <w:rsid w:val="00D45A31"/>
    <w:rsid w:val="00D45C40"/>
    <w:rsid w:val="00D45C42"/>
    <w:rsid w:val="00D45D7F"/>
    <w:rsid w:val="00D45DDC"/>
    <w:rsid w:val="00D45F98"/>
    <w:rsid w:val="00D460F5"/>
    <w:rsid w:val="00D46244"/>
    <w:rsid w:val="00D462C0"/>
    <w:rsid w:val="00D465FC"/>
    <w:rsid w:val="00D46611"/>
    <w:rsid w:val="00D46AA6"/>
    <w:rsid w:val="00D46AF7"/>
    <w:rsid w:val="00D46B15"/>
    <w:rsid w:val="00D46BCB"/>
    <w:rsid w:val="00D46F80"/>
    <w:rsid w:val="00D472AC"/>
    <w:rsid w:val="00D4735E"/>
    <w:rsid w:val="00D4742E"/>
    <w:rsid w:val="00D4770C"/>
    <w:rsid w:val="00D47785"/>
    <w:rsid w:val="00D477FA"/>
    <w:rsid w:val="00D47A93"/>
    <w:rsid w:val="00D47ABA"/>
    <w:rsid w:val="00D47D59"/>
    <w:rsid w:val="00D47DA8"/>
    <w:rsid w:val="00D47E1E"/>
    <w:rsid w:val="00D47EE5"/>
    <w:rsid w:val="00D47F8C"/>
    <w:rsid w:val="00D5001A"/>
    <w:rsid w:val="00D50059"/>
    <w:rsid w:val="00D5005A"/>
    <w:rsid w:val="00D500F2"/>
    <w:rsid w:val="00D50411"/>
    <w:rsid w:val="00D508F3"/>
    <w:rsid w:val="00D50977"/>
    <w:rsid w:val="00D50B6E"/>
    <w:rsid w:val="00D50D24"/>
    <w:rsid w:val="00D50D37"/>
    <w:rsid w:val="00D50D79"/>
    <w:rsid w:val="00D50EF7"/>
    <w:rsid w:val="00D512D2"/>
    <w:rsid w:val="00D5141D"/>
    <w:rsid w:val="00D51436"/>
    <w:rsid w:val="00D51439"/>
    <w:rsid w:val="00D514FC"/>
    <w:rsid w:val="00D517D4"/>
    <w:rsid w:val="00D5190B"/>
    <w:rsid w:val="00D519F2"/>
    <w:rsid w:val="00D519F4"/>
    <w:rsid w:val="00D51B04"/>
    <w:rsid w:val="00D51C77"/>
    <w:rsid w:val="00D51C83"/>
    <w:rsid w:val="00D51E0B"/>
    <w:rsid w:val="00D51F1F"/>
    <w:rsid w:val="00D52202"/>
    <w:rsid w:val="00D52205"/>
    <w:rsid w:val="00D522FA"/>
    <w:rsid w:val="00D5242B"/>
    <w:rsid w:val="00D5251C"/>
    <w:rsid w:val="00D52558"/>
    <w:rsid w:val="00D5293A"/>
    <w:rsid w:val="00D52A28"/>
    <w:rsid w:val="00D52A3C"/>
    <w:rsid w:val="00D52A5E"/>
    <w:rsid w:val="00D52CE8"/>
    <w:rsid w:val="00D52DD2"/>
    <w:rsid w:val="00D52E39"/>
    <w:rsid w:val="00D52E54"/>
    <w:rsid w:val="00D52FF5"/>
    <w:rsid w:val="00D5311C"/>
    <w:rsid w:val="00D531FB"/>
    <w:rsid w:val="00D53355"/>
    <w:rsid w:val="00D5338A"/>
    <w:rsid w:val="00D53492"/>
    <w:rsid w:val="00D53639"/>
    <w:rsid w:val="00D536A7"/>
    <w:rsid w:val="00D53732"/>
    <w:rsid w:val="00D537FC"/>
    <w:rsid w:val="00D5380D"/>
    <w:rsid w:val="00D5389A"/>
    <w:rsid w:val="00D538C9"/>
    <w:rsid w:val="00D539E7"/>
    <w:rsid w:val="00D53A21"/>
    <w:rsid w:val="00D53AFD"/>
    <w:rsid w:val="00D53B69"/>
    <w:rsid w:val="00D53D6B"/>
    <w:rsid w:val="00D53F16"/>
    <w:rsid w:val="00D54064"/>
    <w:rsid w:val="00D541A5"/>
    <w:rsid w:val="00D542FE"/>
    <w:rsid w:val="00D54529"/>
    <w:rsid w:val="00D5464F"/>
    <w:rsid w:val="00D54745"/>
    <w:rsid w:val="00D548F8"/>
    <w:rsid w:val="00D54C64"/>
    <w:rsid w:val="00D54EAA"/>
    <w:rsid w:val="00D5508A"/>
    <w:rsid w:val="00D552B7"/>
    <w:rsid w:val="00D552F7"/>
    <w:rsid w:val="00D5562E"/>
    <w:rsid w:val="00D5570F"/>
    <w:rsid w:val="00D5573A"/>
    <w:rsid w:val="00D5578B"/>
    <w:rsid w:val="00D557B3"/>
    <w:rsid w:val="00D55B5B"/>
    <w:rsid w:val="00D55BAF"/>
    <w:rsid w:val="00D55D5F"/>
    <w:rsid w:val="00D55D70"/>
    <w:rsid w:val="00D55DEF"/>
    <w:rsid w:val="00D55E8F"/>
    <w:rsid w:val="00D55F17"/>
    <w:rsid w:val="00D561C9"/>
    <w:rsid w:val="00D56220"/>
    <w:rsid w:val="00D5625B"/>
    <w:rsid w:val="00D562A9"/>
    <w:rsid w:val="00D563A4"/>
    <w:rsid w:val="00D56491"/>
    <w:rsid w:val="00D56803"/>
    <w:rsid w:val="00D56DFA"/>
    <w:rsid w:val="00D56EDF"/>
    <w:rsid w:val="00D56FD8"/>
    <w:rsid w:val="00D571F7"/>
    <w:rsid w:val="00D57377"/>
    <w:rsid w:val="00D5745D"/>
    <w:rsid w:val="00D57507"/>
    <w:rsid w:val="00D57510"/>
    <w:rsid w:val="00D575E0"/>
    <w:rsid w:val="00D5774E"/>
    <w:rsid w:val="00D57767"/>
    <w:rsid w:val="00D57B3B"/>
    <w:rsid w:val="00D57C44"/>
    <w:rsid w:val="00D57C8E"/>
    <w:rsid w:val="00D57D8D"/>
    <w:rsid w:val="00D57E32"/>
    <w:rsid w:val="00D57E5F"/>
    <w:rsid w:val="00D57FB8"/>
    <w:rsid w:val="00D601AD"/>
    <w:rsid w:val="00D60253"/>
    <w:rsid w:val="00D604C9"/>
    <w:rsid w:val="00D604E3"/>
    <w:rsid w:val="00D60583"/>
    <w:rsid w:val="00D6058F"/>
    <w:rsid w:val="00D605C3"/>
    <w:rsid w:val="00D60740"/>
    <w:rsid w:val="00D60774"/>
    <w:rsid w:val="00D60912"/>
    <w:rsid w:val="00D60A1C"/>
    <w:rsid w:val="00D60A8D"/>
    <w:rsid w:val="00D60A9D"/>
    <w:rsid w:val="00D60C19"/>
    <w:rsid w:val="00D60C1E"/>
    <w:rsid w:val="00D60D20"/>
    <w:rsid w:val="00D60E22"/>
    <w:rsid w:val="00D60EFB"/>
    <w:rsid w:val="00D61029"/>
    <w:rsid w:val="00D610F7"/>
    <w:rsid w:val="00D61302"/>
    <w:rsid w:val="00D61323"/>
    <w:rsid w:val="00D6144E"/>
    <w:rsid w:val="00D615DE"/>
    <w:rsid w:val="00D61830"/>
    <w:rsid w:val="00D618FA"/>
    <w:rsid w:val="00D61B90"/>
    <w:rsid w:val="00D61BAE"/>
    <w:rsid w:val="00D61DA9"/>
    <w:rsid w:val="00D61DF0"/>
    <w:rsid w:val="00D61EF6"/>
    <w:rsid w:val="00D61F1E"/>
    <w:rsid w:val="00D61FBF"/>
    <w:rsid w:val="00D62092"/>
    <w:rsid w:val="00D62128"/>
    <w:rsid w:val="00D6214B"/>
    <w:rsid w:val="00D62428"/>
    <w:rsid w:val="00D624B0"/>
    <w:rsid w:val="00D6271B"/>
    <w:rsid w:val="00D627FB"/>
    <w:rsid w:val="00D62923"/>
    <w:rsid w:val="00D629B9"/>
    <w:rsid w:val="00D62A13"/>
    <w:rsid w:val="00D62A62"/>
    <w:rsid w:val="00D62DA4"/>
    <w:rsid w:val="00D62F4D"/>
    <w:rsid w:val="00D62FAB"/>
    <w:rsid w:val="00D6303F"/>
    <w:rsid w:val="00D6306B"/>
    <w:rsid w:val="00D6317E"/>
    <w:rsid w:val="00D632FA"/>
    <w:rsid w:val="00D6330F"/>
    <w:rsid w:val="00D6332B"/>
    <w:rsid w:val="00D637B8"/>
    <w:rsid w:val="00D637F8"/>
    <w:rsid w:val="00D6392E"/>
    <w:rsid w:val="00D63B46"/>
    <w:rsid w:val="00D63B5A"/>
    <w:rsid w:val="00D63B78"/>
    <w:rsid w:val="00D63BCC"/>
    <w:rsid w:val="00D63D36"/>
    <w:rsid w:val="00D63D3B"/>
    <w:rsid w:val="00D63D71"/>
    <w:rsid w:val="00D63E01"/>
    <w:rsid w:val="00D63E86"/>
    <w:rsid w:val="00D63EC3"/>
    <w:rsid w:val="00D6407D"/>
    <w:rsid w:val="00D6416B"/>
    <w:rsid w:val="00D646C5"/>
    <w:rsid w:val="00D64730"/>
    <w:rsid w:val="00D6495E"/>
    <w:rsid w:val="00D64B70"/>
    <w:rsid w:val="00D64F99"/>
    <w:rsid w:val="00D65099"/>
    <w:rsid w:val="00D652D9"/>
    <w:rsid w:val="00D65313"/>
    <w:rsid w:val="00D654A1"/>
    <w:rsid w:val="00D6556B"/>
    <w:rsid w:val="00D656B8"/>
    <w:rsid w:val="00D656CB"/>
    <w:rsid w:val="00D65842"/>
    <w:rsid w:val="00D6587F"/>
    <w:rsid w:val="00D65981"/>
    <w:rsid w:val="00D65A01"/>
    <w:rsid w:val="00D65C15"/>
    <w:rsid w:val="00D65CB4"/>
    <w:rsid w:val="00D65F51"/>
    <w:rsid w:val="00D66375"/>
    <w:rsid w:val="00D663D0"/>
    <w:rsid w:val="00D665DD"/>
    <w:rsid w:val="00D66895"/>
    <w:rsid w:val="00D668AF"/>
    <w:rsid w:val="00D668F3"/>
    <w:rsid w:val="00D6692C"/>
    <w:rsid w:val="00D66980"/>
    <w:rsid w:val="00D66E13"/>
    <w:rsid w:val="00D66E45"/>
    <w:rsid w:val="00D66E4C"/>
    <w:rsid w:val="00D66E4F"/>
    <w:rsid w:val="00D67054"/>
    <w:rsid w:val="00D670C6"/>
    <w:rsid w:val="00D672BE"/>
    <w:rsid w:val="00D672FD"/>
    <w:rsid w:val="00D67385"/>
    <w:rsid w:val="00D6759C"/>
    <w:rsid w:val="00D6778D"/>
    <w:rsid w:val="00D6784C"/>
    <w:rsid w:val="00D67982"/>
    <w:rsid w:val="00D67B27"/>
    <w:rsid w:val="00D67B61"/>
    <w:rsid w:val="00D67C38"/>
    <w:rsid w:val="00D67C69"/>
    <w:rsid w:val="00D67C95"/>
    <w:rsid w:val="00D67EFC"/>
    <w:rsid w:val="00D67F29"/>
    <w:rsid w:val="00D70167"/>
    <w:rsid w:val="00D70261"/>
    <w:rsid w:val="00D702AB"/>
    <w:rsid w:val="00D70385"/>
    <w:rsid w:val="00D70387"/>
    <w:rsid w:val="00D703F0"/>
    <w:rsid w:val="00D70409"/>
    <w:rsid w:val="00D705AA"/>
    <w:rsid w:val="00D70786"/>
    <w:rsid w:val="00D70971"/>
    <w:rsid w:val="00D70983"/>
    <w:rsid w:val="00D70B5D"/>
    <w:rsid w:val="00D70DDA"/>
    <w:rsid w:val="00D70E24"/>
    <w:rsid w:val="00D70E70"/>
    <w:rsid w:val="00D71068"/>
    <w:rsid w:val="00D7116A"/>
    <w:rsid w:val="00D713BA"/>
    <w:rsid w:val="00D714D2"/>
    <w:rsid w:val="00D71632"/>
    <w:rsid w:val="00D7166E"/>
    <w:rsid w:val="00D716AD"/>
    <w:rsid w:val="00D717F8"/>
    <w:rsid w:val="00D71A87"/>
    <w:rsid w:val="00D720A4"/>
    <w:rsid w:val="00D7214D"/>
    <w:rsid w:val="00D72192"/>
    <w:rsid w:val="00D7232A"/>
    <w:rsid w:val="00D724E3"/>
    <w:rsid w:val="00D726DF"/>
    <w:rsid w:val="00D72826"/>
    <w:rsid w:val="00D72951"/>
    <w:rsid w:val="00D72AD0"/>
    <w:rsid w:val="00D72B9C"/>
    <w:rsid w:val="00D72CC5"/>
    <w:rsid w:val="00D72CE6"/>
    <w:rsid w:val="00D72DF7"/>
    <w:rsid w:val="00D72E17"/>
    <w:rsid w:val="00D72E9A"/>
    <w:rsid w:val="00D73148"/>
    <w:rsid w:val="00D731E6"/>
    <w:rsid w:val="00D734D9"/>
    <w:rsid w:val="00D73589"/>
    <w:rsid w:val="00D73737"/>
    <w:rsid w:val="00D737ED"/>
    <w:rsid w:val="00D7382F"/>
    <w:rsid w:val="00D73A62"/>
    <w:rsid w:val="00D73AD9"/>
    <w:rsid w:val="00D73B9A"/>
    <w:rsid w:val="00D73BD5"/>
    <w:rsid w:val="00D73BDF"/>
    <w:rsid w:val="00D73CCA"/>
    <w:rsid w:val="00D73D84"/>
    <w:rsid w:val="00D73D88"/>
    <w:rsid w:val="00D73E54"/>
    <w:rsid w:val="00D73F9B"/>
    <w:rsid w:val="00D73FD8"/>
    <w:rsid w:val="00D7400D"/>
    <w:rsid w:val="00D742A7"/>
    <w:rsid w:val="00D74450"/>
    <w:rsid w:val="00D74652"/>
    <w:rsid w:val="00D746AC"/>
    <w:rsid w:val="00D7483F"/>
    <w:rsid w:val="00D748A1"/>
    <w:rsid w:val="00D74972"/>
    <w:rsid w:val="00D74BF9"/>
    <w:rsid w:val="00D74C37"/>
    <w:rsid w:val="00D74EEE"/>
    <w:rsid w:val="00D7515C"/>
    <w:rsid w:val="00D752B0"/>
    <w:rsid w:val="00D75387"/>
    <w:rsid w:val="00D753FA"/>
    <w:rsid w:val="00D7543E"/>
    <w:rsid w:val="00D75693"/>
    <w:rsid w:val="00D7573E"/>
    <w:rsid w:val="00D75753"/>
    <w:rsid w:val="00D7585C"/>
    <w:rsid w:val="00D758A3"/>
    <w:rsid w:val="00D758E6"/>
    <w:rsid w:val="00D7596E"/>
    <w:rsid w:val="00D75B55"/>
    <w:rsid w:val="00D75B7C"/>
    <w:rsid w:val="00D75DC7"/>
    <w:rsid w:val="00D75F04"/>
    <w:rsid w:val="00D7609A"/>
    <w:rsid w:val="00D76295"/>
    <w:rsid w:val="00D76482"/>
    <w:rsid w:val="00D764AA"/>
    <w:rsid w:val="00D765A3"/>
    <w:rsid w:val="00D765DC"/>
    <w:rsid w:val="00D76625"/>
    <w:rsid w:val="00D7666E"/>
    <w:rsid w:val="00D767BA"/>
    <w:rsid w:val="00D76A20"/>
    <w:rsid w:val="00D76B45"/>
    <w:rsid w:val="00D76B6C"/>
    <w:rsid w:val="00D76D7B"/>
    <w:rsid w:val="00D76DF4"/>
    <w:rsid w:val="00D770F4"/>
    <w:rsid w:val="00D771A7"/>
    <w:rsid w:val="00D77345"/>
    <w:rsid w:val="00D77784"/>
    <w:rsid w:val="00D777BC"/>
    <w:rsid w:val="00D77857"/>
    <w:rsid w:val="00D7789F"/>
    <w:rsid w:val="00D77A11"/>
    <w:rsid w:val="00D77CC8"/>
    <w:rsid w:val="00D77E89"/>
    <w:rsid w:val="00D77FBA"/>
    <w:rsid w:val="00D80008"/>
    <w:rsid w:val="00D800D2"/>
    <w:rsid w:val="00D803F5"/>
    <w:rsid w:val="00D80544"/>
    <w:rsid w:val="00D806CF"/>
    <w:rsid w:val="00D80906"/>
    <w:rsid w:val="00D809A9"/>
    <w:rsid w:val="00D809AF"/>
    <w:rsid w:val="00D80A61"/>
    <w:rsid w:val="00D80B64"/>
    <w:rsid w:val="00D80C29"/>
    <w:rsid w:val="00D80E4A"/>
    <w:rsid w:val="00D81175"/>
    <w:rsid w:val="00D8121D"/>
    <w:rsid w:val="00D8151B"/>
    <w:rsid w:val="00D81E4D"/>
    <w:rsid w:val="00D81EC0"/>
    <w:rsid w:val="00D81F76"/>
    <w:rsid w:val="00D82056"/>
    <w:rsid w:val="00D821A9"/>
    <w:rsid w:val="00D821BF"/>
    <w:rsid w:val="00D8222B"/>
    <w:rsid w:val="00D822BF"/>
    <w:rsid w:val="00D822EB"/>
    <w:rsid w:val="00D82495"/>
    <w:rsid w:val="00D824D7"/>
    <w:rsid w:val="00D8255C"/>
    <w:rsid w:val="00D825AC"/>
    <w:rsid w:val="00D8268F"/>
    <w:rsid w:val="00D827C1"/>
    <w:rsid w:val="00D8283B"/>
    <w:rsid w:val="00D82906"/>
    <w:rsid w:val="00D82933"/>
    <w:rsid w:val="00D829CA"/>
    <w:rsid w:val="00D82A28"/>
    <w:rsid w:val="00D82BC8"/>
    <w:rsid w:val="00D82C72"/>
    <w:rsid w:val="00D82FD1"/>
    <w:rsid w:val="00D8316D"/>
    <w:rsid w:val="00D831FE"/>
    <w:rsid w:val="00D83366"/>
    <w:rsid w:val="00D83407"/>
    <w:rsid w:val="00D83418"/>
    <w:rsid w:val="00D83432"/>
    <w:rsid w:val="00D834B5"/>
    <w:rsid w:val="00D834F3"/>
    <w:rsid w:val="00D83551"/>
    <w:rsid w:val="00D838ED"/>
    <w:rsid w:val="00D83B12"/>
    <w:rsid w:val="00D83B51"/>
    <w:rsid w:val="00D83CCB"/>
    <w:rsid w:val="00D83E90"/>
    <w:rsid w:val="00D83FFA"/>
    <w:rsid w:val="00D84054"/>
    <w:rsid w:val="00D841B6"/>
    <w:rsid w:val="00D8420A"/>
    <w:rsid w:val="00D842D7"/>
    <w:rsid w:val="00D84348"/>
    <w:rsid w:val="00D844EC"/>
    <w:rsid w:val="00D84615"/>
    <w:rsid w:val="00D84BD5"/>
    <w:rsid w:val="00D84C1E"/>
    <w:rsid w:val="00D84EB1"/>
    <w:rsid w:val="00D84ECA"/>
    <w:rsid w:val="00D84F51"/>
    <w:rsid w:val="00D850C4"/>
    <w:rsid w:val="00D85165"/>
    <w:rsid w:val="00D85210"/>
    <w:rsid w:val="00D85249"/>
    <w:rsid w:val="00D8525E"/>
    <w:rsid w:val="00D8533D"/>
    <w:rsid w:val="00D85462"/>
    <w:rsid w:val="00D8548A"/>
    <w:rsid w:val="00D85557"/>
    <w:rsid w:val="00D85642"/>
    <w:rsid w:val="00D85994"/>
    <w:rsid w:val="00D8599F"/>
    <w:rsid w:val="00D85B64"/>
    <w:rsid w:val="00D85BAF"/>
    <w:rsid w:val="00D85C63"/>
    <w:rsid w:val="00D85CF4"/>
    <w:rsid w:val="00D85D73"/>
    <w:rsid w:val="00D85FCA"/>
    <w:rsid w:val="00D85FF1"/>
    <w:rsid w:val="00D860DA"/>
    <w:rsid w:val="00D86191"/>
    <w:rsid w:val="00D86390"/>
    <w:rsid w:val="00D863E4"/>
    <w:rsid w:val="00D863E7"/>
    <w:rsid w:val="00D86A05"/>
    <w:rsid w:val="00D86A12"/>
    <w:rsid w:val="00D86B3D"/>
    <w:rsid w:val="00D86B7A"/>
    <w:rsid w:val="00D86C83"/>
    <w:rsid w:val="00D86D34"/>
    <w:rsid w:val="00D86DAB"/>
    <w:rsid w:val="00D86F07"/>
    <w:rsid w:val="00D86F0D"/>
    <w:rsid w:val="00D86FBB"/>
    <w:rsid w:val="00D8701A"/>
    <w:rsid w:val="00D870F8"/>
    <w:rsid w:val="00D871B1"/>
    <w:rsid w:val="00D8736C"/>
    <w:rsid w:val="00D873DE"/>
    <w:rsid w:val="00D8740C"/>
    <w:rsid w:val="00D87427"/>
    <w:rsid w:val="00D874A8"/>
    <w:rsid w:val="00D876E2"/>
    <w:rsid w:val="00D877AF"/>
    <w:rsid w:val="00D877F2"/>
    <w:rsid w:val="00D87A69"/>
    <w:rsid w:val="00D87B32"/>
    <w:rsid w:val="00D87B80"/>
    <w:rsid w:val="00D87BA5"/>
    <w:rsid w:val="00D87BEB"/>
    <w:rsid w:val="00D87D3F"/>
    <w:rsid w:val="00D87E56"/>
    <w:rsid w:val="00D87F9A"/>
    <w:rsid w:val="00D87FE5"/>
    <w:rsid w:val="00D87FF8"/>
    <w:rsid w:val="00D90072"/>
    <w:rsid w:val="00D9017A"/>
    <w:rsid w:val="00D9020A"/>
    <w:rsid w:val="00D9041B"/>
    <w:rsid w:val="00D90580"/>
    <w:rsid w:val="00D9064D"/>
    <w:rsid w:val="00D907EB"/>
    <w:rsid w:val="00D908BF"/>
    <w:rsid w:val="00D908CA"/>
    <w:rsid w:val="00D90A54"/>
    <w:rsid w:val="00D90A5D"/>
    <w:rsid w:val="00D90C46"/>
    <w:rsid w:val="00D90D1E"/>
    <w:rsid w:val="00D90D75"/>
    <w:rsid w:val="00D90D91"/>
    <w:rsid w:val="00D90DBB"/>
    <w:rsid w:val="00D91273"/>
    <w:rsid w:val="00D9136B"/>
    <w:rsid w:val="00D913AB"/>
    <w:rsid w:val="00D9141D"/>
    <w:rsid w:val="00D9148F"/>
    <w:rsid w:val="00D9191B"/>
    <w:rsid w:val="00D9198F"/>
    <w:rsid w:val="00D91B2C"/>
    <w:rsid w:val="00D91BF2"/>
    <w:rsid w:val="00D91C8D"/>
    <w:rsid w:val="00D91CA2"/>
    <w:rsid w:val="00D91D78"/>
    <w:rsid w:val="00D91F45"/>
    <w:rsid w:val="00D91FDE"/>
    <w:rsid w:val="00D9205D"/>
    <w:rsid w:val="00D9227F"/>
    <w:rsid w:val="00D92470"/>
    <w:rsid w:val="00D92551"/>
    <w:rsid w:val="00D925FF"/>
    <w:rsid w:val="00D92645"/>
    <w:rsid w:val="00D92BB9"/>
    <w:rsid w:val="00D92BFD"/>
    <w:rsid w:val="00D92C33"/>
    <w:rsid w:val="00D92CE3"/>
    <w:rsid w:val="00D92D27"/>
    <w:rsid w:val="00D92E9E"/>
    <w:rsid w:val="00D92EE0"/>
    <w:rsid w:val="00D92F4B"/>
    <w:rsid w:val="00D93082"/>
    <w:rsid w:val="00D931EB"/>
    <w:rsid w:val="00D93343"/>
    <w:rsid w:val="00D934CD"/>
    <w:rsid w:val="00D936A9"/>
    <w:rsid w:val="00D93929"/>
    <w:rsid w:val="00D93C02"/>
    <w:rsid w:val="00D93DBA"/>
    <w:rsid w:val="00D93E25"/>
    <w:rsid w:val="00D940F2"/>
    <w:rsid w:val="00D941E3"/>
    <w:rsid w:val="00D942F1"/>
    <w:rsid w:val="00D9450E"/>
    <w:rsid w:val="00D946C0"/>
    <w:rsid w:val="00D946C9"/>
    <w:rsid w:val="00D948DC"/>
    <w:rsid w:val="00D94BCC"/>
    <w:rsid w:val="00D94C61"/>
    <w:rsid w:val="00D94CF3"/>
    <w:rsid w:val="00D94E4D"/>
    <w:rsid w:val="00D94EC6"/>
    <w:rsid w:val="00D95639"/>
    <w:rsid w:val="00D95844"/>
    <w:rsid w:val="00D9592E"/>
    <w:rsid w:val="00D959A3"/>
    <w:rsid w:val="00D95A39"/>
    <w:rsid w:val="00D95D18"/>
    <w:rsid w:val="00D95EAC"/>
    <w:rsid w:val="00D95FF2"/>
    <w:rsid w:val="00D96169"/>
    <w:rsid w:val="00D961B4"/>
    <w:rsid w:val="00D96498"/>
    <w:rsid w:val="00D965E4"/>
    <w:rsid w:val="00D967A8"/>
    <w:rsid w:val="00D967B5"/>
    <w:rsid w:val="00D96AE1"/>
    <w:rsid w:val="00D96C52"/>
    <w:rsid w:val="00D96CEB"/>
    <w:rsid w:val="00D96D50"/>
    <w:rsid w:val="00D96DE5"/>
    <w:rsid w:val="00D96E29"/>
    <w:rsid w:val="00D96E40"/>
    <w:rsid w:val="00D96F5C"/>
    <w:rsid w:val="00D97207"/>
    <w:rsid w:val="00D9722D"/>
    <w:rsid w:val="00D97270"/>
    <w:rsid w:val="00D97398"/>
    <w:rsid w:val="00D9747E"/>
    <w:rsid w:val="00D97574"/>
    <w:rsid w:val="00D977F3"/>
    <w:rsid w:val="00D9784E"/>
    <w:rsid w:val="00D97915"/>
    <w:rsid w:val="00D9798E"/>
    <w:rsid w:val="00D97B89"/>
    <w:rsid w:val="00D97D4F"/>
    <w:rsid w:val="00D97E2C"/>
    <w:rsid w:val="00D97FBD"/>
    <w:rsid w:val="00D97FCB"/>
    <w:rsid w:val="00DA017A"/>
    <w:rsid w:val="00DA0244"/>
    <w:rsid w:val="00DA038A"/>
    <w:rsid w:val="00DA058E"/>
    <w:rsid w:val="00DA0641"/>
    <w:rsid w:val="00DA0666"/>
    <w:rsid w:val="00DA076D"/>
    <w:rsid w:val="00DA0A5F"/>
    <w:rsid w:val="00DA0A86"/>
    <w:rsid w:val="00DA0CA2"/>
    <w:rsid w:val="00DA0EB9"/>
    <w:rsid w:val="00DA0F07"/>
    <w:rsid w:val="00DA114F"/>
    <w:rsid w:val="00DA11F3"/>
    <w:rsid w:val="00DA1272"/>
    <w:rsid w:val="00DA128E"/>
    <w:rsid w:val="00DA1450"/>
    <w:rsid w:val="00DA16EB"/>
    <w:rsid w:val="00DA1707"/>
    <w:rsid w:val="00DA17A8"/>
    <w:rsid w:val="00DA1866"/>
    <w:rsid w:val="00DA1B18"/>
    <w:rsid w:val="00DA1B55"/>
    <w:rsid w:val="00DA1C76"/>
    <w:rsid w:val="00DA1D23"/>
    <w:rsid w:val="00DA1D44"/>
    <w:rsid w:val="00DA1F2B"/>
    <w:rsid w:val="00DA1F83"/>
    <w:rsid w:val="00DA1FEF"/>
    <w:rsid w:val="00DA2080"/>
    <w:rsid w:val="00DA2249"/>
    <w:rsid w:val="00DA23B3"/>
    <w:rsid w:val="00DA23C8"/>
    <w:rsid w:val="00DA23E4"/>
    <w:rsid w:val="00DA23EA"/>
    <w:rsid w:val="00DA23F1"/>
    <w:rsid w:val="00DA2402"/>
    <w:rsid w:val="00DA254D"/>
    <w:rsid w:val="00DA25A9"/>
    <w:rsid w:val="00DA2621"/>
    <w:rsid w:val="00DA265F"/>
    <w:rsid w:val="00DA2669"/>
    <w:rsid w:val="00DA27AD"/>
    <w:rsid w:val="00DA27ED"/>
    <w:rsid w:val="00DA27F1"/>
    <w:rsid w:val="00DA2AA3"/>
    <w:rsid w:val="00DA2B23"/>
    <w:rsid w:val="00DA2B3C"/>
    <w:rsid w:val="00DA2BAC"/>
    <w:rsid w:val="00DA2D46"/>
    <w:rsid w:val="00DA2D81"/>
    <w:rsid w:val="00DA2D9B"/>
    <w:rsid w:val="00DA2E8F"/>
    <w:rsid w:val="00DA2EF0"/>
    <w:rsid w:val="00DA2F96"/>
    <w:rsid w:val="00DA2FEB"/>
    <w:rsid w:val="00DA3301"/>
    <w:rsid w:val="00DA34BF"/>
    <w:rsid w:val="00DA34D6"/>
    <w:rsid w:val="00DA351F"/>
    <w:rsid w:val="00DA359E"/>
    <w:rsid w:val="00DA3705"/>
    <w:rsid w:val="00DA37EF"/>
    <w:rsid w:val="00DA38CA"/>
    <w:rsid w:val="00DA38E6"/>
    <w:rsid w:val="00DA3B36"/>
    <w:rsid w:val="00DA3B42"/>
    <w:rsid w:val="00DA3BF6"/>
    <w:rsid w:val="00DA3C42"/>
    <w:rsid w:val="00DA3E03"/>
    <w:rsid w:val="00DA3F4C"/>
    <w:rsid w:val="00DA41A8"/>
    <w:rsid w:val="00DA41B0"/>
    <w:rsid w:val="00DA42BB"/>
    <w:rsid w:val="00DA431A"/>
    <w:rsid w:val="00DA4C52"/>
    <w:rsid w:val="00DA4D80"/>
    <w:rsid w:val="00DA4DE0"/>
    <w:rsid w:val="00DA4E17"/>
    <w:rsid w:val="00DA4E80"/>
    <w:rsid w:val="00DA4F35"/>
    <w:rsid w:val="00DA4FC7"/>
    <w:rsid w:val="00DA4FF8"/>
    <w:rsid w:val="00DA512C"/>
    <w:rsid w:val="00DA51F9"/>
    <w:rsid w:val="00DA5293"/>
    <w:rsid w:val="00DA549F"/>
    <w:rsid w:val="00DA54A7"/>
    <w:rsid w:val="00DA5501"/>
    <w:rsid w:val="00DA553B"/>
    <w:rsid w:val="00DA55C7"/>
    <w:rsid w:val="00DA562A"/>
    <w:rsid w:val="00DA5694"/>
    <w:rsid w:val="00DA5696"/>
    <w:rsid w:val="00DA5783"/>
    <w:rsid w:val="00DA57BB"/>
    <w:rsid w:val="00DA57CD"/>
    <w:rsid w:val="00DA5898"/>
    <w:rsid w:val="00DA5B63"/>
    <w:rsid w:val="00DA5C00"/>
    <w:rsid w:val="00DA5CBE"/>
    <w:rsid w:val="00DA5D7B"/>
    <w:rsid w:val="00DA5F28"/>
    <w:rsid w:val="00DA5FBC"/>
    <w:rsid w:val="00DA6054"/>
    <w:rsid w:val="00DA613B"/>
    <w:rsid w:val="00DA63E5"/>
    <w:rsid w:val="00DA6473"/>
    <w:rsid w:val="00DA65C0"/>
    <w:rsid w:val="00DA6765"/>
    <w:rsid w:val="00DA6A57"/>
    <w:rsid w:val="00DA6AC1"/>
    <w:rsid w:val="00DA6B66"/>
    <w:rsid w:val="00DA6BB3"/>
    <w:rsid w:val="00DA6D79"/>
    <w:rsid w:val="00DA6DB5"/>
    <w:rsid w:val="00DA6F20"/>
    <w:rsid w:val="00DA6FB7"/>
    <w:rsid w:val="00DA7237"/>
    <w:rsid w:val="00DA730B"/>
    <w:rsid w:val="00DA733E"/>
    <w:rsid w:val="00DA7525"/>
    <w:rsid w:val="00DA7634"/>
    <w:rsid w:val="00DA7659"/>
    <w:rsid w:val="00DA779F"/>
    <w:rsid w:val="00DA7922"/>
    <w:rsid w:val="00DA7984"/>
    <w:rsid w:val="00DA7A91"/>
    <w:rsid w:val="00DA7B46"/>
    <w:rsid w:val="00DA7B5C"/>
    <w:rsid w:val="00DA7C6C"/>
    <w:rsid w:val="00DA7C84"/>
    <w:rsid w:val="00DB0037"/>
    <w:rsid w:val="00DB003C"/>
    <w:rsid w:val="00DB00CF"/>
    <w:rsid w:val="00DB0170"/>
    <w:rsid w:val="00DB01C2"/>
    <w:rsid w:val="00DB0372"/>
    <w:rsid w:val="00DB03E1"/>
    <w:rsid w:val="00DB0440"/>
    <w:rsid w:val="00DB045F"/>
    <w:rsid w:val="00DB04AC"/>
    <w:rsid w:val="00DB073A"/>
    <w:rsid w:val="00DB07CF"/>
    <w:rsid w:val="00DB07E0"/>
    <w:rsid w:val="00DB081C"/>
    <w:rsid w:val="00DB085C"/>
    <w:rsid w:val="00DB0861"/>
    <w:rsid w:val="00DB09AD"/>
    <w:rsid w:val="00DB0B8F"/>
    <w:rsid w:val="00DB0BD5"/>
    <w:rsid w:val="00DB0C34"/>
    <w:rsid w:val="00DB0DEB"/>
    <w:rsid w:val="00DB12BB"/>
    <w:rsid w:val="00DB13A0"/>
    <w:rsid w:val="00DB1420"/>
    <w:rsid w:val="00DB1482"/>
    <w:rsid w:val="00DB1811"/>
    <w:rsid w:val="00DB185E"/>
    <w:rsid w:val="00DB186B"/>
    <w:rsid w:val="00DB1B09"/>
    <w:rsid w:val="00DB1D7E"/>
    <w:rsid w:val="00DB1E91"/>
    <w:rsid w:val="00DB1E94"/>
    <w:rsid w:val="00DB2097"/>
    <w:rsid w:val="00DB2442"/>
    <w:rsid w:val="00DB25D7"/>
    <w:rsid w:val="00DB2720"/>
    <w:rsid w:val="00DB275B"/>
    <w:rsid w:val="00DB2AA9"/>
    <w:rsid w:val="00DB2BA9"/>
    <w:rsid w:val="00DB2C35"/>
    <w:rsid w:val="00DB2F05"/>
    <w:rsid w:val="00DB3039"/>
    <w:rsid w:val="00DB3134"/>
    <w:rsid w:val="00DB3276"/>
    <w:rsid w:val="00DB3423"/>
    <w:rsid w:val="00DB34F3"/>
    <w:rsid w:val="00DB3555"/>
    <w:rsid w:val="00DB373A"/>
    <w:rsid w:val="00DB3791"/>
    <w:rsid w:val="00DB3B21"/>
    <w:rsid w:val="00DB3B37"/>
    <w:rsid w:val="00DB3C0C"/>
    <w:rsid w:val="00DB3C7C"/>
    <w:rsid w:val="00DB3E50"/>
    <w:rsid w:val="00DB3EA6"/>
    <w:rsid w:val="00DB3F98"/>
    <w:rsid w:val="00DB40C9"/>
    <w:rsid w:val="00DB4159"/>
    <w:rsid w:val="00DB4410"/>
    <w:rsid w:val="00DB455D"/>
    <w:rsid w:val="00DB45D5"/>
    <w:rsid w:val="00DB45FF"/>
    <w:rsid w:val="00DB460E"/>
    <w:rsid w:val="00DB46BA"/>
    <w:rsid w:val="00DB483D"/>
    <w:rsid w:val="00DB4C6D"/>
    <w:rsid w:val="00DB4DE2"/>
    <w:rsid w:val="00DB4F2F"/>
    <w:rsid w:val="00DB5117"/>
    <w:rsid w:val="00DB519A"/>
    <w:rsid w:val="00DB54A0"/>
    <w:rsid w:val="00DB5675"/>
    <w:rsid w:val="00DB56C1"/>
    <w:rsid w:val="00DB5821"/>
    <w:rsid w:val="00DB5AF3"/>
    <w:rsid w:val="00DB5CD6"/>
    <w:rsid w:val="00DB5DFB"/>
    <w:rsid w:val="00DB5E5B"/>
    <w:rsid w:val="00DB5EB7"/>
    <w:rsid w:val="00DB5F51"/>
    <w:rsid w:val="00DB5F7D"/>
    <w:rsid w:val="00DB5F86"/>
    <w:rsid w:val="00DB6031"/>
    <w:rsid w:val="00DB6071"/>
    <w:rsid w:val="00DB628B"/>
    <w:rsid w:val="00DB6332"/>
    <w:rsid w:val="00DB645F"/>
    <w:rsid w:val="00DB6514"/>
    <w:rsid w:val="00DB664A"/>
    <w:rsid w:val="00DB66B9"/>
    <w:rsid w:val="00DB6809"/>
    <w:rsid w:val="00DB68AB"/>
    <w:rsid w:val="00DB69E2"/>
    <w:rsid w:val="00DB6AAB"/>
    <w:rsid w:val="00DB6AD9"/>
    <w:rsid w:val="00DB6BA9"/>
    <w:rsid w:val="00DB6C2D"/>
    <w:rsid w:val="00DB6E3E"/>
    <w:rsid w:val="00DB701B"/>
    <w:rsid w:val="00DB7292"/>
    <w:rsid w:val="00DB73D5"/>
    <w:rsid w:val="00DB7463"/>
    <w:rsid w:val="00DB764D"/>
    <w:rsid w:val="00DB7665"/>
    <w:rsid w:val="00DB775C"/>
    <w:rsid w:val="00DB7870"/>
    <w:rsid w:val="00DB7B43"/>
    <w:rsid w:val="00DB7B48"/>
    <w:rsid w:val="00DB7C29"/>
    <w:rsid w:val="00DB7CF6"/>
    <w:rsid w:val="00DB7D84"/>
    <w:rsid w:val="00DB7DF1"/>
    <w:rsid w:val="00DC0289"/>
    <w:rsid w:val="00DC02EF"/>
    <w:rsid w:val="00DC0563"/>
    <w:rsid w:val="00DC05A2"/>
    <w:rsid w:val="00DC0625"/>
    <w:rsid w:val="00DC067D"/>
    <w:rsid w:val="00DC06B1"/>
    <w:rsid w:val="00DC0912"/>
    <w:rsid w:val="00DC09F4"/>
    <w:rsid w:val="00DC0A41"/>
    <w:rsid w:val="00DC0B4A"/>
    <w:rsid w:val="00DC0C67"/>
    <w:rsid w:val="00DC0C86"/>
    <w:rsid w:val="00DC0DB4"/>
    <w:rsid w:val="00DC0E1C"/>
    <w:rsid w:val="00DC0E90"/>
    <w:rsid w:val="00DC0ED3"/>
    <w:rsid w:val="00DC1246"/>
    <w:rsid w:val="00DC14AF"/>
    <w:rsid w:val="00DC14C1"/>
    <w:rsid w:val="00DC1581"/>
    <w:rsid w:val="00DC16AF"/>
    <w:rsid w:val="00DC170B"/>
    <w:rsid w:val="00DC1720"/>
    <w:rsid w:val="00DC18A0"/>
    <w:rsid w:val="00DC18A5"/>
    <w:rsid w:val="00DC18FA"/>
    <w:rsid w:val="00DC1941"/>
    <w:rsid w:val="00DC1957"/>
    <w:rsid w:val="00DC19C8"/>
    <w:rsid w:val="00DC1C2F"/>
    <w:rsid w:val="00DC1CFB"/>
    <w:rsid w:val="00DC1FD0"/>
    <w:rsid w:val="00DC1FEA"/>
    <w:rsid w:val="00DC2023"/>
    <w:rsid w:val="00DC208F"/>
    <w:rsid w:val="00DC2285"/>
    <w:rsid w:val="00DC22D7"/>
    <w:rsid w:val="00DC234E"/>
    <w:rsid w:val="00DC2568"/>
    <w:rsid w:val="00DC277D"/>
    <w:rsid w:val="00DC27F5"/>
    <w:rsid w:val="00DC2DB0"/>
    <w:rsid w:val="00DC2FCE"/>
    <w:rsid w:val="00DC3291"/>
    <w:rsid w:val="00DC3316"/>
    <w:rsid w:val="00DC3585"/>
    <w:rsid w:val="00DC35E6"/>
    <w:rsid w:val="00DC3633"/>
    <w:rsid w:val="00DC367A"/>
    <w:rsid w:val="00DC367C"/>
    <w:rsid w:val="00DC3705"/>
    <w:rsid w:val="00DC39AB"/>
    <w:rsid w:val="00DC3AD5"/>
    <w:rsid w:val="00DC3B9C"/>
    <w:rsid w:val="00DC3C26"/>
    <w:rsid w:val="00DC3CCD"/>
    <w:rsid w:val="00DC3D93"/>
    <w:rsid w:val="00DC3DF7"/>
    <w:rsid w:val="00DC3E67"/>
    <w:rsid w:val="00DC3F45"/>
    <w:rsid w:val="00DC4057"/>
    <w:rsid w:val="00DC4068"/>
    <w:rsid w:val="00DC407A"/>
    <w:rsid w:val="00DC4108"/>
    <w:rsid w:val="00DC41AB"/>
    <w:rsid w:val="00DC4220"/>
    <w:rsid w:val="00DC432A"/>
    <w:rsid w:val="00DC4512"/>
    <w:rsid w:val="00DC4555"/>
    <w:rsid w:val="00DC45DF"/>
    <w:rsid w:val="00DC45FF"/>
    <w:rsid w:val="00DC4633"/>
    <w:rsid w:val="00DC4641"/>
    <w:rsid w:val="00DC46A5"/>
    <w:rsid w:val="00DC46D2"/>
    <w:rsid w:val="00DC4755"/>
    <w:rsid w:val="00DC482A"/>
    <w:rsid w:val="00DC4836"/>
    <w:rsid w:val="00DC4945"/>
    <w:rsid w:val="00DC497B"/>
    <w:rsid w:val="00DC4A1C"/>
    <w:rsid w:val="00DC4A76"/>
    <w:rsid w:val="00DC4C2F"/>
    <w:rsid w:val="00DC4E92"/>
    <w:rsid w:val="00DC4EC7"/>
    <w:rsid w:val="00DC4F64"/>
    <w:rsid w:val="00DC5064"/>
    <w:rsid w:val="00DC50C5"/>
    <w:rsid w:val="00DC53BC"/>
    <w:rsid w:val="00DC5448"/>
    <w:rsid w:val="00DC545D"/>
    <w:rsid w:val="00DC5576"/>
    <w:rsid w:val="00DC57E8"/>
    <w:rsid w:val="00DC5812"/>
    <w:rsid w:val="00DC586C"/>
    <w:rsid w:val="00DC5947"/>
    <w:rsid w:val="00DC5997"/>
    <w:rsid w:val="00DC5AA2"/>
    <w:rsid w:val="00DC5E37"/>
    <w:rsid w:val="00DC5E57"/>
    <w:rsid w:val="00DC5FEB"/>
    <w:rsid w:val="00DC6098"/>
    <w:rsid w:val="00DC611A"/>
    <w:rsid w:val="00DC6355"/>
    <w:rsid w:val="00DC6396"/>
    <w:rsid w:val="00DC6399"/>
    <w:rsid w:val="00DC64A7"/>
    <w:rsid w:val="00DC64FE"/>
    <w:rsid w:val="00DC666C"/>
    <w:rsid w:val="00DC67A0"/>
    <w:rsid w:val="00DC6B71"/>
    <w:rsid w:val="00DC6B96"/>
    <w:rsid w:val="00DC6C86"/>
    <w:rsid w:val="00DC6D6C"/>
    <w:rsid w:val="00DC6D9D"/>
    <w:rsid w:val="00DC6DAF"/>
    <w:rsid w:val="00DC6E1E"/>
    <w:rsid w:val="00DC6ECA"/>
    <w:rsid w:val="00DC6FFA"/>
    <w:rsid w:val="00DC71A1"/>
    <w:rsid w:val="00DC739E"/>
    <w:rsid w:val="00DC7406"/>
    <w:rsid w:val="00DC74BF"/>
    <w:rsid w:val="00DC77CB"/>
    <w:rsid w:val="00DC7853"/>
    <w:rsid w:val="00DC7870"/>
    <w:rsid w:val="00DC7897"/>
    <w:rsid w:val="00DC794B"/>
    <w:rsid w:val="00DC7B3C"/>
    <w:rsid w:val="00DC7F15"/>
    <w:rsid w:val="00DC7F8B"/>
    <w:rsid w:val="00DC7FD4"/>
    <w:rsid w:val="00DD004B"/>
    <w:rsid w:val="00DD0068"/>
    <w:rsid w:val="00DD01A1"/>
    <w:rsid w:val="00DD025C"/>
    <w:rsid w:val="00DD037E"/>
    <w:rsid w:val="00DD03CE"/>
    <w:rsid w:val="00DD05C6"/>
    <w:rsid w:val="00DD078A"/>
    <w:rsid w:val="00DD0953"/>
    <w:rsid w:val="00DD0995"/>
    <w:rsid w:val="00DD09B0"/>
    <w:rsid w:val="00DD0A94"/>
    <w:rsid w:val="00DD0B36"/>
    <w:rsid w:val="00DD0BD2"/>
    <w:rsid w:val="00DD0C13"/>
    <w:rsid w:val="00DD0EBA"/>
    <w:rsid w:val="00DD0F84"/>
    <w:rsid w:val="00DD1093"/>
    <w:rsid w:val="00DD11A1"/>
    <w:rsid w:val="00DD11A2"/>
    <w:rsid w:val="00DD12DD"/>
    <w:rsid w:val="00DD14E4"/>
    <w:rsid w:val="00DD15E6"/>
    <w:rsid w:val="00DD17A7"/>
    <w:rsid w:val="00DD1A0E"/>
    <w:rsid w:val="00DD1A3E"/>
    <w:rsid w:val="00DD1A95"/>
    <w:rsid w:val="00DD1B24"/>
    <w:rsid w:val="00DD1EAD"/>
    <w:rsid w:val="00DD212E"/>
    <w:rsid w:val="00DD222B"/>
    <w:rsid w:val="00DD251A"/>
    <w:rsid w:val="00DD2812"/>
    <w:rsid w:val="00DD2C09"/>
    <w:rsid w:val="00DD2C81"/>
    <w:rsid w:val="00DD2D4B"/>
    <w:rsid w:val="00DD2D67"/>
    <w:rsid w:val="00DD2E00"/>
    <w:rsid w:val="00DD2EE7"/>
    <w:rsid w:val="00DD30E9"/>
    <w:rsid w:val="00DD3100"/>
    <w:rsid w:val="00DD3133"/>
    <w:rsid w:val="00DD320C"/>
    <w:rsid w:val="00DD3221"/>
    <w:rsid w:val="00DD32F1"/>
    <w:rsid w:val="00DD333C"/>
    <w:rsid w:val="00DD339A"/>
    <w:rsid w:val="00DD3478"/>
    <w:rsid w:val="00DD3485"/>
    <w:rsid w:val="00DD36B6"/>
    <w:rsid w:val="00DD3811"/>
    <w:rsid w:val="00DD3969"/>
    <w:rsid w:val="00DD3984"/>
    <w:rsid w:val="00DD3A06"/>
    <w:rsid w:val="00DD3A71"/>
    <w:rsid w:val="00DD3BEC"/>
    <w:rsid w:val="00DD3FA2"/>
    <w:rsid w:val="00DD401F"/>
    <w:rsid w:val="00DD407D"/>
    <w:rsid w:val="00DD4118"/>
    <w:rsid w:val="00DD413D"/>
    <w:rsid w:val="00DD4198"/>
    <w:rsid w:val="00DD419C"/>
    <w:rsid w:val="00DD41A8"/>
    <w:rsid w:val="00DD41BA"/>
    <w:rsid w:val="00DD42EB"/>
    <w:rsid w:val="00DD4463"/>
    <w:rsid w:val="00DD44B8"/>
    <w:rsid w:val="00DD4885"/>
    <w:rsid w:val="00DD4A14"/>
    <w:rsid w:val="00DD4AA2"/>
    <w:rsid w:val="00DD4AF2"/>
    <w:rsid w:val="00DD4B33"/>
    <w:rsid w:val="00DD4DB6"/>
    <w:rsid w:val="00DD4F7C"/>
    <w:rsid w:val="00DD512E"/>
    <w:rsid w:val="00DD51C8"/>
    <w:rsid w:val="00DD5305"/>
    <w:rsid w:val="00DD5309"/>
    <w:rsid w:val="00DD536D"/>
    <w:rsid w:val="00DD5403"/>
    <w:rsid w:val="00DD54A1"/>
    <w:rsid w:val="00DD57BA"/>
    <w:rsid w:val="00DD5800"/>
    <w:rsid w:val="00DD59E1"/>
    <w:rsid w:val="00DD5ADB"/>
    <w:rsid w:val="00DD5C1C"/>
    <w:rsid w:val="00DD5C90"/>
    <w:rsid w:val="00DD5DD6"/>
    <w:rsid w:val="00DD5E70"/>
    <w:rsid w:val="00DD5F4F"/>
    <w:rsid w:val="00DD6308"/>
    <w:rsid w:val="00DD6503"/>
    <w:rsid w:val="00DD658A"/>
    <w:rsid w:val="00DD67F0"/>
    <w:rsid w:val="00DD6961"/>
    <w:rsid w:val="00DD696A"/>
    <w:rsid w:val="00DD69DA"/>
    <w:rsid w:val="00DD6A4B"/>
    <w:rsid w:val="00DD6A63"/>
    <w:rsid w:val="00DD6A88"/>
    <w:rsid w:val="00DD6BA8"/>
    <w:rsid w:val="00DD6D3A"/>
    <w:rsid w:val="00DD716F"/>
    <w:rsid w:val="00DD73BE"/>
    <w:rsid w:val="00DD7607"/>
    <w:rsid w:val="00DD7821"/>
    <w:rsid w:val="00DD7823"/>
    <w:rsid w:val="00DD785D"/>
    <w:rsid w:val="00DD7916"/>
    <w:rsid w:val="00DD7CBF"/>
    <w:rsid w:val="00DD7D31"/>
    <w:rsid w:val="00DD7DC6"/>
    <w:rsid w:val="00DD7F9E"/>
    <w:rsid w:val="00DE007C"/>
    <w:rsid w:val="00DE011F"/>
    <w:rsid w:val="00DE01C0"/>
    <w:rsid w:val="00DE0294"/>
    <w:rsid w:val="00DE044D"/>
    <w:rsid w:val="00DE0470"/>
    <w:rsid w:val="00DE067C"/>
    <w:rsid w:val="00DE08D6"/>
    <w:rsid w:val="00DE0973"/>
    <w:rsid w:val="00DE09E9"/>
    <w:rsid w:val="00DE0A1E"/>
    <w:rsid w:val="00DE0A45"/>
    <w:rsid w:val="00DE0DC2"/>
    <w:rsid w:val="00DE0F2C"/>
    <w:rsid w:val="00DE1467"/>
    <w:rsid w:val="00DE147F"/>
    <w:rsid w:val="00DE14B3"/>
    <w:rsid w:val="00DE15D5"/>
    <w:rsid w:val="00DE1904"/>
    <w:rsid w:val="00DE1A90"/>
    <w:rsid w:val="00DE1ABE"/>
    <w:rsid w:val="00DE1B13"/>
    <w:rsid w:val="00DE1B80"/>
    <w:rsid w:val="00DE1DD2"/>
    <w:rsid w:val="00DE1E44"/>
    <w:rsid w:val="00DE2028"/>
    <w:rsid w:val="00DE2496"/>
    <w:rsid w:val="00DE25CF"/>
    <w:rsid w:val="00DE25E2"/>
    <w:rsid w:val="00DE2762"/>
    <w:rsid w:val="00DE28F3"/>
    <w:rsid w:val="00DE2A1C"/>
    <w:rsid w:val="00DE31B4"/>
    <w:rsid w:val="00DE34C1"/>
    <w:rsid w:val="00DE356C"/>
    <w:rsid w:val="00DE3580"/>
    <w:rsid w:val="00DE3603"/>
    <w:rsid w:val="00DE3617"/>
    <w:rsid w:val="00DE397A"/>
    <w:rsid w:val="00DE39F3"/>
    <w:rsid w:val="00DE3AEB"/>
    <w:rsid w:val="00DE3B12"/>
    <w:rsid w:val="00DE3D72"/>
    <w:rsid w:val="00DE3DA9"/>
    <w:rsid w:val="00DE42AE"/>
    <w:rsid w:val="00DE4333"/>
    <w:rsid w:val="00DE43C9"/>
    <w:rsid w:val="00DE44CB"/>
    <w:rsid w:val="00DE4511"/>
    <w:rsid w:val="00DE4837"/>
    <w:rsid w:val="00DE4890"/>
    <w:rsid w:val="00DE4A46"/>
    <w:rsid w:val="00DE4A82"/>
    <w:rsid w:val="00DE4D80"/>
    <w:rsid w:val="00DE4DA6"/>
    <w:rsid w:val="00DE4EE3"/>
    <w:rsid w:val="00DE4FD4"/>
    <w:rsid w:val="00DE4FD8"/>
    <w:rsid w:val="00DE5226"/>
    <w:rsid w:val="00DE52B8"/>
    <w:rsid w:val="00DE54A9"/>
    <w:rsid w:val="00DE5609"/>
    <w:rsid w:val="00DE5627"/>
    <w:rsid w:val="00DE56AD"/>
    <w:rsid w:val="00DE5822"/>
    <w:rsid w:val="00DE5AC6"/>
    <w:rsid w:val="00DE5AC8"/>
    <w:rsid w:val="00DE5B74"/>
    <w:rsid w:val="00DE5CA5"/>
    <w:rsid w:val="00DE5E46"/>
    <w:rsid w:val="00DE600C"/>
    <w:rsid w:val="00DE605D"/>
    <w:rsid w:val="00DE6179"/>
    <w:rsid w:val="00DE6416"/>
    <w:rsid w:val="00DE65C1"/>
    <w:rsid w:val="00DE6843"/>
    <w:rsid w:val="00DE6980"/>
    <w:rsid w:val="00DE6B2C"/>
    <w:rsid w:val="00DE6BCF"/>
    <w:rsid w:val="00DE6BED"/>
    <w:rsid w:val="00DE6F04"/>
    <w:rsid w:val="00DE7099"/>
    <w:rsid w:val="00DE717D"/>
    <w:rsid w:val="00DE73E2"/>
    <w:rsid w:val="00DE73FF"/>
    <w:rsid w:val="00DE7405"/>
    <w:rsid w:val="00DE7779"/>
    <w:rsid w:val="00DE7818"/>
    <w:rsid w:val="00DE799A"/>
    <w:rsid w:val="00DE7ABB"/>
    <w:rsid w:val="00DE7D00"/>
    <w:rsid w:val="00DE7E66"/>
    <w:rsid w:val="00DE7EDD"/>
    <w:rsid w:val="00DE7EE0"/>
    <w:rsid w:val="00DE7F47"/>
    <w:rsid w:val="00DE7F48"/>
    <w:rsid w:val="00DF002D"/>
    <w:rsid w:val="00DF0036"/>
    <w:rsid w:val="00DF0378"/>
    <w:rsid w:val="00DF03A2"/>
    <w:rsid w:val="00DF03CB"/>
    <w:rsid w:val="00DF03EE"/>
    <w:rsid w:val="00DF04C6"/>
    <w:rsid w:val="00DF0566"/>
    <w:rsid w:val="00DF0710"/>
    <w:rsid w:val="00DF0753"/>
    <w:rsid w:val="00DF07B5"/>
    <w:rsid w:val="00DF091F"/>
    <w:rsid w:val="00DF0A02"/>
    <w:rsid w:val="00DF0A2C"/>
    <w:rsid w:val="00DF0B2E"/>
    <w:rsid w:val="00DF0B38"/>
    <w:rsid w:val="00DF0CEC"/>
    <w:rsid w:val="00DF0D77"/>
    <w:rsid w:val="00DF0E60"/>
    <w:rsid w:val="00DF0FAA"/>
    <w:rsid w:val="00DF1109"/>
    <w:rsid w:val="00DF129F"/>
    <w:rsid w:val="00DF12DD"/>
    <w:rsid w:val="00DF1382"/>
    <w:rsid w:val="00DF1769"/>
    <w:rsid w:val="00DF178E"/>
    <w:rsid w:val="00DF188B"/>
    <w:rsid w:val="00DF18E5"/>
    <w:rsid w:val="00DF1946"/>
    <w:rsid w:val="00DF19A5"/>
    <w:rsid w:val="00DF1C49"/>
    <w:rsid w:val="00DF20BA"/>
    <w:rsid w:val="00DF21E8"/>
    <w:rsid w:val="00DF2492"/>
    <w:rsid w:val="00DF2747"/>
    <w:rsid w:val="00DF2774"/>
    <w:rsid w:val="00DF277D"/>
    <w:rsid w:val="00DF2A59"/>
    <w:rsid w:val="00DF2AA1"/>
    <w:rsid w:val="00DF2D2F"/>
    <w:rsid w:val="00DF2D6A"/>
    <w:rsid w:val="00DF2E02"/>
    <w:rsid w:val="00DF2E90"/>
    <w:rsid w:val="00DF3005"/>
    <w:rsid w:val="00DF300C"/>
    <w:rsid w:val="00DF30E0"/>
    <w:rsid w:val="00DF3198"/>
    <w:rsid w:val="00DF31F2"/>
    <w:rsid w:val="00DF3206"/>
    <w:rsid w:val="00DF324D"/>
    <w:rsid w:val="00DF32EC"/>
    <w:rsid w:val="00DF33C9"/>
    <w:rsid w:val="00DF341B"/>
    <w:rsid w:val="00DF34E1"/>
    <w:rsid w:val="00DF3502"/>
    <w:rsid w:val="00DF3548"/>
    <w:rsid w:val="00DF3659"/>
    <w:rsid w:val="00DF368C"/>
    <w:rsid w:val="00DF3823"/>
    <w:rsid w:val="00DF3912"/>
    <w:rsid w:val="00DF39E9"/>
    <w:rsid w:val="00DF3A4C"/>
    <w:rsid w:val="00DF3B3E"/>
    <w:rsid w:val="00DF3B6B"/>
    <w:rsid w:val="00DF3C84"/>
    <w:rsid w:val="00DF3D75"/>
    <w:rsid w:val="00DF3FA7"/>
    <w:rsid w:val="00DF416B"/>
    <w:rsid w:val="00DF425F"/>
    <w:rsid w:val="00DF431B"/>
    <w:rsid w:val="00DF443F"/>
    <w:rsid w:val="00DF449B"/>
    <w:rsid w:val="00DF44F0"/>
    <w:rsid w:val="00DF464F"/>
    <w:rsid w:val="00DF467B"/>
    <w:rsid w:val="00DF468A"/>
    <w:rsid w:val="00DF46FF"/>
    <w:rsid w:val="00DF4841"/>
    <w:rsid w:val="00DF4AC7"/>
    <w:rsid w:val="00DF4BD8"/>
    <w:rsid w:val="00DF4C94"/>
    <w:rsid w:val="00DF4F4F"/>
    <w:rsid w:val="00DF507D"/>
    <w:rsid w:val="00DF5151"/>
    <w:rsid w:val="00DF53D8"/>
    <w:rsid w:val="00DF53EB"/>
    <w:rsid w:val="00DF5406"/>
    <w:rsid w:val="00DF5494"/>
    <w:rsid w:val="00DF593E"/>
    <w:rsid w:val="00DF5A94"/>
    <w:rsid w:val="00DF5BB8"/>
    <w:rsid w:val="00DF5D30"/>
    <w:rsid w:val="00DF5D3C"/>
    <w:rsid w:val="00DF5E7E"/>
    <w:rsid w:val="00DF60EA"/>
    <w:rsid w:val="00DF62A0"/>
    <w:rsid w:val="00DF6399"/>
    <w:rsid w:val="00DF64AA"/>
    <w:rsid w:val="00DF6574"/>
    <w:rsid w:val="00DF660F"/>
    <w:rsid w:val="00DF6757"/>
    <w:rsid w:val="00DF67CE"/>
    <w:rsid w:val="00DF6843"/>
    <w:rsid w:val="00DF69E8"/>
    <w:rsid w:val="00DF6A54"/>
    <w:rsid w:val="00DF6B93"/>
    <w:rsid w:val="00DF6C6C"/>
    <w:rsid w:val="00DF6DCF"/>
    <w:rsid w:val="00DF6E39"/>
    <w:rsid w:val="00DF6F2A"/>
    <w:rsid w:val="00DF6F35"/>
    <w:rsid w:val="00DF7192"/>
    <w:rsid w:val="00DF7325"/>
    <w:rsid w:val="00DF74BF"/>
    <w:rsid w:val="00DF74D9"/>
    <w:rsid w:val="00DF76A3"/>
    <w:rsid w:val="00DF7747"/>
    <w:rsid w:val="00DF7757"/>
    <w:rsid w:val="00DF7798"/>
    <w:rsid w:val="00DF78E5"/>
    <w:rsid w:val="00DF7A39"/>
    <w:rsid w:val="00DF7B12"/>
    <w:rsid w:val="00DF7E26"/>
    <w:rsid w:val="00DF7E28"/>
    <w:rsid w:val="00DF7E6A"/>
    <w:rsid w:val="00DF7F2E"/>
    <w:rsid w:val="00DF7FAE"/>
    <w:rsid w:val="00DF7FCF"/>
    <w:rsid w:val="00E0004A"/>
    <w:rsid w:val="00E000DE"/>
    <w:rsid w:val="00E0013F"/>
    <w:rsid w:val="00E0024B"/>
    <w:rsid w:val="00E002B2"/>
    <w:rsid w:val="00E00365"/>
    <w:rsid w:val="00E004B5"/>
    <w:rsid w:val="00E004DD"/>
    <w:rsid w:val="00E00514"/>
    <w:rsid w:val="00E00611"/>
    <w:rsid w:val="00E00A0A"/>
    <w:rsid w:val="00E00A16"/>
    <w:rsid w:val="00E00A8A"/>
    <w:rsid w:val="00E00BB5"/>
    <w:rsid w:val="00E00CE5"/>
    <w:rsid w:val="00E00D16"/>
    <w:rsid w:val="00E00DB1"/>
    <w:rsid w:val="00E00E0B"/>
    <w:rsid w:val="00E01230"/>
    <w:rsid w:val="00E0137C"/>
    <w:rsid w:val="00E01443"/>
    <w:rsid w:val="00E015DE"/>
    <w:rsid w:val="00E01773"/>
    <w:rsid w:val="00E01786"/>
    <w:rsid w:val="00E019EA"/>
    <w:rsid w:val="00E01C4D"/>
    <w:rsid w:val="00E01C64"/>
    <w:rsid w:val="00E01CC3"/>
    <w:rsid w:val="00E01CD4"/>
    <w:rsid w:val="00E01F9B"/>
    <w:rsid w:val="00E0203C"/>
    <w:rsid w:val="00E02050"/>
    <w:rsid w:val="00E024B4"/>
    <w:rsid w:val="00E025CF"/>
    <w:rsid w:val="00E026EB"/>
    <w:rsid w:val="00E027CC"/>
    <w:rsid w:val="00E02D31"/>
    <w:rsid w:val="00E02EEC"/>
    <w:rsid w:val="00E02EF3"/>
    <w:rsid w:val="00E0302A"/>
    <w:rsid w:val="00E03424"/>
    <w:rsid w:val="00E0352C"/>
    <w:rsid w:val="00E035CB"/>
    <w:rsid w:val="00E0360B"/>
    <w:rsid w:val="00E03730"/>
    <w:rsid w:val="00E03751"/>
    <w:rsid w:val="00E0375D"/>
    <w:rsid w:val="00E03843"/>
    <w:rsid w:val="00E0390D"/>
    <w:rsid w:val="00E03929"/>
    <w:rsid w:val="00E03992"/>
    <w:rsid w:val="00E03A58"/>
    <w:rsid w:val="00E03A96"/>
    <w:rsid w:val="00E03DAC"/>
    <w:rsid w:val="00E03E2D"/>
    <w:rsid w:val="00E03FF4"/>
    <w:rsid w:val="00E0435A"/>
    <w:rsid w:val="00E045F9"/>
    <w:rsid w:val="00E0464C"/>
    <w:rsid w:val="00E046CF"/>
    <w:rsid w:val="00E04723"/>
    <w:rsid w:val="00E04791"/>
    <w:rsid w:val="00E04A19"/>
    <w:rsid w:val="00E04BF3"/>
    <w:rsid w:val="00E04CD4"/>
    <w:rsid w:val="00E04FC1"/>
    <w:rsid w:val="00E05078"/>
    <w:rsid w:val="00E0507A"/>
    <w:rsid w:val="00E050DC"/>
    <w:rsid w:val="00E05102"/>
    <w:rsid w:val="00E051E4"/>
    <w:rsid w:val="00E0527D"/>
    <w:rsid w:val="00E054D6"/>
    <w:rsid w:val="00E055FB"/>
    <w:rsid w:val="00E05650"/>
    <w:rsid w:val="00E056ED"/>
    <w:rsid w:val="00E05980"/>
    <w:rsid w:val="00E05B9E"/>
    <w:rsid w:val="00E05D56"/>
    <w:rsid w:val="00E06014"/>
    <w:rsid w:val="00E06089"/>
    <w:rsid w:val="00E060A9"/>
    <w:rsid w:val="00E060C7"/>
    <w:rsid w:val="00E06302"/>
    <w:rsid w:val="00E0633A"/>
    <w:rsid w:val="00E06443"/>
    <w:rsid w:val="00E065EE"/>
    <w:rsid w:val="00E0672C"/>
    <w:rsid w:val="00E0690F"/>
    <w:rsid w:val="00E069EB"/>
    <w:rsid w:val="00E06A8A"/>
    <w:rsid w:val="00E06E75"/>
    <w:rsid w:val="00E06EF2"/>
    <w:rsid w:val="00E0712F"/>
    <w:rsid w:val="00E072A3"/>
    <w:rsid w:val="00E074C0"/>
    <w:rsid w:val="00E074C5"/>
    <w:rsid w:val="00E07529"/>
    <w:rsid w:val="00E0775D"/>
    <w:rsid w:val="00E079B8"/>
    <w:rsid w:val="00E07BAA"/>
    <w:rsid w:val="00E07BB4"/>
    <w:rsid w:val="00E07BBC"/>
    <w:rsid w:val="00E07BC7"/>
    <w:rsid w:val="00E10043"/>
    <w:rsid w:val="00E10060"/>
    <w:rsid w:val="00E103FE"/>
    <w:rsid w:val="00E1054C"/>
    <w:rsid w:val="00E105A9"/>
    <w:rsid w:val="00E105D9"/>
    <w:rsid w:val="00E105EF"/>
    <w:rsid w:val="00E10631"/>
    <w:rsid w:val="00E1064A"/>
    <w:rsid w:val="00E1067A"/>
    <w:rsid w:val="00E10703"/>
    <w:rsid w:val="00E1074B"/>
    <w:rsid w:val="00E10A1A"/>
    <w:rsid w:val="00E10A50"/>
    <w:rsid w:val="00E10B47"/>
    <w:rsid w:val="00E10C5A"/>
    <w:rsid w:val="00E10C88"/>
    <w:rsid w:val="00E10C98"/>
    <w:rsid w:val="00E10D9D"/>
    <w:rsid w:val="00E10FD3"/>
    <w:rsid w:val="00E112BA"/>
    <w:rsid w:val="00E112F4"/>
    <w:rsid w:val="00E114EA"/>
    <w:rsid w:val="00E11582"/>
    <w:rsid w:val="00E11729"/>
    <w:rsid w:val="00E119BB"/>
    <w:rsid w:val="00E11B5D"/>
    <w:rsid w:val="00E11CFB"/>
    <w:rsid w:val="00E11D1F"/>
    <w:rsid w:val="00E11D70"/>
    <w:rsid w:val="00E11DE4"/>
    <w:rsid w:val="00E11DF2"/>
    <w:rsid w:val="00E11FE3"/>
    <w:rsid w:val="00E120AC"/>
    <w:rsid w:val="00E12183"/>
    <w:rsid w:val="00E122E8"/>
    <w:rsid w:val="00E123AE"/>
    <w:rsid w:val="00E123F1"/>
    <w:rsid w:val="00E12500"/>
    <w:rsid w:val="00E1253F"/>
    <w:rsid w:val="00E1265A"/>
    <w:rsid w:val="00E1294C"/>
    <w:rsid w:val="00E12A12"/>
    <w:rsid w:val="00E12A53"/>
    <w:rsid w:val="00E12A70"/>
    <w:rsid w:val="00E12AD2"/>
    <w:rsid w:val="00E12BDA"/>
    <w:rsid w:val="00E12C02"/>
    <w:rsid w:val="00E12D13"/>
    <w:rsid w:val="00E12E2A"/>
    <w:rsid w:val="00E12EB5"/>
    <w:rsid w:val="00E13017"/>
    <w:rsid w:val="00E13248"/>
    <w:rsid w:val="00E13267"/>
    <w:rsid w:val="00E133C1"/>
    <w:rsid w:val="00E133CB"/>
    <w:rsid w:val="00E135E2"/>
    <w:rsid w:val="00E13617"/>
    <w:rsid w:val="00E1367F"/>
    <w:rsid w:val="00E13B1D"/>
    <w:rsid w:val="00E13B7A"/>
    <w:rsid w:val="00E13D3F"/>
    <w:rsid w:val="00E13D69"/>
    <w:rsid w:val="00E13E36"/>
    <w:rsid w:val="00E13E38"/>
    <w:rsid w:val="00E13E8D"/>
    <w:rsid w:val="00E14064"/>
    <w:rsid w:val="00E141B1"/>
    <w:rsid w:val="00E1449C"/>
    <w:rsid w:val="00E14523"/>
    <w:rsid w:val="00E1457E"/>
    <w:rsid w:val="00E14625"/>
    <w:rsid w:val="00E14641"/>
    <w:rsid w:val="00E1479F"/>
    <w:rsid w:val="00E147A6"/>
    <w:rsid w:val="00E1482E"/>
    <w:rsid w:val="00E14897"/>
    <w:rsid w:val="00E1499B"/>
    <w:rsid w:val="00E14AF3"/>
    <w:rsid w:val="00E14BC9"/>
    <w:rsid w:val="00E14BD5"/>
    <w:rsid w:val="00E14D0A"/>
    <w:rsid w:val="00E14D4F"/>
    <w:rsid w:val="00E14E99"/>
    <w:rsid w:val="00E14F3C"/>
    <w:rsid w:val="00E14F3F"/>
    <w:rsid w:val="00E14F7A"/>
    <w:rsid w:val="00E15056"/>
    <w:rsid w:val="00E150EC"/>
    <w:rsid w:val="00E1515B"/>
    <w:rsid w:val="00E1524F"/>
    <w:rsid w:val="00E15406"/>
    <w:rsid w:val="00E1543D"/>
    <w:rsid w:val="00E15658"/>
    <w:rsid w:val="00E1585E"/>
    <w:rsid w:val="00E15870"/>
    <w:rsid w:val="00E15947"/>
    <w:rsid w:val="00E15AB3"/>
    <w:rsid w:val="00E15BB4"/>
    <w:rsid w:val="00E15D40"/>
    <w:rsid w:val="00E15DB1"/>
    <w:rsid w:val="00E15E3D"/>
    <w:rsid w:val="00E15EB7"/>
    <w:rsid w:val="00E15F11"/>
    <w:rsid w:val="00E1609C"/>
    <w:rsid w:val="00E160FE"/>
    <w:rsid w:val="00E162C8"/>
    <w:rsid w:val="00E16388"/>
    <w:rsid w:val="00E16452"/>
    <w:rsid w:val="00E165C0"/>
    <w:rsid w:val="00E1664D"/>
    <w:rsid w:val="00E1683D"/>
    <w:rsid w:val="00E16C6B"/>
    <w:rsid w:val="00E16CEA"/>
    <w:rsid w:val="00E16E02"/>
    <w:rsid w:val="00E16EB8"/>
    <w:rsid w:val="00E16F4D"/>
    <w:rsid w:val="00E16FCA"/>
    <w:rsid w:val="00E17018"/>
    <w:rsid w:val="00E170F7"/>
    <w:rsid w:val="00E171AE"/>
    <w:rsid w:val="00E1728E"/>
    <w:rsid w:val="00E1754D"/>
    <w:rsid w:val="00E17552"/>
    <w:rsid w:val="00E17579"/>
    <w:rsid w:val="00E1775E"/>
    <w:rsid w:val="00E17850"/>
    <w:rsid w:val="00E17E0D"/>
    <w:rsid w:val="00E17E34"/>
    <w:rsid w:val="00E17E89"/>
    <w:rsid w:val="00E17FFC"/>
    <w:rsid w:val="00E2005E"/>
    <w:rsid w:val="00E20306"/>
    <w:rsid w:val="00E20392"/>
    <w:rsid w:val="00E204ED"/>
    <w:rsid w:val="00E2057C"/>
    <w:rsid w:val="00E20627"/>
    <w:rsid w:val="00E206D1"/>
    <w:rsid w:val="00E207A4"/>
    <w:rsid w:val="00E20800"/>
    <w:rsid w:val="00E209E7"/>
    <w:rsid w:val="00E20ACC"/>
    <w:rsid w:val="00E20D48"/>
    <w:rsid w:val="00E20E81"/>
    <w:rsid w:val="00E20F3A"/>
    <w:rsid w:val="00E2101F"/>
    <w:rsid w:val="00E21534"/>
    <w:rsid w:val="00E215F6"/>
    <w:rsid w:val="00E2166F"/>
    <w:rsid w:val="00E217C3"/>
    <w:rsid w:val="00E2184A"/>
    <w:rsid w:val="00E219C2"/>
    <w:rsid w:val="00E21B03"/>
    <w:rsid w:val="00E21C0B"/>
    <w:rsid w:val="00E21C9F"/>
    <w:rsid w:val="00E21D4A"/>
    <w:rsid w:val="00E21E0B"/>
    <w:rsid w:val="00E22028"/>
    <w:rsid w:val="00E220A1"/>
    <w:rsid w:val="00E220CE"/>
    <w:rsid w:val="00E22168"/>
    <w:rsid w:val="00E221C0"/>
    <w:rsid w:val="00E2227E"/>
    <w:rsid w:val="00E222E6"/>
    <w:rsid w:val="00E223B9"/>
    <w:rsid w:val="00E22430"/>
    <w:rsid w:val="00E22445"/>
    <w:rsid w:val="00E224EE"/>
    <w:rsid w:val="00E2270F"/>
    <w:rsid w:val="00E2283F"/>
    <w:rsid w:val="00E22888"/>
    <w:rsid w:val="00E22C2A"/>
    <w:rsid w:val="00E22E70"/>
    <w:rsid w:val="00E23276"/>
    <w:rsid w:val="00E233C0"/>
    <w:rsid w:val="00E233DF"/>
    <w:rsid w:val="00E23587"/>
    <w:rsid w:val="00E23598"/>
    <w:rsid w:val="00E2369E"/>
    <w:rsid w:val="00E23A2C"/>
    <w:rsid w:val="00E23AE1"/>
    <w:rsid w:val="00E23C09"/>
    <w:rsid w:val="00E23C5B"/>
    <w:rsid w:val="00E23D3D"/>
    <w:rsid w:val="00E23DAE"/>
    <w:rsid w:val="00E23EB4"/>
    <w:rsid w:val="00E23FB6"/>
    <w:rsid w:val="00E2401F"/>
    <w:rsid w:val="00E240AF"/>
    <w:rsid w:val="00E240EA"/>
    <w:rsid w:val="00E2425B"/>
    <w:rsid w:val="00E243FC"/>
    <w:rsid w:val="00E24473"/>
    <w:rsid w:val="00E244BD"/>
    <w:rsid w:val="00E244E3"/>
    <w:rsid w:val="00E246A0"/>
    <w:rsid w:val="00E248B1"/>
    <w:rsid w:val="00E248FB"/>
    <w:rsid w:val="00E24BC7"/>
    <w:rsid w:val="00E24C8E"/>
    <w:rsid w:val="00E24CD7"/>
    <w:rsid w:val="00E24D3D"/>
    <w:rsid w:val="00E2514B"/>
    <w:rsid w:val="00E25156"/>
    <w:rsid w:val="00E2522A"/>
    <w:rsid w:val="00E252E4"/>
    <w:rsid w:val="00E25401"/>
    <w:rsid w:val="00E25416"/>
    <w:rsid w:val="00E25827"/>
    <w:rsid w:val="00E25841"/>
    <w:rsid w:val="00E2585E"/>
    <w:rsid w:val="00E25B70"/>
    <w:rsid w:val="00E25BDB"/>
    <w:rsid w:val="00E25C31"/>
    <w:rsid w:val="00E25C93"/>
    <w:rsid w:val="00E25E5E"/>
    <w:rsid w:val="00E25F3F"/>
    <w:rsid w:val="00E26046"/>
    <w:rsid w:val="00E2604F"/>
    <w:rsid w:val="00E260A3"/>
    <w:rsid w:val="00E2665E"/>
    <w:rsid w:val="00E26941"/>
    <w:rsid w:val="00E26A4B"/>
    <w:rsid w:val="00E26A80"/>
    <w:rsid w:val="00E26A8D"/>
    <w:rsid w:val="00E26AC4"/>
    <w:rsid w:val="00E26BBC"/>
    <w:rsid w:val="00E26C63"/>
    <w:rsid w:val="00E26D15"/>
    <w:rsid w:val="00E26F0E"/>
    <w:rsid w:val="00E26FEE"/>
    <w:rsid w:val="00E27027"/>
    <w:rsid w:val="00E2734F"/>
    <w:rsid w:val="00E276CF"/>
    <w:rsid w:val="00E277C0"/>
    <w:rsid w:val="00E279EB"/>
    <w:rsid w:val="00E27ABE"/>
    <w:rsid w:val="00E27B5D"/>
    <w:rsid w:val="00E27DDB"/>
    <w:rsid w:val="00E27F88"/>
    <w:rsid w:val="00E304AA"/>
    <w:rsid w:val="00E3059A"/>
    <w:rsid w:val="00E306C6"/>
    <w:rsid w:val="00E30733"/>
    <w:rsid w:val="00E307DB"/>
    <w:rsid w:val="00E309FC"/>
    <w:rsid w:val="00E309FD"/>
    <w:rsid w:val="00E30CD1"/>
    <w:rsid w:val="00E30D67"/>
    <w:rsid w:val="00E30FC5"/>
    <w:rsid w:val="00E311EF"/>
    <w:rsid w:val="00E313AE"/>
    <w:rsid w:val="00E314F6"/>
    <w:rsid w:val="00E316FC"/>
    <w:rsid w:val="00E31702"/>
    <w:rsid w:val="00E317E2"/>
    <w:rsid w:val="00E31826"/>
    <w:rsid w:val="00E3195E"/>
    <w:rsid w:val="00E319A8"/>
    <w:rsid w:val="00E319FE"/>
    <w:rsid w:val="00E31AA6"/>
    <w:rsid w:val="00E31B75"/>
    <w:rsid w:val="00E31B79"/>
    <w:rsid w:val="00E31CE9"/>
    <w:rsid w:val="00E31D8A"/>
    <w:rsid w:val="00E31FA8"/>
    <w:rsid w:val="00E321E8"/>
    <w:rsid w:val="00E322CD"/>
    <w:rsid w:val="00E3242E"/>
    <w:rsid w:val="00E32450"/>
    <w:rsid w:val="00E324D9"/>
    <w:rsid w:val="00E3257C"/>
    <w:rsid w:val="00E325DB"/>
    <w:rsid w:val="00E325EA"/>
    <w:rsid w:val="00E3274A"/>
    <w:rsid w:val="00E32998"/>
    <w:rsid w:val="00E32A59"/>
    <w:rsid w:val="00E32AE4"/>
    <w:rsid w:val="00E32C12"/>
    <w:rsid w:val="00E32DF1"/>
    <w:rsid w:val="00E32E73"/>
    <w:rsid w:val="00E32F20"/>
    <w:rsid w:val="00E32F5B"/>
    <w:rsid w:val="00E32F8C"/>
    <w:rsid w:val="00E330C9"/>
    <w:rsid w:val="00E331BB"/>
    <w:rsid w:val="00E3330E"/>
    <w:rsid w:val="00E33346"/>
    <w:rsid w:val="00E333BC"/>
    <w:rsid w:val="00E3351F"/>
    <w:rsid w:val="00E3368F"/>
    <w:rsid w:val="00E336D6"/>
    <w:rsid w:val="00E337EC"/>
    <w:rsid w:val="00E33992"/>
    <w:rsid w:val="00E33AA7"/>
    <w:rsid w:val="00E33AD2"/>
    <w:rsid w:val="00E33CDC"/>
    <w:rsid w:val="00E33D07"/>
    <w:rsid w:val="00E33F98"/>
    <w:rsid w:val="00E3400F"/>
    <w:rsid w:val="00E34085"/>
    <w:rsid w:val="00E3417B"/>
    <w:rsid w:val="00E342A3"/>
    <w:rsid w:val="00E343C0"/>
    <w:rsid w:val="00E344CD"/>
    <w:rsid w:val="00E344F7"/>
    <w:rsid w:val="00E34661"/>
    <w:rsid w:val="00E34785"/>
    <w:rsid w:val="00E34927"/>
    <w:rsid w:val="00E34974"/>
    <w:rsid w:val="00E34A90"/>
    <w:rsid w:val="00E34AC8"/>
    <w:rsid w:val="00E34CCD"/>
    <w:rsid w:val="00E34F81"/>
    <w:rsid w:val="00E35061"/>
    <w:rsid w:val="00E350D8"/>
    <w:rsid w:val="00E35101"/>
    <w:rsid w:val="00E35197"/>
    <w:rsid w:val="00E35337"/>
    <w:rsid w:val="00E3540D"/>
    <w:rsid w:val="00E356E5"/>
    <w:rsid w:val="00E35780"/>
    <w:rsid w:val="00E3583C"/>
    <w:rsid w:val="00E358DD"/>
    <w:rsid w:val="00E35D14"/>
    <w:rsid w:val="00E3632C"/>
    <w:rsid w:val="00E3635C"/>
    <w:rsid w:val="00E36399"/>
    <w:rsid w:val="00E364BF"/>
    <w:rsid w:val="00E3665B"/>
    <w:rsid w:val="00E36781"/>
    <w:rsid w:val="00E367F0"/>
    <w:rsid w:val="00E3682C"/>
    <w:rsid w:val="00E36919"/>
    <w:rsid w:val="00E36C11"/>
    <w:rsid w:val="00E36F51"/>
    <w:rsid w:val="00E36F74"/>
    <w:rsid w:val="00E36F7E"/>
    <w:rsid w:val="00E36FFC"/>
    <w:rsid w:val="00E37159"/>
    <w:rsid w:val="00E3732A"/>
    <w:rsid w:val="00E37501"/>
    <w:rsid w:val="00E3757E"/>
    <w:rsid w:val="00E3776B"/>
    <w:rsid w:val="00E37785"/>
    <w:rsid w:val="00E37966"/>
    <w:rsid w:val="00E3798D"/>
    <w:rsid w:val="00E37B93"/>
    <w:rsid w:val="00E37BBC"/>
    <w:rsid w:val="00E37C0B"/>
    <w:rsid w:val="00E37DA8"/>
    <w:rsid w:val="00E37E7B"/>
    <w:rsid w:val="00E37F76"/>
    <w:rsid w:val="00E4001D"/>
    <w:rsid w:val="00E40025"/>
    <w:rsid w:val="00E40362"/>
    <w:rsid w:val="00E404E5"/>
    <w:rsid w:val="00E40619"/>
    <w:rsid w:val="00E406EA"/>
    <w:rsid w:val="00E407B3"/>
    <w:rsid w:val="00E40840"/>
    <w:rsid w:val="00E40981"/>
    <w:rsid w:val="00E409BC"/>
    <w:rsid w:val="00E40B83"/>
    <w:rsid w:val="00E40D24"/>
    <w:rsid w:val="00E40DAE"/>
    <w:rsid w:val="00E40E38"/>
    <w:rsid w:val="00E40E9F"/>
    <w:rsid w:val="00E40EAA"/>
    <w:rsid w:val="00E40F04"/>
    <w:rsid w:val="00E40F62"/>
    <w:rsid w:val="00E410EC"/>
    <w:rsid w:val="00E41155"/>
    <w:rsid w:val="00E412F6"/>
    <w:rsid w:val="00E41336"/>
    <w:rsid w:val="00E4144E"/>
    <w:rsid w:val="00E41497"/>
    <w:rsid w:val="00E415B2"/>
    <w:rsid w:val="00E415D6"/>
    <w:rsid w:val="00E41682"/>
    <w:rsid w:val="00E4170C"/>
    <w:rsid w:val="00E418CB"/>
    <w:rsid w:val="00E41B18"/>
    <w:rsid w:val="00E41B39"/>
    <w:rsid w:val="00E41D0F"/>
    <w:rsid w:val="00E41D2F"/>
    <w:rsid w:val="00E41DA3"/>
    <w:rsid w:val="00E42025"/>
    <w:rsid w:val="00E4207B"/>
    <w:rsid w:val="00E4225C"/>
    <w:rsid w:val="00E422A3"/>
    <w:rsid w:val="00E42368"/>
    <w:rsid w:val="00E4271D"/>
    <w:rsid w:val="00E427BD"/>
    <w:rsid w:val="00E42822"/>
    <w:rsid w:val="00E42986"/>
    <w:rsid w:val="00E42CEA"/>
    <w:rsid w:val="00E42EB0"/>
    <w:rsid w:val="00E42FAB"/>
    <w:rsid w:val="00E4303D"/>
    <w:rsid w:val="00E43064"/>
    <w:rsid w:val="00E431A1"/>
    <w:rsid w:val="00E43249"/>
    <w:rsid w:val="00E43257"/>
    <w:rsid w:val="00E43491"/>
    <w:rsid w:val="00E436A2"/>
    <w:rsid w:val="00E4386B"/>
    <w:rsid w:val="00E439A8"/>
    <w:rsid w:val="00E43A1D"/>
    <w:rsid w:val="00E43AA8"/>
    <w:rsid w:val="00E43AFE"/>
    <w:rsid w:val="00E43BA8"/>
    <w:rsid w:val="00E43E1D"/>
    <w:rsid w:val="00E43EEF"/>
    <w:rsid w:val="00E4440A"/>
    <w:rsid w:val="00E44434"/>
    <w:rsid w:val="00E44479"/>
    <w:rsid w:val="00E444C8"/>
    <w:rsid w:val="00E444EC"/>
    <w:rsid w:val="00E4455D"/>
    <w:rsid w:val="00E447FB"/>
    <w:rsid w:val="00E44839"/>
    <w:rsid w:val="00E448AF"/>
    <w:rsid w:val="00E44D99"/>
    <w:rsid w:val="00E44EF8"/>
    <w:rsid w:val="00E450D3"/>
    <w:rsid w:val="00E45138"/>
    <w:rsid w:val="00E4513C"/>
    <w:rsid w:val="00E45187"/>
    <w:rsid w:val="00E4518B"/>
    <w:rsid w:val="00E451A9"/>
    <w:rsid w:val="00E45247"/>
    <w:rsid w:val="00E4532F"/>
    <w:rsid w:val="00E45425"/>
    <w:rsid w:val="00E4543D"/>
    <w:rsid w:val="00E4585B"/>
    <w:rsid w:val="00E458D8"/>
    <w:rsid w:val="00E45915"/>
    <w:rsid w:val="00E45945"/>
    <w:rsid w:val="00E45989"/>
    <w:rsid w:val="00E45A3D"/>
    <w:rsid w:val="00E45B08"/>
    <w:rsid w:val="00E45F1C"/>
    <w:rsid w:val="00E4618D"/>
    <w:rsid w:val="00E46227"/>
    <w:rsid w:val="00E462DB"/>
    <w:rsid w:val="00E46464"/>
    <w:rsid w:val="00E465C5"/>
    <w:rsid w:val="00E4663D"/>
    <w:rsid w:val="00E466AF"/>
    <w:rsid w:val="00E46982"/>
    <w:rsid w:val="00E469BE"/>
    <w:rsid w:val="00E46A01"/>
    <w:rsid w:val="00E46A48"/>
    <w:rsid w:val="00E46A8E"/>
    <w:rsid w:val="00E46CB7"/>
    <w:rsid w:val="00E46D91"/>
    <w:rsid w:val="00E46DEF"/>
    <w:rsid w:val="00E46E1E"/>
    <w:rsid w:val="00E46F4E"/>
    <w:rsid w:val="00E47191"/>
    <w:rsid w:val="00E47235"/>
    <w:rsid w:val="00E4747E"/>
    <w:rsid w:val="00E474A0"/>
    <w:rsid w:val="00E47C1F"/>
    <w:rsid w:val="00E47C4D"/>
    <w:rsid w:val="00E47F13"/>
    <w:rsid w:val="00E47F1C"/>
    <w:rsid w:val="00E501C9"/>
    <w:rsid w:val="00E50214"/>
    <w:rsid w:val="00E505D5"/>
    <w:rsid w:val="00E5068B"/>
    <w:rsid w:val="00E50783"/>
    <w:rsid w:val="00E507BE"/>
    <w:rsid w:val="00E508CC"/>
    <w:rsid w:val="00E508F0"/>
    <w:rsid w:val="00E509C3"/>
    <w:rsid w:val="00E50D15"/>
    <w:rsid w:val="00E50F07"/>
    <w:rsid w:val="00E51006"/>
    <w:rsid w:val="00E5125C"/>
    <w:rsid w:val="00E51470"/>
    <w:rsid w:val="00E516B0"/>
    <w:rsid w:val="00E516D5"/>
    <w:rsid w:val="00E518A7"/>
    <w:rsid w:val="00E51A64"/>
    <w:rsid w:val="00E51B1E"/>
    <w:rsid w:val="00E51B55"/>
    <w:rsid w:val="00E51BA7"/>
    <w:rsid w:val="00E51CE1"/>
    <w:rsid w:val="00E51E5B"/>
    <w:rsid w:val="00E51F1A"/>
    <w:rsid w:val="00E52000"/>
    <w:rsid w:val="00E52253"/>
    <w:rsid w:val="00E525A5"/>
    <w:rsid w:val="00E5280D"/>
    <w:rsid w:val="00E52819"/>
    <w:rsid w:val="00E528F5"/>
    <w:rsid w:val="00E5291E"/>
    <w:rsid w:val="00E529F5"/>
    <w:rsid w:val="00E52A6B"/>
    <w:rsid w:val="00E52DFE"/>
    <w:rsid w:val="00E52E6A"/>
    <w:rsid w:val="00E52ECB"/>
    <w:rsid w:val="00E530B4"/>
    <w:rsid w:val="00E530FD"/>
    <w:rsid w:val="00E5320B"/>
    <w:rsid w:val="00E53242"/>
    <w:rsid w:val="00E53395"/>
    <w:rsid w:val="00E53526"/>
    <w:rsid w:val="00E5356B"/>
    <w:rsid w:val="00E535B8"/>
    <w:rsid w:val="00E53920"/>
    <w:rsid w:val="00E53B16"/>
    <w:rsid w:val="00E53B64"/>
    <w:rsid w:val="00E53CDF"/>
    <w:rsid w:val="00E53E00"/>
    <w:rsid w:val="00E53EDE"/>
    <w:rsid w:val="00E5403D"/>
    <w:rsid w:val="00E541BC"/>
    <w:rsid w:val="00E54221"/>
    <w:rsid w:val="00E542F6"/>
    <w:rsid w:val="00E5439E"/>
    <w:rsid w:val="00E54423"/>
    <w:rsid w:val="00E54468"/>
    <w:rsid w:val="00E54699"/>
    <w:rsid w:val="00E549D1"/>
    <w:rsid w:val="00E54B29"/>
    <w:rsid w:val="00E54D1B"/>
    <w:rsid w:val="00E54F48"/>
    <w:rsid w:val="00E54F5D"/>
    <w:rsid w:val="00E55100"/>
    <w:rsid w:val="00E5539C"/>
    <w:rsid w:val="00E553A6"/>
    <w:rsid w:val="00E5541E"/>
    <w:rsid w:val="00E555C7"/>
    <w:rsid w:val="00E5560D"/>
    <w:rsid w:val="00E5565C"/>
    <w:rsid w:val="00E556B2"/>
    <w:rsid w:val="00E557F4"/>
    <w:rsid w:val="00E55988"/>
    <w:rsid w:val="00E559AA"/>
    <w:rsid w:val="00E55A45"/>
    <w:rsid w:val="00E55D1C"/>
    <w:rsid w:val="00E55D41"/>
    <w:rsid w:val="00E56001"/>
    <w:rsid w:val="00E56039"/>
    <w:rsid w:val="00E56184"/>
    <w:rsid w:val="00E56287"/>
    <w:rsid w:val="00E56389"/>
    <w:rsid w:val="00E56498"/>
    <w:rsid w:val="00E5650A"/>
    <w:rsid w:val="00E566FC"/>
    <w:rsid w:val="00E5670E"/>
    <w:rsid w:val="00E56A61"/>
    <w:rsid w:val="00E56B00"/>
    <w:rsid w:val="00E56E24"/>
    <w:rsid w:val="00E56EC9"/>
    <w:rsid w:val="00E56F40"/>
    <w:rsid w:val="00E56F95"/>
    <w:rsid w:val="00E56FCF"/>
    <w:rsid w:val="00E5708C"/>
    <w:rsid w:val="00E57124"/>
    <w:rsid w:val="00E57423"/>
    <w:rsid w:val="00E574EC"/>
    <w:rsid w:val="00E57506"/>
    <w:rsid w:val="00E57557"/>
    <w:rsid w:val="00E575C9"/>
    <w:rsid w:val="00E577DF"/>
    <w:rsid w:val="00E5789D"/>
    <w:rsid w:val="00E57A2C"/>
    <w:rsid w:val="00E57B7C"/>
    <w:rsid w:val="00E57C5F"/>
    <w:rsid w:val="00E57CA7"/>
    <w:rsid w:val="00E57D64"/>
    <w:rsid w:val="00E57E7B"/>
    <w:rsid w:val="00E57F9C"/>
    <w:rsid w:val="00E600AE"/>
    <w:rsid w:val="00E606C7"/>
    <w:rsid w:val="00E60745"/>
    <w:rsid w:val="00E6086F"/>
    <w:rsid w:val="00E60B31"/>
    <w:rsid w:val="00E60C18"/>
    <w:rsid w:val="00E60F4A"/>
    <w:rsid w:val="00E60F76"/>
    <w:rsid w:val="00E610E1"/>
    <w:rsid w:val="00E61139"/>
    <w:rsid w:val="00E61283"/>
    <w:rsid w:val="00E614D0"/>
    <w:rsid w:val="00E61563"/>
    <w:rsid w:val="00E6157A"/>
    <w:rsid w:val="00E615BA"/>
    <w:rsid w:val="00E615DA"/>
    <w:rsid w:val="00E615F9"/>
    <w:rsid w:val="00E616EC"/>
    <w:rsid w:val="00E6193C"/>
    <w:rsid w:val="00E619F9"/>
    <w:rsid w:val="00E61A55"/>
    <w:rsid w:val="00E61C28"/>
    <w:rsid w:val="00E61CE4"/>
    <w:rsid w:val="00E61CF1"/>
    <w:rsid w:val="00E61D7F"/>
    <w:rsid w:val="00E61D86"/>
    <w:rsid w:val="00E61E33"/>
    <w:rsid w:val="00E61E55"/>
    <w:rsid w:val="00E61FF8"/>
    <w:rsid w:val="00E62268"/>
    <w:rsid w:val="00E62424"/>
    <w:rsid w:val="00E62892"/>
    <w:rsid w:val="00E62897"/>
    <w:rsid w:val="00E629BE"/>
    <w:rsid w:val="00E62BC2"/>
    <w:rsid w:val="00E62C70"/>
    <w:rsid w:val="00E62D03"/>
    <w:rsid w:val="00E62D1A"/>
    <w:rsid w:val="00E62D6C"/>
    <w:rsid w:val="00E62F59"/>
    <w:rsid w:val="00E6320C"/>
    <w:rsid w:val="00E6320D"/>
    <w:rsid w:val="00E63213"/>
    <w:rsid w:val="00E632A5"/>
    <w:rsid w:val="00E63327"/>
    <w:rsid w:val="00E63361"/>
    <w:rsid w:val="00E63539"/>
    <w:rsid w:val="00E63853"/>
    <w:rsid w:val="00E638C1"/>
    <w:rsid w:val="00E639B0"/>
    <w:rsid w:val="00E63AA3"/>
    <w:rsid w:val="00E63B8F"/>
    <w:rsid w:val="00E63DAA"/>
    <w:rsid w:val="00E63EC1"/>
    <w:rsid w:val="00E63F2C"/>
    <w:rsid w:val="00E63F6F"/>
    <w:rsid w:val="00E63F89"/>
    <w:rsid w:val="00E64183"/>
    <w:rsid w:val="00E641B7"/>
    <w:rsid w:val="00E6425F"/>
    <w:rsid w:val="00E642DB"/>
    <w:rsid w:val="00E64330"/>
    <w:rsid w:val="00E64339"/>
    <w:rsid w:val="00E644DE"/>
    <w:rsid w:val="00E645A8"/>
    <w:rsid w:val="00E64642"/>
    <w:rsid w:val="00E64645"/>
    <w:rsid w:val="00E6480B"/>
    <w:rsid w:val="00E649D6"/>
    <w:rsid w:val="00E64A5D"/>
    <w:rsid w:val="00E64B03"/>
    <w:rsid w:val="00E64B87"/>
    <w:rsid w:val="00E64C96"/>
    <w:rsid w:val="00E64CC0"/>
    <w:rsid w:val="00E64CEC"/>
    <w:rsid w:val="00E64CF8"/>
    <w:rsid w:val="00E64DD5"/>
    <w:rsid w:val="00E64E5D"/>
    <w:rsid w:val="00E65153"/>
    <w:rsid w:val="00E6517B"/>
    <w:rsid w:val="00E65251"/>
    <w:rsid w:val="00E65C11"/>
    <w:rsid w:val="00E65CCC"/>
    <w:rsid w:val="00E6609B"/>
    <w:rsid w:val="00E66201"/>
    <w:rsid w:val="00E662F2"/>
    <w:rsid w:val="00E66526"/>
    <w:rsid w:val="00E66546"/>
    <w:rsid w:val="00E66566"/>
    <w:rsid w:val="00E667E9"/>
    <w:rsid w:val="00E667EB"/>
    <w:rsid w:val="00E6686E"/>
    <w:rsid w:val="00E66A53"/>
    <w:rsid w:val="00E66CB2"/>
    <w:rsid w:val="00E6701C"/>
    <w:rsid w:val="00E67263"/>
    <w:rsid w:val="00E672A1"/>
    <w:rsid w:val="00E672D2"/>
    <w:rsid w:val="00E67384"/>
    <w:rsid w:val="00E6750C"/>
    <w:rsid w:val="00E6750F"/>
    <w:rsid w:val="00E67A02"/>
    <w:rsid w:val="00E67A30"/>
    <w:rsid w:val="00E67CE2"/>
    <w:rsid w:val="00E67E3A"/>
    <w:rsid w:val="00E67FF7"/>
    <w:rsid w:val="00E701AA"/>
    <w:rsid w:val="00E701C3"/>
    <w:rsid w:val="00E70327"/>
    <w:rsid w:val="00E70385"/>
    <w:rsid w:val="00E70443"/>
    <w:rsid w:val="00E7072B"/>
    <w:rsid w:val="00E70782"/>
    <w:rsid w:val="00E709C5"/>
    <w:rsid w:val="00E709D3"/>
    <w:rsid w:val="00E70AE8"/>
    <w:rsid w:val="00E70BF9"/>
    <w:rsid w:val="00E70C20"/>
    <w:rsid w:val="00E70CDA"/>
    <w:rsid w:val="00E70D1F"/>
    <w:rsid w:val="00E70DCC"/>
    <w:rsid w:val="00E70F75"/>
    <w:rsid w:val="00E70F84"/>
    <w:rsid w:val="00E710EE"/>
    <w:rsid w:val="00E712D8"/>
    <w:rsid w:val="00E71373"/>
    <w:rsid w:val="00E7140A"/>
    <w:rsid w:val="00E71415"/>
    <w:rsid w:val="00E714EF"/>
    <w:rsid w:val="00E716C7"/>
    <w:rsid w:val="00E71762"/>
    <w:rsid w:val="00E717B9"/>
    <w:rsid w:val="00E71AC4"/>
    <w:rsid w:val="00E71CC0"/>
    <w:rsid w:val="00E71D96"/>
    <w:rsid w:val="00E71E73"/>
    <w:rsid w:val="00E71F0B"/>
    <w:rsid w:val="00E71F39"/>
    <w:rsid w:val="00E71F64"/>
    <w:rsid w:val="00E72101"/>
    <w:rsid w:val="00E7221D"/>
    <w:rsid w:val="00E72265"/>
    <w:rsid w:val="00E72279"/>
    <w:rsid w:val="00E72721"/>
    <w:rsid w:val="00E7289A"/>
    <w:rsid w:val="00E72A83"/>
    <w:rsid w:val="00E72AAF"/>
    <w:rsid w:val="00E72BFB"/>
    <w:rsid w:val="00E72DC2"/>
    <w:rsid w:val="00E72EF5"/>
    <w:rsid w:val="00E7301A"/>
    <w:rsid w:val="00E73296"/>
    <w:rsid w:val="00E732DD"/>
    <w:rsid w:val="00E7341E"/>
    <w:rsid w:val="00E73425"/>
    <w:rsid w:val="00E7347F"/>
    <w:rsid w:val="00E7372A"/>
    <w:rsid w:val="00E737B7"/>
    <w:rsid w:val="00E73914"/>
    <w:rsid w:val="00E73C7E"/>
    <w:rsid w:val="00E73E2E"/>
    <w:rsid w:val="00E740F8"/>
    <w:rsid w:val="00E7412F"/>
    <w:rsid w:val="00E7425A"/>
    <w:rsid w:val="00E74349"/>
    <w:rsid w:val="00E74358"/>
    <w:rsid w:val="00E74555"/>
    <w:rsid w:val="00E745D7"/>
    <w:rsid w:val="00E747CB"/>
    <w:rsid w:val="00E749BF"/>
    <w:rsid w:val="00E74B99"/>
    <w:rsid w:val="00E74C0B"/>
    <w:rsid w:val="00E74C33"/>
    <w:rsid w:val="00E74C94"/>
    <w:rsid w:val="00E74D2B"/>
    <w:rsid w:val="00E7500E"/>
    <w:rsid w:val="00E75067"/>
    <w:rsid w:val="00E75077"/>
    <w:rsid w:val="00E753E5"/>
    <w:rsid w:val="00E75429"/>
    <w:rsid w:val="00E755E5"/>
    <w:rsid w:val="00E7581D"/>
    <w:rsid w:val="00E75993"/>
    <w:rsid w:val="00E759C4"/>
    <w:rsid w:val="00E759EA"/>
    <w:rsid w:val="00E75AB4"/>
    <w:rsid w:val="00E75BE8"/>
    <w:rsid w:val="00E76012"/>
    <w:rsid w:val="00E7615F"/>
    <w:rsid w:val="00E76439"/>
    <w:rsid w:val="00E7657E"/>
    <w:rsid w:val="00E76785"/>
    <w:rsid w:val="00E76849"/>
    <w:rsid w:val="00E7687C"/>
    <w:rsid w:val="00E7691D"/>
    <w:rsid w:val="00E76AE0"/>
    <w:rsid w:val="00E76B04"/>
    <w:rsid w:val="00E76CF5"/>
    <w:rsid w:val="00E76E3E"/>
    <w:rsid w:val="00E77640"/>
    <w:rsid w:val="00E77732"/>
    <w:rsid w:val="00E777E0"/>
    <w:rsid w:val="00E77B1C"/>
    <w:rsid w:val="00E77B66"/>
    <w:rsid w:val="00E77B90"/>
    <w:rsid w:val="00E77BEE"/>
    <w:rsid w:val="00E77C86"/>
    <w:rsid w:val="00E77D1E"/>
    <w:rsid w:val="00E77DD0"/>
    <w:rsid w:val="00E77DD9"/>
    <w:rsid w:val="00E77F7C"/>
    <w:rsid w:val="00E80005"/>
    <w:rsid w:val="00E80120"/>
    <w:rsid w:val="00E80198"/>
    <w:rsid w:val="00E802B4"/>
    <w:rsid w:val="00E80580"/>
    <w:rsid w:val="00E80A26"/>
    <w:rsid w:val="00E80C1E"/>
    <w:rsid w:val="00E80CD1"/>
    <w:rsid w:val="00E80D4B"/>
    <w:rsid w:val="00E80DBC"/>
    <w:rsid w:val="00E8106E"/>
    <w:rsid w:val="00E8134E"/>
    <w:rsid w:val="00E8167A"/>
    <w:rsid w:val="00E8176C"/>
    <w:rsid w:val="00E81A4D"/>
    <w:rsid w:val="00E81A87"/>
    <w:rsid w:val="00E81BCD"/>
    <w:rsid w:val="00E81BD6"/>
    <w:rsid w:val="00E81C02"/>
    <w:rsid w:val="00E81C18"/>
    <w:rsid w:val="00E81F98"/>
    <w:rsid w:val="00E82001"/>
    <w:rsid w:val="00E8212A"/>
    <w:rsid w:val="00E822F0"/>
    <w:rsid w:val="00E82567"/>
    <w:rsid w:val="00E82847"/>
    <w:rsid w:val="00E8285C"/>
    <w:rsid w:val="00E829C9"/>
    <w:rsid w:val="00E829CF"/>
    <w:rsid w:val="00E829EA"/>
    <w:rsid w:val="00E82A5D"/>
    <w:rsid w:val="00E82AA6"/>
    <w:rsid w:val="00E82ADB"/>
    <w:rsid w:val="00E82B60"/>
    <w:rsid w:val="00E82C13"/>
    <w:rsid w:val="00E82C6B"/>
    <w:rsid w:val="00E82DD9"/>
    <w:rsid w:val="00E82FE2"/>
    <w:rsid w:val="00E831EE"/>
    <w:rsid w:val="00E83214"/>
    <w:rsid w:val="00E832FF"/>
    <w:rsid w:val="00E83434"/>
    <w:rsid w:val="00E836D3"/>
    <w:rsid w:val="00E83780"/>
    <w:rsid w:val="00E83895"/>
    <w:rsid w:val="00E838B1"/>
    <w:rsid w:val="00E83948"/>
    <w:rsid w:val="00E8396A"/>
    <w:rsid w:val="00E83CF9"/>
    <w:rsid w:val="00E83E1B"/>
    <w:rsid w:val="00E83E22"/>
    <w:rsid w:val="00E83E74"/>
    <w:rsid w:val="00E83F4E"/>
    <w:rsid w:val="00E83F7B"/>
    <w:rsid w:val="00E83FD2"/>
    <w:rsid w:val="00E84315"/>
    <w:rsid w:val="00E8441B"/>
    <w:rsid w:val="00E84539"/>
    <w:rsid w:val="00E84876"/>
    <w:rsid w:val="00E84AFA"/>
    <w:rsid w:val="00E84BA1"/>
    <w:rsid w:val="00E84EC4"/>
    <w:rsid w:val="00E84F37"/>
    <w:rsid w:val="00E84F48"/>
    <w:rsid w:val="00E84F73"/>
    <w:rsid w:val="00E85009"/>
    <w:rsid w:val="00E851B3"/>
    <w:rsid w:val="00E85466"/>
    <w:rsid w:val="00E854E4"/>
    <w:rsid w:val="00E85522"/>
    <w:rsid w:val="00E85554"/>
    <w:rsid w:val="00E85880"/>
    <w:rsid w:val="00E85966"/>
    <w:rsid w:val="00E859A4"/>
    <w:rsid w:val="00E859CC"/>
    <w:rsid w:val="00E85B39"/>
    <w:rsid w:val="00E85B61"/>
    <w:rsid w:val="00E85F86"/>
    <w:rsid w:val="00E85FEF"/>
    <w:rsid w:val="00E860E9"/>
    <w:rsid w:val="00E8623B"/>
    <w:rsid w:val="00E8640D"/>
    <w:rsid w:val="00E86738"/>
    <w:rsid w:val="00E86916"/>
    <w:rsid w:val="00E86ADC"/>
    <w:rsid w:val="00E86B17"/>
    <w:rsid w:val="00E86BA1"/>
    <w:rsid w:val="00E86D7F"/>
    <w:rsid w:val="00E86EB2"/>
    <w:rsid w:val="00E86EC9"/>
    <w:rsid w:val="00E87063"/>
    <w:rsid w:val="00E871F5"/>
    <w:rsid w:val="00E87240"/>
    <w:rsid w:val="00E87461"/>
    <w:rsid w:val="00E8751A"/>
    <w:rsid w:val="00E875DF"/>
    <w:rsid w:val="00E87893"/>
    <w:rsid w:val="00E878F9"/>
    <w:rsid w:val="00E87A14"/>
    <w:rsid w:val="00E87C8E"/>
    <w:rsid w:val="00E90266"/>
    <w:rsid w:val="00E90323"/>
    <w:rsid w:val="00E90391"/>
    <w:rsid w:val="00E903FC"/>
    <w:rsid w:val="00E9059D"/>
    <w:rsid w:val="00E90825"/>
    <w:rsid w:val="00E90936"/>
    <w:rsid w:val="00E90988"/>
    <w:rsid w:val="00E90A67"/>
    <w:rsid w:val="00E90B87"/>
    <w:rsid w:val="00E90B89"/>
    <w:rsid w:val="00E90C81"/>
    <w:rsid w:val="00E90D9C"/>
    <w:rsid w:val="00E90F09"/>
    <w:rsid w:val="00E90F43"/>
    <w:rsid w:val="00E911CB"/>
    <w:rsid w:val="00E9126B"/>
    <w:rsid w:val="00E913AA"/>
    <w:rsid w:val="00E915D5"/>
    <w:rsid w:val="00E91639"/>
    <w:rsid w:val="00E9163D"/>
    <w:rsid w:val="00E9186F"/>
    <w:rsid w:val="00E91D57"/>
    <w:rsid w:val="00E91DD5"/>
    <w:rsid w:val="00E91DFC"/>
    <w:rsid w:val="00E91EB3"/>
    <w:rsid w:val="00E91F7A"/>
    <w:rsid w:val="00E9201D"/>
    <w:rsid w:val="00E92216"/>
    <w:rsid w:val="00E9228D"/>
    <w:rsid w:val="00E9244C"/>
    <w:rsid w:val="00E92456"/>
    <w:rsid w:val="00E9246C"/>
    <w:rsid w:val="00E924AF"/>
    <w:rsid w:val="00E92651"/>
    <w:rsid w:val="00E92687"/>
    <w:rsid w:val="00E92692"/>
    <w:rsid w:val="00E926CF"/>
    <w:rsid w:val="00E92868"/>
    <w:rsid w:val="00E928AC"/>
    <w:rsid w:val="00E92968"/>
    <w:rsid w:val="00E92974"/>
    <w:rsid w:val="00E92A05"/>
    <w:rsid w:val="00E92ADB"/>
    <w:rsid w:val="00E92B23"/>
    <w:rsid w:val="00E92C00"/>
    <w:rsid w:val="00E92C4D"/>
    <w:rsid w:val="00E92CCD"/>
    <w:rsid w:val="00E92D03"/>
    <w:rsid w:val="00E92F98"/>
    <w:rsid w:val="00E9313C"/>
    <w:rsid w:val="00E9321C"/>
    <w:rsid w:val="00E93308"/>
    <w:rsid w:val="00E9331D"/>
    <w:rsid w:val="00E93445"/>
    <w:rsid w:val="00E93465"/>
    <w:rsid w:val="00E934F1"/>
    <w:rsid w:val="00E936AE"/>
    <w:rsid w:val="00E93704"/>
    <w:rsid w:val="00E93A01"/>
    <w:rsid w:val="00E93C5B"/>
    <w:rsid w:val="00E93E76"/>
    <w:rsid w:val="00E93FD1"/>
    <w:rsid w:val="00E941D2"/>
    <w:rsid w:val="00E941DD"/>
    <w:rsid w:val="00E94214"/>
    <w:rsid w:val="00E94256"/>
    <w:rsid w:val="00E9433D"/>
    <w:rsid w:val="00E94441"/>
    <w:rsid w:val="00E9461F"/>
    <w:rsid w:val="00E946EE"/>
    <w:rsid w:val="00E946F2"/>
    <w:rsid w:val="00E947E3"/>
    <w:rsid w:val="00E947F6"/>
    <w:rsid w:val="00E948B4"/>
    <w:rsid w:val="00E94A57"/>
    <w:rsid w:val="00E94ADC"/>
    <w:rsid w:val="00E94B0F"/>
    <w:rsid w:val="00E94F15"/>
    <w:rsid w:val="00E94FED"/>
    <w:rsid w:val="00E95070"/>
    <w:rsid w:val="00E950B3"/>
    <w:rsid w:val="00E951CA"/>
    <w:rsid w:val="00E95322"/>
    <w:rsid w:val="00E9535B"/>
    <w:rsid w:val="00E9539D"/>
    <w:rsid w:val="00E95486"/>
    <w:rsid w:val="00E95490"/>
    <w:rsid w:val="00E956FE"/>
    <w:rsid w:val="00E95818"/>
    <w:rsid w:val="00E959D0"/>
    <w:rsid w:val="00E959FD"/>
    <w:rsid w:val="00E95A24"/>
    <w:rsid w:val="00E95A4B"/>
    <w:rsid w:val="00E95BA2"/>
    <w:rsid w:val="00E95DDF"/>
    <w:rsid w:val="00E95E5B"/>
    <w:rsid w:val="00E96053"/>
    <w:rsid w:val="00E960FD"/>
    <w:rsid w:val="00E9631F"/>
    <w:rsid w:val="00E965D7"/>
    <w:rsid w:val="00E96692"/>
    <w:rsid w:val="00E9669F"/>
    <w:rsid w:val="00E96839"/>
    <w:rsid w:val="00E968B7"/>
    <w:rsid w:val="00E968C1"/>
    <w:rsid w:val="00E9692B"/>
    <w:rsid w:val="00E96975"/>
    <w:rsid w:val="00E96C86"/>
    <w:rsid w:val="00E96C9E"/>
    <w:rsid w:val="00E971A1"/>
    <w:rsid w:val="00E971F3"/>
    <w:rsid w:val="00E971F6"/>
    <w:rsid w:val="00E9750E"/>
    <w:rsid w:val="00E976B5"/>
    <w:rsid w:val="00E9786D"/>
    <w:rsid w:val="00E97889"/>
    <w:rsid w:val="00E97B47"/>
    <w:rsid w:val="00E97B84"/>
    <w:rsid w:val="00E97C37"/>
    <w:rsid w:val="00E97D0B"/>
    <w:rsid w:val="00E97D24"/>
    <w:rsid w:val="00E97E45"/>
    <w:rsid w:val="00E97EB3"/>
    <w:rsid w:val="00EA0292"/>
    <w:rsid w:val="00EA03A4"/>
    <w:rsid w:val="00EA0774"/>
    <w:rsid w:val="00EA07B8"/>
    <w:rsid w:val="00EA0881"/>
    <w:rsid w:val="00EA0891"/>
    <w:rsid w:val="00EA0935"/>
    <w:rsid w:val="00EA0B97"/>
    <w:rsid w:val="00EA0CD8"/>
    <w:rsid w:val="00EA0D38"/>
    <w:rsid w:val="00EA0DA7"/>
    <w:rsid w:val="00EA0E54"/>
    <w:rsid w:val="00EA0E5A"/>
    <w:rsid w:val="00EA0FCB"/>
    <w:rsid w:val="00EA0FCD"/>
    <w:rsid w:val="00EA114E"/>
    <w:rsid w:val="00EA1182"/>
    <w:rsid w:val="00EA11C3"/>
    <w:rsid w:val="00EA12C2"/>
    <w:rsid w:val="00EA12DD"/>
    <w:rsid w:val="00EA1307"/>
    <w:rsid w:val="00EA134B"/>
    <w:rsid w:val="00EA141A"/>
    <w:rsid w:val="00EA1472"/>
    <w:rsid w:val="00EA1569"/>
    <w:rsid w:val="00EA1769"/>
    <w:rsid w:val="00EA177D"/>
    <w:rsid w:val="00EA17F8"/>
    <w:rsid w:val="00EA1A19"/>
    <w:rsid w:val="00EA1D55"/>
    <w:rsid w:val="00EA1D9A"/>
    <w:rsid w:val="00EA1FAD"/>
    <w:rsid w:val="00EA20AA"/>
    <w:rsid w:val="00EA2215"/>
    <w:rsid w:val="00EA238C"/>
    <w:rsid w:val="00EA24B1"/>
    <w:rsid w:val="00EA2787"/>
    <w:rsid w:val="00EA29E3"/>
    <w:rsid w:val="00EA2EE2"/>
    <w:rsid w:val="00EA2F0D"/>
    <w:rsid w:val="00EA3041"/>
    <w:rsid w:val="00EA3092"/>
    <w:rsid w:val="00EA30C0"/>
    <w:rsid w:val="00EA314D"/>
    <w:rsid w:val="00EA341B"/>
    <w:rsid w:val="00EA35A5"/>
    <w:rsid w:val="00EA3611"/>
    <w:rsid w:val="00EA3671"/>
    <w:rsid w:val="00EA3A96"/>
    <w:rsid w:val="00EA3B18"/>
    <w:rsid w:val="00EA3CBC"/>
    <w:rsid w:val="00EA4176"/>
    <w:rsid w:val="00EA4178"/>
    <w:rsid w:val="00EA4760"/>
    <w:rsid w:val="00EA477E"/>
    <w:rsid w:val="00EA48F8"/>
    <w:rsid w:val="00EA4B1F"/>
    <w:rsid w:val="00EA4E97"/>
    <w:rsid w:val="00EA5121"/>
    <w:rsid w:val="00EA51FF"/>
    <w:rsid w:val="00EA5323"/>
    <w:rsid w:val="00EA53D6"/>
    <w:rsid w:val="00EA58C0"/>
    <w:rsid w:val="00EA590E"/>
    <w:rsid w:val="00EA5C10"/>
    <w:rsid w:val="00EA5CBB"/>
    <w:rsid w:val="00EA5CFB"/>
    <w:rsid w:val="00EA5D0B"/>
    <w:rsid w:val="00EA5D4A"/>
    <w:rsid w:val="00EA6010"/>
    <w:rsid w:val="00EA6024"/>
    <w:rsid w:val="00EA61E0"/>
    <w:rsid w:val="00EA6226"/>
    <w:rsid w:val="00EA629A"/>
    <w:rsid w:val="00EA631D"/>
    <w:rsid w:val="00EA63E7"/>
    <w:rsid w:val="00EA6786"/>
    <w:rsid w:val="00EA68FF"/>
    <w:rsid w:val="00EA690F"/>
    <w:rsid w:val="00EA69A8"/>
    <w:rsid w:val="00EA6AE8"/>
    <w:rsid w:val="00EA6B60"/>
    <w:rsid w:val="00EA6CEB"/>
    <w:rsid w:val="00EA6FF8"/>
    <w:rsid w:val="00EA72FA"/>
    <w:rsid w:val="00EA737C"/>
    <w:rsid w:val="00EA76F8"/>
    <w:rsid w:val="00EA7739"/>
    <w:rsid w:val="00EA7B6E"/>
    <w:rsid w:val="00EA7B86"/>
    <w:rsid w:val="00EA7C37"/>
    <w:rsid w:val="00EA7EA4"/>
    <w:rsid w:val="00EA7F7F"/>
    <w:rsid w:val="00EA7FBB"/>
    <w:rsid w:val="00EB0051"/>
    <w:rsid w:val="00EB009E"/>
    <w:rsid w:val="00EB00C0"/>
    <w:rsid w:val="00EB0111"/>
    <w:rsid w:val="00EB01DB"/>
    <w:rsid w:val="00EB01FD"/>
    <w:rsid w:val="00EB0403"/>
    <w:rsid w:val="00EB05AE"/>
    <w:rsid w:val="00EB05B7"/>
    <w:rsid w:val="00EB08E6"/>
    <w:rsid w:val="00EB092C"/>
    <w:rsid w:val="00EB0A95"/>
    <w:rsid w:val="00EB0B3E"/>
    <w:rsid w:val="00EB0DEA"/>
    <w:rsid w:val="00EB0E1F"/>
    <w:rsid w:val="00EB10F8"/>
    <w:rsid w:val="00EB1236"/>
    <w:rsid w:val="00EB1683"/>
    <w:rsid w:val="00EB17CF"/>
    <w:rsid w:val="00EB184D"/>
    <w:rsid w:val="00EB1AB0"/>
    <w:rsid w:val="00EB1BB0"/>
    <w:rsid w:val="00EB1C5E"/>
    <w:rsid w:val="00EB1CCB"/>
    <w:rsid w:val="00EB1E59"/>
    <w:rsid w:val="00EB1F63"/>
    <w:rsid w:val="00EB1FF3"/>
    <w:rsid w:val="00EB247E"/>
    <w:rsid w:val="00EB24F0"/>
    <w:rsid w:val="00EB26FF"/>
    <w:rsid w:val="00EB27B1"/>
    <w:rsid w:val="00EB27BC"/>
    <w:rsid w:val="00EB2834"/>
    <w:rsid w:val="00EB286B"/>
    <w:rsid w:val="00EB2891"/>
    <w:rsid w:val="00EB2BB3"/>
    <w:rsid w:val="00EB2CEE"/>
    <w:rsid w:val="00EB2EB7"/>
    <w:rsid w:val="00EB2EC1"/>
    <w:rsid w:val="00EB2EF1"/>
    <w:rsid w:val="00EB3061"/>
    <w:rsid w:val="00EB3221"/>
    <w:rsid w:val="00EB328E"/>
    <w:rsid w:val="00EB3465"/>
    <w:rsid w:val="00EB347C"/>
    <w:rsid w:val="00EB3533"/>
    <w:rsid w:val="00EB36D5"/>
    <w:rsid w:val="00EB3864"/>
    <w:rsid w:val="00EB3936"/>
    <w:rsid w:val="00EB397B"/>
    <w:rsid w:val="00EB3AEC"/>
    <w:rsid w:val="00EB3BC2"/>
    <w:rsid w:val="00EB3BDA"/>
    <w:rsid w:val="00EB3D5D"/>
    <w:rsid w:val="00EB3E99"/>
    <w:rsid w:val="00EB3FB1"/>
    <w:rsid w:val="00EB40EB"/>
    <w:rsid w:val="00EB41B7"/>
    <w:rsid w:val="00EB4202"/>
    <w:rsid w:val="00EB44AA"/>
    <w:rsid w:val="00EB47D6"/>
    <w:rsid w:val="00EB4916"/>
    <w:rsid w:val="00EB4A96"/>
    <w:rsid w:val="00EB4B59"/>
    <w:rsid w:val="00EB4C10"/>
    <w:rsid w:val="00EB4C1D"/>
    <w:rsid w:val="00EB4DC8"/>
    <w:rsid w:val="00EB5005"/>
    <w:rsid w:val="00EB5300"/>
    <w:rsid w:val="00EB5454"/>
    <w:rsid w:val="00EB5518"/>
    <w:rsid w:val="00EB58F3"/>
    <w:rsid w:val="00EB5997"/>
    <w:rsid w:val="00EB5A1E"/>
    <w:rsid w:val="00EB5A2F"/>
    <w:rsid w:val="00EB5BB2"/>
    <w:rsid w:val="00EB5C9A"/>
    <w:rsid w:val="00EB5E03"/>
    <w:rsid w:val="00EB5ED7"/>
    <w:rsid w:val="00EB5F46"/>
    <w:rsid w:val="00EB6103"/>
    <w:rsid w:val="00EB628D"/>
    <w:rsid w:val="00EB62D4"/>
    <w:rsid w:val="00EB6530"/>
    <w:rsid w:val="00EB683E"/>
    <w:rsid w:val="00EB6849"/>
    <w:rsid w:val="00EB688C"/>
    <w:rsid w:val="00EB69F1"/>
    <w:rsid w:val="00EB6A09"/>
    <w:rsid w:val="00EB6A32"/>
    <w:rsid w:val="00EB6A94"/>
    <w:rsid w:val="00EB6B1C"/>
    <w:rsid w:val="00EB6DCC"/>
    <w:rsid w:val="00EB6DDD"/>
    <w:rsid w:val="00EB6E1B"/>
    <w:rsid w:val="00EB6E82"/>
    <w:rsid w:val="00EB6E94"/>
    <w:rsid w:val="00EB7178"/>
    <w:rsid w:val="00EB7299"/>
    <w:rsid w:val="00EB732D"/>
    <w:rsid w:val="00EB7334"/>
    <w:rsid w:val="00EB7790"/>
    <w:rsid w:val="00EB7860"/>
    <w:rsid w:val="00EB78B4"/>
    <w:rsid w:val="00EB7A4F"/>
    <w:rsid w:val="00EB7AA1"/>
    <w:rsid w:val="00EB7C5D"/>
    <w:rsid w:val="00EB7D0E"/>
    <w:rsid w:val="00EB7DBE"/>
    <w:rsid w:val="00EB7F56"/>
    <w:rsid w:val="00EB7F5D"/>
    <w:rsid w:val="00EC0304"/>
    <w:rsid w:val="00EC0711"/>
    <w:rsid w:val="00EC07D0"/>
    <w:rsid w:val="00EC08C2"/>
    <w:rsid w:val="00EC09DB"/>
    <w:rsid w:val="00EC0A4F"/>
    <w:rsid w:val="00EC0A5C"/>
    <w:rsid w:val="00EC0AB2"/>
    <w:rsid w:val="00EC0AFB"/>
    <w:rsid w:val="00EC0B49"/>
    <w:rsid w:val="00EC0C0E"/>
    <w:rsid w:val="00EC0CCC"/>
    <w:rsid w:val="00EC0CEF"/>
    <w:rsid w:val="00EC0E05"/>
    <w:rsid w:val="00EC0F98"/>
    <w:rsid w:val="00EC103E"/>
    <w:rsid w:val="00EC1074"/>
    <w:rsid w:val="00EC10A4"/>
    <w:rsid w:val="00EC1107"/>
    <w:rsid w:val="00EC1134"/>
    <w:rsid w:val="00EC11AE"/>
    <w:rsid w:val="00EC1413"/>
    <w:rsid w:val="00EC157A"/>
    <w:rsid w:val="00EC15BD"/>
    <w:rsid w:val="00EC15E4"/>
    <w:rsid w:val="00EC16FC"/>
    <w:rsid w:val="00EC1711"/>
    <w:rsid w:val="00EC1850"/>
    <w:rsid w:val="00EC18B5"/>
    <w:rsid w:val="00EC1D63"/>
    <w:rsid w:val="00EC1E00"/>
    <w:rsid w:val="00EC20E8"/>
    <w:rsid w:val="00EC2196"/>
    <w:rsid w:val="00EC23C3"/>
    <w:rsid w:val="00EC244B"/>
    <w:rsid w:val="00EC247D"/>
    <w:rsid w:val="00EC2502"/>
    <w:rsid w:val="00EC283E"/>
    <w:rsid w:val="00EC297C"/>
    <w:rsid w:val="00EC2C47"/>
    <w:rsid w:val="00EC3292"/>
    <w:rsid w:val="00EC32D1"/>
    <w:rsid w:val="00EC33A0"/>
    <w:rsid w:val="00EC33E8"/>
    <w:rsid w:val="00EC37F6"/>
    <w:rsid w:val="00EC3825"/>
    <w:rsid w:val="00EC3A72"/>
    <w:rsid w:val="00EC3AAA"/>
    <w:rsid w:val="00EC3C91"/>
    <w:rsid w:val="00EC3EA7"/>
    <w:rsid w:val="00EC40E6"/>
    <w:rsid w:val="00EC458E"/>
    <w:rsid w:val="00EC45DB"/>
    <w:rsid w:val="00EC4604"/>
    <w:rsid w:val="00EC4679"/>
    <w:rsid w:val="00EC4804"/>
    <w:rsid w:val="00EC480B"/>
    <w:rsid w:val="00EC4836"/>
    <w:rsid w:val="00EC4912"/>
    <w:rsid w:val="00EC4945"/>
    <w:rsid w:val="00EC49B0"/>
    <w:rsid w:val="00EC4A5A"/>
    <w:rsid w:val="00EC4F50"/>
    <w:rsid w:val="00EC5088"/>
    <w:rsid w:val="00EC545E"/>
    <w:rsid w:val="00EC554E"/>
    <w:rsid w:val="00EC5811"/>
    <w:rsid w:val="00EC5999"/>
    <w:rsid w:val="00EC59FC"/>
    <w:rsid w:val="00EC5A16"/>
    <w:rsid w:val="00EC5A9D"/>
    <w:rsid w:val="00EC5D12"/>
    <w:rsid w:val="00EC5E85"/>
    <w:rsid w:val="00EC6058"/>
    <w:rsid w:val="00EC60C7"/>
    <w:rsid w:val="00EC60F5"/>
    <w:rsid w:val="00EC61EE"/>
    <w:rsid w:val="00EC620A"/>
    <w:rsid w:val="00EC658D"/>
    <w:rsid w:val="00EC6628"/>
    <w:rsid w:val="00EC666B"/>
    <w:rsid w:val="00EC66F0"/>
    <w:rsid w:val="00EC68F1"/>
    <w:rsid w:val="00EC693B"/>
    <w:rsid w:val="00EC6ADC"/>
    <w:rsid w:val="00EC6B64"/>
    <w:rsid w:val="00EC6B8D"/>
    <w:rsid w:val="00EC6BE3"/>
    <w:rsid w:val="00EC6C34"/>
    <w:rsid w:val="00EC6D39"/>
    <w:rsid w:val="00EC6DDC"/>
    <w:rsid w:val="00EC6EF1"/>
    <w:rsid w:val="00EC6F80"/>
    <w:rsid w:val="00EC6FC0"/>
    <w:rsid w:val="00EC7015"/>
    <w:rsid w:val="00EC70BB"/>
    <w:rsid w:val="00EC71FB"/>
    <w:rsid w:val="00EC729B"/>
    <w:rsid w:val="00EC7536"/>
    <w:rsid w:val="00EC75F2"/>
    <w:rsid w:val="00EC769C"/>
    <w:rsid w:val="00EC76E9"/>
    <w:rsid w:val="00EC7818"/>
    <w:rsid w:val="00EC7856"/>
    <w:rsid w:val="00EC7A7A"/>
    <w:rsid w:val="00EC7AD4"/>
    <w:rsid w:val="00EC7ED1"/>
    <w:rsid w:val="00EC7F85"/>
    <w:rsid w:val="00ED0276"/>
    <w:rsid w:val="00ED03C9"/>
    <w:rsid w:val="00ED040A"/>
    <w:rsid w:val="00ED046C"/>
    <w:rsid w:val="00ED0608"/>
    <w:rsid w:val="00ED0638"/>
    <w:rsid w:val="00ED06EA"/>
    <w:rsid w:val="00ED0924"/>
    <w:rsid w:val="00ED09DD"/>
    <w:rsid w:val="00ED0BF7"/>
    <w:rsid w:val="00ED0C2C"/>
    <w:rsid w:val="00ED0D04"/>
    <w:rsid w:val="00ED0DDE"/>
    <w:rsid w:val="00ED0E75"/>
    <w:rsid w:val="00ED0F7E"/>
    <w:rsid w:val="00ED0F8F"/>
    <w:rsid w:val="00ED10F5"/>
    <w:rsid w:val="00ED1149"/>
    <w:rsid w:val="00ED117A"/>
    <w:rsid w:val="00ED1326"/>
    <w:rsid w:val="00ED13B7"/>
    <w:rsid w:val="00ED13E7"/>
    <w:rsid w:val="00ED1466"/>
    <w:rsid w:val="00ED14E5"/>
    <w:rsid w:val="00ED1541"/>
    <w:rsid w:val="00ED1653"/>
    <w:rsid w:val="00ED1805"/>
    <w:rsid w:val="00ED1A15"/>
    <w:rsid w:val="00ED1AD5"/>
    <w:rsid w:val="00ED1B55"/>
    <w:rsid w:val="00ED1DCE"/>
    <w:rsid w:val="00ED1DFA"/>
    <w:rsid w:val="00ED1FE6"/>
    <w:rsid w:val="00ED20AC"/>
    <w:rsid w:val="00ED23D6"/>
    <w:rsid w:val="00ED2432"/>
    <w:rsid w:val="00ED2447"/>
    <w:rsid w:val="00ED2551"/>
    <w:rsid w:val="00ED28A3"/>
    <w:rsid w:val="00ED2C61"/>
    <w:rsid w:val="00ED2C88"/>
    <w:rsid w:val="00ED2E58"/>
    <w:rsid w:val="00ED2EE2"/>
    <w:rsid w:val="00ED2F12"/>
    <w:rsid w:val="00ED2F78"/>
    <w:rsid w:val="00ED308F"/>
    <w:rsid w:val="00ED317A"/>
    <w:rsid w:val="00ED3189"/>
    <w:rsid w:val="00ED3207"/>
    <w:rsid w:val="00ED336C"/>
    <w:rsid w:val="00ED3388"/>
    <w:rsid w:val="00ED39DC"/>
    <w:rsid w:val="00ED3ADA"/>
    <w:rsid w:val="00ED3AED"/>
    <w:rsid w:val="00ED3C03"/>
    <w:rsid w:val="00ED3CFE"/>
    <w:rsid w:val="00ED3EAD"/>
    <w:rsid w:val="00ED40D4"/>
    <w:rsid w:val="00ED40F1"/>
    <w:rsid w:val="00ED4180"/>
    <w:rsid w:val="00ED4294"/>
    <w:rsid w:val="00ED42DE"/>
    <w:rsid w:val="00ED44BC"/>
    <w:rsid w:val="00ED4559"/>
    <w:rsid w:val="00ED4845"/>
    <w:rsid w:val="00ED4912"/>
    <w:rsid w:val="00ED4ACF"/>
    <w:rsid w:val="00ED4BB4"/>
    <w:rsid w:val="00ED4CDE"/>
    <w:rsid w:val="00ED4DBA"/>
    <w:rsid w:val="00ED4E67"/>
    <w:rsid w:val="00ED4F57"/>
    <w:rsid w:val="00ED5144"/>
    <w:rsid w:val="00ED5303"/>
    <w:rsid w:val="00ED56C2"/>
    <w:rsid w:val="00ED5C6B"/>
    <w:rsid w:val="00ED5CAF"/>
    <w:rsid w:val="00ED5D9E"/>
    <w:rsid w:val="00ED5DE9"/>
    <w:rsid w:val="00ED5E38"/>
    <w:rsid w:val="00ED5EBD"/>
    <w:rsid w:val="00ED5F77"/>
    <w:rsid w:val="00ED603E"/>
    <w:rsid w:val="00ED605B"/>
    <w:rsid w:val="00ED60D6"/>
    <w:rsid w:val="00ED6248"/>
    <w:rsid w:val="00ED64BB"/>
    <w:rsid w:val="00ED6636"/>
    <w:rsid w:val="00ED6644"/>
    <w:rsid w:val="00ED6691"/>
    <w:rsid w:val="00ED66D0"/>
    <w:rsid w:val="00ED66D8"/>
    <w:rsid w:val="00ED67AB"/>
    <w:rsid w:val="00ED6880"/>
    <w:rsid w:val="00ED690A"/>
    <w:rsid w:val="00ED69E1"/>
    <w:rsid w:val="00ED6B45"/>
    <w:rsid w:val="00ED6CCF"/>
    <w:rsid w:val="00ED6E71"/>
    <w:rsid w:val="00ED702F"/>
    <w:rsid w:val="00ED7205"/>
    <w:rsid w:val="00ED7325"/>
    <w:rsid w:val="00ED7338"/>
    <w:rsid w:val="00ED738C"/>
    <w:rsid w:val="00ED7430"/>
    <w:rsid w:val="00ED754C"/>
    <w:rsid w:val="00ED7908"/>
    <w:rsid w:val="00ED79C9"/>
    <w:rsid w:val="00ED7BA3"/>
    <w:rsid w:val="00ED7C43"/>
    <w:rsid w:val="00ED7D35"/>
    <w:rsid w:val="00ED7D5D"/>
    <w:rsid w:val="00ED7EBB"/>
    <w:rsid w:val="00ED7F47"/>
    <w:rsid w:val="00ED7F60"/>
    <w:rsid w:val="00EE0170"/>
    <w:rsid w:val="00EE0220"/>
    <w:rsid w:val="00EE0289"/>
    <w:rsid w:val="00EE02FE"/>
    <w:rsid w:val="00EE03B0"/>
    <w:rsid w:val="00EE053D"/>
    <w:rsid w:val="00EE07AC"/>
    <w:rsid w:val="00EE0852"/>
    <w:rsid w:val="00EE0860"/>
    <w:rsid w:val="00EE0A5D"/>
    <w:rsid w:val="00EE0EE2"/>
    <w:rsid w:val="00EE0F44"/>
    <w:rsid w:val="00EE119F"/>
    <w:rsid w:val="00EE126C"/>
    <w:rsid w:val="00EE1289"/>
    <w:rsid w:val="00EE1291"/>
    <w:rsid w:val="00EE12BE"/>
    <w:rsid w:val="00EE1529"/>
    <w:rsid w:val="00EE1579"/>
    <w:rsid w:val="00EE1599"/>
    <w:rsid w:val="00EE166D"/>
    <w:rsid w:val="00EE16F2"/>
    <w:rsid w:val="00EE1AFD"/>
    <w:rsid w:val="00EE1D6E"/>
    <w:rsid w:val="00EE1FE5"/>
    <w:rsid w:val="00EE22CA"/>
    <w:rsid w:val="00EE22E6"/>
    <w:rsid w:val="00EE249F"/>
    <w:rsid w:val="00EE2616"/>
    <w:rsid w:val="00EE271B"/>
    <w:rsid w:val="00EE28F4"/>
    <w:rsid w:val="00EE2B88"/>
    <w:rsid w:val="00EE2D4A"/>
    <w:rsid w:val="00EE2E65"/>
    <w:rsid w:val="00EE2FBD"/>
    <w:rsid w:val="00EE2FE3"/>
    <w:rsid w:val="00EE3077"/>
    <w:rsid w:val="00EE318A"/>
    <w:rsid w:val="00EE31B8"/>
    <w:rsid w:val="00EE32AD"/>
    <w:rsid w:val="00EE337F"/>
    <w:rsid w:val="00EE3421"/>
    <w:rsid w:val="00EE3453"/>
    <w:rsid w:val="00EE3455"/>
    <w:rsid w:val="00EE34AC"/>
    <w:rsid w:val="00EE3531"/>
    <w:rsid w:val="00EE35FC"/>
    <w:rsid w:val="00EE37F3"/>
    <w:rsid w:val="00EE3840"/>
    <w:rsid w:val="00EE3887"/>
    <w:rsid w:val="00EE3923"/>
    <w:rsid w:val="00EE3BD3"/>
    <w:rsid w:val="00EE3BE1"/>
    <w:rsid w:val="00EE3F4C"/>
    <w:rsid w:val="00EE4045"/>
    <w:rsid w:val="00EE4212"/>
    <w:rsid w:val="00EE421F"/>
    <w:rsid w:val="00EE4490"/>
    <w:rsid w:val="00EE459F"/>
    <w:rsid w:val="00EE45AC"/>
    <w:rsid w:val="00EE45CE"/>
    <w:rsid w:val="00EE473C"/>
    <w:rsid w:val="00EE47FF"/>
    <w:rsid w:val="00EE4951"/>
    <w:rsid w:val="00EE4BE6"/>
    <w:rsid w:val="00EE4CB8"/>
    <w:rsid w:val="00EE4DE8"/>
    <w:rsid w:val="00EE4E6A"/>
    <w:rsid w:val="00EE4E89"/>
    <w:rsid w:val="00EE4EEF"/>
    <w:rsid w:val="00EE4F05"/>
    <w:rsid w:val="00EE4F09"/>
    <w:rsid w:val="00EE4FB1"/>
    <w:rsid w:val="00EE51BC"/>
    <w:rsid w:val="00EE5310"/>
    <w:rsid w:val="00EE53BA"/>
    <w:rsid w:val="00EE53C5"/>
    <w:rsid w:val="00EE53E1"/>
    <w:rsid w:val="00EE542A"/>
    <w:rsid w:val="00EE5493"/>
    <w:rsid w:val="00EE54B3"/>
    <w:rsid w:val="00EE587E"/>
    <w:rsid w:val="00EE5B17"/>
    <w:rsid w:val="00EE5B48"/>
    <w:rsid w:val="00EE5C1E"/>
    <w:rsid w:val="00EE5C5E"/>
    <w:rsid w:val="00EE5E46"/>
    <w:rsid w:val="00EE5E7C"/>
    <w:rsid w:val="00EE5FAF"/>
    <w:rsid w:val="00EE610A"/>
    <w:rsid w:val="00EE6127"/>
    <w:rsid w:val="00EE628E"/>
    <w:rsid w:val="00EE6309"/>
    <w:rsid w:val="00EE63A8"/>
    <w:rsid w:val="00EE6452"/>
    <w:rsid w:val="00EE6497"/>
    <w:rsid w:val="00EE6508"/>
    <w:rsid w:val="00EE65F4"/>
    <w:rsid w:val="00EE65FD"/>
    <w:rsid w:val="00EE6628"/>
    <w:rsid w:val="00EE66BF"/>
    <w:rsid w:val="00EE6832"/>
    <w:rsid w:val="00EE684D"/>
    <w:rsid w:val="00EE689B"/>
    <w:rsid w:val="00EE6B43"/>
    <w:rsid w:val="00EE6C30"/>
    <w:rsid w:val="00EE6C62"/>
    <w:rsid w:val="00EE6EC7"/>
    <w:rsid w:val="00EE6F2A"/>
    <w:rsid w:val="00EE705C"/>
    <w:rsid w:val="00EE70D0"/>
    <w:rsid w:val="00EE7198"/>
    <w:rsid w:val="00EE71C8"/>
    <w:rsid w:val="00EE7217"/>
    <w:rsid w:val="00EE73FF"/>
    <w:rsid w:val="00EE7411"/>
    <w:rsid w:val="00EE7565"/>
    <w:rsid w:val="00EE7656"/>
    <w:rsid w:val="00EE774C"/>
    <w:rsid w:val="00EE79C9"/>
    <w:rsid w:val="00EE7BFB"/>
    <w:rsid w:val="00EF00D1"/>
    <w:rsid w:val="00EF00E8"/>
    <w:rsid w:val="00EF010E"/>
    <w:rsid w:val="00EF06AB"/>
    <w:rsid w:val="00EF071A"/>
    <w:rsid w:val="00EF071B"/>
    <w:rsid w:val="00EF0727"/>
    <w:rsid w:val="00EF0828"/>
    <w:rsid w:val="00EF0890"/>
    <w:rsid w:val="00EF08ED"/>
    <w:rsid w:val="00EF09F5"/>
    <w:rsid w:val="00EF0A2D"/>
    <w:rsid w:val="00EF0AD7"/>
    <w:rsid w:val="00EF0AF1"/>
    <w:rsid w:val="00EF0B03"/>
    <w:rsid w:val="00EF0B31"/>
    <w:rsid w:val="00EF0CD3"/>
    <w:rsid w:val="00EF0CDE"/>
    <w:rsid w:val="00EF0EB4"/>
    <w:rsid w:val="00EF0EBA"/>
    <w:rsid w:val="00EF0F25"/>
    <w:rsid w:val="00EF0F46"/>
    <w:rsid w:val="00EF1013"/>
    <w:rsid w:val="00EF1043"/>
    <w:rsid w:val="00EF1207"/>
    <w:rsid w:val="00EF1248"/>
    <w:rsid w:val="00EF148C"/>
    <w:rsid w:val="00EF1520"/>
    <w:rsid w:val="00EF153C"/>
    <w:rsid w:val="00EF1541"/>
    <w:rsid w:val="00EF15A5"/>
    <w:rsid w:val="00EF1617"/>
    <w:rsid w:val="00EF1663"/>
    <w:rsid w:val="00EF16F3"/>
    <w:rsid w:val="00EF1755"/>
    <w:rsid w:val="00EF1932"/>
    <w:rsid w:val="00EF19B1"/>
    <w:rsid w:val="00EF1ACE"/>
    <w:rsid w:val="00EF1DC6"/>
    <w:rsid w:val="00EF1DFD"/>
    <w:rsid w:val="00EF1F98"/>
    <w:rsid w:val="00EF1FEA"/>
    <w:rsid w:val="00EF2013"/>
    <w:rsid w:val="00EF23D1"/>
    <w:rsid w:val="00EF245B"/>
    <w:rsid w:val="00EF2522"/>
    <w:rsid w:val="00EF26C0"/>
    <w:rsid w:val="00EF2755"/>
    <w:rsid w:val="00EF2781"/>
    <w:rsid w:val="00EF29E6"/>
    <w:rsid w:val="00EF2BE8"/>
    <w:rsid w:val="00EF2C7A"/>
    <w:rsid w:val="00EF2CE6"/>
    <w:rsid w:val="00EF2D54"/>
    <w:rsid w:val="00EF2D9F"/>
    <w:rsid w:val="00EF2E79"/>
    <w:rsid w:val="00EF3176"/>
    <w:rsid w:val="00EF349B"/>
    <w:rsid w:val="00EF39E5"/>
    <w:rsid w:val="00EF3AB4"/>
    <w:rsid w:val="00EF3D58"/>
    <w:rsid w:val="00EF3E5C"/>
    <w:rsid w:val="00EF3EC7"/>
    <w:rsid w:val="00EF3F94"/>
    <w:rsid w:val="00EF4185"/>
    <w:rsid w:val="00EF44F3"/>
    <w:rsid w:val="00EF467F"/>
    <w:rsid w:val="00EF4693"/>
    <w:rsid w:val="00EF48C6"/>
    <w:rsid w:val="00EF4AC1"/>
    <w:rsid w:val="00EF4B25"/>
    <w:rsid w:val="00EF4B2A"/>
    <w:rsid w:val="00EF4D04"/>
    <w:rsid w:val="00EF4EE3"/>
    <w:rsid w:val="00EF5064"/>
    <w:rsid w:val="00EF515B"/>
    <w:rsid w:val="00EF5217"/>
    <w:rsid w:val="00EF535A"/>
    <w:rsid w:val="00EF535F"/>
    <w:rsid w:val="00EF542C"/>
    <w:rsid w:val="00EF54BD"/>
    <w:rsid w:val="00EF553C"/>
    <w:rsid w:val="00EF570F"/>
    <w:rsid w:val="00EF5779"/>
    <w:rsid w:val="00EF5885"/>
    <w:rsid w:val="00EF598B"/>
    <w:rsid w:val="00EF5B6A"/>
    <w:rsid w:val="00EF5B6F"/>
    <w:rsid w:val="00EF5C23"/>
    <w:rsid w:val="00EF5D1F"/>
    <w:rsid w:val="00EF5DD1"/>
    <w:rsid w:val="00EF5E0C"/>
    <w:rsid w:val="00EF5EEF"/>
    <w:rsid w:val="00EF6250"/>
    <w:rsid w:val="00EF65D5"/>
    <w:rsid w:val="00EF6650"/>
    <w:rsid w:val="00EF66A1"/>
    <w:rsid w:val="00EF67A0"/>
    <w:rsid w:val="00EF6854"/>
    <w:rsid w:val="00EF68DB"/>
    <w:rsid w:val="00EF6909"/>
    <w:rsid w:val="00EF6B1B"/>
    <w:rsid w:val="00EF6E73"/>
    <w:rsid w:val="00EF6F7E"/>
    <w:rsid w:val="00EF6FD3"/>
    <w:rsid w:val="00EF7003"/>
    <w:rsid w:val="00EF7063"/>
    <w:rsid w:val="00EF7084"/>
    <w:rsid w:val="00EF7248"/>
    <w:rsid w:val="00EF7442"/>
    <w:rsid w:val="00EF76C3"/>
    <w:rsid w:val="00EF7B11"/>
    <w:rsid w:val="00F00055"/>
    <w:rsid w:val="00F000CC"/>
    <w:rsid w:val="00F001AE"/>
    <w:rsid w:val="00F004B3"/>
    <w:rsid w:val="00F004CB"/>
    <w:rsid w:val="00F0067A"/>
    <w:rsid w:val="00F007BA"/>
    <w:rsid w:val="00F00A8E"/>
    <w:rsid w:val="00F00B1A"/>
    <w:rsid w:val="00F00C53"/>
    <w:rsid w:val="00F00D18"/>
    <w:rsid w:val="00F00D56"/>
    <w:rsid w:val="00F00EDD"/>
    <w:rsid w:val="00F00F48"/>
    <w:rsid w:val="00F01226"/>
    <w:rsid w:val="00F0127F"/>
    <w:rsid w:val="00F01588"/>
    <w:rsid w:val="00F0167C"/>
    <w:rsid w:val="00F017A4"/>
    <w:rsid w:val="00F0186E"/>
    <w:rsid w:val="00F0187F"/>
    <w:rsid w:val="00F01B5A"/>
    <w:rsid w:val="00F01F46"/>
    <w:rsid w:val="00F01F64"/>
    <w:rsid w:val="00F02080"/>
    <w:rsid w:val="00F0210B"/>
    <w:rsid w:val="00F021BC"/>
    <w:rsid w:val="00F02218"/>
    <w:rsid w:val="00F02323"/>
    <w:rsid w:val="00F0255F"/>
    <w:rsid w:val="00F02656"/>
    <w:rsid w:val="00F026EB"/>
    <w:rsid w:val="00F026FA"/>
    <w:rsid w:val="00F02737"/>
    <w:rsid w:val="00F02787"/>
    <w:rsid w:val="00F02C9C"/>
    <w:rsid w:val="00F02E73"/>
    <w:rsid w:val="00F02EE2"/>
    <w:rsid w:val="00F02F68"/>
    <w:rsid w:val="00F02FB3"/>
    <w:rsid w:val="00F033F3"/>
    <w:rsid w:val="00F034AC"/>
    <w:rsid w:val="00F035D3"/>
    <w:rsid w:val="00F0363C"/>
    <w:rsid w:val="00F036CF"/>
    <w:rsid w:val="00F0371F"/>
    <w:rsid w:val="00F038B5"/>
    <w:rsid w:val="00F03B39"/>
    <w:rsid w:val="00F03B45"/>
    <w:rsid w:val="00F03BE2"/>
    <w:rsid w:val="00F03D71"/>
    <w:rsid w:val="00F03E11"/>
    <w:rsid w:val="00F03F7A"/>
    <w:rsid w:val="00F03FBF"/>
    <w:rsid w:val="00F03FD7"/>
    <w:rsid w:val="00F04052"/>
    <w:rsid w:val="00F04176"/>
    <w:rsid w:val="00F041DC"/>
    <w:rsid w:val="00F04320"/>
    <w:rsid w:val="00F043BB"/>
    <w:rsid w:val="00F043CC"/>
    <w:rsid w:val="00F043FA"/>
    <w:rsid w:val="00F04698"/>
    <w:rsid w:val="00F048E2"/>
    <w:rsid w:val="00F04982"/>
    <w:rsid w:val="00F04A88"/>
    <w:rsid w:val="00F04B31"/>
    <w:rsid w:val="00F04E95"/>
    <w:rsid w:val="00F04F8C"/>
    <w:rsid w:val="00F04FED"/>
    <w:rsid w:val="00F05098"/>
    <w:rsid w:val="00F051AA"/>
    <w:rsid w:val="00F051D8"/>
    <w:rsid w:val="00F052CB"/>
    <w:rsid w:val="00F053D4"/>
    <w:rsid w:val="00F05723"/>
    <w:rsid w:val="00F0587C"/>
    <w:rsid w:val="00F059F2"/>
    <w:rsid w:val="00F05A86"/>
    <w:rsid w:val="00F05E1A"/>
    <w:rsid w:val="00F05EBC"/>
    <w:rsid w:val="00F0602E"/>
    <w:rsid w:val="00F06084"/>
    <w:rsid w:val="00F0615D"/>
    <w:rsid w:val="00F064ED"/>
    <w:rsid w:val="00F0659D"/>
    <w:rsid w:val="00F06673"/>
    <w:rsid w:val="00F066BD"/>
    <w:rsid w:val="00F066D7"/>
    <w:rsid w:val="00F067BF"/>
    <w:rsid w:val="00F067D3"/>
    <w:rsid w:val="00F0683F"/>
    <w:rsid w:val="00F06961"/>
    <w:rsid w:val="00F06AA1"/>
    <w:rsid w:val="00F06D69"/>
    <w:rsid w:val="00F06DD7"/>
    <w:rsid w:val="00F06E9C"/>
    <w:rsid w:val="00F06FA9"/>
    <w:rsid w:val="00F06FB2"/>
    <w:rsid w:val="00F072F1"/>
    <w:rsid w:val="00F072FB"/>
    <w:rsid w:val="00F07379"/>
    <w:rsid w:val="00F07C40"/>
    <w:rsid w:val="00F07E28"/>
    <w:rsid w:val="00F100E4"/>
    <w:rsid w:val="00F1010D"/>
    <w:rsid w:val="00F10277"/>
    <w:rsid w:val="00F10436"/>
    <w:rsid w:val="00F105FE"/>
    <w:rsid w:val="00F1066F"/>
    <w:rsid w:val="00F106F9"/>
    <w:rsid w:val="00F10788"/>
    <w:rsid w:val="00F108C4"/>
    <w:rsid w:val="00F10AB7"/>
    <w:rsid w:val="00F10B41"/>
    <w:rsid w:val="00F10C2A"/>
    <w:rsid w:val="00F10C51"/>
    <w:rsid w:val="00F10CC9"/>
    <w:rsid w:val="00F10FE0"/>
    <w:rsid w:val="00F11032"/>
    <w:rsid w:val="00F1107A"/>
    <w:rsid w:val="00F111E5"/>
    <w:rsid w:val="00F114A6"/>
    <w:rsid w:val="00F114E5"/>
    <w:rsid w:val="00F1179A"/>
    <w:rsid w:val="00F118BA"/>
    <w:rsid w:val="00F119BC"/>
    <w:rsid w:val="00F11B45"/>
    <w:rsid w:val="00F11BCA"/>
    <w:rsid w:val="00F11C38"/>
    <w:rsid w:val="00F12031"/>
    <w:rsid w:val="00F12499"/>
    <w:rsid w:val="00F124A1"/>
    <w:rsid w:val="00F12586"/>
    <w:rsid w:val="00F12596"/>
    <w:rsid w:val="00F125CF"/>
    <w:rsid w:val="00F125D6"/>
    <w:rsid w:val="00F12625"/>
    <w:rsid w:val="00F12669"/>
    <w:rsid w:val="00F12674"/>
    <w:rsid w:val="00F126D3"/>
    <w:rsid w:val="00F127B8"/>
    <w:rsid w:val="00F1287B"/>
    <w:rsid w:val="00F12900"/>
    <w:rsid w:val="00F12986"/>
    <w:rsid w:val="00F12B55"/>
    <w:rsid w:val="00F12E0F"/>
    <w:rsid w:val="00F12E1B"/>
    <w:rsid w:val="00F12EF3"/>
    <w:rsid w:val="00F1314D"/>
    <w:rsid w:val="00F1334A"/>
    <w:rsid w:val="00F133B6"/>
    <w:rsid w:val="00F133E8"/>
    <w:rsid w:val="00F13432"/>
    <w:rsid w:val="00F13506"/>
    <w:rsid w:val="00F1355F"/>
    <w:rsid w:val="00F13734"/>
    <w:rsid w:val="00F139CE"/>
    <w:rsid w:val="00F13DF4"/>
    <w:rsid w:val="00F13EFF"/>
    <w:rsid w:val="00F14017"/>
    <w:rsid w:val="00F140C1"/>
    <w:rsid w:val="00F140CB"/>
    <w:rsid w:val="00F1415F"/>
    <w:rsid w:val="00F141F6"/>
    <w:rsid w:val="00F14201"/>
    <w:rsid w:val="00F14509"/>
    <w:rsid w:val="00F14528"/>
    <w:rsid w:val="00F1471B"/>
    <w:rsid w:val="00F14815"/>
    <w:rsid w:val="00F14838"/>
    <w:rsid w:val="00F14918"/>
    <w:rsid w:val="00F14928"/>
    <w:rsid w:val="00F14A77"/>
    <w:rsid w:val="00F14A92"/>
    <w:rsid w:val="00F14CB0"/>
    <w:rsid w:val="00F14E78"/>
    <w:rsid w:val="00F14F69"/>
    <w:rsid w:val="00F14FBE"/>
    <w:rsid w:val="00F1508C"/>
    <w:rsid w:val="00F1530B"/>
    <w:rsid w:val="00F1578E"/>
    <w:rsid w:val="00F157B9"/>
    <w:rsid w:val="00F158EF"/>
    <w:rsid w:val="00F15931"/>
    <w:rsid w:val="00F159DF"/>
    <w:rsid w:val="00F15AA9"/>
    <w:rsid w:val="00F15AEA"/>
    <w:rsid w:val="00F15AFD"/>
    <w:rsid w:val="00F15DCD"/>
    <w:rsid w:val="00F15E33"/>
    <w:rsid w:val="00F15F99"/>
    <w:rsid w:val="00F16102"/>
    <w:rsid w:val="00F162E6"/>
    <w:rsid w:val="00F16355"/>
    <w:rsid w:val="00F164EB"/>
    <w:rsid w:val="00F16501"/>
    <w:rsid w:val="00F16673"/>
    <w:rsid w:val="00F1676C"/>
    <w:rsid w:val="00F167A2"/>
    <w:rsid w:val="00F167AB"/>
    <w:rsid w:val="00F16830"/>
    <w:rsid w:val="00F16C2D"/>
    <w:rsid w:val="00F16D85"/>
    <w:rsid w:val="00F16DFE"/>
    <w:rsid w:val="00F16E70"/>
    <w:rsid w:val="00F16EB1"/>
    <w:rsid w:val="00F16F43"/>
    <w:rsid w:val="00F17051"/>
    <w:rsid w:val="00F17140"/>
    <w:rsid w:val="00F171EB"/>
    <w:rsid w:val="00F171F8"/>
    <w:rsid w:val="00F17410"/>
    <w:rsid w:val="00F1767B"/>
    <w:rsid w:val="00F1792C"/>
    <w:rsid w:val="00F179DF"/>
    <w:rsid w:val="00F17BF9"/>
    <w:rsid w:val="00F17C2B"/>
    <w:rsid w:val="00F17CFA"/>
    <w:rsid w:val="00F2001E"/>
    <w:rsid w:val="00F200C3"/>
    <w:rsid w:val="00F200D8"/>
    <w:rsid w:val="00F2032D"/>
    <w:rsid w:val="00F20435"/>
    <w:rsid w:val="00F2058D"/>
    <w:rsid w:val="00F20752"/>
    <w:rsid w:val="00F20763"/>
    <w:rsid w:val="00F209A0"/>
    <w:rsid w:val="00F20B50"/>
    <w:rsid w:val="00F20C53"/>
    <w:rsid w:val="00F20C78"/>
    <w:rsid w:val="00F20CBA"/>
    <w:rsid w:val="00F20DE6"/>
    <w:rsid w:val="00F20EB5"/>
    <w:rsid w:val="00F211EB"/>
    <w:rsid w:val="00F2121C"/>
    <w:rsid w:val="00F2121F"/>
    <w:rsid w:val="00F21577"/>
    <w:rsid w:val="00F21602"/>
    <w:rsid w:val="00F21641"/>
    <w:rsid w:val="00F216C3"/>
    <w:rsid w:val="00F218F9"/>
    <w:rsid w:val="00F21925"/>
    <w:rsid w:val="00F21A77"/>
    <w:rsid w:val="00F21A80"/>
    <w:rsid w:val="00F21A81"/>
    <w:rsid w:val="00F21AE4"/>
    <w:rsid w:val="00F22237"/>
    <w:rsid w:val="00F22296"/>
    <w:rsid w:val="00F22450"/>
    <w:rsid w:val="00F22541"/>
    <w:rsid w:val="00F225B0"/>
    <w:rsid w:val="00F227C8"/>
    <w:rsid w:val="00F228A8"/>
    <w:rsid w:val="00F228B5"/>
    <w:rsid w:val="00F22971"/>
    <w:rsid w:val="00F22A56"/>
    <w:rsid w:val="00F22B89"/>
    <w:rsid w:val="00F22DA6"/>
    <w:rsid w:val="00F22DD6"/>
    <w:rsid w:val="00F22EDA"/>
    <w:rsid w:val="00F22F4A"/>
    <w:rsid w:val="00F23017"/>
    <w:rsid w:val="00F230E7"/>
    <w:rsid w:val="00F23297"/>
    <w:rsid w:val="00F233F8"/>
    <w:rsid w:val="00F237EE"/>
    <w:rsid w:val="00F23A4F"/>
    <w:rsid w:val="00F23BD5"/>
    <w:rsid w:val="00F23CB7"/>
    <w:rsid w:val="00F23F5D"/>
    <w:rsid w:val="00F24096"/>
    <w:rsid w:val="00F241AA"/>
    <w:rsid w:val="00F24214"/>
    <w:rsid w:val="00F2431C"/>
    <w:rsid w:val="00F243EA"/>
    <w:rsid w:val="00F243F1"/>
    <w:rsid w:val="00F24526"/>
    <w:rsid w:val="00F24613"/>
    <w:rsid w:val="00F2462B"/>
    <w:rsid w:val="00F2494E"/>
    <w:rsid w:val="00F24994"/>
    <w:rsid w:val="00F24A16"/>
    <w:rsid w:val="00F24BCA"/>
    <w:rsid w:val="00F25058"/>
    <w:rsid w:val="00F2507F"/>
    <w:rsid w:val="00F25082"/>
    <w:rsid w:val="00F250BC"/>
    <w:rsid w:val="00F25151"/>
    <w:rsid w:val="00F2562B"/>
    <w:rsid w:val="00F256CC"/>
    <w:rsid w:val="00F257B5"/>
    <w:rsid w:val="00F257BA"/>
    <w:rsid w:val="00F25836"/>
    <w:rsid w:val="00F2597B"/>
    <w:rsid w:val="00F259C6"/>
    <w:rsid w:val="00F259DA"/>
    <w:rsid w:val="00F25B84"/>
    <w:rsid w:val="00F25BA8"/>
    <w:rsid w:val="00F25C13"/>
    <w:rsid w:val="00F25C25"/>
    <w:rsid w:val="00F25DC0"/>
    <w:rsid w:val="00F25E52"/>
    <w:rsid w:val="00F2606E"/>
    <w:rsid w:val="00F261BA"/>
    <w:rsid w:val="00F26254"/>
    <w:rsid w:val="00F26376"/>
    <w:rsid w:val="00F26487"/>
    <w:rsid w:val="00F264AF"/>
    <w:rsid w:val="00F264C5"/>
    <w:rsid w:val="00F264F2"/>
    <w:rsid w:val="00F26681"/>
    <w:rsid w:val="00F2669B"/>
    <w:rsid w:val="00F266E7"/>
    <w:rsid w:val="00F26738"/>
    <w:rsid w:val="00F267D9"/>
    <w:rsid w:val="00F267FD"/>
    <w:rsid w:val="00F268ED"/>
    <w:rsid w:val="00F26980"/>
    <w:rsid w:val="00F26A29"/>
    <w:rsid w:val="00F26C52"/>
    <w:rsid w:val="00F26D0F"/>
    <w:rsid w:val="00F26E54"/>
    <w:rsid w:val="00F26FDA"/>
    <w:rsid w:val="00F27015"/>
    <w:rsid w:val="00F2720E"/>
    <w:rsid w:val="00F2724C"/>
    <w:rsid w:val="00F272DC"/>
    <w:rsid w:val="00F273C9"/>
    <w:rsid w:val="00F273DE"/>
    <w:rsid w:val="00F274EA"/>
    <w:rsid w:val="00F27522"/>
    <w:rsid w:val="00F2758D"/>
    <w:rsid w:val="00F275A8"/>
    <w:rsid w:val="00F275DC"/>
    <w:rsid w:val="00F27604"/>
    <w:rsid w:val="00F2776D"/>
    <w:rsid w:val="00F279B1"/>
    <w:rsid w:val="00F27AD6"/>
    <w:rsid w:val="00F27AF9"/>
    <w:rsid w:val="00F27C11"/>
    <w:rsid w:val="00F27F88"/>
    <w:rsid w:val="00F3016C"/>
    <w:rsid w:val="00F3020C"/>
    <w:rsid w:val="00F30230"/>
    <w:rsid w:val="00F30269"/>
    <w:rsid w:val="00F3041A"/>
    <w:rsid w:val="00F3045B"/>
    <w:rsid w:val="00F3061A"/>
    <w:rsid w:val="00F30C79"/>
    <w:rsid w:val="00F30C99"/>
    <w:rsid w:val="00F31085"/>
    <w:rsid w:val="00F311D0"/>
    <w:rsid w:val="00F313F7"/>
    <w:rsid w:val="00F31525"/>
    <w:rsid w:val="00F315AF"/>
    <w:rsid w:val="00F315F4"/>
    <w:rsid w:val="00F3163B"/>
    <w:rsid w:val="00F31762"/>
    <w:rsid w:val="00F31A31"/>
    <w:rsid w:val="00F31B66"/>
    <w:rsid w:val="00F31BF8"/>
    <w:rsid w:val="00F31C25"/>
    <w:rsid w:val="00F31FF5"/>
    <w:rsid w:val="00F320D5"/>
    <w:rsid w:val="00F32167"/>
    <w:rsid w:val="00F32176"/>
    <w:rsid w:val="00F325B4"/>
    <w:rsid w:val="00F329A1"/>
    <w:rsid w:val="00F32A37"/>
    <w:rsid w:val="00F32D1F"/>
    <w:rsid w:val="00F32E93"/>
    <w:rsid w:val="00F332E0"/>
    <w:rsid w:val="00F334D3"/>
    <w:rsid w:val="00F33621"/>
    <w:rsid w:val="00F3363C"/>
    <w:rsid w:val="00F33ADE"/>
    <w:rsid w:val="00F33E6C"/>
    <w:rsid w:val="00F3452C"/>
    <w:rsid w:val="00F3456C"/>
    <w:rsid w:val="00F345EB"/>
    <w:rsid w:val="00F346E6"/>
    <w:rsid w:val="00F34A2B"/>
    <w:rsid w:val="00F34B39"/>
    <w:rsid w:val="00F34B6B"/>
    <w:rsid w:val="00F34C18"/>
    <w:rsid w:val="00F350D6"/>
    <w:rsid w:val="00F35122"/>
    <w:rsid w:val="00F351F9"/>
    <w:rsid w:val="00F353A7"/>
    <w:rsid w:val="00F3546B"/>
    <w:rsid w:val="00F3546D"/>
    <w:rsid w:val="00F3557E"/>
    <w:rsid w:val="00F355B2"/>
    <w:rsid w:val="00F35697"/>
    <w:rsid w:val="00F35949"/>
    <w:rsid w:val="00F35A21"/>
    <w:rsid w:val="00F35B7C"/>
    <w:rsid w:val="00F35C37"/>
    <w:rsid w:val="00F35C7C"/>
    <w:rsid w:val="00F35CCD"/>
    <w:rsid w:val="00F35CEE"/>
    <w:rsid w:val="00F35D2D"/>
    <w:rsid w:val="00F35E3F"/>
    <w:rsid w:val="00F362B2"/>
    <w:rsid w:val="00F363D2"/>
    <w:rsid w:val="00F3645E"/>
    <w:rsid w:val="00F365DD"/>
    <w:rsid w:val="00F3692B"/>
    <w:rsid w:val="00F36CB8"/>
    <w:rsid w:val="00F36D54"/>
    <w:rsid w:val="00F36FFB"/>
    <w:rsid w:val="00F370BB"/>
    <w:rsid w:val="00F3712D"/>
    <w:rsid w:val="00F37151"/>
    <w:rsid w:val="00F372C2"/>
    <w:rsid w:val="00F3746B"/>
    <w:rsid w:val="00F3746C"/>
    <w:rsid w:val="00F374A0"/>
    <w:rsid w:val="00F374AC"/>
    <w:rsid w:val="00F37585"/>
    <w:rsid w:val="00F37705"/>
    <w:rsid w:val="00F3791E"/>
    <w:rsid w:val="00F37931"/>
    <w:rsid w:val="00F3797D"/>
    <w:rsid w:val="00F379E7"/>
    <w:rsid w:val="00F37B14"/>
    <w:rsid w:val="00F37B36"/>
    <w:rsid w:val="00F37D7A"/>
    <w:rsid w:val="00F37E19"/>
    <w:rsid w:val="00F37FCE"/>
    <w:rsid w:val="00F4008B"/>
    <w:rsid w:val="00F4038F"/>
    <w:rsid w:val="00F40432"/>
    <w:rsid w:val="00F4049B"/>
    <w:rsid w:val="00F404B1"/>
    <w:rsid w:val="00F40652"/>
    <w:rsid w:val="00F40864"/>
    <w:rsid w:val="00F40943"/>
    <w:rsid w:val="00F40962"/>
    <w:rsid w:val="00F40A6F"/>
    <w:rsid w:val="00F40B9A"/>
    <w:rsid w:val="00F40C68"/>
    <w:rsid w:val="00F40D6D"/>
    <w:rsid w:val="00F40F7D"/>
    <w:rsid w:val="00F4113A"/>
    <w:rsid w:val="00F41179"/>
    <w:rsid w:val="00F41440"/>
    <w:rsid w:val="00F4148B"/>
    <w:rsid w:val="00F4162D"/>
    <w:rsid w:val="00F4172A"/>
    <w:rsid w:val="00F417EA"/>
    <w:rsid w:val="00F418C8"/>
    <w:rsid w:val="00F41A6F"/>
    <w:rsid w:val="00F41B1B"/>
    <w:rsid w:val="00F41CD7"/>
    <w:rsid w:val="00F41DCE"/>
    <w:rsid w:val="00F41EB5"/>
    <w:rsid w:val="00F4203F"/>
    <w:rsid w:val="00F42446"/>
    <w:rsid w:val="00F42562"/>
    <w:rsid w:val="00F4268A"/>
    <w:rsid w:val="00F4291C"/>
    <w:rsid w:val="00F42AEE"/>
    <w:rsid w:val="00F42CDB"/>
    <w:rsid w:val="00F42F14"/>
    <w:rsid w:val="00F42F71"/>
    <w:rsid w:val="00F42FAC"/>
    <w:rsid w:val="00F43215"/>
    <w:rsid w:val="00F4329C"/>
    <w:rsid w:val="00F4332F"/>
    <w:rsid w:val="00F4359C"/>
    <w:rsid w:val="00F435EF"/>
    <w:rsid w:val="00F4360F"/>
    <w:rsid w:val="00F43630"/>
    <w:rsid w:val="00F438DF"/>
    <w:rsid w:val="00F43937"/>
    <w:rsid w:val="00F43A50"/>
    <w:rsid w:val="00F43D4E"/>
    <w:rsid w:val="00F43D5A"/>
    <w:rsid w:val="00F43E19"/>
    <w:rsid w:val="00F43F35"/>
    <w:rsid w:val="00F43F49"/>
    <w:rsid w:val="00F44042"/>
    <w:rsid w:val="00F44231"/>
    <w:rsid w:val="00F44318"/>
    <w:rsid w:val="00F445ED"/>
    <w:rsid w:val="00F44765"/>
    <w:rsid w:val="00F44892"/>
    <w:rsid w:val="00F44895"/>
    <w:rsid w:val="00F44E58"/>
    <w:rsid w:val="00F44F0C"/>
    <w:rsid w:val="00F44FC4"/>
    <w:rsid w:val="00F45109"/>
    <w:rsid w:val="00F4517C"/>
    <w:rsid w:val="00F45326"/>
    <w:rsid w:val="00F4549A"/>
    <w:rsid w:val="00F4568F"/>
    <w:rsid w:val="00F4576D"/>
    <w:rsid w:val="00F4586A"/>
    <w:rsid w:val="00F4588E"/>
    <w:rsid w:val="00F45CBF"/>
    <w:rsid w:val="00F45CEF"/>
    <w:rsid w:val="00F45DB3"/>
    <w:rsid w:val="00F46012"/>
    <w:rsid w:val="00F46085"/>
    <w:rsid w:val="00F46151"/>
    <w:rsid w:val="00F46222"/>
    <w:rsid w:val="00F463FE"/>
    <w:rsid w:val="00F46431"/>
    <w:rsid w:val="00F465B7"/>
    <w:rsid w:val="00F46624"/>
    <w:rsid w:val="00F466E0"/>
    <w:rsid w:val="00F467AC"/>
    <w:rsid w:val="00F468F2"/>
    <w:rsid w:val="00F468FF"/>
    <w:rsid w:val="00F4690C"/>
    <w:rsid w:val="00F46AFF"/>
    <w:rsid w:val="00F46BC4"/>
    <w:rsid w:val="00F46EA2"/>
    <w:rsid w:val="00F47010"/>
    <w:rsid w:val="00F47030"/>
    <w:rsid w:val="00F4711B"/>
    <w:rsid w:val="00F47181"/>
    <w:rsid w:val="00F471F9"/>
    <w:rsid w:val="00F47301"/>
    <w:rsid w:val="00F47329"/>
    <w:rsid w:val="00F47343"/>
    <w:rsid w:val="00F473B5"/>
    <w:rsid w:val="00F4743E"/>
    <w:rsid w:val="00F474F2"/>
    <w:rsid w:val="00F4760E"/>
    <w:rsid w:val="00F476FC"/>
    <w:rsid w:val="00F47746"/>
    <w:rsid w:val="00F4785F"/>
    <w:rsid w:val="00F47EDD"/>
    <w:rsid w:val="00F47FCC"/>
    <w:rsid w:val="00F50003"/>
    <w:rsid w:val="00F50177"/>
    <w:rsid w:val="00F50178"/>
    <w:rsid w:val="00F503D2"/>
    <w:rsid w:val="00F5057E"/>
    <w:rsid w:val="00F50585"/>
    <w:rsid w:val="00F507A8"/>
    <w:rsid w:val="00F50805"/>
    <w:rsid w:val="00F50A11"/>
    <w:rsid w:val="00F50A85"/>
    <w:rsid w:val="00F50B0B"/>
    <w:rsid w:val="00F50BAF"/>
    <w:rsid w:val="00F50C40"/>
    <w:rsid w:val="00F50C4D"/>
    <w:rsid w:val="00F50D49"/>
    <w:rsid w:val="00F50F65"/>
    <w:rsid w:val="00F510D8"/>
    <w:rsid w:val="00F515D0"/>
    <w:rsid w:val="00F515F5"/>
    <w:rsid w:val="00F516E3"/>
    <w:rsid w:val="00F519AC"/>
    <w:rsid w:val="00F51A4A"/>
    <w:rsid w:val="00F51C0D"/>
    <w:rsid w:val="00F51CF8"/>
    <w:rsid w:val="00F51E48"/>
    <w:rsid w:val="00F51EFB"/>
    <w:rsid w:val="00F521B1"/>
    <w:rsid w:val="00F5230B"/>
    <w:rsid w:val="00F5235D"/>
    <w:rsid w:val="00F524EF"/>
    <w:rsid w:val="00F52703"/>
    <w:rsid w:val="00F528E2"/>
    <w:rsid w:val="00F52BFE"/>
    <w:rsid w:val="00F52C75"/>
    <w:rsid w:val="00F52D9A"/>
    <w:rsid w:val="00F52EB6"/>
    <w:rsid w:val="00F52F59"/>
    <w:rsid w:val="00F52FAE"/>
    <w:rsid w:val="00F53064"/>
    <w:rsid w:val="00F5312D"/>
    <w:rsid w:val="00F53558"/>
    <w:rsid w:val="00F53792"/>
    <w:rsid w:val="00F53A88"/>
    <w:rsid w:val="00F53B52"/>
    <w:rsid w:val="00F53CAA"/>
    <w:rsid w:val="00F53D3E"/>
    <w:rsid w:val="00F53DCA"/>
    <w:rsid w:val="00F540BE"/>
    <w:rsid w:val="00F542C2"/>
    <w:rsid w:val="00F5430B"/>
    <w:rsid w:val="00F54313"/>
    <w:rsid w:val="00F5434C"/>
    <w:rsid w:val="00F54500"/>
    <w:rsid w:val="00F54606"/>
    <w:rsid w:val="00F54672"/>
    <w:rsid w:val="00F54727"/>
    <w:rsid w:val="00F54768"/>
    <w:rsid w:val="00F54832"/>
    <w:rsid w:val="00F548E6"/>
    <w:rsid w:val="00F54C49"/>
    <w:rsid w:val="00F54CE5"/>
    <w:rsid w:val="00F54CF9"/>
    <w:rsid w:val="00F54D65"/>
    <w:rsid w:val="00F54F8F"/>
    <w:rsid w:val="00F55144"/>
    <w:rsid w:val="00F55199"/>
    <w:rsid w:val="00F552BC"/>
    <w:rsid w:val="00F55366"/>
    <w:rsid w:val="00F55410"/>
    <w:rsid w:val="00F5545A"/>
    <w:rsid w:val="00F5562F"/>
    <w:rsid w:val="00F557C2"/>
    <w:rsid w:val="00F559DF"/>
    <w:rsid w:val="00F55B9D"/>
    <w:rsid w:val="00F55F74"/>
    <w:rsid w:val="00F55FF6"/>
    <w:rsid w:val="00F5622B"/>
    <w:rsid w:val="00F563AF"/>
    <w:rsid w:val="00F5678A"/>
    <w:rsid w:val="00F567ED"/>
    <w:rsid w:val="00F5695C"/>
    <w:rsid w:val="00F56A41"/>
    <w:rsid w:val="00F56B3A"/>
    <w:rsid w:val="00F56B4D"/>
    <w:rsid w:val="00F56B8C"/>
    <w:rsid w:val="00F56CCB"/>
    <w:rsid w:val="00F56D42"/>
    <w:rsid w:val="00F56D93"/>
    <w:rsid w:val="00F56DDA"/>
    <w:rsid w:val="00F56E02"/>
    <w:rsid w:val="00F56F9F"/>
    <w:rsid w:val="00F5752B"/>
    <w:rsid w:val="00F575DE"/>
    <w:rsid w:val="00F57631"/>
    <w:rsid w:val="00F577E0"/>
    <w:rsid w:val="00F57885"/>
    <w:rsid w:val="00F57ABE"/>
    <w:rsid w:val="00F57BB0"/>
    <w:rsid w:val="00F57C43"/>
    <w:rsid w:val="00F57CB0"/>
    <w:rsid w:val="00F57D22"/>
    <w:rsid w:val="00F57D69"/>
    <w:rsid w:val="00F57E34"/>
    <w:rsid w:val="00F57EFD"/>
    <w:rsid w:val="00F57F4B"/>
    <w:rsid w:val="00F57FB9"/>
    <w:rsid w:val="00F6002E"/>
    <w:rsid w:val="00F601A2"/>
    <w:rsid w:val="00F602D3"/>
    <w:rsid w:val="00F60483"/>
    <w:rsid w:val="00F60514"/>
    <w:rsid w:val="00F60625"/>
    <w:rsid w:val="00F607D2"/>
    <w:rsid w:val="00F6089E"/>
    <w:rsid w:val="00F608DC"/>
    <w:rsid w:val="00F608E7"/>
    <w:rsid w:val="00F60944"/>
    <w:rsid w:val="00F60A25"/>
    <w:rsid w:val="00F60AB7"/>
    <w:rsid w:val="00F60D8E"/>
    <w:rsid w:val="00F610BC"/>
    <w:rsid w:val="00F6111B"/>
    <w:rsid w:val="00F611E7"/>
    <w:rsid w:val="00F61373"/>
    <w:rsid w:val="00F614F7"/>
    <w:rsid w:val="00F6155F"/>
    <w:rsid w:val="00F6163E"/>
    <w:rsid w:val="00F619B9"/>
    <w:rsid w:val="00F61A5F"/>
    <w:rsid w:val="00F61CE0"/>
    <w:rsid w:val="00F61CF6"/>
    <w:rsid w:val="00F61D2A"/>
    <w:rsid w:val="00F61D6C"/>
    <w:rsid w:val="00F61D6D"/>
    <w:rsid w:val="00F61E83"/>
    <w:rsid w:val="00F61F4B"/>
    <w:rsid w:val="00F6201F"/>
    <w:rsid w:val="00F620E1"/>
    <w:rsid w:val="00F6226A"/>
    <w:rsid w:val="00F62369"/>
    <w:rsid w:val="00F62504"/>
    <w:rsid w:val="00F626F9"/>
    <w:rsid w:val="00F62744"/>
    <w:rsid w:val="00F6278B"/>
    <w:rsid w:val="00F627DE"/>
    <w:rsid w:val="00F629D4"/>
    <w:rsid w:val="00F62AAD"/>
    <w:rsid w:val="00F62CC8"/>
    <w:rsid w:val="00F62E1B"/>
    <w:rsid w:val="00F6336A"/>
    <w:rsid w:val="00F6357B"/>
    <w:rsid w:val="00F63896"/>
    <w:rsid w:val="00F639DC"/>
    <w:rsid w:val="00F63E3E"/>
    <w:rsid w:val="00F63E9D"/>
    <w:rsid w:val="00F63EAD"/>
    <w:rsid w:val="00F64081"/>
    <w:rsid w:val="00F64117"/>
    <w:rsid w:val="00F64195"/>
    <w:rsid w:val="00F64329"/>
    <w:rsid w:val="00F6437C"/>
    <w:rsid w:val="00F643D7"/>
    <w:rsid w:val="00F64662"/>
    <w:rsid w:val="00F649CF"/>
    <w:rsid w:val="00F64B8D"/>
    <w:rsid w:val="00F64CEC"/>
    <w:rsid w:val="00F64D4B"/>
    <w:rsid w:val="00F64E65"/>
    <w:rsid w:val="00F650A2"/>
    <w:rsid w:val="00F650F8"/>
    <w:rsid w:val="00F65238"/>
    <w:rsid w:val="00F6531E"/>
    <w:rsid w:val="00F6535B"/>
    <w:rsid w:val="00F65362"/>
    <w:rsid w:val="00F65366"/>
    <w:rsid w:val="00F654D4"/>
    <w:rsid w:val="00F6556A"/>
    <w:rsid w:val="00F65A80"/>
    <w:rsid w:val="00F65B47"/>
    <w:rsid w:val="00F65BAC"/>
    <w:rsid w:val="00F65C6C"/>
    <w:rsid w:val="00F65CC7"/>
    <w:rsid w:val="00F65CE2"/>
    <w:rsid w:val="00F65D88"/>
    <w:rsid w:val="00F65DA0"/>
    <w:rsid w:val="00F65E76"/>
    <w:rsid w:val="00F65F0E"/>
    <w:rsid w:val="00F66144"/>
    <w:rsid w:val="00F661B4"/>
    <w:rsid w:val="00F6626A"/>
    <w:rsid w:val="00F6626D"/>
    <w:rsid w:val="00F6629B"/>
    <w:rsid w:val="00F664AD"/>
    <w:rsid w:val="00F664DA"/>
    <w:rsid w:val="00F66893"/>
    <w:rsid w:val="00F66EEB"/>
    <w:rsid w:val="00F66F2B"/>
    <w:rsid w:val="00F6709D"/>
    <w:rsid w:val="00F6713F"/>
    <w:rsid w:val="00F671FD"/>
    <w:rsid w:val="00F67287"/>
    <w:rsid w:val="00F672AF"/>
    <w:rsid w:val="00F678DE"/>
    <w:rsid w:val="00F67A47"/>
    <w:rsid w:val="00F67B24"/>
    <w:rsid w:val="00F67BAB"/>
    <w:rsid w:val="00F67D97"/>
    <w:rsid w:val="00F67DAD"/>
    <w:rsid w:val="00F67E38"/>
    <w:rsid w:val="00F67EDF"/>
    <w:rsid w:val="00F70160"/>
    <w:rsid w:val="00F70182"/>
    <w:rsid w:val="00F702D4"/>
    <w:rsid w:val="00F70721"/>
    <w:rsid w:val="00F70952"/>
    <w:rsid w:val="00F70D4F"/>
    <w:rsid w:val="00F71015"/>
    <w:rsid w:val="00F710D1"/>
    <w:rsid w:val="00F71203"/>
    <w:rsid w:val="00F712F6"/>
    <w:rsid w:val="00F713BC"/>
    <w:rsid w:val="00F714A8"/>
    <w:rsid w:val="00F71562"/>
    <w:rsid w:val="00F71579"/>
    <w:rsid w:val="00F715A7"/>
    <w:rsid w:val="00F7178B"/>
    <w:rsid w:val="00F717D8"/>
    <w:rsid w:val="00F71A9C"/>
    <w:rsid w:val="00F71B83"/>
    <w:rsid w:val="00F71D4B"/>
    <w:rsid w:val="00F71E45"/>
    <w:rsid w:val="00F71F9E"/>
    <w:rsid w:val="00F71FE4"/>
    <w:rsid w:val="00F72087"/>
    <w:rsid w:val="00F7212E"/>
    <w:rsid w:val="00F72206"/>
    <w:rsid w:val="00F723DE"/>
    <w:rsid w:val="00F72480"/>
    <w:rsid w:val="00F7266B"/>
    <w:rsid w:val="00F72722"/>
    <w:rsid w:val="00F727F0"/>
    <w:rsid w:val="00F72B4E"/>
    <w:rsid w:val="00F730B6"/>
    <w:rsid w:val="00F73211"/>
    <w:rsid w:val="00F7330B"/>
    <w:rsid w:val="00F73565"/>
    <w:rsid w:val="00F73676"/>
    <w:rsid w:val="00F73681"/>
    <w:rsid w:val="00F73695"/>
    <w:rsid w:val="00F73780"/>
    <w:rsid w:val="00F7381C"/>
    <w:rsid w:val="00F73886"/>
    <w:rsid w:val="00F738EE"/>
    <w:rsid w:val="00F7391B"/>
    <w:rsid w:val="00F73A35"/>
    <w:rsid w:val="00F73A97"/>
    <w:rsid w:val="00F73CD8"/>
    <w:rsid w:val="00F73D10"/>
    <w:rsid w:val="00F73EB7"/>
    <w:rsid w:val="00F745AE"/>
    <w:rsid w:val="00F74738"/>
    <w:rsid w:val="00F749A5"/>
    <w:rsid w:val="00F74A12"/>
    <w:rsid w:val="00F74A2B"/>
    <w:rsid w:val="00F74A9C"/>
    <w:rsid w:val="00F74B51"/>
    <w:rsid w:val="00F7513E"/>
    <w:rsid w:val="00F7525F"/>
    <w:rsid w:val="00F75330"/>
    <w:rsid w:val="00F7544B"/>
    <w:rsid w:val="00F75562"/>
    <w:rsid w:val="00F756C8"/>
    <w:rsid w:val="00F75730"/>
    <w:rsid w:val="00F759CE"/>
    <w:rsid w:val="00F75A86"/>
    <w:rsid w:val="00F76000"/>
    <w:rsid w:val="00F760D5"/>
    <w:rsid w:val="00F7610A"/>
    <w:rsid w:val="00F76260"/>
    <w:rsid w:val="00F764B6"/>
    <w:rsid w:val="00F76545"/>
    <w:rsid w:val="00F76546"/>
    <w:rsid w:val="00F76759"/>
    <w:rsid w:val="00F76A59"/>
    <w:rsid w:val="00F76AC8"/>
    <w:rsid w:val="00F76C83"/>
    <w:rsid w:val="00F76D25"/>
    <w:rsid w:val="00F7710F"/>
    <w:rsid w:val="00F773F7"/>
    <w:rsid w:val="00F774D8"/>
    <w:rsid w:val="00F77B96"/>
    <w:rsid w:val="00F77C52"/>
    <w:rsid w:val="00F77DA7"/>
    <w:rsid w:val="00F80160"/>
    <w:rsid w:val="00F80208"/>
    <w:rsid w:val="00F8023D"/>
    <w:rsid w:val="00F80951"/>
    <w:rsid w:val="00F809A2"/>
    <w:rsid w:val="00F809F0"/>
    <w:rsid w:val="00F80A2F"/>
    <w:rsid w:val="00F80A39"/>
    <w:rsid w:val="00F80A3D"/>
    <w:rsid w:val="00F80F69"/>
    <w:rsid w:val="00F81014"/>
    <w:rsid w:val="00F8102F"/>
    <w:rsid w:val="00F81232"/>
    <w:rsid w:val="00F812DF"/>
    <w:rsid w:val="00F81362"/>
    <w:rsid w:val="00F813D1"/>
    <w:rsid w:val="00F813F4"/>
    <w:rsid w:val="00F814D1"/>
    <w:rsid w:val="00F81527"/>
    <w:rsid w:val="00F81613"/>
    <w:rsid w:val="00F8172F"/>
    <w:rsid w:val="00F81895"/>
    <w:rsid w:val="00F818DC"/>
    <w:rsid w:val="00F818F2"/>
    <w:rsid w:val="00F818FC"/>
    <w:rsid w:val="00F8193E"/>
    <w:rsid w:val="00F81D2D"/>
    <w:rsid w:val="00F81D3A"/>
    <w:rsid w:val="00F82003"/>
    <w:rsid w:val="00F8219C"/>
    <w:rsid w:val="00F82210"/>
    <w:rsid w:val="00F822E0"/>
    <w:rsid w:val="00F823AC"/>
    <w:rsid w:val="00F82443"/>
    <w:rsid w:val="00F82650"/>
    <w:rsid w:val="00F826B0"/>
    <w:rsid w:val="00F82785"/>
    <w:rsid w:val="00F82D4A"/>
    <w:rsid w:val="00F82F32"/>
    <w:rsid w:val="00F82FDC"/>
    <w:rsid w:val="00F83085"/>
    <w:rsid w:val="00F83144"/>
    <w:rsid w:val="00F83210"/>
    <w:rsid w:val="00F832ED"/>
    <w:rsid w:val="00F83364"/>
    <w:rsid w:val="00F835F1"/>
    <w:rsid w:val="00F83684"/>
    <w:rsid w:val="00F83696"/>
    <w:rsid w:val="00F8380A"/>
    <w:rsid w:val="00F83916"/>
    <w:rsid w:val="00F83955"/>
    <w:rsid w:val="00F83A8A"/>
    <w:rsid w:val="00F83AA6"/>
    <w:rsid w:val="00F83AC0"/>
    <w:rsid w:val="00F83B15"/>
    <w:rsid w:val="00F83B26"/>
    <w:rsid w:val="00F83B85"/>
    <w:rsid w:val="00F83CEE"/>
    <w:rsid w:val="00F83D23"/>
    <w:rsid w:val="00F83D89"/>
    <w:rsid w:val="00F83F3A"/>
    <w:rsid w:val="00F83F57"/>
    <w:rsid w:val="00F840FB"/>
    <w:rsid w:val="00F8413C"/>
    <w:rsid w:val="00F84242"/>
    <w:rsid w:val="00F84369"/>
    <w:rsid w:val="00F84439"/>
    <w:rsid w:val="00F8472E"/>
    <w:rsid w:val="00F847ED"/>
    <w:rsid w:val="00F84859"/>
    <w:rsid w:val="00F849E0"/>
    <w:rsid w:val="00F84A31"/>
    <w:rsid w:val="00F84B99"/>
    <w:rsid w:val="00F84FF1"/>
    <w:rsid w:val="00F85052"/>
    <w:rsid w:val="00F851B4"/>
    <w:rsid w:val="00F851D9"/>
    <w:rsid w:val="00F852D9"/>
    <w:rsid w:val="00F853F4"/>
    <w:rsid w:val="00F854EE"/>
    <w:rsid w:val="00F8561E"/>
    <w:rsid w:val="00F856D4"/>
    <w:rsid w:val="00F857E0"/>
    <w:rsid w:val="00F857E3"/>
    <w:rsid w:val="00F85816"/>
    <w:rsid w:val="00F8584E"/>
    <w:rsid w:val="00F858B9"/>
    <w:rsid w:val="00F858D2"/>
    <w:rsid w:val="00F85A42"/>
    <w:rsid w:val="00F85B34"/>
    <w:rsid w:val="00F85B67"/>
    <w:rsid w:val="00F85C13"/>
    <w:rsid w:val="00F85C5E"/>
    <w:rsid w:val="00F85F41"/>
    <w:rsid w:val="00F86667"/>
    <w:rsid w:val="00F8692F"/>
    <w:rsid w:val="00F869C2"/>
    <w:rsid w:val="00F86A13"/>
    <w:rsid w:val="00F86AAE"/>
    <w:rsid w:val="00F86B0D"/>
    <w:rsid w:val="00F86BD9"/>
    <w:rsid w:val="00F86BEF"/>
    <w:rsid w:val="00F86E79"/>
    <w:rsid w:val="00F86EBC"/>
    <w:rsid w:val="00F86FC7"/>
    <w:rsid w:val="00F870B6"/>
    <w:rsid w:val="00F87314"/>
    <w:rsid w:val="00F8737D"/>
    <w:rsid w:val="00F878BD"/>
    <w:rsid w:val="00F879A4"/>
    <w:rsid w:val="00F87B48"/>
    <w:rsid w:val="00F87C04"/>
    <w:rsid w:val="00F87F42"/>
    <w:rsid w:val="00F900FE"/>
    <w:rsid w:val="00F9018C"/>
    <w:rsid w:val="00F903A5"/>
    <w:rsid w:val="00F906F9"/>
    <w:rsid w:val="00F90A06"/>
    <w:rsid w:val="00F90D3E"/>
    <w:rsid w:val="00F90D57"/>
    <w:rsid w:val="00F90D99"/>
    <w:rsid w:val="00F91353"/>
    <w:rsid w:val="00F913A1"/>
    <w:rsid w:val="00F913C5"/>
    <w:rsid w:val="00F9140D"/>
    <w:rsid w:val="00F9157D"/>
    <w:rsid w:val="00F916F4"/>
    <w:rsid w:val="00F9181B"/>
    <w:rsid w:val="00F918BF"/>
    <w:rsid w:val="00F91A3B"/>
    <w:rsid w:val="00F91A44"/>
    <w:rsid w:val="00F91B72"/>
    <w:rsid w:val="00F91C90"/>
    <w:rsid w:val="00F91EC0"/>
    <w:rsid w:val="00F91FE2"/>
    <w:rsid w:val="00F920F5"/>
    <w:rsid w:val="00F92322"/>
    <w:rsid w:val="00F926BD"/>
    <w:rsid w:val="00F9273B"/>
    <w:rsid w:val="00F92741"/>
    <w:rsid w:val="00F92775"/>
    <w:rsid w:val="00F9279A"/>
    <w:rsid w:val="00F9288D"/>
    <w:rsid w:val="00F92C81"/>
    <w:rsid w:val="00F92CC4"/>
    <w:rsid w:val="00F92FB7"/>
    <w:rsid w:val="00F93138"/>
    <w:rsid w:val="00F93222"/>
    <w:rsid w:val="00F933C5"/>
    <w:rsid w:val="00F93525"/>
    <w:rsid w:val="00F935D3"/>
    <w:rsid w:val="00F93616"/>
    <w:rsid w:val="00F93747"/>
    <w:rsid w:val="00F9376E"/>
    <w:rsid w:val="00F9386B"/>
    <w:rsid w:val="00F93958"/>
    <w:rsid w:val="00F939B0"/>
    <w:rsid w:val="00F93AAD"/>
    <w:rsid w:val="00F93B13"/>
    <w:rsid w:val="00F93B28"/>
    <w:rsid w:val="00F93CF1"/>
    <w:rsid w:val="00F93DAE"/>
    <w:rsid w:val="00F93F28"/>
    <w:rsid w:val="00F93F3E"/>
    <w:rsid w:val="00F93F7C"/>
    <w:rsid w:val="00F941E1"/>
    <w:rsid w:val="00F94A17"/>
    <w:rsid w:val="00F94B16"/>
    <w:rsid w:val="00F94BEE"/>
    <w:rsid w:val="00F94D2B"/>
    <w:rsid w:val="00F94DFB"/>
    <w:rsid w:val="00F94F83"/>
    <w:rsid w:val="00F95256"/>
    <w:rsid w:val="00F952E1"/>
    <w:rsid w:val="00F9533A"/>
    <w:rsid w:val="00F9534B"/>
    <w:rsid w:val="00F95642"/>
    <w:rsid w:val="00F957B2"/>
    <w:rsid w:val="00F958CB"/>
    <w:rsid w:val="00F95E5C"/>
    <w:rsid w:val="00F96093"/>
    <w:rsid w:val="00F961C2"/>
    <w:rsid w:val="00F961F3"/>
    <w:rsid w:val="00F9627F"/>
    <w:rsid w:val="00F96325"/>
    <w:rsid w:val="00F96376"/>
    <w:rsid w:val="00F963DB"/>
    <w:rsid w:val="00F96404"/>
    <w:rsid w:val="00F96436"/>
    <w:rsid w:val="00F96499"/>
    <w:rsid w:val="00F967F3"/>
    <w:rsid w:val="00F9684A"/>
    <w:rsid w:val="00F96AA5"/>
    <w:rsid w:val="00F96FD6"/>
    <w:rsid w:val="00F9731C"/>
    <w:rsid w:val="00F97494"/>
    <w:rsid w:val="00F97706"/>
    <w:rsid w:val="00F977B7"/>
    <w:rsid w:val="00F9792E"/>
    <w:rsid w:val="00F97B08"/>
    <w:rsid w:val="00F97B2C"/>
    <w:rsid w:val="00F97D5B"/>
    <w:rsid w:val="00F97F21"/>
    <w:rsid w:val="00FA0000"/>
    <w:rsid w:val="00FA0003"/>
    <w:rsid w:val="00FA0054"/>
    <w:rsid w:val="00FA01D9"/>
    <w:rsid w:val="00FA01F1"/>
    <w:rsid w:val="00FA0284"/>
    <w:rsid w:val="00FA0291"/>
    <w:rsid w:val="00FA02D3"/>
    <w:rsid w:val="00FA0346"/>
    <w:rsid w:val="00FA04C2"/>
    <w:rsid w:val="00FA055F"/>
    <w:rsid w:val="00FA0825"/>
    <w:rsid w:val="00FA0846"/>
    <w:rsid w:val="00FA08AD"/>
    <w:rsid w:val="00FA09A9"/>
    <w:rsid w:val="00FA0AA3"/>
    <w:rsid w:val="00FA0AFA"/>
    <w:rsid w:val="00FA0BDD"/>
    <w:rsid w:val="00FA0C53"/>
    <w:rsid w:val="00FA0C8F"/>
    <w:rsid w:val="00FA0D43"/>
    <w:rsid w:val="00FA0D9D"/>
    <w:rsid w:val="00FA0FF3"/>
    <w:rsid w:val="00FA1400"/>
    <w:rsid w:val="00FA1404"/>
    <w:rsid w:val="00FA147E"/>
    <w:rsid w:val="00FA1604"/>
    <w:rsid w:val="00FA16E9"/>
    <w:rsid w:val="00FA1A1C"/>
    <w:rsid w:val="00FA1C7C"/>
    <w:rsid w:val="00FA1CCA"/>
    <w:rsid w:val="00FA1CE0"/>
    <w:rsid w:val="00FA1D07"/>
    <w:rsid w:val="00FA1DA7"/>
    <w:rsid w:val="00FA20DB"/>
    <w:rsid w:val="00FA21B0"/>
    <w:rsid w:val="00FA21B3"/>
    <w:rsid w:val="00FA23A7"/>
    <w:rsid w:val="00FA24A8"/>
    <w:rsid w:val="00FA259F"/>
    <w:rsid w:val="00FA27EC"/>
    <w:rsid w:val="00FA2A10"/>
    <w:rsid w:val="00FA2A7B"/>
    <w:rsid w:val="00FA2A88"/>
    <w:rsid w:val="00FA2A90"/>
    <w:rsid w:val="00FA2C3A"/>
    <w:rsid w:val="00FA2D6F"/>
    <w:rsid w:val="00FA2DA3"/>
    <w:rsid w:val="00FA2DD4"/>
    <w:rsid w:val="00FA2EAD"/>
    <w:rsid w:val="00FA2F27"/>
    <w:rsid w:val="00FA2FDC"/>
    <w:rsid w:val="00FA306B"/>
    <w:rsid w:val="00FA3263"/>
    <w:rsid w:val="00FA3285"/>
    <w:rsid w:val="00FA32DF"/>
    <w:rsid w:val="00FA3439"/>
    <w:rsid w:val="00FA3602"/>
    <w:rsid w:val="00FA3830"/>
    <w:rsid w:val="00FA38D4"/>
    <w:rsid w:val="00FA394D"/>
    <w:rsid w:val="00FA3A6C"/>
    <w:rsid w:val="00FA3C05"/>
    <w:rsid w:val="00FA3C4E"/>
    <w:rsid w:val="00FA3DE2"/>
    <w:rsid w:val="00FA3EA2"/>
    <w:rsid w:val="00FA3FC1"/>
    <w:rsid w:val="00FA4004"/>
    <w:rsid w:val="00FA4058"/>
    <w:rsid w:val="00FA414A"/>
    <w:rsid w:val="00FA4150"/>
    <w:rsid w:val="00FA42B4"/>
    <w:rsid w:val="00FA4357"/>
    <w:rsid w:val="00FA439C"/>
    <w:rsid w:val="00FA4621"/>
    <w:rsid w:val="00FA488B"/>
    <w:rsid w:val="00FA4A2F"/>
    <w:rsid w:val="00FA4B72"/>
    <w:rsid w:val="00FA4D0D"/>
    <w:rsid w:val="00FA4D42"/>
    <w:rsid w:val="00FA4E5D"/>
    <w:rsid w:val="00FA5393"/>
    <w:rsid w:val="00FA547E"/>
    <w:rsid w:val="00FA559A"/>
    <w:rsid w:val="00FA55E1"/>
    <w:rsid w:val="00FA55E6"/>
    <w:rsid w:val="00FA5766"/>
    <w:rsid w:val="00FA57D3"/>
    <w:rsid w:val="00FA5B57"/>
    <w:rsid w:val="00FA5D13"/>
    <w:rsid w:val="00FA62AF"/>
    <w:rsid w:val="00FA62DC"/>
    <w:rsid w:val="00FA6472"/>
    <w:rsid w:val="00FA6474"/>
    <w:rsid w:val="00FA65B4"/>
    <w:rsid w:val="00FA6701"/>
    <w:rsid w:val="00FA67B6"/>
    <w:rsid w:val="00FA6C5E"/>
    <w:rsid w:val="00FA6E86"/>
    <w:rsid w:val="00FA6F01"/>
    <w:rsid w:val="00FA6F6D"/>
    <w:rsid w:val="00FA701E"/>
    <w:rsid w:val="00FA705D"/>
    <w:rsid w:val="00FA72FB"/>
    <w:rsid w:val="00FA73AC"/>
    <w:rsid w:val="00FA7478"/>
    <w:rsid w:val="00FA78BC"/>
    <w:rsid w:val="00FA7A89"/>
    <w:rsid w:val="00FA7ABE"/>
    <w:rsid w:val="00FA7C03"/>
    <w:rsid w:val="00FA7D7D"/>
    <w:rsid w:val="00FA7E0C"/>
    <w:rsid w:val="00FA7E98"/>
    <w:rsid w:val="00FA7F17"/>
    <w:rsid w:val="00FA7FE6"/>
    <w:rsid w:val="00FB0285"/>
    <w:rsid w:val="00FB0395"/>
    <w:rsid w:val="00FB047A"/>
    <w:rsid w:val="00FB054E"/>
    <w:rsid w:val="00FB0682"/>
    <w:rsid w:val="00FB07C3"/>
    <w:rsid w:val="00FB08D5"/>
    <w:rsid w:val="00FB08FF"/>
    <w:rsid w:val="00FB0E9D"/>
    <w:rsid w:val="00FB0F0A"/>
    <w:rsid w:val="00FB1110"/>
    <w:rsid w:val="00FB1751"/>
    <w:rsid w:val="00FB1994"/>
    <w:rsid w:val="00FB19D7"/>
    <w:rsid w:val="00FB1BBE"/>
    <w:rsid w:val="00FB1C12"/>
    <w:rsid w:val="00FB1E09"/>
    <w:rsid w:val="00FB1F38"/>
    <w:rsid w:val="00FB21BF"/>
    <w:rsid w:val="00FB2236"/>
    <w:rsid w:val="00FB22FF"/>
    <w:rsid w:val="00FB2390"/>
    <w:rsid w:val="00FB23BF"/>
    <w:rsid w:val="00FB27C2"/>
    <w:rsid w:val="00FB27E3"/>
    <w:rsid w:val="00FB2817"/>
    <w:rsid w:val="00FB2AB4"/>
    <w:rsid w:val="00FB2C79"/>
    <w:rsid w:val="00FB2E7A"/>
    <w:rsid w:val="00FB2F5C"/>
    <w:rsid w:val="00FB2F74"/>
    <w:rsid w:val="00FB2FF5"/>
    <w:rsid w:val="00FB3103"/>
    <w:rsid w:val="00FB3105"/>
    <w:rsid w:val="00FB3230"/>
    <w:rsid w:val="00FB3406"/>
    <w:rsid w:val="00FB3431"/>
    <w:rsid w:val="00FB349E"/>
    <w:rsid w:val="00FB36B7"/>
    <w:rsid w:val="00FB3849"/>
    <w:rsid w:val="00FB3977"/>
    <w:rsid w:val="00FB3A15"/>
    <w:rsid w:val="00FB3BCB"/>
    <w:rsid w:val="00FB3E90"/>
    <w:rsid w:val="00FB3ED3"/>
    <w:rsid w:val="00FB3F11"/>
    <w:rsid w:val="00FB4245"/>
    <w:rsid w:val="00FB4299"/>
    <w:rsid w:val="00FB45FF"/>
    <w:rsid w:val="00FB46E2"/>
    <w:rsid w:val="00FB49B9"/>
    <w:rsid w:val="00FB4A3F"/>
    <w:rsid w:val="00FB4B0F"/>
    <w:rsid w:val="00FB4F96"/>
    <w:rsid w:val="00FB4FA0"/>
    <w:rsid w:val="00FB5058"/>
    <w:rsid w:val="00FB51B2"/>
    <w:rsid w:val="00FB5209"/>
    <w:rsid w:val="00FB521E"/>
    <w:rsid w:val="00FB546D"/>
    <w:rsid w:val="00FB54D5"/>
    <w:rsid w:val="00FB5717"/>
    <w:rsid w:val="00FB5829"/>
    <w:rsid w:val="00FB5858"/>
    <w:rsid w:val="00FB5876"/>
    <w:rsid w:val="00FB5889"/>
    <w:rsid w:val="00FB59FA"/>
    <w:rsid w:val="00FB5A9F"/>
    <w:rsid w:val="00FB5BCC"/>
    <w:rsid w:val="00FB5C3A"/>
    <w:rsid w:val="00FB5ED3"/>
    <w:rsid w:val="00FB5F41"/>
    <w:rsid w:val="00FB5FFA"/>
    <w:rsid w:val="00FB620D"/>
    <w:rsid w:val="00FB62E6"/>
    <w:rsid w:val="00FB6441"/>
    <w:rsid w:val="00FB66D5"/>
    <w:rsid w:val="00FB6891"/>
    <w:rsid w:val="00FB6A8F"/>
    <w:rsid w:val="00FB6C44"/>
    <w:rsid w:val="00FB6C54"/>
    <w:rsid w:val="00FB6D60"/>
    <w:rsid w:val="00FB6F67"/>
    <w:rsid w:val="00FB706D"/>
    <w:rsid w:val="00FB70DD"/>
    <w:rsid w:val="00FB70FA"/>
    <w:rsid w:val="00FB7119"/>
    <w:rsid w:val="00FB718B"/>
    <w:rsid w:val="00FB7227"/>
    <w:rsid w:val="00FB73CD"/>
    <w:rsid w:val="00FB7435"/>
    <w:rsid w:val="00FB74F0"/>
    <w:rsid w:val="00FB7501"/>
    <w:rsid w:val="00FB7629"/>
    <w:rsid w:val="00FB799D"/>
    <w:rsid w:val="00FB79B0"/>
    <w:rsid w:val="00FB7CB4"/>
    <w:rsid w:val="00FB7CE5"/>
    <w:rsid w:val="00FB7D54"/>
    <w:rsid w:val="00FC040E"/>
    <w:rsid w:val="00FC04DA"/>
    <w:rsid w:val="00FC0542"/>
    <w:rsid w:val="00FC0660"/>
    <w:rsid w:val="00FC0720"/>
    <w:rsid w:val="00FC0AD7"/>
    <w:rsid w:val="00FC0AE7"/>
    <w:rsid w:val="00FC0BC2"/>
    <w:rsid w:val="00FC0E0E"/>
    <w:rsid w:val="00FC10DE"/>
    <w:rsid w:val="00FC11E8"/>
    <w:rsid w:val="00FC127E"/>
    <w:rsid w:val="00FC13CD"/>
    <w:rsid w:val="00FC14BB"/>
    <w:rsid w:val="00FC15C3"/>
    <w:rsid w:val="00FC168B"/>
    <w:rsid w:val="00FC16B9"/>
    <w:rsid w:val="00FC171F"/>
    <w:rsid w:val="00FC18D8"/>
    <w:rsid w:val="00FC1B26"/>
    <w:rsid w:val="00FC1E0B"/>
    <w:rsid w:val="00FC1FA2"/>
    <w:rsid w:val="00FC1FB9"/>
    <w:rsid w:val="00FC1FCD"/>
    <w:rsid w:val="00FC1FD5"/>
    <w:rsid w:val="00FC200B"/>
    <w:rsid w:val="00FC2178"/>
    <w:rsid w:val="00FC2213"/>
    <w:rsid w:val="00FC23B5"/>
    <w:rsid w:val="00FC241E"/>
    <w:rsid w:val="00FC2524"/>
    <w:rsid w:val="00FC2615"/>
    <w:rsid w:val="00FC27C2"/>
    <w:rsid w:val="00FC27CB"/>
    <w:rsid w:val="00FC28FB"/>
    <w:rsid w:val="00FC2C0D"/>
    <w:rsid w:val="00FC2CDE"/>
    <w:rsid w:val="00FC2D5F"/>
    <w:rsid w:val="00FC3013"/>
    <w:rsid w:val="00FC311D"/>
    <w:rsid w:val="00FC31BA"/>
    <w:rsid w:val="00FC3385"/>
    <w:rsid w:val="00FC339B"/>
    <w:rsid w:val="00FC35AA"/>
    <w:rsid w:val="00FC365C"/>
    <w:rsid w:val="00FC38B4"/>
    <w:rsid w:val="00FC39DD"/>
    <w:rsid w:val="00FC3D35"/>
    <w:rsid w:val="00FC3DAE"/>
    <w:rsid w:val="00FC4098"/>
    <w:rsid w:val="00FC420B"/>
    <w:rsid w:val="00FC4337"/>
    <w:rsid w:val="00FC43F9"/>
    <w:rsid w:val="00FC445F"/>
    <w:rsid w:val="00FC4494"/>
    <w:rsid w:val="00FC4594"/>
    <w:rsid w:val="00FC4632"/>
    <w:rsid w:val="00FC47A8"/>
    <w:rsid w:val="00FC4992"/>
    <w:rsid w:val="00FC4AE9"/>
    <w:rsid w:val="00FC4ECA"/>
    <w:rsid w:val="00FC4F4D"/>
    <w:rsid w:val="00FC4F8D"/>
    <w:rsid w:val="00FC4FA0"/>
    <w:rsid w:val="00FC5014"/>
    <w:rsid w:val="00FC5267"/>
    <w:rsid w:val="00FC5330"/>
    <w:rsid w:val="00FC5409"/>
    <w:rsid w:val="00FC54F4"/>
    <w:rsid w:val="00FC5603"/>
    <w:rsid w:val="00FC582F"/>
    <w:rsid w:val="00FC58A2"/>
    <w:rsid w:val="00FC5AC0"/>
    <w:rsid w:val="00FC5ACC"/>
    <w:rsid w:val="00FC5C20"/>
    <w:rsid w:val="00FC5CB4"/>
    <w:rsid w:val="00FC5CDF"/>
    <w:rsid w:val="00FC5D0F"/>
    <w:rsid w:val="00FC5EA6"/>
    <w:rsid w:val="00FC634C"/>
    <w:rsid w:val="00FC63AA"/>
    <w:rsid w:val="00FC64C2"/>
    <w:rsid w:val="00FC6541"/>
    <w:rsid w:val="00FC6560"/>
    <w:rsid w:val="00FC6582"/>
    <w:rsid w:val="00FC6838"/>
    <w:rsid w:val="00FC68CD"/>
    <w:rsid w:val="00FC69B6"/>
    <w:rsid w:val="00FC6A94"/>
    <w:rsid w:val="00FC6AAA"/>
    <w:rsid w:val="00FC6B43"/>
    <w:rsid w:val="00FC6C46"/>
    <w:rsid w:val="00FC6DAA"/>
    <w:rsid w:val="00FC6EEF"/>
    <w:rsid w:val="00FC72B5"/>
    <w:rsid w:val="00FC7357"/>
    <w:rsid w:val="00FC7413"/>
    <w:rsid w:val="00FC74ED"/>
    <w:rsid w:val="00FC775D"/>
    <w:rsid w:val="00FC7A00"/>
    <w:rsid w:val="00FC7F13"/>
    <w:rsid w:val="00FC7F42"/>
    <w:rsid w:val="00FC7FBC"/>
    <w:rsid w:val="00FD0129"/>
    <w:rsid w:val="00FD012E"/>
    <w:rsid w:val="00FD0438"/>
    <w:rsid w:val="00FD0584"/>
    <w:rsid w:val="00FD0588"/>
    <w:rsid w:val="00FD0612"/>
    <w:rsid w:val="00FD0623"/>
    <w:rsid w:val="00FD0886"/>
    <w:rsid w:val="00FD0909"/>
    <w:rsid w:val="00FD0B01"/>
    <w:rsid w:val="00FD0B1B"/>
    <w:rsid w:val="00FD0B28"/>
    <w:rsid w:val="00FD0B5C"/>
    <w:rsid w:val="00FD0BED"/>
    <w:rsid w:val="00FD0F34"/>
    <w:rsid w:val="00FD1111"/>
    <w:rsid w:val="00FD127C"/>
    <w:rsid w:val="00FD15FF"/>
    <w:rsid w:val="00FD1683"/>
    <w:rsid w:val="00FD179C"/>
    <w:rsid w:val="00FD17BA"/>
    <w:rsid w:val="00FD1BF5"/>
    <w:rsid w:val="00FD1D03"/>
    <w:rsid w:val="00FD1E10"/>
    <w:rsid w:val="00FD1ECC"/>
    <w:rsid w:val="00FD217B"/>
    <w:rsid w:val="00FD2224"/>
    <w:rsid w:val="00FD2360"/>
    <w:rsid w:val="00FD2383"/>
    <w:rsid w:val="00FD2457"/>
    <w:rsid w:val="00FD25B9"/>
    <w:rsid w:val="00FD2631"/>
    <w:rsid w:val="00FD26F8"/>
    <w:rsid w:val="00FD2800"/>
    <w:rsid w:val="00FD28C9"/>
    <w:rsid w:val="00FD2A21"/>
    <w:rsid w:val="00FD2A36"/>
    <w:rsid w:val="00FD2C9D"/>
    <w:rsid w:val="00FD2F74"/>
    <w:rsid w:val="00FD315B"/>
    <w:rsid w:val="00FD32AE"/>
    <w:rsid w:val="00FD3388"/>
    <w:rsid w:val="00FD348A"/>
    <w:rsid w:val="00FD361D"/>
    <w:rsid w:val="00FD367E"/>
    <w:rsid w:val="00FD369C"/>
    <w:rsid w:val="00FD36B9"/>
    <w:rsid w:val="00FD37E7"/>
    <w:rsid w:val="00FD38D1"/>
    <w:rsid w:val="00FD3950"/>
    <w:rsid w:val="00FD3964"/>
    <w:rsid w:val="00FD3981"/>
    <w:rsid w:val="00FD39D0"/>
    <w:rsid w:val="00FD39D1"/>
    <w:rsid w:val="00FD3A7A"/>
    <w:rsid w:val="00FD3AAF"/>
    <w:rsid w:val="00FD3B94"/>
    <w:rsid w:val="00FD3D11"/>
    <w:rsid w:val="00FD3D14"/>
    <w:rsid w:val="00FD3DF3"/>
    <w:rsid w:val="00FD40D3"/>
    <w:rsid w:val="00FD40DD"/>
    <w:rsid w:val="00FD42BC"/>
    <w:rsid w:val="00FD4350"/>
    <w:rsid w:val="00FD43B3"/>
    <w:rsid w:val="00FD4423"/>
    <w:rsid w:val="00FD44C2"/>
    <w:rsid w:val="00FD45F1"/>
    <w:rsid w:val="00FD4608"/>
    <w:rsid w:val="00FD46DB"/>
    <w:rsid w:val="00FD485E"/>
    <w:rsid w:val="00FD4978"/>
    <w:rsid w:val="00FD49EE"/>
    <w:rsid w:val="00FD4A8A"/>
    <w:rsid w:val="00FD4B1A"/>
    <w:rsid w:val="00FD4D83"/>
    <w:rsid w:val="00FD505C"/>
    <w:rsid w:val="00FD51AF"/>
    <w:rsid w:val="00FD51C4"/>
    <w:rsid w:val="00FD5403"/>
    <w:rsid w:val="00FD54C0"/>
    <w:rsid w:val="00FD5682"/>
    <w:rsid w:val="00FD56C6"/>
    <w:rsid w:val="00FD56FD"/>
    <w:rsid w:val="00FD5727"/>
    <w:rsid w:val="00FD5AE3"/>
    <w:rsid w:val="00FD5E0A"/>
    <w:rsid w:val="00FD61B6"/>
    <w:rsid w:val="00FD6295"/>
    <w:rsid w:val="00FD62BC"/>
    <w:rsid w:val="00FD636E"/>
    <w:rsid w:val="00FD656E"/>
    <w:rsid w:val="00FD6949"/>
    <w:rsid w:val="00FD69DA"/>
    <w:rsid w:val="00FD6B9F"/>
    <w:rsid w:val="00FD6BB5"/>
    <w:rsid w:val="00FD6C85"/>
    <w:rsid w:val="00FD6D69"/>
    <w:rsid w:val="00FD6E03"/>
    <w:rsid w:val="00FD6E4D"/>
    <w:rsid w:val="00FD6F24"/>
    <w:rsid w:val="00FD6F5E"/>
    <w:rsid w:val="00FD7472"/>
    <w:rsid w:val="00FD74E8"/>
    <w:rsid w:val="00FD755F"/>
    <w:rsid w:val="00FD76E7"/>
    <w:rsid w:val="00FD7749"/>
    <w:rsid w:val="00FD78BE"/>
    <w:rsid w:val="00FD7991"/>
    <w:rsid w:val="00FD7A8E"/>
    <w:rsid w:val="00FD7C41"/>
    <w:rsid w:val="00FD7CE7"/>
    <w:rsid w:val="00FD7D8D"/>
    <w:rsid w:val="00FD7E62"/>
    <w:rsid w:val="00FD7F0F"/>
    <w:rsid w:val="00FD7FD6"/>
    <w:rsid w:val="00FD7FDC"/>
    <w:rsid w:val="00FE0225"/>
    <w:rsid w:val="00FE0439"/>
    <w:rsid w:val="00FE05A2"/>
    <w:rsid w:val="00FE0656"/>
    <w:rsid w:val="00FE0713"/>
    <w:rsid w:val="00FE0718"/>
    <w:rsid w:val="00FE0736"/>
    <w:rsid w:val="00FE075B"/>
    <w:rsid w:val="00FE0804"/>
    <w:rsid w:val="00FE09FB"/>
    <w:rsid w:val="00FE0A20"/>
    <w:rsid w:val="00FE0A55"/>
    <w:rsid w:val="00FE0DFA"/>
    <w:rsid w:val="00FE0E91"/>
    <w:rsid w:val="00FE0EC4"/>
    <w:rsid w:val="00FE0F19"/>
    <w:rsid w:val="00FE1008"/>
    <w:rsid w:val="00FE1097"/>
    <w:rsid w:val="00FE1118"/>
    <w:rsid w:val="00FE13D8"/>
    <w:rsid w:val="00FE14D1"/>
    <w:rsid w:val="00FE162F"/>
    <w:rsid w:val="00FE165A"/>
    <w:rsid w:val="00FE16C8"/>
    <w:rsid w:val="00FE1916"/>
    <w:rsid w:val="00FE1C11"/>
    <w:rsid w:val="00FE1C53"/>
    <w:rsid w:val="00FE1DE2"/>
    <w:rsid w:val="00FE1EC0"/>
    <w:rsid w:val="00FE1ECE"/>
    <w:rsid w:val="00FE1ED2"/>
    <w:rsid w:val="00FE204A"/>
    <w:rsid w:val="00FE235D"/>
    <w:rsid w:val="00FE240B"/>
    <w:rsid w:val="00FE24A6"/>
    <w:rsid w:val="00FE27F7"/>
    <w:rsid w:val="00FE280C"/>
    <w:rsid w:val="00FE29BF"/>
    <w:rsid w:val="00FE2A29"/>
    <w:rsid w:val="00FE2CB0"/>
    <w:rsid w:val="00FE2CB9"/>
    <w:rsid w:val="00FE2CBD"/>
    <w:rsid w:val="00FE2DE1"/>
    <w:rsid w:val="00FE2E54"/>
    <w:rsid w:val="00FE2EF1"/>
    <w:rsid w:val="00FE314F"/>
    <w:rsid w:val="00FE3160"/>
    <w:rsid w:val="00FE32FF"/>
    <w:rsid w:val="00FE34C1"/>
    <w:rsid w:val="00FE3548"/>
    <w:rsid w:val="00FE3665"/>
    <w:rsid w:val="00FE3694"/>
    <w:rsid w:val="00FE3802"/>
    <w:rsid w:val="00FE380B"/>
    <w:rsid w:val="00FE3888"/>
    <w:rsid w:val="00FE3AE5"/>
    <w:rsid w:val="00FE3B4B"/>
    <w:rsid w:val="00FE3B8D"/>
    <w:rsid w:val="00FE3BD3"/>
    <w:rsid w:val="00FE3CEE"/>
    <w:rsid w:val="00FE3E17"/>
    <w:rsid w:val="00FE3F31"/>
    <w:rsid w:val="00FE3FF5"/>
    <w:rsid w:val="00FE40E5"/>
    <w:rsid w:val="00FE40F8"/>
    <w:rsid w:val="00FE4132"/>
    <w:rsid w:val="00FE41BB"/>
    <w:rsid w:val="00FE4229"/>
    <w:rsid w:val="00FE428F"/>
    <w:rsid w:val="00FE43E3"/>
    <w:rsid w:val="00FE44BC"/>
    <w:rsid w:val="00FE4739"/>
    <w:rsid w:val="00FE4973"/>
    <w:rsid w:val="00FE4BC8"/>
    <w:rsid w:val="00FE4DAD"/>
    <w:rsid w:val="00FE4DB2"/>
    <w:rsid w:val="00FE4F06"/>
    <w:rsid w:val="00FE521B"/>
    <w:rsid w:val="00FE533F"/>
    <w:rsid w:val="00FE541B"/>
    <w:rsid w:val="00FE572B"/>
    <w:rsid w:val="00FE5745"/>
    <w:rsid w:val="00FE59D4"/>
    <w:rsid w:val="00FE5BE6"/>
    <w:rsid w:val="00FE5BF4"/>
    <w:rsid w:val="00FE5D80"/>
    <w:rsid w:val="00FE5E15"/>
    <w:rsid w:val="00FE5F95"/>
    <w:rsid w:val="00FE6120"/>
    <w:rsid w:val="00FE621A"/>
    <w:rsid w:val="00FE6280"/>
    <w:rsid w:val="00FE644B"/>
    <w:rsid w:val="00FE6512"/>
    <w:rsid w:val="00FE6534"/>
    <w:rsid w:val="00FE65D2"/>
    <w:rsid w:val="00FE665C"/>
    <w:rsid w:val="00FE681D"/>
    <w:rsid w:val="00FE6DB2"/>
    <w:rsid w:val="00FE6F3B"/>
    <w:rsid w:val="00FE6F3D"/>
    <w:rsid w:val="00FE7021"/>
    <w:rsid w:val="00FE727B"/>
    <w:rsid w:val="00FE737C"/>
    <w:rsid w:val="00FE74DF"/>
    <w:rsid w:val="00FE790E"/>
    <w:rsid w:val="00FE7A21"/>
    <w:rsid w:val="00FE7E3C"/>
    <w:rsid w:val="00FE7E61"/>
    <w:rsid w:val="00FF00B1"/>
    <w:rsid w:val="00FF0148"/>
    <w:rsid w:val="00FF0157"/>
    <w:rsid w:val="00FF01EF"/>
    <w:rsid w:val="00FF0281"/>
    <w:rsid w:val="00FF02D8"/>
    <w:rsid w:val="00FF0605"/>
    <w:rsid w:val="00FF0792"/>
    <w:rsid w:val="00FF0A69"/>
    <w:rsid w:val="00FF0A79"/>
    <w:rsid w:val="00FF0BC1"/>
    <w:rsid w:val="00FF0C7E"/>
    <w:rsid w:val="00FF0DBD"/>
    <w:rsid w:val="00FF0E5C"/>
    <w:rsid w:val="00FF12F2"/>
    <w:rsid w:val="00FF140A"/>
    <w:rsid w:val="00FF148B"/>
    <w:rsid w:val="00FF151A"/>
    <w:rsid w:val="00FF154C"/>
    <w:rsid w:val="00FF1678"/>
    <w:rsid w:val="00FF1689"/>
    <w:rsid w:val="00FF16E3"/>
    <w:rsid w:val="00FF176C"/>
    <w:rsid w:val="00FF17E3"/>
    <w:rsid w:val="00FF182B"/>
    <w:rsid w:val="00FF18EA"/>
    <w:rsid w:val="00FF19C1"/>
    <w:rsid w:val="00FF1C56"/>
    <w:rsid w:val="00FF1DA3"/>
    <w:rsid w:val="00FF1DCB"/>
    <w:rsid w:val="00FF1E21"/>
    <w:rsid w:val="00FF1EA8"/>
    <w:rsid w:val="00FF207D"/>
    <w:rsid w:val="00FF2100"/>
    <w:rsid w:val="00FF2136"/>
    <w:rsid w:val="00FF21FD"/>
    <w:rsid w:val="00FF225C"/>
    <w:rsid w:val="00FF2396"/>
    <w:rsid w:val="00FF2434"/>
    <w:rsid w:val="00FF251E"/>
    <w:rsid w:val="00FF25D0"/>
    <w:rsid w:val="00FF2755"/>
    <w:rsid w:val="00FF2769"/>
    <w:rsid w:val="00FF2874"/>
    <w:rsid w:val="00FF2961"/>
    <w:rsid w:val="00FF29C9"/>
    <w:rsid w:val="00FF2AC2"/>
    <w:rsid w:val="00FF2B4E"/>
    <w:rsid w:val="00FF2B80"/>
    <w:rsid w:val="00FF2BCE"/>
    <w:rsid w:val="00FF2EEA"/>
    <w:rsid w:val="00FF31B8"/>
    <w:rsid w:val="00FF325C"/>
    <w:rsid w:val="00FF34D1"/>
    <w:rsid w:val="00FF352B"/>
    <w:rsid w:val="00FF3570"/>
    <w:rsid w:val="00FF35A6"/>
    <w:rsid w:val="00FF36F2"/>
    <w:rsid w:val="00FF3A07"/>
    <w:rsid w:val="00FF3A12"/>
    <w:rsid w:val="00FF3A47"/>
    <w:rsid w:val="00FF3AFE"/>
    <w:rsid w:val="00FF3CE8"/>
    <w:rsid w:val="00FF3D9E"/>
    <w:rsid w:val="00FF3EFE"/>
    <w:rsid w:val="00FF3F2A"/>
    <w:rsid w:val="00FF3FEA"/>
    <w:rsid w:val="00FF4065"/>
    <w:rsid w:val="00FF40D9"/>
    <w:rsid w:val="00FF415B"/>
    <w:rsid w:val="00FF4196"/>
    <w:rsid w:val="00FF41FD"/>
    <w:rsid w:val="00FF4652"/>
    <w:rsid w:val="00FF4738"/>
    <w:rsid w:val="00FF47BD"/>
    <w:rsid w:val="00FF4838"/>
    <w:rsid w:val="00FF49D1"/>
    <w:rsid w:val="00FF4A17"/>
    <w:rsid w:val="00FF4C68"/>
    <w:rsid w:val="00FF4CCD"/>
    <w:rsid w:val="00FF4D1B"/>
    <w:rsid w:val="00FF4DF7"/>
    <w:rsid w:val="00FF4EE1"/>
    <w:rsid w:val="00FF4FF7"/>
    <w:rsid w:val="00FF51C1"/>
    <w:rsid w:val="00FF5958"/>
    <w:rsid w:val="00FF598A"/>
    <w:rsid w:val="00FF5A4C"/>
    <w:rsid w:val="00FF5A7A"/>
    <w:rsid w:val="00FF6148"/>
    <w:rsid w:val="00FF63E2"/>
    <w:rsid w:val="00FF657F"/>
    <w:rsid w:val="00FF6634"/>
    <w:rsid w:val="00FF6873"/>
    <w:rsid w:val="00FF6A05"/>
    <w:rsid w:val="00FF6A39"/>
    <w:rsid w:val="00FF6D9E"/>
    <w:rsid w:val="00FF70A4"/>
    <w:rsid w:val="00FF731C"/>
    <w:rsid w:val="00FF738E"/>
    <w:rsid w:val="00FF74C2"/>
    <w:rsid w:val="00FF753C"/>
    <w:rsid w:val="00FF75EE"/>
    <w:rsid w:val="00FF768D"/>
    <w:rsid w:val="00FF7784"/>
    <w:rsid w:val="00FF7998"/>
    <w:rsid w:val="00FF7BA8"/>
    <w:rsid w:val="00FF7BCA"/>
    <w:rsid w:val="00FF7DC2"/>
    <w:rsid w:val="00FF7E35"/>
    <w:rsid w:val="00FF7EBC"/>
    <w:rsid w:val="03BC5EF9"/>
    <w:rsid w:val="07DC0E82"/>
    <w:rsid w:val="0EBA3DC6"/>
    <w:rsid w:val="0EF5E619"/>
    <w:rsid w:val="11F92496"/>
    <w:rsid w:val="193F4D41"/>
    <w:rsid w:val="1E7F7921"/>
    <w:rsid w:val="24024939"/>
    <w:rsid w:val="2BD27F9F"/>
    <w:rsid w:val="2BFE180D"/>
    <w:rsid w:val="3262E66C"/>
    <w:rsid w:val="40F641AA"/>
    <w:rsid w:val="41E16C0E"/>
    <w:rsid w:val="454015A3"/>
    <w:rsid w:val="4DBEE6CB"/>
    <w:rsid w:val="541C7162"/>
    <w:rsid w:val="57157429"/>
    <w:rsid w:val="5EF0760D"/>
    <w:rsid w:val="665B2907"/>
    <w:rsid w:val="6A680B3E"/>
    <w:rsid w:val="6D1723FC"/>
    <w:rsid w:val="6DBBEF22"/>
    <w:rsid w:val="6EB3BE6B"/>
    <w:rsid w:val="757E8DDF"/>
    <w:rsid w:val="7E4F634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48C4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216"/>
    <w:pPr>
      <w:spacing w:before="120"/>
    </w:pPr>
    <w:rPr>
      <w:rFonts w:ascii="Franklin Gothic Book" w:hAnsi="Franklin Gothic Book"/>
    </w:rPr>
  </w:style>
  <w:style w:type="paragraph" w:styleId="Heading1">
    <w:name w:val="heading 1"/>
    <w:basedOn w:val="Normal"/>
    <w:next w:val="Normal"/>
    <w:link w:val="Heading1Char"/>
    <w:uiPriority w:val="9"/>
    <w:qFormat/>
    <w:rsid w:val="001531D6"/>
    <w:pPr>
      <w:keepNext/>
      <w:keepLines/>
      <w:numPr>
        <w:numId w:val="1"/>
      </w:numPr>
      <w:pBdr>
        <w:bottom w:val="single" w:sz="4" w:space="1" w:color="auto"/>
      </w:pBdr>
      <w:spacing w:before="600" w:after="480" w:line="240" w:lineRule="auto"/>
      <w:outlineLvl w:val="0"/>
    </w:pPr>
    <w:rPr>
      <w:rFonts w:ascii="Franklin Gothic Medium" w:eastAsiaTheme="majorEastAsia" w:hAnsi="Franklin Gothic Medium" w:cstheme="majorBidi"/>
      <w:sz w:val="44"/>
      <w:szCs w:val="32"/>
    </w:rPr>
  </w:style>
  <w:style w:type="paragraph" w:styleId="Heading2">
    <w:name w:val="heading 2"/>
    <w:basedOn w:val="Normal"/>
    <w:next w:val="Normal"/>
    <w:link w:val="Heading2Char"/>
    <w:uiPriority w:val="9"/>
    <w:unhideWhenUsed/>
    <w:qFormat/>
    <w:rsid w:val="001531D6"/>
    <w:pPr>
      <w:keepNext/>
      <w:keepLines/>
      <w:numPr>
        <w:ilvl w:val="1"/>
        <w:numId w:val="1"/>
      </w:numPr>
      <w:spacing w:before="360" w:after="24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Normal"/>
    <w:next w:val="Normal"/>
    <w:link w:val="Heading3Char"/>
    <w:uiPriority w:val="9"/>
    <w:unhideWhenUsed/>
    <w:qFormat/>
    <w:rsid w:val="005103C5"/>
    <w:pPr>
      <w:keepNext/>
      <w:keepLines/>
      <w:tabs>
        <w:tab w:val="left" w:pos="851"/>
      </w:tabs>
      <w:spacing w:before="360" w:after="200" w:line="240" w:lineRule="auto"/>
      <w:outlineLvl w:val="2"/>
    </w:pPr>
    <w:rPr>
      <w:rFonts w:ascii="Franklin Gothic Medium" w:eastAsiaTheme="majorEastAsia" w:hAnsi="Franklin Gothic Medium" w:cstheme="majorBidi"/>
      <w:sz w:val="24"/>
      <w:szCs w:val="24"/>
    </w:rPr>
  </w:style>
  <w:style w:type="paragraph" w:styleId="Heading4">
    <w:name w:val="heading 4"/>
    <w:basedOn w:val="Heading3"/>
    <w:next w:val="Normal"/>
    <w:link w:val="Heading4Char"/>
    <w:uiPriority w:val="9"/>
    <w:unhideWhenUsed/>
    <w:qFormat/>
    <w:rsid w:val="00A776A4"/>
    <w:pPr>
      <w:outlineLvl w:val="3"/>
    </w:pPr>
    <w:rPr>
      <w:i/>
    </w:rPr>
  </w:style>
  <w:style w:type="paragraph" w:styleId="Heading5">
    <w:name w:val="heading 5"/>
    <w:basedOn w:val="Normal"/>
    <w:next w:val="Normal"/>
    <w:link w:val="Heading5Char"/>
    <w:uiPriority w:val="9"/>
    <w:unhideWhenUsed/>
    <w:qFormat/>
    <w:rsid w:val="00E86EC9"/>
    <w:pPr>
      <w:keepNext/>
      <w:keepLines/>
      <w:spacing w:before="40" w:after="0"/>
      <w:outlineLvl w:val="4"/>
    </w:pPr>
    <w:rPr>
      <w:rFonts w:eastAsiaTheme="majorEastAsia" w:cstheme="majorBidi"/>
      <w:b/>
    </w:rPr>
  </w:style>
  <w:style w:type="paragraph" w:styleId="Heading6">
    <w:name w:val="heading 6"/>
    <w:basedOn w:val="Normal"/>
    <w:next w:val="Normal"/>
    <w:link w:val="Heading6Char"/>
    <w:uiPriority w:val="9"/>
    <w:unhideWhenUsed/>
    <w:qFormat/>
    <w:rsid w:val="00BB1D0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link w:val="TableTextChar"/>
    <w:qFormat/>
    <w:rsid w:val="003E7773"/>
    <w:pPr>
      <w:spacing w:before="40" w:after="40" w:line="240" w:lineRule="auto"/>
    </w:pPr>
    <w:rPr>
      <w:rFonts w:ascii="Arial Narrow" w:hAnsi="Arial Narrow"/>
      <w:sz w:val="20"/>
    </w:rPr>
  </w:style>
  <w:style w:type="paragraph" w:customStyle="1" w:styleId="TableHeading">
    <w:name w:val="TableHeading"/>
    <w:basedOn w:val="Normal"/>
    <w:link w:val="TableHeadingChar"/>
    <w:qFormat/>
    <w:rsid w:val="00B151CF"/>
    <w:pPr>
      <w:keepNext/>
      <w:spacing w:after="60" w:line="240" w:lineRule="auto"/>
    </w:pPr>
    <w:rPr>
      <w:rFonts w:ascii="Arial Narrow" w:hAnsi="Arial Narrow"/>
      <w:b/>
      <w:sz w:val="20"/>
    </w:rPr>
  </w:style>
  <w:style w:type="paragraph" w:styleId="CommentText">
    <w:name w:val="annotation text"/>
    <w:basedOn w:val="Normal"/>
    <w:link w:val="CommentTextChar"/>
    <w:uiPriority w:val="99"/>
    <w:unhideWhenUsed/>
    <w:rsid w:val="003E7773"/>
    <w:pPr>
      <w:spacing w:after="240" w:line="240" w:lineRule="auto"/>
    </w:pPr>
    <w:rPr>
      <w:rFonts w:ascii="Calibri" w:eastAsia="Times New Roman" w:hAnsi="Calibri" w:cs="Times New Roman"/>
      <w:color w:val="000000"/>
      <w:szCs w:val="24"/>
      <w:lang w:eastAsia="en-AU"/>
    </w:rPr>
  </w:style>
  <w:style w:type="character" w:customStyle="1" w:styleId="CommentTextChar">
    <w:name w:val="Comment Text Char"/>
    <w:basedOn w:val="DefaultParagraphFont"/>
    <w:link w:val="CommentText"/>
    <w:uiPriority w:val="99"/>
    <w:rsid w:val="003E7773"/>
    <w:rPr>
      <w:rFonts w:ascii="Calibri" w:eastAsia="Times New Roman" w:hAnsi="Calibri" w:cs="Times New Roman"/>
      <w:color w:val="000000"/>
      <w:szCs w:val="24"/>
      <w:lang w:eastAsia="en-AU"/>
    </w:rPr>
  </w:style>
  <w:style w:type="character" w:styleId="CommentReference">
    <w:name w:val="annotation reference"/>
    <w:aliases w:val="Table Title"/>
    <w:basedOn w:val="DefaultParagraphFont"/>
    <w:uiPriority w:val="99"/>
    <w:unhideWhenUsed/>
    <w:qFormat/>
    <w:rsid w:val="003E7773"/>
    <w:rPr>
      <w:sz w:val="16"/>
      <w:szCs w:val="16"/>
    </w:rPr>
  </w:style>
  <w:style w:type="character" w:customStyle="1" w:styleId="TableTextChar">
    <w:name w:val="Table Text Char"/>
    <w:basedOn w:val="DefaultParagraphFont"/>
    <w:link w:val="TableText"/>
    <w:rsid w:val="003E7773"/>
    <w:rPr>
      <w:rFonts w:ascii="Arial Narrow" w:hAnsi="Arial Narrow"/>
      <w:sz w:val="20"/>
    </w:rPr>
  </w:style>
  <w:style w:type="character" w:customStyle="1" w:styleId="TableHeadingChar">
    <w:name w:val="TableHeading Char"/>
    <w:link w:val="TableHeading"/>
    <w:rsid w:val="00B151CF"/>
    <w:rPr>
      <w:rFonts w:ascii="Arial Narrow" w:hAnsi="Arial Narrow"/>
      <w:b/>
      <w:sz w:val="20"/>
    </w:rPr>
  </w:style>
  <w:style w:type="paragraph" w:styleId="BalloonText">
    <w:name w:val="Balloon Text"/>
    <w:basedOn w:val="Normal"/>
    <w:link w:val="BalloonTextChar"/>
    <w:uiPriority w:val="99"/>
    <w:semiHidden/>
    <w:unhideWhenUsed/>
    <w:rsid w:val="003E7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77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7773"/>
    <w:pPr>
      <w:spacing w:after="160"/>
    </w:pPr>
    <w:rPr>
      <w:rFonts w:asciiTheme="minorHAnsi" w:eastAsiaTheme="minorHAnsi" w:hAnsiTheme="minorHAnsi" w:cstheme="minorBidi"/>
      <w:b/>
      <w:bCs/>
      <w:color w:val="auto"/>
      <w:sz w:val="20"/>
      <w:szCs w:val="20"/>
      <w:lang w:eastAsia="en-US"/>
    </w:rPr>
  </w:style>
  <w:style w:type="character" w:customStyle="1" w:styleId="CommentSubjectChar">
    <w:name w:val="Comment Subject Char"/>
    <w:basedOn w:val="CommentTextChar"/>
    <w:link w:val="CommentSubject"/>
    <w:uiPriority w:val="99"/>
    <w:semiHidden/>
    <w:rsid w:val="003E7773"/>
    <w:rPr>
      <w:rFonts w:ascii="Calibri" w:eastAsia="Times New Roman" w:hAnsi="Calibri" w:cs="Times New Roman"/>
      <w:b/>
      <w:bCs/>
      <w:color w:val="000000"/>
      <w:sz w:val="20"/>
      <w:szCs w:val="20"/>
      <w:lang w:eastAsia="en-AU"/>
    </w:rPr>
  </w:style>
  <w:style w:type="character" w:customStyle="1" w:styleId="Heading1Char">
    <w:name w:val="Heading 1 Char"/>
    <w:basedOn w:val="DefaultParagraphFont"/>
    <w:link w:val="Heading1"/>
    <w:uiPriority w:val="9"/>
    <w:rsid w:val="001531D6"/>
    <w:rPr>
      <w:rFonts w:ascii="Franklin Gothic Medium" w:eastAsiaTheme="majorEastAsia" w:hAnsi="Franklin Gothic Medium" w:cstheme="majorBidi"/>
      <w:sz w:val="44"/>
      <w:szCs w:val="32"/>
    </w:rPr>
  </w:style>
  <w:style w:type="character" w:customStyle="1" w:styleId="Heading2Char">
    <w:name w:val="Heading 2 Char"/>
    <w:basedOn w:val="DefaultParagraphFont"/>
    <w:link w:val="Heading2"/>
    <w:uiPriority w:val="9"/>
    <w:rsid w:val="001531D6"/>
    <w:rPr>
      <w:rFonts w:ascii="Franklin Gothic Medium" w:eastAsiaTheme="majorEastAsia" w:hAnsi="Franklin Gothic Medium" w:cstheme="majorBidi"/>
      <w:color w:val="000000" w:themeColor="text1"/>
      <w:sz w:val="32"/>
      <w:szCs w:val="26"/>
    </w:rPr>
  </w:style>
  <w:style w:type="character" w:customStyle="1" w:styleId="Heading3Char">
    <w:name w:val="Heading 3 Char"/>
    <w:basedOn w:val="DefaultParagraphFont"/>
    <w:link w:val="Heading3"/>
    <w:uiPriority w:val="9"/>
    <w:rsid w:val="005103C5"/>
    <w:rPr>
      <w:rFonts w:ascii="Franklin Gothic Medium" w:eastAsiaTheme="majorEastAsia" w:hAnsi="Franklin Gothic Medium" w:cstheme="majorBidi"/>
      <w:sz w:val="24"/>
      <w:szCs w:val="24"/>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qFormat/>
    <w:rsid w:val="009A06F4"/>
    <w:pPr>
      <w:keepNext/>
      <w:spacing w:before="360" w:after="120" w:line="240" w:lineRule="auto"/>
    </w:pPr>
    <w:rPr>
      <w:rFonts w:ascii="Arial Narrow" w:eastAsia="Times New Roman" w:hAnsi="Arial Narrow" w:cs="Times New Roman"/>
      <w:b/>
      <w:bCs/>
      <w:sz w:val="20"/>
      <w:szCs w:val="20"/>
    </w:rPr>
  </w:style>
  <w:style w:type="table" w:customStyle="1" w:styleId="TableGrid1">
    <w:name w:val="Table Grid1"/>
    <w:basedOn w:val="TableNormal"/>
    <w:next w:val="TableGrid"/>
    <w:locked/>
    <w:rsid w:val="00CA528A"/>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Bahnschrift SemiBold" w:hAnsi="Bahnschrift SemiBold"/>
        <w:b w:val="0"/>
        <w:sz w:val="20"/>
      </w:rPr>
    </w:tblStyle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rsid w:val="009A06F4"/>
    <w:rPr>
      <w:rFonts w:ascii="Arial Narrow" w:eastAsia="Times New Roman" w:hAnsi="Arial Narrow" w:cs="Times New Roman"/>
      <w:b/>
      <w:bCs/>
      <w:sz w:val="20"/>
      <w:szCs w:val="20"/>
    </w:rPr>
  </w:style>
  <w:style w:type="table" w:styleId="TableGrid">
    <w:name w:val="Table Grid"/>
    <w:aliases w:val="Summary box,Table Gridbeth,RTI AMCP Table,new style,ASD Table,HealthConsult,CMA Table Template,Conclusion box,Table Grid nm,PBAC table,HTAtableplain,MSD Table Grid,Dossier table,Summary Table,PHE Table Grid,Lash Style Table,Section 3- footnot"/>
    <w:basedOn w:val="TableNormal"/>
    <w:rsid w:val="00CA5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Note">
    <w:name w:val="TableFigNote"/>
    <w:basedOn w:val="Normal"/>
    <w:qFormat/>
    <w:rsid w:val="00CA528A"/>
    <w:pPr>
      <w:spacing w:after="360" w:line="240" w:lineRule="auto"/>
      <w:contextualSpacing/>
    </w:pPr>
    <w:rPr>
      <w:sz w:val="18"/>
    </w:rPr>
  </w:style>
  <w:style w:type="paragraph" w:styleId="ListParagraph">
    <w:name w:val="List Paragraph"/>
    <w:aliases w:val="Questions,List Paragraph1,Heading K,Figure_name,Numbered Indented Text,Bullet- First level,List NUmber,Listenabsatz1,lp1,List Paragraph11,Style 2,TOC style,List Paragraph2,List Paragraph Char Char,Number_1,SGLText List Paragraph,new"/>
    <w:basedOn w:val="Normal"/>
    <w:link w:val="ListParagraphChar"/>
    <w:uiPriority w:val="34"/>
    <w:qFormat/>
    <w:rsid w:val="00724F92"/>
    <w:pPr>
      <w:ind w:left="720"/>
      <w:contextualSpacing/>
    </w:pPr>
  </w:style>
  <w:style w:type="character" w:styleId="Strong">
    <w:name w:val="Strong"/>
    <w:basedOn w:val="DefaultParagraphFont"/>
    <w:uiPriority w:val="22"/>
    <w:qFormat/>
    <w:rsid w:val="00FD17BA"/>
    <w:rPr>
      <w:b/>
      <w:bCs/>
    </w:rPr>
  </w:style>
  <w:style w:type="paragraph" w:customStyle="1" w:styleId="TableName">
    <w:name w:val="TableName"/>
    <w:basedOn w:val="Normal"/>
    <w:qFormat/>
    <w:rsid w:val="00FD17BA"/>
    <w:pPr>
      <w:keepNext/>
      <w:spacing w:after="240" w:line="240" w:lineRule="auto"/>
      <w:ind w:left="1418" w:hanging="1418"/>
    </w:pPr>
    <w:rPr>
      <w:rFonts w:ascii="Franklin Gothic Medium" w:hAnsi="Franklin Gothic Medium"/>
    </w:rPr>
  </w:style>
  <w:style w:type="paragraph" w:customStyle="1" w:styleId="TableFigNoteHangingLast">
    <w:name w:val="TableFigNoteHanging Last"/>
    <w:basedOn w:val="TableFigNote"/>
    <w:qFormat/>
    <w:rsid w:val="00FD17BA"/>
    <w:pPr>
      <w:ind w:left="142" w:hanging="142"/>
    </w:pPr>
  </w:style>
  <w:style w:type="paragraph" w:customStyle="1" w:styleId="TableTextCA">
    <w:name w:val="Table Text CA"/>
    <w:basedOn w:val="TableText"/>
    <w:qFormat/>
    <w:rsid w:val="00FD17BA"/>
    <w:pPr>
      <w:jc w:val="center"/>
    </w:pPr>
  </w:style>
  <w:style w:type="paragraph" w:customStyle="1" w:styleId="TableHeadingCA">
    <w:name w:val="Table Heading CA"/>
    <w:basedOn w:val="TableHeading0"/>
    <w:qFormat/>
    <w:rsid w:val="00FD17BA"/>
    <w:pPr>
      <w:jc w:val="center"/>
    </w:pPr>
  </w:style>
  <w:style w:type="paragraph" w:customStyle="1" w:styleId="TableHeading0">
    <w:name w:val="Table Heading"/>
    <w:basedOn w:val="Normal"/>
    <w:qFormat/>
    <w:rsid w:val="00FD17BA"/>
    <w:pPr>
      <w:spacing w:after="60" w:line="240" w:lineRule="auto"/>
    </w:pPr>
    <w:rPr>
      <w:rFonts w:ascii="Arial Narrow" w:hAnsi="Arial Narrow"/>
      <w:b/>
      <w:sz w:val="20"/>
    </w:rPr>
  </w:style>
  <w:style w:type="paragraph" w:customStyle="1" w:styleId="TableFigNoteLast">
    <w:name w:val="TableFigNote Last"/>
    <w:basedOn w:val="TableFigNote"/>
    <w:qFormat/>
    <w:rsid w:val="00FD17BA"/>
  </w:style>
  <w:style w:type="character" w:customStyle="1" w:styleId="Heading4Char">
    <w:name w:val="Heading 4 Char"/>
    <w:basedOn w:val="DefaultParagraphFont"/>
    <w:link w:val="Heading4"/>
    <w:uiPriority w:val="9"/>
    <w:rsid w:val="00A776A4"/>
    <w:rPr>
      <w:rFonts w:ascii="Franklin Gothic Medium" w:eastAsiaTheme="majorEastAsia" w:hAnsi="Franklin Gothic Medium" w:cstheme="majorBidi"/>
      <w:i/>
      <w:sz w:val="24"/>
      <w:szCs w:val="24"/>
    </w:rPr>
  </w:style>
  <w:style w:type="paragraph" w:customStyle="1" w:styleId="2ChapterText">
    <w:name w:val="2ChapterText"/>
    <w:basedOn w:val="Normal"/>
    <w:qFormat/>
    <w:rsid w:val="00004F7F"/>
    <w:rPr>
      <w:shd w:val="clear" w:color="auto" w:fill="BDD6EE" w:themeFill="accent1" w:themeFillTint="66"/>
    </w:rPr>
  </w:style>
  <w:style w:type="paragraph" w:customStyle="1" w:styleId="1ExplanatoryText">
    <w:name w:val="1ExplanatoryText"/>
    <w:basedOn w:val="Normal"/>
    <w:qFormat/>
    <w:rsid w:val="00225833"/>
    <w:pPr>
      <w:shd w:val="clear" w:color="auto" w:fill="C5E0B3" w:themeFill="accent6" w:themeFillTint="66"/>
    </w:pPr>
  </w:style>
  <w:style w:type="character" w:styleId="Hyperlink">
    <w:name w:val="Hyperlink"/>
    <w:basedOn w:val="DefaultParagraphFont"/>
    <w:uiPriority w:val="99"/>
    <w:unhideWhenUsed/>
    <w:rsid w:val="00997BA8"/>
    <w:rPr>
      <w:color w:val="0070C0"/>
      <w:u w:val="single"/>
    </w:rPr>
  </w:style>
  <w:style w:type="paragraph" w:styleId="TOC1">
    <w:name w:val="toc 1"/>
    <w:basedOn w:val="Normal"/>
    <w:next w:val="Normal"/>
    <w:autoRedefine/>
    <w:uiPriority w:val="39"/>
    <w:unhideWhenUsed/>
    <w:rsid w:val="00E77BEE"/>
    <w:pPr>
      <w:tabs>
        <w:tab w:val="left" w:pos="1100"/>
        <w:tab w:val="left" w:pos="1531"/>
        <w:tab w:val="left" w:pos="1918"/>
      </w:tabs>
      <w:spacing w:after="100" w:line="240" w:lineRule="auto"/>
    </w:pPr>
    <w:rPr>
      <w:rFonts w:ascii="Arial" w:hAnsi="Arial" w:cs="Arial"/>
      <w:b/>
      <w:bCs/>
      <w:noProof/>
    </w:rPr>
  </w:style>
  <w:style w:type="paragraph" w:styleId="TOC2">
    <w:name w:val="toc 2"/>
    <w:basedOn w:val="Normal"/>
    <w:next w:val="Normal"/>
    <w:autoRedefine/>
    <w:uiPriority w:val="39"/>
    <w:unhideWhenUsed/>
    <w:rsid w:val="006D350C"/>
    <w:pPr>
      <w:tabs>
        <w:tab w:val="left" w:pos="993"/>
        <w:tab w:val="right" w:leader="dot" w:pos="9010"/>
      </w:tabs>
      <w:spacing w:after="100" w:line="240" w:lineRule="auto"/>
    </w:pPr>
    <w:rPr>
      <w:rFonts w:asciiTheme="minorHAnsi" w:hAnsiTheme="minorHAnsi"/>
    </w:rPr>
  </w:style>
  <w:style w:type="paragraph" w:styleId="TOC3">
    <w:name w:val="toc 3"/>
    <w:basedOn w:val="Normal"/>
    <w:next w:val="Normal"/>
    <w:autoRedefine/>
    <w:uiPriority w:val="39"/>
    <w:unhideWhenUsed/>
    <w:rsid w:val="0088445B"/>
    <w:pPr>
      <w:spacing w:after="100" w:line="240" w:lineRule="auto"/>
      <w:ind w:left="720"/>
    </w:pPr>
    <w:rPr>
      <w:rFonts w:asciiTheme="minorHAnsi" w:hAnsiTheme="minorHAnsi"/>
    </w:rPr>
  </w:style>
  <w:style w:type="character" w:styleId="FollowedHyperlink">
    <w:name w:val="FollowedHyperlink"/>
    <w:basedOn w:val="DefaultParagraphFont"/>
    <w:uiPriority w:val="99"/>
    <w:semiHidden/>
    <w:unhideWhenUsed/>
    <w:rsid w:val="0088445B"/>
    <w:rPr>
      <w:color w:val="954F72" w:themeColor="followedHyperlink"/>
      <w:u w:val="single"/>
    </w:rPr>
  </w:style>
  <w:style w:type="paragraph" w:styleId="TOC9">
    <w:name w:val="toc 9"/>
    <w:basedOn w:val="Normal"/>
    <w:next w:val="Normal"/>
    <w:autoRedefine/>
    <w:uiPriority w:val="39"/>
    <w:unhideWhenUsed/>
    <w:rsid w:val="00AF3D39"/>
    <w:pPr>
      <w:spacing w:after="100"/>
      <w:ind w:left="1760"/>
    </w:pPr>
  </w:style>
  <w:style w:type="paragraph" w:styleId="Date">
    <w:name w:val="Date"/>
    <w:basedOn w:val="Normal"/>
    <w:next w:val="Normal"/>
    <w:link w:val="DateChar"/>
    <w:rsid w:val="000870B6"/>
    <w:pPr>
      <w:spacing w:before="1134" w:after="800"/>
      <w:ind w:left="4536"/>
    </w:pPr>
    <w:rPr>
      <w:rFonts w:ascii="Arial" w:eastAsia="Times New Roman" w:hAnsi="Arial" w:cs="Tahoma"/>
      <w:b/>
      <w:sz w:val="36"/>
      <w:lang w:eastAsia="en-AU"/>
    </w:rPr>
  </w:style>
  <w:style w:type="character" w:customStyle="1" w:styleId="DateChar">
    <w:name w:val="Date Char"/>
    <w:basedOn w:val="DefaultParagraphFont"/>
    <w:link w:val="Date"/>
    <w:rsid w:val="000870B6"/>
    <w:rPr>
      <w:rFonts w:ascii="Arial" w:eastAsia="Times New Roman" w:hAnsi="Arial" w:cs="Tahoma"/>
      <w:b/>
      <w:sz w:val="36"/>
      <w:lang w:eastAsia="en-AU"/>
    </w:rPr>
  </w:style>
  <w:style w:type="paragraph" w:customStyle="1" w:styleId="PublicationTitle">
    <w:name w:val="PublicationTitle"/>
    <w:basedOn w:val="Normal"/>
    <w:rsid w:val="000870B6"/>
    <w:pPr>
      <w:tabs>
        <w:tab w:val="left" w:pos="4536"/>
      </w:tabs>
      <w:spacing w:before="4536" w:after="800" w:line="480" w:lineRule="exact"/>
      <w:ind w:left="4536" w:right="113"/>
      <w:jc w:val="right"/>
    </w:pPr>
    <w:rPr>
      <w:rFonts w:ascii="Arial" w:eastAsia="Times New Roman" w:hAnsi="Arial" w:cs="Tahoma"/>
      <w:b/>
      <w:i/>
      <w:sz w:val="44"/>
      <w:lang w:eastAsia="en-AU"/>
    </w:rPr>
  </w:style>
  <w:style w:type="paragraph" w:customStyle="1" w:styleId="Sub-title">
    <w:name w:val="Sub-title"/>
    <w:basedOn w:val="Normal"/>
    <w:locked/>
    <w:rsid w:val="00401DBF"/>
    <w:pPr>
      <w:spacing w:before="1701"/>
      <w:ind w:left="4536"/>
    </w:pPr>
    <w:rPr>
      <w:rFonts w:ascii="Arial" w:eastAsia="Times New Roman" w:hAnsi="Arial" w:cs="Tahoma"/>
      <w:b/>
      <w:sz w:val="32"/>
      <w:lang w:eastAsia="en-AU"/>
    </w:rPr>
  </w:style>
  <w:style w:type="paragraph" w:customStyle="1" w:styleId="Nnumberedlist">
    <w:name w:val="Nnumbered list"/>
    <w:basedOn w:val="Normal"/>
    <w:rsid w:val="00AF3D39"/>
    <w:pPr>
      <w:numPr>
        <w:numId w:val="2"/>
      </w:numPr>
      <w:jc w:val="both"/>
    </w:pPr>
    <w:rPr>
      <w:rFonts w:ascii="Calibri" w:eastAsia="Times New Roman" w:hAnsi="Calibri" w:cs="Tahoma"/>
      <w:lang w:eastAsia="en-AU"/>
    </w:rPr>
  </w:style>
  <w:style w:type="paragraph" w:styleId="TOCHeading">
    <w:name w:val="TOC Heading"/>
    <w:basedOn w:val="Heading1"/>
    <w:next w:val="Normal"/>
    <w:uiPriority w:val="39"/>
    <w:unhideWhenUsed/>
    <w:qFormat/>
    <w:rsid w:val="00DE7099"/>
    <w:pPr>
      <w:numPr>
        <w:numId w:val="0"/>
      </w:numPr>
      <w:pBdr>
        <w:bottom w:val="none" w:sz="0" w:space="0" w:color="auto"/>
      </w:pBdr>
      <w:spacing w:before="240" w:after="0" w:line="259" w:lineRule="auto"/>
      <w:outlineLvl w:val="9"/>
    </w:pPr>
    <w:rPr>
      <w:rFonts w:asciiTheme="majorHAnsi" w:hAnsiTheme="majorHAnsi"/>
      <w:color w:val="2E74B5" w:themeColor="accent1" w:themeShade="BF"/>
      <w:sz w:val="32"/>
      <w:lang w:val="en-US"/>
    </w:rPr>
  </w:style>
  <w:style w:type="paragraph" w:styleId="TOC4">
    <w:name w:val="toc 4"/>
    <w:basedOn w:val="Normal"/>
    <w:next w:val="Normal"/>
    <w:autoRedefine/>
    <w:uiPriority w:val="39"/>
    <w:unhideWhenUsed/>
    <w:rsid w:val="00DE7099"/>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DE7099"/>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E7099"/>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E7099"/>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E7099"/>
    <w:pPr>
      <w:spacing w:after="100"/>
      <w:ind w:left="1540"/>
    </w:pPr>
    <w:rPr>
      <w:rFonts w:asciiTheme="minorHAnsi" w:eastAsiaTheme="minorEastAsia" w:hAnsiTheme="minorHAnsi"/>
      <w:lang w:eastAsia="en-AU"/>
    </w:rPr>
  </w:style>
  <w:style w:type="paragraph" w:customStyle="1" w:styleId="In-tableHeading">
    <w:name w:val="In-table Heading"/>
    <w:qFormat/>
    <w:rsid w:val="000472D4"/>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Footer">
    <w:name w:val="Table/Figure Footer"/>
    <w:basedOn w:val="Normal"/>
    <w:link w:val="TableFigureFooterChar"/>
    <w:qFormat/>
    <w:rsid w:val="009A06F4"/>
    <w:pPr>
      <w:tabs>
        <w:tab w:val="left" w:pos="284"/>
      </w:tabs>
      <w:spacing w:after="360" w:line="240" w:lineRule="auto"/>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9A06F4"/>
    <w:rPr>
      <w:rFonts w:ascii="Arial Narrow" w:eastAsia="Times New Roman" w:hAnsi="Arial Narrow" w:cs="Arial"/>
      <w:snapToGrid w:val="0"/>
      <w:sz w:val="18"/>
      <w:lang w:eastAsia="en-AU"/>
    </w:rPr>
  </w:style>
  <w:style w:type="character" w:styleId="Emphasis">
    <w:name w:val="Emphasis"/>
    <w:uiPriority w:val="20"/>
    <w:qFormat/>
    <w:rsid w:val="00566298"/>
    <w:rPr>
      <w:i/>
      <w:iCs/>
    </w:rPr>
  </w:style>
  <w:style w:type="paragraph" w:styleId="Header">
    <w:name w:val="header"/>
    <w:basedOn w:val="Normal"/>
    <w:link w:val="HeaderChar"/>
    <w:uiPriority w:val="99"/>
    <w:unhideWhenUsed/>
    <w:rsid w:val="00B62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DF2"/>
    <w:rPr>
      <w:rFonts w:ascii="Franklin Gothic Book" w:hAnsi="Franklin Gothic Book"/>
    </w:rPr>
  </w:style>
  <w:style w:type="paragraph" w:styleId="Footer">
    <w:name w:val="footer"/>
    <w:basedOn w:val="Normal"/>
    <w:link w:val="FooterChar"/>
    <w:uiPriority w:val="99"/>
    <w:unhideWhenUsed/>
    <w:rsid w:val="00B62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DF2"/>
    <w:rPr>
      <w:rFonts w:ascii="Franklin Gothic Book" w:hAnsi="Franklin Gothic Book"/>
    </w:rPr>
  </w:style>
  <w:style w:type="paragraph" w:customStyle="1" w:styleId="Tablenotes">
    <w:name w:val="Tablenotes"/>
    <w:basedOn w:val="Normal"/>
    <w:link w:val="TablenotesChar"/>
    <w:qFormat/>
    <w:rsid w:val="00242F4E"/>
    <w:pPr>
      <w:widowControl w:val="0"/>
      <w:spacing w:after="120" w:line="240" w:lineRule="auto"/>
      <w:contextualSpacing/>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242F4E"/>
    <w:rPr>
      <w:rFonts w:ascii="Arial Narrow" w:eastAsia="Times New Roman" w:hAnsi="Arial Narrow" w:cs="Arial"/>
      <w:snapToGrid w:val="0"/>
      <w:sz w:val="18"/>
      <w:szCs w:val="20"/>
    </w:rPr>
  </w:style>
  <w:style w:type="character" w:customStyle="1" w:styleId="ListParagraphChar">
    <w:name w:val="List Paragraph Char"/>
    <w:aliases w:val="Questions Char,List Paragraph1 Char,Heading K Char,Figure_name Char,Numbered Indented Text Char,Bullet- First level Char,List NUmber Char,Listenabsatz1 Char,lp1 Char,List Paragraph11 Char,Style 2 Char,TOC style Char,Number_1 Char"/>
    <w:basedOn w:val="DefaultParagraphFont"/>
    <w:link w:val="ListParagraph"/>
    <w:uiPriority w:val="34"/>
    <w:qFormat/>
    <w:rsid w:val="00A454B3"/>
    <w:rPr>
      <w:rFonts w:ascii="Franklin Gothic Book" w:hAnsi="Franklin Gothic Book"/>
    </w:rPr>
  </w:style>
  <w:style w:type="table" w:customStyle="1" w:styleId="TableGridLight1">
    <w:name w:val="Table Grid Light1"/>
    <w:basedOn w:val="TableNormal"/>
    <w:uiPriority w:val="40"/>
    <w:rsid w:val="00BA59FB"/>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customStyle="1" w:styleId="Bullet">
    <w:name w:val="Bullet"/>
    <w:basedOn w:val="Normal"/>
    <w:qFormat/>
    <w:rsid w:val="00BA59FB"/>
    <w:pPr>
      <w:numPr>
        <w:numId w:val="3"/>
      </w:numPr>
      <w:spacing w:after="120" w:line="240" w:lineRule="auto"/>
    </w:pPr>
    <w:rPr>
      <w:rFonts w:asciiTheme="minorHAnsi" w:hAnsiTheme="minorHAnsi"/>
    </w:rPr>
  </w:style>
  <w:style w:type="paragraph" w:customStyle="1" w:styleId="TableFigureHeading">
    <w:name w:val="Table/Figure Heading"/>
    <w:next w:val="In-tableHeading"/>
    <w:link w:val="TableFigureHeadingChar"/>
    <w:qFormat/>
    <w:rsid w:val="00F257B5"/>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257B5"/>
    <w:rPr>
      <w:rFonts w:ascii="Arial Narrow" w:eastAsiaTheme="majorEastAsia" w:hAnsi="Arial Narrow" w:cstheme="majorBidi"/>
      <w:b/>
      <w:bCs/>
      <w:sz w:val="20"/>
      <w:szCs w:val="24"/>
      <w:lang w:eastAsia="en-AU"/>
    </w:rPr>
  </w:style>
  <w:style w:type="paragraph" w:customStyle="1" w:styleId="Tabletext0">
    <w:name w:val="Table text"/>
    <w:basedOn w:val="Normal"/>
    <w:link w:val="TabletextChar0"/>
    <w:qFormat/>
    <w:rsid w:val="001B2CD4"/>
    <w:pPr>
      <w:spacing w:before="40" w:after="40" w:line="240" w:lineRule="auto"/>
      <w:jc w:val="both"/>
    </w:pPr>
    <w:rPr>
      <w:rFonts w:ascii="Arial Narrow" w:eastAsia="Times New Roman" w:hAnsi="Arial Narrow" w:cs="Tahoma"/>
      <w:sz w:val="20"/>
      <w:szCs w:val="20"/>
      <w:lang w:eastAsia="en-AU"/>
    </w:rPr>
  </w:style>
  <w:style w:type="character" w:customStyle="1" w:styleId="TabletextChar0">
    <w:name w:val="Table text Char"/>
    <w:link w:val="Tabletext0"/>
    <w:rsid w:val="001B2CD4"/>
    <w:rPr>
      <w:rFonts w:ascii="Arial Narrow" w:eastAsia="Times New Roman" w:hAnsi="Arial Narrow" w:cs="Tahoma"/>
      <w:sz w:val="20"/>
      <w:szCs w:val="20"/>
      <w:lang w:eastAsia="en-AU"/>
    </w:rPr>
  </w:style>
  <w:style w:type="paragraph" w:customStyle="1" w:styleId="Tablenotes0">
    <w:name w:val="Table notes"/>
    <w:basedOn w:val="Normal"/>
    <w:link w:val="TablenotesChar0"/>
    <w:qFormat/>
    <w:rsid w:val="001B2CD4"/>
    <w:pPr>
      <w:spacing w:after="240"/>
      <w:contextualSpacing/>
      <w:jc w:val="both"/>
    </w:pPr>
    <w:rPr>
      <w:rFonts w:ascii="Arial Narrow" w:hAnsi="Arial Narrow" w:cs="Arial"/>
      <w:sz w:val="18"/>
    </w:rPr>
  </w:style>
  <w:style w:type="character" w:customStyle="1" w:styleId="TablenotesChar0">
    <w:name w:val="Table notes Char"/>
    <w:basedOn w:val="DefaultParagraphFont"/>
    <w:link w:val="Tablenotes0"/>
    <w:rsid w:val="001B2CD4"/>
    <w:rPr>
      <w:rFonts w:ascii="Arial Narrow" w:hAnsi="Arial Narrow" w:cs="Arial"/>
      <w:sz w:val="18"/>
    </w:rPr>
  </w:style>
  <w:style w:type="numbering" w:customStyle="1" w:styleId="ESSectionheading-numbered">
    <w:name w:val="ES. Section heading - numbered"/>
    <w:uiPriority w:val="99"/>
    <w:rsid w:val="002A4084"/>
    <w:pPr>
      <w:numPr>
        <w:numId w:val="4"/>
      </w:numPr>
    </w:pPr>
  </w:style>
  <w:style w:type="paragraph" w:customStyle="1" w:styleId="2-SectionHeading">
    <w:name w:val="2-Section Heading"/>
    <w:qFormat/>
    <w:rsid w:val="005131D3"/>
    <w:pPr>
      <w:keepNext/>
      <w:numPr>
        <w:numId w:val="5"/>
      </w:numPr>
      <w:spacing w:before="240" w:after="120" w:line="240" w:lineRule="auto"/>
      <w:outlineLvl w:val="0"/>
    </w:pPr>
    <w:rPr>
      <w:rFonts w:eastAsia="Times New Roman" w:cs="Arial"/>
      <w:b/>
      <w:snapToGrid w:val="0"/>
      <w:sz w:val="32"/>
      <w:szCs w:val="32"/>
      <w:lang w:eastAsia="en-AU"/>
    </w:rPr>
  </w:style>
  <w:style w:type="paragraph" w:customStyle="1" w:styleId="3-BodyText">
    <w:name w:val="3-Body Text"/>
    <w:basedOn w:val="ListParagraph"/>
    <w:qFormat/>
    <w:rsid w:val="005131D3"/>
    <w:pPr>
      <w:numPr>
        <w:ilvl w:val="1"/>
        <w:numId w:val="5"/>
      </w:numPr>
      <w:spacing w:after="120" w:line="240" w:lineRule="auto"/>
      <w:contextualSpacing w:val="0"/>
      <w:jc w:val="both"/>
    </w:pPr>
    <w:rPr>
      <w:rFonts w:asciiTheme="minorHAnsi" w:eastAsia="Times New Roman" w:hAnsiTheme="minorHAnsi" w:cs="Arial"/>
      <w:snapToGrid w:val="0"/>
      <w:sz w:val="24"/>
      <w:szCs w:val="24"/>
      <w:lang w:eastAsia="en-AU"/>
    </w:rPr>
  </w:style>
  <w:style w:type="paragraph" w:customStyle="1" w:styleId="BoxName">
    <w:name w:val="Box Name"/>
    <w:basedOn w:val="Normal"/>
    <w:qFormat/>
    <w:rsid w:val="002B667C"/>
    <w:pPr>
      <w:pBdr>
        <w:top w:val="single" w:sz="4" w:space="4" w:color="auto"/>
        <w:left w:val="single" w:sz="4" w:space="4" w:color="auto"/>
        <w:bottom w:val="single" w:sz="4" w:space="4" w:color="auto"/>
        <w:right w:val="single" w:sz="4" w:space="4" w:color="auto"/>
      </w:pBdr>
      <w:spacing w:after="120" w:line="240" w:lineRule="auto"/>
    </w:pPr>
    <w:rPr>
      <w:rFonts w:ascii="Franklin Gothic Medium" w:hAnsi="Franklin Gothic Medium"/>
      <w:sz w:val="21"/>
    </w:rPr>
  </w:style>
  <w:style w:type="character" w:customStyle="1" w:styleId="InstructionBulletpointChar">
    <w:name w:val="Instruction Bullet point Char"/>
    <w:basedOn w:val="DefaultParagraphFont"/>
    <w:link w:val="InstructionBulletpoint"/>
    <w:uiPriority w:val="3"/>
    <w:locked/>
    <w:rsid w:val="00107DCD"/>
    <w:rPr>
      <w:rFonts w:ascii="Calibri" w:hAnsi="Calibri" w:cs="Calibri"/>
      <w:color w:val="0070C0"/>
      <w:sz w:val="24"/>
    </w:rPr>
  </w:style>
  <w:style w:type="paragraph" w:customStyle="1" w:styleId="InstructionBulletpoint">
    <w:name w:val="Instruction Bullet point"/>
    <w:basedOn w:val="Normal"/>
    <w:link w:val="InstructionBulletpointChar"/>
    <w:uiPriority w:val="3"/>
    <w:qFormat/>
    <w:rsid w:val="00107DCD"/>
    <w:pPr>
      <w:numPr>
        <w:numId w:val="6"/>
      </w:numPr>
      <w:spacing w:after="120" w:line="240" w:lineRule="auto"/>
      <w:ind w:left="714" w:hanging="357"/>
    </w:pPr>
    <w:rPr>
      <w:rFonts w:ascii="Calibri" w:hAnsi="Calibri" w:cs="Calibri"/>
      <w:color w:val="0070C0"/>
      <w:sz w:val="24"/>
    </w:rPr>
  </w:style>
  <w:style w:type="character" w:customStyle="1" w:styleId="TableFooterChar">
    <w:name w:val="Table Footer Char"/>
    <w:link w:val="TableFooter"/>
    <w:locked/>
    <w:rsid w:val="007B0880"/>
    <w:rPr>
      <w:rFonts w:ascii="Arial Narrow" w:eastAsia="Times New Roman" w:hAnsi="Arial Narrow" w:cs="Arial"/>
      <w:sz w:val="18"/>
      <w:szCs w:val="20"/>
    </w:rPr>
  </w:style>
  <w:style w:type="paragraph" w:customStyle="1" w:styleId="TableFooter">
    <w:name w:val="Table Footer"/>
    <w:basedOn w:val="Normal"/>
    <w:link w:val="TableFooterChar"/>
    <w:qFormat/>
    <w:rsid w:val="007B0880"/>
    <w:pPr>
      <w:widowControl w:val="0"/>
      <w:snapToGrid w:val="0"/>
      <w:spacing w:after="240" w:line="240" w:lineRule="auto"/>
      <w:contextualSpacing/>
      <w:jc w:val="both"/>
    </w:pPr>
    <w:rPr>
      <w:rFonts w:ascii="Arial Narrow" w:eastAsia="Times New Roman" w:hAnsi="Arial Narrow" w:cs="Arial"/>
      <w:sz w:val="18"/>
      <w:szCs w:val="20"/>
    </w:rPr>
  </w:style>
  <w:style w:type="table" w:customStyle="1" w:styleId="PBACTableStyle">
    <w:name w:val="PBAC Table Style"/>
    <w:basedOn w:val="TableGrid10"/>
    <w:uiPriority w:val="99"/>
    <w:rsid w:val="007B0880"/>
    <w:pPr>
      <w:widowControl w:val="0"/>
      <w:spacing w:before="120" w:after="0" w:line="240" w:lineRule="auto"/>
      <w:contextualSpacing/>
      <w:jc w:val="center"/>
    </w:pPr>
    <w:rPr>
      <w:rFonts w:ascii="Arial Narrow" w:hAnsi="Arial Narrow"/>
      <w:color w:val="000000" w:themeColor="text1"/>
      <w:sz w:val="20"/>
      <w:szCs w:val="20"/>
      <w:lang w:val="en-GB"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Arial Narrow" w:hAnsi="Arial Narrow"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Arial Narrow" w:hAnsi="Arial Narrow"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Arial Narrow" w:hAnsi="Arial Narrow" w:hint="default"/>
        <w:i/>
        <w:iCs/>
        <w:sz w:val="20"/>
        <w:szCs w:val="20"/>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7B08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MSACESParagraphChar">
    <w:name w:val="MSAC ES Paragraph Char"/>
    <w:basedOn w:val="DefaultParagraphFont"/>
    <w:link w:val="MSACESParagraph"/>
    <w:uiPriority w:val="1"/>
    <w:locked/>
    <w:rsid w:val="000B720C"/>
    <w:rPr>
      <w:rFonts w:ascii="Times New Roman" w:hAnsi="Times New Roman" w:cs="Times New Roman"/>
      <w:sz w:val="24"/>
    </w:rPr>
  </w:style>
  <w:style w:type="paragraph" w:customStyle="1" w:styleId="MSACESParagraph">
    <w:name w:val="MSAC ES Paragraph"/>
    <w:link w:val="MSACESParagraphChar"/>
    <w:uiPriority w:val="1"/>
    <w:qFormat/>
    <w:rsid w:val="000B720C"/>
    <w:pPr>
      <w:spacing w:after="240" w:line="240" w:lineRule="auto"/>
    </w:pPr>
    <w:rPr>
      <w:rFonts w:ascii="Times New Roman" w:hAnsi="Times New Roman" w:cs="Times New Roman"/>
      <w:sz w:val="24"/>
    </w:rPr>
  </w:style>
  <w:style w:type="paragraph" w:styleId="FootnoteText">
    <w:name w:val="footnote text"/>
    <w:basedOn w:val="Normal"/>
    <w:link w:val="FootnoteTextChar"/>
    <w:uiPriority w:val="99"/>
    <w:unhideWhenUsed/>
    <w:rsid w:val="00804632"/>
    <w:pPr>
      <w:spacing w:after="0" w:line="240" w:lineRule="auto"/>
    </w:pPr>
    <w:rPr>
      <w:rFonts w:asciiTheme="minorHAnsi" w:hAnsiTheme="minorHAnsi"/>
      <w:sz w:val="18"/>
      <w:szCs w:val="20"/>
    </w:rPr>
  </w:style>
  <w:style w:type="character" w:customStyle="1" w:styleId="FootnoteTextChar">
    <w:name w:val="Footnote Text Char"/>
    <w:basedOn w:val="DefaultParagraphFont"/>
    <w:link w:val="FootnoteText"/>
    <w:uiPriority w:val="99"/>
    <w:rsid w:val="00804632"/>
    <w:rPr>
      <w:sz w:val="18"/>
      <w:szCs w:val="20"/>
    </w:rPr>
  </w:style>
  <w:style w:type="character" w:styleId="FootnoteReference">
    <w:name w:val="footnote reference"/>
    <w:basedOn w:val="DefaultParagraphFont"/>
    <w:uiPriority w:val="99"/>
    <w:unhideWhenUsed/>
    <w:rsid w:val="00804632"/>
    <w:rPr>
      <w:vertAlign w:val="superscript"/>
    </w:rPr>
  </w:style>
  <w:style w:type="paragraph" w:customStyle="1" w:styleId="TableFigNoteHanging">
    <w:name w:val="TableFigNoteHanging"/>
    <w:basedOn w:val="TableFigNoteHangingLast"/>
    <w:qFormat/>
    <w:rsid w:val="00804632"/>
    <w:pPr>
      <w:spacing w:after="0"/>
      <w:contextualSpacing w:val="0"/>
    </w:pPr>
    <w:rPr>
      <w:rFonts w:asciiTheme="minorHAnsi" w:hAnsiTheme="minorHAnsi"/>
    </w:rPr>
  </w:style>
  <w:style w:type="table" w:customStyle="1" w:styleId="TableGrid2">
    <w:name w:val="Table Grid2"/>
    <w:basedOn w:val="TableNormal"/>
    <w:next w:val="TableGrid"/>
    <w:uiPriority w:val="59"/>
    <w:rsid w:val="00804632"/>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boxheading">
    <w:name w:val="Summary box heading"/>
    <w:basedOn w:val="Normal"/>
    <w:rsid w:val="00666A58"/>
    <w:pPr>
      <w:spacing w:after="100" w:afterAutospacing="1"/>
      <w:jc w:val="both"/>
    </w:pPr>
    <w:rPr>
      <w:rFonts w:ascii="Arial Narrow" w:eastAsia="Times New Roman" w:hAnsi="Arial Narrow" w:cs="Tahoma"/>
      <w:b/>
      <w:lang w:eastAsia="en-AU"/>
    </w:rPr>
  </w:style>
  <w:style w:type="paragraph" w:customStyle="1" w:styleId="TableText1">
    <w:name w:val="TableText"/>
    <w:basedOn w:val="Normal"/>
    <w:link w:val="TableTextChar1"/>
    <w:rsid w:val="001C2A48"/>
    <w:pPr>
      <w:keepNext/>
      <w:spacing w:before="40" w:after="40"/>
      <w:jc w:val="both"/>
    </w:pPr>
    <w:rPr>
      <w:rFonts w:ascii="Arial Narrow" w:eastAsia="Times New Roman" w:hAnsi="Arial Narrow" w:cs="Tahoma"/>
      <w:sz w:val="18"/>
      <w:lang w:eastAsia="en-AU"/>
    </w:rPr>
  </w:style>
  <w:style w:type="character" w:customStyle="1" w:styleId="TableTextChar1">
    <w:name w:val="TableText Char"/>
    <w:link w:val="TableText1"/>
    <w:rsid w:val="001C2A48"/>
    <w:rPr>
      <w:rFonts w:ascii="Arial Narrow" w:eastAsia="Times New Roman" w:hAnsi="Arial Narrow" w:cs="Tahoma"/>
      <w:sz w:val="18"/>
      <w:lang w:eastAsia="en-AU"/>
    </w:rPr>
  </w:style>
  <w:style w:type="paragraph" w:customStyle="1" w:styleId="References">
    <w:name w:val="References"/>
    <w:basedOn w:val="Normal"/>
    <w:rsid w:val="001C2A48"/>
    <w:pPr>
      <w:keepLines/>
      <w:spacing w:after="240" w:line="312" w:lineRule="auto"/>
      <w:ind w:left="1440" w:hanging="720"/>
    </w:pPr>
    <w:rPr>
      <w:rFonts w:ascii="Calibri" w:eastAsia="Times New Roman" w:hAnsi="Calibri" w:cs="Tahoma"/>
      <w:lang w:eastAsia="en-AU"/>
    </w:rPr>
  </w:style>
  <w:style w:type="paragraph" w:styleId="Title">
    <w:name w:val="Title"/>
    <w:basedOn w:val="Normal"/>
    <w:next w:val="Normal"/>
    <w:link w:val="TitleChar"/>
    <w:qFormat/>
    <w:rsid w:val="00772829"/>
    <w:pPr>
      <w:spacing w:before="480" w:after="240" w:line="240" w:lineRule="auto"/>
      <w:jc w:val="center"/>
    </w:pPr>
    <w:rPr>
      <w:rFonts w:ascii="Arial" w:eastAsia="Times New Roman" w:hAnsi="Arial" w:cs="Arial"/>
      <w:b/>
      <w:bCs/>
      <w:color w:val="000080"/>
      <w:sz w:val="36"/>
      <w:szCs w:val="36"/>
      <w:lang w:eastAsia="en-AU"/>
    </w:rPr>
  </w:style>
  <w:style w:type="character" w:customStyle="1" w:styleId="TitleChar">
    <w:name w:val="Title Char"/>
    <w:basedOn w:val="DefaultParagraphFont"/>
    <w:link w:val="Title"/>
    <w:rsid w:val="00772829"/>
    <w:rPr>
      <w:rFonts w:ascii="Arial" w:eastAsia="Times New Roman" w:hAnsi="Arial" w:cs="Arial"/>
      <w:b/>
      <w:bCs/>
      <w:color w:val="000080"/>
      <w:sz w:val="36"/>
      <w:szCs w:val="36"/>
      <w:lang w:eastAsia="en-AU"/>
    </w:rPr>
  </w:style>
  <w:style w:type="paragraph" w:styleId="Subtitle">
    <w:name w:val="Subtitle"/>
    <w:basedOn w:val="Normal"/>
    <w:next w:val="Normal"/>
    <w:link w:val="SubtitleChar"/>
    <w:qFormat/>
    <w:rsid w:val="00772829"/>
    <w:pPr>
      <w:spacing w:after="240" w:line="240" w:lineRule="auto"/>
      <w:jc w:val="center"/>
    </w:pPr>
    <w:rPr>
      <w:rFonts w:ascii="Arial" w:eastAsia="Times New Roman" w:hAnsi="Arial" w:cs="Arial"/>
      <w:b/>
      <w:bCs/>
      <w:i/>
      <w:color w:val="000080"/>
      <w:sz w:val="28"/>
      <w:szCs w:val="28"/>
      <w:lang w:eastAsia="en-AU"/>
    </w:rPr>
  </w:style>
  <w:style w:type="character" w:customStyle="1" w:styleId="SubtitleChar">
    <w:name w:val="Subtitle Char"/>
    <w:basedOn w:val="DefaultParagraphFont"/>
    <w:link w:val="Subtitle"/>
    <w:rsid w:val="00772829"/>
    <w:rPr>
      <w:rFonts w:ascii="Arial" w:eastAsia="Times New Roman" w:hAnsi="Arial" w:cs="Arial"/>
      <w:b/>
      <w:bCs/>
      <w:i/>
      <w:color w:val="000080"/>
      <w:sz w:val="28"/>
      <w:szCs w:val="28"/>
      <w:lang w:eastAsia="en-AU"/>
    </w:rPr>
  </w:style>
  <w:style w:type="paragraph" w:customStyle="1" w:styleId="ESHeading1">
    <w:name w:val="ES Heading1"/>
    <w:basedOn w:val="Heading2"/>
    <w:next w:val="Normal"/>
    <w:qFormat/>
    <w:rsid w:val="002C70CE"/>
    <w:pPr>
      <w:numPr>
        <w:ilvl w:val="0"/>
        <w:numId w:val="7"/>
      </w:numPr>
      <w:spacing w:before="240"/>
      <w:ind w:left="2154" w:hanging="357"/>
    </w:pPr>
  </w:style>
  <w:style w:type="paragraph" w:customStyle="1" w:styleId="NormalBeforeBullet">
    <w:name w:val="Normal Before Bullet"/>
    <w:basedOn w:val="Normal"/>
    <w:qFormat/>
    <w:rsid w:val="00091C59"/>
    <w:pPr>
      <w:keepNext/>
      <w:spacing w:after="120" w:line="240" w:lineRule="auto"/>
    </w:pPr>
    <w:rPr>
      <w:rFonts w:asciiTheme="minorHAnsi" w:hAnsiTheme="minorHAnsi"/>
    </w:rPr>
  </w:style>
  <w:style w:type="paragraph" w:customStyle="1" w:styleId="Dash">
    <w:name w:val="Dash"/>
    <w:basedOn w:val="Bullet"/>
    <w:qFormat/>
    <w:rsid w:val="00091C59"/>
    <w:pPr>
      <w:numPr>
        <w:numId w:val="8"/>
      </w:numPr>
      <w:spacing w:after="40"/>
      <w:ind w:left="714" w:hanging="357"/>
    </w:pPr>
  </w:style>
  <w:style w:type="paragraph" w:customStyle="1" w:styleId="Instructionaltext">
    <w:name w:val="Instructional text"/>
    <w:basedOn w:val="Normal"/>
    <w:link w:val="InstructionaltextChar"/>
    <w:qFormat/>
    <w:rsid w:val="00E436A2"/>
    <w:rPr>
      <w:color w:val="258221"/>
    </w:rPr>
  </w:style>
  <w:style w:type="character" w:customStyle="1" w:styleId="UnresolvedMention1">
    <w:name w:val="Unresolved Mention1"/>
    <w:basedOn w:val="DefaultParagraphFont"/>
    <w:uiPriority w:val="99"/>
    <w:semiHidden/>
    <w:unhideWhenUsed/>
    <w:rsid w:val="00997BA8"/>
    <w:rPr>
      <w:color w:val="605E5C"/>
      <w:shd w:val="clear" w:color="auto" w:fill="E1DFDD"/>
    </w:rPr>
  </w:style>
  <w:style w:type="character" w:customStyle="1" w:styleId="InstructionaltextChar">
    <w:name w:val="Instructional text Char"/>
    <w:basedOn w:val="DefaultParagraphFont"/>
    <w:link w:val="Instructionaltext"/>
    <w:rsid w:val="00DF39E9"/>
    <w:rPr>
      <w:rFonts w:ascii="Franklin Gothic Book" w:hAnsi="Franklin Gothic Book"/>
      <w:color w:val="258221"/>
    </w:rPr>
  </w:style>
  <w:style w:type="paragraph" w:customStyle="1" w:styleId="Instructionaltext-bullet">
    <w:name w:val="Instructional text - bullet"/>
    <w:basedOn w:val="Instructionaltext"/>
    <w:qFormat/>
    <w:rsid w:val="002463A6"/>
    <w:pPr>
      <w:numPr>
        <w:numId w:val="9"/>
      </w:numPr>
      <w:spacing w:before="0" w:after="0"/>
      <w:ind w:left="714" w:hanging="357"/>
    </w:pPr>
  </w:style>
  <w:style w:type="paragraph" w:customStyle="1" w:styleId="Instructionaltext-afterfiguretable">
    <w:name w:val="Instructional text - after figure/table"/>
    <w:basedOn w:val="Instructionaltext"/>
    <w:qFormat/>
    <w:rsid w:val="00B151CF"/>
    <w:pPr>
      <w:spacing w:before="360"/>
    </w:pPr>
  </w:style>
  <w:style w:type="paragraph" w:customStyle="1" w:styleId="Guidelinescross-ref">
    <w:name w:val="Guidelines cross-ref"/>
    <w:basedOn w:val="Normal"/>
    <w:qFormat/>
    <w:rsid w:val="005B7D6C"/>
    <w:pPr>
      <w:spacing w:before="240" w:after="240"/>
    </w:pPr>
    <w:rPr>
      <w:b/>
      <w:color w:val="0070C0"/>
      <w:sz w:val="24"/>
    </w:rPr>
  </w:style>
  <w:style w:type="paragraph" w:styleId="Revision">
    <w:name w:val="Revision"/>
    <w:hidden/>
    <w:uiPriority w:val="99"/>
    <w:semiHidden/>
    <w:rsid w:val="00610ABA"/>
    <w:pPr>
      <w:spacing w:after="0" w:line="240" w:lineRule="auto"/>
    </w:pPr>
    <w:rPr>
      <w:rFonts w:ascii="Franklin Gothic Book" w:hAnsi="Franklin Gothic Book"/>
    </w:rPr>
  </w:style>
  <w:style w:type="character" w:customStyle="1" w:styleId="UnresolvedMention2">
    <w:name w:val="Unresolved Mention2"/>
    <w:basedOn w:val="DefaultParagraphFont"/>
    <w:uiPriority w:val="99"/>
    <w:semiHidden/>
    <w:unhideWhenUsed/>
    <w:rsid w:val="00223664"/>
    <w:rPr>
      <w:color w:val="605E5C"/>
      <w:shd w:val="clear" w:color="auto" w:fill="E1DFDD"/>
    </w:rPr>
  </w:style>
  <w:style w:type="character" w:styleId="UnresolvedMention">
    <w:name w:val="Unresolved Mention"/>
    <w:basedOn w:val="DefaultParagraphFont"/>
    <w:uiPriority w:val="99"/>
    <w:semiHidden/>
    <w:unhideWhenUsed/>
    <w:rsid w:val="00D13865"/>
    <w:rPr>
      <w:color w:val="605E5C"/>
      <w:shd w:val="clear" w:color="auto" w:fill="E1DFDD"/>
    </w:rPr>
  </w:style>
  <w:style w:type="paragraph" w:customStyle="1" w:styleId="EndNoteBibliographyTitle">
    <w:name w:val="EndNote Bibliography Title"/>
    <w:basedOn w:val="Normal"/>
    <w:link w:val="EndNoteBibliographyTitleChar"/>
    <w:rsid w:val="00D86A05"/>
    <w:pPr>
      <w:spacing w:after="0"/>
      <w:jc w:val="center"/>
    </w:pPr>
    <w:rPr>
      <w:noProof/>
      <w:lang w:val="en-US"/>
    </w:rPr>
  </w:style>
  <w:style w:type="character" w:customStyle="1" w:styleId="EndNoteBibliographyTitleChar">
    <w:name w:val="EndNote Bibliography Title Char"/>
    <w:basedOn w:val="TableTextChar"/>
    <w:link w:val="EndNoteBibliographyTitle"/>
    <w:rsid w:val="00D86A05"/>
    <w:rPr>
      <w:rFonts w:ascii="Franklin Gothic Book" w:hAnsi="Franklin Gothic Book"/>
      <w:noProof/>
      <w:sz w:val="20"/>
      <w:lang w:val="en-US"/>
    </w:rPr>
  </w:style>
  <w:style w:type="paragraph" w:customStyle="1" w:styleId="EndNoteBibliography">
    <w:name w:val="EndNote Bibliography"/>
    <w:basedOn w:val="Normal"/>
    <w:link w:val="EndNoteBibliographyChar"/>
    <w:rsid w:val="00D86A05"/>
    <w:pPr>
      <w:spacing w:line="240" w:lineRule="auto"/>
    </w:pPr>
    <w:rPr>
      <w:noProof/>
      <w:lang w:val="en-US"/>
    </w:rPr>
  </w:style>
  <w:style w:type="character" w:customStyle="1" w:styleId="EndNoteBibliographyChar">
    <w:name w:val="EndNote Bibliography Char"/>
    <w:basedOn w:val="TableTextChar"/>
    <w:link w:val="EndNoteBibliography"/>
    <w:rsid w:val="00D86A05"/>
    <w:rPr>
      <w:rFonts w:ascii="Franklin Gothic Book" w:hAnsi="Franklin Gothic Book"/>
      <w:noProof/>
      <w:sz w:val="20"/>
      <w:lang w:val="en-US"/>
    </w:rPr>
  </w:style>
  <w:style w:type="table" w:customStyle="1" w:styleId="ASDTable1">
    <w:name w:val="ASD Table1"/>
    <w:basedOn w:val="TableNormal"/>
    <w:next w:val="TableGrid"/>
    <w:uiPriority w:val="39"/>
    <w:rsid w:val="004B16BE"/>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2">
    <w:name w:val="ASD Table2"/>
    <w:basedOn w:val="TableNormal"/>
    <w:next w:val="TableGrid"/>
    <w:uiPriority w:val="39"/>
    <w:rsid w:val="0071485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3">
    <w:name w:val="ASD Table3"/>
    <w:basedOn w:val="TableNormal"/>
    <w:next w:val="TableGrid"/>
    <w:uiPriority w:val="39"/>
    <w:rsid w:val="00767591"/>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4">
    <w:name w:val="ASD Table4"/>
    <w:basedOn w:val="TableNormal"/>
    <w:next w:val="TableGrid"/>
    <w:uiPriority w:val="39"/>
    <w:rsid w:val="00724AC6"/>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5">
    <w:name w:val="ASD Table5"/>
    <w:basedOn w:val="TableNormal"/>
    <w:next w:val="TableGrid"/>
    <w:uiPriority w:val="39"/>
    <w:rsid w:val="0023570A"/>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6">
    <w:name w:val="ASD Table6"/>
    <w:basedOn w:val="TableNormal"/>
    <w:next w:val="TableGrid"/>
    <w:uiPriority w:val="39"/>
    <w:rsid w:val="00E92B23"/>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7">
    <w:name w:val="ASD Table7"/>
    <w:basedOn w:val="TableNormal"/>
    <w:next w:val="TableGrid"/>
    <w:uiPriority w:val="39"/>
    <w:rsid w:val="00B07952"/>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8">
    <w:name w:val="ASD Table8"/>
    <w:basedOn w:val="TableNormal"/>
    <w:next w:val="TableGrid"/>
    <w:uiPriority w:val="39"/>
    <w:rsid w:val="009233F9"/>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4236B"/>
    <w:rPr>
      <w:color w:val="2B579A"/>
      <w:shd w:val="clear" w:color="auto" w:fill="E1DFDD"/>
    </w:rPr>
  </w:style>
  <w:style w:type="character" w:customStyle="1" w:styleId="wacimagecontainer">
    <w:name w:val="wacimagecontainer"/>
    <w:basedOn w:val="DefaultParagraphFont"/>
    <w:rsid w:val="00D400D1"/>
  </w:style>
  <w:style w:type="character" w:customStyle="1" w:styleId="Heading5Char">
    <w:name w:val="Heading 5 Char"/>
    <w:basedOn w:val="DefaultParagraphFont"/>
    <w:link w:val="Heading5"/>
    <w:uiPriority w:val="9"/>
    <w:rsid w:val="00C73EA6"/>
    <w:rPr>
      <w:rFonts w:ascii="Franklin Gothic Book" w:eastAsiaTheme="majorEastAsia" w:hAnsi="Franklin Gothic Book" w:cstheme="majorBidi"/>
      <w:b/>
    </w:rPr>
  </w:style>
  <w:style w:type="character" w:customStyle="1" w:styleId="Heading6Char">
    <w:name w:val="Heading 6 Char"/>
    <w:basedOn w:val="DefaultParagraphFont"/>
    <w:link w:val="Heading6"/>
    <w:uiPriority w:val="9"/>
    <w:rsid w:val="00BB1D05"/>
    <w:rPr>
      <w:rFonts w:asciiTheme="majorHAnsi" w:eastAsiaTheme="majorEastAsia" w:hAnsiTheme="majorHAnsi" w:cstheme="majorBidi"/>
      <w:color w:val="1F4D78" w:themeColor="accent1" w:themeShade="7F"/>
    </w:rPr>
  </w:style>
  <w:style w:type="paragraph" w:customStyle="1" w:styleId="VABodyText">
    <w:name w:val="VA: Body Text"/>
    <w:basedOn w:val="Normal"/>
    <w:qFormat/>
    <w:rsid w:val="004352F7"/>
    <w:pPr>
      <w:spacing w:before="0" w:after="240" w:line="240" w:lineRule="auto"/>
      <w:ind w:left="357"/>
    </w:pPr>
    <w:rPr>
      <w:rFonts w:asciiTheme="minorHAnsi" w:eastAsiaTheme="minorEastAsia" w:hAnsiTheme="minorHAnsi"/>
      <w:color w:val="A5A5A5" w:themeColor="accent3"/>
      <w:sz w:val="24"/>
      <w:szCs w:val="24"/>
      <w:lang w:val="en-GB"/>
    </w:rPr>
  </w:style>
  <w:style w:type="paragraph" w:customStyle="1" w:styleId="ADARbodytext">
    <w:name w:val="ADAR body text"/>
    <w:basedOn w:val="Normal"/>
    <w:link w:val="ADARbodytextChar"/>
    <w:qFormat/>
    <w:rsid w:val="00151E6C"/>
    <w:rPr>
      <w:rFonts w:asciiTheme="minorHAnsi" w:hAnsiTheme="minorHAnsi" w:cstheme="minorHAnsi"/>
    </w:rPr>
  </w:style>
  <w:style w:type="character" w:customStyle="1" w:styleId="ADARbodytextChar">
    <w:name w:val="ADAR body text Char"/>
    <w:basedOn w:val="DefaultParagraphFont"/>
    <w:link w:val="ADARbodytext"/>
    <w:rsid w:val="00151E6C"/>
    <w:rPr>
      <w:rFonts w:cstheme="minorHAnsi"/>
    </w:rPr>
  </w:style>
  <w:style w:type="paragraph" w:styleId="NormalWeb">
    <w:name w:val="Normal (Web)"/>
    <w:basedOn w:val="Normal"/>
    <w:uiPriority w:val="99"/>
    <w:semiHidden/>
    <w:unhideWhenUsed/>
    <w:rsid w:val="004B5C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VAHeading1">
    <w:name w:val="VA: Heading 1"/>
    <w:basedOn w:val="Heading1"/>
    <w:next w:val="Normal"/>
    <w:qFormat/>
    <w:rsid w:val="001E2607"/>
    <w:pPr>
      <w:keepNext w:val="0"/>
      <w:keepLines w:val="0"/>
      <w:pageBreakBefore/>
      <w:numPr>
        <w:numId w:val="13"/>
      </w:numPr>
      <w:pBdr>
        <w:bottom w:val="none" w:sz="0" w:space="0" w:color="auto"/>
      </w:pBdr>
      <w:spacing w:before="0" w:after="240"/>
    </w:pPr>
    <w:rPr>
      <w:rFonts w:ascii="Graebenbach" w:eastAsiaTheme="minorEastAsia" w:hAnsi="Graebenbach" w:cs="Graebenbach"/>
      <w:b/>
      <w:bCs/>
      <w:caps/>
      <w:noProof/>
      <w:color w:val="A5A5A5" w:themeColor="accent3"/>
      <w:spacing w:val="60"/>
      <w:sz w:val="40"/>
      <w:szCs w:val="40"/>
      <w:u w:val="single"/>
      <w:lang w:val="en-GB"/>
    </w:rPr>
  </w:style>
  <w:style w:type="paragraph" w:customStyle="1" w:styleId="VAHeading2">
    <w:name w:val="VA: Heading 2"/>
    <w:basedOn w:val="Heading2"/>
    <w:next w:val="Normal"/>
    <w:link w:val="VAHeading2Char"/>
    <w:qFormat/>
    <w:rsid w:val="001E2607"/>
    <w:pPr>
      <w:numPr>
        <w:numId w:val="13"/>
      </w:numPr>
      <w:spacing w:before="40" w:after="120"/>
    </w:pPr>
    <w:rPr>
      <w:rFonts w:ascii="Graebenbach" w:hAnsi="Graebenbach"/>
      <w:sz w:val="28"/>
      <w:lang w:val="en-GB"/>
    </w:rPr>
  </w:style>
  <w:style w:type="paragraph" w:customStyle="1" w:styleId="VAHeading3">
    <w:name w:val="VA: Heading 3"/>
    <w:basedOn w:val="Heading3"/>
    <w:next w:val="Normal"/>
    <w:qFormat/>
    <w:rsid w:val="001E2607"/>
    <w:pPr>
      <w:numPr>
        <w:ilvl w:val="2"/>
        <w:numId w:val="13"/>
      </w:numPr>
      <w:tabs>
        <w:tab w:val="clear" w:pos="851"/>
      </w:tabs>
      <w:spacing w:before="40" w:after="120"/>
    </w:pPr>
    <w:rPr>
      <w:rFonts w:ascii="Graebenbach" w:hAnsi="Graebenbach"/>
      <w:color w:val="1F4D78" w:themeColor="accent1" w:themeShade="7F"/>
      <w:lang w:val="en-GB"/>
    </w:rPr>
  </w:style>
  <w:style w:type="character" w:customStyle="1" w:styleId="VAHeading2Char">
    <w:name w:val="VA: Heading 2 Char"/>
    <w:basedOn w:val="Heading2Char"/>
    <w:link w:val="VAHeading2"/>
    <w:rsid w:val="008B4EE1"/>
    <w:rPr>
      <w:rFonts w:ascii="Graebenbach" w:eastAsiaTheme="majorEastAsia" w:hAnsi="Graebenbach" w:cstheme="majorBidi"/>
      <w:color w:val="000000" w:themeColor="text1"/>
      <w:sz w:val="28"/>
      <w:szCs w:val="26"/>
      <w:lang w:val="en-GB"/>
    </w:rPr>
  </w:style>
  <w:style w:type="paragraph" w:customStyle="1" w:styleId="VAHeading4">
    <w:name w:val="VA: Heading 4"/>
    <w:basedOn w:val="Heading4"/>
    <w:next w:val="Normal"/>
    <w:qFormat/>
    <w:rsid w:val="00604CC8"/>
    <w:pPr>
      <w:numPr>
        <w:ilvl w:val="3"/>
        <w:numId w:val="13"/>
      </w:numPr>
      <w:tabs>
        <w:tab w:val="clear" w:pos="851"/>
      </w:tabs>
      <w:spacing w:before="40" w:after="120"/>
    </w:pPr>
    <w:rPr>
      <w:rFonts w:ascii="Franklin Gothic Book" w:hAnsi="Franklin Gothic Book"/>
      <w:iCs/>
      <w:sz w:val="22"/>
      <w:lang w:val="en-GB"/>
    </w:rPr>
  </w:style>
  <w:style w:type="paragraph" w:customStyle="1" w:styleId="VAHeading5">
    <w:name w:val="VA: Heading 5"/>
    <w:basedOn w:val="Heading5"/>
    <w:next w:val="Normal"/>
    <w:qFormat/>
    <w:rsid w:val="008B4EE1"/>
    <w:pPr>
      <w:numPr>
        <w:ilvl w:val="4"/>
        <w:numId w:val="13"/>
      </w:numPr>
      <w:spacing w:after="120" w:line="240" w:lineRule="auto"/>
    </w:pPr>
    <w:rPr>
      <w:rFonts w:ascii="Graebenbach" w:hAnsi="Graebenbach"/>
      <w:i/>
      <w:sz w:val="24"/>
      <w:szCs w:val="24"/>
      <w:lang w:val="en-GB"/>
    </w:rPr>
  </w:style>
  <w:style w:type="character" w:customStyle="1" w:styleId="normaltextrun">
    <w:name w:val="normaltextrun"/>
    <w:basedOn w:val="DefaultParagraphFont"/>
    <w:rsid w:val="007D1A0E"/>
  </w:style>
  <w:style w:type="character" w:customStyle="1" w:styleId="ui-provider">
    <w:name w:val="ui-provider"/>
    <w:basedOn w:val="DefaultParagraphFont"/>
    <w:rsid w:val="00880DC9"/>
  </w:style>
  <w:style w:type="paragraph" w:styleId="DocumentMap">
    <w:name w:val="Document Map"/>
    <w:basedOn w:val="Normal"/>
    <w:link w:val="DocumentMapChar"/>
    <w:uiPriority w:val="99"/>
    <w:semiHidden/>
    <w:rsid w:val="00CC667C"/>
    <w:pPr>
      <w:shd w:val="clear" w:color="auto" w:fill="000080"/>
      <w:spacing w:before="0" w:after="0" w:line="240" w:lineRule="auto"/>
    </w:pPr>
    <w:rPr>
      <w:rFonts w:ascii="Tahoma" w:eastAsia="SimSun" w:hAnsi="Tahoma" w:cs="Tahoma"/>
      <w:sz w:val="24"/>
      <w:szCs w:val="20"/>
      <w:lang w:val="en-US"/>
    </w:rPr>
  </w:style>
  <w:style w:type="character" w:customStyle="1" w:styleId="DocumentMapChar">
    <w:name w:val="Document Map Char"/>
    <w:basedOn w:val="DefaultParagraphFont"/>
    <w:link w:val="DocumentMap"/>
    <w:uiPriority w:val="99"/>
    <w:semiHidden/>
    <w:rsid w:val="00CC667C"/>
    <w:rPr>
      <w:rFonts w:ascii="Tahoma" w:eastAsia="SimSun" w:hAnsi="Tahoma" w:cs="Tahoma"/>
      <w:sz w:val="24"/>
      <w:szCs w:val="20"/>
      <w:shd w:val="clear" w:color="auto" w:fill="000080"/>
      <w:lang w:val="en-US"/>
    </w:rPr>
  </w:style>
  <w:style w:type="paragraph" w:styleId="TableofFigures">
    <w:name w:val="table of figures"/>
    <w:basedOn w:val="Normal"/>
    <w:next w:val="Normal"/>
    <w:uiPriority w:val="99"/>
    <w:unhideWhenUsed/>
    <w:rsid w:val="00F27F88"/>
    <w:pPr>
      <w:spacing w:after="0"/>
    </w:pPr>
  </w:style>
  <w:style w:type="paragraph" w:customStyle="1" w:styleId="Numberedheading1">
    <w:name w:val="Numbered heading 1"/>
    <w:basedOn w:val="Heading1"/>
    <w:next w:val="Normal"/>
    <w:rsid w:val="005B71B0"/>
    <w:pPr>
      <w:keepLines w:val="0"/>
      <w:numPr>
        <w:ilvl w:val="3"/>
        <w:numId w:val="17"/>
      </w:numPr>
      <w:pBdr>
        <w:bottom w:val="none" w:sz="0" w:space="0" w:color="auto"/>
      </w:pBdr>
      <w:spacing w:before="240" w:after="120" w:line="360" w:lineRule="auto"/>
    </w:pPr>
    <w:rPr>
      <w:rFonts w:ascii="Arial" w:eastAsia="Times New Roman" w:hAnsi="Arial" w:cs="Arial"/>
      <w:b/>
      <w:bCs/>
      <w:kern w:val="32"/>
      <w:sz w:val="32"/>
      <w:szCs w:val="24"/>
      <w:lang w:val="en-US"/>
    </w:rPr>
  </w:style>
  <w:style w:type="paragraph" w:customStyle="1" w:styleId="Numberedlevel2text">
    <w:name w:val="Numbered level 2 text"/>
    <w:basedOn w:val="Normal"/>
    <w:link w:val="Numberedlevel2textChar"/>
    <w:qFormat/>
    <w:rsid w:val="005B71B0"/>
    <w:pPr>
      <w:numPr>
        <w:ilvl w:val="1"/>
        <w:numId w:val="17"/>
      </w:numPr>
      <w:spacing w:before="0" w:after="240" w:line="360" w:lineRule="auto"/>
    </w:pPr>
    <w:rPr>
      <w:rFonts w:ascii="Arial" w:eastAsia="Times New Roman" w:hAnsi="Arial" w:cs="Times New Roman"/>
      <w:bCs/>
      <w:iCs/>
      <w:sz w:val="24"/>
      <w:szCs w:val="28"/>
      <w:lang w:val="x-none"/>
    </w:rPr>
  </w:style>
  <w:style w:type="character" w:customStyle="1" w:styleId="Numberedlevel2textChar">
    <w:name w:val="Numbered level 2 text Char"/>
    <w:link w:val="Numberedlevel2text"/>
    <w:rsid w:val="005B71B0"/>
    <w:rPr>
      <w:rFonts w:ascii="Arial" w:eastAsia="Times New Roman" w:hAnsi="Arial" w:cs="Times New Roman"/>
      <w:bCs/>
      <w:iCs/>
      <w:sz w:val="24"/>
      <w:szCs w:val="28"/>
      <w:lang w:val="x-none"/>
    </w:rPr>
  </w:style>
  <w:style w:type="character" w:customStyle="1" w:styleId="eop">
    <w:name w:val="eop"/>
    <w:basedOn w:val="DefaultParagraphFont"/>
    <w:rsid w:val="005B71B0"/>
  </w:style>
  <w:style w:type="paragraph" w:customStyle="1" w:styleId="TableDotPoint">
    <w:name w:val="Table Dot Point"/>
    <w:basedOn w:val="TableText"/>
    <w:link w:val="TableDotPointChar"/>
    <w:qFormat/>
    <w:rsid w:val="00A863F4"/>
    <w:pPr>
      <w:numPr>
        <w:numId w:val="19"/>
      </w:numPr>
    </w:pPr>
    <w:rPr>
      <w:szCs w:val="18"/>
      <w:lang w:val="en-GB"/>
    </w:rPr>
  </w:style>
  <w:style w:type="character" w:customStyle="1" w:styleId="TableDotPointChar">
    <w:name w:val="Table Dot Point Char"/>
    <w:basedOn w:val="TableTextChar"/>
    <w:link w:val="TableDotPoint"/>
    <w:rsid w:val="00A863F4"/>
    <w:rPr>
      <w:rFonts w:ascii="Arial Narrow" w:hAnsi="Arial Narrow"/>
      <w:sz w:val="20"/>
      <w:szCs w:val="18"/>
      <w:lang w:val="en-GB"/>
    </w:rPr>
  </w:style>
  <w:style w:type="character" w:customStyle="1" w:styleId="cf01">
    <w:name w:val="cf01"/>
    <w:basedOn w:val="DefaultParagraphFont"/>
    <w:rsid w:val="000210FD"/>
    <w:rPr>
      <w:rFonts w:ascii="Segoe UI" w:hAnsi="Segoe UI" w:cs="Segoe UI" w:hint="default"/>
      <w:sz w:val="18"/>
      <w:szCs w:val="18"/>
      <w:u w:val="single"/>
    </w:rPr>
  </w:style>
  <w:style w:type="paragraph" w:customStyle="1" w:styleId="TableDash">
    <w:name w:val="TableDash"/>
    <w:basedOn w:val="TableText1"/>
    <w:rsid w:val="008150D8"/>
    <w:pPr>
      <w:numPr>
        <w:numId w:val="27"/>
      </w:numPr>
      <w:tabs>
        <w:tab w:val="num" w:pos="360"/>
        <w:tab w:val="num" w:pos="432"/>
      </w:tabs>
      <w:spacing w:before="60" w:after="60" w:line="240" w:lineRule="auto"/>
      <w:ind w:left="0" w:firstLine="0"/>
      <w:jc w:val="left"/>
    </w:pPr>
    <w:rPr>
      <w:rFonts w:ascii="Franklin Gothic Book" w:hAnsi="Franklin Gothic Book" w:cs="Times New Roman"/>
      <w:color w:val="000000"/>
      <w:sz w:val="21"/>
      <w:szCs w:val="21"/>
    </w:rPr>
  </w:style>
  <w:style w:type="character" w:styleId="SubtleReference">
    <w:name w:val="Subtle Reference"/>
    <w:basedOn w:val="DefaultParagraphFont"/>
    <w:uiPriority w:val="31"/>
    <w:qFormat/>
    <w:rsid w:val="00624BA7"/>
    <w:rPr>
      <w:smallCaps/>
      <w:color w:val="5A5A5A" w:themeColor="text1" w:themeTint="A5"/>
    </w:rPr>
  </w:style>
  <w:style w:type="paragraph" w:styleId="BodyText">
    <w:name w:val="Body Text"/>
    <w:basedOn w:val="Normal"/>
    <w:link w:val="BodyTextChar"/>
    <w:rsid w:val="001B421A"/>
    <w:pPr>
      <w:widowControl w:val="0"/>
      <w:spacing w:after="0" w:line="240" w:lineRule="auto"/>
      <w:jc w:val="both"/>
    </w:pPr>
    <w:rPr>
      <w:rFonts w:ascii="Book Antiqua" w:eastAsia="Times New Roman" w:hAnsi="Book Antiqua" w:cs="Times New Roman"/>
      <w:sz w:val="24"/>
      <w:szCs w:val="20"/>
    </w:rPr>
  </w:style>
  <w:style w:type="character" w:customStyle="1" w:styleId="BodyTextChar">
    <w:name w:val="Body Text Char"/>
    <w:basedOn w:val="DefaultParagraphFont"/>
    <w:link w:val="BodyText"/>
    <w:rsid w:val="001B421A"/>
    <w:rPr>
      <w:rFonts w:ascii="Book Antiqua" w:eastAsia="Times New Roman" w:hAnsi="Book Antiqua" w:cs="Times New Roman"/>
      <w:sz w:val="24"/>
      <w:szCs w:val="20"/>
    </w:rPr>
  </w:style>
  <w:style w:type="character" w:customStyle="1" w:styleId="cf11">
    <w:name w:val="cf11"/>
    <w:basedOn w:val="DefaultParagraphFont"/>
    <w:rsid w:val="003441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5403">
      <w:bodyDiv w:val="1"/>
      <w:marLeft w:val="0"/>
      <w:marRight w:val="0"/>
      <w:marTop w:val="0"/>
      <w:marBottom w:val="0"/>
      <w:divBdr>
        <w:top w:val="none" w:sz="0" w:space="0" w:color="auto"/>
        <w:left w:val="none" w:sz="0" w:space="0" w:color="auto"/>
        <w:bottom w:val="none" w:sz="0" w:space="0" w:color="auto"/>
        <w:right w:val="none" w:sz="0" w:space="0" w:color="auto"/>
      </w:divBdr>
    </w:div>
    <w:div w:id="68576171">
      <w:bodyDiv w:val="1"/>
      <w:marLeft w:val="0"/>
      <w:marRight w:val="0"/>
      <w:marTop w:val="0"/>
      <w:marBottom w:val="0"/>
      <w:divBdr>
        <w:top w:val="none" w:sz="0" w:space="0" w:color="auto"/>
        <w:left w:val="none" w:sz="0" w:space="0" w:color="auto"/>
        <w:bottom w:val="none" w:sz="0" w:space="0" w:color="auto"/>
        <w:right w:val="none" w:sz="0" w:space="0" w:color="auto"/>
      </w:divBdr>
      <w:divsChild>
        <w:div w:id="53896741">
          <w:marLeft w:val="0"/>
          <w:marRight w:val="0"/>
          <w:marTop w:val="0"/>
          <w:marBottom w:val="0"/>
          <w:divBdr>
            <w:top w:val="none" w:sz="0" w:space="0" w:color="auto"/>
            <w:left w:val="none" w:sz="0" w:space="0" w:color="auto"/>
            <w:bottom w:val="none" w:sz="0" w:space="0" w:color="auto"/>
            <w:right w:val="none" w:sz="0" w:space="0" w:color="auto"/>
          </w:divBdr>
        </w:div>
        <w:div w:id="898175688">
          <w:marLeft w:val="0"/>
          <w:marRight w:val="0"/>
          <w:marTop w:val="0"/>
          <w:marBottom w:val="0"/>
          <w:divBdr>
            <w:top w:val="none" w:sz="0" w:space="0" w:color="auto"/>
            <w:left w:val="none" w:sz="0" w:space="0" w:color="auto"/>
            <w:bottom w:val="none" w:sz="0" w:space="0" w:color="auto"/>
            <w:right w:val="none" w:sz="0" w:space="0" w:color="auto"/>
          </w:divBdr>
        </w:div>
        <w:div w:id="919800291">
          <w:marLeft w:val="0"/>
          <w:marRight w:val="0"/>
          <w:marTop w:val="0"/>
          <w:marBottom w:val="0"/>
          <w:divBdr>
            <w:top w:val="none" w:sz="0" w:space="0" w:color="auto"/>
            <w:left w:val="none" w:sz="0" w:space="0" w:color="auto"/>
            <w:bottom w:val="none" w:sz="0" w:space="0" w:color="auto"/>
            <w:right w:val="none" w:sz="0" w:space="0" w:color="auto"/>
          </w:divBdr>
        </w:div>
        <w:div w:id="1275476263">
          <w:marLeft w:val="0"/>
          <w:marRight w:val="0"/>
          <w:marTop w:val="0"/>
          <w:marBottom w:val="0"/>
          <w:divBdr>
            <w:top w:val="none" w:sz="0" w:space="0" w:color="auto"/>
            <w:left w:val="none" w:sz="0" w:space="0" w:color="auto"/>
            <w:bottom w:val="none" w:sz="0" w:space="0" w:color="auto"/>
            <w:right w:val="none" w:sz="0" w:space="0" w:color="auto"/>
          </w:divBdr>
        </w:div>
      </w:divsChild>
    </w:div>
    <w:div w:id="71199265">
      <w:bodyDiv w:val="1"/>
      <w:marLeft w:val="0"/>
      <w:marRight w:val="0"/>
      <w:marTop w:val="0"/>
      <w:marBottom w:val="0"/>
      <w:divBdr>
        <w:top w:val="none" w:sz="0" w:space="0" w:color="auto"/>
        <w:left w:val="none" w:sz="0" w:space="0" w:color="auto"/>
        <w:bottom w:val="none" w:sz="0" w:space="0" w:color="auto"/>
        <w:right w:val="none" w:sz="0" w:space="0" w:color="auto"/>
      </w:divBdr>
    </w:div>
    <w:div w:id="74130392">
      <w:bodyDiv w:val="1"/>
      <w:marLeft w:val="0"/>
      <w:marRight w:val="0"/>
      <w:marTop w:val="0"/>
      <w:marBottom w:val="0"/>
      <w:divBdr>
        <w:top w:val="none" w:sz="0" w:space="0" w:color="auto"/>
        <w:left w:val="none" w:sz="0" w:space="0" w:color="auto"/>
        <w:bottom w:val="none" w:sz="0" w:space="0" w:color="auto"/>
        <w:right w:val="none" w:sz="0" w:space="0" w:color="auto"/>
      </w:divBdr>
    </w:div>
    <w:div w:id="160198125">
      <w:bodyDiv w:val="1"/>
      <w:marLeft w:val="0"/>
      <w:marRight w:val="0"/>
      <w:marTop w:val="0"/>
      <w:marBottom w:val="0"/>
      <w:divBdr>
        <w:top w:val="none" w:sz="0" w:space="0" w:color="auto"/>
        <w:left w:val="none" w:sz="0" w:space="0" w:color="auto"/>
        <w:bottom w:val="none" w:sz="0" w:space="0" w:color="auto"/>
        <w:right w:val="none" w:sz="0" w:space="0" w:color="auto"/>
      </w:divBdr>
    </w:div>
    <w:div w:id="174998036">
      <w:bodyDiv w:val="1"/>
      <w:marLeft w:val="0"/>
      <w:marRight w:val="0"/>
      <w:marTop w:val="0"/>
      <w:marBottom w:val="0"/>
      <w:divBdr>
        <w:top w:val="none" w:sz="0" w:space="0" w:color="auto"/>
        <w:left w:val="none" w:sz="0" w:space="0" w:color="auto"/>
        <w:bottom w:val="none" w:sz="0" w:space="0" w:color="auto"/>
        <w:right w:val="none" w:sz="0" w:space="0" w:color="auto"/>
      </w:divBdr>
    </w:div>
    <w:div w:id="182397907">
      <w:bodyDiv w:val="1"/>
      <w:marLeft w:val="0"/>
      <w:marRight w:val="0"/>
      <w:marTop w:val="0"/>
      <w:marBottom w:val="0"/>
      <w:divBdr>
        <w:top w:val="none" w:sz="0" w:space="0" w:color="auto"/>
        <w:left w:val="none" w:sz="0" w:space="0" w:color="auto"/>
        <w:bottom w:val="none" w:sz="0" w:space="0" w:color="auto"/>
        <w:right w:val="none" w:sz="0" w:space="0" w:color="auto"/>
      </w:divBdr>
    </w:div>
    <w:div w:id="184029289">
      <w:bodyDiv w:val="1"/>
      <w:marLeft w:val="0"/>
      <w:marRight w:val="0"/>
      <w:marTop w:val="0"/>
      <w:marBottom w:val="0"/>
      <w:divBdr>
        <w:top w:val="none" w:sz="0" w:space="0" w:color="auto"/>
        <w:left w:val="none" w:sz="0" w:space="0" w:color="auto"/>
        <w:bottom w:val="none" w:sz="0" w:space="0" w:color="auto"/>
        <w:right w:val="none" w:sz="0" w:space="0" w:color="auto"/>
      </w:divBdr>
    </w:div>
    <w:div w:id="206991689">
      <w:bodyDiv w:val="1"/>
      <w:marLeft w:val="0"/>
      <w:marRight w:val="0"/>
      <w:marTop w:val="0"/>
      <w:marBottom w:val="0"/>
      <w:divBdr>
        <w:top w:val="none" w:sz="0" w:space="0" w:color="auto"/>
        <w:left w:val="none" w:sz="0" w:space="0" w:color="auto"/>
        <w:bottom w:val="none" w:sz="0" w:space="0" w:color="auto"/>
        <w:right w:val="none" w:sz="0" w:space="0" w:color="auto"/>
      </w:divBdr>
    </w:div>
    <w:div w:id="240987840">
      <w:bodyDiv w:val="1"/>
      <w:marLeft w:val="0"/>
      <w:marRight w:val="0"/>
      <w:marTop w:val="0"/>
      <w:marBottom w:val="0"/>
      <w:divBdr>
        <w:top w:val="none" w:sz="0" w:space="0" w:color="auto"/>
        <w:left w:val="none" w:sz="0" w:space="0" w:color="auto"/>
        <w:bottom w:val="none" w:sz="0" w:space="0" w:color="auto"/>
        <w:right w:val="none" w:sz="0" w:space="0" w:color="auto"/>
      </w:divBdr>
    </w:div>
    <w:div w:id="241067677">
      <w:bodyDiv w:val="1"/>
      <w:marLeft w:val="0"/>
      <w:marRight w:val="0"/>
      <w:marTop w:val="0"/>
      <w:marBottom w:val="0"/>
      <w:divBdr>
        <w:top w:val="none" w:sz="0" w:space="0" w:color="auto"/>
        <w:left w:val="none" w:sz="0" w:space="0" w:color="auto"/>
        <w:bottom w:val="none" w:sz="0" w:space="0" w:color="auto"/>
        <w:right w:val="none" w:sz="0" w:space="0" w:color="auto"/>
      </w:divBdr>
    </w:div>
    <w:div w:id="259148225">
      <w:bodyDiv w:val="1"/>
      <w:marLeft w:val="0"/>
      <w:marRight w:val="0"/>
      <w:marTop w:val="0"/>
      <w:marBottom w:val="0"/>
      <w:divBdr>
        <w:top w:val="none" w:sz="0" w:space="0" w:color="auto"/>
        <w:left w:val="none" w:sz="0" w:space="0" w:color="auto"/>
        <w:bottom w:val="none" w:sz="0" w:space="0" w:color="auto"/>
        <w:right w:val="none" w:sz="0" w:space="0" w:color="auto"/>
      </w:divBdr>
    </w:div>
    <w:div w:id="296033206">
      <w:bodyDiv w:val="1"/>
      <w:marLeft w:val="0"/>
      <w:marRight w:val="0"/>
      <w:marTop w:val="0"/>
      <w:marBottom w:val="0"/>
      <w:divBdr>
        <w:top w:val="none" w:sz="0" w:space="0" w:color="auto"/>
        <w:left w:val="none" w:sz="0" w:space="0" w:color="auto"/>
        <w:bottom w:val="none" w:sz="0" w:space="0" w:color="auto"/>
        <w:right w:val="none" w:sz="0" w:space="0" w:color="auto"/>
      </w:divBdr>
      <w:divsChild>
        <w:div w:id="1106080229">
          <w:marLeft w:val="0"/>
          <w:marRight w:val="0"/>
          <w:marTop w:val="0"/>
          <w:marBottom w:val="0"/>
          <w:divBdr>
            <w:top w:val="none" w:sz="0" w:space="0" w:color="auto"/>
            <w:left w:val="none" w:sz="0" w:space="0" w:color="auto"/>
            <w:bottom w:val="none" w:sz="0" w:space="0" w:color="auto"/>
            <w:right w:val="none" w:sz="0" w:space="0" w:color="auto"/>
          </w:divBdr>
        </w:div>
        <w:div w:id="1350449007">
          <w:marLeft w:val="0"/>
          <w:marRight w:val="0"/>
          <w:marTop w:val="0"/>
          <w:marBottom w:val="0"/>
          <w:divBdr>
            <w:top w:val="none" w:sz="0" w:space="0" w:color="auto"/>
            <w:left w:val="none" w:sz="0" w:space="0" w:color="auto"/>
            <w:bottom w:val="none" w:sz="0" w:space="0" w:color="auto"/>
            <w:right w:val="none" w:sz="0" w:space="0" w:color="auto"/>
          </w:divBdr>
        </w:div>
        <w:div w:id="2121223626">
          <w:marLeft w:val="0"/>
          <w:marRight w:val="0"/>
          <w:marTop w:val="0"/>
          <w:marBottom w:val="0"/>
          <w:divBdr>
            <w:top w:val="none" w:sz="0" w:space="0" w:color="auto"/>
            <w:left w:val="none" w:sz="0" w:space="0" w:color="auto"/>
            <w:bottom w:val="none" w:sz="0" w:space="0" w:color="auto"/>
            <w:right w:val="none" w:sz="0" w:space="0" w:color="auto"/>
          </w:divBdr>
        </w:div>
      </w:divsChild>
    </w:div>
    <w:div w:id="341050904">
      <w:bodyDiv w:val="1"/>
      <w:marLeft w:val="0"/>
      <w:marRight w:val="0"/>
      <w:marTop w:val="0"/>
      <w:marBottom w:val="0"/>
      <w:divBdr>
        <w:top w:val="none" w:sz="0" w:space="0" w:color="auto"/>
        <w:left w:val="none" w:sz="0" w:space="0" w:color="auto"/>
        <w:bottom w:val="none" w:sz="0" w:space="0" w:color="auto"/>
        <w:right w:val="none" w:sz="0" w:space="0" w:color="auto"/>
      </w:divBdr>
    </w:div>
    <w:div w:id="369041164">
      <w:bodyDiv w:val="1"/>
      <w:marLeft w:val="0"/>
      <w:marRight w:val="0"/>
      <w:marTop w:val="0"/>
      <w:marBottom w:val="0"/>
      <w:divBdr>
        <w:top w:val="none" w:sz="0" w:space="0" w:color="auto"/>
        <w:left w:val="none" w:sz="0" w:space="0" w:color="auto"/>
        <w:bottom w:val="none" w:sz="0" w:space="0" w:color="auto"/>
        <w:right w:val="none" w:sz="0" w:space="0" w:color="auto"/>
      </w:divBdr>
    </w:div>
    <w:div w:id="381249859">
      <w:bodyDiv w:val="1"/>
      <w:marLeft w:val="0"/>
      <w:marRight w:val="0"/>
      <w:marTop w:val="0"/>
      <w:marBottom w:val="0"/>
      <w:divBdr>
        <w:top w:val="none" w:sz="0" w:space="0" w:color="auto"/>
        <w:left w:val="none" w:sz="0" w:space="0" w:color="auto"/>
        <w:bottom w:val="none" w:sz="0" w:space="0" w:color="auto"/>
        <w:right w:val="none" w:sz="0" w:space="0" w:color="auto"/>
      </w:divBdr>
    </w:div>
    <w:div w:id="388959748">
      <w:bodyDiv w:val="1"/>
      <w:marLeft w:val="0"/>
      <w:marRight w:val="0"/>
      <w:marTop w:val="0"/>
      <w:marBottom w:val="0"/>
      <w:divBdr>
        <w:top w:val="none" w:sz="0" w:space="0" w:color="auto"/>
        <w:left w:val="none" w:sz="0" w:space="0" w:color="auto"/>
        <w:bottom w:val="none" w:sz="0" w:space="0" w:color="auto"/>
        <w:right w:val="none" w:sz="0" w:space="0" w:color="auto"/>
      </w:divBdr>
    </w:div>
    <w:div w:id="393283070">
      <w:bodyDiv w:val="1"/>
      <w:marLeft w:val="0"/>
      <w:marRight w:val="0"/>
      <w:marTop w:val="0"/>
      <w:marBottom w:val="0"/>
      <w:divBdr>
        <w:top w:val="none" w:sz="0" w:space="0" w:color="auto"/>
        <w:left w:val="none" w:sz="0" w:space="0" w:color="auto"/>
        <w:bottom w:val="none" w:sz="0" w:space="0" w:color="auto"/>
        <w:right w:val="none" w:sz="0" w:space="0" w:color="auto"/>
      </w:divBdr>
    </w:div>
    <w:div w:id="414280912">
      <w:bodyDiv w:val="1"/>
      <w:marLeft w:val="0"/>
      <w:marRight w:val="0"/>
      <w:marTop w:val="0"/>
      <w:marBottom w:val="0"/>
      <w:divBdr>
        <w:top w:val="none" w:sz="0" w:space="0" w:color="auto"/>
        <w:left w:val="none" w:sz="0" w:space="0" w:color="auto"/>
        <w:bottom w:val="none" w:sz="0" w:space="0" w:color="auto"/>
        <w:right w:val="none" w:sz="0" w:space="0" w:color="auto"/>
      </w:divBdr>
    </w:div>
    <w:div w:id="425276192">
      <w:bodyDiv w:val="1"/>
      <w:marLeft w:val="0"/>
      <w:marRight w:val="0"/>
      <w:marTop w:val="0"/>
      <w:marBottom w:val="0"/>
      <w:divBdr>
        <w:top w:val="none" w:sz="0" w:space="0" w:color="auto"/>
        <w:left w:val="none" w:sz="0" w:space="0" w:color="auto"/>
        <w:bottom w:val="none" w:sz="0" w:space="0" w:color="auto"/>
        <w:right w:val="none" w:sz="0" w:space="0" w:color="auto"/>
      </w:divBdr>
    </w:div>
    <w:div w:id="440762048">
      <w:bodyDiv w:val="1"/>
      <w:marLeft w:val="0"/>
      <w:marRight w:val="0"/>
      <w:marTop w:val="0"/>
      <w:marBottom w:val="0"/>
      <w:divBdr>
        <w:top w:val="none" w:sz="0" w:space="0" w:color="auto"/>
        <w:left w:val="none" w:sz="0" w:space="0" w:color="auto"/>
        <w:bottom w:val="none" w:sz="0" w:space="0" w:color="auto"/>
        <w:right w:val="none" w:sz="0" w:space="0" w:color="auto"/>
      </w:divBdr>
    </w:div>
    <w:div w:id="445393862">
      <w:bodyDiv w:val="1"/>
      <w:marLeft w:val="0"/>
      <w:marRight w:val="0"/>
      <w:marTop w:val="0"/>
      <w:marBottom w:val="0"/>
      <w:divBdr>
        <w:top w:val="none" w:sz="0" w:space="0" w:color="auto"/>
        <w:left w:val="none" w:sz="0" w:space="0" w:color="auto"/>
        <w:bottom w:val="none" w:sz="0" w:space="0" w:color="auto"/>
        <w:right w:val="none" w:sz="0" w:space="0" w:color="auto"/>
      </w:divBdr>
    </w:div>
    <w:div w:id="497383534">
      <w:bodyDiv w:val="1"/>
      <w:marLeft w:val="0"/>
      <w:marRight w:val="0"/>
      <w:marTop w:val="0"/>
      <w:marBottom w:val="0"/>
      <w:divBdr>
        <w:top w:val="none" w:sz="0" w:space="0" w:color="auto"/>
        <w:left w:val="none" w:sz="0" w:space="0" w:color="auto"/>
        <w:bottom w:val="none" w:sz="0" w:space="0" w:color="auto"/>
        <w:right w:val="none" w:sz="0" w:space="0" w:color="auto"/>
      </w:divBdr>
    </w:div>
    <w:div w:id="520899115">
      <w:bodyDiv w:val="1"/>
      <w:marLeft w:val="0"/>
      <w:marRight w:val="0"/>
      <w:marTop w:val="0"/>
      <w:marBottom w:val="0"/>
      <w:divBdr>
        <w:top w:val="none" w:sz="0" w:space="0" w:color="auto"/>
        <w:left w:val="none" w:sz="0" w:space="0" w:color="auto"/>
        <w:bottom w:val="none" w:sz="0" w:space="0" w:color="auto"/>
        <w:right w:val="none" w:sz="0" w:space="0" w:color="auto"/>
      </w:divBdr>
    </w:div>
    <w:div w:id="547684622">
      <w:bodyDiv w:val="1"/>
      <w:marLeft w:val="0"/>
      <w:marRight w:val="0"/>
      <w:marTop w:val="0"/>
      <w:marBottom w:val="0"/>
      <w:divBdr>
        <w:top w:val="none" w:sz="0" w:space="0" w:color="auto"/>
        <w:left w:val="none" w:sz="0" w:space="0" w:color="auto"/>
        <w:bottom w:val="none" w:sz="0" w:space="0" w:color="auto"/>
        <w:right w:val="none" w:sz="0" w:space="0" w:color="auto"/>
      </w:divBdr>
    </w:div>
    <w:div w:id="551235121">
      <w:bodyDiv w:val="1"/>
      <w:marLeft w:val="0"/>
      <w:marRight w:val="0"/>
      <w:marTop w:val="0"/>
      <w:marBottom w:val="0"/>
      <w:divBdr>
        <w:top w:val="none" w:sz="0" w:space="0" w:color="auto"/>
        <w:left w:val="none" w:sz="0" w:space="0" w:color="auto"/>
        <w:bottom w:val="none" w:sz="0" w:space="0" w:color="auto"/>
        <w:right w:val="none" w:sz="0" w:space="0" w:color="auto"/>
      </w:divBdr>
    </w:div>
    <w:div w:id="553857340">
      <w:bodyDiv w:val="1"/>
      <w:marLeft w:val="0"/>
      <w:marRight w:val="0"/>
      <w:marTop w:val="0"/>
      <w:marBottom w:val="0"/>
      <w:divBdr>
        <w:top w:val="none" w:sz="0" w:space="0" w:color="auto"/>
        <w:left w:val="none" w:sz="0" w:space="0" w:color="auto"/>
        <w:bottom w:val="none" w:sz="0" w:space="0" w:color="auto"/>
        <w:right w:val="none" w:sz="0" w:space="0" w:color="auto"/>
      </w:divBdr>
    </w:div>
    <w:div w:id="575938846">
      <w:bodyDiv w:val="1"/>
      <w:marLeft w:val="0"/>
      <w:marRight w:val="0"/>
      <w:marTop w:val="0"/>
      <w:marBottom w:val="0"/>
      <w:divBdr>
        <w:top w:val="none" w:sz="0" w:space="0" w:color="auto"/>
        <w:left w:val="none" w:sz="0" w:space="0" w:color="auto"/>
        <w:bottom w:val="none" w:sz="0" w:space="0" w:color="auto"/>
        <w:right w:val="none" w:sz="0" w:space="0" w:color="auto"/>
      </w:divBdr>
    </w:div>
    <w:div w:id="633798868">
      <w:bodyDiv w:val="1"/>
      <w:marLeft w:val="0"/>
      <w:marRight w:val="0"/>
      <w:marTop w:val="0"/>
      <w:marBottom w:val="0"/>
      <w:divBdr>
        <w:top w:val="none" w:sz="0" w:space="0" w:color="auto"/>
        <w:left w:val="none" w:sz="0" w:space="0" w:color="auto"/>
        <w:bottom w:val="none" w:sz="0" w:space="0" w:color="auto"/>
        <w:right w:val="none" w:sz="0" w:space="0" w:color="auto"/>
      </w:divBdr>
    </w:div>
    <w:div w:id="650017405">
      <w:bodyDiv w:val="1"/>
      <w:marLeft w:val="0"/>
      <w:marRight w:val="0"/>
      <w:marTop w:val="0"/>
      <w:marBottom w:val="0"/>
      <w:divBdr>
        <w:top w:val="none" w:sz="0" w:space="0" w:color="auto"/>
        <w:left w:val="none" w:sz="0" w:space="0" w:color="auto"/>
        <w:bottom w:val="none" w:sz="0" w:space="0" w:color="auto"/>
        <w:right w:val="none" w:sz="0" w:space="0" w:color="auto"/>
      </w:divBdr>
    </w:div>
    <w:div w:id="686174714">
      <w:bodyDiv w:val="1"/>
      <w:marLeft w:val="0"/>
      <w:marRight w:val="0"/>
      <w:marTop w:val="0"/>
      <w:marBottom w:val="0"/>
      <w:divBdr>
        <w:top w:val="none" w:sz="0" w:space="0" w:color="auto"/>
        <w:left w:val="none" w:sz="0" w:space="0" w:color="auto"/>
        <w:bottom w:val="none" w:sz="0" w:space="0" w:color="auto"/>
        <w:right w:val="none" w:sz="0" w:space="0" w:color="auto"/>
      </w:divBdr>
    </w:div>
    <w:div w:id="719669662">
      <w:bodyDiv w:val="1"/>
      <w:marLeft w:val="0"/>
      <w:marRight w:val="0"/>
      <w:marTop w:val="0"/>
      <w:marBottom w:val="0"/>
      <w:divBdr>
        <w:top w:val="none" w:sz="0" w:space="0" w:color="auto"/>
        <w:left w:val="none" w:sz="0" w:space="0" w:color="auto"/>
        <w:bottom w:val="none" w:sz="0" w:space="0" w:color="auto"/>
        <w:right w:val="none" w:sz="0" w:space="0" w:color="auto"/>
      </w:divBdr>
    </w:div>
    <w:div w:id="733554141">
      <w:bodyDiv w:val="1"/>
      <w:marLeft w:val="0"/>
      <w:marRight w:val="0"/>
      <w:marTop w:val="0"/>
      <w:marBottom w:val="0"/>
      <w:divBdr>
        <w:top w:val="none" w:sz="0" w:space="0" w:color="auto"/>
        <w:left w:val="none" w:sz="0" w:space="0" w:color="auto"/>
        <w:bottom w:val="none" w:sz="0" w:space="0" w:color="auto"/>
        <w:right w:val="none" w:sz="0" w:space="0" w:color="auto"/>
      </w:divBdr>
    </w:div>
    <w:div w:id="815755281">
      <w:bodyDiv w:val="1"/>
      <w:marLeft w:val="0"/>
      <w:marRight w:val="0"/>
      <w:marTop w:val="0"/>
      <w:marBottom w:val="0"/>
      <w:divBdr>
        <w:top w:val="none" w:sz="0" w:space="0" w:color="auto"/>
        <w:left w:val="none" w:sz="0" w:space="0" w:color="auto"/>
        <w:bottom w:val="none" w:sz="0" w:space="0" w:color="auto"/>
        <w:right w:val="none" w:sz="0" w:space="0" w:color="auto"/>
      </w:divBdr>
    </w:div>
    <w:div w:id="850949379">
      <w:bodyDiv w:val="1"/>
      <w:marLeft w:val="0"/>
      <w:marRight w:val="0"/>
      <w:marTop w:val="0"/>
      <w:marBottom w:val="0"/>
      <w:divBdr>
        <w:top w:val="none" w:sz="0" w:space="0" w:color="auto"/>
        <w:left w:val="none" w:sz="0" w:space="0" w:color="auto"/>
        <w:bottom w:val="none" w:sz="0" w:space="0" w:color="auto"/>
        <w:right w:val="none" w:sz="0" w:space="0" w:color="auto"/>
      </w:divBdr>
    </w:div>
    <w:div w:id="854612763">
      <w:bodyDiv w:val="1"/>
      <w:marLeft w:val="0"/>
      <w:marRight w:val="0"/>
      <w:marTop w:val="0"/>
      <w:marBottom w:val="0"/>
      <w:divBdr>
        <w:top w:val="none" w:sz="0" w:space="0" w:color="auto"/>
        <w:left w:val="none" w:sz="0" w:space="0" w:color="auto"/>
        <w:bottom w:val="none" w:sz="0" w:space="0" w:color="auto"/>
        <w:right w:val="none" w:sz="0" w:space="0" w:color="auto"/>
      </w:divBdr>
    </w:div>
    <w:div w:id="877818187">
      <w:bodyDiv w:val="1"/>
      <w:marLeft w:val="0"/>
      <w:marRight w:val="0"/>
      <w:marTop w:val="0"/>
      <w:marBottom w:val="0"/>
      <w:divBdr>
        <w:top w:val="none" w:sz="0" w:space="0" w:color="auto"/>
        <w:left w:val="none" w:sz="0" w:space="0" w:color="auto"/>
        <w:bottom w:val="none" w:sz="0" w:space="0" w:color="auto"/>
        <w:right w:val="none" w:sz="0" w:space="0" w:color="auto"/>
      </w:divBdr>
    </w:div>
    <w:div w:id="883716246">
      <w:bodyDiv w:val="1"/>
      <w:marLeft w:val="0"/>
      <w:marRight w:val="0"/>
      <w:marTop w:val="0"/>
      <w:marBottom w:val="0"/>
      <w:divBdr>
        <w:top w:val="none" w:sz="0" w:space="0" w:color="auto"/>
        <w:left w:val="none" w:sz="0" w:space="0" w:color="auto"/>
        <w:bottom w:val="none" w:sz="0" w:space="0" w:color="auto"/>
        <w:right w:val="none" w:sz="0" w:space="0" w:color="auto"/>
      </w:divBdr>
    </w:div>
    <w:div w:id="895051929">
      <w:bodyDiv w:val="1"/>
      <w:marLeft w:val="0"/>
      <w:marRight w:val="0"/>
      <w:marTop w:val="0"/>
      <w:marBottom w:val="0"/>
      <w:divBdr>
        <w:top w:val="none" w:sz="0" w:space="0" w:color="auto"/>
        <w:left w:val="none" w:sz="0" w:space="0" w:color="auto"/>
        <w:bottom w:val="none" w:sz="0" w:space="0" w:color="auto"/>
        <w:right w:val="none" w:sz="0" w:space="0" w:color="auto"/>
      </w:divBdr>
      <w:divsChild>
        <w:div w:id="1924218806">
          <w:marLeft w:val="547"/>
          <w:marRight w:val="0"/>
          <w:marTop w:val="96"/>
          <w:marBottom w:val="0"/>
          <w:divBdr>
            <w:top w:val="none" w:sz="0" w:space="0" w:color="auto"/>
            <w:left w:val="none" w:sz="0" w:space="0" w:color="auto"/>
            <w:bottom w:val="none" w:sz="0" w:space="0" w:color="auto"/>
            <w:right w:val="none" w:sz="0" w:space="0" w:color="auto"/>
          </w:divBdr>
        </w:div>
      </w:divsChild>
    </w:div>
    <w:div w:id="912742429">
      <w:bodyDiv w:val="1"/>
      <w:marLeft w:val="0"/>
      <w:marRight w:val="0"/>
      <w:marTop w:val="0"/>
      <w:marBottom w:val="0"/>
      <w:divBdr>
        <w:top w:val="none" w:sz="0" w:space="0" w:color="auto"/>
        <w:left w:val="none" w:sz="0" w:space="0" w:color="auto"/>
        <w:bottom w:val="none" w:sz="0" w:space="0" w:color="auto"/>
        <w:right w:val="none" w:sz="0" w:space="0" w:color="auto"/>
      </w:divBdr>
    </w:div>
    <w:div w:id="921065123">
      <w:bodyDiv w:val="1"/>
      <w:marLeft w:val="0"/>
      <w:marRight w:val="0"/>
      <w:marTop w:val="0"/>
      <w:marBottom w:val="0"/>
      <w:divBdr>
        <w:top w:val="none" w:sz="0" w:space="0" w:color="auto"/>
        <w:left w:val="none" w:sz="0" w:space="0" w:color="auto"/>
        <w:bottom w:val="none" w:sz="0" w:space="0" w:color="auto"/>
        <w:right w:val="none" w:sz="0" w:space="0" w:color="auto"/>
      </w:divBdr>
    </w:div>
    <w:div w:id="944847599">
      <w:bodyDiv w:val="1"/>
      <w:marLeft w:val="0"/>
      <w:marRight w:val="0"/>
      <w:marTop w:val="0"/>
      <w:marBottom w:val="0"/>
      <w:divBdr>
        <w:top w:val="none" w:sz="0" w:space="0" w:color="auto"/>
        <w:left w:val="none" w:sz="0" w:space="0" w:color="auto"/>
        <w:bottom w:val="none" w:sz="0" w:space="0" w:color="auto"/>
        <w:right w:val="none" w:sz="0" w:space="0" w:color="auto"/>
      </w:divBdr>
    </w:div>
    <w:div w:id="976447681">
      <w:bodyDiv w:val="1"/>
      <w:marLeft w:val="0"/>
      <w:marRight w:val="0"/>
      <w:marTop w:val="0"/>
      <w:marBottom w:val="0"/>
      <w:divBdr>
        <w:top w:val="none" w:sz="0" w:space="0" w:color="auto"/>
        <w:left w:val="none" w:sz="0" w:space="0" w:color="auto"/>
        <w:bottom w:val="none" w:sz="0" w:space="0" w:color="auto"/>
        <w:right w:val="none" w:sz="0" w:space="0" w:color="auto"/>
      </w:divBdr>
    </w:div>
    <w:div w:id="1019160309">
      <w:bodyDiv w:val="1"/>
      <w:marLeft w:val="0"/>
      <w:marRight w:val="0"/>
      <w:marTop w:val="0"/>
      <w:marBottom w:val="0"/>
      <w:divBdr>
        <w:top w:val="none" w:sz="0" w:space="0" w:color="auto"/>
        <w:left w:val="none" w:sz="0" w:space="0" w:color="auto"/>
        <w:bottom w:val="none" w:sz="0" w:space="0" w:color="auto"/>
        <w:right w:val="none" w:sz="0" w:space="0" w:color="auto"/>
      </w:divBdr>
    </w:div>
    <w:div w:id="1076704787">
      <w:bodyDiv w:val="1"/>
      <w:marLeft w:val="0"/>
      <w:marRight w:val="0"/>
      <w:marTop w:val="0"/>
      <w:marBottom w:val="0"/>
      <w:divBdr>
        <w:top w:val="none" w:sz="0" w:space="0" w:color="auto"/>
        <w:left w:val="none" w:sz="0" w:space="0" w:color="auto"/>
        <w:bottom w:val="none" w:sz="0" w:space="0" w:color="auto"/>
        <w:right w:val="none" w:sz="0" w:space="0" w:color="auto"/>
      </w:divBdr>
    </w:div>
    <w:div w:id="1115448293">
      <w:bodyDiv w:val="1"/>
      <w:marLeft w:val="0"/>
      <w:marRight w:val="0"/>
      <w:marTop w:val="0"/>
      <w:marBottom w:val="0"/>
      <w:divBdr>
        <w:top w:val="none" w:sz="0" w:space="0" w:color="auto"/>
        <w:left w:val="none" w:sz="0" w:space="0" w:color="auto"/>
        <w:bottom w:val="none" w:sz="0" w:space="0" w:color="auto"/>
        <w:right w:val="none" w:sz="0" w:space="0" w:color="auto"/>
      </w:divBdr>
    </w:div>
    <w:div w:id="1117408241">
      <w:bodyDiv w:val="1"/>
      <w:marLeft w:val="0"/>
      <w:marRight w:val="0"/>
      <w:marTop w:val="0"/>
      <w:marBottom w:val="0"/>
      <w:divBdr>
        <w:top w:val="none" w:sz="0" w:space="0" w:color="auto"/>
        <w:left w:val="none" w:sz="0" w:space="0" w:color="auto"/>
        <w:bottom w:val="none" w:sz="0" w:space="0" w:color="auto"/>
        <w:right w:val="none" w:sz="0" w:space="0" w:color="auto"/>
      </w:divBdr>
    </w:div>
    <w:div w:id="1140272256">
      <w:bodyDiv w:val="1"/>
      <w:marLeft w:val="0"/>
      <w:marRight w:val="0"/>
      <w:marTop w:val="0"/>
      <w:marBottom w:val="0"/>
      <w:divBdr>
        <w:top w:val="none" w:sz="0" w:space="0" w:color="auto"/>
        <w:left w:val="none" w:sz="0" w:space="0" w:color="auto"/>
        <w:bottom w:val="none" w:sz="0" w:space="0" w:color="auto"/>
        <w:right w:val="none" w:sz="0" w:space="0" w:color="auto"/>
      </w:divBdr>
    </w:div>
    <w:div w:id="1146821201">
      <w:bodyDiv w:val="1"/>
      <w:marLeft w:val="0"/>
      <w:marRight w:val="0"/>
      <w:marTop w:val="0"/>
      <w:marBottom w:val="0"/>
      <w:divBdr>
        <w:top w:val="none" w:sz="0" w:space="0" w:color="auto"/>
        <w:left w:val="none" w:sz="0" w:space="0" w:color="auto"/>
        <w:bottom w:val="none" w:sz="0" w:space="0" w:color="auto"/>
        <w:right w:val="none" w:sz="0" w:space="0" w:color="auto"/>
      </w:divBdr>
    </w:div>
    <w:div w:id="1171220333">
      <w:bodyDiv w:val="1"/>
      <w:marLeft w:val="0"/>
      <w:marRight w:val="0"/>
      <w:marTop w:val="0"/>
      <w:marBottom w:val="0"/>
      <w:divBdr>
        <w:top w:val="none" w:sz="0" w:space="0" w:color="auto"/>
        <w:left w:val="none" w:sz="0" w:space="0" w:color="auto"/>
        <w:bottom w:val="none" w:sz="0" w:space="0" w:color="auto"/>
        <w:right w:val="none" w:sz="0" w:space="0" w:color="auto"/>
      </w:divBdr>
    </w:div>
    <w:div w:id="1191458007">
      <w:bodyDiv w:val="1"/>
      <w:marLeft w:val="0"/>
      <w:marRight w:val="0"/>
      <w:marTop w:val="0"/>
      <w:marBottom w:val="0"/>
      <w:divBdr>
        <w:top w:val="none" w:sz="0" w:space="0" w:color="auto"/>
        <w:left w:val="none" w:sz="0" w:space="0" w:color="auto"/>
        <w:bottom w:val="none" w:sz="0" w:space="0" w:color="auto"/>
        <w:right w:val="none" w:sz="0" w:space="0" w:color="auto"/>
      </w:divBdr>
    </w:div>
    <w:div w:id="1224098787">
      <w:bodyDiv w:val="1"/>
      <w:marLeft w:val="0"/>
      <w:marRight w:val="0"/>
      <w:marTop w:val="0"/>
      <w:marBottom w:val="0"/>
      <w:divBdr>
        <w:top w:val="none" w:sz="0" w:space="0" w:color="auto"/>
        <w:left w:val="none" w:sz="0" w:space="0" w:color="auto"/>
        <w:bottom w:val="none" w:sz="0" w:space="0" w:color="auto"/>
        <w:right w:val="none" w:sz="0" w:space="0" w:color="auto"/>
      </w:divBdr>
    </w:div>
    <w:div w:id="1229151570">
      <w:bodyDiv w:val="1"/>
      <w:marLeft w:val="0"/>
      <w:marRight w:val="0"/>
      <w:marTop w:val="0"/>
      <w:marBottom w:val="0"/>
      <w:divBdr>
        <w:top w:val="none" w:sz="0" w:space="0" w:color="auto"/>
        <w:left w:val="none" w:sz="0" w:space="0" w:color="auto"/>
        <w:bottom w:val="none" w:sz="0" w:space="0" w:color="auto"/>
        <w:right w:val="none" w:sz="0" w:space="0" w:color="auto"/>
      </w:divBdr>
    </w:div>
    <w:div w:id="1236865773">
      <w:bodyDiv w:val="1"/>
      <w:marLeft w:val="0"/>
      <w:marRight w:val="0"/>
      <w:marTop w:val="0"/>
      <w:marBottom w:val="0"/>
      <w:divBdr>
        <w:top w:val="none" w:sz="0" w:space="0" w:color="auto"/>
        <w:left w:val="none" w:sz="0" w:space="0" w:color="auto"/>
        <w:bottom w:val="none" w:sz="0" w:space="0" w:color="auto"/>
        <w:right w:val="none" w:sz="0" w:space="0" w:color="auto"/>
      </w:divBdr>
    </w:div>
    <w:div w:id="1244218186">
      <w:bodyDiv w:val="1"/>
      <w:marLeft w:val="0"/>
      <w:marRight w:val="0"/>
      <w:marTop w:val="0"/>
      <w:marBottom w:val="0"/>
      <w:divBdr>
        <w:top w:val="none" w:sz="0" w:space="0" w:color="auto"/>
        <w:left w:val="none" w:sz="0" w:space="0" w:color="auto"/>
        <w:bottom w:val="none" w:sz="0" w:space="0" w:color="auto"/>
        <w:right w:val="none" w:sz="0" w:space="0" w:color="auto"/>
      </w:divBdr>
    </w:div>
    <w:div w:id="1256019463">
      <w:bodyDiv w:val="1"/>
      <w:marLeft w:val="0"/>
      <w:marRight w:val="0"/>
      <w:marTop w:val="0"/>
      <w:marBottom w:val="0"/>
      <w:divBdr>
        <w:top w:val="none" w:sz="0" w:space="0" w:color="auto"/>
        <w:left w:val="none" w:sz="0" w:space="0" w:color="auto"/>
        <w:bottom w:val="none" w:sz="0" w:space="0" w:color="auto"/>
        <w:right w:val="none" w:sz="0" w:space="0" w:color="auto"/>
      </w:divBdr>
    </w:div>
    <w:div w:id="1257448350">
      <w:bodyDiv w:val="1"/>
      <w:marLeft w:val="0"/>
      <w:marRight w:val="0"/>
      <w:marTop w:val="0"/>
      <w:marBottom w:val="0"/>
      <w:divBdr>
        <w:top w:val="none" w:sz="0" w:space="0" w:color="auto"/>
        <w:left w:val="none" w:sz="0" w:space="0" w:color="auto"/>
        <w:bottom w:val="none" w:sz="0" w:space="0" w:color="auto"/>
        <w:right w:val="none" w:sz="0" w:space="0" w:color="auto"/>
      </w:divBdr>
    </w:div>
    <w:div w:id="1260408255">
      <w:bodyDiv w:val="1"/>
      <w:marLeft w:val="0"/>
      <w:marRight w:val="0"/>
      <w:marTop w:val="0"/>
      <w:marBottom w:val="0"/>
      <w:divBdr>
        <w:top w:val="none" w:sz="0" w:space="0" w:color="auto"/>
        <w:left w:val="none" w:sz="0" w:space="0" w:color="auto"/>
        <w:bottom w:val="none" w:sz="0" w:space="0" w:color="auto"/>
        <w:right w:val="none" w:sz="0" w:space="0" w:color="auto"/>
      </w:divBdr>
    </w:div>
    <w:div w:id="1261797108">
      <w:bodyDiv w:val="1"/>
      <w:marLeft w:val="0"/>
      <w:marRight w:val="0"/>
      <w:marTop w:val="0"/>
      <w:marBottom w:val="0"/>
      <w:divBdr>
        <w:top w:val="none" w:sz="0" w:space="0" w:color="auto"/>
        <w:left w:val="none" w:sz="0" w:space="0" w:color="auto"/>
        <w:bottom w:val="none" w:sz="0" w:space="0" w:color="auto"/>
        <w:right w:val="none" w:sz="0" w:space="0" w:color="auto"/>
      </w:divBdr>
    </w:div>
    <w:div w:id="1269849576">
      <w:bodyDiv w:val="1"/>
      <w:marLeft w:val="0"/>
      <w:marRight w:val="0"/>
      <w:marTop w:val="0"/>
      <w:marBottom w:val="0"/>
      <w:divBdr>
        <w:top w:val="none" w:sz="0" w:space="0" w:color="auto"/>
        <w:left w:val="none" w:sz="0" w:space="0" w:color="auto"/>
        <w:bottom w:val="none" w:sz="0" w:space="0" w:color="auto"/>
        <w:right w:val="none" w:sz="0" w:space="0" w:color="auto"/>
      </w:divBdr>
    </w:div>
    <w:div w:id="1275331743">
      <w:bodyDiv w:val="1"/>
      <w:marLeft w:val="0"/>
      <w:marRight w:val="0"/>
      <w:marTop w:val="0"/>
      <w:marBottom w:val="0"/>
      <w:divBdr>
        <w:top w:val="none" w:sz="0" w:space="0" w:color="auto"/>
        <w:left w:val="none" w:sz="0" w:space="0" w:color="auto"/>
        <w:bottom w:val="none" w:sz="0" w:space="0" w:color="auto"/>
        <w:right w:val="none" w:sz="0" w:space="0" w:color="auto"/>
      </w:divBdr>
    </w:div>
    <w:div w:id="1285310076">
      <w:bodyDiv w:val="1"/>
      <w:marLeft w:val="0"/>
      <w:marRight w:val="0"/>
      <w:marTop w:val="0"/>
      <w:marBottom w:val="0"/>
      <w:divBdr>
        <w:top w:val="none" w:sz="0" w:space="0" w:color="auto"/>
        <w:left w:val="none" w:sz="0" w:space="0" w:color="auto"/>
        <w:bottom w:val="none" w:sz="0" w:space="0" w:color="auto"/>
        <w:right w:val="none" w:sz="0" w:space="0" w:color="auto"/>
      </w:divBdr>
    </w:div>
    <w:div w:id="1291789928">
      <w:bodyDiv w:val="1"/>
      <w:marLeft w:val="0"/>
      <w:marRight w:val="0"/>
      <w:marTop w:val="0"/>
      <w:marBottom w:val="0"/>
      <w:divBdr>
        <w:top w:val="none" w:sz="0" w:space="0" w:color="auto"/>
        <w:left w:val="none" w:sz="0" w:space="0" w:color="auto"/>
        <w:bottom w:val="none" w:sz="0" w:space="0" w:color="auto"/>
        <w:right w:val="none" w:sz="0" w:space="0" w:color="auto"/>
      </w:divBdr>
    </w:div>
    <w:div w:id="1309745875">
      <w:bodyDiv w:val="1"/>
      <w:marLeft w:val="0"/>
      <w:marRight w:val="0"/>
      <w:marTop w:val="0"/>
      <w:marBottom w:val="0"/>
      <w:divBdr>
        <w:top w:val="none" w:sz="0" w:space="0" w:color="auto"/>
        <w:left w:val="none" w:sz="0" w:space="0" w:color="auto"/>
        <w:bottom w:val="none" w:sz="0" w:space="0" w:color="auto"/>
        <w:right w:val="none" w:sz="0" w:space="0" w:color="auto"/>
      </w:divBdr>
    </w:div>
    <w:div w:id="1320118329">
      <w:bodyDiv w:val="1"/>
      <w:marLeft w:val="0"/>
      <w:marRight w:val="0"/>
      <w:marTop w:val="0"/>
      <w:marBottom w:val="0"/>
      <w:divBdr>
        <w:top w:val="none" w:sz="0" w:space="0" w:color="auto"/>
        <w:left w:val="none" w:sz="0" w:space="0" w:color="auto"/>
        <w:bottom w:val="none" w:sz="0" w:space="0" w:color="auto"/>
        <w:right w:val="none" w:sz="0" w:space="0" w:color="auto"/>
      </w:divBdr>
    </w:div>
    <w:div w:id="1338461236">
      <w:bodyDiv w:val="1"/>
      <w:marLeft w:val="0"/>
      <w:marRight w:val="0"/>
      <w:marTop w:val="0"/>
      <w:marBottom w:val="0"/>
      <w:divBdr>
        <w:top w:val="none" w:sz="0" w:space="0" w:color="auto"/>
        <w:left w:val="none" w:sz="0" w:space="0" w:color="auto"/>
        <w:bottom w:val="none" w:sz="0" w:space="0" w:color="auto"/>
        <w:right w:val="none" w:sz="0" w:space="0" w:color="auto"/>
      </w:divBdr>
    </w:div>
    <w:div w:id="1339045467">
      <w:bodyDiv w:val="1"/>
      <w:marLeft w:val="0"/>
      <w:marRight w:val="0"/>
      <w:marTop w:val="0"/>
      <w:marBottom w:val="0"/>
      <w:divBdr>
        <w:top w:val="none" w:sz="0" w:space="0" w:color="auto"/>
        <w:left w:val="none" w:sz="0" w:space="0" w:color="auto"/>
        <w:bottom w:val="none" w:sz="0" w:space="0" w:color="auto"/>
        <w:right w:val="none" w:sz="0" w:space="0" w:color="auto"/>
      </w:divBdr>
    </w:div>
    <w:div w:id="1411778870">
      <w:bodyDiv w:val="1"/>
      <w:marLeft w:val="0"/>
      <w:marRight w:val="0"/>
      <w:marTop w:val="0"/>
      <w:marBottom w:val="0"/>
      <w:divBdr>
        <w:top w:val="none" w:sz="0" w:space="0" w:color="auto"/>
        <w:left w:val="none" w:sz="0" w:space="0" w:color="auto"/>
        <w:bottom w:val="none" w:sz="0" w:space="0" w:color="auto"/>
        <w:right w:val="none" w:sz="0" w:space="0" w:color="auto"/>
      </w:divBdr>
    </w:div>
    <w:div w:id="1423407664">
      <w:bodyDiv w:val="1"/>
      <w:marLeft w:val="0"/>
      <w:marRight w:val="0"/>
      <w:marTop w:val="0"/>
      <w:marBottom w:val="0"/>
      <w:divBdr>
        <w:top w:val="none" w:sz="0" w:space="0" w:color="auto"/>
        <w:left w:val="none" w:sz="0" w:space="0" w:color="auto"/>
        <w:bottom w:val="none" w:sz="0" w:space="0" w:color="auto"/>
        <w:right w:val="none" w:sz="0" w:space="0" w:color="auto"/>
      </w:divBdr>
    </w:div>
    <w:div w:id="1443648755">
      <w:bodyDiv w:val="1"/>
      <w:marLeft w:val="0"/>
      <w:marRight w:val="0"/>
      <w:marTop w:val="0"/>
      <w:marBottom w:val="0"/>
      <w:divBdr>
        <w:top w:val="none" w:sz="0" w:space="0" w:color="auto"/>
        <w:left w:val="none" w:sz="0" w:space="0" w:color="auto"/>
        <w:bottom w:val="none" w:sz="0" w:space="0" w:color="auto"/>
        <w:right w:val="none" w:sz="0" w:space="0" w:color="auto"/>
      </w:divBdr>
    </w:div>
    <w:div w:id="1446995807">
      <w:bodyDiv w:val="1"/>
      <w:marLeft w:val="0"/>
      <w:marRight w:val="0"/>
      <w:marTop w:val="0"/>
      <w:marBottom w:val="0"/>
      <w:divBdr>
        <w:top w:val="none" w:sz="0" w:space="0" w:color="auto"/>
        <w:left w:val="none" w:sz="0" w:space="0" w:color="auto"/>
        <w:bottom w:val="none" w:sz="0" w:space="0" w:color="auto"/>
        <w:right w:val="none" w:sz="0" w:space="0" w:color="auto"/>
      </w:divBdr>
    </w:div>
    <w:div w:id="1454251950">
      <w:bodyDiv w:val="1"/>
      <w:marLeft w:val="0"/>
      <w:marRight w:val="0"/>
      <w:marTop w:val="0"/>
      <w:marBottom w:val="0"/>
      <w:divBdr>
        <w:top w:val="none" w:sz="0" w:space="0" w:color="auto"/>
        <w:left w:val="none" w:sz="0" w:space="0" w:color="auto"/>
        <w:bottom w:val="none" w:sz="0" w:space="0" w:color="auto"/>
        <w:right w:val="none" w:sz="0" w:space="0" w:color="auto"/>
      </w:divBdr>
    </w:div>
    <w:div w:id="1463307564">
      <w:bodyDiv w:val="1"/>
      <w:marLeft w:val="0"/>
      <w:marRight w:val="0"/>
      <w:marTop w:val="0"/>
      <w:marBottom w:val="0"/>
      <w:divBdr>
        <w:top w:val="none" w:sz="0" w:space="0" w:color="auto"/>
        <w:left w:val="none" w:sz="0" w:space="0" w:color="auto"/>
        <w:bottom w:val="none" w:sz="0" w:space="0" w:color="auto"/>
        <w:right w:val="none" w:sz="0" w:space="0" w:color="auto"/>
      </w:divBdr>
    </w:div>
    <w:div w:id="1590624353">
      <w:bodyDiv w:val="1"/>
      <w:marLeft w:val="0"/>
      <w:marRight w:val="0"/>
      <w:marTop w:val="0"/>
      <w:marBottom w:val="0"/>
      <w:divBdr>
        <w:top w:val="none" w:sz="0" w:space="0" w:color="auto"/>
        <w:left w:val="none" w:sz="0" w:space="0" w:color="auto"/>
        <w:bottom w:val="none" w:sz="0" w:space="0" w:color="auto"/>
        <w:right w:val="none" w:sz="0" w:space="0" w:color="auto"/>
      </w:divBdr>
    </w:div>
    <w:div w:id="1596087102">
      <w:bodyDiv w:val="1"/>
      <w:marLeft w:val="0"/>
      <w:marRight w:val="0"/>
      <w:marTop w:val="0"/>
      <w:marBottom w:val="0"/>
      <w:divBdr>
        <w:top w:val="none" w:sz="0" w:space="0" w:color="auto"/>
        <w:left w:val="none" w:sz="0" w:space="0" w:color="auto"/>
        <w:bottom w:val="none" w:sz="0" w:space="0" w:color="auto"/>
        <w:right w:val="none" w:sz="0" w:space="0" w:color="auto"/>
      </w:divBdr>
    </w:div>
    <w:div w:id="1606306867">
      <w:bodyDiv w:val="1"/>
      <w:marLeft w:val="0"/>
      <w:marRight w:val="0"/>
      <w:marTop w:val="0"/>
      <w:marBottom w:val="0"/>
      <w:divBdr>
        <w:top w:val="none" w:sz="0" w:space="0" w:color="auto"/>
        <w:left w:val="none" w:sz="0" w:space="0" w:color="auto"/>
        <w:bottom w:val="none" w:sz="0" w:space="0" w:color="auto"/>
        <w:right w:val="none" w:sz="0" w:space="0" w:color="auto"/>
      </w:divBdr>
    </w:div>
    <w:div w:id="1656181121">
      <w:bodyDiv w:val="1"/>
      <w:marLeft w:val="0"/>
      <w:marRight w:val="0"/>
      <w:marTop w:val="0"/>
      <w:marBottom w:val="0"/>
      <w:divBdr>
        <w:top w:val="none" w:sz="0" w:space="0" w:color="auto"/>
        <w:left w:val="none" w:sz="0" w:space="0" w:color="auto"/>
        <w:bottom w:val="none" w:sz="0" w:space="0" w:color="auto"/>
        <w:right w:val="none" w:sz="0" w:space="0" w:color="auto"/>
      </w:divBdr>
    </w:div>
    <w:div w:id="1659113082">
      <w:bodyDiv w:val="1"/>
      <w:marLeft w:val="0"/>
      <w:marRight w:val="0"/>
      <w:marTop w:val="0"/>
      <w:marBottom w:val="0"/>
      <w:divBdr>
        <w:top w:val="none" w:sz="0" w:space="0" w:color="auto"/>
        <w:left w:val="none" w:sz="0" w:space="0" w:color="auto"/>
        <w:bottom w:val="none" w:sz="0" w:space="0" w:color="auto"/>
        <w:right w:val="none" w:sz="0" w:space="0" w:color="auto"/>
      </w:divBdr>
    </w:div>
    <w:div w:id="1677538021">
      <w:bodyDiv w:val="1"/>
      <w:marLeft w:val="0"/>
      <w:marRight w:val="0"/>
      <w:marTop w:val="0"/>
      <w:marBottom w:val="0"/>
      <w:divBdr>
        <w:top w:val="none" w:sz="0" w:space="0" w:color="auto"/>
        <w:left w:val="none" w:sz="0" w:space="0" w:color="auto"/>
        <w:bottom w:val="none" w:sz="0" w:space="0" w:color="auto"/>
        <w:right w:val="none" w:sz="0" w:space="0" w:color="auto"/>
      </w:divBdr>
    </w:div>
    <w:div w:id="1788818186">
      <w:bodyDiv w:val="1"/>
      <w:marLeft w:val="0"/>
      <w:marRight w:val="0"/>
      <w:marTop w:val="0"/>
      <w:marBottom w:val="0"/>
      <w:divBdr>
        <w:top w:val="none" w:sz="0" w:space="0" w:color="auto"/>
        <w:left w:val="none" w:sz="0" w:space="0" w:color="auto"/>
        <w:bottom w:val="none" w:sz="0" w:space="0" w:color="auto"/>
        <w:right w:val="none" w:sz="0" w:space="0" w:color="auto"/>
      </w:divBdr>
    </w:div>
    <w:div w:id="1812365276">
      <w:bodyDiv w:val="1"/>
      <w:marLeft w:val="0"/>
      <w:marRight w:val="0"/>
      <w:marTop w:val="0"/>
      <w:marBottom w:val="0"/>
      <w:divBdr>
        <w:top w:val="none" w:sz="0" w:space="0" w:color="auto"/>
        <w:left w:val="none" w:sz="0" w:space="0" w:color="auto"/>
        <w:bottom w:val="none" w:sz="0" w:space="0" w:color="auto"/>
        <w:right w:val="none" w:sz="0" w:space="0" w:color="auto"/>
      </w:divBdr>
    </w:div>
    <w:div w:id="1821579227">
      <w:bodyDiv w:val="1"/>
      <w:marLeft w:val="0"/>
      <w:marRight w:val="0"/>
      <w:marTop w:val="0"/>
      <w:marBottom w:val="0"/>
      <w:divBdr>
        <w:top w:val="none" w:sz="0" w:space="0" w:color="auto"/>
        <w:left w:val="none" w:sz="0" w:space="0" w:color="auto"/>
        <w:bottom w:val="none" w:sz="0" w:space="0" w:color="auto"/>
        <w:right w:val="none" w:sz="0" w:space="0" w:color="auto"/>
      </w:divBdr>
    </w:div>
    <w:div w:id="1825900015">
      <w:bodyDiv w:val="1"/>
      <w:marLeft w:val="0"/>
      <w:marRight w:val="0"/>
      <w:marTop w:val="0"/>
      <w:marBottom w:val="0"/>
      <w:divBdr>
        <w:top w:val="none" w:sz="0" w:space="0" w:color="auto"/>
        <w:left w:val="none" w:sz="0" w:space="0" w:color="auto"/>
        <w:bottom w:val="none" w:sz="0" w:space="0" w:color="auto"/>
        <w:right w:val="none" w:sz="0" w:space="0" w:color="auto"/>
      </w:divBdr>
    </w:div>
    <w:div w:id="1839031648">
      <w:bodyDiv w:val="1"/>
      <w:marLeft w:val="0"/>
      <w:marRight w:val="0"/>
      <w:marTop w:val="0"/>
      <w:marBottom w:val="0"/>
      <w:divBdr>
        <w:top w:val="none" w:sz="0" w:space="0" w:color="auto"/>
        <w:left w:val="none" w:sz="0" w:space="0" w:color="auto"/>
        <w:bottom w:val="none" w:sz="0" w:space="0" w:color="auto"/>
        <w:right w:val="none" w:sz="0" w:space="0" w:color="auto"/>
      </w:divBdr>
    </w:div>
    <w:div w:id="1872720001">
      <w:bodyDiv w:val="1"/>
      <w:marLeft w:val="0"/>
      <w:marRight w:val="0"/>
      <w:marTop w:val="0"/>
      <w:marBottom w:val="0"/>
      <w:divBdr>
        <w:top w:val="none" w:sz="0" w:space="0" w:color="auto"/>
        <w:left w:val="none" w:sz="0" w:space="0" w:color="auto"/>
        <w:bottom w:val="none" w:sz="0" w:space="0" w:color="auto"/>
        <w:right w:val="none" w:sz="0" w:space="0" w:color="auto"/>
      </w:divBdr>
    </w:div>
    <w:div w:id="1897084583">
      <w:bodyDiv w:val="1"/>
      <w:marLeft w:val="0"/>
      <w:marRight w:val="0"/>
      <w:marTop w:val="0"/>
      <w:marBottom w:val="0"/>
      <w:divBdr>
        <w:top w:val="none" w:sz="0" w:space="0" w:color="auto"/>
        <w:left w:val="none" w:sz="0" w:space="0" w:color="auto"/>
        <w:bottom w:val="none" w:sz="0" w:space="0" w:color="auto"/>
        <w:right w:val="none" w:sz="0" w:space="0" w:color="auto"/>
      </w:divBdr>
    </w:div>
    <w:div w:id="1948385904">
      <w:bodyDiv w:val="1"/>
      <w:marLeft w:val="0"/>
      <w:marRight w:val="0"/>
      <w:marTop w:val="0"/>
      <w:marBottom w:val="0"/>
      <w:divBdr>
        <w:top w:val="none" w:sz="0" w:space="0" w:color="auto"/>
        <w:left w:val="none" w:sz="0" w:space="0" w:color="auto"/>
        <w:bottom w:val="none" w:sz="0" w:space="0" w:color="auto"/>
        <w:right w:val="none" w:sz="0" w:space="0" w:color="auto"/>
      </w:divBdr>
    </w:div>
    <w:div w:id="1966886888">
      <w:bodyDiv w:val="1"/>
      <w:marLeft w:val="0"/>
      <w:marRight w:val="0"/>
      <w:marTop w:val="0"/>
      <w:marBottom w:val="0"/>
      <w:divBdr>
        <w:top w:val="none" w:sz="0" w:space="0" w:color="auto"/>
        <w:left w:val="none" w:sz="0" w:space="0" w:color="auto"/>
        <w:bottom w:val="none" w:sz="0" w:space="0" w:color="auto"/>
        <w:right w:val="none" w:sz="0" w:space="0" w:color="auto"/>
      </w:divBdr>
    </w:div>
    <w:div w:id="2010130949">
      <w:bodyDiv w:val="1"/>
      <w:marLeft w:val="0"/>
      <w:marRight w:val="0"/>
      <w:marTop w:val="0"/>
      <w:marBottom w:val="0"/>
      <w:divBdr>
        <w:top w:val="none" w:sz="0" w:space="0" w:color="auto"/>
        <w:left w:val="none" w:sz="0" w:space="0" w:color="auto"/>
        <w:bottom w:val="none" w:sz="0" w:space="0" w:color="auto"/>
        <w:right w:val="none" w:sz="0" w:space="0" w:color="auto"/>
      </w:divBdr>
    </w:div>
    <w:div w:id="2044671851">
      <w:bodyDiv w:val="1"/>
      <w:marLeft w:val="0"/>
      <w:marRight w:val="0"/>
      <w:marTop w:val="0"/>
      <w:marBottom w:val="0"/>
      <w:divBdr>
        <w:top w:val="none" w:sz="0" w:space="0" w:color="auto"/>
        <w:left w:val="none" w:sz="0" w:space="0" w:color="auto"/>
        <w:bottom w:val="none" w:sz="0" w:space="0" w:color="auto"/>
        <w:right w:val="none" w:sz="0" w:space="0" w:color="auto"/>
      </w:divBdr>
    </w:div>
    <w:div w:id="2068530871">
      <w:bodyDiv w:val="1"/>
      <w:marLeft w:val="0"/>
      <w:marRight w:val="0"/>
      <w:marTop w:val="0"/>
      <w:marBottom w:val="0"/>
      <w:divBdr>
        <w:top w:val="none" w:sz="0" w:space="0" w:color="auto"/>
        <w:left w:val="none" w:sz="0" w:space="0" w:color="auto"/>
        <w:bottom w:val="none" w:sz="0" w:space="0" w:color="auto"/>
        <w:right w:val="none" w:sz="0" w:space="0" w:color="auto"/>
      </w:divBdr>
    </w:div>
    <w:div w:id="2069499678">
      <w:bodyDiv w:val="1"/>
      <w:marLeft w:val="0"/>
      <w:marRight w:val="0"/>
      <w:marTop w:val="0"/>
      <w:marBottom w:val="0"/>
      <w:divBdr>
        <w:top w:val="none" w:sz="0" w:space="0" w:color="auto"/>
        <w:left w:val="none" w:sz="0" w:space="0" w:color="auto"/>
        <w:bottom w:val="none" w:sz="0" w:space="0" w:color="auto"/>
        <w:right w:val="none" w:sz="0" w:space="0" w:color="auto"/>
      </w:divBdr>
    </w:div>
    <w:div w:id="2095008379">
      <w:bodyDiv w:val="1"/>
      <w:marLeft w:val="0"/>
      <w:marRight w:val="0"/>
      <w:marTop w:val="0"/>
      <w:marBottom w:val="0"/>
      <w:divBdr>
        <w:top w:val="none" w:sz="0" w:space="0" w:color="auto"/>
        <w:left w:val="none" w:sz="0" w:space="0" w:color="auto"/>
        <w:bottom w:val="none" w:sz="0" w:space="0" w:color="auto"/>
        <w:right w:val="none" w:sz="0" w:space="0" w:color="auto"/>
      </w:divBdr>
    </w:div>
    <w:div w:id="2104757405">
      <w:bodyDiv w:val="1"/>
      <w:marLeft w:val="0"/>
      <w:marRight w:val="0"/>
      <w:marTop w:val="0"/>
      <w:marBottom w:val="0"/>
      <w:divBdr>
        <w:top w:val="none" w:sz="0" w:space="0" w:color="auto"/>
        <w:left w:val="none" w:sz="0" w:space="0" w:color="auto"/>
        <w:bottom w:val="none" w:sz="0" w:space="0" w:color="auto"/>
        <w:right w:val="none" w:sz="0" w:space="0" w:color="auto"/>
      </w:divBdr>
    </w:div>
    <w:div w:id="2118210892">
      <w:bodyDiv w:val="1"/>
      <w:marLeft w:val="0"/>
      <w:marRight w:val="0"/>
      <w:marTop w:val="0"/>
      <w:marBottom w:val="0"/>
      <w:divBdr>
        <w:top w:val="none" w:sz="0" w:space="0" w:color="auto"/>
        <w:left w:val="none" w:sz="0" w:space="0" w:color="auto"/>
        <w:bottom w:val="none" w:sz="0" w:space="0" w:color="auto"/>
        <w:right w:val="none" w:sz="0" w:space="0" w:color="auto"/>
      </w:divBdr>
    </w:div>
    <w:div w:id="2129932481">
      <w:bodyDiv w:val="1"/>
      <w:marLeft w:val="0"/>
      <w:marRight w:val="0"/>
      <w:marTop w:val="0"/>
      <w:marBottom w:val="0"/>
      <w:divBdr>
        <w:top w:val="none" w:sz="0" w:space="0" w:color="auto"/>
        <w:left w:val="none" w:sz="0" w:space="0" w:color="auto"/>
        <w:bottom w:val="none" w:sz="0" w:space="0" w:color="auto"/>
        <w:right w:val="none" w:sz="0" w:space="0" w:color="auto"/>
      </w:divBdr>
      <w:divsChild>
        <w:div w:id="367224115">
          <w:marLeft w:val="288"/>
          <w:marRight w:val="0"/>
          <w:marTop w:val="86"/>
          <w:marBottom w:val="0"/>
          <w:divBdr>
            <w:top w:val="none" w:sz="0" w:space="0" w:color="auto"/>
            <w:left w:val="none" w:sz="0" w:space="0" w:color="auto"/>
            <w:bottom w:val="none" w:sz="0" w:space="0" w:color="auto"/>
            <w:right w:val="none" w:sz="0" w:space="0" w:color="auto"/>
          </w:divBdr>
        </w:div>
      </w:divsChild>
    </w:div>
    <w:div w:id="213123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ac.gov.au/" TargetMode="External"/><Relationship Id="rId13" Type="http://schemas.openxmlformats.org/officeDocument/2006/relationships/image" Target="media/image4.png"/><Relationship Id="rId18" Type="http://schemas.openxmlformats.org/officeDocument/2006/relationships/hyperlink" Target="http://msac.gov.au/internet/msac/publishing.nsf/Content/Home-1"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bs.gov.au/industry/listing/elements/pbac-meetings/psd/2013-08/sunitinib-psd-08-2013.pdf"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linicaltrials.gov/study/NCT02230176"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ema.europa.eu/en/medicines/human/EPAR/lutathera" TargetMode="External"/><Relationship Id="rId1" Type="http://schemas.openxmlformats.org/officeDocument/2006/relationships/hyperlink" Target="https://ascopubs.org/doi/10.1200/JCO.2021.39.15_suppl.e16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E83F6-1C39-4091-985A-21C7DD0F7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20750</Words>
  <Characters>128671</Characters>
  <Application>Microsoft Office Word</Application>
  <DocSecurity>2</DocSecurity>
  <Lines>1072</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149123</CharactersWithSpaces>
  <SharedDoc>false</SharedDoc>
  <HLinks>
    <vt:vector size="36" baseType="variant">
      <vt:variant>
        <vt:i4>6684716</vt:i4>
      </vt:variant>
      <vt:variant>
        <vt:i4>182</vt:i4>
      </vt:variant>
      <vt:variant>
        <vt:i4>0</vt:i4>
      </vt:variant>
      <vt:variant>
        <vt:i4>5</vt:i4>
      </vt:variant>
      <vt:variant>
        <vt:lpwstr>http://msac.gov.au/internet/msac/publishing.nsf/Content/Home-1</vt:lpwstr>
      </vt:variant>
      <vt:variant>
        <vt:lpwstr/>
      </vt:variant>
      <vt:variant>
        <vt:i4>1572947</vt:i4>
      </vt:variant>
      <vt:variant>
        <vt:i4>146</vt:i4>
      </vt:variant>
      <vt:variant>
        <vt:i4>0</vt:i4>
      </vt:variant>
      <vt:variant>
        <vt:i4>5</vt:i4>
      </vt:variant>
      <vt:variant>
        <vt:lpwstr>https://www.pbs.gov.au/industry/listing/elements/pbac-meetings/psd/2013-08/sunitinib-psd-08-2013.pdf</vt:lpwstr>
      </vt:variant>
      <vt:variant>
        <vt:lpwstr/>
      </vt:variant>
      <vt:variant>
        <vt:i4>917508</vt:i4>
      </vt:variant>
      <vt:variant>
        <vt:i4>3</vt:i4>
      </vt:variant>
      <vt:variant>
        <vt:i4>0</vt:i4>
      </vt:variant>
      <vt:variant>
        <vt:i4>5</vt:i4>
      </vt:variant>
      <vt:variant>
        <vt:lpwstr>https://clinicaltrials.gov/study/NCT02230176</vt:lpwstr>
      </vt:variant>
      <vt:variant>
        <vt:lpwstr/>
      </vt:variant>
      <vt:variant>
        <vt:i4>3997744</vt:i4>
      </vt:variant>
      <vt:variant>
        <vt:i4>0</vt:i4>
      </vt:variant>
      <vt:variant>
        <vt:i4>0</vt:i4>
      </vt:variant>
      <vt:variant>
        <vt:i4>5</vt:i4>
      </vt:variant>
      <vt:variant>
        <vt:lpwstr>http://www.msac.gov.au/</vt:lpwstr>
      </vt:variant>
      <vt:variant>
        <vt:lpwstr/>
      </vt:variant>
      <vt:variant>
        <vt:i4>7143469</vt:i4>
      </vt:variant>
      <vt:variant>
        <vt:i4>3</vt:i4>
      </vt:variant>
      <vt:variant>
        <vt:i4>0</vt:i4>
      </vt:variant>
      <vt:variant>
        <vt:i4>5</vt:i4>
      </vt:variant>
      <vt:variant>
        <vt:lpwstr>https://www.ema.europa.eu/en/medicines/human/EPAR/lutathera</vt:lpwstr>
      </vt:variant>
      <vt:variant>
        <vt:lpwstr/>
      </vt:variant>
      <vt:variant>
        <vt:i4>8126492</vt:i4>
      </vt:variant>
      <vt:variant>
        <vt:i4>0</vt:i4>
      </vt:variant>
      <vt:variant>
        <vt:i4>0</vt:i4>
      </vt:variant>
      <vt:variant>
        <vt:i4>5</vt:i4>
      </vt:variant>
      <vt:variant>
        <vt:lpwstr>https://ascopubs.org/doi/10.1200/JCO.2021.39.15_suppl.e16198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2024-10-09T03:09:00Z</dcterms:created>
  <dcterms:modified xsi:type="dcterms:W3CDTF">2024-10-09T03:10:00Z</dcterms:modified>
</cp:coreProperties>
</file>