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E6B6C" w14:textId="104D87C9" w:rsidR="006478E7" w:rsidRPr="00490FBB" w:rsidRDefault="006478E7" w:rsidP="006478E7">
      <w:pPr>
        <w:spacing w:before="120" w:after="120" w:line="312" w:lineRule="auto"/>
        <w:jc w:val="center"/>
      </w:pPr>
      <w:bookmarkStart w:id="0" w:name="_Hlk140017131"/>
      <w:bookmarkEnd w:id="0"/>
    </w:p>
    <w:p w14:paraId="50B6D781" w14:textId="4096F0D0" w:rsidR="006478E7" w:rsidRPr="00ED4E95" w:rsidRDefault="00BB0FFB" w:rsidP="00BB0FFB">
      <w:pPr>
        <w:pStyle w:val="Heading10"/>
        <w:spacing w:before="2880"/>
        <w:jc w:val="center"/>
        <w:rPr>
          <w:sz w:val="48"/>
          <w:szCs w:val="48"/>
        </w:rPr>
      </w:pPr>
      <w:r w:rsidRPr="00ED4E95">
        <w:rPr>
          <w:sz w:val="48"/>
          <w:szCs w:val="48"/>
        </w:rPr>
        <w:t xml:space="preserve">MSAC </w:t>
      </w:r>
      <w:r w:rsidR="006478E7" w:rsidRPr="00ED4E95">
        <w:rPr>
          <w:sz w:val="48"/>
          <w:szCs w:val="48"/>
        </w:rPr>
        <w:t xml:space="preserve">Application </w:t>
      </w:r>
      <w:r w:rsidR="00D4752F" w:rsidRPr="00ED4E95">
        <w:rPr>
          <w:sz w:val="48"/>
          <w:szCs w:val="48"/>
        </w:rPr>
        <w:t>1744</w:t>
      </w:r>
    </w:p>
    <w:p w14:paraId="11765312" w14:textId="6BB07157" w:rsidR="006478E7" w:rsidRPr="00370B70" w:rsidRDefault="00D4752F" w:rsidP="006478E7">
      <w:pPr>
        <w:pStyle w:val="Heading10"/>
        <w:jc w:val="center"/>
        <w:rPr>
          <w:color w:val="548DD4"/>
          <w:sz w:val="48"/>
          <w:szCs w:val="48"/>
        </w:rPr>
      </w:pPr>
      <w:r w:rsidRPr="00370B70">
        <w:rPr>
          <w:color w:val="548DD4"/>
          <w:sz w:val="48"/>
          <w:szCs w:val="48"/>
          <w:vertAlign w:val="superscript"/>
        </w:rPr>
        <w:t>177</w:t>
      </w:r>
      <w:r w:rsidRPr="00370B70">
        <w:rPr>
          <w:color w:val="548DD4"/>
          <w:sz w:val="48"/>
          <w:szCs w:val="48"/>
        </w:rPr>
        <w:t>Lutetium(nca)</w:t>
      </w:r>
      <w:r w:rsidR="00317448" w:rsidRPr="00370B70">
        <w:rPr>
          <w:color w:val="548DD4"/>
          <w:sz w:val="48"/>
          <w:szCs w:val="48"/>
        </w:rPr>
        <w:t>-</w:t>
      </w:r>
      <w:r w:rsidR="001C03D0" w:rsidRPr="00370B70">
        <w:rPr>
          <w:color w:val="548DD4"/>
          <w:sz w:val="48"/>
          <w:szCs w:val="48"/>
        </w:rPr>
        <w:t>DOTA-octreotate</w:t>
      </w:r>
      <w:r w:rsidRPr="00370B70">
        <w:rPr>
          <w:color w:val="548DD4"/>
          <w:sz w:val="48"/>
          <w:szCs w:val="48"/>
        </w:rPr>
        <w:t xml:space="preserve"> treatment for advanced neuroendocrine </w:t>
      </w:r>
      <w:r w:rsidR="008468D0">
        <w:rPr>
          <w:color w:val="548DD4"/>
          <w:sz w:val="48"/>
          <w:szCs w:val="48"/>
        </w:rPr>
        <w:t>neoplasms</w:t>
      </w:r>
      <w:r w:rsidR="008468D0" w:rsidRPr="00370B70">
        <w:rPr>
          <w:color w:val="548DD4"/>
          <w:sz w:val="48"/>
          <w:szCs w:val="48"/>
        </w:rPr>
        <w:t xml:space="preserve"> </w:t>
      </w:r>
      <w:r w:rsidRPr="00370B70">
        <w:rPr>
          <w:color w:val="548DD4"/>
          <w:sz w:val="48"/>
          <w:szCs w:val="48"/>
        </w:rPr>
        <w:t>(NE</w:t>
      </w:r>
      <w:r w:rsidR="008468D0">
        <w:rPr>
          <w:color w:val="548DD4"/>
          <w:sz w:val="48"/>
          <w:szCs w:val="48"/>
        </w:rPr>
        <w:t>N</w:t>
      </w:r>
      <w:r w:rsidRPr="00370B70">
        <w:rPr>
          <w:color w:val="548DD4"/>
          <w:sz w:val="48"/>
          <w:szCs w:val="48"/>
        </w:rPr>
        <w:t>s)</w:t>
      </w:r>
      <w:r w:rsidR="008468D0">
        <w:rPr>
          <w:color w:val="548DD4"/>
          <w:sz w:val="48"/>
          <w:szCs w:val="48"/>
        </w:rPr>
        <w:t xml:space="preserve"> with high somatostatin receptor (SSTR) expression</w:t>
      </w:r>
      <w:r w:rsidRPr="00370B70">
        <w:rPr>
          <w:color w:val="548DD4"/>
          <w:sz w:val="48"/>
          <w:szCs w:val="48"/>
        </w:rPr>
        <w:t xml:space="preserve"> </w:t>
      </w:r>
    </w:p>
    <w:p w14:paraId="23900CA0" w14:textId="11CC9306" w:rsidR="006478E7" w:rsidRPr="00ED4E95" w:rsidRDefault="006478E7" w:rsidP="00BB0FFB">
      <w:pPr>
        <w:pStyle w:val="Heading1"/>
      </w:pPr>
      <w:r w:rsidRPr="00ED4E95">
        <w:t>PICO Confirmation</w:t>
      </w:r>
      <w:r w:rsidRPr="00ED4E95">
        <w:br w:type="page"/>
      </w:r>
    </w:p>
    <w:p w14:paraId="219312C8" w14:textId="2E81343E" w:rsidR="006478E7" w:rsidRPr="00ED4E95" w:rsidRDefault="006478E7" w:rsidP="00BB0FFB">
      <w:pPr>
        <w:pStyle w:val="Heading2"/>
      </w:pPr>
      <w:r w:rsidRPr="00ED4E95">
        <w:lastRenderedPageBreak/>
        <w:t>Summary of PI</w:t>
      </w:r>
      <w:r w:rsidR="00235B21" w:rsidRPr="00ED4E95">
        <w:t xml:space="preserve">CO/PPICO criteria to define </w:t>
      </w:r>
      <w:r w:rsidRPr="00ED4E95">
        <w:t>question(s) to be addressed in an Assessment Report to the Medical Services Advisory Committee (MSAC)</w:t>
      </w:r>
    </w:p>
    <w:p w14:paraId="224459F3" w14:textId="239C6279" w:rsidR="00D52956" w:rsidRPr="00ED4E95" w:rsidRDefault="00D52956" w:rsidP="00D52956">
      <w:pPr>
        <w:pStyle w:val="Caption"/>
      </w:pPr>
      <w:bookmarkStart w:id="1" w:name="_Ref69732160"/>
      <w:bookmarkStart w:id="2" w:name="_Ref69732155"/>
      <w:r w:rsidRPr="00ED4E95">
        <w:t>Table</w:t>
      </w:r>
      <w:r w:rsidR="00FD4C65" w:rsidRPr="00ED4E95">
        <w:t> </w:t>
      </w:r>
      <w:r w:rsidRPr="00ED4E95">
        <w:fldChar w:fldCharType="begin"/>
      </w:r>
      <w:r w:rsidRPr="00ED4E95">
        <w:instrText xml:space="preserve"> SEQ Table \* ARABIC </w:instrText>
      </w:r>
      <w:r w:rsidRPr="00ED4E95">
        <w:fldChar w:fldCharType="separate"/>
      </w:r>
      <w:r w:rsidR="00401046">
        <w:rPr>
          <w:noProof/>
        </w:rPr>
        <w:t>1</w:t>
      </w:r>
      <w:r w:rsidRPr="00ED4E95">
        <w:fldChar w:fldCharType="end"/>
      </w:r>
      <w:bookmarkEnd w:id="1"/>
      <w:r w:rsidRPr="00ED4E95">
        <w:tab/>
        <w:t xml:space="preserve">PICO for </w:t>
      </w:r>
      <w:r w:rsidR="00987D45" w:rsidRPr="00ED4E95">
        <w:rPr>
          <w:vertAlign w:val="superscript"/>
        </w:rPr>
        <w:t>177</w:t>
      </w:r>
      <w:r w:rsidR="00987D45" w:rsidRPr="00ED4E95">
        <w:t>Lutetium(nca)</w:t>
      </w:r>
      <w:r w:rsidR="00317448">
        <w:t>-</w:t>
      </w:r>
      <w:r w:rsidR="001C03D0">
        <w:t>DOTA-octreotate</w:t>
      </w:r>
      <w:r w:rsidR="0058785D">
        <w:t xml:space="preserve"> (applicant’s proposed intervention)</w:t>
      </w:r>
      <w:r w:rsidR="00987D45" w:rsidRPr="00ED4E95">
        <w:rPr>
          <w:vertAlign w:val="superscript"/>
        </w:rPr>
        <w:t xml:space="preserve"> </w:t>
      </w:r>
      <w:r w:rsidRPr="00ED4E95">
        <w:t xml:space="preserve">in </w:t>
      </w:r>
      <w:r w:rsidR="00987D45" w:rsidRPr="00ED4E95">
        <w:t xml:space="preserve">patients with advanced </w:t>
      </w:r>
      <w:r w:rsidR="006523BA" w:rsidRPr="00ED4E95">
        <w:t xml:space="preserve">neuroendocrine tumours </w:t>
      </w:r>
      <w:r w:rsidR="00987D45" w:rsidRPr="00ED4E95">
        <w:t xml:space="preserve">NETs and other </w:t>
      </w:r>
      <w:r w:rsidR="00A24141" w:rsidRPr="00A24141">
        <w:t xml:space="preserve">high somatostatin receptor (H-SSTR) </w:t>
      </w:r>
      <w:r w:rsidR="00987D45" w:rsidRPr="00ED4E95">
        <w:t>expressing tumours</w:t>
      </w:r>
      <w:r w:rsidRPr="00ED4E95">
        <w:t>: PICO Set 1</w:t>
      </w:r>
      <w:bookmarkEnd w:id="2"/>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923"/>
        <w:gridCol w:w="7643"/>
      </w:tblGrid>
      <w:tr w:rsidR="006478E7" w:rsidRPr="00ED4E95" w14:paraId="2A509B30" w14:textId="77777777" w:rsidTr="2EF7DFF4">
        <w:trPr>
          <w:trHeight w:val="372"/>
          <w:tblHeader/>
        </w:trPr>
        <w:tc>
          <w:tcPr>
            <w:tcW w:w="1005" w:type="pct"/>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333B8A35" w14:textId="77777777" w:rsidR="006478E7" w:rsidRPr="00ED4E95" w:rsidRDefault="006478E7" w:rsidP="00C54349">
            <w:pPr>
              <w:spacing w:before="20" w:after="20" w:line="240" w:lineRule="auto"/>
              <w:rPr>
                <w:b/>
              </w:rPr>
            </w:pPr>
            <w:bookmarkStart w:id="3" w:name="Title_Table1" w:colFirst="0" w:colLast="0"/>
            <w:r w:rsidRPr="00ED4E95">
              <w:rPr>
                <w:b/>
              </w:rPr>
              <w:t>Component</w:t>
            </w:r>
          </w:p>
        </w:tc>
        <w:tc>
          <w:tcPr>
            <w:tcW w:w="39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31DF4F" w14:textId="77777777" w:rsidR="006478E7" w:rsidRPr="00ED4E95" w:rsidRDefault="006478E7" w:rsidP="00C54349">
            <w:pPr>
              <w:spacing w:before="20" w:after="20" w:line="240" w:lineRule="auto"/>
              <w:rPr>
                <w:b/>
              </w:rPr>
            </w:pPr>
            <w:r w:rsidRPr="00ED4E95">
              <w:rPr>
                <w:b/>
              </w:rPr>
              <w:t>Description</w:t>
            </w:r>
          </w:p>
        </w:tc>
      </w:tr>
      <w:bookmarkEnd w:id="3"/>
      <w:tr w:rsidR="006478E7" w:rsidRPr="00ED4E95" w14:paraId="78E0BB65" w14:textId="77777777" w:rsidTr="2EF7DFF4">
        <w:tc>
          <w:tcPr>
            <w:tcW w:w="1005" w:type="pct"/>
            <w:tcBorders>
              <w:top w:val="single" w:sz="8" w:space="0" w:color="auto"/>
              <w:left w:val="single" w:sz="8" w:space="0" w:color="auto"/>
              <w:bottom w:val="single" w:sz="4" w:space="0" w:color="auto"/>
              <w:right w:val="single" w:sz="4" w:space="0" w:color="auto"/>
            </w:tcBorders>
            <w:hideMark/>
          </w:tcPr>
          <w:p w14:paraId="715E50D5" w14:textId="74EB4863" w:rsidR="006478E7" w:rsidRPr="00ED4E95" w:rsidRDefault="00F660E8" w:rsidP="00E01349">
            <w:pPr>
              <w:spacing w:before="120" w:after="120" w:line="240" w:lineRule="auto"/>
              <w:rPr>
                <w:rFonts w:cs="Arial"/>
              </w:rPr>
            </w:pPr>
            <w:r w:rsidRPr="00ED4E95">
              <w:rPr>
                <w:rFonts w:cs="Arial"/>
              </w:rPr>
              <w:t>Population</w:t>
            </w:r>
          </w:p>
        </w:tc>
        <w:tc>
          <w:tcPr>
            <w:tcW w:w="3995" w:type="pct"/>
            <w:tcBorders>
              <w:top w:val="single" w:sz="4" w:space="0" w:color="auto"/>
              <w:left w:val="single" w:sz="4" w:space="0" w:color="auto"/>
              <w:bottom w:val="single" w:sz="4" w:space="0" w:color="auto"/>
              <w:right w:val="single" w:sz="4" w:space="0" w:color="auto"/>
            </w:tcBorders>
            <w:hideMark/>
          </w:tcPr>
          <w:p w14:paraId="0A4A2AF7" w14:textId="3977B125" w:rsidR="00B07CF1" w:rsidRPr="00564BAC" w:rsidRDefault="004448E5" w:rsidP="003671C1">
            <w:r w:rsidRPr="00564BAC">
              <w:rPr>
                <w:b/>
                <w:bCs/>
              </w:rPr>
              <w:t>Overall population (test</w:t>
            </w:r>
            <w:r w:rsidR="00BE4997">
              <w:rPr>
                <w:b/>
                <w:bCs/>
              </w:rPr>
              <w:t xml:space="preserve"> 1</w:t>
            </w:r>
            <w:r w:rsidRPr="00564BAC">
              <w:rPr>
                <w:b/>
                <w:bCs/>
              </w:rPr>
              <w:t xml:space="preserve"> </w:t>
            </w:r>
            <w:r>
              <w:rPr>
                <w:b/>
                <w:bCs/>
              </w:rPr>
              <w:t xml:space="preserve">and </w:t>
            </w:r>
            <w:r w:rsidRPr="00564BAC">
              <w:rPr>
                <w:b/>
                <w:bCs/>
              </w:rPr>
              <w:t>therapeutic intervention):</w:t>
            </w:r>
            <w:r>
              <w:t xml:space="preserve"> </w:t>
            </w:r>
            <w:r w:rsidR="00213B02">
              <w:t>P</w:t>
            </w:r>
            <w:r w:rsidR="00213B02" w:rsidRPr="00213B02">
              <w:t>atients with histologically confirmed, locally advance</w:t>
            </w:r>
            <w:r w:rsidR="00213B02">
              <w:t>d</w:t>
            </w:r>
            <w:r w:rsidR="00213B02" w:rsidRPr="00213B02">
              <w:t xml:space="preserve"> or metastatic, and inoperable neuroendocrine tumours (NETs) with documented disease progression or uncontrolled symptoms related to their NE</w:t>
            </w:r>
            <w:r w:rsidR="003F606A">
              <w:t>T</w:t>
            </w:r>
            <w:r w:rsidR="00A5454F">
              <w:t xml:space="preserve"> </w:t>
            </w:r>
            <w:r w:rsidR="00465621" w:rsidRPr="00465621">
              <w:t xml:space="preserve">and suspected high somatostatin receptor (H-SSTR) expression </w:t>
            </w:r>
            <w:r w:rsidR="00385A4C">
              <w:t>(</w:t>
            </w:r>
            <w:r w:rsidR="00385A4C" w:rsidRPr="00564BAC">
              <w:rPr>
                <w:b/>
                <w:bCs/>
                <w:i/>
                <w:iCs/>
              </w:rPr>
              <w:t>for Test 1</w:t>
            </w:r>
            <w:r w:rsidR="00385A4C">
              <w:t xml:space="preserve">) </w:t>
            </w:r>
            <w:r w:rsidR="00385A4C" w:rsidRPr="00564BAC">
              <w:rPr>
                <w:b/>
                <w:bCs/>
              </w:rPr>
              <w:t xml:space="preserve">and </w:t>
            </w:r>
            <w:r w:rsidR="00385A4C">
              <w:t>demonstrated H-SSTR (</w:t>
            </w:r>
            <w:r w:rsidR="00385A4C" w:rsidRPr="00564BAC">
              <w:rPr>
                <w:b/>
                <w:bCs/>
                <w:i/>
                <w:iCs/>
              </w:rPr>
              <w:t>for Therapeutic Intervention</w:t>
            </w:r>
            <w:r w:rsidR="00385A4C">
              <w:t>)</w:t>
            </w:r>
            <w:r w:rsidR="00213B02">
              <w:t xml:space="preserve">, </w:t>
            </w:r>
            <w:r w:rsidR="00213B02" w:rsidRPr="00041374">
              <w:t>referred by a multidisciplinary team (MDT</w:t>
            </w:r>
            <w:r w:rsidR="00450317">
              <w:t>)</w:t>
            </w:r>
            <w:r w:rsidR="00A5454F">
              <w:rPr>
                <w:i/>
                <w:iCs/>
              </w:rPr>
              <w:t>.</w:t>
            </w:r>
          </w:p>
          <w:p w14:paraId="322F4DCF" w14:textId="06204DD6" w:rsidR="00BE4997" w:rsidRPr="00564BAC" w:rsidRDefault="00BE4997" w:rsidP="003671C1">
            <w:r>
              <w:rPr>
                <w:b/>
                <w:bCs/>
              </w:rPr>
              <w:t xml:space="preserve">Test 2: </w:t>
            </w:r>
            <w:r w:rsidRPr="00564BAC">
              <w:t xml:space="preserve">Population for </w:t>
            </w:r>
            <w:r w:rsidR="00AE63B5" w:rsidRPr="00564BAC">
              <w:rPr>
                <w:b/>
                <w:bCs/>
              </w:rPr>
              <w:t>T</w:t>
            </w:r>
            <w:r w:rsidRPr="00AE63B5">
              <w:rPr>
                <w:b/>
                <w:bCs/>
              </w:rPr>
              <w:t>est 1</w:t>
            </w:r>
            <w:r w:rsidRPr="00564BAC">
              <w:t xml:space="preserve"> who have (i) Grade 2 (G2; Ki-67 &gt;10-20%) or Grade 3 (G3) well-differentiated (Ki-67&gt; 20-55%) NET, or (ii) Grade 1 with disease progression in less than 6 months.</w:t>
            </w:r>
          </w:p>
          <w:p w14:paraId="4FB85861" w14:textId="77777777" w:rsidR="00DF34BC" w:rsidRDefault="004448E5" w:rsidP="003671C1">
            <w:r w:rsidRPr="00564BAC">
              <w:rPr>
                <w:b/>
                <w:bCs/>
              </w:rPr>
              <w:t>T</w:t>
            </w:r>
            <w:r w:rsidR="00781999" w:rsidRPr="00564BAC">
              <w:rPr>
                <w:b/>
                <w:bCs/>
              </w:rPr>
              <w:t>herape</w:t>
            </w:r>
            <w:r w:rsidR="00EF2482" w:rsidRPr="00564BAC">
              <w:rPr>
                <w:b/>
                <w:bCs/>
              </w:rPr>
              <w:t>utic intervention</w:t>
            </w:r>
            <w:r>
              <w:t xml:space="preserve">:  Patients with </w:t>
            </w:r>
            <w:r w:rsidR="00F40D6F" w:rsidRPr="00F40D6F">
              <w:t>demonstrate</w:t>
            </w:r>
            <w:r w:rsidR="00C11DBD">
              <w:t xml:space="preserve">d </w:t>
            </w:r>
            <w:r w:rsidR="00F40D6F" w:rsidRPr="00F40D6F">
              <w:t>high concentration of somatostatin receptor expressions</w:t>
            </w:r>
            <w:r w:rsidR="006E7AFB">
              <w:t xml:space="preserve"> (H-SSTR)</w:t>
            </w:r>
            <w:r w:rsidR="00F40D6F" w:rsidRPr="00F40D6F">
              <w:t xml:space="preserve"> </w:t>
            </w:r>
            <w:r w:rsidR="00F40D6F" w:rsidRPr="00564BAC">
              <w:rPr>
                <w:b/>
                <w:bCs/>
                <w:i/>
                <w:iCs/>
              </w:rPr>
              <w:t>at all, or the majority of</w:t>
            </w:r>
            <w:r w:rsidR="00F40D6F" w:rsidRPr="00F40D6F">
              <w:t>, tumour sites</w:t>
            </w:r>
            <w:r w:rsidR="00DF34BC">
              <w:t>.</w:t>
            </w:r>
          </w:p>
          <w:p w14:paraId="27E29BEE" w14:textId="420929FA" w:rsidR="000923DF" w:rsidRDefault="1C1C0E1E" w:rsidP="003671C1">
            <w:r>
              <w:t xml:space="preserve">For the purposes of the </w:t>
            </w:r>
            <w:r w:rsidR="00340066">
              <w:t>A</w:t>
            </w:r>
            <w:r>
              <w:t>ssessment</w:t>
            </w:r>
            <w:r w:rsidR="00340066">
              <w:t xml:space="preserve"> Report, </w:t>
            </w:r>
            <w:r w:rsidR="6CD9E15B">
              <w:t xml:space="preserve">the </w:t>
            </w:r>
            <w:r w:rsidR="6CD9E15B" w:rsidRPr="2EF7DFF4">
              <w:rPr>
                <w:u w:val="single"/>
              </w:rPr>
              <w:t>majority</w:t>
            </w:r>
            <w:r w:rsidR="6CD9E15B">
              <w:t xml:space="preserve"> of sites </w:t>
            </w:r>
            <w:r w:rsidR="00340066">
              <w:t>(</w:t>
            </w:r>
            <w:r w:rsidR="004A38EF">
              <w:t>where</w:t>
            </w:r>
            <w:r w:rsidR="6CD9E15B">
              <w:t xml:space="preserve"> tumours should not be too </w:t>
            </w:r>
            <w:r w:rsidR="43C72DC9">
              <w:t>small</w:t>
            </w:r>
            <w:r w:rsidR="6CD9E15B">
              <w:t xml:space="preserve"> to accurately reflect SSTR-expression</w:t>
            </w:r>
            <w:r w:rsidR="00340066">
              <w:t xml:space="preserve">) </w:t>
            </w:r>
            <w:r w:rsidR="6CD9E15B">
              <w:t xml:space="preserve">of known disease should </w:t>
            </w:r>
            <w:r w:rsidR="2F9D57FC">
              <w:t xml:space="preserve">have </w:t>
            </w:r>
            <w:r w:rsidR="47A6AB18">
              <w:t>a modified</w:t>
            </w:r>
            <w:r w:rsidR="6CD9E15B">
              <w:t xml:space="preserve"> Krenning score ≥3 (greater than liver). </w:t>
            </w:r>
            <w:r w:rsidR="084E773D">
              <w:t>However,</w:t>
            </w:r>
            <w:r w:rsidR="2C9CC319">
              <w:t xml:space="preserve"> it is still unresolved whether</w:t>
            </w:r>
            <w:r w:rsidR="4FD473AF">
              <w:t xml:space="preserve"> the modified Krenning score needs to be ≥3 in (i) all sites ≥2cm in size (ii) in the majority of sites ≥2 cm, </w:t>
            </w:r>
            <w:r w:rsidR="774627C1">
              <w:t>or (</w:t>
            </w:r>
            <w:r w:rsidR="4FD473AF">
              <w:t>iii) in the majority of all identified lesions.</w:t>
            </w:r>
          </w:p>
          <w:p w14:paraId="1EE2EF37" w14:textId="549AB370" w:rsidR="00450317" w:rsidRPr="00564BAC" w:rsidRDefault="6CD9E15B" w:rsidP="003671C1">
            <w:r>
              <w:t>With respect to discordant disease from Tests 1 and 2, the applicant proposes</w:t>
            </w:r>
            <w:r w:rsidR="67E30DB7">
              <w:t xml:space="preserve"> that eligibility for the therapeutic intervention</w:t>
            </w:r>
            <w:r w:rsidR="74A4D493">
              <w:t xml:space="preserve"> should be that patients have</w:t>
            </w:r>
            <w:r>
              <w:t xml:space="preserve"> no more than three sites</w:t>
            </w:r>
            <w:r w:rsidRPr="536B0F9D">
              <w:rPr>
                <w:i/>
                <w:iCs/>
              </w:rPr>
              <w:t xml:space="preserve"> </w:t>
            </w:r>
            <w:r>
              <w:t xml:space="preserve">of </w:t>
            </w:r>
            <w:r w:rsidR="6FB2AFD1">
              <w:t xml:space="preserve">discordance where the </w:t>
            </w:r>
            <w:r>
              <w:t xml:space="preserve">tumour </w:t>
            </w:r>
            <w:r w:rsidR="7CC91D55">
              <w:t xml:space="preserve">is </w:t>
            </w:r>
            <w:r>
              <w:t>greater than or equal to 2 cm</w:t>
            </w:r>
            <w:r w:rsidR="70F4FAEB">
              <w:t xml:space="preserve"> in size</w:t>
            </w:r>
            <w:r>
              <w:t>.</w:t>
            </w:r>
          </w:p>
          <w:p w14:paraId="2E93E0E3" w14:textId="14257354" w:rsidR="004A38EF" w:rsidRPr="00E35BCA" w:rsidRDefault="00340066" w:rsidP="003671C1">
            <w:r>
              <w:t>In clinical practice</w:t>
            </w:r>
            <w:r w:rsidR="004A38EF" w:rsidRPr="00E35BCA">
              <w:t>, suitability for treatment, with consideration of discordant disease, should be at the discretion of an MDT.</w:t>
            </w:r>
          </w:p>
          <w:p w14:paraId="4A4FF7C2" w14:textId="36E5D688" w:rsidR="00440BC6" w:rsidRPr="00E35BCA" w:rsidRDefault="008D4EDF" w:rsidP="003671C1">
            <w:r w:rsidRPr="00E35BCA">
              <w:t>Proposed Exemplar</w:t>
            </w:r>
            <w:r w:rsidR="00B026E3" w:rsidRPr="00E35BCA">
              <w:t>s</w:t>
            </w:r>
            <w:r w:rsidRPr="00E35BCA">
              <w:t>:</w:t>
            </w:r>
            <w:r w:rsidR="008722F7" w:rsidRPr="00E35BCA">
              <w:t xml:space="preserve"> Pancreatic NETs</w:t>
            </w:r>
            <w:r w:rsidR="00264F38" w:rsidRPr="00E35BCA">
              <w:t xml:space="preserve"> and </w:t>
            </w:r>
            <w:r w:rsidR="008722F7" w:rsidRPr="00E35BCA">
              <w:t>Midgut NETs</w:t>
            </w:r>
            <w:r w:rsidR="00264F38" w:rsidRPr="00E35BCA">
              <w:t>.</w:t>
            </w:r>
          </w:p>
        </w:tc>
      </w:tr>
      <w:tr w:rsidR="006478E7" w:rsidRPr="00ED4E95" w14:paraId="654E13A9" w14:textId="77777777" w:rsidTr="2EF7DFF4">
        <w:tc>
          <w:tcPr>
            <w:tcW w:w="1005" w:type="pct"/>
            <w:tcBorders>
              <w:top w:val="single" w:sz="4" w:space="0" w:color="auto"/>
              <w:left w:val="single" w:sz="8" w:space="0" w:color="auto"/>
              <w:bottom w:val="single" w:sz="4" w:space="0" w:color="auto"/>
              <w:right w:val="single" w:sz="4" w:space="0" w:color="auto"/>
            </w:tcBorders>
            <w:hideMark/>
          </w:tcPr>
          <w:p w14:paraId="5BF0C211" w14:textId="77777777" w:rsidR="006478E7" w:rsidRPr="00ED4E95" w:rsidRDefault="006478E7" w:rsidP="00E01349">
            <w:pPr>
              <w:spacing w:before="120" w:after="120" w:line="240" w:lineRule="auto"/>
              <w:rPr>
                <w:rFonts w:cs="Arial"/>
              </w:rPr>
            </w:pPr>
            <w:r w:rsidRPr="00ED4E95">
              <w:rPr>
                <w:rFonts w:cs="Arial"/>
              </w:rPr>
              <w:t>Intervention</w:t>
            </w:r>
          </w:p>
        </w:tc>
        <w:tc>
          <w:tcPr>
            <w:tcW w:w="3995" w:type="pct"/>
            <w:tcBorders>
              <w:top w:val="single" w:sz="4" w:space="0" w:color="auto"/>
              <w:left w:val="single" w:sz="4" w:space="0" w:color="auto"/>
              <w:bottom w:val="single" w:sz="4" w:space="0" w:color="auto"/>
              <w:right w:val="single" w:sz="4" w:space="0" w:color="auto"/>
            </w:tcBorders>
            <w:hideMark/>
          </w:tcPr>
          <w:p w14:paraId="0226B6C3" w14:textId="6F69BDF1" w:rsidR="00931488" w:rsidRPr="00ED4E95" w:rsidRDefault="0BBF4249" w:rsidP="003671C1">
            <w:pPr>
              <w:rPr>
                <w:u w:val="single"/>
              </w:rPr>
            </w:pPr>
            <w:r w:rsidRPr="6D0DAEE2">
              <w:rPr>
                <w:u w:val="single"/>
              </w:rPr>
              <w:t>Test 1</w:t>
            </w:r>
            <w:r w:rsidR="0E8BF326" w:rsidRPr="6D0DAEE2">
              <w:rPr>
                <w:u w:val="single"/>
              </w:rPr>
              <w:t>:</w:t>
            </w:r>
            <w:r w:rsidR="3F1ED917">
              <w:t xml:space="preserve"> Whole body </w:t>
            </w:r>
            <w:r w:rsidR="3F1ED917" w:rsidRPr="6D0DAEE2">
              <w:rPr>
                <w:vertAlign w:val="superscript"/>
              </w:rPr>
              <w:t>68</w:t>
            </w:r>
            <w:r w:rsidR="00F4E014">
              <w:t>Gallium (</w:t>
            </w:r>
            <w:r w:rsidR="00F4E014" w:rsidRPr="6D0DAEE2">
              <w:rPr>
                <w:vertAlign w:val="superscript"/>
              </w:rPr>
              <w:t>68</w:t>
            </w:r>
            <w:r w:rsidR="3F1ED917">
              <w:t>Ga</w:t>
            </w:r>
            <w:r w:rsidR="00F4E014">
              <w:t>)</w:t>
            </w:r>
            <w:r w:rsidR="3F1ED917">
              <w:t>-</w:t>
            </w:r>
            <w:r w:rsidR="39EBDA69">
              <w:t>DOTA-</w:t>
            </w:r>
            <w:r w:rsidR="00110D5F">
              <w:t xml:space="preserve">octreotate </w:t>
            </w:r>
            <w:r w:rsidR="00F4E014">
              <w:t xml:space="preserve">positron emission tomography (PET)/computed tomography (CT) - </w:t>
            </w:r>
            <w:r w:rsidR="00F4E014" w:rsidRPr="6D0DAEE2">
              <w:rPr>
                <w:vertAlign w:val="superscript"/>
              </w:rPr>
              <w:t>68</w:t>
            </w:r>
            <w:r w:rsidR="00F4E014">
              <w:t>Ga</w:t>
            </w:r>
            <w:r w:rsidR="17D74CD6">
              <w:t>-</w:t>
            </w:r>
            <w:r w:rsidR="39EBDA69">
              <w:t xml:space="preserve">DOTA-octreotate </w:t>
            </w:r>
            <w:r w:rsidR="00F4E014">
              <w:t xml:space="preserve">PET/CT </w:t>
            </w:r>
            <w:r w:rsidR="3F1ED917">
              <w:t>imaging</w:t>
            </w:r>
            <w:r w:rsidR="00041374">
              <w:t xml:space="preserve"> to document adequate target tumour expression of </w:t>
            </w:r>
            <w:r w:rsidR="00041374" w:rsidRPr="00465621">
              <w:t xml:space="preserve">somatostatin receptor </w:t>
            </w:r>
            <w:r w:rsidR="00041374">
              <w:t xml:space="preserve">(SSTR) to predict likely tumour response to </w:t>
            </w:r>
            <w:r w:rsidR="004A38EF" w:rsidRPr="004C3B98">
              <w:t>the therapeutic intervention</w:t>
            </w:r>
            <w:r w:rsidR="3F1ED917">
              <w:t xml:space="preserve">. </w:t>
            </w:r>
          </w:p>
          <w:p w14:paraId="1323D935" w14:textId="50BF95C7" w:rsidR="001B64A4" w:rsidRPr="00ED4E95" w:rsidRDefault="001B64A4" w:rsidP="003671C1">
            <w:pPr>
              <w:rPr>
                <w:b/>
                <w:bCs/>
              </w:rPr>
            </w:pPr>
            <w:r w:rsidRPr="00ED4E95">
              <w:rPr>
                <w:b/>
                <w:bCs/>
              </w:rPr>
              <w:t>AND</w:t>
            </w:r>
          </w:p>
          <w:p w14:paraId="66A32DF1" w14:textId="22970253" w:rsidR="007D6B03" w:rsidRDefault="00931488" w:rsidP="003671C1">
            <w:r w:rsidRPr="00ED4E95">
              <w:rPr>
                <w:u w:val="single"/>
              </w:rPr>
              <w:lastRenderedPageBreak/>
              <w:t xml:space="preserve">Test </w:t>
            </w:r>
            <w:r w:rsidR="00353B44" w:rsidRPr="00ED4E95">
              <w:rPr>
                <w:u w:val="single"/>
              </w:rPr>
              <w:t>2:</w:t>
            </w:r>
            <w:r w:rsidR="001B64A4" w:rsidRPr="00ED4E95">
              <w:t xml:space="preserve"> </w:t>
            </w:r>
            <w:r w:rsidR="005578E9" w:rsidRPr="00ED4E95">
              <w:t>Whole body</w:t>
            </w:r>
            <w:r w:rsidR="00A24141">
              <w:t xml:space="preserve"> </w:t>
            </w:r>
            <w:r w:rsidR="006523BA" w:rsidRPr="00ED4E95">
              <w:t>fluorodeoxyglucose (FDG) PET/CT –</w:t>
            </w:r>
            <w:r w:rsidR="00AF3B95">
              <w:t xml:space="preserve"> </w:t>
            </w:r>
            <w:r w:rsidR="006523BA" w:rsidRPr="00ED4E95">
              <w:t>FDG PET/CT</w:t>
            </w:r>
            <w:r w:rsidR="006523BA" w:rsidRPr="00ED4E95">
              <w:rPr>
                <w:vertAlign w:val="superscript"/>
              </w:rPr>
              <w:t xml:space="preserve"> </w:t>
            </w:r>
            <w:r w:rsidR="005578E9" w:rsidRPr="00ED4E95">
              <w:t xml:space="preserve">imaging. </w:t>
            </w:r>
          </w:p>
          <w:p w14:paraId="28A089B3" w14:textId="11C48605" w:rsidR="00931488" w:rsidRPr="00ED4E95" w:rsidRDefault="006115A5" w:rsidP="003671C1">
            <w:r w:rsidRPr="00ED4E95">
              <w:t>T</w:t>
            </w:r>
            <w:r w:rsidR="005578E9" w:rsidRPr="00ED4E95">
              <w:t xml:space="preserve">he FDG PET/CT scan </w:t>
            </w:r>
            <w:r w:rsidR="005A6B93" w:rsidRPr="00ED4E95">
              <w:t>assists in sequencing decision</w:t>
            </w:r>
            <w:r w:rsidR="00DA6A3D">
              <w:t>s</w:t>
            </w:r>
            <w:r w:rsidR="005A6B93" w:rsidRPr="00ED4E95">
              <w:t xml:space="preserve"> </w:t>
            </w:r>
            <w:r w:rsidR="438EF00E">
              <w:t>for</w:t>
            </w:r>
            <w:r w:rsidR="005A6B93" w:rsidRPr="00ED4E95">
              <w:t xml:space="preserve"> the therapeutic intervention (i.e., depending on whether SSTR and FDG results are dis</w:t>
            </w:r>
            <w:r w:rsidR="00C6168D" w:rsidRPr="00ED4E95">
              <w:t>-</w:t>
            </w:r>
            <w:r w:rsidR="005A6B93" w:rsidRPr="00ED4E95">
              <w:t>/concordant will influence the sequencing of the therapeutic intervention).</w:t>
            </w:r>
            <w:r w:rsidR="00315528">
              <w:t xml:space="preserve"> </w:t>
            </w:r>
          </w:p>
          <w:p w14:paraId="14018BA4" w14:textId="7DF24D83" w:rsidR="00EF0A12" w:rsidRPr="00ED4E95" w:rsidRDefault="00931488" w:rsidP="003671C1">
            <w:r w:rsidRPr="00ED4E95">
              <w:rPr>
                <w:u w:val="single"/>
              </w:rPr>
              <w:t>Therapeutic Intervention:</w:t>
            </w:r>
            <w:r w:rsidR="00353B44" w:rsidRPr="00ED4E95">
              <w:t xml:space="preserve"> </w:t>
            </w:r>
            <w:r w:rsidR="00E86E37">
              <w:t>P</w:t>
            </w:r>
            <w:r w:rsidR="00E86E37" w:rsidRPr="00E86E37">
              <w:t xml:space="preserve">eptide receptor radionuclide therapy </w:t>
            </w:r>
            <w:r w:rsidR="00E86E37">
              <w:t>(PRRT) with</w:t>
            </w:r>
            <w:r w:rsidR="005A6B93" w:rsidRPr="00ED4E95">
              <w:rPr>
                <w:vertAlign w:val="superscript"/>
              </w:rPr>
              <w:t>177</w:t>
            </w:r>
            <w:r w:rsidR="005A6B93" w:rsidRPr="00ED4E95">
              <w:t>Lutetium</w:t>
            </w:r>
            <w:r w:rsidR="004F06FA">
              <w:t>-</w:t>
            </w:r>
            <w:r w:rsidR="001C03D0">
              <w:t>DOTA-</w:t>
            </w:r>
            <w:r w:rsidR="00110D5F">
              <w:t xml:space="preserve">octreotate </w:t>
            </w:r>
            <w:r w:rsidR="00317448">
              <w:t>(</w:t>
            </w:r>
            <w:r w:rsidR="00317448" w:rsidRPr="00922B1C">
              <w:rPr>
                <w:rFonts w:cs="Calibri"/>
                <w:vertAlign w:val="superscript"/>
              </w:rPr>
              <w:t>177</w:t>
            </w:r>
            <w:r w:rsidR="00317448" w:rsidRPr="00922B1C">
              <w:rPr>
                <w:rFonts w:cs="Calibri"/>
              </w:rPr>
              <w:t>Lu-</w:t>
            </w:r>
            <w:r w:rsidR="001C03D0">
              <w:rPr>
                <w:rFonts w:cs="Calibri"/>
              </w:rPr>
              <w:t>DOTA-octreotate</w:t>
            </w:r>
            <w:r w:rsidR="00317448">
              <w:t xml:space="preserve">) </w:t>
            </w:r>
            <w:r w:rsidR="000E07D0" w:rsidRPr="00ED4E95">
              <w:t>treatment</w:t>
            </w:r>
            <w:r w:rsidR="005252A1" w:rsidRPr="00ED4E95">
              <w:t xml:space="preserve">. Standard </w:t>
            </w:r>
            <w:r w:rsidR="004F06FA">
              <w:t>administered activity</w:t>
            </w:r>
            <w:r w:rsidR="004F06FA" w:rsidRPr="00ED4E95">
              <w:t xml:space="preserve"> </w:t>
            </w:r>
            <w:r w:rsidR="005252A1" w:rsidRPr="00ED4E95">
              <w:t xml:space="preserve">is 7.4 GBq </w:t>
            </w:r>
            <w:r w:rsidR="005252A1" w:rsidRPr="009F071B">
              <w:rPr>
                <w:color w:val="000000" w:themeColor="text1"/>
              </w:rPr>
              <w:t>(</w:t>
            </w:r>
            <w:r w:rsidR="0004299F" w:rsidRPr="009F071B">
              <w:rPr>
                <w:color w:val="000000" w:themeColor="text1"/>
              </w:rPr>
              <w:t>G</w:t>
            </w:r>
            <w:r w:rsidR="005252A1" w:rsidRPr="009F071B">
              <w:rPr>
                <w:color w:val="000000" w:themeColor="text1"/>
              </w:rPr>
              <w:t>iga</w:t>
            </w:r>
            <w:r w:rsidR="0004299F" w:rsidRPr="009F071B">
              <w:rPr>
                <w:color w:val="000000" w:themeColor="text1"/>
              </w:rPr>
              <w:t>B</w:t>
            </w:r>
            <w:r w:rsidR="005252A1" w:rsidRPr="009F071B">
              <w:rPr>
                <w:color w:val="000000" w:themeColor="text1"/>
              </w:rPr>
              <w:t>ecquerel)</w:t>
            </w:r>
            <w:r w:rsidR="00B07CF1" w:rsidRPr="009F071B">
              <w:rPr>
                <w:color w:val="000000" w:themeColor="text1"/>
              </w:rPr>
              <w:t>.</w:t>
            </w:r>
            <w:r w:rsidR="005252A1" w:rsidRPr="009F071B">
              <w:rPr>
                <w:color w:val="000000" w:themeColor="text1"/>
              </w:rPr>
              <w:t xml:space="preserve"> </w:t>
            </w:r>
          </w:p>
          <w:p w14:paraId="235BC321" w14:textId="49E6FA0A" w:rsidR="004D1B97" w:rsidRPr="00ED4E95" w:rsidRDefault="00803511" w:rsidP="003671C1">
            <w:r w:rsidRPr="00ED4E95">
              <w:t xml:space="preserve">An induction </w:t>
            </w:r>
            <w:r w:rsidR="004F06FA">
              <w:t xml:space="preserve">treatment course </w:t>
            </w:r>
            <w:r w:rsidR="00601AE6">
              <w:t>is</w:t>
            </w:r>
            <w:r w:rsidR="00601AE6" w:rsidRPr="00ED4E95">
              <w:t xml:space="preserve"> </w:t>
            </w:r>
            <w:r w:rsidRPr="00ED4E95">
              <w:t xml:space="preserve">four </w:t>
            </w:r>
            <w:r w:rsidR="004F06FA">
              <w:t>treatment cycles</w:t>
            </w:r>
            <w:r w:rsidR="004F06FA" w:rsidRPr="00ED4E95">
              <w:t xml:space="preserve"> </w:t>
            </w:r>
            <w:r w:rsidRPr="00ED4E95">
              <w:t>at six to 12 but typically eight-weekly intervals</w:t>
            </w:r>
            <w:r w:rsidR="00EF0A12" w:rsidRPr="00ED4E95">
              <w:t xml:space="preserve">. </w:t>
            </w:r>
          </w:p>
          <w:p w14:paraId="3E51DB12" w14:textId="36B9ABC7" w:rsidR="00931488" w:rsidRPr="00ED4E95" w:rsidRDefault="004D1B97" w:rsidP="003671C1">
            <w:r w:rsidRPr="00ED4E95">
              <w:t xml:space="preserve">Progression/consolidation cycles </w:t>
            </w:r>
            <w:r w:rsidR="00601AE6">
              <w:t>are</w:t>
            </w:r>
            <w:r w:rsidRPr="00ED4E95">
              <w:t xml:space="preserve"> proposed</w:t>
            </w:r>
            <w:r w:rsidR="009D6272">
              <w:t xml:space="preserve"> for</w:t>
            </w:r>
            <w:r w:rsidRPr="00ED4E95">
              <w:t xml:space="preserve"> </w:t>
            </w:r>
            <w:r w:rsidR="0095096E">
              <w:t xml:space="preserve">individuals with </w:t>
            </w:r>
            <w:r w:rsidRPr="00ED4E95">
              <w:t>document</w:t>
            </w:r>
            <w:r w:rsidR="009D6272">
              <w:t>ed</w:t>
            </w:r>
            <w:r w:rsidRPr="00ED4E95">
              <w:t xml:space="preserve"> progression</w:t>
            </w:r>
            <w:r w:rsidR="004F06FA">
              <w:t xml:space="preserve"> or relapse of uncontrolled hormonal symptoms</w:t>
            </w:r>
            <w:r w:rsidR="00F04619">
              <w:t>,</w:t>
            </w:r>
            <w:r w:rsidRPr="00ED4E95">
              <w:t xml:space="preserve"> where the</w:t>
            </w:r>
            <w:r w:rsidRPr="00ED4E95" w:rsidDel="009D6272">
              <w:t xml:space="preserve"> </w:t>
            </w:r>
            <w:r w:rsidRPr="00ED4E95">
              <w:t xml:space="preserve">individual has had a favourable response to the induction treatment course with no self-limiting side-effects, </w:t>
            </w:r>
            <w:r w:rsidR="00601AE6">
              <w:t>after repeat</w:t>
            </w:r>
            <w:r w:rsidRPr="00ED4E95">
              <w:t xml:space="preserve"> SSTR imaging with or without FDG PET/CT imaging. Usually</w:t>
            </w:r>
            <w:r w:rsidR="00A24141">
              <w:t>,</w:t>
            </w:r>
            <w:r w:rsidR="00601AE6">
              <w:t xml:space="preserve"> </w:t>
            </w:r>
            <w:r w:rsidRPr="00ED4E95">
              <w:t xml:space="preserve">repeat </w:t>
            </w:r>
            <w:r w:rsidR="00317448" w:rsidRPr="00873346">
              <w:rPr>
                <w:rFonts w:cs="Calibri"/>
                <w:vertAlign w:val="superscript"/>
              </w:rPr>
              <w:t>177</w:t>
            </w:r>
            <w:r w:rsidR="00317448" w:rsidRPr="00873346">
              <w:rPr>
                <w:rFonts w:cs="Calibri"/>
              </w:rPr>
              <w:t>Lu-</w:t>
            </w:r>
            <w:r w:rsidR="001C03D0">
              <w:rPr>
                <w:rFonts w:cs="Calibri"/>
              </w:rPr>
              <w:t>DOTA-</w:t>
            </w:r>
            <w:r w:rsidR="00110D5F">
              <w:rPr>
                <w:rFonts w:cs="Calibri"/>
              </w:rPr>
              <w:t xml:space="preserve">octreotate </w:t>
            </w:r>
            <w:r w:rsidRPr="00ED4E95">
              <w:t xml:space="preserve">treatment </w:t>
            </w:r>
            <w:r w:rsidR="00FB228D">
              <w:t>consists of</w:t>
            </w:r>
            <w:r w:rsidR="009D6272" w:rsidRPr="00ED4E95">
              <w:t xml:space="preserve"> </w:t>
            </w:r>
            <w:r w:rsidRPr="00ED4E95">
              <w:t xml:space="preserve">two </w:t>
            </w:r>
            <w:r w:rsidR="00601AE6">
              <w:t>cycles</w:t>
            </w:r>
            <w:r w:rsidRPr="00ED4E95">
              <w:t>.</w:t>
            </w:r>
            <w:r w:rsidR="000E07D0" w:rsidRPr="00ED4E95">
              <w:t xml:space="preserve"> </w:t>
            </w:r>
          </w:p>
        </w:tc>
      </w:tr>
      <w:tr w:rsidR="006478E7" w:rsidRPr="00ED4E95" w14:paraId="1F5647C3" w14:textId="77777777" w:rsidTr="2EF7DFF4">
        <w:tc>
          <w:tcPr>
            <w:tcW w:w="1005" w:type="pct"/>
            <w:tcBorders>
              <w:top w:val="single" w:sz="4" w:space="0" w:color="auto"/>
              <w:left w:val="single" w:sz="8" w:space="0" w:color="auto"/>
              <w:bottom w:val="single" w:sz="4" w:space="0" w:color="auto"/>
              <w:right w:val="single" w:sz="4" w:space="0" w:color="auto"/>
            </w:tcBorders>
            <w:hideMark/>
          </w:tcPr>
          <w:p w14:paraId="7F55173A" w14:textId="77777777" w:rsidR="006478E7" w:rsidRPr="00ED4E95" w:rsidRDefault="006478E7" w:rsidP="00E01349">
            <w:pPr>
              <w:spacing w:before="120" w:after="120" w:line="240" w:lineRule="auto"/>
              <w:rPr>
                <w:rFonts w:cs="Arial"/>
              </w:rPr>
            </w:pPr>
            <w:r w:rsidRPr="00ED4E95">
              <w:rPr>
                <w:rFonts w:cs="Arial"/>
              </w:rPr>
              <w:lastRenderedPageBreak/>
              <w:t>Comparator</w:t>
            </w:r>
            <w:r w:rsidR="00D83062" w:rsidRPr="00ED4E95">
              <w:rPr>
                <w:rFonts w:cs="Arial"/>
              </w:rPr>
              <w:t>/s</w:t>
            </w:r>
          </w:p>
        </w:tc>
        <w:tc>
          <w:tcPr>
            <w:tcW w:w="3995" w:type="pct"/>
            <w:tcBorders>
              <w:top w:val="single" w:sz="4" w:space="0" w:color="auto"/>
              <w:left w:val="single" w:sz="4" w:space="0" w:color="auto"/>
              <w:bottom w:val="single" w:sz="4" w:space="0" w:color="auto"/>
              <w:right w:val="single" w:sz="4" w:space="0" w:color="auto"/>
            </w:tcBorders>
            <w:hideMark/>
          </w:tcPr>
          <w:p w14:paraId="19E19F28" w14:textId="31C8F2CD" w:rsidR="006478E7" w:rsidRPr="00ED4E95" w:rsidRDefault="00E5575D" w:rsidP="003671C1">
            <w:r w:rsidRPr="00ED4E95">
              <w:rPr>
                <w:u w:val="single"/>
              </w:rPr>
              <w:t>Tests 1 &amp; 2:</w:t>
            </w:r>
            <w:r w:rsidRPr="00ED4E95">
              <w:t xml:space="preserve"> No comparators for </w:t>
            </w:r>
            <w:r w:rsidRPr="00ED4E95">
              <w:rPr>
                <w:vertAlign w:val="superscript"/>
              </w:rPr>
              <w:t>68</w:t>
            </w:r>
            <w:r w:rsidRPr="00ED4E95">
              <w:t>Ga-</w:t>
            </w:r>
            <w:r w:rsidR="001C03D0">
              <w:t>DOTA-</w:t>
            </w:r>
            <w:r w:rsidR="00110D5F">
              <w:t xml:space="preserve">octreotate </w:t>
            </w:r>
            <w:r w:rsidRPr="00ED4E95">
              <w:t>PET/CT or FDG PET/CT imaging were nominated, nor are any apparent (i.e., no testing).</w:t>
            </w:r>
          </w:p>
          <w:p w14:paraId="2ED4B548" w14:textId="0BFFCC09" w:rsidR="00450317" w:rsidRDefault="002A4157" w:rsidP="003671C1">
            <w:pPr>
              <w:spacing w:after="0"/>
            </w:pPr>
            <w:r w:rsidRPr="00ED4E95">
              <w:rPr>
                <w:u w:val="single"/>
              </w:rPr>
              <w:t>Treatment/therapy:</w:t>
            </w:r>
            <w:r w:rsidR="00D463A3">
              <w:rPr>
                <w:u w:val="single"/>
              </w:rPr>
              <w:t xml:space="preserve"> </w:t>
            </w:r>
            <w:r w:rsidR="00D463A3" w:rsidRPr="004C3B98">
              <w:rPr>
                <w:vertAlign w:val="superscript"/>
              </w:rPr>
              <w:t>177</w:t>
            </w:r>
            <w:r w:rsidR="00D463A3" w:rsidRPr="004C3B98">
              <w:t>Lu-DOTA-</w:t>
            </w:r>
            <w:r w:rsidR="00A24141" w:rsidRPr="004C3B98">
              <w:t>o</w:t>
            </w:r>
            <w:r w:rsidR="00D463A3" w:rsidRPr="004C3B98">
              <w:t>ctreotate is proposed as an adjunct to current therapies; it is not proposed to substitute for current treatment.</w:t>
            </w:r>
          </w:p>
          <w:p w14:paraId="1D3AC32C" w14:textId="1D1B7AF0" w:rsidR="00D463A3" w:rsidRPr="00D463A3" w:rsidRDefault="00D463A3" w:rsidP="003671C1">
            <w:pPr>
              <w:spacing w:after="0"/>
            </w:pPr>
            <w:r w:rsidRPr="004C3B98">
              <w:t xml:space="preserve"> </w:t>
            </w:r>
          </w:p>
          <w:p w14:paraId="38AA747C" w14:textId="53AF7AC0" w:rsidR="00601AE6" w:rsidRPr="004C3B98" w:rsidRDefault="00D463A3" w:rsidP="003671C1">
            <w:pPr>
              <w:spacing w:after="0"/>
            </w:pPr>
            <w:r w:rsidRPr="004C3B98">
              <w:t>Nominated comparators for the purpose of</w:t>
            </w:r>
            <w:r w:rsidR="005B05A2" w:rsidRPr="004C3B98">
              <w:t xml:space="preserve"> t</w:t>
            </w:r>
            <w:r w:rsidR="007A3BCC" w:rsidRPr="004C3B98">
              <w:t xml:space="preserve">he </w:t>
            </w:r>
            <w:r w:rsidR="00882E9F" w:rsidRPr="004C3B98">
              <w:t>A</w:t>
            </w:r>
            <w:r w:rsidR="007A3BCC" w:rsidRPr="004C3B98">
              <w:t xml:space="preserve">ssessment </w:t>
            </w:r>
            <w:r w:rsidR="00882E9F" w:rsidRPr="004C3B98">
              <w:t>R</w:t>
            </w:r>
            <w:r w:rsidR="007A3BCC" w:rsidRPr="004C3B98">
              <w:t>eport</w:t>
            </w:r>
            <w:r w:rsidRPr="004C3B98">
              <w:t xml:space="preserve">, and determined by </w:t>
            </w:r>
            <w:r w:rsidR="00450317">
              <w:t xml:space="preserve">the exemplars and </w:t>
            </w:r>
            <w:r w:rsidRPr="004C3B98">
              <w:t>where in the treatment pathway the intervention is used:</w:t>
            </w:r>
          </w:p>
          <w:p w14:paraId="4723073E" w14:textId="0E04FFD4" w:rsidR="00601AE6" w:rsidRPr="004C3B98" w:rsidRDefault="00601AE6" w:rsidP="003671C1">
            <w:pPr>
              <w:pStyle w:val="ListParagraph"/>
              <w:numPr>
                <w:ilvl w:val="0"/>
                <w:numId w:val="17"/>
              </w:numPr>
              <w:ind w:left="229" w:hanging="229"/>
            </w:pPr>
            <w:r w:rsidRPr="004C3B98">
              <w:t>Long</w:t>
            </w:r>
            <w:r w:rsidR="00A87969">
              <w:t>-</w:t>
            </w:r>
            <w:r w:rsidRPr="004C3B98">
              <w:t xml:space="preserve">acting </w:t>
            </w:r>
            <w:r w:rsidR="00226078">
              <w:t>somat</w:t>
            </w:r>
            <w:r w:rsidR="00E107DF">
              <w:t>o</w:t>
            </w:r>
            <w:r w:rsidR="00226078">
              <w:t>statin</w:t>
            </w:r>
            <w:r w:rsidR="00E107DF">
              <w:t xml:space="preserve"> analogue</w:t>
            </w:r>
            <w:r w:rsidR="00226078">
              <w:t xml:space="preserve"> </w:t>
            </w:r>
            <w:r w:rsidR="00DA762E">
              <w:t>(</w:t>
            </w:r>
            <w:r w:rsidRPr="004C3B98">
              <w:t>SSA</w:t>
            </w:r>
            <w:r w:rsidR="00DA762E">
              <w:t>)</w:t>
            </w:r>
            <w:r w:rsidRPr="004C3B98">
              <w:t xml:space="preserve"> (unlabelled) -</w:t>
            </w:r>
            <w:r w:rsidR="00A87969">
              <w:t xml:space="preserve"> </w:t>
            </w:r>
            <w:r w:rsidRPr="004C3B98">
              <w:t>octreotide depot and lanreotide</w:t>
            </w:r>
            <w:r w:rsidR="00A87969">
              <w:t>.</w:t>
            </w:r>
          </w:p>
          <w:p w14:paraId="1E981B15" w14:textId="4E8B6C01" w:rsidR="00601AE6" w:rsidRDefault="00601AE6" w:rsidP="003671C1">
            <w:pPr>
              <w:pStyle w:val="ListParagraph"/>
              <w:numPr>
                <w:ilvl w:val="0"/>
                <w:numId w:val="17"/>
              </w:numPr>
              <w:ind w:left="229" w:hanging="229"/>
            </w:pPr>
            <w:r w:rsidRPr="004C3B98">
              <w:t>Target therapies – everolimus and sunitinib</w:t>
            </w:r>
            <w:r w:rsidR="00A87969">
              <w:t>.</w:t>
            </w:r>
          </w:p>
          <w:p w14:paraId="2F8E8753" w14:textId="4427DDD8" w:rsidR="00601AE6" w:rsidRDefault="00601AE6" w:rsidP="003671C1">
            <w:pPr>
              <w:pStyle w:val="ListParagraph"/>
              <w:numPr>
                <w:ilvl w:val="0"/>
                <w:numId w:val="17"/>
              </w:numPr>
              <w:ind w:left="229" w:hanging="229"/>
            </w:pPr>
            <w:r w:rsidRPr="004C3B98">
              <w:t>Chemotherapy</w:t>
            </w:r>
            <w:r w:rsidR="00A87969">
              <w:t>.</w:t>
            </w:r>
          </w:p>
          <w:p w14:paraId="7E690E4B" w14:textId="248FFA45" w:rsidR="002A4157" w:rsidRPr="004F06FA" w:rsidRDefault="00601AE6" w:rsidP="003671C1">
            <w:pPr>
              <w:pStyle w:val="ListParagraph"/>
              <w:numPr>
                <w:ilvl w:val="0"/>
                <w:numId w:val="20"/>
              </w:numPr>
              <w:ind w:left="229" w:hanging="229"/>
            </w:pPr>
            <w:r w:rsidRPr="004C3B98">
              <w:t>Best supportive care</w:t>
            </w:r>
            <w:r w:rsidR="00340066">
              <w:t xml:space="preserve"> (considered the most relevant comparator)</w:t>
            </w:r>
            <w:r w:rsidRPr="004C3B98">
              <w:t>.</w:t>
            </w:r>
          </w:p>
        </w:tc>
      </w:tr>
      <w:tr w:rsidR="00C64764" w:rsidRPr="00ED4E95" w14:paraId="7B9D3F1A" w14:textId="77777777" w:rsidTr="2EF7DFF4">
        <w:tc>
          <w:tcPr>
            <w:tcW w:w="1005" w:type="pct"/>
            <w:tcBorders>
              <w:top w:val="single" w:sz="4" w:space="0" w:color="auto"/>
              <w:left w:val="single" w:sz="8" w:space="0" w:color="auto"/>
              <w:bottom w:val="single" w:sz="4" w:space="0" w:color="auto"/>
              <w:right w:val="single" w:sz="4" w:space="0" w:color="auto"/>
            </w:tcBorders>
          </w:tcPr>
          <w:p w14:paraId="4C0BC8B3" w14:textId="7F9A485F" w:rsidR="00C64764" w:rsidRPr="00ED4E95" w:rsidRDefault="00C64764" w:rsidP="00E01349">
            <w:pPr>
              <w:spacing w:before="120" w:after="120" w:line="240" w:lineRule="auto"/>
              <w:rPr>
                <w:rFonts w:cs="Arial"/>
              </w:rPr>
            </w:pPr>
            <w:r w:rsidRPr="00ED4E95">
              <w:rPr>
                <w:rFonts w:cs="Arial"/>
              </w:rPr>
              <w:t xml:space="preserve">Reference standard </w:t>
            </w:r>
          </w:p>
        </w:tc>
        <w:tc>
          <w:tcPr>
            <w:tcW w:w="3995" w:type="pct"/>
            <w:tcBorders>
              <w:top w:val="single" w:sz="4" w:space="0" w:color="auto"/>
              <w:left w:val="single" w:sz="4" w:space="0" w:color="auto"/>
              <w:bottom w:val="single" w:sz="4" w:space="0" w:color="auto"/>
              <w:right w:val="single" w:sz="4" w:space="0" w:color="auto"/>
            </w:tcBorders>
          </w:tcPr>
          <w:p w14:paraId="7B1F5217" w14:textId="578B2A23" w:rsidR="00C64764" w:rsidRPr="00ED4E95" w:rsidRDefault="009220C7" w:rsidP="003671C1">
            <w:r>
              <w:t xml:space="preserve">No reference standards for </w:t>
            </w:r>
            <w:r w:rsidRPr="2EF7DFF4">
              <w:rPr>
                <w:vertAlign w:val="superscript"/>
              </w:rPr>
              <w:t>68</w:t>
            </w:r>
            <w:r>
              <w:t>Ga-</w:t>
            </w:r>
            <w:r w:rsidR="001C03D0">
              <w:t>DOTA-</w:t>
            </w:r>
            <w:r w:rsidR="00110D5F">
              <w:t xml:space="preserve">octreotate </w:t>
            </w:r>
            <w:r>
              <w:t xml:space="preserve">PET/CT imaging or FDG PET/CT were nominated. </w:t>
            </w:r>
            <w:r w:rsidR="004F06FA">
              <w:t>Immunohistochemistry (IHC) for SSTR-2</w:t>
            </w:r>
            <w:r w:rsidR="375DBED8">
              <w:t xml:space="preserve"> </w:t>
            </w:r>
            <w:bookmarkStart w:id="4" w:name="_Int_xtsUrJMa"/>
            <w:r w:rsidR="375DBED8">
              <w:t xml:space="preserve">was </w:t>
            </w:r>
            <w:r w:rsidR="004F06FA">
              <w:t>considered to be</w:t>
            </w:r>
            <w:bookmarkEnd w:id="4"/>
            <w:r w:rsidR="004F06FA">
              <w:t xml:space="preserve"> a relevant reference standard for </w:t>
            </w:r>
            <w:r w:rsidR="004F06FA" w:rsidRPr="2EF7DFF4">
              <w:rPr>
                <w:vertAlign w:val="superscript"/>
              </w:rPr>
              <w:t>68</w:t>
            </w:r>
            <w:r w:rsidR="004F06FA">
              <w:t>Ga-</w:t>
            </w:r>
            <w:r w:rsidR="001C03D0">
              <w:t>DOTA-</w:t>
            </w:r>
            <w:r w:rsidR="00110D5F">
              <w:t xml:space="preserve">octreotate </w:t>
            </w:r>
            <w:r w:rsidR="004F06FA">
              <w:t>PET/CT imaging.</w:t>
            </w:r>
          </w:p>
        </w:tc>
      </w:tr>
      <w:tr w:rsidR="00C64764" w:rsidRPr="00ED4E95" w14:paraId="13D8130D" w14:textId="77777777" w:rsidTr="2EF7DFF4">
        <w:tc>
          <w:tcPr>
            <w:tcW w:w="1005" w:type="pct"/>
            <w:tcBorders>
              <w:top w:val="single" w:sz="4" w:space="0" w:color="auto"/>
              <w:left w:val="single" w:sz="8" w:space="0" w:color="auto"/>
              <w:bottom w:val="single" w:sz="4" w:space="0" w:color="auto"/>
              <w:right w:val="single" w:sz="4" w:space="0" w:color="auto"/>
            </w:tcBorders>
          </w:tcPr>
          <w:p w14:paraId="5A8AC74C" w14:textId="53FED9D7" w:rsidR="00C64764" w:rsidRPr="00ED4E95" w:rsidRDefault="00C64764" w:rsidP="00E01349">
            <w:pPr>
              <w:spacing w:before="120" w:after="120" w:line="240" w:lineRule="auto"/>
              <w:rPr>
                <w:rFonts w:cs="Arial"/>
              </w:rPr>
            </w:pPr>
            <w:r w:rsidRPr="00ED4E95">
              <w:rPr>
                <w:rFonts w:cs="Arial"/>
              </w:rPr>
              <w:t xml:space="preserve">Clinical utility standard </w:t>
            </w:r>
          </w:p>
        </w:tc>
        <w:tc>
          <w:tcPr>
            <w:tcW w:w="3995" w:type="pct"/>
            <w:tcBorders>
              <w:top w:val="single" w:sz="4" w:space="0" w:color="auto"/>
              <w:left w:val="single" w:sz="4" w:space="0" w:color="auto"/>
              <w:bottom w:val="single" w:sz="4" w:space="0" w:color="auto"/>
              <w:right w:val="single" w:sz="4" w:space="0" w:color="auto"/>
            </w:tcBorders>
          </w:tcPr>
          <w:p w14:paraId="705260D0" w14:textId="0D5937DB" w:rsidR="00C64764" w:rsidRPr="00ED4E95" w:rsidRDefault="004F06FA" w:rsidP="003671C1">
            <w:pPr>
              <w:rPr>
                <w:iCs/>
              </w:rPr>
            </w:pPr>
            <w:r>
              <w:rPr>
                <w:iCs/>
                <w:u w:val="single"/>
              </w:rPr>
              <w:t>T</w:t>
            </w:r>
            <w:r w:rsidR="00902582" w:rsidRPr="00ED4E95">
              <w:rPr>
                <w:iCs/>
                <w:u w:val="single"/>
              </w:rPr>
              <w:t>est 1:</w:t>
            </w:r>
            <w:r w:rsidR="00902582" w:rsidRPr="00ED4E95">
              <w:rPr>
                <w:iCs/>
              </w:rPr>
              <w:t xml:space="preserve"> </w:t>
            </w:r>
            <w:r w:rsidR="00D0691C">
              <w:rPr>
                <w:iCs/>
              </w:rPr>
              <w:t>Octreoscan</w:t>
            </w:r>
            <w:r w:rsidR="00824A52">
              <w:rPr>
                <w:iCs/>
              </w:rPr>
              <w:t>®</w:t>
            </w:r>
            <w:r w:rsidR="00D0691C">
              <w:rPr>
                <w:iCs/>
              </w:rPr>
              <w:t xml:space="preserve"> is a valid clinical utility standard: results of studies based on Octreoscan</w:t>
            </w:r>
            <w:r w:rsidR="00824A52">
              <w:rPr>
                <w:iCs/>
              </w:rPr>
              <w:t>®</w:t>
            </w:r>
            <w:r w:rsidR="00D0691C">
              <w:rPr>
                <w:iCs/>
              </w:rPr>
              <w:t xml:space="preserve"> uptake (Krenning score) need to be translated to </w:t>
            </w:r>
            <w:r w:rsidR="00D0691C" w:rsidRPr="00E35BCA">
              <w:rPr>
                <w:iCs/>
                <w:vertAlign w:val="superscript"/>
              </w:rPr>
              <w:t>68</w:t>
            </w:r>
            <w:r w:rsidR="00D0691C">
              <w:rPr>
                <w:iCs/>
              </w:rPr>
              <w:t>Ga-DOTA</w:t>
            </w:r>
            <w:r w:rsidR="00824A52">
              <w:rPr>
                <w:iCs/>
              </w:rPr>
              <w:t>-ocreotate</w:t>
            </w:r>
            <w:r w:rsidR="00D0691C">
              <w:rPr>
                <w:iCs/>
              </w:rPr>
              <w:t xml:space="preserve"> uptake (modified Krenning score) for the </w:t>
            </w:r>
            <w:r w:rsidR="00340066">
              <w:rPr>
                <w:iCs/>
              </w:rPr>
              <w:t>A</w:t>
            </w:r>
            <w:r w:rsidR="00D0691C">
              <w:rPr>
                <w:iCs/>
              </w:rPr>
              <w:t xml:space="preserve">ssessment </w:t>
            </w:r>
            <w:r w:rsidR="00340066">
              <w:rPr>
                <w:iCs/>
              </w:rPr>
              <w:t>R</w:t>
            </w:r>
            <w:r w:rsidR="00D0691C">
              <w:rPr>
                <w:iCs/>
              </w:rPr>
              <w:t xml:space="preserve">eport. </w:t>
            </w:r>
          </w:p>
          <w:p w14:paraId="190C9C62" w14:textId="2C209A45" w:rsidR="000D69E2" w:rsidRPr="00ED4E95" w:rsidRDefault="000D69E2" w:rsidP="003671C1">
            <w:pPr>
              <w:rPr>
                <w:iCs/>
              </w:rPr>
            </w:pPr>
            <w:r w:rsidRPr="00ED4E95">
              <w:rPr>
                <w:iCs/>
                <w:u w:val="single"/>
              </w:rPr>
              <w:t>Test 2:</w:t>
            </w:r>
            <w:r w:rsidRPr="00ED4E95">
              <w:rPr>
                <w:iCs/>
              </w:rPr>
              <w:t xml:space="preserve"> </w:t>
            </w:r>
            <w:r w:rsidR="004F56E9">
              <w:rPr>
                <w:iCs/>
              </w:rPr>
              <w:t>A</w:t>
            </w:r>
            <w:r w:rsidR="008F0D36" w:rsidRPr="00ED4E95">
              <w:rPr>
                <w:iCs/>
              </w:rPr>
              <w:t xml:space="preserve"> clinical utility standard for FDG PET/CT </w:t>
            </w:r>
            <w:r w:rsidR="000D2BCC">
              <w:rPr>
                <w:iCs/>
              </w:rPr>
              <w:t xml:space="preserve">has not been nominated by the </w:t>
            </w:r>
            <w:r w:rsidR="004F56E9">
              <w:rPr>
                <w:iCs/>
              </w:rPr>
              <w:t xml:space="preserve">applicant. </w:t>
            </w:r>
            <w:r w:rsidR="000D2BCC">
              <w:rPr>
                <w:iCs/>
              </w:rPr>
              <w:t xml:space="preserve"> </w:t>
            </w:r>
          </w:p>
        </w:tc>
      </w:tr>
      <w:tr w:rsidR="006478E7" w:rsidRPr="00ED4E95" w14:paraId="591B1D2D" w14:textId="77777777" w:rsidTr="2EF7DFF4">
        <w:tc>
          <w:tcPr>
            <w:tcW w:w="1005" w:type="pct"/>
            <w:tcBorders>
              <w:top w:val="single" w:sz="4" w:space="0" w:color="auto"/>
              <w:left w:val="single" w:sz="8" w:space="0" w:color="auto"/>
              <w:bottom w:val="single" w:sz="4" w:space="0" w:color="auto"/>
              <w:right w:val="single" w:sz="4" w:space="0" w:color="auto"/>
            </w:tcBorders>
            <w:hideMark/>
          </w:tcPr>
          <w:p w14:paraId="635F9D15" w14:textId="77777777" w:rsidR="006478E7" w:rsidRPr="00ED4E95" w:rsidRDefault="006478E7" w:rsidP="00E01349">
            <w:pPr>
              <w:spacing w:before="120" w:after="120" w:line="240" w:lineRule="auto"/>
              <w:rPr>
                <w:rFonts w:cs="Arial"/>
              </w:rPr>
            </w:pPr>
            <w:r w:rsidRPr="00ED4E95">
              <w:rPr>
                <w:rFonts w:cs="Arial"/>
              </w:rPr>
              <w:lastRenderedPageBreak/>
              <w:t>Outcomes</w:t>
            </w:r>
          </w:p>
        </w:tc>
        <w:tc>
          <w:tcPr>
            <w:tcW w:w="3995" w:type="pct"/>
            <w:tcBorders>
              <w:top w:val="single" w:sz="4" w:space="0" w:color="auto"/>
              <w:left w:val="single" w:sz="4" w:space="0" w:color="auto"/>
              <w:bottom w:val="single" w:sz="4" w:space="0" w:color="auto"/>
              <w:right w:val="single" w:sz="4" w:space="0" w:color="auto"/>
            </w:tcBorders>
            <w:hideMark/>
          </w:tcPr>
          <w:p w14:paraId="29A954B9" w14:textId="70892A70" w:rsidR="009D6272" w:rsidRPr="00ED4E95" w:rsidRDefault="008F2724" w:rsidP="003671C1">
            <w:pPr>
              <w:pStyle w:val="ListParagraph"/>
              <w:numPr>
                <w:ilvl w:val="0"/>
                <w:numId w:val="5"/>
              </w:numPr>
              <w:ind w:left="360"/>
            </w:pPr>
            <w:r w:rsidRPr="00ED4E95">
              <w:t>Efficacy/effectiveness (</w:t>
            </w:r>
            <w:r w:rsidR="00CB5940">
              <w:t>tests</w:t>
            </w:r>
            <w:r w:rsidRPr="00ED4E95">
              <w:t xml:space="preserve">: intra-/inter-observer variability; change in management: proportion of patients who meet the nominated thresholds for SSTR PET/CT </w:t>
            </w:r>
            <w:r w:rsidR="006974D4" w:rsidRPr="00ED4E95">
              <w:t>i</w:t>
            </w:r>
            <w:r w:rsidRPr="00ED4E95">
              <w:t xml:space="preserve">maging, and the proportion who also proceed to FDG PET/CT imaging and subsequently receive </w:t>
            </w:r>
            <w:r w:rsidR="00317448" w:rsidRPr="00873346">
              <w:rPr>
                <w:rFonts w:cs="Calibri"/>
                <w:vertAlign w:val="superscript"/>
              </w:rPr>
              <w:t>177</w:t>
            </w:r>
            <w:r w:rsidR="00317448" w:rsidRPr="00873346">
              <w:rPr>
                <w:rFonts w:cs="Calibri"/>
              </w:rPr>
              <w:t>Lu-</w:t>
            </w:r>
            <w:r w:rsidR="001C03D0">
              <w:rPr>
                <w:rFonts w:cs="Calibri"/>
              </w:rPr>
              <w:t>DOTA-</w:t>
            </w:r>
            <w:r w:rsidR="002643B1">
              <w:rPr>
                <w:rFonts w:cs="Calibri"/>
              </w:rPr>
              <w:t>octreota</w:t>
            </w:r>
            <w:r w:rsidR="003671C1">
              <w:rPr>
                <w:rFonts w:cs="Calibri"/>
              </w:rPr>
              <w:t xml:space="preserve">te </w:t>
            </w:r>
            <w:r w:rsidR="00C76FE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o</w:t>
            </w:r>
            <w:r w:rsidR="003671C1">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r w:rsidR="00C33FDE" w:rsidRPr="00ED4E95">
              <w:t>treatment</w:t>
            </w:r>
            <w:r w:rsidRPr="00ED4E95">
              <w:t>; oncological and patient-relevant: quality of life, disease response</w:t>
            </w:r>
            <w:r w:rsidR="004F06FA">
              <w:t xml:space="preserve"> (objective response rate, disease control rate, biomarkers </w:t>
            </w:r>
            <w:r w:rsidR="004F06FA" w:rsidRPr="00ED4E95">
              <w:t>relevant to patient outcomes</w:t>
            </w:r>
            <w:r w:rsidRPr="00ED4E95">
              <w:t xml:space="preserve">, survival duration </w:t>
            </w:r>
            <w:r w:rsidR="00776054" w:rsidRPr="00ED4E95">
              <w:t>[</w:t>
            </w:r>
            <w:r w:rsidRPr="00ED4E95">
              <w:t>overall and progression-free</w:t>
            </w:r>
            <w:r w:rsidR="006E4B89">
              <w:t>])</w:t>
            </w:r>
            <w:r w:rsidRPr="00ED4E95">
              <w:t>.</w:t>
            </w:r>
          </w:p>
          <w:p w14:paraId="1073CB0A" w14:textId="64C10E8D" w:rsidR="008F2724" w:rsidRPr="00ED4E95" w:rsidRDefault="008F2724" w:rsidP="003671C1">
            <w:pPr>
              <w:pStyle w:val="ListParagraph"/>
              <w:numPr>
                <w:ilvl w:val="0"/>
                <w:numId w:val="5"/>
              </w:numPr>
              <w:ind w:left="360"/>
            </w:pPr>
            <w:r w:rsidRPr="00ED4E95">
              <w:t>Safety (treatment emergent adverse events).</w:t>
            </w:r>
            <w:r w:rsidR="002643B1">
              <w:t xml:space="preserve"> </w:t>
            </w:r>
            <w:r w:rsidR="00DF1FBE">
              <w:t>Long term for myelodysplasia</w:t>
            </w:r>
            <w:r w:rsidR="002643B1">
              <w:t>.</w:t>
            </w:r>
          </w:p>
          <w:p w14:paraId="04EB1948" w14:textId="77777777" w:rsidR="008F2724" w:rsidRPr="00ED4E95" w:rsidRDefault="008F2724" w:rsidP="003671C1">
            <w:pPr>
              <w:pStyle w:val="ListParagraph"/>
              <w:numPr>
                <w:ilvl w:val="0"/>
                <w:numId w:val="5"/>
              </w:numPr>
              <w:ind w:left="360"/>
            </w:pPr>
            <w:r w:rsidRPr="00ED4E95">
              <w:t>Health care resources (cost of therapies, administration).</w:t>
            </w:r>
          </w:p>
          <w:p w14:paraId="4A359328" w14:textId="77777777" w:rsidR="008F2724" w:rsidRPr="00ED4E95" w:rsidRDefault="008F2724" w:rsidP="003671C1">
            <w:pPr>
              <w:pStyle w:val="ListParagraph"/>
              <w:numPr>
                <w:ilvl w:val="0"/>
                <w:numId w:val="5"/>
              </w:numPr>
              <w:ind w:left="360"/>
            </w:pPr>
            <w:r w:rsidRPr="00ED4E95">
              <w:t>Cost-effectiveness (cost per additional quality adjusted life year [QALY]).</w:t>
            </w:r>
          </w:p>
          <w:p w14:paraId="6F9242D7" w14:textId="045B419F" w:rsidR="008F2724" w:rsidRPr="00ED4E95" w:rsidRDefault="008F2724" w:rsidP="003671C1">
            <w:pPr>
              <w:pStyle w:val="ListParagraph"/>
              <w:numPr>
                <w:ilvl w:val="0"/>
                <w:numId w:val="5"/>
              </w:numPr>
              <w:ind w:left="360"/>
            </w:pPr>
            <w:r w:rsidRPr="00ED4E95">
              <w:t>Total Australian Government health care costs.</w:t>
            </w:r>
          </w:p>
        </w:tc>
      </w:tr>
      <w:tr w:rsidR="00BB1698" w:rsidRPr="00ED4E95" w14:paraId="4A55FFDB" w14:textId="77777777" w:rsidTr="2EF7DFF4">
        <w:tc>
          <w:tcPr>
            <w:tcW w:w="1005" w:type="pct"/>
            <w:tcBorders>
              <w:top w:val="single" w:sz="4" w:space="0" w:color="auto"/>
              <w:left w:val="single" w:sz="8" w:space="0" w:color="auto"/>
              <w:bottom w:val="single" w:sz="8" w:space="0" w:color="auto"/>
              <w:right w:val="single" w:sz="4" w:space="0" w:color="auto"/>
            </w:tcBorders>
          </w:tcPr>
          <w:p w14:paraId="003B36EC" w14:textId="77777777" w:rsidR="00BB1698" w:rsidRPr="00ED4E95" w:rsidRDefault="00BB1698" w:rsidP="00E01349">
            <w:pPr>
              <w:spacing w:before="120" w:after="120" w:line="240" w:lineRule="auto"/>
              <w:rPr>
                <w:rFonts w:cs="Arial"/>
              </w:rPr>
            </w:pPr>
            <w:r w:rsidRPr="00ED4E95">
              <w:rPr>
                <w:rFonts w:cs="Arial"/>
              </w:rPr>
              <w:t>Assessment questions</w:t>
            </w:r>
          </w:p>
        </w:tc>
        <w:tc>
          <w:tcPr>
            <w:tcW w:w="3995" w:type="pct"/>
            <w:tcBorders>
              <w:top w:val="single" w:sz="4" w:space="0" w:color="auto"/>
              <w:left w:val="single" w:sz="4" w:space="0" w:color="auto"/>
              <w:bottom w:val="single" w:sz="4" w:space="0" w:color="auto"/>
              <w:right w:val="single" w:sz="4" w:space="0" w:color="auto"/>
            </w:tcBorders>
          </w:tcPr>
          <w:p w14:paraId="151C3DD4" w14:textId="5D582464" w:rsidR="006E4B89" w:rsidRPr="00922B1C" w:rsidRDefault="006E4B89" w:rsidP="003671C1">
            <w:pPr>
              <w:pStyle w:val="ListParagraph"/>
              <w:keepNext/>
              <w:numPr>
                <w:ilvl w:val="0"/>
                <w:numId w:val="10"/>
              </w:numPr>
              <w:ind w:left="284" w:hanging="284"/>
            </w:pPr>
            <w:r w:rsidRPr="00922B1C">
              <w:t xml:space="preserve">What is the clinical utility of </w:t>
            </w:r>
            <w:r w:rsidRPr="00922B1C">
              <w:rPr>
                <w:vertAlign w:val="superscript"/>
              </w:rPr>
              <w:t>68</w:t>
            </w:r>
            <w:r w:rsidRPr="00922B1C">
              <w:t>Ga-</w:t>
            </w:r>
            <w:r w:rsidR="001C03D0">
              <w:t>DOTA-</w:t>
            </w:r>
            <w:r w:rsidR="00110D5F">
              <w:t xml:space="preserve">octreotate </w:t>
            </w:r>
            <w:r w:rsidRPr="00922B1C">
              <w:t xml:space="preserve">PET/CT for the selection of patients with progressive, advanced, metastatic or inoperable NETs with </w:t>
            </w:r>
            <w:r w:rsidR="005077EB">
              <w:t xml:space="preserve">suspected </w:t>
            </w:r>
            <w:r w:rsidRPr="00922B1C">
              <w:t xml:space="preserve">H-SSTR expression for </w:t>
            </w:r>
            <w:r w:rsidRPr="00922B1C">
              <w:rPr>
                <w:vertAlign w:val="superscript"/>
              </w:rPr>
              <w:t>177</w:t>
            </w:r>
            <w:r w:rsidRPr="00922B1C">
              <w:t>Lu-</w:t>
            </w:r>
            <w:r w:rsidR="001C03D0">
              <w:t>DOTA-</w:t>
            </w:r>
            <w:r w:rsidR="00110D5F">
              <w:t xml:space="preserve">octreotate </w:t>
            </w:r>
            <w:r w:rsidRPr="00922B1C">
              <w:t>therapy?</w:t>
            </w:r>
          </w:p>
          <w:p w14:paraId="777CA6A9" w14:textId="1979031F" w:rsidR="006E4B89" w:rsidRPr="00922B1C" w:rsidRDefault="006E4B89" w:rsidP="003671C1">
            <w:pPr>
              <w:pStyle w:val="ListParagraph"/>
              <w:keepNext/>
              <w:numPr>
                <w:ilvl w:val="0"/>
                <w:numId w:val="10"/>
              </w:numPr>
              <w:ind w:left="284" w:hanging="284"/>
            </w:pPr>
            <w:r w:rsidRPr="00922B1C">
              <w:t xml:space="preserve">What is the clinical utility of FDG PET-CT in addition to </w:t>
            </w:r>
            <w:r w:rsidRPr="00922B1C">
              <w:rPr>
                <w:vertAlign w:val="superscript"/>
              </w:rPr>
              <w:t>68</w:t>
            </w:r>
            <w:r w:rsidRPr="00922B1C">
              <w:t>Ga-</w:t>
            </w:r>
            <w:r w:rsidR="001C03D0">
              <w:t>DOTA-</w:t>
            </w:r>
            <w:r w:rsidR="00110D5F">
              <w:t xml:space="preserve">octreotate </w:t>
            </w:r>
            <w:r w:rsidRPr="00922B1C">
              <w:t xml:space="preserve">PET/CT for the selection of patients with progressive, advanced, metastatic or inoperable NETs with </w:t>
            </w:r>
            <w:r w:rsidR="005078D4">
              <w:t xml:space="preserve">known </w:t>
            </w:r>
            <w:r w:rsidRPr="00922B1C">
              <w:t xml:space="preserve">H-SSTR expression for </w:t>
            </w:r>
            <w:r w:rsidRPr="00922B1C">
              <w:rPr>
                <w:vertAlign w:val="superscript"/>
              </w:rPr>
              <w:t>177</w:t>
            </w:r>
            <w:r w:rsidRPr="00922B1C">
              <w:t>Lu-</w:t>
            </w:r>
            <w:r w:rsidR="001C03D0">
              <w:t>DOTA-</w:t>
            </w:r>
            <w:r w:rsidR="00110D5F">
              <w:t xml:space="preserve">octreotate </w:t>
            </w:r>
            <w:r w:rsidRPr="00922B1C">
              <w:t>therapy?</w:t>
            </w:r>
          </w:p>
          <w:p w14:paraId="04128787" w14:textId="145AEEAF" w:rsidR="006E4B89" w:rsidRPr="00922B1C" w:rsidRDefault="006E4B89" w:rsidP="003671C1">
            <w:pPr>
              <w:pStyle w:val="ListParagraph"/>
              <w:keepNext/>
              <w:numPr>
                <w:ilvl w:val="0"/>
                <w:numId w:val="10"/>
              </w:numPr>
              <w:ind w:left="284" w:hanging="284"/>
            </w:pPr>
            <w:r w:rsidRPr="00922B1C">
              <w:t xml:space="preserve">What is the safety, effectiveness and cost effectiveness of </w:t>
            </w:r>
            <w:r w:rsidRPr="00922B1C">
              <w:rPr>
                <w:vertAlign w:val="superscript"/>
              </w:rPr>
              <w:t>177</w:t>
            </w:r>
            <w:r w:rsidRPr="00922B1C">
              <w:t>Lu-</w:t>
            </w:r>
            <w:r w:rsidR="001C03D0">
              <w:t>DOTA-</w:t>
            </w:r>
            <w:r w:rsidR="00110D5F">
              <w:t xml:space="preserve">octreotate </w:t>
            </w:r>
            <w:r w:rsidRPr="00922B1C">
              <w:t>v</w:t>
            </w:r>
            <w:r w:rsidR="00AF3B95">
              <w:t>ersu</w:t>
            </w:r>
            <w:r w:rsidRPr="00922B1C">
              <w:t xml:space="preserve">s alternative active and supportive care in patients with advanced NETs tumours as identified by </w:t>
            </w:r>
            <w:r w:rsidRPr="00922B1C">
              <w:rPr>
                <w:vertAlign w:val="superscript"/>
              </w:rPr>
              <w:t>68</w:t>
            </w:r>
            <w:r w:rsidRPr="00922B1C">
              <w:t>Ga-</w:t>
            </w:r>
            <w:r w:rsidR="001C03D0">
              <w:t>DOTA-</w:t>
            </w:r>
            <w:r w:rsidR="00110D5F">
              <w:t xml:space="preserve">octreotate </w:t>
            </w:r>
            <w:r w:rsidRPr="00922B1C">
              <w:t>PET/CT?</w:t>
            </w:r>
          </w:p>
          <w:p w14:paraId="7AB69A9A" w14:textId="5D9E8308" w:rsidR="00BB1698" w:rsidRPr="00ED4E95" w:rsidRDefault="006E4B89" w:rsidP="003671C1">
            <w:pPr>
              <w:pStyle w:val="ListParagraph"/>
              <w:keepNext/>
              <w:numPr>
                <w:ilvl w:val="0"/>
                <w:numId w:val="10"/>
              </w:numPr>
              <w:ind w:left="284" w:hanging="284"/>
              <w:rPr>
                <w:color w:val="000000" w:themeColor="text1"/>
              </w:rPr>
            </w:pPr>
            <w:r w:rsidRPr="00922B1C">
              <w:t xml:space="preserve">What is the safety, effectiveness and cost effectiveness of </w:t>
            </w:r>
            <w:r w:rsidRPr="00922B1C">
              <w:rPr>
                <w:vertAlign w:val="superscript"/>
              </w:rPr>
              <w:t>177</w:t>
            </w:r>
            <w:r w:rsidRPr="00922B1C">
              <w:t>Lu(</w:t>
            </w:r>
            <w:r w:rsidR="00A87969">
              <w:t>no carrier added [</w:t>
            </w:r>
            <w:r w:rsidRPr="00922B1C">
              <w:t>nca</w:t>
            </w:r>
            <w:r w:rsidR="00A87969">
              <w:t>]</w:t>
            </w:r>
            <w:r w:rsidRPr="00922B1C">
              <w:t>)-</w:t>
            </w:r>
            <w:r w:rsidR="001C03D0">
              <w:t>DOTA-</w:t>
            </w:r>
            <w:r w:rsidR="00110D5F">
              <w:t xml:space="preserve">octreotate </w:t>
            </w:r>
            <w:r w:rsidRPr="00922B1C">
              <w:t>v</w:t>
            </w:r>
            <w:r w:rsidR="00AF3B95">
              <w:t>ersu</w:t>
            </w:r>
            <w:r w:rsidRPr="00922B1C">
              <w:t xml:space="preserve">s </w:t>
            </w:r>
            <w:r w:rsidRPr="00922B1C">
              <w:rPr>
                <w:vertAlign w:val="superscript"/>
              </w:rPr>
              <w:t>177</w:t>
            </w:r>
            <w:r w:rsidRPr="00922B1C">
              <w:t>Lu(</w:t>
            </w:r>
            <w:r w:rsidR="00A87969">
              <w:t>carrier added [</w:t>
            </w:r>
            <w:r w:rsidRPr="00922B1C">
              <w:t>ca</w:t>
            </w:r>
            <w:r w:rsidR="00A87969">
              <w:t>]</w:t>
            </w:r>
            <w:r w:rsidRPr="00922B1C">
              <w:t>)-</w:t>
            </w:r>
            <w:r w:rsidR="001C03D0">
              <w:t>DOTA-</w:t>
            </w:r>
            <w:r w:rsidR="00110D5F">
              <w:t xml:space="preserve">octreotate </w:t>
            </w:r>
            <w:r w:rsidRPr="00922B1C">
              <w:t xml:space="preserve">in patients with advanced NETs or other H-SSTR tumours as identified by </w:t>
            </w:r>
            <w:r w:rsidRPr="00922B1C">
              <w:rPr>
                <w:vertAlign w:val="superscript"/>
              </w:rPr>
              <w:t>68</w:t>
            </w:r>
            <w:r w:rsidRPr="00922B1C">
              <w:t>Ga-</w:t>
            </w:r>
            <w:r w:rsidR="001C03D0">
              <w:t>DOTA-</w:t>
            </w:r>
            <w:r w:rsidR="00110D5F">
              <w:t xml:space="preserve">octreotate </w:t>
            </w:r>
            <w:r w:rsidRPr="00922B1C">
              <w:t>PET/CT?</w:t>
            </w:r>
          </w:p>
        </w:tc>
      </w:tr>
    </w:tbl>
    <w:p w14:paraId="2166302A" w14:textId="7FB49247" w:rsidR="00BD264D" w:rsidRDefault="00C6168D" w:rsidP="004C54E4">
      <w:pPr>
        <w:pStyle w:val="Tablenotes"/>
      </w:pPr>
      <w:r w:rsidRPr="00ED4E95">
        <w:t xml:space="preserve">Abbreviations: </w:t>
      </w:r>
      <w:r w:rsidR="004A38EF">
        <w:t xml:space="preserve">ca = carrier added; </w:t>
      </w:r>
      <w:r w:rsidRPr="00ED4E95">
        <w:t xml:space="preserve">CT = computed tomography; FDG = Fluorodeoxyglucose; Ga = Gallium; </w:t>
      </w:r>
      <w:r w:rsidR="002B1B57" w:rsidRPr="00ED4E95">
        <w:t>G2 = grade 2; G3 = grade 3;</w:t>
      </w:r>
      <w:r w:rsidR="00020F54" w:rsidRPr="00ED4E95">
        <w:t xml:space="preserve"> H-SSTR = high somatostatin receptor;</w:t>
      </w:r>
      <w:r w:rsidR="002B1B57" w:rsidRPr="00ED4E95">
        <w:t xml:space="preserve"> </w:t>
      </w:r>
      <w:r w:rsidRPr="00ED4E95">
        <w:t xml:space="preserve">MDT = multidisciplinary team; </w:t>
      </w:r>
      <w:r w:rsidR="002B1B57" w:rsidRPr="00ED4E95">
        <w:t xml:space="preserve">nca = no carrier added; </w:t>
      </w:r>
      <w:r w:rsidRPr="00ED4E95">
        <w:t>NET = neuroendocrine tumour; PET = positron emission tomography; SPECT = single photon emission computed tomography</w:t>
      </w:r>
      <w:r w:rsidR="00BD59DF" w:rsidRPr="00ED4E95">
        <w:t xml:space="preserve">; SSTR-2 = somatostatin receptor subtype 2; VIP = vasoactive intestinal peptide </w:t>
      </w:r>
    </w:p>
    <w:p w14:paraId="3FD3386C" w14:textId="77777777" w:rsidR="00BD264D" w:rsidRDefault="00BD264D" w:rsidP="004C54E4">
      <w:pPr>
        <w:pStyle w:val="Tablenotes"/>
      </w:pPr>
    </w:p>
    <w:p w14:paraId="37DC3420" w14:textId="77777777" w:rsidR="00BD264D" w:rsidRDefault="00BD264D" w:rsidP="004C54E4">
      <w:pPr>
        <w:pStyle w:val="Tablenotes"/>
      </w:pPr>
    </w:p>
    <w:p w14:paraId="5D5376EF" w14:textId="32C08FD8" w:rsidR="006478E7" w:rsidRPr="00ED4E95" w:rsidRDefault="006478E7" w:rsidP="004C54E4">
      <w:pPr>
        <w:pStyle w:val="Tablenotes"/>
      </w:pPr>
    </w:p>
    <w:p w14:paraId="6D5CF076" w14:textId="77777777" w:rsidR="00D275CE" w:rsidRPr="00D275CE" w:rsidRDefault="00D275CE" w:rsidP="004C3B98"/>
    <w:p w14:paraId="2181BF3A" w14:textId="77777777" w:rsidR="00D275CE" w:rsidRPr="00D275CE" w:rsidRDefault="00D275CE" w:rsidP="00D275CE">
      <w:pPr>
        <w:spacing w:after="160" w:line="259" w:lineRule="auto"/>
        <w:rPr>
          <w:rFonts w:ascii="Franklin Gothic Medium" w:eastAsiaTheme="majorEastAsia" w:hAnsi="Franklin Gothic Medium" w:cstheme="majorBidi"/>
          <w:color w:val="000000" w:themeColor="text1"/>
          <w:sz w:val="32"/>
          <w:szCs w:val="26"/>
        </w:rPr>
      </w:pPr>
      <w:r w:rsidRPr="00D275CE">
        <w:br w:type="page"/>
      </w:r>
    </w:p>
    <w:p w14:paraId="53297713" w14:textId="3F32290A" w:rsidR="00912660" w:rsidRPr="00ED4E95" w:rsidRDefault="00912660" w:rsidP="00713728">
      <w:pPr>
        <w:pStyle w:val="Heading2"/>
      </w:pPr>
      <w:r w:rsidRPr="00ED4E95">
        <w:lastRenderedPageBreak/>
        <w:t>Purpose of application</w:t>
      </w:r>
    </w:p>
    <w:p w14:paraId="0E65AD1B" w14:textId="63EA370A" w:rsidR="004C2C5E" w:rsidRPr="00ED4E95" w:rsidRDefault="004C2C5E" w:rsidP="00B3581F">
      <w:pPr>
        <w:spacing w:after="240"/>
        <w:jc w:val="both"/>
        <w:rPr>
          <w:iCs/>
        </w:rPr>
      </w:pPr>
      <w:r w:rsidRPr="00ED4E95">
        <w:rPr>
          <w:iCs/>
        </w:rPr>
        <w:t xml:space="preserve">An application requesting Medicare Benefits Schedule (MBS) listing of </w:t>
      </w:r>
      <w:r w:rsidR="000470CD" w:rsidRPr="00ED4E95">
        <w:rPr>
          <w:iCs/>
          <w:vertAlign w:val="superscript"/>
        </w:rPr>
        <w:t>177</w:t>
      </w:r>
      <w:r w:rsidR="000470CD" w:rsidRPr="00ED4E95">
        <w:rPr>
          <w:iCs/>
        </w:rPr>
        <w:t>Lutetium</w:t>
      </w:r>
      <w:r w:rsidR="00810833" w:rsidRPr="00ED4E95">
        <w:rPr>
          <w:iCs/>
        </w:rPr>
        <w:t xml:space="preserve"> </w:t>
      </w:r>
      <w:r w:rsidR="000470CD" w:rsidRPr="00ED4E95">
        <w:rPr>
          <w:iCs/>
        </w:rPr>
        <w:t>(no</w:t>
      </w:r>
      <w:r w:rsidR="00514DC1" w:rsidRPr="00ED4E95">
        <w:rPr>
          <w:iCs/>
        </w:rPr>
        <w:t xml:space="preserve"> </w:t>
      </w:r>
      <w:r w:rsidR="000470CD" w:rsidRPr="00ED4E95">
        <w:rPr>
          <w:iCs/>
        </w:rPr>
        <w:t>carrier added) Octreotate</w:t>
      </w:r>
      <w:r w:rsidR="005F0551">
        <w:rPr>
          <w:iCs/>
        </w:rPr>
        <w:t xml:space="preserve"> treatment</w:t>
      </w:r>
      <w:r w:rsidR="001933CE">
        <w:rPr>
          <w:iCs/>
        </w:rPr>
        <w:t>,</w:t>
      </w:r>
      <w:r w:rsidR="005F0551">
        <w:rPr>
          <w:iCs/>
        </w:rPr>
        <w:t xml:space="preserve"> </w:t>
      </w:r>
      <w:r w:rsidR="001868E6" w:rsidRPr="00ED4E95">
        <w:rPr>
          <w:iCs/>
          <w:vertAlign w:val="superscript"/>
        </w:rPr>
        <w:t>177</w:t>
      </w:r>
      <w:r w:rsidR="001868E6" w:rsidRPr="00ED4E95">
        <w:rPr>
          <w:iCs/>
        </w:rPr>
        <w:t>Lu(nca)</w:t>
      </w:r>
      <w:r w:rsidR="00A075C5">
        <w:rPr>
          <w:iCs/>
        </w:rPr>
        <w:t xml:space="preserve"> </w:t>
      </w:r>
      <w:r w:rsidR="000E52A8">
        <w:rPr>
          <w:iCs/>
        </w:rPr>
        <w:t>O</w:t>
      </w:r>
      <w:r w:rsidR="001868E6">
        <w:rPr>
          <w:iCs/>
        </w:rPr>
        <w:t>ctreotate</w:t>
      </w:r>
      <w:r w:rsidR="00A7019A">
        <w:rPr>
          <w:iCs/>
        </w:rPr>
        <w:t xml:space="preserve"> (applicant proposed intervention</w:t>
      </w:r>
      <w:r w:rsidR="00F71D50">
        <w:rPr>
          <w:iCs/>
        </w:rPr>
        <w:t>)</w:t>
      </w:r>
      <w:r w:rsidR="00514DC1" w:rsidRPr="00ED4E95">
        <w:rPr>
          <w:iCs/>
        </w:rPr>
        <w:t xml:space="preserve">, </w:t>
      </w:r>
      <w:r w:rsidR="00514DC1" w:rsidRPr="00ED4E95">
        <w:rPr>
          <w:iCs/>
          <w:vertAlign w:val="superscript"/>
        </w:rPr>
        <w:t>177</w:t>
      </w:r>
      <w:r w:rsidR="00514DC1" w:rsidRPr="00ED4E95">
        <w:rPr>
          <w:iCs/>
        </w:rPr>
        <w:t>Lu(nca)</w:t>
      </w:r>
      <w:r w:rsidR="006550AC">
        <w:rPr>
          <w:iCs/>
        </w:rPr>
        <w:t>-</w:t>
      </w:r>
      <w:r w:rsidR="001C03D0">
        <w:rPr>
          <w:iCs/>
        </w:rPr>
        <w:t>DOTA-octreotate</w:t>
      </w:r>
      <w:r w:rsidR="00514DC1" w:rsidRPr="00ED4E95">
        <w:rPr>
          <w:iCs/>
        </w:rPr>
        <w:t xml:space="preserve"> herein,</w:t>
      </w:r>
      <w:r w:rsidR="000470CD" w:rsidRPr="00ED4E95">
        <w:rPr>
          <w:iCs/>
          <w:vertAlign w:val="superscript"/>
        </w:rPr>
        <w:t xml:space="preserve"> </w:t>
      </w:r>
      <w:r w:rsidRPr="00ED4E95">
        <w:rPr>
          <w:iCs/>
        </w:rPr>
        <w:t>for</w:t>
      </w:r>
      <w:r w:rsidR="000470CD" w:rsidRPr="00ED4E95">
        <w:rPr>
          <w:iCs/>
        </w:rPr>
        <w:t xml:space="preserve"> advanced neuroendocrine </w:t>
      </w:r>
      <w:r w:rsidR="004C54E4" w:rsidRPr="00ED4E95">
        <w:rPr>
          <w:iCs/>
        </w:rPr>
        <w:t xml:space="preserve">tumours (NETs) </w:t>
      </w:r>
      <w:r w:rsidR="000470CD" w:rsidRPr="00ED4E95">
        <w:rPr>
          <w:iCs/>
        </w:rPr>
        <w:t>and other high somatostatin receptor (H-SSTR) expressing tumours</w:t>
      </w:r>
      <w:r w:rsidRPr="00ED4E95">
        <w:rPr>
          <w:iCs/>
        </w:rPr>
        <w:t xml:space="preserve"> was received from </w:t>
      </w:r>
      <w:r w:rsidR="000470CD" w:rsidRPr="00ED4E95">
        <w:rPr>
          <w:iCs/>
        </w:rPr>
        <w:t>Applied Molecular Therapies (AMT) Pty Ltd</w:t>
      </w:r>
      <w:r w:rsidRPr="00ED4E95">
        <w:rPr>
          <w:iCs/>
        </w:rPr>
        <w:t xml:space="preserve"> by the Department of Health.</w:t>
      </w:r>
    </w:p>
    <w:p w14:paraId="7C608D90" w14:textId="775A2D79" w:rsidR="00786089" w:rsidRPr="00922B1C" w:rsidRDefault="00786089" w:rsidP="00B3581F">
      <w:pPr>
        <w:spacing w:after="240"/>
        <w:jc w:val="both"/>
      </w:pPr>
      <w:r w:rsidRPr="00922B1C">
        <w:t xml:space="preserve">Although the application detailed a request for the use of </w:t>
      </w:r>
      <w:r w:rsidRPr="00922B1C">
        <w:rPr>
          <w:vertAlign w:val="superscript"/>
        </w:rPr>
        <w:t>177</w:t>
      </w:r>
      <w:r w:rsidRPr="00922B1C">
        <w:t>Lu(nca)</w:t>
      </w:r>
      <w:r w:rsidR="006550AC">
        <w:t>-</w:t>
      </w:r>
      <w:r w:rsidR="001C03D0">
        <w:t>DOTA-octreotate</w:t>
      </w:r>
      <w:r w:rsidRPr="00922B1C">
        <w:t xml:space="preserve">, only for the treatment of NETs and other H-SSTR expressing tumours, the application acknowledged that a number of current MBS items would require amendment to allow for patient selection. Thus, the application is for </w:t>
      </w:r>
      <w:r w:rsidR="0001309F">
        <w:t xml:space="preserve">a new MBS item for </w:t>
      </w:r>
      <w:r w:rsidR="00842B7D" w:rsidRPr="00922B1C">
        <w:rPr>
          <w:vertAlign w:val="superscript"/>
        </w:rPr>
        <w:t>68</w:t>
      </w:r>
      <w:r w:rsidR="00842B7D" w:rsidRPr="00922B1C">
        <w:t>Gallium (</w:t>
      </w:r>
      <w:r w:rsidR="00842B7D" w:rsidRPr="00922B1C">
        <w:rPr>
          <w:vertAlign w:val="superscript"/>
        </w:rPr>
        <w:t>68</w:t>
      </w:r>
      <w:r w:rsidR="00842B7D" w:rsidRPr="00922B1C">
        <w:t>Ga)-octreotate positron emission tomography (PET)/computed tomography (CT)</w:t>
      </w:r>
      <w:r w:rsidR="00046B04">
        <w:t xml:space="preserve"> to identify patients with H-SSTR</w:t>
      </w:r>
      <w:r w:rsidR="00B15553">
        <w:t xml:space="preserve"> </w:t>
      </w:r>
      <w:r w:rsidR="00B15553" w:rsidRPr="00922B1C">
        <w:t>and</w:t>
      </w:r>
      <w:r w:rsidR="00B15553" w:rsidRPr="00C86CD2">
        <w:t xml:space="preserve"> </w:t>
      </w:r>
      <w:r w:rsidR="00B15553">
        <w:t>[</w:t>
      </w:r>
      <w:r w:rsidR="00B15553" w:rsidRPr="00232A6D">
        <w:rPr>
          <w:vertAlign w:val="superscript"/>
        </w:rPr>
        <w:t>18</w:t>
      </w:r>
      <w:r w:rsidR="00B15553">
        <w:t>F]</w:t>
      </w:r>
      <w:r w:rsidR="00B15553" w:rsidRPr="00922B1C">
        <w:t>fluorodeoxyglucose (FDG) PET/CT –</w:t>
      </w:r>
      <w:r w:rsidR="00B15553">
        <w:t xml:space="preserve"> </w:t>
      </w:r>
      <w:r w:rsidR="00B15553" w:rsidRPr="00922B1C">
        <w:t>FDG PET/CT</w:t>
      </w:r>
      <w:r w:rsidR="00B15553" w:rsidRPr="00922B1C">
        <w:rPr>
          <w:vertAlign w:val="superscript"/>
        </w:rPr>
        <w:t xml:space="preserve"> </w:t>
      </w:r>
      <w:r w:rsidR="00B15553" w:rsidRPr="00922B1C">
        <w:t xml:space="preserve">imaging) </w:t>
      </w:r>
      <w:r w:rsidRPr="00922B1C">
        <w:t xml:space="preserve">and one therapeutic </w:t>
      </w:r>
      <w:r w:rsidRPr="00824A52">
        <w:t xml:space="preserve">intervention </w:t>
      </w:r>
      <w:r w:rsidR="00046B04" w:rsidRPr="00824A52">
        <w:t>(</w:t>
      </w:r>
      <w:r w:rsidR="006C2CEE" w:rsidRPr="00824A52">
        <w:t>Peptide receptor radionuclide therapy [PRRT</w:t>
      </w:r>
      <w:r w:rsidR="006F3172" w:rsidRPr="00824A52">
        <w:t>]</w:t>
      </w:r>
      <w:r w:rsidR="006C2CEE" w:rsidRPr="00824A52">
        <w:t xml:space="preserve"> therapy with </w:t>
      </w:r>
      <w:r w:rsidR="00046B04" w:rsidRPr="00824A52">
        <w:rPr>
          <w:vertAlign w:val="superscript"/>
        </w:rPr>
        <w:t>177</w:t>
      </w:r>
      <w:r w:rsidR="00046B04" w:rsidRPr="00824A52">
        <w:t>Lu-DOTA-octreotate</w:t>
      </w:r>
      <w:r w:rsidR="000555A5" w:rsidRPr="00824A52">
        <w:t xml:space="preserve"> </w:t>
      </w:r>
      <w:r w:rsidR="006B2C3C">
        <w:rPr>
          <w:i/>
          <w:iCs/>
        </w:rPr>
        <w:t>(</w:t>
      </w:r>
      <w:r w:rsidR="000555A5" w:rsidRPr="00E35BCA">
        <w:rPr>
          <w:i/>
          <w:iCs/>
        </w:rPr>
        <w:t>PASC preferred terminology for the proposed intervention</w:t>
      </w:r>
      <w:r w:rsidR="006B2C3C">
        <w:rPr>
          <w:i/>
          <w:iCs/>
        </w:rPr>
        <w:t>)</w:t>
      </w:r>
      <w:r w:rsidR="00046B04" w:rsidRPr="00824A52">
        <w:t xml:space="preserve"> </w:t>
      </w:r>
      <w:r w:rsidRPr="00824A52">
        <w:t>with</w:t>
      </w:r>
      <w:r w:rsidR="00A52A19" w:rsidRPr="00824A52">
        <w:t xml:space="preserve"> </w:t>
      </w:r>
      <w:r w:rsidRPr="00824A52">
        <w:t>post</w:t>
      </w:r>
      <w:r w:rsidRPr="00922B1C">
        <w:t>-</w:t>
      </w:r>
      <w:r w:rsidR="00D332DB" w:rsidRPr="00D332DB">
        <w:t xml:space="preserve">infusion single photon emission tomography (SPECT) </w:t>
      </w:r>
      <w:r w:rsidR="00CD5676">
        <w:t xml:space="preserve">for treatment assessment </w:t>
      </w:r>
      <w:r w:rsidR="00602118" w:rsidRPr="00922B1C">
        <w:t xml:space="preserve">(i.e. </w:t>
      </w:r>
      <w:r w:rsidR="0004299F" w:rsidRPr="00922B1C">
        <w:t>co-dependent</w:t>
      </w:r>
      <w:r w:rsidR="00602118" w:rsidRPr="00922B1C">
        <w:t xml:space="preserve"> technology</w:t>
      </w:r>
      <w:r w:rsidR="00602118" w:rsidRPr="00C86CD2">
        <w:t>)</w:t>
      </w:r>
      <w:r w:rsidRPr="00922B1C">
        <w:t>.</w:t>
      </w:r>
    </w:p>
    <w:p w14:paraId="431E4017" w14:textId="3EA8FBEB" w:rsidR="00514DC1" w:rsidRPr="007C29D0" w:rsidRDefault="00514DC1" w:rsidP="00B3581F">
      <w:pPr>
        <w:jc w:val="both"/>
        <w:rPr>
          <w:i/>
          <w:iCs/>
        </w:rPr>
      </w:pPr>
      <w:r w:rsidRPr="00ED4E95">
        <w:t xml:space="preserve">The clinical claim </w:t>
      </w:r>
      <w:r w:rsidR="002B20B1" w:rsidRPr="00ED4E95">
        <w:t>implied</w:t>
      </w:r>
      <w:r w:rsidRPr="00ED4E95">
        <w:t xml:space="preserve"> </w:t>
      </w:r>
      <w:r w:rsidR="00D17277" w:rsidRPr="00ED4E95">
        <w:t>in</w:t>
      </w:r>
      <w:r w:rsidRPr="00ED4E95">
        <w:t xml:space="preserve"> the </w:t>
      </w:r>
      <w:r w:rsidR="00D17277" w:rsidRPr="00ED4E95">
        <w:rPr>
          <w:iCs/>
        </w:rPr>
        <w:t>application</w:t>
      </w:r>
      <w:r w:rsidRPr="00ED4E95">
        <w:t xml:space="preserve"> is that the use of </w:t>
      </w:r>
      <w:r w:rsidRPr="00ED4E95">
        <w:rPr>
          <w:vertAlign w:val="superscript"/>
        </w:rPr>
        <w:t>177</w:t>
      </w:r>
      <w:r w:rsidRPr="00ED4E95">
        <w:t>Lu(nca)</w:t>
      </w:r>
      <w:r w:rsidR="006550AC">
        <w:t>-</w:t>
      </w:r>
      <w:r w:rsidR="001C03D0">
        <w:t>DOTA-</w:t>
      </w:r>
      <w:r w:rsidR="00110D5F">
        <w:t xml:space="preserve">octreotate </w:t>
      </w:r>
      <w:r w:rsidR="00977E62" w:rsidRPr="00ED4E95">
        <w:t>results in</w:t>
      </w:r>
      <w:r w:rsidRPr="00ED4E95">
        <w:t xml:space="preserve"> </w:t>
      </w:r>
      <w:r w:rsidR="00977E62" w:rsidRPr="00ED4E95">
        <w:t xml:space="preserve">superior </w:t>
      </w:r>
      <w:r w:rsidRPr="00ED4E95">
        <w:t xml:space="preserve">health outcomes compared </w:t>
      </w:r>
      <w:r w:rsidR="00977E62" w:rsidRPr="00ED4E95">
        <w:t xml:space="preserve">to alternative active and supportive care strategies. The application also </w:t>
      </w:r>
      <w:r w:rsidR="00C85E2F" w:rsidRPr="00ED4E95">
        <w:t>infers</w:t>
      </w:r>
      <w:r w:rsidR="00977E62" w:rsidRPr="00ED4E95">
        <w:t xml:space="preserve"> that the use of </w:t>
      </w:r>
      <w:r w:rsidR="00977E62" w:rsidRPr="00ED4E95">
        <w:rPr>
          <w:vertAlign w:val="superscript"/>
        </w:rPr>
        <w:t>177</w:t>
      </w:r>
      <w:r w:rsidR="00977E62" w:rsidRPr="00ED4E95">
        <w:t>Lu(nca)</w:t>
      </w:r>
      <w:r w:rsidR="006550AC">
        <w:t>-</w:t>
      </w:r>
      <w:r w:rsidR="001C03D0">
        <w:t>DOTA-</w:t>
      </w:r>
      <w:r w:rsidR="00110D5F">
        <w:t xml:space="preserve">octreotate </w:t>
      </w:r>
      <w:r w:rsidR="00977E62" w:rsidRPr="00ED4E95">
        <w:t xml:space="preserve">results in noninferior safety compared to alternative active and supportive </w:t>
      </w:r>
      <w:r w:rsidR="00977E62" w:rsidRPr="007C29D0">
        <w:t xml:space="preserve">care strategies. </w:t>
      </w:r>
      <w:r w:rsidR="00C86CD2" w:rsidRPr="00922B1C">
        <w:rPr>
          <w:iCs/>
        </w:rPr>
        <w:t>The applicant clarified that the safety claim was “</w:t>
      </w:r>
      <w:r w:rsidR="00C86CD2" w:rsidRPr="007C29D0">
        <w:t>a generally non-overlapping and noninferior safety profile compared to alternative active and supportive care strategies</w:t>
      </w:r>
      <w:r w:rsidR="00C86CD2" w:rsidRPr="00922B1C">
        <w:rPr>
          <w:iCs/>
        </w:rPr>
        <w:t>”</w:t>
      </w:r>
      <w:r w:rsidR="002B20B1" w:rsidRPr="00922B1C">
        <w:rPr>
          <w:i/>
        </w:rPr>
        <w:t>.</w:t>
      </w:r>
    </w:p>
    <w:p w14:paraId="0BFFA29E" w14:textId="26D5B609" w:rsidR="00786089" w:rsidRPr="00922B1C" w:rsidRDefault="00786089" w:rsidP="00B3581F">
      <w:pPr>
        <w:jc w:val="both"/>
        <w:rPr>
          <w:iCs/>
        </w:rPr>
      </w:pPr>
      <w:r w:rsidRPr="00D054B3">
        <w:rPr>
          <w:iCs/>
        </w:rPr>
        <w:t xml:space="preserve">Although not specifying a clinical claim for the </w:t>
      </w:r>
      <w:r w:rsidR="0004299F" w:rsidRPr="00D054B3">
        <w:rPr>
          <w:iCs/>
        </w:rPr>
        <w:t>co-dependent</w:t>
      </w:r>
      <w:r w:rsidRPr="00D054B3">
        <w:rPr>
          <w:iCs/>
        </w:rPr>
        <w:t xml:space="preserve"> technology, expanding to include the pre-requisite tests is presumed to not change the clinical claim for the therapy. The applicant </w:t>
      </w:r>
      <w:r w:rsidR="00C86CD2" w:rsidRPr="00D054B3">
        <w:rPr>
          <w:iCs/>
        </w:rPr>
        <w:t>expressed agreement with this claim</w:t>
      </w:r>
      <w:r w:rsidRPr="00D054B3">
        <w:rPr>
          <w:iCs/>
        </w:rPr>
        <w:t>.</w:t>
      </w:r>
    </w:p>
    <w:p w14:paraId="7D56BAA6" w14:textId="23F8A964" w:rsidR="00FE5DB6" w:rsidRDefault="00FE5DB6" w:rsidP="00B3581F">
      <w:pPr>
        <w:pStyle w:val="Heading3"/>
        <w:jc w:val="both"/>
      </w:pPr>
      <w:r>
        <w:t>Background</w:t>
      </w:r>
    </w:p>
    <w:p w14:paraId="50458255" w14:textId="0E698994" w:rsidR="0086323C" w:rsidRDefault="0086323C" w:rsidP="00B3581F">
      <w:pPr>
        <w:jc w:val="both"/>
      </w:pPr>
      <w:r w:rsidRPr="00E35BCA">
        <w:rPr>
          <w:i/>
          <w:iCs/>
        </w:rPr>
        <w:t xml:space="preserve">Following consideration of MSAC application 1744 – </w:t>
      </w:r>
      <w:r w:rsidRPr="00E35BCA">
        <w:rPr>
          <w:vertAlign w:val="superscript"/>
        </w:rPr>
        <w:t>177</w:t>
      </w:r>
      <w:r w:rsidRPr="00E35BCA">
        <w:t>Lutetium(nca)</w:t>
      </w:r>
      <w:r w:rsidR="00E10C42" w:rsidRPr="00E35BCA">
        <w:t>-DOTA-o</w:t>
      </w:r>
      <w:r w:rsidRPr="00E35BCA">
        <w:t>ctreotate treatment for advanced neuroendocrine and other high somatostatin receptor expressing tumours</w:t>
      </w:r>
      <w:r w:rsidRPr="00E35BCA">
        <w:rPr>
          <w:i/>
          <w:iCs/>
        </w:rPr>
        <w:t xml:space="preserve"> at the April 2023 meeting, PASC considered the outstanding issues would be best resolved through a re-consideration at the August 2023 PASC meeting</w:t>
      </w:r>
      <w:r w:rsidRPr="00B65F16">
        <w:t>.</w:t>
      </w:r>
      <w:r>
        <w:t xml:space="preserve"> </w:t>
      </w:r>
      <w:r w:rsidR="00773E52">
        <w:fldChar w:fldCharType="begin"/>
      </w:r>
      <w:r w:rsidR="00773E52">
        <w:instrText xml:space="preserve"> REF _Ref140814832 \h </w:instrText>
      </w:r>
      <w:r w:rsidR="00B3581F">
        <w:instrText xml:space="preserve"> \* MERGEFORMAT </w:instrText>
      </w:r>
      <w:r w:rsidR="00773E52">
        <w:fldChar w:fldCharType="separate"/>
      </w:r>
      <w:r w:rsidR="00401046">
        <w:t xml:space="preserve">Table </w:t>
      </w:r>
      <w:r w:rsidR="00401046">
        <w:rPr>
          <w:noProof/>
        </w:rPr>
        <w:t>2</w:t>
      </w:r>
      <w:r w:rsidR="00773E52">
        <w:fldChar w:fldCharType="end"/>
      </w:r>
      <w:r w:rsidR="00773E52">
        <w:t xml:space="preserve"> provides a summary of the outstanding matters from consideration of this PICO Confirmation at the April 2023 PASC, in addition to matters that may require re-consideration.</w:t>
      </w:r>
    </w:p>
    <w:p w14:paraId="66C8630C" w14:textId="0657AAED" w:rsidR="00773E52" w:rsidRDefault="00773E52" w:rsidP="004C3B98">
      <w:pPr>
        <w:pStyle w:val="Caption"/>
      </w:pPr>
      <w:bookmarkStart w:id="5" w:name="_Ref140814832"/>
      <w:r>
        <w:t xml:space="preserve">Table </w:t>
      </w:r>
      <w:r>
        <w:fldChar w:fldCharType="begin"/>
      </w:r>
      <w:r>
        <w:instrText xml:space="preserve"> SEQ Table \* ARABIC </w:instrText>
      </w:r>
      <w:r>
        <w:fldChar w:fldCharType="separate"/>
      </w:r>
      <w:r w:rsidR="00401046">
        <w:rPr>
          <w:noProof/>
        </w:rPr>
        <w:t>2</w:t>
      </w:r>
      <w:r>
        <w:fldChar w:fldCharType="end"/>
      </w:r>
      <w:bookmarkEnd w:id="5"/>
      <w:r w:rsidR="00D634F3">
        <w:tab/>
      </w:r>
      <w:r>
        <w:t>Outstanding matters f</w:t>
      </w:r>
      <w:r w:rsidR="0004299F">
        <w:t xml:space="preserve">or </w:t>
      </w:r>
      <w:r>
        <w:t>consideration at April 2023 PASC</w:t>
      </w:r>
    </w:p>
    <w:tbl>
      <w:tblPr>
        <w:tblStyle w:val="TableGrid"/>
        <w:tblW w:w="0" w:type="auto"/>
        <w:tblInd w:w="0" w:type="dxa"/>
        <w:tblLook w:val="04A0" w:firstRow="1" w:lastRow="0" w:firstColumn="1" w:lastColumn="0" w:noHBand="0" w:noVBand="1"/>
      </w:tblPr>
      <w:tblGrid>
        <w:gridCol w:w="4531"/>
        <w:gridCol w:w="5040"/>
      </w:tblGrid>
      <w:tr w:rsidR="004B2473" w:rsidRPr="004C3B98" w14:paraId="2CF48E92" w14:textId="77777777" w:rsidTr="004C3B98">
        <w:trPr>
          <w:tblHeader/>
        </w:trPr>
        <w:tc>
          <w:tcPr>
            <w:tcW w:w="4531" w:type="dxa"/>
          </w:tcPr>
          <w:p w14:paraId="22B62D44" w14:textId="261A2897" w:rsidR="004B2473" w:rsidRPr="004C3B98" w:rsidRDefault="004B2473" w:rsidP="004C3B98">
            <w:pPr>
              <w:spacing w:before="40" w:after="40" w:line="240" w:lineRule="auto"/>
              <w:jc w:val="center"/>
              <w:rPr>
                <w:rFonts w:ascii="Arial Narrow" w:hAnsi="Arial Narrow"/>
                <w:b/>
                <w:bCs/>
                <w:sz w:val="20"/>
                <w:szCs w:val="18"/>
              </w:rPr>
            </w:pPr>
            <w:r w:rsidRPr="004C3B98">
              <w:rPr>
                <w:rFonts w:ascii="Arial Narrow" w:hAnsi="Arial Narrow"/>
                <w:b/>
                <w:bCs/>
                <w:sz w:val="20"/>
                <w:szCs w:val="18"/>
              </w:rPr>
              <w:t>Outstanding matters f</w:t>
            </w:r>
            <w:r w:rsidR="0004299F">
              <w:rPr>
                <w:rFonts w:ascii="Arial Narrow" w:hAnsi="Arial Narrow"/>
                <w:b/>
                <w:bCs/>
                <w:sz w:val="20"/>
                <w:szCs w:val="18"/>
              </w:rPr>
              <w:t>or</w:t>
            </w:r>
            <w:r w:rsidRPr="004C3B98">
              <w:rPr>
                <w:rFonts w:ascii="Arial Narrow" w:hAnsi="Arial Narrow"/>
                <w:b/>
                <w:bCs/>
                <w:sz w:val="20"/>
                <w:szCs w:val="18"/>
              </w:rPr>
              <w:t xml:space="preserve"> consideration at April 202</w:t>
            </w:r>
            <w:r w:rsidR="00773E52">
              <w:rPr>
                <w:rFonts w:ascii="Arial Narrow" w:hAnsi="Arial Narrow"/>
                <w:b/>
                <w:bCs/>
                <w:sz w:val="20"/>
                <w:szCs w:val="18"/>
              </w:rPr>
              <w:t>3</w:t>
            </w:r>
            <w:r w:rsidRPr="004C3B98">
              <w:rPr>
                <w:rFonts w:ascii="Arial Narrow" w:hAnsi="Arial Narrow"/>
                <w:b/>
                <w:bCs/>
                <w:sz w:val="20"/>
                <w:szCs w:val="18"/>
              </w:rPr>
              <w:t xml:space="preserve"> PASC</w:t>
            </w:r>
            <w:r w:rsidR="00773E52">
              <w:rPr>
                <w:rFonts w:ascii="Arial Narrow" w:hAnsi="Arial Narrow"/>
                <w:b/>
                <w:bCs/>
                <w:sz w:val="20"/>
                <w:szCs w:val="18"/>
              </w:rPr>
              <w:t>; or matters for re-consideration</w:t>
            </w:r>
          </w:p>
        </w:tc>
        <w:tc>
          <w:tcPr>
            <w:tcW w:w="5040" w:type="dxa"/>
          </w:tcPr>
          <w:p w14:paraId="41F346EB" w14:textId="54DF4AF7" w:rsidR="004B2473" w:rsidRPr="004C3B98" w:rsidRDefault="00910130" w:rsidP="004C3B98">
            <w:pPr>
              <w:spacing w:before="40" w:after="40" w:line="240" w:lineRule="auto"/>
              <w:jc w:val="center"/>
              <w:rPr>
                <w:rFonts w:ascii="Arial Narrow" w:hAnsi="Arial Narrow"/>
                <w:b/>
                <w:bCs/>
                <w:sz w:val="20"/>
                <w:szCs w:val="18"/>
              </w:rPr>
            </w:pPr>
            <w:r>
              <w:rPr>
                <w:rFonts w:ascii="Arial Narrow" w:hAnsi="Arial Narrow"/>
                <w:b/>
                <w:bCs/>
                <w:sz w:val="20"/>
                <w:szCs w:val="18"/>
              </w:rPr>
              <w:t xml:space="preserve">Comment </w:t>
            </w:r>
          </w:p>
        </w:tc>
      </w:tr>
      <w:tr w:rsidR="003B34EF" w:rsidRPr="004B2473" w14:paraId="0FBA5FDF" w14:textId="77777777" w:rsidTr="00910130">
        <w:tc>
          <w:tcPr>
            <w:tcW w:w="4531" w:type="dxa"/>
          </w:tcPr>
          <w:p w14:paraId="58FD110F" w14:textId="75AB3346" w:rsidR="003B34EF" w:rsidRDefault="003B34EF" w:rsidP="007B0205">
            <w:pPr>
              <w:spacing w:before="40" w:after="40" w:line="240" w:lineRule="auto"/>
              <w:jc w:val="both"/>
              <w:rPr>
                <w:rFonts w:ascii="Arial Narrow" w:hAnsi="Arial Narrow"/>
                <w:sz w:val="20"/>
                <w:szCs w:val="18"/>
              </w:rPr>
            </w:pPr>
            <w:r w:rsidRPr="00910130">
              <w:rPr>
                <w:rFonts w:ascii="Arial Narrow" w:hAnsi="Arial Narrow"/>
                <w:sz w:val="20"/>
                <w:szCs w:val="18"/>
              </w:rPr>
              <w:t xml:space="preserve">‘Patients with NET in whom neoadjuvant treatment may facilitate successful localised curative intent ablative therapies’ and ‘Patients with advanced malignancy characterised by high somatostatin receptor expression such as neuroblastoma, phaeochromocytoma and paraganglioma whose outcomes may be improved by </w:t>
            </w:r>
            <w:r w:rsidRPr="00E720CD">
              <w:rPr>
                <w:rFonts w:ascii="Arial Narrow" w:hAnsi="Arial Narrow"/>
                <w:sz w:val="20"/>
                <w:szCs w:val="18"/>
                <w:vertAlign w:val="superscript"/>
              </w:rPr>
              <w:t>177</w:t>
            </w:r>
            <w:r w:rsidRPr="00910130">
              <w:rPr>
                <w:rFonts w:ascii="Arial Narrow" w:hAnsi="Arial Narrow"/>
                <w:sz w:val="20"/>
                <w:szCs w:val="18"/>
              </w:rPr>
              <w:t>Lu-DOTA-octreotate treatment’) should be removed from consideration</w:t>
            </w:r>
            <w:r>
              <w:rPr>
                <w:rFonts w:ascii="Arial Narrow" w:hAnsi="Arial Narrow"/>
                <w:sz w:val="20"/>
                <w:szCs w:val="18"/>
              </w:rPr>
              <w:t>.</w:t>
            </w:r>
          </w:p>
        </w:tc>
        <w:tc>
          <w:tcPr>
            <w:tcW w:w="5040" w:type="dxa"/>
          </w:tcPr>
          <w:p w14:paraId="7F8440E4" w14:textId="43DAF5A5" w:rsidR="003B34EF" w:rsidRPr="00E35BCA" w:rsidRDefault="003B34EF" w:rsidP="007B0205">
            <w:pPr>
              <w:spacing w:before="40" w:after="40" w:line="240" w:lineRule="auto"/>
              <w:jc w:val="both"/>
              <w:rPr>
                <w:rFonts w:ascii="Arial Narrow" w:hAnsi="Arial Narrow"/>
                <w:sz w:val="20"/>
                <w:szCs w:val="18"/>
              </w:rPr>
            </w:pPr>
            <w:r w:rsidRPr="00E35BCA">
              <w:rPr>
                <w:rFonts w:ascii="Arial Narrow" w:hAnsi="Arial Narrow"/>
                <w:sz w:val="20"/>
                <w:szCs w:val="18"/>
              </w:rPr>
              <w:t>The applicant considered that this PASC recommendation would deny a small number of patients with incurable malignancy the opportunity to receive highly beneficial disease modifying treatment, also noting that the treatment would only attract a Medicare benefit if there was a positive recommendation from an MDT.</w:t>
            </w:r>
          </w:p>
        </w:tc>
      </w:tr>
      <w:tr w:rsidR="00917656" w:rsidRPr="004B2473" w14:paraId="5CBAC99A" w14:textId="77777777" w:rsidTr="00910130">
        <w:tc>
          <w:tcPr>
            <w:tcW w:w="4531" w:type="dxa"/>
          </w:tcPr>
          <w:p w14:paraId="6522D6A6" w14:textId="512629C6" w:rsidR="00917656" w:rsidRDefault="00917656" w:rsidP="007B0205">
            <w:pPr>
              <w:spacing w:before="40" w:after="40" w:line="240" w:lineRule="auto"/>
              <w:jc w:val="both"/>
              <w:rPr>
                <w:rFonts w:ascii="Arial Narrow" w:hAnsi="Arial Narrow"/>
                <w:sz w:val="20"/>
                <w:szCs w:val="18"/>
              </w:rPr>
            </w:pPr>
            <w:r>
              <w:rPr>
                <w:rFonts w:ascii="Arial Narrow" w:hAnsi="Arial Narrow"/>
                <w:sz w:val="20"/>
                <w:szCs w:val="18"/>
              </w:rPr>
              <w:t xml:space="preserve">Whether an MDT referral is required for </w:t>
            </w:r>
            <w:r w:rsidRPr="004C3B98">
              <w:rPr>
                <w:rFonts w:ascii="Arial Narrow" w:hAnsi="Arial Narrow"/>
                <w:sz w:val="20"/>
                <w:szCs w:val="18"/>
                <w:vertAlign w:val="superscript"/>
              </w:rPr>
              <w:t>68</w:t>
            </w:r>
            <w:r w:rsidRPr="00917656">
              <w:rPr>
                <w:rFonts w:ascii="Arial Narrow" w:hAnsi="Arial Narrow"/>
                <w:sz w:val="20"/>
                <w:szCs w:val="18"/>
              </w:rPr>
              <w:t>Ga-DOTA-octreotate PET/CT</w:t>
            </w:r>
            <w:r>
              <w:rPr>
                <w:rFonts w:ascii="Arial Narrow" w:hAnsi="Arial Narrow"/>
                <w:sz w:val="20"/>
                <w:szCs w:val="18"/>
              </w:rPr>
              <w:t>.</w:t>
            </w:r>
          </w:p>
        </w:tc>
        <w:tc>
          <w:tcPr>
            <w:tcW w:w="5040" w:type="dxa"/>
          </w:tcPr>
          <w:p w14:paraId="04917ED1" w14:textId="19B97C08" w:rsidR="00917656" w:rsidRPr="00E35BCA" w:rsidRDefault="00917656" w:rsidP="007B0205">
            <w:pPr>
              <w:spacing w:before="40" w:after="40" w:line="240" w:lineRule="auto"/>
              <w:jc w:val="both"/>
              <w:rPr>
                <w:rFonts w:ascii="Arial Narrow" w:hAnsi="Arial Narrow"/>
                <w:sz w:val="20"/>
                <w:szCs w:val="18"/>
              </w:rPr>
            </w:pPr>
            <w:r w:rsidRPr="00E35BCA">
              <w:rPr>
                <w:rFonts w:ascii="Arial Narrow" w:hAnsi="Arial Narrow"/>
                <w:sz w:val="20"/>
                <w:szCs w:val="18"/>
              </w:rPr>
              <w:t xml:space="preserve">The current MBS Item 61647 for a </w:t>
            </w:r>
            <w:r w:rsidRPr="00E35BCA">
              <w:rPr>
                <w:rFonts w:ascii="Arial Narrow" w:hAnsi="Arial Narrow"/>
                <w:sz w:val="20"/>
                <w:szCs w:val="18"/>
                <w:vertAlign w:val="superscript"/>
              </w:rPr>
              <w:t>68</w:t>
            </w:r>
            <w:r w:rsidRPr="00E35BCA">
              <w:rPr>
                <w:rFonts w:ascii="Arial Narrow" w:hAnsi="Arial Narrow"/>
                <w:sz w:val="20"/>
                <w:szCs w:val="18"/>
              </w:rPr>
              <w:t>Ga-DOTA-octreotate PET/CT does not require referral by an MDT.</w:t>
            </w:r>
          </w:p>
        </w:tc>
      </w:tr>
      <w:tr w:rsidR="003B34EF" w:rsidRPr="004B2473" w14:paraId="2DCE5170" w14:textId="77777777" w:rsidTr="00910130">
        <w:tc>
          <w:tcPr>
            <w:tcW w:w="4531" w:type="dxa"/>
          </w:tcPr>
          <w:p w14:paraId="29B851CC" w14:textId="0A2E2FCF" w:rsidR="003B34EF" w:rsidRDefault="003B34EF" w:rsidP="007B0205">
            <w:pPr>
              <w:spacing w:before="40" w:after="40" w:line="240" w:lineRule="auto"/>
              <w:jc w:val="both"/>
              <w:rPr>
                <w:rFonts w:ascii="Arial Narrow" w:hAnsi="Arial Narrow"/>
                <w:sz w:val="20"/>
                <w:szCs w:val="18"/>
              </w:rPr>
            </w:pPr>
            <w:r>
              <w:rPr>
                <w:rFonts w:ascii="Arial Narrow" w:hAnsi="Arial Narrow"/>
                <w:sz w:val="20"/>
                <w:szCs w:val="18"/>
              </w:rPr>
              <w:lastRenderedPageBreak/>
              <w:t>W</w:t>
            </w:r>
            <w:r w:rsidRPr="00832A86">
              <w:rPr>
                <w:rFonts w:ascii="Arial Narrow" w:hAnsi="Arial Narrow"/>
                <w:sz w:val="20"/>
                <w:szCs w:val="18"/>
              </w:rPr>
              <w:t xml:space="preserve">hether </w:t>
            </w:r>
            <w:r>
              <w:rPr>
                <w:rFonts w:ascii="Arial Narrow" w:hAnsi="Arial Narrow"/>
                <w:sz w:val="20"/>
                <w:szCs w:val="18"/>
              </w:rPr>
              <w:t xml:space="preserve">a Krenning score ≥3 </w:t>
            </w:r>
            <w:r w:rsidRPr="00832A86">
              <w:rPr>
                <w:rFonts w:ascii="Arial Narrow" w:hAnsi="Arial Narrow"/>
                <w:sz w:val="20"/>
                <w:szCs w:val="18"/>
              </w:rPr>
              <w:t>needs to be reflected in all sites ≥2 cm, the majority of sites ≥2</w:t>
            </w:r>
            <w:r>
              <w:rPr>
                <w:rFonts w:ascii="Arial Narrow" w:hAnsi="Arial Narrow"/>
                <w:sz w:val="20"/>
                <w:szCs w:val="18"/>
              </w:rPr>
              <w:t xml:space="preserve"> </w:t>
            </w:r>
            <w:r w:rsidRPr="00832A86">
              <w:rPr>
                <w:rFonts w:ascii="Arial Narrow" w:hAnsi="Arial Narrow"/>
                <w:sz w:val="20"/>
                <w:szCs w:val="18"/>
              </w:rPr>
              <w:t>cm or the majority of all identified lesions</w:t>
            </w:r>
            <w:r>
              <w:rPr>
                <w:rFonts w:ascii="Arial Narrow" w:hAnsi="Arial Narrow"/>
                <w:sz w:val="20"/>
                <w:szCs w:val="18"/>
              </w:rPr>
              <w:t xml:space="preserve"> and if ‘majority’, how that should be defined.</w:t>
            </w:r>
          </w:p>
        </w:tc>
        <w:tc>
          <w:tcPr>
            <w:tcW w:w="5040" w:type="dxa"/>
          </w:tcPr>
          <w:p w14:paraId="1F26C7DE" w14:textId="28ECCE26" w:rsidR="003B34EF" w:rsidRPr="00E35BCA" w:rsidRDefault="003B34EF" w:rsidP="007B0205">
            <w:pPr>
              <w:spacing w:before="40" w:after="40" w:line="240" w:lineRule="auto"/>
              <w:jc w:val="both"/>
              <w:rPr>
                <w:rFonts w:ascii="Arial Narrow" w:hAnsi="Arial Narrow"/>
                <w:sz w:val="20"/>
                <w:szCs w:val="18"/>
              </w:rPr>
            </w:pPr>
            <w:r w:rsidRPr="00E35BCA">
              <w:rPr>
                <w:rFonts w:ascii="Arial Narrow" w:hAnsi="Arial Narrow"/>
                <w:sz w:val="20"/>
                <w:szCs w:val="18"/>
              </w:rPr>
              <w:t>The applicant suggested that the decision about the “majority” of sites expressing modified Krenning ≥3 or only those ≥2 cm be left to the judgement of the multidisciplinary team that is treating the patient as this is a complex decision especially in patients with discordant disease.</w:t>
            </w:r>
          </w:p>
        </w:tc>
      </w:tr>
      <w:tr w:rsidR="003B34EF" w:rsidRPr="004B2473" w14:paraId="3C0A79C7" w14:textId="77777777" w:rsidTr="00910130">
        <w:tc>
          <w:tcPr>
            <w:tcW w:w="4531" w:type="dxa"/>
          </w:tcPr>
          <w:p w14:paraId="0D9F2A53" w14:textId="18AE79A1" w:rsidR="003B34EF" w:rsidRDefault="003B34EF" w:rsidP="007B0205">
            <w:pPr>
              <w:spacing w:before="40" w:after="40" w:line="240" w:lineRule="auto"/>
              <w:jc w:val="both"/>
              <w:rPr>
                <w:rFonts w:ascii="Arial Narrow" w:hAnsi="Arial Narrow"/>
                <w:sz w:val="20"/>
                <w:szCs w:val="18"/>
              </w:rPr>
            </w:pPr>
            <w:r>
              <w:rPr>
                <w:rFonts w:ascii="Arial Narrow" w:hAnsi="Arial Narrow"/>
                <w:sz w:val="20"/>
                <w:szCs w:val="18"/>
              </w:rPr>
              <w:t>Referral to FDG PET/CT</w:t>
            </w:r>
          </w:p>
        </w:tc>
        <w:tc>
          <w:tcPr>
            <w:tcW w:w="5040" w:type="dxa"/>
          </w:tcPr>
          <w:p w14:paraId="2E277D9B" w14:textId="1CBD47C6" w:rsidR="003B34EF" w:rsidRPr="00E35BCA" w:rsidRDefault="003B34EF" w:rsidP="007B0205">
            <w:pPr>
              <w:spacing w:before="40" w:after="40" w:line="240" w:lineRule="auto"/>
              <w:jc w:val="both"/>
              <w:rPr>
                <w:rFonts w:ascii="Arial Narrow" w:hAnsi="Arial Narrow"/>
                <w:sz w:val="20"/>
                <w:szCs w:val="18"/>
              </w:rPr>
            </w:pPr>
            <w:r w:rsidRPr="00E35BCA">
              <w:rPr>
                <w:rFonts w:ascii="Arial Narrow" w:hAnsi="Arial Narrow"/>
                <w:sz w:val="20"/>
                <w:szCs w:val="18"/>
              </w:rPr>
              <w:t>Whether the decision to refer a patient for a FDG PET/CT should be determined by the MDT taking into consideration the patient</w:t>
            </w:r>
            <w:r w:rsidR="000F3FFF" w:rsidRPr="00E35BCA">
              <w:rPr>
                <w:rFonts w:ascii="Arial Narrow" w:hAnsi="Arial Narrow"/>
                <w:sz w:val="20"/>
                <w:szCs w:val="18"/>
              </w:rPr>
              <w:t>’</w:t>
            </w:r>
            <w:r w:rsidRPr="00E35BCA">
              <w:rPr>
                <w:rFonts w:ascii="Arial Narrow" w:hAnsi="Arial Narrow"/>
                <w:sz w:val="20"/>
                <w:szCs w:val="18"/>
              </w:rPr>
              <w:t>s clinical history, prior treatments, symptom burden, and prognosis</w:t>
            </w:r>
          </w:p>
        </w:tc>
      </w:tr>
      <w:tr w:rsidR="003B34EF" w:rsidRPr="004B2473" w14:paraId="38451E1C" w14:textId="77777777" w:rsidTr="00910130">
        <w:tc>
          <w:tcPr>
            <w:tcW w:w="4531" w:type="dxa"/>
          </w:tcPr>
          <w:p w14:paraId="0D5A5951" w14:textId="00706C2F" w:rsidR="003B34EF" w:rsidRDefault="003B34EF" w:rsidP="007B0205">
            <w:pPr>
              <w:spacing w:before="40" w:after="40" w:line="240" w:lineRule="auto"/>
              <w:jc w:val="both"/>
              <w:rPr>
                <w:rFonts w:ascii="Arial Narrow" w:hAnsi="Arial Narrow"/>
                <w:sz w:val="20"/>
                <w:szCs w:val="18"/>
              </w:rPr>
            </w:pPr>
            <w:r>
              <w:rPr>
                <w:rFonts w:ascii="Arial Narrow" w:hAnsi="Arial Narrow"/>
                <w:sz w:val="20"/>
                <w:szCs w:val="18"/>
              </w:rPr>
              <w:t>Role of FDG PET/CT and its consideration in the Assessment Report.</w:t>
            </w:r>
          </w:p>
        </w:tc>
        <w:tc>
          <w:tcPr>
            <w:tcW w:w="5040" w:type="dxa"/>
          </w:tcPr>
          <w:p w14:paraId="5E2122E9" w14:textId="4CB824D0" w:rsidR="003B34EF" w:rsidRPr="00E35BCA" w:rsidRDefault="003B34EF" w:rsidP="007B0205">
            <w:pPr>
              <w:spacing w:before="40" w:after="40" w:line="240" w:lineRule="auto"/>
              <w:jc w:val="both"/>
              <w:rPr>
                <w:rFonts w:ascii="Arial Narrow" w:hAnsi="Arial Narrow"/>
                <w:sz w:val="20"/>
                <w:szCs w:val="18"/>
              </w:rPr>
            </w:pPr>
            <w:r w:rsidRPr="00E35BCA">
              <w:rPr>
                <w:rFonts w:ascii="Arial Narrow" w:hAnsi="Arial Narrow"/>
                <w:sz w:val="20"/>
                <w:szCs w:val="18"/>
              </w:rPr>
              <w:t>Consider whether FDG PET/CT be excluded in the clinical management algorithm to determine eligibility for PRRT therapy.</w:t>
            </w:r>
            <w:r w:rsidR="00F66F07" w:rsidRPr="00E35BCA">
              <w:rPr>
                <w:rFonts w:ascii="Arial Narrow" w:hAnsi="Arial Narrow"/>
                <w:sz w:val="20"/>
                <w:szCs w:val="18"/>
              </w:rPr>
              <w:t xml:space="preserve"> Or alternatively, the assessment report </w:t>
            </w:r>
            <w:r w:rsidR="0004299F" w:rsidRPr="00E35BCA">
              <w:rPr>
                <w:rFonts w:ascii="Arial Narrow" w:hAnsi="Arial Narrow"/>
                <w:sz w:val="20"/>
                <w:szCs w:val="18"/>
              </w:rPr>
              <w:t>justifies</w:t>
            </w:r>
            <w:r w:rsidR="00F66F07" w:rsidRPr="00E35BCA">
              <w:rPr>
                <w:rFonts w:ascii="Arial Narrow" w:hAnsi="Arial Narrow"/>
                <w:sz w:val="20"/>
                <w:szCs w:val="18"/>
              </w:rPr>
              <w:t xml:space="preserve"> the requirement of </w:t>
            </w:r>
            <w:r w:rsidR="0004299F" w:rsidRPr="00E35BCA">
              <w:rPr>
                <w:rFonts w:ascii="Arial Narrow" w:hAnsi="Arial Narrow"/>
                <w:sz w:val="20"/>
                <w:szCs w:val="18"/>
              </w:rPr>
              <w:t>co-dependent</w:t>
            </w:r>
            <w:r w:rsidR="00F66F07" w:rsidRPr="00E35BCA">
              <w:rPr>
                <w:rFonts w:ascii="Arial Narrow" w:hAnsi="Arial Narrow"/>
                <w:sz w:val="20"/>
                <w:szCs w:val="18"/>
              </w:rPr>
              <w:t xml:space="preserve"> investigations with FDG PET/CT including by estimating the patient outcomes and consequences for the subsequent provision of healthcare resource of not including this use.</w:t>
            </w:r>
          </w:p>
        </w:tc>
      </w:tr>
      <w:tr w:rsidR="003B34EF" w:rsidRPr="004B2473" w14:paraId="28FF3ABC" w14:textId="77777777" w:rsidTr="004C3B98">
        <w:tc>
          <w:tcPr>
            <w:tcW w:w="4531" w:type="dxa"/>
          </w:tcPr>
          <w:p w14:paraId="0ED9EB9A" w14:textId="4BAB438B" w:rsidR="003B34EF" w:rsidRDefault="003B34EF" w:rsidP="007B0205">
            <w:pPr>
              <w:spacing w:before="40" w:after="40" w:line="240" w:lineRule="auto"/>
              <w:jc w:val="both"/>
              <w:rPr>
                <w:rFonts w:ascii="Arial Narrow" w:hAnsi="Arial Narrow"/>
                <w:sz w:val="20"/>
                <w:szCs w:val="18"/>
              </w:rPr>
            </w:pPr>
            <w:r>
              <w:rPr>
                <w:rFonts w:ascii="Arial Narrow" w:hAnsi="Arial Narrow"/>
                <w:sz w:val="20"/>
                <w:szCs w:val="18"/>
              </w:rPr>
              <w:t>Definition of discordance from FDG PET/CT to preclude eligibility for PRRT.</w:t>
            </w:r>
          </w:p>
        </w:tc>
        <w:tc>
          <w:tcPr>
            <w:tcW w:w="5040" w:type="dxa"/>
          </w:tcPr>
          <w:p w14:paraId="5930321C" w14:textId="03EE06C6" w:rsidR="003B34EF" w:rsidRPr="00E35BCA" w:rsidRDefault="003B34EF" w:rsidP="007B0205">
            <w:pPr>
              <w:spacing w:before="40" w:after="40" w:line="240" w:lineRule="auto"/>
              <w:jc w:val="both"/>
              <w:rPr>
                <w:rFonts w:ascii="Arial Narrow" w:hAnsi="Arial Narrow"/>
                <w:sz w:val="20"/>
                <w:szCs w:val="18"/>
              </w:rPr>
            </w:pPr>
            <w:r w:rsidRPr="00E35BCA">
              <w:rPr>
                <w:rFonts w:ascii="Arial Narrow" w:hAnsi="Arial Narrow"/>
                <w:sz w:val="20"/>
                <w:szCs w:val="18"/>
              </w:rPr>
              <w:t xml:space="preserve">The applicant suggests that eligibility for PRRT should include that there are no more than three sites of discordance of tumours &gt;2 cm </w:t>
            </w:r>
            <w:r w:rsidR="0065656B" w:rsidRPr="00E35BCA">
              <w:rPr>
                <w:rFonts w:ascii="Arial Narrow" w:hAnsi="Arial Narrow"/>
                <w:sz w:val="20"/>
                <w:szCs w:val="18"/>
              </w:rPr>
              <w:t xml:space="preserve">in size </w:t>
            </w:r>
            <w:r w:rsidRPr="00E35BCA">
              <w:rPr>
                <w:rFonts w:ascii="Arial Narrow" w:hAnsi="Arial Narrow"/>
                <w:sz w:val="20"/>
                <w:szCs w:val="18"/>
              </w:rPr>
              <w:t>or that it should be left to the discretion of the MDT.</w:t>
            </w:r>
          </w:p>
        </w:tc>
      </w:tr>
      <w:tr w:rsidR="003B34EF" w:rsidRPr="004C3B98" w14:paraId="3FF42139" w14:textId="77777777" w:rsidTr="004C3B98">
        <w:tc>
          <w:tcPr>
            <w:tcW w:w="4531" w:type="dxa"/>
          </w:tcPr>
          <w:p w14:paraId="3D0E51C7" w14:textId="03D83EB2" w:rsidR="003B34EF" w:rsidRPr="004C3B98" w:rsidRDefault="003B34EF" w:rsidP="007B0205">
            <w:pPr>
              <w:spacing w:before="40" w:after="40" w:line="240" w:lineRule="auto"/>
              <w:jc w:val="both"/>
              <w:rPr>
                <w:rFonts w:ascii="Arial Narrow" w:hAnsi="Arial Narrow"/>
                <w:sz w:val="20"/>
                <w:szCs w:val="18"/>
              </w:rPr>
            </w:pPr>
            <w:r>
              <w:rPr>
                <w:rFonts w:ascii="Arial Narrow" w:hAnsi="Arial Narrow"/>
                <w:sz w:val="20"/>
                <w:szCs w:val="18"/>
              </w:rPr>
              <w:t xml:space="preserve">Restriction to </w:t>
            </w:r>
            <w:r>
              <w:rPr>
                <w:rFonts w:ascii="Arial Narrow" w:hAnsi="Arial Narrow"/>
                <w:sz w:val="20"/>
                <w:szCs w:val="18"/>
                <w:vertAlign w:val="superscript"/>
              </w:rPr>
              <w:t>177</w:t>
            </w:r>
            <w:r>
              <w:rPr>
                <w:rFonts w:ascii="Arial Narrow" w:hAnsi="Arial Narrow"/>
                <w:sz w:val="20"/>
                <w:szCs w:val="18"/>
              </w:rPr>
              <w:t xml:space="preserve">Lu(nca)-DOTA-octreotate. </w:t>
            </w:r>
          </w:p>
        </w:tc>
        <w:tc>
          <w:tcPr>
            <w:tcW w:w="5040" w:type="dxa"/>
          </w:tcPr>
          <w:p w14:paraId="696417DB" w14:textId="27CB1DE7" w:rsidR="003B34EF" w:rsidRPr="004C3B98" w:rsidRDefault="003B34EF" w:rsidP="007B0205">
            <w:pPr>
              <w:spacing w:before="40" w:after="40" w:line="240" w:lineRule="auto"/>
              <w:jc w:val="both"/>
              <w:rPr>
                <w:rFonts w:ascii="Arial Narrow" w:hAnsi="Arial Narrow"/>
                <w:i/>
                <w:iCs/>
                <w:sz w:val="20"/>
                <w:szCs w:val="18"/>
              </w:rPr>
            </w:pPr>
            <w:r>
              <w:rPr>
                <w:rFonts w:ascii="Arial Narrow" w:hAnsi="Arial Narrow"/>
                <w:sz w:val="20"/>
                <w:szCs w:val="18"/>
              </w:rPr>
              <w:t xml:space="preserve">The applicant maintains that listing is sought for </w:t>
            </w:r>
            <w:r>
              <w:rPr>
                <w:rFonts w:ascii="Arial Narrow" w:hAnsi="Arial Narrow"/>
                <w:sz w:val="20"/>
                <w:szCs w:val="18"/>
                <w:vertAlign w:val="superscript"/>
              </w:rPr>
              <w:t>177</w:t>
            </w:r>
            <w:r>
              <w:rPr>
                <w:rFonts w:ascii="Arial Narrow" w:hAnsi="Arial Narrow"/>
                <w:sz w:val="20"/>
                <w:szCs w:val="18"/>
              </w:rPr>
              <w:t xml:space="preserve">Lu(nca)-DOTA-octreotate; </w:t>
            </w:r>
            <w:r w:rsidR="0004299F" w:rsidRPr="00E35BCA">
              <w:rPr>
                <w:rFonts w:ascii="Arial Narrow" w:hAnsi="Arial Narrow"/>
                <w:sz w:val="20"/>
                <w:szCs w:val="18"/>
              </w:rPr>
              <w:t>however,</w:t>
            </w:r>
            <w:r w:rsidRPr="00E35BCA">
              <w:rPr>
                <w:rFonts w:ascii="Arial Narrow" w:hAnsi="Arial Narrow"/>
                <w:sz w:val="20"/>
                <w:szCs w:val="18"/>
              </w:rPr>
              <w:t xml:space="preserve"> based on PASC considerations, the intervention described in this updated PICO </w:t>
            </w:r>
            <w:r w:rsidR="00755AB3" w:rsidRPr="00E35BCA">
              <w:rPr>
                <w:rFonts w:ascii="Arial Narrow" w:hAnsi="Arial Narrow"/>
                <w:sz w:val="20"/>
                <w:szCs w:val="18"/>
              </w:rPr>
              <w:t>refers</w:t>
            </w:r>
            <w:r w:rsidRPr="00E35BCA">
              <w:rPr>
                <w:rFonts w:ascii="Arial Narrow" w:hAnsi="Arial Narrow"/>
                <w:sz w:val="20"/>
                <w:szCs w:val="18"/>
              </w:rPr>
              <w:t xml:space="preserve"> to the more generic </w:t>
            </w:r>
            <w:r w:rsidRPr="00E35BCA">
              <w:rPr>
                <w:rFonts w:ascii="Arial Narrow" w:hAnsi="Arial Narrow"/>
                <w:sz w:val="20"/>
                <w:szCs w:val="18"/>
                <w:vertAlign w:val="superscript"/>
              </w:rPr>
              <w:t>177</w:t>
            </w:r>
            <w:r w:rsidRPr="00E35BCA">
              <w:rPr>
                <w:rFonts w:ascii="Arial Narrow" w:hAnsi="Arial Narrow"/>
                <w:sz w:val="20"/>
                <w:szCs w:val="18"/>
              </w:rPr>
              <w:t>Lu-DOTA-octreotate.</w:t>
            </w:r>
          </w:p>
        </w:tc>
      </w:tr>
      <w:tr w:rsidR="0033254F" w:rsidRPr="0033254F" w14:paraId="31262424" w14:textId="77777777" w:rsidTr="00910130">
        <w:tc>
          <w:tcPr>
            <w:tcW w:w="4531" w:type="dxa"/>
          </w:tcPr>
          <w:p w14:paraId="61C101EE" w14:textId="568BD655" w:rsidR="0033254F" w:rsidRDefault="0033254F" w:rsidP="007B0205">
            <w:pPr>
              <w:spacing w:before="40" w:after="40" w:line="240" w:lineRule="auto"/>
              <w:jc w:val="both"/>
              <w:rPr>
                <w:rFonts w:ascii="Arial Narrow" w:hAnsi="Arial Narrow"/>
                <w:sz w:val="20"/>
                <w:szCs w:val="18"/>
              </w:rPr>
            </w:pPr>
            <w:r>
              <w:rPr>
                <w:rFonts w:ascii="Arial Narrow" w:hAnsi="Arial Narrow"/>
                <w:sz w:val="20"/>
                <w:szCs w:val="18"/>
              </w:rPr>
              <w:t>Limit treatment to four cycles</w:t>
            </w:r>
          </w:p>
        </w:tc>
        <w:tc>
          <w:tcPr>
            <w:tcW w:w="5040" w:type="dxa"/>
          </w:tcPr>
          <w:p w14:paraId="4473FFB9" w14:textId="15E307B4" w:rsidR="0033254F" w:rsidRPr="00E35BCA" w:rsidRDefault="0033254F" w:rsidP="007B0205">
            <w:pPr>
              <w:spacing w:before="40" w:after="40" w:line="240" w:lineRule="auto"/>
              <w:jc w:val="both"/>
              <w:rPr>
                <w:rFonts w:ascii="Arial Narrow" w:hAnsi="Arial Narrow"/>
                <w:sz w:val="20"/>
                <w:szCs w:val="18"/>
              </w:rPr>
            </w:pPr>
            <w:r w:rsidRPr="00E35BCA">
              <w:rPr>
                <w:rFonts w:ascii="Arial Narrow" w:hAnsi="Arial Narrow"/>
                <w:sz w:val="20"/>
                <w:szCs w:val="18"/>
              </w:rPr>
              <w:t xml:space="preserve">Request that wording of descriptor may allow for five cycles for the rare patient with </w:t>
            </w:r>
            <w:r w:rsidR="009C2AA9" w:rsidRPr="00E35BCA">
              <w:rPr>
                <w:rFonts w:ascii="Arial Narrow" w:hAnsi="Arial Narrow"/>
                <w:sz w:val="20"/>
                <w:szCs w:val="18"/>
              </w:rPr>
              <w:t xml:space="preserve">high </w:t>
            </w:r>
            <w:r w:rsidRPr="00E35BCA">
              <w:rPr>
                <w:rFonts w:ascii="Arial Narrow" w:hAnsi="Arial Narrow"/>
                <w:sz w:val="20"/>
                <w:szCs w:val="18"/>
              </w:rPr>
              <w:t>tumour burden.</w:t>
            </w:r>
          </w:p>
        </w:tc>
      </w:tr>
      <w:tr w:rsidR="0033254F" w:rsidRPr="0033254F" w14:paraId="2754D0F9" w14:textId="77777777" w:rsidTr="00910130">
        <w:tc>
          <w:tcPr>
            <w:tcW w:w="4531" w:type="dxa"/>
          </w:tcPr>
          <w:p w14:paraId="10FFBCF1" w14:textId="47FD61C4" w:rsidR="0033254F" w:rsidRDefault="0033254F" w:rsidP="007B0205">
            <w:pPr>
              <w:spacing w:before="40" w:after="40" w:line="240" w:lineRule="auto"/>
              <w:jc w:val="both"/>
              <w:rPr>
                <w:rFonts w:ascii="Arial Narrow" w:hAnsi="Arial Narrow"/>
                <w:sz w:val="20"/>
                <w:szCs w:val="18"/>
              </w:rPr>
            </w:pPr>
            <w:r>
              <w:rPr>
                <w:rFonts w:ascii="Arial Narrow" w:hAnsi="Arial Narrow"/>
                <w:sz w:val="20"/>
                <w:szCs w:val="18"/>
              </w:rPr>
              <w:t>A</w:t>
            </w:r>
            <w:r w:rsidRPr="004C3B98">
              <w:rPr>
                <w:rFonts w:ascii="Arial Narrow" w:hAnsi="Arial Narrow"/>
                <w:sz w:val="20"/>
                <w:szCs w:val="18"/>
              </w:rPr>
              <w:t>vailability of follow-up cycles after the induction cycle. PASC has indicated that evidence for this will need to be provided.</w:t>
            </w:r>
          </w:p>
        </w:tc>
        <w:tc>
          <w:tcPr>
            <w:tcW w:w="5040" w:type="dxa"/>
          </w:tcPr>
          <w:p w14:paraId="3E0029EA" w14:textId="3A410E4E" w:rsidR="0033254F" w:rsidRPr="00E35BCA" w:rsidRDefault="0033254F" w:rsidP="007B0205">
            <w:pPr>
              <w:spacing w:before="40" w:after="40" w:line="240" w:lineRule="auto"/>
              <w:jc w:val="both"/>
              <w:rPr>
                <w:rFonts w:ascii="Arial Narrow" w:hAnsi="Arial Narrow"/>
                <w:sz w:val="20"/>
                <w:szCs w:val="18"/>
              </w:rPr>
            </w:pPr>
            <w:r w:rsidRPr="00E35BCA">
              <w:rPr>
                <w:rFonts w:ascii="Arial Narrow" w:hAnsi="Arial Narrow"/>
                <w:sz w:val="20"/>
                <w:szCs w:val="18"/>
              </w:rPr>
              <w:t>Does PASC propose that the same thresholds that apply to eligibility for induction treatment will also apply for any follow-up/consolidation therapy?</w:t>
            </w:r>
          </w:p>
        </w:tc>
      </w:tr>
      <w:tr w:rsidR="00A83716" w:rsidRPr="00832A86" w14:paraId="38F00B92" w14:textId="77777777" w:rsidTr="00910130">
        <w:tc>
          <w:tcPr>
            <w:tcW w:w="4531" w:type="dxa"/>
          </w:tcPr>
          <w:p w14:paraId="6650ED58" w14:textId="2D03AD52" w:rsidR="00A83716" w:rsidRDefault="00A83716" w:rsidP="007B0205">
            <w:pPr>
              <w:spacing w:before="40" w:after="40" w:line="240" w:lineRule="auto"/>
              <w:jc w:val="both"/>
              <w:rPr>
                <w:rFonts w:ascii="Arial Narrow" w:hAnsi="Arial Narrow"/>
                <w:sz w:val="20"/>
                <w:szCs w:val="18"/>
              </w:rPr>
            </w:pPr>
            <w:r>
              <w:rPr>
                <w:rFonts w:ascii="Arial Narrow" w:hAnsi="Arial Narrow"/>
                <w:sz w:val="20"/>
                <w:szCs w:val="18"/>
              </w:rPr>
              <w:t>W</w:t>
            </w:r>
            <w:r w:rsidRPr="00A83716">
              <w:rPr>
                <w:rFonts w:ascii="Arial Narrow" w:hAnsi="Arial Narrow"/>
                <w:sz w:val="20"/>
                <w:szCs w:val="18"/>
              </w:rPr>
              <w:t xml:space="preserve">hether treatment with </w:t>
            </w:r>
            <w:r w:rsidRPr="004C3B98">
              <w:rPr>
                <w:rFonts w:ascii="Arial Narrow" w:hAnsi="Arial Narrow"/>
                <w:sz w:val="20"/>
                <w:szCs w:val="18"/>
                <w:vertAlign w:val="superscript"/>
              </w:rPr>
              <w:t>177</w:t>
            </w:r>
            <w:r w:rsidRPr="00A83716">
              <w:rPr>
                <w:rFonts w:ascii="Arial Narrow" w:hAnsi="Arial Narrow"/>
                <w:sz w:val="20"/>
                <w:szCs w:val="18"/>
              </w:rPr>
              <w:t>Lu-DOTA-octreotate therapy would occur after failure of the</w:t>
            </w:r>
            <w:r w:rsidR="0033254F">
              <w:rPr>
                <w:rFonts w:ascii="Arial Narrow" w:hAnsi="Arial Narrow"/>
                <w:sz w:val="20"/>
                <w:szCs w:val="18"/>
              </w:rPr>
              <w:t xml:space="preserve"> nominated comparator</w:t>
            </w:r>
            <w:r w:rsidRPr="00A83716">
              <w:rPr>
                <w:rFonts w:ascii="Arial Narrow" w:hAnsi="Arial Narrow"/>
                <w:sz w:val="20"/>
                <w:szCs w:val="18"/>
              </w:rPr>
              <w:t xml:space="preserve"> treatments, leaving only best supportive care as a relevant comparator</w:t>
            </w:r>
          </w:p>
        </w:tc>
        <w:tc>
          <w:tcPr>
            <w:tcW w:w="5040" w:type="dxa"/>
          </w:tcPr>
          <w:p w14:paraId="49AE25E1" w14:textId="74B75338" w:rsidR="00A83716" w:rsidRPr="00E35BCA" w:rsidRDefault="00A83716" w:rsidP="007B0205">
            <w:pPr>
              <w:spacing w:before="40" w:after="40" w:line="240" w:lineRule="auto"/>
              <w:jc w:val="both"/>
              <w:rPr>
                <w:rFonts w:ascii="Arial Narrow" w:hAnsi="Arial Narrow"/>
                <w:sz w:val="20"/>
                <w:szCs w:val="18"/>
              </w:rPr>
            </w:pPr>
            <w:r w:rsidRPr="00E35BCA">
              <w:rPr>
                <w:rFonts w:ascii="Arial Narrow" w:hAnsi="Arial Narrow"/>
                <w:sz w:val="20"/>
                <w:szCs w:val="18"/>
              </w:rPr>
              <w:t>Not addressed.</w:t>
            </w:r>
          </w:p>
        </w:tc>
      </w:tr>
      <w:tr w:rsidR="003B34EF" w:rsidRPr="00832A86" w14:paraId="5C0CBC4B" w14:textId="77777777" w:rsidTr="004C3B98">
        <w:tc>
          <w:tcPr>
            <w:tcW w:w="4531" w:type="dxa"/>
          </w:tcPr>
          <w:p w14:paraId="31AFDF93" w14:textId="6E948F84" w:rsidR="003B34EF" w:rsidRDefault="003B34EF" w:rsidP="007B0205">
            <w:pPr>
              <w:spacing w:before="40" w:after="40" w:line="240" w:lineRule="auto"/>
              <w:jc w:val="both"/>
              <w:rPr>
                <w:rFonts w:ascii="Arial Narrow" w:hAnsi="Arial Narrow"/>
                <w:sz w:val="20"/>
                <w:szCs w:val="18"/>
              </w:rPr>
            </w:pPr>
            <w:r>
              <w:rPr>
                <w:rFonts w:ascii="Arial Narrow" w:hAnsi="Arial Narrow"/>
                <w:sz w:val="20"/>
                <w:szCs w:val="18"/>
              </w:rPr>
              <w:t xml:space="preserve">An MBS item associated with a multidisciplinary team (MDT). </w:t>
            </w:r>
          </w:p>
        </w:tc>
        <w:tc>
          <w:tcPr>
            <w:tcW w:w="5040" w:type="dxa"/>
          </w:tcPr>
          <w:p w14:paraId="4320CAB1" w14:textId="1B1F268D" w:rsidR="003B34EF" w:rsidRPr="00E35BCA" w:rsidRDefault="003B34EF" w:rsidP="007B0205">
            <w:pPr>
              <w:spacing w:before="40" w:after="40" w:line="240" w:lineRule="auto"/>
              <w:jc w:val="both"/>
              <w:rPr>
                <w:rFonts w:ascii="Arial Narrow" w:hAnsi="Arial Narrow"/>
                <w:sz w:val="20"/>
                <w:szCs w:val="18"/>
              </w:rPr>
            </w:pPr>
            <w:r w:rsidRPr="00E35BCA">
              <w:rPr>
                <w:rFonts w:ascii="Arial Narrow" w:hAnsi="Arial Narrow"/>
                <w:sz w:val="20"/>
                <w:szCs w:val="18"/>
              </w:rPr>
              <w:t>The applicant</w:t>
            </w:r>
            <w:r w:rsidR="00B96D55" w:rsidRPr="00E35BCA">
              <w:rPr>
                <w:rFonts w:ascii="Arial Narrow" w:hAnsi="Arial Narrow"/>
                <w:sz w:val="20"/>
                <w:szCs w:val="18"/>
              </w:rPr>
              <w:t>’s clinical expert</w:t>
            </w:r>
            <w:r w:rsidRPr="00E35BCA">
              <w:rPr>
                <w:rFonts w:ascii="Arial Narrow" w:hAnsi="Arial Narrow"/>
                <w:sz w:val="20"/>
                <w:szCs w:val="18"/>
              </w:rPr>
              <w:t xml:space="preserve"> indicated that MBS Item 872 looked appropriate as an MDT Item.</w:t>
            </w:r>
          </w:p>
        </w:tc>
      </w:tr>
      <w:tr w:rsidR="003B34EF" w:rsidRPr="004C3B98" w14:paraId="65BB342E" w14:textId="77777777" w:rsidTr="004C3B98">
        <w:tc>
          <w:tcPr>
            <w:tcW w:w="4531" w:type="dxa"/>
          </w:tcPr>
          <w:p w14:paraId="13AB5A6E" w14:textId="07A1C068" w:rsidR="003B34EF" w:rsidRPr="004C3B98" w:rsidRDefault="003B34EF" w:rsidP="007B0205">
            <w:pPr>
              <w:spacing w:before="40" w:after="40" w:line="240" w:lineRule="auto"/>
              <w:jc w:val="both"/>
              <w:rPr>
                <w:rFonts w:ascii="Arial Narrow" w:hAnsi="Arial Narrow"/>
                <w:sz w:val="20"/>
                <w:szCs w:val="18"/>
              </w:rPr>
            </w:pPr>
            <w:r>
              <w:rPr>
                <w:rFonts w:ascii="Arial Narrow" w:hAnsi="Arial Narrow"/>
                <w:sz w:val="20"/>
                <w:szCs w:val="18"/>
              </w:rPr>
              <w:t>MBS fee for the intervention, updated to incorporate (i) patient preparation, including amino acid infusion; (ii) radiopharmaceutical preparation and administration; (iii) immediate aftercare and (iv) post-infusion SPECT</w:t>
            </w:r>
          </w:p>
        </w:tc>
        <w:tc>
          <w:tcPr>
            <w:tcW w:w="5040" w:type="dxa"/>
          </w:tcPr>
          <w:p w14:paraId="2FB8F5D2" w14:textId="6964EA58" w:rsidR="003B34EF" w:rsidRPr="00E35BCA" w:rsidRDefault="003B34EF" w:rsidP="007B0205">
            <w:pPr>
              <w:spacing w:before="40" w:after="40" w:line="240" w:lineRule="auto"/>
              <w:jc w:val="both"/>
              <w:rPr>
                <w:rFonts w:ascii="Arial Narrow" w:hAnsi="Arial Narrow"/>
                <w:sz w:val="20"/>
                <w:szCs w:val="18"/>
              </w:rPr>
            </w:pPr>
            <w:r w:rsidRPr="00E35BCA">
              <w:rPr>
                <w:rFonts w:ascii="Arial Narrow" w:hAnsi="Arial Narrow"/>
                <w:sz w:val="20"/>
                <w:szCs w:val="18"/>
              </w:rPr>
              <w:t>Not addressed.</w:t>
            </w:r>
          </w:p>
        </w:tc>
      </w:tr>
    </w:tbl>
    <w:p w14:paraId="26045A37" w14:textId="77777777" w:rsidR="004B2473" w:rsidRPr="00421A4D" w:rsidRDefault="004B2473"/>
    <w:p w14:paraId="18E66948" w14:textId="296EDCD8" w:rsidR="00D73332" w:rsidRPr="00ED4E95" w:rsidRDefault="00D73332" w:rsidP="00FD4C65">
      <w:pPr>
        <w:pStyle w:val="Heading2"/>
      </w:pPr>
      <w:r w:rsidRPr="00ED4E95">
        <w:t xml:space="preserve">PICO </w:t>
      </w:r>
      <w:r w:rsidR="00FD4E33" w:rsidRPr="00ED4E95">
        <w:t xml:space="preserve">criteria </w:t>
      </w:r>
    </w:p>
    <w:p w14:paraId="06B30611" w14:textId="77777777" w:rsidR="007D6B83" w:rsidRPr="00ED4E95" w:rsidRDefault="007D6B83" w:rsidP="007D6B83">
      <w:pPr>
        <w:pStyle w:val="Heading3"/>
      </w:pPr>
      <w:r w:rsidRPr="00ED4E95">
        <w:t>Population</w:t>
      </w:r>
    </w:p>
    <w:p w14:paraId="24DA460D" w14:textId="6C44422E" w:rsidR="0080504E" w:rsidRDefault="0080504E" w:rsidP="00B3581F">
      <w:pPr>
        <w:jc w:val="both"/>
      </w:pPr>
      <w:r>
        <w:t>Neuroendocrine tumours</w:t>
      </w:r>
      <w:r w:rsidR="00E10C42">
        <w:t xml:space="preserve"> (NETs)</w:t>
      </w:r>
      <w:r>
        <w:t>, recently reclassified as neuroendocrine neoplasms (NENs</w:t>
      </w:r>
      <w:r w:rsidR="00BC478A">
        <w:t>, older references use NETs</w:t>
      </w:r>
      <w:r>
        <w:t>), are a heterogeneous group of tumours with variability in their disease course and outcome</w:t>
      </w:r>
      <w:r w:rsidR="00561596">
        <w:t xml:space="preserve"> (Reccia 2023)</w:t>
      </w:r>
      <w:r>
        <w:t xml:space="preserve">. </w:t>
      </w:r>
      <w:r w:rsidR="00561596">
        <w:t>Reccia (2023) also state that c</w:t>
      </w:r>
      <w:r>
        <w:t>omplex mechanisms involving spatial and temporal changes in tumour biology affect their treatment response and survival</w:t>
      </w:r>
      <w:r w:rsidR="00561596">
        <w:t xml:space="preserve"> and</w:t>
      </w:r>
      <w:r>
        <w:t xml:space="preserve"> </w:t>
      </w:r>
      <w:r w:rsidR="00561596">
        <w:t>t</w:t>
      </w:r>
      <w:r>
        <w:t>reatment strategies are often based on information regarding tumour stage and grade.</w:t>
      </w:r>
      <w:r w:rsidR="000005E2">
        <w:t xml:space="preserve"> The hallmark of NENs is their expression of somatostatin receptors (SSTRs), as somatostatin inhibits cell growth and hormone secretion in normal and cancerous neuroendocrine cells</w:t>
      </w:r>
      <w:r w:rsidR="00DF1FBE">
        <w:t xml:space="preserve"> </w:t>
      </w:r>
      <w:r w:rsidR="00561596">
        <w:t>(</w:t>
      </w:r>
      <w:r w:rsidR="00DF1FBE">
        <w:t>Reccia 2023</w:t>
      </w:r>
      <w:r w:rsidR="00561596">
        <w:t>)</w:t>
      </w:r>
      <w:r w:rsidR="000005E2">
        <w:t xml:space="preserve">. </w:t>
      </w:r>
    </w:p>
    <w:p w14:paraId="4C458F95" w14:textId="11A20D09" w:rsidR="00977E62" w:rsidRPr="00ED4E95" w:rsidRDefault="00977E62" w:rsidP="00B3581F">
      <w:pPr>
        <w:jc w:val="both"/>
      </w:pPr>
      <w:r w:rsidRPr="00ED4E95">
        <w:lastRenderedPageBreak/>
        <w:t>Neuroendocrine tumours (NETs) are defined as epithelial neoplasms with predominant neuroendocrine differentiation</w:t>
      </w:r>
      <w:r w:rsidR="004E1CB7" w:rsidRPr="00ED4E95">
        <w:t xml:space="preserve"> (Yang 2023)</w:t>
      </w:r>
      <w:r w:rsidRPr="00ED4E95">
        <w:t>. They comprise a broad range of tumours, the most common of which ar</w:t>
      </w:r>
      <w:r w:rsidR="00C86CD2">
        <w:t>is</w:t>
      </w:r>
      <w:r w:rsidRPr="00ED4E95">
        <w:t>e in the gastrointestinal tract, lungs and bronchi, thymus, and pancreas</w:t>
      </w:r>
      <w:r w:rsidR="004E1CB7" w:rsidRPr="00ED4E95">
        <w:t xml:space="preserve"> (Shah 2021)</w:t>
      </w:r>
      <w:r w:rsidRPr="00ED4E95">
        <w:t xml:space="preserve">. </w:t>
      </w:r>
      <w:r w:rsidR="00984A7A" w:rsidRPr="00ED4E95">
        <w:t xml:space="preserve">Most NETs </w:t>
      </w:r>
      <w:bookmarkStart w:id="6" w:name="_Int_7qBNbIVw"/>
      <w:r w:rsidR="00984A7A" w:rsidRPr="00ED4E95">
        <w:t>appear to be</w:t>
      </w:r>
      <w:bookmarkEnd w:id="6"/>
      <w:r w:rsidR="00984A7A" w:rsidRPr="00ED4E95">
        <w:t xml:space="preserve"> sporadic, and the risk factors are poorly understood</w:t>
      </w:r>
      <w:r w:rsidR="004E1CB7" w:rsidRPr="00ED4E95">
        <w:t xml:space="preserve"> (Shah 2021)</w:t>
      </w:r>
      <w:r w:rsidR="00984A7A" w:rsidRPr="00ED4E95">
        <w:t>. NETs may also arise from inherited genetic syndromes including multiple endocrine neoplasia types 1 (</w:t>
      </w:r>
      <w:r w:rsidR="00984A7A" w:rsidRPr="00ED4E95">
        <w:rPr>
          <w:i/>
          <w:iCs/>
        </w:rPr>
        <w:t>MEN1</w:t>
      </w:r>
      <w:r w:rsidR="00984A7A" w:rsidRPr="00ED4E95">
        <w:t>), 2 (</w:t>
      </w:r>
      <w:r w:rsidR="00984A7A" w:rsidRPr="00ED4E95">
        <w:rPr>
          <w:i/>
          <w:iCs/>
        </w:rPr>
        <w:t>MEN2</w:t>
      </w:r>
      <w:r w:rsidR="00984A7A" w:rsidRPr="00ED4E95">
        <w:t>), and 4 (</w:t>
      </w:r>
      <w:r w:rsidR="00984A7A" w:rsidRPr="00ED4E95">
        <w:rPr>
          <w:i/>
          <w:iCs/>
        </w:rPr>
        <w:t>MEN4</w:t>
      </w:r>
      <w:r w:rsidR="00984A7A" w:rsidRPr="00ED4E95">
        <w:t>), and succinate dehydrogenase mutations</w:t>
      </w:r>
      <w:r w:rsidR="004E1CB7" w:rsidRPr="00ED4E95">
        <w:t xml:space="preserve"> (Shah 2021)</w:t>
      </w:r>
      <w:r w:rsidR="00984A7A" w:rsidRPr="00ED4E95">
        <w:t xml:space="preserve">. </w:t>
      </w:r>
      <w:r w:rsidR="00F5138B">
        <w:t>Additionally, Von Hippel Lindau disease (</w:t>
      </w:r>
      <w:r w:rsidR="00F5138B">
        <w:rPr>
          <w:i/>
          <w:iCs/>
        </w:rPr>
        <w:t>VHL</w:t>
      </w:r>
      <w:r w:rsidR="00F5138B">
        <w:t xml:space="preserve">) is associated with pancreatic neuroendocrine tumours, phaeochromocytoma and paraganglioma, as well as other benign and malignant neoplasms, especially clear cell carcinoma of the kidney (Flynn 2015). </w:t>
      </w:r>
      <w:r w:rsidR="00D42FC9" w:rsidRPr="00ED4E95">
        <w:t>The application (p21) states that t</w:t>
      </w:r>
      <w:r w:rsidR="00E647CE" w:rsidRPr="00ED4E95">
        <w:t xml:space="preserve">umours with </w:t>
      </w:r>
      <w:r w:rsidR="00984A7A" w:rsidRPr="00ED4E95">
        <w:t xml:space="preserve">H-SSTR </w:t>
      </w:r>
      <w:r w:rsidR="00E647CE" w:rsidRPr="00ED4E95">
        <w:t xml:space="preserve">expression </w:t>
      </w:r>
      <w:r w:rsidR="00984A7A" w:rsidRPr="00ED4E95">
        <w:t>can</w:t>
      </w:r>
      <w:r w:rsidR="003C7787" w:rsidRPr="00ED4E95">
        <w:t xml:space="preserve"> also</w:t>
      </w:r>
      <w:r w:rsidR="00984A7A" w:rsidRPr="00ED4E95">
        <w:t xml:space="preserve"> arise in a variety of different sites, including the thyroid (medullary thyroid cancer), the thymus, the skin (Merkel cell carcinoma), adrenal glands (phaeochromocytoma</w:t>
      </w:r>
      <w:r w:rsidR="00A33779" w:rsidRPr="00ED4E95">
        <w:t xml:space="preserve"> [PCC]</w:t>
      </w:r>
      <w:r w:rsidR="00984A7A" w:rsidRPr="00ED4E95">
        <w:t>) or autonomic nervous system (paraganglioma</w:t>
      </w:r>
      <w:r w:rsidR="00A33779" w:rsidRPr="00ED4E95">
        <w:t xml:space="preserve"> [PG</w:t>
      </w:r>
      <w:r w:rsidR="006A1D9A" w:rsidRPr="00ED4E95">
        <w:t>L</w:t>
      </w:r>
      <w:r w:rsidR="00A33779" w:rsidRPr="00ED4E95">
        <w:t>]</w:t>
      </w:r>
      <w:r w:rsidR="00984A7A" w:rsidRPr="00ED4E95">
        <w:t xml:space="preserve">) </w:t>
      </w:r>
      <w:r w:rsidR="00984A7A" w:rsidRPr="00D054B3">
        <w:t>and may also demonstrate dysregulated production of physiologically active molecules, particularly catecholamines.</w:t>
      </w:r>
      <w:r w:rsidR="00F5138B">
        <w:t xml:space="preserve"> </w:t>
      </w:r>
      <w:r w:rsidR="00F5138B" w:rsidRPr="00F5138B">
        <w:t>Unlike gastro-</w:t>
      </w:r>
      <w:r w:rsidR="005028B4">
        <w:t>entero-pancreatic</w:t>
      </w:r>
      <w:r w:rsidR="00F5138B" w:rsidRPr="00F5138B">
        <w:t xml:space="preserve"> (GEP)-NET, paraganglioma and phaeochromocytoma </w:t>
      </w:r>
      <w:r w:rsidR="005028B4">
        <w:t>(</w:t>
      </w:r>
      <w:r w:rsidR="00F5138B" w:rsidRPr="00F5138B">
        <w:t>PCC/PGL</w:t>
      </w:r>
      <w:r w:rsidR="005028B4">
        <w:t>)</w:t>
      </w:r>
      <w:r w:rsidR="00F5138B" w:rsidRPr="00F5138B">
        <w:t xml:space="preserve"> have a significant heritable component accounting for up to 25% of all cases</w:t>
      </w:r>
      <w:r w:rsidR="00F5138B">
        <w:t xml:space="preserve"> (Flynn 2015).</w:t>
      </w:r>
    </w:p>
    <w:p w14:paraId="4F98DBE0" w14:textId="77777777" w:rsidR="00C159E9" w:rsidRPr="00ED4E95" w:rsidRDefault="00984A7A" w:rsidP="00B3581F">
      <w:pPr>
        <w:jc w:val="both"/>
      </w:pPr>
      <w:r w:rsidRPr="00ED4E95">
        <w:t xml:space="preserve">The </w:t>
      </w:r>
      <w:r w:rsidR="00DC0E05" w:rsidRPr="00ED4E95">
        <w:t xml:space="preserve">application (pp21-22) notes that the </w:t>
      </w:r>
      <w:r w:rsidRPr="00ED4E95">
        <w:t>natural history of the disease is highly variable and dependent on several key tumour characteristics including</w:t>
      </w:r>
      <w:r w:rsidR="00C159E9" w:rsidRPr="00ED4E95">
        <w:t>:</w:t>
      </w:r>
    </w:p>
    <w:p w14:paraId="5454A630" w14:textId="3CA664F8" w:rsidR="00C159E9" w:rsidRPr="00ED4E95" w:rsidRDefault="00337058" w:rsidP="00B3581F">
      <w:pPr>
        <w:pStyle w:val="ListParagraph"/>
        <w:numPr>
          <w:ilvl w:val="0"/>
          <w:numId w:val="6"/>
        </w:numPr>
        <w:ind w:left="425" w:hanging="425"/>
        <w:contextualSpacing w:val="0"/>
        <w:jc w:val="both"/>
      </w:pPr>
      <w:r w:rsidRPr="00ED4E95">
        <w:t>T</w:t>
      </w:r>
      <w:r w:rsidR="00FE1C11" w:rsidRPr="00ED4E95">
        <w:t>he location of the primary tumour</w:t>
      </w:r>
      <w:r w:rsidR="00C159E9" w:rsidRPr="00ED4E95">
        <w:t>. The location of the primary tumour commonly defines the cell type of origin of the NET or H-SSTR tumour and together with the site of tumour origin can highly influence tumour behaviour and as a result</w:t>
      </w:r>
      <w:r w:rsidR="009D6C79" w:rsidRPr="00ED4E95">
        <w:t>,</w:t>
      </w:r>
      <w:r w:rsidR="00C159E9" w:rsidRPr="00ED4E95">
        <w:t xml:space="preserve"> patient management and outcomes. </w:t>
      </w:r>
    </w:p>
    <w:p w14:paraId="33F4698F" w14:textId="549CFEC1" w:rsidR="00C159E9" w:rsidRPr="00ED4E95" w:rsidRDefault="00337058" w:rsidP="00B3581F">
      <w:pPr>
        <w:pStyle w:val="ListParagraph"/>
        <w:numPr>
          <w:ilvl w:val="0"/>
          <w:numId w:val="6"/>
        </w:numPr>
        <w:ind w:left="425" w:hanging="425"/>
        <w:contextualSpacing w:val="0"/>
        <w:jc w:val="both"/>
      </w:pPr>
      <w:r w:rsidRPr="00ED4E95">
        <w:t>W</w:t>
      </w:r>
      <w:r w:rsidR="00FE1C11" w:rsidRPr="00ED4E95">
        <w:t>hether the disease is local or metastatic</w:t>
      </w:r>
      <w:r w:rsidR="00C159E9" w:rsidRPr="00ED4E95">
        <w:t xml:space="preserve">. The </w:t>
      </w:r>
      <w:r w:rsidR="00C159E9" w:rsidRPr="00ED4E95">
        <w:rPr>
          <w:iCs/>
        </w:rPr>
        <w:t>application</w:t>
      </w:r>
      <w:r w:rsidR="00C159E9" w:rsidRPr="00ED4E95">
        <w:t xml:space="preserve"> states (p21) that metastatic NETs present in approximately 50% of patients at first diagnosis and is the most likely cause of death in these patients. </w:t>
      </w:r>
    </w:p>
    <w:p w14:paraId="01DA42ED" w14:textId="1F883125" w:rsidR="00337058" w:rsidRPr="00ED4E95" w:rsidRDefault="00337058" w:rsidP="00B3581F">
      <w:pPr>
        <w:pStyle w:val="ListParagraph"/>
        <w:numPr>
          <w:ilvl w:val="0"/>
          <w:numId w:val="6"/>
        </w:numPr>
        <w:spacing w:after="0"/>
        <w:ind w:left="426" w:hanging="426"/>
        <w:jc w:val="both"/>
        <w:rPr>
          <w:rFonts w:asciiTheme="minorHAnsi" w:eastAsiaTheme="minorHAnsi" w:hAnsiTheme="minorHAnsi"/>
        </w:rPr>
      </w:pPr>
      <w:r w:rsidRPr="00ED4E95">
        <w:t>T</w:t>
      </w:r>
      <w:r w:rsidR="00FE1C11" w:rsidRPr="00ED4E95">
        <w:t>he proliferative rate of the tumour</w:t>
      </w:r>
      <w:r w:rsidRPr="00ED4E95">
        <w:t xml:space="preserve">. The rate of tumour cell replication is an important prognostic factor and is used to grade NETs (according to the Ki-67 labelling index). Based on World Health Organization (WHO) 2019, NETs </w:t>
      </w:r>
      <w:r w:rsidR="00554F9A">
        <w:t>which ae GEP-NENs</w:t>
      </w:r>
      <w:r w:rsidRPr="00ED4E95">
        <w:t xml:space="preserve"> are classified as grade 1 (G1), grade 2 (G2), or grade 3 (G3) according to proliferative rate (i.e., Ki-67 index</w:t>
      </w:r>
      <w:r w:rsidR="0035237C" w:rsidRPr="00ED4E95">
        <w:t xml:space="preserve"> </w:t>
      </w:r>
      <w:r w:rsidR="0035237C" w:rsidRPr="004C3B98">
        <w:t>and mitotic count</w:t>
      </w:r>
      <w:r w:rsidRPr="00ED4E95">
        <w:t xml:space="preserve">) as shown in </w:t>
      </w:r>
      <w:r w:rsidRPr="006E4E6C">
        <w:fldChar w:fldCharType="begin"/>
      </w:r>
      <w:r w:rsidRPr="006E4E6C">
        <w:instrText xml:space="preserve"> REF _Ref127366946 \h </w:instrText>
      </w:r>
      <w:r w:rsidR="00ED4E95" w:rsidRPr="006E4E6C">
        <w:instrText xml:space="preserve"> \* MERGEFORMAT </w:instrText>
      </w:r>
      <w:r w:rsidRPr="006E4E6C">
        <w:fldChar w:fldCharType="separate"/>
      </w:r>
      <w:r w:rsidR="00401046" w:rsidRPr="00922B1C">
        <w:t xml:space="preserve">Table </w:t>
      </w:r>
      <w:r w:rsidR="00401046">
        <w:rPr>
          <w:noProof/>
        </w:rPr>
        <w:t>3</w:t>
      </w:r>
      <w:r w:rsidRPr="006E4E6C">
        <w:fldChar w:fldCharType="end"/>
      </w:r>
      <w:r w:rsidR="00BE120F">
        <w:t xml:space="preserve"> (however note that there are</w:t>
      </w:r>
      <w:r w:rsidR="00BE120F" w:rsidRPr="00BE120F">
        <w:t xml:space="preserve"> separate WHO classifications for non-GEP NENs of epithelial origin</w:t>
      </w:r>
      <w:r w:rsidR="00BE120F">
        <w:rPr>
          <w:rStyle w:val="FootnoteReference"/>
        </w:rPr>
        <w:footnoteReference w:id="2"/>
      </w:r>
      <w:r w:rsidR="00BE120F" w:rsidRPr="00BE120F">
        <w:t xml:space="preserve"> and of neuroectodermal origin</w:t>
      </w:r>
      <w:r w:rsidR="00BE120F">
        <w:rPr>
          <w:rStyle w:val="FootnoteReference"/>
        </w:rPr>
        <w:footnoteReference w:id="3"/>
      </w:r>
      <w:r w:rsidR="00BE120F">
        <w:t>)</w:t>
      </w:r>
      <w:r w:rsidR="00BE120F" w:rsidRPr="00BE120F">
        <w:t>.</w:t>
      </w:r>
      <w:r w:rsidR="00BE120F">
        <w:t xml:space="preserve">  </w:t>
      </w:r>
      <w:r w:rsidRPr="00ED4E95">
        <w:t>Tumours classified as G3 can be divided into well-differentiated NETs (typically have Ki-67 of 21-55%) and poorly</w:t>
      </w:r>
      <w:r w:rsidR="00186443">
        <w:t xml:space="preserve"> </w:t>
      </w:r>
      <w:r w:rsidRPr="00ED4E95">
        <w:t>differentiated neuroendocrine carcinomas (NECs; typically have Ki-67 of &gt;55%</w:t>
      </w:r>
      <w:r w:rsidR="006550AC">
        <w:t>)</w:t>
      </w:r>
      <w:r w:rsidR="005623CB">
        <w:t xml:space="preserve">. </w:t>
      </w:r>
      <w:r w:rsidR="006550AC">
        <w:t>The applicant also stated that c</w:t>
      </w:r>
      <w:r w:rsidR="005623CB">
        <w:t>ellular morphology and not Ki-67 is used to separate well-differentiated NET from NEC</w:t>
      </w:r>
      <w:r w:rsidRPr="00ED4E95">
        <w:t xml:space="preserve">. Tumours of higher grade are associated with more rapid tumour growth and worse average overall survival duration, with patients with neuroendocrine carcinomas (NECs) experiencing the shortest overall survival (6-18 months; p21 of the application). </w:t>
      </w:r>
    </w:p>
    <w:p w14:paraId="58DD639F" w14:textId="5911302C" w:rsidR="004E3413" w:rsidRPr="00922B1C" w:rsidRDefault="004E3413" w:rsidP="004E3413">
      <w:pPr>
        <w:pStyle w:val="Caption"/>
        <w:ind w:hanging="283"/>
      </w:pPr>
      <w:bookmarkStart w:id="7" w:name="_Ref127366946"/>
      <w:r w:rsidRPr="00922B1C">
        <w:lastRenderedPageBreak/>
        <w:t xml:space="preserve">Table </w:t>
      </w:r>
      <w:r w:rsidRPr="00922B1C">
        <w:fldChar w:fldCharType="begin"/>
      </w:r>
      <w:r w:rsidRPr="00922B1C">
        <w:instrText xml:space="preserve"> SEQ Table \* ARABIC </w:instrText>
      </w:r>
      <w:r w:rsidRPr="00922B1C">
        <w:fldChar w:fldCharType="separate"/>
      </w:r>
      <w:r w:rsidR="00401046">
        <w:rPr>
          <w:noProof/>
        </w:rPr>
        <w:t>3</w:t>
      </w:r>
      <w:r w:rsidRPr="00922B1C">
        <w:fldChar w:fldCharType="end"/>
      </w:r>
      <w:bookmarkEnd w:id="7"/>
      <w:r w:rsidRPr="00922B1C">
        <w:tab/>
        <w:t xml:space="preserve">Classification for gastroenteropancreatic neuroendocrine neoplasms (GEP-NENs) </w:t>
      </w:r>
      <w:r w:rsidRPr="00922B1C">
        <w:fldChar w:fldCharType="begin">
          <w:fldData xml:space="preserve">PEVuZE5vdGU+PENpdGU+PEF1dGhvcj5QYXZlbDwvQXV0aG9yPjxZZWFyPjIwMjA8L1llYXI+PFJl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</w:fldData>
        </w:fldChar>
      </w:r>
      <w:r w:rsidRPr="00922B1C">
        <w:instrText xml:space="preserve"> ADDIN EN.CITE </w:instrText>
      </w:r>
      <w:r w:rsidRPr="00922B1C">
        <w:fldChar w:fldCharType="begin">
          <w:fldData xml:space="preserve">PEVuZE5vdGU+PENpdGU+PEF1dGhvcj5QYXZlbDwvQXV0aG9yPjxZZWFyPjIwMjA8L1llYXI+PFJl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</w:fldData>
        </w:fldChar>
      </w:r>
      <w:r w:rsidRPr="00922B1C">
        <w:instrText xml:space="preserve"> ADDIN EN.CITE.DATA </w:instrText>
      </w:r>
      <w:r w:rsidRPr="00922B1C">
        <w:fldChar w:fldCharType="end"/>
      </w:r>
      <w:r w:rsidRPr="00922B1C">
        <w:fldChar w:fldCharType="separate"/>
      </w:r>
      <w:r w:rsidRPr="00922B1C">
        <w:rPr>
          <w:noProof/>
          <w:vertAlign w:val="superscript"/>
        </w:rPr>
        <w:t>2</w:t>
      </w:r>
      <w:r w:rsidRPr="00922B1C">
        <w:fldChar w:fldCharType="end"/>
      </w:r>
    </w:p>
    <w:tbl>
      <w:tblPr>
        <w:tblStyle w:val="TableGrid"/>
        <w:tblW w:w="0" w:type="auto"/>
        <w:tblInd w:w="421" w:type="dxa"/>
        <w:tblLook w:val="04A0" w:firstRow="1" w:lastRow="0" w:firstColumn="1" w:lastColumn="0" w:noHBand="0" w:noVBand="1"/>
      </w:tblPr>
      <w:tblGrid>
        <w:gridCol w:w="4110"/>
        <w:gridCol w:w="1701"/>
        <w:gridCol w:w="1843"/>
        <w:gridCol w:w="1496"/>
      </w:tblGrid>
      <w:tr w:rsidR="004E3413" w:rsidRPr="005623CB" w14:paraId="0E636656" w14:textId="77777777" w:rsidTr="004C3B98">
        <w:tc>
          <w:tcPr>
            <w:tcW w:w="4110" w:type="dxa"/>
          </w:tcPr>
          <w:p w14:paraId="4043A5F3" w14:textId="77777777" w:rsidR="004E3413" w:rsidRPr="00922B1C" w:rsidRDefault="004E3413" w:rsidP="004E3413">
            <w:pPr>
              <w:pStyle w:val="TableText0"/>
              <w:keepNext/>
              <w:rPr>
                <w:b/>
                <w:bCs/>
              </w:rPr>
            </w:pPr>
            <w:r w:rsidRPr="00922B1C">
              <w:rPr>
                <w:b/>
                <w:bCs/>
              </w:rPr>
              <w:t>Morphology</w:t>
            </w:r>
          </w:p>
        </w:tc>
        <w:tc>
          <w:tcPr>
            <w:tcW w:w="1701" w:type="dxa"/>
          </w:tcPr>
          <w:p w14:paraId="7E423749" w14:textId="77777777" w:rsidR="004E3413" w:rsidRPr="00922B1C" w:rsidRDefault="004E3413" w:rsidP="004E3413">
            <w:pPr>
              <w:pStyle w:val="TableText0"/>
              <w:keepNext/>
              <w:jc w:val="center"/>
              <w:rPr>
                <w:b/>
                <w:bCs/>
              </w:rPr>
            </w:pPr>
            <w:r w:rsidRPr="00922B1C">
              <w:rPr>
                <w:b/>
                <w:bCs/>
              </w:rPr>
              <w:t>Grade</w:t>
            </w:r>
          </w:p>
        </w:tc>
        <w:tc>
          <w:tcPr>
            <w:tcW w:w="1843" w:type="dxa"/>
          </w:tcPr>
          <w:p w14:paraId="41938B4A" w14:textId="17682984" w:rsidR="004E3413" w:rsidRPr="00922B1C" w:rsidRDefault="004E3413" w:rsidP="004E3413">
            <w:pPr>
              <w:pStyle w:val="TableText0"/>
              <w:keepNext/>
              <w:jc w:val="center"/>
              <w:rPr>
                <w:b/>
                <w:bCs/>
              </w:rPr>
            </w:pPr>
            <w:r w:rsidRPr="00922B1C">
              <w:rPr>
                <w:b/>
                <w:bCs/>
              </w:rPr>
              <w:t>Mitotic count (2mm</w:t>
            </w:r>
            <w:r w:rsidRPr="00922B1C">
              <w:rPr>
                <w:b/>
                <w:bCs/>
                <w:vertAlign w:val="superscript"/>
              </w:rPr>
              <w:t>2</w:t>
            </w:r>
            <w:r w:rsidRPr="00922B1C">
              <w:rPr>
                <w:b/>
                <w:bCs/>
              </w:rPr>
              <w:t>)</w:t>
            </w:r>
          </w:p>
        </w:tc>
        <w:tc>
          <w:tcPr>
            <w:tcW w:w="1496" w:type="dxa"/>
          </w:tcPr>
          <w:p w14:paraId="4D4FEDD2" w14:textId="6ED6CD6C" w:rsidR="004E3413" w:rsidRPr="00922B1C" w:rsidRDefault="004E3413" w:rsidP="004E3413">
            <w:pPr>
              <w:pStyle w:val="TableText0"/>
              <w:keepNext/>
              <w:jc w:val="center"/>
              <w:rPr>
                <w:b/>
                <w:bCs/>
              </w:rPr>
            </w:pPr>
            <w:r w:rsidRPr="00922B1C">
              <w:rPr>
                <w:b/>
                <w:bCs/>
              </w:rPr>
              <w:t>Ki-67 Index (%)</w:t>
            </w:r>
          </w:p>
        </w:tc>
      </w:tr>
      <w:tr w:rsidR="004E3413" w:rsidRPr="005623CB" w14:paraId="44033406" w14:textId="77777777" w:rsidTr="004C3B98">
        <w:tc>
          <w:tcPr>
            <w:tcW w:w="4110" w:type="dxa"/>
          </w:tcPr>
          <w:p w14:paraId="1659AAF1" w14:textId="77777777" w:rsidR="004E3413" w:rsidRPr="00922B1C" w:rsidRDefault="004E3413" w:rsidP="004E3413">
            <w:pPr>
              <w:pStyle w:val="TableText0"/>
              <w:keepNext/>
            </w:pPr>
            <w:r w:rsidRPr="00922B1C">
              <w:t xml:space="preserve">Well-differentiated NETs </w:t>
            </w:r>
          </w:p>
        </w:tc>
        <w:tc>
          <w:tcPr>
            <w:tcW w:w="1701" w:type="dxa"/>
          </w:tcPr>
          <w:p w14:paraId="08FF8DC9" w14:textId="5DDD4909" w:rsidR="004E3413" w:rsidRPr="00922B1C" w:rsidRDefault="004E3413" w:rsidP="004E3413">
            <w:pPr>
              <w:pStyle w:val="TableText0"/>
              <w:keepNext/>
              <w:jc w:val="center"/>
            </w:pPr>
            <w:r w:rsidRPr="00922B1C">
              <w:t>G1</w:t>
            </w:r>
            <w:r w:rsidR="0080504E">
              <w:t xml:space="preserve"> (Low)</w:t>
            </w:r>
          </w:p>
        </w:tc>
        <w:tc>
          <w:tcPr>
            <w:tcW w:w="1843" w:type="dxa"/>
          </w:tcPr>
          <w:p w14:paraId="20B55516" w14:textId="2852B573" w:rsidR="004E3413" w:rsidRPr="00922B1C" w:rsidRDefault="004E3413" w:rsidP="004E3413">
            <w:pPr>
              <w:pStyle w:val="TableText0"/>
              <w:keepNext/>
              <w:jc w:val="center"/>
            </w:pPr>
            <w:r w:rsidRPr="00922B1C">
              <w:t>&lt;2</w:t>
            </w:r>
          </w:p>
        </w:tc>
        <w:tc>
          <w:tcPr>
            <w:tcW w:w="1496" w:type="dxa"/>
          </w:tcPr>
          <w:p w14:paraId="4EEF0E44" w14:textId="545374D1" w:rsidR="004E3413" w:rsidRPr="00922B1C" w:rsidRDefault="004E3413" w:rsidP="004E3413">
            <w:pPr>
              <w:pStyle w:val="TableText0"/>
              <w:keepNext/>
              <w:jc w:val="center"/>
            </w:pPr>
            <w:r w:rsidRPr="00922B1C">
              <w:t>&lt;3</w:t>
            </w:r>
          </w:p>
        </w:tc>
      </w:tr>
      <w:tr w:rsidR="004E3413" w:rsidRPr="005623CB" w14:paraId="0334891F" w14:textId="77777777" w:rsidTr="004C3B98">
        <w:tc>
          <w:tcPr>
            <w:tcW w:w="4110" w:type="dxa"/>
          </w:tcPr>
          <w:p w14:paraId="49EFA48B" w14:textId="77777777" w:rsidR="004E3413" w:rsidRPr="00922B1C" w:rsidRDefault="004E3413" w:rsidP="004E3413">
            <w:pPr>
              <w:pStyle w:val="TableText0"/>
              <w:keepNext/>
            </w:pPr>
            <w:r w:rsidRPr="00922B1C">
              <w:t>Well-differentiated NETs</w:t>
            </w:r>
          </w:p>
        </w:tc>
        <w:tc>
          <w:tcPr>
            <w:tcW w:w="1701" w:type="dxa"/>
          </w:tcPr>
          <w:p w14:paraId="09884496" w14:textId="0D4441A9" w:rsidR="004E3413" w:rsidRPr="00922B1C" w:rsidRDefault="004E3413" w:rsidP="004E3413">
            <w:pPr>
              <w:pStyle w:val="TableText0"/>
              <w:keepNext/>
              <w:jc w:val="center"/>
            </w:pPr>
            <w:r w:rsidRPr="00922B1C">
              <w:t>G2</w:t>
            </w:r>
            <w:r w:rsidR="0080504E">
              <w:t xml:space="preserve"> (Intermediate)</w:t>
            </w:r>
          </w:p>
        </w:tc>
        <w:tc>
          <w:tcPr>
            <w:tcW w:w="1843" w:type="dxa"/>
          </w:tcPr>
          <w:p w14:paraId="4CD74000" w14:textId="4205E258" w:rsidR="004E3413" w:rsidRPr="00922B1C" w:rsidRDefault="004E3413" w:rsidP="004E3413">
            <w:pPr>
              <w:pStyle w:val="TableText0"/>
              <w:keepNext/>
              <w:jc w:val="center"/>
            </w:pPr>
            <w:r w:rsidRPr="00922B1C">
              <w:t>2-20</w:t>
            </w:r>
          </w:p>
        </w:tc>
        <w:tc>
          <w:tcPr>
            <w:tcW w:w="1496" w:type="dxa"/>
          </w:tcPr>
          <w:p w14:paraId="4BBBEB09" w14:textId="678DFAB1" w:rsidR="004E3413" w:rsidRPr="00922B1C" w:rsidRDefault="004E3413" w:rsidP="004E3413">
            <w:pPr>
              <w:pStyle w:val="TableText0"/>
              <w:keepNext/>
              <w:jc w:val="center"/>
            </w:pPr>
            <w:r w:rsidRPr="00922B1C">
              <w:t>3-20</w:t>
            </w:r>
          </w:p>
        </w:tc>
      </w:tr>
      <w:tr w:rsidR="004E3413" w:rsidRPr="005623CB" w14:paraId="3E965F93" w14:textId="77777777" w:rsidTr="004C3B98">
        <w:tc>
          <w:tcPr>
            <w:tcW w:w="4110" w:type="dxa"/>
          </w:tcPr>
          <w:p w14:paraId="117D1D5E" w14:textId="77777777" w:rsidR="004E3413" w:rsidRPr="00922B1C" w:rsidRDefault="004E3413" w:rsidP="004E3413">
            <w:pPr>
              <w:pStyle w:val="TableText0"/>
              <w:keepNext/>
            </w:pPr>
            <w:r w:rsidRPr="00922B1C">
              <w:t>Well-differentiated NETs</w:t>
            </w:r>
          </w:p>
        </w:tc>
        <w:tc>
          <w:tcPr>
            <w:tcW w:w="1701" w:type="dxa"/>
          </w:tcPr>
          <w:p w14:paraId="07DC4DFC" w14:textId="147D0651" w:rsidR="004E3413" w:rsidRPr="00922B1C" w:rsidRDefault="004E3413" w:rsidP="004E3413">
            <w:pPr>
              <w:pStyle w:val="TableText0"/>
              <w:keepNext/>
              <w:jc w:val="center"/>
            </w:pPr>
            <w:r w:rsidRPr="00922B1C">
              <w:t>G3</w:t>
            </w:r>
            <w:r w:rsidR="0080504E">
              <w:t xml:space="preserve"> (High)</w:t>
            </w:r>
          </w:p>
        </w:tc>
        <w:tc>
          <w:tcPr>
            <w:tcW w:w="1843" w:type="dxa"/>
          </w:tcPr>
          <w:p w14:paraId="588E04E9" w14:textId="35EB15E0" w:rsidR="004E3413" w:rsidRPr="00922B1C" w:rsidRDefault="004E3413" w:rsidP="004E3413">
            <w:pPr>
              <w:pStyle w:val="TableText0"/>
              <w:keepNext/>
              <w:jc w:val="center"/>
            </w:pPr>
            <w:r w:rsidRPr="00922B1C">
              <w:t>&gt;20</w:t>
            </w:r>
          </w:p>
        </w:tc>
        <w:tc>
          <w:tcPr>
            <w:tcW w:w="1496" w:type="dxa"/>
          </w:tcPr>
          <w:p w14:paraId="29A874D2" w14:textId="78BF28D2" w:rsidR="004E3413" w:rsidRPr="00922B1C" w:rsidRDefault="004E3413" w:rsidP="004E3413">
            <w:pPr>
              <w:pStyle w:val="TableText0"/>
              <w:keepNext/>
              <w:jc w:val="center"/>
            </w:pPr>
            <w:r w:rsidRPr="00922B1C">
              <w:t>&gt;20</w:t>
            </w:r>
          </w:p>
        </w:tc>
      </w:tr>
      <w:tr w:rsidR="004E3413" w:rsidRPr="005623CB" w14:paraId="6434CC92" w14:textId="77777777" w:rsidTr="004C3B98">
        <w:tc>
          <w:tcPr>
            <w:tcW w:w="4110" w:type="dxa"/>
          </w:tcPr>
          <w:p w14:paraId="29DD6897" w14:textId="06F8CEFC" w:rsidR="004E3413" w:rsidRPr="00922B1C" w:rsidRDefault="004E3413" w:rsidP="004E3413">
            <w:pPr>
              <w:pStyle w:val="TableText0"/>
              <w:keepNext/>
            </w:pPr>
            <w:r w:rsidRPr="00922B1C">
              <w:t xml:space="preserve">Poorly differentiated </w:t>
            </w:r>
            <w:r w:rsidR="0080504E">
              <w:t>small cell type (SC</w:t>
            </w:r>
            <w:r w:rsidRPr="00922B1C">
              <w:t>NEC</w:t>
            </w:r>
            <w:r w:rsidR="0080504E">
              <w:t>)</w:t>
            </w:r>
          </w:p>
        </w:tc>
        <w:tc>
          <w:tcPr>
            <w:tcW w:w="1701" w:type="dxa"/>
          </w:tcPr>
          <w:p w14:paraId="2E0228B2" w14:textId="19A9B578" w:rsidR="004E3413" w:rsidRPr="00922B1C" w:rsidRDefault="004E3413" w:rsidP="004E3413">
            <w:pPr>
              <w:pStyle w:val="TableText0"/>
              <w:keepNext/>
              <w:jc w:val="center"/>
            </w:pPr>
            <w:r w:rsidRPr="00922B1C">
              <w:t>G3</w:t>
            </w:r>
            <w:r w:rsidR="0080504E">
              <w:t xml:space="preserve"> (High)</w:t>
            </w:r>
          </w:p>
        </w:tc>
        <w:tc>
          <w:tcPr>
            <w:tcW w:w="1843" w:type="dxa"/>
          </w:tcPr>
          <w:p w14:paraId="71F21D17" w14:textId="7D2C83C7" w:rsidR="004E3413" w:rsidRPr="00922B1C" w:rsidRDefault="004E3413" w:rsidP="004E3413">
            <w:pPr>
              <w:pStyle w:val="TableText0"/>
              <w:keepNext/>
              <w:jc w:val="center"/>
            </w:pPr>
            <w:r w:rsidRPr="00922B1C">
              <w:t>&gt;20</w:t>
            </w:r>
          </w:p>
        </w:tc>
        <w:tc>
          <w:tcPr>
            <w:tcW w:w="1496" w:type="dxa"/>
          </w:tcPr>
          <w:p w14:paraId="23E00537" w14:textId="5B5F4BF7" w:rsidR="004E3413" w:rsidRPr="00922B1C" w:rsidRDefault="004E3413" w:rsidP="004E3413">
            <w:pPr>
              <w:pStyle w:val="TableText0"/>
              <w:keepNext/>
              <w:jc w:val="center"/>
            </w:pPr>
            <w:r w:rsidRPr="00922B1C">
              <w:t>&gt;20</w:t>
            </w:r>
          </w:p>
        </w:tc>
      </w:tr>
      <w:tr w:rsidR="0080504E" w:rsidRPr="005623CB" w14:paraId="7BACF3EA" w14:textId="77777777" w:rsidTr="004C3B98">
        <w:tc>
          <w:tcPr>
            <w:tcW w:w="4110" w:type="dxa"/>
          </w:tcPr>
          <w:p w14:paraId="3D08EC1F" w14:textId="482CBA3B" w:rsidR="0080504E" w:rsidRPr="00922B1C" w:rsidRDefault="0080504E" w:rsidP="004E3413">
            <w:pPr>
              <w:pStyle w:val="TableText0"/>
              <w:keepNext/>
            </w:pPr>
            <w:r>
              <w:t>Poorly differentiated, large-cell type (LCNEC)</w:t>
            </w:r>
          </w:p>
        </w:tc>
        <w:tc>
          <w:tcPr>
            <w:tcW w:w="1701" w:type="dxa"/>
          </w:tcPr>
          <w:p w14:paraId="1A573B67" w14:textId="6118AA0B" w:rsidR="0080504E" w:rsidRPr="00922B1C" w:rsidRDefault="0080504E" w:rsidP="004E3413">
            <w:pPr>
              <w:pStyle w:val="TableText0"/>
              <w:keepNext/>
              <w:jc w:val="center"/>
            </w:pPr>
            <w:r>
              <w:t>High</w:t>
            </w:r>
          </w:p>
        </w:tc>
        <w:tc>
          <w:tcPr>
            <w:tcW w:w="1843" w:type="dxa"/>
          </w:tcPr>
          <w:p w14:paraId="1F8EA59A" w14:textId="335F9BE5" w:rsidR="0080504E" w:rsidRPr="00922B1C" w:rsidRDefault="0080504E" w:rsidP="004E3413">
            <w:pPr>
              <w:pStyle w:val="TableText0"/>
              <w:keepNext/>
              <w:jc w:val="center"/>
            </w:pPr>
            <w:r>
              <w:t>&gt;20</w:t>
            </w:r>
          </w:p>
        </w:tc>
        <w:tc>
          <w:tcPr>
            <w:tcW w:w="1496" w:type="dxa"/>
          </w:tcPr>
          <w:p w14:paraId="3E73CDDA" w14:textId="73916144" w:rsidR="0080504E" w:rsidRPr="00922B1C" w:rsidRDefault="0080504E" w:rsidP="004E3413">
            <w:pPr>
              <w:pStyle w:val="TableText0"/>
              <w:keepNext/>
              <w:jc w:val="center"/>
            </w:pPr>
            <w:r>
              <w:t>&gt;20</w:t>
            </w:r>
          </w:p>
        </w:tc>
      </w:tr>
      <w:tr w:rsidR="0080504E" w:rsidRPr="005623CB" w14:paraId="7FC32FE5" w14:textId="77777777" w:rsidTr="004C3B98">
        <w:tc>
          <w:tcPr>
            <w:tcW w:w="4110" w:type="dxa"/>
          </w:tcPr>
          <w:p w14:paraId="78E6DD42" w14:textId="5ED05B4E" w:rsidR="0080504E" w:rsidRDefault="0080504E" w:rsidP="004E3413">
            <w:pPr>
              <w:pStyle w:val="TableText0"/>
              <w:keepNext/>
            </w:pPr>
            <w:r>
              <w:t>MiNEN Well or poorly differentiated</w:t>
            </w:r>
          </w:p>
        </w:tc>
        <w:tc>
          <w:tcPr>
            <w:tcW w:w="1701" w:type="dxa"/>
          </w:tcPr>
          <w:p w14:paraId="4BC3387E" w14:textId="2B4D4E56" w:rsidR="0080504E" w:rsidRPr="00922B1C" w:rsidRDefault="0080504E" w:rsidP="004E3413">
            <w:pPr>
              <w:pStyle w:val="TableText0"/>
              <w:keepNext/>
              <w:jc w:val="center"/>
            </w:pPr>
            <w:r>
              <w:t>Variable</w:t>
            </w:r>
          </w:p>
        </w:tc>
        <w:tc>
          <w:tcPr>
            <w:tcW w:w="1843" w:type="dxa"/>
          </w:tcPr>
          <w:p w14:paraId="1B5B1C02" w14:textId="3E63EAD6" w:rsidR="0080504E" w:rsidRPr="00922B1C" w:rsidRDefault="0080504E" w:rsidP="004E3413">
            <w:pPr>
              <w:pStyle w:val="TableText0"/>
              <w:keepNext/>
              <w:jc w:val="center"/>
            </w:pPr>
            <w:r>
              <w:t>Variable</w:t>
            </w:r>
          </w:p>
        </w:tc>
        <w:tc>
          <w:tcPr>
            <w:tcW w:w="1496" w:type="dxa"/>
          </w:tcPr>
          <w:p w14:paraId="114E313A" w14:textId="2A2C6453" w:rsidR="0080504E" w:rsidRPr="00922B1C" w:rsidRDefault="0080504E" w:rsidP="004E3413">
            <w:pPr>
              <w:pStyle w:val="TableText0"/>
              <w:keepNext/>
              <w:jc w:val="center"/>
            </w:pPr>
            <w:r>
              <w:t>Variable</w:t>
            </w:r>
          </w:p>
        </w:tc>
      </w:tr>
    </w:tbl>
    <w:p w14:paraId="5898E2B7" w14:textId="42231C13" w:rsidR="004E3413" w:rsidRPr="00922B1C" w:rsidRDefault="004E3413" w:rsidP="004E3413">
      <w:pPr>
        <w:pStyle w:val="Tablenotes"/>
        <w:keepNext/>
        <w:spacing w:after="0"/>
        <w:ind w:left="426"/>
      </w:pPr>
      <w:r w:rsidRPr="00922B1C">
        <w:t>Source: modified from Pavel 2020</w:t>
      </w:r>
      <w:r w:rsidR="0080504E">
        <w:t xml:space="preserve"> and Reccia 2023.</w:t>
      </w:r>
    </w:p>
    <w:p w14:paraId="7C3E72F9" w14:textId="049E0B6D" w:rsidR="004E3413" w:rsidRDefault="004E3413" w:rsidP="004C3B98">
      <w:pPr>
        <w:pStyle w:val="Tablenotes"/>
        <w:keepNext/>
        <w:spacing w:after="0"/>
        <w:ind w:left="425"/>
      </w:pPr>
      <w:r w:rsidRPr="00922B1C">
        <w:t xml:space="preserve">Abbreviations: GEP-NETs = gastroenteropancreatic neuroendocrine tumours; G1 = grade 1; G2 = grade 2; G3 = grade 3; </w:t>
      </w:r>
      <w:r w:rsidR="00561596">
        <w:t xml:space="preserve">LCNEC = large-cell neuroendocrine carcinoma, MiNEN = mixed neuroendocrine-non neuroendocrine neoplasm; </w:t>
      </w:r>
      <w:r w:rsidRPr="00922B1C">
        <w:t xml:space="preserve">NECs = neuroendocrine carcinomas; NETs = neuroendocrine tumours; </w:t>
      </w:r>
      <w:r w:rsidR="000005E2">
        <w:t>SCNEC</w:t>
      </w:r>
      <w:r w:rsidR="00561596">
        <w:t xml:space="preserve"> </w:t>
      </w:r>
      <w:r w:rsidR="000005E2">
        <w:t>=</w:t>
      </w:r>
      <w:r w:rsidR="00561596">
        <w:t xml:space="preserve"> </w:t>
      </w:r>
      <w:r w:rsidR="000005E2">
        <w:t>small-cell neuroendocrine carcinoma</w:t>
      </w:r>
    </w:p>
    <w:p w14:paraId="174FCF74" w14:textId="73D5496C" w:rsidR="008D1115" w:rsidRPr="00922B1C" w:rsidRDefault="008D1115" w:rsidP="00B3581F">
      <w:pPr>
        <w:pStyle w:val="Tablenotes"/>
        <w:keepNext/>
        <w:spacing w:after="240"/>
        <w:ind w:left="426"/>
      </w:pPr>
      <w:r>
        <w:t xml:space="preserve">NOTE: Along with the </w:t>
      </w:r>
      <w:r w:rsidR="00DF1FBE">
        <w:t xml:space="preserve">change in </w:t>
      </w:r>
      <w:r>
        <w:t>nomenclature the histology has changed in the last 15 years (</w:t>
      </w:r>
      <w:r w:rsidR="00BD2449">
        <w:t>G</w:t>
      </w:r>
      <w:r>
        <w:t xml:space="preserve">1-G3- NET+NE carcinoma) so some of the old survival curves may not be relevant. </w:t>
      </w:r>
    </w:p>
    <w:p w14:paraId="5BC3B7FA" w14:textId="52674A19" w:rsidR="00337058" w:rsidRPr="00ED4E95" w:rsidRDefault="00337058" w:rsidP="00B3581F">
      <w:pPr>
        <w:pStyle w:val="ListParagraph"/>
        <w:numPr>
          <w:ilvl w:val="0"/>
          <w:numId w:val="6"/>
        </w:numPr>
        <w:ind w:left="425" w:hanging="425"/>
        <w:jc w:val="both"/>
      </w:pPr>
      <w:r w:rsidRPr="00ED4E95">
        <w:t>T</w:t>
      </w:r>
      <w:r w:rsidR="00FE1C11" w:rsidRPr="00ED4E95">
        <w:t>he type and quantity of peptide hormone secretion</w:t>
      </w:r>
      <w:r w:rsidRPr="00ED4E95">
        <w:t xml:space="preserve">. Patients who have excessive hormone secretion (i.e., considered to have ‘functional’ tumours) will experience adverse events that can be the primary factor in diminishing a patient’s quality of life. For example, lower grade slow growing NETs may produce insulin (insulinomas) leading to hypoglycaemia that is difficult or impossible to control with associated morbidity and sometimes death. Peptide hormone secretion in NET patients with carcinoid tumours </w:t>
      </w:r>
      <w:bookmarkStart w:id="8" w:name="_Int_yysS3ShP"/>
      <w:r w:rsidRPr="00ED4E95">
        <w:t>not infrequently</w:t>
      </w:r>
      <w:bookmarkEnd w:id="8"/>
      <w:r w:rsidRPr="00ED4E95">
        <w:t xml:space="preserve"> develop endocardial fibrosis and life-threatening valvular dysfunction or mesenteric fibrosis with associated malabsorption syndromes. Carcinoid NET patients frequently have </w:t>
      </w:r>
      <w:r w:rsidR="5ED1369F">
        <w:t>severe</w:t>
      </w:r>
      <w:r w:rsidRPr="00ED4E95">
        <w:t xml:space="preserve"> morbidity related to diarrhoea and malabsorption that is </w:t>
      </w:r>
      <w:r w:rsidR="161ABA0F">
        <w:t xml:space="preserve">difficult </w:t>
      </w:r>
      <w:r w:rsidR="13D5C20D">
        <w:t xml:space="preserve">to </w:t>
      </w:r>
      <w:r w:rsidRPr="00ED4E95">
        <w:t xml:space="preserve">ameliorate with pharmacological and/or supportive treatments and </w:t>
      </w:r>
      <w:r w:rsidR="5F6B9112">
        <w:t xml:space="preserve">the patient </w:t>
      </w:r>
      <w:r w:rsidRPr="00ED4E95">
        <w:t xml:space="preserve">may be disabled by bronchospasm. Intractable diarrhoea is also a cause of </w:t>
      </w:r>
      <w:r w:rsidR="386BC752">
        <w:t xml:space="preserve">a rare but </w:t>
      </w:r>
      <w:r w:rsidRPr="00ED4E95">
        <w:t xml:space="preserve">serious morbidity in patients secreting vasoactive intestinal peptide (VIP). Diabetes, skin rash and </w:t>
      </w:r>
      <w:r w:rsidR="003C3457" w:rsidRPr="00ED4E95">
        <w:t>steatorrhea</w:t>
      </w:r>
      <w:r w:rsidRPr="00ED4E95">
        <w:t xml:space="preserve"> can cause </w:t>
      </w:r>
      <w:r w:rsidR="25CF2ACF">
        <w:t xml:space="preserve">a </w:t>
      </w:r>
      <w:r w:rsidR="501A8812">
        <w:t xml:space="preserve">rare but </w:t>
      </w:r>
      <w:r w:rsidRPr="00ED4E95">
        <w:t>major morbidity in patients who secrete excessive somatostatin. Gastric ulceration can occur with gastrinoma, while skin necrosis (migratory necrolytic erythema) and diabetes is typical of glucagonoma. Patients with H-SSTR that secrete excess catecholamines may experience difficult to control hypertension or life-threatening hypertensive crises. Several other less common hormonal secretion syndromes are recognised.</w:t>
      </w:r>
    </w:p>
    <w:p w14:paraId="30B2A36F" w14:textId="6FDBE6A6" w:rsidR="00984A7A" w:rsidRPr="00ED4E95" w:rsidRDefault="00337058" w:rsidP="00B3581F">
      <w:pPr>
        <w:pStyle w:val="ListParagraph"/>
        <w:numPr>
          <w:ilvl w:val="0"/>
          <w:numId w:val="6"/>
        </w:numPr>
        <w:ind w:left="425" w:hanging="425"/>
        <w:contextualSpacing w:val="0"/>
        <w:jc w:val="both"/>
      </w:pPr>
      <w:r w:rsidRPr="00ED4E95">
        <w:t>R</w:t>
      </w:r>
      <w:r w:rsidR="00FE1C11" w:rsidRPr="00ED4E95">
        <w:t xml:space="preserve">esponse to treatments applied and associated adverse effects of treatment. </w:t>
      </w:r>
    </w:p>
    <w:p w14:paraId="27B4F921" w14:textId="041E6F9B" w:rsidR="00F0679F" w:rsidRPr="00922B1C" w:rsidRDefault="00D42FC9" w:rsidP="00B3581F">
      <w:pPr>
        <w:jc w:val="both"/>
      </w:pPr>
      <w:r w:rsidRPr="00922B1C">
        <w:t xml:space="preserve">According to the European Society of Medical Oncology (ESMO) clinical practice guidelines for gastroenteropancreatic (GEP) NETs (Pavel 2020), </w:t>
      </w:r>
      <w:r w:rsidR="005E2426" w:rsidRPr="00922B1C">
        <w:t>“</w:t>
      </w:r>
      <w:r w:rsidR="00D246EA" w:rsidRPr="00922B1C">
        <w:t xml:space="preserve"> </w:t>
      </w:r>
      <w:r w:rsidR="003C3457" w:rsidRPr="00922B1C">
        <w:t>histological</w:t>
      </w:r>
      <w:r w:rsidR="004C3665" w:rsidRPr="00922B1C">
        <w:t xml:space="preserve"> diagnosis is mandatory in all NET patients and can be carried out on resection specimens or core biopsies in advanced disease</w:t>
      </w:r>
      <w:r w:rsidRPr="00922B1C">
        <w:t>. T</w:t>
      </w:r>
      <w:r w:rsidR="004C3665" w:rsidRPr="00922B1C">
        <w:t>he diagnosis of a NET is suspected on haematoxylin eosin (HE)-stained tissue by histomorphological growth pattern and cytology. The neuroendocrine phenotype is proven by the immunohistochemical detection of the neuroendocrine markers synaptophysin and/or chromogranin A (CgA)</w:t>
      </w:r>
      <w:r w:rsidR="005E2426" w:rsidRPr="00922B1C">
        <w:t>.” Pavel (2020) also indicates that for grading NETs,</w:t>
      </w:r>
      <w:r w:rsidR="004C3665" w:rsidRPr="00922B1C">
        <w:t xml:space="preserve"> </w:t>
      </w:r>
      <w:r w:rsidR="004E5065" w:rsidRPr="00922B1C">
        <w:t>i</w:t>
      </w:r>
      <w:r w:rsidR="00F0679F" w:rsidRPr="00922B1C">
        <w:t xml:space="preserve">mmunohistochemistry (IHC) for Ki-67 </w:t>
      </w:r>
      <w:r w:rsidR="005E2426" w:rsidRPr="00922B1C">
        <w:t xml:space="preserve">(also known as Antigen KI-67 or MKI67 [Marker Of Proliferation Ki-67]) </w:t>
      </w:r>
      <w:r w:rsidR="00F0679F" w:rsidRPr="00922B1C">
        <w:t>is mandatory</w:t>
      </w:r>
      <w:r w:rsidR="005E2426" w:rsidRPr="00922B1C">
        <w:t xml:space="preserve">, where </w:t>
      </w:r>
      <w:r w:rsidR="00F0679F" w:rsidRPr="00922B1C">
        <w:t>NETs are classified based on morphology and proliferation into well-differentiated NETs (G1 to G3) and poorly-differentiated NECs (always G3). Other biomarkers are optional, for example, SSTR-2 staining when functional imaging is unavailable, and s</w:t>
      </w:r>
      <w:r w:rsidR="004C3665" w:rsidRPr="00922B1C">
        <w:t xml:space="preserve">pecific staining for peptide hormones such as gastrin, insulin, </w:t>
      </w:r>
      <w:r w:rsidR="00B9506F" w:rsidRPr="00922B1C">
        <w:t>glucagon,</w:t>
      </w:r>
      <w:r w:rsidR="004C3665" w:rsidRPr="00922B1C">
        <w:t xml:space="preserve"> and amines (serotonin) to confirm the source of a clinical symptomatology</w:t>
      </w:r>
      <w:r w:rsidR="005E2426" w:rsidRPr="00922B1C">
        <w:t xml:space="preserve"> (Pavel 2020)</w:t>
      </w:r>
      <w:r w:rsidR="00F0679F" w:rsidRPr="00922B1C">
        <w:t xml:space="preserve">. </w:t>
      </w:r>
    </w:p>
    <w:p w14:paraId="118DD46B" w14:textId="3997D681" w:rsidR="00DE1F29" w:rsidRPr="00922B1C" w:rsidRDefault="00DE1F29" w:rsidP="00B3581F">
      <w:pPr>
        <w:jc w:val="both"/>
      </w:pPr>
      <w:r w:rsidRPr="00922B1C">
        <w:t xml:space="preserve">As noted above, the application is making a request for MBS listing of </w:t>
      </w:r>
      <w:r w:rsidR="002F47D4">
        <w:t xml:space="preserve">up to two </w:t>
      </w:r>
      <w:r w:rsidRPr="00922B1C">
        <w:t>pre-requisite PET/CT scan</w:t>
      </w:r>
      <w:r w:rsidR="00673460">
        <w:t>s</w:t>
      </w:r>
      <w:r w:rsidRPr="00922B1C">
        <w:t xml:space="preserve"> to determine eligibility for the therapeutic intervention </w:t>
      </w:r>
      <w:r w:rsidR="00CD5676">
        <w:t>and one</w:t>
      </w:r>
      <w:r w:rsidR="00CD5676" w:rsidRPr="00922B1C">
        <w:t xml:space="preserve"> </w:t>
      </w:r>
      <w:r w:rsidRPr="00922B1C">
        <w:t xml:space="preserve">post-treatment </w:t>
      </w:r>
      <w:r w:rsidR="00D332DB">
        <w:t>SPECT</w:t>
      </w:r>
      <w:r w:rsidR="00AB7544">
        <w:t xml:space="preserve"> </w:t>
      </w:r>
      <w:r w:rsidRPr="00922B1C">
        <w:t>imaging.:</w:t>
      </w:r>
    </w:p>
    <w:p w14:paraId="08D0CFD2" w14:textId="25E41C45" w:rsidR="001D7C4E" w:rsidRPr="00ED4E95" w:rsidRDefault="00DE1F29" w:rsidP="00B3581F">
      <w:pPr>
        <w:jc w:val="both"/>
        <w:rPr>
          <w:i/>
          <w:iCs/>
        </w:rPr>
      </w:pPr>
      <w:r w:rsidRPr="00922B1C">
        <w:rPr>
          <w:u w:val="single"/>
        </w:rPr>
        <w:lastRenderedPageBreak/>
        <w:t>Test</w:t>
      </w:r>
      <w:r w:rsidR="00AB7544" w:rsidRPr="004C3B98">
        <w:t>:</w:t>
      </w:r>
      <w:r w:rsidR="00561596" w:rsidRPr="004C3B98">
        <w:t xml:space="preserve"> </w:t>
      </w:r>
      <w:r w:rsidR="00C571DB" w:rsidRPr="00922B1C">
        <w:t xml:space="preserve">Whole body </w:t>
      </w:r>
      <w:r w:rsidR="00190BC0" w:rsidRPr="00922B1C">
        <w:rPr>
          <w:vertAlign w:val="superscript"/>
        </w:rPr>
        <w:t>68</w:t>
      </w:r>
      <w:r w:rsidR="00190BC0" w:rsidRPr="00922B1C">
        <w:t>Gallium (</w:t>
      </w:r>
      <w:r w:rsidR="00190BC0" w:rsidRPr="00922B1C">
        <w:rPr>
          <w:vertAlign w:val="superscript"/>
        </w:rPr>
        <w:t>68</w:t>
      </w:r>
      <w:r w:rsidR="00190BC0" w:rsidRPr="00922B1C">
        <w:t xml:space="preserve">Ga)-octreotate </w:t>
      </w:r>
      <w:r w:rsidRPr="00922B1C">
        <w:t xml:space="preserve">positron emission tomography (PET)/computed tomography (CT) - </w:t>
      </w:r>
      <w:r w:rsidR="00190BC0" w:rsidRPr="00922B1C">
        <w:rPr>
          <w:vertAlign w:val="superscript"/>
        </w:rPr>
        <w:t>68</w:t>
      </w:r>
      <w:r w:rsidR="00190BC0" w:rsidRPr="00922B1C">
        <w:t>Ga-</w:t>
      </w:r>
      <w:r w:rsidR="001C03D0">
        <w:t>DOTA-</w:t>
      </w:r>
      <w:r w:rsidR="00110D5F">
        <w:t xml:space="preserve">octreotate </w:t>
      </w:r>
      <w:r w:rsidR="00190BC0" w:rsidRPr="00922B1C">
        <w:t>PET/CT</w:t>
      </w:r>
      <w:r w:rsidR="00A424D8">
        <w:t xml:space="preserve">. </w:t>
      </w:r>
      <w:r w:rsidR="00A424D8" w:rsidRPr="00873346">
        <w:t xml:space="preserve">Of note, the MSAC and the literature have referred to this test as </w:t>
      </w:r>
      <w:r w:rsidR="00A424D8" w:rsidRPr="00873346">
        <w:rPr>
          <w:vertAlign w:val="superscript"/>
        </w:rPr>
        <w:t>68</w:t>
      </w:r>
      <w:r w:rsidR="00A424D8" w:rsidRPr="00873346">
        <w:t>Ga-</w:t>
      </w:r>
      <w:r w:rsidR="00A424D8" w:rsidRPr="00873346">
        <w:rPr>
          <w:caps/>
        </w:rPr>
        <w:t>d</w:t>
      </w:r>
      <w:r w:rsidR="00A424D8" w:rsidRPr="00873346">
        <w:t xml:space="preserve">otatate PET/CT or </w:t>
      </w:r>
      <w:r w:rsidR="00A424D8" w:rsidRPr="00873346">
        <w:rPr>
          <w:vertAlign w:val="superscript"/>
        </w:rPr>
        <w:t>68</w:t>
      </w:r>
      <w:r w:rsidR="00A424D8" w:rsidRPr="00873346">
        <w:t xml:space="preserve">Ga-DOTA-peptide PET/CT, however, </w:t>
      </w:r>
      <w:r w:rsidR="00A424D8" w:rsidRPr="00922B1C">
        <w:rPr>
          <w:i/>
          <w:iCs/>
        </w:rPr>
        <w:t xml:space="preserve">consistent with PASC’s preferred term, this PICO confirmation will use </w:t>
      </w:r>
      <w:r w:rsidR="00A424D8" w:rsidRPr="00922B1C">
        <w:rPr>
          <w:i/>
          <w:iCs/>
          <w:vertAlign w:val="superscript"/>
        </w:rPr>
        <w:t>68</w:t>
      </w:r>
      <w:r w:rsidR="00A424D8" w:rsidRPr="00922B1C">
        <w:rPr>
          <w:i/>
          <w:iCs/>
        </w:rPr>
        <w:t>Ga-</w:t>
      </w:r>
      <w:r w:rsidR="001C03D0">
        <w:rPr>
          <w:i/>
          <w:iCs/>
        </w:rPr>
        <w:t xml:space="preserve">DOTA-octreotate </w:t>
      </w:r>
      <w:r w:rsidR="00A424D8" w:rsidRPr="00922B1C">
        <w:rPr>
          <w:i/>
          <w:iCs/>
        </w:rPr>
        <w:t>PET/CT herein</w:t>
      </w:r>
      <w:r w:rsidRPr="00922B1C">
        <w:t xml:space="preserve">: </w:t>
      </w:r>
      <w:r w:rsidR="00FD41C3">
        <w:t xml:space="preserve">This test can be used for both </w:t>
      </w:r>
      <w:r w:rsidR="00267712">
        <w:t>measur</w:t>
      </w:r>
      <w:r w:rsidR="007505A4">
        <w:t>ing</w:t>
      </w:r>
      <w:r w:rsidR="00267712">
        <w:t xml:space="preserve"> SSTR expression</w:t>
      </w:r>
      <w:r w:rsidR="00FD41C3">
        <w:t xml:space="preserve"> </w:t>
      </w:r>
      <w:r w:rsidR="002D340F">
        <w:t xml:space="preserve">to assess eligibility </w:t>
      </w:r>
      <w:r w:rsidR="00FD41C3">
        <w:t xml:space="preserve">for PRRT but also to assess the effect of </w:t>
      </w:r>
      <w:r w:rsidR="00FD41C3" w:rsidRPr="007505A4">
        <w:rPr>
          <w:vertAlign w:val="superscript"/>
        </w:rPr>
        <w:t>177</w:t>
      </w:r>
      <w:r w:rsidR="00FD41C3">
        <w:t>Lu-DOTA-</w:t>
      </w:r>
      <w:r w:rsidR="007505A4">
        <w:t>o</w:t>
      </w:r>
      <w:r w:rsidR="00FD41C3">
        <w:t>ctreotate treatment, usually three months after.</w:t>
      </w:r>
      <w:r w:rsidR="00DF1FBE">
        <w:t xml:space="preserve"> This test is also required for consideration of follow-up treatment with </w:t>
      </w:r>
      <w:r w:rsidR="00FD41C3">
        <w:t xml:space="preserve">PRRT. </w:t>
      </w:r>
    </w:p>
    <w:p w14:paraId="4CA9420D" w14:textId="186AEF7E" w:rsidR="00AA2B9F" w:rsidRPr="003B34EF" w:rsidRDefault="00961C21" w:rsidP="00B3581F">
      <w:pPr>
        <w:ind w:left="284"/>
        <w:jc w:val="both"/>
      </w:pPr>
      <w:r w:rsidRPr="004C3B98">
        <w:rPr>
          <w:i/>
          <w:iCs/>
        </w:rPr>
        <w:t>Indicated for p</w:t>
      </w:r>
      <w:r w:rsidR="00DE1F29" w:rsidRPr="004C3B98">
        <w:rPr>
          <w:i/>
          <w:iCs/>
        </w:rPr>
        <w:t xml:space="preserve">atients who have </w:t>
      </w:r>
      <w:r w:rsidR="00190BC0" w:rsidRPr="004C3B98">
        <w:rPr>
          <w:i/>
          <w:iCs/>
        </w:rPr>
        <w:t>advanced NETs</w:t>
      </w:r>
      <w:r w:rsidR="00C571DB" w:rsidRPr="004C3B98">
        <w:rPr>
          <w:i/>
          <w:iCs/>
        </w:rPr>
        <w:t xml:space="preserve"> </w:t>
      </w:r>
      <w:r w:rsidR="002C522A" w:rsidRPr="004C3B98">
        <w:rPr>
          <w:i/>
          <w:iCs/>
        </w:rPr>
        <w:t>and</w:t>
      </w:r>
      <w:r w:rsidR="00C571DB" w:rsidRPr="004C3B98">
        <w:rPr>
          <w:i/>
          <w:iCs/>
        </w:rPr>
        <w:t xml:space="preserve"> suspected H-SSTR expressi</w:t>
      </w:r>
      <w:r w:rsidR="00FB3C11" w:rsidRPr="004C3B98">
        <w:rPr>
          <w:i/>
          <w:iCs/>
        </w:rPr>
        <w:t>on</w:t>
      </w:r>
      <w:r w:rsidR="00DE1F29" w:rsidRPr="003B34EF">
        <w:t>.</w:t>
      </w:r>
      <w:r w:rsidR="00AA2B9F" w:rsidRPr="003B34EF">
        <w:t xml:space="preserve"> </w:t>
      </w:r>
    </w:p>
    <w:p w14:paraId="6EE0C49B" w14:textId="52C43EC3" w:rsidR="00EA2D67" w:rsidRPr="004C3B98" w:rsidRDefault="0056536B" w:rsidP="00B3581F">
      <w:pPr>
        <w:jc w:val="both"/>
        <w:rPr>
          <w:rFonts w:cs="Calibri"/>
        </w:rPr>
      </w:pPr>
      <w:r>
        <w:rPr>
          <w:i/>
          <w:iCs/>
        </w:rPr>
        <w:t xml:space="preserve">At its April </w:t>
      </w:r>
      <w:r w:rsidR="006B2C3C">
        <w:rPr>
          <w:i/>
          <w:iCs/>
        </w:rPr>
        <w:t xml:space="preserve">2023 </w:t>
      </w:r>
      <w:r>
        <w:rPr>
          <w:i/>
          <w:iCs/>
        </w:rPr>
        <w:t xml:space="preserve">meeting, </w:t>
      </w:r>
      <w:r w:rsidR="00C6257C" w:rsidRPr="0056536B">
        <w:rPr>
          <w:rFonts w:cs="Calibri"/>
          <w:i/>
          <w:iCs/>
        </w:rPr>
        <w:t xml:space="preserve">PASC noted that the applicant was asked to clarify how patients with “other H-SSTR expressing tumours” who are proposed to be eligible for treatment with </w:t>
      </w:r>
      <w:r w:rsidR="00C6257C" w:rsidRPr="0056536B">
        <w:rPr>
          <w:rFonts w:cs="Calibri"/>
          <w:i/>
          <w:iCs/>
          <w:vertAlign w:val="superscript"/>
        </w:rPr>
        <w:t>177</w:t>
      </w:r>
      <w:r w:rsidR="00C6257C" w:rsidRPr="0056536B">
        <w:rPr>
          <w:rFonts w:cs="Calibri"/>
          <w:i/>
          <w:iCs/>
        </w:rPr>
        <w:t>Lu</w:t>
      </w:r>
      <w:r w:rsidR="002E35CE" w:rsidRPr="0056536B">
        <w:rPr>
          <w:rFonts w:cs="Calibri"/>
          <w:i/>
          <w:iCs/>
        </w:rPr>
        <w:t>-</w:t>
      </w:r>
      <w:r w:rsidR="001C03D0" w:rsidRPr="0056536B">
        <w:rPr>
          <w:rFonts w:cs="Calibri"/>
          <w:i/>
          <w:iCs/>
        </w:rPr>
        <w:t>DOTA-</w:t>
      </w:r>
      <w:r w:rsidR="00110D5F" w:rsidRPr="0056536B">
        <w:rPr>
          <w:rFonts w:cs="Calibri"/>
          <w:i/>
          <w:iCs/>
        </w:rPr>
        <w:t xml:space="preserve">octreotate </w:t>
      </w:r>
      <w:r w:rsidR="00C6257C" w:rsidRPr="0056536B">
        <w:rPr>
          <w:rFonts w:cs="Calibri"/>
          <w:i/>
          <w:iCs/>
        </w:rPr>
        <w:t xml:space="preserve">in the proposed item descriptor will be initially identified for testing with </w:t>
      </w:r>
      <w:bookmarkStart w:id="9" w:name="_Hlk137503209"/>
      <w:r w:rsidR="00C6257C" w:rsidRPr="0056536B">
        <w:rPr>
          <w:rFonts w:cs="Calibri"/>
          <w:i/>
          <w:iCs/>
          <w:vertAlign w:val="superscript"/>
        </w:rPr>
        <w:t>68</w:t>
      </w:r>
      <w:r w:rsidR="00C6257C" w:rsidRPr="0056536B">
        <w:rPr>
          <w:rFonts w:cs="Calibri"/>
          <w:i/>
          <w:iCs/>
        </w:rPr>
        <w:t>Ga-</w:t>
      </w:r>
      <w:r w:rsidR="001C03D0" w:rsidRPr="0056536B">
        <w:rPr>
          <w:rFonts w:cs="Calibri"/>
          <w:i/>
          <w:iCs/>
        </w:rPr>
        <w:t>DOTA-</w:t>
      </w:r>
      <w:r w:rsidR="00110D5F" w:rsidRPr="0056536B">
        <w:rPr>
          <w:rFonts w:cs="Calibri"/>
          <w:i/>
          <w:iCs/>
        </w:rPr>
        <w:t xml:space="preserve">octreotate </w:t>
      </w:r>
      <w:r w:rsidR="00C6257C" w:rsidRPr="0056536B">
        <w:rPr>
          <w:rFonts w:cs="Calibri"/>
          <w:i/>
          <w:iCs/>
        </w:rPr>
        <w:t xml:space="preserve">PET/CT </w:t>
      </w:r>
      <w:bookmarkEnd w:id="9"/>
      <w:r w:rsidR="00C6257C" w:rsidRPr="0056536B">
        <w:rPr>
          <w:rFonts w:cs="Calibri"/>
          <w:i/>
          <w:iCs/>
        </w:rPr>
        <w:t>to determine the presence of a H-SSTR expressing tumour.</w:t>
      </w:r>
      <w:r w:rsidR="00C6257C" w:rsidRPr="004C3B98">
        <w:rPr>
          <w:rFonts w:cs="Calibri"/>
        </w:rPr>
        <w:t xml:space="preserve"> </w:t>
      </w:r>
      <w:r w:rsidR="00C6257C" w:rsidRPr="00561596">
        <w:rPr>
          <w:rFonts w:cs="Calibri"/>
          <w:i/>
          <w:iCs/>
        </w:rPr>
        <w:t xml:space="preserve">The applicant clarified that these patients will commonly have been identified by prior </w:t>
      </w:r>
      <w:r w:rsidR="00C6257C" w:rsidRPr="00561596">
        <w:rPr>
          <w:rFonts w:cs="Calibri"/>
          <w:i/>
          <w:iCs/>
          <w:vertAlign w:val="superscript"/>
        </w:rPr>
        <w:t>68</w:t>
      </w:r>
      <w:r w:rsidR="00C6257C" w:rsidRPr="00561596">
        <w:rPr>
          <w:rFonts w:cs="Calibri"/>
          <w:i/>
          <w:iCs/>
        </w:rPr>
        <w:t>Ga-</w:t>
      </w:r>
      <w:r w:rsidR="001C03D0" w:rsidRPr="00561596">
        <w:rPr>
          <w:rFonts w:cs="Calibri"/>
          <w:i/>
          <w:iCs/>
        </w:rPr>
        <w:t xml:space="preserve">DOTA-octreotate </w:t>
      </w:r>
      <w:r w:rsidR="00C6257C" w:rsidRPr="00561596">
        <w:rPr>
          <w:rFonts w:cs="Calibri"/>
          <w:i/>
          <w:iCs/>
        </w:rPr>
        <w:t xml:space="preserve">PET scans that have been undertaken for staging purposes. As with scans undertaken for staging purposes selecting patients for </w:t>
      </w:r>
      <w:r w:rsidR="00C6257C" w:rsidRPr="00561596">
        <w:rPr>
          <w:rFonts w:cs="Calibri"/>
          <w:i/>
          <w:iCs/>
          <w:vertAlign w:val="superscript"/>
        </w:rPr>
        <w:t>68</w:t>
      </w:r>
      <w:r w:rsidR="00C6257C" w:rsidRPr="00561596">
        <w:rPr>
          <w:rFonts w:cs="Calibri"/>
          <w:i/>
          <w:iCs/>
        </w:rPr>
        <w:t>Ga-</w:t>
      </w:r>
      <w:r w:rsidR="001C03D0" w:rsidRPr="00561596">
        <w:rPr>
          <w:rFonts w:cs="Calibri"/>
          <w:i/>
          <w:iCs/>
        </w:rPr>
        <w:t xml:space="preserve">DOTA-octreotate </w:t>
      </w:r>
      <w:r w:rsidR="00C6257C" w:rsidRPr="00561596">
        <w:rPr>
          <w:rFonts w:cs="Calibri"/>
          <w:i/>
          <w:iCs/>
        </w:rPr>
        <w:t xml:space="preserve">PET scans to assess suitability for </w:t>
      </w:r>
      <w:r w:rsidR="002E35CE" w:rsidRPr="00561596">
        <w:rPr>
          <w:rFonts w:cs="Calibri"/>
          <w:i/>
          <w:iCs/>
          <w:vertAlign w:val="superscript"/>
        </w:rPr>
        <w:t>177</w:t>
      </w:r>
      <w:r w:rsidR="002E35CE" w:rsidRPr="00561596">
        <w:rPr>
          <w:rFonts w:cs="Calibri"/>
          <w:i/>
          <w:iCs/>
        </w:rPr>
        <w:t>Lu-</w:t>
      </w:r>
      <w:r w:rsidR="001C03D0" w:rsidRPr="00561596">
        <w:rPr>
          <w:rFonts w:cs="Calibri"/>
          <w:i/>
          <w:iCs/>
        </w:rPr>
        <w:t>DOTA-octreotate</w:t>
      </w:r>
      <w:r w:rsidR="002E35CE" w:rsidRPr="00561596">
        <w:rPr>
          <w:rFonts w:cs="Calibri"/>
          <w:i/>
          <w:iCs/>
        </w:rPr>
        <w:t xml:space="preserve"> </w:t>
      </w:r>
      <w:r w:rsidR="00C6257C" w:rsidRPr="00561596">
        <w:rPr>
          <w:rFonts w:cs="Calibri"/>
          <w:i/>
          <w:iCs/>
        </w:rPr>
        <w:t>therapy is based on probability estimates that H-SSTR expression will be found and is informed by clinical experience and published evidence.</w:t>
      </w:r>
      <w:r w:rsidR="00AC5D92" w:rsidRPr="00561596">
        <w:rPr>
          <w:rFonts w:cs="Calibri"/>
          <w:i/>
          <w:iCs/>
        </w:rPr>
        <w:t xml:space="preserve"> </w:t>
      </w:r>
      <w:r w:rsidR="00DD52E3" w:rsidRPr="00561596">
        <w:rPr>
          <w:rFonts w:cs="Calibri"/>
          <w:i/>
          <w:iCs/>
        </w:rPr>
        <w:t xml:space="preserve">The </w:t>
      </w:r>
      <w:r w:rsidR="00DE538F" w:rsidRPr="00561596">
        <w:rPr>
          <w:rFonts w:cs="Calibri"/>
          <w:i/>
          <w:iCs/>
        </w:rPr>
        <w:t>a</w:t>
      </w:r>
      <w:r w:rsidR="00DD52E3" w:rsidRPr="00561596">
        <w:rPr>
          <w:rFonts w:cs="Calibri"/>
          <w:i/>
          <w:iCs/>
        </w:rPr>
        <w:t xml:space="preserve">pplicant clarified that </w:t>
      </w:r>
      <w:r w:rsidR="00AC5D92" w:rsidRPr="004C3B98">
        <w:rPr>
          <w:rFonts w:cs="Calibri"/>
          <w:i/>
          <w:iCs/>
        </w:rPr>
        <w:t xml:space="preserve">the “probability estimates” </w:t>
      </w:r>
      <w:r w:rsidR="00DD52E3" w:rsidRPr="004C3B98">
        <w:rPr>
          <w:rFonts w:cs="Calibri"/>
          <w:i/>
          <w:iCs/>
        </w:rPr>
        <w:t xml:space="preserve">equate </w:t>
      </w:r>
      <w:r w:rsidR="00AC5D92" w:rsidRPr="004C3B98">
        <w:rPr>
          <w:rFonts w:cs="Calibri"/>
          <w:i/>
          <w:iCs/>
        </w:rPr>
        <w:t>to pre-test probability.</w:t>
      </w:r>
      <w:r w:rsidR="00AC5D92" w:rsidRPr="00561596">
        <w:rPr>
          <w:rFonts w:cs="Calibri"/>
          <w:i/>
          <w:iCs/>
        </w:rPr>
        <w:t xml:space="preserve"> </w:t>
      </w:r>
    </w:p>
    <w:p w14:paraId="46D514A7" w14:textId="7C6197EB" w:rsidR="00242299" w:rsidRDefault="007453E6" w:rsidP="00B3581F">
      <w:pPr>
        <w:jc w:val="both"/>
        <w:rPr>
          <w:rFonts w:cs="Calibri"/>
          <w:i/>
        </w:rPr>
      </w:pPr>
      <w:r w:rsidRPr="004C3B98">
        <w:rPr>
          <w:rFonts w:cs="Calibri"/>
          <w:i/>
          <w:iCs/>
        </w:rPr>
        <w:t xml:space="preserve">At its April </w:t>
      </w:r>
      <w:r w:rsidR="006B2C3C">
        <w:rPr>
          <w:rFonts w:cs="Calibri"/>
          <w:i/>
          <w:iCs/>
        </w:rPr>
        <w:t xml:space="preserve">2023 </w:t>
      </w:r>
      <w:r w:rsidRPr="004C3B98">
        <w:rPr>
          <w:rFonts w:cs="Calibri"/>
          <w:i/>
          <w:iCs/>
        </w:rPr>
        <w:t xml:space="preserve">meeting, </w:t>
      </w:r>
      <w:r w:rsidR="00242299" w:rsidRPr="004F7F89">
        <w:rPr>
          <w:rFonts w:cs="Calibri"/>
          <w:i/>
        </w:rPr>
        <w:t xml:space="preserve">PASC noted that the applicant proposed some additional qualifying elements to the testing population, namely that it should be described as </w:t>
      </w:r>
      <w:bookmarkStart w:id="10" w:name="_Hlk137503466"/>
      <w:r w:rsidR="00242299" w:rsidRPr="004F7F89">
        <w:rPr>
          <w:rFonts w:cs="Calibri"/>
          <w:i/>
        </w:rPr>
        <w:t>“Patients with histologically confirmed, locally advanced or metastatic, and inoperable neuroendocrine tumours (NETs) with high somatostatin receptor (H-SSTR) expression and documented disease progression or uncontrolled symptoms related to their NET</w:t>
      </w:r>
      <w:r w:rsidR="002F4FAA" w:rsidRPr="004F7F89">
        <w:rPr>
          <w:rFonts w:cs="Calibri"/>
          <w:i/>
        </w:rPr>
        <w:t xml:space="preserve"> despite standard therapy</w:t>
      </w:r>
      <w:r w:rsidR="002F4FAA" w:rsidRPr="004C3B98">
        <w:rPr>
          <w:rFonts w:cs="Calibri"/>
          <w:i/>
        </w:rPr>
        <w:t xml:space="preserve">, </w:t>
      </w:r>
      <w:r w:rsidR="00242299" w:rsidRPr="004C3B98">
        <w:rPr>
          <w:rFonts w:cs="Calibri"/>
          <w:i/>
        </w:rPr>
        <w:t>when r</w:t>
      </w:r>
      <w:r w:rsidR="00242299" w:rsidRPr="004F7F89">
        <w:rPr>
          <w:rFonts w:cs="Calibri"/>
          <w:i/>
        </w:rPr>
        <w:t>eferred by a multidisciplinary team (MDT).”</w:t>
      </w:r>
      <w:r w:rsidR="250BA02B" w:rsidRPr="004F7F89">
        <w:rPr>
          <w:rFonts w:cs="Calibri"/>
          <w:i/>
        </w:rPr>
        <w:t xml:space="preserve"> </w:t>
      </w:r>
      <w:bookmarkEnd w:id="10"/>
      <w:r w:rsidR="00242299" w:rsidRPr="004F7F89">
        <w:rPr>
          <w:rFonts w:cs="Calibri"/>
          <w:i/>
        </w:rPr>
        <w:t xml:space="preserve">PASC considered that the testing population should be amended as follows </w:t>
      </w:r>
      <w:bookmarkStart w:id="11" w:name="_Hlk137503187"/>
      <w:r w:rsidR="00242299" w:rsidRPr="004F7F89">
        <w:rPr>
          <w:rFonts w:cs="Calibri"/>
          <w:i/>
        </w:rPr>
        <w:t xml:space="preserve">“Patients with histologically confirmed, locally advanced or metastatic, and inoperable neuroendocrine tumours (NETs) with documented disease progression or uncontrolled symptoms related to their NET and suspected high somatostatin receptor (H-SSTR) expression and, when referred by a multidisciplinary team (MDT).” </w:t>
      </w:r>
      <w:bookmarkEnd w:id="11"/>
      <w:r w:rsidR="00DD52E3" w:rsidRPr="004F7F89">
        <w:rPr>
          <w:rFonts w:cs="Calibri"/>
          <w:i/>
        </w:rPr>
        <w:t xml:space="preserve"> </w:t>
      </w:r>
    </w:p>
    <w:p w14:paraId="3654E33E" w14:textId="1DD27D13" w:rsidR="00D332DB" w:rsidRDefault="00D332DB" w:rsidP="00B3581F">
      <w:pPr>
        <w:jc w:val="both"/>
        <w:rPr>
          <w:i/>
          <w:iCs/>
        </w:rPr>
      </w:pPr>
      <w:r>
        <w:rPr>
          <w:i/>
          <w:iCs/>
        </w:rPr>
        <w:t xml:space="preserve">In response to a question to the applicant about the use of current MBS item 872 in place of the proposed MDT item, the applicant’s clinical expert responded that Item 872 looks appropriate. The current MBS Item 61647 for a </w:t>
      </w:r>
      <w:r w:rsidRPr="00E720CD">
        <w:rPr>
          <w:i/>
          <w:iCs/>
          <w:vertAlign w:val="superscript"/>
        </w:rPr>
        <w:t>68</w:t>
      </w:r>
      <w:r>
        <w:rPr>
          <w:i/>
          <w:iCs/>
        </w:rPr>
        <w:t xml:space="preserve">Ga-DOTA-octreotate PET/CT does not require referral by an MDT, or the use of Item 872.   </w:t>
      </w:r>
    </w:p>
    <w:p w14:paraId="33CD75BA" w14:textId="38A55241" w:rsidR="00E0782C" w:rsidRPr="00922B1C" w:rsidRDefault="00C571DB" w:rsidP="00B3581F">
      <w:pPr>
        <w:jc w:val="both"/>
      </w:pPr>
      <w:r w:rsidRPr="00922B1C">
        <w:t xml:space="preserve">Although the application specified both </w:t>
      </w:r>
      <w:r w:rsidR="001D7C4E" w:rsidRPr="00922B1C">
        <w:rPr>
          <w:vertAlign w:val="superscript"/>
        </w:rPr>
        <w:t>68</w:t>
      </w:r>
      <w:r w:rsidR="001D7C4E" w:rsidRPr="00922B1C">
        <w:t>Ga-</w:t>
      </w:r>
      <w:r w:rsidR="001C03D0">
        <w:t>DOTA-</w:t>
      </w:r>
      <w:r w:rsidR="00110D5F">
        <w:t xml:space="preserve">octreotate </w:t>
      </w:r>
      <w:r w:rsidR="001D7C4E" w:rsidRPr="00922B1C">
        <w:t xml:space="preserve">PET/CT or </w:t>
      </w:r>
      <w:r w:rsidR="00504C7D">
        <w:t xml:space="preserve">OctreoScan® </w:t>
      </w:r>
      <w:r w:rsidR="00BF198D" w:rsidRPr="00922B1C">
        <w:t>single photon emission computed tomography (SPECT)/CT imaging (</w:t>
      </w:r>
      <w:r w:rsidR="00504C7D">
        <w:t xml:space="preserve">OctreoScan® </w:t>
      </w:r>
      <w:r w:rsidR="00BF198D" w:rsidRPr="00922B1C">
        <w:t>SPECT/CT</w:t>
      </w:r>
      <w:r w:rsidR="00B73C9B">
        <w:t xml:space="preserve">; also referred to as </w:t>
      </w:r>
      <w:r w:rsidR="00B73C9B" w:rsidRPr="00873346">
        <w:rPr>
          <w:vertAlign w:val="superscript"/>
        </w:rPr>
        <w:t>111</w:t>
      </w:r>
      <w:r w:rsidR="00B73C9B" w:rsidRPr="00873346">
        <w:t xml:space="preserve">In-penetreotide, </w:t>
      </w:r>
      <w:r w:rsidR="00B73C9B" w:rsidRPr="00873346">
        <w:rPr>
          <w:vertAlign w:val="superscript"/>
        </w:rPr>
        <w:t>111</w:t>
      </w:r>
      <w:r w:rsidR="00B73C9B" w:rsidRPr="00873346">
        <w:t xml:space="preserve">In-DTPA-octreotide, and </w:t>
      </w:r>
      <w:r w:rsidR="00504C7D">
        <w:t xml:space="preserve">OctreoScan® </w:t>
      </w:r>
      <w:r w:rsidR="00B73C9B" w:rsidRPr="00873346">
        <w:t xml:space="preserve">in the literature and are interchangeable, for consistency with the application, this </w:t>
      </w:r>
      <w:r w:rsidR="00DE538F">
        <w:t xml:space="preserve">imaging </w:t>
      </w:r>
      <w:r w:rsidR="00B73C9B" w:rsidRPr="00873346">
        <w:t xml:space="preserve">will be referred to as </w:t>
      </w:r>
      <w:r w:rsidR="00504C7D">
        <w:t xml:space="preserve">OctreoScan® </w:t>
      </w:r>
      <w:r w:rsidR="00B73C9B" w:rsidRPr="00873346">
        <w:t>SPECT/CT herein</w:t>
      </w:r>
      <w:r w:rsidR="00BF198D" w:rsidRPr="00922B1C">
        <w:t xml:space="preserve">) </w:t>
      </w:r>
      <w:r w:rsidR="001D7C4E" w:rsidRPr="00922B1C">
        <w:t xml:space="preserve">to determine SSTR expression, in subsequent discussions with the applicant, it was suggested this be restricted to </w:t>
      </w:r>
      <w:r w:rsidR="001D7C4E" w:rsidRPr="00922B1C">
        <w:rPr>
          <w:vertAlign w:val="superscript"/>
        </w:rPr>
        <w:t>68</w:t>
      </w:r>
      <w:r w:rsidR="001D7C4E" w:rsidRPr="00922B1C">
        <w:t>Ga-</w:t>
      </w:r>
      <w:r w:rsidR="001C03D0">
        <w:t>DOTA-</w:t>
      </w:r>
      <w:r w:rsidR="00110D5F">
        <w:t xml:space="preserve">octreotate </w:t>
      </w:r>
      <w:r w:rsidR="001D7C4E" w:rsidRPr="00922B1C">
        <w:t>PET/CT on the basis that</w:t>
      </w:r>
      <w:r w:rsidR="00E0782C" w:rsidRPr="00922B1C">
        <w:t>:</w:t>
      </w:r>
      <w:r w:rsidR="001D7C4E" w:rsidRPr="00922B1C">
        <w:t xml:space="preserve"> </w:t>
      </w:r>
    </w:p>
    <w:p w14:paraId="2A12AB33" w14:textId="7B5705B7" w:rsidR="00E0782C" w:rsidRPr="00922B1C" w:rsidRDefault="00E0782C" w:rsidP="00B3581F">
      <w:pPr>
        <w:pStyle w:val="ListParagraph"/>
        <w:numPr>
          <w:ilvl w:val="0"/>
          <w:numId w:val="7"/>
        </w:numPr>
        <w:ind w:left="426" w:hanging="426"/>
        <w:jc w:val="both"/>
      </w:pPr>
      <w:r w:rsidRPr="00922B1C">
        <w:rPr>
          <w:vertAlign w:val="superscript"/>
        </w:rPr>
        <w:t>68</w:t>
      </w:r>
      <w:r w:rsidRPr="00922B1C">
        <w:t>Ga-</w:t>
      </w:r>
      <w:r w:rsidR="001C03D0">
        <w:t xml:space="preserve">DOTA-octreotate </w:t>
      </w:r>
      <w:r w:rsidRPr="00922B1C">
        <w:t>PET/CT</w:t>
      </w:r>
      <w:r w:rsidR="001D7C4E" w:rsidRPr="00922B1C">
        <w:t xml:space="preserve"> was </w:t>
      </w:r>
      <w:r w:rsidRPr="00922B1C">
        <w:t xml:space="preserve">associated with a lower radiation dose, has superior diagnostic accuracy (higher sensitivity) and is less expensive than </w:t>
      </w:r>
      <w:r w:rsidR="00504C7D">
        <w:t xml:space="preserve">OctreoScan® </w:t>
      </w:r>
      <w:r w:rsidRPr="00922B1C">
        <w:t xml:space="preserve">SPECT/CT </w:t>
      </w:r>
      <w:r w:rsidR="001D7C4E" w:rsidRPr="00922B1C">
        <w:t xml:space="preserve">(accepted by MSAC in its consideration of MSAC 1479R in April 2017), and </w:t>
      </w:r>
    </w:p>
    <w:p w14:paraId="18ABCAB2" w14:textId="4B1DF42E" w:rsidR="00E0782C" w:rsidRPr="00922B1C" w:rsidRDefault="001D7C4E" w:rsidP="00B3581F">
      <w:pPr>
        <w:pStyle w:val="ListParagraph"/>
        <w:numPr>
          <w:ilvl w:val="0"/>
          <w:numId w:val="7"/>
        </w:numPr>
        <w:ind w:left="426" w:hanging="426"/>
        <w:jc w:val="both"/>
      </w:pPr>
      <w:r w:rsidRPr="00922B1C">
        <w:t xml:space="preserve">given the limited use of </w:t>
      </w:r>
      <w:r w:rsidR="00504C7D">
        <w:t xml:space="preserve">OctreoScan® </w:t>
      </w:r>
      <w:r w:rsidRPr="00922B1C">
        <w:t xml:space="preserve">SPECT/CT (MBS item 61369), for which there were nil uses in the 2021/2022 financial year. </w:t>
      </w:r>
    </w:p>
    <w:p w14:paraId="4E003765" w14:textId="0D6C876A" w:rsidR="00C571DB" w:rsidRPr="00922B1C" w:rsidRDefault="001D7C4E" w:rsidP="00B3581F">
      <w:pPr>
        <w:jc w:val="both"/>
      </w:pPr>
      <w:r w:rsidRPr="00922B1C">
        <w:lastRenderedPageBreak/>
        <w:t xml:space="preserve">On this basis, this PICO Confirmation will only consider </w:t>
      </w:r>
      <w:r w:rsidRPr="00922B1C">
        <w:rPr>
          <w:vertAlign w:val="superscript"/>
        </w:rPr>
        <w:t>68</w:t>
      </w:r>
      <w:r w:rsidRPr="00922B1C">
        <w:t>Ga-</w:t>
      </w:r>
      <w:r w:rsidR="001C03D0">
        <w:t xml:space="preserve">DOTA-octreotate </w:t>
      </w:r>
      <w:r w:rsidRPr="00922B1C">
        <w:t>PET/CT</w:t>
      </w:r>
      <w:r w:rsidR="00E0782C" w:rsidRPr="00922B1C">
        <w:t xml:space="preserve"> for </w:t>
      </w:r>
      <w:r w:rsidR="000C470F">
        <w:t xml:space="preserve">assessment of </w:t>
      </w:r>
      <w:r w:rsidR="00E0782C" w:rsidRPr="00922B1C">
        <w:t>SSTR expression</w:t>
      </w:r>
      <w:r w:rsidRPr="004C3B98">
        <w:rPr>
          <w:i/>
          <w:iCs/>
        </w:rPr>
        <w:t>.</w:t>
      </w:r>
      <w:r w:rsidR="00E0782C" w:rsidRPr="004C3B98">
        <w:rPr>
          <w:i/>
          <w:iCs/>
        </w:rPr>
        <w:t xml:space="preserve"> </w:t>
      </w:r>
      <w:r w:rsidR="00D332DB">
        <w:rPr>
          <w:i/>
          <w:iCs/>
        </w:rPr>
        <w:t xml:space="preserve">At its April </w:t>
      </w:r>
      <w:r w:rsidR="000C26AC">
        <w:rPr>
          <w:i/>
          <w:iCs/>
        </w:rPr>
        <w:t xml:space="preserve">2023 </w:t>
      </w:r>
      <w:r w:rsidR="00D332DB">
        <w:rPr>
          <w:i/>
          <w:iCs/>
        </w:rPr>
        <w:t xml:space="preserve">meeting, </w:t>
      </w:r>
      <w:r w:rsidR="006550AC" w:rsidRPr="00DE538F">
        <w:rPr>
          <w:rFonts w:cs="Calibri"/>
          <w:i/>
          <w:iCs/>
        </w:rPr>
        <w:t xml:space="preserve">PASC agreed that consideration of only </w:t>
      </w:r>
      <w:r w:rsidR="006550AC" w:rsidRPr="00DE538F">
        <w:rPr>
          <w:i/>
          <w:iCs/>
          <w:vertAlign w:val="superscript"/>
        </w:rPr>
        <w:t>68</w:t>
      </w:r>
      <w:r w:rsidR="006550AC" w:rsidRPr="00DE538F">
        <w:rPr>
          <w:i/>
          <w:iCs/>
        </w:rPr>
        <w:t>Ga-</w:t>
      </w:r>
      <w:r w:rsidR="001C03D0" w:rsidRPr="00DE538F">
        <w:rPr>
          <w:i/>
          <w:iCs/>
        </w:rPr>
        <w:t xml:space="preserve">DOTA-octreotate </w:t>
      </w:r>
      <w:r w:rsidR="006550AC" w:rsidRPr="00DE538F">
        <w:rPr>
          <w:i/>
          <w:iCs/>
        </w:rPr>
        <w:t>PET/CT for determination of SSTR expression for selection of patients was reasonable given MBS item number 61369 (</w:t>
      </w:r>
      <w:r w:rsidR="006550AC" w:rsidRPr="00DE538F">
        <w:rPr>
          <w:i/>
          <w:iCs/>
          <w:vertAlign w:val="superscript"/>
        </w:rPr>
        <w:t>111</w:t>
      </w:r>
      <w:r w:rsidR="006550AC" w:rsidRPr="00DE538F">
        <w:rPr>
          <w:i/>
          <w:iCs/>
        </w:rPr>
        <w:t>In-octreotide SPECT) has not been claimed since 2019-2020.</w:t>
      </w:r>
      <w:r w:rsidR="00835414">
        <w:rPr>
          <w:i/>
          <w:iCs/>
        </w:rPr>
        <w:t xml:space="preserve"> </w:t>
      </w:r>
      <w:r w:rsidR="001E27AA" w:rsidRPr="00922B1C">
        <w:t>The MSAC 1479R Public Summary Document (PSD; p1) noted that the CT component of PET/CT imaging is claimed separately under MBS item 61505.</w:t>
      </w:r>
      <w:r w:rsidR="004E5065" w:rsidRPr="00922B1C" w:rsidDel="004E5065">
        <w:t xml:space="preserve"> </w:t>
      </w:r>
    </w:p>
    <w:p w14:paraId="255FAAC9" w14:textId="4B82C2DE" w:rsidR="00BF198D" w:rsidRPr="00922B1C" w:rsidRDefault="00BF198D" w:rsidP="00B3581F">
      <w:pPr>
        <w:jc w:val="both"/>
        <w:rPr>
          <w:i/>
          <w:iCs/>
        </w:rPr>
      </w:pPr>
      <w:r w:rsidRPr="00ED4E95">
        <w:t>The application states (p23) that suitability for the proposed intervention (</w:t>
      </w:r>
      <w:r w:rsidRPr="00ED4E95">
        <w:rPr>
          <w:vertAlign w:val="superscript"/>
        </w:rPr>
        <w:t>177</w:t>
      </w:r>
      <w:r w:rsidRPr="00ED4E95">
        <w:t>Lu</w:t>
      </w:r>
      <w:r w:rsidR="00E57359">
        <w:t>-</w:t>
      </w:r>
      <w:r w:rsidR="001C03D0">
        <w:t xml:space="preserve">DOTA-octreotate </w:t>
      </w:r>
      <w:r w:rsidRPr="00ED4E95">
        <w:t xml:space="preserve">treatment) </w:t>
      </w:r>
      <w:bookmarkStart w:id="12" w:name="_Hlk137504043"/>
      <w:r w:rsidRPr="00ED4E95">
        <w:t xml:space="preserve">requires that patients demonstrate high concentration of somatostatin receptor expressions at all, or the majority of, tumour sites by imaging with suitable somatostatin targeting radiopharmaceuticals using </w:t>
      </w:r>
      <w:r w:rsidR="00282A43" w:rsidRPr="00ED4E95">
        <w:t>the</w:t>
      </w:r>
      <w:r w:rsidRPr="00ED4E95">
        <w:t xml:space="preserve"> </w:t>
      </w:r>
      <w:r w:rsidRPr="00ED4E95">
        <w:rPr>
          <w:vertAlign w:val="superscript"/>
        </w:rPr>
        <w:t>68</w:t>
      </w:r>
      <w:r w:rsidRPr="00ED4E95">
        <w:t>Ga-</w:t>
      </w:r>
      <w:r w:rsidR="001C03D0">
        <w:t xml:space="preserve">DOTA-octreotate </w:t>
      </w:r>
      <w:r w:rsidRPr="00ED4E95">
        <w:t>PET/CT imaging technique</w:t>
      </w:r>
      <w:bookmarkEnd w:id="12"/>
      <w:r w:rsidRPr="00ED4E95">
        <w:t xml:space="preserve">. </w:t>
      </w:r>
      <w:r w:rsidR="00E57359">
        <w:t xml:space="preserve">The applicant stated that due </w:t>
      </w:r>
      <w:r w:rsidR="00E57359" w:rsidRPr="00E57359">
        <w:t>to the physical phenomenon of partial-volume effects, SSTR-expression may be underestimated in lesions smaller than 1cm.</w:t>
      </w:r>
      <w:r w:rsidR="008D55A3">
        <w:t xml:space="preserve"> </w:t>
      </w:r>
    </w:p>
    <w:p w14:paraId="417BE443" w14:textId="09CD62DB" w:rsidR="00533665" w:rsidRPr="003213D5" w:rsidRDefault="00533665" w:rsidP="00B3581F">
      <w:pPr>
        <w:jc w:val="both"/>
      </w:pPr>
      <w:r w:rsidRPr="00922B1C">
        <w:t>The application did</w:t>
      </w:r>
      <w:r w:rsidR="002C522A" w:rsidRPr="00922B1C">
        <w:t xml:space="preserve"> not specify</w:t>
      </w:r>
      <w:r w:rsidRPr="00922B1C">
        <w:t xml:space="preserve"> </w:t>
      </w:r>
      <w:r w:rsidR="002C522A" w:rsidRPr="00922B1C">
        <w:t>a threshold for SSTR expression</w:t>
      </w:r>
      <w:r w:rsidRPr="00922B1C">
        <w:t>.</w:t>
      </w:r>
      <w:r w:rsidRPr="00ED4E95">
        <w:rPr>
          <w:i/>
          <w:iCs/>
        </w:rPr>
        <w:t xml:space="preserve"> </w:t>
      </w:r>
      <w:r w:rsidRPr="00ED4E95">
        <w:t xml:space="preserve">The application indicates no formal system of tumour grading for H-SSTR has been implemented. </w:t>
      </w:r>
      <w:r w:rsidRPr="00922B1C">
        <w:t xml:space="preserve">The Krenning score was developed using </w:t>
      </w:r>
      <w:r w:rsidR="00E57359" w:rsidRPr="00922B1C">
        <w:t xml:space="preserve">planar </w:t>
      </w:r>
      <w:r w:rsidR="00504C7D">
        <w:t xml:space="preserve">OctreoScan® </w:t>
      </w:r>
      <w:r w:rsidRPr="00922B1C">
        <w:t>imaging, which is a 4-point scale measuring tumour uptake of the radioactive tracer: 1=uptake less than liver, 2=uptake is approximately equal to liver, 3=uptake is greater than liver, and 4=uptake is greater than kidney and spleen</w:t>
      </w:r>
      <w:r w:rsidR="003E7E80" w:rsidRPr="00922B1C">
        <w:t xml:space="preserve"> (Majala 2019)</w:t>
      </w:r>
      <w:r w:rsidR="004E5065" w:rsidRPr="00922B1C">
        <w:t>;</w:t>
      </w:r>
      <w:r w:rsidRPr="00922B1C">
        <w:t xml:space="preserve"> patient</w:t>
      </w:r>
      <w:r w:rsidR="004E5065" w:rsidRPr="00922B1C">
        <w:t>s</w:t>
      </w:r>
      <w:r w:rsidRPr="00922B1C">
        <w:t xml:space="preserve"> </w:t>
      </w:r>
      <w:r w:rsidR="004E5065" w:rsidRPr="00922B1C">
        <w:t xml:space="preserve">were </w:t>
      </w:r>
      <w:r w:rsidRPr="00922B1C">
        <w:t xml:space="preserve">deemed SSTR-positive if they demonstrated a Krenning score </w:t>
      </w:r>
      <w:r w:rsidRPr="00922B1C">
        <w:rPr>
          <w:rFonts w:cs="Calibri"/>
        </w:rPr>
        <w:t>≥</w:t>
      </w:r>
      <w:r w:rsidRPr="00922B1C">
        <w:t>2</w:t>
      </w:r>
      <w:r w:rsidR="004E5065" w:rsidRPr="00922B1C">
        <w:t xml:space="preserve"> in the clinical studies cited by the application</w:t>
      </w:r>
      <w:r w:rsidRPr="00922B1C">
        <w:t xml:space="preserve">. The Krenning score was later extrapolated to </w:t>
      </w:r>
      <w:r w:rsidR="00E57359" w:rsidRPr="00922B1C">
        <w:t xml:space="preserve">both SPECT/CT and </w:t>
      </w:r>
      <w:r w:rsidRPr="00922B1C">
        <w:t>SSTR-PET/CT imaging using the 5-point scale modified Krenning score: 0=no uptake, 1=very low uptake, 2=uptake no more than the liver, 3=uptake greater than the liver, 4=uptake greater than the spleen</w:t>
      </w:r>
      <w:r w:rsidR="00C060E0" w:rsidRPr="00922B1C">
        <w:t xml:space="preserve"> (Park 2021)</w:t>
      </w:r>
      <w:r w:rsidR="004E5065" w:rsidRPr="00922B1C">
        <w:t>;</w:t>
      </w:r>
      <w:r w:rsidRPr="00922B1C">
        <w:t xml:space="preserve"> patient</w:t>
      </w:r>
      <w:r w:rsidR="004E5065" w:rsidRPr="00922B1C">
        <w:t>s</w:t>
      </w:r>
      <w:r w:rsidRPr="00922B1C">
        <w:t xml:space="preserve"> </w:t>
      </w:r>
      <w:r w:rsidR="004E5065" w:rsidRPr="00922B1C">
        <w:t xml:space="preserve">were </w:t>
      </w:r>
      <w:r w:rsidRPr="00922B1C">
        <w:t xml:space="preserve">considered SSTR-positive if they demonstrated a modified Krenning score </w:t>
      </w:r>
      <w:r w:rsidRPr="00922B1C">
        <w:rPr>
          <w:rFonts w:cs="Calibri"/>
        </w:rPr>
        <w:t>≥</w:t>
      </w:r>
      <w:r w:rsidRPr="00922B1C">
        <w:t>3</w:t>
      </w:r>
      <w:r w:rsidR="007D413B">
        <w:t xml:space="preserve"> </w:t>
      </w:r>
      <w:r w:rsidR="00C060E0" w:rsidRPr="00922B1C">
        <w:t>in the clinical studies cited by the application.</w:t>
      </w:r>
      <w:r w:rsidRPr="00922B1C">
        <w:t xml:space="preserve"> Notably, </w:t>
      </w:r>
      <w:r w:rsidR="00504C7D">
        <w:t xml:space="preserve">OctreoScan® </w:t>
      </w:r>
      <w:r w:rsidRPr="00922B1C">
        <w:t xml:space="preserve">SPECT/CT imaging is less sensitive than </w:t>
      </w:r>
      <w:r w:rsidRPr="00922B1C">
        <w:rPr>
          <w:vertAlign w:val="superscript"/>
        </w:rPr>
        <w:t>68</w:t>
      </w:r>
      <w:r w:rsidRPr="00922B1C">
        <w:t>Ga-</w:t>
      </w:r>
      <w:r w:rsidR="00E57359" w:rsidRPr="00922B1C">
        <w:rPr>
          <w:caps/>
        </w:rPr>
        <w:t>d</w:t>
      </w:r>
      <w:r w:rsidR="00E57359" w:rsidRPr="00922B1C">
        <w:t>OTA-octreotate</w:t>
      </w:r>
      <w:r w:rsidRPr="00922B1C">
        <w:t>/</w:t>
      </w:r>
      <w:r w:rsidRPr="00922B1C">
        <w:rPr>
          <w:vertAlign w:val="superscript"/>
        </w:rPr>
        <w:t>64</w:t>
      </w:r>
      <w:r w:rsidRPr="00922B1C">
        <w:t>Cu-</w:t>
      </w:r>
      <w:r w:rsidRPr="00922B1C">
        <w:rPr>
          <w:caps/>
        </w:rPr>
        <w:t>d</w:t>
      </w:r>
      <w:r w:rsidRPr="00922B1C">
        <w:t>otatate PET/CT for determining SSTR status and is recommended if PET/CT imaging is unavailable</w:t>
      </w:r>
      <w:r w:rsidR="008409BA" w:rsidRPr="00922B1C">
        <w:t xml:space="preserve"> (Pavel 2020; Hope 2023)</w:t>
      </w:r>
      <w:r w:rsidRPr="00922B1C">
        <w:t xml:space="preserve">. As such, the modified Krenning score will </w:t>
      </w:r>
      <w:bookmarkStart w:id="13" w:name="_Int_8ZBjKKtC"/>
      <w:r w:rsidRPr="00922B1C">
        <w:t>generally be</w:t>
      </w:r>
      <w:bookmarkEnd w:id="13"/>
      <w:r w:rsidRPr="00922B1C">
        <w:t xml:space="preserve"> used to assess SSTR expression, to which </w:t>
      </w:r>
      <w:r w:rsidRPr="00E57359">
        <w:t xml:space="preserve">the applicant highlighted that the intensity of uptake of </w:t>
      </w:r>
      <w:r w:rsidRPr="00E57359">
        <w:rPr>
          <w:vertAlign w:val="superscript"/>
        </w:rPr>
        <w:t>68</w:t>
      </w:r>
      <w:r w:rsidRPr="00E57359">
        <w:t>Ga-</w:t>
      </w:r>
      <w:r w:rsidR="00E57359">
        <w:rPr>
          <w:caps/>
        </w:rPr>
        <w:t>DOTA-</w:t>
      </w:r>
      <w:r w:rsidR="00E57359">
        <w:t>octreo</w:t>
      </w:r>
      <w:r w:rsidR="00E57359" w:rsidRPr="00E57359">
        <w:t xml:space="preserve">tate </w:t>
      </w:r>
      <w:r w:rsidRPr="00E57359">
        <w:t xml:space="preserve">PET/CT (i.e., a modified Krenning score </w:t>
      </w:r>
      <w:r w:rsidRPr="00E57359">
        <w:rPr>
          <w:rFonts w:cs="Calibri"/>
        </w:rPr>
        <w:t>≥</w:t>
      </w:r>
      <w:r w:rsidRPr="00E57359">
        <w:t>3), has been shown to correlate with strong staining on immunohistochemistry.</w:t>
      </w:r>
      <w:r w:rsidRPr="00ED4E95">
        <w:rPr>
          <w:i/>
          <w:iCs/>
        </w:rPr>
        <w:t xml:space="preserve"> </w:t>
      </w:r>
      <w:r w:rsidR="00E57359">
        <w:t>The applicant further noted that s</w:t>
      </w:r>
      <w:r w:rsidR="00E57359" w:rsidRPr="00E57359">
        <w:t>ince PET/CT is an intrinsically quantitative technique, standardised uptake value (SUV) results can be used to confirm the SUV</w:t>
      </w:r>
      <w:r w:rsidR="00E57359" w:rsidRPr="00922B1C">
        <w:rPr>
          <w:vertAlign w:val="subscript"/>
        </w:rPr>
        <w:t>mean</w:t>
      </w:r>
      <w:r w:rsidR="00E57359" w:rsidRPr="00E57359">
        <w:t xml:space="preserve"> of liver and spleen and use of lesion SUV</w:t>
      </w:r>
      <w:r w:rsidR="00E57359" w:rsidRPr="00922B1C">
        <w:rPr>
          <w:vertAlign w:val="subscript"/>
        </w:rPr>
        <w:t>max</w:t>
      </w:r>
      <w:r w:rsidR="00E57359" w:rsidRPr="00E57359">
        <w:t xml:space="preserve"> compared to these values can now provide robust evaluation of </w:t>
      </w:r>
      <w:r w:rsidR="00963D71">
        <w:t xml:space="preserve">the </w:t>
      </w:r>
      <w:r w:rsidR="00E57359" w:rsidRPr="00E57359">
        <w:t>modified Krenning score.</w:t>
      </w:r>
    </w:p>
    <w:p w14:paraId="48F0BB07" w14:textId="3D063B36" w:rsidR="00533665" w:rsidRDefault="00533665" w:rsidP="00B3581F">
      <w:pPr>
        <w:jc w:val="both"/>
      </w:pPr>
      <w:r w:rsidRPr="00922B1C">
        <w:t>In addition, the ENETS</w:t>
      </w:r>
      <w:r w:rsidR="003E7E80" w:rsidRPr="00922B1C">
        <w:t xml:space="preserve"> (Hicks 2017)</w:t>
      </w:r>
      <w:r w:rsidRPr="00922B1C">
        <w:t xml:space="preserve"> has noted higher remission rates on </w:t>
      </w:r>
      <w:r w:rsidR="0075504C" w:rsidRPr="00922B1C">
        <w:t xml:space="preserve">peptide receptor radionuclide therapy (PRRT) </w:t>
      </w:r>
      <w:r w:rsidRPr="00922B1C">
        <w:t xml:space="preserve">were positively correlated with high tumour uptake of radioactive tracer during pre-therapy </w:t>
      </w:r>
      <w:r w:rsidR="00504C7D">
        <w:t xml:space="preserve">OctreoScan® </w:t>
      </w:r>
      <w:r w:rsidRPr="00922B1C">
        <w:t>SPECT/CT. The patients refer</w:t>
      </w:r>
      <w:r w:rsidR="003E7E80" w:rsidRPr="00922B1C">
        <w:t>red to</w:t>
      </w:r>
      <w:r w:rsidRPr="00922B1C">
        <w:t xml:space="preserve"> in this study were required to demonstrate tumour uptake of </w:t>
      </w:r>
      <w:r w:rsidRPr="00922B1C">
        <w:rPr>
          <w:vertAlign w:val="superscript"/>
        </w:rPr>
        <w:t>111</w:t>
      </w:r>
      <w:r w:rsidRPr="00922B1C">
        <w:t xml:space="preserve">In-octreotide equal to or greater than liver uptake (i.e., Krenning score </w:t>
      </w:r>
      <w:r w:rsidRPr="00922B1C">
        <w:rPr>
          <w:rFonts w:cs="Calibri"/>
        </w:rPr>
        <w:t>≥</w:t>
      </w:r>
      <w:r w:rsidRPr="00922B1C">
        <w:t xml:space="preserve">2) during SPECT/CT imaging, which suggested that the intensity of uptake of burden of disease on diagnostic scans are predictors of radiation dose delivery to disease and hence may influence the likelihood of response. Moreover, Iravani </w:t>
      </w:r>
      <w:r w:rsidR="003E7E80" w:rsidRPr="00922B1C">
        <w:t xml:space="preserve">(2022) </w:t>
      </w:r>
      <w:r w:rsidRPr="00922B1C">
        <w:t xml:space="preserve">highlighted that for lesions &gt;2 cm, the modified Krenning scores of 3–4 </w:t>
      </w:r>
      <w:r w:rsidR="00755AB3" w:rsidRPr="00922B1C">
        <w:t>is</w:t>
      </w:r>
      <w:r w:rsidRPr="00922B1C">
        <w:t xml:space="preserve"> deemed adequate for considering PRRT. However, for lesions smaller than 2 cm, </w:t>
      </w:r>
      <w:r w:rsidRPr="004C3B98">
        <w:t xml:space="preserve">the PET/CT scoring might overestimate </w:t>
      </w:r>
      <w:r w:rsidR="00C40F58" w:rsidRPr="004C3B98">
        <w:t xml:space="preserve">SSTR expression </w:t>
      </w:r>
      <w:r w:rsidRPr="004C3B98">
        <w:t>compared to the original Krenning score and relying on the modified Krenning in this context is cautioned.</w:t>
      </w:r>
    </w:p>
    <w:p w14:paraId="198C9B72" w14:textId="7909D1A1" w:rsidR="003C1397" w:rsidRPr="00E35BCA" w:rsidRDefault="00715C6D" w:rsidP="00B3581F">
      <w:pPr>
        <w:jc w:val="both"/>
        <w:rPr>
          <w:rFonts w:cs="Calibri"/>
          <w:vertAlign w:val="superscript"/>
        </w:rPr>
      </w:pPr>
      <w:r w:rsidRPr="00E35BCA">
        <w:t xml:space="preserve">In response to the post-PASC </w:t>
      </w:r>
      <w:r w:rsidR="001A1685">
        <w:t xml:space="preserve">(April </w:t>
      </w:r>
      <w:r w:rsidR="000C26AC">
        <w:t xml:space="preserve">2023 </w:t>
      </w:r>
      <w:r w:rsidR="001A1685">
        <w:t xml:space="preserve">meeting) </w:t>
      </w:r>
      <w:r w:rsidRPr="00E35BCA">
        <w:t>comments in the PICO Confirmation, the</w:t>
      </w:r>
      <w:r w:rsidR="003213D5" w:rsidRPr="00E35BCA">
        <w:t xml:space="preserve"> applicant noted that </w:t>
      </w:r>
      <w:r w:rsidR="00CD2CD5" w:rsidRPr="00E35BCA">
        <w:t xml:space="preserve">there may be a discrepancy in the estimate of SSTR expression between the original Krenning score method using planar imaging and the modified Krenning score. However, the modified Krenning score will give an estimate of SSTR expression that is closer to the truth due to the greater accuracy of </w:t>
      </w:r>
      <w:r w:rsidR="00E4002A" w:rsidRPr="00E35BCA">
        <w:t>PET</w:t>
      </w:r>
      <w:r w:rsidR="005415DE" w:rsidRPr="00E35BCA">
        <w:t xml:space="preserve"> </w:t>
      </w:r>
      <w:r w:rsidR="00CD2CD5" w:rsidRPr="00E35BCA">
        <w:t xml:space="preserve">especially </w:t>
      </w:r>
      <w:r w:rsidR="00CD2CD5" w:rsidRPr="00E35BCA">
        <w:lastRenderedPageBreak/>
        <w:t xml:space="preserve">for smaller tumours at sites of higher background uptake such as the liver. The </w:t>
      </w:r>
      <w:r w:rsidR="003213D5" w:rsidRPr="00E35BCA">
        <w:t>a</w:t>
      </w:r>
      <w:r w:rsidR="00CD2CD5" w:rsidRPr="00E35BCA">
        <w:t>pplicant’s nominated clinical expert indicated that treatment of</w:t>
      </w:r>
      <w:r w:rsidR="00F10567" w:rsidRPr="00E35BCA">
        <w:t xml:space="preserve"> tumours with</w:t>
      </w:r>
      <w:r w:rsidR="00CD2CD5" w:rsidRPr="00E35BCA">
        <w:t xml:space="preserve"> </w:t>
      </w:r>
      <w:r w:rsidR="00F10567" w:rsidRPr="00E35BCA">
        <w:t xml:space="preserve">a </w:t>
      </w:r>
      <w:r w:rsidR="00CD2CD5" w:rsidRPr="00E35BCA">
        <w:t>modified Krenning score</w:t>
      </w:r>
      <w:r w:rsidR="00F10567" w:rsidRPr="00E35BCA">
        <w:t xml:space="preserve"> less than</w:t>
      </w:r>
      <w:r w:rsidR="00CD2CD5" w:rsidRPr="00E35BCA">
        <w:t xml:space="preserve"> </w:t>
      </w:r>
      <w:r w:rsidR="008C1C9F" w:rsidRPr="00E35BCA">
        <w:t xml:space="preserve">three </w:t>
      </w:r>
      <w:r w:rsidR="00CD2CD5" w:rsidRPr="00E35BCA">
        <w:t xml:space="preserve">with </w:t>
      </w:r>
      <w:r w:rsidR="00CD2CD5" w:rsidRPr="00E35BCA">
        <w:rPr>
          <w:vertAlign w:val="superscript"/>
        </w:rPr>
        <w:t>177</w:t>
      </w:r>
      <w:r w:rsidR="00CD2CD5" w:rsidRPr="00E35BCA">
        <w:t>Lu</w:t>
      </w:r>
      <w:r w:rsidR="00D332DB" w:rsidRPr="00E35BCA">
        <w:t>-DOTA-octreotate</w:t>
      </w:r>
      <w:r w:rsidR="00CD2CD5" w:rsidRPr="00E35BCA">
        <w:t xml:space="preserve"> </w:t>
      </w:r>
      <w:r w:rsidR="003213D5" w:rsidRPr="00E35BCA">
        <w:t>t</w:t>
      </w:r>
      <w:r w:rsidR="00CD2CD5" w:rsidRPr="00E35BCA">
        <w:t xml:space="preserve">herapy did not lead to improved patient outcomes in their experience. </w:t>
      </w:r>
    </w:p>
    <w:p w14:paraId="0CB5AAF0" w14:textId="67112970" w:rsidR="002C522A" w:rsidRDefault="00533665" w:rsidP="00B3581F">
      <w:pPr>
        <w:jc w:val="both"/>
        <w:rPr>
          <w:i/>
        </w:rPr>
      </w:pPr>
      <w:r w:rsidRPr="00922B1C">
        <w:t>I</w:t>
      </w:r>
      <w:r w:rsidR="00BF198D" w:rsidRPr="00922B1C">
        <w:t xml:space="preserve">n further discussion with the applicant during the development of the PICO, </w:t>
      </w:r>
      <w:r w:rsidR="002C522A" w:rsidRPr="00922B1C">
        <w:t xml:space="preserve">it was suggested that restricting </w:t>
      </w:r>
      <w:r w:rsidR="007F5EC3">
        <w:t xml:space="preserve">PRRT </w:t>
      </w:r>
      <w:r w:rsidR="002C522A" w:rsidRPr="00922B1C">
        <w:t xml:space="preserve">to patients with a modified Krenning score of </w:t>
      </w:r>
      <w:r w:rsidR="002C522A" w:rsidRPr="00922B1C">
        <w:rPr>
          <w:rFonts w:cs="Calibri"/>
        </w:rPr>
        <w:t>≥</w:t>
      </w:r>
      <w:r w:rsidR="002C522A" w:rsidRPr="00922B1C">
        <w:t>3 (uptake greater than liver) would be unlikely to exclude any patients who would benefit from treatment</w:t>
      </w:r>
      <w:r w:rsidR="001F7726">
        <w:t>,</w:t>
      </w:r>
      <w:r w:rsidR="002C522A" w:rsidRPr="00922B1C">
        <w:t xml:space="preserve"> and it would also represent the threshold that would be considered by an MDT.</w:t>
      </w:r>
      <w:r w:rsidRPr="00922B1C">
        <w:t xml:space="preserve"> </w:t>
      </w:r>
      <w:bookmarkStart w:id="14" w:name="_Hlk137503844"/>
      <w:r w:rsidR="00D332DB" w:rsidRPr="004C3B98">
        <w:rPr>
          <w:i/>
          <w:iCs/>
        </w:rPr>
        <w:t xml:space="preserve">At its April </w:t>
      </w:r>
      <w:r w:rsidR="000C26AC">
        <w:rPr>
          <w:i/>
          <w:iCs/>
        </w:rPr>
        <w:t xml:space="preserve">2023 </w:t>
      </w:r>
      <w:r w:rsidR="00D332DB" w:rsidRPr="004C3B98">
        <w:rPr>
          <w:i/>
          <w:iCs/>
        </w:rPr>
        <w:t xml:space="preserve">meeting, </w:t>
      </w:r>
      <w:r w:rsidRPr="00D332DB">
        <w:rPr>
          <w:i/>
          <w:iCs/>
        </w:rPr>
        <w:t xml:space="preserve">PASC </w:t>
      </w:r>
      <w:r w:rsidR="00A010BD" w:rsidRPr="00D332DB">
        <w:rPr>
          <w:i/>
          <w:iCs/>
        </w:rPr>
        <w:t xml:space="preserve">considered </w:t>
      </w:r>
      <w:r w:rsidRPr="00D332DB">
        <w:rPr>
          <w:i/>
          <w:iCs/>
        </w:rPr>
        <w:t xml:space="preserve">a threshold of a modified Krenning score of </w:t>
      </w:r>
      <w:r w:rsidRPr="00D332DB">
        <w:rPr>
          <w:rFonts w:cs="Calibri"/>
          <w:i/>
          <w:iCs/>
        </w:rPr>
        <w:t>≥</w:t>
      </w:r>
      <w:r w:rsidRPr="00D332DB">
        <w:rPr>
          <w:i/>
          <w:iCs/>
        </w:rPr>
        <w:t xml:space="preserve">3 </w:t>
      </w:r>
      <w:r w:rsidR="008D55A3" w:rsidRPr="00D332DB">
        <w:rPr>
          <w:i/>
          <w:iCs/>
        </w:rPr>
        <w:t xml:space="preserve">(uptake greater than liver) </w:t>
      </w:r>
      <w:r w:rsidR="00A010BD" w:rsidRPr="00D332DB">
        <w:rPr>
          <w:i/>
          <w:iCs/>
        </w:rPr>
        <w:t>wa</w:t>
      </w:r>
      <w:r w:rsidRPr="00D332DB">
        <w:rPr>
          <w:i/>
          <w:iCs/>
        </w:rPr>
        <w:t>s reasonable</w:t>
      </w:r>
      <w:r w:rsidR="00A65316" w:rsidRPr="00D332DB">
        <w:rPr>
          <w:i/>
          <w:iCs/>
        </w:rPr>
        <w:t xml:space="preserve"> and </w:t>
      </w:r>
      <w:r w:rsidR="00A65316" w:rsidRPr="004C3B98">
        <w:rPr>
          <w:i/>
          <w:iCs/>
        </w:rPr>
        <w:t xml:space="preserve">questioned </w:t>
      </w:r>
      <w:bookmarkStart w:id="15" w:name="_Hlk137503783"/>
      <w:r w:rsidR="00A65316" w:rsidRPr="004C3B98">
        <w:rPr>
          <w:i/>
          <w:iCs/>
        </w:rPr>
        <w:t xml:space="preserve">whether it should specify </w:t>
      </w:r>
      <w:r w:rsidR="008E31EB" w:rsidRPr="004C3B98">
        <w:rPr>
          <w:i/>
          <w:iCs/>
        </w:rPr>
        <w:t xml:space="preserve">restriction to </w:t>
      </w:r>
      <w:r w:rsidR="00A65316" w:rsidRPr="004C3B98">
        <w:rPr>
          <w:i/>
          <w:iCs/>
        </w:rPr>
        <w:t>all known site</w:t>
      </w:r>
      <w:r w:rsidR="001D0619" w:rsidRPr="004C3B98">
        <w:rPr>
          <w:i/>
          <w:iCs/>
        </w:rPr>
        <w:t>s</w:t>
      </w:r>
      <w:r w:rsidR="00A65316" w:rsidRPr="004C3B98">
        <w:rPr>
          <w:i/>
          <w:iCs/>
        </w:rPr>
        <w:t xml:space="preserve"> of disease </w:t>
      </w:r>
      <w:r w:rsidR="00A65316" w:rsidRPr="004C3B98">
        <w:rPr>
          <w:rFonts w:cs="Calibri"/>
          <w:i/>
          <w:iCs/>
        </w:rPr>
        <w:t>≥</w:t>
      </w:r>
      <w:r w:rsidR="00A65316" w:rsidRPr="004C3B98">
        <w:rPr>
          <w:i/>
          <w:iCs/>
        </w:rPr>
        <w:t>2 cm</w:t>
      </w:r>
      <w:bookmarkEnd w:id="14"/>
      <w:bookmarkEnd w:id="15"/>
      <w:r w:rsidRPr="004C3B98">
        <w:rPr>
          <w:i/>
          <w:iCs/>
        </w:rPr>
        <w:t>.</w:t>
      </w:r>
      <w:r w:rsidR="00484D15" w:rsidRPr="004C3B98">
        <w:rPr>
          <w:i/>
          <w:iCs/>
        </w:rPr>
        <w:t xml:space="preserve"> </w:t>
      </w:r>
      <w:r w:rsidR="002B54ED">
        <w:rPr>
          <w:i/>
          <w:iCs/>
        </w:rPr>
        <w:t xml:space="preserve">In August 2023, </w:t>
      </w:r>
      <w:r w:rsidR="002B54ED" w:rsidRPr="002B54ED">
        <w:rPr>
          <w:i/>
          <w:iCs/>
        </w:rPr>
        <w:t xml:space="preserve">PASC </w:t>
      </w:r>
      <w:r w:rsidR="002B54ED">
        <w:rPr>
          <w:i/>
          <w:iCs/>
        </w:rPr>
        <w:t>reiterated</w:t>
      </w:r>
      <w:r w:rsidR="002B54ED" w:rsidRPr="002B54ED">
        <w:rPr>
          <w:i/>
          <w:iCs/>
        </w:rPr>
        <w:t xml:space="preserve"> that the H-SSTR expression defined as a modified Krenning score ≥3 is reasonable for defining eligibility to the intervention PRRT with </w:t>
      </w:r>
      <w:r w:rsidR="002B54ED" w:rsidRPr="00E35BCA">
        <w:rPr>
          <w:i/>
          <w:iCs/>
          <w:vertAlign w:val="superscript"/>
        </w:rPr>
        <w:t>177</w:t>
      </w:r>
      <w:r w:rsidR="002B54ED" w:rsidRPr="002B54ED">
        <w:rPr>
          <w:i/>
          <w:iCs/>
        </w:rPr>
        <w:t xml:space="preserve">Lu-DOTA-octreotate. </w:t>
      </w:r>
      <w:r w:rsidR="006B2C3C" w:rsidRPr="006B2C3C">
        <w:rPr>
          <w:i/>
          <w:iCs/>
        </w:rPr>
        <w:t xml:space="preserve">PASC </w:t>
      </w:r>
      <w:r w:rsidR="006B2C3C">
        <w:rPr>
          <w:i/>
          <w:iCs/>
        </w:rPr>
        <w:t xml:space="preserve">also </w:t>
      </w:r>
      <w:r w:rsidR="006B2C3C" w:rsidRPr="006B2C3C">
        <w:rPr>
          <w:i/>
          <w:iCs/>
        </w:rPr>
        <w:t>considered that the same eligibility thresholds for induction treatment will also apply for any-follow-up/consolidation therapy as the success of PRRT is contingent on sufficient SSTR expression.</w:t>
      </w:r>
    </w:p>
    <w:p w14:paraId="6376CA59" w14:textId="0053740B" w:rsidR="00723AE5" w:rsidRPr="00E35BCA" w:rsidRDefault="001F7726" w:rsidP="00B3581F">
      <w:pPr>
        <w:jc w:val="both"/>
      </w:pPr>
      <w:r w:rsidRPr="00E35BCA">
        <w:t>The applicant commented that this appears to be a reasonable approach noting that tumours considerabl</w:t>
      </w:r>
      <w:r w:rsidR="003213D5" w:rsidRPr="00E35BCA">
        <w:t>y</w:t>
      </w:r>
      <w:r w:rsidRPr="00E35BCA">
        <w:t xml:space="preserve"> less than 2 cm in diameter may still exhibit modified Krenning score of </w:t>
      </w:r>
      <w:r w:rsidR="001F3902" w:rsidRPr="00E35BCA">
        <w:t>≥3</w:t>
      </w:r>
      <w:r w:rsidRPr="00E35BCA">
        <w:t>.</w:t>
      </w:r>
    </w:p>
    <w:p w14:paraId="56E93E4C" w14:textId="49F767EC" w:rsidR="002B54ED" w:rsidRDefault="00FE47D2" w:rsidP="00B3581F">
      <w:pPr>
        <w:jc w:val="both"/>
        <w:rPr>
          <w:i/>
          <w:iCs/>
        </w:rPr>
      </w:pPr>
      <w:r>
        <w:rPr>
          <w:i/>
          <w:iCs/>
        </w:rPr>
        <w:t>At its April</w:t>
      </w:r>
      <w:r w:rsidR="000C26AC">
        <w:rPr>
          <w:i/>
          <w:iCs/>
        </w:rPr>
        <w:t xml:space="preserve"> 2023</w:t>
      </w:r>
      <w:r>
        <w:rPr>
          <w:i/>
          <w:iCs/>
        </w:rPr>
        <w:t xml:space="preserve"> meeting, P</w:t>
      </w:r>
      <w:r w:rsidR="001F7726" w:rsidRPr="00217355">
        <w:rPr>
          <w:i/>
          <w:iCs/>
        </w:rPr>
        <w:t>ASC considered that a “majority</w:t>
      </w:r>
      <w:r w:rsidR="003213D5">
        <w:rPr>
          <w:i/>
          <w:iCs/>
        </w:rPr>
        <w:t>”</w:t>
      </w:r>
      <w:r w:rsidR="001F7726" w:rsidRPr="004C3B98">
        <w:rPr>
          <w:i/>
          <w:iCs/>
        </w:rPr>
        <w:t xml:space="preserve"> of sites should be defined</w:t>
      </w:r>
      <w:r w:rsidR="003213D5">
        <w:rPr>
          <w:i/>
          <w:iCs/>
        </w:rPr>
        <w:t xml:space="preserve">, </w:t>
      </w:r>
      <w:r w:rsidR="00217355">
        <w:rPr>
          <w:i/>
          <w:iCs/>
        </w:rPr>
        <w:t>in regard to the statement that “</w:t>
      </w:r>
      <w:r w:rsidR="00217355" w:rsidRPr="00217355">
        <w:rPr>
          <w:i/>
          <w:iCs/>
        </w:rPr>
        <w:t>patients demonstrate high concentration of somatostatin receptor expressions at all, or the majority of, tumour sites</w:t>
      </w:r>
      <w:r w:rsidR="00217355">
        <w:rPr>
          <w:i/>
          <w:iCs/>
        </w:rPr>
        <w:t xml:space="preserve">” </w:t>
      </w:r>
      <w:r w:rsidR="003213D5">
        <w:rPr>
          <w:i/>
          <w:iCs/>
        </w:rPr>
        <w:t>see above</w:t>
      </w:r>
      <w:r w:rsidR="001F7726" w:rsidRPr="00217355">
        <w:rPr>
          <w:i/>
          <w:iCs/>
        </w:rPr>
        <w:t xml:space="preserve">. </w:t>
      </w:r>
      <w:r w:rsidR="003213D5">
        <w:rPr>
          <w:i/>
          <w:iCs/>
        </w:rPr>
        <w:t xml:space="preserve">PASC then questioned whether </w:t>
      </w:r>
      <w:r w:rsidR="003213D5" w:rsidRPr="003213D5">
        <w:rPr>
          <w:i/>
          <w:iCs/>
        </w:rPr>
        <w:t xml:space="preserve">all known sites of disease ≥2 cm </w:t>
      </w:r>
      <w:r w:rsidR="00217355">
        <w:rPr>
          <w:i/>
          <w:iCs/>
        </w:rPr>
        <w:t xml:space="preserve">should have a Krenning score </w:t>
      </w:r>
      <w:r w:rsidR="00217355" w:rsidRPr="00125886">
        <w:rPr>
          <w:rFonts w:cs="Calibri"/>
          <w:i/>
          <w:iCs/>
        </w:rPr>
        <w:t>≥</w:t>
      </w:r>
      <w:r w:rsidR="00217355" w:rsidRPr="00125886">
        <w:rPr>
          <w:i/>
          <w:iCs/>
        </w:rPr>
        <w:t>3</w:t>
      </w:r>
      <w:r w:rsidR="00217355">
        <w:rPr>
          <w:i/>
          <w:iCs/>
        </w:rPr>
        <w:t xml:space="preserve">. </w:t>
      </w:r>
    </w:p>
    <w:p w14:paraId="6C9D0533" w14:textId="34F29DD7" w:rsidR="002B54ED" w:rsidRDefault="002B54ED" w:rsidP="00B3581F">
      <w:pPr>
        <w:jc w:val="both"/>
        <w:rPr>
          <w:i/>
          <w:iCs/>
        </w:rPr>
      </w:pPr>
      <w:r w:rsidRPr="536B0F9D">
        <w:rPr>
          <w:i/>
          <w:iCs/>
        </w:rPr>
        <w:t xml:space="preserve">In August 2023, PASC discussed whether the </w:t>
      </w:r>
      <w:r w:rsidR="1EDAEE94" w:rsidRPr="536B0F9D">
        <w:rPr>
          <w:i/>
          <w:iCs/>
        </w:rPr>
        <w:t xml:space="preserve">eligibility thresholds for PRRT should include a </w:t>
      </w:r>
      <w:r w:rsidRPr="536B0F9D">
        <w:rPr>
          <w:i/>
          <w:iCs/>
        </w:rPr>
        <w:t xml:space="preserve">modified Krenning score </w:t>
      </w:r>
      <w:r w:rsidR="23CD303A" w:rsidRPr="536B0F9D">
        <w:rPr>
          <w:i/>
          <w:iCs/>
        </w:rPr>
        <w:t xml:space="preserve">of </w:t>
      </w:r>
      <w:r w:rsidRPr="536B0F9D">
        <w:rPr>
          <w:i/>
          <w:iCs/>
        </w:rPr>
        <w:t xml:space="preserve"> ≥3 in all sites ≥2cm in size, </w:t>
      </w:r>
      <w:r w:rsidR="24ED8D61" w:rsidRPr="536B0F9D">
        <w:rPr>
          <w:i/>
          <w:iCs/>
        </w:rPr>
        <w:t xml:space="preserve">the </w:t>
      </w:r>
      <w:r w:rsidRPr="536B0F9D">
        <w:rPr>
          <w:i/>
          <w:iCs/>
        </w:rPr>
        <w:t xml:space="preserve">majority of sites ≥2 cm, or </w:t>
      </w:r>
      <w:r w:rsidR="2A86AEC8" w:rsidRPr="536B0F9D">
        <w:rPr>
          <w:i/>
          <w:iCs/>
        </w:rPr>
        <w:t>the</w:t>
      </w:r>
      <w:r w:rsidRPr="536B0F9D">
        <w:rPr>
          <w:i/>
          <w:iCs/>
        </w:rPr>
        <w:t xml:space="preserve"> majority of all identified lesions </w:t>
      </w:r>
      <w:r w:rsidR="11FE5ECB" w:rsidRPr="536B0F9D">
        <w:rPr>
          <w:i/>
          <w:iCs/>
        </w:rPr>
        <w:t xml:space="preserve">(regardless of size) </w:t>
      </w:r>
      <w:r w:rsidRPr="536B0F9D">
        <w:rPr>
          <w:i/>
          <w:iCs/>
        </w:rPr>
        <w:t>and noted this remains unresolved. PASC noted that:</w:t>
      </w:r>
    </w:p>
    <w:p w14:paraId="675775FD" w14:textId="74E26708" w:rsidR="002B54ED" w:rsidRDefault="002B54ED" w:rsidP="00B3581F">
      <w:pPr>
        <w:pStyle w:val="ListParagraph"/>
        <w:numPr>
          <w:ilvl w:val="0"/>
          <w:numId w:val="34"/>
        </w:numPr>
        <w:ind w:left="284" w:hanging="284"/>
        <w:jc w:val="both"/>
        <w:rPr>
          <w:i/>
          <w:iCs/>
        </w:rPr>
      </w:pPr>
      <w:r w:rsidRPr="00E35BCA">
        <w:rPr>
          <w:i/>
          <w:iCs/>
        </w:rPr>
        <w:t xml:space="preserve"> for the assessment report, a threshold definition is required (</w:t>
      </w:r>
      <w:r w:rsidR="003C3457" w:rsidRPr="00E35BCA">
        <w:rPr>
          <w:i/>
          <w:iCs/>
        </w:rPr>
        <w:t>e.g.,</w:t>
      </w:r>
      <w:r w:rsidRPr="00E35BCA">
        <w:rPr>
          <w:i/>
          <w:iCs/>
        </w:rPr>
        <w:t xml:space="preserve"> NETTER-1 &amp; Erasmus MC studies required Krenning score &gt;2 [Octreoscan®] for all lesions</w:t>
      </w:r>
      <w:r>
        <w:rPr>
          <w:i/>
          <w:iCs/>
        </w:rPr>
        <w:t>; and</w:t>
      </w:r>
      <w:r w:rsidRPr="00E35BCA">
        <w:rPr>
          <w:i/>
          <w:iCs/>
        </w:rPr>
        <w:t xml:space="preserve"> </w:t>
      </w:r>
    </w:p>
    <w:p w14:paraId="6433EBB9" w14:textId="13531F7B" w:rsidR="002B54ED" w:rsidRDefault="002B54ED" w:rsidP="00B3581F">
      <w:pPr>
        <w:pStyle w:val="ListParagraph"/>
        <w:numPr>
          <w:ilvl w:val="0"/>
          <w:numId w:val="34"/>
        </w:numPr>
        <w:ind w:left="284" w:hanging="284"/>
        <w:jc w:val="both"/>
        <w:rPr>
          <w:i/>
          <w:iCs/>
        </w:rPr>
      </w:pPr>
      <w:r w:rsidRPr="002B54ED">
        <w:rPr>
          <w:i/>
          <w:iCs/>
        </w:rPr>
        <w:t>although thresholds have been designated to define eligibility for PRRT (</w:t>
      </w:r>
      <w:r w:rsidR="003C3457" w:rsidRPr="002B54ED">
        <w:rPr>
          <w:i/>
          <w:iCs/>
        </w:rPr>
        <w:t>e</w:t>
      </w:r>
      <w:r w:rsidR="003C3457">
        <w:rPr>
          <w:i/>
          <w:iCs/>
        </w:rPr>
        <w:t>.</w:t>
      </w:r>
      <w:r w:rsidR="003C3457" w:rsidRPr="002B54ED">
        <w:rPr>
          <w:i/>
          <w:iCs/>
        </w:rPr>
        <w:t>g.,</w:t>
      </w:r>
      <w:r w:rsidRPr="002B54ED">
        <w:rPr>
          <w:i/>
          <w:iCs/>
        </w:rPr>
        <w:t xml:space="preserve"> modified Krenning score, the number of “majority” lesions required, number of discordant sites on FDG PET/CT), these are for the purposes of the assessment</w:t>
      </w:r>
      <w:r w:rsidR="00E31653">
        <w:rPr>
          <w:i/>
          <w:iCs/>
        </w:rPr>
        <w:t xml:space="preserve"> and are not intended to constrain the considerations of the MDT</w:t>
      </w:r>
      <w:r w:rsidRPr="002B54ED">
        <w:rPr>
          <w:i/>
          <w:iCs/>
        </w:rPr>
        <w:t xml:space="preserve">. </w:t>
      </w:r>
    </w:p>
    <w:p w14:paraId="74336612" w14:textId="77777777" w:rsidR="008056CF" w:rsidRPr="00E35BCA" w:rsidRDefault="00F40D3C" w:rsidP="00B3581F">
      <w:pPr>
        <w:jc w:val="both"/>
      </w:pPr>
      <w:r w:rsidRPr="00E35BCA">
        <w:t xml:space="preserve">In response to these questions, the applicant has indicated that a modified Krenning score </w:t>
      </w:r>
      <w:r w:rsidRPr="00E35BCA">
        <w:rPr>
          <w:rFonts w:cs="Calibri"/>
        </w:rPr>
        <w:t>≥</w:t>
      </w:r>
      <w:r w:rsidRPr="00E35BCA">
        <w:t xml:space="preserve">3 as the nominated threshold </w:t>
      </w:r>
      <w:r w:rsidR="008056CF" w:rsidRPr="00E35BCA">
        <w:t>to define H-SSTR is acceptable. There was equivocation on the question of whether the definition of majority should be:</w:t>
      </w:r>
    </w:p>
    <w:p w14:paraId="3036C986" w14:textId="6D72CF80" w:rsidR="00106497" w:rsidRPr="00E35BCA" w:rsidRDefault="008056CF" w:rsidP="00B3581F">
      <w:pPr>
        <w:pStyle w:val="ListParagraph"/>
        <w:numPr>
          <w:ilvl w:val="0"/>
          <w:numId w:val="19"/>
        </w:numPr>
        <w:ind w:left="284" w:hanging="284"/>
        <w:jc w:val="both"/>
      </w:pPr>
      <w:r w:rsidRPr="00E35BCA">
        <w:t xml:space="preserve">All known sites of disease </w:t>
      </w:r>
      <w:r w:rsidRPr="00E35BCA">
        <w:rPr>
          <w:rFonts w:cs="Calibri"/>
        </w:rPr>
        <w:t>≥</w:t>
      </w:r>
      <w:r w:rsidRPr="00E35BCA">
        <w:t>2 cm; or</w:t>
      </w:r>
    </w:p>
    <w:p w14:paraId="1CABC35E" w14:textId="20207FBD" w:rsidR="008056CF" w:rsidRPr="00E35BCA" w:rsidRDefault="008056CF" w:rsidP="00B3581F">
      <w:pPr>
        <w:pStyle w:val="ListParagraph"/>
        <w:numPr>
          <w:ilvl w:val="0"/>
          <w:numId w:val="19"/>
        </w:numPr>
        <w:ind w:left="284" w:hanging="284"/>
        <w:jc w:val="both"/>
      </w:pPr>
      <w:r w:rsidRPr="00E35BCA">
        <w:t xml:space="preserve">A “majority” of all known sites of disease, with the definition of majority not defined. </w:t>
      </w:r>
    </w:p>
    <w:p w14:paraId="513518BF" w14:textId="6F9F7D2B" w:rsidR="008056CF" w:rsidRPr="00E35BCA" w:rsidRDefault="001D444E" w:rsidP="00B3581F">
      <w:pPr>
        <w:jc w:val="both"/>
      </w:pPr>
      <w:r w:rsidRPr="00E35BCA">
        <w:t>Although it was acknowledge</w:t>
      </w:r>
      <w:r w:rsidR="009B57E3" w:rsidRPr="00E35BCA">
        <w:t>d by the applicant</w:t>
      </w:r>
      <w:r w:rsidRPr="00E35BCA">
        <w:t xml:space="preserve"> that defining the “majority” as all known sites of disease </w:t>
      </w:r>
      <w:r w:rsidRPr="00E35BCA">
        <w:rPr>
          <w:rFonts w:cs="Calibri"/>
        </w:rPr>
        <w:t>≥</w:t>
      </w:r>
      <w:r w:rsidRPr="00E35BCA">
        <w:t xml:space="preserve">2 would ensure that the highest rate of positive patient outcomes is maximised, it may exclude patients in whom hormone symptoms predominate and for which </w:t>
      </w:r>
      <w:r w:rsidRPr="00E35BCA">
        <w:rPr>
          <w:vertAlign w:val="superscript"/>
        </w:rPr>
        <w:t>177</w:t>
      </w:r>
      <w:r w:rsidRPr="00E35BCA">
        <w:t>Lu</w:t>
      </w:r>
      <w:r w:rsidR="00D332DB" w:rsidRPr="00E35BCA">
        <w:t>-DOTA-octreotate</w:t>
      </w:r>
      <w:r w:rsidRPr="00E35BCA">
        <w:t xml:space="preserve"> would provide best symptom control even though the patient’s prognosis will be determined by the presence of more aggressive, less differentiated metastatic sites that are unlikely to be the source of the excess hormone production.  </w:t>
      </w:r>
      <w:r w:rsidR="000504EB" w:rsidRPr="00E35BCA">
        <w:t xml:space="preserve">It was further suggested, that under certain circumstances, patients may be suitable for resection or </w:t>
      </w:r>
      <w:r w:rsidR="00E753AE" w:rsidRPr="00E35BCA">
        <w:t>stereotactic</w:t>
      </w:r>
      <w:r w:rsidR="000504EB" w:rsidRPr="00E35BCA">
        <w:t xml:space="preserve"> radiotherapy of limited sites of spatially discordant disease or benefit from control of severe hormone </w:t>
      </w:r>
      <w:r w:rsidR="000504EB" w:rsidRPr="00E35BCA">
        <w:lastRenderedPageBreak/>
        <w:t>related symptoms and metabolic derangements results from these even in the presence of significantly discordant disease. This is particularly true of metastatic insulinoma, glucagonoma and VIPoma, or ectopic ACTH-secreting tumours which can be medical emergencies</w:t>
      </w:r>
      <w:r w:rsidR="009B57E3" w:rsidRPr="00E35BCA">
        <w:t xml:space="preserve"> (email response received 14 July)</w:t>
      </w:r>
      <w:r w:rsidR="000504EB" w:rsidRPr="00E35BCA">
        <w:t xml:space="preserve">.  </w:t>
      </w:r>
    </w:p>
    <w:p w14:paraId="21F51E1F" w14:textId="5E255BE5" w:rsidR="000504EB" w:rsidRPr="00E35BCA" w:rsidRDefault="000504EB" w:rsidP="00B3581F">
      <w:pPr>
        <w:jc w:val="both"/>
      </w:pPr>
      <w:r w:rsidRPr="00E35BCA">
        <w:t xml:space="preserve">It was suggested that the decision about the “majority” of sites expressing modified Krenning </w:t>
      </w:r>
      <w:r w:rsidR="00C16CE1" w:rsidRPr="00E35BCA">
        <w:rPr>
          <w:rFonts w:cs="Calibri"/>
        </w:rPr>
        <w:t>≥</w:t>
      </w:r>
      <w:r w:rsidRPr="00E35BCA">
        <w:t xml:space="preserve">3 or only those </w:t>
      </w:r>
      <w:r w:rsidRPr="00E35BCA">
        <w:rPr>
          <w:rFonts w:cs="Calibri"/>
        </w:rPr>
        <w:t>≥</w:t>
      </w:r>
      <w:r w:rsidRPr="00E35BCA">
        <w:t xml:space="preserve">2 cm be left to the judgement of the multidisciplinary team that is treating the patient as this is a complex decision especially in patients with discordant disease. </w:t>
      </w:r>
    </w:p>
    <w:p w14:paraId="2B3F77F7" w14:textId="7A004DB6" w:rsidR="00E0782C" w:rsidRDefault="00846738" w:rsidP="00B3581F">
      <w:pPr>
        <w:jc w:val="both"/>
      </w:pPr>
      <w:bookmarkStart w:id="16" w:name="_Hlk140684737"/>
      <w:r>
        <w:rPr>
          <w:u w:val="single"/>
        </w:rPr>
        <w:t xml:space="preserve">Additional </w:t>
      </w:r>
      <w:r w:rsidR="00DE1F29" w:rsidRPr="00922B1C">
        <w:rPr>
          <w:u w:val="single"/>
        </w:rPr>
        <w:t>Test</w:t>
      </w:r>
      <w:r>
        <w:rPr>
          <w:u w:val="single"/>
        </w:rPr>
        <w:t>:</w:t>
      </w:r>
      <w:r w:rsidR="00DE1F29" w:rsidRPr="00922B1C">
        <w:t xml:space="preserve"> Whole body fluorodeoxyglucose (FDG) PET/CT –FDG PET/CT: </w:t>
      </w:r>
    </w:p>
    <w:p w14:paraId="77127E40" w14:textId="25132E79" w:rsidR="00846738" w:rsidRPr="00E35BCA" w:rsidRDefault="00846738" w:rsidP="00B3581F">
      <w:pPr>
        <w:jc w:val="both"/>
      </w:pPr>
      <w:r w:rsidRPr="00E35BCA">
        <w:t xml:space="preserve">The application noted for some patients with G2 tumours and patients with G3 tumours </w:t>
      </w:r>
      <w:r w:rsidRPr="00E35BCA">
        <w:rPr>
          <w:vertAlign w:val="superscript"/>
        </w:rPr>
        <w:t>18</w:t>
      </w:r>
      <w:r w:rsidR="00C16CE1" w:rsidRPr="00E35BCA">
        <w:t>F-</w:t>
      </w:r>
      <w:r w:rsidRPr="00E35BCA">
        <w:t>FDG PET</w:t>
      </w:r>
      <w:r w:rsidR="00C16CE1" w:rsidRPr="00E35BCA">
        <w:t>/CT</w:t>
      </w:r>
      <w:r w:rsidRPr="00E35BCA">
        <w:t xml:space="preserve"> imaging may be required in addition to </w:t>
      </w:r>
      <w:r w:rsidRPr="00E35BCA">
        <w:rPr>
          <w:vertAlign w:val="superscript"/>
        </w:rPr>
        <w:t>68</w:t>
      </w:r>
      <w:r w:rsidRPr="00E35BCA">
        <w:t>Ga-DOTA</w:t>
      </w:r>
      <w:r w:rsidR="00C16CE1" w:rsidRPr="00E35BCA">
        <w:t>-octreotate</w:t>
      </w:r>
      <w:r w:rsidRPr="00E35BCA">
        <w:t xml:space="preserve"> PET</w:t>
      </w:r>
      <w:r w:rsidR="00C16CE1" w:rsidRPr="00E35BCA">
        <w:t>/CT</w:t>
      </w:r>
      <w:r w:rsidRPr="00E35BCA">
        <w:t xml:space="preserve"> to optimise therapeutic decision making, particularly to enhance detection of discordant sites of disease and/or better define individual patient prognosis with and without available tumourcidal/tumourostatic therapy. It is proposed that information provided by the FDG PET</w:t>
      </w:r>
      <w:r w:rsidR="00A83E1C" w:rsidRPr="00E35BCA">
        <w:t>/CT</w:t>
      </w:r>
      <w:r w:rsidRPr="00E35BCA">
        <w:t xml:space="preserve">, in addition to the results of the </w:t>
      </w:r>
      <w:r w:rsidRPr="00E35BCA">
        <w:rPr>
          <w:vertAlign w:val="superscript"/>
        </w:rPr>
        <w:t>68</w:t>
      </w:r>
      <w:r w:rsidRPr="00E35BCA">
        <w:t>Ga</w:t>
      </w:r>
      <w:r w:rsidR="00A83E1C" w:rsidRPr="00E35BCA">
        <w:t xml:space="preserve">-DOTA-octreotate </w:t>
      </w:r>
      <w:r w:rsidRPr="00E35BCA">
        <w:t>PET</w:t>
      </w:r>
      <w:r w:rsidR="00A83E1C" w:rsidRPr="00E35BCA">
        <w:t>/CT</w:t>
      </w:r>
      <w:r w:rsidRPr="00E35BCA">
        <w:t>, in these patients will help the MDT or clinical specialists (if using Item 872) to plan further treatment</w:t>
      </w:r>
      <w:r w:rsidR="00312059" w:rsidRPr="00E35BCA">
        <w:t xml:space="preserve"> for maximal attainment of patient important outcomes</w:t>
      </w:r>
      <w:r w:rsidRPr="00E35BCA">
        <w:t xml:space="preserve">. </w:t>
      </w:r>
    </w:p>
    <w:p w14:paraId="6E14F9ED" w14:textId="36357233" w:rsidR="006B60F0" w:rsidRPr="00E35BCA" w:rsidRDefault="006B60F0" w:rsidP="00B3581F">
      <w:pPr>
        <w:jc w:val="both"/>
        <w:rPr>
          <w:rFonts w:cs="Calibri"/>
        </w:rPr>
      </w:pPr>
      <w:r w:rsidRPr="00E35BCA">
        <w:rPr>
          <w:rFonts w:cs="Calibri"/>
        </w:rPr>
        <w:t xml:space="preserve">NENs </w:t>
      </w:r>
      <w:r w:rsidR="00312059" w:rsidRPr="00E35BCA">
        <w:rPr>
          <w:rFonts w:cs="Calibri"/>
        </w:rPr>
        <w:t xml:space="preserve">are reported to </w:t>
      </w:r>
      <w:r w:rsidRPr="00E35BCA">
        <w:rPr>
          <w:rFonts w:cs="Calibri"/>
        </w:rPr>
        <w:t xml:space="preserve">often show heterogenous expression of SSTR, which could lead to inferior outcomes following targeted treatment and subsequently influence relapse and progression of the disease. High-grade lesions and metastases can have a lower expression of SSTRs which may not be fully assessed on receptor-based imaging alone </w:t>
      </w:r>
      <w:r w:rsidR="0056536B" w:rsidRPr="00E35BCA">
        <w:rPr>
          <w:rFonts w:cs="Calibri"/>
        </w:rPr>
        <w:t>(</w:t>
      </w:r>
      <w:r w:rsidRPr="00E35BCA">
        <w:rPr>
          <w:rFonts w:cs="Calibri"/>
        </w:rPr>
        <w:t>Graf 2020; Ortega 202</w:t>
      </w:r>
      <w:r w:rsidR="0056536B" w:rsidRPr="00E35BCA">
        <w:rPr>
          <w:rFonts w:cs="Calibri"/>
        </w:rPr>
        <w:t>1</w:t>
      </w:r>
      <w:r w:rsidR="00561596" w:rsidRPr="00E35BCA">
        <w:rPr>
          <w:rFonts w:cs="Calibri"/>
        </w:rPr>
        <w:t>;</w:t>
      </w:r>
      <w:r w:rsidRPr="00E35BCA">
        <w:rPr>
          <w:rFonts w:cs="Calibri"/>
        </w:rPr>
        <w:t xml:space="preserve"> Shi 2022; Charoenpitakchai 2017; Cives 2015</w:t>
      </w:r>
      <w:r w:rsidR="0056536B" w:rsidRPr="00E35BCA">
        <w:rPr>
          <w:rFonts w:cs="Calibri"/>
        </w:rPr>
        <w:t>)</w:t>
      </w:r>
      <w:r w:rsidRPr="00E35BCA">
        <w:rPr>
          <w:rFonts w:cs="Calibri"/>
        </w:rPr>
        <w:t xml:space="preserve">. </w:t>
      </w:r>
      <w:r w:rsidR="001B7AB7" w:rsidRPr="00E35BCA">
        <w:rPr>
          <w:rFonts w:cs="Calibri"/>
        </w:rPr>
        <w:t xml:space="preserve"> </w:t>
      </w:r>
    </w:p>
    <w:p w14:paraId="3BDB08E5" w14:textId="6E5FFFAE" w:rsidR="00AD4C15" w:rsidRPr="00E35BCA" w:rsidRDefault="00AD4C15" w:rsidP="00B3581F">
      <w:pPr>
        <w:jc w:val="both"/>
        <w:rPr>
          <w:rFonts w:cs="Calibri"/>
        </w:rPr>
      </w:pPr>
      <w:r w:rsidRPr="00E35BCA">
        <w:rPr>
          <w:rFonts w:cs="Calibri"/>
        </w:rPr>
        <w:t xml:space="preserve">Tumour heterogeneity is a common phenomenon in GEP-NENs (gastroenteropancreatic NENs) and has a negative impact on treatment success and prognosis and it produces cell clones that do not express treatment targets (i.e., SSTR, mammalian target of rapamycin-mTOR-signalling pathway, Ki-67). </w:t>
      </w:r>
    </w:p>
    <w:p w14:paraId="466771E7" w14:textId="070AEB48" w:rsidR="003C62A9" w:rsidRPr="00E35BCA" w:rsidRDefault="00183185" w:rsidP="00B3581F">
      <w:pPr>
        <w:jc w:val="both"/>
        <w:rPr>
          <w:rFonts w:cs="Calibri"/>
        </w:rPr>
      </w:pPr>
      <w:r w:rsidRPr="00E35BCA">
        <w:rPr>
          <w:rFonts w:cs="Calibri"/>
        </w:rPr>
        <w:t>The following figures</w:t>
      </w:r>
      <w:r w:rsidR="00537907" w:rsidRPr="00E35BCA">
        <w:rPr>
          <w:rFonts w:cs="Calibri"/>
        </w:rPr>
        <w:t xml:space="preserve"> (</w:t>
      </w:r>
      <w:r w:rsidR="00537907" w:rsidRPr="00E35BCA">
        <w:rPr>
          <w:rFonts w:cs="Calibri"/>
        </w:rPr>
        <w:fldChar w:fldCharType="begin"/>
      </w:r>
      <w:r w:rsidR="00537907" w:rsidRPr="00E35BCA">
        <w:rPr>
          <w:rFonts w:cs="Calibri"/>
        </w:rPr>
        <w:instrText xml:space="preserve"> REF _Ref140692797 \h </w:instrText>
      </w:r>
      <w:r w:rsidR="001A1685">
        <w:rPr>
          <w:rFonts w:cs="Calibri"/>
        </w:rPr>
        <w:instrText xml:space="preserve"> \* MERGEFORMAT </w:instrText>
      </w:r>
      <w:r w:rsidR="00537907" w:rsidRPr="00E35BCA">
        <w:rPr>
          <w:rFonts w:cs="Calibri"/>
        </w:rPr>
      </w:r>
      <w:r w:rsidR="00537907" w:rsidRPr="00E35BCA">
        <w:rPr>
          <w:rFonts w:cs="Calibri"/>
        </w:rPr>
        <w:fldChar w:fldCharType="separate"/>
      </w:r>
      <w:r w:rsidR="00401046" w:rsidRPr="00E35BCA">
        <w:t xml:space="preserve">Figure </w:t>
      </w:r>
      <w:r w:rsidR="00401046" w:rsidRPr="00E35BCA">
        <w:rPr>
          <w:noProof/>
        </w:rPr>
        <w:t>1</w:t>
      </w:r>
      <w:r w:rsidR="00537907" w:rsidRPr="00E35BCA">
        <w:rPr>
          <w:rFonts w:cs="Calibri"/>
        </w:rPr>
        <w:fldChar w:fldCharType="end"/>
      </w:r>
      <w:r w:rsidR="00C16CE1" w:rsidRPr="00E35BCA">
        <w:rPr>
          <w:rFonts w:cs="Calibri"/>
        </w:rPr>
        <w:t xml:space="preserve"> and </w:t>
      </w:r>
      <w:r w:rsidR="00537907" w:rsidRPr="00E35BCA">
        <w:rPr>
          <w:rFonts w:cs="Calibri"/>
        </w:rPr>
        <w:fldChar w:fldCharType="begin"/>
      </w:r>
      <w:r w:rsidR="00537907" w:rsidRPr="00E35BCA">
        <w:rPr>
          <w:rFonts w:cs="Calibri"/>
        </w:rPr>
        <w:instrText xml:space="preserve"> REF _Ref140692801 \h </w:instrText>
      </w:r>
      <w:r w:rsidR="001A1685">
        <w:rPr>
          <w:rFonts w:cs="Calibri"/>
        </w:rPr>
        <w:instrText xml:space="preserve"> \* MERGEFORMAT </w:instrText>
      </w:r>
      <w:r w:rsidR="00537907" w:rsidRPr="00E35BCA">
        <w:rPr>
          <w:rFonts w:cs="Calibri"/>
        </w:rPr>
      </w:r>
      <w:r w:rsidR="00537907" w:rsidRPr="00E35BCA">
        <w:rPr>
          <w:rFonts w:cs="Calibri"/>
        </w:rPr>
        <w:fldChar w:fldCharType="separate"/>
      </w:r>
      <w:r w:rsidR="00401046" w:rsidRPr="00E35BCA">
        <w:t xml:space="preserve">Figure </w:t>
      </w:r>
      <w:r w:rsidR="00401046" w:rsidRPr="00E35BCA">
        <w:rPr>
          <w:noProof/>
        </w:rPr>
        <w:t>2</w:t>
      </w:r>
      <w:r w:rsidR="00537907" w:rsidRPr="00E35BCA">
        <w:rPr>
          <w:rFonts w:cs="Calibri"/>
        </w:rPr>
        <w:fldChar w:fldCharType="end"/>
      </w:r>
      <w:r w:rsidR="00537907" w:rsidRPr="00E35BCA">
        <w:rPr>
          <w:rFonts w:cs="Calibri"/>
        </w:rPr>
        <w:t>)</w:t>
      </w:r>
      <w:r w:rsidRPr="00E35BCA">
        <w:rPr>
          <w:rFonts w:cs="Calibri"/>
        </w:rPr>
        <w:t xml:space="preserve"> </w:t>
      </w:r>
      <w:r w:rsidR="00312059" w:rsidRPr="00E35BCA">
        <w:rPr>
          <w:rFonts w:cs="Calibri"/>
        </w:rPr>
        <w:t>illustrate</w:t>
      </w:r>
      <w:r w:rsidR="00FD41C3" w:rsidRPr="00E35BCA">
        <w:rPr>
          <w:rFonts w:cs="Calibri"/>
        </w:rPr>
        <w:t xml:space="preserve"> the complexity of these patients in assessing treatment pathways</w:t>
      </w:r>
      <w:r w:rsidR="00AD4C15" w:rsidRPr="00E35BCA">
        <w:rPr>
          <w:rFonts w:cs="Calibri"/>
        </w:rPr>
        <w:t xml:space="preserve"> and prognosis</w:t>
      </w:r>
      <w:r w:rsidR="00FD41C3" w:rsidRPr="00E35BCA">
        <w:rPr>
          <w:rFonts w:cs="Calibri"/>
        </w:rPr>
        <w:t xml:space="preserve">. </w:t>
      </w:r>
    </w:p>
    <w:p w14:paraId="5D1CB018" w14:textId="74B2013E" w:rsidR="003C62A9" w:rsidRPr="003100F6" w:rsidRDefault="00183185" w:rsidP="003100F6">
      <w:pPr>
        <w:spacing w:after="0"/>
        <w:jc w:val="center"/>
        <w:rPr>
          <w:rFonts w:cs="Calibri"/>
        </w:rPr>
      </w:pPr>
      <w:r w:rsidRPr="00183185">
        <w:rPr>
          <w:noProof/>
        </w:rPr>
        <w:lastRenderedPageBreak/>
        <w:drawing>
          <wp:inline distT="0" distB="0" distL="0" distR="0" wp14:anchorId="6BE69A16" wp14:editId="5B9AFA94">
            <wp:extent cx="6122494" cy="4133850"/>
            <wp:effectExtent l="0" t="0" r="0" b="0"/>
            <wp:docPr id="1033088010" name="Picture 1033088010" descr="Figure 1 Spatial and temporal heterogeneity in NENs &#10;Source Reccia 2023, Figure 1&#10;TME=tumour microenvironment; mTOR=mammalian target of rapamycin&#10;NENs generally express SSTR2 on the tumour surface and are well-differentiated tumours in the majority of cases. However, spatial heterogeneity within the primary tumour may lead to the presence of areas with lower expression of SSTR2 and/or a different Ki67 index. This heterogeneity is also frequent in metastatic sites and can differ significantly from the primary lesion. Temporal heterogeneity that can be linked to treatment selective pressure may lead to significant changes in tumour biology that affect prognosis and surviv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88010" name="Picture 1033088010" descr="Figure 1 Spatial and temporal heterogeneity in NENs &#10;Source Reccia 2023, Figure 1&#10;TME=tumour microenvironment; mTOR=mammalian target of rapamycin&#10;NENs generally express SSTR2 on the tumour surface and are well-differentiated tumours in the majority of cases. However, spatial heterogeneity within the primary tumour may lead to the presence of areas with lower expression of SSTR2 and/or a different Ki67 index. This heterogeneity is also frequent in metastatic sites and can differ significantly from the primary lesion. Temporal heterogeneity that can be linked to treatment selective pressure may lead to significant changes in tumour biology that affect prognosis and survival. &#10;"/>
                    <pic:cNvPicPr/>
                  </pic:nvPicPr>
                  <pic:blipFill>
                    <a:blip r:embed="rId8"/>
                    <a:stretch>
                      <a:fillRect/>
                    </a:stretch>
                  </pic:blipFill>
                  <pic:spPr>
                    <a:xfrm>
                      <a:off x="0" y="0"/>
                      <a:ext cx="6128385" cy="4137828"/>
                    </a:xfrm>
                    <a:prstGeom prst="rect">
                      <a:avLst/>
                    </a:prstGeom>
                  </pic:spPr>
                </pic:pic>
              </a:graphicData>
            </a:graphic>
          </wp:inline>
        </w:drawing>
      </w:r>
    </w:p>
    <w:p w14:paraId="3CAED405" w14:textId="5E177E46" w:rsidR="003100F6" w:rsidRPr="00E35BCA" w:rsidRDefault="00183185" w:rsidP="00E02801">
      <w:pPr>
        <w:pStyle w:val="Caption"/>
        <w:spacing w:before="0" w:after="0"/>
      </w:pPr>
      <w:bookmarkStart w:id="17" w:name="_Ref140692797"/>
      <w:r w:rsidRPr="00E35BCA">
        <w:t xml:space="preserve">Figure </w:t>
      </w:r>
      <w:r w:rsidRPr="00E35BCA">
        <w:fldChar w:fldCharType="begin"/>
      </w:r>
      <w:r w:rsidRPr="00E35BCA">
        <w:instrText xml:space="preserve"> SEQ Figure \* ARABIC </w:instrText>
      </w:r>
      <w:r w:rsidRPr="00E35BCA">
        <w:fldChar w:fldCharType="separate"/>
      </w:r>
      <w:r w:rsidR="00401046" w:rsidRPr="00E35BCA">
        <w:rPr>
          <w:noProof/>
        </w:rPr>
        <w:t>1</w:t>
      </w:r>
      <w:r w:rsidRPr="00E35BCA">
        <w:fldChar w:fldCharType="end"/>
      </w:r>
      <w:bookmarkEnd w:id="17"/>
      <w:r w:rsidR="00AB6C7E">
        <w:tab/>
      </w:r>
      <w:r w:rsidRPr="00E35BCA">
        <w:t xml:space="preserve">Spatial and temporal heterogeneity in NENs </w:t>
      </w:r>
    </w:p>
    <w:p w14:paraId="0B725891" w14:textId="127CF713" w:rsidR="0056536B" w:rsidRPr="00E35BCA" w:rsidRDefault="003100F6" w:rsidP="00312059">
      <w:pPr>
        <w:pStyle w:val="Caption"/>
        <w:spacing w:before="0" w:after="0"/>
        <w:rPr>
          <w:b w:val="0"/>
          <w:bCs/>
          <w:sz w:val="18"/>
          <w:szCs w:val="18"/>
        </w:rPr>
      </w:pPr>
      <w:r w:rsidRPr="00E35BCA">
        <w:rPr>
          <w:b w:val="0"/>
          <w:bCs/>
          <w:sz w:val="18"/>
          <w:szCs w:val="18"/>
        </w:rPr>
        <w:t>S</w:t>
      </w:r>
      <w:r w:rsidR="00183185" w:rsidRPr="00E35BCA">
        <w:rPr>
          <w:b w:val="0"/>
          <w:bCs/>
          <w:sz w:val="18"/>
          <w:szCs w:val="18"/>
        </w:rPr>
        <w:t xml:space="preserve">ource </w:t>
      </w:r>
      <w:bookmarkStart w:id="18" w:name="_Hlk140578569"/>
      <w:r w:rsidR="00183185" w:rsidRPr="00E35BCA">
        <w:rPr>
          <w:b w:val="0"/>
          <w:bCs/>
          <w:sz w:val="18"/>
          <w:szCs w:val="18"/>
        </w:rPr>
        <w:t>Recci</w:t>
      </w:r>
      <w:r w:rsidR="0056536B" w:rsidRPr="00E35BCA">
        <w:rPr>
          <w:b w:val="0"/>
          <w:bCs/>
          <w:sz w:val="18"/>
          <w:szCs w:val="18"/>
        </w:rPr>
        <w:t>a</w:t>
      </w:r>
      <w:r w:rsidR="00183185" w:rsidRPr="00E35BCA">
        <w:rPr>
          <w:b w:val="0"/>
          <w:bCs/>
          <w:sz w:val="18"/>
          <w:szCs w:val="18"/>
        </w:rPr>
        <w:t xml:space="preserve"> 2023, Fig</w:t>
      </w:r>
      <w:r w:rsidR="0056536B" w:rsidRPr="00E35BCA">
        <w:rPr>
          <w:b w:val="0"/>
          <w:bCs/>
          <w:sz w:val="18"/>
          <w:szCs w:val="18"/>
        </w:rPr>
        <w:t>ure</w:t>
      </w:r>
      <w:r w:rsidR="00183185" w:rsidRPr="00E35BCA">
        <w:rPr>
          <w:b w:val="0"/>
          <w:bCs/>
          <w:sz w:val="18"/>
          <w:szCs w:val="18"/>
        </w:rPr>
        <w:t xml:space="preserve"> 1</w:t>
      </w:r>
      <w:bookmarkEnd w:id="18"/>
    </w:p>
    <w:p w14:paraId="22B7EA91" w14:textId="4DF3C68E" w:rsidR="003C62A9" w:rsidRPr="00E35BCA" w:rsidRDefault="00312059" w:rsidP="00312059">
      <w:pPr>
        <w:pStyle w:val="Caption"/>
        <w:spacing w:before="0" w:after="0"/>
        <w:rPr>
          <w:rFonts w:cs="Calibri"/>
          <w:b w:val="0"/>
          <w:bCs/>
          <w:sz w:val="18"/>
          <w:szCs w:val="18"/>
        </w:rPr>
      </w:pPr>
      <w:r w:rsidRPr="00E35BCA">
        <w:rPr>
          <w:b w:val="0"/>
          <w:bCs/>
          <w:sz w:val="18"/>
          <w:szCs w:val="18"/>
        </w:rPr>
        <w:t>TME=tumour microenvironment; mTOR=mammalian target of rapamycin</w:t>
      </w:r>
    </w:p>
    <w:p w14:paraId="59E53843" w14:textId="75A5048F" w:rsidR="003C62A9" w:rsidRPr="00E35BCA" w:rsidRDefault="00183185" w:rsidP="00312059">
      <w:pPr>
        <w:spacing w:line="240" w:lineRule="auto"/>
        <w:rPr>
          <w:rFonts w:ascii="Arial Narrow" w:hAnsi="Arial Narrow" w:cs="Calibri"/>
          <w:sz w:val="18"/>
          <w:szCs w:val="18"/>
        </w:rPr>
      </w:pPr>
      <w:r w:rsidRPr="00E35BCA">
        <w:rPr>
          <w:rFonts w:ascii="Arial Narrow" w:hAnsi="Arial Narrow" w:cs="Calibri"/>
          <w:sz w:val="18"/>
          <w:szCs w:val="18"/>
        </w:rPr>
        <w:t xml:space="preserve">NENs generally express SSTR2 on the tumour </w:t>
      </w:r>
      <w:r w:rsidR="004F17AF" w:rsidRPr="00E35BCA">
        <w:rPr>
          <w:rFonts w:ascii="Arial Narrow" w:hAnsi="Arial Narrow" w:cs="Calibri"/>
          <w:sz w:val="18"/>
          <w:szCs w:val="18"/>
        </w:rPr>
        <w:t>surface and</w:t>
      </w:r>
      <w:r w:rsidRPr="00E35BCA">
        <w:rPr>
          <w:rFonts w:ascii="Arial Narrow" w:hAnsi="Arial Narrow" w:cs="Calibri"/>
          <w:sz w:val="18"/>
          <w:szCs w:val="18"/>
        </w:rPr>
        <w:t xml:space="preserve"> are well-differentiated tumours in the majority of cases. However, spatial heterogeneity within the primary tumour may lead to the presence of areas with </w:t>
      </w:r>
      <w:r w:rsidR="004F17AF" w:rsidRPr="00E35BCA">
        <w:rPr>
          <w:rFonts w:ascii="Arial Narrow" w:hAnsi="Arial Narrow" w:cs="Calibri"/>
          <w:sz w:val="18"/>
          <w:szCs w:val="18"/>
        </w:rPr>
        <w:t>lower</w:t>
      </w:r>
      <w:r w:rsidRPr="00E35BCA">
        <w:rPr>
          <w:rFonts w:ascii="Arial Narrow" w:hAnsi="Arial Narrow" w:cs="Calibri"/>
          <w:sz w:val="18"/>
          <w:szCs w:val="18"/>
        </w:rPr>
        <w:t xml:space="preserve"> expression of SSTR2 and/or a different Ki67 index. This heterogeneity is also frequent in metastatic sites and can differ significantly from the primary lesion. Temporal heterogeneity that can be linked to treatment selective pressure may lead to significant changes in tumour biology that affect prognosis and survival. </w:t>
      </w:r>
    </w:p>
    <w:p w14:paraId="74BCF2B7" w14:textId="38C2E9C2" w:rsidR="00AD4C15" w:rsidRPr="00E35BCA" w:rsidRDefault="00537907" w:rsidP="00B3581F">
      <w:pPr>
        <w:jc w:val="both"/>
      </w:pPr>
      <w:r w:rsidRPr="00E35BCA">
        <w:t xml:space="preserve">A recent review </w:t>
      </w:r>
      <w:r w:rsidR="00561596" w:rsidRPr="00E35BCA">
        <w:t>(</w:t>
      </w:r>
      <w:r w:rsidRPr="00E35BCA">
        <w:t>Reccia 2023</w:t>
      </w:r>
      <w:r w:rsidR="00561596" w:rsidRPr="00E35BCA">
        <w:t>)</w:t>
      </w:r>
      <w:r w:rsidRPr="00E35BCA">
        <w:t xml:space="preserve"> suggests the addition of </w:t>
      </w:r>
      <w:r w:rsidRPr="00E35BCA">
        <w:rPr>
          <w:vertAlign w:val="superscript"/>
        </w:rPr>
        <w:t>18</w:t>
      </w:r>
      <w:r w:rsidRPr="00E35BCA">
        <w:t>F-FDG PET/CT in those particular cases (</w:t>
      </w:r>
      <w:r w:rsidR="003C3457" w:rsidRPr="00E35BCA">
        <w:t>i.e.,</w:t>
      </w:r>
      <w:r w:rsidRPr="00E35BCA">
        <w:t xml:space="preserve"> intermediate Ki-67 index, high grade lesions on biopsy, heterogenous or low uptake on somatostatin receptor imaging, clinically aggressive disease, poor response to PRRT) where high intra- and inter-tumour heterogeneity may not be revealed on only receptor-based imaging </w:t>
      </w:r>
      <w:r w:rsidR="00561596" w:rsidRPr="00E35BCA">
        <w:t>(</w:t>
      </w:r>
      <w:r w:rsidRPr="00E35BCA">
        <w:t>Carideo 2019; Reccia 2023</w:t>
      </w:r>
      <w:r w:rsidR="00561596" w:rsidRPr="00E35BCA">
        <w:t>)</w:t>
      </w:r>
      <w:r w:rsidRPr="00E35BCA">
        <w:t xml:space="preserve">. </w:t>
      </w:r>
    </w:p>
    <w:p w14:paraId="3BE6DD7E" w14:textId="4537C6B0" w:rsidR="00537907" w:rsidRPr="00E35BCA" w:rsidRDefault="00537907" w:rsidP="00B3581F">
      <w:pPr>
        <w:jc w:val="both"/>
      </w:pPr>
      <w:r w:rsidRPr="00E35BCA">
        <w:rPr>
          <w:rFonts w:cs="Calibri"/>
        </w:rPr>
        <w:t xml:space="preserve">Dual </w:t>
      </w:r>
      <w:r w:rsidRPr="00E35BCA">
        <w:t>imaging may give a better picture of intra-tumour heterogeneity in tumour biology (grading and SSTR expression) and guide biopsy and targeted therapeutic approach in NEN patients (</w:t>
      </w:r>
      <w:r w:rsidRPr="00E35BCA">
        <w:fldChar w:fldCharType="begin"/>
      </w:r>
      <w:r w:rsidRPr="00E35BCA">
        <w:instrText xml:space="preserve"> REF _Ref140692801 \h </w:instrText>
      </w:r>
      <w:r w:rsidR="001A1685">
        <w:instrText xml:space="preserve"> \* MERGEFORMAT </w:instrText>
      </w:r>
      <w:r w:rsidRPr="00E35BCA">
        <w:fldChar w:fldCharType="separate"/>
      </w:r>
      <w:r w:rsidR="00401046" w:rsidRPr="00E35BCA">
        <w:t xml:space="preserve">Figure </w:t>
      </w:r>
      <w:r w:rsidR="00401046" w:rsidRPr="00E35BCA">
        <w:rPr>
          <w:noProof/>
        </w:rPr>
        <w:t>2</w:t>
      </w:r>
      <w:r w:rsidRPr="00E35BCA">
        <w:fldChar w:fldCharType="end"/>
      </w:r>
      <w:r w:rsidRPr="00E35BCA">
        <w:t>).</w:t>
      </w:r>
    </w:p>
    <w:p w14:paraId="0A5F6EE4" w14:textId="5ABE2890" w:rsidR="00183185" w:rsidRPr="003100F6" w:rsidRDefault="00183185" w:rsidP="003100F6">
      <w:pPr>
        <w:spacing w:after="0"/>
        <w:rPr>
          <w:rFonts w:cs="Calibri"/>
        </w:rPr>
      </w:pPr>
      <w:r w:rsidRPr="00183185">
        <w:rPr>
          <w:noProof/>
        </w:rPr>
        <w:lastRenderedPageBreak/>
        <w:drawing>
          <wp:inline distT="0" distB="0" distL="0" distR="0" wp14:anchorId="4C270044" wp14:editId="2B7C6CFB">
            <wp:extent cx="6083935" cy="3963035"/>
            <wp:effectExtent l="0" t="0" r="0" b="0"/>
            <wp:docPr id="350393513" name="Picture 350393513" descr="Figure 2 Tumour heterogeneity on receptor-based and functional imaging of NENs &#10;Source: Reccia 2023, Figure 2&#10;NENs are usually positive on somatostatin receptor-based imaging (i.e., 68Ga-DOTA-peptides PET). However, the presence of tumour heterogeneity with areas that express lower, or no somatostatin receptors is common on baseline scans, and often after disease relapse or progression. These areas are often less differentiated and metabolically active. The use of 18F-FDG-PET, especially in combination with receptor-based imaging, can potentially provide a better picture of metabolic spatial intra- and inter-tumour heterogeneity of the disease, especially in higher-grade tumou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93513" name="Picture 350393513" descr="Figure 2 Tumour heterogeneity on receptor-based and functional imaging of NENs &#10;Source: Reccia 2023, Figure 2&#10;NENs are usually positive on somatostatin receptor-based imaging (i.e., 68Ga-DOTA-peptides PET). However, the presence of tumour heterogeneity with areas that express lower, or no somatostatin receptors is common on baseline scans, and often after disease relapse or progression. These areas are often less differentiated and metabolically active. The use of 18F-FDG-PET, especially in combination with receptor-based imaging, can potentially provide a better picture of metabolic spatial intra- and inter-tumour heterogeneity of the disease, especially in higher-grade tumours. &#10;"/>
                    <pic:cNvPicPr/>
                  </pic:nvPicPr>
                  <pic:blipFill>
                    <a:blip r:embed="rId9"/>
                    <a:stretch>
                      <a:fillRect/>
                    </a:stretch>
                  </pic:blipFill>
                  <pic:spPr>
                    <a:xfrm>
                      <a:off x="0" y="0"/>
                      <a:ext cx="6083935" cy="3963035"/>
                    </a:xfrm>
                    <a:prstGeom prst="rect">
                      <a:avLst/>
                    </a:prstGeom>
                  </pic:spPr>
                </pic:pic>
              </a:graphicData>
            </a:graphic>
          </wp:inline>
        </w:drawing>
      </w:r>
    </w:p>
    <w:p w14:paraId="4B9E34DF" w14:textId="666BD3C6" w:rsidR="00183185" w:rsidRPr="00E35BCA" w:rsidRDefault="00183185" w:rsidP="003100F6">
      <w:pPr>
        <w:pStyle w:val="Caption"/>
        <w:spacing w:before="0" w:after="0"/>
      </w:pPr>
      <w:bookmarkStart w:id="19" w:name="_Ref140692801"/>
      <w:r w:rsidRPr="00E35BCA">
        <w:t xml:space="preserve">Figure </w:t>
      </w:r>
      <w:r w:rsidRPr="00E35BCA">
        <w:fldChar w:fldCharType="begin"/>
      </w:r>
      <w:r w:rsidRPr="00E35BCA">
        <w:instrText xml:space="preserve"> SEQ Figure \* ARABIC </w:instrText>
      </w:r>
      <w:r w:rsidRPr="00E35BCA">
        <w:fldChar w:fldCharType="separate"/>
      </w:r>
      <w:r w:rsidR="00401046" w:rsidRPr="00E35BCA">
        <w:rPr>
          <w:noProof/>
        </w:rPr>
        <w:t>2</w:t>
      </w:r>
      <w:r w:rsidRPr="00E35BCA">
        <w:fldChar w:fldCharType="end"/>
      </w:r>
      <w:bookmarkEnd w:id="19"/>
      <w:r w:rsidR="00AB6C7E">
        <w:tab/>
      </w:r>
      <w:r w:rsidRPr="00E35BCA">
        <w:t xml:space="preserve">Tumour heterogeneity on receptor-based and functional imaging of NENs </w:t>
      </w:r>
    </w:p>
    <w:p w14:paraId="64022C7E" w14:textId="2965A983" w:rsidR="0056536B" w:rsidRPr="00E35BCA" w:rsidRDefault="003100F6" w:rsidP="004C3B98">
      <w:pPr>
        <w:spacing w:after="0"/>
        <w:rPr>
          <w:rFonts w:ascii="Arial Narrow" w:hAnsi="Arial Narrow"/>
          <w:sz w:val="20"/>
          <w:szCs w:val="20"/>
          <w:lang w:val="en-GB" w:eastAsia="ja-JP"/>
        </w:rPr>
      </w:pPr>
      <w:r w:rsidRPr="00E35BCA">
        <w:rPr>
          <w:rFonts w:ascii="Arial Narrow" w:hAnsi="Arial Narrow"/>
          <w:sz w:val="18"/>
          <w:szCs w:val="18"/>
          <w:lang w:val="en-GB" w:eastAsia="ja-JP"/>
        </w:rPr>
        <w:t xml:space="preserve">Source: </w:t>
      </w:r>
      <w:r w:rsidR="001A2859" w:rsidRPr="00E35BCA">
        <w:rPr>
          <w:rFonts w:ascii="Arial Narrow" w:hAnsi="Arial Narrow"/>
          <w:sz w:val="18"/>
          <w:szCs w:val="18"/>
          <w:lang w:val="en-GB" w:eastAsia="ja-JP"/>
        </w:rPr>
        <w:t>Recci</w:t>
      </w:r>
      <w:r w:rsidR="0056536B" w:rsidRPr="00E35BCA">
        <w:rPr>
          <w:rFonts w:ascii="Arial Narrow" w:hAnsi="Arial Narrow"/>
          <w:sz w:val="18"/>
          <w:szCs w:val="18"/>
          <w:lang w:val="en-GB" w:eastAsia="ja-JP"/>
        </w:rPr>
        <w:t>a</w:t>
      </w:r>
      <w:r w:rsidR="001A2859" w:rsidRPr="00E35BCA">
        <w:rPr>
          <w:rFonts w:ascii="Arial Narrow" w:hAnsi="Arial Narrow"/>
          <w:sz w:val="18"/>
          <w:szCs w:val="18"/>
          <w:lang w:val="en-GB" w:eastAsia="ja-JP"/>
        </w:rPr>
        <w:t xml:space="preserve"> 2023, Fig</w:t>
      </w:r>
      <w:r w:rsidR="0056536B" w:rsidRPr="00E35BCA">
        <w:rPr>
          <w:rFonts w:ascii="Arial Narrow" w:hAnsi="Arial Narrow"/>
          <w:sz w:val="18"/>
          <w:szCs w:val="18"/>
          <w:lang w:val="en-GB" w:eastAsia="ja-JP"/>
        </w:rPr>
        <w:t>ure</w:t>
      </w:r>
      <w:r w:rsidR="001A2859" w:rsidRPr="00E35BCA">
        <w:rPr>
          <w:rFonts w:ascii="Arial Narrow" w:hAnsi="Arial Narrow"/>
          <w:sz w:val="18"/>
          <w:szCs w:val="18"/>
          <w:lang w:val="en-GB" w:eastAsia="ja-JP"/>
        </w:rPr>
        <w:t xml:space="preserve"> 2</w:t>
      </w:r>
    </w:p>
    <w:p w14:paraId="4B0D090C" w14:textId="276D810F" w:rsidR="00183185" w:rsidRPr="00E35BCA" w:rsidRDefault="00183185" w:rsidP="004C3B98">
      <w:pPr>
        <w:spacing w:line="240" w:lineRule="auto"/>
        <w:rPr>
          <w:rFonts w:ascii="Arial Narrow" w:hAnsi="Arial Narrow"/>
          <w:sz w:val="18"/>
          <w:szCs w:val="18"/>
          <w:lang w:val="en-GB" w:eastAsia="ja-JP"/>
        </w:rPr>
      </w:pPr>
      <w:r w:rsidRPr="00E35BCA">
        <w:rPr>
          <w:rFonts w:ascii="Arial Narrow" w:hAnsi="Arial Narrow"/>
          <w:sz w:val="18"/>
          <w:szCs w:val="18"/>
          <w:lang w:val="en-GB" w:eastAsia="ja-JP"/>
        </w:rPr>
        <w:t xml:space="preserve">NENs are usually positive on somatostatin receptor-based imaging (i.e., </w:t>
      </w:r>
      <w:r w:rsidRPr="00E35BCA">
        <w:rPr>
          <w:rFonts w:ascii="Arial Narrow" w:hAnsi="Arial Narrow"/>
          <w:sz w:val="18"/>
          <w:szCs w:val="18"/>
          <w:vertAlign w:val="superscript"/>
          <w:lang w:val="en-GB" w:eastAsia="ja-JP"/>
        </w:rPr>
        <w:t>68</w:t>
      </w:r>
      <w:r w:rsidRPr="00E35BCA">
        <w:rPr>
          <w:rFonts w:ascii="Arial Narrow" w:hAnsi="Arial Narrow"/>
          <w:sz w:val="18"/>
          <w:szCs w:val="18"/>
          <w:lang w:val="en-GB" w:eastAsia="ja-JP"/>
        </w:rPr>
        <w:t xml:space="preserve">Ga-DOTA-peptides PET). However, the presence of </w:t>
      </w:r>
      <w:r w:rsidRPr="00E35BCA">
        <w:rPr>
          <w:rFonts w:ascii="Arial Narrow" w:eastAsia="Times New Roman" w:hAnsi="Arial Narrow" w:cs="Tahoma"/>
          <w:bCs/>
          <w:sz w:val="18"/>
          <w:szCs w:val="18"/>
          <w:lang w:val="en-GB" w:eastAsia="ja-JP"/>
        </w:rPr>
        <w:t xml:space="preserve">tumour heterogeneity with areas that express </w:t>
      </w:r>
      <w:r w:rsidR="00755AB3" w:rsidRPr="00E35BCA">
        <w:rPr>
          <w:rFonts w:ascii="Arial Narrow" w:eastAsia="Times New Roman" w:hAnsi="Arial Narrow" w:cs="Tahoma"/>
          <w:bCs/>
          <w:sz w:val="18"/>
          <w:szCs w:val="18"/>
          <w:lang w:val="en-GB" w:eastAsia="ja-JP"/>
        </w:rPr>
        <w:t>lower,</w:t>
      </w:r>
      <w:r w:rsidRPr="00E35BCA">
        <w:rPr>
          <w:rFonts w:ascii="Arial Narrow" w:eastAsia="Times New Roman" w:hAnsi="Arial Narrow" w:cs="Tahoma"/>
          <w:bCs/>
          <w:sz w:val="18"/>
          <w:szCs w:val="18"/>
          <w:lang w:val="en-GB" w:eastAsia="ja-JP"/>
        </w:rPr>
        <w:t xml:space="preserve"> or no somatostatin receptors is common on baseline scans, and often after</w:t>
      </w:r>
      <w:r w:rsidRPr="00E35BCA">
        <w:rPr>
          <w:rFonts w:ascii="Arial Narrow" w:hAnsi="Arial Narrow"/>
          <w:sz w:val="18"/>
          <w:szCs w:val="18"/>
          <w:lang w:val="en-GB" w:eastAsia="ja-JP"/>
        </w:rPr>
        <w:t xml:space="preserve"> disease relapse or progression. These areas are often less differentiated and metabolically active. The use of </w:t>
      </w:r>
      <w:r w:rsidRPr="00E35BCA">
        <w:rPr>
          <w:rFonts w:ascii="Arial Narrow" w:hAnsi="Arial Narrow"/>
          <w:sz w:val="18"/>
          <w:szCs w:val="18"/>
          <w:vertAlign w:val="superscript"/>
          <w:lang w:val="en-GB" w:eastAsia="ja-JP"/>
        </w:rPr>
        <w:t>18</w:t>
      </w:r>
      <w:r w:rsidRPr="00E35BCA">
        <w:rPr>
          <w:rFonts w:ascii="Arial Narrow" w:hAnsi="Arial Narrow"/>
          <w:sz w:val="18"/>
          <w:szCs w:val="18"/>
          <w:lang w:val="en-GB" w:eastAsia="ja-JP"/>
        </w:rPr>
        <w:t>F-FDG-PET, especially in combination with receptor-based imaging, can potentially provide a better picture of metabolic spatial intra</w:t>
      </w:r>
      <w:r w:rsidR="003100F6" w:rsidRPr="00E35BCA">
        <w:rPr>
          <w:rFonts w:ascii="Arial Narrow" w:hAnsi="Arial Narrow"/>
          <w:sz w:val="18"/>
          <w:szCs w:val="18"/>
          <w:lang w:val="en-GB" w:eastAsia="ja-JP"/>
        </w:rPr>
        <w:t>-</w:t>
      </w:r>
      <w:r w:rsidRPr="00E35BCA">
        <w:rPr>
          <w:rFonts w:ascii="Arial Narrow" w:hAnsi="Arial Narrow"/>
          <w:sz w:val="18"/>
          <w:szCs w:val="18"/>
          <w:lang w:val="en-GB" w:eastAsia="ja-JP"/>
        </w:rPr>
        <w:t xml:space="preserve"> and inter-tumour heterogeneity of the disease, especially in higher-grade tumours. </w:t>
      </w:r>
    </w:p>
    <w:p w14:paraId="4EA40CDF" w14:textId="2EFCDCAA" w:rsidR="00A11580" w:rsidRPr="00ED4E95" w:rsidRDefault="00A11580" w:rsidP="00B3581F">
      <w:pPr>
        <w:jc w:val="both"/>
      </w:pPr>
      <w:r w:rsidRPr="00ED4E95">
        <w:t xml:space="preserve">The application highlights (pp21-22) that tumour grade is reflected by metabolic imaging characteristics with </w:t>
      </w:r>
      <w:r w:rsidR="00527349">
        <w:t xml:space="preserve">a trend for </w:t>
      </w:r>
      <w:r w:rsidRPr="00ED4E95">
        <w:t xml:space="preserve">decreasing somatostatin receptor imaging positivity and increasing FDG PET/CT positivity as tumour grade increases. The metabolic imaging phenotype of a patient provides important prognostic information as patients usually progress more rapidly when FDG positive tumour sites are present particularly when accompanied by low or absent tumour uptake on somatostatin receptor imaging. The prognostic relevance of tumours demonstrating low somatostatin receptor expression in part reflects the insensitivity of those tumour sites to somatostatin receptor antagonist treatment. Moreover, FDG-PET/CT intensity is also associated with a higher rate of tumour cell replication and degree of tumour differentiation. For some patients with G2 tumours and patients with G3 tumours </w:t>
      </w:r>
      <w:bookmarkStart w:id="20" w:name="_Hlk130376797"/>
      <w:r w:rsidRPr="00ED4E95">
        <w:t>FDG PET/CT imaging may be required in addition to optimise therapeutic decision making</w:t>
      </w:r>
      <w:bookmarkEnd w:id="20"/>
      <w:r w:rsidRPr="00ED4E95">
        <w:t>, particularly to enhance detection of discordant sites of disease and/or better define individual patient prognosis with and without available active tumoricidal/tumo</w:t>
      </w:r>
      <w:r w:rsidR="00755AB3">
        <w:t>u</w:t>
      </w:r>
      <w:r w:rsidRPr="00ED4E95">
        <w:t>rostatic therapy.</w:t>
      </w:r>
    </w:p>
    <w:p w14:paraId="068EB5FC" w14:textId="3AA23ACA" w:rsidR="00A11580" w:rsidRPr="00922B1C" w:rsidRDefault="00A11580" w:rsidP="00B3581F">
      <w:pPr>
        <w:jc w:val="both"/>
      </w:pPr>
      <w:r w:rsidRPr="00922B1C">
        <w:t xml:space="preserve">A meta-analysis by Alevroudis </w:t>
      </w:r>
      <w:r w:rsidR="000C2E9F" w:rsidRPr="00922B1C">
        <w:t>(2021)</w:t>
      </w:r>
      <w:r w:rsidRPr="00922B1C">
        <w:t xml:space="preserve"> reported that </w:t>
      </w:r>
      <w:r w:rsidRPr="00922B1C">
        <w:rPr>
          <w:vertAlign w:val="superscript"/>
        </w:rPr>
        <w:t>18</w:t>
      </w:r>
      <w:r w:rsidRPr="00922B1C">
        <w:t xml:space="preserve">F-FDG PET imaging in NET patients may be a useful prognostic tool for </w:t>
      </w:r>
      <w:r w:rsidR="00533665" w:rsidRPr="00922B1C">
        <w:t xml:space="preserve">PRRT </w:t>
      </w:r>
      <w:r w:rsidRPr="00922B1C">
        <w:t xml:space="preserve">administration, where patients with FDG-PET positive tumours in the included studies demonstrated higher risk of progression and death following PRRT administration. </w:t>
      </w:r>
      <w:r w:rsidR="00534F99" w:rsidRPr="00922B1C">
        <w:t>However</w:t>
      </w:r>
      <w:r w:rsidRPr="00922B1C">
        <w:t xml:space="preserve">, the studies </w:t>
      </w:r>
      <w:bookmarkStart w:id="21" w:name="_Int_oFAUTLG3"/>
      <w:r w:rsidRPr="00922B1C">
        <w:t>mainly included</w:t>
      </w:r>
      <w:bookmarkEnd w:id="21"/>
      <w:r w:rsidRPr="00922B1C">
        <w:t xml:space="preserve"> G1 or G2 NET patients (&gt;80%) with G3 NETs only representing approximately 5% of patients. Consistently, the Society of Nuclear Medicine and Molecular Imaging (SNMMI</w:t>
      </w:r>
      <w:r w:rsidR="000C2E9F" w:rsidRPr="00922B1C">
        <w:t>, Hope 2023</w:t>
      </w:r>
      <w:r w:rsidRPr="00922B1C">
        <w:t xml:space="preserve">) have explained that </w:t>
      </w:r>
      <w:r w:rsidRPr="00922B1C">
        <w:rPr>
          <w:vertAlign w:val="superscript"/>
        </w:rPr>
        <w:t>18</w:t>
      </w:r>
      <w:r w:rsidRPr="00922B1C">
        <w:t>F-FDG</w:t>
      </w:r>
      <w:r w:rsidR="00533665" w:rsidRPr="00922B1C">
        <w:t xml:space="preserve"> </w:t>
      </w:r>
      <w:r w:rsidRPr="00922B1C">
        <w:t xml:space="preserve">PET provides complementary information to SSTR PET by assisting to identify lesions </w:t>
      </w:r>
      <w:r w:rsidRPr="00922B1C">
        <w:lastRenderedPageBreak/>
        <w:t xml:space="preserve">that have lost SSTR expression. In G1/G2 NETs, </w:t>
      </w:r>
      <w:r w:rsidRPr="00922B1C">
        <w:rPr>
          <w:vertAlign w:val="superscript"/>
        </w:rPr>
        <w:t>18</w:t>
      </w:r>
      <w:r w:rsidRPr="00922B1C">
        <w:t xml:space="preserve">F-FDG positivity is not rare and is a stronger predictor of progression and prognosis than tumour grade. This is particularly useful in patients who are SSTR-PET-negative or have a well-differentiated G3 tumour. </w:t>
      </w:r>
    </w:p>
    <w:p w14:paraId="42A01F85" w14:textId="75B33C0E" w:rsidR="00871F12" w:rsidRPr="004C3B98" w:rsidRDefault="00871F12" w:rsidP="00B3581F">
      <w:pPr>
        <w:jc w:val="both"/>
      </w:pPr>
      <w:r w:rsidRPr="004C3B98">
        <w:t xml:space="preserve">The </w:t>
      </w:r>
      <w:r w:rsidR="00561596" w:rsidRPr="004C3B98">
        <w:t>a</w:t>
      </w:r>
      <w:r w:rsidRPr="004C3B98">
        <w:t>pplicant identified th</w:t>
      </w:r>
      <w:r w:rsidR="0056536B" w:rsidRPr="004C3B98">
        <w:t>e</w:t>
      </w:r>
      <w:r w:rsidRPr="004C3B98">
        <w:t xml:space="preserve"> following patients for dual imaging:</w:t>
      </w:r>
    </w:p>
    <w:p w14:paraId="1D2756A2" w14:textId="7813E270" w:rsidR="00871F12" w:rsidRDefault="00871F12" w:rsidP="00B3581F">
      <w:pPr>
        <w:ind w:left="284"/>
        <w:jc w:val="both"/>
      </w:pPr>
      <w:r w:rsidRPr="004C3B98">
        <w:t>Indicated for patients, referred by an MDT, who have advanced NETs (some grade 2 and all grade 3), who have (i) tumours with Ki-67 greater than 10%;or (ii) progression in less than 6 months. For some patients in (i) and (ii) FDG PET/CT imaging may be required even if they test positive on H-SSTR to optimise therapeutic decision making (see paragraphs below for further details)</w:t>
      </w:r>
      <w:r w:rsidRPr="00561596">
        <w:t>.</w:t>
      </w:r>
      <w:r w:rsidRPr="00922B1C">
        <w:t xml:space="preserve"> </w:t>
      </w:r>
    </w:p>
    <w:p w14:paraId="7AD7B0F8" w14:textId="77777777" w:rsidR="00AD6AEC" w:rsidRPr="00ED4E95" w:rsidRDefault="00AD6AEC" w:rsidP="00B3581F">
      <w:pPr>
        <w:jc w:val="both"/>
      </w:pPr>
      <w:r w:rsidRPr="00ED4E95">
        <w:t>The application noted that MDT involvement would assist in determining which patients would be appropriately selected for FDG PET/CT imaging depending on the type of malignancy, tumour grade, disease stage, and clinical progress.</w:t>
      </w:r>
    </w:p>
    <w:p w14:paraId="09334046" w14:textId="73DE5481" w:rsidR="00871F12" w:rsidRPr="00E35BCA" w:rsidRDefault="00561596" w:rsidP="00B3581F">
      <w:pPr>
        <w:jc w:val="both"/>
        <w:rPr>
          <w:rFonts w:cs="Calibri"/>
        </w:rPr>
      </w:pPr>
      <w:r w:rsidRPr="004C3B98">
        <w:rPr>
          <w:rFonts w:cs="Calibri"/>
          <w:i/>
          <w:iCs/>
        </w:rPr>
        <w:t xml:space="preserve">At its April </w:t>
      </w:r>
      <w:r w:rsidR="000C26AC">
        <w:rPr>
          <w:rFonts w:cs="Calibri"/>
          <w:i/>
          <w:iCs/>
        </w:rPr>
        <w:t xml:space="preserve">2023 </w:t>
      </w:r>
      <w:r w:rsidRPr="004C3B98">
        <w:rPr>
          <w:rFonts w:cs="Calibri"/>
          <w:i/>
          <w:iCs/>
        </w:rPr>
        <w:t xml:space="preserve">meeting, </w:t>
      </w:r>
      <w:r w:rsidR="00871F12" w:rsidRPr="004C3B98">
        <w:rPr>
          <w:rFonts w:cs="Calibri"/>
          <w:i/>
          <w:iCs/>
        </w:rPr>
        <w:t xml:space="preserve">PASC questioned the eligibility of patients, nominated by the applicant, with abnormal lesions on CT or MRI that do NOT meet the nominated threshold specified for H-SSTR on </w:t>
      </w:r>
      <w:r w:rsidR="00871F12" w:rsidRPr="004C3B98">
        <w:rPr>
          <w:rFonts w:cs="Calibri"/>
          <w:i/>
          <w:iCs/>
          <w:vertAlign w:val="superscript"/>
        </w:rPr>
        <w:t>68</w:t>
      </w:r>
      <w:r w:rsidR="00871F12" w:rsidRPr="004C3B98">
        <w:rPr>
          <w:rFonts w:cs="Calibri"/>
          <w:i/>
          <w:iCs/>
        </w:rPr>
        <w:t xml:space="preserve">Ga-DOTA-octreotate PET/CT being eligible for FDG PET/CT. PASC considered these patients were not relevant to the assessment due to the lack of sufficient H-SSTR expression for suitability for </w:t>
      </w:r>
      <w:r w:rsidR="00871F12" w:rsidRPr="004C3B98">
        <w:rPr>
          <w:i/>
          <w:iCs/>
          <w:vertAlign w:val="superscript"/>
        </w:rPr>
        <w:t>177</w:t>
      </w:r>
      <w:r w:rsidR="00871F12" w:rsidRPr="004C3B98">
        <w:rPr>
          <w:i/>
          <w:iCs/>
        </w:rPr>
        <w:t>Lu-DOTA-octreotate</w:t>
      </w:r>
      <w:r w:rsidR="00871F12" w:rsidRPr="004C3B98">
        <w:rPr>
          <w:rFonts w:cs="Calibri"/>
          <w:i/>
          <w:iCs/>
        </w:rPr>
        <w:t xml:space="preserve"> therapy. </w:t>
      </w:r>
      <w:r w:rsidR="00AD6AEC" w:rsidRPr="00E35BCA">
        <w:rPr>
          <w:rFonts w:cs="Calibri"/>
        </w:rPr>
        <w:t xml:space="preserve">These patients have </w:t>
      </w:r>
      <w:r w:rsidRPr="00E35BCA">
        <w:rPr>
          <w:rFonts w:cs="Calibri"/>
        </w:rPr>
        <w:t xml:space="preserve">now </w:t>
      </w:r>
      <w:r w:rsidR="00AD6AEC" w:rsidRPr="00E35BCA">
        <w:rPr>
          <w:rFonts w:cs="Calibri"/>
        </w:rPr>
        <w:t xml:space="preserve">been removed from the nominated population.  </w:t>
      </w:r>
    </w:p>
    <w:p w14:paraId="0E35727B" w14:textId="75263A5C" w:rsidR="00871F12" w:rsidRPr="00E35BCA" w:rsidRDefault="00871F12" w:rsidP="00B3581F">
      <w:pPr>
        <w:jc w:val="both"/>
        <w:rPr>
          <w:rFonts w:cs="Calibri"/>
        </w:rPr>
      </w:pPr>
      <w:r w:rsidRPr="00E35BCA">
        <w:rPr>
          <w:rFonts w:cs="Calibri"/>
        </w:rPr>
        <w:t>The applicant stated that “this appears to be a reasonable approach”</w:t>
      </w:r>
      <w:r w:rsidR="00AD6AEC" w:rsidRPr="00E35BCA">
        <w:rPr>
          <w:rFonts w:cs="Calibri"/>
        </w:rPr>
        <w:t xml:space="preserve"> in reference to removing patients who do not meet the nominated H-SSTR threshold for FDG scan</w:t>
      </w:r>
      <w:r w:rsidRPr="00E35BCA">
        <w:rPr>
          <w:rFonts w:cs="Calibri"/>
        </w:rPr>
        <w:t xml:space="preserve">. However, they have argued against the use of FDG PET/CT as an </w:t>
      </w:r>
      <w:r w:rsidR="00AD6AEC" w:rsidRPr="00E35BCA">
        <w:rPr>
          <w:rFonts w:cs="Calibri"/>
        </w:rPr>
        <w:t>eligibility criterion</w:t>
      </w:r>
      <w:r w:rsidRPr="00E35BCA">
        <w:rPr>
          <w:rFonts w:cs="Calibri"/>
        </w:rPr>
        <w:t xml:space="preserve"> (in the section under the Intervention: Test 2: FDG PET/CT). </w:t>
      </w:r>
    </w:p>
    <w:p w14:paraId="1756131F" w14:textId="1EA5E81B" w:rsidR="0017596E" w:rsidRPr="00922B1C" w:rsidRDefault="00AA13EE" w:rsidP="00B3581F">
      <w:pPr>
        <w:jc w:val="both"/>
      </w:pPr>
      <w:r w:rsidRPr="00922B1C">
        <w:t xml:space="preserve">In further discussions, the applicant’s clinical expert explained that </w:t>
      </w:r>
      <w:r w:rsidR="00412F03" w:rsidRPr="00922B1C">
        <w:t xml:space="preserve">a patient with many H-SSTR metastases but only a few SSTR negative metastases that are positive on FDG PET/CT would indicate that FDG PET/CT has poor diagnostic accuracy for NET metastases. However, the utility of FDG PET/CT in such a scenario where a negative result can encourage use of PRRT but even limited sites of FDG-avid but non-SSTR-expressing disease can prevent futile treatment. </w:t>
      </w:r>
      <w:r w:rsidR="006772F5" w:rsidRPr="00922B1C">
        <w:t>T</w:t>
      </w:r>
      <w:r w:rsidR="00412F03" w:rsidRPr="00922B1C">
        <w:t>he applicant further stated that sequencing PRRT after chemotherapy can be an effective strategy if FDG-discordant disease can be eradicated by chemotherapy.</w:t>
      </w:r>
      <w:r w:rsidR="00527349">
        <w:t xml:space="preserve"> </w:t>
      </w:r>
    </w:p>
    <w:p w14:paraId="6CCF6931" w14:textId="0B5CE64E" w:rsidR="00AA13EE" w:rsidRPr="004C3B98" w:rsidRDefault="0017596E" w:rsidP="00B3581F">
      <w:pPr>
        <w:jc w:val="both"/>
      </w:pPr>
      <w:r w:rsidRPr="00922B1C">
        <w:rPr>
          <w:iCs/>
        </w:rPr>
        <w:t xml:space="preserve">The applicant </w:t>
      </w:r>
      <w:r w:rsidR="00527349" w:rsidRPr="00922B1C">
        <w:rPr>
          <w:iCs/>
        </w:rPr>
        <w:t>wa</w:t>
      </w:r>
      <w:r w:rsidRPr="00922B1C">
        <w:rPr>
          <w:iCs/>
        </w:rPr>
        <w:t xml:space="preserve">s requested to further clarify the above as it is unclear how a negative result </w:t>
      </w:r>
      <w:r w:rsidR="006916D7" w:rsidRPr="00922B1C">
        <w:rPr>
          <w:iCs/>
        </w:rPr>
        <w:t>(on FDG PET/CT and/or SSTR</w:t>
      </w:r>
      <w:r w:rsidR="00C25E34" w:rsidRPr="00922B1C">
        <w:rPr>
          <w:iCs/>
        </w:rPr>
        <w:t>-PET/CT</w:t>
      </w:r>
      <w:r w:rsidR="00D34D3A" w:rsidRPr="00922B1C">
        <w:rPr>
          <w:iCs/>
        </w:rPr>
        <w:t>)</w:t>
      </w:r>
      <w:r w:rsidR="00C25E34" w:rsidRPr="00922B1C">
        <w:rPr>
          <w:iCs/>
        </w:rPr>
        <w:t xml:space="preserve"> </w:t>
      </w:r>
      <w:r w:rsidR="004D0698" w:rsidRPr="00922B1C">
        <w:rPr>
          <w:iCs/>
        </w:rPr>
        <w:t xml:space="preserve">can </w:t>
      </w:r>
      <w:r w:rsidR="00B8405A" w:rsidRPr="00922B1C">
        <w:rPr>
          <w:iCs/>
        </w:rPr>
        <w:t>optimise</w:t>
      </w:r>
      <w:r w:rsidR="004F6976" w:rsidRPr="00922B1C">
        <w:rPr>
          <w:iCs/>
        </w:rPr>
        <w:t xml:space="preserve"> </w:t>
      </w:r>
      <w:r w:rsidR="00DB1A8A" w:rsidRPr="00922B1C">
        <w:rPr>
          <w:iCs/>
        </w:rPr>
        <w:t>the clinical utility of</w:t>
      </w:r>
      <w:r w:rsidR="004F6976" w:rsidRPr="00922B1C">
        <w:rPr>
          <w:iCs/>
        </w:rPr>
        <w:t xml:space="preserve"> PRRT</w:t>
      </w:r>
      <w:r w:rsidR="00DB1A8A" w:rsidRPr="00922B1C">
        <w:rPr>
          <w:iCs/>
        </w:rPr>
        <w:t xml:space="preserve">, including in regard to </w:t>
      </w:r>
      <w:r w:rsidR="00F16E15" w:rsidRPr="00922B1C">
        <w:rPr>
          <w:iCs/>
        </w:rPr>
        <w:t>obviating</w:t>
      </w:r>
      <w:r w:rsidR="00DB1A8A" w:rsidRPr="00922B1C">
        <w:rPr>
          <w:iCs/>
        </w:rPr>
        <w:t xml:space="preserve"> futile treatment</w:t>
      </w:r>
      <w:r w:rsidR="00E5019D">
        <w:rPr>
          <w:iCs/>
        </w:rPr>
        <w:t>.</w:t>
      </w:r>
      <w:r w:rsidR="00527349">
        <w:rPr>
          <w:i/>
        </w:rPr>
        <w:t xml:space="preserve"> </w:t>
      </w:r>
      <w:r w:rsidR="00527349">
        <w:t>The applicant clarified that d</w:t>
      </w:r>
      <w:r w:rsidR="00527349" w:rsidRPr="00527349">
        <w:t xml:space="preserve">ue to higher chemosensitivity of rapidly proliferating tumours, chemotherapy with regimens including capecitabine/temozolomide (CAPTEM) can depopulate these </w:t>
      </w:r>
      <w:r w:rsidR="009A3E42">
        <w:t xml:space="preserve">rapidly proliferating </w:t>
      </w:r>
      <w:r w:rsidR="00527349" w:rsidRPr="00527349">
        <w:t>cells while leaving a higher proportion of lower-grade NET cells that can then be treated with PRRT. This can be confirmed by resolution of FDG-avid disease and an increase in modified-Krenning score or SUV</w:t>
      </w:r>
      <w:r w:rsidR="00527349" w:rsidRPr="00873346">
        <w:rPr>
          <w:vertAlign w:val="subscript"/>
        </w:rPr>
        <w:t>max</w:t>
      </w:r>
      <w:r w:rsidR="00527349" w:rsidRPr="00527349">
        <w:t xml:space="preserve"> on </w:t>
      </w:r>
      <w:r w:rsidR="00527349" w:rsidRPr="00873346">
        <w:rPr>
          <w:vertAlign w:val="superscript"/>
        </w:rPr>
        <w:t>68</w:t>
      </w:r>
      <w:r w:rsidR="00527349" w:rsidRPr="00527349">
        <w:t>Ga-</w:t>
      </w:r>
      <w:r w:rsidR="001C03D0">
        <w:t xml:space="preserve">DOTA-octreotate </w:t>
      </w:r>
      <w:r w:rsidR="00527349" w:rsidRPr="00527349">
        <w:t>PET/CT.</w:t>
      </w:r>
      <w:r w:rsidR="008A784B">
        <w:t xml:space="preserve"> </w:t>
      </w:r>
      <w:r w:rsidR="00561596" w:rsidRPr="004C3B98">
        <w:rPr>
          <w:i/>
          <w:iCs/>
        </w:rPr>
        <w:t>In its consideration in April</w:t>
      </w:r>
      <w:r w:rsidR="000C26AC">
        <w:rPr>
          <w:i/>
          <w:iCs/>
        </w:rPr>
        <w:t xml:space="preserve"> 2023</w:t>
      </w:r>
      <w:r w:rsidR="00561596" w:rsidRPr="004C3B98">
        <w:rPr>
          <w:i/>
          <w:iCs/>
        </w:rPr>
        <w:t>,</w:t>
      </w:r>
      <w:r w:rsidR="00561596">
        <w:t xml:space="preserve"> </w:t>
      </w:r>
      <w:r w:rsidR="008A784B" w:rsidRPr="00AD6AEC">
        <w:rPr>
          <w:rFonts w:cs="Calibri"/>
          <w:i/>
          <w:iCs/>
        </w:rPr>
        <w:t>PASC noted the applicant</w:t>
      </w:r>
      <w:r w:rsidR="004F417C" w:rsidRPr="00AD6AEC">
        <w:rPr>
          <w:rFonts w:cs="Calibri"/>
          <w:i/>
          <w:iCs/>
        </w:rPr>
        <w:t>’</w:t>
      </w:r>
      <w:r w:rsidR="008A784B" w:rsidRPr="00AD6AEC">
        <w:rPr>
          <w:rFonts w:cs="Calibri"/>
          <w:i/>
          <w:iCs/>
        </w:rPr>
        <w:t xml:space="preserve">s response stated the absence of SSTR receptors precludes delivery of high dose radiation to a tumour site. This meant that patients with high SSTR at all tumour sites </w:t>
      </w:r>
      <w:r w:rsidR="0052592C" w:rsidRPr="00AD6AEC">
        <w:rPr>
          <w:rFonts w:cs="Calibri"/>
          <w:i/>
          <w:iCs/>
        </w:rPr>
        <w:t xml:space="preserve">regardless of FDG PET result </w:t>
      </w:r>
      <w:r w:rsidR="008A784B" w:rsidRPr="00AD6AEC">
        <w:rPr>
          <w:rFonts w:cs="Calibri"/>
          <w:i/>
          <w:iCs/>
        </w:rPr>
        <w:t xml:space="preserve">can proceed to </w:t>
      </w:r>
      <w:r w:rsidR="008A784B" w:rsidRPr="00AD6AEC">
        <w:rPr>
          <w:rFonts w:cs="Calibri"/>
          <w:i/>
          <w:iCs/>
          <w:vertAlign w:val="superscript"/>
        </w:rPr>
        <w:t>177</w:t>
      </w:r>
      <w:r w:rsidR="008A784B" w:rsidRPr="00AD6AEC">
        <w:rPr>
          <w:rFonts w:cs="Calibri"/>
          <w:i/>
          <w:iCs/>
        </w:rPr>
        <w:t>Lu-</w:t>
      </w:r>
      <w:r w:rsidR="001C03D0" w:rsidRPr="00AD6AEC">
        <w:rPr>
          <w:rFonts w:cs="Calibri"/>
          <w:i/>
          <w:iCs/>
        </w:rPr>
        <w:t xml:space="preserve">DOTA-octreotate </w:t>
      </w:r>
      <w:r w:rsidR="008A784B" w:rsidRPr="00AD6AEC">
        <w:rPr>
          <w:rFonts w:cs="Calibri"/>
          <w:i/>
          <w:iCs/>
        </w:rPr>
        <w:t>therapy with high probability that favourable patient relevant outcomes will be achieved.</w:t>
      </w:r>
    </w:p>
    <w:p w14:paraId="7305DE47" w14:textId="78B23C78" w:rsidR="00AD6AEC" w:rsidRPr="00E35BCA" w:rsidRDefault="00AD6AEC" w:rsidP="00B3581F">
      <w:pPr>
        <w:jc w:val="both"/>
      </w:pPr>
      <w:r w:rsidRPr="00E35BCA">
        <w:t xml:space="preserve">In response to further questions posed to the </w:t>
      </w:r>
      <w:r w:rsidR="00561596" w:rsidRPr="00E35BCA">
        <w:t>a</w:t>
      </w:r>
      <w:r w:rsidRPr="00E35BCA">
        <w:t xml:space="preserve">pplicant, about whether the number of FDG/SSTR discordant sites representing the appropriate threshold for avoiding treatment with PRRT </w:t>
      </w:r>
      <w:r w:rsidR="008F6FFA" w:rsidRPr="00E35BCA">
        <w:t xml:space="preserve">(a number of three discordant sites was raised) </w:t>
      </w:r>
      <w:r w:rsidRPr="00E35BCA">
        <w:t xml:space="preserve">can be defined they responded that the purpose of suggesting PRRT treatment is managed under the auspices of </w:t>
      </w:r>
      <w:r w:rsidR="007F5770" w:rsidRPr="00E35BCA">
        <w:t>an</w:t>
      </w:r>
      <w:r w:rsidRPr="00E35BCA">
        <w:t xml:space="preserve"> MDT team is that these are often value judgements. If the aim of treatment is </w:t>
      </w:r>
      <w:r w:rsidRPr="00E35BCA">
        <w:lastRenderedPageBreak/>
        <w:t>oncological control through stabilisation or regression of progressive disease, this goal cannot be achieved if there is even one site of spatial discordant FDG</w:t>
      </w:r>
      <w:r w:rsidR="00561596" w:rsidRPr="00E35BCA">
        <w:t xml:space="preserve"> positive</w:t>
      </w:r>
      <w:r w:rsidRPr="00E35BCA">
        <w:t>/SSTR</w:t>
      </w:r>
      <w:r w:rsidR="00561596" w:rsidRPr="00E35BCA">
        <w:t xml:space="preserve"> negative</w:t>
      </w:r>
      <w:r w:rsidRPr="00E35BCA">
        <w:t xml:space="preserve"> disease but could be considered after control of this disease by either systemic or locoregional therapies. Treatment for hormonal control, may be indicated even in the presence of discordant disease. This is often as a bridge to systemic treatment of more aggressive disease elements by chemotherapy or targeted therapy. </w:t>
      </w:r>
    </w:p>
    <w:p w14:paraId="421DBBD1" w14:textId="61CEEBEC" w:rsidR="00D52D63" w:rsidRPr="00E35BCA" w:rsidRDefault="00D52D63" w:rsidP="00B3581F">
      <w:pPr>
        <w:jc w:val="both"/>
      </w:pPr>
      <w:r w:rsidRPr="00E35BCA">
        <w:t xml:space="preserve">The purpose of combining </w:t>
      </w:r>
      <w:r w:rsidRPr="00E35BCA">
        <w:rPr>
          <w:vertAlign w:val="superscript"/>
        </w:rPr>
        <w:t>68</w:t>
      </w:r>
      <w:r w:rsidRPr="00E35BCA">
        <w:t>Ga</w:t>
      </w:r>
      <w:r w:rsidR="00561596" w:rsidRPr="00E35BCA">
        <w:t>-</w:t>
      </w:r>
      <w:r w:rsidRPr="00E35BCA">
        <w:t>DOTA</w:t>
      </w:r>
      <w:r w:rsidR="00561596" w:rsidRPr="00E35BCA">
        <w:t>-octreotate PET/CT</w:t>
      </w:r>
      <w:r w:rsidRPr="00E35BCA">
        <w:t xml:space="preserve"> followed by </w:t>
      </w:r>
      <w:r w:rsidRPr="00E35BCA">
        <w:rPr>
          <w:vertAlign w:val="superscript"/>
        </w:rPr>
        <w:t>18</w:t>
      </w:r>
      <w:r w:rsidR="00561596" w:rsidRPr="00E35BCA">
        <w:t>F-</w:t>
      </w:r>
      <w:r w:rsidRPr="00E35BCA">
        <w:t>FDG PET</w:t>
      </w:r>
      <w:r w:rsidR="00561596" w:rsidRPr="00E35BCA">
        <w:t>/CT</w:t>
      </w:r>
      <w:r w:rsidRPr="00E35BCA">
        <w:t xml:space="preserve"> is that less differentiated NENs often co-express SSTRs and glucose-transporters and the uptake of </w:t>
      </w:r>
      <w:r w:rsidRPr="00E35BCA">
        <w:rPr>
          <w:vertAlign w:val="superscript"/>
        </w:rPr>
        <w:t>18</w:t>
      </w:r>
      <w:r w:rsidRPr="00E35BCA">
        <w:t xml:space="preserve">F-FDG can show areas that are hypermetabolic. For these patients, the use of dual imaging can potentially provide a better picture of metabolic spatial intra- and inter-tumour heterogeneity of the disease, especially in higher-grade tumours. Higher uptake of </w:t>
      </w:r>
      <w:r w:rsidRPr="00E35BCA">
        <w:rPr>
          <w:vertAlign w:val="superscript"/>
        </w:rPr>
        <w:t>18</w:t>
      </w:r>
      <w:r w:rsidRPr="00E35BCA">
        <w:t>F-FDG seem</w:t>
      </w:r>
      <w:r w:rsidR="00561596" w:rsidRPr="00E35BCA">
        <w:t>s</w:t>
      </w:r>
      <w:r w:rsidRPr="00E35BCA">
        <w:t xml:space="preserve"> to correlate more clearly with higher histological grad</w:t>
      </w:r>
      <w:r w:rsidR="00561596" w:rsidRPr="00E35BCA">
        <w:t>e</w:t>
      </w:r>
      <w:r w:rsidRPr="00E35BCA">
        <w:t xml:space="preserve">s and poor overall survival. The purpose of using </w:t>
      </w:r>
      <w:r w:rsidRPr="00E35BCA">
        <w:rPr>
          <w:vertAlign w:val="superscript"/>
        </w:rPr>
        <w:t>18</w:t>
      </w:r>
      <w:r w:rsidR="00561596" w:rsidRPr="00E35BCA">
        <w:t>F-</w:t>
      </w:r>
      <w:r w:rsidRPr="00E35BCA">
        <w:t>FDG PET</w:t>
      </w:r>
      <w:r w:rsidR="00561596" w:rsidRPr="00E35BCA">
        <w:t>/CT</w:t>
      </w:r>
      <w:r w:rsidRPr="00E35BCA">
        <w:t xml:space="preserve"> after the </w:t>
      </w:r>
      <w:r w:rsidRPr="00E35BCA">
        <w:rPr>
          <w:vertAlign w:val="superscript"/>
        </w:rPr>
        <w:t>68</w:t>
      </w:r>
      <w:r w:rsidRPr="00E35BCA">
        <w:t>Ga</w:t>
      </w:r>
      <w:r w:rsidR="00561596" w:rsidRPr="00E35BCA">
        <w:t>-</w:t>
      </w:r>
      <w:r w:rsidRPr="00E35BCA">
        <w:t>DOTA</w:t>
      </w:r>
      <w:r w:rsidR="00561596" w:rsidRPr="00E35BCA">
        <w:t xml:space="preserve">-octreotate </w:t>
      </w:r>
      <w:r w:rsidRPr="00E35BCA">
        <w:t>PET</w:t>
      </w:r>
      <w:r w:rsidR="00561596" w:rsidRPr="00E35BCA">
        <w:t>/CT</w:t>
      </w:r>
      <w:r w:rsidRPr="00E35BCA">
        <w:t xml:space="preserve"> is not to change the SSTR threshold identified but, to identify the possible presence of less well-differentiated tumours that may be metabolically active but have lower or no somatostatin receptors. This information </w:t>
      </w:r>
      <w:r w:rsidR="00561596" w:rsidRPr="00E35BCA">
        <w:t>is used</w:t>
      </w:r>
      <w:r w:rsidRPr="00E35BCA">
        <w:t xml:space="preserve"> to assist the specialist in deciding whether the patient is suitable for PRRT therapy or whether another treatment may be indicated. </w:t>
      </w:r>
    </w:p>
    <w:p w14:paraId="70A509B7" w14:textId="7E735F7B" w:rsidR="002B2D11" w:rsidRPr="000D66A6" w:rsidRDefault="002B2D11" w:rsidP="00B3581F">
      <w:pPr>
        <w:jc w:val="both"/>
        <w:rPr>
          <w:iCs/>
        </w:rPr>
      </w:pPr>
      <w:r w:rsidRPr="00922B1C">
        <w:t>In further discussion with the applicant, it was considered that approximately 30% of patients would proceed to FDG PET/CT.</w:t>
      </w:r>
      <w:r w:rsidR="00575723" w:rsidRPr="00922B1C">
        <w:rPr>
          <w:i/>
        </w:rPr>
        <w:t xml:space="preserve"> </w:t>
      </w:r>
      <w:r w:rsidR="00575723" w:rsidRPr="00922B1C">
        <w:rPr>
          <w:iCs/>
        </w:rPr>
        <w:t>The applicant</w:t>
      </w:r>
      <w:r w:rsidR="00575723">
        <w:rPr>
          <w:iCs/>
        </w:rPr>
        <w:t xml:space="preserve"> cited a recent </w:t>
      </w:r>
      <w:r w:rsidR="008E37BA">
        <w:rPr>
          <w:iCs/>
        </w:rPr>
        <w:t xml:space="preserve">Australian </w:t>
      </w:r>
      <w:r w:rsidR="00575723">
        <w:rPr>
          <w:iCs/>
        </w:rPr>
        <w:t>study by Chan (2023)</w:t>
      </w:r>
      <w:r w:rsidR="006D6961">
        <w:rPr>
          <w:iCs/>
        </w:rPr>
        <w:t xml:space="preserve"> to support this estimation. The study </w:t>
      </w:r>
      <w:r w:rsidR="00D12C48">
        <w:rPr>
          <w:iCs/>
        </w:rPr>
        <w:t>examin</w:t>
      </w:r>
      <w:r w:rsidR="006D6961">
        <w:rPr>
          <w:iCs/>
        </w:rPr>
        <w:t>ed</w:t>
      </w:r>
      <w:r w:rsidR="00D12C48">
        <w:rPr>
          <w:iCs/>
        </w:rPr>
        <w:t xml:space="preserve"> the use of </w:t>
      </w:r>
      <w:r w:rsidR="008315A4" w:rsidRPr="00873346">
        <w:rPr>
          <w:vertAlign w:val="superscript"/>
        </w:rPr>
        <w:t>68</w:t>
      </w:r>
      <w:r w:rsidR="00DE5915" w:rsidRPr="00DE5915">
        <w:rPr>
          <w:iCs/>
        </w:rPr>
        <w:t>Ga-</w:t>
      </w:r>
      <w:r w:rsidR="001C03D0">
        <w:rPr>
          <w:iCs/>
        </w:rPr>
        <w:t>DOTA-octreotate</w:t>
      </w:r>
      <w:r w:rsidR="00DE5915" w:rsidRPr="00DE5915">
        <w:rPr>
          <w:iCs/>
        </w:rPr>
        <w:t xml:space="preserve"> PET/CT</w:t>
      </w:r>
      <w:r w:rsidR="00DE5915">
        <w:rPr>
          <w:iCs/>
        </w:rPr>
        <w:t xml:space="preserve"> and </w:t>
      </w:r>
      <w:r w:rsidR="00DE5915" w:rsidRPr="00DE5915">
        <w:rPr>
          <w:iCs/>
        </w:rPr>
        <w:t>FDG PET/CT</w:t>
      </w:r>
      <w:r w:rsidR="00DE5915">
        <w:rPr>
          <w:iCs/>
        </w:rPr>
        <w:t xml:space="preserve"> in patients with gastroenteropancreatic </w:t>
      </w:r>
      <w:r w:rsidR="00071240">
        <w:rPr>
          <w:iCs/>
        </w:rPr>
        <w:t>neuroendocrine neoplasms (</w:t>
      </w:r>
      <w:r w:rsidR="008315A4">
        <w:rPr>
          <w:iCs/>
        </w:rPr>
        <w:t>NENs</w:t>
      </w:r>
      <w:r w:rsidR="00071240">
        <w:rPr>
          <w:iCs/>
        </w:rPr>
        <w:t>)</w:t>
      </w:r>
      <w:r w:rsidR="00575723">
        <w:rPr>
          <w:iCs/>
        </w:rPr>
        <w:t xml:space="preserve">. </w:t>
      </w:r>
      <w:r w:rsidR="00F46011">
        <w:rPr>
          <w:iCs/>
        </w:rPr>
        <w:t xml:space="preserve">Patients </w:t>
      </w:r>
      <w:r w:rsidR="00EA3E74">
        <w:rPr>
          <w:iCs/>
        </w:rPr>
        <w:t xml:space="preserve">in the study </w:t>
      </w:r>
      <w:r w:rsidR="00F46011">
        <w:rPr>
          <w:iCs/>
        </w:rPr>
        <w:t xml:space="preserve">received both </w:t>
      </w:r>
      <w:r w:rsidR="00EA3E74">
        <w:rPr>
          <w:iCs/>
        </w:rPr>
        <w:t xml:space="preserve">types of scans. </w:t>
      </w:r>
      <w:r w:rsidR="00575723">
        <w:rPr>
          <w:iCs/>
        </w:rPr>
        <w:t xml:space="preserve">Chan (2023) reported that </w:t>
      </w:r>
      <w:r w:rsidR="00575723" w:rsidRPr="00575723">
        <w:rPr>
          <w:iCs/>
        </w:rPr>
        <w:t xml:space="preserve">approximately 28% of patients had no FDG uptake, roughly equivalent to the proportion of G1 tumours in the study population but not necessarily the same patients. Only 12% of the cohort had exclusively FDG-avid disease. It should be noted that this study wasn’t restricted to candidates for PRRT or </w:t>
      </w:r>
      <w:r w:rsidR="008D3D04">
        <w:rPr>
          <w:iCs/>
        </w:rPr>
        <w:t xml:space="preserve">patients who had been </w:t>
      </w:r>
      <w:r w:rsidR="00575723" w:rsidRPr="00575723">
        <w:rPr>
          <w:iCs/>
        </w:rPr>
        <w:t xml:space="preserve">treated </w:t>
      </w:r>
      <w:r w:rsidR="008D3D04">
        <w:rPr>
          <w:iCs/>
        </w:rPr>
        <w:t>with</w:t>
      </w:r>
      <w:r w:rsidR="00575723" w:rsidRPr="00575723">
        <w:rPr>
          <w:iCs/>
        </w:rPr>
        <w:t xml:space="preserve"> PRRT. However, as a reasonable estimate, less than half of G2 NET and all G3 (51% and 15% of their cohort</w:t>
      </w:r>
      <w:r w:rsidR="008E37BA">
        <w:rPr>
          <w:iCs/>
        </w:rPr>
        <w:t>,</w:t>
      </w:r>
      <w:r w:rsidR="00575723" w:rsidRPr="00575723">
        <w:rPr>
          <w:iCs/>
        </w:rPr>
        <w:t xml:space="preserve"> respectively) would qualify for FDG PET/CT.</w:t>
      </w:r>
      <w:r w:rsidR="00575723">
        <w:rPr>
          <w:iCs/>
        </w:rPr>
        <w:t xml:space="preserve"> </w:t>
      </w:r>
      <w:r w:rsidR="00575723" w:rsidRPr="00922B1C">
        <w:rPr>
          <w:i/>
        </w:rPr>
        <w:t xml:space="preserve"> </w:t>
      </w:r>
      <w:r w:rsidR="00D84734" w:rsidRPr="00575723">
        <w:rPr>
          <w:i/>
        </w:rPr>
        <w:t xml:space="preserve"> </w:t>
      </w:r>
    </w:p>
    <w:bookmarkEnd w:id="16"/>
    <w:p w14:paraId="37E7C94B" w14:textId="640F6A8A" w:rsidR="00E0782C" w:rsidRPr="00922B1C" w:rsidRDefault="00DE1F29" w:rsidP="00B3581F">
      <w:pPr>
        <w:jc w:val="both"/>
      </w:pPr>
      <w:r w:rsidRPr="00922B1C">
        <w:rPr>
          <w:u w:val="single"/>
        </w:rPr>
        <w:t>Therapeutic intervention</w:t>
      </w:r>
      <w:r w:rsidRPr="00922B1C">
        <w:t xml:space="preserve"> </w:t>
      </w:r>
      <w:r w:rsidRPr="00922B1C">
        <w:rPr>
          <w:vertAlign w:val="superscript"/>
        </w:rPr>
        <w:t>177</w:t>
      </w:r>
      <w:r w:rsidRPr="00922B1C">
        <w:t xml:space="preserve">Lutetium </w:t>
      </w:r>
      <w:r w:rsidR="00C571DB" w:rsidRPr="00922B1C">
        <w:t>Octreotate</w:t>
      </w:r>
      <w:r w:rsidRPr="00922B1C">
        <w:t xml:space="preserve"> (</w:t>
      </w:r>
      <w:r w:rsidRPr="00922B1C">
        <w:rPr>
          <w:vertAlign w:val="superscript"/>
        </w:rPr>
        <w:t>177</w:t>
      </w:r>
      <w:r w:rsidRPr="00922B1C">
        <w:t>Lu</w:t>
      </w:r>
      <w:r w:rsidR="008E37BA">
        <w:t>-</w:t>
      </w:r>
      <w:r w:rsidR="001C03D0">
        <w:t>DOTA-octreotate</w:t>
      </w:r>
      <w:r w:rsidRPr="00922B1C">
        <w:t xml:space="preserve">): </w:t>
      </w:r>
    </w:p>
    <w:p w14:paraId="7AE19B5E" w14:textId="590D7267" w:rsidR="002B2D11" w:rsidRPr="00922B1C" w:rsidRDefault="00A507A8" w:rsidP="00B3581F">
      <w:pPr>
        <w:ind w:left="284"/>
        <w:jc w:val="both"/>
      </w:pPr>
      <w:r>
        <w:t>Indicated for p</w:t>
      </w:r>
      <w:r w:rsidR="00E0782C" w:rsidRPr="00922B1C">
        <w:t xml:space="preserve">atients, referred by an MDT, who have advanced </w:t>
      </w:r>
      <w:r w:rsidR="00BF198D" w:rsidRPr="00922B1C">
        <w:t xml:space="preserve">H-SSTR expressing </w:t>
      </w:r>
      <w:r w:rsidR="00E0782C" w:rsidRPr="00922B1C">
        <w:t xml:space="preserve">NETs </w:t>
      </w:r>
      <w:r w:rsidR="00725DCF" w:rsidRPr="00922B1C">
        <w:t xml:space="preserve">based on </w:t>
      </w:r>
      <w:r w:rsidR="00725DCF" w:rsidRPr="00922B1C">
        <w:rPr>
          <w:vertAlign w:val="superscript"/>
        </w:rPr>
        <w:t>68</w:t>
      </w:r>
      <w:r w:rsidR="00725DCF" w:rsidRPr="00922B1C">
        <w:t>Ga-</w:t>
      </w:r>
      <w:r w:rsidR="001C03D0">
        <w:t xml:space="preserve">DOTA-octreotate </w:t>
      </w:r>
      <w:r w:rsidR="00725DCF" w:rsidRPr="00922B1C">
        <w:t>PET/CT</w:t>
      </w:r>
      <w:r w:rsidR="00412F03" w:rsidRPr="00922B1C">
        <w:t xml:space="preserve"> </w:t>
      </w:r>
      <w:r w:rsidR="00264718" w:rsidRPr="00922B1C">
        <w:t>imaging</w:t>
      </w:r>
      <w:r w:rsidR="00636919" w:rsidRPr="00922B1C">
        <w:t xml:space="preserve"> </w:t>
      </w:r>
      <w:r w:rsidR="00DA170C" w:rsidRPr="00922B1C">
        <w:rPr>
          <w:rFonts w:cs="Calibri"/>
        </w:rPr>
        <w:t>±</w:t>
      </w:r>
      <w:r w:rsidR="00DA170C" w:rsidRPr="00922B1C">
        <w:t xml:space="preserve"> FDG PET/CT</w:t>
      </w:r>
      <w:r w:rsidR="00E0782C" w:rsidRPr="00922B1C">
        <w:t>.</w:t>
      </w:r>
    </w:p>
    <w:p w14:paraId="0A63AC77" w14:textId="73EAD0DA" w:rsidR="002B2D11" w:rsidRPr="00ED4E95" w:rsidRDefault="002B2D11" w:rsidP="00B3581F">
      <w:pPr>
        <w:jc w:val="both"/>
      </w:pPr>
      <w:r w:rsidRPr="00ED4E95">
        <w:t xml:space="preserve">The application explains (pp22-23) that treatment with </w:t>
      </w:r>
      <w:r w:rsidRPr="00ED4E95">
        <w:rPr>
          <w:vertAlign w:val="superscript"/>
        </w:rPr>
        <w:t>177</w:t>
      </w:r>
      <w:r w:rsidRPr="00ED4E95">
        <w:t>Lu</w:t>
      </w:r>
      <w:r w:rsidR="00636919">
        <w:t>-</w:t>
      </w:r>
      <w:r w:rsidR="001C03D0">
        <w:t xml:space="preserve">DOTA-octreotate </w:t>
      </w:r>
      <w:r w:rsidRPr="00ED4E95">
        <w:t xml:space="preserve">may be indicated for several patient groups who have been diagnosed with NET </w:t>
      </w:r>
      <w:r w:rsidR="00BD0173" w:rsidRPr="00ED4E95">
        <w:t>and</w:t>
      </w:r>
      <w:r w:rsidR="00B22EF8" w:rsidRPr="00ED4E95">
        <w:t>/</w:t>
      </w:r>
      <w:r w:rsidRPr="00ED4E95">
        <w:t xml:space="preserve">or </w:t>
      </w:r>
      <w:r w:rsidR="0052216A" w:rsidRPr="00ED4E95">
        <w:t xml:space="preserve">other </w:t>
      </w:r>
      <w:r w:rsidRPr="00ED4E95">
        <w:t>H-SSTR tumours who most commonly will have previously received one or more forms of local ablative or systemic therapy for their advanced disease. The application included:</w:t>
      </w:r>
    </w:p>
    <w:p w14:paraId="2CDBF665" w14:textId="77777777" w:rsidR="002B2D11" w:rsidRPr="00ED4E95" w:rsidRDefault="002B2D11" w:rsidP="00B3581F">
      <w:pPr>
        <w:pStyle w:val="ListParagraph"/>
        <w:numPr>
          <w:ilvl w:val="0"/>
          <w:numId w:val="2"/>
        </w:numPr>
        <w:ind w:left="360"/>
        <w:jc w:val="both"/>
      </w:pPr>
      <w:r w:rsidRPr="00ED4E95">
        <w:t>Patients with progressive metastatic disease that is, or has a high near-term probability of, diminishing the patient’s quality and duration of life despite prior treatment with maintenance somatostatin antagonist medication, everolimus and/or sunitinib.</w:t>
      </w:r>
    </w:p>
    <w:p w14:paraId="0D885E21" w14:textId="77777777" w:rsidR="002B2D11" w:rsidRPr="00ED4E95" w:rsidRDefault="002B2D11" w:rsidP="00B3581F">
      <w:pPr>
        <w:pStyle w:val="ListParagraph"/>
        <w:numPr>
          <w:ilvl w:val="0"/>
          <w:numId w:val="2"/>
        </w:numPr>
        <w:ind w:left="360"/>
        <w:jc w:val="both"/>
      </w:pPr>
      <w:r w:rsidRPr="00ED4E95">
        <w:t>Patients with high burden or high-grade metastatic disease that is, or has a high near-term probability of, diminishing the patient’s quality and duration of life, particularly if they have failed first-line (1L) chemotherapy.</w:t>
      </w:r>
    </w:p>
    <w:p w14:paraId="438FDEDF" w14:textId="77777777" w:rsidR="002B2D11" w:rsidRPr="00ED4E95" w:rsidRDefault="002B2D11" w:rsidP="00B3581F">
      <w:pPr>
        <w:pStyle w:val="ListParagraph"/>
        <w:numPr>
          <w:ilvl w:val="0"/>
          <w:numId w:val="2"/>
        </w:numPr>
        <w:ind w:left="360"/>
        <w:jc w:val="both"/>
      </w:pPr>
      <w:r w:rsidRPr="00ED4E95">
        <w:t>Patients with NET who are experiencing reduced quality of life due to medically refractory excessive hormonal secretion, or the adverse effects of treatments specifically applied to modifying the effect of excessive hormone secretion, or pain that is refractory to other therapies.</w:t>
      </w:r>
    </w:p>
    <w:p w14:paraId="0165E469" w14:textId="77777777" w:rsidR="002B2D11" w:rsidRPr="00ED4E95" w:rsidRDefault="002B2D11" w:rsidP="00B3581F">
      <w:pPr>
        <w:pStyle w:val="ListParagraph"/>
        <w:numPr>
          <w:ilvl w:val="0"/>
          <w:numId w:val="2"/>
        </w:numPr>
        <w:ind w:left="360"/>
        <w:jc w:val="both"/>
      </w:pPr>
      <w:r w:rsidRPr="00ED4E95">
        <w:lastRenderedPageBreak/>
        <w:t>Patients with NET who require systemic therapy but cannot tolerate treatment with somatostatin antagonists, the targeted agents everolimus and sunitinib, or chemotherapy.</w:t>
      </w:r>
    </w:p>
    <w:p w14:paraId="3CF849FD" w14:textId="77777777" w:rsidR="002B2D11" w:rsidRPr="00ED4E95" w:rsidRDefault="002B2D11" w:rsidP="00B3581F">
      <w:pPr>
        <w:pStyle w:val="ListParagraph"/>
        <w:numPr>
          <w:ilvl w:val="0"/>
          <w:numId w:val="2"/>
        </w:numPr>
        <w:ind w:left="360"/>
        <w:jc w:val="both"/>
      </w:pPr>
      <w:r w:rsidRPr="00ED4E95">
        <w:t>Patients with NET in whom neoadjuvant treatment may facilitate successful localised curative intent ablative therapies.</w:t>
      </w:r>
    </w:p>
    <w:p w14:paraId="1C3B5172" w14:textId="4E566895" w:rsidR="002B2D11" w:rsidRPr="00ED4E95" w:rsidRDefault="002B2D11" w:rsidP="00B3581F">
      <w:pPr>
        <w:pStyle w:val="ListParagraph"/>
        <w:numPr>
          <w:ilvl w:val="0"/>
          <w:numId w:val="2"/>
        </w:numPr>
        <w:ind w:left="360"/>
        <w:jc w:val="both"/>
      </w:pPr>
      <w:r w:rsidRPr="00ED4E95">
        <w:t xml:space="preserve">Patients with advanced malignancy characterised by high somatostatin receptor expression such as neuroblastoma, phaeochromocytoma and paraganglioma whose outcomes may be improved by </w:t>
      </w:r>
      <w:r w:rsidRPr="00ED4E95">
        <w:rPr>
          <w:vertAlign w:val="superscript"/>
        </w:rPr>
        <w:t>177</w:t>
      </w:r>
      <w:r w:rsidRPr="00ED4E95">
        <w:t>Lu</w:t>
      </w:r>
      <w:r w:rsidR="00636919">
        <w:t>-</w:t>
      </w:r>
      <w:r w:rsidR="001C03D0">
        <w:t xml:space="preserve">DOTA-octreotate </w:t>
      </w:r>
      <w:r w:rsidRPr="00ED4E95">
        <w:t xml:space="preserve">treatment. </w:t>
      </w:r>
    </w:p>
    <w:p w14:paraId="779C9D06" w14:textId="5154593A" w:rsidR="00636919" w:rsidRPr="00561596" w:rsidRDefault="00561596" w:rsidP="00B3581F">
      <w:pPr>
        <w:jc w:val="both"/>
        <w:rPr>
          <w:rFonts w:cs="Calibri"/>
          <w:i/>
          <w:iCs/>
        </w:rPr>
      </w:pPr>
      <w:r w:rsidRPr="004C3B98">
        <w:rPr>
          <w:rFonts w:cs="Calibri"/>
          <w:i/>
          <w:iCs/>
        </w:rPr>
        <w:t xml:space="preserve">At its April </w:t>
      </w:r>
      <w:r w:rsidR="00380EB5">
        <w:rPr>
          <w:rFonts w:cs="Calibri"/>
          <w:i/>
          <w:iCs/>
        </w:rPr>
        <w:t xml:space="preserve">2023 </w:t>
      </w:r>
      <w:r w:rsidRPr="004C3B98">
        <w:rPr>
          <w:rFonts w:cs="Calibri"/>
          <w:i/>
          <w:iCs/>
        </w:rPr>
        <w:t xml:space="preserve">meeting, </w:t>
      </w:r>
      <w:r w:rsidR="00636919" w:rsidRPr="004C3B98">
        <w:rPr>
          <w:rFonts w:cs="Calibri"/>
          <w:i/>
          <w:iCs/>
        </w:rPr>
        <w:t xml:space="preserve">PASC considered that of the six patient groups </w:t>
      </w:r>
      <w:r w:rsidR="00D55BEE" w:rsidRPr="004C3B98">
        <w:rPr>
          <w:rFonts w:cs="Calibri"/>
          <w:i/>
          <w:iCs/>
        </w:rPr>
        <w:t>proposed</w:t>
      </w:r>
      <w:r w:rsidR="00636919" w:rsidRPr="004C3B98">
        <w:rPr>
          <w:rFonts w:cs="Calibri"/>
          <w:i/>
          <w:iCs/>
        </w:rPr>
        <w:t xml:space="preserve"> in the application, the final two </w:t>
      </w:r>
      <w:bookmarkStart w:id="22" w:name="_Hlk137504813"/>
      <w:r w:rsidR="00636919" w:rsidRPr="004C3B98">
        <w:rPr>
          <w:rFonts w:cs="Calibri"/>
          <w:i/>
          <w:iCs/>
        </w:rPr>
        <w:t xml:space="preserve">(‘Patients with NET in whom neoadjuvant treatment may facilitate successful localised curative intent ablative therapies’ and ‘Patients with advanced malignancy characterised by high somatostatin receptor expression such as neuroblastoma, phaeochromocytoma and paraganglioma whose outcomes may be improved by </w:t>
      </w:r>
      <w:r w:rsidR="00636919" w:rsidRPr="004C3B98">
        <w:rPr>
          <w:rFonts w:cs="Calibri"/>
          <w:i/>
          <w:iCs/>
          <w:vertAlign w:val="superscript"/>
        </w:rPr>
        <w:t>177</w:t>
      </w:r>
      <w:r w:rsidR="00636919" w:rsidRPr="004C3B98">
        <w:rPr>
          <w:rFonts w:cs="Calibri"/>
          <w:i/>
          <w:iCs/>
        </w:rPr>
        <w:t>Lu-</w:t>
      </w:r>
      <w:r w:rsidR="001C03D0" w:rsidRPr="004C3B98">
        <w:rPr>
          <w:rFonts w:cs="Calibri"/>
          <w:i/>
          <w:iCs/>
        </w:rPr>
        <w:t>DOTA-octreotate</w:t>
      </w:r>
      <w:r w:rsidR="00636919" w:rsidRPr="004C3B98">
        <w:rPr>
          <w:rFonts w:cs="Calibri"/>
          <w:i/>
          <w:iCs/>
        </w:rPr>
        <w:t xml:space="preserve"> treatment’) </w:t>
      </w:r>
      <w:bookmarkEnd w:id="22"/>
      <w:r w:rsidR="00636919" w:rsidRPr="004C3B98">
        <w:rPr>
          <w:rFonts w:cs="Calibri"/>
          <w:i/>
          <w:iCs/>
        </w:rPr>
        <w:t>should be removed from consideration.</w:t>
      </w:r>
    </w:p>
    <w:p w14:paraId="1EA28E2A" w14:textId="4D122EB3" w:rsidR="004E4A14" w:rsidRPr="00E35BCA" w:rsidRDefault="004E4A14" w:rsidP="00B3581F">
      <w:pPr>
        <w:jc w:val="both"/>
        <w:rPr>
          <w:rFonts w:cs="Calibri"/>
        </w:rPr>
      </w:pPr>
      <w:r w:rsidRPr="00E35BCA">
        <w:rPr>
          <w:rFonts w:cs="Calibri"/>
        </w:rPr>
        <w:t xml:space="preserve">The applicant considered that this PASC recommendation would deny a small number of patients with incurable malignancy the opportunity to receive highly beneficial disease modifying treatment, also noting that the treatment would only attract a </w:t>
      </w:r>
      <w:r w:rsidR="00567315" w:rsidRPr="00E35BCA">
        <w:rPr>
          <w:rFonts w:cs="Calibri"/>
        </w:rPr>
        <w:t>M</w:t>
      </w:r>
      <w:r w:rsidRPr="00E35BCA">
        <w:rPr>
          <w:rFonts w:cs="Calibri"/>
        </w:rPr>
        <w:t xml:space="preserve">edicare benefit if there </w:t>
      </w:r>
      <w:r w:rsidR="00567315" w:rsidRPr="00E35BCA">
        <w:rPr>
          <w:rFonts w:cs="Calibri"/>
        </w:rPr>
        <w:t>wa</w:t>
      </w:r>
      <w:r w:rsidRPr="00E35BCA">
        <w:rPr>
          <w:rFonts w:cs="Calibri"/>
        </w:rPr>
        <w:t xml:space="preserve">s a positive recommendation from an MDT.  </w:t>
      </w:r>
    </w:p>
    <w:p w14:paraId="11E0C687" w14:textId="19A850B6" w:rsidR="006B2C3C" w:rsidRPr="00E35BCA" w:rsidRDefault="006E6F27" w:rsidP="00B3581F">
      <w:pPr>
        <w:jc w:val="both"/>
        <w:rPr>
          <w:i/>
        </w:rPr>
      </w:pPr>
      <w:r w:rsidRPr="006B2C3C">
        <w:rPr>
          <w:i/>
          <w:iCs/>
        </w:rPr>
        <w:t xml:space="preserve">At its August 2023 PASC meeting, PASC </w:t>
      </w:r>
      <w:r w:rsidR="00380EB5" w:rsidRPr="27B8097F">
        <w:rPr>
          <w:rFonts w:asciiTheme="minorHAnsi" w:hAnsiTheme="minorHAnsi" w:cstheme="minorBidi"/>
          <w:i/>
        </w:rPr>
        <w:t xml:space="preserve">noted that the applicant requested that PASC reconsider its decision on whether or not to exclude ‘Patients with NET in whom neoadjuvant treatment may facilitate successful localised curative intent ablative therapies’ and ‘Patients with advanced malignancy characterised by high somatostatin receptor expression such as neuroblastoma, phaeochromocytoma and paraganglioma whose outcomes may be improved by </w:t>
      </w:r>
      <w:r w:rsidR="00380EB5" w:rsidRPr="27B8097F">
        <w:rPr>
          <w:rFonts w:asciiTheme="minorHAnsi" w:hAnsiTheme="minorHAnsi" w:cstheme="minorBidi"/>
          <w:i/>
          <w:vertAlign w:val="superscript"/>
        </w:rPr>
        <w:t>177</w:t>
      </w:r>
      <w:r w:rsidR="00380EB5" w:rsidRPr="27B8097F">
        <w:rPr>
          <w:rFonts w:asciiTheme="minorHAnsi" w:hAnsiTheme="minorHAnsi" w:cstheme="minorBidi"/>
          <w:i/>
        </w:rPr>
        <w:t xml:space="preserve">Lu-DOTA-octreotate treatment’ from the proposed population. PASC re-iterated that patients with non-NEN tumours with high somatostatin expression should not be included in the population. PASC considered that </w:t>
      </w:r>
      <w:r w:rsidR="00380EB5" w:rsidRPr="00E35BCA">
        <w:rPr>
          <w:i/>
        </w:rPr>
        <w:t xml:space="preserve">neuroblastoma, phaeochromocytoma and paraganglioma are considered </w:t>
      </w:r>
      <w:r w:rsidR="00380EB5" w:rsidRPr="006B2C3C">
        <w:rPr>
          <w:i/>
        </w:rPr>
        <w:t>NENs and therefore patients with these conditions are</w:t>
      </w:r>
      <w:r w:rsidR="00380EB5" w:rsidRPr="00E35BCA">
        <w:rPr>
          <w:i/>
        </w:rPr>
        <w:t xml:space="preserve"> </w:t>
      </w:r>
      <w:r w:rsidR="7F5BC8F8" w:rsidRPr="320E4F41">
        <w:rPr>
          <w:i/>
          <w:iCs/>
        </w:rPr>
        <w:t xml:space="preserve">currently </w:t>
      </w:r>
      <w:r w:rsidR="00380EB5" w:rsidRPr="320E4F41">
        <w:rPr>
          <w:i/>
          <w:iCs/>
        </w:rPr>
        <w:t>included</w:t>
      </w:r>
      <w:r w:rsidR="00380EB5" w:rsidRPr="006B2C3C">
        <w:rPr>
          <w:i/>
        </w:rPr>
        <w:t xml:space="preserve"> in the eligible population</w:t>
      </w:r>
      <w:r w:rsidR="00380EB5" w:rsidRPr="00E35BCA">
        <w:rPr>
          <w:i/>
        </w:rPr>
        <w:t>. However, patients with advanced malignancy characterised by high somatostatin receptor expression that are not NENs (</w:t>
      </w:r>
      <w:r w:rsidR="003C3457" w:rsidRPr="00E35BCA">
        <w:rPr>
          <w:i/>
        </w:rPr>
        <w:t>e.g.,</w:t>
      </w:r>
      <w:r w:rsidR="00380EB5" w:rsidRPr="00E35BCA">
        <w:rPr>
          <w:i/>
        </w:rPr>
        <w:t xml:space="preserve"> breast cancer, lymphoma, myeloma, renal cancer) should not be included in the eligible population.</w:t>
      </w:r>
      <w:r w:rsidR="006B2C3C">
        <w:rPr>
          <w:i/>
        </w:rPr>
        <w:t xml:space="preserve"> </w:t>
      </w:r>
    </w:p>
    <w:p w14:paraId="1453DA96" w14:textId="77777777" w:rsidR="00380EB5" w:rsidRPr="00E35BCA" w:rsidRDefault="00380EB5" w:rsidP="00B3581F">
      <w:pPr>
        <w:autoSpaceDE w:val="0"/>
        <w:autoSpaceDN w:val="0"/>
        <w:adjustRightInd w:val="0"/>
        <w:spacing w:after="120"/>
        <w:jc w:val="both"/>
        <w:rPr>
          <w:rFonts w:asciiTheme="minorHAnsi" w:hAnsiTheme="minorHAnsi" w:cstheme="minorHAnsi"/>
          <w:i/>
        </w:rPr>
      </w:pPr>
      <w:r w:rsidRPr="00E35BCA">
        <w:rPr>
          <w:i/>
        </w:rPr>
        <w:t xml:space="preserve">PASC further noted in August 2023 that </w:t>
      </w:r>
      <w:r w:rsidRPr="00E35BCA">
        <w:rPr>
          <w:rFonts w:asciiTheme="minorHAnsi" w:hAnsiTheme="minorHAnsi" w:cstheme="minorHAnsi"/>
          <w:i/>
        </w:rPr>
        <w:t>with respect to the population of ‘patients with NET in whom neoadjuvant treatment may facilitate successful localised curative intent ablative therapies’:</w:t>
      </w:r>
    </w:p>
    <w:p w14:paraId="6FF556F9" w14:textId="1B0C00C2" w:rsidR="00380EB5" w:rsidRPr="00E35BCA" w:rsidRDefault="00380EB5" w:rsidP="00B3581F">
      <w:pPr>
        <w:pStyle w:val="ListParagraph"/>
        <w:numPr>
          <w:ilvl w:val="0"/>
          <w:numId w:val="35"/>
        </w:numPr>
        <w:autoSpaceDE w:val="0"/>
        <w:autoSpaceDN w:val="0"/>
        <w:adjustRightInd w:val="0"/>
        <w:ind w:left="284" w:hanging="284"/>
        <w:jc w:val="both"/>
        <w:rPr>
          <w:rFonts w:asciiTheme="minorHAnsi" w:hAnsiTheme="minorHAnsi" w:cstheme="minorHAnsi"/>
          <w:i/>
        </w:rPr>
      </w:pPr>
      <w:r w:rsidRPr="00E35BCA">
        <w:rPr>
          <w:rFonts w:asciiTheme="minorHAnsi" w:hAnsiTheme="minorHAnsi" w:cstheme="minorHAnsi"/>
          <w:i/>
        </w:rPr>
        <w:t xml:space="preserve">this population is not included in any guidelines regarding treatment of patients with NEN; </w:t>
      </w:r>
    </w:p>
    <w:p w14:paraId="32168E49" w14:textId="1629E689" w:rsidR="00380EB5" w:rsidRPr="00E35BCA" w:rsidRDefault="00380EB5" w:rsidP="00B3581F">
      <w:pPr>
        <w:pStyle w:val="ListParagraph"/>
        <w:numPr>
          <w:ilvl w:val="0"/>
          <w:numId w:val="35"/>
        </w:numPr>
        <w:autoSpaceDE w:val="0"/>
        <w:autoSpaceDN w:val="0"/>
        <w:adjustRightInd w:val="0"/>
        <w:ind w:left="284" w:hanging="284"/>
        <w:jc w:val="both"/>
        <w:rPr>
          <w:rFonts w:asciiTheme="minorHAnsi" w:hAnsiTheme="minorHAnsi" w:cstheme="minorHAnsi"/>
          <w:i/>
        </w:rPr>
      </w:pPr>
      <w:r w:rsidRPr="00E35BCA">
        <w:rPr>
          <w:rFonts w:asciiTheme="minorHAnsi" w:hAnsiTheme="minorHAnsi" w:cstheme="minorHAnsi"/>
          <w:i/>
        </w:rPr>
        <w:t>data to support the effectiveness of the proposed intervention in this population is scarce, based only on case reports and inhomogeneous retrospective studies of limited numbers of patients;</w:t>
      </w:r>
    </w:p>
    <w:p w14:paraId="265D5BDD" w14:textId="327FBE67" w:rsidR="00380EB5" w:rsidRPr="00E35BCA" w:rsidRDefault="00380EB5" w:rsidP="00B3581F">
      <w:pPr>
        <w:pStyle w:val="ListParagraph"/>
        <w:numPr>
          <w:ilvl w:val="0"/>
          <w:numId w:val="35"/>
        </w:numPr>
        <w:autoSpaceDE w:val="0"/>
        <w:autoSpaceDN w:val="0"/>
        <w:adjustRightInd w:val="0"/>
        <w:ind w:left="284" w:hanging="284"/>
        <w:jc w:val="both"/>
        <w:rPr>
          <w:rFonts w:asciiTheme="minorHAnsi" w:hAnsiTheme="minorHAnsi" w:cstheme="minorHAnsi"/>
          <w:i/>
        </w:rPr>
      </w:pPr>
      <w:r w:rsidRPr="00E35BCA">
        <w:rPr>
          <w:rFonts w:asciiTheme="minorHAnsi" w:hAnsiTheme="minorHAnsi" w:cstheme="minorHAnsi"/>
          <w:i/>
        </w:rPr>
        <w:t>the largest (retrospective) case series</w:t>
      </w:r>
      <w:r w:rsidR="00062D76">
        <w:rPr>
          <w:rStyle w:val="FootnoteReference"/>
          <w:rFonts w:asciiTheme="minorHAnsi" w:hAnsiTheme="minorHAnsi" w:cstheme="minorHAnsi"/>
          <w:i/>
        </w:rPr>
        <w:footnoteReference w:id="4"/>
      </w:r>
      <w:r w:rsidRPr="00E35BCA">
        <w:rPr>
          <w:rFonts w:asciiTheme="minorHAnsi" w:hAnsiTheme="minorHAnsi" w:cstheme="minorHAnsi"/>
          <w:i/>
        </w:rPr>
        <w:t xml:space="preserve"> was of 57 patients, in whom neoadjuvant PRRT rendered the neuroendocrine tumours of 15 patients resectable. The usual survival outcome measures such as progression free survival (PFS) and overall survival (OS) were not compared between those and the remaining 42 patients; and </w:t>
      </w:r>
    </w:p>
    <w:p w14:paraId="669A02DA" w14:textId="1E7F7C2C" w:rsidR="00380EB5" w:rsidRPr="00E35BCA" w:rsidRDefault="00380EB5" w:rsidP="007B0205">
      <w:pPr>
        <w:pStyle w:val="ListParagraph"/>
        <w:numPr>
          <w:ilvl w:val="0"/>
          <w:numId w:val="35"/>
        </w:numPr>
        <w:autoSpaceDE w:val="0"/>
        <w:autoSpaceDN w:val="0"/>
        <w:adjustRightInd w:val="0"/>
        <w:ind w:left="284" w:hanging="284"/>
        <w:jc w:val="both"/>
        <w:rPr>
          <w:rFonts w:asciiTheme="minorHAnsi" w:hAnsiTheme="minorHAnsi" w:cstheme="minorHAnsi"/>
          <w:i/>
          <w:iCs/>
          <w:sz w:val="24"/>
        </w:rPr>
      </w:pPr>
      <w:r w:rsidRPr="00E35BCA">
        <w:rPr>
          <w:rFonts w:asciiTheme="minorHAnsi" w:hAnsiTheme="minorHAnsi" w:cstheme="minorHAnsi"/>
          <w:i/>
        </w:rPr>
        <w:t xml:space="preserve">the only relevant trial is NCT04385992 (NeoLuPsNET) which is a phase II trial of neoadjuvant PRRT with </w:t>
      </w:r>
      <w:r w:rsidRPr="00E35BCA">
        <w:rPr>
          <w:rFonts w:asciiTheme="minorHAnsi" w:hAnsiTheme="minorHAnsi" w:cstheme="minorHAnsi"/>
          <w:i/>
          <w:vertAlign w:val="superscript"/>
        </w:rPr>
        <w:t>177</w:t>
      </w:r>
      <w:r w:rsidRPr="00E35BCA">
        <w:rPr>
          <w:rFonts w:asciiTheme="minorHAnsi" w:hAnsiTheme="minorHAnsi" w:cstheme="minorHAnsi"/>
          <w:i/>
        </w:rPr>
        <w:t xml:space="preserve">Lu-DOTA-octreotate followed by surgery for resectable non-functioning pancreatic NET; (proposed N=30; primary endpoint rate of postoperative 90-day morbidity and mortality), due for completion June </w:t>
      </w:r>
      <w:r w:rsidRPr="00E35BCA">
        <w:rPr>
          <w:rFonts w:asciiTheme="minorHAnsi" w:hAnsiTheme="minorHAnsi" w:cstheme="minorHAnsi"/>
          <w:i/>
        </w:rPr>
        <w:lastRenderedPageBreak/>
        <w:t xml:space="preserve">2023. However, this trial population does not align with the proposed PICO population, which specifies that patients must have inoperable tumours. </w:t>
      </w:r>
    </w:p>
    <w:p w14:paraId="17E08170" w14:textId="3D6C4FAB" w:rsidR="00380EB5" w:rsidRPr="00E35BCA" w:rsidRDefault="00380EB5" w:rsidP="007B0205">
      <w:pPr>
        <w:jc w:val="both"/>
        <w:rPr>
          <w:i/>
          <w:iCs/>
        </w:rPr>
      </w:pPr>
      <w:r w:rsidRPr="00E35BCA">
        <w:rPr>
          <w:rFonts w:asciiTheme="minorHAnsi" w:hAnsiTheme="minorHAnsi" w:cstheme="minorHAnsi"/>
          <w:i/>
        </w:rPr>
        <w:t>On balance based on the above, PASC considered that patients with NET in whom neoadjuvant treatment may facilitate successful localised curative intent ablative therapies were not within the eligible population.</w:t>
      </w:r>
    </w:p>
    <w:p w14:paraId="6F0475E8" w14:textId="35AA32C9" w:rsidR="00A07746" w:rsidRPr="00922B1C" w:rsidRDefault="002B2D11" w:rsidP="007B0205">
      <w:pPr>
        <w:jc w:val="both"/>
      </w:pPr>
      <w:r w:rsidRPr="00ED4E95">
        <w:t>The application explains (p22) that although, as a group, NET, including those with H-SSTR</w:t>
      </w:r>
      <w:r w:rsidR="00755AB3">
        <w:t xml:space="preserve"> </w:t>
      </w:r>
      <w:r w:rsidRPr="00ED4E95">
        <w:t xml:space="preserve">are not rare, the incidence of different tumour types that comprise this category of malignancies is low. Accordingly, even experienced clinical cancer specialists may be asked to treat patients with a specific type of NET only rarely, and the development of high-quality evidence is difficult, particularly with respect to understanding the relative benefits and risks of new therapies compared with existing standards of care. </w:t>
      </w:r>
      <w:r w:rsidR="00C56ABD">
        <w:t xml:space="preserve">To help address this, </w:t>
      </w:r>
      <w:r w:rsidR="00A317E8">
        <w:t>i</w:t>
      </w:r>
      <w:r w:rsidR="00C56ABD">
        <w:t xml:space="preserve">t is proposed that </w:t>
      </w:r>
      <w:r w:rsidRPr="00ED4E95">
        <w:t>patients are managed by an experienced Multidisciplinary Team (MDT).</w:t>
      </w:r>
      <w:r w:rsidR="00A07746" w:rsidRPr="00ED4E95">
        <w:t xml:space="preserve"> </w:t>
      </w:r>
      <w:r w:rsidR="00A07746" w:rsidRPr="00922B1C">
        <w:t>With the highly heterogenous nature of NE</w:t>
      </w:r>
      <w:r w:rsidR="00D02309">
        <w:t>N</w:t>
      </w:r>
      <w:r w:rsidR="00A07746" w:rsidRPr="00922B1C">
        <w:t xml:space="preserve">s and the associated complexities in clinical management pathways, </w:t>
      </w:r>
      <w:r w:rsidR="00C56ABD">
        <w:t>an experience</w:t>
      </w:r>
      <w:r w:rsidR="00E34006">
        <w:t>d</w:t>
      </w:r>
      <w:r w:rsidR="00C56ABD">
        <w:t xml:space="preserve"> </w:t>
      </w:r>
      <w:r w:rsidR="00A07746" w:rsidRPr="00922B1C">
        <w:t xml:space="preserve">MDT would assist in delivering optimal outcomes for patients. </w:t>
      </w:r>
    </w:p>
    <w:p w14:paraId="0003244F" w14:textId="261DB619" w:rsidR="002B2D11" w:rsidRPr="00922B1C" w:rsidRDefault="00C56ABD" w:rsidP="007B0205">
      <w:pPr>
        <w:jc w:val="both"/>
      </w:pPr>
      <w:r>
        <w:t>I</w:t>
      </w:r>
      <w:r w:rsidR="002B2D11" w:rsidRPr="00922B1C">
        <w:t>t has been consistently recommended in the literature that eligibility for PRRT be discussed by a</w:t>
      </w:r>
      <w:r w:rsidR="00636919">
        <w:t>n</w:t>
      </w:r>
      <w:r w:rsidR="002B2D11" w:rsidRPr="00922B1C">
        <w:t xml:space="preserve"> MDT specialised in NET management</w:t>
      </w:r>
      <w:r w:rsidR="000C2E9F" w:rsidRPr="00922B1C">
        <w:t xml:space="preserve"> (Ambrosini 2021; Becx 2022; Hick</w:t>
      </w:r>
      <w:r w:rsidR="00636919">
        <w:t>s</w:t>
      </w:r>
      <w:r w:rsidR="000C2E9F" w:rsidRPr="00922B1C">
        <w:t xml:space="preserve"> 2017; Hope 2019)</w:t>
      </w:r>
      <w:r w:rsidR="002B2D11" w:rsidRPr="00922B1C">
        <w:t>. This is discussed in further detail below.</w:t>
      </w:r>
      <w:r w:rsidR="00267712">
        <w:t xml:space="preserve"> </w:t>
      </w:r>
      <w:r w:rsidR="00267712" w:rsidRPr="00E35BCA">
        <w:t>Currently, NEN specialists are using MBS Item</w:t>
      </w:r>
      <w:r w:rsidR="0043450D" w:rsidRPr="00E35BCA">
        <w:t>s</w:t>
      </w:r>
      <w:r w:rsidR="00267712" w:rsidRPr="00E35BCA">
        <w:t xml:space="preserve"> 871 &amp; 872 </w:t>
      </w:r>
      <w:r w:rsidR="00E34006" w:rsidRPr="00E35BCA">
        <w:t xml:space="preserve">for MDT meetings </w:t>
      </w:r>
      <w:r w:rsidR="00267712" w:rsidRPr="00E35BCA">
        <w:t xml:space="preserve">and </w:t>
      </w:r>
      <w:r w:rsidR="00D02309" w:rsidRPr="00E35BCA">
        <w:t>the applicant noted that Item 872 was appropriate for this purpose.</w:t>
      </w:r>
      <w:r w:rsidR="00D02309">
        <w:rPr>
          <w:i/>
          <w:iCs/>
        </w:rPr>
        <w:t xml:space="preserve"> </w:t>
      </w:r>
    </w:p>
    <w:p w14:paraId="13948E85" w14:textId="0B122916" w:rsidR="002B2D11" w:rsidRPr="00922B1C" w:rsidRDefault="002B2D11" w:rsidP="007B0205">
      <w:pPr>
        <w:jc w:val="both"/>
      </w:pPr>
      <w:r w:rsidRPr="00922B1C">
        <w:t>The European Neuroendocrine Tumour Society (ENETS</w:t>
      </w:r>
      <w:r w:rsidR="002E16C8" w:rsidRPr="00922B1C">
        <w:t>, Hicks 2017</w:t>
      </w:r>
      <w:r w:rsidRPr="00922B1C">
        <w:t xml:space="preserve">) eligibility for PRRT </w:t>
      </w:r>
      <w:r w:rsidR="00A44239">
        <w:t>is as follows</w:t>
      </w:r>
      <w:r w:rsidRPr="00922B1C">
        <w:t>:</w:t>
      </w:r>
    </w:p>
    <w:p w14:paraId="452C310D" w14:textId="77777777" w:rsidR="002B2D11" w:rsidRPr="00922B1C" w:rsidRDefault="002B2D11" w:rsidP="007B0205">
      <w:pPr>
        <w:pStyle w:val="ListParagraph"/>
        <w:numPr>
          <w:ilvl w:val="0"/>
          <w:numId w:val="4"/>
        </w:numPr>
        <w:ind w:left="360"/>
        <w:jc w:val="both"/>
      </w:pPr>
      <w:r w:rsidRPr="00922B1C">
        <w:t>Inoperable/metastatic well-differentiated (G1/G2) NETs.</w:t>
      </w:r>
    </w:p>
    <w:p w14:paraId="4B6291E2" w14:textId="77777777" w:rsidR="002B2D11" w:rsidRPr="00922B1C" w:rsidRDefault="002B2D11" w:rsidP="007B0205">
      <w:pPr>
        <w:pStyle w:val="ListParagraph"/>
        <w:numPr>
          <w:ilvl w:val="0"/>
          <w:numId w:val="4"/>
        </w:numPr>
        <w:ind w:left="360"/>
        <w:jc w:val="both"/>
      </w:pPr>
      <w:r w:rsidRPr="00922B1C">
        <w:t>Well-differentiated G3 NET may be considered (may be suitable for patients with higher grade NETs who have failed a trial of chemotherapy).</w:t>
      </w:r>
    </w:p>
    <w:p w14:paraId="1F835848" w14:textId="77777777" w:rsidR="002B2D11" w:rsidRPr="00922B1C" w:rsidRDefault="002B2D11" w:rsidP="007B0205">
      <w:pPr>
        <w:pStyle w:val="ListParagraph"/>
        <w:numPr>
          <w:ilvl w:val="0"/>
          <w:numId w:val="4"/>
        </w:numPr>
        <w:ind w:left="360"/>
        <w:jc w:val="both"/>
      </w:pPr>
      <w:r w:rsidRPr="00922B1C">
        <w:t>Sufficient tumour uptake on the diagnostic somatostatin receptor scintigraphy (SRS).</w:t>
      </w:r>
    </w:p>
    <w:p w14:paraId="0CDE7915" w14:textId="77777777" w:rsidR="002B2D11" w:rsidRPr="00922B1C" w:rsidRDefault="002B2D11" w:rsidP="007B0205">
      <w:pPr>
        <w:pStyle w:val="ListParagraph"/>
        <w:numPr>
          <w:ilvl w:val="0"/>
          <w:numId w:val="4"/>
        </w:numPr>
        <w:ind w:left="360"/>
        <w:jc w:val="both"/>
      </w:pPr>
      <w:r w:rsidRPr="00922B1C">
        <w:t>Sufficient bone marrow reserves (grades 1–2 haematological toxicity usually accepted).</w:t>
      </w:r>
    </w:p>
    <w:p w14:paraId="4DD7D393" w14:textId="54327508" w:rsidR="002B2D11" w:rsidRPr="00922B1C" w:rsidRDefault="002B2D11" w:rsidP="007B0205">
      <w:pPr>
        <w:pStyle w:val="ListParagraph"/>
        <w:numPr>
          <w:ilvl w:val="0"/>
          <w:numId w:val="4"/>
        </w:numPr>
        <w:ind w:left="360"/>
        <w:jc w:val="both"/>
      </w:pPr>
      <w:r w:rsidRPr="00922B1C">
        <w:t>Creatinine clearance &gt;50 mL/min.</w:t>
      </w:r>
    </w:p>
    <w:p w14:paraId="6BDC8A0A" w14:textId="77777777" w:rsidR="002B2D11" w:rsidRPr="00922B1C" w:rsidRDefault="002B2D11" w:rsidP="007B0205">
      <w:pPr>
        <w:pStyle w:val="ListParagraph"/>
        <w:numPr>
          <w:ilvl w:val="0"/>
          <w:numId w:val="4"/>
        </w:numPr>
        <w:ind w:left="360"/>
        <w:jc w:val="both"/>
      </w:pPr>
      <w:r w:rsidRPr="00922B1C">
        <w:t>Karnofsky Performance Score (KPS) greater than 50.</w:t>
      </w:r>
    </w:p>
    <w:p w14:paraId="06A88118" w14:textId="77777777" w:rsidR="002B2D11" w:rsidRPr="00922B1C" w:rsidRDefault="002B2D11" w:rsidP="007B0205">
      <w:pPr>
        <w:pStyle w:val="ListParagraph"/>
        <w:numPr>
          <w:ilvl w:val="0"/>
          <w:numId w:val="4"/>
        </w:numPr>
        <w:ind w:left="360"/>
        <w:jc w:val="both"/>
      </w:pPr>
      <w:r w:rsidRPr="00922B1C">
        <w:t>Expected survival greater than three months.</w:t>
      </w:r>
    </w:p>
    <w:p w14:paraId="096D3915" w14:textId="0A7BBEB5" w:rsidR="002B2D11" w:rsidRPr="00922B1C" w:rsidRDefault="002B2D11" w:rsidP="007B0205">
      <w:pPr>
        <w:jc w:val="both"/>
      </w:pPr>
      <w:r w:rsidRPr="00922B1C">
        <w:t>International guidelines (including ESMO</w:t>
      </w:r>
      <w:r w:rsidR="002E16C8" w:rsidRPr="00922B1C">
        <w:t xml:space="preserve"> (Pavel </w:t>
      </w:r>
      <w:r w:rsidR="00412F03" w:rsidRPr="00922B1C">
        <w:t>2020</w:t>
      </w:r>
      <w:r w:rsidR="002E16C8" w:rsidRPr="00922B1C">
        <w:t>)</w:t>
      </w:r>
      <w:r w:rsidRPr="00922B1C">
        <w:t xml:space="preserve">, </w:t>
      </w:r>
      <w:bookmarkStart w:id="23" w:name="_Hlk127950820"/>
      <w:r w:rsidRPr="00922B1C">
        <w:t>National Comprehensive Cancer Network [NCCN</w:t>
      </w:r>
      <w:r w:rsidR="002E16C8" w:rsidRPr="00922B1C">
        <w:t>, Shah 2021</w:t>
      </w:r>
      <w:r w:rsidRPr="00922B1C">
        <w:t>]</w:t>
      </w:r>
      <w:bookmarkStart w:id="24" w:name="_Hlk127950849"/>
      <w:bookmarkEnd w:id="23"/>
      <w:r w:rsidRPr="00922B1C">
        <w:t>, ENETS</w:t>
      </w:r>
      <w:bookmarkEnd w:id="24"/>
      <w:r w:rsidR="002E16C8" w:rsidRPr="00922B1C">
        <w:t xml:space="preserve"> (Hick</w:t>
      </w:r>
      <w:r w:rsidR="00B202D0" w:rsidRPr="00922B1C">
        <w:t>s</w:t>
      </w:r>
      <w:r w:rsidR="002E16C8" w:rsidRPr="00922B1C">
        <w:t xml:space="preserve"> 2017)</w:t>
      </w:r>
      <w:r w:rsidRPr="00922B1C">
        <w:t>, and North American Neuroendocrine Tumour Society [NANETS</w:t>
      </w:r>
      <w:r w:rsidR="002E16C8" w:rsidRPr="00922B1C">
        <w:t>, Hope 2019b</w:t>
      </w:r>
      <w:r w:rsidRPr="00922B1C">
        <w:t xml:space="preserve">] are </w:t>
      </w:r>
      <w:bookmarkStart w:id="25" w:name="_Int_L7thgkVL"/>
      <w:r w:rsidRPr="00922B1C">
        <w:t>generally aligned</w:t>
      </w:r>
      <w:bookmarkEnd w:id="25"/>
      <w:r w:rsidRPr="00922B1C">
        <w:t xml:space="preserve"> with these eligibility criteria. Patients are required to demonstrate a tumour-positive SSTR status from PET/CT or somatostatin receptor scintigraphy (SRS) in combination with SPECT/CT imaging using a radioactive tracer (</w:t>
      </w:r>
      <w:r w:rsidRPr="00922B1C">
        <w:rPr>
          <w:vertAlign w:val="superscript"/>
        </w:rPr>
        <w:t>68</w:t>
      </w:r>
      <w:r w:rsidRPr="00922B1C">
        <w:t>Gallium [Ga]-</w:t>
      </w:r>
      <w:r w:rsidRPr="00922B1C">
        <w:rPr>
          <w:caps/>
        </w:rPr>
        <w:t>D</w:t>
      </w:r>
      <w:r w:rsidRPr="00922B1C">
        <w:t xml:space="preserve">otatate, </w:t>
      </w:r>
      <w:r w:rsidRPr="00922B1C">
        <w:rPr>
          <w:vertAlign w:val="superscript"/>
        </w:rPr>
        <w:t>68</w:t>
      </w:r>
      <w:r w:rsidRPr="00922B1C">
        <w:t xml:space="preserve">Ga-Dotatoc, or </w:t>
      </w:r>
      <w:r w:rsidRPr="00922B1C">
        <w:rPr>
          <w:vertAlign w:val="superscript"/>
        </w:rPr>
        <w:t>64</w:t>
      </w:r>
      <w:r w:rsidRPr="00922B1C">
        <w:t xml:space="preserve">Copper [Cu]-Dotatate for PET/CT or </w:t>
      </w:r>
      <w:r w:rsidRPr="00922B1C">
        <w:rPr>
          <w:vertAlign w:val="superscript"/>
        </w:rPr>
        <w:t>111</w:t>
      </w:r>
      <w:r w:rsidRPr="00922B1C">
        <w:t xml:space="preserve">Indium [In]-octreotide for SRS SPECT/CT). </w:t>
      </w:r>
      <w:r w:rsidR="00B73C9B">
        <w:t xml:space="preserve">The applicant noted that </w:t>
      </w:r>
      <w:r w:rsidR="00B73C9B" w:rsidRPr="00922B1C">
        <w:rPr>
          <w:vertAlign w:val="superscript"/>
        </w:rPr>
        <w:t>64</w:t>
      </w:r>
      <w:r w:rsidR="00B73C9B" w:rsidRPr="00B73C9B">
        <w:t xml:space="preserve">Cu-Dotatate (DETECTNET) for PET/CT is not available in Australia but an alternative </w:t>
      </w:r>
      <w:r w:rsidR="00B73C9B" w:rsidRPr="00922B1C">
        <w:rPr>
          <w:vertAlign w:val="superscript"/>
        </w:rPr>
        <w:t>64</w:t>
      </w:r>
      <w:r w:rsidR="00B73C9B" w:rsidRPr="00B73C9B">
        <w:t>Copper [Cu]-MecoSAR-octreotate (CuSARTATE) has been evaluated in a first-in-human study performed in Australia</w:t>
      </w:r>
      <w:r w:rsidR="00B73C9B">
        <w:t xml:space="preserve"> (Hicks 2019). The applicant stated that </w:t>
      </w:r>
      <w:r w:rsidR="00B73C9B" w:rsidRPr="00B73C9B">
        <w:t xml:space="preserve">CuSARTATE is in phase II trials in North America and may become an alternative </w:t>
      </w:r>
      <w:r w:rsidR="006148D1">
        <w:t xml:space="preserve">method </w:t>
      </w:r>
      <w:r w:rsidR="00B73C9B" w:rsidRPr="00B73C9B">
        <w:t>for selection of patients for PRRT.</w:t>
      </w:r>
    </w:p>
    <w:p w14:paraId="3E33996B" w14:textId="3E1A2D6E" w:rsidR="002B2D11" w:rsidRPr="00281B5B" w:rsidRDefault="002B2D11" w:rsidP="007B0205">
      <w:pPr>
        <w:jc w:val="both"/>
      </w:pPr>
      <w:r w:rsidRPr="00281B5B">
        <w:t>The line of therapy for PRRT appears to be variable depending on the characteristics of the NET, in particular the primary site, grade, and proliferation of the tumour (</w:t>
      </w:r>
      <w:r w:rsidRPr="00281B5B">
        <w:fldChar w:fldCharType="begin"/>
      </w:r>
      <w:r w:rsidRPr="00281B5B">
        <w:instrText xml:space="preserve"> REF _Ref127431467 \h  \* MERGEFORMAT </w:instrText>
      </w:r>
      <w:r w:rsidRPr="00281B5B">
        <w:fldChar w:fldCharType="separate"/>
      </w:r>
      <w:r w:rsidR="00401046" w:rsidRPr="00ED4E95">
        <w:t xml:space="preserve">Figure </w:t>
      </w:r>
      <w:r w:rsidR="00401046">
        <w:rPr>
          <w:noProof/>
        </w:rPr>
        <w:t>7</w:t>
      </w:r>
      <w:r w:rsidRPr="00281B5B">
        <w:fldChar w:fldCharType="end"/>
      </w:r>
      <w:r w:rsidRPr="00281B5B">
        <w:t>). The ESMO</w:t>
      </w:r>
      <w:r w:rsidR="002E16C8" w:rsidRPr="00281B5B">
        <w:t xml:space="preserve"> (Pavel 2020)</w:t>
      </w:r>
      <w:r w:rsidRPr="00281B5B">
        <w:t xml:space="preserve"> recommend PRRT as second-line (2L) therapy in the advanced or metastatic setting for patients with unresectable midgut NETs with disease progression on somatostatin analogues (SSAs) who fulfil the general requirements for PRRT, </w:t>
      </w:r>
      <w:r w:rsidRPr="00281B5B">
        <w:lastRenderedPageBreak/>
        <w:t xml:space="preserve">and for pancreatic NETs, PRRT was recommended after failure of chemotherapy or targeted therapies, such as everolimus and sunitinib (i.e., second-line and beyond [2L+] setting). In addition, PRRT is also indicated as a </w:t>
      </w:r>
      <w:proofErr w:type="gramStart"/>
      <w:r w:rsidRPr="00281B5B">
        <w:t>third-line</w:t>
      </w:r>
      <w:proofErr w:type="gramEnd"/>
      <w:r w:rsidRPr="00281B5B">
        <w:t xml:space="preserve"> (3L) therapy after failing SSAs in unresectable NETs with carcinoid syndrome to control symptoms due to excess hormone secretion (</w:t>
      </w:r>
      <w:r w:rsidRPr="00281B5B">
        <w:fldChar w:fldCharType="begin"/>
      </w:r>
      <w:r w:rsidRPr="00281B5B">
        <w:instrText xml:space="preserve"> REF _Ref128032674 \h  \* MERGEFORMAT </w:instrText>
      </w:r>
      <w:r w:rsidRPr="00281B5B">
        <w:fldChar w:fldCharType="separate"/>
      </w:r>
      <w:r w:rsidR="00401046" w:rsidRPr="00ED4E95">
        <w:t xml:space="preserve">Figure </w:t>
      </w:r>
      <w:r w:rsidR="00401046">
        <w:rPr>
          <w:noProof/>
        </w:rPr>
        <w:t>8</w:t>
      </w:r>
      <w:r w:rsidRPr="00281B5B">
        <w:fldChar w:fldCharType="end"/>
      </w:r>
      <w:r w:rsidRPr="00281B5B">
        <w:t>). The NANETS/SNMMI</w:t>
      </w:r>
      <w:r w:rsidR="002E16C8" w:rsidRPr="00281B5B">
        <w:t xml:space="preserve"> (Hope 2019b)</w:t>
      </w:r>
      <w:r w:rsidRPr="00281B5B">
        <w:t xml:space="preserve"> described similar indications for PRRT for midgut NETs </w:t>
      </w:r>
      <w:bookmarkStart w:id="26" w:name="_Int_EFmhYtOY"/>
      <w:r w:rsidRPr="00281B5B">
        <w:t>and also</w:t>
      </w:r>
      <w:bookmarkEnd w:id="26"/>
      <w:r w:rsidRPr="00281B5B">
        <w:t xml:space="preserve"> noted that the Food and Drug Administration (FDA) included pancreatic NETs in the indication for </w:t>
      </w:r>
      <w:r w:rsidRPr="00281B5B">
        <w:rPr>
          <w:vertAlign w:val="superscript"/>
        </w:rPr>
        <w:t>177</w:t>
      </w:r>
      <w:r w:rsidRPr="00281B5B">
        <w:t xml:space="preserve">Lu-Dotatate (Lutathera®) and considered it for the treatment of progressive pancreatic NETs. For lung NETs, evidence of effectiveness using PRRT is limited but its use may be considered in patients with SSTR-positive tumours if they progress on everolimus. </w:t>
      </w:r>
    </w:p>
    <w:p w14:paraId="5C917FF3" w14:textId="74E232FD" w:rsidR="002B2D11" w:rsidRPr="00281B5B" w:rsidRDefault="002B2D11" w:rsidP="007B0205">
      <w:pPr>
        <w:jc w:val="both"/>
      </w:pPr>
      <w:r w:rsidRPr="00281B5B">
        <w:t xml:space="preserve">Consistently, expert consensus from Ambrosini </w:t>
      </w:r>
      <w:r w:rsidR="002E16C8" w:rsidRPr="00281B5B">
        <w:t>(2021)</w:t>
      </w:r>
      <w:r w:rsidRPr="00281B5B">
        <w:t xml:space="preserve"> recommended PRRT as a 2L treatment after non-radiolabelled SSAs for patients with unresectable or disseminated gastrointestinal NETs (G1, G2, and G3) with high SSTR expression and patients with moderate/high uptake (tumour uptake of radiolabelled tracer greater than normal liver i.e., modified Krenning score of </w:t>
      </w:r>
      <w:r w:rsidRPr="00281B5B">
        <w:rPr>
          <w:rFonts w:cs="Calibri"/>
        </w:rPr>
        <w:t>≥</w:t>
      </w:r>
      <w:r w:rsidRPr="00281B5B">
        <w:t xml:space="preserve">3) in all metastases. However, consensus was not reached for the use of PRRT as a 2L treatment after failing non-radiolabelled SSA in patients with disseminated pancreatic NETs; as a 1L or 2L treatment for patients with local but non-resectable primary disease (i.e., no metastases); in patients with G1 or G2 NETs with mismatch lesions (i.e., </w:t>
      </w:r>
      <w:r w:rsidRPr="00281B5B">
        <w:rPr>
          <w:vertAlign w:val="superscript"/>
        </w:rPr>
        <w:t>18</w:t>
      </w:r>
      <w:r w:rsidRPr="00281B5B">
        <w:t xml:space="preserve">F-FDG-positive but </w:t>
      </w:r>
      <w:r w:rsidRPr="00281B5B">
        <w:rPr>
          <w:vertAlign w:val="superscript"/>
        </w:rPr>
        <w:t>68</w:t>
      </w:r>
      <w:r w:rsidRPr="00281B5B">
        <w:t xml:space="preserve">Ga-SSA-negative imaging results); or the use of PRRT as a neoadjuvant treatment. </w:t>
      </w:r>
    </w:p>
    <w:p w14:paraId="54E68490" w14:textId="7499FF1A" w:rsidR="002B2D11" w:rsidRPr="00281B5B" w:rsidRDefault="002B2D11" w:rsidP="007B0205">
      <w:pPr>
        <w:jc w:val="both"/>
      </w:pPr>
      <w:r w:rsidRPr="00281B5B">
        <w:t xml:space="preserve">Meanwhile, </w:t>
      </w:r>
      <w:r w:rsidRPr="00281B5B">
        <w:rPr>
          <w:vertAlign w:val="superscript"/>
        </w:rPr>
        <w:t>177</w:t>
      </w:r>
      <w:r w:rsidRPr="00281B5B">
        <w:t>Lu-Dotatate (Lutathera®) has attained regulatory approval by the FDA in 2018 for SSTR-positive GEP-NETs, including foregut, midgut, and hindgut NETs in adults and by the European Medicines Agency (EMA) in 2017 for the treatment of unresectable or metastatic, progressive, well-differentiated (G1 and G2), SSTR-positive GEP-NETs in adults</w:t>
      </w:r>
      <w:r w:rsidR="00D42FC9" w:rsidRPr="00281B5B">
        <w:t xml:space="preserve"> (Hennrich &amp; Kopka 2019)</w:t>
      </w:r>
      <w:r w:rsidRPr="00281B5B">
        <w:t xml:space="preserve">. </w:t>
      </w:r>
      <w:r w:rsidR="00B73C9B" w:rsidRPr="00281B5B">
        <w:t xml:space="preserve">The applicant stated that </w:t>
      </w:r>
      <w:r w:rsidR="00B73C9B" w:rsidRPr="00281B5B">
        <w:rPr>
          <w:vertAlign w:val="superscript"/>
        </w:rPr>
        <w:t>177</w:t>
      </w:r>
      <w:r w:rsidR="00B73C9B" w:rsidRPr="00281B5B">
        <w:t>Lu(nca)-</w:t>
      </w:r>
      <w:r w:rsidR="001C03D0" w:rsidRPr="00281B5B">
        <w:t>DOTA-</w:t>
      </w:r>
      <w:r w:rsidR="00110D5F" w:rsidRPr="00281B5B">
        <w:t xml:space="preserve">octreotate </w:t>
      </w:r>
      <w:r w:rsidR="002078D3">
        <w:t>appears to be a very close biosimilar to</w:t>
      </w:r>
      <w:r w:rsidR="00B73C9B" w:rsidRPr="00281B5B">
        <w:t xml:space="preserve"> the Lutathera product apart from the buffering agent formulation used to ensure radiochemical stability. </w:t>
      </w:r>
      <w:r w:rsidR="006F4A4F" w:rsidRPr="00281B5B">
        <w:t>The applicant further stated</w:t>
      </w:r>
      <w:r w:rsidR="00B73C9B" w:rsidRPr="00281B5B">
        <w:t xml:space="preserve"> </w:t>
      </w:r>
      <w:r w:rsidR="00B73C9B" w:rsidRPr="00281B5B">
        <w:rPr>
          <w:vertAlign w:val="superscript"/>
        </w:rPr>
        <w:t>177</w:t>
      </w:r>
      <w:r w:rsidR="00B73C9B" w:rsidRPr="00281B5B">
        <w:t>Lu</w:t>
      </w:r>
      <w:r w:rsidR="006F4A4F" w:rsidRPr="00281B5B">
        <w:t>-</w:t>
      </w:r>
      <w:r w:rsidR="001C03D0" w:rsidRPr="00281B5B">
        <w:t>DOTA-</w:t>
      </w:r>
      <w:r w:rsidR="00110D5F" w:rsidRPr="00281B5B">
        <w:t xml:space="preserve">octreotate </w:t>
      </w:r>
      <w:r w:rsidR="00B73C9B" w:rsidRPr="00281B5B">
        <w:t>has been used in Australia since 2005 without patent restriction.</w:t>
      </w:r>
    </w:p>
    <w:p w14:paraId="500AEE4F" w14:textId="5D6B185E" w:rsidR="00653B8F" w:rsidRPr="00922B1C" w:rsidRDefault="00653B8F" w:rsidP="007B0205">
      <w:pPr>
        <w:jc w:val="both"/>
      </w:pPr>
      <w:r w:rsidRPr="00281B5B">
        <w:t>Given the complexity in patient management due to the heterogeneity of tumour progression, symptoms, and response to different tumoricidal or tumo</w:t>
      </w:r>
      <w:r w:rsidR="00755AB3">
        <w:t>u</w:t>
      </w:r>
      <w:r w:rsidRPr="00281B5B">
        <w:t>r</w:t>
      </w:r>
      <w:r w:rsidR="00352820">
        <w:t>o</w:t>
      </w:r>
      <w:r w:rsidRPr="00281B5B">
        <w:t xml:space="preserve">static treatments, the applicant considered that treatment with </w:t>
      </w:r>
      <w:r w:rsidRPr="00281B5B">
        <w:rPr>
          <w:vertAlign w:val="superscript"/>
        </w:rPr>
        <w:t>177</w:t>
      </w:r>
      <w:r w:rsidRPr="00281B5B">
        <w:t>Lu</w:t>
      </w:r>
      <w:r w:rsidR="006F4A4F" w:rsidRPr="00281B5B">
        <w:t>-</w:t>
      </w:r>
      <w:r w:rsidR="001C03D0" w:rsidRPr="00281B5B">
        <w:t>DOTA-</w:t>
      </w:r>
      <w:r w:rsidR="00110D5F" w:rsidRPr="00281B5B">
        <w:t xml:space="preserve">octreotate </w:t>
      </w:r>
      <w:r w:rsidRPr="00281B5B">
        <w:t xml:space="preserve">should not be viewed as a ‘fixed’ line in any patient’s therapy. The most appropriate line of therapy for </w:t>
      </w:r>
      <w:r w:rsidRPr="00281B5B">
        <w:rPr>
          <w:vertAlign w:val="superscript"/>
        </w:rPr>
        <w:t>177</w:t>
      </w:r>
      <w:r w:rsidRPr="00281B5B">
        <w:t>Lu</w:t>
      </w:r>
      <w:r w:rsidR="006F4A4F" w:rsidRPr="00281B5B">
        <w:t>-</w:t>
      </w:r>
      <w:r w:rsidR="001C03D0" w:rsidRPr="00281B5B">
        <w:t>DOTA-</w:t>
      </w:r>
      <w:r w:rsidR="00110D5F" w:rsidRPr="00281B5B">
        <w:t xml:space="preserve">octreotate </w:t>
      </w:r>
      <w:r w:rsidRPr="00281B5B">
        <w:t xml:space="preserve">treatment should be considered on an individual patient basis by an MDT experienced in the management of advanced NETs and other H-SSTR tumours. In further discussion, the applicant’s clinical expert noted that while experienced MDTs will follow the best available evidence and guidelines for NET management and PRRT use, this may not necessarily always come from multicentre </w:t>
      </w:r>
      <w:r w:rsidR="00830D26" w:rsidRPr="00281B5B">
        <w:t>randomised controlled trials (</w:t>
      </w:r>
      <w:r w:rsidRPr="00281B5B">
        <w:t>RCTs</w:t>
      </w:r>
      <w:r w:rsidR="00830D26" w:rsidRPr="00281B5B">
        <w:t>)</w:t>
      </w:r>
      <w:r w:rsidRPr="00281B5B">
        <w:t xml:space="preserve"> with overall survival (OS) as the primary endpoint given that the objective of treatment varies with the disease grade, hormonal status, and primary tumour origin, hence clinical experience and judgement can sometimes take priority.</w:t>
      </w:r>
      <w:r w:rsidRPr="00922B1C">
        <w:t xml:space="preserve"> </w:t>
      </w:r>
    </w:p>
    <w:p w14:paraId="2A7868BF" w14:textId="36A47200" w:rsidR="002B2D11" w:rsidRPr="00922B1C" w:rsidRDefault="002B2D11" w:rsidP="007B0205">
      <w:pPr>
        <w:jc w:val="both"/>
      </w:pPr>
      <w:r w:rsidRPr="00ED4E95">
        <w:t>The application (pp6-17) provided</w:t>
      </w:r>
      <w:r w:rsidR="00A44239">
        <w:t xml:space="preserve"> a summary of studies, including </w:t>
      </w:r>
      <w:r w:rsidRPr="00ED4E95">
        <w:t>one RCT</w:t>
      </w:r>
      <w:r w:rsidR="006F5947" w:rsidRPr="00ED4E95">
        <w:t xml:space="preserve"> </w:t>
      </w:r>
      <w:r w:rsidR="00830D26" w:rsidRPr="00ED4E95">
        <w:t>(</w:t>
      </w:r>
      <w:r w:rsidR="00A44239">
        <w:t xml:space="preserve">NETTER-1; </w:t>
      </w:r>
      <w:r w:rsidR="006F5947" w:rsidRPr="00ED4E95">
        <w:t>Strosberg 2017</w:t>
      </w:r>
      <w:r w:rsidRPr="00ED4E95">
        <w:t>), three single-arm prospective cohort studies (PCS</w:t>
      </w:r>
      <w:r w:rsidR="006F5947" w:rsidRPr="00ED4E95">
        <w:t>; Brabander 2017, Khan 2011, Marinova 2019</w:t>
      </w:r>
      <w:r w:rsidRPr="00ED4E95">
        <w:t>), nine single-arm retrospective cohort studies (RCS</w:t>
      </w:r>
      <w:r w:rsidR="006F5947" w:rsidRPr="00ED4E95">
        <w:t>; Bergsma 2016, Bodei 2015, Kong 2017, Kong 2016, Sitani 2020, Thang 2018, Vaughn 2018, Zhang 2016, Zida</w:t>
      </w:r>
      <w:r w:rsidR="00D1415B" w:rsidRPr="00ED4E95">
        <w:t>n</w:t>
      </w:r>
      <w:r w:rsidR="006F5947" w:rsidRPr="00ED4E95">
        <w:t xml:space="preserve"> 2022</w:t>
      </w:r>
      <w:r w:rsidRPr="00ED4E95">
        <w:t>), one meta-analysis of 22 RCTs</w:t>
      </w:r>
      <w:r w:rsidR="006F5947" w:rsidRPr="00ED4E95">
        <w:t xml:space="preserve"> (Wang 2020)</w:t>
      </w:r>
      <w:r w:rsidRPr="00ED4E95">
        <w:t>, two clinical practice guidelines</w:t>
      </w:r>
      <w:r w:rsidR="006F5947" w:rsidRPr="00ED4E95">
        <w:t xml:space="preserve"> (Pavel 2020; Hicks 2017)</w:t>
      </w:r>
      <w:r w:rsidRPr="00ED4E95">
        <w:t>, and two expert opinion papers</w:t>
      </w:r>
      <w:r w:rsidR="006F5947" w:rsidRPr="00ED4E95">
        <w:t xml:space="preserve"> (Ambrosini 2021, Leyden 2020)</w:t>
      </w:r>
      <w:r w:rsidRPr="00ED4E95">
        <w:t xml:space="preserve"> to support the use of the proposed intervention, </w:t>
      </w:r>
      <w:r w:rsidRPr="00ED4E95">
        <w:rPr>
          <w:vertAlign w:val="superscript"/>
        </w:rPr>
        <w:t>177</w:t>
      </w:r>
      <w:r w:rsidRPr="00ED4E95">
        <w:t>Lu</w:t>
      </w:r>
      <w:r w:rsidR="006F4A4F">
        <w:t>-</w:t>
      </w:r>
      <w:r w:rsidR="001C03D0">
        <w:t>DOTA-octreotate</w:t>
      </w:r>
      <w:r w:rsidRPr="00ED4E95">
        <w:t>, in advanced NETs and H-SSTR malignancies.</w:t>
      </w:r>
    </w:p>
    <w:p w14:paraId="751DCEDF" w14:textId="5754224C" w:rsidR="002B2D11" w:rsidRPr="00922B1C" w:rsidRDefault="002B2D11" w:rsidP="007B0205">
      <w:pPr>
        <w:jc w:val="both"/>
      </w:pPr>
      <w:r w:rsidRPr="00922B1C">
        <w:lastRenderedPageBreak/>
        <w:t xml:space="preserve">The RCT investigated patients with </w:t>
      </w:r>
      <w:r w:rsidR="0073095A">
        <w:t xml:space="preserve">advanced </w:t>
      </w:r>
      <w:r w:rsidRPr="00922B1C">
        <w:t xml:space="preserve">midgut NETs who </w:t>
      </w:r>
      <w:r w:rsidR="0073095A">
        <w:t>had disease progression during first-line SSRT therapy (meta</w:t>
      </w:r>
      <w:r w:rsidR="00352820">
        <w:t>s</w:t>
      </w:r>
      <w:r w:rsidR="0073095A">
        <w:t xml:space="preserve">tasised, or were locally advanced, that were inoperable, histologically confirmed and verified) </w:t>
      </w:r>
      <w:r w:rsidRPr="00922B1C">
        <w:t>(NETTER-1</w:t>
      </w:r>
      <w:r w:rsidR="00E252DC" w:rsidRPr="00922B1C">
        <w:t>; Strosberg 2017)</w:t>
      </w:r>
      <w:r w:rsidRPr="00922B1C">
        <w:t>, the majority of prospective and retrospective cohort studies investigated a wider range of NETs but were primarily midgut, pancreas, lung NETs, and NETs of unknown origin, one retrospective study included only patients with lung NETs</w:t>
      </w:r>
      <w:r w:rsidR="00E252DC" w:rsidRPr="00922B1C">
        <w:t xml:space="preserve"> (Zidan 2022)</w:t>
      </w:r>
      <w:r w:rsidRPr="00922B1C">
        <w:t>, and one included only paediatric patients with neuroblastomas</w:t>
      </w:r>
      <w:r w:rsidR="00E252DC" w:rsidRPr="00922B1C">
        <w:t xml:space="preserve"> (Kong 2016)</w:t>
      </w:r>
      <w:r w:rsidRPr="00922B1C">
        <w:t xml:space="preserve">. </w:t>
      </w:r>
    </w:p>
    <w:p w14:paraId="182A066F" w14:textId="62A19B38" w:rsidR="009342B5" w:rsidRPr="00ED4E95" w:rsidRDefault="009342B5" w:rsidP="007B0205">
      <w:pPr>
        <w:pStyle w:val="Heading4"/>
        <w:jc w:val="both"/>
      </w:pPr>
      <w:r w:rsidRPr="00ED4E95">
        <w:t xml:space="preserve">Prevalence and incidence of NETs in Australia </w:t>
      </w:r>
    </w:p>
    <w:p w14:paraId="2C9DB2EC" w14:textId="4E6755E2" w:rsidR="009342B5" w:rsidRPr="00922B1C" w:rsidRDefault="009342B5" w:rsidP="007B0205">
      <w:pPr>
        <w:jc w:val="both"/>
      </w:pPr>
      <w:r w:rsidRPr="00922B1C">
        <w:t>According to the Australian Institute of Health and Welfare (AIHW</w:t>
      </w:r>
      <w:r w:rsidR="006F34EB" w:rsidRPr="00922B1C">
        <w:t xml:space="preserve"> 2022</w:t>
      </w:r>
      <w:r w:rsidRPr="00922B1C">
        <w:t>)</w:t>
      </w:r>
      <w:r w:rsidR="0035237C" w:rsidRPr="00922B1C">
        <w:t>,</w:t>
      </w:r>
      <w:r w:rsidRPr="00922B1C">
        <w:t xml:space="preserve"> the number of people living with NETs at the end of 2017 (diagnosed in the 5-year period between 2013 and 2017) was 11,656. The number of new NET cases diagnosed between 1982 and 2018 increased from 1,173 to 4,508, respectively and the age standardised incidence rate (ASIR) increased from 9 per 100,000 persons (14 for males and 5.3 for females) to 16 per 100,000 persons (17 for males and 14 for females) from 1982 to 2018. </w:t>
      </w:r>
    </w:p>
    <w:p w14:paraId="38E5BFDB" w14:textId="7F4B7EDD" w:rsidR="009342B5" w:rsidRPr="00922B1C" w:rsidRDefault="009342B5" w:rsidP="007B0205">
      <w:pPr>
        <w:jc w:val="both"/>
      </w:pPr>
      <w:r w:rsidRPr="00922B1C">
        <w:t>In a study based on 8,106 patients with NETs from the Victorian Cancer Registry between 1982 and 2019</w:t>
      </w:r>
      <w:r w:rsidR="006F34EB" w:rsidRPr="00922B1C">
        <w:t xml:space="preserve"> (Michael 2022)</w:t>
      </w:r>
      <w:r w:rsidR="008E078F" w:rsidRPr="00922B1C">
        <w:t>,</w:t>
      </w:r>
      <w:r w:rsidRPr="00922B1C">
        <w:t xml:space="preserve"> a total of 8,136 NETs were diagnosed</w:t>
      </w:r>
      <w:r w:rsidR="00E619AC" w:rsidRPr="00922B1C">
        <w:t>,</w:t>
      </w:r>
      <w:r w:rsidRPr="00922B1C">
        <w:t xml:space="preserve"> with G1 NETs comprising 60% of diagnoses and colorectal (26%), small intestine (17%), and lung (13%) being the </w:t>
      </w:r>
      <w:bookmarkStart w:id="27" w:name="_Int_VoZ57xV3"/>
      <w:r w:rsidRPr="00922B1C">
        <w:t>most commonly reported</w:t>
      </w:r>
      <w:bookmarkEnd w:id="27"/>
      <w:r w:rsidRPr="00922B1C">
        <w:t xml:space="preserve"> primary tumour sites (</w:t>
      </w:r>
      <w:r w:rsidR="000937D6" w:rsidRPr="00922B1C">
        <w:fldChar w:fldCharType="begin"/>
      </w:r>
      <w:r w:rsidR="000937D6" w:rsidRPr="00922B1C">
        <w:instrText xml:space="preserve"> REF _Ref127363819 \h </w:instrText>
      </w:r>
      <w:r w:rsidR="007A2EA1" w:rsidRPr="00922B1C">
        <w:instrText xml:space="preserve"> \* MERGEFORMAT </w:instrText>
      </w:r>
      <w:r w:rsidR="000937D6" w:rsidRPr="00922B1C">
        <w:fldChar w:fldCharType="separate"/>
      </w:r>
      <w:r w:rsidR="00401046" w:rsidRPr="00922B1C">
        <w:t xml:space="preserve">Table </w:t>
      </w:r>
      <w:r w:rsidR="00401046">
        <w:rPr>
          <w:noProof/>
        </w:rPr>
        <w:t>4</w:t>
      </w:r>
      <w:r w:rsidR="000937D6" w:rsidRPr="00922B1C">
        <w:fldChar w:fldCharType="end"/>
      </w:r>
      <w:r w:rsidRPr="00922B1C">
        <w:t xml:space="preserve">). </w:t>
      </w:r>
    </w:p>
    <w:p w14:paraId="60FE1045" w14:textId="2F589FAB" w:rsidR="009342B5" w:rsidRPr="00922B1C" w:rsidRDefault="000937D6" w:rsidP="00786089">
      <w:pPr>
        <w:pStyle w:val="Caption"/>
      </w:pPr>
      <w:bookmarkStart w:id="28" w:name="_Ref127363819"/>
      <w:r w:rsidRPr="00922B1C">
        <w:t xml:space="preserve">Table </w:t>
      </w:r>
      <w:r w:rsidRPr="00922B1C">
        <w:fldChar w:fldCharType="begin"/>
      </w:r>
      <w:r w:rsidRPr="00922B1C">
        <w:instrText xml:space="preserve"> SEQ Table \* ARABIC </w:instrText>
      </w:r>
      <w:r w:rsidRPr="00922B1C">
        <w:fldChar w:fldCharType="separate"/>
      </w:r>
      <w:r w:rsidR="00401046">
        <w:rPr>
          <w:noProof/>
        </w:rPr>
        <w:t>4</w:t>
      </w:r>
      <w:r w:rsidRPr="00922B1C">
        <w:fldChar w:fldCharType="end"/>
      </w:r>
      <w:bookmarkEnd w:id="28"/>
      <w:r w:rsidRPr="00922B1C">
        <w:tab/>
      </w:r>
      <w:r w:rsidR="009342B5" w:rsidRPr="00922B1C">
        <w:t>Summary of the number of NETs diagnoses in 1982–2019 by tumour grade/morphology and site (as per ICD-O-3)</w:t>
      </w:r>
      <w:r w:rsidR="008E078F" w:rsidRPr="00922B1C">
        <w:fldChar w:fldCharType="begin">
          <w:fldData xml:space="preserve">PEVuZE5vdGU+PENpdGU+PEF1dGhvcj5NaWNoYWVsPC9BdXRob3I+PFllYXI+MjAyMjwvWWVhcj48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</w:fldData>
        </w:fldChar>
      </w:r>
      <w:r w:rsidR="00263B20" w:rsidRPr="00922B1C">
        <w:instrText xml:space="preserve"> ADDIN EN.CITE </w:instrText>
      </w:r>
      <w:r w:rsidR="00263B20" w:rsidRPr="00922B1C">
        <w:fldChar w:fldCharType="begin">
          <w:fldData xml:space="preserve">PEVuZE5vdGU+PENpdGU+PEF1dGhvcj5NaWNoYWVsPC9BdXRob3I+PFllYXI+MjAyMjwvWWVhcj48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</w:fldData>
        </w:fldChar>
      </w:r>
      <w:r w:rsidR="00263B20" w:rsidRPr="00922B1C">
        <w:instrText xml:space="preserve"> ADDIN EN.CITE.DATA </w:instrText>
      </w:r>
      <w:r w:rsidR="00263B20" w:rsidRPr="00922B1C">
        <w:fldChar w:fldCharType="end"/>
      </w:r>
      <w:r w:rsidR="008E078F" w:rsidRPr="00922B1C">
        <w:fldChar w:fldCharType="separate"/>
      </w:r>
      <w:r w:rsidR="00263B20" w:rsidRPr="00922B1C">
        <w:rPr>
          <w:noProof/>
          <w:vertAlign w:val="superscript"/>
        </w:rPr>
        <w:t>4</w:t>
      </w:r>
      <w:r w:rsidR="008E078F" w:rsidRPr="00922B1C">
        <w:fldChar w:fldCharType="end"/>
      </w:r>
    </w:p>
    <w:tbl>
      <w:tblPr>
        <w:tblW w:w="9918" w:type="dxa"/>
        <w:jc w:val="center"/>
        <w:tblLayout w:type="fixed"/>
        <w:tblCellMar>
          <w:left w:w="28" w:type="dxa"/>
          <w:right w:w="28" w:type="dxa"/>
        </w:tblCellMar>
        <w:tblLook w:val="04A0" w:firstRow="1" w:lastRow="0" w:firstColumn="1" w:lastColumn="0" w:noHBand="0" w:noVBand="1"/>
      </w:tblPr>
      <w:tblGrid>
        <w:gridCol w:w="2122"/>
        <w:gridCol w:w="1299"/>
        <w:gridCol w:w="1299"/>
        <w:gridCol w:w="1300"/>
        <w:gridCol w:w="1299"/>
        <w:gridCol w:w="1299"/>
        <w:gridCol w:w="1300"/>
      </w:tblGrid>
      <w:tr w:rsidR="009342B5" w:rsidRPr="00A010BD" w14:paraId="442EF9C3" w14:textId="77777777" w:rsidTr="0035237C">
        <w:trPr>
          <w:trHeight w:val="227"/>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30D7F" w14:textId="77777777" w:rsidR="009342B5" w:rsidRPr="00922B1C" w:rsidRDefault="009342B5" w:rsidP="00786089">
            <w:pPr>
              <w:pStyle w:val="Tabletext"/>
              <w:keepNext/>
              <w:rPr>
                <w:b/>
                <w:bCs/>
              </w:rPr>
            </w:pPr>
            <w:r w:rsidRPr="00922B1C">
              <w:rPr>
                <w:b/>
                <w:bCs/>
              </w:rPr>
              <w:t>Primary tumour</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14:paraId="0EE9803B" w14:textId="77777777" w:rsidR="009342B5" w:rsidRPr="00922B1C" w:rsidRDefault="009342B5" w:rsidP="00786089">
            <w:pPr>
              <w:pStyle w:val="Tabletext"/>
              <w:keepNext/>
              <w:jc w:val="center"/>
              <w:rPr>
                <w:b/>
                <w:bCs/>
              </w:rPr>
            </w:pPr>
            <w:r w:rsidRPr="00922B1C">
              <w:rPr>
                <w:b/>
                <w:bCs/>
              </w:rPr>
              <w:t>G1</w:t>
            </w:r>
          </w:p>
          <w:p w14:paraId="2EE908AA" w14:textId="77777777" w:rsidR="009342B5" w:rsidRPr="00922B1C" w:rsidRDefault="009342B5" w:rsidP="00786089">
            <w:pPr>
              <w:pStyle w:val="Tabletext"/>
              <w:keepNext/>
              <w:jc w:val="center"/>
              <w:rPr>
                <w:b/>
                <w:bCs/>
              </w:rPr>
            </w:pPr>
            <w:r w:rsidRPr="00922B1C">
              <w:rPr>
                <w:b/>
                <w:bCs/>
              </w:rPr>
              <w:t>Well-diff (%)</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14:paraId="3CFE2232" w14:textId="77777777" w:rsidR="009342B5" w:rsidRPr="00922B1C" w:rsidRDefault="009342B5" w:rsidP="00786089">
            <w:pPr>
              <w:pStyle w:val="Tabletext"/>
              <w:keepNext/>
              <w:jc w:val="center"/>
              <w:rPr>
                <w:b/>
                <w:bCs/>
              </w:rPr>
            </w:pPr>
            <w:r w:rsidRPr="00922B1C">
              <w:rPr>
                <w:b/>
                <w:bCs/>
              </w:rPr>
              <w:t>G2</w:t>
            </w:r>
          </w:p>
          <w:p w14:paraId="7C72BA18" w14:textId="77777777" w:rsidR="009342B5" w:rsidRPr="00922B1C" w:rsidRDefault="009342B5" w:rsidP="00786089">
            <w:pPr>
              <w:pStyle w:val="Tabletext"/>
              <w:keepNext/>
              <w:jc w:val="center"/>
              <w:rPr>
                <w:b/>
                <w:bCs/>
              </w:rPr>
            </w:pPr>
            <w:r w:rsidRPr="00922B1C">
              <w:rPr>
                <w:b/>
                <w:bCs/>
              </w:rPr>
              <w:t>Moderately-diff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85A1411" w14:textId="77777777" w:rsidR="009342B5" w:rsidRPr="00922B1C" w:rsidRDefault="009342B5" w:rsidP="00786089">
            <w:pPr>
              <w:pStyle w:val="Tabletext"/>
              <w:keepNext/>
              <w:jc w:val="center"/>
              <w:rPr>
                <w:b/>
                <w:bCs/>
              </w:rPr>
            </w:pPr>
            <w:r w:rsidRPr="00922B1C">
              <w:rPr>
                <w:b/>
                <w:bCs/>
              </w:rPr>
              <w:t>G3</w:t>
            </w:r>
          </w:p>
          <w:p w14:paraId="12C0B901" w14:textId="77777777" w:rsidR="009342B5" w:rsidRPr="00922B1C" w:rsidRDefault="009342B5" w:rsidP="00786089">
            <w:pPr>
              <w:pStyle w:val="Tabletext"/>
              <w:keepNext/>
              <w:jc w:val="center"/>
              <w:rPr>
                <w:b/>
                <w:bCs/>
              </w:rPr>
            </w:pPr>
            <w:r w:rsidRPr="00922B1C">
              <w:rPr>
                <w:b/>
                <w:bCs/>
              </w:rPr>
              <w:t>Poorly-diff (%)</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14:paraId="06861343" w14:textId="77777777" w:rsidR="009342B5" w:rsidRPr="00922B1C" w:rsidRDefault="009342B5" w:rsidP="00786089">
            <w:pPr>
              <w:pStyle w:val="Tabletext"/>
              <w:keepNext/>
              <w:jc w:val="center"/>
              <w:rPr>
                <w:b/>
                <w:bCs/>
              </w:rPr>
            </w:pPr>
            <w:r w:rsidRPr="00922B1C">
              <w:rPr>
                <w:b/>
                <w:bCs/>
              </w:rPr>
              <w:t>Undifferentiated (%)</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14:paraId="609DB825" w14:textId="77777777" w:rsidR="009342B5" w:rsidRPr="00922B1C" w:rsidRDefault="009342B5" w:rsidP="00786089">
            <w:pPr>
              <w:pStyle w:val="Tabletext"/>
              <w:keepNext/>
              <w:jc w:val="center"/>
              <w:rPr>
                <w:b/>
                <w:bCs/>
              </w:rPr>
            </w:pPr>
            <w:r w:rsidRPr="00922B1C">
              <w:rPr>
                <w:b/>
                <w:bCs/>
              </w:rPr>
              <w:t>Unknown grade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DAE563C" w14:textId="77777777" w:rsidR="009342B5" w:rsidRPr="00922B1C" w:rsidRDefault="009342B5" w:rsidP="00786089">
            <w:pPr>
              <w:pStyle w:val="Tabletext"/>
              <w:keepNext/>
              <w:jc w:val="center"/>
              <w:rPr>
                <w:b/>
                <w:bCs/>
              </w:rPr>
            </w:pPr>
            <w:r w:rsidRPr="00922B1C">
              <w:rPr>
                <w:b/>
                <w:bCs/>
              </w:rPr>
              <w:t>Total per site, N=8136 (%)</w:t>
            </w:r>
          </w:p>
        </w:tc>
      </w:tr>
      <w:tr w:rsidR="009342B5" w:rsidRPr="00A010BD" w14:paraId="6598DB03" w14:textId="77777777" w:rsidTr="0035237C">
        <w:trPr>
          <w:trHeight w:val="227"/>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9308FFF" w14:textId="77777777" w:rsidR="009342B5" w:rsidRPr="00922B1C" w:rsidRDefault="009342B5" w:rsidP="00786089">
            <w:pPr>
              <w:pStyle w:val="Tabletext"/>
              <w:keepNext/>
            </w:pPr>
            <w:r w:rsidRPr="00922B1C">
              <w:t>Stomach</w:t>
            </w:r>
          </w:p>
        </w:tc>
        <w:tc>
          <w:tcPr>
            <w:tcW w:w="1299" w:type="dxa"/>
            <w:tcBorders>
              <w:top w:val="nil"/>
              <w:left w:val="nil"/>
              <w:bottom w:val="single" w:sz="4" w:space="0" w:color="auto"/>
              <w:right w:val="single" w:sz="4" w:space="0" w:color="auto"/>
            </w:tcBorders>
            <w:shd w:val="clear" w:color="auto" w:fill="auto"/>
            <w:noWrap/>
            <w:vAlign w:val="center"/>
            <w:hideMark/>
          </w:tcPr>
          <w:p w14:paraId="37110187" w14:textId="77777777" w:rsidR="009342B5" w:rsidRPr="00922B1C" w:rsidRDefault="009342B5" w:rsidP="00786089">
            <w:pPr>
              <w:pStyle w:val="Tabletext"/>
              <w:keepNext/>
              <w:jc w:val="center"/>
            </w:pPr>
            <w:r w:rsidRPr="00922B1C">
              <w:t>248 (62)</w:t>
            </w:r>
          </w:p>
        </w:tc>
        <w:tc>
          <w:tcPr>
            <w:tcW w:w="1299" w:type="dxa"/>
            <w:tcBorders>
              <w:top w:val="nil"/>
              <w:left w:val="nil"/>
              <w:bottom w:val="single" w:sz="4" w:space="0" w:color="auto"/>
              <w:right w:val="single" w:sz="4" w:space="0" w:color="auto"/>
            </w:tcBorders>
            <w:shd w:val="clear" w:color="auto" w:fill="auto"/>
            <w:noWrap/>
            <w:vAlign w:val="center"/>
            <w:hideMark/>
          </w:tcPr>
          <w:p w14:paraId="2274745B" w14:textId="77777777" w:rsidR="009342B5" w:rsidRPr="00922B1C" w:rsidRDefault="009342B5" w:rsidP="00786089">
            <w:pPr>
              <w:pStyle w:val="Tabletext"/>
              <w:keepNext/>
              <w:jc w:val="center"/>
            </w:pPr>
            <w:r w:rsidRPr="00922B1C">
              <w:t>30 (8)</w:t>
            </w:r>
          </w:p>
        </w:tc>
        <w:tc>
          <w:tcPr>
            <w:tcW w:w="1300" w:type="dxa"/>
            <w:tcBorders>
              <w:top w:val="nil"/>
              <w:left w:val="nil"/>
              <w:bottom w:val="single" w:sz="4" w:space="0" w:color="auto"/>
              <w:right w:val="single" w:sz="4" w:space="0" w:color="auto"/>
            </w:tcBorders>
            <w:shd w:val="clear" w:color="auto" w:fill="auto"/>
            <w:noWrap/>
            <w:vAlign w:val="center"/>
            <w:hideMark/>
          </w:tcPr>
          <w:p w14:paraId="68A09881" w14:textId="77777777" w:rsidR="009342B5" w:rsidRPr="00922B1C" w:rsidRDefault="009342B5" w:rsidP="00786089">
            <w:pPr>
              <w:pStyle w:val="Tabletext"/>
              <w:keepNext/>
              <w:jc w:val="center"/>
            </w:pPr>
            <w:r w:rsidRPr="00922B1C">
              <w:t>82 (21)</w:t>
            </w:r>
          </w:p>
        </w:tc>
        <w:tc>
          <w:tcPr>
            <w:tcW w:w="1299" w:type="dxa"/>
            <w:tcBorders>
              <w:top w:val="nil"/>
              <w:left w:val="nil"/>
              <w:bottom w:val="single" w:sz="4" w:space="0" w:color="auto"/>
              <w:right w:val="single" w:sz="4" w:space="0" w:color="auto"/>
            </w:tcBorders>
            <w:shd w:val="clear" w:color="auto" w:fill="auto"/>
            <w:noWrap/>
            <w:vAlign w:val="center"/>
            <w:hideMark/>
          </w:tcPr>
          <w:p w14:paraId="740777B5" w14:textId="77777777" w:rsidR="009342B5" w:rsidRPr="00922B1C" w:rsidRDefault="009342B5" w:rsidP="00786089">
            <w:pPr>
              <w:pStyle w:val="Tabletext"/>
              <w:keepNext/>
              <w:jc w:val="center"/>
            </w:pPr>
            <w:r w:rsidRPr="00922B1C">
              <w:t>9 (2)</w:t>
            </w:r>
          </w:p>
        </w:tc>
        <w:tc>
          <w:tcPr>
            <w:tcW w:w="1299" w:type="dxa"/>
            <w:tcBorders>
              <w:top w:val="nil"/>
              <w:left w:val="nil"/>
              <w:bottom w:val="single" w:sz="4" w:space="0" w:color="auto"/>
              <w:right w:val="single" w:sz="4" w:space="0" w:color="auto"/>
            </w:tcBorders>
            <w:shd w:val="clear" w:color="auto" w:fill="auto"/>
            <w:noWrap/>
            <w:vAlign w:val="center"/>
            <w:hideMark/>
          </w:tcPr>
          <w:p w14:paraId="5D885BB4" w14:textId="77777777" w:rsidR="009342B5" w:rsidRPr="00922B1C" w:rsidRDefault="009342B5" w:rsidP="00786089">
            <w:pPr>
              <w:pStyle w:val="Tabletext"/>
              <w:keepNext/>
              <w:jc w:val="center"/>
            </w:pPr>
            <w:r w:rsidRPr="00922B1C">
              <w:t>30 (8)</w:t>
            </w:r>
          </w:p>
        </w:tc>
        <w:tc>
          <w:tcPr>
            <w:tcW w:w="1300" w:type="dxa"/>
            <w:tcBorders>
              <w:top w:val="nil"/>
              <w:left w:val="nil"/>
              <w:bottom w:val="single" w:sz="4" w:space="0" w:color="auto"/>
              <w:right w:val="single" w:sz="4" w:space="0" w:color="auto"/>
            </w:tcBorders>
            <w:shd w:val="clear" w:color="auto" w:fill="auto"/>
            <w:noWrap/>
            <w:vAlign w:val="center"/>
            <w:hideMark/>
          </w:tcPr>
          <w:p w14:paraId="5332F975" w14:textId="77777777" w:rsidR="009342B5" w:rsidRPr="00922B1C" w:rsidRDefault="009342B5" w:rsidP="00786089">
            <w:pPr>
              <w:pStyle w:val="Tabletext"/>
              <w:keepNext/>
              <w:jc w:val="center"/>
            </w:pPr>
            <w:r w:rsidRPr="00922B1C">
              <w:t>399 (5)</w:t>
            </w:r>
          </w:p>
        </w:tc>
      </w:tr>
      <w:tr w:rsidR="009342B5" w:rsidRPr="00A010BD" w14:paraId="02299670" w14:textId="77777777" w:rsidTr="0035237C">
        <w:trPr>
          <w:trHeight w:val="227"/>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416F64E" w14:textId="77777777" w:rsidR="009342B5" w:rsidRPr="00922B1C" w:rsidRDefault="009342B5" w:rsidP="00786089">
            <w:pPr>
              <w:pStyle w:val="Tabletext"/>
              <w:keepNext/>
            </w:pPr>
            <w:r w:rsidRPr="00922B1C">
              <w:t>Small intestine</w:t>
            </w:r>
          </w:p>
        </w:tc>
        <w:tc>
          <w:tcPr>
            <w:tcW w:w="1299" w:type="dxa"/>
            <w:tcBorders>
              <w:top w:val="nil"/>
              <w:left w:val="nil"/>
              <w:bottom w:val="single" w:sz="4" w:space="0" w:color="auto"/>
              <w:right w:val="single" w:sz="4" w:space="0" w:color="auto"/>
            </w:tcBorders>
            <w:shd w:val="clear" w:color="auto" w:fill="auto"/>
            <w:noWrap/>
            <w:vAlign w:val="center"/>
            <w:hideMark/>
          </w:tcPr>
          <w:p w14:paraId="6FF3DD9C" w14:textId="77777777" w:rsidR="009342B5" w:rsidRPr="00922B1C" w:rsidRDefault="009342B5" w:rsidP="00786089">
            <w:pPr>
              <w:pStyle w:val="Tabletext"/>
              <w:keepNext/>
              <w:jc w:val="center"/>
            </w:pPr>
            <w:r w:rsidRPr="00922B1C">
              <w:t>1112 (82)</w:t>
            </w:r>
          </w:p>
        </w:tc>
        <w:tc>
          <w:tcPr>
            <w:tcW w:w="1299" w:type="dxa"/>
            <w:tcBorders>
              <w:top w:val="nil"/>
              <w:left w:val="nil"/>
              <w:bottom w:val="single" w:sz="4" w:space="0" w:color="auto"/>
              <w:right w:val="single" w:sz="4" w:space="0" w:color="auto"/>
            </w:tcBorders>
            <w:shd w:val="clear" w:color="auto" w:fill="auto"/>
            <w:noWrap/>
            <w:vAlign w:val="center"/>
            <w:hideMark/>
          </w:tcPr>
          <w:p w14:paraId="79898A40" w14:textId="77777777" w:rsidR="009342B5" w:rsidRPr="00922B1C" w:rsidRDefault="009342B5" w:rsidP="00786089">
            <w:pPr>
              <w:pStyle w:val="Tabletext"/>
              <w:keepNext/>
              <w:jc w:val="center"/>
            </w:pPr>
            <w:r w:rsidRPr="00922B1C">
              <w:t>98 (7)</w:t>
            </w:r>
          </w:p>
        </w:tc>
        <w:tc>
          <w:tcPr>
            <w:tcW w:w="1300" w:type="dxa"/>
            <w:tcBorders>
              <w:top w:val="nil"/>
              <w:left w:val="nil"/>
              <w:bottom w:val="single" w:sz="4" w:space="0" w:color="auto"/>
              <w:right w:val="single" w:sz="4" w:space="0" w:color="auto"/>
            </w:tcBorders>
            <w:shd w:val="clear" w:color="auto" w:fill="auto"/>
            <w:noWrap/>
            <w:vAlign w:val="center"/>
            <w:hideMark/>
          </w:tcPr>
          <w:p w14:paraId="2C89BEB3" w14:textId="77777777" w:rsidR="009342B5" w:rsidRPr="00922B1C" w:rsidRDefault="009342B5" w:rsidP="00786089">
            <w:pPr>
              <w:pStyle w:val="Tabletext"/>
              <w:keepNext/>
              <w:jc w:val="center"/>
            </w:pPr>
            <w:r w:rsidRPr="00922B1C">
              <w:t>137 (10)</w:t>
            </w:r>
          </w:p>
        </w:tc>
        <w:tc>
          <w:tcPr>
            <w:tcW w:w="1299" w:type="dxa"/>
            <w:tcBorders>
              <w:top w:val="nil"/>
              <w:left w:val="nil"/>
              <w:bottom w:val="single" w:sz="4" w:space="0" w:color="auto"/>
              <w:right w:val="single" w:sz="4" w:space="0" w:color="auto"/>
            </w:tcBorders>
            <w:shd w:val="clear" w:color="auto" w:fill="auto"/>
            <w:noWrap/>
            <w:vAlign w:val="center"/>
            <w:hideMark/>
          </w:tcPr>
          <w:p w14:paraId="3B659FD6" w14:textId="77777777" w:rsidR="009342B5" w:rsidRPr="00922B1C" w:rsidRDefault="009342B5" w:rsidP="00786089">
            <w:pPr>
              <w:pStyle w:val="Tabletext"/>
              <w:keepNext/>
              <w:jc w:val="center"/>
            </w:pPr>
            <w:r w:rsidRPr="00922B1C">
              <w:t>1 (0)</w:t>
            </w:r>
          </w:p>
        </w:tc>
        <w:tc>
          <w:tcPr>
            <w:tcW w:w="1299" w:type="dxa"/>
            <w:tcBorders>
              <w:top w:val="nil"/>
              <w:left w:val="nil"/>
              <w:bottom w:val="single" w:sz="4" w:space="0" w:color="auto"/>
              <w:right w:val="single" w:sz="4" w:space="0" w:color="auto"/>
            </w:tcBorders>
            <w:shd w:val="clear" w:color="auto" w:fill="auto"/>
            <w:noWrap/>
            <w:vAlign w:val="center"/>
            <w:hideMark/>
          </w:tcPr>
          <w:p w14:paraId="44B1A12B" w14:textId="77777777" w:rsidR="009342B5" w:rsidRPr="00922B1C" w:rsidRDefault="009342B5" w:rsidP="00786089">
            <w:pPr>
              <w:pStyle w:val="Tabletext"/>
              <w:keepNext/>
              <w:jc w:val="center"/>
            </w:pPr>
            <w:r w:rsidRPr="00922B1C">
              <w:t>14 (1)</w:t>
            </w:r>
          </w:p>
        </w:tc>
        <w:tc>
          <w:tcPr>
            <w:tcW w:w="1300" w:type="dxa"/>
            <w:tcBorders>
              <w:top w:val="nil"/>
              <w:left w:val="nil"/>
              <w:bottom w:val="single" w:sz="4" w:space="0" w:color="auto"/>
              <w:right w:val="single" w:sz="4" w:space="0" w:color="auto"/>
            </w:tcBorders>
            <w:shd w:val="clear" w:color="auto" w:fill="auto"/>
            <w:noWrap/>
            <w:vAlign w:val="center"/>
            <w:hideMark/>
          </w:tcPr>
          <w:p w14:paraId="6D80D2F3" w14:textId="77777777" w:rsidR="009342B5" w:rsidRPr="00922B1C" w:rsidRDefault="009342B5" w:rsidP="00786089">
            <w:pPr>
              <w:pStyle w:val="Tabletext"/>
              <w:keepNext/>
              <w:jc w:val="center"/>
            </w:pPr>
            <w:r w:rsidRPr="00922B1C">
              <w:t>1362 (17)</w:t>
            </w:r>
          </w:p>
        </w:tc>
      </w:tr>
      <w:tr w:rsidR="009342B5" w:rsidRPr="00A010BD" w14:paraId="5D8DAEF9" w14:textId="77777777" w:rsidTr="0035237C">
        <w:trPr>
          <w:trHeight w:val="227"/>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07CF85E" w14:textId="77777777" w:rsidR="009342B5" w:rsidRPr="00922B1C" w:rsidRDefault="009342B5" w:rsidP="00786089">
            <w:pPr>
              <w:pStyle w:val="Tabletext"/>
              <w:keepNext/>
            </w:pPr>
            <w:r w:rsidRPr="00922B1C">
              <w:t>Pancreas</w:t>
            </w:r>
          </w:p>
        </w:tc>
        <w:tc>
          <w:tcPr>
            <w:tcW w:w="1299" w:type="dxa"/>
            <w:tcBorders>
              <w:top w:val="nil"/>
              <w:left w:val="nil"/>
              <w:bottom w:val="single" w:sz="4" w:space="0" w:color="auto"/>
              <w:right w:val="single" w:sz="4" w:space="0" w:color="auto"/>
            </w:tcBorders>
            <w:shd w:val="clear" w:color="auto" w:fill="auto"/>
            <w:noWrap/>
            <w:vAlign w:val="center"/>
            <w:hideMark/>
          </w:tcPr>
          <w:p w14:paraId="2550F20A" w14:textId="77777777" w:rsidR="009342B5" w:rsidRPr="00922B1C" w:rsidRDefault="009342B5" w:rsidP="00786089">
            <w:pPr>
              <w:pStyle w:val="Tabletext"/>
              <w:keepNext/>
              <w:jc w:val="center"/>
            </w:pPr>
            <w:r w:rsidRPr="00922B1C">
              <w:t>289 (34)</w:t>
            </w:r>
          </w:p>
        </w:tc>
        <w:tc>
          <w:tcPr>
            <w:tcW w:w="1299" w:type="dxa"/>
            <w:tcBorders>
              <w:top w:val="nil"/>
              <w:left w:val="nil"/>
              <w:bottom w:val="single" w:sz="4" w:space="0" w:color="auto"/>
              <w:right w:val="single" w:sz="4" w:space="0" w:color="auto"/>
            </w:tcBorders>
            <w:shd w:val="clear" w:color="auto" w:fill="auto"/>
            <w:noWrap/>
            <w:vAlign w:val="center"/>
            <w:hideMark/>
          </w:tcPr>
          <w:p w14:paraId="2D62237B" w14:textId="77777777" w:rsidR="009342B5" w:rsidRPr="00922B1C" w:rsidRDefault="009342B5" w:rsidP="00786089">
            <w:pPr>
              <w:pStyle w:val="Tabletext"/>
              <w:keepNext/>
              <w:jc w:val="center"/>
            </w:pPr>
            <w:r w:rsidRPr="00922B1C">
              <w:t>97 (12)</w:t>
            </w:r>
          </w:p>
        </w:tc>
        <w:tc>
          <w:tcPr>
            <w:tcW w:w="1300" w:type="dxa"/>
            <w:tcBorders>
              <w:top w:val="nil"/>
              <w:left w:val="nil"/>
              <w:bottom w:val="single" w:sz="4" w:space="0" w:color="auto"/>
              <w:right w:val="single" w:sz="4" w:space="0" w:color="auto"/>
            </w:tcBorders>
            <w:shd w:val="clear" w:color="auto" w:fill="auto"/>
            <w:noWrap/>
            <w:vAlign w:val="center"/>
            <w:hideMark/>
          </w:tcPr>
          <w:p w14:paraId="28F7E1DA" w14:textId="77777777" w:rsidR="009342B5" w:rsidRPr="00922B1C" w:rsidRDefault="009342B5" w:rsidP="00786089">
            <w:pPr>
              <w:pStyle w:val="Tabletext"/>
              <w:keepNext/>
              <w:jc w:val="center"/>
            </w:pPr>
            <w:r w:rsidRPr="00922B1C">
              <w:t>268 (32)</w:t>
            </w:r>
          </w:p>
        </w:tc>
        <w:tc>
          <w:tcPr>
            <w:tcW w:w="1299" w:type="dxa"/>
            <w:tcBorders>
              <w:top w:val="nil"/>
              <w:left w:val="nil"/>
              <w:bottom w:val="single" w:sz="4" w:space="0" w:color="auto"/>
              <w:right w:val="single" w:sz="4" w:space="0" w:color="auto"/>
            </w:tcBorders>
            <w:shd w:val="clear" w:color="auto" w:fill="auto"/>
            <w:noWrap/>
            <w:vAlign w:val="center"/>
            <w:hideMark/>
          </w:tcPr>
          <w:p w14:paraId="48A03C90" w14:textId="77777777" w:rsidR="009342B5" w:rsidRPr="00922B1C" w:rsidRDefault="009342B5" w:rsidP="00786089">
            <w:pPr>
              <w:pStyle w:val="Tabletext"/>
              <w:keepNext/>
              <w:jc w:val="center"/>
            </w:pPr>
            <w:r w:rsidRPr="00922B1C">
              <w:t>8 (1)</w:t>
            </w:r>
          </w:p>
        </w:tc>
        <w:tc>
          <w:tcPr>
            <w:tcW w:w="1299" w:type="dxa"/>
            <w:tcBorders>
              <w:top w:val="nil"/>
              <w:left w:val="nil"/>
              <w:bottom w:val="single" w:sz="4" w:space="0" w:color="auto"/>
              <w:right w:val="single" w:sz="4" w:space="0" w:color="auto"/>
            </w:tcBorders>
            <w:shd w:val="clear" w:color="auto" w:fill="auto"/>
            <w:noWrap/>
            <w:vAlign w:val="center"/>
            <w:hideMark/>
          </w:tcPr>
          <w:p w14:paraId="46404E62" w14:textId="77777777" w:rsidR="009342B5" w:rsidRPr="00922B1C" w:rsidRDefault="009342B5" w:rsidP="00786089">
            <w:pPr>
              <w:pStyle w:val="Tabletext"/>
              <w:keepNext/>
              <w:jc w:val="center"/>
            </w:pPr>
            <w:r w:rsidRPr="00922B1C">
              <w:t>176 (21)</w:t>
            </w:r>
          </w:p>
        </w:tc>
        <w:tc>
          <w:tcPr>
            <w:tcW w:w="1300" w:type="dxa"/>
            <w:tcBorders>
              <w:top w:val="nil"/>
              <w:left w:val="nil"/>
              <w:bottom w:val="single" w:sz="4" w:space="0" w:color="auto"/>
              <w:right w:val="single" w:sz="4" w:space="0" w:color="auto"/>
            </w:tcBorders>
            <w:shd w:val="clear" w:color="auto" w:fill="auto"/>
            <w:noWrap/>
            <w:vAlign w:val="center"/>
            <w:hideMark/>
          </w:tcPr>
          <w:p w14:paraId="2C0BD8EC" w14:textId="77777777" w:rsidR="009342B5" w:rsidRPr="00922B1C" w:rsidRDefault="009342B5" w:rsidP="00786089">
            <w:pPr>
              <w:pStyle w:val="Tabletext"/>
              <w:keepNext/>
              <w:jc w:val="center"/>
            </w:pPr>
            <w:r w:rsidRPr="00922B1C">
              <w:t>838 (10)</w:t>
            </w:r>
          </w:p>
        </w:tc>
      </w:tr>
      <w:tr w:rsidR="009342B5" w:rsidRPr="00A010BD" w14:paraId="6480E96F" w14:textId="77777777" w:rsidTr="0035237C">
        <w:trPr>
          <w:trHeight w:val="227"/>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F7E6D1C" w14:textId="77777777" w:rsidR="009342B5" w:rsidRPr="00922B1C" w:rsidRDefault="009342B5" w:rsidP="00786089">
            <w:pPr>
              <w:pStyle w:val="Tabletext"/>
              <w:keepNext/>
            </w:pPr>
            <w:r w:rsidRPr="00922B1C">
              <w:t>Other UGI</w:t>
            </w:r>
          </w:p>
        </w:tc>
        <w:tc>
          <w:tcPr>
            <w:tcW w:w="1299" w:type="dxa"/>
            <w:tcBorders>
              <w:top w:val="nil"/>
              <w:left w:val="nil"/>
              <w:bottom w:val="single" w:sz="4" w:space="0" w:color="auto"/>
              <w:right w:val="single" w:sz="4" w:space="0" w:color="auto"/>
            </w:tcBorders>
            <w:shd w:val="clear" w:color="auto" w:fill="auto"/>
            <w:noWrap/>
            <w:vAlign w:val="center"/>
            <w:hideMark/>
          </w:tcPr>
          <w:p w14:paraId="502C9F2A" w14:textId="77777777" w:rsidR="009342B5" w:rsidRPr="00922B1C" w:rsidRDefault="009342B5" w:rsidP="00786089">
            <w:pPr>
              <w:pStyle w:val="Tabletext"/>
              <w:keepNext/>
              <w:jc w:val="center"/>
            </w:pPr>
            <w:r w:rsidRPr="00922B1C">
              <w:t>37 (16)</w:t>
            </w:r>
          </w:p>
        </w:tc>
        <w:tc>
          <w:tcPr>
            <w:tcW w:w="1299" w:type="dxa"/>
            <w:tcBorders>
              <w:top w:val="nil"/>
              <w:left w:val="nil"/>
              <w:bottom w:val="single" w:sz="4" w:space="0" w:color="auto"/>
              <w:right w:val="single" w:sz="4" w:space="0" w:color="auto"/>
            </w:tcBorders>
            <w:shd w:val="clear" w:color="auto" w:fill="auto"/>
            <w:noWrap/>
            <w:vAlign w:val="center"/>
            <w:hideMark/>
          </w:tcPr>
          <w:p w14:paraId="5AE2FFD9" w14:textId="77777777" w:rsidR="009342B5" w:rsidRPr="00922B1C" w:rsidRDefault="009342B5" w:rsidP="00786089">
            <w:pPr>
              <w:pStyle w:val="Tabletext"/>
              <w:keepNext/>
              <w:jc w:val="center"/>
            </w:pPr>
            <w:r w:rsidRPr="00922B1C">
              <w:t>1 (0)</w:t>
            </w:r>
          </w:p>
        </w:tc>
        <w:tc>
          <w:tcPr>
            <w:tcW w:w="1300" w:type="dxa"/>
            <w:tcBorders>
              <w:top w:val="nil"/>
              <w:left w:val="nil"/>
              <w:bottom w:val="single" w:sz="4" w:space="0" w:color="auto"/>
              <w:right w:val="single" w:sz="4" w:space="0" w:color="auto"/>
            </w:tcBorders>
            <w:shd w:val="clear" w:color="auto" w:fill="auto"/>
            <w:noWrap/>
            <w:vAlign w:val="center"/>
            <w:hideMark/>
          </w:tcPr>
          <w:p w14:paraId="517E0FC2" w14:textId="77777777" w:rsidR="009342B5" w:rsidRPr="00922B1C" w:rsidRDefault="009342B5" w:rsidP="00786089">
            <w:pPr>
              <w:pStyle w:val="Tabletext"/>
              <w:keepNext/>
              <w:jc w:val="center"/>
            </w:pPr>
            <w:r w:rsidRPr="00922B1C">
              <w:t>64 (27)</w:t>
            </w:r>
          </w:p>
        </w:tc>
        <w:tc>
          <w:tcPr>
            <w:tcW w:w="1299" w:type="dxa"/>
            <w:tcBorders>
              <w:top w:val="nil"/>
              <w:left w:val="nil"/>
              <w:bottom w:val="single" w:sz="4" w:space="0" w:color="auto"/>
              <w:right w:val="single" w:sz="4" w:space="0" w:color="auto"/>
            </w:tcBorders>
            <w:shd w:val="clear" w:color="auto" w:fill="auto"/>
            <w:noWrap/>
            <w:vAlign w:val="center"/>
            <w:hideMark/>
          </w:tcPr>
          <w:p w14:paraId="6C2F5CD7" w14:textId="77777777" w:rsidR="009342B5" w:rsidRPr="00922B1C" w:rsidRDefault="009342B5" w:rsidP="00786089">
            <w:pPr>
              <w:pStyle w:val="Tabletext"/>
              <w:keepNext/>
              <w:jc w:val="center"/>
            </w:pPr>
            <w:r w:rsidRPr="00922B1C">
              <w:t>38 (16)</w:t>
            </w:r>
          </w:p>
        </w:tc>
        <w:tc>
          <w:tcPr>
            <w:tcW w:w="1299" w:type="dxa"/>
            <w:tcBorders>
              <w:top w:val="nil"/>
              <w:left w:val="nil"/>
              <w:bottom w:val="single" w:sz="4" w:space="0" w:color="auto"/>
              <w:right w:val="single" w:sz="4" w:space="0" w:color="auto"/>
            </w:tcBorders>
            <w:shd w:val="clear" w:color="auto" w:fill="auto"/>
            <w:noWrap/>
            <w:vAlign w:val="center"/>
            <w:hideMark/>
          </w:tcPr>
          <w:p w14:paraId="70099C5D" w14:textId="77777777" w:rsidR="009342B5" w:rsidRPr="00922B1C" w:rsidRDefault="009342B5" w:rsidP="00786089">
            <w:pPr>
              <w:pStyle w:val="Tabletext"/>
              <w:keepNext/>
              <w:jc w:val="center"/>
            </w:pPr>
            <w:r w:rsidRPr="00922B1C">
              <w:t>93 (40)</w:t>
            </w:r>
          </w:p>
        </w:tc>
        <w:tc>
          <w:tcPr>
            <w:tcW w:w="1300" w:type="dxa"/>
            <w:tcBorders>
              <w:top w:val="nil"/>
              <w:left w:val="nil"/>
              <w:bottom w:val="single" w:sz="4" w:space="0" w:color="auto"/>
              <w:right w:val="single" w:sz="4" w:space="0" w:color="auto"/>
            </w:tcBorders>
            <w:shd w:val="clear" w:color="auto" w:fill="auto"/>
            <w:noWrap/>
            <w:vAlign w:val="center"/>
            <w:hideMark/>
          </w:tcPr>
          <w:p w14:paraId="3BC08A28" w14:textId="77777777" w:rsidR="009342B5" w:rsidRPr="00922B1C" w:rsidRDefault="009342B5" w:rsidP="00786089">
            <w:pPr>
              <w:pStyle w:val="Tabletext"/>
              <w:keepNext/>
              <w:jc w:val="center"/>
            </w:pPr>
            <w:r w:rsidRPr="00922B1C">
              <w:t>233 (3)</w:t>
            </w:r>
          </w:p>
        </w:tc>
      </w:tr>
      <w:tr w:rsidR="009342B5" w:rsidRPr="00A010BD" w14:paraId="03B8EB12" w14:textId="77777777" w:rsidTr="0035237C">
        <w:trPr>
          <w:trHeight w:val="227"/>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0883D69" w14:textId="77777777" w:rsidR="009342B5" w:rsidRPr="00922B1C" w:rsidRDefault="009342B5" w:rsidP="00786089">
            <w:pPr>
              <w:pStyle w:val="Tabletext"/>
              <w:keepNext/>
            </w:pPr>
            <w:r w:rsidRPr="00922B1C">
              <w:t>Colorectal</w:t>
            </w:r>
          </w:p>
        </w:tc>
        <w:tc>
          <w:tcPr>
            <w:tcW w:w="1299" w:type="dxa"/>
            <w:tcBorders>
              <w:top w:val="nil"/>
              <w:left w:val="nil"/>
              <w:bottom w:val="single" w:sz="4" w:space="0" w:color="auto"/>
              <w:right w:val="single" w:sz="4" w:space="0" w:color="auto"/>
            </w:tcBorders>
            <w:shd w:val="clear" w:color="auto" w:fill="auto"/>
            <w:noWrap/>
            <w:vAlign w:val="center"/>
            <w:hideMark/>
          </w:tcPr>
          <w:p w14:paraId="45A8C92C" w14:textId="77777777" w:rsidR="009342B5" w:rsidRPr="00922B1C" w:rsidRDefault="009342B5" w:rsidP="00786089">
            <w:pPr>
              <w:pStyle w:val="Tabletext"/>
              <w:keepNext/>
              <w:jc w:val="center"/>
            </w:pPr>
            <w:r w:rsidRPr="00922B1C">
              <w:t>1831 (85)</w:t>
            </w:r>
          </w:p>
        </w:tc>
        <w:tc>
          <w:tcPr>
            <w:tcW w:w="1299" w:type="dxa"/>
            <w:tcBorders>
              <w:top w:val="nil"/>
              <w:left w:val="nil"/>
              <w:bottom w:val="single" w:sz="4" w:space="0" w:color="auto"/>
              <w:right w:val="single" w:sz="4" w:space="0" w:color="auto"/>
            </w:tcBorders>
            <w:shd w:val="clear" w:color="auto" w:fill="auto"/>
            <w:noWrap/>
            <w:vAlign w:val="center"/>
            <w:hideMark/>
          </w:tcPr>
          <w:p w14:paraId="773A89A1" w14:textId="77777777" w:rsidR="009342B5" w:rsidRPr="00922B1C" w:rsidRDefault="009342B5" w:rsidP="00786089">
            <w:pPr>
              <w:pStyle w:val="Tabletext"/>
              <w:keepNext/>
              <w:jc w:val="center"/>
            </w:pPr>
            <w:r w:rsidRPr="00922B1C">
              <w:t>56 (3)</w:t>
            </w:r>
          </w:p>
        </w:tc>
        <w:tc>
          <w:tcPr>
            <w:tcW w:w="1300" w:type="dxa"/>
            <w:tcBorders>
              <w:top w:val="nil"/>
              <w:left w:val="nil"/>
              <w:bottom w:val="single" w:sz="4" w:space="0" w:color="auto"/>
              <w:right w:val="single" w:sz="4" w:space="0" w:color="auto"/>
            </w:tcBorders>
            <w:shd w:val="clear" w:color="auto" w:fill="auto"/>
            <w:noWrap/>
            <w:vAlign w:val="center"/>
            <w:hideMark/>
          </w:tcPr>
          <w:p w14:paraId="1BBECDDE" w14:textId="77777777" w:rsidR="009342B5" w:rsidRPr="00922B1C" w:rsidRDefault="009342B5" w:rsidP="00786089">
            <w:pPr>
              <w:pStyle w:val="Tabletext"/>
              <w:keepNext/>
              <w:jc w:val="center"/>
            </w:pPr>
            <w:r w:rsidRPr="00922B1C">
              <w:t>181 (8)</w:t>
            </w:r>
          </w:p>
        </w:tc>
        <w:tc>
          <w:tcPr>
            <w:tcW w:w="1299" w:type="dxa"/>
            <w:tcBorders>
              <w:top w:val="nil"/>
              <w:left w:val="nil"/>
              <w:bottom w:val="single" w:sz="4" w:space="0" w:color="auto"/>
              <w:right w:val="single" w:sz="4" w:space="0" w:color="auto"/>
            </w:tcBorders>
            <w:shd w:val="clear" w:color="auto" w:fill="auto"/>
            <w:noWrap/>
            <w:vAlign w:val="center"/>
            <w:hideMark/>
          </w:tcPr>
          <w:p w14:paraId="01EC722D" w14:textId="77777777" w:rsidR="009342B5" w:rsidRPr="00922B1C" w:rsidRDefault="009342B5" w:rsidP="00786089">
            <w:pPr>
              <w:pStyle w:val="Tabletext"/>
              <w:keepNext/>
              <w:jc w:val="center"/>
            </w:pPr>
            <w:r w:rsidRPr="00922B1C">
              <w:t>15 (1)</w:t>
            </w:r>
          </w:p>
        </w:tc>
        <w:tc>
          <w:tcPr>
            <w:tcW w:w="1299" w:type="dxa"/>
            <w:tcBorders>
              <w:top w:val="nil"/>
              <w:left w:val="nil"/>
              <w:bottom w:val="single" w:sz="4" w:space="0" w:color="auto"/>
              <w:right w:val="single" w:sz="4" w:space="0" w:color="auto"/>
            </w:tcBorders>
            <w:shd w:val="clear" w:color="auto" w:fill="auto"/>
            <w:noWrap/>
            <w:vAlign w:val="center"/>
            <w:hideMark/>
          </w:tcPr>
          <w:p w14:paraId="66E4E87C" w14:textId="77777777" w:rsidR="009342B5" w:rsidRPr="00922B1C" w:rsidRDefault="009342B5" w:rsidP="00786089">
            <w:pPr>
              <w:pStyle w:val="Tabletext"/>
              <w:keepNext/>
              <w:jc w:val="center"/>
            </w:pPr>
            <w:r w:rsidRPr="00922B1C">
              <w:t>61 (3)</w:t>
            </w:r>
          </w:p>
        </w:tc>
        <w:tc>
          <w:tcPr>
            <w:tcW w:w="1300" w:type="dxa"/>
            <w:tcBorders>
              <w:top w:val="nil"/>
              <w:left w:val="nil"/>
              <w:bottom w:val="single" w:sz="4" w:space="0" w:color="auto"/>
              <w:right w:val="single" w:sz="4" w:space="0" w:color="auto"/>
            </w:tcBorders>
            <w:shd w:val="clear" w:color="auto" w:fill="auto"/>
            <w:noWrap/>
            <w:vAlign w:val="center"/>
            <w:hideMark/>
          </w:tcPr>
          <w:p w14:paraId="76B7C978" w14:textId="77777777" w:rsidR="009342B5" w:rsidRPr="00922B1C" w:rsidRDefault="009342B5" w:rsidP="00786089">
            <w:pPr>
              <w:pStyle w:val="Tabletext"/>
              <w:keepNext/>
              <w:jc w:val="center"/>
            </w:pPr>
            <w:r w:rsidRPr="00922B1C">
              <w:t>2144 (26)</w:t>
            </w:r>
          </w:p>
        </w:tc>
      </w:tr>
      <w:tr w:rsidR="009342B5" w:rsidRPr="00A010BD" w14:paraId="040BE736" w14:textId="77777777" w:rsidTr="0035237C">
        <w:trPr>
          <w:trHeight w:val="227"/>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81EC95C" w14:textId="77777777" w:rsidR="009342B5" w:rsidRPr="00922B1C" w:rsidRDefault="009342B5" w:rsidP="00786089">
            <w:pPr>
              <w:pStyle w:val="Tabletext"/>
              <w:keepNext/>
            </w:pPr>
            <w:r w:rsidRPr="00922B1C">
              <w:t>Lung</w:t>
            </w:r>
          </w:p>
        </w:tc>
        <w:tc>
          <w:tcPr>
            <w:tcW w:w="1299" w:type="dxa"/>
            <w:tcBorders>
              <w:top w:val="nil"/>
              <w:left w:val="nil"/>
              <w:bottom w:val="single" w:sz="4" w:space="0" w:color="auto"/>
              <w:right w:val="single" w:sz="4" w:space="0" w:color="auto"/>
            </w:tcBorders>
            <w:shd w:val="clear" w:color="auto" w:fill="auto"/>
            <w:noWrap/>
            <w:vAlign w:val="center"/>
            <w:hideMark/>
          </w:tcPr>
          <w:p w14:paraId="001FB4A1" w14:textId="77777777" w:rsidR="009342B5" w:rsidRPr="00922B1C" w:rsidRDefault="009342B5" w:rsidP="00786089">
            <w:pPr>
              <w:pStyle w:val="Tabletext"/>
              <w:keepNext/>
              <w:jc w:val="center"/>
            </w:pPr>
            <w:r w:rsidRPr="00922B1C">
              <w:t>964 (88)</w:t>
            </w:r>
          </w:p>
        </w:tc>
        <w:tc>
          <w:tcPr>
            <w:tcW w:w="1299" w:type="dxa"/>
            <w:tcBorders>
              <w:top w:val="nil"/>
              <w:left w:val="nil"/>
              <w:bottom w:val="single" w:sz="4" w:space="0" w:color="auto"/>
              <w:right w:val="single" w:sz="4" w:space="0" w:color="auto"/>
            </w:tcBorders>
            <w:shd w:val="clear" w:color="auto" w:fill="auto"/>
            <w:noWrap/>
            <w:vAlign w:val="center"/>
            <w:hideMark/>
          </w:tcPr>
          <w:p w14:paraId="5B612EAC" w14:textId="77777777" w:rsidR="009342B5" w:rsidRPr="00922B1C" w:rsidRDefault="009342B5" w:rsidP="00786089">
            <w:pPr>
              <w:pStyle w:val="Tabletext"/>
              <w:keepNext/>
              <w:jc w:val="center"/>
            </w:pPr>
            <w:r w:rsidRPr="00922B1C">
              <w:t>131 (12)</w:t>
            </w:r>
          </w:p>
        </w:tc>
        <w:tc>
          <w:tcPr>
            <w:tcW w:w="1300" w:type="dxa"/>
            <w:tcBorders>
              <w:top w:val="nil"/>
              <w:left w:val="nil"/>
              <w:bottom w:val="single" w:sz="4" w:space="0" w:color="auto"/>
              <w:right w:val="single" w:sz="4" w:space="0" w:color="auto"/>
            </w:tcBorders>
            <w:shd w:val="clear" w:color="auto" w:fill="auto"/>
            <w:noWrap/>
            <w:vAlign w:val="center"/>
            <w:hideMark/>
          </w:tcPr>
          <w:p w14:paraId="3A486071" w14:textId="77777777" w:rsidR="009342B5" w:rsidRPr="00922B1C" w:rsidRDefault="009342B5" w:rsidP="00786089">
            <w:pPr>
              <w:pStyle w:val="Tabletext"/>
              <w:keepNext/>
              <w:jc w:val="center"/>
            </w:pPr>
            <w:r w:rsidRPr="00922B1C">
              <w:t>NR</w:t>
            </w:r>
          </w:p>
        </w:tc>
        <w:tc>
          <w:tcPr>
            <w:tcW w:w="1299" w:type="dxa"/>
            <w:tcBorders>
              <w:top w:val="nil"/>
              <w:left w:val="nil"/>
              <w:bottom w:val="single" w:sz="4" w:space="0" w:color="auto"/>
              <w:right w:val="single" w:sz="4" w:space="0" w:color="auto"/>
            </w:tcBorders>
            <w:shd w:val="clear" w:color="auto" w:fill="auto"/>
            <w:noWrap/>
            <w:vAlign w:val="center"/>
            <w:hideMark/>
          </w:tcPr>
          <w:p w14:paraId="05A89CC1" w14:textId="77777777" w:rsidR="009342B5" w:rsidRPr="00922B1C" w:rsidRDefault="009342B5" w:rsidP="00786089">
            <w:pPr>
              <w:pStyle w:val="Tabletext"/>
              <w:keepNext/>
              <w:jc w:val="center"/>
            </w:pPr>
            <w:r w:rsidRPr="00922B1C">
              <w:t>0 (0)</w:t>
            </w:r>
          </w:p>
        </w:tc>
        <w:tc>
          <w:tcPr>
            <w:tcW w:w="1299" w:type="dxa"/>
            <w:tcBorders>
              <w:top w:val="nil"/>
              <w:left w:val="nil"/>
              <w:bottom w:val="single" w:sz="4" w:space="0" w:color="auto"/>
              <w:right w:val="single" w:sz="4" w:space="0" w:color="auto"/>
            </w:tcBorders>
            <w:shd w:val="clear" w:color="auto" w:fill="auto"/>
            <w:noWrap/>
            <w:vAlign w:val="center"/>
            <w:hideMark/>
          </w:tcPr>
          <w:p w14:paraId="30925974" w14:textId="77777777" w:rsidR="009342B5" w:rsidRPr="00922B1C" w:rsidRDefault="009342B5" w:rsidP="00786089">
            <w:pPr>
              <w:pStyle w:val="Tabletext"/>
              <w:keepNext/>
              <w:jc w:val="center"/>
            </w:pPr>
            <w:r w:rsidRPr="00922B1C">
              <w:t>1 (0)</w:t>
            </w:r>
          </w:p>
        </w:tc>
        <w:tc>
          <w:tcPr>
            <w:tcW w:w="1300" w:type="dxa"/>
            <w:tcBorders>
              <w:top w:val="nil"/>
              <w:left w:val="nil"/>
              <w:bottom w:val="single" w:sz="4" w:space="0" w:color="auto"/>
              <w:right w:val="single" w:sz="4" w:space="0" w:color="auto"/>
            </w:tcBorders>
            <w:shd w:val="clear" w:color="auto" w:fill="auto"/>
            <w:noWrap/>
            <w:vAlign w:val="center"/>
            <w:hideMark/>
          </w:tcPr>
          <w:p w14:paraId="797E7999" w14:textId="77777777" w:rsidR="009342B5" w:rsidRPr="00922B1C" w:rsidRDefault="009342B5" w:rsidP="00786089">
            <w:pPr>
              <w:pStyle w:val="Tabletext"/>
              <w:keepNext/>
              <w:jc w:val="center"/>
            </w:pPr>
            <w:r w:rsidRPr="00922B1C">
              <w:t>1096 (13)</w:t>
            </w:r>
          </w:p>
        </w:tc>
      </w:tr>
      <w:tr w:rsidR="009342B5" w:rsidRPr="00A010BD" w14:paraId="63474CC0" w14:textId="77777777" w:rsidTr="0035237C">
        <w:trPr>
          <w:trHeight w:val="227"/>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7B1A336" w14:textId="47846073" w:rsidR="009342B5" w:rsidRPr="00922B1C" w:rsidRDefault="009342B5" w:rsidP="00786089">
            <w:pPr>
              <w:pStyle w:val="Tabletext"/>
              <w:keepNext/>
            </w:pPr>
            <w:r w:rsidRPr="00922B1C">
              <w:t xml:space="preserve">Breast and </w:t>
            </w:r>
            <w:r w:rsidR="000B3218">
              <w:t>Gyna</w:t>
            </w:r>
            <w:r w:rsidRPr="00922B1C">
              <w:t>e</w:t>
            </w:r>
          </w:p>
        </w:tc>
        <w:tc>
          <w:tcPr>
            <w:tcW w:w="1299" w:type="dxa"/>
            <w:tcBorders>
              <w:top w:val="nil"/>
              <w:left w:val="nil"/>
              <w:bottom w:val="single" w:sz="4" w:space="0" w:color="auto"/>
              <w:right w:val="single" w:sz="4" w:space="0" w:color="auto"/>
            </w:tcBorders>
            <w:shd w:val="clear" w:color="auto" w:fill="auto"/>
            <w:noWrap/>
            <w:vAlign w:val="center"/>
            <w:hideMark/>
          </w:tcPr>
          <w:p w14:paraId="54CF28FB" w14:textId="77777777" w:rsidR="009342B5" w:rsidRPr="00922B1C" w:rsidRDefault="009342B5" w:rsidP="00786089">
            <w:pPr>
              <w:pStyle w:val="Tabletext"/>
              <w:keepNext/>
              <w:jc w:val="center"/>
            </w:pPr>
            <w:r w:rsidRPr="00922B1C">
              <w:t>74 (29)</w:t>
            </w:r>
          </w:p>
        </w:tc>
        <w:tc>
          <w:tcPr>
            <w:tcW w:w="1299" w:type="dxa"/>
            <w:tcBorders>
              <w:top w:val="nil"/>
              <w:left w:val="nil"/>
              <w:bottom w:val="single" w:sz="4" w:space="0" w:color="auto"/>
              <w:right w:val="single" w:sz="4" w:space="0" w:color="auto"/>
            </w:tcBorders>
            <w:shd w:val="clear" w:color="auto" w:fill="auto"/>
            <w:noWrap/>
            <w:vAlign w:val="center"/>
            <w:hideMark/>
          </w:tcPr>
          <w:p w14:paraId="2A640146" w14:textId="77777777" w:rsidR="009342B5" w:rsidRPr="00922B1C" w:rsidRDefault="009342B5" w:rsidP="00786089">
            <w:pPr>
              <w:pStyle w:val="Tabletext"/>
              <w:keepNext/>
              <w:jc w:val="center"/>
            </w:pPr>
            <w:r w:rsidRPr="00922B1C">
              <w:t>6 (2)</w:t>
            </w:r>
          </w:p>
        </w:tc>
        <w:tc>
          <w:tcPr>
            <w:tcW w:w="1300" w:type="dxa"/>
            <w:tcBorders>
              <w:top w:val="nil"/>
              <w:left w:val="nil"/>
              <w:bottom w:val="single" w:sz="4" w:space="0" w:color="auto"/>
              <w:right w:val="single" w:sz="4" w:space="0" w:color="auto"/>
            </w:tcBorders>
            <w:shd w:val="clear" w:color="auto" w:fill="auto"/>
            <w:noWrap/>
            <w:vAlign w:val="center"/>
            <w:hideMark/>
          </w:tcPr>
          <w:p w14:paraId="599196F8" w14:textId="77777777" w:rsidR="009342B5" w:rsidRPr="00922B1C" w:rsidRDefault="009342B5" w:rsidP="00786089">
            <w:pPr>
              <w:pStyle w:val="Tabletext"/>
              <w:keepNext/>
              <w:jc w:val="center"/>
            </w:pPr>
            <w:r w:rsidRPr="00922B1C">
              <w:t>70 (27)</w:t>
            </w:r>
          </w:p>
        </w:tc>
        <w:tc>
          <w:tcPr>
            <w:tcW w:w="1299" w:type="dxa"/>
            <w:tcBorders>
              <w:top w:val="nil"/>
              <w:left w:val="nil"/>
              <w:bottom w:val="single" w:sz="4" w:space="0" w:color="auto"/>
              <w:right w:val="single" w:sz="4" w:space="0" w:color="auto"/>
            </w:tcBorders>
            <w:shd w:val="clear" w:color="auto" w:fill="auto"/>
            <w:noWrap/>
            <w:vAlign w:val="center"/>
            <w:hideMark/>
          </w:tcPr>
          <w:p w14:paraId="41599F4E" w14:textId="77777777" w:rsidR="009342B5" w:rsidRPr="00922B1C" w:rsidRDefault="009342B5" w:rsidP="00786089">
            <w:pPr>
              <w:pStyle w:val="Tabletext"/>
              <w:keepNext/>
              <w:jc w:val="center"/>
            </w:pPr>
            <w:r w:rsidRPr="00922B1C">
              <w:t>34 (13)</w:t>
            </w:r>
          </w:p>
        </w:tc>
        <w:tc>
          <w:tcPr>
            <w:tcW w:w="1299" w:type="dxa"/>
            <w:tcBorders>
              <w:top w:val="nil"/>
              <w:left w:val="nil"/>
              <w:bottom w:val="single" w:sz="4" w:space="0" w:color="auto"/>
              <w:right w:val="single" w:sz="4" w:space="0" w:color="auto"/>
            </w:tcBorders>
            <w:shd w:val="clear" w:color="auto" w:fill="auto"/>
            <w:noWrap/>
            <w:vAlign w:val="center"/>
            <w:hideMark/>
          </w:tcPr>
          <w:p w14:paraId="26414CCD" w14:textId="77777777" w:rsidR="009342B5" w:rsidRPr="00922B1C" w:rsidRDefault="009342B5" w:rsidP="00786089">
            <w:pPr>
              <w:pStyle w:val="Tabletext"/>
              <w:keepNext/>
              <w:jc w:val="center"/>
            </w:pPr>
            <w:r w:rsidRPr="00922B1C">
              <w:t>73 (28)</w:t>
            </w:r>
          </w:p>
        </w:tc>
        <w:tc>
          <w:tcPr>
            <w:tcW w:w="1300" w:type="dxa"/>
            <w:tcBorders>
              <w:top w:val="nil"/>
              <w:left w:val="nil"/>
              <w:bottom w:val="single" w:sz="4" w:space="0" w:color="auto"/>
              <w:right w:val="single" w:sz="4" w:space="0" w:color="auto"/>
            </w:tcBorders>
            <w:shd w:val="clear" w:color="auto" w:fill="auto"/>
            <w:noWrap/>
            <w:vAlign w:val="center"/>
            <w:hideMark/>
          </w:tcPr>
          <w:p w14:paraId="322C29AB" w14:textId="77777777" w:rsidR="009342B5" w:rsidRPr="00922B1C" w:rsidRDefault="009342B5" w:rsidP="00786089">
            <w:pPr>
              <w:pStyle w:val="Tabletext"/>
              <w:keepNext/>
              <w:jc w:val="center"/>
            </w:pPr>
            <w:r w:rsidRPr="00922B1C">
              <w:t>257 (3)</w:t>
            </w:r>
          </w:p>
        </w:tc>
      </w:tr>
      <w:tr w:rsidR="009342B5" w:rsidRPr="00A010BD" w14:paraId="4A08A381" w14:textId="77777777" w:rsidTr="0035237C">
        <w:trPr>
          <w:trHeight w:val="227"/>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1585477" w14:textId="77777777" w:rsidR="009342B5" w:rsidRPr="00922B1C" w:rsidRDefault="009342B5" w:rsidP="00786089">
            <w:pPr>
              <w:pStyle w:val="Tabletext"/>
              <w:keepNext/>
            </w:pPr>
            <w:r w:rsidRPr="00922B1C">
              <w:t>Prostate and male genital</w:t>
            </w:r>
          </w:p>
        </w:tc>
        <w:tc>
          <w:tcPr>
            <w:tcW w:w="1299" w:type="dxa"/>
            <w:tcBorders>
              <w:top w:val="nil"/>
              <w:left w:val="nil"/>
              <w:bottom w:val="single" w:sz="4" w:space="0" w:color="auto"/>
              <w:right w:val="single" w:sz="4" w:space="0" w:color="auto"/>
            </w:tcBorders>
            <w:shd w:val="clear" w:color="auto" w:fill="auto"/>
            <w:noWrap/>
            <w:vAlign w:val="center"/>
            <w:hideMark/>
          </w:tcPr>
          <w:p w14:paraId="74AD3697" w14:textId="77777777" w:rsidR="009342B5" w:rsidRPr="00922B1C" w:rsidRDefault="009342B5" w:rsidP="00786089">
            <w:pPr>
              <w:pStyle w:val="Tabletext"/>
              <w:keepNext/>
              <w:jc w:val="center"/>
            </w:pPr>
            <w:r w:rsidRPr="00922B1C">
              <w:t>5 (5)</w:t>
            </w:r>
          </w:p>
        </w:tc>
        <w:tc>
          <w:tcPr>
            <w:tcW w:w="1299" w:type="dxa"/>
            <w:tcBorders>
              <w:top w:val="nil"/>
              <w:left w:val="nil"/>
              <w:bottom w:val="single" w:sz="4" w:space="0" w:color="auto"/>
              <w:right w:val="single" w:sz="4" w:space="0" w:color="auto"/>
            </w:tcBorders>
            <w:shd w:val="clear" w:color="auto" w:fill="auto"/>
            <w:noWrap/>
            <w:vAlign w:val="center"/>
            <w:hideMark/>
          </w:tcPr>
          <w:p w14:paraId="34142522" w14:textId="77777777" w:rsidR="009342B5" w:rsidRPr="00922B1C" w:rsidRDefault="009342B5" w:rsidP="00786089">
            <w:pPr>
              <w:pStyle w:val="Tabletext"/>
              <w:keepNext/>
              <w:jc w:val="center"/>
            </w:pPr>
            <w:r w:rsidRPr="00922B1C">
              <w:t>1 (1)</w:t>
            </w:r>
          </w:p>
        </w:tc>
        <w:tc>
          <w:tcPr>
            <w:tcW w:w="1300" w:type="dxa"/>
            <w:tcBorders>
              <w:top w:val="nil"/>
              <w:left w:val="nil"/>
              <w:bottom w:val="single" w:sz="4" w:space="0" w:color="auto"/>
              <w:right w:val="single" w:sz="4" w:space="0" w:color="auto"/>
            </w:tcBorders>
            <w:shd w:val="clear" w:color="auto" w:fill="auto"/>
            <w:noWrap/>
            <w:vAlign w:val="center"/>
            <w:hideMark/>
          </w:tcPr>
          <w:p w14:paraId="03E160F2" w14:textId="77777777" w:rsidR="009342B5" w:rsidRPr="00922B1C" w:rsidRDefault="009342B5" w:rsidP="00786089">
            <w:pPr>
              <w:pStyle w:val="Tabletext"/>
              <w:keepNext/>
              <w:jc w:val="center"/>
            </w:pPr>
            <w:r w:rsidRPr="00922B1C">
              <w:t>26 (25)</w:t>
            </w:r>
          </w:p>
        </w:tc>
        <w:tc>
          <w:tcPr>
            <w:tcW w:w="1299" w:type="dxa"/>
            <w:tcBorders>
              <w:top w:val="nil"/>
              <w:left w:val="nil"/>
              <w:bottom w:val="single" w:sz="4" w:space="0" w:color="auto"/>
              <w:right w:val="single" w:sz="4" w:space="0" w:color="auto"/>
            </w:tcBorders>
            <w:shd w:val="clear" w:color="auto" w:fill="auto"/>
            <w:noWrap/>
            <w:vAlign w:val="center"/>
            <w:hideMark/>
          </w:tcPr>
          <w:p w14:paraId="7850E459" w14:textId="77777777" w:rsidR="009342B5" w:rsidRPr="00922B1C" w:rsidRDefault="009342B5" w:rsidP="00786089">
            <w:pPr>
              <w:pStyle w:val="Tabletext"/>
              <w:keepNext/>
              <w:jc w:val="center"/>
            </w:pPr>
            <w:r w:rsidRPr="00922B1C">
              <w:t>19 (18)</w:t>
            </w:r>
          </w:p>
        </w:tc>
        <w:tc>
          <w:tcPr>
            <w:tcW w:w="1299" w:type="dxa"/>
            <w:tcBorders>
              <w:top w:val="nil"/>
              <w:left w:val="nil"/>
              <w:bottom w:val="single" w:sz="4" w:space="0" w:color="auto"/>
              <w:right w:val="single" w:sz="4" w:space="0" w:color="auto"/>
            </w:tcBorders>
            <w:shd w:val="clear" w:color="auto" w:fill="auto"/>
            <w:noWrap/>
            <w:vAlign w:val="center"/>
            <w:hideMark/>
          </w:tcPr>
          <w:p w14:paraId="525532A0" w14:textId="77777777" w:rsidR="009342B5" w:rsidRPr="00922B1C" w:rsidRDefault="009342B5" w:rsidP="00786089">
            <w:pPr>
              <w:pStyle w:val="Tabletext"/>
              <w:keepNext/>
              <w:jc w:val="center"/>
            </w:pPr>
            <w:r w:rsidRPr="00922B1C">
              <w:t>53 (51)</w:t>
            </w:r>
          </w:p>
        </w:tc>
        <w:tc>
          <w:tcPr>
            <w:tcW w:w="1300" w:type="dxa"/>
            <w:tcBorders>
              <w:top w:val="nil"/>
              <w:left w:val="nil"/>
              <w:bottom w:val="single" w:sz="4" w:space="0" w:color="auto"/>
              <w:right w:val="single" w:sz="4" w:space="0" w:color="auto"/>
            </w:tcBorders>
            <w:shd w:val="clear" w:color="auto" w:fill="auto"/>
            <w:noWrap/>
            <w:vAlign w:val="center"/>
            <w:hideMark/>
          </w:tcPr>
          <w:p w14:paraId="29840D8D" w14:textId="77777777" w:rsidR="009342B5" w:rsidRPr="00922B1C" w:rsidRDefault="009342B5" w:rsidP="00786089">
            <w:pPr>
              <w:pStyle w:val="Tabletext"/>
              <w:keepNext/>
              <w:jc w:val="center"/>
            </w:pPr>
            <w:r w:rsidRPr="00922B1C">
              <w:t>104 (1)</w:t>
            </w:r>
          </w:p>
        </w:tc>
      </w:tr>
      <w:tr w:rsidR="009342B5" w:rsidRPr="00A010BD" w14:paraId="56CF212A" w14:textId="77777777" w:rsidTr="0035237C">
        <w:trPr>
          <w:trHeight w:val="227"/>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8755811" w14:textId="77777777" w:rsidR="009342B5" w:rsidRPr="00922B1C" w:rsidRDefault="009342B5" w:rsidP="00786089">
            <w:pPr>
              <w:pStyle w:val="Tabletext"/>
              <w:keepNext/>
            </w:pPr>
            <w:r w:rsidRPr="00922B1C">
              <w:t>Urinary tract</w:t>
            </w:r>
          </w:p>
        </w:tc>
        <w:tc>
          <w:tcPr>
            <w:tcW w:w="1299" w:type="dxa"/>
            <w:tcBorders>
              <w:top w:val="nil"/>
              <w:left w:val="nil"/>
              <w:bottom w:val="single" w:sz="4" w:space="0" w:color="auto"/>
              <w:right w:val="single" w:sz="4" w:space="0" w:color="auto"/>
            </w:tcBorders>
            <w:shd w:val="clear" w:color="auto" w:fill="auto"/>
            <w:noWrap/>
            <w:vAlign w:val="center"/>
            <w:hideMark/>
          </w:tcPr>
          <w:p w14:paraId="58C05399" w14:textId="77777777" w:rsidR="009342B5" w:rsidRPr="00922B1C" w:rsidRDefault="009342B5" w:rsidP="00786089">
            <w:pPr>
              <w:pStyle w:val="Tabletext"/>
              <w:keepNext/>
              <w:jc w:val="center"/>
            </w:pPr>
            <w:r w:rsidRPr="00922B1C">
              <w:t>8 (4)</w:t>
            </w:r>
          </w:p>
        </w:tc>
        <w:tc>
          <w:tcPr>
            <w:tcW w:w="1299" w:type="dxa"/>
            <w:tcBorders>
              <w:top w:val="nil"/>
              <w:left w:val="nil"/>
              <w:bottom w:val="single" w:sz="4" w:space="0" w:color="auto"/>
              <w:right w:val="single" w:sz="4" w:space="0" w:color="auto"/>
            </w:tcBorders>
            <w:shd w:val="clear" w:color="auto" w:fill="auto"/>
            <w:noWrap/>
            <w:vAlign w:val="center"/>
            <w:hideMark/>
          </w:tcPr>
          <w:p w14:paraId="65540319" w14:textId="77777777" w:rsidR="009342B5" w:rsidRPr="00922B1C" w:rsidRDefault="009342B5" w:rsidP="00786089">
            <w:pPr>
              <w:pStyle w:val="Tabletext"/>
              <w:keepNext/>
              <w:jc w:val="center"/>
            </w:pPr>
            <w:r w:rsidRPr="00922B1C">
              <w:t>1 (0)</w:t>
            </w:r>
          </w:p>
        </w:tc>
        <w:tc>
          <w:tcPr>
            <w:tcW w:w="1300" w:type="dxa"/>
            <w:tcBorders>
              <w:top w:val="nil"/>
              <w:left w:val="nil"/>
              <w:bottom w:val="single" w:sz="4" w:space="0" w:color="auto"/>
              <w:right w:val="single" w:sz="4" w:space="0" w:color="auto"/>
            </w:tcBorders>
            <w:shd w:val="clear" w:color="auto" w:fill="auto"/>
            <w:noWrap/>
            <w:vAlign w:val="center"/>
            <w:hideMark/>
          </w:tcPr>
          <w:p w14:paraId="6307D336" w14:textId="77777777" w:rsidR="009342B5" w:rsidRPr="00922B1C" w:rsidRDefault="009342B5" w:rsidP="00786089">
            <w:pPr>
              <w:pStyle w:val="Tabletext"/>
              <w:keepNext/>
              <w:jc w:val="center"/>
            </w:pPr>
            <w:r w:rsidRPr="00922B1C">
              <w:t>62 (30)</w:t>
            </w:r>
          </w:p>
        </w:tc>
        <w:tc>
          <w:tcPr>
            <w:tcW w:w="1299" w:type="dxa"/>
            <w:tcBorders>
              <w:top w:val="nil"/>
              <w:left w:val="nil"/>
              <w:bottom w:val="single" w:sz="4" w:space="0" w:color="auto"/>
              <w:right w:val="single" w:sz="4" w:space="0" w:color="auto"/>
            </w:tcBorders>
            <w:shd w:val="clear" w:color="auto" w:fill="auto"/>
            <w:noWrap/>
            <w:vAlign w:val="center"/>
            <w:hideMark/>
          </w:tcPr>
          <w:p w14:paraId="3E3EA57F" w14:textId="77777777" w:rsidR="009342B5" w:rsidRPr="00922B1C" w:rsidRDefault="009342B5" w:rsidP="00786089">
            <w:pPr>
              <w:pStyle w:val="Tabletext"/>
              <w:keepNext/>
              <w:jc w:val="center"/>
            </w:pPr>
            <w:r w:rsidRPr="00922B1C">
              <w:t>36 (18)</w:t>
            </w:r>
          </w:p>
        </w:tc>
        <w:tc>
          <w:tcPr>
            <w:tcW w:w="1299" w:type="dxa"/>
            <w:tcBorders>
              <w:top w:val="nil"/>
              <w:left w:val="nil"/>
              <w:bottom w:val="single" w:sz="4" w:space="0" w:color="auto"/>
              <w:right w:val="single" w:sz="4" w:space="0" w:color="auto"/>
            </w:tcBorders>
            <w:shd w:val="clear" w:color="auto" w:fill="auto"/>
            <w:noWrap/>
            <w:vAlign w:val="center"/>
            <w:hideMark/>
          </w:tcPr>
          <w:p w14:paraId="045FBBAD" w14:textId="77777777" w:rsidR="009342B5" w:rsidRPr="00922B1C" w:rsidRDefault="009342B5" w:rsidP="00786089">
            <w:pPr>
              <w:pStyle w:val="Tabletext"/>
              <w:keepNext/>
              <w:jc w:val="center"/>
            </w:pPr>
            <w:r w:rsidRPr="00922B1C">
              <w:t>98 (48)</w:t>
            </w:r>
          </w:p>
        </w:tc>
        <w:tc>
          <w:tcPr>
            <w:tcW w:w="1300" w:type="dxa"/>
            <w:tcBorders>
              <w:top w:val="nil"/>
              <w:left w:val="nil"/>
              <w:bottom w:val="single" w:sz="4" w:space="0" w:color="auto"/>
              <w:right w:val="single" w:sz="4" w:space="0" w:color="auto"/>
            </w:tcBorders>
            <w:shd w:val="clear" w:color="auto" w:fill="auto"/>
            <w:noWrap/>
            <w:vAlign w:val="center"/>
            <w:hideMark/>
          </w:tcPr>
          <w:p w14:paraId="67AF9AB6" w14:textId="77777777" w:rsidR="009342B5" w:rsidRPr="00922B1C" w:rsidRDefault="009342B5" w:rsidP="00786089">
            <w:pPr>
              <w:pStyle w:val="Tabletext"/>
              <w:keepNext/>
              <w:jc w:val="center"/>
            </w:pPr>
            <w:r w:rsidRPr="00922B1C">
              <w:t>205 (3)</w:t>
            </w:r>
          </w:p>
        </w:tc>
      </w:tr>
      <w:tr w:rsidR="009342B5" w:rsidRPr="00A010BD" w14:paraId="7EE3D7D5" w14:textId="77777777" w:rsidTr="0035237C">
        <w:trPr>
          <w:trHeight w:val="227"/>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3383B6C" w14:textId="77777777" w:rsidR="009342B5" w:rsidRPr="00922B1C" w:rsidRDefault="009342B5" w:rsidP="00786089">
            <w:pPr>
              <w:pStyle w:val="Tabletext"/>
              <w:keepNext/>
            </w:pPr>
            <w:r w:rsidRPr="00922B1C">
              <w:t>Other sites</w:t>
            </w:r>
          </w:p>
        </w:tc>
        <w:tc>
          <w:tcPr>
            <w:tcW w:w="1299" w:type="dxa"/>
            <w:tcBorders>
              <w:top w:val="nil"/>
              <w:left w:val="nil"/>
              <w:bottom w:val="single" w:sz="4" w:space="0" w:color="auto"/>
              <w:right w:val="single" w:sz="4" w:space="0" w:color="auto"/>
            </w:tcBorders>
            <w:shd w:val="clear" w:color="auto" w:fill="auto"/>
            <w:noWrap/>
            <w:vAlign w:val="center"/>
            <w:hideMark/>
          </w:tcPr>
          <w:p w14:paraId="7F4C7F0A" w14:textId="77777777" w:rsidR="009342B5" w:rsidRPr="00922B1C" w:rsidRDefault="009342B5" w:rsidP="00786089">
            <w:pPr>
              <w:pStyle w:val="Tabletext"/>
              <w:keepNext/>
              <w:jc w:val="center"/>
            </w:pPr>
            <w:r w:rsidRPr="00922B1C">
              <w:t>31 (14)</w:t>
            </w:r>
          </w:p>
        </w:tc>
        <w:tc>
          <w:tcPr>
            <w:tcW w:w="1299" w:type="dxa"/>
            <w:tcBorders>
              <w:top w:val="nil"/>
              <w:left w:val="nil"/>
              <w:bottom w:val="single" w:sz="4" w:space="0" w:color="auto"/>
              <w:right w:val="single" w:sz="4" w:space="0" w:color="auto"/>
            </w:tcBorders>
            <w:shd w:val="clear" w:color="auto" w:fill="auto"/>
            <w:noWrap/>
            <w:vAlign w:val="center"/>
            <w:hideMark/>
          </w:tcPr>
          <w:p w14:paraId="34B2968C" w14:textId="77777777" w:rsidR="009342B5" w:rsidRPr="00922B1C" w:rsidRDefault="009342B5" w:rsidP="00786089">
            <w:pPr>
              <w:pStyle w:val="Tabletext"/>
              <w:keepNext/>
              <w:jc w:val="center"/>
            </w:pPr>
            <w:r w:rsidRPr="00922B1C">
              <w:t>12 (6)</w:t>
            </w:r>
          </w:p>
        </w:tc>
        <w:tc>
          <w:tcPr>
            <w:tcW w:w="1300" w:type="dxa"/>
            <w:tcBorders>
              <w:top w:val="nil"/>
              <w:left w:val="nil"/>
              <w:bottom w:val="single" w:sz="4" w:space="0" w:color="auto"/>
              <w:right w:val="single" w:sz="4" w:space="0" w:color="auto"/>
            </w:tcBorders>
            <w:shd w:val="clear" w:color="auto" w:fill="auto"/>
            <w:noWrap/>
            <w:vAlign w:val="center"/>
            <w:hideMark/>
          </w:tcPr>
          <w:p w14:paraId="424652B3" w14:textId="77777777" w:rsidR="009342B5" w:rsidRPr="00922B1C" w:rsidRDefault="009342B5" w:rsidP="00786089">
            <w:pPr>
              <w:pStyle w:val="Tabletext"/>
              <w:keepNext/>
              <w:jc w:val="center"/>
            </w:pPr>
            <w:r w:rsidRPr="00922B1C">
              <w:t>74 (34)</w:t>
            </w:r>
          </w:p>
        </w:tc>
        <w:tc>
          <w:tcPr>
            <w:tcW w:w="1299" w:type="dxa"/>
            <w:tcBorders>
              <w:top w:val="nil"/>
              <w:left w:val="nil"/>
              <w:bottom w:val="single" w:sz="4" w:space="0" w:color="auto"/>
              <w:right w:val="single" w:sz="4" w:space="0" w:color="auto"/>
            </w:tcBorders>
            <w:shd w:val="clear" w:color="auto" w:fill="auto"/>
            <w:noWrap/>
            <w:vAlign w:val="center"/>
            <w:hideMark/>
          </w:tcPr>
          <w:p w14:paraId="1EDF6EB4" w14:textId="77777777" w:rsidR="009342B5" w:rsidRPr="00922B1C" w:rsidRDefault="009342B5" w:rsidP="00786089">
            <w:pPr>
              <w:pStyle w:val="Tabletext"/>
              <w:keepNext/>
              <w:jc w:val="center"/>
            </w:pPr>
            <w:r w:rsidRPr="00922B1C">
              <w:t>28 (13)</w:t>
            </w:r>
          </w:p>
        </w:tc>
        <w:tc>
          <w:tcPr>
            <w:tcW w:w="1299" w:type="dxa"/>
            <w:tcBorders>
              <w:top w:val="nil"/>
              <w:left w:val="nil"/>
              <w:bottom w:val="single" w:sz="4" w:space="0" w:color="auto"/>
              <w:right w:val="single" w:sz="4" w:space="0" w:color="auto"/>
            </w:tcBorders>
            <w:shd w:val="clear" w:color="auto" w:fill="auto"/>
            <w:noWrap/>
            <w:vAlign w:val="center"/>
            <w:hideMark/>
          </w:tcPr>
          <w:p w14:paraId="7CA6A26A" w14:textId="77777777" w:rsidR="009342B5" w:rsidRPr="00922B1C" w:rsidRDefault="009342B5" w:rsidP="00786089">
            <w:pPr>
              <w:pStyle w:val="Tabletext"/>
              <w:keepNext/>
              <w:jc w:val="center"/>
            </w:pPr>
            <w:r w:rsidRPr="00922B1C">
              <w:t>73 (33)</w:t>
            </w:r>
          </w:p>
        </w:tc>
        <w:tc>
          <w:tcPr>
            <w:tcW w:w="1300" w:type="dxa"/>
            <w:tcBorders>
              <w:top w:val="nil"/>
              <w:left w:val="nil"/>
              <w:bottom w:val="single" w:sz="4" w:space="0" w:color="auto"/>
              <w:right w:val="single" w:sz="4" w:space="0" w:color="auto"/>
            </w:tcBorders>
            <w:shd w:val="clear" w:color="auto" w:fill="auto"/>
            <w:noWrap/>
            <w:vAlign w:val="center"/>
            <w:hideMark/>
          </w:tcPr>
          <w:p w14:paraId="1FB1B119" w14:textId="77777777" w:rsidR="009342B5" w:rsidRPr="00922B1C" w:rsidRDefault="009342B5" w:rsidP="00786089">
            <w:pPr>
              <w:pStyle w:val="Tabletext"/>
              <w:keepNext/>
              <w:jc w:val="center"/>
            </w:pPr>
            <w:r w:rsidRPr="00922B1C">
              <w:t>218 (3)</w:t>
            </w:r>
          </w:p>
        </w:tc>
      </w:tr>
      <w:tr w:rsidR="009342B5" w:rsidRPr="00A010BD" w14:paraId="58CB3898" w14:textId="77777777" w:rsidTr="0035237C">
        <w:trPr>
          <w:trHeight w:val="227"/>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5DBF8B9" w14:textId="77777777" w:rsidR="009342B5" w:rsidRPr="00922B1C" w:rsidRDefault="009342B5" w:rsidP="00786089">
            <w:pPr>
              <w:pStyle w:val="Tabletext"/>
              <w:keepNext/>
            </w:pPr>
            <w:r w:rsidRPr="00922B1C">
              <w:t>Unknown site</w:t>
            </w:r>
          </w:p>
        </w:tc>
        <w:tc>
          <w:tcPr>
            <w:tcW w:w="1299" w:type="dxa"/>
            <w:tcBorders>
              <w:top w:val="nil"/>
              <w:left w:val="nil"/>
              <w:bottom w:val="single" w:sz="4" w:space="0" w:color="auto"/>
              <w:right w:val="single" w:sz="4" w:space="0" w:color="auto"/>
            </w:tcBorders>
            <w:shd w:val="clear" w:color="auto" w:fill="auto"/>
            <w:noWrap/>
            <w:vAlign w:val="center"/>
            <w:hideMark/>
          </w:tcPr>
          <w:p w14:paraId="62E18BE0" w14:textId="77777777" w:rsidR="009342B5" w:rsidRPr="00922B1C" w:rsidRDefault="009342B5" w:rsidP="00786089">
            <w:pPr>
              <w:pStyle w:val="Tabletext"/>
              <w:keepNext/>
              <w:jc w:val="center"/>
            </w:pPr>
            <w:r w:rsidRPr="00922B1C">
              <w:t>251 (20)</w:t>
            </w:r>
          </w:p>
        </w:tc>
        <w:tc>
          <w:tcPr>
            <w:tcW w:w="1299" w:type="dxa"/>
            <w:tcBorders>
              <w:top w:val="nil"/>
              <w:left w:val="nil"/>
              <w:bottom w:val="single" w:sz="4" w:space="0" w:color="auto"/>
              <w:right w:val="single" w:sz="4" w:space="0" w:color="auto"/>
            </w:tcBorders>
            <w:shd w:val="clear" w:color="auto" w:fill="auto"/>
            <w:noWrap/>
            <w:vAlign w:val="center"/>
            <w:hideMark/>
          </w:tcPr>
          <w:p w14:paraId="01BFF2D6" w14:textId="77777777" w:rsidR="009342B5" w:rsidRPr="00922B1C" w:rsidRDefault="009342B5" w:rsidP="00786089">
            <w:pPr>
              <w:pStyle w:val="Tabletext"/>
              <w:keepNext/>
              <w:jc w:val="center"/>
            </w:pPr>
            <w:r w:rsidRPr="00922B1C">
              <w:t>28 (2)</w:t>
            </w:r>
          </w:p>
        </w:tc>
        <w:tc>
          <w:tcPr>
            <w:tcW w:w="1300" w:type="dxa"/>
            <w:tcBorders>
              <w:top w:val="nil"/>
              <w:left w:val="nil"/>
              <w:bottom w:val="single" w:sz="4" w:space="0" w:color="auto"/>
              <w:right w:val="single" w:sz="4" w:space="0" w:color="auto"/>
            </w:tcBorders>
            <w:shd w:val="clear" w:color="auto" w:fill="auto"/>
            <w:noWrap/>
            <w:vAlign w:val="center"/>
            <w:hideMark/>
          </w:tcPr>
          <w:p w14:paraId="3BD3A2C8" w14:textId="77777777" w:rsidR="009342B5" w:rsidRPr="00922B1C" w:rsidRDefault="009342B5" w:rsidP="00786089">
            <w:pPr>
              <w:pStyle w:val="Tabletext"/>
              <w:keepNext/>
              <w:jc w:val="center"/>
            </w:pPr>
            <w:r w:rsidRPr="00922B1C">
              <w:t>418 (33)</w:t>
            </w:r>
          </w:p>
        </w:tc>
        <w:tc>
          <w:tcPr>
            <w:tcW w:w="1299" w:type="dxa"/>
            <w:tcBorders>
              <w:top w:val="nil"/>
              <w:left w:val="nil"/>
              <w:bottom w:val="single" w:sz="4" w:space="0" w:color="auto"/>
              <w:right w:val="single" w:sz="4" w:space="0" w:color="auto"/>
            </w:tcBorders>
            <w:shd w:val="clear" w:color="auto" w:fill="auto"/>
            <w:noWrap/>
            <w:vAlign w:val="center"/>
            <w:hideMark/>
          </w:tcPr>
          <w:p w14:paraId="41189E7C" w14:textId="77777777" w:rsidR="009342B5" w:rsidRPr="00922B1C" w:rsidRDefault="009342B5" w:rsidP="00786089">
            <w:pPr>
              <w:pStyle w:val="Tabletext"/>
              <w:keepNext/>
              <w:jc w:val="center"/>
            </w:pPr>
            <w:r w:rsidRPr="00922B1C">
              <w:t>130 (10)</w:t>
            </w:r>
          </w:p>
        </w:tc>
        <w:tc>
          <w:tcPr>
            <w:tcW w:w="1299" w:type="dxa"/>
            <w:tcBorders>
              <w:top w:val="nil"/>
              <w:left w:val="nil"/>
              <w:bottom w:val="single" w:sz="4" w:space="0" w:color="auto"/>
              <w:right w:val="single" w:sz="4" w:space="0" w:color="auto"/>
            </w:tcBorders>
            <w:shd w:val="clear" w:color="auto" w:fill="auto"/>
            <w:noWrap/>
            <w:vAlign w:val="center"/>
            <w:hideMark/>
          </w:tcPr>
          <w:p w14:paraId="6884E4FE" w14:textId="77777777" w:rsidR="009342B5" w:rsidRPr="00922B1C" w:rsidRDefault="009342B5" w:rsidP="00786089">
            <w:pPr>
              <w:pStyle w:val="Tabletext"/>
              <w:keepNext/>
              <w:jc w:val="center"/>
            </w:pPr>
            <w:r w:rsidRPr="00922B1C">
              <w:t>453 (35)</w:t>
            </w:r>
          </w:p>
        </w:tc>
        <w:tc>
          <w:tcPr>
            <w:tcW w:w="1300" w:type="dxa"/>
            <w:tcBorders>
              <w:top w:val="nil"/>
              <w:left w:val="nil"/>
              <w:bottom w:val="single" w:sz="4" w:space="0" w:color="auto"/>
              <w:right w:val="single" w:sz="4" w:space="0" w:color="auto"/>
            </w:tcBorders>
            <w:shd w:val="clear" w:color="auto" w:fill="auto"/>
            <w:noWrap/>
            <w:vAlign w:val="center"/>
            <w:hideMark/>
          </w:tcPr>
          <w:p w14:paraId="4D51DE55" w14:textId="77777777" w:rsidR="009342B5" w:rsidRPr="00922B1C" w:rsidRDefault="009342B5" w:rsidP="00786089">
            <w:pPr>
              <w:pStyle w:val="Tabletext"/>
              <w:keepNext/>
              <w:jc w:val="center"/>
            </w:pPr>
            <w:r w:rsidRPr="00922B1C">
              <w:t>1280 (16)</w:t>
            </w:r>
          </w:p>
        </w:tc>
      </w:tr>
      <w:tr w:rsidR="009342B5" w:rsidRPr="00A010BD" w14:paraId="6919D543" w14:textId="77777777" w:rsidTr="0035237C">
        <w:trPr>
          <w:trHeight w:val="227"/>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74717A2" w14:textId="77777777" w:rsidR="009342B5" w:rsidRPr="00922B1C" w:rsidRDefault="009342B5" w:rsidP="00786089">
            <w:pPr>
              <w:pStyle w:val="Tabletext"/>
              <w:keepNext/>
            </w:pPr>
            <w:r w:rsidRPr="00922B1C">
              <w:t>Total</w:t>
            </w:r>
          </w:p>
        </w:tc>
        <w:tc>
          <w:tcPr>
            <w:tcW w:w="1299" w:type="dxa"/>
            <w:tcBorders>
              <w:top w:val="nil"/>
              <w:left w:val="nil"/>
              <w:bottom w:val="single" w:sz="4" w:space="0" w:color="auto"/>
              <w:right w:val="single" w:sz="4" w:space="0" w:color="auto"/>
            </w:tcBorders>
            <w:shd w:val="clear" w:color="auto" w:fill="auto"/>
            <w:noWrap/>
            <w:vAlign w:val="center"/>
            <w:hideMark/>
          </w:tcPr>
          <w:p w14:paraId="4D62515B" w14:textId="77777777" w:rsidR="009342B5" w:rsidRPr="00922B1C" w:rsidRDefault="009342B5" w:rsidP="00786089">
            <w:pPr>
              <w:pStyle w:val="Tabletext"/>
              <w:keepNext/>
              <w:jc w:val="center"/>
            </w:pPr>
            <w:r w:rsidRPr="00922B1C">
              <w:t>4850 (60)</w:t>
            </w:r>
          </w:p>
        </w:tc>
        <w:tc>
          <w:tcPr>
            <w:tcW w:w="1299" w:type="dxa"/>
            <w:tcBorders>
              <w:top w:val="nil"/>
              <w:left w:val="nil"/>
              <w:bottom w:val="single" w:sz="4" w:space="0" w:color="auto"/>
              <w:right w:val="single" w:sz="4" w:space="0" w:color="auto"/>
            </w:tcBorders>
            <w:shd w:val="clear" w:color="auto" w:fill="auto"/>
            <w:noWrap/>
            <w:vAlign w:val="center"/>
            <w:hideMark/>
          </w:tcPr>
          <w:p w14:paraId="4FD7F00B" w14:textId="77777777" w:rsidR="009342B5" w:rsidRPr="00922B1C" w:rsidRDefault="009342B5" w:rsidP="00786089">
            <w:pPr>
              <w:pStyle w:val="Tabletext"/>
              <w:keepNext/>
              <w:jc w:val="center"/>
            </w:pPr>
            <w:r w:rsidRPr="00922B1C">
              <w:t>461 (6)</w:t>
            </w:r>
          </w:p>
        </w:tc>
        <w:tc>
          <w:tcPr>
            <w:tcW w:w="1300" w:type="dxa"/>
            <w:tcBorders>
              <w:top w:val="nil"/>
              <w:left w:val="nil"/>
              <w:bottom w:val="single" w:sz="4" w:space="0" w:color="auto"/>
              <w:right w:val="single" w:sz="4" w:space="0" w:color="auto"/>
            </w:tcBorders>
            <w:shd w:val="clear" w:color="auto" w:fill="auto"/>
            <w:noWrap/>
            <w:vAlign w:val="center"/>
            <w:hideMark/>
          </w:tcPr>
          <w:p w14:paraId="2A20A3A0" w14:textId="77777777" w:rsidR="009342B5" w:rsidRPr="00922B1C" w:rsidRDefault="009342B5" w:rsidP="00786089">
            <w:pPr>
              <w:pStyle w:val="Tabletext"/>
              <w:keepNext/>
              <w:jc w:val="center"/>
            </w:pPr>
            <w:r w:rsidRPr="00922B1C">
              <w:t>1382 (17)</w:t>
            </w:r>
          </w:p>
        </w:tc>
        <w:tc>
          <w:tcPr>
            <w:tcW w:w="1299" w:type="dxa"/>
            <w:tcBorders>
              <w:top w:val="nil"/>
              <w:left w:val="nil"/>
              <w:bottom w:val="single" w:sz="4" w:space="0" w:color="auto"/>
              <w:right w:val="single" w:sz="4" w:space="0" w:color="auto"/>
            </w:tcBorders>
            <w:shd w:val="clear" w:color="auto" w:fill="auto"/>
            <w:noWrap/>
            <w:vAlign w:val="center"/>
            <w:hideMark/>
          </w:tcPr>
          <w:p w14:paraId="4131EB7F" w14:textId="77777777" w:rsidR="009342B5" w:rsidRPr="00922B1C" w:rsidRDefault="009342B5" w:rsidP="00786089">
            <w:pPr>
              <w:pStyle w:val="Tabletext"/>
              <w:keepNext/>
              <w:jc w:val="center"/>
            </w:pPr>
            <w:r w:rsidRPr="00922B1C">
              <w:t>318 (4)</w:t>
            </w:r>
          </w:p>
        </w:tc>
        <w:tc>
          <w:tcPr>
            <w:tcW w:w="1299" w:type="dxa"/>
            <w:tcBorders>
              <w:top w:val="nil"/>
              <w:left w:val="nil"/>
              <w:bottom w:val="single" w:sz="4" w:space="0" w:color="auto"/>
              <w:right w:val="single" w:sz="4" w:space="0" w:color="auto"/>
            </w:tcBorders>
            <w:shd w:val="clear" w:color="auto" w:fill="auto"/>
            <w:noWrap/>
            <w:vAlign w:val="center"/>
            <w:hideMark/>
          </w:tcPr>
          <w:p w14:paraId="33242DB8" w14:textId="77777777" w:rsidR="009342B5" w:rsidRPr="00922B1C" w:rsidRDefault="009342B5" w:rsidP="00786089">
            <w:pPr>
              <w:pStyle w:val="Tabletext"/>
              <w:keepNext/>
              <w:jc w:val="center"/>
            </w:pPr>
            <w:r w:rsidRPr="00922B1C">
              <w:t>1125 (14)</w:t>
            </w:r>
          </w:p>
        </w:tc>
        <w:tc>
          <w:tcPr>
            <w:tcW w:w="1300" w:type="dxa"/>
            <w:tcBorders>
              <w:top w:val="nil"/>
              <w:left w:val="nil"/>
              <w:bottom w:val="single" w:sz="4" w:space="0" w:color="auto"/>
              <w:right w:val="single" w:sz="4" w:space="0" w:color="auto"/>
            </w:tcBorders>
            <w:shd w:val="clear" w:color="auto" w:fill="auto"/>
            <w:noWrap/>
            <w:vAlign w:val="center"/>
            <w:hideMark/>
          </w:tcPr>
          <w:p w14:paraId="0DFAC9BB" w14:textId="77777777" w:rsidR="009342B5" w:rsidRPr="00922B1C" w:rsidRDefault="009342B5" w:rsidP="00786089">
            <w:pPr>
              <w:pStyle w:val="Tabletext"/>
              <w:keepNext/>
              <w:jc w:val="center"/>
            </w:pPr>
            <w:r w:rsidRPr="00922B1C">
              <w:t>8136 (100)</w:t>
            </w:r>
          </w:p>
        </w:tc>
      </w:tr>
    </w:tbl>
    <w:p w14:paraId="1F174C60" w14:textId="40A2C6FD" w:rsidR="009342B5" w:rsidRPr="00922B1C" w:rsidRDefault="009342B5" w:rsidP="00786089">
      <w:pPr>
        <w:pStyle w:val="Tablenotes"/>
        <w:keepNext/>
        <w:spacing w:after="0"/>
      </w:pPr>
      <w:r w:rsidRPr="00922B1C">
        <w:t>Source: Table 1, p308</w:t>
      </w:r>
      <w:r w:rsidR="008E078F" w:rsidRPr="00922B1C">
        <w:t xml:space="preserve"> from </w:t>
      </w:r>
      <w:r w:rsidRPr="00922B1C">
        <w:t>Michael 2019</w:t>
      </w:r>
    </w:p>
    <w:p w14:paraId="5BD9BAF7" w14:textId="3AAE6661" w:rsidR="009342B5" w:rsidRPr="00922B1C" w:rsidRDefault="009342B5" w:rsidP="00786089">
      <w:pPr>
        <w:pStyle w:val="Tablenotes"/>
        <w:keepNext/>
        <w:spacing w:after="240"/>
      </w:pPr>
      <w:r w:rsidRPr="00922B1C">
        <w:t>Abbreviations</w:t>
      </w:r>
      <w:r w:rsidR="000937D6" w:rsidRPr="00922B1C">
        <w:t xml:space="preserve">: diff = differentiated; G1 = grade 1; G2 = grade 2; Grade 3 = grade 3; ICD = International Classification of Diseases; N = total number of cases; NETs = neuroendocrine tumours; UGI = upper gastrointestinal </w:t>
      </w:r>
    </w:p>
    <w:p w14:paraId="4AE6897F" w14:textId="78118711" w:rsidR="009342B5" w:rsidRPr="00922B1C" w:rsidRDefault="009342B5" w:rsidP="007B0205">
      <w:pPr>
        <w:jc w:val="both"/>
      </w:pPr>
      <w:r w:rsidRPr="00922B1C">
        <w:t>Michael</w:t>
      </w:r>
      <w:r w:rsidR="002B20B1" w:rsidRPr="00922B1C">
        <w:t xml:space="preserve"> </w:t>
      </w:r>
      <w:r w:rsidR="006F34EB" w:rsidRPr="00922B1C">
        <w:t>(2022)</w:t>
      </w:r>
      <w:r w:rsidR="001C4DD9" w:rsidRPr="00922B1C">
        <w:t xml:space="preserve"> </w:t>
      </w:r>
      <w:r w:rsidRPr="00922B1C">
        <w:t>also reported an increasing trend in NETs (</w:t>
      </w:r>
      <w:r w:rsidR="000937D6" w:rsidRPr="00922B1C">
        <w:fldChar w:fldCharType="begin"/>
      </w:r>
      <w:r w:rsidR="000937D6" w:rsidRPr="00922B1C">
        <w:instrText xml:space="preserve"> REF _Ref127363986 \h </w:instrText>
      </w:r>
      <w:r w:rsidR="007A2EA1" w:rsidRPr="00922B1C">
        <w:instrText xml:space="preserve"> \* MERGEFORMAT </w:instrText>
      </w:r>
      <w:r w:rsidR="000937D6" w:rsidRPr="00922B1C">
        <w:fldChar w:fldCharType="separate"/>
      </w:r>
      <w:r w:rsidR="00401046" w:rsidRPr="00922B1C">
        <w:t xml:space="preserve">Table </w:t>
      </w:r>
      <w:r w:rsidR="00401046">
        <w:rPr>
          <w:noProof/>
        </w:rPr>
        <w:t>5</w:t>
      </w:r>
      <w:r w:rsidR="000937D6" w:rsidRPr="00922B1C">
        <w:fldChar w:fldCharType="end"/>
      </w:r>
      <w:r w:rsidRPr="00922B1C">
        <w:t xml:space="preserve">). The total prevalence of NETs in 2020 was estimated to be 4,342, with the period specific prevalence in the decades of 1990-1999 and 2010-2019, increasing from 740 to 3,123, respectively. This increase was observed across all primary tumour sites, in particular small bowel, colorectal, and lung, especially for G1 NETs. </w:t>
      </w:r>
    </w:p>
    <w:p w14:paraId="093598F8" w14:textId="77777777" w:rsidR="009342B5" w:rsidRPr="00922B1C" w:rsidRDefault="009342B5" w:rsidP="007B0205">
      <w:pPr>
        <w:jc w:val="both"/>
      </w:pPr>
      <w:r w:rsidRPr="00922B1C">
        <w:t xml:space="preserve">The ASIR for all NETs increased more than three-fold over the study period (3.1 per 100,000 persons in 1982-1989 to 9.7 per 100,000 persons in 2010-2019), with the greatest increases in terms of primary tumour site </w:t>
      </w:r>
      <w:r w:rsidRPr="00922B1C">
        <w:lastRenderedPageBreak/>
        <w:t>being the pancreas (7.7-fold) and the stomach (4.6-fold). Based on tumour grade, the highest increase was observed in G2 (206-fold) and G3 (4.8-fold) NETs.</w:t>
      </w:r>
    </w:p>
    <w:p w14:paraId="683A0EAD" w14:textId="5267D17C" w:rsidR="009342B5" w:rsidRPr="00922B1C" w:rsidRDefault="000937D6" w:rsidP="000D0430">
      <w:pPr>
        <w:pStyle w:val="Caption"/>
      </w:pPr>
      <w:bookmarkStart w:id="29" w:name="_Ref127363986"/>
      <w:r w:rsidRPr="00922B1C">
        <w:t xml:space="preserve">Table </w:t>
      </w:r>
      <w:r w:rsidRPr="00922B1C">
        <w:fldChar w:fldCharType="begin"/>
      </w:r>
      <w:r w:rsidRPr="00922B1C">
        <w:instrText xml:space="preserve"> SEQ Table \* ARABIC </w:instrText>
      </w:r>
      <w:r w:rsidRPr="00922B1C">
        <w:fldChar w:fldCharType="separate"/>
      </w:r>
      <w:r w:rsidR="00401046">
        <w:rPr>
          <w:noProof/>
        </w:rPr>
        <w:t>5</w:t>
      </w:r>
      <w:r w:rsidRPr="00922B1C">
        <w:fldChar w:fldCharType="end"/>
      </w:r>
      <w:bookmarkEnd w:id="29"/>
      <w:r w:rsidRPr="00922B1C">
        <w:tab/>
      </w:r>
      <w:r w:rsidR="009342B5" w:rsidRPr="00922B1C">
        <w:t>Number of new diagnoses and ASIR of NETs in Victoria in 1982-1989, 1990-1999 and 2010–2019 by NET groups</w:t>
      </w:r>
      <w:r w:rsidR="005B0EC2" w:rsidRPr="00922B1C">
        <w:fldChar w:fldCharType="begin">
          <w:fldData xml:space="preserve">PEVuZE5vdGU+PENpdGU+PEF1dGhvcj5NaWNoYWVsPC9BdXRob3I+PFllYXI+MjAyMjwvWWVhcj48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</w:fldData>
        </w:fldChar>
      </w:r>
      <w:r w:rsidR="00263B20" w:rsidRPr="00922B1C">
        <w:instrText xml:space="preserve"> ADDIN EN.CITE </w:instrText>
      </w:r>
      <w:r w:rsidR="00263B20" w:rsidRPr="00922B1C">
        <w:fldChar w:fldCharType="begin">
          <w:fldData xml:space="preserve">PEVuZE5vdGU+PENpdGU+PEF1dGhvcj5NaWNoYWVsPC9BdXRob3I+PFllYXI+MjAyMjwvWWVhcj48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</w:fldData>
        </w:fldChar>
      </w:r>
      <w:r w:rsidR="00263B20" w:rsidRPr="00922B1C">
        <w:instrText xml:space="preserve"> ADDIN EN.CITE.DATA </w:instrText>
      </w:r>
      <w:r w:rsidR="00263B20" w:rsidRPr="00922B1C">
        <w:fldChar w:fldCharType="end"/>
      </w:r>
      <w:r w:rsidR="005B0EC2" w:rsidRPr="00922B1C">
        <w:fldChar w:fldCharType="separate"/>
      </w:r>
      <w:r w:rsidR="00263B20" w:rsidRPr="00922B1C">
        <w:rPr>
          <w:noProof/>
          <w:vertAlign w:val="superscript"/>
        </w:rPr>
        <w:t>4</w:t>
      </w:r>
      <w:r w:rsidR="005B0EC2" w:rsidRPr="00922B1C">
        <w:fldChar w:fldCharType="end"/>
      </w:r>
    </w:p>
    <w:tbl>
      <w:tblPr>
        <w:tblW w:w="9776" w:type="dxa"/>
        <w:jc w:val="center"/>
        <w:tblLayout w:type="fixed"/>
        <w:tblCellMar>
          <w:left w:w="28" w:type="dxa"/>
          <w:right w:w="28" w:type="dxa"/>
        </w:tblCellMar>
        <w:tblLook w:val="04A0" w:firstRow="1" w:lastRow="0" w:firstColumn="1" w:lastColumn="0" w:noHBand="0" w:noVBand="1"/>
      </w:tblPr>
      <w:tblGrid>
        <w:gridCol w:w="2122"/>
        <w:gridCol w:w="992"/>
        <w:gridCol w:w="1276"/>
        <w:gridCol w:w="992"/>
        <w:gridCol w:w="1276"/>
        <w:gridCol w:w="992"/>
        <w:gridCol w:w="1276"/>
        <w:gridCol w:w="850"/>
      </w:tblGrid>
      <w:tr w:rsidR="009342B5" w:rsidRPr="00A010BD" w14:paraId="5C6AB54B" w14:textId="77777777" w:rsidTr="0035237C">
        <w:trPr>
          <w:trHeight w:val="170"/>
          <w:jc w:val="center"/>
        </w:trPr>
        <w:tc>
          <w:tcPr>
            <w:tcW w:w="2122" w:type="dxa"/>
            <w:tcBorders>
              <w:top w:val="single" w:sz="4" w:space="0" w:color="auto"/>
              <w:left w:val="single" w:sz="4" w:space="0" w:color="auto"/>
              <w:right w:val="single" w:sz="4" w:space="0" w:color="auto"/>
            </w:tcBorders>
            <w:shd w:val="clear" w:color="auto" w:fill="auto"/>
            <w:noWrap/>
            <w:vAlign w:val="center"/>
            <w:hideMark/>
          </w:tcPr>
          <w:p w14:paraId="1651DF9D" w14:textId="77777777" w:rsidR="009342B5" w:rsidRPr="00922B1C" w:rsidRDefault="009342B5" w:rsidP="000D0430">
            <w:pPr>
              <w:pStyle w:val="TableText0"/>
              <w:keepNext/>
              <w:rPr>
                <w:b/>
                <w:bCs/>
                <w:lang w:eastAsia="en-AU"/>
              </w:rPr>
            </w:pPr>
            <w:r w:rsidRPr="00922B1C">
              <w:rPr>
                <w:b/>
                <w:bCs/>
                <w:lang w:eastAsia="en-AU"/>
              </w:rPr>
              <w:t>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C3890" w14:textId="77777777" w:rsidR="009342B5" w:rsidRPr="00922B1C" w:rsidRDefault="009342B5" w:rsidP="000D0430">
            <w:pPr>
              <w:pStyle w:val="TableText0"/>
              <w:keepNext/>
              <w:jc w:val="center"/>
              <w:rPr>
                <w:b/>
                <w:bCs/>
                <w:lang w:eastAsia="en-AU"/>
              </w:rPr>
            </w:pPr>
            <w:r w:rsidRPr="00922B1C">
              <w:rPr>
                <w:b/>
                <w:bCs/>
                <w:lang w:eastAsia="en-AU"/>
              </w:rPr>
              <w:t>1982-1989</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12E4CC" w14:textId="77777777" w:rsidR="009342B5" w:rsidRPr="00922B1C" w:rsidRDefault="009342B5" w:rsidP="000D0430">
            <w:pPr>
              <w:pStyle w:val="TableText0"/>
              <w:keepNext/>
              <w:jc w:val="center"/>
              <w:rPr>
                <w:b/>
                <w:bCs/>
                <w:lang w:eastAsia="en-AU"/>
              </w:rPr>
            </w:pPr>
            <w:r w:rsidRPr="00922B1C">
              <w:rPr>
                <w:b/>
                <w:bCs/>
                <w:lang w:eastAsia="en-AU"/>
              </w:rPr>
              <w:t>1990-1999</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E042F2" w14:textId="77777777" w:rsidR="009342B5" w:rsidRPr="00922B1C" w:rsidRDefault="009342B5" w:rsidP="000D0430">
            <w:pPr>
              <w:pStyle w:val="TableText0"/>
              <w:keepNext/>
              <w:jc w:val="center"/>
              <w:rPr>
                <w:b/>
                <w:bCs/>
                <w:lang w:eastAsia="en-AU"/>
              </w:rPr>
            </w:pPr>
            <w:r w:rsidRPr="00922B1C">
              <w:rPr>
                <w:b/>
                <w:bCs/>
                <w:lang w:eastAsia="en-AU"/>
              </w:rPr>
              <w:t>2010-2019</w:t>
            </w:r>
          </w:p>
        </w:tc>
        <w:tc>
          <w:tcPr>
            <w:tcW w:w="850" w:type="dxa"/>
            <w:tcBorders>
              <w:top w:val="single" w:sz="4" w:space="0" w:color="auto"/>
              <w:left w:val="single" w:sz="4" w:space="0" w:color="auto"/>
              <w:right w:val="single" w:sz="4" w:space="0" w:color="auto"/>
            </w:tcBorders>
            <w:shd w:val="clear" w:color="auto" w:fill="auto"/>
            <w:noWrap/>
            <w:vAlign w:val="center"/>
            <w:hideMark/>
          </w:tcPr>
          <w:p w14:paraId="397519C7" w14:textId="77777777" w:rsidR="009342B5" w:rsidRPr="00922B1C" w:rsidRDefault="009342B5" w:rsidP="000D0430">
            <w:pPr>
              <w:pStyle w:val="TableText0"/>
              <w:keepNext/>
              <w:jc w:val="center"/>
              <w:rPr>
                <w:b/>
                <w:bCs/>
                <w:lang w:eastAsia="en-AU"/>
              </w:rPr>
            </w:pPr>
            <w:r w:rsidRPr="00922B1C">
              <w:rPr>
                <w:b/>
                <w:bCs/>
                <w:lang w:eastAsia="en-AU"/>
              </w:rPr>
              <w:t>Change</w:t>
            </w:r>
          </w:p>
        </w:tc>
      </w:tr>
      <w:tr w:rsidR="009342B5" w:rsidRPr="00A010BD" w14:paraId="47389F2A"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4B9DB76" w14:textId="77777777" w:rsidR="009342B5" w:rsidRPr="00922B1C" w:rsidRDefault="009342B5" w:rsidP="000D0430">
            <w:pPr>
              <w:pStyle w:val="TableText0"/>
              <w:keepNext/>
              <w:rPr>
                <w:b/>
                <w:bCs/>
                <w:lang w:eastAsia="en-AU"/>
              </w:rPr>
            </w:pPr>
            <w:r w:rsidRPr="00922B1C">
              <w:rPr>
                <w:b/>
                <w:bCs/>
                <w:lang w:eastAsia="en-AU"/>
              </w:rPr>
              <w:t>Primary tumour</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924EFD8" w14:textId="77777777" w:rsidR="009342B5" w:rsidRPr="00922B1C" w:rsidRDefault="009342B5" w:rsidP="000D0430">
            <w:pPr>
              <w:pStyle w:val="TableText0"/>
              <w:keepNext/>
              <w:jc w:val="center"/>
              <w:rPr>
                <w:b/>
                <w:bCs/>
                <w:lang w:eastAsia="en-AU"/>
              </w:rPr>
            </w:pPr>
            <w:r w:rsidRPr="00922B1C">
              <w:rPr>
                <w:b/>
                <w:bCs/>
                <w:lang w:eastAsia="en-AU"/>
              </w:rPr>
              <w:t>n</w:t>
            </w:r>
          </w:p>
        </w:tc>
        <w:tc>
          <w:tcPr>
            <w:tcW w:w="1276" w:type="dxa"/>
            <w:tcBorders>
              <w:top w:val="nil"/>
              <w:left w:val="nil"/>
              <w:bottom w:val="single" w:sz="4" w:space="0" w:color="auto"/>
              <w:right w:val="single" w:sz="4" w:space="0" w:color="auto"/>
            </w:tcBorders>
            <w:shd w:val="clear" w:color="auto" w:fill="auto"/>
            <w:noWrap/>
            <w:vAlign w:val="center"/>
            <w:hideMark/>
          </w:tcPr>
          <w:p w14:paraId="4912113A" w14:textId="77777777" w:rsidR="009342B5" w:rsidRPr="00922B1C" w:rsidRDefault="009342B5" w:rsidP="000D0430">
            <w:pPr>
              <w:pStyle w:val="TableText0"/>
              <w:keepNext/>
              <w:jc w:val="center"/>
              <w:rPr>
                <w:b/>
                <w:bCs/>
                <w:lang w:eastAsia="en-AU"/>
              </w:rPr>
            </w:pPr>
            <w:r w:rsidRPr="00922B1C">
              <w:rPr>
                <w:b/>
                <w:bCs/>
                <w:lang w:eastAsia="en-AU"/>
              </w:rPr>
              <w:t>ASIR (95%CI)</w:t>
            </w:r>
          </w:p>
        </w:tc>
        <w:tc>
          <w:tcPr>
            <w:tcW w:w="992" w:type="dxa"/>
            <w:tcBorders>
              <w:top w:val="nil"/>
              <w:left w:val="nil"/>
              <w:bottom w:val="single" w:sz="4" w:space="0" w:color="auto"/>
              <w:right w:val="single" w:sz="4" w:space="0" w:color="auto"/>
            </w:tcBorders>
            <w:shd w:val="clear" w:color="auto" w:fill="auto"/>
            <w:noWrap/>
            <w:vAlign w:val="center"/>
            <w:hideMark/>
          </w:tcPr>
          <w:p w14:paraId="552BBD27" w14:textId="77777777" w:rsidR="009342B5" w:rsidRPr="00922B1C" w:rsidRDefault="009342B5" w:rsidP="000D0430">
            <w:pPr>
              <w:pStyle w:val="TableText0"/>
              <w:keepNext/>
              <w:jc w:val="center"/>
              <w:rPr>
                <w:b/>
                <w:bCs/>
                <w:lang w:eastAsia="en-AU"/>
              </w:rPr>
            </w:pPr>
            <w:r w:rsidRPr="00922B1C">
              <w:rPr>
                <w:b/>
                <w:bCs/>
                <w:lang w:eastAsia="en-AU"/>
              </w:rPr>
              <w:t>n</w:t>
            </w:r>
          </w:p>
        </w:tc>
        <w:tc>
          <w:tcPr>
            <w:tcW w:w="1276" w:type="dxa"/>
            <w:tcBorders>
              <w:top w:val="nil"/>
              <w:left w:val="nil"/>
              <w:bottom w:val="single" w:sz="4" w:space="0" w:color="auto"/>
              <w:right w:val="single" w:sz="4" w:space="0" w:color="auto"/>
            </w:tcBorders>
            <w:shd w:val="clear" w:color="auto" w:fill="auto"/>
            <w:noWrap/>
            <w:vAlign w:val="center"/>
            <w:hideMark/>
          </w:tcPr>
          <w:p w14:paraId="0A046E44" w14:textId="77777777" w:rsidR="009342B5" w:rsidRPr="00922B1C" w:rsidRDefault="009342B5" w:rsidP="000D0430">
            <w:pPr>
              <w:pStyle w:val="TableText0"/>
              <w:keepNext/>
              <w:jc w:val="center"/>
              <w:rPr>
                <w:b/>
                <w:bCs/>
                <w:lang w:eastAsia="en-AU"/>
              </w:rPr>
            </w:pPr>
            <w:r w:rsidRPr="00922B1C">
              <w:rPr>
                <w:b/>
                <w:bCs/>
                <w:lang w:eastAsia="en-AU"/>
              </w:rPr>
              <w:t>ASIR (95%CI)</w:t>
            </w:r>
          </w:p>
        </w:tc>
        <w:tc>
          <w:tcPr>
            <w:tcW w:w="992" w:type="dxa"/>
            <w:tcBorders>
              <w:top w:val="nil"/>
              <w:left w:val="nil"/>
              <w:bottom w:val="single" w:sz="4" w:space="0" w:color="auto"/>
              <w:right w:val="single" w:sz="4" w:space="0" w:color="auto"/>
            </w:tcBorders>
            <w:shd w:val="clear" w:color="auto" w:fill="auto"/>
            <w:noWrap/>
            <w:vAlign w:val="center"/>
            <w:hideMark/>
          </w:tcPr>
          <w:p w14:paraId="6706EC29" w14:textId="77777777" w:rsidR="009342B5" w:rsidRPr="00922B1C" w:rsidRDefault="009342B5" w:rsidP="000D0430">
            <w:pPr>
              <w:pStyle w:val="TableText0"/>
              <w:keepNext/>
              <w:jc w:val="center"/>
              <w:rPr>
                <w:b/>
                <w:bCs/>
                <w:lang w:eastAsia="en-AU"/>
              </w:rPr>
            </w:pPr>
            <w:r w:rsidRPr="00922B1C">
              <w:rPr>
                <w:b/>
                <w:bCs/>
                <w:lang w:eastAsia="en-AU"/>
              </w:rPr>
              <w:t>n</w:t>
            </w:r>
          </w:p>
        </w:tc>
        <w:tc>
          <w:tcPr>
            <w:tcW w:w="1276" w:type="dxa"/>
            <w:tcBorders>
              <w:top w:val="nil"/>
              <w:left w:val="nil"/>
              <w:bottom w:val="single" w:sz="4" w:space="0" w:color="auto"/>
              <w:right w:val="single" w:sz="4" w:space="0" w:color="auto"/>
            </w:tcBorders>
            <w:shd w:val="clear" w:color="auto" w:fill="auto"/>
            <w:noWrap/>
            <w:vAlign w:val="center"/>
            <w:hideMark/>
          </w:tcPr>
          <w:p w14:paraId="0F9EC959" w14:textId="77777777" w:rsidR="009342B5" w:rsidRPr="00922B1C" w:rsidRDefault="009342B5" w:rsidP="000D0430">
            <w:pPr>
              <w:pStyle w:val="TableText0"/>
              <w:keepNext/>
              <w:jc w:val="center"/>
              <w:rPr>
                <w:b/>
                <w:bCs/>
                <w:lang w:eastAsia="en-AU"/>
              </w:rPr>
            </w:pPr>
            <w:r w:rsidRPr="00922B1C">
              <w:rPr>
                <w:b/>
                <w:bCs/>
                <w:lang w:eastAsia="en-AU"/>
              </w:rPr>
              <w:t>ASIR (95%CI)</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99F16C0" w14:textId="77777777" w:rsidR="009342B5" w:rsidRPr="00922B1C" w:rsidRDefault="009342B5" w:rsidP="000D0430">
            <w:pPr>
              <w:pStyle w:val="TableText0"/>
              <w:keepNext/>
              <w:jc w:val="center"/>
              <w:rPr>
                <w:b/>
                <w:bCs/>
                <w:vertAlign w:val="superscript"/>
                <w:lang w:eastAsia="en-AU"/>
              </w:rPr>
            </w:pPr>
            <w:r w:rsidRPr="00922B1C">
              <w:rPr>
                <w:b/>
                <w:bCs/>
                <w:lang w:eastAsia="en-AU"/>
              </w:rPr>
              <w:t>%*</w:t>
            </w:r>
          </w:p>
        </w:tc>
      </w:tr>
      <w:tr w:rsidR="009342B5" w:rsidRPr="00A010BD" w14:paraId="191C9543" w14:textId="77777777" w:rsidTr="0035237C">
        <w:trPr>
          <w:trHeight w:val="17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ED8CF" w14:textId="77777777" w:rsidR="009342B5" w:rsidRPr="00922B1C" w:rsidRDefault="009342B5" w:rsidP="000D0430">
            <w:pPr>
              <w:pStyle w:val="TableText0"/>
              <w:keepNext/>
              <w:rPr>
                <w:lang w:eastAsia="en-AU"/>
              </w:rPr>
            </w:pPr>
            <w:r w:rsidRPr="00922B1C">
              <w:rPr>
                <w:lang w:eastAsia="en-AU"/>
              </w:rPr>
              <w:t>All NETs</w:t>
            </w:r>
          </w:p>
        </w:tc>
        <w:tc>
          <w:tcPr>
            <w:tcW w:w="992" w:type="dxa"/>
            <w:tcBorders>
              <w:top w:val="nil"/>
              <w:left w:val="nil"/>
              <w:bottom w:val="single" w:sz="4" w:space="0" w:color="auto"/>
              <w:right w:val="single" w:sz="4" w:space="0" w:color="auto"/>
            </w:tcBorders>
            <w:shd w:val="clear" w:color="auto" w:fill="auto"/>
            <w:noWrap/>
            <w:vAlign w:val="center"/>
            <w:hideMark/>
          </w:tcPr>
          <w:p w14:paraId="20107323" w14:textId="77777777" w:rsidR="009342B5" w:rsidRPr="00922B1C" w:rsidRDefault="009342B5" w:rsidP="000D0430">
            <w:pPr>
              <w:pStyle w:val="TableText0"/>
              <w:keepNext/>
              <w:jc w:val="center"/>
              <w:rPr>
                <w:lang w:eastAsia="en-AU"/>
              </w:rPr>
            </w:pPr>
            <w:r w:rsidRPr="00922B1C">
              <w:rPr>
                <w:lang w:eastAsia="en-AU"/>
              </w:rPr>
              <w:t>629</w:t>
            </w:r>
          </w:p>
        </w:tc>
        <w:tc>
          <w:tcPr>
            <w:tcW w:w="1276" w:type="dxa"/>
            <w:tcBorders>
              <w:top w:val="nil"/>
              <w:left w:val="nil"/>
              <w:bottom w:val="single" w:sz="4" w:space="0" w:color="auto"/>
              <w:right w:val="single" w:sz="4" w:space="0" w:color="auto"/>
            </w:tcBorders>
            <w:shd w:val="clear" w:color="auto" w:fill="auto"/>
            <w:noWrap/>
            <w:vAlign w:val="center"/>
            <w:hideMark/>
          </w:tcPr>
          <w:p w14:paraId="321DDBCF" w14:textId="77777777" w:rsidR="009342B5" w:rsidRPr="00922B1C" w:rsidRDefault="009342B5" w:rsidP="000D0430">
            <w:pPr>
              <w:pStyle w:val="TableText0"/>
              <w:keepNext/>
              <w:jc w:val="center"/>
              <w:rPr>
                <w:lang w:eastAsia="en-AU"/>
              </w:rPr>
            </w:pPr>
            <w:r w:rsidRPr="00922B1C">
              <w:rPr>
                <w:lang w:eastAsia="en-AU"/>
              </w:rPr>
              <w:t>3.1 (2.9, 3.3)</w:t>
            </w:r>
          </w:p>
        </w:tc>
        <w:tc>
          <w:tcPr>
            <w:tcW w:w="992" w:type="dxa"/>
            <w:tcBorders>
              <w:top w:val="nil"/>
              <w:left w:val="nil"/>
              <w:bottom w:val="single" w:sz="4" w:space="0" w:color="auto"/>
              <w:right w:val="single" w:sz="4" w:space="0" w:color="auto"/>
            </w:tcBorders>
            <w:shd w:val="clear" w:color="auto" w:fill="auto"/>
            <w:noWrap/>
            <w:vAlign w:val="center"/>
            <w:hideMark/>
          </w:tcPr>
          <w:p w14:paraId="3E8662B9" w14:textId="77777777" w:rsidR="009342B5" w:rsidRPr="00922B1C" w:rsidRDefault="009342B5" w:rsidP="000D0430">
            <w:pPr>
              <w:pStyle w:val="TableText0"/>
              <w:keepNext/>
              <w:jc w:val="center"/>
              <w:rPr>
                <w:lang w:eastAsia="en-AU"/>
              </w:rPr>
            </w:pPr>
            <w:r w:rsidRPr="00922B1C">
              <w:rPr>
                <w:lang w:eastAsia="en-AU"/>
              </w:rPr>
              <w:t>1283</w:t>
            </w:r>
          </w:p>
        </w:tc>
        <w:tc>
          <w:tcPr>
            <w:tcW w:w="1276" w:type="dxa"/>
            <w:tcBorders>
              <w:top w:val="nil"/>
              <w:left w:val="nil"/>
              <w:bottom w:val="single" w:sz="4" w:space="0" w:color="auto"/>
              <w:right w:val="single" w:sz="4" w:space="0" w:color="auto"/>
            </w:tcBorders>
            <w:shd w:val="clear" w:color="auto" w:fill="auto"/>
            <w:noWrap/>
            <w:vAlign w:val="center"/>
            <w:hideMark/>
          </w:tcPr>
          <w:p w14:paraId="44863AD5" w14:textId="77777777" w:rsidR="009342B5" w:rsidRPr="00922B1C" w:rsidRDefault="009342B5" w:rsidP="000D0430">
            <w:pPr>
              <w:pStyle w:val="TableText0"/>
              <w:keepNext/>
              <w:jc w:val="center"/>
              <w:rPr>
                <w:lang w:eastAsia="en-AU"/>
              </w:rPr>
            </w:pPr>
            <w:r w:rsidRPr="00922B1C">
              <w:rPr>
                <w:lang w:eastAsia="en-AU"/>
              </w:rPr>
              <w:t>4.4 (4.1, 4.6)</w:t>
            </w:r>
          </w:p>
        </w:tc>
        <w:tc>
          <w:tcPr>
            <w:tcW w:w="992" w:type="dxa"/>
            <w:tcBorders>
              <w:top w:val="nil"/>
              <w:left w:val="nil"/>
              <w:bottom w:val="single" w:sz="4" w:space="0" w:color="auto"/>
              <w:right w:val="single" w:sz="4" w:space="0" w:color="auto"/>
            </w:tcBorders>
            <w:shd w:val="clear" w:color="auto" w:fill="auto"/>
            <w:noWrap/>
            <w:vAlign w:val="center"/>
            <w:hideMark/>
          </w:tcPr>
          <w:p w14:paraId="6C8BDF3C" w14:textId="77777777" w:rsidR="009342B5" w:rsidRPr="00922B1C" w:rsidRDefault="009342B5" w:rsidP="000D0430">
            <w:pPr>
              <w:pStyle w:val="TableText0"/>
              <w:keepNext/>
              <w:jc w:val="center"/>
              <w:rPr>
                <w:lang w:eastAsia="en-AU"/>
              </w:rPr>
            </w:pPr>
            <w:r w:rsidRPr="00922B1C">
              <w:rPr>
                <w:lang w:eastAsia="en-AU"/>
              </w:rPr>
              <w:t>4392</w:t>
            </w:r>
          </w:p>
        </w:tc>
        <w:tc>
          <w:tcPr>
            <w:tcW w:w="1276" w:type="dxa"/>
            <w:tcBorders>
              <w:top w:val="nil"/>
              <w:left w:val="nil"/>
              <w:bottom w:val="single" w:sz="4" w:space="0" w:color="auto"/>
              <w:right w:val="single" w:sz="4" w:space="0" w:color="auto"/>
            </w:tcBorders>
            <w:shd w:val="clear" w:color="auto" w:fill="auto"/>
            <w:noWrap/>
            <w:vAlign w:val="center"/>
            <w:hideMark/>
          </w:tcPr>
          <w:p w14:paraId="4CFFE32D" w14:textId="77777777" w:rsidR="009342B5" w:rsidRPr="00922B1C" w:rsidRDefault="009342B5" w:rsidP="000D0430">
            <w:pPr>
              <w:pStyle w:val="TableText0"/>
              <w:keepNext/>
              <w:jc w:val="center"/>
              <w:rPr>
                <w:lang w:eastAsia="en-AU"/>
              </w:rPr>
            </w:pPr>
            <w:r w:rsidRPr="00922B1C">
              <w:rPr>
                <w:lang w:eastAsia="en-AU"/>
              </w:rPr>
              <w:t>9.7 (9.4, 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FBB2239" w14:textId="77777777" w:rsidR="009342B5" w:rsidRPr="00922B1C" w:rsidRDefault="009342B5" w:rsidP="000D0430">
            <w:pPr>
              <w:pStyle w:val="TableText0"/>
              <w:keepNext/>
              <w:jc w:val="center"/>
              <w:rPr>
                <w:lang w:eastAsia="en-AU"/>
              </w:rPr>
            </w:pPr>
            <w:r w:rsidRPr="00922B1C">
              <w:rPr>
                <w:lang w:eastAsia="en-AU"/>
              </w:rPr>
              <w:t>220</w:t>
            </w:r>
          </w:p>
        </w:tc>
      </w:tr>
      <w:tr w:rsidR="009342B5" w:rsidRPr="00A010BD" w14:paraId="0F62E58C"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896F9C9" w14:textId="77777777" w:rsidR="009342B5" w:rsidRPr="00922B1C" w:rsidRDefault="009342B5" w:rsidP="000D0430">
            <w:pPr>
              <w:pStyle w:val="TableText0"/>
              <w:keepNext/>
              <w:rPr>
                <w:lang w:eastAsia="en-AU"/>
              </w:rPr>
            </w:pPr>
            <w:r w:rsidRPr="00922B1C">
              <w:rPr>
                <w:lang w:eastAsia="en-AU"/>
              </w:rPr>
              <w:t>Stomach</w:t>
            </w:r>
          </w:p>
        </w:tc>
        <w:tc>
          <w:tcPr>
            <w:tcW w:w="992" w:type="dxa"/>
            <w:tcBorders>
              <w:top w:val="nil"/>
              <w:left w:val="nil"/>
              <w:bottom w:val="single" w:sz="4" w:space="0" w:color="auto"/>
              <w:right w:val="single" w:sz="4" w:space="0" w:color="auto"/>
            </w:tcBorders>
            <w:shd w:val="clear" w:color="auto" w:fill="auto"/>
            <w:noWrap/>
            <w:vAlign w:val="center"/>
            <w:hideMark/>
          </w:tcPr>
          <w:p w14:paraId="52F99B0A" w14:textId="77777777" w:rsidR="009342B5" w:rsidRPr="00922B1C" w:rsidRDefault="009342B5" w:rsidP="000D0430">
            <w:pPr>
              <w:pStyle w:val="TableText0"/>
              <w:keepNext/>
              <w:jc w:val="center"/>
              <w:rPr>
                <w:lang w:eastAsia="en-AU"/>
              </w:rPr>
            </w:pPr>
            <w:r w:rsidRPr="00922B1C">
              <w:rPr>
                <w:lang w:eastAsia="en-AU"/>
              </w:rPr>
              <w:t>15</w:t>
            </w:r>
          </w:p>
        </w:tc>
        <w:tc>
          <w:tcPr>
            <w:tcW w:w="1276" w:type="dxa"/>
            <w:tcBorders>
              <w:top w:val="nil"/>
              <w:left w:val="nil"/>
              <w:bottom w:val="single" w:sz="4" w:space="0" w:color="auto"/>
              <w:right w:val="single" w:sz="4" w:space="0" w:color="auto"/>
            </w:tcBorders>
            <w:shd w:val="clear" w:color="auto" w:fill="auto"/>
            <w:noWrap/>
            <w:vAlign w:val="center"/>
            <w:hideMark/>
          </w:tcPr>
          <w:p w14:paraId="4CBDB4C2" w14:textId="77777777" w:rsidR="009342B5" w:rsidRPr="00922B1C" w:rsidRDefault="009342B5" w:rsidP="000D0430">
            <w:pPr>
              <w:pStyle w:val="TableText0"/>
              <w:keepNext/>
              <w:jc w:val="center"/>
              <w:rPr>
                <w:lang w:eastAsia="en-AU"/>
              </w:rPr>
            </w:pPr>
            <w:r w:rsidRPr="00922B1C">
              <w:rPr>
                <w:lang w:eastAsia="en-AU"/>
              </w:rPr>
              <w:t>0.1 (0.1, 0.1)</w:t>
            </w:r>
          </w:p>
        </w:tc>
        <w:tc>
          <w:tcPr>
            <w:tcW w:w="992" w:type="dxa"/>
            <w:tcBorders>
              <w:top w:val="nil"/>
              <w:left w:val="nil"/>
              <w:bottom w:val="single" w:sz="4" w:space="0" w:color="auto"/>
              <w:right w:val="single" w:sz="4" w:space="0" w:color="auto"/>
            </w:tcBorders>
            <w:shd w:val="clear" w:color="auto" w:fill="auto"/>
            <w:noWrap/>
            <w:vAlign w:val="center"/>
            <w:hideMark/>
          </w:tcPr>
          <w:p w14:paraId="24CC666C" w14:textId="77777777" w:rsidR="009342B5" w:rsidRPr="00922B1C" w:rsidRDefault="009342B5" w:rsidP="000D0430">
            <w:pPr>
              <w:pStyle w:val="TableText0"/>
              <w:keepNext/>
              <w:jc w:val="center"/>
              <w:rPr>
                <w:lang w:eastAsia="en-AU"/>
              </w:rPr>
            </w:pPr>
            <w:r w:rsidRPr="00922B1C">
              <w:rPr>
                <w:lang w:eastAsia="en-AU"/>
              </w:rPr>
              <w:t>50</w:t>
            </w:r>
          </w:p>
        </w:tc>
        <w:tc>
          <w:tcPr>
            <w:tcW w:w="1276" w:type="dxa"/>
            <w:tcBorders>
              <w:top w:val="nil"/>
              <w:left w:val="nil"/>
              <w:bottom w:val="single" w:sz="4" w:space="0" w:color="auto"/>
              <w:right w:val="single" w:sz="4" w:space="0" w:color="auto"/>
            </w:tcBorders>
            <w:shd w:val="clear" w:color="auto" w:fill="auto"/>
            <w:noWrap/>
            <w:vAlign w:val="center"/>
            <w:hideMark/>
          </w:tcPr>
          <w:p w14:paraId="5081FEF2" w14:textId="77777777" w:rsidR="009342B5" w:rsidRPr="00922B1C" w:rsidRDefault="009342B5" w:rsidP="000D0430">
            <w:pPr>
              <w:pStyle w:val="TableText0"/>
              <w:keepNext/>
              <w:jc w:val="center"/>
              <w:rPr>
                <w:lang w:eastAsia="en-AU"/>
              </w:rPr>
            </w:pPr>
            <w:r w:rsidRPr="00922B1C">
              <w:rPr>
                <w:lang w:eastAsia="en-AU"/>
              </w:rPr>
              <w:t>0.2 (0.1, 0.2)</w:t>
            </w:r>
          </w:p>
        </w:tc>
        <w:tc>
          <w:tcPr>
            <w:tcW w:w="992" w:type="dxa"/>
            <w:tcBorders>
              <w:top w:val="nil"/>
              <w:left w:val="nil"/>
              <w:bottom w:val="single" w:sz="4" w:space="0" w:color="auto"/>
              <w:right w:val="single" w:sz="4" w:space="0" w:color="auto"/>
            </w:tcBorders>
            <w:shd w:val="clear" w:color="auto" w:fill="auto"/>
            <w:noWrap/>
            <w:vAlign w:val="center"/>
            <w:hideMark/>
          </w:tcPr>
          <w:p w14:paraId="261E6F38" w14:textId="77777777" w:rsidR="009342B5" w:rsidRPr="00922B1C" w:rsidRDefault="009342B5" w:rsidP="000D0430">
            <w:pPr>
              <w:pStyle w:val="TableText0"/>
              <w:keepNext/>
              <w:jc w:val="center"/>
              <w:rPr>
                <w:lang w:eastAsia="en-AU"/>
              </w:rPr>
            </w:pPr>
            <w:r w:rsidRPr="00922B1C">
              <w:rPr>
                <w:lang w:eastAsia="en-AU"/>
              </w:rPr>
              <w:t>231</w:t>
            </w:r>
          </w:p>
        </w:tc>
        <w:tc>
          <w:tcPr>
            <w:tcW w:w="1276" w:type="dxa"/>
            <w:tcBorders>
              <w:top w:val="nil"/>
              <w:left w:val="nil"/>
              <w:bottom w:val="single" w:sz="4" w:space="0" w:color="auto"/>
              <w:right w:val="single" w:sz="4" w:space="0" w:color="auto"/>
            </w:tcBorders>
            <w:shd w:val="clear" w:color="auto" w:fill="auto"/>
            <w:noWrap/>
            <w:vAlign w:val="center"/>
            <w:hideMark/>
          </w:tcPr>
          <w:p w14:paraId="789D80FF" w14:textId="77777777" w:rsidR="009342B5" w:rsidRPr="00922B1C" w:rsidRDefault="009342B5" w:rsidP="000D0430">
            <w:pPr>
              <w:pStyle w:val="TableText0"/>
              <w:keepNext/>
              <w:jc w:val="center"/>
              <w:rPr>
                <w:lang w:eastAsia="en-AU"/>
              </w:rPr>
            </w:pPr>
            <w:r w:rsidRPr="00922B1C">
              <w:rPr>
                <w:lang w:eastAsia="en-AU"/>
              </w:rPr>
              <w:t>0.5 (0.4, 0.5)</w:t>
            </w:r>
          </w:p>
        </w:tc>
        <w:tc>
          <w:tcPr>
            <w:tcW w:w="850" w:type="dxa"/>
            <w:tcBorders>
              <w:top w:val="nil"/>
              <w:left w:val="nil"/>
              <w:bottom w:val="single" w:sz="4" w:space="0" w:color="auto"/>
              <w:right w:val="single" w:sz="4" w:space="0" w:color="auto"/>
            </w:tcBorders>
            <w:shd w:val="clear" w:color="auto" w:fill="auto"/>
            <w:noWrap/>
            <w:vAlign w:val="center"/>
            <w:hideMark/>
          </w:tcPr>
          <w:p w14:paraId="4D6AA5AE" w14:textId="77777777" w:rsidR="009342B5" w:rsidRPr="00922B1C" w:rsidRDefault="009342B5" w:rsidP="000D0430">
            <w:pPr>
              <w:pStyle w:val="TableText0"/>
              <w:keepNext/>
              <w:jc w:val="center"/>
              <w:rPr>
                <w:lang w:eastAsia="en-AU"/>
              </w:rPr>
            </w:pPr>
            <w:r w:rsidRPr="00922B1C">
              <w:rPr>
                <w:lang w:eastAsia="en-AU"/>
              </w:rPr>
              <w:t>250</w:t>
            </w:r>
          </w:p>
        </w:tc>
      </w:tr>
      <w:tr w:rsidR="009342B5" w:rsidRPr="00A010BD" w14:paraId="60675890"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00CDD76" w14:textId="77777777" w:rsidR="009342B5" w:rsidRPr="00922B1C" w:rsidRDefault="009342B5" w:rsidP="000D0430">
            <w:pPr>
              <w:pStyle w:val="TableText0"/>
              <w:keepNext/>
              <w:rPr>
                <w:lang w:eastAsia="en-AU"/>
              </w:rPr>
            </w:pPr>
            <w:r w:rsidRPr="00922B1C">
              <w:rPr>
                <w:lang w:eastAsia="en-AU"/>
              </w:rPr>
              <w:t>Small intestine</w:t>
            </w:r>
          </w:p>
        </w:tc>
        <w:tc>
          <w:tcPr>
            <w:tcW w:w="992" w:type="dxa"/>
            <w:tcBorders>
              <w:top w:val="nil"/>
              <w:left w:val="nil"/>
              <w:bottom w:val="single" w:sz="4" w:space="0" w:color="auto"/>
              <w:right w:val="single" w:sz="4" w:space="0" w:color="auto"/>
            </w:tcBorders>
            <w:shd w:val="clear" w:color="auto" w:fill="auto"/>
            <w:noWrap/>
            <w:vAlign w:val="center"/>
            <w:hideMark/>
          </w:tcPr>
          <w:p w14:paraId="6898DB25" w14:textId="77777777" w:rsidR="009342B5" w:rsidRPr="00922B1C" w:rsidRDefault="009342B5" w:rsidP="000D0430">
            <w:pPr>
              <w:pStyle w:val="TableText0"/>
              <w:keepNext/>
              <w:jc w:val="center"/>
              <w:rPr>
                <w:lang w:eastAsia="en-AU"/>
              </w:rPr>
            </w:pPr>
            <w:r w:rsidRPr="00922B1C">
              <w:rPr>
                <w:lang w:eastAsia="en-AU"/>
              </w:rPr>
              <w:t>67</w:t>
            </w:r>
          </w:p>
        </w:tc>
        <w:tc>
          <w:tcPr>
            <w:tcW w:w="1276" w:type="dxa"/>
            <w:tcBorders>
              <w:top w:val="nil"/>
              <w:left w:val="nil"/>
              <w:bottom w:val="single" w:sz="4" w:space="0" w:color="auto"/>
              <w:right w:val="single" w:sz="4" w:space="0" w:color="auto"/>
            </w:tcBorders>
            <w:shd w:val="clear" w:color="auto" w:fill="auto"/>
            <w:noWrap/>
            <w:vAlign w:val="center"/>
            <w:hideMark/>
          </w:tcPr>
          <w:p w14:paraId="4B1C0E21" w14:textId="77777777" w:rsidR="009342B5" w:rsidRPr="00922B1C" w:rsidRDefault="009342B5" w:rsidP="000D0430">
            <w:pPr>
              <w:pStyle w:val="TableText0"/>
              <w:keepNext/>
              <w:jc w:val="center"/>
              <w:rPr>
                <w:lang w:eastAsia="en-AU"/>
              </w:rPr>
            </w:pPr>
            <w:r w:rsidRPr="00922B1C">
              <w:rPr>
                <w:lang w:eastAsia="en-AU"/>
              </w:rPr>
              <w:t>0.3 (0.2, 0.4)</w:t>
            </w:r>
          </w:p>
        </w:tc>
        <w:tc>
          <w:tcPr>
            <w:tcW w:w="992" w:type="dxa"/>
            <w:tcBorders>
              <w:top w:val="nil"/>
              <w:left w:val="nil"/>
              <w:bottom w:val="single" w:sz="4" w:space="0" w:color="auto"/>
              <w:right w:val="single" w:sz="4" w:space="0" w:color="auto"/>
            </w:tcBorders>
            <w:shd w:val="clear" w:color="auto" w:fill="auto"/>
            <w:noWrap/>
            <w:vAlign w:val="center"/>
            <w:hideMark/>
          </w:tcPr>
          <w:p w14:paraId="0E56F337" w14:textId="77777777" w:rsidR="009342B5" w:rsidRPr="00922B1C" w:rsidRDefault="009342B5" w:rsidP="000D0430">
            <w:pPr>
              <w:pStyle w:val="TableText0"/>
              <w:keepNext/>
              <w:jc w:val="center"/>
              <w:rPr>
                <w:lang w:eastAsia="en-AU"/>
              </w:rPr>
            </w:pPr>
            <w:r w:rsidRPr="00922B1C">
              <w:rPr>
                <w:lang w:eastAsia="en-AU"/>
              </w:rPr>
              <w:t>178</w:t>
            </w:r>
          </w:p>
        </w:tc>
        <w:tc>
          <w:tcPr>
            <w:tcW w:w="1276" w:type="dxa"/>
            <w:tcBorders>
              <w:top w:val="nil"/>
              <w:left w:val="nil"/>
              <w:bottom w:val="single" w:sz="4" w:space="0" w:color="auto"/>
              <w:right w:val="single" w:sz="4" w:space="0" w:color="auto"/>
            </w:tcBorders>
            <w:shd w:val="clear" w:color="auto" w:fill="auto"/>
            <w:noWrap/>
            <w:vAlign w:val="center"/>
            <w:hideMark/>
          </w:tcPr>
          <w:p w14:paraId="38BD35AF" w14:textId="77777777" w:rsidR="009342B5" w:rsidRPr="00922B1C" w:rsidRDefault="009342B5" w:rsidP="000D0430">
            <w:pPr>
              <w:pStyle w:val="TableText0"/>
              <w:keepNext/>
              <w:jc w:val="center"/>
              <w:rPr>
                <w:lang w:eastAsia="en-AU"/>
              </w:rPr>
            </w:pPr>
            <w:r w:rsidRPr="00922B1C">
              <w:rPr>
                <w:lang w:eastAsia="en-AU"/>
              </w:rPr>
              <w:t>0.6 (0.5, 0.6)</w:t>
            </w:r>
          </w:p>
        </w:tc>
        <w:tc>
          <w:tcPr>
            <w:tcW w:w="992" w:type="dxa"/>
            <w:tcBorders>
              <w:top w:val="nil"/>
              <w:left w:val="nil"/>
              <w:bottom w:val="single" w:sz="4" w:space="0" w:color="auto"/>
              <w:right w:val="single" w:sz="4" w:space="0" w:color="auto"/>
            </w:tcBorders>
            <w:shd w:val="clear" w:color="auto" w:fill="auto"/>
            <w:noWrap/>
            <w:vAlign w:val="center"/>
            <w:hideMark/>
          </w:tcPr>
          <w:p w14:paraId="4DC156F6" w14:textId="77777777" w:rsidR="009342B5" w:rsidRPr="00922B1C" w:rsidRDefault="009342B5" w:rsidP="000D0430">
            <w:pPr>
              <w:pStyle w:val="TableText0"/>
              <w:keepNext/>
              <w:jc w:val="center"/>
              <w:rPr>
                <w:lang w:eastAsia="en-AU"/>
              </w:rPr>
            </w:pPr>
            <w:r w:rsidRPr="00922B1C">
              <w:rPr>
                <w:lang w:eastAsia="en-AU"/>
              </w:rPr>
              <w:t>770</w:t>
            </w:r>
          </w:p>
        </w:tc>
        <w:tc>
          <w:tcPr>
            <w:tcW w:w="1276" w:type="dxa"/>
            <w:tcBorders>
              <w:top w:val="nil"/>
              <w:left w:val="nil"/>
              <w:bottom w:val="single" w:sz="4" w:space="0" w:color="auto"/>
              <w:right w:val="single" w:sz="4" w:space="0" w:color="auto"/>
            </w:tcBorders>
            <w:shd w:val="clear" w:color="auto" w:fill="auto"/>
            <w:noWrap/>
            <w:vAlign w:val="center"/>
            <w:hideMark/>
          </w:tcPr>
          <w:p w14:paraId="0D31F3C9" w14:textId="77777777" w:rsidR="009342B5" w:rsidRPr="00922B1C" w:rsidRDefault="009342B5" w:rsidP="000D0430">
            <w:pPr>
              <w:pStyle w:val="TableText0"/>
              <w:keepNext/>
              <w:jc w:val="center"/>
              <w:rPr>
                <w:lang w:eastAsia="en-AU"/>
              </w:rPr>
            </w:pPr>
            <w:r w:rsidRPr="00922B1C">
              <w:rPr>
                <w:lang w:eastAsia="en-AU"/>
              </w:rPr>
              <w:t>1.6 (1.5, 1.7)</w:t>
            </w:r>
          </w:p>
        </w:tc>
        <w:tc>
          <w:tcPr>
            <w:tcW w:w="850" w:type="dxa"/>
            <w:tcBorders>
              <w:top w:val="nil"/>
              <w:left w:val="nil"/>
              <w:bottom w:val="single" w:sz="4" w:space="0" w:color="auto"/>
              <w:right w:val="single" w:sz="4" w:space="0" w:color="auto"/>
            </w:tcBorders>
            <w:shd w:val="clear" w:color="auto" w:fill="auto"/>
            <w:noWrap/>
            <w:vAlign w:val="center"/>
            <w:hideMark/>
          </w:tcPr>
          <w:p w14:paraId="50622662" w14:textId="77777777" w:rsidR="009342B5" w:rsidRPr="00922B1C" w:rsidRDefault="009342B5" w:rsidP="000D0430">
            <w:pPr>
              <w:pStyle w:val="TableText0"/>
              <w:keepNext/>
              <w:jc w:val="center"/>
              <w:rPr>
                <w:lang w:eastAsia="en-AU"/>
              </w:rPr>
            </w:pPr>
            <w:r w:rsidRPr="00922B1C">
              <w:rPr>
                <w:lang w:eastAsia="en-AU"/>
              </w:rPr>
              <w:t>267</w:t>
            </w:r>
          </w:p>
        </w:tc>
      </w:tr>
      <w:tr w:rsidR="009342B5" w:rsidRPr="00A010BD" w14:paraId="35FB19FC"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7BD79C8" w14:textId="77777777" w:rsidR="009342B5" w:rsidRPr="00922B1C" w:rsidRDefault="009342B5" w:rsidP="000D0430">
            <w:pPr>
              <w:pStyle w:val="TableText0"/>
              <w:keepNext/>
              <w:rPr>
                <w:lang w:eastAsia="en-AU"/>
              </w:rPr>
            </w:pPr>
            <w:r w:rsidRPr="00922B1C">
              <w:rPr>
                <w:lang w:eastAsia="en-AU"/>
              </w:rPr>
              <w:t>Pancreas</w:t>
            </w:r>
          </w:p>
        </w:tc>
        <w:tc>
          <w:tcPr>
            <w:tcW w:w="992" w:type="dxa"/>
            <w:tcBorders>
              <w:top w:val="nil"/>
              <w:left w:val="nil"/>
              <w:bottom w:val="single" w:sz="4" w:space="0" w:color="auto"/>
              <w:right w:val="single" w:sz="4" w:space="0" w:color="auto"/>
            </w:tcBorders>
            <w:shd w:val="clear" w:color="auto" w:fill="auto"/>
            <w:noWrap/>
            <w:vAlign w:val="center"/>
            <w:hideMark/>
          </w:tcPr>
          <w:p w14:paraId="3AF5D5F5" w14:textId="77777777" w:rsidR="009342B5" w:rsidRPr="00922B1C" w:rsidRDefault="009342B5" w:rsidP="000D0430">
            <w:pPr>
              <w:pStyle w:val="TableText0"/>
              <w:keepNext/>
              <w:jc w:val="center"/>
              <w:rPr>
                <w:lang w:eastAsia="en-AU"/>
              </w:rPr>
            </w:pPr>
            <w:r w:rsidRPr="00922B1C">
              <w:rPr>
                <w:lang w:eastAsia="en-AU"/>
              </w:rPr>
              <w:t>43</w:t>
            </w:r>
          </w:p>
        </w:tc>
        <w:tc>
          <w:tcPr>
            <w:tcW w:w="1276" w:type="dxa"/>
            <w:tcBorders>
              <w:top w:val="nil"/>
              <w:left w:val="nil"/>
              <w:bottom w:val="single" w:sz="4" w:space="0" w:color="auto"/>
              <w:right w:val="single" w:sz="4" w:space="0" w:color="auto"/>
            </w:tcBorders>
            <w:shd w:val="clear" w:color="auto" w:fill="auto"/>
            <w:noWrap/>
            <w:vAlign w:val="center"/>
            <w:hideMark/>
          </w:tcPr>
          <w:p w14:paraId="041DEBDA" w14:textId="77777777" w:rsidR="009342B5" w:rsidRPr="00922B1C" w:rsidRDefault="009342B5" w:rsidP="000D0430">
            <w:pPr>
              <w:pStyle w:val="TableText0"/>
              <w:keepNext/>
              <w:jc w:val="center"/>
              <w:rPr>
                <w:lang w:eastAsia="en-AU"/>
              </w:rPr>
            </w:pPr>
            <w:r w:rsidRPr="00922B1C">
              <w:rPr>
                <w:lang w:eastAsia="en-AU"/>
              </w:rPr>
              <w:t>0.2 (0.2, 0.3)</w:t>
            </w:r>
          </w:p>
        </w:tc>
        <w:tc>
          <w:tcPr>
            <w:tcW w:w="992" w:type="dxa"/>
            <w:tcBorders>
              <w:top w:val="nil"/>
              <w:left w:val="nil"/>
              <w:bottom w:val="single" w:sz="4" w:space="0" w:color="auto"/>
              <w:right w:val="single" w:sz="4" w:space="0" w:color="auto"/>
            </w:tcBorders>
            <w:shd w:val="clear" w:color="auto" w:fill="auto"/>
            <w:noWrap/>
            <w:vAlign w:val="center"/>
            <w:hideMark/>
          </w:tcPr>
          <w:p w14:paraId="0AEDC77D" w14:textId="77777777" w:rsidR="009342B5" w:rsidRPr="00922B1C" w:rsidRDefault="009342B5" w:rsidP="000D0430">
            <w:pPr>
              <w:pStyle w:val="TableText0"/>
              <w:keepNext/>
              <w:jc w:val="center"/>
              <w:rPr>
                <w:lang w:eastAsia="en-AU"/>
              </w:rPr>
            </w:pPr>
            <w:r w:rsidRPr="00922B1C">
              <w:rPr>
                <w:lang w:eastAsia="en-AU"/>
              </w:rPr>
              <w:t>77</w:t>
            </w:r>
          </w:p>
        </w:tc>
        <w:tc>
          <w:tcPr>
            <w:tcW w:w="1276" w:type="dxa"/>
            <w:tcBorders>
              <w:top w:val="nil"/>
              <w:left w:val="nil"/>
              <w:bottom w:val="single" w:sz="4" w:space="0" w:color="auto"/>
              <w:right w:val="single" w:sz="4" w:space="0" w:color="auto"/>
            </w:tcBorders>
            <w:shd w:val="clear" w:color="auto" w:fill="auto"/>
            <w:noWrap/>
            <w:vAlign w:val="center"/>
            <w:hideMark/>
          </w:tcPr>
          <w:p w14:paraId="5F0AD037" w14:textId="77777777" w:rsidR="009342B5" w:rsidRPr="00922B1C" w:rsidRDefault="009342B5" w:rsidP="000D0430">
            <w:pPr>
              <w:pStyle w:val="TableText0"/>
              <w:keepNext/>
              <w:jc w:val="center"/>
              <w:rPr>
                <w:lang w:eastAsia="en-AU"/>
              </w:rPr>
            </w:pPr>
            <w:r w:rsidRPr="00922B1C">
              <w:rPr>
                <w:lang w:eastAsia="en-AU"/>
              </w:rPr>
              <w:t>0.3 (0.2, 0.3)</w:t>
            </w:r>
          </w:p>
        </w:tc>
        <w:tc>
          <w:tcPr>
            <w:tcW w:w="992" w:type="dxa"/>
            <w:tcBorders>
              <w:top w:val="nil"/>
              <w:left w:val="nil"/>
              <w:bottom w:val="single" w:sz="4" w:space="0" w:color="auto"/>
              <w:right w:val="single" w:sz="4" w:space="0" w:color="auto"/>
            </w:tcBorders>
            <w:shd w:val="clear" w:color="auto" w:fill="auto"/>
            <w:noWrap/>
            <w:vAlign w:val="center"/>
            <w:hideMark/>
          </w:tcPr>
          <w:p w14:paraId="3CE2A499" w14:textId="77777777" w:rsidR="009342B5" w:rsidRPr="00922B1C" w:rsidRDefault="009342B5" w:rsidP="000D0430">
            <w:pPr>
              <w:pStyle w:val="TableText0"/>
              <w:keepNext/>
              <w:jc w:val="center"/>
              <w:rPr>
                <w:lang w:eastAsia="en-AU"/>
              </w:rPr>
            </w:pPr>
            <w:r w:rsidRPr="00922B1C">
              <w:rPr>
                <w:lang w:eastAsia="en-AU"/>
              </w:rPr>
              <w:t>592</w:t>
            </w:r>
          </w:p>
        </w:tc>
        <w:tc>
          <w:tcPr>
            <w:tcW w:w="1276" w:type="dxa"/>
            <w:tcBorders>
              <w:top w:val="nil"/>
              <w:left w:val="nil"/>
              <w:bottom w:val="single" w:sz="4" w:space="0" w:color="auto"/>
              <w:right w:val="single" w:sz="4" w:space="0" w:color="auto"/>
            </w:tcBorders>
            <w:shd w:val="clear" w:color="auto" w:fill="auto"/>
            <w:noWrap/>
            <w:vAlign w:val="center"/>
            <w:hideMark/>
          </w:tcPr>
          <w:p w14:paraId="5DD15A85" w14:textId="77777777" w:rsidR="009342B5" w:rsidRPr="00922B1C" w:rsidRDefault="009342B5" w:rsidP="000D0430">
            <w:pPr>
              <w:pStyle w:val="TableText0"/>
              <w:keepNext/>
              <w:jc w:val="center"/>
              <w:rPr>
                <w:lang w:eastAsia="en-AU"/>
              </w:rPr>
            </w:pPr>
            <w:r w:rsidRPr="00922B1C">
              <w:rPr>
                <w:lang w:eastAsia="en-AU"/>
              </w:rPr>
              <w:t>1.3 (1.2, 1.4)</w:t>
            </w:r>
          </w:p>
        </w:tc>
        <w:tc>
          <w:tcPr>
            <w:tcW w:w="850" w:type="dxa"/>
            <w:tcBorders>
              <w:top w:val="nil"/>
              <w:left w:val="nil"/>
              <w:bottom w:val="single" w:sz="4" w:space="0" w:color="auto"/>
              <w:right w:val="single" w:sz="4" w:space="0" w:color="auto"/>
            </w:tcBorders>
            <w:shd w:val="clear" w:color="auto" w:fill="auto"/>
            <w:noWrap/>
            <w:vAlign w:val="center"/>
            <w:hideMark/>
          </w:tcPr>
          <w:p w14:paraId="438A9175" w14:textId="77777777" w:rsidR="009342B5" w:rsidRPr="00922B1C" w:rsidRDefault="009342B5" w:rsidP="000D0430">
            <w:pPr>
              <w:pStyle w:val="TableText0"/>
              <w:keepNext/>
              <w:jc w:val="center"/>
              <w:rPr>
                <w:lang w:eastAsia="en-AU"/>
              </w:rPr>
            </w:pPr>
            <w:r w:rsidRPr="00922B1C">
              <w:rPr>
                <w:lang w:eastAsia="en-AU"/>
              </w:rPr>
              <w:t>433</w:t>
            </w:r>
          </w:p>
        </w:tc>
      </w:tr>
      <w:tr w:rsidR="009342B5" w:rsidRPr="00A010BD" w14:paraId="3C993E4F"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D20A246" w14:textId="77777777" w:rsidR="009342B5" w:rsidRPr="00922B1C" w:rsidRDefault="009342B5" w:rsidP="000D0430">
            <w:pPr>
              <w:pStyle w:val="TableText0"/>
              <w:keepNext/>
              <w:rPr>
                <w:lang w:eastAsia="en-AU"/>
              </w:rPr>
            </w:pPr>
            <w:r w:rsidRPr="00922B1C">
              <w:rPr>
                <w:lang w:eastAsia="en-AU"/>
              </w:rPr>
              <w:t>Other UGI</w:t>
            </w:r>
          </w:p>
        </w:tc>
        <w:tc>
          <w:tcPr>
            <w:tcW w:w="992" w:type="dxa"/>
            <w:tcBorders>
              <w:top w:val="nil"/>
              <w:left w:val="nil"/>
              <w:bottom w:val="single" w:sz="4" w:space="0" w:color="auto"/>
              <w:right w:val="single" w:sz="4" w:space="0" w:color="auto"/>
            </w:tcBorders>
            <w:shd w:val="clear" w:color="auto" w:fill="auto"/>
            <w:noWrap/>
            <w:vAlign w:val="center"/>
            <w:hideMark/>
          </w:tcPr>
          <w:p w14:paraId="67FE4D71" w14:textId="77777777" w:rsidR="009342B5" w:rsidRPr="00922B1C" w:rsidRDefault="009342B5" w:rsidP="000D0430">
            <w:pPr>
              <w:pStyle w:val="TableText0"/>
              <w:keepNext/>
              <w:jc w:val="center"/>
              <w:rPr>
                <w:lang w:eastAsia="en-AU"/>
              </w:rPr>
            </w:pPr>
            <w:r w:rsidRPr="00922B1C">
              <w:rPr>
                <w:lang w:eastAsia="en-AU"/>
              </w:rPr>
              <w:t>28</w:t>
            </w:r>
          </w:p>
        </w:tc>
        <w:tc>
          <w:tcPr>
            <w:tcW w:w="1276" w:type="dxa"/>
            <w:tcBorders>
              <w:top w:val="nil"/>
              <w:left w:val="nil"/>
              <w:bottom w:val="single" w:sz="4" w:space="0" w:color="auto"/>
              <w:right w:val="single" w:sz="4" w:space="0" w:color="auto"/>
            </w:tcBorders>
            <w:shd w:val="clear" w:color="auto" w:fill="auto"/>
            <w:noWrap/>
            <w:vAlign w:val="center"/>
            <w:hideMark/>
          </w:tcPr>
          <w:p w14:paraId="21EDC530" w14:textId="77777777" w:rsidR="009342B5" w:rsidRPr="00922B1C" w:rsidRDefault="009342B5" w:rsidP="000D0430">
            <w:pPr>
              <w:pStyle w:val="TableText0"/>
              <w:keepNext/>
              <w:jc w:val="center"/>
              <w:rPr>
                <w:lang w:eastAsia="en-AU"/>
              </w:rPr>
            </w:pPr>
            <w:r w:rsidRPr="00922B1C">
              <w:rPr>
                <w:lang w:eastAsia="en-AU"/>
              </w:rPr>
              <w:t>0.1 (0.1, 0.2)</w:t>
            </w:r>
          </w:p>
        </w:tc>
        <w:tc>
          <w:tcPr>
            <w:tcW w:w="992" w:type="dxa"/>
            <w:tcBorders>
              <w:top w:val="nil"/>
              <w:left w:val="nil"/>
              <w:bottom w:val="single" w:sz="4" w:space="0" w:color="auto"/>
              <w:right w:val="single" w:sz="4" w:space="0" w:color="auto"/>
            </w:tcBorders>
            <w:shd w:val="clear" w:color="auto" w:fill="auto"/>
            <w:noWrap/>
            <w:vAlign w:val="center"/>
            <w:hideMark/>
          </w:tcPr>
          <w:p w14:paraId="39B293CF" w14:textId="77777777" w:rsidR="009342B5" w:rsidRPr="00922B1C" w:rsidRDefault="009342B5" w:rsidP="000D0430">
            <w:pPr>
              <w:pStyle w:val="TableText0"/>
              <w:keepNext/>
              <w:jc w:val="center"/>
              <w:rPr>
                <w:lang w:eastAsia="en-AU"/>
              </w:rPr>
            </w:pPr>
            <w:r w:rsidRPr="00922B1C">
              <w:rPr>
                <w:lang w:eastAsia="en-AU"/>
              </w:rPr>
              <w:t>35</w:t>
            </w:r>
          </w:p>
        </w:tc>
        <w:tc>
          <w:tcPr>
            <w:tcW w:w="1276" w:type="dxa"/>
            <w:tcBorders>
              <w:top w:val="nil"/>
              <w:left w:val="nil"/>
              <w:bottom w:val="single" w:sz="4" w:space="0" w:color="auto"/>
              <w:right w:val="single" w:sz="4" w:space="0" w:color="auto"/>
            </w:tcBorders>
            <w:shd w:val="clear" w:color="auto" w:fill="auto"/>
            <w:noWrap/>
            <w:vAlign w:val="center"/>
            <w:hideMark/>
          </w:tcPr>
          <w:p w14:paraId="12DD5015" w14:textId="77777777" w:rsidR="009342B5" w:rsidRPr="00922B1C" w:rsidRDefault="009342B5" w:rsidP="000D0430">
            <w:pPr>
              <w:pStyle w:val="TableText0"/>
              <w:keepNext/>
              <w:jc w:val="center"/>
              <w:rPr>
                <w:lang w:eastAsia="en-AU"/>
              </w:rPr>
            </w:pPr>
            <w:r w:rsidRPr="00922B1C">
              <w:rPr>
                <w:lang w:eastAsia="en-AU"/>
              </w:rPr>
              <w:t>0.1 (0.1, 0.2)</w:t>
            </w:r>
          </w:p>
        </w:tc>
        <w:tc>
          <w:tcPr>
            <w:tcW w:w="992" w:type="dxa"/>
            <w:tcBorders>
              <w:top w:val="nil"/>
              <w:left w:val="nil"/>
              <w:bottom w:val="single" w:sz="4" w:space="0" w:color="auto"/>
              <w:right w:val="single" w:sz="4" w:space="0" w:color="auto"/>
            </w:tcBorders>
            <w:shd w:val="clear" w:color="auto" w:fill="auto"/>
            <w:noWrap/>
            <w:vAlign w:val="center"/>
            <w:hideMark/>
          </w:tcPr>
          <w:p w14:paraId="4F55EDF9" w14:textId="77777777" w:rsidR="009342B5" w:rsidRPr="00922B1C" w:rsidRDefault="009342B5" w:rsidP="000D0430">
            <w:pPr>
              <w:pStyle w:val="TableText0"/>
              <w:keepNext/>
              <w:jc w:val="center"/>
              <w:rPr>
                <w:lang w:eastAsia="en-AU"/>
              </w:rPr>
            </w:pPr>
            <w:r w:rsidRPr="00922B1C">
              <w:rPr>
                <w:lang w:eastAsia="en-AU"/>
              </w:rPr>
              <w:t>99</w:t>
            </w:r>
          </w:p>
        </w:tc>
        <w:tc>
          <w:tcPr>
            <w:tcW w:w="1276" w:type="dxa"/>
            <w:tcBorders>
              <w:top w:val="nil"/>
              <w:left w:val="nil"/>
              <w:bottom w:val="single" w:sz="4" w:space="0" w:color="auto"/>
              <w:right w:val="single" w:sz="4" w:space="0" w:color="auto"/>
            </w:tcBorders>
            <w:shd w:val="clear" w:color="auto" w:fill="auto"/>
            <w:noWrap/>
            <w:vAlign w:val="center"/>
            <w:hideMark/>
          </w:tcPr>
          <w:p w14:paraId="2E975A13" w14:textId="77777777" w:rsidR="009342B5" w:rsidRPr="00922B1C" w:rsidRDefault="009342B5" w:rsidP="000D0430">
            <w:pPr>
              <w:pStyle w:val="TableText0"/>
              <w:keepNext/>
              <w:jc w:val="center"/>
              <w:rPr>
                <w:lang w:eastAsia="en-AU"/>
              </w:rPr>
            </w:pPr>
            <w:r w:rsidRPr="00922B1C">
              <w:rPr>
                <w:lang w:eastAsia="en-AU"/>
              </w:rPr>
              <w:t>0.2 (0.1, 0.2)</w:t>
            </w:r>
          </w:p>
        </w:tc>
        <w:tc>
          <w:tcPr>
            <w:tcW w:w="850" w:type="dxa"/>
            <w:tcBorders>
              <w:top w:val="nil"/>
              <w:left w:val="nil"/>
              <w:bottom w:val="single" w:sz="4" w:space="0" w:color="auto"/>
              <w:right w:val="single" w:sz="4" w:space="0" w:color="auto"/>
            </w:tcBorders>
            <w:shd w:val="clear" w:color="auto" w:fill="auto"/>
            <w:noWrap/>
            <w:vAlign w:val="center"/>
            <w:hideMark/>
          </w:tcPr>
          <w:p w14:paraId="7F6764F6" w14:textId="77777777" w:rsidR="009342B5" w:rsidRPr="00922B1C" w:rsidRDefault="009342B5" w:rsidP="000D0430">
            <w:pPr>
              <w:pStyle w:val="TableText0"/>
              <w:keepNext/>
              <w:jc w:val="center"/>
              <w:rPr>
                <w:lang w:eastAsia="en-AU"/>
              </w:rPr>
            </w:pPr>
            <w:r w:rsidRPr="00922B1C">
              <w:rPr>
                <w:lang w:eastAsia="en-AU"/>
              </w:rPr>
              <w:t>200</w:t>
            </w:r>
          </w:p>
        </w:tc>
      </w:tr>
      <w:tr w:rsidR="009342B5" w:rsidRPr="00A010BD" w14:paraId="7372E794"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DF829CD" w14:textId="77777777" w:rsidR="009342B5" w:rsidRPr="00922B1C" w:rsidRDefault="009342B5" w:rsidP="000D0430">
            <w:pPr>
              <w:pStyle w:val="TableText0"/>
              <w:keepNext/>
              <w:rPr>
                <w:lang w:eastAsia="en-AU"/>
              </w:rPr>
            </w:pPr>
            <w:r w:rsidRPr="00922B1C">
              <w:rPr>
                <w:lang w:eastAsia="en-AU"/>
              </w:rPr>
              <w:t>Colorectal</w:t>
            </w:r>
          </w:p>
        </w:tc>
        <w:tc>
          <w:tcPr>
            <w:tcW w:w="992" w:type="dxa"/>
            <w:tcBorders>
              <w:top w:val="nil"/>
              <w:left w:val="nil"/>
              <w:bottom w:val="single" w:sz="4" w:space="0" w:color="auto"/>
              <w:right w:val="single" w:sz="4" w:space="0" w:color="auto"/>
            </w:tcBorders>
            <w:shd w:val="clear" w:color="auto" w:fill="auto"/>
            <w:noWrap/>
            <w:vAlign w:val="center"/>
            <w:hideMark/>
          </w:tcPr>
          <w:p w14:paraId="146873CB" w14:textId="77777777" w:rsidR="009342B5" w:rsidRPr="00922B1C" w:rsidRDefault="009342B5" w:rsidP="000D0430">
            <w:pPr>
              <w:pStyle w:val="TableText0"/>
              <w:keepNext/>
              <w:jc w:val="center"/>
              <w:rPr>
                <w:lang w:eastAsia="en-AU"/>
              </w:rPr>
            </w:pPr>
            <w:r w:rsidRPr="00922B1C">
              <w:rPr>
                <w:lang w:eastAsia="en-AU"/>
              </w:rPr>
              <w:t>229</w:t>
            </w:r>
          </w:p>
        </w:tc>
        <w:tc>
          <w:tcPr>
            <w:tcW w:w="1276" w:type="dxa"/>
            <w:tcBorders>
              <w:top w:val="nil"/>
              <w:left w:val="nil"/>
              <w:bottom w:val="single" w:sz="4" w:space="0" w:color="auto"/>
              <w:right w:val="single" w:sz="4" w:space="0" w:color="auto"/>
            </w:tcBorders>
            <w:shd w:val="clear" w:color="auto" w:fill="auto"/>
            <w:noWrap/>
            <w:vAlign w:val="center"/>
            <w:hideMark/>
          </w:tcPr>
          <w:p w14:paraId="062EEFD1" w14:textId="77777777" w:rsidR="009342B5" w:rsidRPr="00922B1C" w:rsidRDefault="009342B5" w:rsidP="000D0430">
            <w:pPr>
              <w:pStyle w:val="TableText0"/>
              <w:keepNext/>
              <w:jc w:val="center"/>
              <w:rPr>
                <w:lang w:eastAsia="en-AU"/>
              </w:rPr>
            </w:pPr>
            <w:r w:rsidRPr="00922B1C">
              <w:rPr>
                <w:lang w:eastAsia="en-AU"/>
              </w:rPr>
              <w:t>1.2 (1.1, 1.4)</w:t>
            </w:r>
          </w:p>
        </w:tc>
        <w:tc>
          <w:tcPr>
            <w:tcW w:w="992" w:type="dxa"/>
            <w:tcBorders>
              <w:top w:val="nil"/>
              <w:left w:val="nil"/>
              <w:bottom w:val="single" w:sz="4" w:space="0" w:color="auto"/>
              <w:right w:val="single" w:sz="4" w:space="0" w:color="auto"/>
            </w:tcBorders>
            <w:shd w:val="clear" w:color="auto" w:fill="auto"/>
            <w:noWrap/>
            <w:vAlign w:val="center"/>
            <w:hideMark/>
          </w:tcPr>
          <w:p w14:paraId="51B2D9D3" w14:textId="77777777" w:rsidR="009342B5" w:rsidRPr="00922B1C" w:rsidRDefault="009342B5" w:rsidP="000D0430">
            <w:pPr>
              <w:pStyle w:val="TableText0"/>
              <w:keepNext/>
              <w:jc w:val="center"/>
              <w:rPr>
                <w:lang w:eastAsia="en-AU"/>
              </w:rPr>
            </w:pPr>
            <w:r w:rsidRPr="00922B1C">
              <w:rPr>
                <w:lang w:eastAsia="en-AU"/>
              </w:rPr>
              <w:t>366</w:t>
            </w:r>
          </w:p>
        </w:tc>
        <w:tc>
          <w:tcPr>
            <w:tcW w:w="1276" w:type="dxa"/>
            <w:tcBorders>
              <w:top w:val="nil"/>
              <w:left w:val="nil"/>
              <w:bottom w:val="single" w:sz="4" w:space="0" w:color="auto"/>
              <w:right w:val="single" w:sz="4" w:space="0" w:color="auto"/>
            </w:tcBorders>
            <w:shd w:val="clear" w:color="auto" w:fill="auto"/>
            <w:noWrap/>
            <w:vAlign w:val="center"/>
            <w:hideMark/>
          </w:tcPr>
          <w:p w14:paraId="555B56A2" w14:textId="77777777" w:rsidR="009342B5" w:rsidRPr="00922B1C" w:rsidRDefault="009342B5" w:rsidP="000D0430">
            <w:pPr>
              <w:pStyle w:val="TableText0"/>
              <w:keepNext/>
              <w:jc w:val="center"/>
              <w:rPr>
                <w:lang w:eastAsia="en-AU"/>
              </w:rPr>
            </w:pPr>
            <w:r w:rsidRPr="00922B1C">
              <w:rPr>
                <w:lang w:eastAsia="en-AU"/>
              </w:rPr>
              <w:t>1.4 (1.3, 1.6)</w:t>
            </w:r>
          </w:p>
        </w:tc>
        <w:tc>
          <w:tcPr>
            <w:tcW w:w="992" w:type="dxa"/>
            <w:tcBorders>
              <w:top w:val="nil"/>
              <w:left w:val="nil"/>
              <w:bottom w:val="single" w:sz="4" w:space="0" w:color="auto"/>
              <w:right w:val="single" w:sz="4" w:space="0" w:color="auto"/>
            </w:tcBorders>
            <w:shd w:val="clear" w:color="auto" w:fill="auto"/>
            <w:noWrap/>
            <w:vAlign w:val="center"/>
            <w:hideMark/>
          </w:tcPr>
          <w:p w14:paraId="2C175CAB" w14:textId="77777777" w:rsidR="009342B5" w:rsidRPr="00922B1C" w:rsidRDefault="009342B5" w:rsidP="000D0430">
            <w:pPr>
              <w:pStyle w:val="TableText0"/>
              <w:keepNext/>
              <w:jc w:val="center"/>
              <w:rPr>
                <w:lang w:eastAsia="en-AU"/>
              </w:rPr>
            </w:pPr>
            <w:r w:rsidRPr="00922B1C">
              <w:rPr>
                <w:lang w:eastAsia="en-AU"/>
              </w:rPr>
              <w:t>1253</w:t>
            </w:r>
          </w:p>
        </w:tc>
        <w:tc>
          <w:tcPr>
            <w:tcW w:w="1276" w:type="dxa"/>
            <w:tcBorders>
              <w:top w:val="nil"/>
              <w:left w:val="nil"/>
              <w:bottom w:val="single" w:sz="4" w:space="0" w:color="auto"/>
              <w:right w:val="single" w:sz="4" w:space="0" w:color="auto"/>
            </w:tcBorders>
            <w:shd w:val="clear" w:color="auto" w:fill="auto"/>
            <w:noWrap/>
            <w:vAlign w:val="center"/>
            <w:hideMark/>
          </w:tcPr>
          <w:p w14:paraId="174AE178" w14:textId="77777777" w:rsidR="009342B5" w:rsidRPr="00922B1C" w:rsidRDefault="009342B5" w:rsidP="000D0430">
            <w:pPr>
              <w:pStyle w:val="TableText0"/>
              <w:keepNext/>
              <w:jc w:val="center"/>
              <w:rPr>
                <w:lang w:eastAsia="en-AU"/>
              </w:rPr>
            </w:pPr>
            <w:r w:rsidRPr="00922B1C">
              <w:rPr>
                <w:lang w:eastAsia="en-AU"/>
              </w:rPr>
              <w:t>3.3 (3.1, 3.5)</w:t>
            </w:r>
          </w:p>
        </w:tc>
        <w:tc>
          <w:tcPr>
            <w:tcW w:w="850" w:type="dxa"/>
            <w:tcBorders>
              <w:top w:val="nil"/>
              <w:left w:val="nil"/>
              <w:bottom w:val="single" w:sz="4" w:space="0" w:color="auto"/>
              <w:right w:val="single" w:sz="4" w:space="0" w:color="auto"/>
            </w:tcBorders>
            <w:shd w:val="clear" w:color="auto" w:fill="auto"/>
            <w:noWrap/>
            <w:vAlign w:val="center"/>
            <w:hideMark/>
          </w:tcPr>
          <w:p w14:paraId="2EB867CD" w14:textId="77777777" w:rsidR="009342B5" w:rsidRPr="00922B1C" w:rsidRDefault="009342B5" w:rsidP="000D0430">
            <w:pPr>
              <w:pStyle w:val="TableText0"/>
              <w:keepNext/>
              <w:jc w:val="center"/>
              <w:rPr>
                <w:lang w:eastAsia="en-AU"/>
              </w:rPr>
            </w:pPr>
            <w:r w:rsidRPr="00922B1C">
              <w:rPr>
                <w:lang w:eastAsia="en-AU"/>
              </w:rPr>
              <w:t>236</w:t>
            </w:r>
          </w:p>
        </w:tc>
      </w:tr>
      <w:tr w:rsidR="009342B5" w:rsidRPr="00A010BD" w14:paraId="594C796D"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A2B1D3E" w14:textId="77777777" w:rsidR="009342B5" w:rsidRPr="00922B1C" w:rsidRDefault="009342B5" w:rsidP="000D0430">
            <w:pPr>
              <w:pStyle w:val="TableText0"/>
              <w:keepNext/>
              <w:rPr>
                <w:lang w:eastAsia="en-AU"/>
              </w:rPr>
            </w:pPr>
            <w:r w:rsidRPr="00922B1C">
              <w:rPr>
                <w:lang w:eastAsia="en-AU"/>
              </w:rPr>
              <w:t>Lung</w:t>
            </w:r>
          </w:p>
        </w:tc>
        <w:tc>
          <w:tcPr>
            <w:tcW w:w="992" w:type="dxa"/>
            <w:tcBorders>
              <w:top w:val="nil"/>
              <w:left w:val="nil"/>
              <w:bottom w:val="single" w:sz="4" w:space="0" w:color="auto"/>
              <w:right w:val="single" w:sz="4" w:space="0" w:color="auto"/>
            </w:tcBorders>
            <w:shd w:val="clear" w:color="auto" w:fill="auto"/>
            <w:noWrap/>
            <w:vAlign w:val="center"/>
            <w:hideMark/>
          </w:tcPr>
          <w:p w14:paraId="030D8C66" w14:textId="77777777" w:rsidR="009342B5" w:rsidRPr="00922B1C" w:rsidRDefault="009342B5" w:rsidP="000D0430">
            <w:pPr>
              <w:pStyle w:val="TableText0"/>
              <w:keepNext/>
              <w:jc w:val="center"/>
              <w:rPr>
                <w:lang w:eastAsia="en-AU"/>
              </w:rPr>
            </w:pPr>
            <w:r w:rsidRPr="00922B1C">
              <w:rPr>
                <w:lang w:eastAsia="en-AU"/>
              </w:rPr>
              <w:t>79</w:t>
            </w:r>
          </w:p>
        </w:tc>
        <w:tc>
          <w:tcPr>
            <w:tcW w:w="1276" w:type="dxa"/>
            <w:tcBorders>
              <w:top w:val="nil"/>
              <w:left w:val="nil"/>
              <w:bottom w:val="single" w:sz="4" w:space="0" w:color="auto"/>
              <w:right w:val="single" w:sz="4" w:space="0" w:color="auto"/>
            </w:tcBorders>
            <w:shd w:val="clear" w:color="auto" w:fill="auto"/>
            <w:noWrap/>
            <w:vAlign w:val="center"/>
            <w:hideMark/>
          </w:tcPr>
          <w:p w14:paraId="39CFD35C" w14:textId="77777777" w:rsidR="009342B5" w:rsidRPr="00922B1C" w:rsidRDefault="009342B5" w:rsidP="000D0430">
            <w:pPr>
              <w:pStyle w:val="TableText0"/>
              <w:keepNext/>
              <w:jc w:val="center"/>
              <w:rPr>
                <w:lang w:eastAsia="en-AU"/>
              </w:rPr>
            </w:pPr>
            <w:r w:rsidRPr="00922B1C">
              <w:rPr>
                <w:lang w:eastAsia="en-AU"/>
              </w:rPr>
              <w:t>0.4 (0.3, 0.5)</w:t>
            </w:r>
          </w:p>
        </w:tc>
        <w:tc>
          <w:tcPr>
            <w:tcW w:w="992" w:type="dxa"/>
            <w:tcBorders>
              <w:top w:val="nil"/>
              <w:left w:val="nil"/>
              <w:bottom w:val="single" w:sz="4" w:space="0" w:color="auto"/>
              <w:right w:val="single" w:sz="4" w:space="0" w:color="auto"/>
            </w:tcBorders>
            <w:shd w:val="clear" w:color="auto" w:fill="auto"/>
            <w:noWrap/>
            <w:vAlign w:val="center"/>
            <w:hideMark/>
          </w:tcPr>
          <w:p w14:paraId="74EC5400" w14:textId="77777777" w:rsidR="009342B5" w:rsidRPr="00922B1C" w:rsidRDefault="009342B5" w:rsidP="000D0430">
            <w:pPr>
              <w:pStyle w:val="TableText0"/>
              <w:keepNext/>
              <w:jc w:val="center"/>
              <w:rPr>
                <w:lang w:eastAsia="en-AU"/>
              </w:rPr>
            </w:pPr>
            <w:r w:rsidRPr="00922B1C">
              <w:rPr>
                <w:lang w:eastAsia="en-AU"/>
              </w:rPr>
              <w:t>185</w:t>
            </w:r>
          </w:p>
        </w:tc>
        <w:tc>
          <w:tcPr>
            <w:tcW w:w="1276" w:type="dxa"/>
            <w:tcBorders>
              <w:top w:val="nil"/>
              <w:left w:val="nil"/>
              <w:bottom w:val="single" w:sz="4" w:space="0" w:color="auto"/>
              <w:right w:val="single" w:sz="4" w:space="0" w:color="auto"/>
            </w:tcBorders>
            <w:shd w:val="clear" w:color="auto" w:fill="auto"/>
            <w:noWrap/>
            <w:vAlign w:val="center"/>
            <w:hideMark/>
          </w:tcPr>
          <w:p w14:paraId="295F8434" w14:textId="77777777" w:rsidR="009342B5" w:rsidRPr="00922B1C" w:rsidRDefault="009342B5" w:rsidP="000D0430">
            <w:pPr>
              <w:pStyle w:val="TableText0"/>
              <w:keepNext/>
              <w:jc w:val="center"/>
              <w:rPr>
                <w:lang w:eastAsia="en-AU"/>
              </w:rPr>
            </w:pPr>
            <w:r w:rsidRPr="00922B1C">
              <w:rPr>
                <w:lang w:eastAsia="en-AU"/>
              </w:rPr>
              <w:t>0.7 (0.6, 0.8)</w:t>
            </w:r>
          </w:p>
        </w:tc>
        <w:tc>
          <w:tcPr>
            <w:tcW w:w="992" w:type="dxa"/>
            <w:tcBorders>
              <w:top w:val="nil"/>
              <w:left w:val="nil"/>
              <w:bottom w:val="single" w:sz="4" w:space="0" w:color="auto"/>
              <w:right w:val="single" w:sz="4" w:space="0" w:color="auto"/>
            </w:tcBorders>
            <w:shd w:val="clear" w:color="auto" w:fill="auto"/>
            <w:noWrap/>
            <w:vAlign w:val="center"/>
            <w:hideMark/>
          </w:tcPr>
          <w:p w14:paraId="505F90A3" w14:textId="77777777" w:rsidR="009342B5" w:rsidRPr="00922B1C" w:rsidRDefault="009342B5" w:rsidP="000D0430">
            <w:pPr>
              <w:pStyle w:val="TableText0"/>
              <w:keepNext/>
              <w:jc w:val="center"/>
              <w:rPr>
                <w:lang w:eastAsia="en-AU"/>
              </w:rPr>
            </w:pPr>
            <w:r w:rsidRPr="00922B1C">
              <w:rPr>
                <w:lang w:eastAsia="en-AU"/>
              </w:rPr>
              <w:t>570</w:t>
            </w:r>
          </w:p>
        </w:tc>
        <w:tc>
          <w:tcPr>
            <w:tcW w:w="1276" w:type="dxa"/>
            <w:tcBorders>
              <w:top w:val="nil"/>
              <w:left w:val="nil"/>
              <w:bottom w:val="single" w:sz="4" w:space="0" w:color="auto"/>
              <w:right w:val="single" w:sz="4" w:space="0" w:color="auto"/>
            </w:tcBorders>
            <w:shd w:val="clear" w:color="auto" w:fill="auto"/>
            <w:noWrap/>
            <w:vAlign w:val="center"/>
            <w:hideMark/>
          </w:tcPr>
          <w:p w14:paraId="7D3C9D92" w14:textId="77777777" w:rsidR="009342B5" w:rsidRPr="00922B1C" w:rsidRDefault="009342B5" w:rsidP="000D0430">
            <w:pPr>
              <w:pStyle w:val="TableText0"/>
              <w:keepNext/>
              <w:jc w:val="center"/>
              <w:rPr>
                <w:lang w:eastAsia="en-AU"/>
              </w:rPr>
            </w:pPr>
            <w:r w:rsidRPr="00922B1C">
              <w:rPr>
                <w:lang w:eastAsia="en-AU"/>
              </w:rPr>
              <w:t>1.3 (1.2, 1.4)</w:t>
            </w:r>
          </w:p>
        </w:tc>
        <w:tc>
          <w:tcPr>
            <w:tcW w:w="850" w:type="dxa"/>
            <w:tcBorders>
              <w:top w:val="nil"/>
              <w:left w:val="nil"/>
              <w:bottom w:val="single" w:sz="4" w:space="0" w:color="auto"/>
              <w:right w:val="single" w:sz="4" w:space="0" w:color="auto"/>
            </w:tcBorders>
            <w:shd w:val="clear" w:color="auto" w:fill="auto"/>
            <w:noWrap/>
            <w:vAlign w:val="center"/>
            <w:hideMark/>
          </w:tcPr>
          <w:p w14:paraId="1975DA82" w14:textId="77777777" w:rsidR="009342B5" w:rsidRPr="00922B1C" w:rsidRDefault="009342B5" w:rsidP="000D0430">
            <w:pPr>
              <w:pStyle w:val="TableText0"/>
              <w:keepNext/>
              <w:jc w:val="center"/>
              <w:rPr>
                <w:lang w:eastAsia="en-AU"/>
              </w:rPr>
            </w:pPr>
            <w:r w:rsidRPr="00922B1C">
              <w:rPr>
                <w:lang w:eastAsia="en-AU"/>
              </w:rPr>
              <w:t>286</w:t>
            </w:r>
          </w:p>
        </w:tc>
      </w:tr>
      <w:tr w:rsidR="009342B5" w:rsidRPr="00A010BD" w14:paraId="1DE60174"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5DB4062" w14:textId="79E8B5DC" w:rsidR="009342B5" w:rsidRPr="00922B1C" w:rsidRDefault="009342B5" w:rsidP="000D0430">
            <w:pPr>
              <w:pStyle w:val="TableText0"/>
              <w:keepNext/>
              <w:rPr>
                <w:lang w:eastAsia="en-AU"/>
              </w:rPr>
            </w:pPr>
            <w:r w:rsidRPr="00922B1C">
              <w:rPr>
                <w:lang w:eastAsia="en-AU"/>
              </w:rPr>
              <w:t xml:space="preserve">Breast </w:t>
            </w:r>
          </w:p>
        </w:tc>
        <w:tc>
          <w:tcPr>
            <w:tcW w:w="992" w:type="dxa"/>
            <w:tcBorders>
              <w:top w:val="nil"/>
              <w:left w:val="nil"/>
              <w:bottom w:val="single" w:sz="4" w:space="0" w:color="auto"/>
              <w:right w:val="single" w:sz="4" w:space="0" w:color="auto"/>
            </w:tcBorders>
            <w:shd w:val="clear" w:color="auto" w:fill="auto"/>
            <w:noWrap/>
            <w:vAlign w:val="center"/>
            <w:hideMark/>
          </w:tcPr>
          <w:p w14:paraId="2741DE1F" w14:textId="77777777" w:rsidR="009342B5" w:rsidRPr="00922B1C" w:rsidRDefault="009342B5" w:rsidP="000D0430">
            <w:pPr>
              <w:pStyle w:val="TableText0"/>
              <w:keepNext/>
              <w:jc w:val="center"/>
              <w:rPr>
                <w:lang w:eastAsia="en-AU"/>
              </w:rPr>
            </w:pPr>
            <w:r w:rsidRPr="00922B1C">
              <w:rPr>
                <w:lang w:eastAsia="en-AU"/>
              </w:rPr>
              <w:t>31</w:t>
            </w:r>
          </w:p>
        </w:tc>
        <w:tc>
          <w:tcPr>
            <w:tcW w:w="1276" w:type="dxa"/>
            <w:tcBorders>
              <w:top w:val="nil"/>
              <w:left w:val="nil"/>
              <w:bottom w:val="single" w:sz="4" w:space="0" w:color="auto"/>
              <w:right w:val="single" w:sz="4" w:space="0" w:color="auto"/>
            </w:tcBorders>
            <w:shd w:val="clear" w:color="auto" w:fill="auto"/>
            <w:noWrap/>
            <w:vAlign w:val="center"/>
            <w:hideMark/>
          </w:tcPr>
          <w:p w14:paraId="24F32208" w14:textId="77777777" w:rsidR="009342B5" w:rsidRPr="00922B1C" w:rsidRDefault="009342B5" w:rsidP="000D0430">
            <w:pPr>
              <w:pStyle w:val="TableText0"/>
              <w:keepNext/>
              <w:jc w:val="center"/>
              <w:rPr>
                <w:lang w:eastAsia="en-AU"/>
              </w:rPr>
            </w:pPr>
            <w:r w:rsidRPr="00922B1C">
              <w:rPr>
                <w:lang w:eastAsia="en-AU"/>
              </w:rPr>
              <w:t>0.1 (0.1, 0.2)</w:t>
            </w:r>
          </w:p>
        </w:tc>
        <w:tc>
          <w:tcPr>
            <w:tcW w:w="992" w:type="dxa"/>
            <w:tcBorders>
              <w:top w:val="nil"/>
              <w:left w:val="nil"/>
              <w:bottom w:val="single" w:sz="4" w:space="0" w:color="auto"/>
              <w:right w:val="single" w:sz="4" w:space="0" w:color="auto"/>
            </w:tcBorders>
            <w:shd w:val="clear" w:color="auto" w:fill="auto"/>
            <w:noWrap/>
            <w:vAlign w:val="center"/>
            <w:hideMark/>
          </w:tcPr>
          <w:p w14:paraId="1E6D4D6C" w14:textId="77777777" w:rsidR="009342B5" w:rsidRPr="00922B1C" w:rsidRDefault="009342B5" w:rsidP="000D0430">
            <w:pPr>
              <w:pStyle w:val="TableText0"/>
              <w:keepNext/>
              <w:jc w:val="center"/>
              <w:rPr>
                <w:lang w:eastAsia="en-AU"/>
              </w:rPr>
            </w:pPr>
            <w:r w:rsidRPr="00922B1C">
              <w:rPr>
                <w:lang w:eastAsia="en-AU"/>
              </w:rPr>
              <w:t>43</w:t>
            </w:r>
          </w:p>
        </w:tc>
        <w:tc>
          <w:tcPr>
            <w:tcW w:w="1276" w:type="dxa"/>
            <w:tcBorders>
              <w:top w:val="nil"/>
              <w:left w:val="nil"/>
              <w:bottom w:val="single" w:sz="4" w:space="0" w:color="auto"/>
              <w:right w:val="single" w:sz="4" w:space="0" w:color="auto"/>
            </w:tcBorders>
            <w:shd w:val="clear" w:color="auto" w:fill="auto"/>
            <w:noWrap/>
            <w:vAlign w:val="center"/>
            <w:hideMark/>
          </w:tcPr>
          <w:p w14:paraId="623FEAC5" w14:textId="77777777" w:rsidR="009342B5" w:rsidRPr="00922B1C" w:rsidRDefault="009342B5" w:rsidP="000D0430">
            <w:pPr>
              <w:pStyle w:val="TableText0"/>
              <w:keepNext/>
              <w:jc w:val="center"/>
              <w:rPr>
                <w:lang w:eastAsia="en-AU"/>
              </w:rPr>
            </w:pPr>
            <w:r w:rsidRPr="00922B1C">
              <w:rPr>
                <w:lang w:eastAsia="en-AU"/>
              </w:rPr>
              <w:t>0.1 (0.1, 0.2)</w:t>
            </w:r>
          </w:p>
        </w:tc>
        <w:tc>
          <w:tcPr>
            <w:tcW w:w="992" w:type="dxa"/>
            <w:tcBorders>
              <w:top w:val="nil"/>
              <w:left w:val="nil"/>
              <w:bottom w:val="single" w:sz="4" w:space="0" w:color="auto"/>
              <w:right w:val="single" w:sz="4" w:space="0" w:color="auto"/>
            </w:tcBorders>
            <w:shd w:val="clear" w:color="auto" w:fill="auto"/>
            <w:noWrap/>
            <w:vAlign w:val="center"/>
            <w:hideMark/>
          </w:tcPr>
          <w:p w14:paraId="491E6CCB" w14:textId="77777777" w:rsidR="009342B5" w:rsidRPr="00922B1C" w:rsidRDefault="009342B5" w:rsidP="000D0430">
            <w:pPr>
              <w:pStyle w:val="TableText0"/>
              <w:keepNext/>
              <w:jc w:val="center"/>
              <w:rPr>
                <w:lang w:eastAsia="en-AU"/>
              </w:rPr>
            </w:pPr>
            <w:r w:rsidRPr="00922B1C">
              <w:rPr>
                <w:lang w:eastAsia="en-AU"/>
              </w:rPr>
              <w:t>118</w:t>
            </w:r>
          </w:p>
        </w:tc>
        <w:tc>
          <w:tcPr>
            <w:tcW w:w="1276" w:type="dxa"/>
            <w:tcBorders>
              <w:top w:val="nil"/>
              <w:left w:val="nil"/>
              <w:bottom w:val="single" w:sz="4" w:space="0" w:color="auto"/>
              <w:right w:val="single" w:sz="4" w:space="0" w:color="auto"/>
            </w:tcBorders>
            <w:shd w:val="clear" w:color="auto" w:fill="auto"/>
            <w:noWrap/>
            <w:vAlign w:val="center"/>
            <w:hideMark/>
          </w:tcPr>
          <w:p w14:paraId="2F4090CC" w14:textId="77777777" w:rsidR="009342B5" w:rsidRPr="00922B1C" w:rsidRDefault="009342B5" w:rsidP="000D0430">
            <w:pPr>
              <w:pStyle w:val="TableText0"/>
              <w:keepNext/>
              <w:jc w:val="center"/>
              <w:rPr>
                <w:lang w:eastAsia="en-AU"/>
              </w:rPr>
            </w:pPr>
            <w:r w:rsidRPr="00922B1C">
              <w:rPr>
                <w:lang w:eastAsia="en-AU"/>
              </w:rPr>
              <w:t>0.3 (0.2, 0.3)</w:t>
            </w:r>
          </w:p>
        </w:tc>
        <w:tc>
          <w:tcPr>
            <w:tcW w:w="850" w:type="dxa"/>
            <w:tcBorders>
              <w:top w:val="nil"/>
              <w:left w:val="nil"/>
              <w:bottom w:val="single" w:sz="4" w:space="0" w:color="auto"/>
              <w:right w:val="single" w:sz="4" w:space="0" w:color="auto"/>
            </w:tcBorders>
            <w:shd w:val="clear" w:color="auto" w:fill="auto"/>
            <w:noWrap/>
            <w:vAlign w:val="center"/>
            <w:hideMark/>
          </w:tcPr>
          <w:p w14:paraId="5AFFAEE9" w14:textId="77777777" w:rsidR="009342B5" w:rsidRPr="00922B1C" w:rsidRDefault="009342B5" w:rsidP="000D0430">
            <w:pPr>
              <w:pStyle w:val="TableText0"/>
              <w:keepNext/>
              <w:jc w:val="center"/>
              <w:rPr>
                <w:lang w:eastAsia="en-AU"/>
              </w:rPr>
            </w:pPr>
            <w:r w:rsidRPr="00922B1C">
              <w:rPr>
                <w:lang w:eastAsia="en-AU"/>
              </w:rPr>
              <w:t>300</w:t>
            </w:r>
          </w:p>
        </w:tc>
      </w:tr>
      <w:tr w:rsidR="009342B5" w:rsidRPr="00A010BD" w14:paraId="4DFD383C"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BD28CB2" w14:textId="77777777" w:rsidR="009342B5" w:rsidRPr="00922B1C" w:rsidRDefault="009342B5" w:rsidP="000D0430">
            <w:pPr>
              <w:pStyle w:val="TableText0"/>
              <w:keepNext/>
              <w:rPr>
                <w:lang w:eastAsia="en-AU"/>
              </w:rPr>
            </w:pPr>
            <w:r w:rsidRPr="00922B1C">
              <w:rPr>
                <w:lang w:eastAsia="en-AU"/>
              </w:rPr>
              <w:t>Prostate and male genital</w:t>
            </w:r>
          </w:p>
        </w:tc>
        <w:tc>
          <w:tcPr>
            <w:tcW w:w="992" w:type="dxa"/>
            <w:tcBorders>
              <w:top w:val="nil"/>
              <w:left w:val="nil"/>
              <w:bottom w:val="single" w:sz="4" w:space="0" w:color="auto"/>
              <w:right w:val="single" w:sz="4" w:space="0" w:color="auto"/>
            </w:tcBorders>
            <w:shd w:val="clear" w:color="auto" w:fill="auto"/>
            <w:noWrap/>
            <w:vAlign w:val="center"/>
            <w:hideMark/>
          </w:tcPr>
          <w:p w14:paraId="776C3C10" w14:textId="77777777" w:rsidR="009342B5" w:rsidRPr="00922B1C" w:rsidRDefault="009342B5" w:rsidP="000D0430">
            <w:pPr>
              <w:pStyle w:val="TableText0"/>
              <w:keepNext/>
              <w:jc w:val="center"/>
              <w:rPr>
                <w:lang w:eastAsia="en-AU"/>
              </w:rPr>
            </w:pPr>
            <w:r w:rsidRPr="00922B1C">
              <w:rPr>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14:paraId="0E4922E2" w14:textId="77777777" w:rsidR="009342B5" w:rsidRPr="00922B1C" w:rsidRDefault="009342B5" w:rsidP="000D0430">
            <w:pPr>
              <w:pStyle w:val="TableText0"/>
              <w:keepNext/>
              <w:jc w:val="center"/>
              <w:rPr>
                <w:lang w:eastAsia="en-AU"/>
              </w:rPr>
            </w:pPr>
            <w:r w:rsidRPr="00922B1C">
              <w:rPr>
                <w:lang w:eastAsia="en-AU"/>
              </w:rPr>
              <w:t>0.1 (0, 0.2)</w:t>
            </w:r>
          </w:p>
        </w:tc>
        <w:tc>
          <w:tcPr>
            <w:tcW w:w="992" w:type="dxa"/>
            <w:tcBorders>
              <w:top w:val="nil"/>
              <w:left w:val="nil"/>
              <w:bottom w:val="single" w:sz="4" w:space="0" w:color="auto"/>
              <w:right w:val="single" w:sz="4" w:space="0" w:color="auto"/>
            </w:tcBorders>
            <w:shd w:val="clear" w:color="auto" w:fill="auto"/>
            <w:noWrap/>
            <w:vAlign w:val="center"/>
            <w:hideMark/>
          </w:tcPr>
          <w:p w14:paraId="26CBEF53" w14:textId="77777777" w:rsidR="009342B5" w:rsidRPr="00922B1C" w:rsidRDefault="009342B5" w:rsidP="000D0430">
            <w:pPr>
              <w:pStyle w:val="TableText0"/>
              <w:keepNext/>
              <w:jc w:val="center"/>
              <w:rPr>
                <w:lang w:eastAsia="en-AU"/>
              </w:rPr>
            </w:pPr>
            <w:r w:rsidRPr="00922B1C">
              <w:rPr>
                <w:lang w:eastAsia="en-AU"/>
              </w:rPr>
              <w:t>16</w:t>
            </w:r>
          </w:p>
        </w:tc>
        <w:tc>
          <w:tcPr>
            <w:tcW w:w="1276" w:type="dxa"/>
            <w:tcBorders>
              <w:top w:val="nil"/>
              <w:left w:val="nil"/>
              <w:bottom w:val="single" w:sz="4" w:space="0" w:color="auto"/>
              <w:right w:val="single" w:sz="4" w:space="0" w:color="auto"/>
            </w:tcBorders>
            <w:shd w:val="clear" w:color="auto" w:fill="auto"/>
            <w:noWrap/>
            <w:vAlign w:val="center"/>
            <w:hideMark/>
          </w:tcPr>
          <w:p w14:paraId="78A917F8" w14:textId="77777777" w:rsidR="009342B5" w:rsidRPr="00922B1C" w:rsidRDefault="009342B5" w:rsidP="000D0430">
            <w:pPr>
              <w:pStyle w:val="TableText0"/>
              <w:keepNext/>
              <w:jc w:val="center"/>
              <w:rPr>
                <w:lang w:eastAsia="en-AU"/>
              </w:rPr>
            </w:pPr>
            <w:r w:rsidRPr="00922B1C">
              <w:rPr>
                <w:lang w:eastAsia="en-AU"/>
              </w:rPr>
              <w:t>0.1 (0, 0.1)</w:t>
            </w:r>
          </w:p>
        </w:tc>
        <w:tc>
          <w:tcPr>
            <w:tcW w:w="992" w:type="dxa"/>
            <w:tcBorders>
              <w:top w:val="nil"/>
              <w:left w:val="nil"/>
              <w:bottom w:val="single" w:sz="4" w:space="0" w:color="auto"/>
              <w:right w:val="single" w:sz="4" w:space="0" w:color="auto"/>
            </w:tcBorders>
            <w:shd w:val="clear" w:color="auto" w:fill="auto"/>
            <w:noWrap/>
            <w:vAlign w:val="center"/>
            <w:hideMark/>
          </w:tcPr>
          <w:p w14:paraId="0A09769D" w14:textId="77777777" w:rsidR="009342B5" w:rsidRPr="00922B1C" w:rsidRDefault="009342B5" w:rsidP="000D0430">
            <w:pPr>
              <w:pStyle w:val="TableText0"/>
              <w:keepNext/>
              <w:jc w:val="center"/>
              <w:rPr>
                <w:lang w:eastAsia="en-AU"/>
              </w:rPr>
            </w:pPr>
            <w:r w:rsidRPr="00922B1C">
              <w:rPr>
                <w:lang w:eastAsia="en-AU"/>
              </w:rPr>
              <w:t>52</w:t>
            </w:r>
          </w:p>
        </w:tc>
        <w:tc>
          <w:tcPr>
            <w:tcW w:w="1276" w:type="dxa"/>
            <w:tcBorders>
              <w:top w:val="nil"/>
              <w:left w:val="nil"/>
              <w:bottom w:val="single" w:sz="4" w:space="0" w:color="auto"/>
              <w:right w:val="single" w:sz="4" w:space="0" w:color="auto"/>
            </w:tcBorders>
            <w:shd w:val="clear" w:color="auto" w:fill="auto"/>
            <w:noWrap/>
            <w:vAlign w:val="center"/>
            <w:hideMark/>
          </w:tcPr>
          <w:p w14:paraId="28181FB5" w14:textId="77777777" w:rsidR="009342B5" w:rsidRPr="00922B1C" w:rsidRDefault="009342B5" w:rsidP="000D0430">
            <w:pPr>
              <w:pStyle w:val="TableText0"/>
              <w:keepNext/>
              <w:jc w:val="center"/>
              <w:rPr>
                <w:lang w:eastAsia="en-AU"/>
              </w:rPr>
            </w:pPr>
            <w:r w:rsidRPr="00922B1C">
              <w:rPr>
                <w:lang w:eastAsia="en-AU"/>
              </w:rPr>
              <w:t>0.1 (0.1, 0.1)</w:t>
            </w:r>
          </w:p>
        </w:tc>
        <w:tc>
          <w:tcPr>
            <w:tcW w:w="850" w:type="dxa"/>
            <w:tcBorders>
              <w:top w:val="nil"/>
              <w:left w:val="nil"/>
              <w:bottom w:val="single" w:sz="4" w:space="0" w:color="auto"/>
              <w:right w:val="single" w:sz="4" w:space="0" w:color="auto"/>
            </w:tcBorders>
            <w:shd w:val="clear" w:color="auto" w:fill="auto"/>
            <w:noWrap/>
            <w:vAlign w:val="center"/>
            <w:hideMark/>
          </w:tcPr>
          <w:p w14:paraId="40851ED9" w14:textId="77777777" w:rsidR="009342B5" w:rsidRPr="00922B1C" w:rsidRDefault="009342B5" w:rsidP="000D0430">
            <w:pPr>
              <w:pStyle w:val="TableText0"/>
              <w:keepNext/>
              <w:jc w:val="center"/>
              <w:rPr>
                <w:lang w:eastAsia="en-AU"/>
              </w:rPr>
            </w:pPr>
            <w:r w:rsidRPr="00922B1C">
              <w:rPr>
                <w:lang w:eastAsia="en-AU"/>
              </w:rPr>
              <w:t>100</w:t>
            </w:r>
          </w:p>
        </w:tc>
      </w:tr>
      <w:tr w:rsidR="009342B5" w:rsidRPr="00A010BD" w14:paraId="11B5AF82"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66321A1" w14:textId="77777777" w:rsidR="009342B5" w:rsidRPr="00922B1C" w:rsidRDefault="009342B5" w:rsidP="000D0430">
            <w:pPr>
              <w:pStyle w:val="TableText0"/>
              <w:keepNext/>
              <w:rPr>
                <w:lang w:eastAsia="en-AU"/>
              </w:rPr>
            </w:pPr>
            <w:r w:rsidRPr="00922B1C">
              <w:rPr>
                <w:lang w:eastAsia="en-AU"/>
              </w:rPr>
              <w:t>Urinary tract</w:t>
            </w:r>
          </w:p>
        </w:tc>
        <w:tc>
          <w:tcPr>
            <w:tcW w:w="992" w:type="dxa"/>
            <w:tcBorders>
              <w:top w:val="nil"/>
              <w:left w:val="nil"/>
              <w:bottom w:val="single" w:sz="4" w:space="0" w:color="auto"/>
              <w:right w:val="single" w:sz="4" w:space="0" w:color="auto"/>
            </w:tcBorders>
            <w:shd w:val="clear" w:color="auto" w:fill="auto"/>
            <w:noWrap/>
            <w:vAlign w:val="center"/>
            <w:hideMark/>
          </w:tcPr>
          <w:p w14:paraId="240DCA13" w14:textId="77777777" w:rsidR="009342B5" w:rsidRPr="00922B1C" w:rsidRDefault="009342B5" w:rsidP="000D0430">
            <w:pPr>
              <w:pStyle w:val="TableText0"/>
              <w:keepNext/>
              <w:jc w:val="center"/>
              <w:rPr>
                <w:lang w:eastAsia="en-AU"/>
              </w:rPr>
            </w:pPr>
            <w:r w:rsidRPr="00922B1C">
              <w:rPr>
                <w:lang w:eastAsia="en-AU"/>
              </w:rPr>
              <w:t>10</w:t>
            </w:r>
          </w:p>
        </w:tc>
        <w:tc>
          <w:tcPr>
            <w:tcW w:w="1276" w:type="dxa"/>
            <w:tcBorders>
              <w:top w:val="nil"/>
              <w:left w:val="nil"/>
              <w:bottom w:val="single" w:sz="4" w:space="0" w:color="auto"/>
              <w:right w:val="single" w:sz="4" w:space="0" w:color="auto"/>
            </w:tcBorders>
            <w:shd w:val="clear" w:color="auto" w:fill="auto"/>
            <w:noWrap/>
            <w:vAlign w:val="center"/>
            <w:hideMark/>
          </w:tcPr>
          <w:p w14:paraId="400DF14D" w14:textId="77777777" w:rsidR="009342B5" w:rsidRPr="00922B1C" w:rsidRDefault="009342B5" w:rsidP="000D0430">
            <w:pPr>
              <w:pStyle w:val="TableText0"/>
              <w:keepNext/>
              <w:jc w:val="center"/>
              <w:rPr>
                <w:lang w:eastAsia="en-AU"/>
              </w:rPr>
            </w:pPr>
            <w:r w:rsidRPr="00922B1C">
              <w:rPr>
                <w:lang w:eastAsia="en-AU"/>
              </w:rPr>
              <w:t>0.1 (0, 0.1)</w:t>
            </w:r>
          </w:p>
        </w:tc>
        <w:tc>
          <w:tcPr>
            <w:tcW w:w="992" w:type="dxa"/>
            <w:tcBorders>
              <w:top w:val="nil"/>
              <w:left w:val="nil"/>
              <w:bottom w:val="single" w:sz="4" w:space="0" w:color="auto"/>
              <w:right w:val="single" w:sz="4" w:space="0" w:color="auto"/>
            </w:tcBorders>
            <w:shd w:val="clear" w:color="auto" w:fill="auto"/>
            <w:noWrap/>
            <w:vAlign w:val="center"/>
            <w:hideMark/>
          </w:tcPr>
          <w:p w14:paraId="71EEEBDD" w14:textId="77777777" w:rsidR="009342B5" w:rsidRPr="00922B1C" w:rsidRDefault="009342B5" w:rsidP="000D0430">
            <w:pPr>
              <w:pStyle w:val="TableText0"/>
              <w:keepNext/>
              <w:jc w:val="center"/>
              <w:rPr>
                <w:lang w:eastAsia="en-AU"/>
              </w:rPr>
            </w:pPr>
            <w:r w:rsidRPr="00922B1C">
              <w:rPr>
                <w:lang w:eastAsia="en-AU"/>
              </w:rPr>
              <w:t>16</w:t>
            </w:r>
          </w:p>
        </w:tc>
        <w:tc>
          <w:tcPr>
            <w:tcW w:w="1276" w:type="dxa"/>
            <w:tcBorders>
              <w:top w:val="nil"/>
              <w:left w:val="nil"/>
              <w:bottom w:val="single" w:sz="4" w:space="0" w:color="auto"/>
              <w:right w:val="single" w:sz="4" w:space="0" w:color="auto"/>
            </w:tcBorders>
            <w:shd w:val="clear" w:color="auto" w:fill="auto"/>
            <w:noWrap/>
            <w:vAlign w:val="center"/>
            <w:hideMark/>
          </w:tcPr>
          <w:p w14:paraId="75DB75C4" w14:textId="77777777" w:rsidR="009342B5" w:rsidRPr="00922B1C" w:rsidRDefault="009342B5" w:rsidP="000D0430">
            <w:pPr>
              <w:pStyle w:val="TableText0"/>
              <w:keepNext/>
              <w:jc w:val="center"/>
              <w:rPr>
                <w:lang w:eastAsia="en-AU"/>
              </w:rPr>
            </w:pPr>
            <w:r w:rsidRPr="00922B1C">
              <w:rPr>
                <w:lang w:eastAsia="en-AU"/>
              </w:rPr>
              <w:t>0.1 (0.1, 0.1)</w:t>
            </w:r>
          </w:p>
        </w:tc>
        <w:tc>
          <w:tcPr>
            <w:tcW w:w="992" w:type="dxa"/>
            <w:tcBorders>
              <w:top w:val="nil"/>
              <w:left w:val="nil"/>
              <w:bottom w:val="single" w:sz="4" w:space="0" w:color="auto"/>
              <w:right w:val="single" w:sz="4" w:space="0" w:color="auto"/>
            </w:tcBorders>
            <w:shd w:val="clear" w:color="auto" w:fill="auto"/>
            <w:noWrap/>
            <w:vAlign w:val="center"/>
            <w:hideMark/>
          </w:tcPr>
          <w:p w14:paraId="7F41E366" w14:textId="77777777" w:rsidR="009342B5" w:rsidRPr="00922B1C" w:rsidRDefault="009342B5" w:rsidP="000D0430">
            <w:pPr>
              <w:pStyle w:val="TableText0"/>
              <w:keepNext/>
              <w:jc w:val="center"/>
              <w:rPr>
                <w:lang w:eastAsia="en-AU"/>
              </w:rPr>
            </w:pPr>
            <w:r w:rsidRPr="00922B1C">
              <w:rPr>
                <w:lang w:eastAsia="en-AU"/>
              </w:rPr>
              <w:t>112</w:t>
            </w:r>
          </w:p>
        </w:tc>
        <w:tc>
          <w:tcPr>
            <w:tcW w:w="1276" w:type="dxa"/>
            <w:tcBorders>
              <w:top w:val="nil"/>
              <w:left w:val="nil"/>
              <w:bottom w:val="single" w:sz="4" w:space="0" w:color="auto"/>
              <w:right w:val="single" w:sz="4" w:space="0" w:color="auto"/>
            </w:tcBorders>
            <w:shd w:val="clear" w:color="auto" w:fill="auto"/>
            <w:noWrap/>
            <w:vAlign w:val="center"/>
            <w:hideMark/>
          </w:tcPr>
          <w:p w14:paraId="1DBDC25B" w14:textId="77777777" w:rsidR="009342B5" w:rsidRPr="00922B1C" w:rsidRDefault="009342B5" w:rsidP="000D0430">
            <w:pPr>
              <w:pStyle w:val="TableText0"/>
              <w:keepNext/>
              <w:jc w:val="center"/>
              <w:rPr>
                <w:lang w:eastAsia="en-AU"/>
              </w:rPr>
            </w:pPr>
            <w:r w:rsidRPr="00922B1C">
              <w:rPr>
                <w:lang w:eastAsia="en-AU"/>
              </w:rPr>
              <w:t>0.2 (0.2, 0.2)</w:t>
            </w:r>
          </w:p>
        </w:tc>
        <w:tc>
          <w:tcPr>
            <w:tcW w:w="850" w:type="dxa"/>
            <w:tcBorders>
              <w:top w:val="nil"/>
              <w:left w:val="nil"/>
              <w:bottom w:val="single" w:sz="4" w:space="0" w:color="auto"/>
              <w:right w:val="single" w:sz="4" w:space="0" w:color="auto"/>
            </w:tcBorders>
            <w:shd w:val="clear" w:color="auto" w:fill="auto"/>
            <w:noWrap/>
            <w:vAlign w:val="center"/>
            <w:hideMark/>
          </w:tcPr>
          <w:p w14:paraId="13D5F21B" w14:textId="77777777" w:rsidR="009342B5" w:rsidRPr="00922B1C" w:rsidRDefault="009342B5" w:rsidP="000D0430">
            <w:pPr>
              <w:pStyle w:val="TableText0"/>
              <w:keepNext/>
              <w:jc w:val="center"/>
              <w:rPr>
                <w:lang w:eastAsia="en-AU"/>
              </w:rPr>
            </w:pPr>
            <w:r w:rsidRPr="00922B1C">
              <w:rPr>
                <w:lang w:eastAsia="en-AU"/>
              </w:rPr>
              <w:t>200</w:t>
            </w:r>
          </w:p>
        </w:tc>
      </w:tr>
      <w:tr w:rsidR="009342B5" w:rsidRPr="00A010BD" w14:paraId="211DDD22"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21ABC76" w14:textId="77777777" w:rsidR="009342B5" w:rsidRPr="00922B1C" w:rsidRDefault="009342B5" w:rsidP="000D0430">
            <w:pPr>
              <w:pStyle w:val="TableText0"/>
              <w:keepNext/>
              <w:rPr>
                <w:lang w:eastAsia="en-AU"/>
              </w:rPr>
            </w:pPr>
            <w:r w:rsidRPr="00922B1C">
              <w:rPr>
                <w:lang w:eastAsia="en-AU"/>
              </w:rPr>
              <w:t>Other sites</w:t>
            </w:r>
          </w:p>
        </w:tc>
        <w:tc>
          <w:tcPr>
            <w:tcW w:w="992" w:type="dxa"/>
            <w:tcBorders>
              <w:top w:val="nil"/>
              <w:left w:val="nil"/>
              <w:bottom w:val="single" w:sz="4" w:space="0" w:color="auto"/>
              <w:right w:val="single" w:sz="4" w:space="0" w:color="auto"/>
            </w:tcBorders>
            <w:shd w:val="clear" w:color="auto" w:fill="auto"/>
            <w:noWrap/>
            <w:vAlign w:val="center"/>
            <w:hideMark/>
          </w:tcPr>
          <w:p w14:paraId="56BCB11D" w14:textId="77777777" w:rsidR="009342B5" w:rsidRPr="00922B1C" w:rsidRDefault="009342B5" w:rsidP="000D0430">
            <w:pPr>
              <w:pStyle w:val="TableText0"/>
              <w:keepNext/>
              <w:jc w:val="center"/>
              <w:rPr>
                <w:lang w:eastAsia="en-AU"/>
              </w:rPr>
            </w:pPr>
            <w:r w:rsidRPr="00922B1C">
              <w:rPr>
                <w:lang w:eastAsia="en-AU"/>
              </w:rPr>
              <w:t>25</w:t>
            </w:r>
          </w:p>
        </w:tc>
        <w:tc>
          <w:tcPr>
            <w:tcW w:w="1276" w:type="dxa"/>
            <w:tcBorders>
              <w:top w:val="nil"/>
              <w:left w:val="nil"/>
              <w:bottom w:val="single" w:sz="4" w:space="0" w:color="auto"/>
              <w:right w:val="single" w:sz="4" w:space="0" w:color="auto"/>
            </w:tcBorders>
            <w:shd w:val="clear" w:color="auto" w:fill="auto"/>
            <w:noWrap/>
            <w:vAlign w:val="center"/>
            <w:hideMark/>
          </w:tcPr>
          <w:p w14:paraId="1FE392DC" w14:textId="77777777" w:rsidR="009342B5" w:rsidRPr="00922B1C" w:rsidRDefault="009342B5" w:rsidP="000D0430">
            <w:pPr>
              <w:pStyle w:val="TableText0"/>
              <w:keepNext/>
              <w:jc w:val="center"/>
              <w:rPr>
                <w:lang w:eastAsia="en-AU"/>
              </w:rPr>
            </w:pPr>
            <w:r w:rsidRPr="00922B1C">
              <w:rPr>
                <w:lang w:eastAsia="en-AU"/>
              </w:rPr>
              <w:t>0.1 (0.1, 0.2)</w:t>
            </w:r>
          </w:p>
        </w:tc>
        <w:tc>
          <w:tcPr>
            <w:tcW w:w="992" w:type="dxa"/>
            <w:tcBorders>
              <w:top w:val="nil"/>
              <w:left w:val="nil"/>
              <w:bottom w:val="single" w:sz="4" w:space="0" w:color="auto"/>
              <w:right w:val="single" w:sz="4" w:space="0" w:color="auto"/>
            </w:tcBorders>
            <w:shd w:val="clear" w:color="auto" w:fill="auto"/>
            <w:noWrap/>
            <w:vAlign w:val="center"/>
            <w:hideMark/>
          </w:tcPr>
          <w:p w14:paraId="7885CCEC" w14:textId="77777777" w:rsidR="009342B5" w:rsidRPr="00922B1C" w:rsidRDefault="009342B5" w:rsidP="000D0430">
            <w:pPr>
              <w:pStyle w:val="TableText0"/>
              <w:keepNext/>
              <w:jc w:val="center"/>
              <w:rPr>
                <w:lang w:eastAsia="en-AU"/>
              </w:rPr>
            </w:pPr>
            <w:r w:rsidRPr="00922B1C">
              <w:rPr>
                <w:lang w:eastAsia="en-AU"/>
              </w:rPr>
              <w:t>49</w:t>
            </w:r>
          </w:p>
        </w:tc>
        <w:tc>
          <w:tcPr>
            <w:tcW w:w="1276" w:type="dxa"/>
            <w:tcBorders>
              <w:top w:val="nil"/>
              <w:left w:val="nil"/>
              <w:bottom w:val="single" w:sz="4" w:space="0" w:color="auto"/>
              <w:right w:val="single" w:sz="4" w:space="0" w:color="auto"/>
            </w:tcBorders>
            <w:shd w:val="clear" w:color="auto" w:fill="auto"/>
            <w:noWrap/>
            <w:vAlign w:val="center"/>
            <w:hideMark/>
          </w:tcPr>
          <w:p w14:paraId="4013731E" w14:textId="77777777" w:rsidR="009342B5" w:rsidRPr="00922B1C" w:rsidRDefault="009342B5" w:rsidP="000D0430">
            <w:pPr>
              <w:pStyle w:val="TableText0"/>
              <w:keepNext/>
              <w:jc w:val="center"/>
              <w:rPr>
                <w:lang w:eastAsia="en-AU"/>
              </w:rPr>
            </w:pPr>
            <w:r w:rsidRPr="00922B1C">
              <w:rPr>
                <w:lang w:eastAsia="en-AU"/>
              </w:rPr>
              <w:t>0.1 (0.1, 0.2)</w:t>
            </w:r>
          </w:p>
        </w:tc>
        <w:tc>
          <w:tcPr>
            <w:tcW w:w="992" w:type="dxa"/>
            <w:tcBorders>
              <w:top w:val="nil"/>
              <w:left w:val="nil"/>
              <w:bottom w:val="single" w:sz="4" w:space="0" w:color="auto"/>
              <w:right w:val="single" w:sz="4" w:space="0" w:color="auto"/>
            </w:tcBorders>
            <w:shd w:val="clear" w:color="auto" w:fill="auto"/>
            <w:noWrap/>
            <w:vAlign w:val="center"/>
            <w:hideMark/>
          </w:tcPr>
          <w:p w14:paraId="453429A1" w14:textId="77777777" w:rsidR="009342B5" w:rsidRPr="00922B1C" w:rsidRDefault="009342B5" w:rsidP="000D0430">
            <w:pPr>
              <w:pStyle w:val="TableText0"/>
              <w:keepNext/>
              <w:jc w:val="center"/>
              <w:rPr>
                <w:lang w:eastAsia="en-AU"/>
              </w:rPr>
            </w:pPr>
            <w:r w:rsidRPr="00922B1C">
              <w:rPr>
                <w:lang w:eastAsia="en-AU"/>
              </w:rPr>
              <w:t>86</w:t>
            </w:r>
          </w:p>
        </w:tc>
        <w:tc>
          <w:tcPr>
            <w:tcW w:w="1276" w:type="dxa"/>
            <w:tcBorders>
              <w:top w:val="nil"/>
              <w:left w:val="nil"/>
              <w:bottom w:val="single" w:sz="4" w:space="0" w:color="auto"/>
              <w:right w:val="single" w:sz="4" w:space="0" w:color="auto"/>
            </w:tcBorders>
            <w:shd w:val="clear" w:color="auto" w:fill="auto"/>
            <w:noWrap/>
            <w:vAlign w:val="center"/>
            <w:hideMark/>
          </w:tcPr>
          <w:p w14:paraId="7D2DD642" w14:textId="77777777" w:rsidR="009342B5" w:rsidRPr="00922B1C" w:rsidRDefault="009342B5" w:rsidP="000D0430">
            <w:pPr>
              <w:pStyle w:val="TableText0"/>
              <w:keepNext/>
              <w:jc w:val="center"/>
              <w:rPr>
                <w:lang w:eastAsia="en-AU"/>
              </w:rPr>
            </w:pPr>
            <w:r w:rsidRPr="00922B1C">
              <w:rPr>
                <w:lang w:eastAsia="en-AU"/>
              </w:rPr>
              <w:t>0.2 (0.1, 0.2)</w:t>
            </w:r>
          </w:p>
        </w:tc>
        <w:tc>
          <w:tcPr>
            <w:tcW w:w="850" w:type="dxa"/>
            <w:tcBorders>
              <w:top w:val="nil"/>
              <w:left w:val="nil"/>
              <w:bottom w:val="single" w:sz="4" w:space="0" w:color="auto"/>
              <w:right w:val="single" w:sz="4" w:space="0" w:color="auto"/>
            </w:tcBorders>
            <w:shd w:val="clear" w:color="auto" w:fill="auto"/>
            <w:noWrap/>
            <w:vAlign w:val="center"/>
            <w:hideMark/>
          </w:tcPr>
          <w:p w14:paraId="62819AD6" w14:textId="77777777" w:rsidR="009342B5" w:rsidRPr="00922B1C" w:rsidRDefault="009342B5" w:rsidP="000D0430">
            <w:pPr>
              <w:pStyle w:val="TableText0"/>
              <w:keepNext/>
              <w:jc w:val="center"/>
              <w:rPr>
                <w:lang w:eastAsia="en-AU"/>
              </w:rPr>
            </w:pPr>
            <w:r w:rsidRPr="00922B1C">
              <w:rPr>
                <w:lang w:eastAsia="en-AU"/>
              </w:rPr>
              <w:t>200</w:t>
            </w:r>
          </w:p>
        </w:tc>
      </w:tr>
      <w:tr w:rsidR="009342B5" w:rsidRPr="00A010BD" w14:paraId="20443394"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1B92F94" w14:textId="77777777" w:rsidR="009342B5" w:rsidRPr="00922B1C" w:rsidRDefault="009342B5" w:rsidP="000D0430">
            <w:pPr>
              <w:pStyle w:val="TableText0"/>
              <w:keepNext/>
              <w:rPr>
                <w:lang w:eastAsia="en-AU"/>
              </w:rPr>
            </w:pPr>
            <w:r w:rsidRPr="00922B1C">
              <w:rPr>
                <w:lang w:eastAsia="en-AU"/>
              </w:rPr>
              <w:t>Unknown site</w:t>
            </w:r>
          </w:p>
        </w:tc>
        <w:tc>
          <w:tcPr>
            <w:tcW w:w="992" w:type="dxa"/>
            <w:tcBorders>
              <w:top w:val="nil"/>
              <w:left w:val="nil"/>
              <w:bottom w:val="single" w:sz="4" w:space="0" w:color="auto"/>
              <w:right w:val="single" w:sz="4" w:space="0" w:color="auto"/>
            </w:tcBorders>
            <w:shd w:val="clear" w:color="auto" w:fill="auto"/>
            <w:noWrap/>
            <w:vAlign w:val="center"/>
            <w:hideMark/>
          </w:tcPr>
          <w:p w14:paraId="08630C86" w14:textId="77777777" w:rsidR="009342B5" w:rsidRPr="00922B1C" w:rsidRDefault="009342B5" w:rsidP="000D0430">
            <w:pPr>
              <w:pStyle w:val="TableText0"/>
              <w:keepNext/>
              <w:jc w:val="center"/>
              <w:rPr>
                <w:lang w:eastAsia="en-AU"/>
              </w:rPr>
            </w:pPr>
            <w:r w:rsidRPr="00922B1C">
              <w:rPr>
                <w:lang w:eastAsia="en-AU"/>
              </w:rPr>
              <w:t>99</w:t>
            </w:r>
          </w:p>
        </w:tc>
        <w:tc>
          <w:tcPr>
            <w:tcW w:w="1276" w:type="dxa"/>
            <w:tcBorders>
              <w:top w:val="nil"/>
              <w:left w:val="nil"/>
              <w:bottom w:val="single" w:sz="4" w:space="0" w:color="auto"/>
              <w:right w:val="single" w:sz="4" w:space="0" w:color="auto"/>
            </w:tcBorders>
            <w:shd w:val="clear" w:color="auto" w:fill="auto"/>
            <w:noWrap/>
            <w:vAlign w:val="center"/>
            <w:hideMark/>
          </w:tcPr>
          <w:p w14:paraId="5AE4164B" w14:textId="77777777" w:rsidR="009342B5" w:rsidRPr="00922B1C" w:rsidRDefault="009342B5" w:rsidP="000D0430">
            <w:pPr>
              <w:pStyle w:val="TableText0"/>
              <w:keepNext/>
              <w:jc w:val="center"/>
              <w:rPr>
                <w:lang w:eastAsia="en-AU"/>
              </w:rPr>
            </w:pPr>
            <w:r w:rsidRPr="00922B1C">
              <w:rPr>
                <w:lang w:eastAsia="en-AU"/>
              </w:rPr>
              <w:t>0.5 (0.4, 0.6)</w:t>
            </w:r>
          </w:p>
        </w:tc>
        <w:tc>
          <w:tcPr>
            <w:tcW w:w="992" w:type="dxa"/>
            <w:tcBorders>
              <w:top w:val="nil"/>
              <w:left w:val="nil"/>
              <w:bottom w:val="single" w:sz="4" w:space="0" w:color="auto"/>
              <w:right w:val="single" w:sz="4" w:space="0" w:color="auto"/>
            </w:tcBorders>
            <w:shd w:val="clear" w:color="auto" w:fill="auto"/>
            <w:noWrap/>
            <w:vAlign w:val="center"/>
            <w:hideMark/>
          </w:tcPr>
          <w:p w14:paraId="7B381C20" w14:textId="77777777" w:rsidR="009342B5" w:rsidRPr="00922B1C" w:rsidRDefault="009342B5" w:rsidP="000D0430">
            <w:pPr>
              <w:pStyle w:val="TableText0"/>
              <w:keepNext/>
              <w:jc w:val="center"/>
              <w:rPr>
                <w:lang w:eastAsia="en-AU"/>
              </w:rPr>
            </w:pPr>
            <w:r w:rsidRPr="00922B1C">
              <w:rPr>
                <w:lang w:eastAsia="en-AU"/>
              </w:rPr>
              <w:t>268</w:t>
            </w:r>
          </w:p>
        </w:tc>
        <w:tc>
          <w:tcPr>
            <w:tcW w:w="1276" w:type="dxa"/>
            <w:tcBorders>
              <w:top w:val="nil"/>
              <w:left w:val="nil"/>
              <w:bottom w:val="single" w:sz="4" w:space="0" w:color="auto"/>
              <w:right w:val="single" w:sz="4" w:space="0" w:color="auto"/>
            </w:tcBorders>
            <w:shd w:val="clear" w:color="auto" w:fill="auto"/>
            <w:noWrap/>
            <w:vAlign w:val="center"/>
            <w:hideMark/>
          </w:tcPr>
          <w:p w14:paraId="329BF282" w14:textId="77777777" w:rsidR="009342B5" w:rsidRPr="00922B1C" w:rsidRDefault="009342B5" w:rsidP="000D0430">
            <w:pPr>
              <w:pStyle w:val="TableText0"/>
              <w:keepNext/>
              <w:jc w:val="center"/>
              <w:rPr>
                <w:lang w:eastAsia="en-AU"/>
              </w:rPr>
            </w:pPr>
            <w:r w:rsidRPr="00922B1C">
              <w:rPr>
                <w:lang w:eastAsia="en-AU"/>
              </w:rPr>
              <w:t>0.8 (0.7, 0.9)</w:t>
            </w:r>
          </w:p>
        </w:tc>
        <w:tc>
          <w:tcPr>
            <w:tcW w:w="992" w:type="dxa"/>
            <w:tcBorders>
              <w:top w:val="nil"/>
              <w:left w:val="nil"/>
              <w:bottom w:val="single" w:sz="4" w:space="0" w:color="auto"/>
              <w:right w:val="single" w:sz="4" w:space="0" w:color="auto"/>
            </w:tcBorders>
            <w:shd w:val="clear" w:color="auto" w:fill="auto"/>
            <w:noWrap/>
            <w:vAlign w:val="center"/>
            <w:hideMark/>
          </w:tcPr>
          <w:p w14:paraId="23B33ADF" w14:textId="77777777" w:rsidR="009342B5" w:rsidRPr="00922B1C" w:rsidRDefault="009342B5" w:rsidP="000D0430">
            <w:pPr>
              <w:pStyle w:val="TableText0"/>
              <w:keepNext/>
              <w:jc w:val="center"/>
              <w:rPr>
                <w:lang w:eastAsia="en-AU"/>
              </w:rPr>
            </w:pPr>
            <w:r w:rsidRPr="00922B1C">
              <w:rPr>
                <w:lang w:eastAsia="en-AU"/>
              </w:rPr>
              <w:t>509</w:t>
            </w:r>
          </w:p>
        </w:tc>
        <w:tc>
          <w:tcPr>
            <w:tcW w:w="1276" w:type="dxa"/>
            <w:tcBorders>
              <w:top w:val="nil"/>
              <w:left w:val="nil"/>
              <w:bottom w:val="single" w:sz="4" w:space="0" w:color="auto"/>
              <w:right w:val="single" w:sz="4" w:space="0" w:color="auto"/>
            </w:tcBorders>
            <w:shd w:val="clear" w:color="auto" w:fill="auto"/>
            <w:noWrap/>
            <w:vAlign w:val="center"/>
            <w:hideMark/>
          </w:tcPr>
          <w:p w14:paraId="2DE64817" w14:textId="77777777" w:rsidR="009342B5" w:rsidRPr="00922B1C" w:rsidRDefault="009342B5" w:rsidP="000D0430">
            <w:pPr>
              <w:pStyle w:val="TableText0"/>
              <w:keepNext/>
              <w:jc w:val="center"/>
              <w:rPr>
                <w:lang w:eastAsia="en-AU"/>
              </w:rPr>
            </w:pPr>
            <w:r w:rsidRPr="00922B1C">
              <w:rPr>
                <w:lang w:eastAsia="en-AU"/>
              </w:rPr>
              <w:t>0.9 (0.8, 1)</w:t>
            </w:r>
          </w:p>
        </w:tc>
        <w:tc>
          <w:tcPr>
            <w:tcW w:w="850" w:type="dxa"/>
            <w:tcBorders>
              <w:top w:val="nil"/>
              <w:left w:val="nil"/>
              <w:bottom w:val="single" w:sz="4" w:space="0" w:color="auto"/>
              <w:right w:val="single" w:sz="4" w:space="0" w:color="auto"/>
            </w:tcBorders>
            <w:shd w:val="clear" w:color="auto" w:fill="auto"/>
            <w:noWrap/>
            <w:vAlign w:val="center"/>
            <w:hideMark/>
          </w:tcPr>
          <w:p w14:paraId="76687457" w14:textId="77777777" w:rsidR="009342B5" w:rsidRPr="00922B1C" w:rsidRDefault="009342B5" w:rsidP="000D0430">
            <w:pPr>
              <w:pStyle w:val="TableText0"/>
              <w:keepNext/>
              <w:jc w:val="center"/>
              <w:rPr>
                <w:lang w:eastAsia="en-AU"/>
              </w:rPr>
            </w:pPr>
            <w:r w:rsidRPr="00922B1C">
              <w:rPr>
                <w:lang w:eastAsia="en-AU"/>
              </w:rPr>
              <w:t>112</w:t>
            </w:r>
          </w:p>
        </w:tc>
      </w:tr>
      <w:tr w:rsidR="009342B5" w:rsidRPr="00A010BD" w14:paraId="64CD30FB" w14:textId="77777777" w:rsidTr="0035237C">
        <w:trPr>
          <w:trHeight w:val="170"/>
          <w:jc w:val="center"/>
        </w:trPr>
        <w:tc>
          <w:tcPr>
            <w:tcW w:w="9776" w:type="dxa"/>
            <w:gridSpan w:val="8"/>
            <w:tcBorders>
              <w:top w:val="nil"/>
              <w:left w:val="single" w:sz="4" w:space="0" w:color="auto"/>
              <w:bottom w:val="single" w:sz="4" w:space="0" w:color="auto"/>
              <w:right w:val="single" w:sz="4" w:space="0" w:color="auto"/>
            </w:tcBorders>
            <w:shd w:val="clear" w:color="auto" w:fill="auto"/>
            <w:noWrap/>
            <w:vAlign w:val="center"/>
            <w:hideMark/>
          </w:tcPr>
          <w:p w14:paraId="737B85E9" w14:textId="02C05FF6" w:rsidR="009342B5" w:rsidRPr="00922B1C" w:rsidRDefault="009342B5" w:rsidP="000D0430">
            <w:pPr>
              <w:pStyle w:val="TableText0"/>
              <w:keepNext/>
              <w:rPr>
                <w:b/>
                <w:bCs/>
                <w:lang w:eastAsia="en-AU"/>
              </w:rPr>
            </w:pPr>
            <w:r w:rsidRPr="00922B1C">
              <w:rPr>
                <w:b/>
                <w:bCs/>
                <w:lang w:eastAsia="en-AU"/>
              </w:rPr>
              <w:t>Primary tumour site and grade as per ICD-O-3</w:t>
            </w:r>
          </w:p>
        </w:tc>
      </w:tr>
      <w:tr w:rsidR="009342B5" w:rsidRPr="00A010BD" w14:paraId="3191A334"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EDCF868" w14:textId="77777777" w:rsidR="009342B5" w:rsidRPr="00922B1C" w:rsidRDefault="009342B5" w:rsidP="000D0430">
            <w:pPr>
              <w:pStyle w:val="TableText0"/>
              <w:keepNext/>
              <w:rPr>
                <w:lang w:eastAsia="en-AU"/>
              </w:rPr>
            </w:pPr>
            <w:r w:rsidRPr="00922B1C">
              <w:rPr>
                <w:lang w:eastAsia="en-AU"/>
              </w:rPr>
              <w:t>Colorectal G1</w:t>
            </w:r>
          </w:p>
        </w:tc>
        <w:tc>
          <w:tcPr>
            <w:tcW w:w="992" w:type="dxa"/>
            <w:tcBorders>
              <w:top w:val="nil"/>
              <w:left w:val="nil"/>
              <w:bottom w:val="single" w:sz="4" w:space="0" w:color="auto"/>
              <w:right w:val="single" w:sz="4" w:space="0" w:color="auto"/>
            </w:tcBorders>
            <w:shd w:val="clear" w:color="auto" w:fill="auto"/>
            <w:noWrap/>
            <w:vAlign w:val="center"/>
            <w:hideMark/>
          </w:tcPr>
          <w:p w14:paraId="6E3284D8" w14:textId="77777777" w:rsidR="009342B5" w:rsidRPr="00922B1C" w:rsidRDefault="009342B5" w:rsidP="000D0430">
            <w:pPr>
              <w:pStyle w:val="TableText0"/>
              <w:keepNext/>
              <w:jc w:val="center"/>
              <w:rPr>
                <w:lang w:eastAsia="en-AU"/>
              </w:rPr>
            </w:pPr>
            <w:r w:rsidRPr="00922B1C">
              <w:rPr>
                <w:lang w:eastAsia="en-AU"/>
              </w:rPr>
              <w:t>222</w:t>
            </w:r>
          </w:p>
        </w:tc>
        <w:tc>
          <w:tcPr>
            <w:tcW w:w="1276" w:type="dxa"/>
            <w:tcBorders>
              <w:top w:val="nil"/>
              <w:left w:val="nil"/>
              <w:bottom w:val="single" w:sz="4" w:space="0" w:color="auto"/>
              <w:right w:val="single" w:sz="4" w:space="0" w:color="auto"/>
            </w:tcBorders>
            <w:shd w:val="clear" w:color="auto" w:fill="auto"/>
            <w:noWrap/>
            <w:vAlign w:val="center"/>
            <w:hideMark/>
          </w:tcPr>
          <w:p w14:paraId="231F5539" w14:textId="77777777" w:rsidR="009342B5" w:rsidRPr="00922B1C" w:rsidRDefault="009342B5" w:rsidP="000D0430">
            <w:pPr>
              <w:pStyle w:val="TableText0"/>
              <w:keepNext/>
              <w:jc w:val="center"/>
              <w:rPr>
                <w:lang w:eastAsia="en-AU"/>
              </w:rPr>
            </w:pPr>
            <w:r w:rsidRPr="00922B1C">
              <w:rPr>
                <w:lang w:eastAsia="en-AU"/>
              </w:rPr>
              <w:t>1.2 (1, 1.3)</w:t>
            </w:r>
          </w:p>
        </w:tc>
        <w:tc>
          <w:tcPr>
            <w:tcW w:w="992" w:type="dxa"/>
            <w:tcBorders>
              <w:top w:val="nil"/>
              <w:left w:val="nil"/>
              <w:bottom w:val="single" w:sz="4" w:space="0" w:color="auto"/>
              <w:right w:val="single" w:sz="4" w:space="0" w:color="auto"/>
            </w:tcBorders>
            <w:shd w:val="clear" w:color="auto" w:fill="auto"/>
            <w:noWrap/>
            <w:vAlign w:val="center"/>
            <w:hideMark/>
          </w:tcPr>
          <w:p w14:paraId="04151DD7" w14:textId="77777777" w:rsidR="009342B5" w:rsidRPr="00922B1C" w:rsidRDefault="009342B5" w:rsidP="000D0430">
            <w:pPr>
              <w:pStyle w:val="TableText0"/>
              <w:keepNext/>
              <w:jc w:val="center"/>
              <w:rPr>
                <w:lang w:eastAsia="en-AU"/>
              </w:rPr>
            </w:pPr>
            <w:r w:rsidRPr="00922B1C">
              <w:rPr>
                <w:lang w:eastAsia="en-AU"/>
              </w:rPr>
              <w:t>324</w:t>
            </w:r>
          </w:p>
        </w:tc>
        <w:tc>
          <w:tcPr>
            <w:tcW w:w="1276" w:type="dxa"/>
            <w:tcBorders>
              <w:top w:val="nil"/>
              <w:left w:val="nil"/>
              <w:bottom w:val="single" w:sz="4" w:space="0" w:color="auto"/>
              <w:right w:val="single" w:sz="4" w:space="0" w:color="auto"/>
            </w:tcBorders>
            <w:shd w:val="clear" w:color="auto" w:fill="auto"/>
            <w:noWrap/>
            <w:vAlign w:val="center"/>
            <w:hideMark/>
          </w:tcPr>
          <w:p w14:paraId="39266213" w14:textId="77777777" w:rsidR="009342B5" w:rsidRPr="00922B1C" w:rsidRDefault="009342B5" w:rsidP="000D0430">
            <w:pPr>
              <w:pStyle w:val="TableText0"/>
              <w:keepNext/>
              <w:jc w:val="center"/>
              <w:rPr>
                <w:lang w:eastAsia="en-AU"/>
              </w:rPr>
            </w:pPr>
            <w:r w:rsidRPr="00922B1C">
              <w:rPr>
                <w:lang w:eastAsia="en-AU"/>
              </w:rPr>
              <w:t>1.3 (1.2, 1.4)</w:t>
            </w:r>
          </w:p>
        </w:tc>
        <w:tc>
          <w:tcPr>
            <w:tcW w:w="992" w:type="dxa"/>
            <w:tcBorders>
              <w:top w:val="nil"/>
              <w:left w:val="nil"/>
              <w:bottom w:val="single" w:sz="4" w:space="0" w:color="auto"/>
              <w:right w:val="single" w:sz="4" w:space="0" w:color="auto"/>
            </w:tcBorders>
            <w:shd w:val="clear" w:color="auto" w:fill="auto"/>
            <w:noWrap/>
            <w:vAlign w:val="center"/>
            <w:hideMark/>
          </w:tcPr>
          <w:p w14:paraId="108D49BF" w14:textId="77777777" w:rsidR="009342B5" w:rsidRPr="00922B1C" w:rsidRDefault="009342B5" w:rsidP="000D0430">
            <w:pPr>
              <w:pStyle w:val="TableText0"/>
              <w:keepNext/>
              <w:jc w:val="center"/>
              <w:rPr>
                <w:lang w:eastAsia="en-AU"/>
              </w:rPr>
            </w:pPr>
            <w:r w:rsidRPr="00922B1C">
              <w:rPr>
                <w:lang w:eastAsia="en-AU"/>
              </w:rPr>
              <w:t>1044</w:t>
            </w:r>
          </w:p>
        </w:tc>
        <w:tc>
          <w:tcPr>
            <w:tcW w:w="1276" w:type="dxa"/>
            <w:tcBorders>
              <w:top w:val="nil"/>
              <w:left w:val="nil"/>
              <w:bottom w:val="single" w:sz="4" w:space="0" w:color="auto"/>
              <w:right w:val="single" w:sz="4" w:space="0" w:color="auto"/>
            </w:tcBorders>
            <w:shd w:val="clear" w:color="auto" w:fill="auto"/>
            <w:noWrap/>
            <w:vAlign w:val="center"/>
            <w:hideMark/>
          </w:tcPr>
          <w:p w14:paraId="1752EBDF" w14:textId="77777777" w:rsidR="009342B5" w:rsidRPr="00922B1C" w:rsidRDefault="009342B5" w:rsidP="000D0430">
            <w:pPr>
              <w:pStyle w:val="TableText0"/>
              <w:keepNext/>
              <w:jc w:val="center"/>
              <w:rPr>
                <w:lang w:eastAsia="en-AU"/>
              </w:rPr>
            </w:pPr>
            <w:r w:rsidRPr="00922B1C">
              <w:rPr>
                <w:lang w:eastAsia="en-AU"/>
              </w:rPr>
              <w:t>2.9 (2.7, 3.1)</w:t>
            </w:r>
          </w:p>
        </w:tc>
        <w:tc>
          <w:tcPr>
            <w:tcW w:w="850" w:type="dxa"/>
            <w:tcBorders>
              <w:top w:val="nil"/>
              <w:left w:val="nil"/>
              <w:bottom w:val="single" w:sz="4" w:space="0" w:color="auto"/>
              <w:right w:val="single" w:sz="4" w:space="0" w:color="auto"/>
            </w:tcBorders>
            <w:shd w:val="clear" w:color="auto" w:fill="auto"/>
            <w:noWrap/>
            <w:vAlign w:val="center"/>
            <w:hideMark/>
          </w:tcPr>
          <w:p w14:paraId="632F886D" w14:textId="77777777" w:rsidR="009342B5" w:rsidRPr="00922B1C" w:rsidRDefault="009342B5" w:rsidP="000D0430">
            <w:pPr>
              <w:pStyle w:val="TableText0"/>
              <w:keepNext/>
              <w:jc w:val="center"/>
              <w:rPr>
                <w:lang w:eastAsia="en-AU"/>
              </w:rPr>
            </w:pPr>
            <w:r w:rsidRPr="00922B1C">
              <w:rPr>
                <w:lang w:eastAsia="en-AU"/>
              </w:rPr>
              <w:t>223</w:t>
            </w:r>
          </w:p>
        </w:tc>
      </w:tr>
      <w:tr w:rsidR="009342B5" w:rsidRPr="00A010BD" w14:paraId="344900C9"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B2EC10E" w14:textId="77777777" w:rsidR="009342B5" w:rsidRPr="00922B1C" w:rsidRDefault="009342B5" w:rsidP="000D0430">
            <w:pPr>
              <w:pStyle w:val="TableText0"/>
              <w:keepNext/>
              <w:rPr>
                <w:lang w:eastAsia="en-AU"/>
              </w:rPr>
            </w:pPr>
            <w:r w:rsidRPr="00922B1C">
              <w:rPr>
                <w:lang w:eastAsia="en-AU"/>
              </w:rPr>
              <w:t>Lung G1</w:t>
            </w:r>
          </w:p>
        </w:tc>
        <w:tc>
          <w:tcPr>
            <w:tcW w:w="992" w:type="dxa"/>
            <w:tcBorders>
              <w:top w:val="nil"/>
              <w:left w:val="nil"/>
              <w:bottom w:val="single" w:sz="4" w:space="0" w:color="auto"/>
              <w:right w:val="single" w:sz="4" w:space="0" w:color="auto"/>
            </w:tcBorders>
            <w:shd w:val="clear" w:color="auto" w:fill="auto"/>
            <w:noWrap/>
            <w:vAlign w:val="center"/>
            <w:hideMark/>
          </w:tcPr>
          <w:p w14:paraId="0BB114A6" w14:textId="77777777" w:rsidR="009342B5" w:rsidRPr="00922B1C" w:rsidRDefault="009342B5" w:rsidP="000D0430">
            <w:pPr>
              <w:pStyle w:val="TableText0"/>
              <w:keepNext/>
              <w:jc w:val="center"/>
              <w:rPr>
                <w:lang w:eastAsia="en-AU"/>
              </w:rPr>
            </w:pPr>
            <w:r w:rsidRPr="00922B1C">
              <w:rPr>
                <w:lang w:eastAsia="en-AU"/>
              </w:rPr>
              <w:t>78</w:t>
            </w:r>
          </w:p>
        </w:tc>
        <w:tc>
          <w:tcPr>
            <w:tcW w:w="1276" w:type="dxa"/>
            <w:tcBorders>
              <w:top w:val="nil"/>
              <w:left w:val="nil"/>
              <w:bottom w:val="single" w:sz="4" w:space="0" w:color="auto"/>
              <w:right w:val="single" w:sz="4" w:space="0" w:color="auto"/>
            </w:tcBorders>
            <w:shd w:val="clear" w:color="auto" w:fill="auto"/>
            <w:noWrap/>
            <w:vAlign w:val="center"/>
            <w:hideMark/>
          </w:tcPr>
          <w:p w14:paraId="2371E0A0" w14:textId="77777777" w:rsidR="009342B5" w:rsidRPr="00922B1C" w:rsidRDefault="009342B5" w:rsidP="000D0430">
            <w:pPr>
              <w:pStyle w:val="TableText0"/>
              <w:keepNext/>
              <w:jc w:val="center"/>
              <w:rPr>
                <w:lang w:eastAsia="en-AU"/>
              </w:rPr>
            </w:pPr>
            <w:r w:rsidRPr="00922B1C">
              <w:rPr>
                <w:lang w:eastAsia="en-AU"/>
              </w:rPr>
              <w:t>0.4 (0.3, 0.5)</w:t>
            </w:r>
          </w:p>
        </w:tc>
        <w:tc>
          <w:tcPr>
            <w:tcW w:w="992" w:type="dxa"/>
            <w:tcBorders>
              <w:top w:val="nil"/>
              <w:left w:val="nil"/>
              <w:bottom w:val="single" w:sz="4" w:space="0" w:color="auto"/>
              <w:right w:val="single" w:sz="4" w:space="0" w:color="auto"/>
            </w:tcBorders>
            <w:shd w:val="clear" w:color="auto" w:fill="auto"/>
            <w:noWrap/>
            <w:vAlign w:val="center"/>
            <w:hideMark/>
          </w:tcPr>
          <w:p w14:paraId="62C31611" w14:textId="77777777" w:rsidR="009342B5" w:rsidRPr="00922B1C" w:rsidRDefault="009342B5" w:rsidP="000D0430">
            <w:pPr>
              <w:pStyle w:val="TableText0"/>
              <w:keepNext/>
              <w:jc w:val="center"/>
              <w:rPr>
                <w:lang w:eastAsia="en-AU"/>
              </w:rPr>
            </w:pPr>
            <w:r w:rsidRPr="00922B1C">
              <w:rPr>
                <w:lang w:eastAsia="en-AU"/>
              </w:rPr>
              <w:t>184</w:t>
            </w:r>
          </w:p>
        </w:tc>
        <w:tc>
          <w:tcPr>
            <w:tcW w:w="1276" w:type="dxa"/>
            <w:tcBorders>
              <w:top w:val="nil"/>
              <w:left w:val="nil"/>
              <w:bottom w:val="single" w:sz="4" w:space="0" w:color="auto"/>
              <w:right w:val="single" w:sz="4" w:space="0" w:color="auto"/>
            </w:tcBorders>
            <w:shd w:val="clear" w:color="auto" w:fill="auto"/>
            <w:noWrap/>
            <w:vAlign w:val="center"/>
            <w:hideMark/>
          </w:tcPr>
          <w:p w14:paraId="71327000" w14:textId="77777777" w:rsidR="009342B5" w:rsidRPr="00922B1C" w:rsidRDefault="009342B5" w:rsidP="000D0430">
            <w:pPr>
              <w:pStyle w:val="TableText0"/>
              <w:keepNext/>
              <w:jc w:val="center"/>
              <w:rPr>
                <w:lang w:eastAsia="en-AU"/>
              </w:rPr>
            </w:pPr>
            <w:r w:rsidRPr="00922B1C">
              <w:rPr>
                <w:lang w:eastAsia="en-AU"/>
              </w:rPr>
              <w:t>0.7 (0.6, 0.8)</w:t>
            </w:r>
          </w:p>
        </w:tc>
        <w:tc>
          <w:tcPr>
            <w:tcW w:w="992" w:type="dxa"/>
            <w:tcBorders>
              <w:top w:val="nil"/>
              <w:left w:val="nil"/>
              <w:bottom w:val="single" w:sz="4" w:space="0" w:color="auto"/>
              <w:right w:val="single" w:sz="4" w:space="0" w:color="auto"/>
            </w:tcBorders>
            <w:shd w:val="clear" w:color="auto" w:fill="auto"/>
            <w:noWrap/>
            <w:vAlign w:val="center"/>
            <w:hideMark/>
          </w:tcPr>
          <w:p w14:paraId="36FFAA6F" w14:textId="77777777" w:rsidR="009342B5" w:rsidRPr="00922B1C" w:rsidRDefault="009342B5" w:rsidP="000D0430">
            <w:pPr>
              <w:pStyle w:val="TableText0"/>
              <w:keepNext/>
              <w:jc w:val="center"/>
              <w:rPr>
                <w:lang w:eastAsia="en-AU"/>
              </w:rPr>
            </w:pPr>
            <w:r w:rsidRPr="00922B1C">
              <w:rPr>
                <w:lang w:eastAsia="en-AU"/>
              </w:rPr>
              <w:t>467</w:t>
            </w:r>
          </w:p>
        </w:tc>
        <w:tc>
          <w:tcPr>
            <w:tcW w:w="1276" w:type="dxa"/>
            <w:tcBorders>
              <w:top w:val="nil"/>
              <w:left w:val="nil"/>
              <w:bottom w:val="single" w:sz="4" w:space="0" w:color="auto"/>
              <w:right w:val="single" w:sz="4" w:space="0" w:color="auto"/>
            </w:tcBorders>
            <w:shd w:val="clear" w:color="auto" w:fill="auto"/>
            <w:noWrap/>
            <w:vAlign w:val="center"/>
            <w:hideMark/>
          </w:tcPr>
          <w:p w14:paraId="093A36AD" w14:textId="77777777" w:rsidR="009342B5" w:rsidRPr="00922B1C" w:rsidRDefault="009342B5" w:rsidP="000D0430">
            <w:pPr>
              <w:pStyle w:val="TableText0"/>
              <w:keepNext/>
              <w:jc w:val="center"/>
              <w:rPr>
                <w:lang w:eastAsia="en-AU"/>
              </w:rPr>
            </w:pPr>
            <w:r w:rsidRPr="00922B1C">
              <w:rPr>
                <w:lang w:eastAsia="en-AU"/>
              </w:rPr>
              <w:t>1 (0.9, 1.1)</w:t>
            </w:r>
          </w:p>
        </w:tc>
        <w:tc>
          <w:tcPr>
            <w:tcW w:w="850" w:type="dxa"/>
            <w:tcBorders>
              <w:top w:val="nil"/>
              <w:left w:val="nil"/>
              <w:bottom w:val="single" w:sz="4" w:space="0" w:color="auto"/>
              <w:right w:val="single" w:sz="4" w:space="0" w:color="auto"/>
            </w:tcBorders>
            <w:shd w:val="clear" w:color="auto" w:fill="auto"/>
            <w:noWrap/>
            <w:vAlign w:val="center"/>
            <w:hideMark/>
          </w:tcPr>
          <w:p w14:paraId="19502FDD" w14:textId="77777777" w:rsidR="009342B5" w:rsidRPr="00922B1C" w:rsidRDefault="009342B5" w:rsidP="000D0430">
            <w:pPr>
              <w:pStyle w:val="TableText0"/>
              <w:keepNext/>
              <w:jc w:val="center"/>
              <w:rPr>
                <w:lang w:eastAsia="en-AU"/>
              </w:rPr>
            </w:pPr>
            <w:r w:rsidRPr="00922B1C">
              <w:rPr>
                <w:lang w:eastAsia="en-AU"/>
              </w:rPr>
              <w:t>143</w:t>
            </w:r>
          </w:p>
        </w:tc>
      </w:tr>
      <w:tr w:rsidR="009342B5" w:rsidRPr="00A010BD" w14:paraId="2F682A56"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FAFEE24" w14:textId="77777777" w:rsidR="009342B5" w:rsidRPr="00922B1C" w:rsidRDefault="009342B5" w:rsidP="000D0430">
            <w:pPr>
              <w:pStyle w:val="TableText0"/>
              <w:keepNext/>
              <w:rPr>
                <w:lang w:eastAsia="en-AU"/>
              </w:rPr>
            </w:pPr>
            <w:r w:rsidRPr="00922B1C">
              <w:rPr>
                <w:lang w:eastAsia="en-AU"/>
              </w:rPr>
              <w:t>Pancreas G1</w:t>
            </w:r>
          </w:p>
        </w:tc>
        <w:tc>
          <w:tcPr>
            <w:tcW w:w="992" w:type="dxa"/>
            <w:tcBorders>
              <w:top w:val="nil"/>
              <w:left w:val="nil"/>
              <w:bottom w:val="single" w:sz="4" w:space="0" w:color="auto"/>
              <w:right w:val="single" w:sz="4" w:space="0" w:color="auto"/>
            </w:tcBorders>
            <w:shd w:val="clear" w:color="auto" w:fill="auto"/>
            <w:noWrap/>
            <w:vAlign w:val="center"/>
            <w:hideMark/>
          </w:tcPr>
          <w:p w14:paraId="4B4FD416" w14:textId="77777777" w:rsidR="009342B5" w:rsidRPr="00922B1C" w:rsidRDefault="009342B5" w:rsidP="000D0430">
            <w:pPr>
              <w:pStyle w:val="TableText0"/>
              <w:keepNext/>
              <w:jc w:val="center"/>
              <w:rPr>
                <w:lang w:eastAsia="en-AU"/>
              </w:rPr>
            </w:pPr>
            <w:r w:rsidRPr="00922B1C">
              <w:rPr>
                <w:lang w:eastAsia="en-AU"/>
              </w:rPr>
              <w:t>4</w:t>
            </w:r>
          </w:p>
        </w:tc>
        <w:tc>
          <w:tcPr>
            <w:tcW w:w="1276" w:type="dxa"/>
            <w:tcBorders>
              <w:top w:val="nil"/>
              <w:left w:val="nil"/>
              <w:bottom w:val="single" w:sz="4" w:space="0" w:color="auto"/>
              <w:right w:val="single" w:sz="4" w:space="0" w:color="auto"/>
            </w:tcBorders>
            <w:shd w:val="clear" w:color="auto" w:fill="auto"/>
            <w:noWrap/>
            <w:vAlign w:val="center"/>
            <w:hideMark/>
          </w:tcPr>
          <w:p w14:paraId="50883751" w14:textId="77777777" w:rsidR="009342B5" w:rsidRPr="00922B1C" w:rsidRDefault="009342B5" w:rsidP="000D0430">
            <w:pPr>
              <w:pStyle w:val="TableText0"/>
              <w:keepNext/>
              <w:jc w:val="center"/>
              <w:rPr>
                <w:lang w:eastAsia="en-AU"/>
              </w:rPr>
            </w:pPr>
            <w:r w:rsidRPr="00922B1C">
              <w:rPr>
                <w:lang w:eastAsia="en-AU"/>
              </w:rPr>
              <w:t>0 (0, 0.1)</w:t>
            </w:r>
          </w:p>
        </w:tc>
        <w:tc>
          <w:tcPr>
            <w:tcW w:w="992" w:type="dxa"/>
            <w:tcBorders>
              <w:top w:val="nil"/>
              <w:left w:val="nil"/>
              <w:bottom w:val="single" w:sz="4" w:space="0" w:color="auto"/>
              <w:right w:val="single" w:sz="4" w:space="0" w:color="auto"/>
            </w:tcBorders>
            <w:shd w:val="clear" w:color="auto" w:fill="auto"/>
            <w:noWrap/>
            <w:vAlign w:val="center"/>
            <w:hideMark/>
          </w:tcPr>
          <w:p w14:paraId="14BF0AC6" w14:textId="77777777" w:rsidR="009342B5" w:rsidRPr="00922B1C" w:rsidRDefault="009342B5" w:rsidP="000D0430">
            <w:pPr>
              <w:pStyle w:val="TableText0"/>
              <w:keepNext/>
              <w:jc w:val="center"/>
              <w:rPr>
                <w:lang w:eastAsia="en-AU"/>
              </w:rPr>
            </w:pPr>
            <w:r w:rsidRPr="00922B1C">
              <w:rPr>
                <w:lang w:eastAsia="en-AU"/>
              </w:rPr>
              <w:t>8</w:t>
            </w:r>
          </w:p>
        </w:tc>
        <w:tc>
          <w:tcPr>
            <w:tcW w:w="1276" w:type="dxa"/>
            <w:tcBorders>
              <w:top w:val="nil"/>
              <w:left w:val="nil"/>
              <w:bottom w:val="single" w:sz="4" w:space="0" w:color="auto"/>
              <w:right w:val="single" w:sz="4" w:space="0" w:color="auto"/>
            </w:tcBorders>
            <w:shd w:val="clear" w:color="auto" w:fill="auto"/>
            <w:noWrap/>
            <w:vAlign w:val="center"/>
            <w:hideMark/>
          </w:tcPr>
          <w:p w14:paraId="000D1A70" w14:textId="77777777" w:rsidR="009342B5" w:rsidRPr="00922B1C" w:rsidRDefault="009342B5" w:rsidP="000D0430">
            <w:pPr>
              <w:pStyle w:val="TableText0"/>
              <w:keepNext/>
              <w:jc w:val="center"/>
              <w:rPr>
                <w:lang w:eastAsia="en-AU"/>
              </w:rPr>
            </w:pPr>
            <w:r w:rsidRPr="00922B1C">
              <w:rPr>
                <w:lang w:eastAsia="en-AU"/>
              </w:rPr>
              <w:t>0.1 (0, 0.1)</w:t>
            </w:r>
          </w:p>
        </w:tc>
        <w:tc>
          <w:tcPr>
            <w:tcW w:w="992" w:type="dxa"/>
            <w:tcBorders>
              <w:top w:val="nil"/>
              <w:left w:val="nil"/>
              <w:bottom w:val="single" w:sz="4" w:space="0" w:color="auto"/>
              <w:right w:val="single" w:sz="4" w:space="0" w:color="auto"/>
            </w:tcBorders>
            <w:shd w:val="clear" w:color="auto" w:fill="auto"/>
            <w:noWrap/>
            <w:vAlign w:val="center"/>
            <w:hideMark/>
          </w:tcPr>
          <w:p w14:paraId="11BBD943" w14:textId="77777777" w:rsidR="009342B5" w:rsidRPr="00922B1C" w:rsidRDefault="009342B5" w:rsidP="000D0430">
            <w:pPr>
              <w:pStyle w:val="TableText0"/>
              <w:keepNext/>
              <w:jc w:val="center"/>
              <w:rPr>
                <w:lang w:eastAsia="en-AU"/>
              </w:rPr>
            </w:pPr>
            <w:r w:rsidRPr="00922B1C">
              <w:rPr>
                <w:lang w:eastAsia="en-AU"/>
              </w:rPr>
              <w:t>259</w:t>
            </w:r>
          </w:p>
        </w:tc>
        <w:tc>
          <w:tcPr>
            <w:tcW w:w="1276" w:type="dxa"/>
            <w:tcBorders>
              <w:top w:val="nil"/>
              <w:left w:val="nil"/>
              <w:bottom w:val="single" w:sz="4" w:space="0" w:color="auto"/>
              <w:right w:val="single" w:sz="4" w:space="0" w:color="auto"/>
            </w:tcBorders>
            <w:shd w:val="clear" w:color="auto" w:fill="auto"/>
            <w:noWrap/>
            <w:vAlign w:val="center"/>
            <w:hideMark/>
          </w:tcPr>
          <w:p w14:paraId="6E8A9703" w14:textId="77777777" w:rsidR="009342B5" w:rsidRPr="00922B1C" w:rsidRDefault="009342B5" w:rsidP="000D0430">
            <w:pPr>
              <w:pStyle w:val="TableText0"/>
              <w:keepNext/>
              <w:jc w:val="center"/>
              <w:rPr>
                <w:lang w:eastAsia="en-AU"/>
              </w:rPr>
            </w:pPr>
            <w:r w:rsidRPr="00922B1C">
              <w:rPr>
                <w:lang w:eastAsia="en-AU"/>
              </w:rPr>
              <w:t>0.6 (0.5, 0.6)</w:t>
            </w:r>
          </w:p>
        </w:tc>
        <w:tc>
          <w:tcPr>
            <w:tcW w:w="850" w:type="dxa"/>
            <w:tcBorders>
              <w:top w:val="nil"/>
              <w:left w:val="nil"/>
              <w:bottom w:val="single" w:sz="4" w:space="0" w:color="auto"/>
              <w:right w:val="single" w:sz="4" w:space="0" w:color="auto"/>
            </w:tcBorders>
            <w:shd w:val="clear" w:color="auto" w:fill="auto"/>
            <w:noWrap/>
            <w:vAlign w:val="center"/>
            <w:hideMark/>
          </w:tcPr>
          <w:p w14:paraId="55D03403" w14:textId="77777777" w:rsidR="009342B5" w:rsidRPr="00922B1C" w:rsidRDefault="009342B5" w:rsidP="000D0430">
            <w:pPr>
              <w:pStyle w:val="TableText0"/>
              <w:keepNext/>
              <w:jc w:val="center"/>
              <w:rPr>
                <w:lang w:eastAsia="en-AU"/>
              </w:rPr>
            </w:pPr>
            <w:r w:rsidRPr="00922B1C">
              <w:rPr>
                <w:lang w:eastAsia="en-AU"/>
              </w:rPr>
              <w:t>600</w:t>
            </w:r>
          </w:p>
        </w:tc>
      </w:tr>
      <w:tr w:rsidR="009342B5" w:rsidRPr="00A010BD" w14:paraId="28373F0D"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A2CF783" w14:textId="77777777" w:rsidR="009342B5" w:rsidRPr="00922B1C" w:rsidRDefault="009342B5" w:rsidP="000D0430">
            <w:pPr>
              <w:pStyle w:val="TableText0"/>
              <w:keepNext/>
              <w:rPr>
                <w:lang w:eastAsia="en-AU"/>
              </w:rPr>
            </w:pPr>
            <w:r w:rsidRPr="00922B1C">
              <w:rPr>
                <w:lang w:eastAsia="en-AU"/>
              </w:rPr>
              <w:t>Small intestine G1</w:t>
            </w:r>
          </w:p>
        </w:tc>
        <w:tc>
          <w:tcPr>
            <w:tcW w:w="992" w:type="dxa"/>
            <w:tcBorders>
              <w:top w:val="nil"/>
              <w:left w:val="nil"/>
              <w:bottom w:val="single" w:sz="4" w:space="0" w:color="auto"/>
              <w:right w:val="single" w:sz="4" w:space="0" w:color="auto"/>
            </w:tcBorders>
            <w:shd w:val="clear" w:color="auto" w:fill="auto"/>
            <w:noWrap/>
            <w:vAlign w:val="center"/>
            <w:hideMark/>
          </w:tcPr>
          <w:p w14:paraId="3A20475D" w14:textId="77777777" w:rsidR="009342B5" w:rsidRPr="00922B1C" w:rsidRDefault="009342B5" w:rsidP="000D0430">
            <w:pPr>
              <w:pStyle w:val="TableText0"/>
              <w:keepNext/>
              <w:jc w:val="center"/>
              <w:rPr>
                <w:lang w:eastAsia="en-AU"/>
              </w:rPr>
            </w:pPr>
            <w:r w:rsidRPr="00922B1C">
              <w:rPr>
                <w:lang w:eastAsia="en-AU"/>
              </w:rPr>
              <w:t>60</w:t>
            </w:r>
          </w:p>
        </w:tc>
        <w:tc>
          <w:tcPr>
            <w:tcW w:w="1276" w:type="dxa"/>
            <w:tcBorders>
              <w:top w:val="nil"/>
              <w:left w:val="nil"/>
              <w:bottom w:val="single" w:sz="4" w:space="0" w:color="auto"/>
              <w:right w:val="single" w:sz="4" w:space="0" w:color="auto"/>
            </w:tcBorders>
            <w:shd w:val="clear" w:color="auto" w:fill="auto"/>
            <w:noWrap/>
            <w:vAlign w:val="center"/>
            <w:hideMark/>
          </w:tcPr>
          <w:p w14:paraId="035E8E69" w14:textId="77777777" w:rsidR="009342B5" w:rsidRPr="00922B1C" w:rsidRDefault="009342B5" w:rsidP="000D0430">
            <w:pPr>
              <w:pStyle w:val="TableText0"/>
              <w:keepNext/>
              <w:jc w:val="center"/>
              <w:rPr>
                <w:lang w:eastAsia="en-AU"/>
              </w:rPr>
            </w:pPr>
            <w:r w:rsidRPr="00922B1C">
              <w:rPr>
                <w:lang w:eastAsia="en-AU"/>
              </w:rPr>
              <w:t>0.3 (0.2, 0.3)</w:t>
            </w:r>
          </w:p>
        </w:tc>
        <w:tc>
          <w:tcPr>
            <w:tcW w:w="992" w:type="dxa"/>
            <w:tcBorders>
              <w:top w:val="nil"/>
              <w:left w:val="nil"/>
              <w:bottom w:val="single" w:sz="4" w:space="0" w:color="auto"/>
              <w:right w:val="single" w:sz="4" w:space="0" w:color="auto"/>
            </w:tcBorders>
            <w:shd w:val="clear" w:color="auto" w:fill="auto"/>
            <w:noWrap/>
            <w:vAlign w:val="center"/>
            <w:hideMark/>
          </w:tcPr>
          <w:p w14:paraId="5D89FA88" w14:textId="77777777" w:rsidR="009342B5" w:rsidRPr="00922B1C" w:rsidRDefault="009342B5" w:rsidP="000D0430">
            <w:pPr>
              <w:pStyle w:val="TableText0"/>
              <w:keepNext/>
              <w:jc w:val="center"/>
              <w:rPr>
                <w:lang w:eastAsia="en-AU"/>
              </w:rPr>
            </w:pPr>
            <w:r w:rsidRPr="00922B1C">
              <w:rPr>
                <w:lang w:eastAsia="en-AU"/>
              </w:rPr>
              <w:t>169</w:t>
            </w:r>
          </w:p>
        </w:tc>
        <w:tc>
          <w:tcPr>
            <w:tcW w:w="1276" w:type="dxa"/>
            <w:tcBorders>
              <w:top w:val="nil"/>
              <w:left w:val="nil"/>
              <w:bottom w:val="single" w:sz="4" w:space="0" w:color="auto"/>
              <w:right w:val="single" w:sz="4" w:space="0" w:color="auto"/>
            </w:tcBorders>
            <w:shd w:val="clear" w:color="auto" w:fill="auto"/>
            <w:noWrap/>
            <w:vAlign w:val="center"/>
            <w:hideMark/>
          </w:tcPr>
          <w:p w14:paraId="115D0994" w14:textId="77777777" w:rsidR="009342B5" w:rsidRPr="00922B1C" w:rsidRDefault="009342B5" w:rsidP="000D0430">
            <w:pPr>
              <w:pStyle w:val="TableText0"/>
              <w:keepNext/>
              <w:jc w:val="center"/>
              <w:rPr>
                <w:lang w:eastAsia="en-AU"/>
              </w:rPr>
            </w:pPr>
            <w:r w:rsidRPr="00922B1C">
              <w:rPr>
                <w:lang w:eastAsia="en-AU"/>
              </w:rPr>
              <w:t>0.5 (0.5, 0.6)</w:t>
            </w:r>
          </w:p>
        </w:tc>
        <w:tc>
          <w:tcPr>
            <w:tcW w:w="992" w:type="dxa"/>
            <w:tcBorders>
              <w:top w:val="nil"/>
              <w:left w:val="nil"/>
              <w:bottom w:val="single" w:sz="4" w:space="0" w:color="auto"/>
              <w:right w:val="single" w:sz="4" w:space="0" w:color="auto"/>
            </w:tcBorders>
            <w:shd w:val="clear" w:color="auto" w:fill="auto"/>
            <w:noWrap/>
            <w:vAlign w:val="center"/>
            <w:hideMark/>
          </w:tcPr>
          <w:p w14:paraId="394521E5" w14:textId="77777777" w:rsidR="009342B5" w:rsidRPr="00922B1C" w:rsidRDefault="009342B5" w:rsidP="000D0430">
            <w:pPr>
              <w:pStyle w:val="TableText0"/>
              <w:keepNext/>
              <w:jc w:val="center"/>
              <w:rPr>
                <w:lang w:eastAsia="en-AU"/>
              </w:rPr>
            </w:pPr>
            <w:r w:rsidRPr="00922B1C">
              <w:rPr>
                <w:lang w:eastAsia="en-AU"/>
              </w:rPr>
              <w:t>570</w:t>
            </w:r>
          </w:p>
        </w:tc>
        <w:tc>
          <w:tcPr>
            <w:tcW w:w="1276" w:type="dxa"/>
            <w:tcBorders>
              <w:top w:val="nil"/>
              <w:left w:val="nil"/>
              <w:bottom w:val="single" w:sz="4" w:space="0" w:color="auto"/>
              <w:right w:val="single" w:sz="4" w:space="0" w:color="auto"/>
            </w:tcBorders>
            <w:shd w:val="clear" w:color="auto" w:fill="auto"/>
            <w:noWrap/>
            <w:vAlign w:val="center"/>
            <w:hideMark/>
          </w:tcPr>
          <w:p w14:paraId="2C3231B3" w14:textId="77777777" w:rsidR="009342B5" w:rsidRPr="00922B1C" w:rsidRDefault="009342B5" w:rsidP="000D0430">
            <w:pPr>
              <w:pStyle w:val="TableText0"/>
              <w:keepNext/>
              <w:jc w:val="center"/>
              <w:rPr>
                <w:lang w:eastAsia="en-AU"/>
              </w:rPr>
            </w:pPr>
            <w:r w:rsidRPr="00922B1C">
              <w:rPr>
                <w:lang w:eastAsia="en-AU"/>
              </w:rPr>
              <w:t>1.2 (1.1, 1.3)</w:t>
            </w:r>
          </w:p>
        </w:tc>
        <w:tc>
          <w:tcPr>
            <w:tcW w:w="850" w:type="dxa"/>
            <w:tcBorders>
              <w:top w:val="nil"/>
              <w:left w:val="nil"/>
              <w:bottom w:val="single" w:sz="4" w:space="0" w:color="auto"/>
              <w:right w:val="single" w:sz="4" w:space="0" w:color="auto"/>
            </w:tcBorders>
            <w:shd w:val="clear" w:color="auto" w:fill="auto"/>
            <w:noWrap/>
            <w:vAlign w:val="center"/>
            <w:hideMark/>
          </w:tcPr>
          <w:p w14:paraId="1CA95BE6" w14:textId="77777777" w:rsidR="009342B5" w:rsidRPr="00922B1C" w:rsidRDefault="009342B5" w:rsidP="000D0430">
            <w:pPr>
              <w:pStyle w:val="TableText0"/>
              <w:keepNext/>
              <w:jc w:val="center"/>
              <w:rPr>
                <w:lang w:eastAsia="en-AU"/>
              </w:rPr>
            </w:pPr>
            <w:r w:rsidRPr="00922B1C">
              <w:rPr>
                <w:lang w:eastAsia="en-AU"/>
              </w:rPr>
              <w:t>240</w:t>
            </w:r>
          </w:p>
        </w:tc>
      </w:tr>
      <w:tr w:rsidR="009342B5" w:rsidRPr="00A010BD" w14:paraId="1967D1C0"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A7AADE9" w14:textId="77777777" w:rsidR="009342B5" w:rsidRPr="00922B1C" w:rsidRDefault="009342B5" w:rsidP="000D0430">
            <w:pPr>
              <w:pStyle w:val="TableText0"/>
              <w:keepNext/>
              <w:rPr>
                <w:lang w:eastAsia="en-AU"/>
              </w:rPr>
            </w:pPr>
            <w:r w:rsidRPr="00922B1C">
              <w:rPr>
                <w:lang w:eastAsia="en-AU"/>
              </w:rPr>
              <w:t>Stomach G1</w:t>
            </w:r>
          </w:p>
        </w:tc>
        <w:tc>
          <w:tcPr>
            <w:tcW w:w="992" w:type="dxa"/>
            <w:tcBorders>
              <w:top w:val="nil"/>
              <w:left w:val="nil"/>
              <w:bottom w:val="single" w:sz="4" w:space="0" w:color="auto"/>
              <w:right w:val="single" w:sz="4" w:space="0" w:color="auto"/>
            </w:tcBorders>
            <w:shd w:val="clear" w:color="auto" w:fill="auto"/>
            <w:noWrap/>
            <w:vAlign w:val="center"/>
            <w:hideMark/>
          </w:tcPr>
          <w:p w14:paraId="7F6EBBD3" w14:textId="77777777" w:rsidR="009342B5" w:rsidRPr="00922B1C" w:rsidRDefault="009342B5" w:rsidP="000D0430">
            <w:pPr>
              <w:pStyle w:val="TableText0"/>
              <w:keepNext/>
              <w:jc w:val="center"/>
              <w:rPr>
                <w:lang w:eastAsia="en-AU"/>
              </w:rPr>
            </w:pPr>
            <w:r w:rsidRPr="00922B1C">
              <w:rPr>
                <w:lang w:eastAsia="en-AU"/>
              </w:rPr>
              <w:t>9</w:t>
            </w:r>
          </w:p>
        </w:tc>
        <w:tc>
          <w:tcPr>
            <w:tcW w:w="1276" w:type="dxa"/>
            <w:tcBorders>
              <w:top w:val="nil"/>
              <w:left w:val="nil"/>
              <w:bottom w:val="single" w:sz="4" w:space="0" w:color="auto"/>
              <w:right w:val="single" w:sz="4" w:space="0" w:color="auto"/>
            </w:tcBorders>
            <w:shd w:val="clear" w:color="auto" w:fill="auto"/>
            <w:noWrap/>
            <w:vAlign w:val="center"/>
            <w:hideMark/>
          </w:tcPr>
          <w:p w14:paraId="56289B57" w14:textId="77777777" w:rsidR="009342B5" w:rsidRPr="00922B1C" w:rsidRDefault="009342B5" w:rsidP="000D0430">
            <w:pPr>
              <w:pStyle w:val="TableText0"/>
              <w:keepNext/>
              <w:jc w:val="center"/>
              <w:rPr>
                <w:lang w:eastAsia="en-AU"/>
              </w:rPr>
            </w:pPr>
            <w:r w:rsidRPr="00922B1C">
              <w:rPr>
                <w:lang w:eastAsia="en-AU"/>
              </w:rPr>
              <w:t>0.1 (0, 0.1)</w:t>
            </w:r>
          </w:p>
        </w:tc>
        <w:tc>
          <w:tcPr>
            <w:tcW w:w="992" w:type="dxa"/>
            <w:tcBorders>
              <w:top w:val="nil"/>
              <w:left w:val="nil"/>
              <w:bottom w:val="single" w:sz="4" w:space="0" w:color="auto"/>
              <w:right w:val="single" w:sz="4" w:space="0" w:color="auto"/>
            </w:tcBorders>
            <w:shd w:val="clear" w:color="auto" w:fill="auto"/>
            <w:noWrap/>
            <w:vAlign w:val="center"/>
            <w:hideMark/>
          </w:tcPr>
          <w:p w14:paraId="6EDC4506" w14:textId="77777777" w:rsidR="009342B5" w:rsidRPr="00922B1C" w:rsidRDefault="009342B5" w:rsidP="000D0430">
            <w:pPr>
              <w:pStyle w:val="TableText0"/>
              <w:keepNext/>
              <w:jc w:val="center"/>
              <w:rPr>
                <w:lang w:eastAsia="en-AU"/>
              </w:rPr>
            </w:pPr>
            <w:r w:rsidRPr="00922B1C">
              <w:rPr>
                <w:lang w:eastAsia="en-AU"/>
              </w:rPr>
              <w:t>36</w:t>
            </w:r>
          </w:p>
        </w:tc>
        <w:tc>
          <w:tcPr>
            <w:tcW w:w="1276" w:type="dxa"/>
            <w:tcBorders>
              <w:top w:val="nil"/>
              <w:left w:val="nil"/>
              <w:bottom w:val="single" w:sz="4" w:space="0" w:color="auto"/>
              <w:right w:val="single" w:sz="4" w:space="0" w:color="auto"/>
            </w:tcBorders>
            <w:shd w:val="clear" w:color="auto" w:fill="auto"/>
            <w:noWrap/>
            <w:vAlign w:val="center"/>
            <w:hideMark/>
          </w:tcPr>
          <w:p w14:paraId="1350F104" w14:textId="77777777" w:rsidR="009342B5" w:rsidRPr="00922B1C" w:rsidRDefault="009342B5" w:rsidP="000D0430">
            <w:pPr>
              <w:pStyle w:val="TableText0"/>
              <w:keepNext/>
              <w:jc w:val="center"/>
              <w:rPr>
                <w:lang w:eastAsia="en-AU"/>
              </w:rPr>
            </w:pPr>
            <w:r w:rsidRPr="00922B1C">
              <w:rPr>
                <w:lang w:eastAsia="en-AU"/>
              </w:rPr>
              <w:t>0.1 (0.1, 0.2)</w:t>
            </w:r>
          </w:p>
        </w:tc>
        <w:tc>
          <w:tcPr>
            <w:tcW w:w="992" w:type="dxa"/>
            <w:tcBorders>
              <w:top w:val="nil"/>
              <w:left w:val="nil"/>
              <w:bottom w:val="single" w:sz="4" w:space="0" w:color="auto"/>
              <w:right w:val="single" w:sz="4" w:space="0" w:color="auto"/>
            </w:tcBorders>
            <w:shd w:val="clear" w:color="auto" w:fill="auto"/>
            <w:noWrap/>
            <w:vAlign w:val="center"/>
            <w:hideMark/>
          </w:tcPr>
          <w:p w14:paraId="233AE76B" w14:textId="77777777" w:rsidR="009342B5" w:rsidRPr="00922B1C" w:rsidRDefault="009342B5" w:rsidP="000D0430">
            <w:pPr>
              <w:pStyle w:val="TableText0"/>
              <w:keepNext/>
              <w:jc w:val="center"/>
              <w:rPr>
                <w:lang w:eastAsia="en-AU"/>
              </w:rPr>
            </w:pPr>
            <w:r w:rsidRPr="00922B1C">
              <w:rPr>
                <w:lang w:eastAsia="en-AU"/>
              </w:rPr>
              <w:t>141</w:t>
            </w:r>
          </w:p>
        </w:tc>
        <w:tc>
          <w:tcPr>
            <w:tcW w:w="1276" w:type="dxa"/>
            <w:tcBorders>
              <w:top w:val="nil"/>
              <w:left w:val="nil"/>
              <w:bottom w:val="single" w:sz="4" w:space="0" w:color="auto"/>
              <w:right w:val="single" w:sz="4" w:space="0" w:color="auto"/>
            </w:tcBorders>
            <w:shd w:val="clear" w:color="auto" w:fill="auto"/>
            <w:noWrap/>
            <w:vAlign w:val="center"/>
            <w:hideMark/>
          </w:tcPr>
          <w:p w14:paraId="25CCB9DB" w14:textId="77777777" w:rsidR="009342B5" w:rsidRPr="00922B1C" w:rsidRDefault="009342B5" w:rsidP="000D0430">
            <w:pPr>
              <w:pStyle w:val="TableText0"/>
              <w:keepNext/>
              <w:jc w:val="center"/>
              <w:rPr>
                <w:lang w:eastAsia="en-AU"/>
              </w:rPr>
            </w:pPr>
            <w:r w:rsidRPr="00922B1C">
              <w:rPr>
                <w:lang w:eastAsia="en-AU"/>
              </w:rPr>
              <w:t>0.3 (0.2, 0.3)</w:t>
            </w:r>
          </w:p>
        </w:tc>
        <w:tc>
          <w:tcPr>
            <w:tcW w:w="850" w:type="dxa"/>
            <w:tcBorders>
              <w:top w:val="nil"/>
              <w:left w:val="nil"/>
              <w:bottom w:val="single" w:sz="4" w:space="0" w:color="auto"/>
              <w:right w:val="single" w:sz="4" w:space="0" w:color="auto"/>
            </w:tcBorders>
            <w:shd w:val="clear" w:color="auto" w:fill="auto"/>
            <w:noWrap/>
            <w:vAlign w:val="center"/>
            <w:hideMark/>
          </w:tcPr>
          <w:p w14:paraId="3A02D310" w14:textId="77777777" w:rsidR="009342B5" w:rsidRPr="00922B1C" w:rsidRDefault="009342B5" w:rsidP="000D0430">
            <w:pPr>
              <w:pStyle w:val="TableText0"/>
              <w:keepNext/>
              <w:jc w:val="center"/>
              <w:rPr>
                <w:lang w:eastAsia="en-AU"/>
              </w:rPr>
            </w:pPr>
            <w:r w:rsidRPr="00922B1C">
              <w:rPr>
                <w:lang w:eastAsia="en-AU"/>
              </w:rPr>
              <w:t>300</w:t>
            </w:r>
          </w:p>
        </w:tc>
      </w:tr>
      <w:tr w:rsidR="009342B5" w:rsidRPr="00A010BD" w14:paraId="243B175D"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EE66A6C" w14:textId="77777777" w:rsidR="009342B5" w:rsidRPr="00922B1C" w:rsidRDefault="009342B5" w:rsidP="000D0430">
            <w:pPr>
              <w:pStyle w:val="TableText0"/>
              <w:keepNext/>
              <w:rPr>
                <w:lang w:eastAsia="en-AU"/>
              </w:rPr>
            </w:pPr>
            <w:r w:rsidRPr="00922B1C">
              <w:rPr>
                <w:lang w:eastAsia="en-AU"/>
              </w:rPr>
              <w:t>Other sites G1</w:t>
            </w:r>
          </w:p>
        </w:tc>
        <w:tc>
          <w:tcPr>
            <w:tcW w:w="992" w:type="dxa"/>
            <w:tcBorders>
              <w:top w:val="nil"/>
              <w:left w:val="nil"/>
              <w:bottom w:val="single" w:sz="4" w:space="0" w:color="auto"/>
              <w:right w:val="single" w:sz="4" w:space="0" w:color="auto"/>
            </w:tcBorders>
            <w:shd w:val="clear" w:color="auto" w:fill="auto"/>
            <w:noWrap/>
            <w:vAlign w:val="center"/>
            <w:hideMark/>
          </w:tcPr>
          <w:p w14:paraId="288D8980" w14:textId="77777777" w:rsidR="009342B5" w:rsidRPr="00922B1C" w:rsidRDefault="009342B5" w:rsidP="000D0430">
            <w:pPr>
              <w:pStyle w:val="TableText0"/>
              <w:keepNext/>
              <w:jc w:val="center"/>
              <w:rPr>
                <w:lang w:eastAsia="en-AU"/>
              </w:rPr>
            </w:pPr>
            <w:r w:rsidRPr="00922B1C">
              <w:rPr>
                <w:lang w:eastAsia="en-AU"/>
              </w:rPr>
              <w:t>7</w:t>
            </w:r>
          </w:p>
        </w:tc>
        <w:tc>
          <w:tcPr>
            <w:tcW w:w="1276" w:type="dxa"/>
            <w:tcBorders>
              <w:top w:val="nil"/>
              <w:left w:val="nil"/>
              <w:bottom w:val="single" w:sz="4" w:space="0" w:color="auto"/>
              <w:right w:val="single" w:sz="4" w:space="0" w:color="auto"/>
            </w:tcBorders>
            <w:shd w:val="clear" w:color="auto" w:fill="auto"/>
            <w:noWrap/>
            <w:vAlign w:val="center"/>
            <w:hideMark/>
          </w:tcPr>
          <w:p w14:paraId="58E0CC4A" w14:textId="77777777" w:rsidR="009342B5" w:rsidRPr="00922B1C" w:rsidRDefault="009342B5" w:rsidP="000D0430">
            <w:pPr>
              <w:pStyle w:val="TableText0"/>
              <w:keepNext/>
              <w:jc w:val="center"/>
              <w:rPr>
                <w:lang w:eastAsia="en-AU"/>
              </w:rPr>
            </w:pPr>
            <w:r w:rsidRPr="00922B1C">
              <w:rPr>
                <w:lang w:eastAsia="en-AU"/>
              </w:rPr>
              <w:t>0.1 (0, 0.1)</w:t>
            </w:r>
          </w:p>
        </w:tc>
        <w:tc>
          <w:tcPr>
            <w:tcW w:w="992" w:type="dxa"/>
            <w:tcBorders>
              <w:top w:val="nil"/>
              <w:left w:val="nil"/>
              <w:bottom w:val="single" w:sz="4" w:space="0" w:color="auto"/>
              <w:right w:val="single" w:sz="4" w:space="0" w:color="auto"/>
            </w:tcBorders>
            <w:shd w:val="clear" w:color="auto" w:fill="auto"/>
            <w:noWrap/>
            <w:vAlign w:val="center"/>
            <w:hideMark/>
          </w:tcPr>
          <w:p w14:paraId="430A1617" w14:textId="77777777" w:rsidR="009342B5" w:rsidRPr="00922B1C" w:rsidRDefault="009342B5" w:rsidP="000D0430">
            <w:pPr>
              <w:pStyle w:val="TableText0"/>
              <w:keepNext/>
              <w:jc w:val="center"/>
              <w:rPr>
                <w:lang w:eastAsia="en-AU"/>
              </w:rPr>
            </w:pPr>
            <w:r w:rsidRPr="00922B1C">
              <w:rPr>
                <w:lang w:eastAsia="en-AU"/>
              </w:rPr>
              <w:t>11</w:t>
            </w:r>
          </w:p>
        </w:tc>
        <w:tc>
          <w:tcPr>
            <w:tcW w:w="1276" w:type="dxa"/>
            <w:tcBorders>
              <w:top w:val="nil"/>
              <w:left w:val="nil"/>
              <w:bottom w:val="single" w:sz="4" w:space="0" w:color="auto"/>
              <w:right w:val="single" w:sz="4" w:space="0" w:color="auto"/>
            </w:tcBorders>
            <w:shd w:val="clear" w:color="auto" w:fill="auto"/>
            <w:noWrap/>
            <w:vAlign w:val="center"/>
            <w:hideMark/>
          </w:tcPr>
          <w:p w14:paraId="74FE36B6" w14:textId="77777777" w:rsidR="009342B5" w:rsidRPr="00922B1C" w:rsidRDefault="009342B5" w:rsidP="000D0430">
            <w:pPr>
              <w:pStyle w:val="TableText0"/>
              <w:keepNext/>
              <w:jc w:val="center"/>
              <w:rPr>
                <w:lang w:eastAsia="en-AU"/>
              </w:rPr>
            </w:pPr>
            <w:r w:rsidRPr="00922B1C">
              <w:rPr>
                <w:lang w:eastAsia="en-AU"/>
              </w:rPr>
              <w:t>0.1 (0, 0.1)</w:t>
            </w:r>
          </w:p>
        </w:tc>
        <w:tc>
          <w:tcPr>
            <w:tcW w:w="992" w:type="dxa"/>
            <w:tcBorders>
              <w:top w:val="nil"/>
              <w:left w:val="nil"/>
              <w:bottom w:val="single" w:sz="4" w:space="0" w:color="auto"/>
              <w:right w:val="single" w:sz="4" w:space="0" w:color="auto"/>
            </w:tcBorders>
            <w:shd w:val="clear" w:color="auto" w:fill="auto"/>
            <w:noWrap/>
            <w:vAlign w:val="center"/>
            <w:hideMark/>
          </w:tcPr>
          <w:p w14:paraId="5785D376" w14:textId="77777777" w:rsidR="009342B5" w:rsidRPr="00922B1C" w:rsidRDefault="009342B5" w:rsidP="000D0430">
            <w:pPr>
              <w:pStyle w:val="TableText0"/>
              <w:keepNext/>
              <w:jc w:val="center"/>
              <w:rPr>
                <w:lang w:eastAsia="en-AU"/>
              </w:rPr>
            </w:pPr>
            <w:r w:rsidRPr="00922B1C">
              <w:rPr>
                <w:lang w:eastAsia="en-AU"/>
              </w:rPr>
              <w:t>9</w:t>
            </w:r>
          </w:p>
        </w:tc>
        <w:tc>
          <w:tcPr>
            <w:tcW w:w="1276" w:type="dxa"/>
            <w:tcBorders>
              <w:top w:val="nil"/>
              <w:left w:val="nil"/>
              <w:bottom w:val="single" w:sz="4" w:space="0" w:color="auto"/>
              <w:right w:val="single" w:sz="4" w:space="0" w:color="auto"/>
            </w:tcBorders>
            <w:shd w:val="clear" w:color="auto" w:fill="auto"/>
            <w:noWrap/>
            <w:vAlign w:val="center"/>
            <w:hideMark/>
          </w:tcPr>
          <w:p w14:paraId="440E2CB6" w14:textId="77777777" w:rsidR="009342B5" w:rsidRPr="00922B1C" w:rsidRDefault="009342B5" w:rsidP="000D0430">
            <w:pPr>
              <w:pStyle w:val="TableText0"/>
              <w:keepNext/>
              <w:jc w:val="center"/>
              <w:rPr>
                <w:lang w:eastAsia="en-AU"/>
              </w:rPr>
            </w:pPr>
            <w:r w:rsidRPr="00922B1C">
              <w:rPr>
                <w:lang w:eastAsia="en-AU"/>
              </w:rPr>
              <w:t>0 (0, 0.1)</w:t>
            </w:r>
          </w:p>
        </w:tc>
        <w:tc>
          <w:tcPr>
            <w:tcW w:w="850" w:type="dxa"/>
            <w:tcBorders>
              <w:top w:val="nil"/>
              <w:left w:val="nil"/>
              <w:bottom w:val="single" w:sz="4" w:space="0" w:color="auto"/>
              <w:right w:val="single" w:sz="4" w:space="0" w:color="auto"/>
            </w:tcBorders>
            <w:shd w:val="clear" w:color="auto" w:fill="auto"/>
            <w:noWrap/>
            <w:vAlign w:val="center"/>
            <w:hideMark/>
          </w:tcPr>
          <w:p w14:paraId="6ED60999" w14:textId="77777777" w:rsidR="009342B5" w:rsidRPr="00922B1C" w:rsidRDefault="009342B5" w:rsidP="000D0430">
            <w:pPr>
              <w:pStyle w:val="TableText0"/>
              <w:keepNext/>
              <w:jc w:val="center"/>
              <w:rPr>
                <w:lang w:eastAsia="en-AU"/>
              </w:rPr>
            </w:pPr>
            <w:r w:rsidRPr="00922B1C">
              <w:rPr>
                <w:lang w:eastAsia="en-AU"/>
              </w:rPr>
              <w:t>0</w:t>
            </w:r>
          </w:p>
        </w:tc>
      </w:tr>
      <w:tr w:rsidR="009342B5" w:rsidRPr="00A010BD" w14:paraId="251C4D95" w14:textId="77777777" w:rsidTr="0035237C">
        <w:trPr>
          <w:trHeight w:val="170"/>
          <w:jc w:val="center"/>
        </w:trPr>
        <w:tc>
          <w:tcPr>
            <w:tcW w:w="9776" w:type="dxa"/>
            <w:gridSpan w:val="8"/>
            <w:tcBorders>
              <w:top w:val="nil"/>
              <w:left w:val="single" w:sz="4" w:space="0" w:color="auto"/>
              <w:bottom w:val="single" w:sz="4" w:space="0" w:color="auto"/>
              <w:right w:val="single" w:sz="4" w:space="0" w:color="auto"/>
            </w:tcBorders>
            <w:shd w:val="clear" w:color="auto" w:fill="auto"/>
            <w:noWrap/>
            <w:vAlign w:val="center"/>
            <w:hideMark/>
          </w:tcPr>
          <w:p w14:paraId="09FC0A1A" w14:textId="49CDD236" w:rsidR="009342B5" w:rsidRPr="00922B1C" w:rsidRDefault="009342B5" w:rsidP="000D0430">
            <w:pPr>
              <w:pStyle w:val="TableText0"/>
              <w:keepNext/>
              <w:rPr>
                <w:b/>
                <w:bCs/>
                <w:lang w:eastAsia="en-AU"/>
              </w:rPr>
            </w:pPr>
            <w:r w:rsidRPr="00922B1C">
              <w:rPr>
                <w:b/>
                <w:bCs/>
                <w:lang w:eastAsia="en-AU"/>
              </w:rPr>
              <w:t>Overall tumour grade as per pathology report</w:t>
            </w:r>
          </w:p>
        </w:tc>
      </w:tr>
      <w:tr w:rsidR="009342B5" w:rsidRPr="00A010BD" w14:paraId="35D11C4A"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9D90134" w14:textId="77777777" w:rsidR="009342B5" w:rsidRPr="00922B1C" w:rsidRDefault="009342B5" w:rsidP="000D0430">
            <w:pPr>
              <w:pStyle w:val="TableText0"/>
              <w:keepNext/>
              <w:rPr>
                <w:lang w:eastAsia="en-AU"/>
              </w:rPr>
            </w:pPr>
            <w:r w:rsidRPr="00922B1C">
              <w:rPr>
                <w:lang w:eastAsia="en-AU"/>
              </w:rPr>
              <w:t>G1</w:t>
            </w:r>
          </w:p>
        </w:tc>
        <w:tc>
          <w:tcPr>
            <w:tcW w:w="992" w:type="dxa"/>
            <w:tcBorders>
              <w:top w:val="nil"/>
              <w:left w:val="nil"/>
              <w:bottom w:val="single" w:sz="4" w:space="0" w:color="auto"/>
              <w:right w:val="single" w:sz="4" w:space="0" w:color="auto"/>
            </w:tcBorders>
            <w:shd w:val="clear" w:color="auto" w:fill="auto"/>
            <w:noWrap/>
            <w:vAlign w:val="center"/>
            <w:hideMark/>
          </w:tcPr>
          <w:p w14:paraId="25100AF3" w14:textId="77777777" w:rsidR="009342B5" w:rsidRPr="00922B1C" w:rsidRDefault="009342B5" w:rsidP="000D0430">
            <w:pPr>
              <w:pStyle w:val="TableText0"/>
              <w:keepNext/>
              <w:jc w:val="center"/>
              <w:rPr>
                <w:lang w:eastAsia="en-AU"/>
              </w:rPr>
            </w:pPr>
            <w:r w:rsidRPr="00922B1C">
              <w:rPr>
                <w:lang w:eastAsia="en-AU"/>
              </w:rPr>
              <w:t>436</w:t>
            </w:r>
          </w:p>
        </w:tc>
        <w:tc>
          <w:tcPr>
            <w:tcW w:w="1276" w:type="dxa"/>
            <w:tcBorders>
              <w:top w:val="nil"/>
              <w:left w:val="nil"/>
              <w:bottom w:val="single" w:sz="4" w:space="0" w:color="auto"/>
              <w:right w:val="single" w:sz="4" w:space="0" w:color="auto"/>
            </w:tcBorders>
            <w:shd w:val="clear" w:color="auto" w:fill="auto"/>
            <w:noWrap/>
            <w:vAlign w:val="center"/>
            <w:hideMark/>
          </w:tcPr>
          <w:p w14:paraId="7380C4B2" w14:textId="77777777" w:rsidR="009342B5" w:rsidRPr="00922B1C" w:rsidRDefault="009342B5" w:rsidP="000D0430">
            <w:pPr>
              <w:pStyle w:val="TableText0"/>
              <w:keepNext/>
              <w:jc w:val="center"/>
              <w:rPr>
                <w:lang w:eastAsia="en-AU"/>
              </w:rPr>
            </w:pPr>
            <w:r w:rsidRPr="00922B1C">
              <w:rPr>
                <w:lang w:eastAsia="en-AU"/>
              </w:rPr>
              <w:t>2.2 (2, 2.4)</w:t>
            </w:r>
          </w:p>
        </w:tc>
        <w:tc>
          <w:tcPr>
            <w:tcW w:w="992" w:type="dxa"/>
            <w:tcBorders>
              <w:top w:val="nil"/>
              <w:left w:val="nil"/>
              <w:bottom w:val="single" w:sz="4" w:space="0" w:color="auto"/>
              <w:right w:val="single" w:sz="4" w:space="0" w:color="auto"/>
            </w:tcBorders>
            <w:shd w:val="clear" w:color="auto" w:fill="auto"/>
            <w:noWrap/>
            <w:vAlign w:val="center"/>
            <w:hideMark/>
          </w:tcPr>
          <w:p w14:paraId="2E06D840" w14:textId="77777777" w:rsidR="009342B5" w:rsidRPr="00922B1C" w:rsidRDefault="009342B5" w:rsidP="000D0430">
            <w:pPr>
              <w:pStyle w:val="TableText0"/>
              <w:keepNext/>
              <w:jc w:val="center"/>
              <w:rPr>
                <w:lang w:eastAsia="en-AU"/>
              </w:rPr>
            </w:pPr>
            <w:r w:rsidRPr="00922B1C">
              <w:rPr>
                <w:lang w:eastAsia="en-AU"/>
              </w:rPr>
              <w:t>803</w:t>
            </w:r>
          </w:p>
        </w:tc>
        <w:tc>
          <w:tcPr>
            <w:tcW w:w="1276" w:type="dxa"/>
            <w:tcBorders>
              <w:top w:val="nil"/>
              <w:left w:val="nil"/>
              <w:bottom w:val="single" w:sz="4" w:space="0" w:color="auto"/>
              <w:right w:val="single" w:sz="4" w:space="0" w:color="auto"/>
            </w:tcBorders>
            <w:shd w:val="clear" w:color="auto" w:fill="auto"/>
            <w:noWrap/>
            <w:vAlign w:val="center"/>
            <w:hideMark/>
          </w:tcPr>
          <w:p w14:paraId="57A2E531" w14:textId="77777777" w:rsidR="009342B5" w:rsidRPr="00922B1C" w:rsidRDefault="009342B5" w:rsidP="000D0430">
            <w:pPr>
              <w:pStyle w:val="TableText0"/>
              <w:keepNext/>
              <w:jc w:val="center"/>
              <w:rPr>
                <w:lang w:eastAsia="en-AU"/>
              </w:rPr>
            </w:pPr>
            <w:r w:rsidRPr="00922B1C">
              <w:rPr>
                <w:lang w:eastAsia="en-AU"/>
              </w:rPr>
              <w:t>2.9 (2.7, 3.1)</w:t>
            </w:r>
          </w:p>
        </w:tc>
        <w:tc>
          <w:tcPr>
            <w:tcW w:w="992" w:type="dxa"/>
            <w:tcBorders>
              <w:top w:val="nil"/>
              <w:left w:val="nil"/>
              <w:bottom w:val="single" w:sz="4" w:space="0" w:color="auto"/>
              <w:right w:val="single" w:sz="4" w:space="0" w:color="auto"/>
            </w:tcBorders>
            <w:shd w:val="clear" w:color="auto" w:fill="auto"/>
            <w:noWrap/>
            <w:vAlign w:val="center"/>
            <w:hideMark/>
          </w:tcPr>
          <w:p w14:paraId="1F3F6FC1" w14:textId="77777777" w:rsidR="009342B5" w:rsidRPr="00922B1C" w:rsidRDefault="009342B5" w:rsidP="000D0430">
            <w:pPr>
              <w:pStyle w:val="TableText0"/>
              <w:keepNext/>
              <w:jc w:val="center"/>
              <w:rPr>
                <w:lang w:eastAsia="en-AU"/>
              </w:rPr>
            </w:pPr>
            <w:r w:rsidRPr="00922B1C">
              <w:rPr>
                <w:lang w:eastAsia="en-AU"/>
              </w:rPr>
              <w:t>2634</w:t>
            </w:r>
          </w:p>
        </w:tc>
        <w:tc>
          <w:tcPr>
            <w:tcW w:w="1276" w:type="dxa"/>
            <w:tcBorders>
              <w:top w:val="nil"/>
              <w:left w:val="nil"/>
              <w:bottom w:val="single" w:sz="4" w:space="0" w:color="auto"/>
              <w:right w:val="single" w:sz="4" w:space="0" w:color="auto"/>
            </w:tcBorders>
            <w:shd w:val="clear" w:color="auto" w:fill="auto"/>
            <w:noWrap/>
            <w:vAlign w:val="center"/>
            <w:hideMark/>
          </w:tcPr>
          <w:p w14:paraId="5FAF089E" w14:textId="77777777" w:rsidR="009342B5" w:rsidRPr="00922B1C" w:rsidRDefault="009342B5" w:rsidP="000D0430">
            <w:pPr>
              <w:pStyle w:val="TableText0"/>
              <w:keepNext/>
              <w:jc w:val="center"/>
              <w:rPr>
                <w:lang w:eastAsia="en-AU"/>
              </w:rPr>
            </w:pPr>
            <w:r w:rsidRPr="00922B1C">
              <w:rPr>
                <w:lang w:eastAsia="en-AU"/>
              </w:rPr>
              <w:t>6.2 (6, 6.5)</w:t>
            </w:r>
          </w:p>
        </w:tc>
        <w:tc>
          <w:tcPr>
            <w:tcW w:w="850" w:type="dxa"/>
            <w:tcBorders>
              <w:top w:val="nil"/>
              <w:left w:val="nil"/>
              <w:bottom w:val="single" w:sz="4" w:space="0" w:color="auto"/>
              <w:right w:val="single" w:sz="4" w:space="0" w:color="auto"/>
            </w:tcBorders>
            <w:shd w:val="clear" w:color="auto" w:fill="auto"/>
            <w:noWrap/>
            <w:vAlign w:val="center"/>
            <w:hideMark/>
          </w:tcPr>
          <w:p w14:paraId="58EA7681" w14:textId="77777777" w:rsidR="009342B5" w:rsidRPr="00922B1C" w:rsidRDefault="009342B5" w:rsidP="000D0430">
            <w:pPr>
              <w:pStyle w:val="TableText0"/>
              <w:keepNext/>
              <w:jc w:val="center"/>
              <w:rPr>
                <w:lang w:eastAsia="en-AU"/>
              </w:rPr>
            </w:pPr>
            <w:r w:rsidRPr="00922B1C">
              <w:rPr>
                <w:lang w:eastAsia="en-AU"/>
              </w:rPr>
              <w:t>214</w:t>
            </w:r>
          </w:p>
        </w:tc>
      </w:tr>
      <w:tr w:rsidR="009342B5" w:rsidRPr="00A010BD" w14:paraId="5E0E8B86"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2370C2A" w14:textId="77777777" w:rsidR="009342B5" w:rsidRPr="00922B1C" w:rsidRDefault="009342B5" w:rsidP="000D0430">
            <w:pPr>
              <w:pStyle w:val="TableText0"/>
              <w:keepNext/>
              <w:rPr>
                <w:lang w:eastAsia="en-AU"/>
              </w:rPr>
            </w:pPr>
            <w:r w:rsidRPr="00922B1C">
              <w:rPr>
                <w:lang w:eastAsia="en-AU"/>
              </w:rPr>
              <w:t>G2</w:t>
            </w:r>
          </w:p>
        </w:tc>
        <w:tc>
          <w:tcPr>
            <w:tcW w:w="992" w:type="dxa"/>
            <w:tcBorders>
              <w:top w:val="nil"/>
              <w:left w:val="nil"/>
              <w:bottom w:val="single" w:sz="4" w:space="0" w:color="auto"/>
              <w:right w:val="single" w:sz="4" w:space="0" w:color="auto"/>
            </w:tcBorders>
            <w:shd w:val="clear" w:color="auto" w:fill="auto"/>
            <w:noWrap/>
            <w:vAlign w:val="center"/>
            <w:hideMark/>
          </w:tcPr>
          <w:p w14:paraId="04DA7377" w14:textId="77777777" w:rsidR="009342B5" w:rsidRPr="00922B1C" w:rsidRDefault="009342B5" w:rsidP="000D0430">
            <w:pPr>
              <w:pStyle w:val="TableText0"/>
              <w:keepNext/>
              <w:jc w:val="center"/>
              <w:rPr>
                <w:lang w:eastAsia="en-AU"/>
              </w:rPr>
            </w:pPr>
            <w:r w:rsidRPr="00922B1C">
              <w:rPr>
                <w:lang w:eastAsia="en-AU"/>
              </w:rPr>
              <w:t>1</w:t>
            </w:r>
          </w:p>
        </w:tc>
        <w:tc>
          <w:tcPr>
            <w:tcW w:w="1276" w:type="dxa"/>
            <w:tcBorders>
              <w:top w:val="nil"/>
              <w:left w:val="nil"/>
              <w:bottom w:val="single" w:sz="4" w:space="0" w:color="auto"/>
              <w:right w:val="single" w:sz="4" w:space="0" w:color="auto"/>
            </w:tcBorders>
            <w:shd w:val="clear" w:color="auto" w:fill="auto"/>
            <w:noWrap/>
            <w:vAlign w:val="center"/>
            <w:hideMark/>
          </w:tcPr>
          <w:p w14:paraId="4B8C454A" w14:textId="77777777" w:rsidR="009342B5" w:rsidRPr="00922B1C" w:rsidRDefault="009342B5" w:rsidP="000D0430">
            <w:pPr>
              <w:pStyle w:val="TableText0"/>
              <w:keepNext/>
              <w:jc w:val="center"/>
              <w:rPr>
                <w:lang w:eastAsia="en-AU"/>
              </w:rPr>
            </w:pPr>
            <w:r w:rsidRPr="00922B1C">
              <w:rPr>
                <w:lang w:eastAsia="en-AU"/>
              </w:rPr>
              <w:t>0 (0, 0.2)</w:t>
            </w:r>
          </w:p>
        </w:tc>
        <w:tc>
          <w:tcPr>
            <w:tcW w:w="992" w:type="dxa"/>
            <w:tcBorders>
              <w:top w:val="nil"/>
              <w:left w:val="nil"/>
              <w:bottom w:val="single" w:sz="4" w:space="0" w:color="auto"/>
              <w:right w:val="single" w:sz="4" w:space="0" w:color="auto"/>
            </w:tcBorders>
            <w:shd w:val="clear" w:color="auto" w:fill="auto"/>
            <w:noWrap/>
            <w:vAlign w:val="center"/>
            <w:hideMark/>
          </w:tcPr>
          <w:p w14:paraId="5F4B1667" w14:textId="77777777" w:rsidR="009342B5" w:rsidRPr="00922B1C" w:rsidRDefault="009342B5" w:rsidP="000D0430">
            <w:pPr>
              <w:pStyle w:val="TableText0"/>
              <w:keepNext/>
              <w:jc w:val="center"/>
              <w:rPr>
                <w:lang w:eastAsia="en-AU"/>
              </w:rPr>
            </w:pPr>
            <w:r w:rsidRPr="00922B1C">
              <w:rPr>
                <w:lang w:eastAsia="en-AU"/>
              </w:rPr>
              <w:t>2</w:t>
            </w:r>
          </w:p>
        </w:tc>
        <w:tc>
          <w:tcPr>
            <w:tcW w:w="1276" w:type="dxa"/>
            <w:tcBorders>
              <w:top w:val="nil"/>
              <w:left w:val="nil"/>
              <w:bottom w:val="single" w:sz="4" w:space="0" w:color="auto"/>
              <w:right w:val="single" w:sz="4" w:space="0" w:color="auto"/>
            </w:tcBorders>
            <w:shd w:val="clear" w:color="auto" w:fill="auto"/>
            <w:noWrap/>
            <w:vAlign w:val="center"/>
            <w:hideMark/>
          </w:tcPr>
          <w:p w14:paraId="5EA7442F" w14:textId="77777777" w:rsidR="009342B5" w:rsidRPr="00922B1C" w:rsidRDefault="009342B5" w:rsidP="000D0430">
            <w:pPr>
              <w:pStyle w:val="TableText0"/>
              <w:keepNext/>
              <w:jc w:val="center"/>
              <w:rPr>
                <w:lang w:eastAsia="en-AU"/>
              </w:rPr>
            </w:pPr>
            <w:r w:rsidRPr="00922B1C">
              <w:rPr>
                <w:lang w:eastAsia="en-AU"/>
              </w:rPr>
              <w:t>0 (0, 0.1)</w:t>
            </w:r>
          </w:p>
        </w:tc>
        <w:tc>
          <w:tcPr>
            <w:tcW w:w="992" w:type="dxa"/>
            <w:tcBorders>
              <w:top w:val="nil"/>
              <w:left w:val="nil"/>
              <w:bottom w:val="single" w:sz="4" w:space="0" w:color="auto"/>
              <w:right w:val="single" w:sz="4" w:space="0" w:color="auto"/>
            </w:tcBorders>
            <w:shd w:val="clear" w:color="auto" w:fill="auto"/>
            <w:noWrap/>
            <w:vAlign w:val="center"/>
            <w:hideMark/>
          </w:tcPr>
          <w:p w14:paraId="51EFA5F3" w14:textId="77777777" w:rsidR="009342B5" w:rsidRPr="00922B1C" w:rsidRDefault="009342B5" w:rsidP="000D0430">
            <w:pPr>
              <w:pStyle w:val="TableText0"/>
              <w:keepNext/>
              <w:jc w:val="center"/>
              <w:rPr>
                <w:lang w:eastAsia="en-AU"/>
              </w:rPr>
            </w:pPr>
            <w:r w:rsidRPr="00922B1C">
              <w:rPr>
                <w:lang w:eastAsia="en-AU"/>
              </w:rPr>
              <w:t>413</w:t>
            </w:r>
          </w:p>
        </w:tc>
        <w:tc>
          <w:tcPr>
            <w:tcW w:w="1276" w:type="dxa"/>
            <w:tcBorders>
              <w:top w:val="nil"/>
              <w:left w:val="nil"/>
              <w:bottom w:val="single" w:sz="4" w:space="0" w:color="auto"/>
              <w:right w:val="single" w:sz="4" w:space="0" w:color="auto"/>
            </w:tcBorders>
            <w:shd w:val="clear" w:color="auto" w:fill="auto"/>
            <w:noWrap/>
            <w:vAlign w:val="center"/>
            <w:hideMark/>
          </w:tcPr>
          <w:p w14:paraId="71BE442D" w14:textId="77777777" w:rsidR="009342B5" w:rsidRPr="00922B1C" w:rsidRDefault="009342B5" w:rsidP="000D0430">
            <w:pPr>
              <w:pStyle w:val="TableText0"/>
              <w:keepNext/>
              <w:jc w:val="center"/>
              <w:rPr>
                <w:lang w:eastAsia="en-AU"/>
              </w:rPr>
            </w:pPr>
            <w:r w:rsidRPr="00922B1C">
              <w:rPr>
                <w:lang w:eastAsia="en-AU"/>
              </w:rPr>
              <w:t>0.9 (0.8, 1)</w:t>
            </w:r>
          </w:p>
        </w:tc>
        <w:tc>
          <w:tcPr>
            <w:tcW w:w="850" w:type="dxa"/>
            <w:tcBorders>
              <w:top w:val="nil"/>
              <w:left w:val="nil"/>
              <w:bottom w:val="single" w:sz="4" w:space="0" w:color="auto"/>
              <w:right w:val="single" w:sz="4" w:space="0" w:color="auto"/>
            </w:tcBorders>
            <w:shd w:val="clear" w:color="auto" w:fill="auto"/>
            <w:noWrap/>
            <w:vAlign w:val="center"/>
            <w:hideMark/>
          </w:tcPr>
          <w:p w14:paraId="2B4A5794" w14:textId="77777777" w:rsidR="009342B5" w:rsidRPr="00922B1C" w:rsidRDefault="009342B5" w:rsidP="000D0430">
            <w:pPr>
              <w:pStyle w:val="TableText0"/>
              <w:keepNext/>
              <w:jc w:val="center"/>
              <w:rPr>
                <w:lang w:eastAsia="en-AU"/>
              </w:rPr>
            </w:pPr>
            <w:r w:rsidRPr="00922B1C">
              <w:rPr>
                <w:lang w:eastAsia="en-AU"/>
              </w:rPr>
              <w:t>NR</w:t>
            </w:r>
          </w:p>
        </w:tc>
      </w:tr>
      <w:tr w:rsidR="009342B5" w:rsidRPr="00A010BD" w14:paraId="19A7D05E"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F0B8DCF" w14:textId="77777777" w:rsidR="009342B5" w:rsidRPr="00922B1C" w:rsidRDefault="009342B5" w:rsidP="000D0430">
            <w:pPr>
              <w:pStyle w:val="TableText0"/>
              <w:keepNext/>
              <w:rPr>
                <w:lang w:eastAsia="en-AU"/>
              </w:rPr>
            </w:pPr>
            <w:r w:rsidRPr="00922B1C">
              <w:rPr>
                <w:lang w:eastAsia="en-AU"/>
              </w:rPr>
              <w:t>G3</w:t>
            </w:r>
          </w:p>
        </w:tc>
        <w:tc>
          <w:tcPr>
            <w:tcW w:w="992" w:type="dxa"/>
            <w:tcBorders>
              <w:top w:val="nil"/>
              <w:left w:val="nil"/>
              <w:bottom w:val="single" w:sz="4" w:space="0" w:color="auto"/>
              <w:right w:val="single" w:sz="4" w:space="0" w:color="auto"/>
            </w:tcBorders>
            <w:shd w:val="clear" w:color="auto" w:fill="auto"/>
            <w:noWrap/>
            <w:vAlign w:val="center"/>
            <w:hideMark/>
          </w:tcPr>
          <w:p w14:paraId="294C4140" w14:textId="77777777" w:rsidR="009342B5" w:rsidRPr="00922B1C" w:rsidRDefault="009342B5" w:rsidP="000D0430">
            <w:pPr>
              <w:pStyle w:val="TableText0"/>
              <w:keepNext/>
              <w:jc w:val="center"/>
              <w:rPr>
                <w:lang w:eastAsia="en-AU"/>
              </w:rPr>
            </w:pPr>
            <w:r w:rsidRPr="00922B1C">
              <w:rPr>
                <w:lang w:eastAsia="en-AU"/>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D70023F" w14:textId="77777777" w:rsidR="009342B5" w:rsidRPr="00922B1C" w:rsidRDefault="009342B5" w:rsidP="000D0430">
            <w:pPr>
              <w:pStyle w:val="TableText0"/>
              <w:keepNext/>
              <w:jc w:val="center"/>
              <w:rPr>
                <w:lang w:eastAsia="en-AU"/>
              </w:rPr>
            </w:pPr>
            <w:r w:rsidRPr="00922B1C">
              <w:rPr>
                <w:lang w:eastAsia="en-AU"/>
              </w:rPr>
              <w:t>0.2 (0.1, 0.3)</w:t>
            </w:r>
          </w:p>
        </w:tc>
        <w:tc>
          <w:tcPr>
            <w:tcW w:w="992" w:type="dxa"/>
            <w:tcBorders>
              <w:top w:val="nil"/>
              <w:left w:val="nil"/>
              <w:bottom w:val="single" w:sz="4" w:space="0" w:color="auto"/>
              <w:right w:val="single" w:sz="4" w:space="0" w:color="auto"/>
            </w:tcBorders>
            <w:shd w:val="clear" w:color="auto" w:fill="auto"/>
            <w:noWrap/>
            <w:vAlign w:val="center"/>
            <w:hideMark/>
          </w:tcPr>
          <w:p w14:paraId="7D132E75" w14:textId="77777777" w:rsidR="009342B5" w:rsidRPr="00922B1C" w:rsidRDefault="009342B5" w:rsidP="000D0430">
            <w:pPr>
              <w:pStyle w:val="TableText0"/>
              <w:keepNext/>
              <w:jc w:val="center"/>
              <w:rPr>
                <w:lang w:eastAsia="en-AU"/>
              </w:rPr>
            </w:pPr>
            <w:r w:rsidRPr="00922B1C">
              <w:rPr>
                <w:lang w:eastAsia="en-AU"/>
              </w:rPr>
              <w:t>157</w:t>
            </w:r>
          </w:p>
        </w:tc>
        <w:tc>
          <w:tcPr>
            <w:tcW w:w="1276" w:type="dxa"/>
            <w:tcBorders>
              <w:top w:val="nil"/>
              <w:left w:val="nil"/>
              <w:bottom w:val="single" w:sz="4" w:space="0" w:color="auto"/>
              <w:right w:val="single" w:sz="4" w:space="0" w:color="auto"/>
            </w:tcBorders>
            <w:shd w:val="clear" w:color="auto" w:fill="auto"/>
            <w:noWrap/>
            <w:vAlign w:val="center"/>
            <w:hideMark/>
          </w:tcPr>
          <w:p w14:paraId="63EA3D35" w14:textId="77777777" w:rsidR="009342B5" w:rsidRPr="00922B1C" w:rsidRDefault="009342B5" w:rsidP="000D0430">
            <w:pPr>
              <w:pStyle w:val="TableText0"/>
              <w:keepNext/>
              <w:jc w:val="center"/>
              <w:rPr>
                <w:lang w:eastAsia="en-AU"/>
              </w:rPr>
            </w:pPr>
            <w:r w:rsidRPr="00922B1C">
              <w:rPr>
                <w:lang w:eastAsia="en-AU"/>
              </w:rPr>
              <w:t>0.5 (0.4, 0.6)</w:t>
            </w:r>
          </w:p>
        </w:tc>
        <w:tc>
          <w:tcPr>
            <w:tcW w:w="992" w:type="dxa"/>
            <w:tcBorders>
              <w:top w:val="nil"/>
              <w:left w:val="nil"/>
              <w:bottom w:val="single" w:sz="4" w:space="0" w:color="auto"/>
              <w:right w:val="single" w:sz="4" w:space="0" w:color="auto"/>
            </w:tcBorders>
            <w:shd w:val="clear" w:color="auto" w:fill="auto"/>
            <w:noWrap/>
            <w:vAlign w:val="center"/>
            <w:hideMark/>
          </w:tcPr>
          <w:p w14:paraId="2C3AFA17" w14:textId="77777777" w:rsidR="009342B5" w:rsidRPr="00922B1C" w:rsidRDefault="009342B5" w:rsidP="000D0430">
            <w:pPr>
              <w:pStyle w:val="TableText0"/>
              <w:keepNext/>
              <w:jc w:val="center"/>
              <w:rPr>
                <w:lang w:eastAsia="en-AU"/>
              </w:rPr>
            </w:pPr>
            <w:r w:rsidRPr="00922B1C">
              <w:rPr>
                <w:lang w:eastAsia="en-AU"/>
              </w:rPr>
              <w:t>761</w:t>
            </w:r>
          </w:p>
        </w:tc>
        <w:tc>
          <w:tcPr>
            <w:tcW w:w="1276" w:type="dxa"/>
            <w:tcBorders>
              <w:top w:val="nil"/>
              <w:left w:val="nil"/>
              <w:bottom w:val="single" w:sz="4" w:space="0" w:color="auto"/>
              <w:right w:val="single" w:sz="4" w:space="0" w:color="auto"/>
            </w:tcBorders>
            <w:shd w:val="clear" w:color="auto" w:fill="auto"/>
            <w:noWrap/>
            <w:vAlign w:val="center"/>
            <w:hideMark/>
          </w:tcPr>
          <w:p w14:paraId="6D99040B" w14:textId="77777777" w:rsidR="009342B5" w:rsidRPr="00922B1C" w:rsidRDefault="009342B5" w:rsidP="000D0430">
            <w:pPr>
              <w:pStyle w:val="TableText0"/>
              <w:keepNext/>
              <w:jc w:val="center"/>
              <w:rPr>
                <w:lang w:eastAsia="en-AU"/>
              </w:rPr>
            </w:pPr>
            <w:r w:rsidRPr="00922B1C">
              <w:rPr>
                <w:lang w:eastAsia="en-AU"/>
              </w:rPr>
              <w:t>1.5 (1.4, 1.6)</w:t>
            </w:r>
          </w:p>
        </w:tc>
        <w:tc>
          <w:tcPr>
            <w:tcW w:w="850" w:type="dxa"/>
            <w:tcBorders>
              <w:top w:val="nil"/>
              <w:left w:val="nil"/>
              <w:bottom w:val="single" w:sz="4" w:space="0" w:color="auto"/>
              <w:right w:val="single" w:sz="4" w:space="0" w:color="auto"/>
            </w:tcBorders>
            <w:shd w:val="clear" w:color="auto" w:fill="auto"/>
            <w:noWrap/>
            <w:vAlign w:val="center"/>
            <w:hideMark/>
          </w:tcPr>
          <w:p w14:paraId="223D02F9" w14:textId="77777777" w:rsidR="009342B5" w:rsidRPr="00922B1C" w:rsidRDefault="009342B5" w:rsidP="000D0430">
            <w:pPr>
              <w:pStyle w:val="TableText0"/>
              <w:keepNext/>
              <w:jc w:val="center"/>
              <w:rPr>
                <w:lang w:eastAsia="en-AU"/>
              </w:rPr>
            </w:pPr>
            <w:r w:rsidRPr="00922B1C">
              <w:rPr>
                <w:lang w:eastAsia="en-AU"/>
              </w:rPr>
              <w:t>300</w:t>
            </w:r>
          </w:p>
        </w:tc>
      </w:tr>
      <w:tr w:rsidR="009342B5" w:rsidRPr="00A010BD" w14:paraId="16877754"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5F16BAE" w14:textId="77777777" w:rsidR="009342B5" w:rsidRPr="00922B1C" w:rsidRDefault="009342B5" w:rsidP="000D0430">
            <w:pPr>
              <w:pStyle w:val="TableText0"/>
              <w:keepNext/>
              <w:rPr>
                <w:lang w:eastAsia="en-AU"/>
              </w:rPr>
            </w:pPr>
            <w:r w:rsidRPr="00922B1C">
              <w:rPr>
                <w:lang w:eastAsia="en-AU"/>
              </w:rPr>
              <w:t>G4</w:t>
            </w:r>
          </w:p>
        </w:tc>
        <w:tc>
          <w:tcPr>
            <w:tcW w:w="992" w:type="dxa"/>
            <w:tcBorders>
              <w:top w:val="nil"/>
              <w:left w:val="nil"/>
              <w:bottom w:val="single" w:sz="4" w:space="0" w:color="auto"/>
              <w:right w:val="single" w:sz="4" w:space="0" w:color="auto"/>
            </w:tcBorders>
            <w:shd w:val="clear" w:color="auto" w:fill="auto"/>
            <w:noWrap/>
            <w:vAlign w:val="center"/>
            <w:hideMark/>
          </w:tcPr>
          <w:p w14:paraId="29BCE1A2" w14:textId="77777777" w:rsidR="009342B5" w:rsidRPr="00922B1C" w:rsidRDefault="009342B5" w:rsidP="000D0430">
            <w:pPr>
              <w:pStyle w:val="TableText0"/>
              <w:keepNext/>
              <w:jc w:val="center"/>
              <w:rPr>
                <w:lang w:eastAsia="en-AU"/>
              </w:rPr>
            </w:pPr>
            <w:r w:rsidRPr="00922B1C">
              <w:rPr>
                <w:lang w:eastAsia="en-AU"/>
              </w:rPr>
              <w:t>16</w:t>
            </w:r>
          </w:p>
        </w:tc>
        <w:tc>
          <w:tcPr>
            <w:tcW w:w="1276" w:type="dxa"/>
            <w:tcBorders>
              <w:top w:val="nil"/>
              <w:left w:val="nil"/>
              <w:bottom w:val="single" w:sz="4" w:space="0" w:color="auto"/>
              <w:right w:val="single" w:sz="4" w:space="0" w:color="auto"/>
            </w:tcBorders>
            <w:shd w:val="clear" w:color="auto" w:fill="auto"/>
            <w:noWrap/>
            <w:vAlign w:val="center"/>
            <w:hideMark/>
          </w:tcPr>
          <w:p w14:paraId="4E28BB26" w14:textId="77777777" w:rsidR="009342B5" w:rsidRPr="00922B1C" w:rsidRDefault="009342B5" w:rsidP="000D0430">
            <w:pPr>
              <w:pStyle w:val="TableText0"/>
              <w:keepNext/>
              <w:jc w:val="center"/>
              <w:rPr>
                <w:lang w:eastAsia="en-AU"/>
              </w:rPr>
            </w:pPr>
            <w:r w:rsidRPr="00922B1C">
              <w:rPr>
                <w:lang w:eastAsia="en-AU"/>
              </w:rPr>
              <w:t>0.3 (0.2, 0.5)</w:t>
            </w:r>
          </w:p>
        </w:tc>
        <w:tc>
          <w:tcPr>
            <w:tcW w:w="992" w:type="dxa"/>
            <w:tcBorders>
              <w:top w:val="nil"/>
              <w:left w:val="nil"/>
              <w:bottom w:val="single" w:sz="4" w:space="0" w:color="auto"/>
              <w:right w:val="single" w:sz="4" w:space="0" w:color="auto"/>
            </w:tcBorders>
            <w:shd w:val="clear" w:color="auto" w:fill="auto"/>
            <w:noWrap/>
            <w:vAlign w:val="center"/>
            <w:hideMark/>
          </w:tcPr>
          <w:p w14:paraId="0BA07C98" w14:textId="77777777" w:rsidR="009342B5" w:rsidRPr="00922B1C" w:rsidRDefault="009342B5" w:rsidP="000D0430">
            <w:pPr>
              <w:pStyle w:val="TableText0"/>
              <w:keepNext/>
              <w:jc w:val="center"/>
              <w:rPr>
                <w:lang w:eastAsia="en-AU"/>
              </w:rPr>
            </w:pPr>
            <w:r w:rsidRPr="00922B1C">
              <w:rPr>
                <w:lang w:eastAsia="en-AU"/>
              </w:rPr>
              <w:t>150</w:t>
            </w:r>
          </w:p>
        </w:tc>
        <w:tc>
          <w:tcPr>
            <w:tcW w:w="1276" w:type="dxa"/>
            <w:tcBorders>
              <w:top w:val="nil"/>
              <w:left w:val="nil"/>
              <w:bottom w:val="single" w:sz="4" w:space="0" w:color="auto"/>
              <w:right w:val="single" w:sz="4" w:space="0" w:color="auto"/>
            </w:tcBorders>
            <w:shd w:val="clear" w:color="auto" w:fill="auto"/>
            <w:noWrap/>
            <w:vAlign w:val="center"/>
            <w:hideMark/>
          </w:tcPr>
          <w:p w14:paraId="26D89A41" w14:textId="77777777" w:rsidR="009342B5" w:rsidRPr="00922B1C" w:rsidRDefault="009342B5" w:rsidP="000D0430">
            <w:pPr>
              <w:pStyle w:val="TableText0"/>
              <w:keepNext/>
              <w:jc w:val="center"/>
              <w:rPr>
                <w:lang w:eastAsia="en-AU"/>
              </w:rPr>
            </w:pPr>
            <w:r w:rsidRPr="00922B1C">
              <w:rPr>
                <w:lang w:eastAsia="en-AU"/>
              </w:rPr>
              <w:t>0.4 (0.4, 0.5)</w:t>
            </w:r>
          </w:p>
        </w:tc>
        <w:tc>
          <w:tcPr>
            <w:tcW w:w="992" w:type="dxa"/>
            <w:tcBorders>
              <w:top w:val="nil"/>
              <w:left w:val="nil"/>
              <w:bottom w:val="single" w:sz="4" w:space="0" w:color="auto"/>
              <w:right w:val="single" w:sz="4" w:space="0" w:color="auto"/>
            </w:tcBorders>
            <w:shd w:val="clear" w:color="auto" w:fill="auto"/>
            <w:noWrap/>
            <w:vAlign w:val="center"/>
            <w:hideMark/>
          </w:tcPr>
          <w:p w14:paraId="5EA26A95" w14:textId="77777777" w:rsidR="009342B5" w:rsidRPr="00922B1C" w:rsidRDefault="009342B5" w:rsidP="000D0430">
            <w:pPr>
              <w:pStyle w:val="TableText0"/>
              <w:keepNext/>
              <w:jc w:val="center"/>
              <w:rPr>
                <w:lang w:eastAsia="en-AU"/>
              </w:rPr>
            </w:pPr>
            <w:r w:rsidRPr="00922B1C">
              <w:rPr>
                <w:lang w:eastAsia="en-AU"/>
              </w:rPr>
              <w:t>37</w:t>
            </w:r>
          </w:p>
        </w:tc>
        <w:tc>
          <w:tcPr>
            <w:tcW w:w="1276" w:type="dxa"/>
            <w:tcBorders>
              <w:top w:val="nil"/>
              <w:left w:val="nil"/>
              <w:bottom w:val="single" w:sz="4" w:space="0" w:color="auto"/>
              <w:right w:val="single" w:sz="4" w:space="0" w:color="auto"/>
            </w:tcBorders>
            <w:shd w:val="clear" w:color="auto" w:fill="auto"/>
            <w:noWrap/>
            <w:vAlign w:val="center"/>
            <w:hideMark/>
          </w:tcPr>
          <w:p w14:paraId="17DFAE19" w14:textId="77777777" w:rsidR="009342B5" w:rsidRPr="00922B1C" w:rsidRDefault="009342B5" w:rsidP="000D0430">
            <w:pPr>
              <w:pStyle w:val="TableText0"/>
              <w:keepNext/>
              <w:jc w:val="center"/>
              <w:rPr>
                <w:lang w:eastAsia="en-AU"/>
              </w:rPr>
            </w:pPr>
            <w:r w:rsidRPr="00922B1C">
              <w:rPr>
                <w:lang w:eastAsia="en-AU"/>
              </w:rPr>
              <w:t>0.1 (0, 0.1)</w:t>
            </w:r>
          </w:p>
        </w:tc>
        <w:tc>
          <w:tcPr>
            <w:tcW w:w="850" w:type="dxa"/>
            <w:tcBorders>
              <w:top w:val="nil"/>
              <w:left w:val="nil"/>
              <w:bottom w:val="single" w:sz="4" w:space="0" w:color="auto"/>
              <w:right w:val="single" w:sz="4" w:space="0" w:color="auto"/>
            </w:tcBorders>
            <w:shd w:val="clear" w:color="auto" w:fill="auto"/>
            <w:noWrap/>
            <w:vAlign w:val="center"/>
            <w:hideMark/>
          </w:tcPr>
          <w:p w14:paraId="7B26B1FF" w14:textId="77777777" w:rsidR="009342B5" w:rsidRPr="00922B1C" w:rsidRDefault="009342B5" w:rsidP="000D0430">
            <w:pPr>
              <w:pStyle w:val="TableText0"/>
              <w:keepNext/>
              <w:jc w:val="center"/>
              <w:rPr>
                <w:lang w:eastAsia="en-AU"/>
              </w:rPr>
            </w:pPr>
            <w:r w:rsidRPr="00922B1C">
              <w:rPr>
                <w:lang w:eastAsia="en-AU"/>
              </w:rPr>
              <w:t>25</w:t>
            </w:r>
          </w:p>
        </w:tc>
      </w:tr>
      <w:tr w:rsidR="009342B5" w:rsidRPr="00A010BD" w14:paraId="2AAC1044" w14:textId="77777777" w:rsidTr="0035237C">
        <w:trPr>
          <w:trHeight w:val="17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5F9965F" w14:textId="77777777" w:rsidR="009342B5" w:rsidRPr="00922B1C" w:rsidRDefault="009342B5" w:rsidP="000D0430">
            <w:pPr>
              <w:pStyle w:val="TableText0"/>
              <w:keepNext/>
              <w:rPr>
                <w:lang w:eastAsia="en-AU"/>
              </w:rPr>
            </w:pPr>
            <w:r w:rsidRPr="00922B1C">
              <w:rPr>
                <w:lang w:eastAsia="en-AU"/>
              </w:rPr>
              <w:t>Grade unknown</w:t>
            </w:r>
          </w:p>
        </w:tc>
        <w:tc>
          <w:tcPr>
            <w:tcW w:w="992" w:type="dxa"/>
            <w:tcBorders>
              <w:top w:val="nil"/>
              <w:left w:val="nil"/>
              <w:bottom w:val="single" w:sz="4" w:space="0" w:color="auto"/>
              <w:right w:val="single" w:sz="4" w:space="0" w:color="auto"/>
            </w:tcBorders>
            <w:shd w:val="clear" w:color="auto" w:fill="auto"/>
            <w:noWrap/>
            <w:vAlign w:val="center"/>
            <w:hideMark/>
          </w:tcPr>
          <w:p w14:paraId="330AB7F1" w14:textId="77777777" w:rsidR="009342B5" w:rsidRPr="00922B1C" w:rsidRDefault="009342B5" w:rsidP="000D0430">
            <w:pPr>
              <w:pStyle w:val="TableText0"/>
              <w:keepNext/>
              <w:jc w:val="center"/>
              <w:rPr>
                <w:lang w:eastAsia="en-AU"/>
              </w:rPr>
            </w:pPr>
            <w:r w:rsidRPr="00922B1C">
              <w:rPr>
                <w:lang w:eastAsia="en-AU"/>
              </w:rPr>
              <w:t>149</w:t>
            </w:r>
          </w:p>
        </w:tc>
        <w:tc>
          <w:tcPr>
            <w:tcW w:w="1276" w:type="dxa"/>
            <w:tcBorders>
              <w:top w:val="nil"/>
              <w:left w:val="nil"/>
              <w:bottom w:val="single" w:sz="4" w:space="0" w:color="auto"/>
              <w:right w:val="single" w:sz="4" w:space="0" w:color="auto"/>
            </w:tcBorders>
            <w:shd w:val="clear" w:color="auto" w:fill="auto"/>
            <w:noWrap/>
            <w:vAlign w:val="center"/>
            <w:hideMark/>
          </w:tcPr>
          <w:p w14:paraId="3D3F74F0" w14:textId="77777777" w:rsidR="009342B5" w:rsidRPr="00922B1C" w:rsidRDefault="009342B5" w:rsidP="000D0430">
            <w:pPr>
              <w:pStyle w:val="TableText0"/>
              <w:keepNext/>
              <w:jc w:val="center"/>
              <w:rPr>
                <w:lang w:eastAsia="en-AU"/>
              </w:rPr>
            </w:pPr>
            <w:r w:rsidRPr="00922B1C">
              <w:rPr>
                <w:lang w:eastAsia="en-AU"/>
              </w:rPr>
              <w:t>0.7 (0.6, 0.8)</w:t>
            </w:r>
          </w:p>
        </w:tc>
        <w:tc>
          <w:tcPr>
            <w:tcW w:w="992" w:type="dxa"/>
            <w:tcBorders>
              <w:top w:val="nil"/>
              <w:left w:val="nil"/>
              <w:bottom w:val="single" w:sz="4" w:space="0" w:color="auto"/>
              <w:right w:val="single" w:sz="4" w:space="0" w:color="auto"/>
            </w:tcBorders>
            <w:shd w:val="clear" w:color="auto" w:fill="auto"/>
            <w:noWrap/>
            <w:vAlign w:val="center"/>
            <w:hideMark/>
          </w:tcPr>
          <w:p w14:paraId="4675F39A" w14:textId="77777777" w:rsidR="009342B5" w:rsidRPr="00922B1C" w:rsidRDefault="009342B5" w:rsidP="000D0430">
            <w:pPr>
              <w:pStyle w:val="TableText0"/>
              <w:keepNext/>
              <w:jc w:val="center"/>
              <w:rPr>
                <w:lang w:eastAsia="en-AU"/>
              </w:rPr>
            </w:pPr>
            <w:r w:rsidRPr="00922B1C">
              <w:rPr>
                <w:lang w:eastAsia="en-AU"/>
              </w:rPr>
              <w:t>171</w:t>
            </w:r>
          </w:p>
        </w:tc>
        <w:tc>
          <w:tcPr>
            <w:tcW w:w="1276" w:type="dxa"/>
            <w:tcBorders>
              <w:top w:val="nil"/>
              <w:left w:val="nil"/>
              <w:bottom w:val="single" w:sz="4" w:space="0" w:color="auto"/>
              <w:right w:val="single" w:sz="4" w:space="0" w:color="auto"/>
            </w:tcBorders>
            <w:shd w:val="clear" w:color="auto" w:fill="auto"/>
            <w:noWrap/>
            <w:vAlign w:val="center"/>
            <w:hideMark/>
          </w:tcPr>
          <w:p w14:paraId="360F41AC" w14:textId="77777777" w:rsidR="009342B5" w:rsidRPr="00922B1C" w:rsidRDefault="009342B5" w:rsidP="000D0430">
            <w:pPr>
              <w:pStyle w:val="TableText0"/>
              <w:keepNext/>
              <w:jc w:val="center"/>
              <w:rPr>
                <w:lang w:eastAsia="en-AU"/>
              </w:rPr>
            </w:pPr>
            <w:r w:rsidRPr="00922B1C">
              <w:rPr>
                <w:lang w:eastAsia="en-AU"/>
              </w:rPr>
              <w:t>0.5 (0.5, 0.6)</w:t>
            </w:r>
          </w:p>
        </w:tc>
        <w:tc>
          <w:tcPr>
            <w:tcW w:w="992" w:type="dxa"/>
            <w:tcBorders>
              <w:top w:val="nil"/>
              <w:left w:val="nil"/>
              <w:bottom w:val="single" w:sz="4" w:space="0" w:color="auto"/>
              <w:right w:val="single" w:sz="4" w:space="0" w:color="auto"/>
            </w:tcBorders>
            <w:shd w:val="clear" w:color="auto" w:fill="auto"/>
            <w:noWrap/>
            <w:vAlign w:val="center"/>
            <w:hideMark/>
          </w:tcPr>
          <w:p w14:paraId="02573E74" w14:textId="77777777" w:rsidR="009342B5" w:rsidRPr="00922B1C" w:rsidRDefault="009342B5" w:rsidP="000D0430">
            <w:pPr>
              <w:pStyle w:val="TableText0"/>
              <w:keepNext/>
              <w:jc w:val="center"/>
              <w:rPr>
                <w:lang w:eastAsia="en-AU"/>
              </w:rPr>
            </w:pPr>
            <w:r w:rsidRPr="00922B1C">
              <w:rPr>
                <w:lang w:eastAsia="en-AU"/>
              </w:rPr>
              <w:t>547</w:t>
            </w:r>
          </w:p>
        </w:tc>
        <w:tc>
          <w:tcPr>
            <w:tcW w:w="1276" w:type="dxa"/>
            <w:tcBorders>
              <w:top w:val="nil"/>
              <w:left w:val="nil"/>
              <w:bottom w:val="single" w:sz="4" w:space="0" w:color="auto"/>
              <w:right w:val="single" w:sz="4" w:space="0" w:color="auto"/>
            </w:tcBorders>
            <w:shd w:val="clear" w:color="auto" w:fill="auto"/>
            <w:noWrap/>
            <w:vAlign w:val="center"/>
            <w:hideMark/>
          </w:tcPr>
          <w:p w14:paraId="680388E2" w14:textId="77777777" w:rsidR="009342B5" w:rsidRPr="00922B1C" w:rsidRDefault="009342B5" w:rsidP="000D0430">
            <w:pPr>
              <w:pStyle w:val="TableText0"/>
              <w:keepNext/>
              <w:jc w:val="center"/>
              <w:rPr>
                <w:lang w:eastAsia="en-AU"/>
              </w:rPr>
            </w:pPr>
            <w:r w:rsidRPr="00922B1C">
              <w:rPr>
                <w:lang w:eastAsia="en-AU"/>
              </w:rPr>
              <w:t>1 (0.9, 1.1)</w:t>
            </w:r>
          </w:p>
        </w:tc>
        <w:tc>
          <w:tcPr>
            <w:tcW w:w="850" w:type="dxa"/>
            <w:tcBorders>
              <w:top w:val="nil"/>
              <w:left w:val="nil"/>
              <w:bottom w:val="single" w:sz="4" w:space="0" w:color="auto"/>
              <w:right w:val="single" w:sz="4" w:space="0" w:color="auto"/>
            </w:tcBorders>
            <w:shd w:val="clear" w:color="auto" w:fill="auto"/>
            <w:noWrap/>
            <w:vAlign w:val="center"/>
            <w:hideMark/>
          </w:tcPr>
          <w:p w14:paraId="6AA72E67" w14:textId="77777777" w:rsidR="009342B5" w:rsidRPr="00922B1C" w:rsidRDefault="009342B5" w:rsidP="000D0430">
            <w:pPr>
              <w:pStyle w:val="TableText0"/>
              <w:keepNext/>
              <w:jc w:val="center"/>
              <w:rPr>
                <w:lang w:eastAsia="en-AU"/>
              </w:rPr>
            </w:pPr>
            <w:r w:rsidRPr="00922B1C">
              <w:rPr>
                <w:lang w:eastAsia="en-AU"/>
              </w:rPr>
              <w:t>200</w:t>
            </w:r>
          </w:p>
        </w:tc>
      </w:tr>
    </w:tbl>
    <w:p w14:paraId="25F8DB4B" w14:textId="48B7F095" w:rsidR="009342B5" w:rsidRPr="00922B1C" w:rsidRDefault="009342B5" w:rsidP="000D0430">
      <w:pPr>
        <w:pStyle w:val="Tablenotes"/>
        <w:keepNext/>
        <w:spacing w:after="0"/>
      </w:pPr>
      <w:r w:rsidRPr="00922B1C">
        <w:t>Source: modified from Table 2, p310-14</w:t>
      </w:r>
      <w:r w:rsidR="008E078F" w:rsidRPr="00922B1C">
        <w:t xml:space="preserve"> from</w:t>
      </w:r>
      <w:r w:rsidRPr="00922B1C">
        <w:t xml:space="preserve"> Michael 2019</w:t>
      </w:r>
    </w:p>
    <w:p w14:paraId="570196E0" w14:textId="05B91D40" w:rsidR="009342B5" w:rsidRPr="00922B1C" w:rsidRDefault="009342B5" w:rsidP="000D0430">
      <w:pPr>
        <w:pStyle w:val="Tablenotes"/>
        <w:keepNext/>
        <w:spacing w:after="0"/>
      </w:pPr>
      <w:r w:rsidRPr="00922B1C">
        <w:t>Abbreviations:</w:t>
      </w:r>
      <w:r w:rsidR="000937D6" w:rsidRPr="00922B1C">
        <w:t xml:space="preserve"> ASIR = age-standardised incidence rate; CI = confidence interval; G1 = grade 1; G2 = grade 2; Grade 3 = grade 3; G4 = grade 4; ICD = International Classification of Diseases; n = number; </w:t>
      </w:r>
      <w:r w:rsidR="00A864AC" w:rsidRPr="00922B1C">
        <w:t>NETs = neuroendocrine tumours</w:t>
      </w:r>
      <w:r w:rsidR="009E2E21" w:rsidRPr="00922B1C">
        <w:t>.</w:t>
      </w:r>
    </w:p>
    <w:p w14:paraId="5550A6B6" w14:textId="42E99B42" w:rsidR="000A29E9" w:rsidRDefault="009342B5" w:rsidP="000A29E9">
      <w:pPr>
        <w:pStyle w:val="Tablenotes"/>
        <w:keepNext/>
        <w:tabs>
          <w:tab w:val="left" w:pos="284"/>
        </w:tabs>
        <w:spacing w:after="240"/>
      </w:pPr>
      <w:r w:rsidRPr="00922B1C">
        <w:t xml:space="preserve">* </w:t>
      </w:r>
      <w:r w:rsidR="00DB1BCF" w:rsidRPr="00922B1C">
        <w:tab/>
      </w:r>
      <w:r w:rsidRPr="00922B1C">
        <w:t xml:space="preserve">Percentage change is between the complete decades of 1990-1999 and 2010-2019 (as reported in Michael </w:t>
      </w:r>
      <w:r w:rsidR="006F34EB" w:rsidRPr="00922B1C">
        <w:t>2022</w:t>
      </w:r>
    </w:p>
    <w:p w14:paraId="0E38780D" w14:textId="21F08735" w:rsidR="007A66C8" w:rsidRPr="00ED4E95" w:rsidRDefault="007A66C8" w:rsidP="00713728">
      <w:pPr>
        <w:pStyle w:val="Heading3"/>
      </w:pPr>
      <w:r w:rsidRPr="00ED4E95">
        <w:t>Intervention</w:t>
      </w:r>
    </w:p>
    <w:p w14:paraId="0AAB545A" w14:textId="13FB36D1" w:rsidR="000D21F1" w:rsidRPr="00E35BCA" w:rsidRDefault="000D21F1" w:rsidP="00AE0021">
      <w:pPr>
        <w:spacing w:after="240"/>
        <w:jc w:val="both"/>
        <w:rPr>
          <w:iCs/>
        </w:rPr>
      </w:pPr>
      <w:bookmarkStart w:id="30" w:name="_Hlk140699256"/>
      <w:r w:rsidRPr="00E35BCA">
        <w:rPr>
          <w:iCs/>
        </w:rPr>
        <w:t xml:space="preserve">The proposed intervention is for </w:t>
      </w:r>
      <w:r w:rsidRPr="00E35BCA">
        <w:rPr>
          <w:iCs/>
          <w:vertAlign w:val="superscript"/>
        </w:rPr>
        <w:t>177</w:t>
      </w:r>
      <w:r w:rsidRPr="00E35BCA">
        <w:rPr>
          <w:iCs/>
        </w:rPr>
        <w:t>Lu</w:t>
      </w:r>
      <w:r w:rsidR="00594B1B" w:rsidRPr="00E35BCA">
        <w:rPr>
          <w:iCs/>
        </w:rPr>
        <w:t>(nca)</w:t>
      </w:r>
      <w:r w:rsidRPr="00E35BCA">
        <w:rPr>
          <w:iCs/>
        </w:rPr>
        <w:t>-DOTA-</w:t>
      </w:r>
      <w:r w:rsidR="00594B1B" w:rsidRPr="00E35BCA">
        <w:rPr>
          <w:iCs/>
        </w:rPr>
        <w:t>o</w:t>
      </w:r>
      <w:r w:rsidRPr="00E35BCA">
        <w:rPr>
          <w:iCs/>
        </w:rPr>
        <w:t>ctreotate. Lutetium (</w:t>
      </w:r>
      <w:r w:rsidRPr="00E35BCA">
        <w:rPr>
          <w:iCs/>
          <w:vertAlign w:val="superscript"/>
        </w:rPr>
        <w:t>177</w:t>
      </w:r>
      <w:r w:rsidRPr="00E35BCA">
        <w:rPr>
          <w:iCs/>
        </w:rPr>
        <w:t xml:space="preserve">Lu) chloride is a radiopharmaceutical precursor for the treatment of non-resectable or metastatic neuroendocrine tumours (NETS) expressing somatostatin subtype 2 receptors when coupled with a suitable carrier molecule. The quantity of </w:t>
      </w:r>
      <w:r w:rsidRPr="00E35BCA">
        <w:rPr>
          <w:iCs/>
          <w:vertAlign w:val="superscript"/>
        </w:rPr>
        <w:t>177</w:t>
      </w:r>
      <w:r w:rsidRPr="00E35BCA">
        <w:rPr>
          <w:iCs/>
        </w:rPr>
        <w:t>Lu labelled P</w:t>
      </w:r>
      <w:r w:rsidR="00C04E7D" w:rsidRPr="00E35BCA">
        <w:rPr>
          <w:iCs/>
        </w:rPr>
        <w:t>R</w:t>
      </w:r>
      <w:r w:rsidRPr="00E35BCA">
        <w:rPr>
          <w:iCs/>
        </w:rPr>
        <w:t xml:space="preserve">RT that is subsequently administered will depend on the carrier molecule to be radiolabelled and its intended use (AusPAR TGA Product Information). Octreotate is the higher affinity analogue of </w:t>
      </w:r>
      <w:r w:rsidR="00594B1B" w:rsidRPr="00E35BCA">
        <w:rPr>
          <w:iCs/>
        </w:rPr>
        <w:t>o</w:t>
      </w:r>
      <w:r w:rsidRPr="00E35BCA">
        <w:rPr>
          <w:iCs/>
        </w:rPr>
        <w:t>ctreotide</w:t>
      </w:r>
      <w:r w:rsidR="00AD42DA" w:rsidRPr="00E35BCA">
        <w:rPr>
          <w:iCs/>
        </w:rPr>
        <w:t>,</w:t>
      </w:r>
      <w:r w:rsidRPr="00E35BCA">
        <w:rPr>
          <w:iCs/>
        </w:rPr>
        <w:t xml:space="preserve"> a somatostatin analogue, that binds with high affinity to the SSTR2 and SSTR5 </w:t>
      </w:r>
      <w:r w:rsidRPr="00E35BCA">
        <w:rPr>
          <w:iCs/>
        </w:rPr>
        <w:lastRenderedPageBreak/>
        <w:t xml:space="preserve">subtype and with low affinity to the SSTR3 subtypes. This analogue does not bind to the SSTR1 and SSTR4 subtypes. </w:t>
      </w:r>
    </w:p>
    <w:p w14:paraId="73C1D452" w14:textId="3BCBEAF9" w:rsidR="00353E09" w:rsidRPr="00D332A7" w:rsidRDefault="000D21F1" w:rsidP="00AE0021">
      <w:pPr>
        <w:spacing w:after="240"/>
        <w:jc w:val="both"/>
        <w:rPr>
          <w:iCs/>
        </w:rPr>
      </w:pPr>
      <w:r w:rsidRPr="00E35BCA">
        <w:rPr>
          <w:iCs/>
        </w:rPr>
        <w:t xml:space="preserve">The </w:t>
      </w:r>
      <w:r w:rsidRPr="00E35BCA">
        <w:rPr>
          <w:iCs/>
          <w:vertAlign w:val="superscript"/>
        </w:rPr>
        <w:t>177</w:t>
      </w:r>
      <w:r w:rsidRPr="00E35BCA">
        <w:rPr>
          <w:iCs/>
        </w:rPr>
        <w:t>Lu</w:t>
      </w:r>
      <w:r w:rsidR="00BF15B8" w:rsidRPr="00E35BCA">
        <w:rPr>
          <w:iCs/>
        </w:rPr>
        <w:t>(nca) product</w:t>
      </w:r>
      <w:r w:rsidRPr="00E35BCA">
        <w:rPr>
          <w:iCs/>
        </w:rPr>
        <w:t xml:space="preserve"> that will be supplied by the applicant, is produced by a TGA licenced manufacturer following Good Manufacturing Practice (GMP).</w:t>
      </w:r>
      <w:r w:rsidRPr="00D332A7">
        <w:rPr>
          <w:iCs/>
        </w:rPr>
        <w:t xml:space="preserve"> </w:t>
      </w:r>
    </w:p>
    <w:p w14:paraId="5A11BBDE" w14:textId="18B9120A" w:rsidR="00353E09" w:rsidRDefault="009B1983" w:rsidP="00AE0021">
      <w:pPr>
        <w:spacing w:after="240"/>
        <w:jc w:val="both"/>
        <w:rPr>
          <w:iCs/>
        </w:rPr>
      </w:pPr>
      <w:r>
        <w:rPr>
          <w:iCs/>
        </w:rPr>
        <w:t>Consistent with the applicant’s advic</w:t>
      </w:r>
      <w:r w:rsidR="003878A5">
        <w:rPr>
          <w:iCs/>
        </w:rPr>
        <w:t>e</w:t>
      </w:r>
      <w:r w:rsidR="00435D45">
        <w:rPr>
          <w:iCs/>
        </w:rPr>
        <w:t xml:space="preserve">, </w:t>
      </w:r>
      <w:r w:rsidR="008408A0" w:rsidRPr="008408A0">
        <w:rPr>
          <w:iCs/>
        </w:rPr>
        <w:t xml:space="preserve">the TGA Guidance on GMP information for manufacturers of compounded medicines and </w:t>
      </w:r>
      <w:r w:rsidR="004D2185">
        <w:rPr>
          <w:iCs/>
        </w:rPr>
        <w:t xml:space="preserve">dose administration aids </w:t>
      </w:r>
      <w:r w:rsidR="00525430">
        <w:rPr>
          <w:iCs/>
        </w:rPr>
        <w:t>(</w:t>
      </w:r>
      <w:r w:rsidR="008408A0" w:rsidRPr="008408A0">
        <w:rPr>
          <w:iCs/>
        </w:rPr>
        <w:t>DAAs</w:t>
      </w:r>
      <w:r w:rsidR="00840733">
        <w:rPr>
          <w:iCs/>
        </w:rPr>
        <w:t>)</w:t>
      </w:r>
      <w:r w:rsidR="003445AC">
        <w:rPr>
          <w:rStyle w:val="FootnoteReference"/>
          <w:iCs/>
        </w:rPr>
        <w:footnoteReference w:id="5"/>
      </w:r>
      <w:r w:rsidR="008408A0" w:rsidRPr="008408A0">
        <w:rPr>
          <w:iCs/>
        </w:rPr>
        <w:t xml:space="preserve"> a person with a TGA issued manufacturing licence manufacture can supply a medicine that has been extemporaneously compounded for a particular person for therapeutic application to that person.</w:t>
      </w:r>
    </w:p>
    <w:p w14:paraId="5A049BA0" w14:textId="69D198D6" w:rsidR="00AC609E" w:rsidRDefault="00AC609E" w:rsidP="00AE0021">
      <w:pPr>
        <w:spacing w:after="240"/>
        <w:jc w:val="both"/>
        <w:rPr>
          <w:iCs/>
        </w:rPr>
      </w:pPr>
      <w:r w:rsidRPr="00ED4E95">
        <w:rPr>
          <w:iCs/>
        </w:rPr>
        <w:t>The application (p19)</w:t>
      </w:r>
      <w:r w:rsidR="000D21F1">
        <w:rPr>
          <w:iCs/>
        </w:rPr>
        <w:t xml:space="preserve"> notes n</w:t>
      </w:r>
      <w:r w:rsidRPr="00ED4E95">
        <w:rPr>
          <w:iCs/>
        </w:rPr>
        <w:t xml:space="preserve">on-GMP quality radiopharmaceuticals that are, or have been, used in Australia for this treatment indication include </w:t>
      </w:r>
      <w:r w:rsidRPr="00ED4E95">
        <w:rPr>
          <w:iCs/>
          <w:vertAlign w:val="superscript"/>
        </w:rPr>
        <w:t>177</w:t>
      </w:r>
      <w:r w:rsidRPr="00ED4E95">
        <w:rPr>
          <w:iCs/>
        </w:rPr>
        <w:t xml:space="preserve">Lu(carrier added [ca] and nca) Octreotide, </w:t>
      </w:r>
      <w:r w:rsidRPr="00ED4E95">
        <w:rPr>
          <w:iCs/>
          <w:vertAlign w:val="superscript"/>
        </w:rPr>
        <w:t>90</w:t>
      </w:r>
      <w:r w:rsidRPr="00ED4E95">
        <w:rPr>
          <w:iCs/>
        </w:rPr>
        <w:t>Y</w:t>
      </w:r>
      <w:r w:rsidR="007F41AA" w:rsidRPr="00ED4E95">
        <w:rPr>
          <w:iCs/>
        </w:rPr>
        <w:t>t</w:t>
      </w:r>
      <w:r w:rsidRPr="00ED4E95">
        <w:rPr>
          <w:iCs/>
        </w:rPr>
        <w:t xml:space="preserve">trium Octreotate and Octreotide, and </w:t>
      </w:r>
      <w:r w:rsidRPr="00ED4E95">
        <w:rPr>
          <w:iCs/>
          <w:vertAlign w:val="superscript"/>
        </w:rPr>
        <w:t>111</w:t>
      </w:r>
      <w:r w:rsidRPr="00ED4E95">
        <w:rPr>
          <w:iCs/>
        </w:rPr>
        <w:t xml:space="preserve">Indium DTPA-Octreotate and Octreotide. In addition, Novartis sponsors a GMP quality </w:t>
      </w:r>
      <w:r w:rsidRPr="00ED4E95">
        <w:rPr>
          <w:iCs/>
          <w:vertAlign w:val="superscript"/>
        </w:rPr>
        <w:t>177</w:t>
      </w:r>
      <w:r w:rsidRPr="00ED4E95">
        <w:rPr>
          <w:iCs/>
        </w:rPr>
        <w:t>Lu(ca and nca) Octreotate (Lutathera</w:t>
      </w:r>
      <w:r w:rsidR="00A07746" w:rsidRPr="00ED4E95">
        <w:rPr>
          <w:iCs/>
        </w:rPr>
        <w:t>®</w:t>
      </w:r>
      <w:r w:rsidRPr="00ED4E95">
        <w:rPr>
          <w:iCs/>
        </w:rPr>
        <w:t>) radiopharmaceutical product for use in a similar treatment indication in the European Union (EU) and the United States (US)</w:t>
      </w:r>
      <w:r w:rsidR="00DF058F">
        <w:rPr>
          <w:iCs/>
        </w:rPr>
        <w:t>. I</w:t>
      </w:r>
      <w:r w:rsidRPr="00ED4E95">
        <w:rPr>
          <w:iCs/>
        </w:rPr>
        <w:t xml:space="preserve">t is unknown whether the company intends to sponsor supply of their product to Australia. </w:t>
      </w:r>
      <w:r w:rsidR="00A07746" w:rsidRPr="00922B1C">
        <w:rPr>
          <w:iCs/>
        </w:rPr>
        <w:t xml:space="preserve">Lutathera® is also referred to as </w:t>
      </w:r>
      <w:r w:rsidR="00A07746" w:rsidRPr="00922B1C">
        <w:rPr>
          <w:iCs/>
          <w:vertAlign w:val="superscript"/>
        </w:rPr>
        <w:t>177</w:t>
      </w:r>
      <w:r w:rsidR="00A07746" w:rsidRPr="00922B1C">
        <w:rPr>
          <w:iCs/>
        </w:rPr>
        <w:t xml:space="preserve">Lu-DOTATATE, </w:t>
      </w:r>
      <w:r w:rsidR="00A07746" w:rsidRPr="00922B1C">
        <w:rPr>
          <w:iCs/>
          <w:vertAlign w:val="superscript"/>
        </w:rPr>
        <w:t>177</w:t>
      </w:r>
      <w:r w:rsidR="00A07746" w:rsidRPr="00922B1C">
        <w:rPr>
          <w:iCs/>
        </w:rPr>
        <w:t xml:space="preserve">Lu-Oxodothreotide, </w:t>
      </w:r>
      <w:r w:rsidR="00A07746" w:rsidRPr="00922B1C">
        <w:rPr>
          <w:iCs/>
          <w:vertAlign w:val="superscript"/>
        </w:rPr>
        <w:t>177</w:t>
      </w:r>
      <w:r w:rsidR="00A07746" w:rsidRPr="00922B1C">
        <w:rPr>
          <w:iCs/>
        </w:rPr>
        <w:t>Lu-DOTA</w:t>
      </w:r>
      <w:r w:rsidR="00A07746" w:rsidRPr="00922B1C">
        <w:rPr>
          <w:iCs/>
          <w:vertAlign w:val="superscript"/>
        </w:rPr>
        <w:t>0</w:t>
      </w:r>
      <w:r w:rsidR="00A07746" w:rsidRPr="00922B1C">
        <w:rPr>
          <w:iCs/>
        </w:rPr>
        <w:t>-Tyr</w:t>
      </w:r>
      <w:r w:rsidR="00A07746" w:rsidRPr="00922B1C">
        <w:rPr>
          <w:iCs/>
          <w:vertAlign w:val="superscript"/>
        </w:rPr>
        <w:t>3</w:t>
      </w:r>
      <w:r w:rsidR="00A07746" w:rsidRPr="00922B1C">
        <w:rPr>
          <w:iCs/>
        </w:rPr>
        <w:t xml:space="preserve">-octreotate, or </w:t>
      </w:r>
      <w:r w:rsidR="00A07746" w:rsidRPr="00922B1C">
        <w:rPr>
          <w:iCs/>
          <w:vertAlign w:val="superscript"/>
        </w:rPr>
        <w:t>177</w:t>
      </w:r>
      <w:r w:rsidR="00A07746" w:rsidRPr="00922B1C">
        <w:rPr>
          <w:iCs/>
        </w:rPr>
        <w:t>Lu-DOTA-D-Phe-Tyr</w:t>
      </w:r>
      <w:r w:rsidR="00A07746" w:rsidRPr="00922B1C">
        <w:rPr>
          <w:iCs/>
          <w:vertAlign w:val="superscript"/>
        </w:rPr>
        <w:t>3</w:t>
      </w:r>
      <w:r w:rsidR="00A07746" w:rsidRPr="00922B1C">
        <w:rPr>
          <w:iCs/>
        </w:rPr>
        <w:t>-octreotate,</w:t>
      </w:r>
      <w:r w:rsidR="00A07746" w:rsidRPr="00922B1C">
        <w:rPr>
          <w:iCs/>
        </w:rPr>
        <w:fldChar w:fldCharType="begin"/>
      </w:r>
      <w:r w:rsidR="00A07746" w:rsidRPr="00922B1C">
        <w:rPr>
          <w:iCs/>
        </w:rPr>
        <w:instrText xml:space="preserve"> ADDIN EN.CITE &lt;EndNote&gt;&lt;Cite&gt;&lt;Author&gt;Hennrich&lt;/Author&gt;&lt;Year&gt;2019&lt;/Year&gt;&lt;RecNum&gt;42&lt;/RecNum&gt;&lt;DisplayText&gt;&lt;style face="superscript"&gt;1&lt;/style&gt;&lt;/DisplayText&gt;&lt;record&gt;&lt;rec-number&gt;42&lt;/rec-number&gt;&lt;foreign-keys&gt;&lt;key app="EN" db-id="z5t0f95t8w0xwred2e7v2a05paxzfxtzrww0" timestamp="1678073872"&gt;42&lt;/key&gt;&lt;/foreign-keys&gt;&lt;ref-type name="Journal Article"&gt;17&lt;/ref-type&gt;&lt;contributors&gt;&lt;authors&gt;&lt;author&gt;Hennrich, U.&lt;/author&gt;&lt;author&gt;Kopka, K.&lt;/author&gt;&lt;/authors&gt;&lt;/contributors&gt;&lt;auth-address&gt;German Cancer Research Center (DKFZ), Division of Radiopharmaceutical Chemistry, Im Neuenheimer Feld 280, 69120 Heidelberg, Germany. u.hennrich@dkfz.de.&amp;#xD;German Cancer Research Center (DKFZ), Division of Radiopharmaceutical Chemistry, Im Neuenheimer Feld 280, 69120 Heidelberg, Germany.&amp;#xD;German Cancer Consortium (DKTK), Im Neuenheimer Feld 280, 69120 Heidelberg, Germany.&lt;/auth-address&gt;&lt;titles&gt;&lt;title&gt;Lutathera((R)): The First FDA- and EMA-Approved Radiopharmaceutical for Peptide Receptor Radionuclide Therapy&lt;/title&gt;&lt;secondary-title&gt;Pharmaceuticals (Basel)&lt;/secondary-title&gt;&lt;/titles&gt;&lt;periodical&gt;&lt;full-title&gt;Pharmaceuticals (Basel)&lt;/full-title&gt;&lt;/periodical&gt;&lt;volume&gt;12&lt;/volume&gt;&lt;number&gt;3&lt;/number&gt;&lt;edition&gt;20190729&lt;/edition&gt;&lt;keywords&gt;&lt;keyword&gt;Lutathera(R), [177Lu]Lu-DOTA-TATE&lt;/keyword&gt;&lt;keyword&gt;neuroendocrine tumors (NET)&lt;/keyword&gt;&lt;keyword&gt;peptide receptor radionuclide therapy (PRRT)&lt;/keyword&gt;&lt;keyword&gt;somatostatin receptor (SSTR)&lt;/keyword&gt;&lt;keyword&gt;thera(g)nostics&lt;/keyword&gt;&lt;/keywords&gt;&lt;dates&gt;&lt;year&gt;2019&lt;/year&gt;&lt;pub-dates&gt;&lt;date&gt;Jul 29&lt;/date&gt;&lt;/pub-dates&gt;&lt;/dates&gt;&lt;isbn&gt;1424-8247 (Print)&amp;#xD;1424-8247 (Electronic)&amp;#xD;1424-8247 (Linking)&lt;/isbn&gt;&lt;accession-num&gt;31362406&lt;/accession-num&gt;&lt;urls&gt;&lt;related-urls&gt;&lt;url&gt;https://www.ncbi.nlm.nih.gov/pubmed/31362406&lt;/url&gt;&lt;/related-urls&gt;&lt;/urls&gt;&lt;custom1&gt;The authors declare no conflict of interest.&lt;/custom1&gt;&lt;custom2&gt;PMC6789871&lt;/custom2&gt;&lt;electronic-resource-num&gt;10.3390/ph12030114&lt;/electronic-resource-num&gt;&lt;/record&gt;&lt;/Cite&gt;&lt;/EndNote&gt;</w:instrText>
      </w:r>
      <w:r w:rsidR="00A07746" w:rsidRPr="00922B1C">
        <w:rPr>
          <w:iCs/>
        </w:rPr>
        <w:fldChar w:fldCharType="separate"/>
      </w:r>
      <w:r w:rsidR="00A07746" w:rsidRPr="00922B1C">
        <w:rPr>
          <w:iCs/>
          <w:noProof/>
          <w:vertAlign w:val="superscript"/>
        </w:rPr>
        <w:t>1</w:t>
      </w:r>
      <w:r w:rsidR="00A07746" w:rsidRPr="00922B1C">
        <w:rPr>
          <w:iCs/>
        </w:rPr>
        <w:fldChar w:fldCharType="end"/>
      </w:r>
      <w:r w:rsidR="00A07746" w:rsidRPr="00922B1C">
        <w:rPr>
          <w:iCs/>
          <w:vertAlign w:val="superscript"/>
        </w:rPr>
        <w:t xml:space="preserve"> </w:t>
      </w:r>
      <w:r w:rsidR="00A07746" w:rsidRPr="00922B1C">
        <w:rPr>
          <w:iCs/>
        </w:rPr>
        <w:t xml:space="preserve">and its various nomenclature has been used in the studies cited in the application, with some studies using </w:t>
      </w:r>
      <w:r w:rsidR="00A07746" w:rsidRPr="00922B1C">
        <w:rPr>
          <w:iCs/>
          <w:vertAlign w:val="superscript"/>
        </w:rPr>
        <w:t>177</w:t>
      </w:r>
      <w:r w:rsidR="00A07746" w:rsidRPr="00922B1C">
        <w:rPr>
          <w:iCs/>
        </w:rPr>
        <w:t xml:space="preserve">Lu Octreotate, </w:t>
      </w:r>
      <w:r w:rsidR="00A07746" w:rsidRPr="00922B1C">
        <w:rPr>
          <w:iCs/>
          <w:vertAlign w:val="superscript"/>
        </w:rPr>
        <w:t>177</w:t>
      </w:r>
      <w:r w:rsidR="00A07746" w:rsidRPr="00922B1C">
        <w:rPr>
          <w:iCs/>
        </w:rPr>
        <w:t>Lu-</w:t>
      </w:r>
      <w:r w:rsidR="001C03D0">
        <w:rPr>
          <w:iCs/>
        </w:rPr>
        <w:t>DOTA-</w:t>
      </w:r>
      <w:r w:rsidR="00110D5F">
        <w:rPr>
          <w:iCs/>
        </w:rPr>
        <w:t xml:space="preserve">octreotate </w:t>
      </w:r>
      <w:r w:rsidR="00A07746" w:rsidRPr="00922B1C">
        <w:rPr>
          <w:iCs/>
        </w:rPr>
        <w:t>and Lu</w:t>
      </w:r>
      <w:r w:rsidR="001B753A">
        <w:rPr>
          <w:iCs/>
        </w:rPr>
        <w:t>tate</w:t>
      </w:r>
      <w:r w:rsidR="00A07746" w:rsidRPr="00922B1C">
        <w:rPr>
          <w:iCs/>
        </w:rPr>
        <w:t>.</w:t>
      </w:r>
      <w:r w:rsidR="00C823CB">
        <w:rPr>
          <w:iCs/>
        </w:rPr>
        <w:t xml:space="preserve"> The applicant further explained that a</w:t>
      </w:r>
      <w:r w:rsidR="00C823CB" w:rsidRPr="00C823CB">
        <w:rPr>
          <w:iCs/>
        </w:rPr>
        <w:t xml:space="preserve">part from use of </w:t>
      </w:r>
      <w:r w:rsidR="00C823CB" w:rsidRPr="002078D3">
        <w:rPr>
          <w:iCs/>
        </w:rPr>
        <w:t xml:space="preserve">different </w:t>
      </w:r>
      <w:r w:rsidR="00A13C03" w:rsidRPr="002078D3">
        <w:rPr>
          <w:iCs/>
        </w:rPr>
        <w:t>excipients</w:t>
      </w:r>
      <w:r w:rsidR="00A13C03" w:rsidRPr="00A13C03">
        <w:rPr>
          <w:iCs/>
        </w:rPr>
        <w:t xml:space="preserve"> </w:t>
      </w:r>
      <w:r w:rsidR="00C823CB" w:rsidRPr="00A13C03">
        <w:rPr>
          <w:iCs/>
        </w:rPr>
        <w:t xml:space="preserve">for prevention of radiolysis, Lutathera® </w:t>
      </w:r>
      <w:r w:rsidR="000D21F1" w:rsidRPr="002078D3">
        <w:rPr>
          <w:iCs/>
        </w:rPr>
        <w:t>appears to be a very close biosimilar to the product proposed in this application</w:t>
      </w:r>
      <w:r w:rsidR="00C823CB" w:rsidRPr="00A13C03">
        <w:rPr>
          <w:iCs/>
        </w:rPr>
        <w:t>.</w:t>
      </w:r>
      <w:r w:rsidR="00225295">
        <w:rPr>
          <w:iCs/>
        </w:rPr>
        <w:t xml:space="preserve"> </w:t>
      </w:r>
    </w:p>
    <w:p w14:paraId="31E99EEA" w14:textId="4FF5ACEE" w:rsidR="000D21F1" w:rsidRPr="00E35BCA" w:rsidRDefault="000D21F1" w:rsidP="00AE0021">
      <w:pPr>
        <w:spacing w:after="240"/>
        <w:jc w:val="both"/>
      </w:pPr>
      <w:r w:rsidRPr="00E35BCA">
        <w:t xml:space="preserve">The carrier added route uses stable lutetium as the material to irradiate with neutrons. To enhance the yield, and to prevent the creation of unwanted other radionuclides, the lutetium is enriched in </w:t>
      </w:r>
      <w:r w:rsidRPr="00E35BCA">
        <w:rPr>
          <w:vertAlign w:val="superscript"/>
        </w:rPr>
        <w:t>176</w:t>
      </w:r>
      <w:r w:rsidRPr="00E35BCA">
        <w:t xml:space="preserve">Lu. The first advantage of this route is that the nuclear reaction occurs with high probability, so that only one milligram of enriched lutetium is needed to produce approximately 50 patient doses. The other advantage is that the radiochemical processing after irradiation is limited to producing lutetium chloride, which is relatively simple. This route also has some drawbacks. At the end of irradiation only about 30% of the lutetium is useful radioactive </w:t>
      </w:r>
      <w:r w:rsidRPr="00E35BCA">
        <w:rPr>
          <w:vertAlign w:val="superscript"/>
        </w:rPr>
        <w:t>177</w:t>
      </w:r>
      <w:r w:rsidRPr="00E35BCA">
        <w:t xml:space="preserve">Lu. Since the </w:t>
      </w:r>
      <w:r w:rsidRPr="00E35BCA">
        <w:rPr>
          <w:vertAlign w:val="superscript"/>
        </w:rPr>
        <w:t>177</w:t>
      </w:r>
      <w:r w:rsidRPr="00E35BCA">
        <w:t xml:space="preserve">Lu decays while the rest of the lutetium is stable, the fraction of useful lutetium is smaller by the time it reaches the patient. The other drawback of this route is that the irradiation not only produces </w:t>
      </w:r>
      <w:r w:rsidRPr="00E35BCA">
        <w:rPr>
          <w:vertAlign w:val="superscript"/>
        </w:rPr>
        <w:t>177</w:t>
      </w:r>
      <w:r w:rsidRPr="00E35BCA">
        <w:t xml:space="preserve">Lu but also some </w:t>
      </w:r>
      <w:r w:rsidRPr="00E35BCA">
        <w:rPr>
          <w:vertAlign w:val="superscript"/>
        </w:rPr>
        <w:t>177</w:t>
      </w:r>
      <w:r w:rsidRPr="00E35BCA">
        <w:rPr>
          <w:rFonts w:asciiTheme="minorHAnsi" w:hAnsiTheme="minorHAnsi" w:cstheme="minorHAnsi"/>
          <w:color w:val="2E74B5" w:themeColor="accent1" w:themeShade="BF"/>
          <w:vertAlign w:val="superscript"/>
        </w:rPr>
        <w:t>m</w:t>
      </w:r>
      <w:r w:rsidRPr="00E35BCA">
        <w:t xml:space="preserve">Lu, which is an unwanted beta emitter with a long half-life of 160 days that comes with additional challenges for example related to waste management </w:t>
      </w:r>
      <w:r w:rsidR="009C4533" w:rsidRPr="00E35BCA">
        <w:t>(</w:t>
      </w:r>
      <w:r w:rsidRPr="00E35BCA">
        <w:t>Vogel 2021</w:t>
      </w:r>
      <w:r w:rsidR="009C4533" w:rsidRPr="00E35BCA">
        <w:t>)</w:t>
      </w:r>
      <w:r w:rsidR="00B54BC4" w:rsidRPr="00E35BCA">
        <w:t xml:space="preserve">, see </w:t>
      </w:r>
      <w:r w:rsidR="00B54BC4" w:rsidRPr="00E35BCA">
        <w:fldChar w:fldCharType="begin"/>
      </w:r>
      <w:r w:rsidR="00B54BC4" w:rsidRPr="00E35BCA">
        <w:instrText xml:space="preserve"> REF _Ref130352325 \h </w:instrText>
      </w:r>
      <w:r w:rsidR="002078D3" w:rsidRPr="00E35BCA">
        <w:instrText xml:space="preserve"> \* MERGEFORMAT </w:instrText>
      </w:r>
      <w:r w:rsidR="00B54BC4" w:rsidRPr="00E35BCA">
        <w:fldChar w:fldCharType="separate"/>
      </w:r>
      <w:r w:rsidR="00401046" w:rsidRPr="002D7281">
        <w:t xml:space="preserve">Figure </w:t>
      </w:r>
      <w:r w:rsidR="00401046" w:rsidRPr="002D7281">
        <w:rPr>
          <w:noProof/>
        </w:rPr>
        <w:t>3</w:t>
      </w:r>
      <w:r w:rsidR="00B54BC4" w:rsidRPr="00E35BCA">
        <w:fldChar w:fldCharType="end"/>
      </w:r>
      <w:r w:rsidR="002078D3" w:rsidRPr="00E35BCA">
        <w:t>.</w:t>
      </w:r>
    </w:p>
    <w:p w14:paraId="31B99084" w14:textId="5D6417B0" w:rsidR="000D21F1" w:rsidRPr="00E35BCA" w:rsidRDefault="000D21F1" w:rsidP="00AE0021">
      <w:pPr>
        <w:spacing w:after="240"/>
        <w:jc w:val="both"/>
      </w:pPr>
      <w:r w:rsidRPr="00E35BCA">
        <w:t xml:space="preserve">Radionuclides have maximum theoretical specific activity values referred to as ‘carrier-free’ when all the atoms contain one isotope of the element. The no carrier added route to produce </w:t>
      </w:r>
      <w:r w:rsidRPr="00E35BCA">
        <w:rPr>
          <w:vertAlign w:val="superscript"/>
        </w:rPr>
        <w:t>177</w:t>
      </w:r>
      <w:r w:rsidRPr="00E35BCA">
        <w:t xml:space="preserve">Lu uses ytterbium </w:t>
      </w:r>
      <w:r w:rsidR="009C4533" w:rsidRPr="00E35BCA">
        <w:t xml:space="preserve">(Yb) </w:t>
      </w:r>
      <w:r w:rsidRPr="00E35BCA">
        <w:t xml:space="preserve">as the material to irradiate with neutrons. Similarly, to enhance the yield, and to prevent the creation of unwanted other radionuclides, the ytterbium is enriched in </w:t>
      </w:r>
      <w:r w:rsidRPr="00E35BCA">
        <w:rPr>
          <w:vertAlign w:val="superscript"/>
        </w:rPr>
        <w:t>176</w:t>
      </w:r>
      <w:r w:rsidRPr="00E35BCA">
        <w:t>Y</w:t>
      </w:r>
      <w:r w:rsidR="009C4533" w:rsidRPr="00E35BCA">
        <w:t>b</w:t>
      </w:r>
      <w:r w:rsidRPr="00E35BCA">
        <w:t xml:space="preserve"> to a level above 99%. The irradiation created </w:t>
      </w:r>
      <w:r w:rsidRPr="00E35BCA">
        <w:rPr>
          <w:vertAlign w:val="superscript"/>
        </w:rPr>
        <w:t>177</w:t>
      </w:r>
      <w:r w:rsidRPr="00E35BCA">
        <w:t>Yb, which has a half-life of under 2 h</w:t>
      </w:r>
      <w:r w:rsidR="009C4533" w:rsidRPr="00E35BCA">
        <w:t>ours</w:t>
      </w:r>
      <w:r w:rsidRPr="00E35BCA">
        <w:t xml:space="preserve">, decaying to </w:t>
      </w:r>
      <w:r w:rsidRPr="00E35BCA">
        <w:rPr>
          <w:vertAlign w:val="superscript"/>
        </w:rPr>
        <w:t>177</w:t>
      </w:r>
      <w:r w:rsidRPr="00E35BCA">
        <w:t xml:space="preserve">Lu. One advantage of this route is that once the produced lutetium is separated from the ytterbium, the product consists of useful lutetium only with a high specific activity. The other advantage is that the decay of </w:t>
      </w:r>
      <w:r w:rsidRPr="00E35BCA">
        <w:rPr>
          <w:vertAlign w:val="superscript"/>
        </w:rPr>
        <w:t>176</w:t>
      </w:r>
      <w:r w:rsidRPr="00E35BCA">
        <w:t xml:space="preserve">Yb to </w:t>
      </w:r>
      <w:r w:rsidRPr="00E35BCA">
        <w:rPr>
          <w:vertAlign w:val="superscript"/>
        </w:rPr>
        <w:t>177</w:t>
      </w:r>
      <w:r w:rsidRPr="00E35BCA">
        <w:t xml:space="preserve">Lu does not co-produce the undesired </w:t>
      </w:r>
      <w:r w:rsidRPr="00E35BCA">
        <w:rPr>
          <w:vertAlign w:val="superscript"/>
        </w:rPr>
        <w:t>177</w:t>
      </w:r>
      <w:r w:rsidRPr="00E35BCA">
        <w:rPr>
          <w:rFonts w:asciiTheme="minorHAnsi" w:hAnsiTheme="minorHAnsi" w:cstheme="minorHAnsi"/>
          <w:color w:val="2E74B5" w:themeColor="accent1" w:themeShade="BF"/>
          <w:vertAlign w:val="superscript"/>
        </w:rPr>
        <w:t>m</w:t>
      </w:r>
      <w:r w:rsidRPr="00E35BCA">
        <w:t xml:space="preserve">Lu. There are however also downsides to this route. Firstly, the nuclear reaction occurs with a </w:t>
      </w:r>
      <w:r w:rsidRPr="00E35BCA">
        <w:lastRenderedPageBreak/>
        <w:t xml:space="preserve">low probability, so that a gram of enriched ytterbium is needed to produce the same amount of activity that is reached with only a milligram of lutetium. Secondly, the lutetium needs to be separated chemically from the ytterbium, which is a challenging process: only 1 in roughly 5000 atoms in the irradiated material is a </w:t>
      </w:r>
      <w:r w:rsidRPr="00E35BCA">
        <w:rPr>
          <w:vertAlign w:val="superscript"/>
        </w:rPr>
        <w:t>177</w:t>
      </w:r>
      <w:r w:rsidRPr="00E35BCA">
        <w:t xml:space="preserve">Lu atom, so the chemical separation process needs to have a high separation efficiency. Currently, the only production of enriched </w:t>
      </w:r>
      <w:r w:rsidRPr="00E35BCA">
        <w:rPr>
          <w:vertAlign w:val="superscript"/>
        </w:rPr>
        <w:t>176</w:t>
      </w:r>
      <w:r w:rsidRPr="00E35BCA">
        <w:t xml:space="preserve">Yb comes from low-throughput facilities (calutrons) in Russia </w:t>
      </w:r>
      <w:r w:rsidR="00633676" w:rsidRPr="00E35BCA">
        <w:t>(</w:t>
      </w:r>
      <w:hyperlink r:id="rId10" w:history="1">
        <w:r w:rsidR="00633676" w:rsidRPr="00E35BCA">
          <w:rPr>
            <w:rStyle w:val="Hyperlink"/>
            <w:rFonts w:ascii="Calibri" w:hAnsi="Calibri"/>
          </w:rPr>
          <w:t>Meeting isotope needs and capturing opportunities for the future 2015</w:t>
        </w:r>
      </w:hyperlink>
      <w:r w:rsidR="00633676" w:rsidRPr="00E35BCA">
        <w:t>) accessed 20 July 2023</w:t>
      </w:r>
      <w:r w:rsidRPr="00E35BCA">
        <w:t xml:space="preserve">, which is a problem for the future of carrier-free </w:t>
      </w:r>
      <w:r w:rsidRPr="00E35BCA">
        <w:rPr>
          <w:vertAlign w:val="superscript"/>
        </w:rPr>
        <w:t>177</w:t>
      </w:r>
      <w:r w:rsidRPr="00E35BCA">
        <w:t xml:space="preserve">Lu production. </w:t>
      </w:r>
      <w:r w:rsidR="009C4533" w:rsidRPr="00E35BCA">
        <w:t>(</w:t>
      </w:r>
      <w:r w:rsidRPr="00E35BCA">
        <w:t>Vogel 2021</w:t>
      </w:r>
      <w:r w:rsidR="009C4533" w:rsidRPr="00E35BCA">
        <w:t>)</w:t>
      </w:r>
      <w:r w:rsidRPr="00E35BCA">
        <w:t>.</w:t>
      </w:r>
    </w:p>
    <w:p w14:paraId="0FAF7C64" w14:textId="0EC39BF0" w:rsidR="000D21F1" w:rsidRPr="00F44182" w:rsidRDefault="000D21F1" w:rsidP="00AE0021">
      <w:pPr>
        <w:spacing w:after="240"/>
        <w:jc w:val="both"/>
        <w:rPr>
          <w:i/>
          <w:iCs/>
        </w:rPr>
      </w:pPr>
      <w:r w:rsidRPr="00E35BCA">
        <w:t xml:space="preserve">For the direct production of </w:t>
      </w:r>
      <w:r w:rsidRPr="00E35BCA">
        <w:rPr>
          <w:vertAlign w:val="superscript"/>
        </w:rPr>
        <w:t>177</w:t>
      </w:r>
      <w:r w:rsidRPr="00E35BCA">
        <w:t xml:space="preserve">Lu, the co-production of </w:t>
      </w:r>
      <w:r w:rsidRPr="00E35BCA">
        <w:rPr>
          <w:vertAlign w:val="superscript"/>
        </w:rPr>
        <w:t>177</w:t>
      </w:r>
      <w:r w:rsidR="005F7413" w:rsidRPr="00E35BCA">
        <w:rPr>
          <w:vertAlign w:val="superscript"/>
        </w:rPr>
        <w:t>m</w:t>
      </w:r>
      <w:r w:rsidRPr="00E35BCA">
        <w:t xml:space="preserve">Lu with a half-life of 160.1 days has emerged as one factor that may be an impediment restricting its utility in some countries. The </w:t>
      </w:r>
      <w:r w:rsidRPr="00E35BCA">
        <w:rPr>
          <w:vertAlign w:val="superscript"/>
        </w:rPr>
        <w:t>177m</w:t>
      </w:r>
      <w:r w:rsidRPr="00E35BCA">
        <w:t xml:space="preserve">Lu content in the final product depends not only on the irradiation time, but also on the time elapsed after the end of the irradiation (EOI). The presence of </w:t>
      </w:r>
      <w:r w:rsidRPr="00E35BCA">
        <w:rPr>
          <w:vertAlign w:val="superscript"/>
        </w:rPr>
        <w:t>177m</w:t>
      </w:r>
      <w:r w:rsidRPr="00E35BCA">
        <w:t xml:space="preserve">Lu raises concerns for laboratory waste and </w:t>
      </w:r>
      <w:r w:rsidR="00BD1228" w:rsidRPr="00E35BCA">
        <w:t>wastewater</w:t>
      </w:r>
      <w:r w:rsidRPr="00E35BCA">
        <w:t xml:space="preserve">. </w:t>
      </w:r>
      <w:r w:rsidR="005F7413" w:rsidRPr="00E35BCA">
        <w:t xml:space="preserve">The application noted that the use of </w:t>
      </w:r>
      <w:r w:rsidR="005F7413" w:rsidRPr="00E35BCA">
        <w:rPr>
          <w:vertAlign w:val="superscript"/>
        </w:rPr>
        <w:t>177</w:t>
      </w:r>
      <w:r w:rsidR="005F7413" w:rsidRPr="00E35BCA">
        <w:t>Lu</w:t>
      </w:r>
      <w:r w:rsidR="009C4533" w:rsidRPr="00E35BCA">
        <w:t>-DOTA-</w:t>
      </w:r>
      <w:r w:rsidR="005F7413" w:rsidRPr="00E35BCA">
        <w:t xml:space="preserve">octreotate biosimilars (ca and nca) have been used at several sites throughout Australia for several decades. </w:t>
      </w:r>
      <w:r w:rsidR="00316FE4" w:rsidRPr="00E35BCA">
        <w:t xml:space="preserve">It was noted by the applicant (email 14 July) that waste management is more difficult with “carrier added” </w:t>
      </w:r>
      <w:r w:rsidR="009C4533" w:rsidRPr="00E35BCA">
        <w:rPr>
          <w:vertAlign w:val="superscript"/>
        </w:rPr>
        <w:t>177</w:t>
      </w:r>
      <w:r w:rsidR="00316FE4" w:rsidRPr="00E35BCA">
        <w:t>Lu and this is a whole of government issue in essence (assume this might mean that Environmental Protection Agency might be involved).</w:t>
      </w:r>
      <w:r w:rsidR="00316FE4">
        <w:rPr>
          <w:i/>
          <w:iCs/>
        </w:rPr>
        <w:t xml:space="preserve"> </w:t>
      </w:r>
    </w:p>
    <w:p w14:paraId="608DAE85" w14:textId="732888C1" w:rsidR="00BC3A96" w:rsidRPr="00922B1C" w:rsidRDefault="00BD1228" w:rsidP="00AE0021">
      <w:pPr>
        <w:spacing w:after="240"/>
        <w:jc w:val="both"/>
      </w:pPr>
      <w:r>
        <w:t>It was noted by t</w:t>
      </w:r>
      <w:r w:rsidR="00484D15" w:rsidRPr="00922B1C">
        <w:t xml:space="preserve">he applicant </w:t>
      </w:r>
      <w:r w:rsidR="00F44182">
        <w:t xml:space="preserve">that </w:t>
      </w:r>
      <w:r w:rsidR="00484D15" w:rsidRPr="00922B1C">
        <w:t xml:space="preserve">the studies cited in the application </w:t>
      </w:r>
      <w:r w:rsidR="00852EC3">
        <w:t xml:space="preserve">did not involve </w:t>
      </w:r>
      <w:r>
        <w:t>the proposed</w:t>
      </w:r>
      <w:r w:rsidR="00484D15" w:rsidRPr="00922B1C">
        <w:t xml:space="preserve"> intervention, </w:t>
      </w:r>
      <w:r w:rsidR="00484D15" w:rsidRPr="00922B1C">
        <w:rPr>
          <w:vertAlign w:val="superscript"/>
        </w:rPr>
        <w:t>177</w:t>
      </w:r>
      <w:r w:rsidR="00484D15" w:rsidRPr="00922B1C">
        <w:t>Lu(nca)</w:t>
      </w:r>
      <w:r w:rsidR="00AB2D84" w:rsidRPr="00922B1C">
        <w:t>-</w:t>
      </w:r>
      <w:r w:rsidR="001C03D0">
        <w:t>DOTA-octreotate</w:t>
      </w:r>
      <w:r w:rsidR="00484D15" w:rsidRPr="00922B1C">
        <w:t xml:space="preserve">. The </w:t>
      </w:r>
      <w:r>
        <w:t xml:space="preserve">cited </w:t>
      </w:r>
      <w:r w:rsidR="00484D15" w:rsidRPr="00922B1C">
        <w:t>s</w:t>
      </w:r>
      <w:r w:rsidR="00BC3A96" w:rsidRPr="00922B1C">
        <w:t xml:space="preserve">tudies investigated </w:t>
      </w:r>
      <w:r w:rsidR="00BC3A96" w:rsidRPr="00922B1C">
        <w:rPr>
          <w:vertAlign w:val="superscript"/>
        </w:rPr>
        <w:t>177</w:t>
      </w:r>
      <w:r w:rsidR="00BC3A96" w:rsidRPr="00922B1C">
        <w:t xml:space="preserve">Lu-DOTATATE (also referred to as </w:t>
      </w:r>
      <w:r w:rsidR="00BC3A96" w:rsidRPr="00922B1C">
        <w:rPr>
          <w:vertAlign w:val="superscript"/>
        </w:rPr>
        <w:t>177</w:t>
      </w:r>
      <w:r w:rsidR="00BC3A96" w:rsidRPr="00922B1C">
        <w:t>Lu-DOTA</w:t>
      </w:r>
      <w:r w:rsidR="00BC3A96" w:rsidRPr="00922B1C">
        <w:rPr>
          <w:vertAlign w:val="superscript"/>
        </w:rPr>
        <w:t>0</w:t>
      </w:r>
      <w:r w:rsidR="00BC3A96" w:rsidRPr="00922B1C">
        <w:t>-Tyr</w:t>
      </w:r>
      <w:r w:rsidR="00BC3A96" w:rsidRPr="00922B1C">
        <w:rPr>
          <w:vertAlign w:val="superscript"/>
        </w:rPr>
        <w:t>3</w:t>
      </w:r>
      <w:r w:rsidR="00BC3A96" w:rsidRPr="00922B1C">
        <w:t>-octreotate,</w:t>
      </w:r>
      <w:r w:rsidR="00BC3A96" w:rsidRPr="00922B1C">
        <w:rPr>
          <w:vertAlign w:val="superscript"/>
        </w:rPr>
        <w:t xml:space="preserve"> 177</w:t>
      </w:r>
      <w:r w:rsidR="00BC3A96" w:rsidRPr="00922B1C">
        <w:t>Lu-</w:t>
      </w:r>
      <w:r w:rsidR="001C03D0">
        <w:t xml:space="preserve">DOTA-octreotate </w:t>
      </w:r>
      <w:r w:rsidR="00BC3A96" w:rsidRPr="00922B1C">
        <w:t xml:space="preserve">, </w:t>
      </w:r>
      <w:r w:rsidR="00BC3A96" w:rsidRPr="00922B1C">
        <w:rPr>
          <w:vertAlign w:val="superscript"/>
        </w:rPr>
        <w:t>177</w:t>
      </w:r>
      <w:r w:rsidR="00BC3A96" w:rsidRPr="00922B1C">
        <w:t>Lu-octreotate, and Lu</w:t>
      </w:r>
      <w:r w:rsidR="001B753A">
        <w:t>tate</w:t>
      </w:r>
      <w:r w:rsidR="00BC3A96" w:rsidRPr="00922B1C">
        <w:t xml:space="preserve"> in these studies) as the intervention, with two studies also investigating </w:t>
      </w:r>
      <w:r w:rsidR="00BC3A96" w:rsidRPr="00922B1C">
        <w:rPr>
          <w:vertAlign w:val="superscript"/>
        </w:rPr>
        <w:t>90</w:t>
      </w:r>
      <w:r w:rsidR="00BC3A96" w:rsidRPr="00922B1C">
        <w:t>Y-</w:t>
      </w:r>
      <w:r w:rsidR="00BC3A96" w:rsidRPr="00922B1C">
        <w:rPr>
          <w:caps/>
        </w:rPr>
        <w:t>dotatate</w:t>
      </w:r>
      <w:r w:rsidR="00BC3A96" w:rsidRPr="00922B1C">
        <w:rPr>
          <w:caps/>
        </w:rPr>
        <w:fldChar w:fldCharType="begin">
          <w:fldData xml:space="preserve">PEVuZE5vdGU+PENpdGU+PEF1dGhvcj5WYXVnaGFuPC9BdXRob3I+PFllYXI+MjAxODwvWWVhcj48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</w:fldData>
        </w:fldChar>
      </w:r>
      <w:r w:rsidR="00BC3A96" w:rsidRPr="00922B1C">
        <w:rPr>
          <w:caps/>
        </w:rPr>
        <w:instrText xml:space="preserve"> ADDIN EN.CITE </w:instrText>
      </w:r>
      <w:r w:rsidR="00BC3A96" w:rsidRPr="00922B1C">
        <w:rPr>
          <w:caps/>
        </w:rPr>
        <w:fldChar w:fldCharType="begin">
          <w:fldData xml:space="preserve">PEVuZE5vdGU+PENpdGU+PEF1dGhvcj5WYXVnaGFuPC9BdXRob3I+PFllYXI+MjAxODwvWWVhcj48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</w:fldData>
        </w:fldChar>
      </w:r>
      <w:r w:rsidR="00BC3A96" w:rsidRPr="00922B1C">
        <w:rPr>
          <w:caps/>
        </w:rPr>
        <w:instrText xml:space="preserve"> ADDIN EN.CITE.DATA </w:instrText>
      </w:r>
      <w:r w:rsidR="00BC3A96" w:rsidRPr="00922B1C">
        <w:rPr>
          <w:caps/>
        </w:rPr>
      </w:r>
      <w:r w:rsidR="00BC3A96" w:rsidRPr="00922B1C">
        <w:rPr>
          <w:caps/>
        </w:rPr>
        <w:fldChar w:fldCharType="end"/>
      </w:r>
      <w:r w:rsidR="00BC3A96" w:rsidRPr="00922B1C">
        <w:rPr>
          <w:caps/>
        </w:rPr>
      </w:r>
      <w:r w:rsidR="00BC3A96" w:rsidRPr="00922B1C">
        <w:rPr>
          <w:caps/>
        </w:rPr>
        <w:fldChar w:fldCharType="separate"/>
      </w:r>
      <w:r w:rsidR="00BC3A96" w:rsidRPr="00922B1C">
        <w:rPr>
          <w:caps/>
          <w:noProof/>
          <w:vertAlign w:val="superscript"/>
        </w:rPr>
        <w:t>25</w:t>
      </w:r>
      <w:r w:rsidR="00BC3A96" w:rsidRPr="00922B1C">
        <w:rPr>
          <w:caps/>
        </w:rPr>
        <w:fldChar w:fldCharType="end"/>
      </w:r>
      <w:r w:rsidR="00BC3A96" w:rsidRPr="00922B1C">
        <w:rPr>
          <w:caps/>
        </w:rPr>
        <w:t xml:space="preserve"> </w:t>
      </w:r>
      <w:r w:rsidR="00BC3A96" w:rsidRPr="00922B1C">
        <w:t xml:space="preserve">and </w:t>
      </w:r>
      <w:r w:rsidR="00BC3A96" w:rsidRPr="00922B1C">
        <w:rPr>
          <w:vertAlign w:val="superscript"/>
        </w:rPr>
        <w:t>90</w:t>
      </w:r>
      <w:r w:rsidR="00BC3A96" w:rsidRPr="00922B1C">
        <w:t>Y-</w:t>
      </w:r>
      <w:r w:rsidR="00BC3A96" w:rsidRPr="00922B1C">
        <w:rPr>
          <w:caps/>
        </w:rPr>
        <w:t>dotatate/-dotatoc</w:t>
      </w:r>
      <w:r w:rsidR="00BC3A96" w:rsidRPr="00922B1C">
        <w:rPr>
          <w:caps/>
        </w:rPr>
        <w:fldChar w:fldCharType="begin">
          <w:fldData xml:space="preserve">PEVuZE5vdGU+PENpdGU+PEF1dGhvcj5aaGFuZzwvQXV0aG9yPjxZZWFyPjIwMTk8L1llYXI+PFJl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</w:fldData>
        </w:fldChar>
      </w:r>
      <w:r w:rsidR="00BC3A96" w:rsidRPr="00922B1C">
        <w:rPr>
          <w:caps/>
        </w:rPr>
        <w:instrText xml:space="preserve"> ADDIN EN.CITE </w:instrText>
      </w:r>
      <w:r w:rsidR="00BC3A96" w:rsidRPr="00922B1C">
        <w:rPr>
          <w:caps/>
        </w:rPr>
        <w:fldChar w:fldCharType="begin">
          <w:fldData xml:space="preserve">PEVuZE5vdGU+PENpdGU+PEF1dGhvcj5aaGFuZzwvQXV0aG9yPjxZZWFyPjIwMTk8L1llYXI+PFJl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</w:fldData>
        </w:fldChar>
      </w:r>
      <w:r w:rsidR="00BC3A96" w:rsidRPr="00922B1C">
        <w:rPr>
          <w:caps/>
        </w:rPr>
        <w:instrText xml:space="preserve"> ADDIN EN.CITE.DATA </w:instrText>
      </w:r>
      <w:r w:rsidR="00BC3A96" w:rsidRPr="00922B1C">
        <w:rPr>
          <w:caps/>
        </w:rPr>
      </w:r>
      <w:r w:rsidR="00BC3A96" w:rsidRPr="00922B1C">
        <w:rPr>
          <w:caps/>
        </w:rPr>
        <w:fldChar w:fldCharType="end"/>
      </w:r>
      <w:r w:rsidR="00BC3A96" w:rsidRPr="00922B1C">
        <w:rPr>
          <w:caps/>
        </w:rPr>
      </w:r>
      <w:r w:rsidR="00BC3A96" w:rsidRPr="00922B1C">
        <w:rPr>
          <w:caps/>
        </w:rPr>
        <w:fldChar w:fldCharType="separate"/>
      </w:r>
      <w:r w:rsidR="00BC3A96" w:rsidRPr="00922B1C">
        <w:rPr>
          <w:caps/>
          <w:noProof/>
          <w:vertAlign w:val="superscript"/>
        </w:rPr>
        <w:t>26</w:t>
      </w:r>
      <w:r w:rsidR="00BC3A96" w:rsidRPr="00922B1C">
        <w:rPr>
          <w:caps/>
        </w:rPr>
        <w:fldChar w:fldCharType="end"/>
      </w:r>
      <w:r w:rsidR="00BC3A96" w:rsidRPr="00922B1C">
        <w:t xml:space="preserve">. </w:t>
      </w:r>
      <w:r w:rsidR="00484D15" w:rsidRPr="00922B1C">
        <w:t>In further discussions with the applicant</w:t>
      </w:r>
      <w:r w:rsidR="00BC3A96" w:rsidRPr="00922B1C">
        <w:t xml:space="preserve">, it was noted by </w:t>
      </w:r>
      <w:r w:rsidR="00484D15" w:rsidRPr="00922B1C">
        <w:t xml:space="preserve">the applicant’s </w:t>
      </w:r>
      <w:r w:rsidR="00BC3A96" w:rsidRPr="00922B1C">
        <w:t xml:space="preserve">clinical expert that carrier added </w:t>
      </w:r>
      <w:r w:rsidR="00BC3A96" w:rsidRPr="00922B1C">
        <w:rPr>
          <w:vertAlign w:val="superscript"/>
        </w:rPr>
        <w:t>177</w:t>
      </w:r>
      <w:r w:rsidR="00BC3A96" w:rsidRPr="00922B1C">
        <w:t xml:space="preserve">Lu-DOTATATE would have been </w:t>
      </w:r>
      <w:bookmarkStart w:id="31" w:name="_Int_br7NwT7Y"/>
      <w:r w:rsidR="00BC3A96" w:rsidRPr="00922B1C">
        <w:t>most commonly used</w:t>
      </w:r>
      <w:bookmarkEnd w:id="31"/>
      <w:r w:rsidR="00BC3A96" w:rsidRPr="00922B1C">
        <w:t xml:space="preserve"> in these studies.</w:t>
      </w:r>
    </w:p>
    <w:p w14:paraId="041D67D1" w14:textId="4F8BC500" w:rsidR="00335148" w:rsidRDefault="009C4533" w:rsidP="00AE0021">
      <w:pPr>
        <w:spacing w:after="240"/>
        <w:jc w:val="both"/>
        <w:rPr>
          <w:rFonts w:cs="Calibri"/>
        </w:rPr>
      </w:pPr>
      <w:r>
        <w:rPr>
          <w:rFonts w:cs="Calibri"/>
          <w:i/>
          <w:iCs/>
        </w:rPr>
        <w:t>At its meeting in April</w:t>
      </w:r>
      <w:r w:rsidR="000C26AC">
        <w:rPr>
          <w:rFonts w:cs="Calibri"/>
          <w:i/>
          <w:iCs/>
        </w:rPr>
        <w:t xml:space="preserve"> 2023</w:t>
      </w:r>
      <w:r>
        <w:rPr>
          <w:rFonts w:cs="Calibri"/>
          <w:i/>
          <w:iCs/>
        </w:rPr>
        <w:t xml:space="preserve">, </w:t>
      </w:r>
      <w:r w:rsidR="00335148" w:rsidRPr="004C3B98">
        <w:rPr>
          <w:rFonts w:cs="Calibri"/>
          <w:i/>
          <w:iCs/>
        </w:rPr>
        <w:t>PASC</w:t>
      </w:r>
      <w:r w:rsidR="00335148" w:rsidRPr="00F44182">
        <w:rPr>
          <w:rFonts w:cs="Calibri"/>
        </w:rPr>
        <w:t xml:space="preserve"> </w:t>
      </w:r>
      <w:r w:rsidR="00335148" w:rsidRPr="004C3B98">
        <w:rPr>
          <w:rFonts w:cs="Calibri"/>
          <w:i/>
          <w:iCs/>
        </w:rPr>
        <w:t xml:space="preserve">questioned the limitation of </w:t>
      </w:r>
      <w:r w:rsidR="00335148" w:rsidRPr="004C3B98">
        <w:rPr>
          <w:rFonts w:cs="Calibri"/>
          <w:i/>
          <w:iCs/>
          <w:vertAlign w:val="superscript"/>
        </w:rPr>
        <w:t>177</w:t>
      </w:r>
      <w:r w:rsidR="00335148" w:rsidRPr="004C3B98">
        <w:rPr>
          <w:rFonts w:cs="Calibri"/>
          <w:i/>
          <w:iCs/>
        </w:rPr>
        <w:t>Lu-</w:t>
      </w:r>
      <w:r w:rsidR="001C03D0" w:rsidRPr="004C3B98">
        <w:rPr>
          <w:rFonts w:cs="Calibri"/>
          <w:i/>
          <w:iCs/>
        </w:rPr>
        <w:t>DOTA-</w:t>
      </w:r>
      <w:r w:rsidR="00110D5F" w:rsidRPr="004C3B98">
        <w:rPr>
          <w:rFonts w:cs="Calibri"/>
          <w:i/>
          <w:iCs/>
        </w:rPr>
        <w:t xml:space="preserve">octreotate </w:t>
      </w:r>
      <w:r w:rsidR="00335148" w:rsidRPr="004C3B98">
        <w:rPr>
          <w:rFonts w:cs="Calibri"/>
          <w:i/>
          <w:iCs/>
        </w:rPr>
        <w:t xml:space="preserve">therapy to the “no carrier added” (nca) product, noting that the clinical evidence was silent on whether the “nca” or “carrier added” product was used. </w:t>
      </w:r>
      <w:r w:rsidR="00335148" w:rsidRPr="00E35BCA">
        <w:rPr>
          <w:rFonts w:cs="Calibri"/>
        </w:rPr>
        <w:t xml:space="preserve">The applicant reiterated that the proposal was for </w:t>
      </w:r>
      <w:r w:rsidR="00335148" w:rsidRPr="00E35BCA">
        <w:rPr>
          <w:rFonts w:cs="Calibri"/>
          <w:vertAlign w:val="superscript"/>
        </w:rPr>
        <w:t>177</w:t>
      </w:r>
      <w:r w:rsidR="00335148" w:rsidRPr="00E35BCA">
        <w:rPr>
          <w:rFonts w:cs="Calibri"/>
        </w:rPr>
        <w:t>Lu(nca)-</w:t>
      </w:r>
      <w:r w:rsidR="001C03D0" w:rsidRPr="00E35BCA">
        <w:rPr>
          <w:rFonts w:cs="Calibri"/>
        </w:rPr>
        <w:t>DOTA-</w:t>
      </w:r>
      <w:r w:rsidR="00110D5F" w:rsidRPr="00E35BCA">
        <w:rPr>
          <w:rFonts w:cs="Calibri"/>
        </w:rPr>
        <w:t xml:space="preserve">octreotate </w:t>
      </w:r>
      <w:r w:rsidR="00335148" w:rsidRPr="00E35BCA">
        <w:rPr>
          <w:rFonts w:cs="Calibri"/>
        </w:rPr>
        <w:t xml:space="preserve">specifically and there was potential for use of </w:t>
      </w:r>
      <w:r w:rsidR="00335148" w:rsidRPr="00E35BCA">
        <w:rPr>
          <w:rFonts w:cs="Calibri"/>
          <w:vertAlign w:val="superscript"/>
        </w:rPr>
        <w:t>177</w:t>
      </w:r>
      <w:r w:rsidR="00335148" w:rsidRPr="00E35BCA">
        <w:rPr>
          <w:rFonts w:cs="Calibri"/>
        </w:rPr>
        <w:t>Lu(ca)-</w:t>
      </w:r>
      <w:r w:rsidR="001C03D0" w:rsidRPr="00E35BCA">
        <w:rPr>
          <w:rFonts w:cs="Calibri"/>
        </w:rPr>
        <w:t>DOTA-</w:t>
      </w:r>
      <w:r w:rsidR="00110D5F" w:rsidRPr="00E35BCA">
        <w:rPr>
          <w:rFonts w:cs="Calibri"/>
        </w:rPr>
        <w:t xml:space="preserve">octreotate </w:t>
      </w:r>
      <w:r w:rsidR="00335148" w:rsidRPr="00E35BCA">
        <w:rPr>
          <w:rFonts w:cs="Calibri"/>
        </w:rPr>
        <w:t xml:space="preserve">(carrier added) if the descriptor was left more ‘generic’ (as </w:t>
      </w:r>
      <w:r w:rsidR="00335148" w:rsidRPr="00E35BCA">
        <w:rPr>
          <w:rFonts w:cs="Calibri"/>
          <w:vertAlign w:val="superscript"/>
        </w:rPr>
        <w:t>177</w:t>
      </w:r>
      <w:r w:rsidR="00335148" w:rsidRPr="00E35BCA">
        <w:rPr>
          <w:rFonts w:cs="Calibri"/>
        </w:rPr>
        <w:t>Lu-</w:t>
      </w:r>
      <w:r w:rsidR="001C03D0" w:rsidRPr="00E35BCA">
        <w:rPr>
          <w:rFonts w:cs="Calibri"/>
        </w:rPr>
        <w:t xml:space="preserve">DOTA-octreotate </w:t>
      </w:r>
      <w:r w:rsidR="00F6383D" w:rsidRPr="00E35BCA">
        <w:rPr>
          <w:rFonts w:cs="Calibri"/>
        </w:rPr>
        <w:t>is</w:t>
      </w:r>
      <w:r w:rsidR="008D0CC5" w:rsidRPr="00E35BCA">
        <w:rPr>
          <w:rFonts w:cs="Calibri"/>
        </w:rPr>
        <w:t xml:space="preserve"> </w:t>
      </w:r>
      <w:r w:rsidR="00335148" w:rsidRPr="00E35BCA">
        <w:rPr>
          <w:rFonts w:cs="Calibri"/>
        </w:rPr>
        <w:t xml:space="preserve">prepared in Australian hospitals currently </w:t>
      </w:r>
      <w:r w:rsidR="00F44182" w:rsidRPr="00E35BCA">
        <w:rPr>
          <w:rFonts w:cs="Calibri"/>
        </w:rPr>
        <w:t xml:space="preserve">and </w:t>
      </w:r>
      <w:r w:rsidR="00335148" w:rsidRPr="00E35BCA">
        <w:rPr>
          <w:rFonts w:cs="Calibri"/>
        </w:rPr>
        <w:t xml:space="preserve">may be either the “nca” or the “ca” product, depending on the source of </w:t>
      </w:r>
      <w:r w:rsidR="00335148" w:rsidRPr="00E35BCA">
        <w:rPr>
          <w:rFonts w:cs="Calibri"/>
          <w:vertAlign w:val="superscript"/>
        </w:rPr>
        <w:t>177</w:t>
      </w:r>
      <w:r w:rsidR="00335148" w:rsidRPr="00E35BCA">
        <w:rPr>
          <w:rFonts w:cs="Calibri"/>
        </w:rPr>
        <w:t>Lu).</w:t>
      </w:r>
    </w:p>
    <w:p w14:paraId="7EEA966B" w14:textId="014209A1" w:rsidR="0034373E" w:rsidRPr="00E35BCA" w:rsidRDefault="00BD1228" w:rsidP="00AE0021">
      <w:pPr>
        <w:autoSpaceDE w:val="0"/>
        <w:autoSpaceDN w:val="0"/>
        <w:adjustRightInd w:val="0"/>
        <w:spacing w:after="240"/>
        <w:jc w:val="both"/>
        <w:rPr>
          <w:rFonts w:cs="Calibri"/>
        </w:rPr>
      </w:pPr>
      <w:r w:rsidRPr="00E35BCA">
        <w:rPr>
          <w:rFonts w:cs="Calibri"/>
        </w:rPr>
        <w:t>The long</w:t>
      </w:r>
      <w:r w:rsidR="009C4533" w:rsidRPr="00E35BCA">
        <w:rPr>
          <w:rFonts w:cs="Calibri"/>
        </w:rPr>
        <w:t>-</w:t>
      </w:r>
      <w:r w:rsidRPr="00E35BCA">
        <w:rPr>
          <w:rFonts w:cs="Calibri"/>
        </w:rPr>
        <w:t>term supply of medical isotopes is becom</w:t>
      </w:r>
      <w:r w:rsidR="00F44182" w:rsidRPr="00E35BCA">
        <w:rPr>
          <w:rFonts w:cs="Calibri"/>
        </w:rPr>
        <w:t>ing</w:t>
      </w:r>
      <w:r w:rsidRPr="00E35BCA">
        <w:rPr>
          <w:rFonts w:cs="Calibri"/>
        </w:rPr>
        <w:t xml:space="preserve"> an </w:t>
      </w:r>
      <w:r w:rsidR="00F44182" w:rsidRPr="00E35BCA">
        <w:rPr>
          <w:rFonts w:cs="Calibri"/>
        </w:rPr>
        <w:t>emerging</w:t>
      </w:r>
      <w:r w:rsidRPr="00E35BCA">
        <w:rPr>
          <w:rFonts w:cs="Calibri"/>
        </w:rPr>
        <w:t xml:space="preserve"> issue. </w:t>
      </w:r>
      <w:r w:rsidRPr="00E35BCA">
        <w:rPr>
          <w:rFonts w:cs="Calibri"/>
          <w:vertAlign w:val="superscript"/>
        </w:rPr>
        <w:t>177</w:t>
      </w:r>
      <w:r w:rsidRPr="00E35BCA">
        <w:rPr>
          <w:rFonts w:cs="Calibri"/>
        </w:rPr>
        <w:t>Lu has been identified as an example of a medical isotope that may be at risk for future shortages</w:t>
      </w:r>
      <w:r w:rsidR="00F34D56" w:rsidRPr="00E35BCA">
        <w:rPr>
          <w:rFonts w:cs="Calibri"/>
        </w:rPr>
        <w:t xml:space="preserve"> [</w:t>
      </w:r>
      <w:hyperlink r:id="rId11" w:history="1">
        <w:r w:rsidR="00F34D56" w:rsidRPr="00E35BCA">
          <w:rPr>
            <w:rStyle w:val="Hyperlink"/>
            <w:rFonts w:ascii="Calibri" w:hAnsi="Calibri" w:cs="Calibri"/>
          </w:rPr>
          <w:t>Meeting isotope needs and capturing opportunities for the future-2015</w:t>
        </w:r>
      </w:hyperlink>
      <w:r w:rsidR="00F34D56" w:rsidRPr="00E35BCA">
        <w:rPr>
          <w:rFonts w:cs="Calibri"/>
        </w:rPr>
        <w:t xml:space="preserve"> accessed 20 July]</w:t>
      </w:r>
      <w:r w:rsidRPr="00E35BCA">
        <w:rPr>
          <w:rFonts w:cs="Calibri"/>
        </w:rPr>
        <w:t xml:space="preserve">. The increasing demand for </w:t>
      </w:r>
      <w:r w:rsidRPr="00E35BCA">
        <w:rPr>
          <w:rFonts w:cs="Calibri"/>
          <w:vertAlign w:val="superscript"/>
        </w:rPr>
        <w:t>177</w:t>
      </w:r>
      <w:r w:rsidRPr="00E35BCA">
        <w:rPr>
          <w:rFonts w:cs="Calibri"/>
        </w:rPr>
        <w:t>Lu is explained by its application in several current and new radionuclide therapies, notably radiolabelled somatostatin analog</w:t>
      </w:r>
      <w:r w:rsidR="00573BA4" w:rsidRPr="00E35BCA">
        <w:rPr>
          <w:rFonts w:cs="Calibri"/>
        </w:rPr>
        <w:t>ue</w:t>
      </w:r>
      <w:r w:rsidRPr="00E35BCA">
        <w:rPr>
          <w:rFonts w:cs="Calibri"/>
        </w:rPr>
        <w:t xml:space="preserve">s for neuroendocrine tumours and </w:t>
      </w:r>
      <w:r w:rsidR="009F5AAE" w:rsidRPr="00E35BCA">
        <w:rPr>
          <w:rFonts w:cs="Calibri"/>
        </w:rPr>
        <w:t>prostate</w:t>
      </w:r>
      <w:r w:rsidR="00444DB8" w:rsidRPr="00E35BCA">
        <w:rPr>
          <w:rFonts w:cs="Calibri"/>
        </w:rPr>
        <w:t>-</w:t>
      </w:r>
      <w:r w:rsidR="009F5AAE" w:rsidRPr="00E35BCA">
        <w:rPr>
          <w:rFonts w:cs="Calibri"/>
        </w:rPr>
        <w:t>specific membrane antigen (</w:t>
      </w:r>
      <w:r w:rsidRPr="00E35BCA">
        <w:rPr>
          <w:rFonts w:cs="Calibri"/>
        </w:rPr>
        <w:t>PSMA</w:t>
      </w:r>
      <w:r w:rsidR="009F5AAE" w:rsidRPr="00E35BCA">
        <w:rPr>
          <w:rFonts w:cs="Calibri"/>
        </w:rPr>
        <w:t xml:space="preserve">) </w:t>
      </w:r>
      <w:r w:rsidRPr="00E35BCA">
        <w:rPr>
          <w:rFonts w:cs="Calibri"/>
        </w:rPr>
        <w:t xml:space="preserve">ligands </w:t>
      </w:r>
      <w:r w:rsidR="00F44182" w:rsidRPr="00E35BCA">
        <w:rPr>
          <w:rFonts w:cs="Calibri"/>
        </w:rPr>
        <w:t xml:space="preserve">for </w:t>
      </w:r>
      <w:r w:rsidRPr="00E35BCA">
        <w:rPr>
          <w:rFonts w:cs="Calibri"/>
        </w:rPr>
        <w:t xml:space="preserve">prostate cancer. In combination with the challenges related to production, this leads to concerns that the availability of </w:t>
      </w:r>
      <w:r w:rsidRPr="00E35BCA">
        <w:rPr>
          <w:rFonts w:cs="Calibri"/>
          <w:vertAlign w:val="superscript"/>
        </w:rPr>
        <w:t>177</w:t>
      </w:r>
      <w:r w:rsidRPr="00E35BCA">
        <w:rPr>
          <w:rFonts w:cs="Calibri"/>
        </w:rPr>
        <w:t xml:space="preserve">Lu as a medical isotope may not be sufficient in the long term </w:t>
      </w:r>
      <w:r w:rsidR="009C4533" w:rsidRPr="00E35BCA">
        <w:rPr>
          <w:rFonts w:cs="Calibri"/>
        </w:rPr>
        <w:t>(</w:t>
      </w:r>
      <w:r w:rsidRPr="00E35BCA">
        <w:rPr>
          <w:rFonts w:cs="Calibri"/>
        </w:rPr>
        <w:t>Vogel 2021</w:t>
      </w:r>
      <w:r w:rsidR="009C4533" w:rsidRPr="00E35BCA">
        <w:rPr>
          <w:rFonts w:cs="Calibri"/>
        </w:rPr>
        <w:t>)</w:t>
      </w:r>
      <w:r w:rsidRPr="00E35BCA">
        <w:rPr>
          <w:rFonts w:cs="Calibri"/>
        </w:rPr>
        <w:t>. Insufficient and slow supply remains a daunting problem for patients and treating</w:t>
      </w:r>
      <w:r w:rsidRPr="002D7281">
        <w:rPr>
          <w:rFonts w:cs="Calibri"/>
          <w:i/>
          <w:iCs/>
        </w:rPr>
        <w:t xml:space="preserve"> </w:t>
      </w:r>
      <w:r w:rsidRPr="00E35BCA">
        <w:rPr>
          <w:rFonts w:cs="Calibri"/>
        </w:rPr>
        <w:t>physicians. It was reported that 5% of patients died while waiting for treat</w:t>
      </w:r>
      <w:r w:rsidR="00F44182" w:rsidRPr="00E35BCA">
        <w:rPr>
          <w:rFonts w:cs="Calibri"/>
        </w:rPr>
        <w:t>ment</w:t>
      </w:r>
      <w:r w:rsidRPr="00E35BCA">
        <w:rPr>
          <w:rFonts w:cs="Calibri"/>
        </w:rPr>
        <w:t xml:space="preserve">, as this can be delayed by </w:t>
      </w:r>
      <w:r w:rsidR="00F44182" w:rsidRPr="00E35BCA">
        <w:rPr>
          <w:rFonts w:cs="Calibri"/>
        </w:rPr>
        <w:t>two</w:t>
      </w:r>
      <w:r w:rsidRPr="00E35BCA">
        <w:rPr>
          <w:rFonts w:cs="Calibri"/>
        </w:rPr>
        <w:t xml:space="preserve"> months or longer. Novartis has experienced production and delivery problems at its sites, and it remains a significant problem due to operational issues </w:t>
      </w:r>
      <w:r w:rsidR="009C4533" w:rsidRPr="00E35BCA">
        <w:rPr>
          <w:rFonts w:cs="Calibri"/>
        </w:rPr>
        <w:t>(</w:t>
      </w:r>
      <w:r w:rsidRPr="00E35BCA">
        <w:rPr>
          <w:rFonts w:cs="Calibri"/>
        </w:rPr>
        <w:t>Ravi 2023;</w:t>
      </w:r>
      <w:r w:rsidR="009C4533" w:rsidRPr="00E35BCA">
        <w:rPr>
          <w:rFonts w:cs="Calibri"/>
        </w:rPr>
        <w:t xml:space="preserve"> </w:t>
      </w:r>
      <w:r w:rsidRPr="00E35BCA">
        <w:rPr>
          <w:rFonts w:cs="Calibri"/>
        </w:rPr>
        <w:t xml:space="preserve">Czernin 2023). </w:t>
      </w:r>
    </w:p>
    <w:p w14:paraId="1C87871E" w14:textId="1CFF2721" w:rsidR="00BD1228" w:rsidRPr="00E35BCA" w:rsidRDefault="0034373E" w:rsidP="00AE0021">
      <w:pPr>
        <w:autoSpaceDE w:val="0"/>
        <w:autoSpaceDN w:val="0"/>
        <w:adjustRightInd w:val="0"/>
        <w:spacing w:after="240"/>
        <w:jc w:val="both"/>
        <w:rPr>
          <w:rFonts w:cs="Calibri"/>
        </w:rPr>
      </w:pPr>
      <w:r w:rsidRPr="00E35BCA">
        <w:rPr>
          <w:rFonts w:cs="Calibri"/>
        </w:rPr>
        <w:t xml:space="preserve">In Australia, </w:t>
      </w:r>
      <w:r w:rsidR="00BD1228" w:rsidRPr="00E35BCA">
        <w:rPr>
          <w:rFonts w:cs="Calibri"/>
        </w:rPr>
        <w:t xml:space="preserve">the source of </w:t>
      </w:r>
      <w:r w:rsidR="00BD1228" w:rsidRPr="00E35BCA">
        <w:rPr>
          <w:rFonts w:cs="Calibri"/>
          <w:vertAlign w:val="superscript"/>
        </w:rPr>
        <w:t>177</w:t>
      </w:r>
      <w:r w:rsidR="00BD1228" w:rsidRPr="00E35BCA">
        <w:rPr>
          <w:rFonts w:cs="Calibri"/>
        </w:rPr>
        <w:t>Lu</w:t>
      </w:r>
      <w:r w:rsidR="00444DB8" w:rsidRPr="00E35BCA">
        <w:rPr>
          <w:rFonts w:cs="Calibri"/>
        </w:rPr>
        <w:t>(</w:t>
      </w:r>
      <w:r w:rsidRPr="00E35BCA">
        <w:rPr>
          <w:rFonts w:cs="Calibri"/>
        </w:rPr>
        <w:t>nca</w:t>
      </w:r>
      <w:r w:rsidR="00245826" w:rsidRPr="00E35BCA">
        <w:rPr>
          <w:rFonts w:cs="Calibri"/>
        </w:rPr>
        <w:t>)</w:t>
      </w:r>
      <w:r w:rsidR="00BD1228" w:rsidRPr="00E35BCA">
        <w:rPr>
          <w:rFonts w:cs="Calibri"/>
        </w:rPr>
        <w:t xml:space="preserve"> is </w:t>
      </w:r>
      <w:r w:rsidRPr="00E35BCA">
        <w:rPr>
          <w:rFonts w:cs="Calibri"/>
        </w:rPr>
        <w:t xml:space="preserve">usually </w:t>
      </w:r>
      <w:r w:rsidR="00BD1228" w:rsidRPr="00E35BCA">
        <w:rPr>
          <w:rFonts w:cs="Calibri"/>
        </w:rPr>
        <w:t>local but the backup source is overseas and supply issues have occurred.</w:t>
      </w:r>
      <w:r w:rsidRPr="00E35BCA">
        <w:rPr>
          <w:rFonts w:cs="Calibri"/>
        </w:rPr>
        <w:t xml:space="preserve"> Lutetium (</w:t>
      </w:r>
      <w:r w:rsidRPr="00E35BCA">
        <w:rPr>
          <w:rFonts w:cs="Calibri"/>
          <w:vertAlign w:val="superscript"/>
        </w:rPr>
        <w:t>177</w:t>
      </w:r>
      <w:r w:rsidRPr="00E35BCA">
        <w:rPr>
          <w:rFonts w:cs="Calibri"/>
        </w:rPr>
        <w:t xml:space="preserve">Lu) chloride is registered by the TGA, sponsored by Australian Nuclear Science and </w:t>
      </w:r>
      <w:r w:rsidRPr="00E35BCA">
        <w:rPr>
          <w:rFonts w:cs="Calibri"/>
        </w:rPr>
        <w:lastRenderedPageBreak/>
        <w:t xml:space="preserve">Technology Organisation (ARTG 352151, September 2022). Its approved therapeutic use is as a radiopharmaceutical precursor, and it is not intended for direct use in patients. </w:t>
      </w:r>
      <w:r w:rsidR="00940BC4" w:rsidRPr="00E35BCA">
        <w:rPr>
          <w:rFonts w:cs="Calibri"/>
        </w:rPr>
        <w:t xml:space="preserve">The registered use </w:t>
      </w:r>
      <w:r w:rsidR="00E753AE" w:rsidRPr="00E35BCA">
        <w:rPr>
          <w:rFonts w:cs="Calibri"/>
        </w:rPr>
        <w:t>is: “For</w:t>
      </w:r>
      <w:r w:rsidRPr="00E35BCA">
        <w:rPr>
          <w:rFonts w:cs="Calibri"/>
        </w:rPr>
        <w:t xml:space="preserve"> the treatment of non resectable or metastatic neuroendocrine tumours (NETS) expressing somatostatin subtype 2 receptors when coupled with a suitable carrier molecule</w:t>
      </w:r>
      <w:r w:rsidR="00940BC4" w:rsidRPr="00E35BCA">
        <w:rPr>
          <w:rFonts w:cs="Calibri"/>
        </w:rPr>
        <w:t>”</w:t>
      </w:r>
      <w:r w:rsidRPr="00E35BCA">
        <w:rPr>
          <w:rFonts w:cs="Calibri"/>
        </w:rPr>
        <w:t xml:space="preserve"> (AusPar: Lutetium (</w:t>
      </w:r>
      <w:r w:rsidRPr="00E35BCA">
        <w:rPr>
          <w:rFonts w:cs="Calibri"/>
          <w:vertAlign w:val="superscript"/>
        </w:rPr>
        <w:t>177</w:t>
      </w:r>
      <w:r w:rsidRPr="00E35BCA">
        <w:rPr>
          <w:rFonts w:cs="Calibri"/>
        </w:rPr>
        <w:t>Lu) chloride).</w:t>
      </w:r>
    </w:p>
    <w:p w14:paraId="6A4ACC6A" w14:textId="5D7804E2" w:rsidR="00E21A05" w:rsidRDefault="00703C2B" w:rsidP="00AE0021">
      <w:pPr>
        <w:spacing w:after="240"/>
        <w:jc w:val="both"/>
      </w:pPr>
      <w:r w:rsidRPr="00E35BCA">
        <w:t xml:space="preserve">The applicant agreed that the clinical advantages of “nca” </w:t>
      </w:r>
      <w:r w:rsidRPr="00E35BCA">
        <w:rPr>
          <w:vertAlign w:val="superscript"/>
        </w:rPr>
        <w:t>177</w:t>
      </w:r>
      <w:r w:rsidRPr="00E35BCA">
        <w:t xml:space="preserve">Lu compared to the “ca” </w:t>
      </w:r>
      <w:r w:rsidRPr="00E35BCA">
        <w:rPr>
          <w:vertAlign w:val="superscript"/>
        </w:rPr>
        <w:t>177</w:t>
      </w:r>
      <w:r w:rsidRPr="00E35BCA">
        <w:t>Lu is imputed from cogent theory and has not been established by robust evidence.</w:t>
      </w:r>
      <w:r w:rsidR="00940BC4" w:rsidRPr="00E35BCA">
        <w:t xml:space="preserve"> However, o</w:t>
      </w:r>
      <w:r w:rsidR="00B54BC4" w:rsidRPr="00E35BCA">
        <w:t xml:space="preserve">ne study has been </w:t>
      </w:r>
      <w:r w:rsidRPr="00E35BCA">
        <w:t>identified</w:t>
      </w:r>
      <w:r w:rsidR="00B54BC4" w:rsidRPr="00E35BCA">
        <w:t xml:space="preserve"> (the search was not exhaustive) that compared the absorbed doses in organs and tumour lesions of [</w:t>
      </w:r>
      <w:r w:rsidR="00B54BC4" w:rsidRPr="00E35BCA">
        <w:rPr>
          <w:vertAlign w:val="superscript"/>
        </w:rPr>
        <w:t>177</w:t>
      </w:r>
      <w:r w:rsidR="00B54BC4" w:rsidRPr="00E35BCA">
        <w:t>Lu]Lu-labelled DOTA-TATE carrier added (direct route) and [</w:t>
      </w:r>
      <w:r w:rsidR="00B54BC4" w:rsidRPr="00E35BCA">
        <w:rPr>
          <w:vertAlign w:val="superscript"/>
        </w:rPr>
        <w:t>177</w:t>
      </w:r>
      <w:r w:rsidR="00B54BC4" w:rsidRPr="00E35BCA">
        <w:t>Lu]Lu-labelled DOTA-TATE no carrier added (indirect route) using post administration whole-body scintigraphy (5 time points,0.5, 2,</w:t>
      </w:r>
      <w:r w:rsidR="009C4533" w:rsidRPr="00E35BCA">
        <w:t xml:space="preserve"> </w:t>
      </w:r>
      <w:r w:rsidR="00B54BC4" w:rsidRPr="00E35BCA">
        <w:t>12,</w:t>
      </w:r>
      <w:r w:rsidR="009C4533" w:rsidRPr="00E35BCA">
        <w:t xml:space="preserve"> </w:t>
      </w:r>
      <w:r w:rsidR="00B54BC4" w:rsidRPr="00E35BCA">
        <w:t>24, and 72 hours post void) and one SPECT scan at 24 hours post void. The study found no statistically significant difference in the dosimetry data of patients treated with nca and ca [</w:t>
      </w:r>
      <w:r w:rsidR="00B54BC4" w:rsidRPr="00E35BCA">
        <w:rPr>
          <w:vertAlign w:val="superscript"/>
        </w:rPr>
        <w:t>177</w:t>
      </w:r>
      <w:r w:rsidR="00B54BC4" w:rsidRPr="00E35BCA">
        <w:t>Lu]-labelled with DOTA-</w:t>
      </w:r>
      <w:r w:rsidR="005C6794" w:rsidRPr="00E35BCA">
        <w:t xml:space="preserve">TATE </w:t>
      </w:r>
      <w:r w:rsidR="009C4533" w:rsidRPr="00E35BCA">
        <w:t>(</w:t>
      </w:r>
      <w:r w:rsidR="005C6794" w:rsidRPr="00E35BCA">
        <w:t>Kamaldeep 202</w:t>
      </w:r>
      <w:r w:rsidR="009C4533" w:rsidRPr="00E35BCA">
        <w:t>2)</w:t>
      </w:r>
      <w:r w:rsidR="005C6794" w:rsidRPr="00E35BCA">
        <w:t>.</w:t>
      </w:r>
      <w:r w:rsidR="00940BC4" w:rsidRPr="00E35BCA">
        <w:t xml:space="preserve"> This study may be of sufficient quality to determine the noninferiority of </w:t>
      </w:r>
      <w:r w:rsidR="00940BC4" w:rsidRPr="00E35BCA">
        <w:rPr>
          <w:vertAlign w:val="superscript"/>
        </w:rPr>
        <w:t>177</w:t>
      </w:r>
      <w:r w:rsidR="00940BC4" w:rsidRPr="00E35BCA">
        <w:t xml:space="preserve">Lu(nca) to </w:t>
      </w:r>
      <w:r w:rsidR="00940BC4" w:rsidRPr="00E35BCA">
        <w:rPr>
          <w:vertAlign w:val="superscript"/>
        </w:rPr>
        <w:t>177</w:t>
      </w:r>
      <w:r w:rsidR="00940BC4" w:rsidRPr="00E35BCA">
        <w:t>Lu(ca).</w:t>
      </w:r>
      <w:r w:rsidR="00C13AA0">
        <w:rPr>
          <w:i/>
          <w:iCs/>
        </w:rPr>
        <w:t xml:space="preserve"> </w:t>
      </w:r>
      <w:r w:rsidR="00E21A05">
        <w:t>The applicant has stated that the cost of manufacture of using “</w:t>
      </w:r>
      <w:r w:rsidR="004939B4">
        <w:t>ca</w:t>
      </w:r>
      <w:r w:rsidR="00E21A05">
        <w:t xml:space="preserve">” </w:t>
      </w:r>
      <w:r w:rsidR="00E21A05" w:rsidRPr="004C3B98">
        <w:rPr>
          <w:vertAlign w:val="superscript"/>
        </w:rPr>
        <w:t>177</w:t>
      </w:r>
      <w:r w:rsidR="00E21A05">
        <w:t>Lu as a starting material is substantially lower than “</w:t>
      </w:r>
      <w:r w:rsidR="004939B4">
        <w:t>nca</w:t>
      </w:r>
      <w:r w:rsidR="00E21A05">
        <w:t xml:space="preserve">” </w:t>
      </w:r>
      <w:r w:rsidR="00E21A05" w:rsidRPr="004C3B98">
        <w:rPr>
          <w:vertAlign w:val="superscript"/>
        </w:rPr>
        <w:t>177</w:t>
      </w:r>
      <w:r w:rsidR="00E21A05">
        <w:t xml:space="preserve">Lu. </w:t>
      </w:r>
    </w:p>
    <w:p w14:paraId="14438E43" w14:textId="77777777" w:rsidR="00667892" w:rsidRPr="00E35BCA" w:rsidRDefault="00667892" w:rsidP="00AE0021">
      <w:pPr>
        <w:autoSpaceDE w:val="0"/>
        <w:autoSpaceDN w:val="0"/>
        <w:adjustRightInd w:val="0"/>
        <w:jc w:val="both"/>
        <w:rPr>
          <w:rFonts w:asciiTheme="minorHAnsi" w:hAnsiTheme="minorHAnsi" w:cstheme="minorHAnsi"/>
          <w:i/>
        </w:rPr>
      </w:pPr>
      <w:r w:rsidRPr="00E35BCA">
        <w:rPr>
          <w:rFonts w:asciiTheme="minorHAnsi" w:hAnsiTheme="minorHAnsi" w:cstheme="minorHAnsi"/>
          <w:i/>
        </w:rPr>
        <w:t xml:space="preserve">In response to the claim by the applicant that </w:t>
      </w:r>
      <w:r w:rsidRPr="00E35BCA">
        <w:rPr>
          <w:rFonts w:asciiTheme="minorHAnsi" w:hAnsiTheme="minorHAnsi" w:cstheme="minorHAnsi"/>
          <w:i/>
          <w:vertAlign w:val="superscript"/>
        </w:rPr>
        <w:t>177</w:t>
      </w:r>
      <w:r w:rsidRPr="00E35BCA">
        <w:rPr>
          <w:rFonts w:asciiTheme="minorHAnsi" w:hAnsiTheme="minorHAnsi" w:cstheme="minorHAnsi"/>
          <w:i/>
        </w:rPr>
        <w:t>Lu(nca)-DOTA octreotate appears to be a very close biosimilar to the Lutathera®</w:t>
      </w:r>
      <w:r w:rsidRPr="00E35BCA">
        <w:rPr>
          <w:rStyle w:val="FootnoteReference"/>
          <w:rFonts w:asciiTheme="minorHAnsi" w:hAnsiTheme="minorHAnsi" w:cstheme="minorHAnsi"/>
          <w:i/>
        </w:rPr>
        <w:footnoteReference w:id="6"/>
      </w:r>
      <w:r w:rsidRPr="00E35BCA">
        <w:rPr>
          <w:rFonts w:asciiTheme="minorHAnsi" w:hAnsiTheme="minorHAnsi" w:cstheme="minorHAnsi"/>
          <w:i/>
        </w:rPr>
        <w:t xml:space="preserve"> product (also referred to as </w:t>
      </w:r>
      <w:r w:rsidRPr="00E35BCA">
        <w:rPr>
          <w:rFonts w:asciiTheme="minorHAnsi" w:hAnsiTheme="minorHAnsi" w:cstheme="minorHAnsi"/>
          <w:i/>
          <w:vertAlign w:val="superscript"/>
        </w:rPr>
        <w:t>177</w:t>
      </w:r>
      <w:r w:rsidRPr="00E35BCA">
        <w:rPr>
          <w:rFonts w:asciiTheme="minorHAnsi" w:hAnsiTheme="minorHAnsi" w:cstheme="minorHAnsi"/>
          <w:i/>
        </w:rPr>
        <w:t>Lu-DOTATATE), at its August 2023 meeting, PASC noted that:</w:t>
      </w:r>
    </w:p>
    <w:p w14:paraId="7EB56B6A" w14:textId="7092B5B2" w:rsidR="00667892" w:rsidRPr="00E35BCA" w:rsidRDefault="00667892" w:rsidP="00AE0021">
      <w:pPr>
        <w:pStyle w:val="ListParagraph"/>
        <w:numPr>
          <w:ilvl w:val="1"/>
          <w:numId w:val="36"/>
        </w:numPr>
        <w:autoSpaceDE w:val="0"/>
        <w:autoSpaceDN w:val="0"/>
        <w:adjustRightInd w:val="0"/>
        <w:spacing w:after="0"/>
        <w:ind w:left="284" w:hanging="284"/>
        <w:contextualSpacing w:val="0"/>
        <w:jc w:val="both"/>
        <w:rPr>
          <w:rFonts w:asciiTheme="minorHAnsi" w:hAnsiTheme="minorHAnsi" w:cstheme="minorHAnsi"/>
          <w:i/>
        </w:rPr>
      </w:pPr>
      <w:r w:rsidRPr="00E35BCA">
        <w:rPr>
          <w:rFonts w:asciiTheme="minorHAnsi" w:hAnsiTheme="minorHAnsi" w:cstheme="minorHAnsi"/>
          <w:i/>
        </w:rPr>
        <w:t>MSAC may wish to consider whether this claim should be justified. PASC also advised a comparison against Lutathera® with particular attention to the pharmaceutical form (e</w:t>
      </w:r>
      <w:r w:rsidR="00755AB3">
        <w:rPr>
          <w:rFonts w:asciiTheme="minorHAnsi" w:hAnsiTheme="minorHAnsi" w:cstheme="minorHAnsi"/>
          <w:i/>
        </w:rPr>
        <w:t>.</w:t>
      </w:r>
      <w:r w:rsidRPr="00E35BCA">
        <w:rPr>
          <w:rFonts w:asciiTheme="minorHAnsi" w:hAnsiTheme="minorHAnsi" w:cstheme="minorHAnsi"/>
          <w:i/>
        </w:rPr>
        <w:t xml:space="preserve">g. concentration, vehicle, excipients, incompatibilities, shelf-life, etc) may be necessary. The applicant stated that they would be able to provide this comparative information.  </w:t>
      </w:r>
    </w:p>
    <w:p w14:paraId="10E6C1DD" w14:textId="77777777" w:rsidR="00667892" w:rsidRPr="00E35BCA" w:rsidRDefault="00667892" w:rsidP="00AE0021">
      <w:pPr>
        <w:pStyle w:val="ListParagraph"/>
        <w:numPr>
          <w:ilvl w:val="1"/>
          <w:numId w:val="36"/>
        </w:numPr>
        <w:autoSpaceDE w:val="0"/>
        <w:autoSpaceDN w:val="0"/>
        <w:adjustRightInd w:val="0"/>
        <w:ind w:left="284" w:hanging="284"/>
        <w:jc w:val="both"/>
        <w:rPr>
          <w:rFonts w:asciiTheme="minorHAnsi" w:hAnsiTheme="minorHAnsi" w:cstheme="minorBidi"/>
          <w:i/>
        </w:rPr>
      </w:pPr>
      <w:r w:rsidRPr="00E35BCA">
        <w:rPr>
          <w:rFonts w:asciiTheme="minorHAnsi" w:hAnsiTheme="minorHAnsi" w:cstheme="minorBidi"/>
          <w:i/>
        </w:rPr>
        <w:t xml:space="preserve">PASC noted the applicant’s advice regarding the patent question raised by a commercial organisation.  </w:t>
      </w:r>
    </w:p>
    <w:p w14:paraId="3678F887" w14:textId="7FA7F49A" w:rsidR="00667892" w:rsidRPr="00E35BCA" w:rsidRDefault="00667892" w:rsidP="00AE0021">
      <w:pPr>
        <w:pStyle w:val="ListParagraph"/>
        <w:numPr>
          <w:ilvl w:val="1"/>
          <w:numId w:val="36"/>
        </w:numPr>
        <w:autoSpaceDE w:val="0"/>
        <w:autoSpaceDN w:val="0"/>
        <w:adjustRightInd w:val="0"/>
        <w:ind w:left="284" w:hanging="284"/>
        <w:jc w:val="both"/>
        <w:rPr>
          <w:i/>
          <w:iCs/>
        </w:rPr>
      </w:pPr>
      <w:r w:rsidRPr="00E35BCA">
        <w:rPr>
          <w:rFonts w:asciiTheme="minorHAnsi" w:hAnsiTheme="minorHAnsi" w:cstheme="minorBidi"/>
          <w:i/>
          <w:iCs/>
        </w:rPr>
        <w:t xml:space="preserve">In </w:t>
      </w:r>
      <w:r w:rsidRPr="00E35BCA">
        <w:rPr>
          <w:rFonts w:asciiTheme="minorHAnsi" w:hAnsiTheme="minorHAnsi" w:cstheme="minorBidi"/>
          <w:i/>
        </w:rPr>
        <w:t>addressing</w:t>
      </w:r>
      <w:r w:rsidRPr="00E35BCA">
        <w:rPr>
          <w:rFonts w:asciiTheme="minorHAnsi" w:hAnsiTheme="minorHAnsi" w:cstheme="minorBidi"/>
          <w:i/>
          <w:iCs/>
        </w:rPr>
        <w:t xml:space="preserve"> the question of whether the item descriptor should be restricted to </w:t>
      </w:r>
      <w:r w:rsidRPr="00E35BCA">
        <w:rPr>
          <w:rFonts w:asciiTheme="minorHAnsi" w:hAnsiTheme="minorHAnsi" w:cstheme="minorBidi"/>
          <w:i/>
          <w:iCs/>
          <w:vertAlign w:val="superscript"/>
        </w:rPr>
        <w:t>177</w:t>
      </w:r>
      <w:r w:rsidRPr="00E35BCA">
        <w:rPr>
          <w:rFonts w:asciiTheme="minorHAnsi" w:hAnsiTheme="minorHAnsi" w:cstheme="minorBidi"/>
          <w:i/>
          <w:iCs/>
        </w:rPr>
        <w:t xml:space="preserve">Lu(nca), PASC noted that it may be difficult to </w:t>
      </w:r>
      <w:r w:rsidRPr="00E35BCA">
        <w:rPr>
          <w:rFonts w:asciiTheme="minorHAnsi" w:hAnsiTheme="minorHAnsi" w:cstheme="minorBidi"/>
          <w:i/>
        </w:rPr>
        <w:t>demonstrate</w:t>
      </w:r>
      <w:r w:rsidRPr="00E35BCA">
        <w:rPr>
          <w:rFonts w:asciiTheme="minorHAnsi" w:hAnsiTheme="minorHAnsi" w:cstheme="minorBidi"/>
          <w:i/>
          <w:iCs/>
        </w:rPr>
        <w:t xml:space="preserve"> superiority (or noninferiority) of </w:t>
      </w:r>
      <w:r w:rsidRPr="00E35BCA">
        <w:rPr>
          <w:rFonts w:asciiTheme="minorHAnsi" w:hAnsiTheme="minorHAnsi" w:cstheme="minorBidi"/>
          <w:i/>
          <w:iCs/>
          <w:vertAlign w:val="superscript"/>
        </w:rPr>
        <w:t>177</w:t>
      </w:r>
      <w:r w:rsidRPr="00E35BCA">
        <w:rPr>
          <w:rFonts w:asciiTheme="minorHAnsi" w:hAnsiTheme="minorHAnsi" w:cstheme="minorBidi"/>
          <w:i/>
          <w:iCs/>
        </w:rPr>
        <w:t xml:space="preserve">Lu(nca)-DOTA-octreotate versus </w:t>
      </w:r>
      <w:r w:rsidRPr="00E35BCA">
        <w:rPr>
          <w:rFonts w:asciiTheme="minorHAnsi" w:hAnsiTheme="minorHAnsi" w:cstheme="minorBidi"/>
          <w:i/>
          <w:iCs/>
          <w:vertAlign w:val="superscript"/>
        </w:rPr>
        <w:t>177</w:t>
      </w:r>
      <w:r w:rsidRPr="00E35BCA">
        <w:rPr>
          <w:rFonts w:asciiTheme="minorHAnsi" w:hAnsiTheme="minorHAnsi" w:cstheme="minorBidi"/>
          <w:i/>
          <w:iCs/>
        </w:rPr>
        <w:t xml:space="preserve">Lu(ca)-DOTA-octreotate in terms of health outcomes. PASC further considered that there is no available evidence of the superior safety and effectiveness of the ‘nca’ product compared to the ‘ca’ product to justify restriction of the benefit to the ‘nca’ product and that the proportion of </w:t>
      </w:r>
      <w:r w:rsidRPr="00E35BCA">
        <w:rPr>
          <w:rFonts w:asciiTheme="minorHAnsi" w:hAnsiTheme="minorHAnsi" w:cstheme="minorBidi"/>
          <w:i/>
          <w:iCs/>
          <w:vertAlign w:val="superscript"/>
        </w:rPr>
        <w:t>177m</w:t>
      </w:r>
      <w:r w:rsidRPr="00E35BCA">
        <w:rPr>
          <w:rFonts w:asciiTheme="minorHAnsi" w:hAnsiTheme="minorHAnsi" w:cstheme="minorBidi"/>
          <w:i/>
          <w:iCs/>
        </w:rPr>
        <w:t xml:space="preserve">Lu in the clinical ‘ca’ product’ is &lt;0.1% and poses no significant additional radiation risk to the patient (Gleisner 2015). PASC also noted that with respect to the storage and disposal of </w:t>
      </w:r>
      <w:r w:rsidRPr="00E35BCA">
        <w:rPr>
          <w:rFonts w:asciiTheme="minorHAnsi" w:hAnsiTheme="minorHAnsi" w:cstheme="minorBidi"/>
          <w:i/>
          <w:iCs/>
          <w:vertAlign w:val="superscript"/>
        </w:rPr>
        <w:t>177m</w:t>
      </w:r>
      <w:r w:rsidRPr="00E35BCA">
        <w:rPr>
          <w:rFonts w:asciiTheme="minorHAnsi" w:hAnsiTheme="minorHAnsi" w:cstheme="minorBidi"/>
          <w:i/>
          <w:iCs/>
        </w:rPr>
        <w:t xml:space="preserve">Lu, the amount of </w:t>
      </w:r>
      <w:r w:rsidRPr="00E35BCA">
        <w:rPr>
          <w:rFonts w:asciiTheme="minorHAnsi" w:hAnsiTheme="minorHAnsi" w:cstheme="minorBidi"/>
          <w:i/>
          <w:iCs/>
          <w:vertAlign w:val="superscript"/>
        </w:rPr>
        <w:t>177m</w:t>
      </w:r>
      <w:r w:rsidRPr="00E35BCA">
        <w:rPr>
          <w:rFonts w:asciiTheme="minorHAnsi" w:hAnsiTheme="minorHAnsi" w:cstheme="minorBidi"/>
          <w:i/>
          <w:iCs/>
        </w:rPr>
        <w:t>Lu activity produced is small and theranostic nuclear medicine departments have established facilities to store and dispose of considerably higher activities of β-emitters.</w:t>
      </w:r>
    </w:p>
    <w:p w14:paraId="7827055F" w14:textId="50D5267D" w:rsidR="00E4154B" w:rsidRPr="00E35BCA" w:rsidRDefault="00E4154B" w:rsidP="00AE0021">
      <w:pPr>
        <w:spacing w:after="240"/>
        <w:jc w:val="both"/>
        <w:rPr>
          <w:i/>
        </w:rPr>
      </w:pPr>
      <w:r w:rsidRPr="00E35BCA">
        <w:rPr>
          <w:i/>
        </w:rPr>
        <w:t>PASC also considered</w:t>
      </w:r>
      <w:r>
        <w:rPr>
          <w:i/>
        </w:rPr>
        <w:t xml:space="preserve"> in August 2023,</w:t>
      </w:r>
      <w:r w:rsidRPr="00E35BCA">
        <w:rPr>
          <w:i/>
        </w:rPr>
        <w:t xml:space="preserve"> that based on the above considerations, the assessment report should further investigate the evidence to support the claim of noninferiority between the proposed product: </w:t>
      </w:r>
      <w:r w:rsidRPr="00E35BCA">
        <w:rPr>
          <w:i/>
          <w:vertAlign w:val="superscript"/>
        </w:rPr>
        <w:t>177</w:t>
      </w:r>
      <w:r w:rsidRPr="00E35BCA">
        <w:rPr>
          <w:i/>
        </w:rPr>
        <w:t xml:space="preserve">Lu(nca)-DOTA-octreotate, or </w:t>
      </w:r>
      <w:r w:rsidRPr="00E35BCA">
        <w:rPr>
          <w:i/>
          <w:vertAlign w:val="superscript"/>
        </w:rPr>
        <w:t>177</w:t>
      </w:r>
      <w:r w:rsidRPr="00E35BCA">
        <w:rPr>
          <w:i/>
        </w:rPr>
        <w:t>Lu(ca)-DOTA-octreotate, vs. the Lutathera® product (</w:t>
      </w:r>
      <w:r w:rsidRPr="00E35BCA">
        <w:rPr>
          <w:i/>
          <w:vertAlign w:val="superscript"/>
        </w:rPr>
        <w:t>177</w:t>
      </w:r>
      <w:r w:rsidRPr="00E35BCA">
        <w:rPr>
          <w:i/>
        </w:rPr>
        <w:t xml:space="preserve">Lu-DOTATATE; unspecified, used in the NETTER-1 trial), or any other </w:t>
      </w:r>
      <w:r w:rsidRPr="00E35BCA">
        <w:rPr>
          <w:i/>
          <w:vertAlign w:val="superscript"/>
        </w:rPr>
        <w:t>177</w:t>
      </w:r>
      <w:r w:rsidRPr="00E35BCA">
        <w:rPr>
          <w:i/>
        </w:rPr>
        <w:t xml:space="preserve">Lu therapeutic product used in the clinical studies to support comparative safety and effectiveness of PRRT therapy with </w:t>
      </w:r>
      <w:r w:rsidRPr="00E35BCA">
        <w:rPr>
          <w:i/>
          <w:vertAlign w:val="superscript"/>
        </w:rPr>
        <w:t>177</w:t>
      </w:r>
      <w:r w:rsidRPr="00E35BCA">
        <w:rPr>
          <w:i/>
        </w:rPr>
        <w:t xml:space="preserve">Lu-DOTA-octreotate in the proposed population. However, PASC noted an evidence-based assessment of noninferiority between products in scope of the suggested MBS item for therapy may be difficult due to the current </w:t>
      </w:r>
      <w:r w:rsidR="005144A8">
        <w:rPr>
          <w:i/>
        </w:rPr>
        <w:t xml:space="preserve">lack of </w:t>
      </w:r>
      <w:r w:rsidRPr="00E35BCA">
        <w:rPr>
          <w:i/>
        </w:rPr>
        <w:t xml:space="preserve">available evidence.  </w:t>
      </w:r>
    </w:p>
    <w:p w14:paraId="2A2C1CC2" w14:textId="3FC36E91" w:rsidR="00B54BC4" w:rsidRPr="00E35BCA" w:rsidRDefault="00B54BC4" w:rsidP="00AE0021">
      <w:pPr>
        <w:spacing w:after="240"/>
        <w:jc w:val="both"/>
        <w:rPr>
          <w:iCs/>
        </w:rPr>
      </w:pPr>
      <w:r w:rsidRPr="00E35BCA">
        <w:rPr>
          <w:iCs/>
        </w:rPr>
        <w:lastRenderedPageBreak/>
        <w:t>The applicant provide</w:t>
      </w:r>
      <w:r w:rsidR="0009730F" w:rsidRPr="00E35BCA">
        <w:rPr>
          <w:iCs/>
        </w:rPr>
        <w:t>d</w:t>
      </w:r>
      <w:r w:rsidRPr="00E35BCA">
        <w:rPr>
          <w:iCs/>
        </w:rPr>
        <w:t xml:space="preserve"> a comparison of the costs of the </w:t>
      </w:r>
      <w:r w:rsidRPr="00E35BCA">
        <w:rPr>
          <w:iCs/>
          <w:vertAlign w:val="superscript"/>
        </w:rPr>
        <w:t>177</w:t>
      </w:r>
      <w:r w:rsidRPr="00E35BCA">
        <w:rPr>
          <w:iCs/>
        </w:rPr>
        <w:t xml:space="preserve">Lu-DOTA-octreotate (nca) infusion and that for </w:t>
      </w:r>
      <w:r w:rsidRPr="00E35BCA">
        <w:rPr>
          <w:iCs/>
          <w:vertAlign w:val="superscript"/>
        </w:rPr>
        <w:t>177</w:t>
      </w:r>
      <w:r w:rsidRPr="00E35BCA">
        <w:rPr>
          <w:iCs/>
        </w:rPr>
        <w:t>Lu-DOTA-octreotate (ca)</w:t>
      </w:r>
      <w:r w:rsidR="0009730F">
        <w:rPr>
          <w:iCs/>
        </w:rPr>
        <w:t>,</w:t>
      </w:r>
      <w:r w:rsidRPr="00E35BCA">
        <w:rPr>
          <w:iCs/>
        </w:rPr>
        <w:t xml:space="preserve"> </w:t>
      </w:r>
      <w:r w:rsidR="0009730F">
        <w:rPr>
          <w:iCs/>
        </w:rPr>
        <w:t xml:space="preserve">these </w:t>
      </w:r>
      <w:r w:rsidR="00223AC1" w:rsidRPr="00E35BCA">
        <w:rPr>
          <w:iCs/>
        </w:rPr>
        <w:t>are discussed later in th</w:t>
      </w:r>
      <w:r w:rsidR="0009730F" w:rsidRPr="00E35BCA">
        <w:rPr>
          <w:iCs/>
        </w:rPr>
        <w:t xml:space="preserve">is </w:t>
      </w:r>
      <w:r w:rsidR="00223AC1" w:rsidRPr="00E35BCA">
        <w:rPr>
          <w:iCs/>
        </w:rPr>
        <w:t xml:space="preserve">document. </w:t>
      </w:r>
    </w:p>
    <w:p w14:paraId="11DB88F3" w14:textId="2692197B" w:rsidR="00830D26" w:rsidRPr="00ED4E95" w:rsidRDefault="009C4533" w:rsidP="00F820B9">
      <w:pPr>
        <w:spacing w:after="240"/>
        <w:jc w:val="center"/>
        <w:rPr>
          <w:i/>
        </w:rPr>
      </w:pPr>
      <w:r w:rsidRPr="003360EA">
        <w:rPr>
          <w:noProof/>
        </w:rPr>
        <w:drawing>
          <wp:inline distT="0" distB="0" distL="0" distR="0" wp14:anchorId="39E724DE" wp14:editId="0F12283D">
            <wp:extent cx="4968240" cy="3094990"/>
            <wp:effectExtent l="0" t="0" r="3810" b="0"/>
            <wp:docPr id="71528003" name="Picture 71528003" descr="Figure 3 Production of carrier added versus no carrier added 177Lu&#10;Source: Vogel 2021, Figure 1&#10;Abbreviations: Lu= lutetium; Yb = ytterbi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8003" name="Picture 71528003" descr="Figure 3 Production of carrier added versus no carrier added 177Lu&#10;Source: Vogel 2021, Figure 1&#10;Abbreviations: Lu= lutetium; Yb = ytterbium&#10;"/>
                    <pic:cNvPicPr/>
                  </pic:nvPicPr>
                  <pic:blipFill>
                    <a:blip r:embed="rId12"/>
                    <a:stretch>
                      <a:fillRect/>
                    </a:stretch>
                  </pic:blipFill>
                  <pic:spPr>
                    <a:xfrm>
                      <a:off x="0" y="0"/>
                      <a:ext cx="4985433" cy="3105700"/>
                    </a:xfrm>
                    <a:prstGeom prst="rect">
                      <a:avLst/>
                    </a:prstGeom>
                  </pic:spPr>
                </pic:pic>
              </a:graphicData>
            </a:graphic>
          </wp:inline>
        </w:drawing>
      </w:r>
    </w:p>
    <w:p w14:paraId="5F739671" w14:textId="23B8C7B3" w:rsidR="00830D26" w:rsidRPr="00922B1C" w:rsidRDefault="00830D26" w:rsidP="00830D26">
      <w:pPr>
        <w:pStyle w:val="Caption"/>
      </w:pPr>
      <w:bookmarkStart w:id="32" w:name="_Ref130352325"/>
      <w:r w:rsidRPr="00922B1C">
        <w:t xml:space="preserve">Figure </w:t>
      </w:r>
      <w:r w:rsidRPr="00922B1C">
        <w:fldChar w:fldCharType="begin"/>
      </w:r>
      <w:r w:rsidRPr="00922B1C">
        <w:instrText xml:space="preserve"> SEQ Figure \* ARABIC </w:instrText>
      </w:r>
      <w:r w:rsidRPr="00922B1C">
        <w:fldChar w:fldCharType="separate"/>
      </w:r>
      <w:r w:rsidR="00401046">
        <w:rPr>
          <w:noProof/>
        </w:rPr>
        <w:t>3</w:t>
      </w:r>
      <w:r w:rsidRPr="00922B1C">
        <w:fldChar w:fldCharType="end"/>
      </w:r>
      <w:bookmarkEnd w:id="32"/>
      <w:r w:rsidRPr="00922B1C">
        <w:tab/>
        <w:t xml:space="preserve">Production of carrier added versus no carrier added </w:t>
      </w:r>
      <w:r w:rsidRPr="00922B1C">
        <w:rPr>
          <w:vertAlign w:val="superscript"/>
        </w:rPr>
        <w:t>177</w:t>
      </w:r>
      <w:r w:rsidRPr="00922B1C">
        <w:t>Lu</w:t>
      </w:r>
    </w:p>
    <w:p w14:paraId="0155036F" w14:textId="548050BE" w:rsidR="00830D26" w:rsidRPr="00922B1C" w:rsidRDefault="00F820B9" w:rsidP="00F820B9">
      <w:pPr>
        <w:pStyle w:val="Tablenotes"/>
        <w:spacing w:after="0"/>
        <w:rPr>
          <w:lang w:val="en-GB" w:eastAsia="ja-JP"/>
        </w:rPr>
      </w:pPr>
      <w:r w:rsidRPr="00922B1C">
        <w:rPr>
          <w:lang w:val="en-GB" w:eastAsia="ja-JP"/>
        </w:rPr>
        <w:t xml:space="preserve">Source: </w:t>
      </w:r>
      <w:r w:rsidR="009C4533" w:rsidRPr="00E720CD">
        <w:rPr>
          <w:szCs w:val="18"/>
        </w:rPr>
        <w:t>Vogel 2021</w:t>
      </w:r>
      <w:r w:rsidR="009C4533">
        <w:rPr>
          <w:szCs w:val="18"/>
        </w:rPr>
        <w:t>, Figure 1</w:t>
      </w:r>
    </w:p>
    <w:p w14:paraId="0F57EC5B" w14:textId="5F090B82" w:rsidR="00F820B9" w:rsidRPr="00AB2D84" w:rsidRDefault="00F820B9" w:rsidP="004C3B98">
      <w:pPr>
        <w:pStyle w:val="Tablenotes"/>
        <w:spacing w:after="0"/>
        <w:rPr>
          <w:lang w:val="en-GB" w:eastAsia="ja-JP"/>
        </w:rPr>
      </w:pPr>
      <w:r w:rsidRPr="00922B1C">
        <w:rPr>
          <w:lang w:val="en-GB" w:eastAsia="ja-JP"/>
        </w:rPr>
        <w:t>Abbreviations: Lu= lutetium; Yb = ytterbium</w:t>
      </w:r>
    </w:p>
    <w:p w14:paraId="24753E32" w14:textId="577A4F6D" w:rsidR="003360EA" w:rsidRPr="004C3B98" w:rsidRDefault="003360EA" w:rsidP="004C3B98">
      <w:pPr>
        <w:spacing w:after="240"/>
        <w:rPr>
          <w:rFonts w:ascii="Arial Narrow" w:hAnsi="Arial Narrow"/>
          <w:sz w:val="18"/>
          <w:szCs w:val="18"/>
        </w:rPr>
      </w:pPr>
      <w:r w:rsidRPr="004C3B98">
        <w:rPr>
          <w:rFonts w:ascii="Arial Narrow" w:hAnsi="Arial Narrow"/>
          <w:sz w:val="18"/>
          <w:szCs w:val="18"/>
        </w:rPr>
        <w:t xml:space="preserve">Illustration of possible production routes for </w:t>
      </w:r>
      <w:r w:rsidRPr="004C3B98">
        <w:rPr>
          <w:rFonts w:ascii="Arial Narrow" w:hAnsi="Arial Narrow"/>
          <w:sz w:val="18"/>
          <w:szCs w:val="18"/>
          <w:vertAlign w:val="superscript"/>
        </w:rPr>
        <w:t>177</w:t>
      </w:r>
      <w:r w:rsidRPr="004C3B98">
        <w:rPr>
          <w:rFonts w:ascii="Arial Narrow" w:hAnsi="Arial Narrow"/>
          <w:sz w:val="18"/>
          <w:szCs w:val="18"/>
        </w:rPr>
        <w:t xml:space="preserve">Lu. Neutron irradiation of </w:t>
      </w:r>
      <w:r w:rsidRPr="004C3B98">
        <w:rPr>
          <w:rFonts w:ascii="Arial Narrow" w:hAnsi="Arial Narrow"/>
          <w:sz w:val="18"/>
          <w:szCs w:val="18"/>
          <w:vertAlign w:val="superscript"/>
        </w:rPr>
        <w:t>176</w:t>
      </w:r>
      <w:r w:rsidRPr="004C3B98">
        <w:rPr>
          <w:rFonts w:ascii="Arial Narrow" w:hAnsi="Arial Narrow"/>
          <w:sz w:val="18"/>
          <w:szCs w:val="18"/>
        </w:rPr>
        <w:t xml:space="preserve">Lu yields carrier-added </w:t>
      </w:r>
      <w:r w:rsidRPr="004C3B98">
        <w:rPr>
          <w:rFonts w:ascii="Arial Narrow" w:hAnsi="Arial Narrow"/>
          <w:sz w:val="18"/>
          <w:szCs w:val="18"/>
          <w:vertAlign w:val="superscript"/>
        </w:rPr>
        <w:t>177</w:t>
      </w:r>
      <w:r w:rsidRPr="004C3B98">
        <w:rPr>
          <w:rFonts w:ascii="Arial Narrow" w:hAnsi="Arial Narrow"/>
          <w:sz w:val="18"/>
          <w:szCs w:val="18"/>
        </w:rPr>
        <w:t xml:space="preserve">Lu, while neutron irradiation of </w:t>
      </w:r>
      <w:r w:rsidRPr="004C3B98">
        <w:rPr>
          <w:rFonts w:ascii="Arial Narrow" w:hAnsi="Arial Narrow"/>
          <w:sz w:val="18"/>
          <w:szCs w:val="18"/>
          <w:vertAlign w:val="superscript"/>
        </w:rPr>
        <w:t>176</w:t>
      </w:r>
      <w:r w:rsidRPr="004C3B98">
        <w:rPr>
          <w:rFonts w:ascii="Arial Narrow" w:hAnsi="Arial Narrow"/>
          <w:sz w:val="18"/>
          <w:szCs w:val="18"/>
        </w:rPr>
        <w:t xml:space="preserve">Yb indirectly leads to no carrier added </w:t>
      </w:r>
      <w:r w:rsidRPr="004C3B98">
        <w:rPr>
          <w:rFonts w:ascii="Arial Narrow" w:hAnsi="Arial Narrow"/>
          <w:sz w:val="18"/>
          <w:szCs w:val="18"/>
          <w:vertAlign w:val="superscript"/>
        </w:rPr>
        <w:t>177</w:t>
      </w:r>
      <w:r w:rsidRPr="004C3B98">
        <w:rPr>
          <w:rFonts w:ascii="Arial Narrow" w:hAnsi="Arial Narrow"/>
          <w:sz w:val="18"/>
          <w:szCs w:val="18"/>
        </w:rPr>
        <w:t>Lu via subsequent decay. There is no feasible production route possible without neutron irradiation</w:t>
      </w:r>
      <w:r>
        <w:rPr>
          <w:rStyle w:val="FootnoteReference"/>
          <w:rFonts w:ascii="Arial Narrow" w:hAnsi="Arial Narrow"/>
          <w:sz w:val="18"/>
          <w:szCs w:val="18"/>
        </w:rPr>
        <w:footnoteReference w:id="7"/>
      </w:r>
      <w:r w:rsidRPr="004C3B98">
        <w:rPr>
          <w:rFonts w:ascii="Arial Narrow" w:hAnsi="Arial Narrow"/>
          <w:sz w:val="18"/>
          <w:szCs w:val="18"/>
        </w:rPr>
        <w:t xml:space="preserve"> </w:t>
      </w:r>
    </w:p>
    <w:p w14:paraId="14E1FAA8" w14:textId="0A45EE34" w:rsidR="00A413A5" w:rsidRPr="00ED4E95" w:rsidRDefault="004D76CA" w:rsidP="00AE0021">
      <w:pPr>
        <w:jc w:val="both"/>
      </w:pPr>
      <w:r w:rsidRPr="00ED4E95">
        <w:t>The application notes (p23) that referrals for</w:t>
      </w:r>
      <w:r w:rsidR="00D5319A" w:rsidRPr="00ED4E95">
        <w:t xml:space="preserve"> the proposed intervention</w:t>
      </w:r>
      <w:r w:rsidRPr="00ED4E95">
        <w:t xml:space="preserve"> </w:t>
      </w:r>
      <w:r w:rsidRPr="00ED4E95">
        <w:rPr>
          <w:vertAlign w:val="superscript"/>
        </w:rPr>
        <w:t>177</w:t>
      </w:r>
      <w:r w:rsidRPr="00ED4E95">
        <w:t>Lu</w:t>
      </w:r>
      <w:r w:rsidR="00AB2D84">
        <w:t>-</w:t>
      </w:r>
      <w:r w:rsidR="001C03D0">
        <w:t xml:space="preserve">DOTA-octreotate </w:t>
      </w:r>
      <w:r w:rsidRPr="00ED4E95">
        <w:t>will come from an MDT experienced in managing patients with NETs</w:t>
      </w:r>
      <w:r w:rsidR="00A1471B" w:rsidRPr="00ED4E95">
        <w:t xml:space="preserve"> with the procedure undertaken by an appropriately licensed theranostic specialist.</w:t>
      </w:r>
      <w:r w:rsidR="00904EA4" w:rsidRPr="00ED4E95">
        <w:t xml:space="preserve"> The application is for </w:t>
      </w:r>
      <w:r w:rsidR="00904EA4" w:rsidRPr="00922B1C">
        <w:t>two tests (</w:t>
      </w:r>
      <w:r w:rsidR="00904EA4" w:rsidRPr="00922B1C">
        <w:rPr>
          <w:vertAlign w:val="superscript"/>
        </w:rPr>
        <w:t>68</w:t>
      </w:r>
      <w:r w:rsidR="00904EA4" w:rsidRPr="00922B1C">
        <w:t>Ga-</w:t>
      </w:r>
      <w:r w:rsidR="001C03D0">
        <w:t>DOTA-</w:t>
      </w:r>
      <w:r w:rsidR="00110D5F">
        <w:t xml:space="preserve">octreotate </w:t>
      </w:r>
      <w:r w:rsidR="00904EA4" w:rsidRPr="00922B1C">
        <w:t xml:space="preserve">SSTR-PET/CT in all patients and </w:t>
      </w:r>
      <w:r w:rsidR="00904EA4" w:rsidRPr="00922B1C">
        <w:rPr>
          <w:vertAlign w:val="superscript"/>
        </w:rPr>
        <w:t>18</w:t>
      </w:r>
      <w:r w:rsidR="00904EA4" w:rsidRPr="00922B1C">
        <w:t>F-FDG PET/CT in some patients)</w:t>
      </w:r>
      <w:r w:rsidR="00904EA4" w:rsidRPr="00AB2D84">
        <w:t xml:space="preserve"> and one therapeutic intervention (i.e., co-dependent technology).</w:t>
      </w:r>
    </w:p>
    <w:bookmarkEnd w:id="30"/>
    <w:p w14:paraId="01E081D7" w14:textId="3C291594" w:rsidR="00A1471B" w:rsidRPr="009236F9" w:rsidRDefault="002054D5" w:rsidP="00AE0021">
      <w:pPr>
        <w:pStyle w:val="Heading4"/>
        <w:spacing w:after="240"/>
        <w:jc w:val="both"/>
      </w:pPr>
      <w:r w:rsidRPr="009236F9">
        <w:t>T</w:t>
      </w:r>
      <w:r w:rsidR="00A1471B" w:rsidRPr="009236F9">
        <w:t>est</w:t>
      </w:r>
      <w:r w:rsidR="00BF198D" w:rsidRPr="009236F9">
        <w:t xml:space="preserve"> 1</w:t>
      </w:r>
      <w:r w:rsidR="00A1471B" w:rsidRPr="009236F9">
        <w:t xml:space="preserve">: </w:t>
      </w:r>
      <w:r w:rsidR="00A1471B" w:rsidRPr="009236F9">
        <w:rPr>
          <w:vertAlign w:val="superscript"/>
        </w:rPr>
        <w:t>68</w:t>
      </w:r>
      <w:r w:rsidR="00A1471B" w:rsidRPr="009236F9">
        <w:t>Ga-</w:t>
      </w:r>
      <w:r w:rsidR="001C03D0">
        <w:t>DOTA-</w:t>
      </w:r>
      <w:r w:rsidR="00110D5F">
        <w:t xml:space="preserve">octreotate </w:t>
      </w:r>
      <w:r w:rsidR="00A1471B" w:rsidRPr="009236F9">
        <w:t xml:space="preserve">SSTR-PET/CT </w:t>
      </w:r>
    </w:p>
    <w:p w14:paraId="2605DE82" w14:textId="4C94BBED" w:rsidR="003F6F41" w:rsidRPr="00922B1C" w:rsidRDefault="003F6F41" w:rsidP="00AE0021">
      <w:pPr>
        <w:jc w:val="both"/>
      </w:pPr>
      <w:r w:rsidRPr="00922B1C">
        <w:t>PET imaging measures the biodistribution of an intravenously injected biological tracer labelled with a positron-emitting radionuclide, detecting, and quantifying biological processes occurring within the body</w:t>
      </w:r>
      <w:r w:rsidR="00ED4DEC" w:rsidRPr="00922B1C">
        <w:t xml:space="preserve"> (Scott 2001)</w:t>
      </w:r>
      <w:r w:rsidRPr="00922B1C">
        <w:t>.</w:t>
      </w:r>
      <w:r w:rsidR="0052216A" w:rsidRPr="00922B1C" w:rsidDel="0052216A">
        <w:t xml:space="preserve"> </w:t>
      </w:r>
    </w:p>
    <w:p w14:paraId="4A35F7EB" w14:textId="387692BE" w:rsidR="003F6F41" w:rsidRPr="00922B1C" w:rsidRDefault="003F6F41" w:rsidP="00AE0021">
      <w:pPr>
        <w:jc w:val="both"/>
      </w:pPr>
      <w:r w:rsidRPr="00922B1C">
        <w:t xml:space="preserve">The MSAC 1632 Public Summary Document (PSD; July 2021) stated (p5) that the [MSAC 1632] Ratified PICO noted that PET imaging is now </w:t>
      </w:r>
      <w:bookmarkStart w:id="33" w:name="_Int_cMu74mu0"/>
      <w:r w:rsidRPr="00922B1C">
        <w:t>almost always</w:t>
      </w:r>
      <w:bookmarkEnd w:id="33"/>
      <w:r w:rsidRPr="00922B1C">
        <w:t xml:space="preserve"> combined with CT, with scans collected using a single, hybrid PET/CT scanner ([MSAC 1632] PICO Confirmation, p14). There are several hybrid PET/CT devices listed on the Australian Register of Therapeutic Goods (ARTG) (ARTG numbers: 343270, 324191, 296394, 292543, 271560, 144218 and 118077).</w:t>
      </w:r>
    </w:p>
    <w:p w14:paraId="48321710" w14:textId="45A48A93" w:rsidR="00D10DD4" w:rsidRPr="00922B1C" w:rsidRDefault="000B4D01" w:rsidP="00AE0021">
      <w:pPr>
        <w:jc w:val="both"/>
      </w:pPr>
      <w:r w:rsidRPr="00922B1C">
        <w:lastRenderedPageBreak/>
        <w:t xml:space="preserve">Whole body </w:t>
      </w:r>
      <w:r w:rsidR="00175D62" w:rsidRPr="00922B1C">
        <w:rPr>
          <w:vertAlign w:val="superscript"/>
        </w:rPr>
        <w:t>68</w:t>
      </w:r>
      <w:r w:rsidR="00175D62" w:rsidRPr="00922B1C">
        <w:t xml:space="preserve">Gallium (Ga)-octreotate somatostatin receptor (SSTR)-positron emission tomography (PET)/computerised tomography (CT), </w:t>
      </w:r>
      <w:r w:rsidR="00175D62" w:rsidRPr="00922B1C">
        <w:rPr>
          <w:vertAlign w:val="superscript"/>
        </w:rPr>
        <w:t>68</w:t>
      </w:r>
      <w:r w:rsidR="00175D62" w:rsidRPr="00922B1C">
        <w:t>Ga-</w:t>
      </w:r>
      <w:r w:rsidR="001C03D0">
        <w:t>DOTA-</w:t>
      </w:r>
      <w:r w:rsidR="00110D5F">
        <w:t xml:space="preserve">octreotate </w:t>
      </w:r>
      <w:r w:rsidR="00175D62" w:rsidRPr="00922B1C">
        <w:t>SSTR-PET/CT herein</w:t>
      </w:r>
      <w:r w:rsidR="00B34B44" w:rsidRPr="00922B1C">
        <w:t>,</w:t>
      </w:r>
      <w:r w:rsidR="002A08BE" w:rsidRPr="00922B1C">
        <w:t xml:space="preserve"> </w:t>
      </w:r>
      <w:r w:rsidR="00175D62" w:rsidRPr="00922B1C">
        <w:t>was considered by MSAC in 2017</w:t>
      </w:r>
      <w:r w:rsidR="00D10DD4" w:rsidRPr="00922B1C">
        <w:t xml:space="preserve"> for the diagnosis of GEP-NETs</w:t>
      </w:r>
      <w:r w:rsidR="00175D62" w:rsidRPr="00922B1C">
        <w:t xml:space="preserve"> (MSAC 1479</w:t>
      </w:r>
      <w:r w:rsidR="00117A30" w:rsidRPr="00922B1C">
        <w:t>R</w:t>
      </w:r>
      <w:r w:rsidR="00175D62" w:rsidRPr="00922B1C">
        <w:t>, April 2017</w:t>
      </w:r>
      <w:r w:rsidR="00D10DD4" w:rsidRPr="00922B1C">
        <w:t>).</w:t>
      </w:r>
      <w:r w:rsidR="00E905F0" w:rsidRPr="00922B1C">
        <w:t xml:space="preserve"> </w:t>
      </w:r>
    </w:p>
    <w:p w14:paraId="2ACC9567" w14:textId="6782C99A" w:rsidR="00E81BAB" w:rsidRPr="00E35BCA" w:rsidRDefault="00FA0FF7" w:rsidP="00AE0021">
      <w:pPr>
        <w:jc w:val="both"/>
        <w:rPr>
          <w:i/>
          <w:iCs/>
        </w:rPr>
      </w:pPr>
      <w:r w:rsidRPr="00ED4E95">
        <w:t xml:space="preserve">The current application proposes the use of </w:t>
      </w:r>
      <w:r w:rsidRPr="00ED4E95">
        <w:rPr>
          <w:vertAlign w:val="superscript"/>
        </w:rPr>
        <w:t>68</w:t>
      </w:r>
      <w:r w:rsidRPr="00ED4E95">
        <w:t>Ga-</w:t>
      </w:r>
      <w:r w:rsidR="001C03D0">
        <w:t>DOTA-</w:t>
      </w:r>
      <w:r w:rsidR="00110D5F">
        <w:t xml:space="preserve">octreotate </w:t>
      </w:r>
      <w:r w:rsidRPr="00ED4E95">
        <w:t xml:space="preserve">PET/CT imaging to determine its uptake from somatostatin receptors on NET target sites </w:t>
      </w:r>
      <w:r w:rsidR="00E81BAB" w:rsidRPr="00ED4E95">
        <w:t>and assess</w:t>
      </w:r>
      <w:r w:rsidRPr="00ED4E95">
        <w:t xml:space="preserve"> SSTR status and eligibility for </w:t>
      </w:r>
      <w:r w:rsidRPr="00ED4E95">
        <w:rPr>
          <w:vertAlign w:val="superscript"/>
        </w:rPr>
        <w:t>177</w:t>
      </w:r>
      <w:r w:rsidRPr="00ED4E95">
        <w:t>Lu</w:t>
      </w:r>
      <w:r w:rsidR="00C823CB">
        <w:t>-</w:t>
      </w:r>
      <w:r w:rsidR="001C03D0">
        <w:t>DOTA-</w:t>
      </w:r>
      <w:r w:rsidR="00110D5F">
        <w:t xml:space="preserve">octreotate </w:t>
      </w:r>
      <w:r w:rsidR="00765BD2" w:rsidRPr="00ED4E95">
        <w:t>treatment</w:t>
      </w:r>
      <w:r w:rsidRPr="00ED4E95">
        <w:t xml:space="preserve">. </w:t>
      </w:r>
      <w:r w:rsidR="000B4D01" w:rsidRPr="00ED4E95">
        <w:t xml:space="preserve">The application is </w:t>
      </w:r>
      <w:r w:rsidRPr="00ED4E95">
        <w:t xml:space="preserve">therefore </w:t>
      </w:r>
      <w:r w:rsidR="000B4D01" w:rsidRPr="00ED4E95">
        <w:t xml:space="preserve">requesting that the item descriptor for Whole body </w:t>
      </w:r>
      <w:r w:rsidR="00175D62" w:rsidRPr="00ED4E95">
        <w:rPr>
          <w:vertAlign w:val="superscript"/>
        </w:rPr>
        <w:t>68</w:t>
      </w:r>
      <w:r w:rsidR="00175D62" w:rsidRPr="00ED4E95">
        <w:t>Ga</w:t>
      </w:r>
      <w:r w:rsidR="009236F9">
        <w:t xml:space="preserve"> DOTA peptide </w:t>
      </w:r>
      <w:r w:rsidR="00175D62" w:rsidRPr="00ED4E95">
        <w:t>PET</w:t>
      </w:r>
      <w:r w:rsidR="00E312FC" w:rsidRPr="00ED4E95">
        <w:t xml:space="preserve"> (MBS item 61647</w:t>
      </w:r>
      <w:r w:rsidR="000E73E1" w:rsidRPr="00ED4E95">
        <w:t>/61505</w:t>
      </w:r>
      <w:r w:rsidR="00E312FC" w:rsidRPr="00ED4E95">
        <w:t>)</w:t>
      </w:r>
      <w:r w:rsidR="000B4D01" w:rsidRPr="00ED4E95">
        <w:t xml:space="preserve"> be expanded to </w:t>
      </w:r>
      <w:r w:rsidR="00E81BAB" w:rsidRPr="00ED4E95">
        <w:t xml:space="preserve">include patients with NETs and suspected H-SSTR tumours other than GEP-NETs as referred by an MDT to assess eligibility for </w:t>
      </w:r>
      <w:r w:rsidR="00E81BAB" w:rsidRPr="00ED4E95">
        <w:rPr>
          <w:vertAlign w:val="superscript"/>
        </w:rPr>
        <w:t>177</w:t>
      </w:r>
      <w:r w:rsidR="00E81BAB" w:rsidRPr="00ED4E95">
        <w:t>Lu</w:t>
      </w:r>
      <w:r w:rsidR="009236F9">
        <w:t>-</w:t>
      </w:r>
      <w:r w:rsidR="001C03D0">
        <w:t>DOTA-</w:t>
      </w:r>
      <w:r w:rsidR="00110D5F">
        <w:t xml:space="preserve">octreotate </w:t>
      </w:r>
      <w:r w:rsidR="00E81BAB" w:rsidRPr="00ED4E95">
        <w:t>treatment.</w:t>
      </w:r>
      <w:r w:rsidR="00CC1BC2" w:rsidRPr="00ED4E95">
        <w:t xml:space="preserve"> </w:t>
      </w:r>
      <w:r w:rsidR="00CC1BC2" w:rsidRPr="00922B1C">
        <w:t>No proposed wording was provided in the application</w:t>
      </w:r>
      <w:r w:rsidR="001D71CF" w:rsidRPr="00922B1C">
        <w:t>, however the applicant subsequently provided some wording, see Proposal for public funding</w:t>
      </w:r>
      <w:r w:rsidR="00CC1BC2" w:rsidRPr="00922B1C">
        <w:t>.</w:t>
      </w:r>
      <w:r w:rsidR="00CC1BC2" w:rsidRPr="00ED4E95">
        <w:rPr>
          <w:i/>
          <w:iCs/>
        </w:rPr>
        <w:t xml:space="preserve"> </w:t>
      </w:r>
      <w:r w:rsidR="009236F9">
        <w:t>The Department suggested a new item descriptor, rather than amending the current item descriptor, would be more suitable.</w:t>
      </w:r>
      <w:r w:rsidR="00B61618" w:rsidRPr="004C3B98">
        <w:rPr>
          <w:i/>
          <w:iCs/>
        </w:rPr>
        <w:t xml:space="preserve"> </w:t>
      </w:r>
      <w:r w:rsidR="00B61618" w:rsidRPr="00E35BCA">
        <w:t xml:space="preserve">This new item descriptor is provided at </w:t>
      </w:r>
      <w:r w:rsidR="00B61618" w:rsidRPr="00667892">
        <w:fldChar w:fldCharType="begin"/>
      </w:r>
      <w:r w:rsidR="00B61618" w:rsidRPr="00E35BCA">
        <w:instrText xml:space="preserve"> REF _Ref140743291 \h </w:instrText>
      </w:r>
      <w:r w:rsidR="00812203" w:rsidRPr="00E35BCA">
        <w:instrText xml:space="preserve"> \* MERGEFORMAT </w:instrText>
      </w:r>
      <w:r w:rsidR="00B61618" w:rsidRPr="00667892">
        <w:fldChar w:fldCharType="separate"/>
      </w:r>
      <w:r w:rsidR="00401046" w:rsidRPr="00E35BCA">
        <w:t xml:space="preserve">Table </w:t>
      </w:r>
      <w:r w:rsidR="00401046" w:rsidRPr="00E35BCA">
        <w:rPr>
          <w:noProof/>
        </w:rPr>
        <w:t>13</w:t>
      </w:r>
      <w:r w:rsidR="00667892">
        <w:rPr>
          <w:i/>
          <w:iCs/>
        </w:rPr>
        <w:t>.</w:t>
      </w:r>
      <w:r w:rsidR="00401046" w:rsidRPr="00667892">
        <w:rPr>
          <w:i/>
          <w:iCs/>
        </w:rPr>
        <w:t xml:space="preserve"> </w:t>
      </w:r>
      <w:r w:rsidR="00B61618" w:rsidRPr="00667892">
        <w:rPr>
          <w:i/>
          <w:iCs/>
        </w:rPr>
        <w:fldChar w:fldCharType="end"/>
      </w:r>
    </w:p>
    <w:p w14:paraId="4B274EC5" w14:textId="569A1D1B" w:rsidR="00812203" w:rsidRDefault="009C4533" w:rsidP="00AE0021">
      <w:pPr>
        <w:jc w:val="both"/>
        <w:rPr>
          <w:i/>
          <w:iCs/>
        </w:rPr>
      </w:pPr>
      <w:r>
        <w:rPr>
          <w:i/>
          <w:iCs/>
        </w:rPr>
        <w:t xml:space="preserve">In its consideration at the April </w:t>
      </w:r>
      <w:r w:rsidR="00667892">
        <w:rPr>
          <w:i/>
          <w:iCs/>
        </w:rPr>
        <w:t xml:space="preserve">2023 </w:t>
      </w:r>
      <w:r>
        <w:rPr>
          <w:i/>
          <w:iCs/>
        </w:rPr>
        <w:t xml:space="preserve">meeting, </w:t>
      </w:r>
      <w:r w:rsidR="00812203" w:rsidRPr="004C3B98">
        <w:rPr>
          <w:i/>
          <w:iCs/>
        </w:rPr>
        <w:t xml:space="preserve">PASC nominated the modified Krenning score </w:t>
      </w:r>
      <w:r w:rsidR="00812203" w:rsidRPr="004C3B98">
        <w:rPr>
          <w:rFonts w:cs="Calibri"/>
          <w:i/>
          <w:iCs/>
        </w:rPr>
        <w:t>≥</w:t>
      </w:r>
      <w:r w:rsidR="00812203" w:rsidRPr="004C3B98">
        <w:rPr>
          <w:i/>
          <w:iCs/>
        </w:rPr>
        <w:t xml:space="preserve">3 as the threshold for eligibility for accessing PRRT therapy and the Applicant has accepted this. In terms of the wider application of this threshold </w:t>
      </w:r>
      <w:r w:rsidR="00812203">
        <w:rPr>
          <w:i/>
          <w:iCs/>
        </w:rPr>
        <w:t xml:space="preserve">as a proposed </w:t>
      </w:r>
      <w:r w:rsidR="00812203" w:rsidRPr="004C3B98">
        <w:rPr>
          <w:i/>
          <w:iCs/>
        </w:rPr>
        <w:t xml:space="preserve">criterion in the relevant MBS item, it would be helpful to know what information is routinely provided on a </w:t>
      </w:r>
      <w:r w:rsidR="00812203" w:rsidRPr="004C3B98">
        <w:rPr>
          <w:i/>
          <w:iCs/>
          <w:vertAlign w:val="superscript"/>
        </w:rPr>
        <w:t>68</w:t>
      </w:r>
      <w:r w:rsidR="00812203" w:rsidRPr="004C3B98">
        <w:rPr>
          <w:i/>
          <w:iCs/>
        </w:rPr>
        <w:t>Ga-DOTA</w:t>
      </w:r>
      <w:r>
        <w:rPr>
          <w:i/>
          <w:iCs/>
        </w:rPr>
        <w:t xml:space="preserve">-octreotate PET/CT </w:t>
      </w:r>
      <w:r w:rsidR="00812203" w:rsidRPr="004C3B98">
        <w:rPr>
          <w:i/>
          <w:iCs/>
        </w:rPr>
        <w:t xml:space="preserve">report. </w:t>
      </w:r>
    </w:p>
    <w:p w14:paraId="2B047CF7" w14:textId="077683B4" w:rsidR="00667892" w:rsidRDefault="00667892" w:rsidP="00AE0021">
      <w:pPr>
        <w:jc w:val="both"/>
        <w:rPr>
          <w:i/>
          <w:iCs/>
        </w:rPr>
      </w:pPr>
      <w:r>
        <w:rPr>
          <w:i/>
          <w:iCs/>
        </w:rPr>
        <w:t xml:space="preserve">In August 2023, </w:t>
      </w:r>
      <w:r w:rsidRPr="00667892">
        <w:rPr>
          <w:i/>
          <w:iCs/>
        </w:rPr>
        <w:t xml:space="preserve">PASC considered that an MDT referral is not specifically required to request a </w:t>
      </w:r>
      <w:r w:rsidRPr="00E35BCA">
        <w:rPr>
          <w:i/>
          <w:iCs/>
          <w:vertAlign w:val="superscript"/>
        </w:rPr>
        <w:t>68</w:t>
      </w:r>
      <w:r w:rsidRPr="00667892">
        <w:rPr>
          <w:i/>
          <w:iCs/>
        </w:rPr>
        <w:t>Ga-DOTA</w:t>
      </w:r>
      <w:r w:rsidR="00D32CC3">
        <w:rPr>
          <w:i/>
          <w:iCs/>
        </w:rPr>
        <w:t>-octreotate</w:t>
      </w:r>
      <w:r w:rsidRPr="00667892">
        <w:rPr>
          <w:i/>
          <w:iCs/>
        </w:rPr>
        <w:t xml:space="preserve"> PET/CT as a</w:t>
      </w:r>
      <w:r w:rsidR="002647C6">
        <w:rPr>
          <w:i/>
          <w:iCs/>
        </w:rPr>
        <w:t>n unknown</w:t>
      </w:r>
      <w:r w:rsidRPr="00667892">
        <w:rPr>
          <w:i/>
          <w:iCs/>
        </w:rPr>
        <w:t xml:space="preserve"> proportion of patients will already have undergone SSTR expression assessment before review by the MDT. However, the current MBS item 61647 would require an amendment or </w:t>
      </w:r>
      <w:r w:rsidR="007557BD">
        <w:rPr>
          <w:i/>
          <w:iCs/>
        </w:rPr>
        <w:t xml:space="preserve">a </w:t>
      </w:r>
      <w:r w:rsidRPr="00667892">
        <w:rPr>
          <w:i/>
          <w:iCs/>
        </w:rPr>
        <w:t>new item to include the eligible population for the proposed new therapeutic PRRT item</w:t>
      </w:r>
      <w:r>
        <w:rPr>
          <w:i/>
          <w:iCs/>
        </w:rPr>
        <w:t>.</w:t>
      </w:r>
    </w:p>
    <w:p w14:paraId="119C0333" w14:textId="45710C73" w:rsidR="002E1B56" w:rsidRPr="00E35BCA" w:rsidRDefault="002E1B56" w:rsidP="00AE0021">
      <w:pPr>
        <w:jc w:val="both"/>
      </w:pPr>
      <w:r w:rsidRPr="00E35BCA">
        <w:t xml:space="preserve">The use of </w:t>
      </w:r>
      <w:r w:rsidRPr="00E35BCA">
        <w:rPr>
          <w:vertAlign w:val="superscript"/>
        </w:rPr>
        <w:t>68</w:t>
      </w:r>
      <w:r w:rsidRPr="00E35BCA">
        <w:t>Ga-DOTA</w:t>
      </w:r>
      <w:r w:rsidR="009C4533" w:rsidRPr="00E35BCA">
        <w:t xml:space="preserve">-octreotate </w:t>
      </w:r>
      <w:r w:rsidRPr="00E35BCA">
        <w:t>PET</w:t>
      </w:r>
      <w:r w:rsidR="009C4533" w:rsidRPr="00E35BCA">
        <w:t>/CT</w:t>
      </w:r>
      <w:r w:rsidRPr="00E35BCA">
        <w:t xml:space="preserve"> is also required approximately three months after the treatment cycle to assess treatment outcomes. </w:t>
      </w:r>
    </w:p>
    <w:p w14:paraId="0F9E70E6" w14:textId="02F733D1" w:rsidR="009236F9" w:rsidRPr="00ED4E95" w:rsidRDefault="009236F9" w:rsidP="00AE0021">
      <w:pPr>
        <w:jc w:val="both"/>
        <w:rPr>
          <w:i/>
          <w:iCs/>
        </w:rPr>
      </w:pPr>
      <w:r>
        <w:rPr>
          <w:rFonts w:cs="Calibri"/>
          <w:i/>
          <w:iCs/>
        </w:rPr>
        <w:t>PASC considered</w:t>
      </w:r>
      <w:r w:rsidRPr="0590C3BA">
        <w:rPr>
          <w:rFonts w:cs="Calibri"/>
          <w:i/>
          <w:iCs/>
        </w:rPr>
        <w:t xml:space="preserve"> </w:t>
      </w:r>
      <w:r>
        <w:rPr>
          <w:rFonts w:cs="Calibri"/>
          <w:i/>
          <w:iCs/>
        </w:rPr>
        <w:t>that data derived from evidence relating to SSTR expression determination by</w:t>
      </w:r>
      <w:r w:rsidR="000B0A32">
        <w:rPr>
          <w:rFonts w:cs="Calibri"/>
          <w:i/>
          <w:iCs/>
        </w:rPr>
        <w:t xml:space="preserve"> </w:t>
      </w:r>
      <w:r w:rsidR="000B0A32" w:rsidRPr="00800FD0">
        <w:rPr>
          <w:rFonts w:cs="Calibri"/>
          <w:i/>
          <w:iCs/>
          <w:vertAlign w:val="superscript"/>
        </w:rPr>
        <w:t>111</w:t>
      </w:r>
      <w:r w:rsidR="000B0A32">
        <w:rPr>
          <w:rFonts w:cs="Calibri"/>
          <w:i/>
          <w:iCs/>
        </w:rPr>
        <w:t>In-pentetreotide</w:t>
      </w:r>
      <w:r>
        <w:rPr>
          <w:rFonts w:cs="Calibri"/>
          <w:i/>
          <w:iCs/>
        </w:rPr>
        <w:t xml:space="preserve"> </w:t>
      </w:r>
      <w:r w:rsidR="000B0A32">
        <w:rPr>
          <w:rFonts w:cs="Calibri"/>
          <w:i/>
          <w:iCs/>
        </w:rPr>
        <w:t>(</w:t>
      </w:r>
      <w:r w:rsidR="00504C7D">
        <w:rPr>
          <w:rFonts w:cs="Calibri"/>
          <w:i/>
          <w:iCs/>
        </w:rPr>
        <w:t>OctreoScan®</w:t>
      </w:r>
      <w:r w:rsidR="000B0A32">
        <w:rPr>
          <w:rFonts w:cs="Calibri"/>
          <w:i/>
          <w:iCs/>
        </w:rPr>
        <w:t>)</w:t>
      </w:r>
      <w:r>
        <w:rPr>
          <w:rFonts w:cs="Calibri"/>
          <w:i/>
          <w:iCs/>
        </w:rPr>
        <w:t xml:space="preserve"> </w:t>
      </w:r>
      <w:r w:rsidRPr="0019373A">
        <w:rPr>
          <w:rFonts w:cs="Calibri"/>
          <w:i/>
          <w:iCs/>
        </w:rPr>
        <w:t>SPECT/CT</w:t>
      </w:r>
      <w:r w:rsidRPr="0590C3BA">
        <w:rPr>
          <w:rFonts w:cs="Calibri"/>
          <w:i/>
          <w:iCs/>
        </w:rPr>
        <w:t xml:space="preserve"> </w:t>
      </w:r>
      <w:r>
        <w:rPr>
          <w:rFonts w:cs="Calibri"/>
          <w:i/>
          <w:iCs/>
        </w:rPr>
        <w:t xml:space="preserve">would need to be translated to </w:t>
      </w:r>
      <w:r>
        <w:rPr>
          <w:rFonts w:cs="Calibri"/>
          <w:i/>
          <w:iCs/>
          <w:vertAlign w:val="superscript"/>
        </w:rPr>
        <w:t>68</w:t>
      </w:r>
      <w:r>
        <w:rPr>
          <w:rFonts w:cs="Calibri"/>
          <w:i/>
          <w:iCs/>
        </w:rPr>
        <w:t>Ga-</w:t>
      </w:r>
      <w:r w:rsidR="001C03D0">
        <w:rPr>
          <w:rFonts w:cs="Calibri"/>
          <w:i/>
          <w:iCs/>
        </w:rPr>
        <w:t xml:space="preserve">DOTA-octreotate </w:t>
      </w:r>
      <w:r w:rsidR="009C4533">
        <w:rPr>
          <w:rFonts w:cs="Calibri"/>
          <w:i/>
          <w:iCs/>
        </w:rPr>
        <w:t>at the April</w:t>
      </w:r>
      <w:r w:rsidR="000C26AC">
        <w:rPr>
          <w:rFonts w:cs="Calibri"/>
          <w:i/>
          <w:iCs/>
        </w:rPr>
        <w:t xml:space="preserve"> 2023</w:t>
      </w:r>
      <w:r w:rsidR="009C4533">
        <w:rPr>
          <w:rFonts w:cs="Calibri"/>
          <w:i/>
          <w:iCs/>
        </w:rPr>
        <w:t xml:space="preserve"> meeting</w:t>
      </w:r>
      <w:r>
        <w:rPr>
          <w:rFonts w:cs="Calibri"/>
          <w:i/>
          <w:iCs/>
        </w:rPr>
        <w:t>.</w:t>
      </w:r>
    </w:p>
    <w:p w14:paraId="4D409588" w14:textId="1AB8ADD1" w:rsidR="003F6F41" w:rsidRPr="00ED4E95" w:rsidRDefault="002054D5" w:rsidP="00AE0021">
      <w:pPr>
        <w:pStyle w:val="Heading4"/>
        <w:spacing w:after="240"/>
        <w:jc w:val="both"/>
      </w:pPr>
      <w:r>
        <w:t>T</w:t>
      </w:r>
      <w:r w:rsidR="003F6F41" w:rsidRPr="00ED4E95">
        <w:t xml:space="preserve">est 2: FDG PET/CT </w:t>
      </w:r>
    </w:p>
    <w:p w14:paraId="47CE878D" w14:textId="36CA5131" w:rsidR="00B61618" w:rsidRPr="00E35BCA" w:rsidRDefault="00B61618" w:rsidP="00AE0021">
      <w:pPr>
        <w:jc w:val="both"/>
      </w:pPr>
      <w:r w:rsidRPr="00E35BCA">
        <w:t xml:space="preserve">As noted by the </w:t>
      </w:r>
      <w:r w:rsidR="009C4533" w:rsidRPr="00E35BCA">
        <w:t>a</w:t>
      </w:r>
      <w:r w:rsidRPr="00E35BCA">
        <w:t xml:space="preserve">pplicant and outlined in </w:t>
      </w:r>
      <w:r w:rsidRPr="00667892">
        <w:fldChar w:fldCharType="begin"/>
      </w:r>
      <w:r w:rsidRPr="00667892">
        <w:instrText xml:space="preserve"> REF _Ref134204941 \h  \* MERGEFORMAT </w:instrText>
      </w:r>
      <w:r w:rsidRPr="00667892">
        <w:fldChar w:fldCharType="separate"/>
      </w:r>
      <w:r w:rsidR="00667892" w:rsidRPr="004C3B98" w:rsidDel="00302581">
        <w:t xml:space="preserve">Figure </w:t>
      </w:r>
      <w:r w:rsidR="00667892">
        <w:rPr>
          <w:noProof/>
        </w:rPr>
        <w:t>9</w:t>
      </w:r>
      <w:r w:rsidRPr="00667892">
        <w:fldChar w:fldCharType="end"/>
      </w:r>
      <w:r w:rsidRPr="00667892">
        <w:t xml:space="preserve">, </w:t>
      </w:r>
      <w:r w:rsidRPr="00E35BCA">
        <w:t xml:space="preserve">a proportion of the patients eligible for and </w:t>
      </w:r>
      <w:r w:rsidR="00215308" w:rsidRPr="00E35BCA">
        <w:t xml:space="preserve">who </w:t>
      </w:r>
      <w:r w:rsidRPr="00E35BCA">
        <w:t xml:space="preserve">have received a </w:t>
      </w:r>
      <w:r w:rsidRPr="00E35BCA">
        <w:rPr>
          <w:vertAlign w:val="superscript"/>
        </w:rPr>
        <w:t>68</w:t>
      </w:r>
      <w:r w:rsidRPr="00E35BCA">
        <w:t>Ga-</w:t>
      </w:r>
      <w:r w:rsidR="009C4533" w:rsidRPr="00E35BCA">
        <w:t xml:space="preserve">DOTA-octreotate </w:t>
      </w:r>
      <w:r w:rsidRPr="00E35BCA">
        <w:t>PET</w:t>
      </w:r>
      <w:r w:rsidR="009C4533" w:rsidRPr="00E35BCA">
        <w:t>/CT</w:t>
      </w:r>
      <w:r w:rsidRPr="00E35BCA">
        <w:t xml:space="preserve"> revealing H-SSTR may also require a FDG PET</w:t>
      </w:r>
      <w:r w:rsidR="009C4533" w:rsidRPr="00E35BCA">
        <w:t>/CT</w:t>
      </w:r>
      <w:r w:rsidRPr="00E35BCA">
        <w:t xml:space="preserve"> for the purposes of revealing </w:t>
      </w:r>
      <w:r w:rsidR="002E1B56" w:rsidRPr="00E35BCA">
        <w:t xml:space="preserve">whether </w:t>
      </w:r>
      <w:r w:rsidRPr="00E35BCA">
        <w:t>high intra- and inter-tumour heterogeneity that may not be revealed on only receptor based imaging</w:t>
      </w:r>
      <w:r w:rsidR="002E1B56" w:rsidRPr="00E35BCA">
        <w:t xml:space="preserve"> is present</w:t>
      </w:r>
      <w:r w:rsidRPr="00E35BCA">
        <w:t xml:space="preserve">. </w:t>
      </w:r>
    </w:p>
    <w:p w14:paraId="0DE37019" w14:textId="058C8C6B" w:rsidR="00E430DA" w:rsidRPr="00ED4E95" w:rsidRDefault="00834AA4" w:rsidP="00AE0021">
      <w:pPr>
        <w:jc w:val="both"/>
      </w:pPr>
      <w:r>
        <w:t xml:space="preserve">The Applicant nominated </w:t>
      </w:r>
      <w:r w:rsidR="003D6C21" w:rsidRPr="00ED4E95">
        <w:t xml:space="preserve">FDG PET/CT, imaging </w:t>
      </w:r>
      <w:r>
        <w:t xml:space="preserve">that </w:t>
      </w:r>
      <w:r w:rsidR="003D6C21" w:rsidRPr="00ED4E95">
        <w:t>may be required to optimise therapeutic decision making</w:t>
      </w:r>
      <w:r w:rsidR="006845DD" w:rsidRPr="00ED4E95">
        <w:t xml:space="preserve"> </w:t>
      </w:r>
      <w:r w:rsidR="00F74082" w:rsidRPr="00ED4E95">
        <w:t>in the following patients:</w:t>
      </w:r>
      <w:r w:rsidR="003D6C21" w:rsidRPr="00ED4E95">
        <w:t xml:space="preserve"> </w:t>
      </w:r>
    </w:p>
    <w:p w14:paraId="6F760C48" w14:textId="6BE29138" w:rsidR="00E430DA" w:rsidRPr="00ED4E95" w:rsidRDefault="00E430DA" w:rsidP="00AE0021">
      <w:pPr>
        <w:pStyle w:val="ListParagraph"/>
        <w:numPr>
          <w:ilvl w:val="0"/>
          <w:numId w:val="21"/>
        </w:numPr>
        <w:ind w:left="567" w:hanging="567"/>
        <w:jc w:val="both"/>
      </w:pPr>
      <w:r w:rsidRPr="00ED4E95">
        <w:t>S</w:t>
      </w:r>
      <w:r w:rsidR="006845DD" w:rsidRPr="00ED4E95">
        <w:t xml:space="preserve">ome patients with G2 tumours and </w:t>
      </w:r>
      <w:r w:rsidR="00E304F4">
        <w:t xml:space="preserve">all </w:t>
      </w:r>
      <w:r w:rsidR="006845DD" w:rsidRPr="00ED4E95">
        <w:t>patients with G3 tumours</w:t>
      </w:r>
      <w:r w:rsidR="00A95155" w:rsidRPr="00ED4E95">
        <w:t xml:space="preserve"> (tumours with Ki</w:t>
      </w:r>
      <w:r w:rsidR="00F820B9" w:rsidRPr="00ED4E95">
        <w:t>-</w:t>
      </w:r>
      <w:r w:rsidR="00D0426F" w:rsidRPr="00ED4E95">
        <w:t>67</w:t>
      </w:r>
      <w:r w:rsidR="00F820B9" w:rsidRPr="00ED4E95">
        <w:t xml:space="preserve"> </w:t>
      </w:r>
      <w:r w:rsidR="00D0426F" w:rsidRPr="00ED4E95">
        <w:t>&gt;10%)</w:t>
      </w:r>
      <w:r w:rsidR="00F820B9" w:rsidRPr="00ED4E95">
        <w:t>;</w:t>
      </w:r>
      <w:r w:rsidR="008C4D0F">
        <w:t xml:space="preserve"> or</w:t>
      </w:r>
    </w:p>
    <w:p w14:paraId="052DB16D" w14:textId="45DE7B9E" w:rsidR="00E430DA" w:rsidRPr="00ED4E95" w:rsidRDefault="00E430DA" w:rsidP="00AE0021">
      <w:pPr>
        <w:pStyle w:val="ListParagraph"/>
        <w:numPr>
          <w:ilvl w:val="0"/>
          <w:numId w:val="21"/>
        </w:numPr>
        <w:ind w:left="567" w:hanging="567"/>
        <w:jc w:val="both"/>
      </w:pPr>
      <w:r w:rsidRPr="00ED4E95">
        <w:t>P</w:t>
      </w:r>
      <w:r w:rsidR="00984A1D" w:rsidRPr="00ED4E95">
        <w:t>rogression in less than 6 months</w:t>
      </w:r>
      <w:r w:rsidR="008C4D0F">
        <w:t>.</w:t>
      </w:r>
    </w:p>
    <w:p w14:paraId="478E9DAE" w14:textId="18B40065" w:rsidR="002054D5" w:rsidRPr="004368F9" w:rsidRDefault="00D9183A" w:rsidP="00AE0021">
      <w:pPr>
        <w:jc w:val="both"/>
        <w:rPr>
          <w:rFonts w:cs="Calibri"/>
        </w:rPr>
      </w:pPr>
      <w:r w:rsidRPr="004C3B98">
        <w:rPr>
          <w:rFonts w:cs="Calibri"/>
          <w:i/>
          <w:iCs/>
        </w:rPr>
        <w:t xml:space="preserve">As above, </w:t>
      </w:r>
      <w:r w:rsidR="009C4533" w:rsidRPr="004C3B98">
        <w:rPr>
          <w:rFonts w:cs="Calibri"/>
          <w:i/>
          <w:iCs/>
        </w:rPr>
        <w:t xml:space="preserve">in its consideration at the April </w:t>
      </w:r>
      <w:r w:rsidR="000C26AC">
        <w:rPr>
          <w:rFonts w:cs="Calibri"/>
          <w:i/>
          <w:iCs/>
        </w:rPr>
        <w:t xml:space="preserve">2023 </w:t>
      </w:r>
      <w:r w:rsidR="009C4533" w:rsidRPr="004C3B98">
        <w:rPr>
          <w:rFonts w:cs="Calibri"/>
          <w:i/>
          <w:iCs/>
        </w:rPr>
        <w:t xml:space="preserve">meeting, </w:t>
      </w:r>
      <w:r w:rsidRPr="004C3B98">
        <w:rPr>
          <w:rFonts w:cs="Calibri"/>
          <w:i/>
          <w:iCs/>
        </w:rPr>
        <w:t xml:space="preserve">PASC questioned the use of FDG PET/CT (i.e. test 2) for patients with lesions on CT or MRI without adequate SSTR expression on </w:t>
      </w:r>
      <w:r w:rsidRPr="004C3B98">
        <w:rPr>
          <w:i/>
          <w:iCs/>
          <w:vertAlign w:val="superscript"/>
        </w:rPr>
        <w:t>68</w:t>
      </w:r>
      <w:r w:rsidRPr="004C3B98">
        <w:rPr>
          <w:i/>
          <w:iCs/>
        </w:rPr>
        <w:t>Ga-</w:t>
      </w:r>
      <w:r w:rsidR="001C03D0" w:rsidRPr="004C3B98">
        <w:rPr>
          <w:rFonts w:cs="Calibri"/>
          <w:i/>
          <w:iCs/>
        </w:rPr>
        <w:t>DOTA-</w:t>
      </w:r>
      <w:r w:rsidR="00110D5F" w:rsidRPr="004C3B98">
        <w:rPr>
          <w:rFonts w:cs="Calibri"/>
          <w:i/>
          <w:iCs/>
        </w:rPr>
        <w:t xml:space="preserve">octreotate </w:t>
      </w:r>
      <w:r w:rsidRPr="004C3B98">
        <w:rPr>
          <w:i/>
          <w:iCs/>
        </w:rPr>
        <w:t>PET/CT</w:t>
      </w:r>
      <w:r w:rsidRPr="004C3B98">
        <w:rPr>
          <w:rFonts w:cs="Calibri"/>
          <w:i/>
          <w:iCs/>
        </w:rPr>
        <w:t xml:space="preserve">. PASC also stated that the use of FDG PET/CT as a selection criterion for (or against) eligibility for </w:t>
      </w:r>
      <w:r w:rsidRPr="004C3B98">
        <w:rPr>
          <w:rFonts w:cs="Calibri"/>
          <w:i/>
          <w:iCs/>
          <w:vertAlign w:val="superscript"/>
        </w:rPr>
        <w:t>177</w:t>
      </w:r>
      <w:r w:rsidRPr="004C3B98">
        <w:rPr>
          <w:rFonts w:cs="Calibri"/>
          <w:i/>
          <w:iCs/>
        </w:rPr>
        <w:t>Lu-</w:t>
      </w:r>
      <w:r w:rsidR="001C03D0" w:rsidRPr="004C3B98">
        <w:rPr>
          <w:rFonts w:cs="Calibri"/>
          <w:i/>
          <w:iCs/>
        </w:rPr>
        <w:t xml:space="preserve">DOTA-octreotate </w:t>
      </w:r>
      <w:r w:rsidRPr="004C3B98">
        <w:rPr>
          <w:rFonts w:cs="Calibri"/>
          <w:i/>
          <w:iCs/>
        </w:rPr>
        <w:t>treatment required justification</w:t>
      </w:r>
      <w:r w:rsidR="009236F9" w:rsidRPr="004C3B98">
        <w:rPr>
          <w:rFonts w:cs="Calibri"/>
          <w:i/>
          <w:iCs/>
        </w:rPr>
        <w:t>.</w:t>
      </w:r>
      <w:r w:rsidR="00834AA4">
        <w:rPr>
          <w:rFonts w:cs="Calibri"/>
        </w:rPr>
        <w:t xml:space="preserve"> </w:t>
      </w:r>
      <w:r w:rsidR="00834AA4" w:rsidRPr="00E35BCA">
        <w:rPr>
          <w:rFonts w:cs="Calibri"/>
        </w:rPr>
        <w:t xml:space="preserve">Although the </w:t>
      </w:r>
      <w:r w:rsidR="009C4533" w:rsidRPr="00E35BCA">
        <w:rPr>
          <w:rFonts w:cs="Calibri"/>
        </w:rPr>
        <w:t>a</w:t>
      </w:r>
      <w:r w:rsidR="00834AA4" w:rsidRPr="00E35BCA">
        <w:rPr>
          <w:rFonts w:cs="Calibri"/>
        </w:rPr>
        <w:t xml:space="preserve">pplicant has accepted the reason for removing </w:t>
      </w:r>
      <w:r w:rsidR="00834AA4" w:rsidRPr="00E35BCA">
        <w:rPr>
          <w:rFonts w:cs="Calibri"/>
        </w:rPr>
        <w:lastRenderedPageBreak/>
        <w:t xml:space="preserve">this population, they have also stated that </w:t>
      </w:r>
      <w:r w:rsidR="007E7F65" w:rsidRPr="00E35BCA">
        <w:rPr>
          <w:rFonts w:cs="Calibri"/>
        </w:rPr>
        <w:t xml:space="preserve">FDG PET is no longer indicated to assess suitability for </w:t>
      </w:r>
      <w:r w:rsidR="007E7F65" w:rsidRPr="00E35BCA">
        <w:rPr>
          <w:rFonts w:cs="Calibri"/>
          <w:vertAlign w:val="superscript"/>
        </w:rPr>
        <w:t>177</w:t>
      </w:r>
      <w:r w:rsidR="007E7F65" w:rsidRPr="00E35BCA">
        <w:rPr>
          <w:rFonts w:cs="Calibri"/>
        </w:rPr>
        <w:t>Lu-DOTA-octreotate treatment (email July 14</w:t>
      </w:r>
      <w:r w:rsidR="00C46D0C" w:rsidRPr="00E35BCA">
        <w:rPr>
          <w:rFonts w:cs="Calibri"/>
          <w:vertAlign w:val="superscript"/>
        </w:rPr>
        <w:t>th</w:t>
      </w:r>
      <w:r w:rsidR="00C46D0C" w:rsidRPr="00E35BCA">
        <w:rPr>
          <w:rFonts w:cs="Calibri"/>
        </w:rPr>
        <w:t xml:space="preserve"> 2023</w:t>
      </w:r>
      <w:r w:rsidR="007E7F65" w:rsidRPr="00E35BCA">
        <w:rPr>
          <w:rFonts w:cs="Calibri"/>
        </w:rPr>
        <w:t>).</w:t>
      </w:r>
      <w:r w:rsidR="007E7F65" w:rsidRPr="004C3B98">
        <w:rPr>
          <w:rFonts w:cs="Calibri"/>
          <w:i/>
          <w:iCs/>
        </w:rPr>
        <w:t xml:space="preserve"> </w:t>
      </w:r>
      <w:r w:rsidR="0060590C">
        <w:rPr>
          <w:rFonts w:cs="Calibri"/>
          <w:i/>
          <w:iCs/>
        </w:rPr>
        <w:t>From</w:t>
      </w:r>
      <w:r w:rsidR="007E7F65" w:rsidRPr="004C3B98">
        <w:rPr>
          <w:rFonts w:cs="Calibri"/>
          <w:i/>
          <w:iCs/>
        </w:rPr>
        <w:t xml:space="preserve"> the April </w:t>
      </w:r>
      <w:r w:rsidR="000C26AC">
        <w:rPr>
          <w:rFonts w:cs="Calibri"/>
          <w:i/>
          <w:iCs/>
        </w:rPr>
        <w:t xml:space="preserve">2023 </w:t>
      </w:r>
      <w:r w:rsidR="007E7F65" w:rsidRPr="004C3B98">
        <w:rPr>
          <w:rFonts w:cs="Calibri"/>
          <w:i/>
          <w:iCs/>
        </w:rPr>
        <w:t>PASC,</w:t>
      </w:r>
      <w:r w:rsidR="0060590C">
        <w:rPr>
          <w:rFonts w:cs="Calibri"/>
          <w:i/>
          <w:iCs/>
        </w:rPr>
        <w:t xml:space="preserve"> </w:t>
      </w:r>
      <w:r w:rsidR="007E7F65" w:rsidRPr="004C3B98">
        <w:rPr>
          <w:rFonts w:cs="Calibri"/>
          <w:i/>
          <w:iCs/>
        </w:rPr>
        <w:t xml:space="preserve">and </w:t>
      </w:r>
      <w:r w:rsidR="0060590C">
        <w:rPr>
          <w:rFonts w:cs="Calibri"/>
          <w:i/>
          <w:iCs/>
        </w:rPr>
        <w:t>written</w:t>
      </w:r>
      <w:r w:rsidR="007E7F65" w:rsidRPr="004C3B98">
        <w:rPr>
          <w:rFonts w:cs="Calibri"/>
          <w:i/>
          <w:iCs/>
        </w:rPr>
        <w:t xml:space="preserve"> in the draft PICO confirmation, PASC noted that “absence of SSTR receptors precludes delivery of high dose radiation to a tumour site. This meant that patients with high SSTR at all tumour sites regardless of FDG PET result can proceed to </w:t>
      </w:r>
      <w:r w:rsidR="007E7F65" w:rsidRPr="004C3B98">
        <w:rPr>
          <w:rFonts w:cs="Calibri"/>
          <w:i/>
          <w:iCs/>
          <w:vertAlign w:val="superscript"/>
        </w:rPr>
        <w:t>177</w:t>
      </w:r>
      <w:r w:rsidR="007E7F65" w:rsidRPr="004C3B98">
        <w:rPr>
          <w:rFonts w:cs="Calibri"/>
          <w:i/>
          <w:iCs/>
        </w:rPr>
        <w:t>Lu-DOTA-octreotate therapy with high probability that favourable patient relevant outcomes will be achieved”</w:t>
      </w:r>
      <w:r w:rsidR="007E7F65">
        <w:rPr>
          <w:rFonts w:cs="Calibri"/>
        </w:rPr>
        <w:t>.</w:t>
      </w:r>
      <w:r w:rsidR="0060590C">
        <w:rPr>
          <w:rFonts w:cs="Calibri"/>
        </w:rPr>
        <w:t xml:space="preserve"> </w:t>
      </w:r>
    </w:p>
    <w:p w14:paraId="7C873D09" w14:textId="6DC374E5" w:rsidR="00D21179" w:rsidRPr="00E35BCA" w:rsidRDefault="00D21179" w:rsidP="00AE0021">
      <w:pPr>
        <w:jc w:val="both"/>
        <w:rPr>
          <w:rFonts w:cs="Calibri"/>
        </w:rPr>
      </w:pPr>
      <w:r w:rsidRPr="00E35BCA">
        <w:rPr>
          <w:rFonts w:cs="Calibri"/>
        </w:rPr>
        <w:t xml:space="preserve">The applicant stated that the question of use of FDG PET/CT as an eligibility criteria has been addressed previously. More patients with a higher probability of harbouring tumours that do not have modified Krenning score SSTR expression </w:t>
      </w:r>
      <w:r w:rsidR="00AD4E17" w:rsidRPr="00E35BCA">
        <w:rPr>
          <w:rFonts w:cs="Calibri"/>
        </w:rPr>
        <w:t>≥</w:t>
      </w:r>
      <w:r w:rsidR="00C7058C" w:rsidRPr="00E35BCA">
        <w:rPr>
          <w:rFonts w:cs="Calibri"/>
        </w:rPr>
        <w:t>3</w:t>
      </w:r>
      <w:r w:rsidRPr="00E35BCA">
        <w:rPr>
          <w:rFonts w:cs="Calibri"/>
        </w:rPr>
        <w:t xml:space="preserve"> who are unlikely to derive benefit from the treatment will be identified. Some patients who are unsuitable for treatment can be identified through correlation with diagnostic CT or MRI. However, the incremental sensitivity of FDG PET for detecting tumours means that reliance on CT or MRI alone will result in some patients with FDG positive/SSTR negative tumours being judged as suitable for treatment when they are not. </w:t>
      </w:r>
    </w:p>
    <w:p w14:paraId="38F94BA1" w14:textId="192E2BE7" w:rsidR="00067162" w:rsidRDefault="000C18F7" w:rsidP="00AE0021">
      <w:pPr>
        <w:jc w:val="both"/>
      </w:pPr>
      <w:r>
        <w:t xml:space="preserve">It is not a necessary condition for patients in groups (i) and (ii) to have tumours that are below the </w:t>
      </w:r>
      <w:r w:rsidRPr="00ED4E95">
        <w:t>nominated threshold for H-SSTR (</w:t>
      </w:r>
      <w:r>
        <w:t xml:space="preserve">detected </w:t>
      </w:r>
      <w:r w:rsidRPr="00ED4E95">
        <w:t xml:space="preserve">via </w:t>
      </w:r>
      <w:r w:rsidRPr="00ED4E95">
        <w:rPr>
          <w:vertAlign w:val="superscript"/>
        </w:rPr>
        <w:t>68</w:t>
      </w:r>
      <w:r w:rsidRPr="00ED4E95">
        <w:t>Ga-</w:t>
      </w:r>
      <w:r w:rsidR="001C03D0">
        <w:t>DOTA-</w:t>
      </w:r>
      <w:r w:rsidR="00110D5F">
        <w:t xml:space="preserve">octreotate </w:t>
      </w:r>
      <w:r w:rsidRPr="00ED4E95">
        <w:t>PET/CT)</w:t>
      </w:r>
      <w:r>
        <w:t xml:space="preserve"> before proceeding to Test 2</w:t>
      </w:r>
      <w:r w:rsidR="00716BA2">
        <w:t>.</w:t>
      </w:r>
    </w:p>
    <w:p w14:paraId="4338B0EC" w14:textId="1C0700CE" w:rsidR="006C2D00" w:rsidRPr="00E35BCA" w:rsidRDefault="006C2D00" w:rsidP="00AE0021">
      <w:pPr>
        <w:jc w:val="both"/>
      </w:pPr>
      <w:r w:rsidRPr="00E35BCA">
        <w:t xml:space="preserve">The applicant is not in favour of the FDG PET/CT being used as an eligibility for </w:t>
      </w:r>
      <w:r w:rsidRPr="00E35BCA">
        <w:rPr>
          <w:vertAlign w:val="superscript"/>
        </w:rPr>
        <w:t>177</w:t>
      </w:r>
      <w:r w:rsidRPr="00E35BCA">
        <w:t>Lu-</w:t>
      </w:r>
      <w:r w:rsidR="00C12A27" w:rsidRPr="00E35BCA">
        <w:t xml:space="preserve">DOTA-octreotate, as noted in the literature, the purpose of the FDG PET is to identify inter-and intra-tumour heterogeneity, and it is recognised that pre-treatment </w:t>
      </w:r>
      <w:r w:rsidR="00C12A27" w:rsidRPr="00E35BCA">
        <w:rPr>
          <w:vertAlign w:val="superscript"/>
        </w:rPr>
        <w:t>68</w:t>
      </w:r>
      <w:r w:rsidR="00C12A27" w:rsidRPr="00E35BCA">
        <w:t>G</w:t>
      </w:r>
      <w:r w:rsidR="00AD4E17" w:rsidRPr="00E35BCA">
        <w:t>a</w:t>
      </w:r>
      <w:r w:rsidR="00C12A27" w:rsidRPr="00E35BCA">
        <w:t>-DOTA</w:t>
      </w:r>
      <w:r w:rsidR="00AD4E17" w:rsidRPr="00E35BCA">
        <w:t>-octreotate</w:t>
      </w:r>
      <w:r w:rsidR="00C12A27" w:rsidRPr="00E35BCA">
        <w:t xml:space="preserve"> PET/CT does not always correlate with a response to PRRT, as target lesion heterogeneity may affect the response </w:t>
      </w:r>
      <w:r w:rsidR="00AD4E17" w:rsidRPr="00E35BCA">
        <w:t>(</w:t>
      </w:r>
      <w:r w:rsidR="00C12A27" w:rsidRPr="00E35BCA">
        <w:t>Iravani 2022</w:t>
      </w:r>
      <w:r w:rsidR="00AD4E17" w:rsidRPr="00E35BCA">
        <w:t>)</w:t>
      </w:r>
      <w:r w:rsidR="00C12A27" w:rsidRPr="00E35BCA">
        <w:t xml:space="preserve">. </w:t>
      </w:r>
      <w:r w:rsidR="002E1B56" w:rsidRPr="00E35BCA">
        <w:t xml:space="preserve">It is reported that a single standard fixed diagnostic algorithm is not optimal for this highly heterogenous group of tumours and that individualised strategies can lead to improved outcomes, better selection of candidates for specific treatment and evaluation in the post-treatment setting. For this reason, the </w:t>
      </w:r>
      <w:r w:rsidR="00AD4E17" w:rsidRPr="00E35BCA">
        <w:t>a</w:t>
      </w:r>
      <w:r w:rsidR="002E1B56" w:rsidRPr="00E35BCA">
        <w:t>pplication nominated a</w:t>
      </w:r>
      <w:r w:rsidR="00AD4E17" w:rsidRPr="00E35BCA">
        <w:t>n</w:t>
      </w:r>
      <w:r w:rsidR="002E1B56" w:rsidRPr="00E35BCA">
        <w:t xml:space="preserve"> MDT, to determine th</w:t>
      </w:r>
      <w:r w:rsidR="002159A0" w:rsidRPr="00E35BCA">
        <w:t>ese</w:t>
      </w:r>
      <w:r w:rsidR="00D531DA" w:rsidRPr="00E35BCA">
        <w:t xml:space="preserve"> individualised strategies.</w:t>
      </w:r>
    </w:p>
    <w:p w14:paraId="5C822809" w14:textId="7F01D876" w:rsidR="005678B3" w:rsidRPr="00ED4E95" w:rsidRDefault="008E7E5F" w:rsidP="00AE0021">
      <w:pPr>
        <w:jc w:val="both"/>
      </w:pPr>
      <w:r w:rsidRPr="00ED4E95">
        <w:t xml:space="preserve">The </w:t>
      </w:r>
      <w:r w:rsidR="00855107" w:rsidRPr="00ED4E95">
        <w:t>application</w:t>
      </w:r>
      <w:r w:rsidRPr="00ED4E95">
        <w:t xml:space="preserve"> noted (p23) that MDT involvement would </w:t>
      </w:r>
      <w:r w:rsidR="002E5360" w:rsidRPr="00ED4E95">
        <w:t xml:space="preserve">also </w:t>
      </w:r>
      <w:r w:rsidRPr="00ED4E95">
        <w:t xml:space="preserve">assist in determining which patients would be appropriately selected for </w:t>
      </w:r>
      <w:r w:rsidR="00F518CA" w:rsidRPr="00ED4E95">
        <w:t>F</w:t>
      </w:r>
      <w:r w:rsidRPr="00ED4E95">
        <w:t>DG PET/CT imaging depending on the type of malignancy, tumour grade, disease stage, and clinical progress</w:t>
      </w:r>
      <w:r w:rsidRPr="00E35BCA">
        <w:rPr>
          <w:i/>
          <w:iCs/>
        </w:rPr>
        <w:t xml:space="preserve">. </w:t>
      </w:r>
      <w:r w:rsidR="00D531DA" w:rsidRPr="00D32CC3">
        <w:rPr>
          <w:i/>
          <w:iCs/>
        </w:rPr>
        <w:t>As noted already, the current MBS Item 872 is considered suitable for the purpose</w:t>
      </w:r>
      <w:r w:rsidR="00AD4E17" w:rsidRPr="00D32CC3">
        <w:rPr>
          <w:i/>
          <w:iCs/>
        </w:rPr>
        <w:t>s</w:t>
      </w:r>
      <w:r w:rsidR="00D531DA" w:rsidRPr="00D32CC3">
        <w:rPr>
          <w:i/>
          <w:iCs/>
        </w:rPr>
        <w:t xml:space="preserve"> of MDT involvement.</w:t>
      </w:r>
      <w:r w:rsidR="00D531DA" w:rsidRPr="004C3B98">
        <w:rPr>
          <w:i/>
          <w:iCs/>
        </w:rPr>
        <w:t xml:space="preserve"> </w:t>
      </w:r>
    </w:p>
    <w:p w14:paraId="0814C3D1" w14:textId="2ECD1F17" w:rsidR="006845DD" w:rsidRDefault="00D17277" w:rsidP="00AE0021">
      <w:pPr>
        <w:jc w:val="both"/>
      </w:pPr>
      <w:r w:rsidRPr="00922B1C">
        <w:t>The application</w:t>
      </w:r>
      <w:r w:rsidR="008E7E5F" w:rsidRPr="00922B1C">
        <w:t xml:space="preserve"> </w:t>
      </w:r>
      <w:r w:rsidR="001F2A0C" w:rsidRPr="00922B1C">
        <w:t xml:space="preserve">originally </w:t>
      </w:r>
      <w:r w:rsidR="008E7E5F" w:rsidRPr="00922B1C">
        <w:t>proposed</w:t>
      </w:r>
      <w:r w:rsidRPr="00922B1C">
        <w:t xml:space="preserve"> the descriptor for</w:t>
      </w:r>
      <w:r w:rsidR="00F518CA" w:rsidRPr="00922B1C">
        <w:t xml:space="preserve"> </w:t>
      </w:r>
      <w:r w:rsidR="001F2A0C" w:rsidRPr="00922B1C">
        <w:t xml:space="preserve">MBS item 61598 (Whole body FDG PET study performed for the staging of biopsy proven newly diagnosed or recurrent head and neck cancer) be amended to include eligibility for </w:t>
      </w:r>
      <w:r w:rsidR="001F2A0C" w:rsidRPr="00922B1C">
        <w:rPr>
          <w:vertAlign w:val="superscript"/>
        </w:rPr>
        <w:t>177</w:t>
      </w:r>
      <w:r w:rsidR="001F2A0C" w:rsidRPr="00922B1C">
        <w:t>Lu</w:t>
      </w:r>
      <w:r w:rsidR="009236F9">
        <w:t>-</w:t>
      </w:r>
      <w:r w:rsidR="001C03D0">
        <w:t>DOTA-</w:t>
      </w:r>
      <w:r w:rsidR="00110D5F">
        <w:t xml:space="preserve">octreotate </w:t>
      </w:r>
      <w:r w:rsidR="001F2A0C" w:rsidRPr="00922B1C">
        <w:t>treatment</w:t>
      </w:r>
      <w:r w:rsidR="00942788" w:rsidRPr="00922B1C">
        <w:t>. H</w:t>
      </w:r>
      <w:r w:rsidR="001F2A0C" w:rsidRPr="00922B1C">
        <w:t xml:space="preserve">owever, </w:t>
      </w:r>
      <w:r w:rsidR="00B6518A" w:rsidRPr="00922B1C">
        <w:t>i</w:t>
      </w:r>
      <w:r w:rsidR="001F2A0C" w:rsidRPr="00922B1C">
        <w:t xml:space="preserve">t was noted by the applicant </w:t>
      </w:r>
      <w:r w:rsidR="00CC1BC2" w:rsidRPr="00922B1C">
        <w:t>following discussions</w:t>
      </w:r>
      <w:r w:rsidR="001F2A0C" w:rsidRPr="00922B1C">
        <w:t xml:space="preserve"> that amendment to MBS item 61612 would be more appropriate.</w:t>
      </w:r>
      <w:r w:rsidR="00CC1BC2" w:rsidRPr="00922B1C">
        <w:t xml:space="preserve"> No proposed wording was provided in the application</w:t>
      </w:r>
      <w:r w:rsidR="00F820B9" w:rsidRPr="00922B1C">
        <w:t xml:space="preserve">, however the item descriptor may not need amending as </w:t>
      </w:r>
      <w:r w:rsidR="003D3AB7" w:rsidRPr="00922B1C">
        <w:t xml:space="preserve">the eligible patient population for this item </w:t>
      </w:r>
      <w:r w:rsidR="00F820B9" w:rsidRPr="00922B1C">
        <w:t xml:space="preserve">includes </w:t>
      </w:r>
      <w:r w:rsidR="003D3AB7" w:rsidRPr="00922B1C">
        <w:t>individuals diagnosed with</w:t>
      </w:r>
      <w:r w:rsidR="00F820B9" w:rsidRPr="00922B1C">
        <w:t xml:space="preserve"> rare or uncommon cancers</w:t>
      </w:r>
      <w:r w:rsidR="00F65B04" w:rsidRPr="00922B1C">
        <w:t xml:space="preserve">, </w:t>
      </w:r>
      <w:r w:rsidR="00A42AD1" w:rsidRPr="00922B1C">
        <w:t xml:space="preserve">where these cancers are </w:t>
      </w:r>
      <w:r w:rsidR="00F65B04" w:rsidRPr="00922B1C">
        <w:t xml:space="preserve">defined as </w:t>
      </w:r>
      <w:r w:rsidR="00A42AD1" w:rsidRPr="00922B1C">
        <w:t>having</w:t>
      </w:r>
      <w:r w:rsidR="00F65B04" w:rsidRPr="00922B1C">
        <w:t xml:space="preserve"> less than 12 cases per 100,000 persons per year </w:t>
      </w:r>
      <w:r w:rsidR="00E304F4">
        <w:t>(</w:t>
      </w:r>
      <w:r w:rsidR="00F65B04" w:rsidRPr="00922B1C">
        <w:t xml:space="preserve">see </w:t>
      </w:r>
      <w:r w:rsidR="00F65B04" w:rsidRPr="00922B1C">
        <w:fldChar w:fldCharType="begin"/>
      </w:r>
      <w:r w:rsidR="00F65B04" w:rsidRPr="00922B1C">
        <w:instrText xml:space="preserve"> REF _Ref128653206 \h </w:instrText>
      </w:r>
      <w:r w:rsidR="00ED4E95" w:rsidRPr="00922B1C">
        <w:instrText xml:space="preserve"> \* MERGEFORMAT </w:instrText>
      </w:r>
      <w:r w:rsidR="00F65B04" w:rsidRPr="00922B1C">
        <w:fldChar w:fldCharType="separate"/>
      </w:r>
      <w:r w:rsidR="00401046" w:rsidRPr="00ED4E95">
        <w:t xml:space="preserve">Table </w:t>
      </w:r>
      <w:r w:rsidR="00401046">
        <w:rPr>
          <w:noProof/>
        </w:rPr>
        <w:t>14</w:t>
      </w:r>
      <w:r w:rsidR="00F65B04" w:rsidRPr="00922B1C">
        <w:fldChar w:fldCharType="end"/>
      </w:r>
      <w:r w:rsidR="005853AB" w:rsidRPr="00922B1C">
        <w:t xml:space="preserve"> </w:t>
      </w:r>
      <w:r w:rsidR="005853AB" w:rsidRPr="009236F9">
        <w:t>under Proposal for public funding)</w:t>
      </w:r>
      <w:r w:rsidR="00CC1BC2" w:rsidRPr="00922B1C">
        <w:t xml:space="preserve">. </w:t>
      </w:r>
    </w:p>
    <w:p w14:paraId="1A204302" w14:textId="495F6085" w:rsidR="00D531DA" w:rsidRDefault="00BB06EE" w:rsidP="00AE0021">
      <w:pPr>
        <w:jc w:val="both"/>
        <w:rPr>
          <w:i/>
          <w:iCs/>
        </w:rPr>
      </w:pPr>
      <w:r w:rsidRPr="004C3B98">
        <w:rPr>
          <w:i/>
          <w:iCs/>
        </w:rPr>
        <w:t xml:space="preserve">At </w:t>
      </w:r>
      <w:r w:rsidR="006B2C3C">
        <w:rPr>
          <w:i/>
          <w:iCs/>
        </w:rPr>
        <w:t xml:space="preserve">the </w:t>
      </w:r>
      <w:r w:rsidRPr="004C3B98">
        <w:rPr>
          <w:i/>
          <w:iCs/>
        </w:rPr>
        <w:t xml:space="preserve">April </w:t>
      </w:r>
      <w:r w:rsidR="00D32CC3">
        <w:rPr>
          <w:i/>
          <w:iCs/>
        </w:rPr>
        <w:t xml:space="preserve">2023 </w:t>
      </w:r>
      <w:r w:rsidRPr="004C3B98">
        <w:rPr>
          <w:i/>
          <w:iCs/>
        </w:rPr>
        <w:t xml:space="preserve">PASC, PASC agreed that the current MBS item descriptor for FDG PET/CT imaging would likely not require amendment. </w:t>
      </w:r>
      <w:r w:rsidR="002E1B56">
        <w:rPr>
          <w:i/>
          <w:iCs/>
        </w:rPr>
        <w:t xml:space="preserve">The current wording of this item </w:t>
      </w:r>
      <w:r w:rsidR="00D531DA">
        <w:rPr>
          <w:i/>
          <w:iCs/>
        </w:rPr>
        <w:t xml:space="preserve">(Item 61612) </w:t>
      </w:r>
      <w:r w:rsidR="002E1B56">
        <w:rPr>
          <w:i/>
          <w:iCs/>
        </w:rPr>
        <w:t xml:space="preserve">places limits in relation to the rarity of the </w:t>
      </w:r>
      <w:r w:rsidR="00755AB3">
        <w:rPr>
          <w:i/>
          <w:iCs/>
        </w:rPr>
        <w:t>cancer but</w:t>
      </w:r>
      <w:r w:rsidR="00D531DA">
        <w:rPr>
          <w:i/>
          <w:iCs/>
        </w:rPr>
        <w:t xml:space="preserve"> does not place limits due to tumour grade or time from diagnosis.</w:t>
      </w:r>
    </w:p>
    <w:p w14:paraId="422BD76C" w14:textId="74D7C253" w:rsidR="00D32CC3" w:rsidRDefault="00D32CC3" w:rsidP="00AE0021">
      <w:pPr>
        <w:jc w:val="both"/>
        <w:rPr>
          <w:i/>
          <w:iCs/>
        </w:rPr>
      </w:pPr>
      <w:r>
        <w:rPr>
          <w:i/>
          <w:iCs/>
        </w:rPr>
        <w:t xml:space="preserve">In its consideration in August 2023, </w:t>
      </w:r>
      <w:r w:rsidRPr="00D32CC3">
        <w:rPr>
          <w:i/>
          <w:iCs/>
        </w:rPr>
        <w:t xml:space="preserve">PASC noted that a proportion of patients will have </w:t>
      </w:r>
      <w:r w:rsidRPr="00E35BCA">
        <w:rPr>
          <w:i/>
          <w:iCs/>
          <w:vertAlign w:val="superscript"/>
        </w:rPr>
        <w:t>68</w:t>
      </w:r>
      <w:r w:rsidRPr="00D32CC3">
        <w:rPr>
          <w:i/>
          <w:iCs/>
        </w:rPr>
        <w:t>G</w:t>
      </w:r>
      <w:r w:rsidR="003B6879">
        <w:rPr>
          <w:i/>
          <w:iCs/>
        </w:rPr>
        <w:t>a</w:t>
      </w:r>
      <w:r w:rsidRPr="00D32CC3">
        <w:rPr>
          <w:i/>
          <w:iCs/>
        </w:rPr>
        <w:t>-DOTA</w:t>
      </w:r>
      <w:r>
        <w:rPr>
          <w:i/>
          <w:iCs/>
        </w:rPr>
        <w:t>-octreotate</w:t>
      </w:r>
      <w:r w:rsidR="00785D09">
        <w:rPr>
          <w:i/>
          <w:iCs/>
        </w:rPr>
        <w:t xml:space="preserve"> PET/CT</w:t>
      </w:r>
      <w:r>
        <w:rPr>
          <w:i/>
          <w:iCs/>
        </w:rPr>
        <w:t xml:space="preserve"> </w:t>
      </w:r>
      <w:r w:rsidRPr="00D32CC3">
        <w:rPr>
          <w:i/>
          <w:iCs/>
        </w:rPr>
        <w:t>followed by FDG PET/CT. The purpose of this is to identify any intra-</w:t>
      </w:r>
      <w:r w:rsidR="001F6708">
        <w:rPr>
          <w:i/>
          <w:iCs/>
        </w:rPr>
        <w:t>lesional</w:t>
      </w:r>
      <w:r w:rsidRPr="00D32CC3">
        <w:rPr>
          <w:i/>
          <w:iCs/>
        </w:rPr>
        <w:t xml:space="preserve"> and inter-</w:t>
      </w:r>
      <w:r w:rsidR="001F6708">
        <w:rPr>
          <w:i/>
          <w:iCs/>
        </w:rPr>
        <w:t xml:space="preserve">lesional </w:t>
      </w:r>
      <w:r w:rsidRPr="00D32CC3">
        <w:rPr>
          <w:i/>
          <w:iCs/>
        </w:rPr>
        <w:lastRenderedPageBreak/>
        <w:t xml:space="preserve">heterogeneity to optimise therapeutic decision making, particularly </w:t>
      </w:r>
      <w:r w:rsidR="000173CB">
        <w:rPr>
          <w:i/>
          <w:iCs/>
        </w:rPr>
        <w:t>to identify</w:t>
      </w:r>
      <w:r w:rsidRPr="00D32CC3">
        <w:rPr>
          <w:i/>
          <w:iCs/>
        </w:rPr>
        <w:t xml:space="preserve"> discordant</w:t>
      </w:r>
      <w:r w:rsidR="006231C0">
        <w:rPr>
          <w:i/>
          <w:iCs/>
        </w:rPr>
        <w:t xml:space="preserve"> (i.e., FDG-positive, SSRI-negative) </w:t>
      </w:r>
      <w:r w:rsidRPr="00D32CC3">
        <w:rPr>
          <w:i/>
          <w:iCs/>
        </w:rPr>
        <w:t xml:space="preserve"> sites</w:t>
      </w:r>
      <w:r w:rsidR="00E7013D">
        <w:rPr>
          <w:i/>
          <w:iCs/>
        </w:rPr>
        <w:t xml:space="preserve"> of disease which may not respond to PRRT</w:t>
      </w:r>
      <w:r w:rsidRPr="00D32CC3">
        <w:rPr>
          <w:i/>
          <w:iCs/>
        </w:rPr>
        <w:t>.</w:t>
      </w:r>
    </w:p>
    <w:p w14:paraId="44232256" w14:textId="43215FD3" w:rsidR="00D32CC3" w:rsidRPr="00D32CC3" w:rsidRDefault="00D32CC3" w:rsidP="00AE0021">
      <w:pPr>
        <w:jc w:val="both"/>
        <w:rPr>
          <w:i/>
          <w:iCs/>
        </w:rPr>
      </w:pPr>
      <w:r>
        <w:rPr>
          <w:i/>
          <w:iCs/>
        </w:rPr>
        <w:t>PASC also noted (August 2023) that with</w:t>
      </w:r>
      <w:r w:rsidRPr="00D32CC3">
        <w:rPr>
          <w:i/>
          <w:iCs/>
        </w:rPr>
        <w:t xml:space="preserve"> respect to whether the FDG </w:t>
      </w:r>
      <w:r w:rsidR="2F0F888C" w:rsidRPr="724D5165">
        <w:rPr>
          <w:i/>
          <w:iCs/>
        </w:rPr>
        <w:t>PET/</w:t>
      </w:r>
      <w:proofErr w:type="gramStart"/>
      <w:r w:rsidR="2F0F888C" w:rsidRPr="724D5165">
        <w:rPr>
          <w:i/>
          <w:iCs/>
        </w:rPr>
        <w:t>CT</w:t>
      </w:r>
      <w:r w:rsidRPr="00D32CC3">
        <w:rPr>
          <w:i/>
          <w:iCs/>
        </w:rPr>
        <w:t>(</w:t>
      </w:r>
      <w:proofErr w:type="gramEnd"/>
      <w:r w:rsidRPr="00D32CC3">
        <w:rPr>
          <w:i/>
          <w:iCs/>
        </w:rPr>
        <w:t xml:space="preserve">after </w:t>
      </w:r>
      <w:r w:rsidRPr="00E35BCA">
        <w:rPr>
          <w:i/>
          <w:iCs/>
          <w:vertAlign w:val="superscript"/>
        </w:rPr>
        <w:t>68</w:t>
      </w:r>
      <w:r w:rsidRPr="00D32CC3">
        <w:rPr>
          <w:i/>
          <w:iCs/>
        </w:rPr>
        <w:t>Ga-DOTA</w:t>
      </w:r>
      <w:r>
        <w:rPr>
          <w:i/>
          <w:iCs/>
        </w:rPr>
        <w:t>-octreotae</w:t>
      </w:r>
      <w:r w:rsidRPr="00D32CC3">
        <w:rPr>
          <w:i/>
          <w:iCs/>
        </w:rPr>
        <w:t xml:space="preserve">) is required to be included in the clinical management algorithm (see </w:t>
      </w:r>
      <w:r>
        <w:rPr>
          <w:i/>
          <w:iCs/>
        </w:rPr>
        <w:fldChar w:fldCharType="begin"/>
      </w:r>
      <w:r>
        <w:rPr>
          <w:i/>
          <w:iCs/>
        </w:rPr>
        <w:instrText xml:space="preserve"> REF _Ref134204941 \h </w:instrText>
      </w:r>
      <w:r w:rsidR="00AE0021">
        <w:rPr>
          <w:i/>
          <w:iCs/>
        </w:rPr>
        <w:instrText xml:space="preserve"> \* MERGEFORMAT </w:instrText>
      </w:r>
      <w:r>
        <w:rPr>
          <w:i/>
          <w:iCs/>
        </w:rPr>
      </w:r>
      <w:r>
        <w:rPr>
          <w:i/>
          <w:iCs/>
        </w:rPr>
        <w:fldChar w:fldCharType="separate"/>
      </w:r>
      <w:r w:rsidRPr="004C3B98" w:rsidDel="00302581">
        <w:t xml:space="preserve">Figure </w:t>
      </w:r>
      <w:r>
        <w:rPr>
          <w:noProof/>
        </w:rPr>
        <w:t>9</w:t>
      </w:r>
      <w:r>
        <w:rPr>
          <w:i/>
          <w:iCs/>
        </w:rPr>
        <w:fldChar w:fldCharType="end"/>
      </w:r>
      <w:r w:rsidRPr="00D32CC3">
        <w:rPr>
          <w:i/>
          <w:iCs/>
        </w:rPr>
        <w:t>) to determine eligibility for PRRT therapy, PASC noted the following:</w:t>
      </w:r>
    </w:p>
    <w:p w14:paraId="12E92519" w14:textId="46686A53" w:rsidR="00D32CC3" w:rsidRPr="00E35BCA" w:rsidRDefault="00D32CC3" w:rsidP="00AE0021">
      <w:pPr>
        <w:pStyle w:val="ListParagraph"/>
        <w:numPr>
          <w:ilvl w:val="0"/>
          <w:numId w:val="37"/>
        </w:numPr>
        <w:ind w:left="284" w:hanging="284"/>
        <w:jc w:val="both"/>
        <w:rPr>
          <w:i/>
          <w:iCs/>
        </w:rPr>
      </w:pPr>
      <w:r w:rsidRPr="00E35BCA">
        <w:rPr>
          <w:i/>
          <w:iCs/>
        </w:rPr>
        <w:t>The purpose of FDG PET/CT is not to select patients for PRRT, but to identify patients who may not be suitable for PRRT.</w:t>
      </w:r>
    </w:p>
    <w:p w14:paraId="1540DA1F" w14:textId="00F7B2AD" w:rsidR="00D32CC3" w:rsidRPr="00E35BCA" w:rsidRDefault="00D32CC3" w:rsidP="00AE0021">
      <w:pPr>
        <w:pStyle w:val="ListParagraph"/>
        <w:numPr>
          <w:ilvl w:val="0"/>
          <w:numId w:val="37"/>
        </w:numPr>
        <w:ind w:left="284" w:hanging="284"/>
        <w:jc w:val="both"/>
        <w:rPr>
          <w:i/>
          <w:iCs/>
        </w:rPr>
      </w:pPr>
      <w:r w:rsidRPr="00E35BCA">
        <w:rPr>
          <w:i/>
          <w:iCs/>
        </w:rPr>
        <w:t>The “discordance threshold” (FDG [+]/SSRI [-]) of ≥3 lesions to exclude or reconsider PRRT is based on expert opinion rather than evidence.</w:t>
      </w:r>
    </w:p>
    <w:p w14:paraId="73FC86EA" w14:textId="25FD646E" w:rsidR="00D32CC3" w:rsidRPr="00E35BCA" w:rsidRDefault="00D32CC3" w:rsidP="00AE0021">
      <w:pPr>
        <w:pStyle w:val="ListParagraph"/>
        <w:numPr>
          <w:ilvl w:val="0"/>
          <w:numId w:val="37"/>
        </w:numPr>
        <w:ind w:left="284" w:hanging="284"/>
        <w:jc w:val="both"/>
        <w:rPr>
          <w:i/>
          <w:iCs/>
        </w:rPr>
      </w:pPr>
      <w:r w:rsidRPr="00E35BCA">
        <w:rPr>
          <w:i/>
          <w:iCs/>
        </w:rPr>
        <w:t xml:space="preserve">An estimate of FDG PET/CT frequency of use is required for the assessment report to assist in determining outcome impact, economic evaluation and financial consequences. </w:t>
      </w:r>
    </w:p>
    <w:p w14:paraId="01BA22C4" w14:textId="418433B5" w:rsidR="00D32CC3" w:rsidRPr="00E35BCA" w:rsidRDefault="00D32CC3" w:rsidP="00AE0021">
      <w:pPr>
        <w:pStyle w:val="ListParagraph"/>
        <w:numPr>
          <w:ilvl w:val="0"/>
          <w:numId w:val="37"/>
        </w:numPr>
        <w:ind w:left="284" w:hanging="284"/>
        <w:jc w:val="both"/>
        <w:rPr>
          <w:i/>
          <w:iCs/>
        </w:rPr>
      </w:pPr>
      <w:r w:rsidRPr="00E35BCA">
        <w:rPr>
          <w:i/>
          <w:iCs/>
        </w:rPr>
        <w:t>PASC considered the current MBS items 61612 (FDG PET for initial staging of rare and uncommon cancers) &amp; proposed draft item 61614 (FDG PET for restaging &amp; response assessment of rare &amp; uncommon cancers) should be applicable for the proposed populations. Neither of these items require a referral from an MDT.</w:t>
      </w:r>
    </w:p>
    <w:p w14:paraId="2603B6DF" w14:textId="3349B3E3" w:rsidR="005936C2" w:rsidRPr="00ED4E95" w:rsidRDefault="00A1471B" w:rsidP="00AE0021">
      <w:pPr>
        <w:pStyle w:val="Heading4"/>
        <w:spacing w:after="240"/>
        <w:jc w:val="both"/>
      </w:pPr>
      <w:r w:rsidRPr="00ED4E95">
        <w:t xml:space="preserve">Therapeutic intervention: </w:t>
      </w:r>
      <w:r w:rsidRPr="00ED4E95">
        <w:rPr>
          <w:vertAlign w:val="superscript"/>
        </w:rPr>
        <w:t>177</w:t>
      </w:r>
      <w:r w:rsidRPr="00ED4E95">
        <w:t>Lu</w:t>
      </w:r>
      <w:r w:rsidR="00E304F4">
        <w:t>-</w:t>
      </w:r>
      <w:r w:rsidR="001C03D0">
        <w:t xml:space="preserve">DOTA-octreotate </w:t>
      </w:r>
    </w:p>
    <w:p w14:paraId="28524008" w14:textId="0C143BFA" w:rsidR="0086081C" w:rsidRPr="00ED4E95" w:rsidRDefault="00D037DE" w:rsidP="00AE0021">
      <w:pPr>
        <w:jc w:val="both"/>
        <w:rPr>
          <w:i/>
          <w:iCs/>
          <w:u w:val="single"/>
        </w:rPr>
      </w:pPr>
      <w:r w:rsidRPr="00ED4E95">
        <w:rPr>
          <w:i/>
          <w:iCs/>
          <w:u w:val="single"/>
        </w:rPr>
        <w:t>Mechanism of action</w:t>
      </w:r>
    </w:p>
    <w:p w14:paraId="0D148FB7" w14:textId="27ADDA53" w:rsidR="0086081C" w:rsidRDefault="0086081C" w:rsidP="00AE0021">
      <w:pPr>
        <w:jc w:val="both"/>
      </w:pPr>
      <w:r w:rsidRPr="00922B1C">
        <w:rPr>
          <w:vertAlign w:val="superscript"/>
        </w:rPr>
        <w:t>177</w:t>
      </w:r>
      <w:r w:rsidRPr="00922B1C">
        <w:t>Lu</w:t>
      </w:r>
      <w:r w:rsidR="00E304F4" w:rsidRPr="00922B1C">
        <w:t>-</w:t>
      </w:r>
      <w:r w:rsidR="001C03D0">
        <w:t>DOTA-</w:t>
      </w:r>
      <w:r w:rsidR="00110D5F">
        <w:t xml:space="preserve">octreotate </w:t>
      </w:r>
      <w:r w:rsidRPr="00922B1C">
        <w:t xml:space="preserve">involves intravenous administration of beta radiation-emitting radiopharmaceutical targeting SSTR on tumour cells. Somatostatin receptors are G-protein couple receptors with five subtypes of which subtype 2 (SSTR-2) is the </w:t>
      </w:r>
      <w:bookmarkStart w:id="34" w:name="_Int_ffxzDAdg"/>
      <w:r w:rsidRPr="00922B1C">
        <w:t>most commonly expressed</w:t>
      </w:r>
      <w:bookmarkEnd w:id="34"/>
      <w:r w:rsidRPr="00922B1C">
        <w:t xml:space="preserve"> in NETs</w:t>
      </w:r>
      <w:r w:rsidR="00F0020B" w:rsidRPr="00922B1C">
        <w:t xml:space="preserve"> and targeted by the intervention</w:t>
      </w:r>
      <w:r w:rsidR="00ED4DEC" w:rsidRPr="00922B1C">
        <w:t xml:space="preserve"> (Becx 2022, </w:t>
      </w:r>
      <w:r w:rsidR="00DA5C6A" w:rsidRPr="00922B1C">
        <w:t>Bidakhvidi</w:t>
      </w:r>
      <w:r w:rsidR="00ED4DEC" w:rsidRPr="00922B1C">
        <w:t xml:space="preserve"> 2021)</w:t>
      </w:r>
      <w:r w:rsidRPr="00922B1C">
        <w:t>. After binding to the SSTR-2 receptor</w:t>
      </w:r>
      <w:r w:rsidR="00F0020B" w:rsidRPr="00922B1C">
        <w:t xml:space="preserve">, </w:t>
      </w:r>
      <w:r w:rsidR="00F0020B" w:rsidRPr="00922B1C">
        <w:rPr>
          <w:vertAlign w:val="superscript"/>
        </w:rPr>
        <w:t>177</w:t>
      </w:r>
      <w:r w:rsidR="00F0020B" w:rsidRPr="00922B1C">
        <w:t>Lu</w:t>
      </w:r>
      <w:r w:rsidR="00E304F4">
        <w:t>-</w:t>
      </w:r>
      <w:r w:rsidR="001C03D0">
        <w:t>DOTA-</w:t>
      </w:r>
      <w:r w:rsidR="00110D5F">
        <w:t xml:space="preserve">octreotate </w:t>
      </w:r>
      <w:r w:rsidR="00F0020B" w:rsidRPr="00922B1C">
        <w:t>is internalised into the tumour cell where the irradiation induces DNA damage, such as single strand breaks and DNA double strand breaks, of which the latter are the major contributors to tumour cell death induction</w:t>
      </w:r>
      <w:r w:rsidR="00ED4DEC" w:rsidRPr="00922B1C">
        <w:t xml:space="preserve"> (Becx 2022)</w:t>
      </w:r>
      <w:r w:rsidR="00F0020B" w:rsidRPr="00922B1C">
        <w:t>.</w:t>
      </w:r>
      <w:r w:rsidR="00FE20F0" w:rsidRPr="00922B1C" w:rsidDel="00FE20F0">
        <w:t xml:space="preserve"> </w:t>
      </w:r>
    </w:p>
    <w:p w14:paraId="087C7564" w14:textId="77777777" w:rsidR="00AD4E17" w:rsidRPr="00922B1C" w:rsidRDefault="00AD4E17" w:rsidP="00AE0021">
      <w:pPr>
        <w:keepNext/>
        <w:jc w:val="both"/>
      </w:pPr>
    </w:p>
    <w:p w14:paraId="52897AF2" w14:textId="431717B3" w:rsidR="00F0020B" w:rsidRPr="00ED4E95" w:rsidRDefault="00F0020B" w:rsidP="004C3B98">
      <w:pPr>
        <w:keepNext/>
        <w:jc w:val="center"/>
      </w:pPr>
      <w:r w:rsidRPr="00ED4E95">
        <w:rPr>
          <w:noProof/>
        </w:rPr>
        <w:drawing>
          <wp:inline distT="0" distB="0" distL="0" distR="0" wp14:anchorId="25B6BB12" wp14:editId="74E75101">
            <wp:extent cx="4962525" cy="2305959"/>
            <wp:effectExtent l="0" t="0" r="0" b="0"/>
            <wp:docPr id="3" name="Picture 3" descr="Figure 4 Mechanism of action of 177Lu-DOTA-octreotate 6&#10;Source: Figure 1, p5792 from Becx 2022&#10;Abbreviations: DNA = Deoxyribonucleic acid; SSTR2 = somatostatin receptor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4 Mechanism of action of 177Lu-DOTA-octreotate 6&#10;Source: Figure 1, p5792 from Becx 2022&#10;Abbreviations: DNA = Deoxyribonucleic acid; SSTR2 = somatostatin receptor 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8743" cy="2308848"/>
                    </a:xfrm>
                    <a:prstGeom prst="rect">
                      <a:avLst/>
                    </a:prstGeom>
                    <a:noFill/>
                  </pic:spPr>
                </pic:pic>
              </a:graphicData>
            </a:graphic>
          </wp:inline>
        </w:drawing>
      </w:r>
    </w:p>
    <w:p w14:paraId="314AE62A" w14:textId="6B5274BC" w:rsidR="008413E8" w:rsidRPr="00AB6C7E" w:rsidRDefault="008413E8" w:rsidP="00AD4E17">
      <w:pPr>
        <w:pStyle w:val="Caption"/>
      </w:pPr>
      <w:r w:rsidRPr="00AB6C7E">
        <w:t xml:space="preserve">Figure </w:t>
      </w:r>
      <w:r w:rsidRPr="00AB6C7E">
        <w:fldChar w:fldCharType="begin"/>
      </w:r>
      <w:r w:rsidRPr="00AB6C7E">
        <w:instrText xml:space="preserve"> SEQ Figure \* ARABIC </w:instrText>
      </w:r>
      <w:r w:rsidRPr="00AB6C7E">
        <w:fldChar w:fldCharType="separate"/>
      </w:r>
      <w:r w:rsidR="00401046" w:rsidRPr="00AB6C7E">
        <w:rPr>
          <w:noProof/>
        </w:rPr>
        <w:t>4</w:t>
      </w:r>
      <w:r w:rsidRPr="00AB6C7E">
        <w:fldChar w:fldCharType="end"/>
      </w:r>
      <w:r w:rsidRPr="00AB6C7E">
        <w:tab/>
      </w:r>
      <w:r w:rsidR="00832079" w:rsidRPr="00AB6C7E">
        <w:t xml:space="preserve">Mechanism of action of </w:t>
      </w:r>
      <w:r w:rsidR="00832079" w:rsidRPr="00AB6C7E">
        <w:rPr>
          <w:vertAlign w:val="superscript"/>
        </w:rPr>
        <w:t>177</w:t>
      </w:r>
      <w:r w:rsidR="00832079" w:rsidRPr="00AB6C7E">
        <w:t>Lu</w:t>
      </w:r>
      <w:r w:rsidR="002E35CE" w:rsidRPr="00AB6C7E">
        <w:t>-</w:t>
      </w:r>
      <w:r w:rsidR="001C03D0" w:rsidRPr="00AB6C7E">
        <w:t xml:space="preserve">DOTA-octreotate </w:t>
      </w:r>
      <w:r w:rsidR="0097782B" w:rsidRPr="00AB6C7E">
        <w:fldChar w:fldCharType="begin">
          <w:fldData xml:space="preserve">PEVuZE5vdGU+PENpdGU+PEF1dGhvcj5CZWN4PC9BdXRob3I+PFllYXI+MjAyMjwvWWVhcj48UmVj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</w:fldData>
        </w:fldChar>
      </w:r>
      <w:r w:rsidR="00263B20" w:rsidRPr="00AB6C7E">
        <w:instrText xml:space="preserve"> ADDIN EN.CITE </w:instrText>
      </w:r>
      <w:r w:rsidR="00263B20" w:rsidRPr="00AB6C7E">
        <w:fldChar w:fldCharType="begin">
          <w:fldData xml:space="preserve">PEVuZE5vdGU+PENpdGU+PEF1dGhvcj5CZWN4PC9BdXRob3I+PFllYXI+MjAyMjwvWWVhcj48UmVj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</w:fldData>
        </w:fldChar>
      </w:r>
      <w:r w:rsidR="00263B20" w:rsidRPr="00AB6C7E">
        <w:instrText xml:space="preserve"> ADDIN EN.CITE.DATA </w:instrText>
      </w:r>
      <w:r w:rsidR="00263B20" w:rsidRPr="00AB6C7E">
        <w:fldChar w:fldCharType="end"/>
      </w:r>
      <w:r w:rsidR="0097782B" w:rsidRPr="00AB6C7E">
        <w:fldChar w:fldCharType="separate"/>
      </w:r>
      <w:r w:rsidR="00263B20" w:rsidRPr="00AB6C7E">
        <w:rPr>
          <w:noProof/>
          <w:vertAlign w:val="superscript"/>
        </w:rPr>
        <w:t>6</w:t>
      </w:r>
      <w:r w:rsidR="0097782B" w:rsidRPr="00AB6C7E">
        <w:fldChar w:fldCharType="end"/>
      </w:r>
    </w:p>
    <w:p w14:paraId="5835ACC8" w14:textId="36D68CAF" w:rsidR="008413E8" w:rsidRPr="00AB6C7E" w:rsidRDefault="008413E8" w:rsidP="004C3B98">
      <w:pPr>
        <w:pStyle w:val="Tablenotes"/>
        <w:keepNext/>
        <w:spacing w:after="0"/>
        <w:rPr>
          <w:lang w:val="en-GB" w:eastAsia="ja-JP"/>
        </w:rPr>
      </w:pPr>
      <w:r w:rsidRPr="00AB6C7E">
        <w:rPr>
          <w:lang w:val="en-GB" w:eastAsia="ja-JP"/>
        </w:rPr>
        <w:t>Source: Figure 1, p5792</w:t>
      </w:r>
      <w:r w:rsidR="0097782B" w:rsidRPr="00AB6C7E">
        <w:rPr>
          <w:lang w:val="en-GB" w:eastAsia="ja-JP"/>
        </w:rPr>
        <w:t xml:space="preserve"> from</w:t>
      </w:r>
      <w:r w:rsidRPr="00AB6C7E">
        <w:rPr>
          <w:lang w:val="en-GB" w:eastAsia="ja-JP"/>
        </w:rPr>
        <w:t xml:space="preserve"> Becx 2022</w:t>
      </w:r>
    </w:p>
    <w:p w14:paraId="466C3A27" w14:textId="7A5CE94E" w:rsidR="008413E8" w:rsidRPr="00AB6C7E" w:rsidRDefault="008413E8" w:rsidP="004C3B98">
      <w:pPr>
        <w:pStyle w:val="Tablenotes"/>
        <w:keepNext/>
        <w:spacing w:after="240"/>
        <w:rPr>
          <w:lang w:val="en-GB" w:eastAsia="ja-JP"/>
        </w:rPr>
      </w:pPr>
      <w:r w:rsidRPr="00AB6C7E">
        <w:rPr>
          <w:lang w:val="en-GB" w:eastAsia="ja-JP"/>
        </w:rPr>
        <w:t>Abbreviations:</w:t>
      </w:r>
      <w:r w:rsidR="003C493F" w:rsidRPr="00AB6C7E">
        <w:rPr>
          <w:lang w:val="en-GB" w:eastAsia="ja-JP"/>
        </w:rPr>
        <w:t xml:space="preserve"> DNA = Deoxyribonucleic acid;</w:t>
      </w:r>
      <w:r w:rsidR="004B5CAA" w:rsidRPr="00AB6C7E">
        <w:rPr>
          <w:lang w:val="en-GB" w:eastAsia="ja-JP"/>
        </w:rPr>
        <w:t xml:space="preserve"> </w:t>
      </w:r>
      <w:r w:rsidR="003C493F" w:rsidRPr="00AB6C7E">
        <w:rPr>
          <w:lang w:val="en-GB" w:eastAsia="ja-JP"/>
        </w:rPr>
        <w:t>SSTR</w:t>
      </w:r>
      <w:r w:rsidR="003C493F" w:rsidRPr="00AB6C7E">
        <w:rPr>
          <w:vertAlign w:val="subscript"/>
          <w:lang w:val="en-GB" w:eastAsia="ja-JP"/>
        </w:rPr>
        <w:t>2</w:t>
      </w:r>
      <w:r w:rsidR="003C493F" w:rsidRPr="00AB6C7E">
        <w:rPr>
          <w:lang w:val="en-GB" w:eastAsia="ja-JP"/>
        </w:rPr>
        <w:t xml:space="preserve"> = somatostatin receptor 2</w:t>
      </w:r>
    </w:p>
    <w:p w14:paraId="372B9016" w14:textId="670BF584" w:rsidR="005936C2" w:rsidRPr="00922B1C" w:rsidRDefault="005936C2" w:rsidP="00AE0021">
      <w:pPr>
        <w:jc w:val="both"/>
        <w:rPr>
          <w:i/>
          <w:iCs/>
          <w:u w:val="single"/>
        </w:rPr>
      </w:pPr>
      <w:r w:rsidRPr="00922B1C">
        <w:rPr>
          <w:i/>
          <w:iCs/>
          <w:u w:val="single"/>
        </w:rPr>
        <w:t>Pre-treatment</w:t>
      </w:r>
    </w:p>
    <w:p w14:paraId="2FB1A3AF" w14:textId="433812A8" w:rsidR="004C53D8" w:rsidRPr="00ED4E95" w:rsidRDefault="004C53D8" w:rsidP="00AE0021">
      <w:pPr>
        <w:jc w:val="both"/>
      </w:pPr>
      <w:r w:rsidRPr="00ED4E95">
        <w:t>The application states (p24</w:t>
      </w:r>
      <w:r w:rsidR="00591ACB" w:rsidRPr="00ED4E95">
        <w:t>-5</w:t>
      </w:r>
      <w:r w:rsidRPr="00ED4E95">
        <w:t xml:space="preserve">) that the theranostic specialist who supervises </w:t>
      </w:r>
      <w:r w:rsidRPr="00ED4E95">
        <w:rPr>
          <w:vertAlign w:val="superscript"/>
        </w:rPr>
        <w:t>177</w:t>
      </w:r>
      <w:r w:rsidRPr="00ED4E95">
        <w:t>Lu</w:t>
      </w:r>
      <w:r w:rsidR="00E304F4">
        <w:t>-</w:t>
      </w:r>
      <w:r w:rsidR="001C03D0">
        <w:t xml:space="preserve">DOTA-octreotate </w:t>
      </w:r>
      <w:r w:rsidRPr="00ED4E95">
        <w:t xml:space="preserve">therapy will often be a member, or regular attendee, </w:t>
      </w:r>
      <w:r w:rsidRPr="00135CFE">
        <w:t>of the MDT</w:t>
      </w:r>
      <w:r w:rsidRPr="00ED4E95">
        <w:t xml:space="preserve"> </w:t>
      </w:r>
      <w:r w:rsidR="00AD6C0C">
        <w:t xml:space="preserve">(treating specialist) </w:t>
      </w:r>
      <w:r w:rsidRPr="00ED4E95">
        <w:t>that has referred the patient for treatment in which case suitability of that patient will already be known to the specialist and pre-treatment consultation could be limited to:</w:t>
      </w:r>
    </w:p>
    <w:p w14:paraId="01271A85" w14:textId="59309DE8" w:rsidR="00A5345B" w:rsidRPr="00ED4E95" w:rsidRDefault="003F6F41" w:rsidP="00AE0021">
      <w:pPr>
        <w:pStyle w:val="ListParagraph"/>
        <w:numPr>
          <w:ilvl w:val="0"/>
          <w:numId w:val="2"/>
        </w:numPr>
        <w:ind w:left="360"/>
        <w:jc w:val="both"/>
      </w:pPr>
      <w:r w:rsidRPr="00ED4E95">
        <w:t>E</w:t>
      </w:r>
      <w:r w:rsidR="00A5345B" w:rsidRPr="00ED4E95">
        <w:t xml:space="preserve">xplaining the risks and benefits of </w:t>
      </w:r>
      <w:r w:rsidR="00A5345B" w:rsidRPr="00ED4E95">
        <w:rPr>
          <w:vertAlign w:val="superscript"/>
        </w:rPr>
        <w:t>177</w:t>
      </w:r>
      <w:r w:rsidR="00A5345B" w:rsidRPr="00ED4E95">
        <w:t>Lu</w:t>
      </w:r>
      <w:r w:rsidR="00E304F4">
        <w:t>-</w:t>
      </w:r>
      <w:r w:rsidR="001C03D0">
        <w:t xml:space="preserve">DOTA-octreotate </w:t>
      </w:r>
      <w:r w:rsidR="00A5345B" w:rsidRPr="00ED4E95">
        <w:t>treatment to that patient.</w:t>
      </w:r>
    </w:p>
    <w:p w14:paraId="5431107F" w14:textId="39FC9AB1" w:rsidR="00A5345B" w:rsidRPr="00ED4E95" w:rsidRDefault="003F6F41" w:rsidP="00AE0021">
      <w:pPr>
        <w:pStyle w:val="ListParagraph"/>
        <w:numPr>
          <w:ilvl w:val="0"/>
          <w:numId w:val="2"/>
        </w:numPr>
        <w:ind w:left="360"/>
        <w:jc w:val="both"/>
      </w:pPr>
      <w:r w:rsidRPr="00ED4E95">
        <w:t>D</w:t>
      </w:r>
      <w:r w:rsidR="00A5345B" w:rsidRPr="00ED4E95">
        <w:t>escribing the preparation for the treatment including adjustments to regular medications.</w:t>
      </w:r>
    </w:p>
    <w:p w14:paraId="7952AA1B" w14:textId="389EE3AB" w:rsidR="00A5345B" w:rsidRPr="00ED4E95" w:rsidRDefault="003F6F41" w:rsidP="00AE0021">
      <w:pPr>
        <w:pStyle w:val="ListParagraph"/>
        <w:numPr>
          <w:ilvl w:val="0"/>
          <w:numId w:val="2"/>
        </w:numPr>
        <w:ind w:left="360"/>
        <w:jc w:val="both"/>
      </w:pPr>
      <w:r w:rsidRPr="00ED4E95">
        <w:t>D</w:t>
      </w:r>
      <w:r w:rsidR="00A5345B" w:rsidRPr="00ED4E95">
        <w:t>escribing the performance of the procedure on the treatment day.</w:t>
      </w:r>
    </w:p>
    <w:p w14:paraId="7354CE88" w14:textId="4D6D5F8E" w:rsidR="00A5345B" w:rsidRPr="00ED4E95" w:rsidRDefault="003F6F41" w:rsidP="00AE0021">
      <w:pPr>
        <w:pStyle w:val="ListParagraph"/>
        <w:numPr>
          <w:ilvl w:val="0"/>
          <w:numId w:val="2"/>
        </w:numPr>
        <w:ind w:left="360"/>
        <w:jc w:val="both"/>
      </w:pPr>
      <w:r w:rsidRPr="00ED4E95">
        <w:t>D</w:t>
      </w:r>
      <w:r w:rsidR="00A5345B" w:rsidRPr="00ED4E95">
        <w:t>escribing the follow-up procedures.</w:t>
      </w:r>
    </w:p>
    <w:p w14:paraId="17843A02" w14:textId="3926B62E" w:rsidR="00A5345B" w:rsidRPr="00ED4E95" w:rsidRDefault="003F6F41" w:rsidP="00AE0021">
      <w:pPr>
        <w:pStyle w:val="ListParagraph"/>
        <w:numPr>
          <w:ilvl w:val="0"/>
          <w:numId w:val="2"/>
        </w:numPr>
        <w:ind w:left="360"/>
        <w:jc w:val="both"/>
      </w:pPr>
      <w:r w:rsidRPr="00ED4E95">
        <w:t>E</w:t>
      </w:r>
      <w:r w:rsidR="00A5345B" w:rsidRPr="00ED4E95">
        <w:t xml:space="preserve">nsure data required for monitoring of </w:t>
      </w:r>
      <w:r w:rsidR="00A5345B" w:rsidRPr="00ED4E95">
        <w:rPr>
          <w:vertAlign w:val="superscript"/>
        </w:rPr>
        <w:t>177</w:t>
      </w:r>
      <w:r w:rsidR="00A5345B" w:rsidRPr="00ED4E95">
        <w:t>Lu</w:t>
      </w:r>
      <w:r w:rsidR="00E304F4">
        <w:t>-</w:t>
      </w:r>
      <w:r w:rsidR="001C03D0">
        <w:t>DOTA-octreotate</w:t>
      </w:r>
      <w:r w:rsidR="00A5345B" w:rsidRPr="00ED4E95">
        <w:t xml:space="preserve"> treatment effects is current.</w:t>
      </w:r>
    </w:p>
    <w:p w14:paraId="158E1A7F" w14:textId="1D27E7F1" w:rsidR="00A5345B" w:rsidRPr="00ED4E95" w:rsidRDefault="003F6F41" w:rsidP="00AE0021">
      <w:pPr>
        <w:pStyle w:val="ListParagraph"/>
        <w:numPr>
          <w:ilvl w:val="0"/>
          <w:numId w:val="2"/>
        </w:numPr>
        <w:ind w:left="360"/>
        <w:jc w:val="both"/>
      </w:pPr>
      <w:r w:rsidRPr="00ED4E95">
        <w:t>O</w:t>
      </w:r>
      <w:r w:rsidR="00A5345B" w:rsidRPr="00ED4E95">
        <w:t xml:space="preserve">btain formal patient consent for </w:t>
      </w:r>
      <w:r w:rsidR="00A5345B" w:rsidRPr="00ED4E95">
        <w:rPr>
          <w:vertAlign w:val="superscript"/>
        </w:rPr>
        <w:t>177</w:t>
      </w:r>
      <w:r w:rsidR="00A5345B" w:rsidRPr="00ED4E95">
        <w:t>Lu</w:t>
      </w:r>
      <w:r w:rsidR="00E304F4">
        <w:t>-</w:t>
      </w:r>
      <w:r w:rsidR="001C03D0">
        <w:t>DOTA-octreotate</w:t>
      </w:r>
      <w:r w:rsidR="00A5345B" w:rsidRPr="00ED4E95">
        <w:t xml:space="preserve"> treatment.</w:t>
      </w:r>
    </w:p>
    <w:p w14:paraId="5483CBD4" w14:textId="669644D4" w:rsidR="00026B5F" w:rsidRPr="00922B1C" w:rsidRDefault="00026B5F" w:rsidP="00AE0021">
      <w:pPr>
        <w:jc w:val="both"/>
      </w:pPr>
      <w:r w:rsidRPr="00922B1C">
        <w:t xml:space="preserve">The MBS item fee for pre-treatment specialist consultation is </w:t>
      </w:r>
      <w:r w:rsidR="7FE19E95">
        <w:t xml:space="preserve">$167.75 </w:t>
      </w:r>
      <w:r w:rsidR="00063FCC" w:rsidRPr="00922B1C">
        <w:t>(MBS item 110</w:t>
      </w:r>
      <w:r w:rsidR="00520BCD" w:rsidRPr="00922B1C">
        <w:t xml:space="preserve">, see </w:t>
      </w:r>
      <w:r w:rsidR="00042CB7" w:rsidRPr="00922B1C">
        <w:fldChar w:fldCharType="begin"/>
      </w:r>
      <w:r w:rsidR="00042CB7" w:rsidRPr="00922B1C">
        <w:instrText xml:space="preserve"> REF _Ref128654478 \h  \* MERGEFORMAT </w:instrText>
      </w:r>
      <w:r w:rsidR="00042CB7" w:rsidRPr="00922B1C">
        <w:fldChar w:fldCharType="separate"/>
      </w:r>
      <w:r w:rsidR="00401046" w:rsidRPr="00ED4E95">
        <w:t xml:space="preserve">Table </w:t>
      </w:r>
      <w:r w:rsidR="00401046">
        <w:rPr>
          <w:noProof/>
        </w:rPr>
        <w:t>10</w:t>
      </w:r>
      <w:r w:rsidR="00042CB7" w:rsidRPr="00922B1C">
        <w:fldChar w:fldCharType="end"/>
      </w:r>
      <w:r w:rsidR="00F65B04" w:rsidRPr="00922B1C">
        <w:t xml:space="preserve"> (under Proposal for public funding</w:t>
      </w:r>
      <w:r w:rsidR="00063FCC" w:rsidRPr="00922B1C">
        <w:t>)</w:t>
      </w:r>
      <w:r w:rsidR="00FE20F0" w:rsidRPr="00922B1C">
        <w:t>.</w:t>
      </w:r>
      <w:r w:rsidR="00F40A76" w:rsidRPr="00922B1C">
        <w:t xml:space="preserve"> </w:t>
      </w:r>
      <w:r w:rsidR="00FE20F0" w:rsidRPr="00922B1C">
        <w:t>N</w:t>
      </w:r>
      <w:r w:rsidR="00F40A76" w:rsidRPr="00922B1C">
        <w:t>o amendment was proposed for this item.</w:t>
      </w:r>
    </w:p>
    <w:p w14:paraId="255BFC41" w14:textId="78193406" w:rsidR="00F65B04" w:rsidRPr="00922B1C" w:rsidRDefault="00F65B04" w:rsidP="00AE0021">
      <w:pPr>
        <w:jc w:val="both"/>
        <w:rPr>
          <w:iCs/>
        </w:rPr>
      </w:pPr>
      <w:r w:rsidRPr="00922B1C">
        <w:rPr>
          <w:iCs/>
        </w:rPr>
        <w:t xml:space="preserve">The applicant </w:t>
      </w:r>
      <w:r w:rsidR="00E304F4" w:rsidRPr="00922B1C">
        <w:rPr>
          <w:iCs/>
        </w:rPr>
        <w:t>wa</w:t>
      </w:r>
      <w:r w:rsidRPr="00922B1C">
        <w:rPr>
          <w:iCs/>
        </w:rPr>
        <w:t>s requested to provide details on the qualifications of a theranostic specialist (e</w:t>
      </w:r>
      <w:r w:rsidR="006434BA" w:rsidRPr="00922B1C">
        <w:rPr>
          <w:iCs/>
        </w:rPr>
        <w:t>.</w:t>
      </w:r>
      <w:r w:rsidRPr="00922B1C">
        <w:rPr>
          <w:iCs/>
        </w:rPr>
        <w:t>g. what college(s) the specialist must be a member of and what specific training/qualifications they require).</w:t>
      </w:r>
      <w:r w:rsidR="00E304F4">
        <w:rPr>
          <w:iCs/>
        </w:rPr>
        <w:t xml:space="preserve"> The applicant responded that t</w:t>
      </w:r>
      <w:r w:rsidR="00E304F4" w:rsidRPr="00E304F4">
        <w:rPr>
          <w:iCs/>
        </w:rPr>
        <w:t xml:space="preserve">he specialist should have completed advanced training in Nuclear Medicine and Molecular imaging. In addition, relevant experience in </w:t>
      </w:r>
      <w:r w:rsidR="00E304F4">
        <w:rPr>
          <w:iCs/>
        </w:rPr>
        <w:t>t</w:t>
      </w:r>
      <w:r w:rsidR="00E304F4" w:rsidRPr="00E304F4">
        <w:rPr>
          <w:iCs/>
        </w:rPr>
        <w:t xml:space="preserve">heranostics is necessary to ensure that the specialist has an appropriate level of training and skill to supervise </w:t>
      </w:r>
      <w:r w:rsidR="00E304F4" w:rsidRPr="00922B1C">
        <w:rPr>
          <w:iCs/>
          <w:vertAlign w:val="superscript"/>
        </w:rPr>
        <w:t>177</w:t>
      </w:r>
      <w:r w:rsidR="00E304F4" w:rsidRPr="00E304F4">
        <w:rPr>
          <w:iCs/>
        </w:rPr>
        <w:t>Lu</w:t>
      </w:r>
      <w:r w:rsidR="00E304F4">
        <w:rPr>
          <w:iCs/>
        </w:rPr>
        <w:t>-</w:t>
      </w:r>
      <w:r w:rsidR="001C03D0">
        <w:rPr>
          <w:iCs/>
        </w:rPr>
        <w:t>DOTA-octreotate</w:t>
      </w:r>
      <w:r w:rsidR="00E304F4" w:rsidRPr="00E304F4">
        <w:rPr>
          <w:iCs/>
        </w:rPr>
        <w:t xml:space="preserve"> treatment. The applicant consider</w:t>
      </w:r>
      <w:r w:rsidR="00E304F4">
        <w:rPr>
          <w:iCs/>
        </w:rPr>
        <w:t>ed</w:t>
      </w:r>
      <w:r w:rsidR="00E304F4" w:rsidRPr="00E304F4">
        <w:rPr>
          <w:iCs/>
        </w:rPr>
        <w:t xml:space="preserve"> that the draft Australasian Association of Nuclear Medicine Specialists </w:t>
      </w:r>
      <w:r w:rsidR="00E304F4">
        <w:rPr>
          <w:iCs/>
        </w:rPr>
        <w:t>(</w:t>
      </w:r>
      <w:r w:rsidR="00E304F4" w:rsidRPr="00E304F4">
        <w:rPr>
          <w:iCs/>
        </w:rPr>
        <w:t>AANMS</w:t>
      </w:r>
      <w:r w:rsidR="00E304F4">
        <w:rPr>
          <w:iCs/>
        </w:rPr>
        <w:t>)</w:t>
      </w:r>
      <w:r w:rsidR="00E304F4" w:rsidRPr="00E304F4">
        <w:rPr>
          <w:iCs/>
        </w:rPr>
        <w:t xml:space="preserve"> guidelines offer an acceptable position on the qualifications that are necessary to undertake </w:t>
      </w:r>
      <w:r w:rsidR="00E304F4" w:rsidRPr="00922B1C">
        <w:rPr>
          <w:iCs/>
          <w:vertAlign w:val="superscript"/>
        </w:rPr>
        <w:t>177</w:t>
      </w:r>
      <w:r w:rsidR="00E304F4" w:rsidRPr="00E304F4">
        <w:rPr>
          <w:iCs/>
        </w:rPr>
        <w:t>Lu</w:t>
      </w:r>
      <w:r w:rsidR="00E304F4">
        <w:rPr>
          <w:iCs/>
        </w:rPr>
        <w:t>-</w:t>
      </w:r>
      <w:r w:rsidR="001C03D0">
        <w:rPr>
          <w:iCs/>
        </w:rPr>
        <w:t xml:space="preserve">DOTA-octreotate </w:t>
      </w:r>
      <w:r w:rsidR="00E304F4" w:rsidRPr="00E304F4">
        <w:rPr>
          <w:iCs/>
        </w:rPr>
        <w:t>treatment in conjunction with appropriate MDT</w:t>
      </w:r>
      <w:r w:rsidR="00AD6C0C">
        <w:rPr>
          <w:iCs/>
        </w:rPr>
        <w:t xml:space="preserve"> (specialist)</w:t>
      </w:r>
      <w:r w:rsidR="00E304F4" w:rsidRPr="00E304F4">
        <w:rPr>
          <w:iCs/>
        </w:rPr>
        <w:t xml:space="preserve"> evaluation and guidance.</w:t>
      </w:r>
      <w:r w:rsidR="00E304F4">
        <w:rPr>
          <w:iCs/>
        </w:rPr>
        <w:t xml:space="preserve"> The applicant additionally stated that </w:t>
      </w:r>
      <w:r w:rsidR="00E304F4" w:rsidRPr="00E304F4">
        <w:rPr>
          <w:iCs/>
        </w:rPr>
        <w:t xml:space="preserve">access to multidisciplinary medical expertise in the management of infrequent but </w:t>
      </w:r>
      <w:r w:rsidR="00E304F4" w:rsidRPr="00E304F4">
        <w:rPr>
          <w:iCs/>
        </w:rPr>
        <w:lastRenderedPageBreak/>
        <w:t>severe acute reactions</w:t>
      </w:r>
      <w:r w:rsidR="00F560D4">
        <w:rPr>
          <w:iCs/>
        </w:rPr>
        <w:t xml:space="preserve"> to </w:t>
      </w:r>
      <w:r w:rsidR="00F560D4" w:rsidRPr="00ED4E95">
        <w:rPr>
          <w:vertAlign w:val="superscript"/>
        </w:rPr>
        <w:t>177</w:t>
      </w:r>
      <w:r w:rsidR="00F560D4" w:rsidRPr="00ED4E95">
        <w:t>Lu</w:t>
      </w:r>
      <w:r w:rsidR="00F560D4">
        <w:t>-</w:t>
      </w:r>
      <w:r w:rsidR="001C03D0">
        <w:t xml:space="preserve">DOTA-octreotate </w:t>
      </w:r>
      <w:r w:rsidR="00F560D4" w:rsidRPr="00ED4E95">
        <w:t>treatment</w:t>
      </w:r>
      <w:r w:rsidR="00E304F4" w:rsidRPr="00E304F4">
        <w:rPr>
          <w:iCs/>
        </w:rPr>
        <w:t xml:space="preserve"> including carcinoid crisis and catecholamine crisis or delayed hypoglycaemia is required by either the practitioner or directly available within the team.</w:t>
      </w:r>
    </w:p>
    <w:p w14:paraId="0348F7B8" w14:textId="0B435E5F" w:rsidR="005936C2" w:rsidRPr="00922B1C" w:rsidRDefault="000A6DB3" w:rsidP="00AE0021">
      <w:pPr>
        <w:keepNext/>
        <w:jc w:val="both"/>
        <w:rPr>
          <w:i/>
          <w:iCs/>
          <w:u w:val="single"/>
        </w:rPr>
      </w:pPr>
      <w:r w:rsidRPr="00922B1C">
        <w:rPr>
          <w:i/>
          <w:iCs/>
          <w:u w:val="single"/>
        </w:rPr>
        <w:t xml:space="preserve">During </w:t>
      </w:r>
      <w:r w:rsidR="005936C2" w:rsidRPr="00922B1C">
        <w:rPr>
          <w:i/>
          <w:iCs/>
          <w:u w:val="single"/>
        </w:rPr>
        <w:t>treatment</w:t>
      </w:r>
    </w:p>
    <w:p w14:paraId="0FFCD4FD" w14:textId="741C9713" w:rsidR="00A5345B" w:rsidRPr="00922B1C" w:rsidRDefault="00A5345B" w:rsidP="00AE0021">
      <w:pPr>
        <w:keepNext/>
        <w:jc w:val="both"/>
      </w:pPr>
      <w:r w:rsidRPr="6CFD5A9B">
        <w:rPr>
          <w:vertAlign w:val="superscript"/>
        </w:rPr>
        <w:t>177</w:t>
      </w:r>
      <w:r>
        <w:t>Lu</w:t>
      </w:r>
      <w:r w:rsidR="00E304F4">
        <w:t>-</w:t>
      </w:r>
      <w:r w:rsidR="001C03D0">
        <w:t>DOTA-octreotate</w:t>
      </w:r>
      <w:r>
        <w:t xml:space="preserve"> administration is mostly conducted as an outpatient procedure</w:t>
      </w:r>
      <w:r w:rsidR="00AC438B">
        <w:t xml:space="preserve"> on a same day basis over a period of </w:t>
      </w:r>
      <w:r w:rsidR="00E304F4">
        <w:t xml:space="preserve">four </w:t>
      </w:r>
      <w:r w:rsidR="00AC438B">
        <w:t xml:space="preserve">to </w:t>
      </w:r>
      <w:r w:rsidR="00E304F4">
        <w:t xml:space="preserve">six </w:t>
      </w:r>
      <w:r w:rsidR="00AC438B">
        <w:t>hours</w:t>
      </w:r>
      <w:r>
        <w:t xml:space="preserve">. In some patients where there is a significant risk that treatment will trigger excess hormone release with life threatening consequences treatment should be undertaken as an inpatient. </w:t>
      </w:r>
      <w:r w:rsidR="00591ACB">
        <w:t xml:space="preserve">In the </w:t>
      </w:r>
      <w:r w:rsidR="00AC438B">
        <w:t xml:space="preserve">rare </w:t>
      </w:r>
      <w:r w:rsidR="00591ACB">
        <w:t>case where the patient is initially treated as an outpatient and experiences severe</w:t>
      </w:r>
      <w:r w:rsidR="00A074E9">
        <w:t xml:space="preserve"> </w:t>
      </w:r>
      <w:r w:rsidR="00591ACB">
        <w:t>complications (e.g., neuroendocrine hormonal crisis or severe emesis) then this may result in an overnight hospital stay</w:t>
      </w:r>
      <w:r w:rsidR="00EB040C">
        <w:t xml:space="preserve"> (Hope 2019a)</w:t>
      </w:r>
      <w:r w:rsidR="00292AC8">
        <w:t>.</w:t>
      </w:r>
      <w:r w:rsidR="00EB040C" w:rsidRPr="6CFD5A9B">
        <w:rPr>
          <w:highlight w:val="yellow"/>
        </w:rPr>
        <w:t xml:space="preserve"> </w:t>
      </w:r>
    </w:p>
    <w:p w14:paraId="02A0BA60" w14:textId="29CD4D45" w:rsidR="00305F45" w:rsidRDefault="00505E75" w:rsidP="00AE0021">
      <w:pPr>
        <w:jc w:val="both"/>
      </w:pPr>
      <w:r w:rsidRPr="00ED4E95">
        <w:t>T</w:t>
      </w:r>
      <w:r w:rsidR="00A5345B" w:rsidRPr="00ED4E95">
        <w:t xml:space="preserve">he administration facility </w:t>
      </w:r>
      <w:r w:rsidRPr="00ED4E95">
        <w:t xml:space="preserve">will be </w:t>
      </w:r>
      <w:r w:rsidR="00A5345B" w:rsidRPr="00ED4E95">
        <w:t xml:space="preserve">suitably equipped and staffed to undertake the delivery of the </w:t>
      </w:r>
      <w:r w:rsidR="00A5345B" w:rsidRPr="00ED4E95">
        <w:rPr>
          <w:bCs/>
          <w:vertAlign w:val="superscript"/>
        </w:rPr>
        <w:t>177</w:t>
      </w:r>
      <w:r w:rsidR="00A5345B" w:rsidRPr="00ED4E95">
        <w:rPr>
          <w:bCs/>
        </w:rPr>
        <w:t>Lu</w:t>
      </w:r>
      <w:r w:rsidR="00E304F4">
        <w:rPr>
          <w:bCs/>
        </w:rPr>
        <w:t>-</w:t>
      </w:r>
      <w:r w:rsidR="001C03D0">
        <w:rPr>
          <w:bCs/>
        </w:rPr>
        <w:t>DOTA-octreotate</w:t>
      </w:r>
      <w:r w:rsidR="00A5345B" w:rsidRPr="00ED4E95">
        <w:t xml:space="preserve"> radiopharmaceutical. Preferably such facilities would meet the standards specified in the appended document </w:t>
      </w:r>
      <w:r w:rsidR="00E304F4">
        <w:t>AANMS</w:t>
      </w:r>
      <w:r w:rsidR="00A5345B" w:rsidRPr="00ED4E95">
        <w:t xml:space="preserve"> Position Statement on Practice of Theranostics in Australia -Version 1, dated February 2021 (AANMS Theranostics Position Paper). </w:t>
      </w:r>
      <w:r w:rsidR="00305F45" w:rsidRPr="00ED4E95">
        <w:t>The application notes (p</w:t>
      </w:r>
      <w:r w:rsidR="001F3F11" w:rsidRPr="00ED4E95">
        <w:t>p</w:t>
      </w:r>
      <w:r w:rsidR="00305F45" w:rsidRPr="00ED4E95">
        <w:t>26</w:t>
      </w:r>
      <w:r w:rsidR="00C82583" w:rsidRPr="00ED4E95">
        <w:t>-</w:t>
      </w:r>
      <w:r w:rsidR="001F3F11" w:rsidRPr="00ED4E95">
        <w:t>2</w:t>
      </w:r>
      <w:r w:rsidR="00C82583" w:rsidRPr="00ED4E95">
        <w:t>7</w:t>
      </w:r>
      <w:r w:rsidR="00305F45" w:rsidRPr="00ED4E95">
        <w:t xml:space="preserve">) that attendance of a credentialled theranostic specialist should be available for consultation during the procedure </w:t>
      </w:r>
      <w:r w:rsidR="00C82583" w:rsidRPr="00ED4E95">
        <w:t xml:space="preserve">and proposes that the service should only be delivered by a trained and credentialled theranostic specialist. Moreover, </w:t>
      </w:r>
      <w:r w:rsidR="00305F45" w:rsidRPr="00ED4E95">
        <w:t xml:space="preserve">a nuclear medicine technologist and a registered nurse are generally required to conduct the therapeutic administration and evaluate the patient’s suitability for release from the facility. </w:t>
      </w:r>
      <w:r w:rsidR="00FE20F0" w:rsidRPr="00ED4E95">
        <w:t>The application proposed amendments to MBS item 13950 for administration</w:t>
      </w:r>
      <w:r w:rsidR="00370CB9" w:rsidRPr="00ED4E95">
        <w:t xml:space="preserve"> </w:t>
      </w:r>
      <w:r w:rsidR="006434BA">
        <w:t>(</w:t>
      </w:r>
      <w:r w:rsidR="00370CB9" w:rsidRPr="00ED4E95">
        <w:t xml:space="preserve">see </w:t>
      </w:r>
      <w:r w:rsidR="00D71A24" w:rsidRPr="00ED4E95">
        <w:fldChar w:fldCharType="begin"/>
      </w:r>
      <w:r w:rsidR="00D71A24" w:rsidRPr="00ED4E95">
        <w:instrText xml:space="preserve"> REF _Ref128654656 \h </w:instrText>
      </w:r>
      <w:r w:rsidR="00ED4E95">
        <w:instrText xml:space="preserve"> \* MERGEFORMAT </w:instrText>
      </w:r>
      <w:r w:rsidR="00D71A24" w:rsidRPr="00ED4E95">
        <w:fldChar w:fldCharType="separate"/>
      </w:r>
      <w:r w:rsidR="00401046" w:rsidRPr="00ED4E95">
        <w:t xml:space="preserve">Table </w:t>
      </w:r>
      <w:r w:rsidR="00401046">
        <w:rPr>
          <w:noProof/>
        </w:rPr>
        <w:t>11</w:t>
      </w:r>
      <w:r w:rsidR="00D71A24" w:rsidRPr="00ED4E95">
        <w:fldChar w:fldCharType="end"/>
      </w:r>
      <w:r w:rsidR="00D71A24" w:rsidRPr="00ED4E95">
        <w:t xml:space="preserve"> under Proposal for </w:t>
      </w:r>
      <w:r w:rsidR="006434BA">
        <w:t>P</w:t>
      </w:r>
      <w:r w:rsidR="00D71A24" w:rsidRPr="00ED4E95">
        <w:t xml:space="preserve">ublic </w:t>
      </w:r>
      <w:r w:rsidR="006434BA">
        <w:t>F</w:t>
      </w:r>
      <w:r w:rsidR="00D71A24" w:rsidRPr="00ED4E95">
        <w:t>unding</w:t>
      </w:r>
      <w:r w:rsidR="006434BA">
        <w:t>)</w:t>
      </w:r>
      <w:r w:rsidR="00FE20F0" w:rsidRPr="00ED4E95">
        <w:t>.</w:t>
      </w:r>
    </w:p>
    <w:p w14:paraId="3072DC36" w14:textId="378A33BD" w:rsidR="008E468E" w:rsidRPr="00E35BCA" w:rsidRDefault="008E468E" w:rsidP="00AE0021">
      <w:pPr>
        <w:jc w:val="both"/>
      </w:pPr>
      <w:r w:rsidRPr="00E35BCA">
        <w:t xml:space="preserve">The </w:t>
      </w:r>
      <w:r w:rsidR="00EB040C" w:rsidRPr="00E35BCA">
        <w:t>a</w:t>
      </w:r>
      <w:r w:rsidRPr="00E35BCA">
        <w:t>pplication has stated that this treatment can be given in inpatient or outpatient settings (both private and public</w:t>
      </w:r>
      <w:r w:rsidR="00755AB3" w:rsidRPr="00E35BCA">
        <w:t>),</w:t>
      </w:r>
      <w:r w:rsidRPr="00E35BCA">
        <w:t xml:space="preserve"> but the</w:t>
      </w:r>
      <w:r w:rsidR="006D31C5" w:rsidRPr="00E35BCA">
        <w:t xml:space="preserve"> outpatient setting is the</w:t>
      </w:r>
      <w:r w:rsidRPr="00E35BCA">
        <w:t xml:space="preserve"> most likely</w:t>
      </w:r>
      <w:r w:rsidR="006D31C5" w:rsidRPr="00E35BCA">
        <w:t>.</w:t>
      </w:r>
    </w:p>
    <w:p w14:paraId="610F885E" w14:textId="2FBF6065" w:rsidR="00811C7B" w:rsidRPr="00E35BCA" w:rsidRDefault="00811C7B" w:rsidP="00AE0021">
      <w:pPr>
        <w:jc w:val="both"/>
      </w:pPr>
      <w:r w:rsidRPr="00E35BCA">
        <w:t xml:space="preserve">The TGA </w:t>
      </w:r>
      <w:r w:rsidR="00CD21A2">
        <w:t xml:space="preserve">Australian Public Assessment Report </w:t>
      </w:r>
      <w:r w:rsidR="00012465">
        <w:t>(</w:t>
      </w:r>
      <w:r w:rsidRPr="00E35BCA">
        <w:t>AusPar</w:t>
      </w:r>
      <w:r w:rsidR="00012465">
        <w:t>)</w:t>
      </w:r>
      <w:r w:rsidRPr="00E35BCA">
        <w:t xml:space="preserve"> (</w:t>
      </w:r>
      <w:hyperlink r:id="rId14" w:history="1">
        <w:r w:rsidR="00EC1A67" w:rsidRPr="00E35BCA">
          <w:rPr>
            <w:rStyle w:val="Hyperlink"/>
            <w:rFonts w:ascii="Calibri" w:hAnsi="Calibri"/>
          </w:rPr>
          <w:t>Lutetium (</w:t>
        </w:r>
        <w:r w:rsidR="00EC1A67" w:rsidRPr="00E35BCA">
          <w:rPr>
            <w:rStyle w:val="Hyperlink"/>
            <w:rFonts w:ascii="Calibri" w:hAnsi="Calibri"/>
            <w:vertAlign w:val="superscript"/>
          </w:rPr>
          <w:t>177</w:t>
        </w:r>
        <w:r w:rsidR="00EC1A67" w:rsidRPr="00E35BCA">
          <w:rPr>
            <w:rStyle w:val="Hyperlink"/>
            <w:rFonts w:ascii="Calibri" w:hAnsi="Calibri"/>
          </w:rPr>
          <w:t>Lu) chloride</w:t>
        </w:r>
      </w:hyperlink>
      <w:r w:rsidRPr="00E35BCA">
        <w:t xml:space="preserve">) based on the study by Abuqbeitah (2018), which examined the blood clearance and occupational exposure following </w:t>
      </w:r>
      <w:r w:rsidRPr="00E35BCA">
        <w:rPr>
          <w:vertAlign w:val="superscript"/>
        </w:rPr>
        <w:t>177</w:t>
      </w:r>
      <w:r w:rsidRPr="00E35BCA">
        <w:t>Lu-DOTATATE compare</w:t>
      </w:r>
      <w:r w:rsidR="00135CFE" w:rsidRPr="00E35BCA">
        <w:t>d</w:t>
      </w:r>
      <w:r w:rsidRPr="00E35BCA">
        <w:t xml:space="preserve"> to </w:t>
      </w:r>
      <w:r w:rsidRPr="00E35BCA">
        <w:rPr>
          <w:vertAlign w:val="superscript"/>
        </w:rPr>
        <w:t>177</w:t>
      </w:r>
      <w:r w:rsidRPr="00E35BCA">
        <w:t xml:space="preserve">Lu-prostate specific membrane antigen radionuclide therapy, reported that both treatment modalities are reasonably reliable for outpatient treatment, since the mean dose rate (2.1 μSv/(h GBq) </w:t>
      </w:r>
      <w:r w:rsidR="00962FD2" w:rsidRPr="00E35BCA">
        <w:t xml:space="preserve">is </w:t>
      </w:r>
      <w:r w:rsidRPr="00E35BCA">
        <w:t>below the dose rate that allows release of the patient from the hospital (20 μSv/h) after 6 hours at a distance of 1 metre</w:t>
      </w:r>
      <w:r w:rsidR="00A8026A" w:rsidRPr="00E35BCA">
        <w:t>.</w:t>
      </w:r>
    </w:p>
    <w:p w14:paraId="7183A19C" w14:textId="5D7AAB70" w:rsidR="00A5345B" w:rsidRPr="00922B1C" w:rsidRDefault="00A5345B" w:rsidP="00AE0021">
      <w:pPr>
        <w:jc w:val="both"/>
      </w:pPr>
      <w:r w:rsidRPr="00ED4E95">
        <w:t xml:space="preserve">At a suitable facility the patient would have </w:t>
      </w:r>
      <w:r w:rsidR="00B1270A" w:rsidRPr="00ED4E95">
        <w:t>two</w:t>
      </w:r>
      <w:r w:rsidRPr="00ED4E95">
        <w:t xml:space="preserve"> intravenous cannulas inserted with appropriate process to ensure that extravasation of the radiopharmaceutical will not occur.</w:t>
      </w:r>
      <w:r w:rsidR="00302FEC" w:rsidRPr="00ED4E95">
        <w:t xml:space="preserve"> </w:t>
      </w:r>
      <w:r w:rsidR="00302FEC" w:rsidRPr="00922B1C">
        <w:t xml:space="preserve">It was noted in the application (p36) that a ‘non-admitted patient facility cost’ was required for administration, however, no corresponding item was provided despite noting that alteration of </w:t>
      </w:r>
      <w:r w:rsidR="00FE20F0" w:rsidRPr="00922B1C">
        <w:t xml:space="preserve">the </w:t>
      </w:r>
      <w:r w:rsidR="00302FEC" w:rsidRPr="00922B1C">
        <w:t xml:space="preserve">item descriptor was required. </w:t>
      </w:r>
      <w:r w:rsidR="00915752">
        <w:t xml:space="preserve">The applicant has since indicated this could be included in the </w:t>
      </w:r>
      <w:r w:rsidR="00915752" w:rsidRPr="00873346">
        <w:t xml:space="preserve">per cycle fee for </w:t>
      </w:r>
      <w:r w:rsidR="00915752" w:rsidRPr="00873346">
        <w:rPr>
          <w:vertAlign w:val="superscript"/>
        </w:rPr>
        <w:t>177</w:t>
      </w:r>
      <w:r w:rsidR="00915752" w:rsidRPr="00873346">
        <w:t>Lu</w:t>
      </w:r>
      <w:r w:rsidR="00915752">
        <w:t>-</w:t>
      </w:r>
      <w:r w:rsidR="001C03D0">
        <w:t xml:space="preserve">DOTA-octreotate </w:t>
      </w:r>
      <w:r w:rsidR="00915752" w:rsidRPr="00873346">
        <w:t>treatment</w:t>
      </w:r>
      <w:r w:rsidR="00915752">
        <w:t>.</w:t>
      </w:r>
    </w:p>
    <w:p w14:paraId="61DBC43F" w14:textId="6D811D48" w:rsidR="00A5345B" w:rsidRPr="00ED4E95" w:rsidRDefault="00A5345B" w:rsidP="00AE0021">
      <w:pPr>
        <w:jc w:val="both"/>
      </w:pPr>
      <w:r w:rsidRPr="00ED4E95">
        <w:t>Premedication with antiemetics, usually selective 5-HT3 serotonin-receptor antagonist is routinely given</w:t>
      </w:r>
      <w:r w:rsidR="002A7D51" w:rsidRPr="00ED4E95">
        <w:t xml:space="preserve">. </w:t>
      </w:r>
      <w:r w:rsidRPr="00ED4E95">
        <w:t>At some sites dexamethasone may also be administered as a premedication as specified by the supervising theranostic specialist.</w:t>
      </w:r>
    </w:p>
    <w:p w14:paraId="03423EC4" w14:textId="7E9DE1F6" w:rsidR="00B378C1" w:rsidRPr="00792B10" w:rsidRDefault="001168E0" w:rsidP="00AE0021">
      <w:pPr>
        <w:jc w:val="both"/>
      </w:pPr>
      <w:r w:rsidRPr="00ED4E95">
        <w:t xml:space="preserve">Administration of an amino acid infusion is required to reduce uptake of the product in the kidneys immediately prior to </w:t>
      </w:r>
      <w:r w:rsidRPr="00ED4E95">
        <w:rPr>
          <w:vertAlign w:val="superscript"/>
        </w:rPr>
        <w:t>177</w:t>
      </w:r>
      <w:r w:rsidRPr="00ED4E95">
        <w:t>Lu</w:t>
      </w:r>
      <w:r w:rsidR="00915752">
        <w:t>-</w:t>
      </w:r>
      <w:r w:rsidR="001C03D0">
        <w:t>DOTA-octreotate</w:t>
      </w:r>
      <w:r w:rsidRPr="00ED4E95">
        <w:t xml:space="preserve"> administration. </w:t>
      </w:r>
      <w:r w:rsidR="00A5345B" w:rsidRPr="00ED4E95">
        <w:t xml:space="preserve">An amino acid infusion composed of 25gm arginine and 25gm lysine per litre is begun by an infusion pump through one intravenous cannula 30 minutes before </w:t>
      </w:r>
      <w:r w:rsidR="00A5345B" w:rsidRPr="00ED4E95">
        <w:rPr>
          <w:bCs/>
          <w:vertAlign w:val="superscript"/>
        </w:rPr>
        <w:t>177</w:t>
      </w:r>
      <w:r w:rsidR="00A5345B" w:rsidRPr="00ED4E95">
        <w:rPr>
          <w:bCs/>
        </w:rPr>
        <w:t>Lu</w:t>
      </w:r>
      <w:r w:rsidR="00915752">
        <w:rPr>
          <w:bCs/>
        </w:rPr>
        <w:t>-</w:t>
      </w:r>
      <w:r w:rsidR="001C03D0">
        <w:rPr>
          <w:bCs/>
        </w:rPr>
        <w:t xml:space="preserve">DOTA-octreotate </w:t>
      </w:r>
      <w:r w:rsidR="00A5345B" w:rsidRPr="00ED4E95">
        <w:t xml:space="preserve">administration to reduce kidney uptake of the radiopharmaceutical and continued for </w:t>
      </w:r>
      <w:r w:rsidR="00B1270A" w:rsidRPr="00ED4E95">
        <w:t>three to four</w:t>
      </w:r>
      <w:r w:rsidR="00A5345B" w:rsidRPr="00ED4E95">
        <w:t xml:space="preserve"> hours after infusion of </w:t>
      </w:r>
      <w:r w:rsidR="00A5345B" w:rsidRPr="00ED4E95">
        <w:rPr>
          <w:bCs/>
          <w:vertAlign w:val="superscript"/>
        </w:rPr>
        <w:t>177</w:t>
      </w:r>
      <w:r w:rsidR="00A5345B" w:rsidRPr="00ED4E95">
        <w:rPr>
          <w:bCs/>
        </w:rPr>
        <w:t>Lu</w:t>
      </w:r>
      <w:r w:rsidR="00915752">
        <w:rPr>
          <w:bCs/>
        </w:rPr>
        <w:t>-</w:t>
      </w:r>
      <w:r w:rsidR="001C03D0">
        <w:rPr>
          <w:bCs/>
        </w:rPr>
        <w:t>DOTA-octreotate</w:t>
      </w:r>
      <w:r w:rsidR="00A5345B" w:rsidRPr="00ED4E95">
        <w:t xml:space="preserve">, which is undertaken using a </w:t>
      </w:r>
      <w:r w:rsidR="00A5345B" w:rsidRPr="00ED4E95">
        <w:lastRenderedPageBreak/>
        <w:t>separate infusion pump and the second cannula.</w:t>
      </w:r>
      <w:r w:rsidR="00591ACB" w:rsidRPr="00ED4E95">
        <w:t xml:space="preserve"> </w:t>
      </w:r>
      <w:r w:rsidR="00591ACB" w:rsidRPr="00922B1C">
        <w:t xml:space="preserve">This is aligned with NANETS Procedure Standards for PRRT with </w:t>
      </w:r>
      <w:r w:rsidR="00591ACB" w:rsidRPr="00922B1C">
        <w:rPr>
          <w:vertAlign w:val="superscript"/>
        </w:rPr>
        <w:t>177</w:t>
      </w:r>
      <w:r w:rsidR="00591ACB" w:rsidRPr="00922B1C">
        <w:t>Lu-</w:t>
      </w:r>
      <w:r w:rsidR="00E22911" w:rsidRPr="00922B1C">
        <w:t>D</w:t>
      </w:r>
      <w:r w:rsidR="001F3F11" w:rsidRPr="00922B1C">
        <w:t>otatate</w:t>
      </w:r>
      <w:r w:rsidR="00ED4DEC" w:rsidRPr="00922B1C">
        <w:t xml:space="preserve"> (Hope 2019a)</w:t>
      </w:r>
      <w:r w:rsidR="00591ACB" w:rsidRPr="00922B1C">
        <w:t>.</w:t>
      </w:r>
      <w:r w:rsidR="00FC3CF5" w:rsidRPr="00922B1C">
        <w:t xml:space="preserve"> The compounded arginine/lysine amino acid solution is less emetogenic and can </w:t>
      </w:r>
      <w:bookmarkStart w:id="35" w:name="_Int_ZXCyihHC"/>
      <w:r w:rsidR="00FC3CF5" w:rsidRPr="00922B1C">
        <w:t>generally be</w:t>
      </w:r>
      <w:bookmarkEnd w:id="35"/>
      <w:r w:rsidR="00FC3CF5" w:rsidRPr="00922B1C">
        <w:t xml:space="preserve"> infused over a short period, however, due to licensing requirements and compounding regulations, compounded arginine/lysine formulations may not be available at many institutions. </w:t>
      </w:r>
      <w:r w:rsidR="00AE7FD5" w:rsidRPr="00922B1C">
        <w:t>In further discussions,</w:t>
      </w:r>
      <w:r w:rsidR="00B378C1" w:rsidRPr="00922B1C">
        <w:t xml:space="preserve"> the applicant explained that formulations are currently made by compounding pharmacies that add these amino acids to sterile normal saline. GMP production would be </w:t>
      </w:r>
      <w:r w:rsidR="00A53981" w:rsidRPr="00922B1C">
        <w:t>preferred,</w:t>
      </w:r>
      <w:r w:rsidR="00B378C1" w:rsidRPr="00922B1C">
        <w:t xml:space="preserve"> and it is likely that a current supplier of parenteral nutrition products or pharmaceutical company, would provide infusions meeting these specifications given globally increasing demand.</w:t>
      </w:r>
      <w:r w:rsidR="00AD6C0C" w:rsidRPr="00135CFE">
        <w:rPr>
          <w:i/>
          <w:iCs/>
        </w:rPr>
        <w:t xml:space="preserve"> </w:t>
      </w:r>
      <w:r w:rsidR="00B01822" w:rsidRPr="00E35BCA">
        <w:t>The applicant has a</w:t>
      </w:r>
      <w:r w:rsidR="00EB040C" w:rsidRPr="00E35BCA">
        <w:t>t</w:t>
      </w:r>
      <w:r w:rsidR="00B01822" w:rsidRPr="00E35BCA">
        <w:t xml:space="preserve"> this moment not provided information about supply of sterile suitable verified amino acid infusions outside of those currently made at hospital pharmacies. </w:t>
      </w:r>
    </w:p>
    <w:p w14:paraId="57ED3559" w14:textId="09F299E6" w:rsidR="006A4F5B" w:rsidRPr="00ED4E95" w:rsidRDefault="006A4F5B" w:rsidP="00AE0021">
      <w:pPr>
        <w:jc w:val="both"/>
        <w:rPr>
          <w:i/>
          <w:iCs/>
        </w:rPr>
      </w:pPr>
      <w:r w:rsidRPr="00922B1C">
        <w:t>No MBS item fee is associated with amino acid infusion</w:t>
      </w:r>
      <w:r w:rsidR="00313C03" w:rsidRPr="00922B1C">
        <w:t>, nor are the amino acids PBS-listed</w:t>
      </w:r>
      <w:r w:rsidRPr="00922B1C">
        <w:t xml:space="preserve">. </w:t>
      </w:r>
      <w:r w:rsidR="0077458E" w:rsidRPr="00922B1C">
        <w:t xml:space="preserve">As this is an essential component for treatment, </w:t>
      </w:r>
      <w:r w:rsidR="00DC6DA4" w:rsidRPr="00922B1C">
        <w:t xml:space="preserve">the applicant has proposed that </w:t>
      </w:r>
      <w:r w:rsidR="0077458E" w:rsidRPr="00922B1C">
        <w:t xml:space="preserve">the cost for amino acid infusion may be incorporated into the per cycle fee for </w:t>
      </w:r>
      <w:r w:rsidR="0077458E" w:rsidRPr="00922B1C">
        <w:rPr>
          <w:vertAlign w:val="superscript"/>
        </w:rPr>
        <w:t>177</w:t>
      </w:r>
      <w:r w:rsidR="0077458E" w:rsidRPr="00922B1C">
        <w:t>Lu</w:t>
      </w:r>
      <w:r w:rsidR="00915752">
        <w:t>-</w:t>
      </w:r>
      <w:r w:rsidR="001C03D0">
        <w:t xml:space="preserve">DOTA-octreotate </w:t>
      </w:r>
      <w:r w:rsidR="0077458E" w:rsidRPr="00922B1C">
        <w:t>treatment.</w:t>
      </w:r>
    </w:p>
    <w:p w14:paraId="34B881E0" w14:textId="3B06C606" w:rsidR="001B0B53" w:rsidRPr="00ED4E95" w:rsidRDefault="00A5345B" w:rsidP="00AE0021">
      <w:pPr>
        <w:jc w:val="both"/>
      </w:pPr>
      <w:r w:rsidRPr="00ED4E95">
        <w:t xml:space="preserve">The patient is monitored for vital signs and adverse reactions during the infusions of </w:t>
      </w:r>
      <w:r w:rsidRPr="00ED4E95">
        <w:rPr>
          <w:bCs/>
          <w:vertAlign w:val="superscript"/>
        </w:rPr>
        <w:t>177</w:t>
      </w:r>
      <w:r w:rsidRPr="00ED4E95">
        <w:rPr>
          <w:bCs/>
        </w:rPr>
        <w:t>Lu</w:t>
      </w:r>
      <w:r w:rsidR="00915752">
        <w:rPr>
          <w:bCs/>
        </w:rPr>
        <w:t>-</w:t>
      </w:r>
      <w:r w:rsidR="001C03D0">
        <w:rPr>
          <w:bCs/>
        </w:rPr>
        <w:t xml:space="preserve">DOTA-octreotate </w:t>
      </w:r>
      <w:r w:rsidRPr="00ED4E95">
        <w:t xml:space="preserve">and amino acid solution and for at least </w:t>
      </w:r>
      <w:r w:rsidR="00B1270A" w:rsidRPr="00ED4E95">
        <w:t>three</w:t>
      </w:r>
      <w:r w:rsidRPr="00ED4E95">
        <w:t xml:space="preserve"> hours following these infusions. Occasionally treatment emergent symptoms require additional medication or slowing the rate of the infusions.</w:t>
      </w:r>
    </w:p>
    <w:p w14:paraId="6AC2D584" w14:textId="0DE7BA3C" w:rsidR="00A5345B" w:rsidRPr="00E4154B" w:rsidRDefault="00A5345B" w:rsidP="00AE0021">
      <w:pPr>
        <w:jc w:val="both"/>
      </w:pPr>
      <w:r w:rsidRPr="00ED4E95">
        <w:t xml:space="preserve">At the completion of the </w:t>
      </w:r>
      <w:r w:rsidRPr="00ED4E95">
        <w:rPr>
          <w:bCs/>
          <w:vertAlign w:val="superscript"/>
        </w:rPr>
        <w:t>177</w:t>
      </w:r>
      <w:r w:rsidRPr="00ED4E95">
        <w:rPr>
          <w:bCs/>
        </w:rPr>
        <w:t>Lu</w:t>
      </w:r>
      <w:r w:rsidR="00915752">
        <w:rPr>
          <w:bCs/>
        </w:rPr>
        <w:t>-</w:t>
      </w:r>
      <w:r w:rsidR="001C03D0">
        <w:rPr>
          <w:bCs/>
        </w:rPr>
        <w:t xml:space="preserve">DOTA-octreotate </w:t>
      </w:r>
      <w:r w:rsidRPr="00ED4E95">
        <w:t>administration the NET patient is asked to void urine and has external dose rate counting to ensure safe discharge into the community.</w:t>
      </w:r>
      <w:r w:rsidR="005936C2" w:rsidRPr="00ED4E95">
        <w:t xml:space="preserve"> </w:t>
      </w:r>
      <w:r w:rsidRPr="00ED4E95">
        <w:t xml:space="preserve">All patients are discharged with instructions to attend for a post treatment consultation the following day with the supervising theranostic specialist where patient progress is </w:t>
      </w:r>
      <w:r w:rsidR="00B1270A" w:rsidRPr="00ED4E95">
        <w:t>considered,</w:t>
      </w:r>
      <w:r w:rsidRPr="00ED4E95">
        <w:t xml:space="preserve"> and medication and monitoring requirements are confirmed and adjusted where necessary</w:t>
      </w:r>
      <w:r w:rsidRPr="00E4154B">
        <w:t xml:space="preserve">. </w:t>
      </w:r>
      <w:r w:rsidR="00A16854" w:rsidRPr="00E35BCA">
        <w:t>The applicant has stated that individual patients are not required to take special precautions in relation</w:t>
      </w:r>
      <w:r w:rsidR="00CC3A77" w:rsidRPr="00E35BCA">
        <w:t xml:space="preserve"> to,</w:t>
      </w:r>
      <w:r w:rsidR="00A16854" w:rsidRPr="00E35BCA">
        <w:t xml:space="preserve"> for example</w:t>
      </w:r>
      <w:r w:rsidR="00CC3A77" w:rsidRPr="00E35BCA">
        <w:t>,</w:t>
      </w:r>
      <w:r w:rsidR="00A16854" w:rsidRPr="00E35BCA">
        <w:t xml:space="preserve"> toileting</w:t>
      </w:r>
      <w:r w:rsidR="00A16854" w:rsidRPr="00E4154B">
        <w:t xml:space="preserve">. </w:t>
      </w:r>
      <w:r w:rsidR="00CC3A77" w:rsidRPr="00E35BCA">
        <w:t>However, they have added that storing urine in which between 70-80% of the administered activity is excreted in the first 24-hours for 4-10 half-lives is obviously impractical</w:t>
      </w:r>
      <w:r w:rsidR="00CC3A77" w:rsidRPr="00E4154B">
        <w:t xml:space="preserve">. </w:t>
      </w:r>
    </w:p>
    <w:p w14:paraId="7B7C8503" w14:textId="7F9491EB" w:rsidR="001B0B53" w:rsidRPr="00922B1C" w:rsidRDefault="001B0B53" w:rsidP="00AE0021">
      <w:pPr>
        <w:keepNext/>
        <w:jc w:val="both"/>
        <w:rPr>
          <w:i/>
          <w:iCs/>
          <w:u w:val="single"/>
        </w:rPr>
      </w:pPr>
      <w:r w:rsidRPr="00922B1C">
        <w:rPr>
          <w:i/>
          <w:iCs/>
          <w:u w:val="single"/>
        </w:rPr>
        <w:t>Post-treatment</w:t>
      </w:r>
    </w:p>
    <w:p w14:paraId="4F862A94" w14:textId="0DE05269" w:rsidR="00A5345B" w:rsidRPr="00E4154B" w:rsidRDefault="00A5345B" w:rsidP="00AE0021">
      <w:pPr>
        <w:jc w:val="both"/>
      </w:pPr>
      <w:r w:rsidRPr="00ED4E95">
        <w:t xml:space="preserve">For </w:t>
      </w:r>
      <w:r w:rsidR="00915752">
        <w:t>quality assurance</w:t>
      </w:r>
      <w:r w:rsidR="00915752" w:rsidRPr="00ED4E95">
        <w:t xml:space="preserve"> </w:t>
      </w:r>
      <w:r w:rsidRPr="00ED4E95">
        <w:t xml:space="preserve">purposes after each </w:t>
      </w:r>
      <w:r w:rsidRPr="00ED4E95">
        <w:rPr>
          <w:bCs/>
          <w:vertAlign w:val="superscript"/>
        </w:rPr>
        <w:t>177</w:t>
      </w:r>
      <w:r w:rsidRPr="00ED4E95">
        <w:rPr>
          <w:bCs/>
        </w:rPr>
        <w:t>Lu</w:t>
      </w:r>
      <w:r w:rsidR="00915752">
        <w:rPr>
          <w:bCs/>
        </w:rPr>
        <w:t>-</w:t>
      </w:r>
      <w:r w:rsidR="001C03D0">
        <w:rPr>
          <w:bCs/>
        </w:rPr>
        <w:t>DOTA-</w:t>
      </w:r>
      <w:r w:rsidR="00110D5F">
        <w:rPr>
          <w:bCs/>
        </w:rPr>
        <w:t xml:space="preserve">octreotate </w:t>
      </w:r>
      <w:r w:rsidRPr="00ED4E95">
        <w:t>treatment</w:t>
      </w:r>
      <w:r w:rsidR="004C249E" w:rsidRPr="00ED4E95">
        <w:t>,</w:t>
      </w:r>
      <w:r w:rsidRPr="00ED4E95" w:rsidDel="00E55359">
        <w:t xml:space="preserve"> </w:t>
      </w:r>
      <w:r w:rsidRPr="00ED4E95">
        <w:t xml:space="preserve">single time point SPECT/CT imaging is recommended for tumour site uptake verification with </w:t>
      </w:r>
      <w:r w:rsidRPr="00632DDF">
        <w:t xml:space="preserve">formal radiation dosimetry estimation after the initial treatment (requiring several SPECT/CT imaging sessions several days apart) </w:t>
      </w:r>
      <w:r w:rsidR="000E636A" w:rsidRPr="00632DDF">
        <w:t xml:space="preserve">for </w:t>
      </w:r>
      <w:r w:rsidRPr="00632DDF">
        <w:t>optimal patient evaluation</w:t>
      </w:r>
      <w:r w:rsidR="005D3B24" w:rsidRPr="00632DDF">
        <w:t xml:space="preserve"> being recommended for research purposes</w:t>
      </w:r>
      <w:r w:rsidR="00782B7D" w:rsidRPr="00632DDF">
        <w:t>,</w:t>
      </w:r>
      <w:r w:rsidR="00782B7D" w:rsidRPr="00915752">
        <w:t xml:space="preserve"> </w:t>
      </w:r>
      <w:r w:rsidR="00782B7D" w:rsidRPr="00922B1C">
        <w:t>see discussion under Proposal for public funding</w:t>
      </w:r>
      <w:r w:rsidRPr="00915752">
        <w:t>.</w:t>
      </w:r>
      <w:r w:rsidRPr="00ED4E95">
        <w:t xml:space="preserve"> </w:t>
      </w:r>
      <w:r w:rsidR="00D94EDC" w:rsidRPr="00E35BCA">
        <w:t>Usually</w:t>
      </w:r>
      <w:r w:rsidR="00A16854" w:rsidRPr="00E35BCA">
        <w:t>,</w:t>
      </w:r>
      <w:r w:rsidR="00D94EDC" w:rsidRPr="00E35BCA">
        <w:t xml:space="preserve"> this imaging occurs the </w:t>
      </w:r>
      <w:r w:rsidR="00281B5B" w:rsidRPr="00E35BCA">
        <w:t>day after the infusion</w:t>
      </w:r>
      <w:r w:rsidR="00D94EDC" w:rsidRPr="00E35BCA">
        <w:t>.</w:t>
      </w:r>
      <w:r w:rsidR="00D94EDC" w:rsidRPr="00E4154B">
        <w:t xml:space="preserve"> </w:t>
      </w:r>
    </w:p>
    <w:p w14:paraId="08E94B0B" w14:textId="086ED4B4" w:rsidR="007A319C" w:rsidRPr="00922B1C" w:rsidRDefault="005F3286" w:rsidP="00AE0021">
      <w:pPr>
        <w:jc w:val="both"/>
        <w:rPr>
          <w:i/>
          <w:iCs/>
          <w:u w:val="single"/>
        </w:rPr>
      </w:pPr>
      <w:r w:rsidRPr="00922B1C">
        <w:rPr>
          <w:i/>
          <w:iCs/>
          <w:u w:val="single"/>
        </w:rPr>
        <w:t>Treatment cycles and follow-up</w:t>
      </w:r>
    </w:p>
    <w:p w14:paraId="3BF87ADA" w14:textId="71C64BFA" w:rsidR="00915752" w:rsidRPr="00ED4E95" w:rsidRDefault="009808EF" w:rsidP="00AE0021">
      <w:pPr>
        <w:jc w:val="both"/>
      </w:pPr>
      <w:r w:rsidRPr="00ED4E95">
        <w:t>The application stated (p2</w:t>
      </w:r>
      <w:r w:rsidR="009E47C9" w:rsidRPr="00ED4E95">
        <w:t>6</w:t>
      </w:r>
      <w:r w:rsidRPr="00ED4E95">
        <w:t xml:space="preserve">) that </w:t>
      </w:r>
      <w:r w:rsidR="009E47C9" w:rsidRPr="00ED4E95">
        <w:rPr>
          <w:vertAlign w:val="superscript"/>
        </w:rPr>
        <w:t>177</w:t>
      </w:r>
      <w:r w:rsidR="009E47C9" w:rsidRPr="00ED4E95">
        <w:t>Lu</w:t>
      </w:r>
      <w:r w:rsidR="00915752">
        <w:t>-</w:t>
      </w:r>
      <w:r w:rsidR="001C03D0">
        <w:t xml:space="preserve">DOTA-octreotate </w:t>
      </w:r>
      <w:r w:rsidR="009E47C9" w:rsidRPr="00ED4E95">
        <w:t xml:space="preserve">treatment after MDT referral will commonly be undertaken by an induction </w:t>
      </w:r>
      <w:r w:rsidR="005D3B24">
        <w:t>treatment course</w:t>
      </w:r>
      <w:r w:rsidR="005D3B24" w:rsidRPr="00ED4E95">
        <w:t xml:space="preserve"> </w:t>
      </w:r>
      <w:r w:rsidR="009E47C9" w:rsidRPr="00ED4E95">
        <w:t xml:space="preserve">of four to five </w:t>
      </w:r>
      <w:r w:rsidR="005D3B24">
        <w:t>cycles</w:t>
      </w:r>
      <w:r w:rsidR="005D3B24" w:rsidRPr="00ED4E95">
        <w:t xml:space="preserve"> </w:t>
      </w:r>
      <w:r w:rsidR="009E47C9" w:rsidRPr="00ED4E95">
        <w:t>at six to 12 but typically eight-weekly intervals and a post treatment review three months later.</w:t>
      </w:r>
      <w:r w:rsidR="00181F6C" w:rsidRPr="00ED4E95">
        <w:t xml:space="preserve"> </w:t>
      </w:r>
      <w:r w:rsidR="009F5072" w:rsidRPr="00ED4E95">
        <w:t>In patients with a high disease burden at diagnosis and a favourable but incomplete response to four cycles of treatment, a further cycle of treatment (</w:t>
      </w:r>
      <w:r w:rsidR="009F5072" w:rsidRPr="00922B1C">
        <w:t>i.e., five cycles total</w:t>
      </w:r>
      <w:r w:rsidR="009F5072" w:rsidRPr="00ED4E95">
        <w:t xml:space="preserve">) may be considered worthwhile. </w:t>
      </w:r>
    </w:p>
    <w:p w14:paraId="5A652224" w14:textId="25068501" w:rsidR="008C0916" w:rsidRPr="00ED4E95" w:rsidRDefault="008C0916" w:rsidP="00AE0021">
      <w:pPr>
        <w:jc w:val="both"/>
      </w:pPr>
      <w:r w:rsidRPr="00ED4E95">
        <w:t xml:space="preserve">For routine clinical practice, when H-SSTR has been confirmed by </w:t>
      </w:r>
      <w:r w:rsidR="00006F35" w:rsidRPr="00ED4E95">
        <w:t xml:space="preserve">an </w:t>
      </w:r>
      <w:r w:rsidRPr="00ED4E95">
        <w:t xml:space="preserve">obligatory pre-treatment PET scanning, a single time point post </w:t>
      </w:r>
      <w:r w:rsidRPr="00ED4E95">
        <w:rPr>
          <w:bCs/>
          <w:vertAlign w:val="superscript"/>
        </w:rPr>
        <w:t>177</w:t>
      </w:r>
      <w:r w:rsidRPr="00ED4E95">
        <w:rPr>
          <w:bCs/>
        </w:rPr>
        <w:t>Lu</w:t>
      </w:r>
      <w:r w:rsidR="00A413A5">
        <w:rPr>
          <w:bCs/>
        </w:rPr>
        <w:t>-</w:t>
      </w:r>
      <w:r w:rsidR="001C03D0">
        <w:rPr>
          <w:bCs/>
        </w:rPr>
        <w:t xml:space="preserve">DOTA-octreotate </w:t>
      </w:r>
      <w:r w:rsidRPr="00ED4E95">
        <w:t xml:space="preserve">treatment SPECT/CT scan is ideally performed to identify “super-responders” after two treatment cycles. These patients have a high degree of tumour site </w:t>
      </w:r>
      <w:r w:rsidR="00AE7FD5" w:rsidRPr="00ED4E95">
        <w:t xml:space="preserve">response </w:t>
      </w:r>
      <w:r w:rsidRPr="00ED4E95">
        <w:lastRenderedPageBreak/>
        <w:t xml:space="preserve">early following treatment commencement and are unlikely to benefit further from proceeding to complete </w:t>
      </w:r>
      <w:r w:rsidR="002516B8" w:rsidRPr="00ED4E95">
        <w:t xml:space="preserve">a </w:t>
      </w:r>
      <w:r w:rsidRPr="00ED4E95">
        <w:t xml:space="preserve">full “induction </w:t>
      </w:r>
      <w:r w:rsidR="005D3B24">
        <w:t>course</w:t>
      </w:r>
      <w:r w:rsidRPr="00ED4E95">
        <w:t xml:space="preserve">” as the treatment target has already been </w:t>
      </w:r>
      <w:bookmarkStart w:id="36" w:name="_Int_2GQObbrJ"/>
      <w:r w:rsidRPr="00ED4E95">
        <w:t>largely ablated</w:t>
      </w:r>
      <w:bookmarkEnd w:id="36"/>
      <w:r w:rsidRPr="00ED4E95">
        <w:t xml:space="preserve">. Patients with lower grade (G1) NETs are commonly administered the full induction course due to lower sensitivity to </w:t>
      </w:r>
      <w:r w:rsidRPr="00ED4E95">
        <w:rPr>
          <w:vertAlign w:val="superscript"/>
        </w:rPr>
        <w:t>177</w:t>
      </w:r>
      <w:r w:rsidRPr="00ED4E95">
        <w:t>Lu</w:t>
      </w:r>
      <w:r w:rsidR="00A413A5">
        <w:t>-</w:t>
      </w:r>
      <w:r w:rsidR="001C03D0">
        <w:t xml:space="preserve">DOTA-octreotate </w:t>
      </w:r>
      <w:r w:rsidRPr="00ED4E95">
        <w:t>and cycles may be separated by up to 12 weeks (p25).</w:t>
      </w:r>
    </w:p>
    <w:p w14:paraId="630A7992" w14:textId="06293542" w:rsidR="008C0916" w:rsidRPr="00ED4E95" w:rsidRDefault="008C0916" w:rsidP="00AE0021">
      <w:pPr>
        <w:jc w:val="both"/>
        <w:rPr>
          <w:i/>
          <w:iCs/>
        </w:rPr>
      </w:pPr>
      <w:r w:rsidRPr="00ED4E95">
        <w:t xml:space="preserve">Older patients, </w:t>
      </w:r>
      <w:r w:rsidR="005D3B24">
        <w:t xml:space="preserve">and </w:t>
      </w:r>
      <w:r w:rsidRPr="00ED4E95">
        <w:t>particularly strong treatment responders</w:t>
      </w:r>
      <w:r w:rsidR="005D3B24">
        <w:t>,</w:t>
      </w:r>
      <w:r w:rsidRPr="00ED4E95">
        <w:t xml:space="preserve"> may also receive abbreviated treatment schedules and the interval between </w:t>
      </w:r>
      <w:r w:rsidRPr="00ED4E95">
        <w:rPr>
          <w:bCs/>
          <w:vertAlign w:val="superscript"/>
        </w:rPr>
        <w:t>177</w:t>
      </w:r>
      <w:r w:rsidRPr="00ED4E95">
        <w:rPr>
          <w:bCs/>
        </w:rPr>
        <w:t>Lu</w:t>
      </w:r>
      <w:r w:rsidR="00A413A5">
        <w:rPr>
          <w:bCs/>
        </w:rPr>
        <w:t>-</w:t>
      </w:r>
      <w:r w:rsidR="001C03D0">
        <w:rPr>
          <w:bCs/>
        </w:rPr>
        <w:t xml:space="preserve">DOTA-octreotate </w:t>
      </w:r>
      <w:r w:rsidRPr="00ED4E95">
        <w:t xml:space="preserve">administrations may be adjusted to allow for haematological recovery if toxicity occurs. </w:t>
      </w:r>
    </w:p>
    <w:p w14:paraId="30D35E9D" w14:textId="1A6C697D" w:rsidR="00692259" w:rsidRPr="00922B1C" w:rsidRDefault="00692259" w:rsidP="00AE0021">
      <w:pPr>
        <w:jc w:val="both"/>
      </w:pPr>
      <w:r w:rsidRPr="00922B1C">
        <w:t xml:space="preserve">It was highlighted </w:t>
      </w:r>
      <w:r w:rsidR="003F6F41" w:rsidRPr="00922B1C">
        <w:t>in further discussions with the applicant</w:t>
      </w:r>
      <w:r w:rsidRPr="00922B1C">
        <w:t xml:space="preserve"> that no fixed number of cycles is recommended, where two to six cycles are common in the initial treatment regimen depending on the individual NET characteristics. For example, patients who are hyper responders, with higher grade NETs, small volume disease and/or adverse reactions to treatment, will typically receive less cycles, whereas patients with bulky disease and/or lower grade NETs (particularly G1) that are slow to respond and are less radiosensitive, are likely to receive more cycles of </w:t>
      </w:r>
      <w:r w:rsidRPr="00922B1C">
        <w:rPr>
          <w:vertAlign w:val="superscript"/>
        </w:rPr>
        <w:t>177</w:t>
      </w:r>
      <w:r w:rsidRPr="00922B1C">
        <w:t>Lu</w:t>
      </w:r>
      <w:r w:rsidR="00A413A5">
        <w:t>-</w:t>
      </w:r>
      <w:r w:rsidR="001C03D0">
        <w:t>DOTA-octreotate</w:t>
      </w:r>
      <w:r w:rsidRPr="00922B1C">
        <w:t xml:space="preserve">. </w:t>
      </w:r>
      <w:r w:rsidR="002B552A" w:rsidRPr="00922B1C">
        <w:t>Moreover, for patients with functional but non-progressive G1 or G2 NETs, treatment can be ceased once hormonal control is achieved.</w:t>
      </w:r>
      <w:r w:rsidR="00601902" w:rsidRPr="00922B1C">
        <w:t xml:space="preserve"> Given the variability in cycles, the</w:t>
      </w:r>
      <w:r w:rsidR="00DE4104" w:rsidRPr="00922B1C">
        <w:t xml:space="preserve"> proportion </w:t>
      </w:r>
      <w:r w:rsidR="00601902" w:rsidRPr="00922B1C">
        <w:t xml:space="preserve">of patients who will receive expected cycles of </w:t>
      </w:r>
      <w:r w:rsidR="00601902" w:rsidRPr="00922B1C">
        <w:rPr>
          <w:vertAlign w:val="superscript"/>
        </w:rPr>
        <w:t>177</w:t>
      </w:r>
      <w:r w:rsidR="00601902" w:rsidRPr="00922B1C">
        <w:t>Lu</w:t>
      </w:r>
      <w:r w:rsidR="00A413A5">
        <w:t>-</w:t>
      </w:r>
      <w:r w:rsidR="001C03D0">
        <w:t xml:space="preserve">DOTA-octreotate </w:t>
      </w:r>
      <w:r w:rsidR="00601902" w:rsidRPr="00922B1C">
        <w:t xml:space="preserve">may be </w:t>
      </w:r>
      <w:r w:rsidR="00E22911" w:rsidRPr="00922B1C">
        <w:t>relevant</w:t>
      </w:r>
      <w:r w:rsidR="00601902" w:rsidRPr="00922B1C">
        <w:t xml:space="preserve"> to estimate overall costs </w:t>
      </w:r>
      <w:r w:rsidR="00D0588E" w:rsidRPr="00922B1C">
        <w:t>in the economic and financial assessments</w:t>
      </w:r>
      <w:r w:rsidR="00416263" w:rsidRPr="00922B1C">
        <w:t xml:space="preserve"> for this </w:t>
      </w:r>
      <w:r w:rsidR="00E22911" w:rsidRPr="00922B1C">
        <w:t>treatment.</w:t>
      </w:r>
    </w:p>
    <w:p w14:paraId="3CA40ED8" w14:textId="44059B59" w:rsidR="003240CC" w:rsidRPr="00922B1C" w:rsidRDefault="009808EF" w:rsidP="00AE0021">
      <w:pPr>
        <w:jc w:val="both"/>
      </w:pPr>
      <w:r w:rsidRPr="00922B1C">
        <w:t xml:space="preserve">Consistently, </w:t>
      </w:r>
      <w:r w:rsidR="00DA5C6A" w:rsidRPr="00922B1C">
        <w:t>Bidakhvidi (2021)</w:t>
      </w:r>
      <w:r w:rsidR="000A3770" w:rsidRPr="00922B1C">
        <w:t xml:space="preserve"> </w:t>
      </w:r>
      <w:r w:rsidRPr="00922B1C">
        <w:t xml:space="preserve">has recommended </w:t>
      </w:r>
      <w:r w:rsidRPr="00922B1C">
        <w:rPr>
          <w:vertAlign w:val="superscript"/>
        </w:rPr>
        <w:t>177</w:t>
      </w:r>
      <w:r w:rsidRPr="00922B1C">
        <w:t>Lu-</w:t>
      </w:r>
      <w:r w:rsidR="008B7DCE" w:rsidRPr="00922B1C">
        <w:t>D</w:t>
      </w:r>
      <w:r w:rsidR="000A3770" w:rsidRPr="00922B1C">
        <w:t>otatate</w:t>
      </w:r>
      <w:r w:rsidRPr="00922B1C">
        <w:t xml:space="preserve"> be administered at 7.4 </w:t>
      </w:r>
      <w:r w:rsidR="00755AB3" w:rsidRPr="00922B1C">
        <w:t>GBq</w:t>
      </w:r>
      <w:r w:rsidRPr="00922B1C">
        <w:t xml:space="preserve"> every four to six weeks for four cycles (see </w:t>
      </w:r>
      <w:r w:rsidRPr="00922B1C">
        <w:fldChar w:fldCharType="begin"/>
      </w:r>
      <w:r w:rsidRPr="00922B1C">
        <w:instrText xml:space="preserve"> REF _Ref127456745 \h  \* MERGEFORMAT </w:instrText>
      </w:r>
      <w:r w:rsidRPr="00922B1C">
        <w:fldChar w:fldCharType="separate"/>
      </w:r>
      <w:r w:rsidR="00401046" w:rsidRPr="00922B1C">
        <w:t xml:space="preserve">Figure </w:t>
      </w:r>
      <w:r w:rsidR="00401046">
        <w:rPr>
          <w:noProof/>
        </w:rPr>
        <w:t>5</w:t>
      </w:r>
      <w:r w:rsidRPr="00922B1C">
        <w:fldChar w:fldCharType="end"/>
      </w:r>
      <w:r w:rsidRPr="00922B1C">
        <w:t xml:space="preserve">), while acknowledging there to be intra- and interindividual variability in the radiation absorbed in metastases. </w:t>
      </w:r>
      <w:r w:rsidR="003240CC" w:rsidRPr="00922B1C">
        <w:t>Similarly, in the NETTER-1 trial</w:t>
      </w:r>
      <w:r w:rsidR="00DA5C6A" w:rsidRPr="00922B1C">
        <w:t xml:space="preserve"> (Strosberg 2017)</w:t>
      </w:r>
      <w:r w:rsidR="003240CC" w:rsidRPr="00922B1C">
        <w:t xml:space="preserve">, the patients in the </w:t>
      </w:r>
      <w:r w:rsidR="003240CC" w:rsidRPr="00922B1C">
        <w:rPr>
          <w:vertAlign w:val="superscript"/>
        </w:rPr>
        <w:t>177</w:t>
      </w:r>
      <w:r w:rsidR="003240CC" w:rsidRPr="00922B1C">
        <w:t>Lu-</w:t>
      </w:r>
      <w:r w:rsidR="003240CC" w:rsidRPr="00922B1C">
        <w:rPr>
          <w:caps/>
        </w:rPr>
        <w:t>d</w:t>
      </w:r>
      <w:r w:rsidR="003240CC" w:rsidRPr="00922B1C">
        <w:t xml:space="preserve">otatate arm </w:t>
      </w:r>
      <w:r w:rsidR="00DF6B15" w:rsidRPr="00922B1C">
        <w:t>were administered</w:t>
      </w:r>
      <w:r w:rsidR="003240CC" w:rsidRPr="00922B1C">
        <w:t xml:space="preserve"> 7.4 GBq (200 mCi) of </w:t>
      </w:r>
      <w:r w:rsidR="003240CC" w:rsidRPr="00922B1C">
        <w:rPr>
          <w:vertAlign w:val="superscript"/>
        </w:rPr>
        <w:t>177</w:t>
      </w:r>
      <w:r w:rsidR="003240CC" w:rsidRPr="00922B1C">
        <w:t>Lu-</w:t>
      </w:r>
      <w:r w:rsidR="00A353A5" w:rsidRPr="00922B1C">
        <w:rPr>
          <w:caps/>
        </w:rPr>
        <w:t>d</w:t>
      </w:r>
      <w:r w:rsidR="003240CC" w:rsidRPr="00922B1C">
        <w:t xml:space="preserve">otatate intravenously over a period of 30 minutes. </w:t>
      </w:r>
      <w:r w:rsidR="00DF6B15" w:rsidRPr="00922B1C">
        <w:t>F</w:t>
      </w:r>
      <w:r w:rsidR="003240CC" w:rsidRPr="00922B1C">
        <w:t xml:space="preserve">our infusions every </w:t>
      </w:r>
      <w:r w:rsidR="00DF6B15" w:rsidRPr="00922B1C">
        <w:t>eight</w:t>
      </w:r>
      <w:r w:rsidR="003240CC" w:rsidRPr="00922B1C">
        <w:t xml:space="preserve"> weeks (cumulative radioactivity, 29.6 GBq [800 mCi]) </w:t>
      </w:r>
      <w:r w:rsidR="00DF6B15" w:rsidRPr="00922B1C">
        <w:t xml:space="preserve">were planned, </w:t>
      </w:r>
      <w:r w:rsidR="003240CC" w:rsidRPr="00922B1C">
        <w:t>unless unacceptable toxic effects occurred, centrally confirmed disease progression (according to RECIST) was present on imaging, the patient was unable or unwilling to adhere to trial procedures, the patient withdrew consent, or the patient died.</w:t>
      </w:r>
      <w:r w:rsidR="00DF6B15" w:rsidRPr="00922B1C">
        <w:t xml:space="preserve"> A total of 77% of patients received the complete four cycles, 6% received three cycles, 12% received two cycles, 5% received one cycle, and 1% did not receive any cycles of the intervention. </w:t>
      </w:r>
      <w:r w:rsidR="005D3B24" w:rsidRPr="005D3B24">
        <w:t xml:space="preserve">The </w:t>
      </w:r>
      <w:r w:rsidR="005D3B24">
        <w:t xml:space="preserve">applicant’s </w:t>
      </w:r>
      <w:r w:rsidR="005D3B24" w:rsidRPr="005D3B24">
        <w:t>clinical expert opined that there is a theoretical basis for tailoring the treatment schedule to the grade of tumour with shorter interval</w:t>
      </w:r>
      <w:r w:rsidR="00B552B7">
        <w:t>s</w:t>
      </w:r>
      <w:r w:rsidR="005D3B24" w:rsidRPr="005D3B24">
        <w:t xml:space="preserve"> between cycles for G3 (e.g. 4 weeks) than for G1 (e.g</w:t>
      </w:r>
      <w:r w:rsidR="005D3B24">
        <w:t>.</w:t>
      </w:r>
      <w:r w:rsidR="005D3B24" w:rsidRPr="005D3B24">
        <w:t xml:space="preserve"> 8-12 weeks) NET based on the time-frame for NET cells to come into cycle.</w:t>
      </w:r>
    </w:p>
    <w:p w14:paraId="4219BE4A" w14:textId="39CF8D73" w:rsidR="007A319C" w:rsidRPr="00ED4E95" w:rsidRDefault="007A319C" w:rsidP="007A319C">
      <w:pPr>
        <w:jc w:val="center"/>
      </w:pPr>
      <w:r w:rsidRPr="00ED4E95">
        <w:rPr>
          <w:noProof/>
        </w:rPr>
        <w:lastRenderedPageBreak/>
        <w:drawing>
          <wp:inline distT="0" distB="0" distL="0" distR="0" wp14:anchorId="26EB7442" wp14:editId="7F5AAE77">
            <wp:extent cx="5507502" cy="3407147"/>
            <wp:effectExtent l="0" t="0" r="0" b="3175"/>
            <wp:docPr id="1" name="Picture 1" descr="Figure 5 Proposed standardised PRRT scheme. &#10;Source: Figure1, p4 from Bidakhvidi 2022&#10;Abbreviations: CR = complete response; CT = computed tomography; FDG = Fluorodeoxyglucose; IV = intravenous; LAR = long-acting release; mo = month; SSA = somatostatin analogue; PET = positron emission tomography; PR = partial response; PRRT = peptide receptor radionuclide therapy; 177Lu = 177Luteti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5 Proposed standardised PRRT scheme. &#10;Source: Figure1, p4 from Bidakhvidi 2022&#10;Abbreviations: CR = complete response; CT = computed tomography; FDG = Fluorodeoxyglucose; IV = intravenous; LAR = long-acting release; mo = month; SSA = somatostatin analogue; PET = positron emission tomography; PR = partial response; PRRT = peptide receptor radionuclide therapy; 177Lu = 177Lutetium&#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7502" cy="3407147"/>
                    </a:xfrm>
                    <a:prstGeom prst="rect">
                      <a:avLst/>
                    </a:prstGeom>
                    <a:noFill/>
                  </pic:spPr>
                </pic:pic>
              </a:graphicData>
            </a:graphic>
          </wp:inline>
        </w:drawing>
      </w:r>
    </w:p>
    <w:p w14:paraId="70A5F080" w14:textId="45BF1D77" w:rsidR="007A319C" w:rsidRPr="00922B1C" w:rsidRDefault="007A319C" w:rsidP="007A319C">
      <w:pPr>
        <w:pStyle w:val="Caption"/>
      </w:pPr>
      <w:bookmarkStart w:id="37" w:name="_Ref127456745"/>
      <w:r w:rsidRPr="00922B1C">
        <w:t xml:space="preserve">Figure </w:t>
      </w:r>
      <w:r w:rsidRPr="00922B1C">
        <w:fldChar w:fldCharType="begin"/>
      </w:r>
      <w:r w:rsidRPr="00922B1C">
        <w:instrText xml:space="preserve"> SEQ Figure \* ARABIC </w:instrText>
      </w:r>
      <w:r w:rsidRPr="00922B1C">
        <w:fldChar w:fldCharType="separate"/>
      </w:r>
      <w:r w:rsidR="00401046">
        <w:rPr>
          <w:noProof/>
        </w:rPr>
        <w:t>5</w:t>
      </w:r>
      <w:r w:rsidRPr="00922B1C">
        <w:fldChar w:fldCharType="end"/>
      </w:r>
      <w:bookmarkEnd w:id="37"/>
      <w:r w:rsidRPr="00922B1C">
        <w:tab/>
        <w:t xml:space="preserve">Proposed standardised PRRT scheme. </w:t>
      </w:r>
    </w:p>
    <w:p w14:paraId="2908539D" w14:textId="6DABFC50" w:rsidR="007A319C" w:rsidRPr="00922B1C" w:rsidRDefault="007A319C" w:rsidP="000A3770">
      <w:pPr>
        <w:pStyle w:val="Tablenotes"/>
        <w:spacing w:after="0"/>
        <w:rPr>
          <w:lang w:val="en-GB" w:eastAsia="ja-JP"/>
        </w:rPr>
      </w:pPr>
      <w:r w:rsidRPr="00922B1C">
        <w:rPr>
          <w:lang w:val="en-GB" w:eastAsia="ja-JP"/>
        </w:rPr>
        <w:t>Source: Figure1, p4</w:t>
      </w:r>
      <w:r w:rsidR="0097782B" w:rsidRPr="00922B1C">
        <w:rPr>
          <w:lang w:val="en-GB" w:eastAsia="ja-JP"/>
        </w:rPr>
        <w:t xml:space="preserve"> from</w:t>
      </w:r>
      <w:r w:rsidRPr="00922B1C">
        <w:rPr>
          <w:lang w:val="en-GB" w:eastAsia="ja-JP"/>
        </w:rPr>
        <w:t xml:space="preserve"> </w:t>
      </w:r>
      <w:r w:rsidR="00DA5C6A" w:rsidRPr="00922B1C">
        <w:rPr>
          <w:lang w:val="en-GB" w:eastAsia="ja-JP"/>
        </w:rPr>
        <w:t xml:space="preserve">Bidakhvidi </w:t>
      </w:r>
      <w:r w:rsidRPr="00922B1C">
        <w:rPr>
          <w:lang w:val="en-GB" w:eastAsia="ja-JP"/>
        </w:rPr>
        <w:t>2022</w:t>
      </w:r>
    </w:p>
    <w:p w14:paraId="3D05DC5B" w14:textId="13A4D408" w:rsidR="007A319C" w:rsidRPr="00922B1C" w:rsidRDefault="007A319C" w:rsidP="000A3770">
      <w:pPr>
        <w:pStyle w:val="Tablenotes"/>
        <w:spacing w:after="240"/>
        <w:rPr>
          <w:lang w:val="en-GB" w:eastAsia="ja-JP"/>
        </w:rPr>
      </w:pPr>
      <w:r w:rsidRPr="00922B1C">
        <w:rPr>
          <w:lang w:val="en-GB" w:eastAsia="ja-JP"/>
        </w:rPr>
        <w:t>Abbreviations:</w:t>
      </w:r>
      <w:r w:rsidR="00416263" w:rsidRPr="00922B1C">
        <w:rPr>
          <w:lang w:val="en-GB" w:eastAsia="ja-JP"/>
        </w:rPr>
        <w:t xml:space="preserve"> </w:t>
      </w:r>
      <w:r w:rsidR="00D70075" w:rsidRPr="00922B1C">
        <w:rPr>
          <w:lang w:val="en-GB" w:eastAsia="ja-JP"/>
        </w:rPr>
        <w:t xml:space="preserve">CR = complete response; </w:t>
      </w:r>
      <w:r w:rsidR="00416263" w:rsidRPr="00922B1C">
        <w:rPr>
          <w:lang w:val="en-GB" w:eastAsia="ja-JP"/>
        </w:rPr>
        <w:t>CT = computed tomography; FDG = Fluorodeoxyglucose; IV = intravenous;</w:t>
      </w:r>
      <w:r w:rsidR="00D70075" w:rsidRPr="00922B1C">
        <w:rPr>
          <w:lang w:val="en-GB" w:eastAsia="ja-JP"/>
        </w:rPr>
        <w:t xml:space="preserve"> LAR = long-acting release;</w:t>
      </w:r>
      <w:r w:rsidR="00BE6368" w:rsidRPr="00922B1C">
        <w:rPr>
          <w:lang w:val="en-GB" w:eastAsia="ja-JP"/>
        </w:rPr>
        <w:t xml:space="preserve"> mo = month;</w:t>
      </w:r>
      <w:r w:rsidR="00416263" w:rsidRPr="00922B1C">
        <w:rPr>
          <w:lang w:val="en-GB" w:eastAsia="ja-JP"/>
        </w:rPr>
        <w:t xml:space="preserve"> SSA = somatostatin analogue; PET = positron emission tomography;</w:t>
      </w:r>
      <w:r w:rsidR="00D70075" w:rsidRPr="00922B1C">
        <w:rPr>
          <w:lang w:val="en-GB" w:eastAsia="ja-JP"/>
        </w:rPr>
        <w:t xml:space="preserve"> PR = partial response;</w:t>
      </w:r>
      <w:r w:rsidR="00416263" w:rsidRPr="00922B1C">
        <w:rPr>
          <w:lang w:val="en-GB" w:eastAsia="ja-JP"/>
        </w:rPr>
        <w:t xml:space="preserve"> PRRT = peptide receptor radionuclide therapy; </w:t>
      </w:r>
      <w:r w:rsidR="00416263" w:rsidRPr="00922B1C">
        <w:rPr>
          <w:vertAlign w:val="superscript"/>
          <w:lang w:val="en-GB" w:eastAsia="ja-JP"/>
        </w:rPr>
        <w:t>177</w:t>
      </w:r>
      <w:r w:rsidR="00416263" w:rsidRPr="00922B1C">
        <w:rPr>
          <w:lang w:val="en-GB" w:eastAsia="ja-JP"/>
        </w:rPr>
        <w:t xml:space="preserve">Lu = </w:t>
      </w:r>
      <w:r w:rsidR="00416263" w:rsidRPr="00922B1C">
        <w:rPr>
          <w:vertAlign w:val="superscript"/>
          <w:lang w:val="en-GB" w:eastAsia="ja-JP"/>
        </w:rPr>
        <w:t>177</w:t>
      </w:r>
      <w:r w:rsidR="00416263" w:rsidRPr="00922B1C">
        <w:rPr>
          <w:lang w:val="en-GB" w:eastAsia="ja-JP"/>
        </w:rPr>
        <w:t>Lutetium</w:t>
      </w:r>
    </w:p>
    <w:p w14:paraId="193FF7E2" w14:textId="71224A5F" w:rsidR="00A413A5" w:rsidRPr="004C3B98" w:rsidRDefault="00EB040C" w:rsidP="00AE0021">
      <w:pPr>
        <w:jc w:val="both"/>
        <w:rPr>
          <w:rFonts w:cs="Calibri"/>
          <w:i/>
          <w:iCs/>
        </w:rPr>
      </w:pPr>
      <w:r w:rsidRPr="004C3B98">
        <w:rPr>
          <w:rFonts w:cs="Calibri"/>
          <w:i/>
          <w:iCs/>
        </w:rPr>
        <w:t xml:space="preserve">At its April </w:t>
      </w:r>
      <w:r w:rsidR="000C26AC">
        <w:rPr>
          <w:rFonts w:cs="Calibri"/>
          <w:i/>
          <w:iCs/>
        </w:rPr>
        <w:t xml:space="preserve">2023 </w:t>
      </w:r>
      <w:r w:rsidRPr="004C3B98">
        <w:rPr>
          <w:rFonts w:cs="Calibri"/>
          <w:i/>
          <w:iCs/>
        </w:rPr>
        <w:t xml:space="preserve">meeting, </w:t>
      </w:r>
      <w:r w:rsidR="00A413A5" w:rsidRPr="004C3B98">
        <w:rPr>
          <w:rFonts w:cs="Calibri"/>
          <w:i/>
          <w:iCs/>
        </w:rPr>
        <w:t>PASC considered there was ambiguity in the description of the therapy, particularly with respect to number of cycles of treatment. PASC considered that a deviation from a total of four cycles (as per the NETTER-1 trial</w:t>
      </w:r>
      <w:r w:rsidR="00335148" w:rsidRPr="004C3B98">
        <w:rPr>
          <w:rFonts w:cs="Calibri"/>
          <w:i/>
          <w:iCs/>
        </w:rPr>
        <w:t xml:space="preserve"> and current approvals in the USA and Europe)</w:t>
      </w:r>
      <w:r w:rsidR="00A413A5" w:rsidRPr="004C3B98">
        <w:rPr>
          <w:rFonts w:cs="Calibri"/>
          <w:i/>
          <w:iCs/>
        </w:rPr>
        <w:t xml:space="preserve"> would require justification.</w:t>
      </w:r>
    </w:p>
    <w:p w14:paraId="3E0F2F3A" w14:textId="5D4424F4" w:rsidR="00BD00E9" w:rsidRDefault="00690B96" w:rsidP="00AE0021">
      <w:pPr>
        <w:jc w:val="both"/>
        <w:rPr>
          <w:rFonts w:cs="Calibri"/>
          <w:b/>
          <w:bCs/>
        </w:rPr>
      </w:pPr>
      <w:r w:rsidRPr="00E35BCA">
        <w:rPr>
          <w:rFonts w:cs="Calibri"/>
        </w:rPr>
        <w:t>The applicant noted that i</w:t>
      </w:r>
      <w:r w:rsidR="00D94EDC" w:rsidRPr="00E35BCA">
        <w:rPr>
          <w:rFonts w:cs="Calibri"/>
        </w:rPr>
        <w:t>n practice</w:t>
      </w:r>
      <w:r w:rsidR="00135CFE" w:rsidRPr="00E35BCA">
        <w:rPr>
          <w:rFonts w:cs="Calibri"/>
        </w:rPr>
        <w:t>,</w:t>
      </w:r>
      <w:r w:rsidR="00D94EDC" w:rsidRPr="00E35BCA">
        <w:rPr>
          <w:rFonts w:cs="Calibri"/>
        </w:rPr>
        <w:t xml:space="preserve"> deviations from four cycles of treatment will occur due to a multitude of factors but a standard course consists of four cycles.</w:t>
      </w:r>
      <w:r w:rsidR="00D94EDC" w:rsidRPr="00E4154B">
        <w:rPr>
          <w:rFonts w:cs="Calibri"/>
        </w:rPr>
        <w:t xml:space="preserve"> </w:t>
      </w:r>
      <w:r w:rsidR="00B04A9A" w:rsidRPr="00E35BCA">
        <w:rPr>
          <w:rFonts w:cs="Calibri"/>
        </w:rPr>
        <w:t>However, on rare occasions five cycles may be required</w:t>
      </w:r>
      <w:r w:rsidR="00B04A9A" w:rsidRPr="00E4154B">
        <w:rPr>
          <w:rFonts w:cs="Calibri"/>
        </w:rPr>
        <w:t xml:space="preserve"> </w:t>
      </w:r>
      <w:r w:rsidR="00D94EDC" w:rsidRPr="00E35BCA">
        <w:rPr>
          <w:rFonts w:cs="Calibri"/>
        </w:rPr>
        <w:t xml:space="preserve">if the tumour burden is high but this would </w:t>
      </w:r>
      <w:r w:rsidR="005319CE" w:rsidRPr="00E35BCA">
        <w:rPr>
          <w:rFonts w:cs="Calibri"/>
        </w:rPr>
        <w:t xml:space="preserve">only </w:t>
      </w:r>
      <w:r w:rsidR="00D94EDC" w:rsidRPr="00E35BCA">
        <w:rPr>
          <w:rFonts w:cs="Calibri"/>
        </w:rPr>
        <w:t xml:space="preserve">be considered </w:t>
      </w:r>
      <w:r w:rsidR="00F475C2" w:rsidRPr="00E35BCA">
        <w:rPr>
          <w:rFonts w:cs="Calibri"/>
        </w:rPr>
        <w:t>rare</w:t>
      </w:r>
      <w:r w:rsidR="00B04A9A" w:rsidRPr="00E35BCA">
        <w:rPr>
          <w:rFonts w:cs="Calibri"/>
        </w:rPr>
        <w:t>ly.</w:t>
      </w:r>
      <w:r w:rsidR="00F475C2" w:rsidRPr="00E35BCA">
        <w:rPr>
          <w:rFonts w:cs="Calibri"/>
        </w:rPr>
        <w:t xml:space="preserve"> </w:t>
      </w:r>
      <w:r w:rsidR="00D94EDC" w:rsidRPr="00E35BCA">
        <w:rPr>
          <w:rFonts w:cs="Calibri"/>
        </w:rPr>
        <w:t xml:space="preserve">They requested flexibility in the descriptor to accommodate these rare cases. </w:t>
      </w:r>
    </w:p>
    <w:p w14:paraId="4BC31578" w14:textId="08F0F5D2" w:rsidR="00E4154B" w:rsidRPr="00E35BCA" w:rsidRDefault="00E4154B" w:rsidP="00AE0021">
      <w:pPr>
        <w:jc w:val="both"/>
        <w:rPr>
          <w:rFonts w:cs="Calibri"/>
          <w:i/>
          <w:iCs/>
        </w:rPr>
      </w:pPr>
      <w:r w:rsidRPr="00E35BCA">
        <w:rPr>
          <w:rFonts w:cs="Calibri"/>
          <w:i/>
          <w:iCs/>
        </w:rPr>
        <w:t xml:space="preserve">In August 2023, </w:t>
      </w:r>
      <w:r w:rsidRPr="00E4154B">
        <w:rPr>
          <w:rFonts w:cs="Calibri"/>
          <w:i/>
          <w:iCs/>
        </w:rPr>
        <w:t xml:space="preserve">PASC noted that an induction cycle </w:t>
      </w:r>
      <w:r w:rsidR="008571B4">
        <w:rPr>
          <w:rFonts w:cs="Calibri"/>
          <w:i/>
          <w:iCs/>
        </w:rPr>
        <w:t xml:space="preserve">of </w:t>
      </w:r>
      <w:r w:rsidR="008571B4" w:rsidRPr="003A4D6B">
        <w:rPr>
          <w:rFonts w:cs="Calibri"/>
          <w:i/>
          <w:iCs/>
          <w:vertAlign w:val="superscript"/>
        </w:rPr>
        <w:t>177</w:t>
      </w:r>
      <w:r w:rsidR="008571B4">
        <w:rPr>
          <w:rFonts w:cs="Calibri"/>
          <w:i/>
          <w:iCs/>
        </w:rPr>
        <w:t>Lu-DOTA-octreotate therapy</w:t>
      </w:r>
      <w:r w:rsidR="008571B4" w:rsidRPr="536B0F9D">
        <w:rPr>
          <w:rFonts w:cs="Calibri"/>
          <w:i/>
          <w:iCs/>
        </w:rPr>
        <w:t xml:space="preserve"> </w:t>
      </w:r>
      <w:r w:rsidRPr="00E4154B">
        <w:rPr>
          <w:rFonts w:cs="Calibri"/>
          <w:i/>
          <w:iCs/>
        </w:rPr>
        <w:t>consists of four cycles but in rare cases, for patients with high tumour burden, five cycles may be given, and it had been requested that the MBS item descriptor should allow for these cases. It also noted that the applicant ha</w:t>
      </w:r>
      <w:r w:rsidR="0075015C">
        <w:rPr>
          <w:rFonts w:cs="Calibri"/>
          <w:i/>
          <w:iCs/>
        </w:rPr>
        <w:t>d</w:t>
      </w:r>
      <w:r w:rsidRPr="00E4154B">
        <w:rPr>
          <w:rFonts w:cs="Calibri"/>
          <w:i/>
          <w:iCs/>
        </w:rPr>
        <w:t xml:space="preserve"> requested </w:t>
      </w:r>
      <w:r w:rsidR="460767AE" w:rsidRPr="2DF4BDDB">
        <w:rPr>
          <w:rFonts w:cs="Calibri"/>
          <w:i/>
          <w:iCs/>
        </w:rPr>
        <w:t xml:space="preserve">MBS funding </w:t>
      </w:r>
      <w:r w:rsidRPr="00E4154B">
        <w:rPr>
          <w:rFonts w:cs="Calibri"/>
          <w:i/>
          <w:iCs/>
        </w:rPr>
        <w:t xml:space="preserve">of </w:t>
      </w:r>
      <w:r w:rsidR="1C020485" w:rsidRPr="2DF4BDDB">
        <w:rPr>
          <w:rFonts w:cs="Calibri"/>
          <w:i/>
          <w:iCs/>
        </w:rPr>
        <w:t xml:space="preserve">the </w:t>
      </w:r>
      <w:r w:rsidRPr="00E4154B">
        <w:rPr>
          <w:rFonts w:cs="Calibri"/>
          <w:i/>
          <w:iCs/>
        </w:rPr>
        <w:t>follow-up cycles after the induction cycle</w:t>
      </w:r>
      <w:r w:rsidR="006D51B6">
        <w:rPr>
          <w:rFonts w:cs="Calibri"/>
          <w:i/>
          <w:iCs/>
        </w:rPr>
        <w:t xml:space="preserve"> (see below)</w:t>
      </w:r>
      <w:r w:rsidRPr="00E4154B">
        <w:rPr>
          <w:rFonts w:cs="Calibri"/>
          <w:i/>
          <w:iCs/>
        </w:rPr>
        <w:t xml:space="preserve">. PASC noted the Department’s advice that either the number of cycles </w:t>
      </w:r>
      <w:r w:rsidR="008B703A">
        <w:rPr>
          <w:rFonts w:cs="Calibri"/>
          <w:i/>
          <w:iCs/>
        </w:rPr>
        <w:t>could be</w:t>
      </w:r>
      <w:r w:rsidR="5EFF8FC2" w:rsidRPr="10622135">
        <w:rPr>
          <w:rFonts w:cs="Calibri"/>
          <w:i/>
          <w:iCs/>
        </w:rPr>
        <w:t xml:space="preserve"> </w:t>
      </w:r>
      <w:r w:rsidR="34A1F74E" w:rsidRPr="66E4F64F">
        <w:rPr>
          <w:rFonts w:cs="Calibri"/>
          <w:i/>
          <w:iCs/>
        </w:rPr>
        <w:t>un</w:t>
      </w:r>
      <w:r w:rsidRPr="66E4F64F">
        <w:rPr>
          <w:rFonts w:cs="Calibri"/>
          <w:i/>
          <w:iCs/>
        </w:rPr>
        <w:t>restricted</w:t>
      </w:r>
      <w:r w:rsidRPr="00E4154B">
        <w:rPr>
          <w:rFonts w:cs="Calibri"/>
          <w:i/>
          <w:iCs/>
        </w:rPr>
        <w:t xml:space="preserve"> or that </w:t>
      </w:r>
      <w:r w:rsidR="17A63032" w:rsidRPr="66E4F64F">
        <w:rPr>
          <w:rFonts w:cs="Calibri"/>
          <w:i/>
          <w:iCs/>
        </w:rPr>
        <w:t xml:space="preserve">they </w:t>
      </w:r>
      <w:r w:rsidR="009D1AD9">
        <w:rPr>
          <w:rFonts w:cs="Calibri"/>
          <w:i/>
          <w:iCs/>
        </w:rPr>
        <w:t xml:space="preserve">could be </w:t>
      </w:r>
      <w:r w:rsidRPr="00E4154B">
        <w:rPr>
          <w:rFonts w:cs="Calibri"/>
          <w:i/>
          <w:iCs/>
        </w:rPr>
        <w:t xml:space="preserve">restricted to a maximum of 6 cycles every 12 months. PASC considered that the number of cycles </w:t>
      </w:r>
      <w:r w:rsidR="002B5E41">
        <w:rPr>
          <w:rFonts w:cs="Calibri"/>
          <w:i/>
          <w:iCs/>
        </w:rPr>
        <w:t xml:space="preserve">need not be specified </w:t>
      </w:r>
      <w:r w:rsidRPr="00E4154B">
        <w:rPr>
          <w:rFonts w:cs="Calibri"/>
          <w:i/>
          <w:iCs/>
        </w:rPr>
        <w:t xml:space="preserve"> in the item descriptor.</w:t>
      </w:r>
    </w:p>
    <w:p w14:paraId="7E5AFC70" w14:textId="3B35B491" w:rsidR="00A5345B" w:rsidRPr="00ED4E95" w:rsidRDefault="00A5345B" w:rsidP="00AE0021">
      <w:pPr>
        <w:jc w:val="both"/>
        <w:rPr>
          <w:i/>
          <w:iCs/>
        </w:rPr>
      </w:pPr>
      <w:r w:rsidRPr="00ED4E95">
        <w:t xml:space="preserve">After the induction course, follow-up is usually conducted after a </w:t>
      </w:r>
      <w:r w:rsidR="00A3546B" w:rsidRPr="00ED4E95">
        <w:t>three</w:t>
      </w:r>
      <w:r w:rsidRPr="00ED4E95">
        <w:t>-month interval when the patient</w:t>
      </w:r>
      <w:r w:rsidR="003D4D4C" w:rsidRPr="00ED4E95">
        <w:t>’</w:t>
      </w:r>
      <w:r w:rsidRPr="00ED4E95">
        <w:t xml:space="preserve">s clinical, </w:t>
      </w:r>
      <w:r w:rsidR="008865D1" w:rsidRPr="00ED4E95">
        <w:t>biochemical,</w:t>
      </w:r>
      <w:r w:rsidRPr="00ED4E95">
        <w:t xml:space="preserve"> and haematological status is assessed along with disease response assessment using SSTR imaging, and where applicable FDG PET/CT, formal </w:t>
      </w:r>
      <w:r w:rsidR="00E3172D" w:rsidRPr="00ED4E95">
        <w:t>CT,</w:t>
      </w:r>
      <w:r w:rsidRPr="00ED4E95">
        <w:t xml:space="preserve"> or MRI imaging to assess the response of each patient’s </w:t>
      </w:r>
      <w:r w:rsidRPr="00ED4E95">
        <w:rPr>
          <w:bCs/>
          <w:vertAlign w:val="superscript"/>
        </w:rPr>
        <w:t>177</w:t>
      </w:r>
      <w:r w:rsidRPr="00ED4E95">
        <w:rPr>
          <w:bCs/>
        </w:rPr>
        <w:t>Lu</w:t>
      </w:r>
      <w:r w:rsidR="00A413A5">
        <w:rPr>
          <w:bCs/>
        </w:rPr>
        <w:t>-</w:t>
      </w:r>
      <w:r w:rsidR="001C03D0">
        <w:rPr>
          <w:bCs/>
        </w:rPr>
        <w:t xml:space="preserve">DOTA-octreotate </w:t>
      </w:r>
      <w:r w:rsidRPr="00ED4E95">
        <w:t>therapy</w:t>
      </w:r>
      <w:r w:rsidR="00654FD7" w:rsidRPr="00ED4E95">
        <w:t xml:space="preserve"> (</w:t>
      </w:r>
      <w:r w:rsidR="00654FD7" w:rsidRPr="00922B1C">
        <w:t xml:space="preserve">see </w:t>
      </w:r>
      <w:r w:rsidR="00654FD7" w:rsidRPr="00260AD9">
        <w:fldChar w:fldCharType="begin"/>
      </w:r>
      <w:r w:rsidR="00654FD7" w:rsidRPr="00260AD9">
        <w:instrText xml:space="preserve"> REF _Ref128656663 \h  \* MERGEFORMAT </w:instrText>
      </w:r>
      <w:r w:rsidR="00654FD7" w:rsidRPr="00260AD9">
        <w:fldChar w:fldCharType="separate"/>
      </w:r>
      <w:r w:rsidR="00401046" w:rsidRPr="00ED4E95">
        <w:t xml:space="preserve">Table </w:t>
      </w:r>
      <w:r w:rsidR="00401046">
        <w:rPr>
          <w:noProof/>
        </w:rPr>
        <w:t>6</w:t>
      </w:r>
      <w:r w:rsidR="00654FD7" w:rsidRPr="00260AD9">
        <w:fldChar w:fldCharType="end"/>
      </w:r>
      <w:r w:rsidR="00654FD7" w:rsidRPr="00922B1C">
        <w:t xml:space="preserve"> </w:t>
      </w:r>
      <w:r w:rsidR="00CE0695" w:rsidRPr="00922B1C">
        <w:t xml:space="preserve">for </w:t>
      </w:r>
      <w:r w:rsidR="00821CDC" w:rsidRPr="00922B1C">
        <w:t>additional</w:t>
      </w:r>
      <w:r w:rsidR="00654FD7" w:rsidRPr="00922B1C">
        <w:t xml:space="preserve"> MBS items </w:t>
      </w:r>
      <w:r w:rsidR="006E645D" w:rsidRPr="00922B1C">
        <w:t xml:space="preserve">required </w:t>
      </w:r>
      <w:r w:rsidR="00821CDC" w:rsidRPr="00922B1C">
        <w:t>post-treatment</w:t>
      </w:r>
      <w:r w:rsidR="00CB6211" w:rsidRPr="00922B1C">
        <w:t>. No alterations for these item</w:t>
      </w:r>
      <w:r w:rsidR="00CD5B56" w:rsidRPr="00922B1C">
        <w:t xml:space="preserve"> descriptors </w:t>
      </w:r>
      <w:r w:rsidR="00CB6211" w:rsidRPr="00922B1C">
        <w:t>were requested</w:t>
      </w:r>
      <w:r w:rsidR="00654FD7" w:rsidRPr="00ED4E95">
        <w:t>).</w:t>
      </w:r>
    </w:p>
    <w:p w14:paraId="03934622" w14:textId="58394B6B" w:rsidR="00A5345B" w:rsidRPr="00ED4E95" w:rsidRDefault="00A5345B" w:rsidP="00AE0021">
      <w:pPr>
        <w:jc w:val="both"/>
      </w:pPr>
      <w:r w:rsidRPr="00ED4E95">
        <w:lastRenderedPageBreak/>
        <w:t>Ongoing follow up requires personalisation depending on</w:t>
      </w:r>
      <w:r w:rsidR="00C6598B" w:rsidRPr="00ED4E95">
        <w:t>:</w:t>
      </w:r>
      <w:r w:rsidRPr="00ED4E95">
        <w:t xml:space="preserve"> </w:t>
      </w:r>
    </w:p>
    <w:p w14:paraId="43F63A21" w14:textId="100C90FB" w:rsidR="00A5345B" w:rsidRPr="00ED4E95" w:rsidRDefault="00A5345B" w:rsidP="00AE0021">
      <w:pPr>
        <w:pStyle w:val="ListParagraph"/>
        <w:numPr>
          <w:ilvl w:val="0"/>
          <w:numId w:val="3"/>
        </w:numPr>
        <w:ind w:left="360"/>
        <w:jc w:val="both"/>
      </w:pPr>
      <w:r w:rsidRPr="00ED4E95">
        <w:t xml:space="preserve">the patient’s tumour type and </w:t>
      </w:r>
      <w:r w:rsidR="003C251F" w:rsidRPr="00ED4E95">
        <w:t>g</w:t>
      </w:r>
      <w:r w:rsidRPr="00ED4E95">
        <w:t>rade</w:t>
      </w:r>
      <w:r w:rsidR="000A3770" w:rsidRPr="00ED4E95">
        <w:t>;</w:t>
      </w:r>
    </w:p>
    <w:p w14:paraId="5820CB2B" w14:textId="4D22A5E7" w:rsidR="00A5345B" w:rsidRPr="00ED4E95" w:rsidRDefault="00A5345B" w:rsidP="00AE0021">
      <w:pPr>
        <w:pStyle w:val="ListParagraph"/>
        <w:numPr>
          <w:ilvl w:val="0"/>
          <w:numId w:val="3"/>
        </w:numPr>
        <w:ind w:left="360"/>
        <w:jc w:val="both"/>
      </w:pPr>
      <w:r w:rsidRPr="00ED4E95">
        <w:t>the patient’s prior treatment history</w:t>
      </w:r>
      <w:r w:rsidR="000A3770" w:rsidRPr="00ED4E95">
        <w:t>;</w:t>
      </w:r>
    </w:p>
    <w:p w14:paraId="7D1F1FE3" w14:textId="45437C03" w:rsidR="00A5345B" w:rsidRPr="00ED4E95" w:rsidRDefault="00A5345B" w:rsidP="00AE0021">
      <w:pPr>
        <w:pStyle w:val="ListParagraph"/>
        <w:numPr>
          <w:ilvl w:val="0"/>
          <w:numId w:val="3"/>
        </w:numPr>
        <w:ind w:left="360"/>
        <w:jc w:val="both"/>
      </w:pPr>
      <w:r w:rsidRPr="00ED4E95">
        <w:t>the response to therapy</w:t>
      </w:r>
      <w:r w:rsidR="000A3770" w:rsidRPr="00ED4E95">
        <w:t>;</w:t>
      </w:r>
    </w:p>
    <w:p w14:paraId="2E173D8E" w14:textId="042C547B" w:rsidR="00A5345B" w:rsidRPr="00ED4E95" w:rsidRDefault="00A5345B" w:rsidP="00AE0021">
      <w:pPr>
        <w:pStyle w:val="ListParagraph"/>
        <w:numPr>
          <w:ilvl w:val="0"/>
          <w:numId w:val="3"/>
        </w:numPr>
        <w:ind w:left="360"/>
        <w:jc w:val="both"/>
      </w:pPr>
      <w:r w:rsidRPr="00ED4E95">
        <w:t xml:space="preserve">the occurrence of persistent adverse events related to </w:t>
      </w:r>
      <w:r w:rsidRPr="00ED4E95">
        <w:rPr>
          <w:bCs/>
          <w:vertAlign w:val="superscript"/>
        </w:rPr>
        <w:t>177</w:t>
      </w:r>
      <w:r w:rsidRPr="00ED4E95">
        <w:rPr>
          <w:bCs/>
        </w:rPr>
        <w:t>Lu</w:t>
      </w:r>
      <w:r w:rsidR="0036719E">
        <w:rPr>
          <w:bCs/>
        </w:rPr>
        <w:t>-</w:t>
      </w:r>
      <w:r w:rsidR="001C03D0">
        <w:rPr>
          <w:bCs/>
        </w:rPr>
        <w:t>DOTA-octreotate</w:t>
      </w:r>
      <w:r w:rsidR="000A3770" w:rsidRPr="00ED4E95">
        <w:rPr>
          <w:bCs/>
        </w:rPr>
        <w:t>;</w:t>
      </w:r>
    </w:p>
    <w:p w14:paraId="4CA12E40" w14:textId="4924CAE3" w:rsidR="00A5345B" w:rsidRPr="00ED4E95" w:rsidRDefault="00A5345B" w:rsidP="00AE0021">
      <w:pPr>
        <w:pStyle w:val="ListParagraph"/>
        <w:numPr>
          <w:ilvl w:val="0"/>
          <w:numId w:val="3"/>
        </w:numPr>
        <w:ind w:left="360"/>
        <w:jc w:val="both"/>
      </w:pPr>
      <w:r w:rsidRPr="00ED4E95">
        <w:t>the patient’s clinical progress</w:t>
      </w:r>
      <w:r w:rsidR="000A3770" w:rsidRPr="00ED4E95">
        <w:t>; and</w:t>
      </w:r>
    </w:p>
    <w:p w14:paraId="5E7839E5" w14:textId="23883C8F" w:rsidR="00A5345B" w:rsidRPr="00ED4E95" w:rsidRDefault="00A5345B" w:rsidP="00AE0021">
      <w:pPr>
        <w:pStyle w:val="ListParagraph"/>
        <w:numPr>
          <w:ilvl w:val="0"/>
          <w:numId w:val="3"/>
        </w:numPr>
        <w:ind w:left="360"/>
        <w:jc w:val="both"/>
      </w:pPr>
      <w:r w:rsidRPr="00ED4E95">
        <w:t>the results of biochemical monitoring test</w:t>
      </w:r>
      <w:r w:rsidR="000A3770" w:rsidRPr="00ED4E95">
        <w:t>.</w:t>
      </w:r>
    </w:p>
    <w:p w14:paraId="0031CFF7" w14:textId="0A96C924" w:rsidR="00654FD7" w:rsidRPr="00922B1C" w:rsidRDefault="00615172" w:rsidP="00AE0021">
      <w:pPr>
        <w:jc w:val="both"/>
      </w:pPr>
      <w:r w:rsidRPr="00922B1C">
        <w:t xml:space="preserve">While not all modalities are required in every patient, the applicant noted that the most common items applied are MBS items 61647/61505 </w:t>
      </w:r>
      <w:r w:rsidR="00654FD7" w:rsidRPr="00922B1C">
        <w:t>(</w:t>
      </w:r>
      <w:r w:rsidR="001B43FB" w:rsidRPr="00922B1C">
        <w:rPr>
          <w:vertAlign w:val="superscript"/>
        </w:rPr>
        <w:t>68</w:t>
      </w:r>
      <w:r w:rsidR="001B43FB" w:rsidRPr="00922B1C">
        <w:t>Ga</w:t>
      </w:r>
      <w:r w:rsidR="0036719E">
        <w:t xml:space="preserve"> </w:t>
      </w:r>
      <w:r w:rsidR="001B43FB" w:rsidRPr="00922B1C">
        <w:t>DOTA</w:t>
      </w:r>
      <w:r w:rsidR="0036719E">
        <w:t xml:space="preserve"> </w:t>
      </w:r>
      <w:r w:rsidR="001B43FB" w:rsidRPr="00922B1C">
        <w:t>peptide PET</w:t>
      </w:r>
      <w:r w:rsidR="0036719E">
        <w:t xml:space="preserve"> </w:t>
      </w:r>
      <w:r w:rsidR="00654FD7" w:rsidRPr="00922B1C">
        <w:t xml:space="preserve">with </w:t>
      </w:r>
      <w:r w:rsidR="00260AD9">
        <w:t>new</w:t>
      </w:r>
      <w:r w:rsidR="00654FD7" w:rsidRPr="00922B1C">
        <w:t xml:space="preserve"> item descriptor</w:t>
      </w:r>
      <w:r w:rsidR="00923179" w:rsidRPr="00922B1C">
        <w:t xml:space="preserve">, see </w:t>
      </w:r>
      <w:r w:rsidR="00260AD9">
        <w:fldChar w:fldCharType="begin"/>
      </w:r>
      <w:r w:rsidR="00260AD9">
        <w:instrText xml:space="preserve"> REF _Ref140743291 \h </w:instrText>
      </w:r>
      <w:r w:rsidR="00AE0021">
        <w:instrText xml:space="preserve"> \* MERGEFORMAT </w:instrText>
      </w:r>
      <w:r w:rsidR="00260AD9">
        <w:fldChar w:fldCharType="separate"/>
      </w:r>
      <w:r w:rsidR="00401046" w:rsidRPr="004C3B98">
        <w:rPr>
          <w:i/>
          <w:iCs/>
        </w:rPr>
        <w:t xml:space="preserve">Table </w:t>
      </w:r>
      <w:r w:rsidR="00401046">
        <w:rPr>
          <w:i/>
          <w:iCs/>
          <w:noProof/>
        </w:rPr>
        <w:t>13</w:t>
      </w:r>
      <w:r w:rsidR="00401046" w:rsidRPr="004C3B98">
        <w:rPr>
          <w:i/>
          <w:iCs/>
        </w:rPr>
        <w:t xml:space="preserve"> </w:t>
      </w:r>
      <w:r w:rsidR="00260AD9">
        <w:fldChar w:fldCharType="end"/>
      </w:r>
      <w:r w:rsidR="00654FD7" w:rsidRPr="00922B1C">
        <w:t xml:space="preserve">) </w:t>
      </w:r>
      <w:r w:rsidRPr="00922B1C">
        <w:t xml:space="preserve">and/or </w:t>
      </w:r>
      <w:r w:rsidR="005D3B24">
        <w:t xml:space="preserve">MBS item </w:t>
      </w:r>
      <w:r w:rsidRPr="00922B1C">
        <w:t>56807</w:t>
      </w:r>
      <w:r w:rsidR="0036719E">
        <w:t xml:space="preserve"> (</w:t>
      </w:r>
      <w:r w:rsidR="005D3B24">
        <w:t xml:space="preserve">see </w:t>
      </w:r>
      <w:r w:rsidR="0036719E">
        <w:fldChar w:fldCharType="begin"/>
      </w:r>
      <w:r w:rsidR="0036719E">
        <w:instrText xml:space="preserve"> REF _Ref128656663 \h </w:instrText>
      </w:r>
      <w:r w:rsidR="00AE0021">
        <w:instrText xml:space="preserve"> \* MERGEFORMAT </w:instrText>
      </w:r>
      <w:r w:rsidR="0036719E">
        <w:fldChar w:fldCharType="separate"/>
      </w:r>
      <w:r w:rsidR="00401046" w:rsidRPr="00ED4E95">
        <w:t xml:space="preserve">Table </w:t>
      </w:r>
      <w:r w:rsidR="00401046">
        <w:rPr>
          <w:noProof/>
        </w:rPr>
        <w:t>6</w:t>
      </w:r>
      <w:r w:rsidR="0036719E">
        <w:fldChar w:fldCharType="end"/>
      </w:r>
      <w:r w:rsidR="0036719E">
        <w:t>)</w:t>
      </w:r>
      <w:r w:rsidR="00654FD7" w:rsidRPr="00922B1C">
        <w:t xml:space="preserve">. </w:t>
      </w:r>
    </w:p>
    <w:p w14:paraId="3CDF1835" w14:textId="5A6D159B" w:rsidR="00654FD7" w:rsidRPr="00ED4E95" w:rsidRDefault="00654FD7" w:rsidP="00654FD7">
      <w:pPr>
        <w:pStyle w:val="Caption"/>
        <w:rPr>
          <w:i/>
          <w:iCs/>
        </w:rPr>
      </w:pPr>
      <w:bookmarkStart w:id="38" w:name="_Ref128656663"/>
      <w:r w:rsidRPr="00ED4E95">
        <w:t xml:space="preserve">Table </w:t>
      </w:r>
      <w:r w:rsidRPr="00ED4E95">
        <w:fldChar w:fldCharType="begin"/>
      </w:r>
      <w:r w:rsidRPr="00ED4E95">
        <w:instrText xml:space="preserve"> SEQ Table \* ARABIC </w:instrText>
      </w:r>
      <w:r w:rsidRPr="00ED4E95">
        <w:fldChar w:fldCharType="separate"/>
      </w:r>
      <w:r w:rsidR="00401046">
        <w:rPr>
          <w:noProof/>
        </w:rPr>
        <w:t>6</w:t>
      </w:r>
      <w:r w:rsidRPr="00ED4E95">
        <w:fldChar w:fldCharType="end"/>
      </w:r>
      <w:bookmarkEnd w:id="38"/>
      <w:r w:rsidR="00E40322" w:rsidRPr="00ED4E95">
        <w:tab/>
        <w:t>MBS items for formal CT or MRI imaging used during follow-up post-</w:t>
      </w:r>
      <w:r w:rsidR="00E40322" w:rsidRPr="00ED4E95">
        <w:rPr>
          <w:vertAlign w:val="superscript"/>
        </w:rPr>
        <w:t>177</w:t>
      </w:r>
      <w:r w:rsidR="00E40322" w:rsidRPr="00ED4E95">
        <w:t>Lu</w:t>
      </w:r>
      <w:r w:rsidR="0036719E">
        <w:t>-</w:t>
      </w:r>
      <w:r w:rsidR="001C03D0">
        <w:t>DOTA-</w:t>
      </w:r>
      <w:r w:rsidR="006437A4">
        <w:t xml:space="preserve">octreotate </w:t>
      </w:r>
      <w:r w:rsidR="006437A4" w:rsidRPr="00ED4E95">
        <w:t>treatment</w:t>
      </w:r>
      <w:r w:rsidR="00CB6211" w:rsidRPr="00ED4E95">
        <w:t>.</w:t>
      </w:r>
    </w:p>
    <w:tbl>
      <w:tblPr>
        <w:tblStyle w:val="TableGrid"/>
        <w:tblW w:w="9634" w:type="dxa"/>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634"/>
      </w:tblGrid>
      <w:tr w:rsidR="00654FD7" w:rsidRPr="00ED4E95" w14:paraId="3D7E8AEF" w14:textId="77777777" w:rsidTr="00922B1C">
        <w:trPr>
          <w:cantSplit/>
          <w:tblHeader/>
        </w:trPr>
        <w:tc>
          <w:tcPr>
            <w:tcW w:w="9634" w:type="dxa"/>
            <w:tcBorders>
              <w:top w:val="single" w:sz="4" w:space="0" w:color="auto"/>
              <w:left w:val="single" w:sz="4" w:space="0" w:color="auto"/>
              <w:bottom w:val="single" w:sz="4" w:space="0" w:color="auto"/>
              <w:right w:val="single" w:sz="4" w:space="0" w:color="auto"/>
            </w:tcBorders>
            <w:hideMark/>
          </w:tcPr>
          <w:p w14:paraId="1203F945" w14:textId="77777777" w:rsidR="00654FD7" w:rsidRPr="00ED4E95" w:rsidRDefault="00654FD7" w:rsidP="000717D5">
            <w:pPr>
              <w:spacing w:before="40" w:after="40" w:line="240" w:lineRule="auto"/>
              <w:rPr>
                <w:rFonts w:ascii="Arial Narrow" w:hAnsi="Arial Narrow"/>
                <w:b/>
                <w:bCs/>
                <w:sz w:val="20"/>
                <w:szCs w:val="20"/>
              </w:rPr>
            </w:pPr>
            <w:r w:rsidRPr="00ED4E95">
              <w:rPr>
                <w:rFonts w:ascii="Arial Narrow" w:hAnsi="Arial Narrow"/>
                <w:b/>
                <w:bCs/>
                <w:sz w:val="20"/>
                <w:szCs w:val="20"/>
              </w:rPr>
              <w:t>Category 5 – Diagnostic Imaging Services</w:t>
            </w:r>
          </w:p>
        </w:tc>
      </w:tr>
      <w:tr w:rsidR="00654FD7" w:rsidRPr="00ED4E95" w14:paraId="0F6978A4" w14:textId="77777777" w:rsidTr="00922B1C">
        <w:trPr>
          <w:cantSplit/>
          <w:tblHeader/>
        </w:trPr>
        <w:tc>
          <w:tcPr>
            <w:tcW w:w="9634" w:type="dxa"/>
            <w:tcBorders>
              <w:top w:val="single" w:sz="4" w:space="0" w:color="auto"/>
              <w:left w:val="single" w:sz="4" w:space="0" w:color="auto"/>
              <w:bottom w:val="single" w:sz="4" w:space="0" w:color="auto"/>
              <w:right w:val="single" w:sz="4" w:space="0" w:color="auto"/>
            </w:tcBorders>
          </w:tcPr>
          <w:p w14:paraId="3AA4C3E1" w14:textId="77777777" w:rsidR="00654FD7" w:rsidRPr="00ED4E95" w:rsidRDefault="00654FD7" w:rsidP="000717D5">
            <w:pPr>
              <w:spacing w:before="120" w:after="120" w:line="240" w:lineRule="auto"/>
              <w:rPr>
                <w:rFonts w:ascii="Arial Narrow" w:hAnsi="Arial Narrow"/>
                <w:sz w:val="20"/>
                <w:szCs w:val="20"/>
              </w:rPr>
            </w:pPr>
            <w:r w:rsidRPr="00ED4E95">
              <w:rPr>
                <w:rFonts w:ascii="Arial Narrow" w:hAnsi="Arial Narrow"/>
                <w:sz w:val="20"/>
                <w:szCs w:val="20"/>
              </w:rPr>
              <w:t>MBS item 56807</w:t>
            </w:r>
          </w:p>
          <w:p w14:paraId="5DFB5E9C" w14:textId="3C880879" w:rsidR="00654FD7" w:rsidRPr="00ED4E95" w:rsidRDefault="00654FD7" w:rsidP="000717D5">
            <w:pPr>
              <w:rPr>
                <w:rFonts w:ascii="Arial Narrow" w:hAnsi="Arial Narrow"/>
                <w:sz w:val="20"/>
                <w:szCs w:val="20"/>
              </w:rPr>
            </w:pPr>
            <w:r w:rsidRPr="00ED4E95">
              <w:rPr>
                <w:rFonts w:ascii="Arial Narrow" w:hAnsi="Arial Narrow"/>
                <w:sz w:val="20"/>
                <w:szCs w:val="20"/>
              </w:rPr>
              <w:t>Computed tomography—scan of chest, abdomen and pelvis with or without scans of soft tissues of neck with intravenous contrast medium and with any scans of chest, abdomen and pelvis with or without scans of soft tissue of neck before intravenous contrast injection, when performed, not including a study performed to exclude coronary artery calcification or image the coronary arteries (R) (Anaes.).</w:t>
            </w:r>
          </w:p>
        </w:tc>
      </w:tr>
      <w:tr w:rsidR="00654FD7" w:rsidRPr="00ED4E95" w14:paraId="01203B87" w14:textId="77777777" w:rsidTr="00922B1C">
        <w:trPr>
          <w:cantSplit/>
          <w:tblHeader/>
        </w:trPr>
        <w:tc>
          <w:tcPr>
            <w:tcW w:w="9634" w:type="dxa"/>
            <w:tcBorders>
              <w:top w:val="single" w:sz="4" w:space="0" w:color="auto"/>
              <w:left w:val="single" w:sz="4" w:space="0" w:color="auto"/>
              <w:bottom w:val="single" w:sz="4" w:space="0" w:color="auto"/>
              <w:right w:val="single" w:sz="4" w:space="0" w:color="auto"/>
            </w:tcBorders>
            <w:vAlign w:val="center"/>
          </w:tcPr>
          <w:p w14:paraId="5C45E99E" w14:textId="77777777" w:rsidR="00654FD7" w:rsidRPr="00ED4E95" w:rsidRDefault="00654FD7" w:rsidP="000717D5">
            <w:pPr>
              <w:spacing w:before="40" w:after="40" w:line="240" w:lineRule="auto"/>
              <w:rPr>
                <w:rFonts w:ascii="Arial Narrow" w:hAnsi="Arial Narrow"/>
                <w:sz w:val="20"/>
                <w:szCs w:val="20"/>
              </w:rPr>
            </w:pPr>
            <w:r w:rsidRPr="00ED4E95">
              <w:rPr>
                <w:rFonts w:ascii="Arial Narrow" w:hAnsi="Arial Narrow"/>
                <w:sz w:val="20"/>
                <w:szCs w:val="20"/>
              </w:rPr>
              <w:t>Fee: $582.70</w:t>
            </w:r>
          </w:p>
        </w:tc>
      </w:tr>
      <w:tr w:rsidR="00654FD7" w:rsidRPr="00ED4E95" w14:paraId="0B5FB378" w14:textId="77777777" w:rsidTr="00922B1C">
        <w:trPr>
          <w:cantSplit/>
          <w:tblHeader/>
        </w:trPr>
        <w:tc>
          <w:tcPr>
            <w:tcW w:w="9634" w:type="dxa"/>
            <w:tcBorders>
              <w:top w:val="single" w:sz="4" w:space="0" w:color="auto"/>
              <w:left w:val="single" w:sz="4" w:space="0" w:color="auto"/>
              <w:bottom w:val="single" w:sz="4" w:space="0" w:color="auto"/>
              <w:right w:val="single" w:sz="4" w:space="0" w:color="auto"/>
            </w:tcBorders>
            <w:hideMark/>
          </w:tcPr>
          <w:p w14:paraId="4C985773" w14:textId="77777777" w:rsidR="00654FD7" w:rsidRPr="00ED4E95" w:rsidRDefault="00654FD7" w:rsidP="000717D5">
            <w:pPr>
              <w:spacing w:before="40" w:after="40" w:line="240" w:lineRule="auto"/>
              <w:rPr>
                <w:rFonts w:ascii="Arial Narrow" w:hAnsi="Arial Narrow"/>
                <w:b/>
                <w:bCs/>
                <w:sz w:val="20"/>
                <w:szCs w:val="20"/>
              </w:rPr>
            </w:pPr>
            <w:r w:rsidRPr="00ED4E95">
              <w:rPr>
                <w:rFonts w:ascii="Arial Narrow" w:hAnsi="Arial Narrow"/>
                <w:b/>
                <w:bCs/>
                <w:sz w:val="20"/>
                <w:szCs w:val="20"/>
              </w:rPr>
              <w:t>Category 5 – Diagnostic Imaging Services</w:t>
            </w:r>
          </w:p>
        </w:tc>
      </w:tr>
      <w:tr w:rsidR="00654FD7" w:rsidRPr="00ED4E95" w14:paraId="2A2512F6" w14:textId="77777777" w:rsidTr="00922B1C">
        <w:trPr>
          <w:cantSplit/>
          <w:tblHeader/>
        </w:trPr>
        <w:tc>
          <w:tcPr>
            <w:tcW w:w="9634" w:type="dxa"/>
            <w:tcBorders>
              <w:top w:val="single" w:sz="4" w:space="0" w:color="auto"/>
              <w:left w:val="single" w:sz="4" w:space="0" w:color="auto"/>
              <w:bottom w:val="single" w:sz="4" w:space="0" w:color="auto"/>
              <w:right w:val="single" w:sz="4" w:space="0" w:color="auto"/>
            </w:tcBorders>
          </w:tcPr>
          <w:p w14:paraId="7174B59E" w14:textId="77777777" w:rsidR="00654FD7" w:rsidRPr="00ED4E95" w:rsidRDefault="00654FD7" w:rsidP="000717D5">
            <w:pPr>
              <w:spacing w:before="120" w:after="120" w:line="240" w:lineRule="auto"/>
              <w:rPr>
                <w:rFonts w:ascii="Arial Narrow" w:hAnsi="Arial Narrow"/>
                <w:sz w:val="20"/>
                <w:szCs w:val="20"/>
              </w:rPr>
            </w:pPr>
            <w:r w:rsidRPr="00ED4E95">
              <w:rPr>
                <w:rFonts w:ascii="Arial Narrow" w:hAnsi="Arial Narrow"/>
                <w:sz w:val="20"/>
                <w:szCs w:val="20"/>
              </w:rPr>
              <w:t>MBS item 63546</w:t>
            </w:r>
          </w:p>
          <w:p w14:paraId="256862FD" w14:textId="77777777" w:rsidR="00654FD7" w:rsidRPr="00ED4E95" w:rsidRDefault="00654FD7" w:rsidP="000717D5">
            <w:pPr>
              <w:rPr>
                <w:rFonts w:ascii="Arial Narrow" w:hAnsi="Arial Narrow" w:cstheme="minorBidi"/>
                <w:sz w:val="20"/>
                <w:szCs w:val="20"/>
              </w:rPr>
            </w:pPr>
            <w:r w:rsidRPr="00ED4E95">
              <w:rPr>
                <w:rFonts w:ascii="Arial Narrow" w:hAnsi="Arial Narrow" w:cstheme="minorBidi"/>
                <w:sz w:val="20"/>
                <w:szCs w:val="20"/>
              </w:rPr>
              <w:t>MRI – multiphase scans of the liver (including delayed imaging, if performed) with a contrast agent, for diagnosis or staging, if:</w:t>
            </w:r>
          </w:p>
          <w:p w14:paraId="30AA4FAA" w14:textId="77777777" w:rsidR="00654FD7" w:rsidRPr="00ED4E95" w:rsidRDefault="00654FD7" w:rsidP="000717D5">
            <w:pPr>
              <w:rPr>
                <w:rFonts w:ascii="Arial Narrow" w:hAnsi="Arial Narrow" w:cstheme="minorBidi"/>
                <w:sz w:val="20"/>
                <w:szCs w:val="20"/>
              </w:rPr>
            </w:pPr>
            <w:r w:rsidRPr="00ED4E95">
              <w:rPr>
                <w:rFonts w:ascii="Arial Narrow" w:hAnsi="Arial Narrow" w:cstheme="minorBidi"/>
                <w:sz w:val="20"/>
                <w:szCs w:val="20"/>
              </w:rPr>
              <w:t>(a) the patient has:</w:t>
            </w:r>
          </w:p>
          <w:p w14:paraId="10BEF8BD" w14:textId="77777777" w:rsidR="00654FD7" w:rsidRPr="00ED4E95" w:rsidRDefault="00654FD7" w:rsidP="000717D5">
            <w:pPr>
              <w:rPr>
                <w:rFonts w:ascii="Arial Narrow" w:hAnsi="Arial Narrow" w:cstheme="minorBidi"/>
                <w:sz w:val="20"/>
                <w:szCs w:val="20"/>
              </w:rPr>
            </w:pPr>
            <w:r w:rsidRPr="00ED4E95">
              <w:rPr>
                <w:rFonts w:ascii="Arial Narrow" w:hAnsi="Arial Narrow" w:cstheme="minorBidi"/>
                <w:sz w:val="20"/>
                <w:szCs w:val="20"/>
              </w:rPr>
              <w:t>(i) known or suspected hepatocellular carcinoma; and</w:t>
            </w:r>
          </w:p>
          <w:p w14:paraId="0959252F" w14:textId="77777777" w:rsidR="00654FD7" w:rsidRPr="00ED4E95" w:rsidRDefault="00654FD7" w:rsidP="000717D5">
            <w:pPr>
              <w:rPr>
                <w:rFonts w:ascii="Arial Narrow" w:hAnsi="Arial Narrow" w:cstheme="minorBidi"/>
                <w:sz w:val="20"/>
                <w:szCs w:val="20"/>
              </w:rPr>
            </w:pPr>
            <w:r w:rsidRPr="00ED4E95">
              <w:rPr>
                <w:rFonts w:ascii="Arial Narrow" w:hAnsi="Arial Narrow" w:cstheme="minorBidi"/>
                <w:sz w:val="20"/>
                <w:szCs w:val="20"/>
              </w:rPr>
              <w:t>(ii) chronic liver disease that has been confirmed by a specialist or consultant physician; and</w:t>
            </w:r>
          </w:p>
          <w:p w14:paraId="3BF42A3B" w14:textId="49B9F195" w:rsidR="00654FD7" w:rsidRPr="00ED4E95" w:rsidRDefault="00654FD7" w:rsidP="000717D5">
            <w:pPr>
              <w:rPr>
                <w:rFonts w:ascii="Arial Narrow" w:hAnsi="Arial Narrow" w:cstheme="minorBidi"/>
                <w:sz w:val="20"/>
                <w:szCs w:val="20"/>
              </w:rPr>
            </w:pPr>
            <w:r w:rsidRPr="00ED4E95">
              <w:rPr>
                <w:rFonts w:ascii="Arial Narrow" w:hAnsi="Arial Narrow" w:cstheme="minorBidi"/>
                <w:sz w:val="20"/>
                <w:szCs w:val="20"/>
              </w:rPr>
              <w:t>(b) the patient’s liver function has been identified as Child Pugh class A or B; and</w:t>
            </w:r>
          </w:p>
          <w:p w14:paraId="2104EF14" w14:textId="77777777" w:rsidR="00654FD7" w:rsidRPr="00ED4E95" w:rsidRDefault="00654FD7" w:rsidP="000717D5">
            <w:pPr>
              <w:rPr>
                <w:rFonts w:ascii="Arial Narrow" w:hAnsi="Arial Narrow" w:cstheme="minorBidi"/>
                <w:sz w:val="20"/>
                <w:szCs w:val="20"/>
              </w:rPr>
            </w:pPr>
            <w:r w:rsidRPr="00ED4E95">
              <w:rPr>
                <w:rFonts w:ascii="Arial Narrow" w:hAnsi="Arial Narrow" w:cstheme="minorBidi"/>
                <w:sz w:val="20"/>
                <w:szCs w:val="20"/>
              </w:rPr>
              <w:t>(c) the patient has an identified hepatic lesion over 10 mm in diameter.</w:t>
            </w:r>
          </w:p>
          <w:p w14:paraId="55549D58" w14:textId="7D75C2FB" w:rsidR="00654FD7" w:rsidRPr="00ED4E95" w:rsidRDefault="00654FD7" w:rsidP="000717D5">
            <w:pPr>
              <w:rPr>
                <w:rFonts w:ascii="Arial Narrow" w:hAnsi="Arial Narrow"/>
                <w:sz w:val="20"/>
                <w:szCs w:val="20"/>
              </w:rPr>
            </w:pPr>
            <w:r w:rsidRPr="00ED4E95">
              <w:rPr>
                <w:rFonts w:ascii="Arial Narrow" w:hAnsi="Arial Narrow" w:cstheme="minorBidi"/>
                <w:sz w:val="20"/>
                <w:szCs w:val="20"/>
              </w:rPr>
              <w:t xml:space="preserve">For any </w:t>
            </w:r>
            <w:bookmarkStart w:id="39" w:name="_Int_QNh3lx45"/>
            <w:r w:rsidRPr="00ED4E95">
              <w:rPr>
                <w:rFonts w:ascii="Arial Narrow" w:hAnsi="Arial Narrow" w:cstheme="minorBidi"/>
                <w:sz w:val="20"/>
                <w:szCs w:val="20"/>
              </w:rPr>
              <w:t>particular patient</w:t>
            </w:r>
            <w:bookmarkEnd w:id="39"/>
            <w:r w:rsidRPr="00ED4E95">
              <w:rPr>
                <w:rFonts w:ascii="Arial Narrow" w:hAnsi="Arial Narrow" w:cstheme="minorBidi"/>
                <w:sz w:val="20"/>
                <w:szCs w:val="20"/>
              </w:rPr>
              <w:t xml:space="preserve">—applicable not more than once in a </w:t>
            </w:r>
            <w:r w:rsidRPr="00ED4E95">
              <w:rPr>
                <w:rFonts w:ascii="Arial Narrow" w:hAnsi="Arial Narrow"/>
                <w:sz w:val="20"/>
                <w:szCs w:val="20"/>
              </w:rPr>
              <w:t>12-month</w:t>
            </w:r>
            <w:r w:rsidRPr="00ED4E95">
              <w:rPr>
                <w:rFonts w:ascii="Arial Narrow" w:hAnsi="Arial Narrow" w:cstheme="minorBidi"/>
                <w:sz w:val="20"/>
                <w:szCs w:val="20"/>
              </w:rPr>
              <w:t xml:space="preserve"> period (R) (Contrast)</w:t>
            </w:r>
          </w:p>
        </w:tc>
      </w:tr>
      <w:tr w:rsidR="00654FD7" w:rsidRPr="00ED4E95" w14:paraId="3BD0F82F" w14:textId="77777777" w:rsidTr="00922B1C">
        <w:trPr>
          <w:cantSplit/>
          <w:tblHeader/>
        </w:trPr>
        <w:tc>
          <w:tcPr>
            <w:tcW w:w="9634" w:type="dxa"/>
            <w:tcBorders>
              <w:top w:val="single" w:sz="4" w:space="0" w:color="auto"/>
              <w:left w:val="single" w:sz="4" w:space="0" w:color="auto"/>
              <w:bottom w:val="single" w:sz="4" w:space="0" w:color="auto"/>
              <w:right w:val="single" w:sz="4" w:space="0" w:color="auto"/>
            </w:tcBorders>
            <w:vAlign w:val="center"/>
          </w:tcPr>
          <w:p w14:paraId="6B55209C" w14:textId="77777777" w:rsidR="00654FD7" w:rsidRPr="00ED4E95" w:rsidRDefault="00654FD7" w:rsidP="000717D5">
            <w:pPr>
              <w:spacing w:before="40" w:after="40" w:line="240" w:lineRule="auto"/>
              <w:rPr>
                <w:rFonts w:ascii="Arial Narrow" w:hAnsi="Arial Narrow"/>
                <w:sz w:val="20"/>
                <w:szCs w:val="20"/>
              </w:rPr>
            </w:pPr>
            <w:r w:rsidRPr="00ED4E95">
              <w:rPr>
                <w:rFonts w:ascii="Arial Narrow" w:hAnsi="Arial Narrow"/>
                <w:sz w:val="20"/>
                <w:szCs w:val="20"/>
              </w:rPr>
              <w:t>Fee: $558.80</w:t>
            </w:r>
          </w:p>
        </w:tc>
      </w:tr>
      <w:tr w:rsidR="006E645D" w:rsidRPr="00ED4E95" w14:paraId="250733C8" w14:textId="77777777" w:rsidTr="00922B1C">
        <w:trPr>
          <w:tblHeader/>
        </w:trPr>
        <w:tc>
          <w:tcPr>
            <w:tcW w:w="9634" w:type="dxa"/>
            <w:hideMark/>
          </w:tcPr>
          <w:p w14:paraId="5C6B8CD8" w14:textId="77777777" w:rsidR="006E645D" w:rsidRPr="00ED4E95" w:rsidRDefault="006E645D" w:rsidP="000717D5">
            <w:pPr>
              <w:spacing w:before="40" w:after="40" w:line="240" w:lineRule="auto"/>
              <w:rPr>
                <w:rFonts w:ascii="Arial Narrow" w:hAnsi="Arial Narrow"/>
                <w:b/>
                <w:bCs/>
                <w:sz w:val="20"/>
                <w:szCs w:val="20"/>
              </w:rPr>
            </w:pPr>
            <w:r w:rsidRPr="00ED4E95">
              <w:rPr>
                <w:rFonts w:ascii="Arial Narrow" w:hAnsi="Arial Narrow"/>
                <w:b/>
                <w:bCs/>
                <w:sz w:val="20"/>
                <w:szCs w:val="20"/>
              </w:rPr>
              <w:t>Category 1 – Professional Attendances</w:t>
            </w:r>
          </w:p>
        </w:tc>
      </w:tr>
      <w:tr w:rsidR="006E645D" w:rsidRPr="00ED4E95" w14:paraId="717EEE4D" w14:textId="77777777" w:rsidTr="00922B1C">
        <w:trPr>
          <w:tblHeader/>
        </w:trPr>
        <w:tc>
          <w:tcPr>
            <w:tcW w:w="9634" w:type="dxa"/>
          </w:tcPr>
          <w:p w14:paraId="205A360E" w14:textId="77777777" w:rsidR="006E645D" w:rsidRPr="00ED4E95" w:rsidRDefault="006E645D" w:rsidP="000717D5">
            <w:pPr>
              <w:spacing w:before="120" w:after="120" w:line="240" w:lineRule="auto"/>
              <w:rPr>
                <w:rFonts w:ascii="Arial Narrow" w:hAnsi="Arial Narrow"/>
                <w:sz w:val="20"/>
                <w:szCs w:val="20"/>
              </w:rPr>
            </w:pPr>
            <w:r w:rsidRPr="00ED4E95">
              <w:rPr>
                <w:rFonts w:ascii="Arial Narrow" w:hAnsi="Arial Narrow"/>
                <w:sz w:val="20"/>
                <w:szCs w:val="20"/>
              </w:rPr>
              <w:t>MBS item 105</w:t>
            </w:r>
          </w:p>
          <w:p w14:paraId="3FD88BFB" w14:textId="29C61FEE" w:rsidR="006E645D" w:rsidRPr="00ED4E95" w:rsidRDefault="006E645D" w:rsidP="000717D5">
            <w:pPr>
              <w:rPr>
                <w:rFonts w:ascii="Arial Narrow" w:hAnsi="Arial Narrow"/>
                <w:sz w:val="20"/>
                <w:szCs w:val="20"/>
              </w:rPr>
            </w:pPr>
            <w:r w:rsidRPr="00ED4E95">
              <w:rPr>
                <w:rFonts w:ascii="Arial Narrow" w:hAnsi="Arial Narrow"/>
                <w:sz w:val="20"/>
                <w:szCs w:val="20"/>
              </w:rPr>
              <w:t>Professional attendance by a specialist in the practice of the specialist's specialty following referral of the patient to the specialist-an attendance after the first in a single course of treatment, if that attendance is at consulting rooms or hospital, other than a service to which item 16404 applies.</w:t>
            </w:r>
          </w:p>
        </w:tc>
      </w:tr>
      <w:tr w:rsidR="006E645D" w:rsidRPr="00ED4E95" w14:paraId="7C4B8AEB" w14:textId="77777777" w:rsidTr="00922B1C">
        <w:trPr>
          <w:tblHeader/>
        </w:trPr>
        <w:tc>
          <w:tcPr>
            <w:tcW w:w="9634" w:type="dxa"/>
          </w:tcPr>
          <w:p w14:paraId="2D89032C" w14:textId="77777777" w:rsidR="006E645D" w:rsidRPr="00ED4E95" w:rsidRDefault="006E645D" w:rsidP="000717D5">
            <w:pPr>
              <w:spacing w:before="40" w:after="40" w:line="240" w:lineRule="auto"/>
              <w:rPr>
                <w:rFonts w:ascii="Arial Narrow" w:hAnsi="Arial Narrow"/>
                <w:sz w:val="20"/>
                <w:szCs w:val="20"/>
              </w:rPr>
            </w:pPr>
            <w:r w:rsidRPr="00ED4E95">
              <w:rPr>
                <w:rFonts w:ascii="Arial Narrow" w:hAnsi="Arial Narrow"/>
                <w:sz w:val="20"/>
                <w:szCs w:val="20"/>
              </w:rPr>
              <w:t>Fee: $46.15</w:t>
            </w:r>
          </w:p>
        </w:tc>
      </w:tr>
    </w:tbl>
    <w:p w14:paraId="3866533F" w14:textId="77777777" w:rsidR="00E40322" w:rsidRPr="00ED4E95" w:rsidRDefault="00615172" w:rsidP="000A3770">
      <w:pPr>
        <w:pStyle w:val="Tablenotes"/>
        <w:spacing w:after="0"/>
      </w:pPr>
      <w:r w:rsidRPr="00ED4E95">
        <w:rPr>
          <w:i/>
          <w:iCs/>
        </w:rPr>
        <w:t xml:space="preserve"> </w:t>
      </w:r>
      <w:r w:rsidR="00E40322" w:rsidRPr="00ED4E95">
        <w:t>Source: MBS online</w:t>
      </w:r>
    </w:p>
    <w:p w14:paraId="54537332" w14:textId="24B7797A" w:rsidR="00615172" w:rsidRPr="00ED4E95" w:rsidRDefault="00E40322" w:rsidP="000A3770">
      <w:pPr>
        <w:pStyle w:val="Tablenotes"/>
        <w:spacing w:after="240"/>
      </w:pPr>
      <w:r w:rsidRPr="00ED4E95">
        <w:t xml:space="preserve">Abbreviations: CT = computed tomography; MBS = Medicare Benefits Schedule; MRI = magnetic resonance imaging; nca = no carrier added; </w:t>
      </w:r>
      <w:r w:rsidRPr="00ED4E95">
        <w:rPr>
          <w:vertAlign w:val="superscript"/>
        </w:rPr>
        <w:t>177</w:t>
      </w:r>
      <w:r w:rsidRPr="00ED4E95">
        <w:t xml:space="preserve">Lu = </w:t>
      </w:r>
      <w:r w:rsidRPr="00ED4E95">
        <w:rPr>
          <w:vertAlign w:val="superscript"/>
        </w:rPr>
        <w:t>177</w:t>
      </w:r>
      <w:r w:rsidRPr="00ED4E95">
        <w:t>Lutetium</w:t>
      </w:r>
      <w:r w:rsidR="001B43FB" w:rsidRPr="00ED4E95">
        <w:t>.</w:t>
      </w:r>
    </w:p>
    <w:p w14:paraId="2C9E23EE" w14:textId="5A56EAF3" w:rsidR="001C14F5" w:rsidRPr="00922B1C" w:rsidRDefault="001C14F5" w:rsidP="007B0205">
      <w:pPr>
        <w:keepNext/>
        <w:jc w:val="both"/>
        <w:rPr>
          <w:i/>
          <w:iCs/>
          <w:u w:val="single"/>
        </w:rPr>
      </w:pPr>
      <w:r w:rsidRPr="00922B1C">
        <w:rPr>
          <w:i/>
          <w:iCs/>
          <w:u w:val="single"/>
        </w:rPr>
        <w:lastRenderedPageBreak/>
        <w:t>Progression/Consolidation cycles</w:t>
      </w:r>
    </w:p>
    <w:p w14:paraId="5057FC5E" w14:textId="2D1515E7" w:rsidR="009E47C9" w:rsidRPr="00ED4E95" w:rsidRDefault="009E47C9" w:rsidP="007B0205">
      <w:pPr>
        <w:jc w:val="both"/>
      </w:pPr>
      <w:r w:rsidRPr="00ED4E95">
        <w:t xml:space="preserve">Further treatment with </w:t>
      </w:r>
      <w:r w:rsidRPr="00ED4E95">
        <w:rPr>
          <w:vertAlign w:val="superscript"/>
        </w:rPr>
        <w:t>177</w:t>
      </w:r>
      <w:r w:rsidRPr="00ED4E95">
        <w:t>Lu</w:t>
      </w:r>
      <w:r w:rsidR="005D3B24">
        <w:t>-</w:t>
      </w:r>
      <w:r w:rsidR="001C03D0">
        <w:t>DOTA-octreotate</w:t>
      </w:r>
      <w:r w:rsidRPr="00ED4E95">
        <w:t xml:space="preserve"> may be instituted upon documentation of progression where</w:t>
      </w:r>
      <w:r w:rsidR="00F11C50" w:rsidRPr="00ED4E95">
        <w:t>:</w:t>
      </w:r>
      <w:r w:rsidRPr="00ED4E95">
        <w:t xml:space="preserve"> the individual </w:t>
      </w:r>
      <w:r w:rsidR="00C6598B" w:rsidRPr="00ED4E95">
        <w:t xml:space="preserve">(i) </w:t>
      </w:r>
      <w:r w:rsidRPr="00ED4E95">
        <w:t>is willing to undergo further active treatment</w:t>
      </w:r>
      <w:r w:rsidR="0096471C" w:rsidRPr="00ED4E95">
        <w:t>,</w:t>
      </w:r>
      <w:r w:rsidRPr="00ED4E95">
        <w:t xml:space="preserve"> </w:t>
      </w:r>
      <w:r w:rsidR="00C6598B" w:rsidRPr="00ED4E95">
        <w:t xml:space="preserve">(ii) </w:t>
      </w:r>
      <w:r w:rsidRPr="00ED4E95">
        <w:t>has had a favourable response to the induction treatment course with no or clinically acceptable and self-limiting side-effects</w:t>
      </w:r>
      <w:r w:rsidR="0096471C" w:rsidRPr="00ED4E95">
        <w:t>,</w:t>
      </w:r>
      <w:r w:rsidRPr="00ED4E95">
        <w:t xml:space="preserve"> and </w:t>
      </w:r>
      <w:r w:rsidR="00C6598B" w:rsidRPr="00ED4E95">
        <w:t xml:space="preserve">(iii) </w:t>
      </w:r>
      <w:r w:rsidRPr="00ED4E95">
        <w:t xml:space="preserve">has suitable tumour characteristics demonstrated on SSTR imaging with or without FDG PET/CT imaging. Usually repeat </w:t>
      </w:r>
      <w:r w:rsidRPr="00ED4E95">
        <w:rPr>
          <w:vertAlign w:val="superscript"/>
        </w:rPr>
        <w:t>177</w:t>
      </w:r>
      <w:r w:rsidRPr="00ED4E95">
        <w:t>Lu</w:t>
      </w:r>
      <w:r w:rsidR="005D3B24">
        <w:t>-</w:t>
      </w:r>
      <w:r w:rsidR="001C03D0">
        <w:t>DOTA-octreotate</w:t>
      </w:r>
      <w:r w:rsidRPr="00ED4E95">
        <w:t xml:space="preserve"> treatments involve two administrations undertaken in the same manner as described for the induction cycle. </w:t>
      </w:r>
      <w:r w:rsidR="001C14F5" w:rsidRPr="00ED4E95">
        <w:t xml:space="preserve">Repeat treatments at documented progression can be undertaken until response failure is documented, unacceptable toxicity occurs, or alternative treatments offer the prospect of superior patient important outcomes. </w:t>
      </w:r>
      <w:r w:rsidRPr="00ED4E95">
        <w:t xml:space="preserve">SPECT/CT imaging is not necessarily required after the repeat </w:t>
      </w:r>
      <w:r w:rsidRPr="00ED4E95">
        <w:rPr>
          <w:vertAlign w:val="superscript"/>
        </w:rPr>
        <w:t>177</w:t>
      </w:r>
      <w:r w:rsidRPr="00ED4E95">
        <w:t>Lu</w:t>
      </w:r>
      <w:r w:rsidR="005D3B24">
        <w:t>-</w:t>
      </w:r>
      <w:r w:rsidR="001C03D0">
        <w:t>DOTA-octreotate</w:t>
      </w:r>
      <w:r w:rsidRPr="00ED4E95">
        <w:t xml:space="preserve"> treatment</w:t>
      </w:r>
      <w:r w:rsidR="007007FA" w:rsidRPr="00ED4E95">
        <w:t>;</w:t>
      </w:r>
      <w:r w:rsidRPr="00ED4E95">
        <w:t xml:space="preserve"> however other in-treatment and between-treatment assessments follow the induction cycle program with an identical three month follow schedule. </w:t>
      </w:r>
    </w:p>
    <w:p w14:paraId="7E2EB8A1" w14:textId="25D076CB" w:rsidR="00015E6F" w:rsidRPr="00ED4E95" w:rsidRDefault="009E47C9" w:rsidP="007B0205">
      <w:pPr>
        <w:jc w:val="both"/>
      </w:pPr>
      <w:r w:rsidRPr="00ED4E95">
        <w:t xml:space="preserve">In some patients a </w:t>
      </w:r>
      <w:r w:rsidR="001168E0" w:rsidRPr="00ED4E95">
        <w:t>two-administration</w:t>
      </w:r>
      <w:r w:rsidRPr="00ED4E95">
        <w:t xml:space="preserve"> consolidation course of </w:t>
      </w:r>
      <w:r w:rsidRPr="00ED4E95">
        <w:rPr>
          <w:vertAlign w:val="superscript"/>
        </w:rPr>
        <w:t>177</w:t>
      </w:r>
      <w:r w:rsidRPr="00ED4E95">
        <w:t>Lu</w:t>
      </w:r>
      <w:r w:rsidR="005D3B24">
        <w:t>-</w:t>
      </w:r>
      <w:r w:rsidR="001C03D0">
        <w:t xml:space="preserve">DOTA-octreotate </w:t>
      </w:r>
      <w:r w:rsidRPr="00ED4E95">
        <w:t>treatment may be instituted in patients where no progression is evident but re-treatment is likely to delay progression, for example in higher grade (G3) NET</w:t>
      </w:r>
      <w:r w:rsidR="00BC2C43" w:rsidRPr="00ED4E95">
        <w:t>s</w:t>
      </w:r>
      <w:r w:rsidRPr="00ED4E95">
        <w:t xml:space="preserve"> with rising tumour markers. The requirement for MDT referral for consolidation treatment with </w:t>
      </w:r>
      <w:r w:rsidRPr="00ED4E95">
        <w:rPr>
          <w:vertAlign w:val="superscript"/>
        </w:rPr>
        <w:t>177</w:t>
      </w:r>
      <w:r w:rsidRPr="00ED4E95">
        <w:t>Lu</w:t>
      </w:r>
      <w:r w:rsidR="005D3B24">
        <w:t>-</w:t>
      </w:r>
      <w:r w:rsidR="001C03D0">
        <w:t xml:space="preserve">DOTA-octreotate </w:t>
      </w:r>
      <w:r w:rsidRPr="00ED4E95">
        <w:t>treatments will appropriately limit access to the medical service to patients most likely to benefit.</w:t>
      </w:r>
    </w:p>
    <w:p w14:paraId="523167F1" w14:textId="77777777" w:rsidR="00494457" w:rsidRPr="00922B1C" w:rsidRDefault="00494457" w:rsidP="007B0205">
      <w:pPr>
        <w:jc w:val="both"/>
      </w:pPr>
      <w:r w:rsidRPr="00922B1C">
        <w:t xml:space="preserve">The applicant noted the evidence for retreatment cycles have been limited to retrospective institutional studies and </w:t>
      </w:r>
      <w:bookmarkStart w:id="40" w:name="_Int_UqEGo6YD"/>
      <w:r w:rsidRPr="00922B1C">
        <w:t>generally reserved</w:t>
      </w:r>
      <w:bookmarkEnd w:id="40"/>
      <w:r w:rsidRPr="00922B1C">
        <w:t xml:space="preserve"> for patients who have responded symptomatically or by prolongation of the time to progression observed before initial treatment. In addition, objective radiologic response has not been a requirement for retreatment, and response rates and durability of response are generally less than observed with induction cycles, but patients can have ongoing disease control with intermittent retreatment. </w:t>
      </w:r>
    </w:p>
    <w:p w14:paraId="498EAD37" w14:textId="7330F456" w:rsidR="005D3B24" w:rsidRPr="00922B1C" w:rsidRDefault="00494457" w:rsidP="007B0205">
      <w:pPr>
        <w:jc w:val="both"/>
      </w:pPr>
      <w:r w:rsidRPr="00922B1C">
        <w:t xml:space="preserve">The application provided one study investigating retreatment with </w:t>
      </w:r>
      <w:r w:rsidRPr="00922B1C">
        <w:rPr>
          <w:vertAlign w:val="superscript"/>
        </w:rPr>
        <w:t>177</w:t>
      </w:r>
      <w:r w:rsidRPr="00922B1C">
        <w:t>Lu-</w:t>
      </w:r>
      <w:r w:rsidR="00A17F3C" w:rsidRPr="00922B1C">
        <w:t>D</w:t>
      </w:r>
      <w:r w:rsidR="000A3770" w:rsidRPr="00922B1C">
        <w:t>otatate</w:t>
      </w:r>
      <w:r w:rsidRPr="00922B1C">
        <w:t xml:space="preserve"> after documented disease progression in the past six months, however, only two out of 47 patients had received </w:t>
      </w:r>
      <w:r w:rsidRPr="00922B1C">
        <w:rPr>
          <w:vertAlign w:val="superscript"/>
        </w:rPr>
        <w:t>177</w:t>
      </w:r>
      <w:r w:rsidRPr="00922B1C">
        <w:t>Lu-</w:t>
      </w:r>
      <w:r w:rsidR="0079471A" w:rsidRPr="00922B1C">
        <w:t>D</w:t>
      </w:r>
      <w:r w:rsidR="000A3770" w:rsidRPr="00922B1C">
        <w:t xml:space="preserve">otatate </w:t>
      </w:r>
      <w:r w:rsidRPr="00922B1C">
        <w:t xml:space="preserve">as the initial treatment prior to </w:t>
      </w:r>
      <w:r w:rsidRPr="00922B1C">
        <w:rPr>
          <w:vertAlign w:val="superscript"/>
        </w:rPr>
        <w:t>177</w:t>
      </w:r>
      <w:r w:rsidRPr="00922B1C">
        <w:t>Lu-</w:t>
      </w:r>
      <w:r w:rsidR="00A17F3C" w:rsidRPr="00922B1C">
        <w:t>D</w:t>
      </w:r>
      <w:r w:rsidR="000A3770" w:rsidRPr="00922B1C">
        <w:t>otatate</w:t>
      </w:r>
      <w:r w:rsidRPr="00922B1C">
        <w:t xml:space="preserve"> re-treatment, the majority (45/47) received </w:t>
      </w:r>
      <w:r w:rsidRPr="00922B1C">
        <w:rPr>
          <w:vertAlign w:val="superscript"/>
        </w:rPr>
        <w:t>90</w:t>
      </w:r>
      <w:r w:rsidRPr="00922B1C">
        <w:t>Y-</w:t>
      </w:r>
      <w:r w:rsidR="000A3770" w:rsidRPr="00922B1C">
        <w:t>D</w:t>
      </w:r>
      <w:r w:rsidRPr="00922B1C">
        <w:t>otatate as the initial treatment, potentially limiting its generalisability to this component of the protocol</w:t>
      </w:r>
      <w:r w:rsidR="00DA5C6A" w:rsidRPr="00922B1C">
        <w:t xml:space="preserve"> (Vaughn 2019)</w:t>
      </w:r>
      <w:r w:rsidRPr="00922B1C">
        <w:t>. Although, a meta-analysis</w:t>
      </w:r>
      <w:r w:rsidR="00DA5C6A" w:rsidRPr="00922B1C">
        <w:t xml:space="preserve"> (Strosberg 2021)</w:t>
      </w:r>
      <w:r w:rsidRPr="00922B1C">
        <w:t xml:space="preserve"> investigating the efficacy and safety of PRRT re-treatment in patients with advanced progressive GEP-NETs reported similar median PFS between patients who were initially treated with </w:t>
      </w:r>
      <w:r w:rsidRPr="00922B1C">
        <w:rPr>
          <w:vertAlign w:val="superscript"/>
        </w:rPr>
        <w:t>177</w:t>
      </w:r>
      <w:r w:rsidRPr="00922B1C">
        <w:t>Lu-</w:t>
      </w:r>
      <w:r w:rsidR="00A17F3C" w:rsidRPr="00922B1C">
        <w:t>D</w:t>
      </w:r>
      <w:r w:rsidR="000A3770" w:rsidRPr="00922B1C">
        <w:t xml:space="preserve">otatate </w:t>
      </w:r>
      <w:r w:rsidRPr="00922B1C">
        <w:t xml:space="preserve">(12.26 months) and those with </w:t>
      </w:r>
      <w:r w:rsidRPr="00922B1C">
        <w:rPr>
          <w:vertAlign w:val="superscript"/>
        </w:rPr>
        <w:t>90</w:t>
      </w:r>
      <w:r w:rsidRPr="00922B1C">
        <w:t>Y-</w:t>
      </w:r>
      <w:r w:rsidR="000A3770" w:rsidRPr="00922B1C">
        <w:t>D</w:t>
      </w:r>
      <w:r w:rsidRPr="00922B1C">
        <w:t xml:space="preserve">otatate (15.41 months) and later retreated with </w:t>
      </w:r>
      <w:r w:rsidRPr="00922B1C">
        <w:rPr>
          <w:vertAlign w:val="superscript"/>
        </w:rPr>
        <w:t>177</w:t>
      </w:r>
      <w:r w:rsidRPr="00922B1C">
        <w:t>Lu-</w:t>
      </w:r>
      <w:r w:rsidR="008A6B05" w:rsidRPr="00922B1C">
        <w:t>D</w:t>
      </w:r>
      <w:r w:rsidR="000A3770" w:rsidRPr="00922B1C">
        <w:t>otatate</w:t>
      </w:r>
      <w:r w:rsidR="008A6B05" w:rsidRPr="00922B1C">
        <w:t xml:space="preserve"> </w:t>
      </w:r>
      <w:r w:rsidRPr="00922B1C">
        <w:t xml:space="preserve">after disease progression. In addition, the safety profile of </w:t>
      </w:r>
      <w:r w:rsidRPr="00922B1C">
        <w:rPr>
          <w:vertAlign w:val="superscript"/>
        </w:rPr>
        <w:t>177</w:t>
      </w:r>
      <w:r w:rsidRPr="00922B1C">
        <w:t>Lu-</w:t>
      </w:r>
      <w:r w:rsidR="008A6B05" w:rsidRPr="00922B1C">
        <w:t>D</w:t>
      </w:r>
      <w:r w:rsidR="000A3770" w:rsidRPr="00922B1C">
        <w:t>otatate</w:t>
      </w:r>
      <w:r w:rsidR="008A6B05" w:rsidRPr="00922B1C">
        <w:t xml:space="preserve"> </w:t>
      </w:r>
      <w:r w:rsidRPr="00922B1C">
        <w:t xml:space="preserve">retreatment was </w:t>
      </w:r>
      <w:bookmarkStart w:id="41" w:name="_Int_227zIBMb"/>
      <w:r w:rsidRPr="00922B1C">
        <w:t>similar to</w:t>
      </w:r>
      <w:bookmarkEnd w:id="41"/>
      <w:r w:rsidRPr="00922B1C">
        <w:t xml:space="preserve"> </w:t>
      </w:r>
      <w:r w:rsidRPr="00922B1C">
        <w:rPr>
          <w:vertAlign w:val="superscript"/>
        </w:rPr>
        <w:t>177</w:t>
      </w:r>
      <w:r w:rsidRPr="00922B1C">
        <w:t>Lu-</w:t>
      </w:r>
      <w:r w:rsidR="008A6B05" w:rsidRPr="00922B1C">
        <w:t>D</w:t>
      </w:r>
      <w:r w:rsidR="000A3770" w:rsidRPr="00922B1C">
        <w:t>otatate</w:t>
      </w:r>
      <w:r w:rsidR="008A6B05" w:rsidRPr="00922B1C">
        <w:t xml:space="preserve"> </w:t>
      </w:r>
      <w:r w:rsidRPr="00922B1C">
        <w:t xml:space="preserve">initial treatment. </w:t>
      </w:r>
    </w:p>
    <w:p w14:paraId="1BDC4A26" w14:textId="02D0BDA0" w:rsidR="001C14F5" w:rsidRPr="00ED4E95" w:rsidRDefault="001C14F5" w:rsidP="007B0205">
      <w:pPr>
        <w:jc w:val="both"/>
        <w:rPr>
          <w:i/>
          <w:iCs/>
        </w:rPr>
      </w:pPr>
      <w:r w:rsidRPr="00ED4E95">
        <w:t xml:space="preserve">The frequency of repeat </w:t>
      </w:r>
      <w:r w:rsidRPr="00ED4E95">
        <w:rPr>
          <w:vertAlign w:val="superscript"/>
        </w:rPr>
        <w:t>177</w:t>
      </w:r>
      <w:r w:rsidRPr="00ED4E95">
        <w:t>Lu</w:t>
      </w:r>
      <w:r w:rsidR="005D3B24">
        <w:t>-</w:t>
      </w:r>
      <w:r w:rsidR="001C03D0">
        <w:t xml:space="preserve">DOTA-octreotate </w:t>
      </w:r>
      <w:r w:rsidRPr="00ED4E95">
        <w:t xml:space="preserve">treatment is necessarily highly variable but will be appropriately limited to achieve optimal outcomes when MDT referral is a mandatory requirement. </w:t>
      </w:r>
      <w:r w:rsidR="00313C03" w:rsidRPr="00922B1C">
        <w:t>In further discussions, the applicant’s c</w:t>
      </w:r>
      <w:r w:rsidRPr="00922B1C">
        <w:t>linical expert noted that the optimal reimbursement strategy should anticipate highly variable treatment recommendations from MDTs</w:t>
      </w:r>
      <w:r w:rsidR="00260AD9">
        <w:t xml:space="preserve"> or treating specialist</w:t>
      </w:r>
      <w:r w:rsidRPr="00922B1C">
        <w:t xml:space="preserve">, therefore funding each treatment cycle of </w:t>
      </w:r>
      <w:r w:rsidRPr="00922B1C">
        <w:rPr>
          <w:vertAlign w:val="superscript"/>
        </w:rPr>
        <w:t>177</w:t>
      </w:r>
      <w:r w:rsidRPr="00922B1C">
        <w:t>Lu</w:t>
      </w:r>
      <w:r w:rsidR="005D3B24">
        <w:t>-</w:t>
      </w:r>
      <w:r w:rsidR="001C03D0">
        <w:t>DOTA-octreotate</w:t>
      </w:r>
      <w:r w:rsidRPr="00922B1C">
        <w:t xml:space="preserve"> as an independent episode is recommended.</w:t>
      </w:r>
      <w:r w:rsidRPr="00ED4E95">
        <w:rPr>
          <w:i/>
          <w:iCs/>
        </w:rPr>
        <w:t xml:space="preserve"> </w:t>
      </w:r>
    </w:p>
    <w:p w14:paraId="714C09E2" w14:textId="7916406C" w:rsidR="00313C03" w:rsidRDefault="00EB040C" w:rsidP="007B0205">
      <w:pPr>
        <w:jc w:val="both"/>
        <w:rPr>
          <w:i/>
          <w:iCs/>
        </w:rPr>
      </w:pPr>
      <w:r>
        <w:rPr>
          <w:i/>
          <w:iCs/>
        </w:rPr>
        <w:t xml:space="preserve">In its consideration at the April </w:t>
      </w:r>
      <w:r w:rsidR="000C26AC">
        <w:rPr>
          <w:i/>
          <w:iCs/>
        </w:rPr>
        <w:t xml:space="preserve">2023 </w:t>
      </w:r>
      <w:r>
        <w:rPr>
          <w:i/>
          <w:iCs/>
        </w:rPr>
        <w:t xml:space="preserve">meeting, </w:t>
      </w:r>
      <w:r w:rsidR="005D3B24" w:rsidRPr="00260AD9">
        <w:rPr>
          <w:i/>
          <w:iCs/>
        </w:rPr>
        <w:t>PASC considered the potential for progression/consolidation cycles would need to be justified.</w:t>
      </w:r>
    </w:p>
    <w:p w14:paraId="665B0675" w14:textId="1F9A500E" w:rsidR="007A66C8" w:rsidRPr="00ED4E95" w:rsidRDefault="007A66C8" w:rsidP="007B0205">
      <w:pPr>
        <w:pStyle w:val="Heading3"/>
        <w:jc w:val="both"/>
      </w:pPr>
      <w:r w:rsidRPr="00ED4E95">
        <w:lastRenderedPageBreak/>
        <w:t>Comparator</w:t>
      </w:r>
      <w:r w:rsidR="007D6B83" w:rsidRPr="00ED4E95">
        <w:t>(</w:t>
      </w:r>
      <w:r w:rsidR="008F1532" w:rsidRPr="00ED4E95">
        <w:t>s</w:t>
      </w:r>
      <w:r w:rsidR="007D6B83" w:rsidRPr="00ED4E95">
        <w:t>)</w:t>
      </w:r>
    </w:p>
    <w:p w14:paraId="6C4A7914" w14:textId="69834060" w:rsidR="00AF6F64" w:rsidRPr="00ED4E95" w:rsidRDefault="003E62CB" w:rsidP="007B0205">
      <w:pPr>
        <w:jc w:val="both"/>
        <w:rPr>
          <w:i/>
        </w:rPr>
      </w:pPr>
      <w:r w:rsidRPr="00ED4E95">
        <w:t xml:space="preserve">The application has nominated </w:t>
      </w:r>
      <w:r w:rsidR="00341ED9" w:rsidRPr="00ED4E95">
        <w:t>(p33) alternative active and supportive care strategies</w:t>
      </w:r>
      <w:r w:rsidR="00341ED9" w:rsidRPr="00ED4E95">
        <w:rPr>
          <w:i/>
          <w:iCs/>
        </w:rPr>
        <w:t xml:space="preserve"> </w:t>
      </w:r>
      <w:r w:rsidR="00341ED9" w:rsidRPr="00ED4E95">
        <w:t xml:space="preserve">as the </w:t>
      </w:r>
      <w:r w:rsidRPr="00ED4E95">
        <w:t xml:space="preserve">comparator for </w:t>
      </w:r>
      <w:r w:rsidRPr="00ED4E95">
        <w:rPr>
          <w:vertAlign w:val="superscript"/>
        </w:rPr>
        <w:t>177</w:t>
      </w:r>
      <w:r w:rsidRPr="00ED4E95">
        <w:t>Lu</w:t>
      </w:r>
      <w:r w:rsidR="00BB42C1">
        <w:t>-</w:t>
      </w:r>
      <w:r w:rsidR="001C03D0">
        <w:t>DOTA-octreotate</w:t>
      </w:r>
      <w:r w:rsidR="00341ED9" w:rsidRPr="00ED4E95">
        <w:t>.</w:t>
      </w:r>
      <w:r w:rsidRPr="00ED4E95">
        <w:t xml:space="preserve"> </w:t>
      </w:r>
      <w:r w:rsidR="00341ED9" w:rsidRPr="00ED4E95">
        <w:t xml:space="preserve">The application explains that although the targeted therapies everolimus and sunitinib </w:t>
      </w:r>
      <w:r w:rsidR="00C447FF" w:rsidRPr="00ED4E95">
        <w:t xml:space="preserve">(PBS funded for GEP-NETs and lung-NETs) </w:t>
      </w:r>
      <w:r w:rsidR="00F845E2" w:rsidRPr="00ED4E95">
        <w:t>would be considered</w:t>
      </w:r>
      <w:r w:rsidR="00341ED9" w:rsidRPr="00ED4E95">
        <w:t xml:space="preserve"> the most relevant comparators to </w:t>
      </w:r>
      <w:r w:rsidR="00341ED9" w:rsidRPr="00ED4E95">
        <w:rPr>
          <w:vertAlign w:val="superscript"/>
        </w:rPr>
        <w:t>177</w:t>
      </w:r>
      <w:r w:rsidR="00341ED9" w:rsidRPr="00ED4E95">
        <w:t>Lu</w:t>
      </w:r>
      <w:r w:rsidR="00BB42C1">
        <w:t>-</w:t>
      </w:r>
      <w:r w:rsidR="001C03D0">
        <w:t>DOTA-</w:t>
      </w:r>
      <w:r w:rsidR="00110D5F">
        <w:t xml:space="preserve">octreotate </w:t>
      </w:r>
      <w:r w:rsidR="00341ED9" w:rsidRPr="00ED4E95">
        <w:t>for NET patients who failed 1L SSA therapy, nominating these drugs as ‘appropriate comparators’ would lead to serious misconception about how best treatment outcomes are achieved for patients with advanced NET</w:t>
      </w:r>
      <w:r w:rsidR="00354A52">
        <w:t>s</w:t>
      </w:r>
      <w:r w:rsidR="00341ED9" w:rsidRPr="00ED4E95">
        <w:t xml:space="preserve">. </w:t>
      </w:r>
      <w:r w:rsidR="00F845E2" w:rsidRPr="00ED4E95">
        <w:t xml:space="preserve">In </w:t>
      </w:r>
      <w:r w:rsidR="00C447FF" w:rsidRPr="00ED4E95">
        <w:t>this</w:t>
      </w:r>
      <w:r w:rsidR="00F845E2" w:rsidRPr="00ED4E95">
        <w:t xml:space="preserve"> context the choice between </w:t>
      </w:r>
      <w:r w:rsidR="00F845E2" w:rsidRPr="00ED4E95">
        <w:rPr>
          <w:vertAlign w:val="superscript"/>
        </w:rPr>
        <w:t>177</w:t>
      </w:r>
      <w:r w:rsidR="00F845E2" w:rsidRPr="00ED4E95">
        <w:t>Lu</w:t>
      </w:r>
      <w:r w:rsidR="00BB42C1">
        <w:t>-</w:t>
      </w:r>
      <w:r w:rsidR="001C03D0">
        <w:t>DOTA-</w:t>
      </w:r>
      <w:r w:rsidR="00110D5F">
        <w:t xml:space="preserve">octreotate </w:t>
      </w:r>
      <w:r w:rsidR="00F845E2" w:rsidRPr="00ED4E95">
        <w:t xml:space="preserve">and alternative treatment is more often </w:t>
      </w:r>
      <w:r w:rsidR="006E607B" w:rsidRPr="00ED4E95">
        <w:t xml:space="preserve">a </w:t>
      </w:r>
      <w:r w:rsidR="00F845E2" w:rsidRPr="00ED4E95">
        <w:t xml:space="preserve">sequencing decision rather than binary choice, further highlighting the complexity that comes with the highly heterogeneous nature of advanced NETs and the importance </w:t>
      </w:r>
      <w:r w:rsidR="00F845E2" w:rsidRPr="00442522">
        <w:t xml:space="preserve">of </w:t>
      </w:r>
      <w:r w:rsidR="00084027" w:rsidRPr="004C3B98">
        <w:t>an</w:t>
      </w:r>
      <w:r w:rsidR="00F845E2" w:rsidRPr="004C3B98">
        <w:t xml:space="preserve"> experienced MDT</w:t>
      </w:r>
      <w:r w:rsidR="009D354C" w:rsidRPr="00442522">
        <w:t xml:space="preserve"> </w:t>
      </w:r>
      <w:r w:rsidR="00F845E2" w:rsidRPr="00442522">
        <w:t xml:space="preserve">to guide patient treatment management. Moreover, as </w:t>
      </w:r>
      <w:r w:rsidR="00F845E2" w:rsidRPr="00442522">
        <w:rPr>
          <w:bCs/>
          <w:vertAlign w:val="superscript"/>
        </w:rPr>
        <w:t>177</w:t>
      </w:r>
      <w:r w:rsidR="00F845E2" w:rsidRPr="00442522">
        <w:rPr>
          <w:bCs/>
        </w:rPr>
        <w:t>Lu</w:t>
      </w:r>
      <w:r w:rsidR="00BB42C1">
        <w:rPr>
          <w:bCs/>
        </w:rPr>
        <w:t>-</w:t>
      </w:r>
      <w:r w:rsidR="001C03D0">
        <w:rPr>
          <w:bCs/>
        </w:rPr>
        <w:t>DOTA-</w:t>
      </w:r>
      <w:r w:rsidR="00110D5F">
        <w:rPr>
          <w:bCs/>
        </w:rPr>
        <w:t xml:space="preserve">octreotate </w:t>
      </w:r>
      <w:r w:rsidR="00F845E2" w:rsidRPr="00ED4E95">
        <w:t>treatment and “appropriate comparators” are very often used in sequence in patients with NET</w:t>
      </w:r>
      <w:r w:rsidR="00354A52">
        <w:t>s</w:t>
      </w:r>
      <w:r w:rsidR="00F845E2" w:rsidRPr="00ED4E95">
        <w:t xml:space="preserve"> the healthcare resource utilisation in properly evaluated patients is </w:t>
      </w:r>
      <w:bookmarkStart w:id="42" w:name="_Int_SUrU6kZy"/>
      <w:r w:rsidR="00F845E2" w:rsidRPr="00ED4E95">
        <w:t>largely similar</w:t>
      </w:r>
      <w:bookmarkEnd w:id="42"/>
      <w:r w:rsidR="00F845E2" w:rsidRPr="00ED4E95">
        <w:t>.</w:t>
      </w:r>
      <w:r w:rsidR="00AF6F64" w:rsidRPr="00ED4E95">
        <w:rPr>
          <w:i/>
          <w:iCs/>
        </w:rPr>
        <w:t xml:space="preserve"> </w:t>
      </w:r>
    </w:p>
    <w:p w14:paraId="4273DE5C" w14:textId="51A7BB16" w:rsidR="00F845E2" w:rsidRPr="00922B1C" w:rsidRDefault="003F6F41" w:rsidP="007B0205">
      <w:pPr>
        <w:jc w:val="both"/>
      </w:pPr>
      <w:r w:rsidRPr="00922B1C">
        <w:t>In discussion</w:t>
      </w:r>
      <w:r w:rsidR="00444B03" w:rsidRPr="00922B1C">
        <w:t>s</w:t>
      </w:r>
      <w:r w:rsidRPr="00922B1C">
        <w:t xml:space="preserve"> with </w:t>
      </w:r>
      <w:r w:rsidR="00084027" w:rsidRPr="00922B1C">
        <w:t>the</w:t>
      </w:r>
      <w:r w:rsidRPr="00922B1C">
        <w:t xml:space="preserve"> </w:t>
      </w:r>
      <w:r w:rsidR="00444B03" w:rsidRPr="00922B1C">
        <w:t>applicant</w:t>
      </w:r>
      <w:r w:rsidR="00AF6F64" w:rsidRPr="00922B1C">
        <w:t xml:space="preserve">, </w:t>
      </w:r>
      <w:r w:rsidR="000A3770" w:rsidRPr="00922B1C">
        <w:t xml:space="preserve">the applicant’s </w:t>
      </w:r>
      <w:r w:rsidR="00AF6F64" w:rsidRPr="00922B1C">
        <w:t xml:space="preserve">clinical expert emphasised that </w:t>
      </w:r>
      <w:bookmarkStart w:id="43" w:name="_Int_ULIwzbkO"/>
      <w:r w:rsidR="00AF6F64" w:rsidRPr="00922B1C">
        <w:t>virtually all</w:t>
      </w:r>
      <w:bookmarkEnd w:id="43"/>
      <w:r w:rsidR="00AF6F64" w:rsidRPr="00922B1C">
        <w:t xml:space="preserve"> patients with advanced NET die from their disease or complications. Therefore, the majority of patients will receive all treatments that have shown efficacy in their </w:t>
      </w:r>
      <w:bookmarkStart w:id="44" w:name="_Int_fJi9gBEw"/>
      <w:r w:rsidR="00AF6F64" w:rsidRPr="00922B1C">
        <w:t>particular tumour</w:t>
      </w:r>
      <w:bookmarkEnd w:id="44"/>
      <w:r w:rsidR="00AF6F64" w:rsidRPr="00922B1C">
        <w:t xml:space="preserve"> type, extent, grade, and symptomatic status with the recommended sequencing of the interventions highly dependent on clinical experience</w:t>
      </w:r>
      <w:r w:rsidR="00EF7B41" w:rsidRPr="00922B1C">
        <w:t>,</w:t>
      </w:r>
      <w:r w:rsidR="00AF6F64" w:rsidRPr="00922B1C">
        <w:t xml:space="preserve"> given a lack </w:t>
      </w:r>
      <w:r w:rsidR="00EF7B41" w:rsidRPr="00922B1C">
        <w:t xml:space="preserve">of </w:t>
      </w:r>
      <w:r w:rsidR="00AF6F64" w:rsidRPr="00922B1C">
        <w:t>direct RCT evidence of many potential comparators.</w:t>
      </w:r>
    </w:p>
    <w:p w14:paraId="7814997C" w14:textId="2AC12E15" w:rsidR="00D45195" w:rsidRPr="00ED4E95" w:rsidRDefault="00F845E2" w:rsidP="007B0205">
      <w:pPr>
        <w:jc w:val="both"/>
      </w:pPr>
      <w:r w:rsidRPr="00ED4E95">
        <w:t xml:space="preserve">The application proposes </w:t>
      </w:r>
      <w:r w:rsidR="005C7417" w:rsidRPr="00ED4E95">
        <w:rPr>
          <w:vertAlign w:val="superscript"/>
        </w:rPr>
        <w:t>177</w:t>
      </w:r>
      <w:r w:rsidR="005C7417" w:rsidRPr="00ED4E95">
        <w:t>Lu</w:t>
      </w:r>
      <w:r w:rsidR="00BB42C1">
        <w:t>-</w:t>
      </w:r>
      <w:r w:rsidR="001C03D0">
        <w:t xml:space="preserve">DOTA-octreotate </w:t>
      </w:r>
      <w:r w:rsidR="00341ED9" w:rsidRPr="00ED4E95">
        <w:t>as an add-on therapy rather than replacement of comparator management strategies</w:t>
      </w:r>
      <w:r w:rsidR="00403ECC" w:rsidRPr="00ED4E95">
        <w:t xml:space="preserve">, </w:t>
      </w:r>
      <w:r w:rsidR="001C2F5C" w:rsidRPr="00ED4E95">
        <w:t xml:space="preserve">hence </w:t>
      </w:r>
      <w:r w:rsidR="00403ECC" w:rsidRPr="00ED4E95">
        <w:t>the more reasonable comparator would be ‘alternative active and supportive care strategies’.</w:t>
      </w:r>
      <w:r w:rsidR="00D45195" w:rsidRPr="00ED4E95">
        <w:t xml:space="preserve"> </w:t>
      </w:r>
    </w:p>
    <w:p w14:paraId="44EED19A" w14:textId="501169C4" w:rsidR="00725D18" w:rsidRPr="00354A52" w:rsidRDefault="00D45195" w:rsidP="007B0205">
      <w:pPr>
        <w:jc w:val="both"/>
        <w:rPr>
          <w:i/>
          <w:iCs/>
        </w:rPr>
      </w:pPr>
      <w:r w:rsidRPr="00922B1C">
        <w:t xml:space="preserve">This </w:t>
      </w:r>
      <w:r w:rsidR="00F6654D" w:rsidRPr="00922B1C">
        <w:t xml:space="preserve">is potentially </w:t>
      </w:r>
      <w:r w:rsidRPr="00922B1C">
        <w:t>supported by t</w:t>
      </w:r>
      <w:r w:rsidR="00F654C9" w:rsidRPr="00922B1C">
        <w:t>he NETTER-1 trial</w:t>
      </w:r>
      <w:r w:rsidR="005F56F5" w:rsidRPr="00922B1C">
        <w:t xml:space="preserve"> (Strosberg 2017)</w:t>
      </w:r>
      <w:r w:rsidR="0097782B" w:rsidRPr="00922B1C">
        <w:t xml:space="preserve"> </w:t>
      </w:r>
      <w:r w:rsidRPr="00922B1C">
        <w:t>which provides</w:t>
      </w:r>
      <w:r w:rsidR="00F654C9" w:rsidRPr="00922B1C">
        <w:t xml:space="preserve"> a comparison of </w:t>
      </w:r>
      <w:r w:rsidR="00F654C9" w:rsidRPr="00922B1C">
        <w:rPr>
          <w:vertAlign w:val="superscript"/>
        </w:rPr>
        <w:t>177</w:t>
      </w:r>
      <w:r w:rsidR="00F654C9" w:rsidRPr="00922B1C">
        <w:t>Lu</w:t>
      </w:r>
      <w:r w:rsidR="008432DB" w:rsidRPr="00922B1C">
        <w:t>-D</w:t>
      </w:r>
      <w:r w:rsidR="000A3770" w:rsidRPr="00922B1C">
        <w:t xml:space="preserve">otatate </w:t>
      </w:r>
      <w:r w:rsidR="00F654C9" w:rsidRPr="00922B1C">
        <w:t xml:space="preserve">plus </w:t>
      </w:r>
      <w:r w:rsidRPr="00922B1C">
        <w:t>supportive care (</w:t>
      </w:r>
      <w:r w:rsidR="00EC713E" w:rsidRPr="00922B1C">
        <w:t xml:space="preserve">LAR </w:t>
      </w:r>
      <w:r w:rsidR="00F654C9" w:rsidRPr="00922B1C">
        <w:t xml:space="preserve">octreotide </w:t>
      </w:r>
      <w:r w:rsidR="00EC713E" w:rsidRPr="00922B1C">
        <w:t>20/</w:t>
      </w:r>
      <w:r w:rsidR="00F654C9" w:rsidRPr="00922B1C">
        <w:t>30 mg</w:t>
      </w:r>
      <w:r w:rsidRPr="00922B1C">
        <w:t>)</w:t>
      </w:r>
      <w:r w:rsidR="00F654C9" w:rsidRPr="00922B1C">
        <w:t xml:space="preserve"> with high-dose</w:t>
      </w:r>
      <w:r w:rsidR="00EC713E" w:rsidRPr="00922B1C">
        <w:t xml:space="preserve"> (60mg) LAR</w:t>
      </w:r>
      <w:r w:rsidR="00F654C9" w:rsidRPr="00922B1C">
        <w:t xml:space="preserve"> octreotide in patients with progressive advance</w:t>
      </w:r>
      <w:r w:rsidR="001064CA">
        <w:t>d</w:t>
      </w:r>
      <w:r w:rsidR="00EC713E" w:rsidRPr="00922B1C">
        <w:t xml:space="preserve"> or </w:t>
      </w:r>
      <w:r w:rsidR="00F654C9" w:rsidRPr="00922B1C">
        <w:t>metastatic SSTR-positive midgut NETs</w:t>
      </w:r>
      <w:r w:rsidR="00CA6B28" w:rsidRPr="00922B1C">
        <w:t xml:space="preserve"> who are receiving fixed dose 20 or 30 mg octreotide LAR at least 12 weeks prior to receiving the intervention</w:t>
      </w:r>
      <w:r w:rsidRPr="00922B1C">
        <w:t>.</w:t>
      </w:r>
      <w:r w:rsidR="004452A2" w:rsidRPr="00922B1C">
        <w:t xml:space="preserve"> </w:t>
      </w:r>
      <w:r w:rsidR="00AF6F64" w:rsidRPr="00922B1C">
        <w:t xml:space="preserve">However, as mentioned earlier, the applicant noted that LAR octreotide use is considered on a case-by-case basis </w:t>
      </w:r>
      <w:r w:rsidR="00F9519C" w:rsidRPr="00922B1C">
        <w:t xml:space="preserve">and is </w:t>
      </w:r>
      <w:r w:rsidR="00AF6F64" w:rsidRPr="00922B1C">
        <w:t>not entirely reflective of standard supportive care, especially for other NET types.</w:t>
      </w:r>
      <w:r w:rsidR="009D354C">
        <w:t xml:space="preserve"> </w:t>
      </w:r>
      <w:r w:rsidR="00281B5B" w:rsidRPr="00E35BCA">
        <w:t>The</w:t>
      </w:r>
      <w:r w:rsidR="009D354C" w:rsidRPr="00E35BCA">
        <w:t xml:space="preserve"> Lutat</w:t>
      </w:r>
      <w:r w:rsidR="00E753AE" w:rsidRPr="00E35BCA">
        <w:t>h</w:t>
      </w:r>
      <w:r w:rsidR="009D354C" w:rsidRPr="00E35BCA">
        <w:t>era</w:t>
      </w:r>
      <w:r w:rsidR="001064CA" w:rsidRPr="00E35BCA">
        <w:rPr>
          <w:rFonts w:cs="Calibri"/>
        </w:rPr>
        <w:t>®</w:t>
      </w:r>
      <w:r w:rsidR="009D354C" w:rsidRPr="00E35BCA">
        <w:t xml:space="preserve"> Product Information </w:t>
      </w:r>
      <w:r w:rsidR="001064CA" w:rsidRPr="00E35BCA">
        <w:t xml:space="preserve">(FDA) </w:t>
      </w:r>
      <w:r w:rsidR="009D354C" w:rsidRPr="00E35BCA">
        <w:t xml:space="preserve">follows the regimen of the NETTER-1 trial, </w:t>
      </w:r>
      <w:r w:rsidR="00281B5B" w:rsidRPr="00E35BCA">
        <w:t xml:space="preserve">prescribing octreotide therapy alongside PRRT. However, </w:t>
      </w:r>
      <w:r w:rsidR="009D354C" w:rsidRPr="00E35BCA">
        <w:t>octreotide is a life-long hormone treatment for patients with NETs and therefore is not considered a co-administered product with PRRT.</w:t>
      </w:r>
    </w:p>
    <w:p w14:paraId="55E76CDB" w14:textId="526B8E44" w:rsidR="00D45195" w:rsidRPr="00922B1C" w:rsidRDefault="00D45195" w:rsidP="007B0205">
      <w:pPr>
        <w:jc w:val="both"/>
      </w:pPr>
      <w:r w:rsidRPr="00922B1C">
        <w:t xml:space="preserve">There is currently no evidence that compares </w:t>
      </w:r>
      <w:r w:rsidRPr="00922B1C">
        <w:rPr>
          <w:vertAlign w:val="superscript"/>
        </w:rPr>
        <w:t>177</w:t>
      </w:r>
      <w:r w:rsidRPr="00922B1C">
        <w:t>Lu</w:t>
      </w:r>
      <w:r w:rsidR="00BB42C1">
        <w:t>-</w:t>
      </w:r>
      <w:r w:rsidR="001C03D0">
        <w:t xml:space="preserve">DOTA-octreotate </w:t>
      </w:r>
      <w:r w:rsidRPr="00922B1C">
        <w:t xml:space="preserve">with everolimus or sunitinib to support the sequencing of </w:t>
      </w:r>
      <w:r w:rsidRPr="00922B1C">
        <w:rPr>
          <w:vertAlign w:val="superscript"/>
        </w:rPr>
        <w:t>177</w:t>
      </w:r>
      <w:r w:rsidRPr="00922B1C">
        <w:t>Lu</w:t>
      </w:r>
      <w:r w:rsidR="00BB42C1">
        <w:t>-</w:t>
      </w:r>
      <w:r w:rsidR="001C03D0">
        <w:t>DOTA-</w:t>
      </w:r>
      <w:r w:rsidR="00110D5F">
        <w:t xml:space="preserve">octreotate </w:t>
      </w:r>
      <w:r w:rsidRPr="00922B1C">
        <w:t>in patients eligible and deemed appropriate to receive these treatments</w:t>
      </w:r>
      <w:r w:rsidR="00323557" w:rsidRPr="00922B1C">
        <w:t xml:space="preserve"> options</w:t>
      </w:r>
      <w:r w:rsidRPr="00922B1C">
        <w:t>. Two relevant ongoing RCTs include:</w:t>
      </w:r>
    </w:p>
    <w:p w14:paraId="2A47E321" w14:textId="04B65810" w:rsidR="00D45195" w:rsidRPr="00922B1C" w:rsidRDefault="00D45195" w:rsidP="007B0205">
      <w:pPr>
        <w:pStyle w:val="ListParagraph"/>
        <w:numPr>
          <w:ilvl w:val="0"/>
          <w:numId w:val="3"/>
        </w:numPr>
        <w:ind w:left="360"/>
      </w:pPr>
      <w:r w:rsidRPr="00922B1C">
        <w:t xml:space="preserve">NCT02230176: Antitumor Efficacy of Peptide Receptor Radionuclide Therapy With </w:t>
      </w:r>
      <w:r w:rsidRPr="00922B1C">
        <w:rPr>
          <w:vertAlign w:val="superscript"/>
        </w:rPr>
        <w:t>177</w:t>
      </w:r>
      <w:r w:rsidRPr="00922B1C">
        <w:t>Lutetium -Octreotate Randomized</w:t>
      </w:r>
      <w:r w:rsidR="000B6C1B">
        <w:t xml:space="preserve"> </w:t>
      </w:r>
      <w:r w:rsidRPr="00922B1C">
        <w:t>vs Sunitinib in Unresectable Progressive Well</w:t>
      </w:r>
      <w:r w:rsidR="000B6C1B">
        <w:t xml:space="preserve"> </w:t>
      </w:r>
      <w:r w:rsidR="00F9519C" w:rsidRPr="00922B1C">
        <w:t>Differentiated</w:t>
      </w:r>
      <w:r w:rsidRPr="00922B1C">
        <w:t xml:space="preserve"> Neuroendocrine Pancreatic Tumour: First Randomized Phase II (expected completion date October 2023). </w:t>
      </w:r>
    </w:p>
    <w:p w14:paraId="22E12D1A" w14:textId="6FE4850B" w:rsidR="00D45195" w:rsidRPr="00922B1C" w:rsidRDefault="00D45195" w:rsidP="007B0205">
      <w:pPr>
        <w:pStyle w:val="ListParagraph"/>
        <w:numPr>
          <w:ilvl w:val="0"/>
          <w:numId w:val="3"/>
        </w:numPr>
        <w:ind w:left="360"/>
      </w:pPr>
      <w:r w:rsidRPr="00922B1C">
        <w:t>NCT04665739: Randomized Phase II Trial of Lutetium Lu-177-Dotatate Versus Everolimus in Somatostatin Receptor Positive Bronchial Neuroendocrine Tumors (expected completion date July 2024)</w:t>
      </w:r>
      <w:r w:rsidR="00A87381" w:rsidRPr="00922B1C">
        <w:t>.</w:t>
      </w:r>
    </w:p>
    <w:p w14:paraId="2CD0F853" w14:textId="363B1CA3" w:rsidR="00444B03" w:rsidRPr="00922B1C" w:rsidRDefault="00BB42C1" w:rsidP="000B6C1B">
      <w:pPr>
        <w:keepNext/>
        <w:jc w:val="both"/>
      </w:pPr>
      <w:r w:rsidRPr="00922B1C">
        <w:lastRenderedPageBreak/>
        <w:t>The following was presented to provide a</w:t>
      </w:r>
      <w:r w:rsidR="00444B03" w:rsidRPr="00922B1C">
        <w:t xml:space="preserve"> representation of the </w:t>
      </w:r>
      <w:r w:rsidR="00755AB3" w:rsidRPr="00922B1C">
        <w:t>potentially</w:t>
      </w:r>
      <w:r w:rsidRPr="00922B1C">
        <w:t xml:space="preserve"> </w:t>
      </w:r>
      <w:r w:rsidR="00444B03" w:rsidRPr="00922B1C">
        <w:t>relevant comparators for each component of the proposed tests and the intervention</w:t>
      </w:r>
      <w:r w:rsidR="00A83716">
        <w:t xml:space="preserve">, </w:t>
      </w:r>
      <w:r w:rsidR="00A83716">
        <w:rPr>
          <w:i/>
          <w:iCs/>
        </w:rPr>
        <w:t>as considered by PASC at the April 2023 meeting</w:t>
      </w:r>
      <w:r w:rsidR="00444B03" w:rsidRPr="00922B1C">
        <w:t>:</w:t>
      </w:r>
    </w:p>
    <w:tbl>
      <w:tblPr>
        <w:tblStyle w:val="TableGrid"/>
        <w:tblW w:w="0" w:type="auto"/>
        <w:tblInd w:w="-5" w:type="dxa"/>
        <w:tblLook w:val="04A0" w:firstRow="1" w:lastRow="0" w:firstColumn="1" w:lastColumn="0" w:noHBand="0" w:noVBand="1"/>
      </w:tblPr>
      <w:tblGrid>
        <w:gridCol w:w="3686"/>
        <w:gridCol w:w="5812"/>
      </w:tblGrid>
      <w:tr w:rsidR="00316475" w:rsidRPr="00BB42C1" w14:paraId="10B9B8FE" w14:textId="77777777" w:rsidTr="00A0561F">
        <w:tc>
          <w:tcPr>
            <w:tcW w:w="3686" w:type="dxa"/>
            <w:tcBorders>
              <w:top w:val="single" w:sz="4" w:space="0" w:color="auto"/>
              <w:left w:val="single" w:sz="4" w:space="0" w:color="auto"/>
              <w:bottom w:val="single" w:sz="4" w:space="0" w:color="auto"/>
              <w:right w:val="single" w:sz="4" w:space="0" w:color="auto"/>
            </w:tcBorders>
            <w:hideMark/>
          </w:tcPr>
          <w:p w14:paraId="365A2181" w14:textId="77777777" w:rsidR="00444B03" w:rsidRPr="00922B1C" w:rsidRDefault="00444B03" w:rsidP="00313C03">
            <w:pPr>
              <w:pStyle w:val="ListParagraph"/>
              <w:keepNext/>
              <w:autoSpaceDE w:val="0"/>
              <w:autoSpaceDN w:val="0"/>
              <w:adjustRightInd w:val="0"/>
              <w:spacing w:before="40" w:after="40" w:line="23" w:lineRule="atLeast"/>
              <w:ind w:left="0"/>
              <w:jc w:val="center"/>
              <w:rPr>
                <w:rFonts w:asciiTheme="minorHAnsi" w:hAnsiTheme="minorHAnsi" w:cstheme="minorHAnsi"/>
                <w:b/>
                <w:bCs/>
                <w:sz w:val="22"/>
              </w:rPr>
            </w:pPr>
            <w:r w:rsidRPr="00922B1C">
              <w:rPr>
                <w:rFonts w:asciiTheme="minorHAnsi" w:hAnsiTheme="minorHAnsi" w:cstheme="minorHAnsi"/>
                <w:b/>
                <w:bCs/>
                <w:sz w:val="22"/>
              </w:rPr>
              <w:t>Component</w:t>
            </w:r>
          </w:p>
        </w:tc>
        <w:tc>
          <w:tcPr>
            <w:tcW w:w="5812" w:type="dxa"/>
            <w:tcBorders>
              <w:top w:val="single" w:sz="4" w:space="0" w:color="auto"/>
              <w:left w:val="single" w:sz="4" w:space="0" w:color="auto"/>
              <w:bottom w:val="single" w:sz="4" w:space="0" w:color="auto"/>
              <w:right w:val="single" w:sz="4" w:space="0" w:color="auto"/>
            </w:tcBorders>
            <w:hideMark/>
          </w:tcPr>
          <w:p w14:paraId="3AC41DD8" w14:textId="0D7797CB" w:rsidR="00444B03" w:rsidRPr="00922B1C" w:rsidRDefault="00444B03" w:rsidP="00313C03">
            <w:pPr>
              <w:pStyle w:val="ListParagraph"/>
              <w:keepNext/>
              <w:autoSpaceDE w:val="0"/>
              <w:autoSpaceDN w:val="0"/>
              <w:adjustRightInd w:val="0"/>
              <w:spacing w:before="40" w:after="40" w:line="23" w:lineRule="atLeast"/>
              <w:ind w:left="0"/>
              <w:jc w:val="center"/>
              <w:rPr>
                <w:rFonts w:asciiTheme="minorHAnsi" w:hAnsiTheme="minorHAnsi" w:cstheme="minorHAnsi"/>
                <w:b/>
                <w:bCs/>
                <w:sz w:val="22"/>
              </w:rPr>
            </w:pPr>
            <w:r w:rsidRPr="00922B1C">
              <w:rPr>
                <w:rFonts w:asciiTheme="minorHAnsi" w:hAnsiTheme="minorHAnsi" w:cstheme="minorHAnsi"/>
                <w:b/>
                <w:bCs/>
                <w:sz w:val="22"/>
              </w:rPr>
              <w:t>Comparison</w:t>
            </w:r>
          </w:p>
        </w:tc>
      </w:tr>
      <w:tr w:rsidR="00316475" w:rsidRPr="00BB42C1" w14:paraId="5E64873C" w14:textId="77777777" w:rsidTr="00A0561F">
        <w:tc>
          <w:tcPr>
            <w:tcW w:w="3686" w:type="dxa"/>
            <w:tcBorders>
              <w:top w:val="single" w:sz="4" w:space="0" w:color="auto"/>
              <w:left w:val="single" w:sz="4" w:space="0" w:color="auto"/>
              <w:bottom w:val="single" w:sz="4" w:space="0" w:color="auto"/>
              <w:right w:val="single" w:sz="4" w:space="0" w:color="auto"/>
            </w:tcBorders>
            <w:hideMark/>
          </w:tcPr>
          <w:p w14:paraId="3FFAB3BA" w14:textId="3C091157" w:rsidR="00444B03" w:rsidRPr="00922B1C" w:rsidRDefault="00444B03" w:rsidP="007B0205">
            <w:pPr>
              <w:pStyle w:val="ListParagraph"/>
              <w:keepNext/>
              <w:autoSpaceDE w:val="0"/>
              <w:autoSpaceDN w:val="0"/>
              <w:adjustRightInd w:val="0"/>
              <w:spacing w:before="40" w:after="40" w:line="23" w:lineRule="atLeast"/>
              <w:ind w:left="0"/>
              <w:jc w:val="both"/>
              <w:rPr>
                <w:rFonts w:asciiTheme="minorHAnsi" w:hAnsiTheme="minorHAnsi" w:cstheme="minorHAnsi"/>
                <w:sz w:val="22"/>
              </w:rPr>
            </w:pPr>
            <w:r w:rsidRPr="00922B1C">
              <w:rPr>
                <w:rFonts w:asciiTheme="minorHAnsi" w:hAnsiTheme="minorHAnsi" w:cstheme="minorHAnsi"/>
                <w:sz w:val="22"/>
                <w:vertAlign w:val="superscript"/>
              </w:rPr>
              <w:t>68</w:t>
            </w:r>
            <w:r w:rsidRPr="00922B1C">
              <w:rPr>
                <w:rFonts w:asciiTheme="minorHAnsi" w:hAnsiTheme="minorHAnsi" w:cstheme="minorHAnsi"/>
                <w:sz w:val="22"/>
              </w:rPr>
              <w:t>Ga</w:t>
            </w:r>
            <w:r w:rsidR="00BB42C1" w:rsidRPr="00922B1C">
              <w:rPr>
                <w:rFonts w:asciiTheme="minorHAnsi" w:hAnsiTheme="minorHAnsi" w:cstheme="minorHAnsi"/>
                <w:sz w:val="22"/>
              </w:rPr>
              <w:t>-</w:t>
            </w:r>
            <w:r w:rsidR="001C03D0">
              <w:rPr>
                <w:rFonts w:asciiTheme="minorHAnsi" w:hAnsiTheme="minorHAnsi" w:cstheme="minorHAnsi"/>
                <w:sz w:val="22"/>
              </w:rPr>
              <w:t>DOTA-</w:t>
            </w:r>
            <w:r w:rsidR="00110D5F">
              <w:rPr>
                <w:rFonts w:asciiTheme="minorHAnsi" w:hAnsiTheme="minorHAnsi" w:cstheme="minorHAnsi"/>
                <w:sz w:val="22"/>
              </w:rPr>
              <w:t xml:space="preserve">octreotate </w:t>
            </w:r>
            <w:r w:rsidRPr="00922B1C">
              <w:rPr>
                <w:rFonts w:asciiTheme="minorHAnsi" w:hAnsiTheme="minorHAnsi" w:cstheme="minorHAnsi"/>
                <w:sz w:val="22"/>
              </w:rPr>
              <w:t>PET/CT</w:t>
            </w:r>
          </w:p>
        </w:tc>
        <w:tc>
          <w:tcPr>
            <w:tcW w:w="5812" w:type="dxa"/>
            <w:tcBorders>
              <w:top w:val="single" w:sz="4" w:space="0" w:color="auto"/>
              <w:left w:val="single" w:sz="4" w:space="0" w:color="auto"/>
              <w:bottom w:val="single" w:sz="4" w:space="0" w:color="auto"/>
              <w:right w:val="single" w:sz="4" w:space="0" w:color="auto"/>
            </w:tcBorders>
            <w:hideMark/>
          </w:tcPr>
          <w:p w14:paraId="62D9F3A2" w14:textId="4D89C69B" w:rsidR="00444B03" w:rsidRPr="00922B1C" w:rsidRDefault="00444B03" w:rsidP="007B0205">
            <w:pPr>
              <w:keepNext/>
              <w:autoSpaceDE w:val="0"/>
              <w:autoSpaceDN w:val="0"/>
              <w:adjustRightInd w:val="0"/>
              <w:spacing w:before="40" w:after="40" w:line="23" w:lineRule="atLeast"/>
              <w:jc w:val="both"/>
              <w:rPr>
                <w:rFonts w:asciiTheme="minorHAnsi" w:hAnsiTheme="minorHAnsi" w:cstheme="minorHAnsi"/>
                <w:sz w:val="22"/>
              </w:rPr>
            </w:pPr>
            <w:r w:rsidRPr="00922B1C">
              <w:rPr>
                <w:rFonts w:asciiTheme="minorHAnsi" w:hAnsiTheme="minorHAnsi" w:cstheme="minorHAnsi"/>
                <w:sz w:val="22"/>
              </w:rPr>
              <w:t xml:space="preserve">No </w:t>
            </w:r>
            <w:r w:rsidRPr="00922B1C">
              <w:rPr>
                <w:rFonts w:asciiTheme="minorHAnsi" w:hAnsiTheme="minorHAnsi" w:cstheme="minorHAnsi"/>
                <w:sz w:val="22"/>
                <w:vertAlign w:val="superscript"/>
              </w:rPr>
              <w:t>68</w:t>
            </w:r>
            <w:r w:rsidRPr="00922B1C">
              <w:rPr>
                <w:rFonts w:asciiTheme="minorHAnsi" w:hAnsiTheme="minorHAnsi" w:cstheme="minorHAnsi"/>
                <w:sz w:val="22"/>
              </w:rPr>
              <w:t>Ga</w:t>
            </w:r>
            <w:r w:rsidR="00BB42C1" w:rsidRPr="00922B1C">
              <w:rPr>
                <w:rFonts w:asciiTheme="minorHAnsi" w:hAnsiTheme="minorHAnsi" w:cstheme="minorHAnsi"/>
                <w:sz w:val="22"/>
              </w:rPr>
              <w:t>-</w:t>
            </w:r>
            <w:r w:rsidR="001C03D0">
              <w:rPr>
                <w:rFonts w:asciiTheme="minorHAnsi" w:hAnsiTheme="minorHAnsi" w:cstheme="minorHAnsi"/>
                <w:sz w:val="22"/>
              </w:rPr>
              <w:t>DOTA-</w:t>
            </w:r>
            <w:r w:rsidR="00110D5F">
              <w:rPr>
                <w:rFonts w:asciiTheme="minorHAnsi" w:hAnsiTheme="minorHAnsi" w:cstheme="minorHAnsi"/>
                <w:sz w:val="22"/>
              </w:rPr>
              <w:t xml:space="preserve">octreotate </w:t>
            </w:r>
            <w:r w:rsidRPr="00922B1C">
              <w:rPr>
                <w:rFonts w:asciiTheme="minorHAnsi" w:hAnsiTheme="minorHAnsi" w:cstheme="minorHAnsi"/>
                <w:sz w:val="22"/>
              </w:rPr>
              <w:t>PET/CT</w:t>
            </w:r>
          </w:p>
        </w:tc>
      </w:tr>
      <w:tr w:rsidR="00316475" w:rsidRPr="00BB42C1" w14:paraId="4E886F6C" w14:textId="77777777" w:rsidTr="00A0561F">
        <w:tc>
          <w:tcPr>
            <w:tcW w:w="3686" w:type="dxa"/>
            <w:tcBorders>
              <w:top w:val="single" w:sz="4" w:space="0" w:color="auto"/>
              <w:left w:val="single" w:sz="4" w:space="0" w:color="auto"/>
              <w:bottom w:val="single" w:sz="4" w:space="0" w:color="auto"/>
              <w:right w:val="single" w:sz="4" w:space="0" w:color="auto"/>
            </w:tcBorders>
            <w:hideMark/>
          </w:tcPr>
          <w:p w14:paraId="51A4EC87" w14:textId="77777777" w:rsidR="00444B03" w:rsidRPr="00922B1C" w:rsidRDefault="00444B03" w:rsidP="007B0205">
            <w:pPr>
              <w:pStyle w:val="ListParagraph"/>
              <w:keepNext/>
              <w:autoSpaceDE w:val="0"/>
              <w:autoSpaceDN w:val="0"/>
              <w:adjustRightInd w:val="0"/>
              <w:spacing w:before="40" w:after="40" w:line="23" w:lineRule="atLeast"/>
              <w:ind w:left="0"/>
              <w:jc w:val="both"/>
              <w:rPr>
                <w:rFonts w:asciiTheme="minorHAnsi" w:hAnsiTheme="minorHAnsi" w:cstheme="minorHAnsi"/>
                <w:sz w:val="22"/>
              </w:rPr>
            </w:pPr>
            <w:r w:rsidRPr="00922B1C">
              <w:rPr>
                <w:rFonts w:asciiTheme="minorHAnsi" w:hAnsiTheme="minorHAnsi" w:cstheme="minorHAnsi"/>
                <w:sz w:val="22"/>
              </w:rPr>
              <w:t>FDG PET/CT</w:t>
            </w:r>
          </w:p>
        </w:tc>
        <w:tc>
          <w:tcPr>
            <w:tcW w:w="5812" w:type="dxa"/>
            <w:tcBorders>
              <w:top w:val="single" w:sz="4" w:space="0" w:color="auto"/>
              <w:left w:val="single" w:sz="4" w:space="0" w:color="auto"/>
              <w:bottom w:val="single" w:sz="4" w:space="0" w:color="auto"/>
              <w:right w:val="single" w:sz="4" w:space="0" w:color="auto"/>
            </w:tcBorders>
            <w:hideMark/>
          </w:tcPr>
          <w:p w14:paraId="3F12C7D1" w14:textId="3002ED0E" w:rsidR="00444B03" w:rsidRPr="00922B1C" w:rsidRDefault="00444B03" w:rsidP="007B0205">
            <w:pPr>
              <w:pStyle w:val="ListParagraph"/>
              <w:keepNext/>
              <w:autoSpaceDE w:val="0"/>
              <w:autoSpaceDN w:val="0"/>
              <w:adjustRightInd w:val="0"/>
              <w:spacing w:before="40" w:after="40" w:line="23" w:lineRule="atLeast"/>
              <w:ind w:left="0"/>
              <w:jc w:val="both"/>
              <w:rPr>
                <w:rFonts w:asciiTheme="minorHAnsi" w:hAnsiTheme="minorHAnsi" w:cstheme="minorHAnsi"/>
                <w:sz w:val="22"/>
              </w:rPr>
            </w:pPr>
            <w:r w:rsidRPr="00922B1C">
              <w:rPr>
                <w:rFonts w:asciiTheme="minorHAnsi" w:hAnsiTheme="minorHAnsi" w:cstheme="minorHAnsi"/>
                <w:sz w:val="22"/>
              </w:rPr>
              <w:t xml:space="preserve">No FDG PET/CT </w:t>
            </w:r>
          </w:p>
        </w:tc>
      </w:tr>
      <w:tr w:rsidR="000923DF" w:rsidRPr="00BB42C1" w14:paraId="1068A25E" w14:textId="77777777" w:rsidTr="00A0561F">
        <w:tc>
          <w:tcPr>
            <w:tcW w:w="3686" w:type="dxa"/>
            <w:tcBorders>
              <w:top w:val="single" w:sz="4" w:space="0" w:color="auto"/>
              <w:left w:val="single" w:sz="4" w:space="0" w:color="auto"/>
              <w:bottom w:val="single" w:sz="4" w:space="0" w:color="auto"/>
              <w:right w:val="single" w:sz="4" w:space="0" w:color="auto"/>
            </w:tcBorders>
            <w:vAlign w:val="center"/>
          </w:tcPr>
          <w:p w14:paraId="5A5357D8" w14:textId="033DA019" w:rsidR="00444B03" w:rsidRPr="00922B1C" w:rsidRDefault="00444B03" w:rsidP="007B0205">
            <w:pPr>
              <w:pStyle w:val="ListParagraph"/>
              <w:keepNext/>
              <w:autoSpaceDE w:val="0"/>
              <w:autoSpaceDN w:val="0"/>
              <w:adjustRightInd w:val="0"/>
              <w:spacing w:before="40" w:after="40" w:line="23" w:lineRule="atLeast"/>
              <w:ind w:left="0"/>
              <w:jc w:val="both"/>
              <w:rPr>
                <w:rFonts w:asciiTheme="minorHAnsi" w:hAnsiTheme="minorHAnsi" w:cstheme="minorHAnsi"/>
                <w:sz w:val="22"/>
              </w:rPr>
            </w:pPr>
            <w:r w:rsidRPr="00922B1C">
              <w:rPr>
                <w:rFonts w:asciiTheme="minorHAnsi" w:hAnsiTheme="minorHAnsi" w:cstheme="minorHAnsi"/>
                <w:sz w:val="22"/>
                <w:vertAlign w:val="superscript"/>
              </w:rPr>
              <w:t>177</w:t>
            </w:r>
            <w:r w:rsidRPr="00922B1C">
              <w:rPr>
                <w:rFonts w:asciiTheme="minorHAnsi" w:hAnsiTheme="minorHAnsi" w:cstheme="minorHAnsi"/>
                <w:sz w:val="22"/>
              </w:rPr>
              <w:t>Lu</w:t>
            </w:r>
            <w:r w:rsidR="00BB42C1">
              <w:rPr>
                <w:rFonts w:asciiTheme="minorHAnsi" w:hAnsiTheme="minorHAnsi" w:cstheme="minorHAnsi"/>
                <w:sz w:val="22"/>
              </w:rPr>
              <w:t>-</w:t>
            </w:r>
            <w:r w:rsidR="001C03D0">
              <w:rPr>
                <w:rFonts w:asciiTheme="minorHAnsi" w:hAnsiTheme="minorHAnsi" w:cstheme="minorHAnsi"/>
                <w:sz w:val="22"/>
              </w:rPr>
              <w:t xml:space="preserve">DOTA-octreotate </w:t>
            </w:r>
          </w:p>
        </w:tc>
        <w:tc>
          <w:tcPr>
            <w:tcW w:w="5812" w:type="dxa"/>
            <w:tcBorders>
              <w:top w:val="single" w:sz="4" w:space="0" w:color="auto"/>
              <w:left w:val="single" w:sz="4" w:space="0" w:color="auto"/>
              <w:bottom w:val="single" w:sz="4" w:space="0" w:color="auto"/>
              <w:right w:val="single" w:sz="4" w:space="0" w:color="auto"/>
            </w:tcBorders>
          </w:tcPr>
          <w:p w14:paraId="71968000" w14:textId="77777777" w:rsidR="009D354C" w:rsidRDefault="009D354C" w:rsidP="007B0205">
            <w:pPr>
              <w:pStyle w:val="ListParagraph"/>
              <w:keepNext/>
              <w:autoSpaceDE w:val="0"/>
              <w:autoSpaceDN w:val="0"/>
              <w:adjustRightInd w:val="0"/>
              <w:spacing w:before="40" w:after="40" w:line="23" w:lineRule="atLeast"/>
              <w:ind w:left="0"/>
              <w:jc w:val="both"/>
              <w:rPr>
                <w:rFonts w:asciiTheme="minorHAnsi" w:hAnsiTheme="minorHAnsi" w:cstheme="minorHAnsi"/>
                <w:sz w:val="22"/>
              </w:rPr>
            </w:pPr>
            <w:r>
              <w:rPr>
                <w:rFonts w:asciiTheme="minorHAnsi" w:hAnsiTheme="minorHAnsi" w:cstheme="minorHAnsi"/>
                <w:sz w:val="22"/>
              </w:rPr>
              <w:t>Long-acting SSA (unlabelled) – octreotide depot and lanreotide</w:t>
            </w:r>
          </w:p>
          <w:p w14:paraId="1B1090BE" w14:textId="77777777" w:rsidR="009D354C" w:rsidRDefault="009D354C" w:rsidP="007B0205">
            <w:pPr>
              <w:pStyle w:val="ListParagraph"/>
              <w:keepNext/>
              <w:autoSpaceDE w:val="0"/>
              <w:autoSpaceDN w:val="0"/>
              <w:adjustRightInd w:val="0"/>
              <w:spacing w:before="40" w:after="40" w:line="23" w:lineRule="atLeast"/>
              <w:ind w:left="0"/>
              <w:jc w:val="both"/>
              <w:rPr>
                <w:rFonts w:asciiTheme="minorHAnsi" w:hAnsiTheme="minorHAnsi" w:cstheme="minorHAnsi"/>
                <w:sz w:val="22"/>
              </w:rPr>
            </w:pPr>
            <w:r>
              <w:rPr>
                <w:rFonts w:asciiTheme="minorHAnsi" w:hAnsiTheme="minorHAnsi" w:cstheme="minorHAnsi"/>
                <w:sz w:val="22"/>
              </w:rPr>
              <w:t>Target therapies-everolimus and sunitinib</w:t>
            </w:r>
          </w:p>
          <w:p w14:paraId="04675EAD" w14:textId="6E3386F1" w:rsidR="00444B03" w:rsidRPr="00922B1C" w:rsidRDefault="009D354C" w:rsidP="007B0205">
            <w:pPr>
              <w:pStyle w:val="ListParagraph"/>
              <w:keepNext/>
              <w:autoSpaceDE w:val="0"/>
              <w:autoSpaceDN w:val="0"/>
              <w:adjustRightInd w:val="0"/>
              <w:spacing w:before="40" w:after="40" w:line="23" w:lineRule="atLeast"/>
              <w:ind w:left="0"/>
              <w:jc w:val="both"/>
              <w:rPr>
                <w:rFonts w:asciiTheme="minorHAnsi" w:hAnsiTheme="minorHAnsi" w:cstheme="minorHAnsi"/>
                <w:sz w:val="22"/>
              </w:rPr>
            </w:pPr>
            <w:r>
              <w:rPr>
                <w:rFonts w:asciiTheme="minorHAnsi" w:hAnsiTheme="minorHAnsi" w:cstheme="minorHAnsi"/>
                <w:sz w:val="22"/>
              </w:rPr>
              <w:t xml:space="preserve">Chemotherapy </w:t>
            </w:r>
          </w:p>
          <w:p w14:paraId="4A5DED62" w14:textId="49CCBDAB" w:rsidR="00444B03" w:rsidRPr="00922B1C" w:rsidRDefault="00354A52" w:rsidP="007B0205">
            <w:pPr>
              <w:pStyle w:val="ListParagraph"/>
              <w:keepNext/>
              <w:autoSpaceDE w:val="0"/>
              <w:autoSpaceDN w:val="0"/>
              <w:adjustRightInd w:val="0"/>
              <w:spacing w:before="40" w:after="40" w:line="23" w:lineRule="atLeast"/>
              <w:ind w:left="0"/>
              <w:jc w:val="both"/>
              <w:rPr>
                <w:rFonts w:asciiTheme="minorHAnsi" w:hAnsiTheme="minorHAnsi" w:cstheme="minorHAnsi"/>
                <w:sz w:val="22"/>
              </w:rPr>
            </w:pPr>
            <w:r>
              <w:rPr>
                <w:rFonts w:asciiTheme="minorHAnsi" w:hAnsiTheme="minorHAnsi" w:cstheme="minorHAnsi"/>
                <w:sz w:val="22"/>
              </w:rPr>
              <w:t>B</w:t>
            </w:r>
            <w:r w:rsidR="009D354C">
              <w:rPr>
                <w:rFonts w:asciiTheme="minorHAnsi" w:hAnsiTheme="minorHAnsi" w:cstheme="minorHAnsi"/>
                <w:sz w:val="22"/>
              </w:rPr>
              <w:t xml:space="preserve">est </w:t>
            </w:r>
            <w:r w:rsidR="00444B03" w:rsidRPr="00922B1C">
              <w:rPr>
                <w:rFonts w:asciiTheme="minorHAnsi" w:hAnsiTheme="minorHAnsi" w:cstheme="minorHAnsi"/>
                <w:sz w:val="22"/>
              </w:rPr>
              <w:t>supportive care strategies</w:t>
            </w:r>
          </w:p>
        </w:tc>
      </w:tr>
      <w:tr w:rsidR="00316475" w:rsidRPr="00BB42C1" w14:paraId="4BF5F98F" w14:textId="77777777" w:rsidTr="00A0561F">
        <w:tc>
          <w:tcPr>
            <w:tcW w:w="3686" w:type="dxa"/>
            <w:tcBorders>
              <w:top w:val="single" w:sz="4" w:space="0" w:color="auto"/>
              <w:left w:val="single" w:sz="4" w:space="0" w:color="auto"/>
              <w:bottom w:val="single" w:sz="4" w:space="0" w:color="auto"/>
              <w:right w:val="single" w:sz="4" w:space="0" w:color="auto"/>
            </w:tcBorders>
            <w:hideMark/>
          </w:tcPr>
          <w:p w14:paraId="63275B8C" w14:textId="02AFF6D3" w:rsidR="00444B03" w:rsidRPr="00922B1C" w:rsidRDefault="00444B03" w:rsidP="007B0205">
            <w:pPr>
              <w:pStyle w:val="ListParagraph"/>
              <w:keepNext/>
              <w:autoSpaceDE w:val="0"/>
              <w:autoSpaceDN w:val="0"/>
              <w:adjustRightInd w:val="0"/>
              <w:spacing w:before="40" w:after="40" w:line="23" w:lineRule="atLeast"/>
              <w:ind w:left="0"/>
              <w:jc w:val="both"/>
              <w:rPr>
                <w:rFonts w:asciiTheme="minorHAnsi" w:hAnsiTheme="minorHAnsi" w:cstheme="minorHAnsi"/>
                <w:sz w:val="22"/>
              </w:rPr>
            </w:pPr>
            <w:r w:rsidRPr="00922B1C">
              <w:rPr>
                <w:rFonts w:asciiTheme="minorHAnsi" w:hAnsiTheme="minorHAnsi" w:cstheme="minorHAnsi"/>
                <w:sz w:val="22"/>
              </w:rPr>
              <w:t>Post-treatment SPECT/CT</w:t>
            </w:r>
            <w:r w:rsidR="004C1BED" w:rsidRPr="00922B1C">
              <w:rPr>
                <w:rFonts w:asciiTheme="minorHAnsi" w:hAnsiTheme="minorHAnsi" w:cstheme="minorHAnsi"/>
                <w:sz w:val="22"/>
              </w:rPr>
              <w:t xml:space="preserve"> (if included)</w:t>
            </w:r>
          </w:p>
        </w:tc>
        <w:tc>
          <w:tcPr>
            <w:tcW w:w="5812" w:type="dxa"/>
            <w:tcBorders>
              <w:top w:val="single" w:sz="4" w:space="0" w:color="auto"/>
              <w:left w:val="single" w:sz="4" w:space="0" w:color="auto"/>
              <w:bottom w:val="single" w:sz="4" w:space="0" w:color="auto"/>
              <w:right w:val="single" w:sz="4" w:space="0" w:color="auto"/>
            </w:tcBorders>
            <w:hideMark/>
          </w:tcPr>
          <w:p w14:paraId="77EFF77A" w14:textId="7B4CFEBD" w:rsidR="00444B03" w:rsidRPr="00922B1C" w:rsidRDefault="00444B03" w:rsidP="007B0205">
            <w:pPr>
              <w:pStyle w:val="ListParagraph"/>
              <w:keepNext/>
              <w:autoSpaceDE w:val="0"/>
              <w:autoSpaceDN w:val="0"/>
              <w:adjustRightInd w:val="0"/>
              <w:spacing w:before="40" w:after="40" w:line="23" w:lineRule="atLeast"/>
              <w:ind w:left="0"/>
              <w:jc w:val="both"/>
              <w:rPr>
                <w:rFonts w:asciiTheme="minorHAnsi" w:hAnsiTheme="minorHAnsi" w:cstheme="minorHAnsi"/>
                <w:sz w:val="22"/>
              </w:rPr>
            </w:pPr>
            <w:r w:rsidRPr="00922B1C">
              <w:rPr>
                <w:rFonts w:asciiTheme="minorHAnsi" w:hAnsiTheme="minorHAnsi" w:cstheme="minorHAnsi"/>
                <w:sz w:val="22"/>
              </w:rPr>
              <w:t xml:space="preserve">No post-treatment SPECT/CT </w:t>
            </w:r>
          </w:p>
        </w:tc>
      </w:tr>
    </w:tbl>
    <w:p w14:paraId="766B8266" w14:textId="20738CFB" w:rsidR="00F10191" w:rsidRDefault="00F10191" w:rsidP="006662BC"/>
    <w:p w14:paraId="0BF44730" w14:textId="6A391BF2" w:rsidR="00BB42C1" w:rsidRPr="00442522" w:rsidRDefault="00442522" w:rsidP="000B6C1B">
      <w:pPr>
        <w:jc w:val="both"/>
        <w:rPr>
          <w:rFonts w:cs="Calibri"/>
          <w:i/>
          <w:iCs/>
        </w:rPr>
      </w:pPr>
      <w:r w:rsidRPr="004C3B98">
        <w:rPr>
          <w:rFonts w:cs="Calibri"/>
          <w:i/>
          <w:iCs/>
        </w:rPr>
        <w:t xml:space="preserve">At its April </w:t>
      </w:r>
      <w:r w:rsidR="000C26AC">
        <w:rPr>
          <w:rFonts w:cs="Calibri"/>
          <w:i/>
          <w:iCs/>
        </w:rPr>
        <w:t xml:space="preserve">2023 </w:t>
      </w:r>
      <w:r w:rsidRPr="004C3B98">
        <w:rPr>
          <w:rFonts w:cs="Calibri"/>
          <w:i/>
          <w:iCs/>
        </w:rPr>
        <w:t xml:space="preserve">meeting, </w:t>
      </w:r>
      <w:r w:rsidR="00BB42C1" w:rsidRPr="00442522">
        <w:rPr>
          <w:rFonts w:cs="Calibri"/>
          <w:i/>
          <w:iCs/>
        </w:rPr>
        <w:t xml:space="preserve">PASC considered that the appropriate comparator for </w:t>
      </w:r>
      <w:r w:rsidR="00BB42C1" w:rsidRPr="00442522">
        <w:rPr>
          <w:rFonts w:cs="Calibri"/>
          <w:i/>
          <w:iCs/>
          <w:vertAlign w:val="superscript"/>
        </w:rPr>
        <w:t>68</w:t>
      </w:r>
      <w:r w:rsidR="00BB42C1" w:rsidRPr="00442522">
        <w:rPr>
          <w:rFonts w:cs="Calibri"/>
          <w:i/>
          <w:iCs/>
        </w:rPr>
        <w:t>GA-</w:t>
      </w:r>
      <w:r w:rsidR="001C03D0" w:rsidRPr="00442522">
        <w:rPr>
          <w:rFonts w:cs="Calibri"/>
          <w:i/>
          <w:iCs/>
        </w:rPr>
        <w:t>DOTA-</w:t>
      </w:r>
      <w:r w:rsidR="00110D5F" w:rsidRPr="00442522">
        <w:rPr>
          <w:rFonts w:cs="Calibri"/>
          <w:i/>
          <w:iCs/>
        </w:rPr>
        <w:t xml:space="preserve">octreotate </w:t>
      </w:r>
      <w:r w:rsidR="00BB42C1" w:rsidRPr="00442522">
        <w:rPr>
          <w:rFonts w:cs="Calibri"/>
          <w:i/>
          <w:iCs/>
        </w:rPr>
        <w:t xml:space="preserve">was not “no testing”. </w:t>
      </w:r>
      <w:r w:rsidR="00BA4AFE" w:rsidRPr="00442522">
        <w:rPr>
          <w:rFonts w:cs="Calibri"/>
          <w:i/>
          <w:iCs/>
        </w:rPr>
        <w:t>However,</w:t>
      </w:r>
      <w:r w:rsidR="00BB42C1" w:rsidRPr="00442522">
        <w:rPr>
          <w:rFonts w:cs="Calibri"/>
          <w:i/>
          <w:iCs/>
        </w:rPr>
        <w:t xml:space="preserve"> PASC also acknowledged that alternative comparators were not suitable. For example, “PRRT Predictive Quotient (PPQ)” was not generally accepted or available </w:t>
      </w:r>
      <w:r w:rsidR="00BB42C1" w:rsidRPr="004C3B98">
        <w:rPr>
          <w:rFonts w:cs="Calibri"/>
          <w:i/>
          <w:iCs/>
        </w:rPr>
        <w:t>and imm</w:t>
      </w:r>
      <w:r w:rsidR="00BB42C1" w:rsidRPr="00442522">
        <w:rPr>
          <w:rFonts w:cs="Calibri"/>
          <w:i/>
          <w:iCs/>
        </w:rPr>
        <w:t xml:space="preserve">unohistochemistry (IHC) for </w:t>
      </w:r>
      <w:r w:rsidR="00797606" w:rsidRPr="00442522">
        <w:rPr>
          <w:rFonts w:cs="Calibri"/>
          <w:i/>
          <w:iCs/>
        </w:rPr>
        <w:t xml:space="preserve">tumour </w:t>
      </w:r>
      <w:r w:rsidR="00BB42C1" w:rsidRPr="00442522">
        <w:rPr>
          <w:rFonts w:cs="Calibri"/>
          <w:i/>
          <w:iCs/>
        </w:rPr>
        <w:t>SSTR-2 expression was not practicable.</w:t>
      </w:r>
      <w:r w:rsidR="003D7128">
        <w:rPr>
          <w:rFonts w:cs="Calibri"/>
          <w:i/>
          <w:iCs/>
        </w:rPr>
        <w:t xml:space="preserve"> In August 2023, </w:t>
      </w:r>
      <w:r w:rsidR="003D7128" w:rsidRPr="003D7128">
        <w:rPr>
          <w:rFonts w:cs="Calibri"/>
          <w:i/>
          <w:iCs/>
        </w:rPr>
        <w:t xml:space="preserve">PASC noted there was no current comparator for </w:t>
      </w:r>
      <w:r w:rsidR="003D7128" w:rsidRPr="00E35BCA">
        <w:rPr>
          <w:rFonts w:cs="Calibri"/>
          <w:i/>
          <w:iCs/>
          <w:vertAlign w:val="superscript"/>
        </w:rPr>
        <w:t>68</w:t>
      </w:r>
      <w:r w:rsidR="003D7128" w:rsidRPr="003D7128">
        <w:rPr>
          <w:rFonts w:cs="Calibri"/>
          <w:i/>
          <w:iCs/>
        </w:rPr>
        <w:t>Ga-DOTA</w:t>
      </w:r>
      <w:r w:rsidR="003D7128">
        <w:rPr>
          <w:rFonts w:cs="Calibri"/>
          <w:i/>
          <w:iCs/>
        </w:rPr>
        <w:t xml:space="preserve">-octreotate </w:t>
      </w:r>
      <w:r w:rsidR="003D7128" w:rsidRPr="003D7128">
        <w:rPr>
          <w:rFonts w:cs="Calibri"/>
          <w:i/>
          <w:iCs/>
        </w:rPr>
        <w:t xml:space="preserve">PET/CT as </w:t>
      </w:r>
      <w:r w:rsidR="003D7128" w:rsidRPr="00E35BCA">
        <w:rPr>
          <w:rFonts w:cs="Calibri"/>
          <w:i/>
          <w:iCs/>
          <w:vertAlign w:val="superscript"/>
        </w:rPr>
        <w:t>111</w:t>
      </w:r>
      <w:r w:rsidR="003D7128" w:rsidRPr="003D7128">
        <w:rPr>
          <w:rFonts w:cs="Calibri"/>
          <w:i/>
          <w:iCs/>
        </w:rPr>
        <w:t>In-pentetreotide [Octreoscan®] was considered superseded</w:t>
      </w:r>
      <w:r w:rsidR="003D7128">
        <w:rPr>
          <w:rFonts w:cs="Calibri"/>
          <w:i/>
          <w:iCs/>
        </w:rPr>
        <w:t>.</w:t>
      </w:r>
    </w:p>
    <w:p w14:paraId="142A2B8A" w14:textId="63681CCF" w:rsidR="00BB42C1" w:rsidRPr="004C3B98" w:rsidRDefault="00BB42C1" w:rsidP="000B6C1B">
      <w:pPr>
        <w:jc w:val="both"/>
        <w:rPr>
          <w:rFonts w:cs="Calibri"/>
        </w:rPr>
      </w:pPr>
      <w:r w:rsidRPr="00442522">
        <w:rPr>
          <w:rFonts w:cs="Calibri"/>
          <w:i/>
          <w:iCs/>
        </w:rPr>
        <w:t>PASC agreed that the comparator for FDG PET/CT was no FDG PET/CT (following SSTR imaging)</w:t>
      </w:r>
      <w:r w:rsidR="00442522">
        <w:rPr>
          <w:rFonts w:cs="Calibri"/>
          <w:i/>
          <w:iCs/>
        </w:rPr>
        <w:t xml:space="preserve"> a</w:t>
      </w:r>
      <w:r w:rsidR="00805C9F">
        <w:rPr>
          <w:rFonts w:cs="Calibri"/>
          <w:i/>
          <w:iCs/>
        </w:rPr>
        <w:t>t</w:t>
      </w:r>
      <w:r w:rsidR="00442522">
        <w:rPr>
          <w:rFonts w:cs="Calibri"/>
          <w:i/>
          <w:iCs/>
        </w:rPr>
        <w:t xml:space="preserve"> the April </w:t>
      </w:r>
      <w:r w:rsidR="000C26AC">
        <w:rPr>
          <w:rFonts w:cs="Calibri"/>
          <w:i/>
          <w:iCs/>
        </w:rPr>
        <w:t xml:space="preserve">2023 </w:t>
      </w:r>
      <w:r w:rsidR="00442522">
        <w:rPr>
          <w:rFonts w:cs="Calibri"/>
          <w:i/>
          <w:iCs/>
        </w:rPr>
        <w:t>meeting</w:t>
      </w:r>
      <w:r w:rsidRPr="00442522">
        <w:rPr>
          <w:rFonts w:cs="Calibri"/>
          <w:i/>
          <w:iCs/>
        </w:rPr>
        <w:t>.</w:t>
      </w:r>
      <w:r w:rsidR="001064CA">
        <w:rPr>
          <w:rFonts w:cs="Calibri"/>
        </w:rPr>
        <w:t xml:space="preserve"> </w:t>
      </w:r>
      <w:r w:rsidR="000F6D4E">
        <w:rPr>
          <w:rFonts w:cs="Calibri"/>
          <w:i/>
          <w:iCs/>
        </w:rPr>
        <w:t>G</w:t>
      </w:r>
      <w:r w:rsidR="001064CA" w:rsidRPr="004C3B98">
        <w:rPr>
          <w:rFonts w:cs="Calibri"/>
          <w:i/>
          <w:iCs/>
        </w:rPr>
        <w:t xml:space="preserve">iven the role of FDG PET/CT in this group of patients, </w:t>
      </w:r>
      <w:r w:rsidR="003240A8">
        <w:rPr>
          <w:rFonts w:cs="Calibri"/>
          <w:i/>
          <w:iCs/>
        </w:rPr>
        <w:t xml:space="preserve">as already noted, </w:t>
      </w:r>
      <w:r w:rsidR="000F6D4E">
        <w:rPr>
          <w:rFonts w:cs="Calibri"/>
          <w:i/>
          <w:iCs/>
        </w:rPr>
        <w:t xml:space="preserve">PASC is requested to consider whether </w:t>
      </w:r>
      <w:r w:rsidR="007B4D07">
        <w:rPr>
          <w:rFonts w:cs="Calibri"/>
          <w:i/>
          <w:iCs/>
        </w:rPr>
        <w:t xml:space="preserve">FDG/PET </w:t>
      </w:r>
      <w:r w:rsidR="001112B2">
        <w:rPr>
          <w:rFonts w:cs="Calibri"/>
          <w:i/>
          <w:iCs/>
        </w:rPr>
        <w:t xml:space="preserve">should be </w:t>
      </w:r>
      <w:r w:rsidR="00031E7C">
        <w:rPr>
          <w:rFonts w:cs="Calibri"/>
          <w:i/>
          <w:iCs/>
        </w:rPr>
        <w:t xml:space="preserve">removed from </w:t>
      </w:r>
      <w:r w:rsidR="001064CA" w:rsidRPr="004C3B98">
        <w:rPr>
          <w:rFonts w:cs="Calibri"/>
          <w:i/>
          <w:iCs/>
        </w:rPr>
        <w:t>the clinical management algorithm (which reflect</w:t>
      </w:r>
      <w:r w:rsidR="00031E7C">
        <w:rPr>
          <w:rFonts w:cs="Calibri"/>
          <w:i/>
          <w:iCs/>
        </w:rPr>
        <w:t>s</w:t>
      </w:r>
      <w:r w:rsidR="001064CA" w:rsidRPr="004C3B98">
        <w:rPr>
          <w:rFonts w:cs="Calibri"/>
          <w:i/>
          <w:iCs/>
        </w:rPr>
        <w:t xml:space="preserve"> the nominated ‘exemplars’). These patients currently have access to FDG P</w:t>
      </w:r>
      <w:r w:rsidR="00442522">
        <w:rPr>
          <w:rFonts w:cs="Calibri"/>
          <w:i/>
          <w:iCs/>
        </w:rPr>
        <w:t>E</w:t>
      </w:r>
      <w:r w:rsidR="001064CA" w:rsidRPr="004C3B98">
        <w:rPr>
          <w:rFonts w:cs="Calibri"/>
          <w:i/>
          <w:iCs/>
        </w:rPr>
        <w:t>T</w:t>
      </w:r>
      <w:r w:rsidR="00442522">
        <w:rPr>
          <w:rFonts w:cs="Calibri"/>
          <w:i/>
          <w:iCs/>
        </w:rPr>
        <w:t>/CT</w:t>
      </w:r>
      <w:r w:rsidR="001064CA" w:rsidRPr="004C3B98">
        <w:rPr>
          <w:rFonts w:cs="Calibri"/>
          <w:i/>
          <w:iCs/>
        </w:rPr>
        <w:t xml:space="preserve"> and given PASC advice that the wording of the currently FDG MBS item (61612) is unlikely to require rewording, then this access will remain available without change. That is</w:t>
      </w:r>
      <w:r w:rsidR="00442522">
        <w:rPr>
          <w:rFonts w:cs="Calibri"/>
          <w:i/>
          <w:iCs/>
        </w:rPr>
        <w:t>,</w:t>
      </w:r>
      <w:r w:rsidR="001064CA" w:rsidRPr="004C3B98">
        <w:rPr>
          <w:rFonts w:cs="Calibri"/>
          <w:i/>
          <w:iCs/>
        </w:rPr>
        <w:t xml:space="preserve"> there is unlikely to be any substitution.</w:t>
      </w:r>
      <w:r w:rsidR="001064CA">
        <w:rPr>
          <w:rFonts w:cs="Calibri"/>
        </w:rPr>
        <w:t xml:space="preserve"> </w:t>
      </w:r>
      <w:r w:rsidR="00B84FFB">
        <w:rPr>
          <w:rFonts w:cs="Calibri"/>
        </w:rPr>
        <w:t xml:space="preserve"> </w:t>
      </w:r>
    </w:p>
    <w:p w14:paraId="14E425BF" w14:textId="1C5F8B38" w:rsidR="00BB42C1" w:rsidRPr="00442522" w:rsidRDefault="00442522" w:rsidP="000B6C1B">
      <w:pPr>
        <w:jc w:val="both"/>
        <w:rPr>
          <w:rFonts w:cs="Calibri"/>
          <w:i/>
          <w:iCs/>
        </w:rPr>
      </w:pPr>
      <w:r w:rsidRPr="004C3B98">
        <w:rPr>
          <w:rFonts w:cs="Calibri"/>
          <w:i/>
          <w:iCs/>
        </w:rPr>
        <w:t xml:space="preserve">At the April </w:t>
      </w:r>
      <w:r w:rsidR="000C26AC">
        <w:rPr>
          <w:rFonts w:cs="Calibri"/>
          <w:i/>
          <w:iCs/>
        </w:rPr>
        <w:t xml:space="preserve">2023 </w:t>
      </w:r>
      <w:r w:rsidRPr="004C3B98">
        <w:rPr>
          <w:rFonts w:cs="Calibri"/>
          <w:i/>
          <w:iCs/>
        </w:rPr>
        <w:t xml:space="preserve">meeting, </w:t>
      </w:r>
      <w:r w:rsidR="00BB42C1" w:rsidRPr="00442522">
        <w:rPr>
          <w:rFonts w:cs="Calibri"/>
          <w:i/>
          <w:iCs/>
        </w:rPr>
        <w:t xml:space="preserve">PASC discussed the appropriate comparators for </w:t>
      </w:r>
      <w:r w:rsidR="00BB42C1" w:rsidRPr="00442522">
        <w:rPr>
          <w:rFonts w:cs="Calibri"/>
          <w:i/>
          <w:iCs/>
          <w:vertAlign w:val="superscript"/>
        </w:rPr>
        <w:t>177</w:t>
      </w:r>
      <w:r w:rsidR="00BB42C1" w:rsidRPr="00442522">
        <w:rPr>
          <w:rFonts w:cs="Calibri"/>
          <w:i/>
          <w:iCs/>
        </w:rPr>
        <w:t>Lu-DOTA-</w:t>
      </w:r>
      <w:r w:rsidR="00797606" w:rsidRPr="00442522">
        <w:rPr>
          <w:rFonts w:cs="Calibri"/>
          <w:i/>
          <w:iCs/>
        </w:rPr>
        <w:t>o</w:t>
      </w:r>
      <w:r w:rsidR="00BB42C1" w:rsidRPr="00442522">
        <w:rPr>
          <w:rFonts w:cs="Calibri"/>
          <w:i/>
          <w:iCs/>
        </w:rPr>
        <w:t>ctreotate therapy, nominating the following:</w:t>
      </w:r>
    </w:p>
    <w:p w14:paraId="0F88DACB" w14:textId="09179983" w:rsidR="00BB42C1" w:rsidRPr="00442522" w:rsidRDefault="00BB42C1" w:rsidP="000B6C1B">
      <w:pPr>
        <w:pStyle w:val="ListParagraph"/>
        <w:numPr>
          <w:ilvl w:val="0"/>
          <w:numId w:val="8"/>
        </w:numPr>
        <w:ind w:left="284" w:hanging="284"/>
        <w:jc w:val="both"/>
        <w:rPr>
          <w:rFonts w:cs="Calibri"/>
          <w:i/>
          <w:iCs/>
        </w:rPr>
      </w:pPr>
      <w:r w:rsidRPr="00442522">
        <w:rPr>
          <w:rFonts w:cs="Calibri"/>
          <w:i/>
          <w:iCs/>
        </w:rPr>
        <w:t>Long-acting SSA (unlabelled) – oc</w:t>
      </w:r>
      <w:r w:rsidR="00A01709" w:rsidRPr="00442522">
        <w:rPr>
          <w:rFonts w:cs="Calibri"/>
          <w:i/>
          <w:iCs/>
        </w:rPr>
        <w:t>t</w:t>
      </w:r>
      <w:r w:rsidRPr="00442522">
        <w:rPr>
          <w:rFonts w:cs="Calibri"/>
          <w:i/>
          <w:iCs/>
        </w:rPr>
        <w:t>reotide depot and lanreotide</w:t>
      </w:r>
    </w:p>
    <w:p w14:paraId="103E5F63" w14:textId="77777777" w:rsidR="00BB42C1" w:rsidRPr="00442522" w:rsidRDefault="00BB42C1" w:rsidP="000B6C1B">
      <w:pPr>
        <w:pStyle w:val="ListParagraph"/>
        <w:numPr>
          <w:ilvl w:val="0"/>
          <w:numId w:val="8"/>
        </w:numPr>
        <w:ind w:left="284" w:hanging="284"/>
        <w:jc w:val="both"/>
        <w:rPr>
          <w:rFonts w:cs="Calibri"/>
          <w:i/>
          <w:iCs/>
        </w:rPr>
      </w:pPr>
      <w:r w:rsidRPr="00442522">
        <w:rPr>
          <w:rFonts w:cs="Calibri"/>
          <w:i/>
          <w:iCs/>
        </w:rPr>
        <w:t>Targeted therapies – everolimus and sunitinib</w:t>
      </w:r>
    </w:p>
    <w:p w14:paraId="43DE10F0" w14:textId="77777777" w:rsidR="00BB42C1" w:rsidRPr="00442522" w:rsidRDefault="00BB42C1" w:rsidP="000B6C1B">
      <w:pPr>
        <w:pStyle w:val="ListParagraph"/>
        <w:numPr>
          <w:ilvl w:val="0"/>
          <w:numId w:val="8"/>
        </w:numPr>
        <w:ind w:left="284" w:hanging="284"/>
        <w:jc w:val="both"/>
        <w:rPr>
          <w:rFonts w:cs="Calibri"/>
          <w:i/>
          <w:iCs/>
        </w:rPr>
      </w:pPr>
      <w:r w:rsidRPr="00442522">
        <w:rPr>
          <w:rFonts w:cs="Calibri"/>
          <w:i/>
          <w:iCs/>
        </w:rPr>
        <w:t>Chemotherapy – capecitabine + temozolomide (CAPTEM); folinic acid + fluorouracil + oxaliplatin (FOLFOX); folinic acid + fluorouracil + irinotecan (FOLFIRI); carboplatin + etoposide</w:t>
      </w:r>
    </w:p>
    <w:p w14:paraId="1F04F028" w14:textId="0A530346" w:rsidR="00BB42C1" w:rsidRPr="00442522" w:rsidRDefault="00BB42C1" w:rsidP="000B6C1B">
      <w:pPr>
        <w:pStyle w:val="ListParagraph"/>
        <w:numPr>
          <w:ilvl w:val="0"/>
          <w:numId w:val="8"/>
        </w:numPr>
        <w:ind w:left="284" w:hanging="284"/>
        <w:jc w:val="both"/>
        <w:rPr>
          <w:rFonts w:cs="Calibri"/>
          <w:i/>
          <w:iCs/>
        </w:rPr>
      </w:pPr>
      <w:r w:rsidRPr="00442522">
        <w:rPr>
          <w:rFonts w:cs="Calibri"/>
          <w:i/>
          <w:iCs/>
        </w:rPr>
        <w:t>Best supportive care</w:t>
      </w:r>
    </w:p>
    <w:p w14:paraId="15D74ED4" w14:textId="56EE4231" w:rsidR="00BB42C1" w:rsidRDefault="00BB42C1" w:rsidP="000B6C1B">
      <w:pPr>
        <w:jc w:val="both"/>
        <w:rPr>
          <w:rFonts w:cs="Calibri"/>
          <w:i/>
          <w:iCs/>
        </w:rPr>
      </w:pPr>
      <w:r w:rsidRPr="00442522">
        <w:rPr>
          <w:rFonts w:cs="Calibri"/>
          <w:i/>
          <w:iCs/>
        </w:rPr>
        <w:t xml:space="preserve">However, PASC also questioned whether these represented comparators or whether treatment with </w:t>
      </w:r>
      <w:r w:rsidRPr="00442522">
        <w:rPr>
          <w:rFonts w:cs="Calibri"/>
          <w:i/>
          <w:iCs/>
          <w:vertAlign w:val="superscript"/>
        </w:rPr>
        <w:t>177</w:t>
      </w:r>
      <w:r w:rsidRPr="00442522">
        <w:rPr>
          <w:rFonts w:cs="Calibri"/>
          <w:i/>
          <w:iCs/>
        </w:rPr>
        <w:t>Lu-</w:t>
      </w:r>
      <w:r w:rsidR="001C03D0" w:rsidRPr="00442522">
        <w:rPr>
          <w:rFonts w:cs="Calibri"/>
          <w:i/>
          <w:iCs/>
        </w:rPr>
        <w:t>DOTA-</w:t>
      </w:r>
      <w:r w:rsidR="00110D5F" w:rsidRPr="00442522">
        <w:rPr>
          <w:rFonts w:cs="Calibri"/>
          <w:i/>
          <w:iCs/>
        </w:rPr>
        <w:t xml:space="preserve">octreotate </w:t>
      </w:r>
      <w:r w:rsidRPr="00442522">
        <w:rPr>
          <w:rFonts w:cs="Calibri"/>
          <w:i/>
          <w:iCs/>
        </w:rPr>
        <w:t>therapy would occur after failure of these treatments, leaving only best supportive care as a relevant comparator.</w:t>
      </w:r>
    </w:p>
    <w:p w14:paraId="11EFDCCB" w14:textId="69419C95" w:rsidR="006D51B6" w:rsidRPr="006D51B6" w:rsidRDefault="006D51B6" w:rsidP="000B6C1B">
      <w:pPr>
        <w:jc w:val="both"/>
        <w:rPr>
          <w:i/>
          <w:iCs/>
        </w:rPr>
      </w:pPr>
      <w:r w:rsidRPr="17F23FD4">
        <w:rPr>
          <w:i/>
          <w:iCs/>
        </w:rPr>
        <w:t>At the August 2023 meeting, PASC considered that best supportive care may be the most relevant comparator given that</w:t>
      </w:r>
      <w:r w:rsidR="00DF7F55">
        <w:rPr>
          <w:i/>
          <w:iCs/>
        </w:rPr>
        <w:t xml:space="preserve"> </w:t>
      </w:r>
      <w:r w:rsidR="1E24E69D" w:rsidRPr="17F23FD4">
        <w:rPr>
          <w:i/>
          <w:iCs/>
        </w:rPr>
        <w:t xml:space="preserve"> </w:t>
      </w:r>
      <w:r w:rsidRPr="17F23FD4">
        <w:rPr>
          <w:i/>
          <w:iCs/>
          <w:vertAlign w:val="superscript"/>
        </w:rPr>
        <w:t>177</w:t>
      </w:r>
      <w:r w:rsidRPr="17F23FD4">
        <w:rPr>
          <w:i/>
          <w:iCs/>
        </w:rPr>
        <w:t>Lu-DOTA-octreot</w:t>
      </w:r>
      <w:r w:rsidR="3091ABD4" w:rsidRPr="17F23FD4">
        <w:rPr>
          <w:i/>
          <w:iCs/>
        </w:rPr>
        <w:t>ate</w:t>
      </w:r>
      <w:r w:rsidRPr="17F23FD4">
        <w:rPr>
          <w:i/>
          <w:iCs/>
        </w:rPr>
        <w:t xml:space="preserve"> therapy would most likely be offered after the failure of the nominated comparator treatments. PASC noted that:</w:t>
      </w:r>
    </w:p>
    <w:p w14:paraId="39F61869" w14:textId="59B1D415" w:rsidR="006D51B6" w:rsidRPr="00D3739C" w:rsidRDefault="006D51B6" w:rsidP="000B6C1B">
      <w:pPr>
        <w:pStyle w:val="ListParagraph"/>
        <w:numPr>
          <w:ilvl w:val="2"/>
          <w:numId w:val="28"/>
        </w:numPr>
        <w:ind w:left="284" w:hanging="284"/>
        <w:jc w:val="both"/>
        <w:rPr>
          <w:i/>
          <w:iCs/>
        </w:rPr>
      </w:pPr>
      <w:r w:rsidRPr="00D3739C">
        <w:rPr>
          <w:i/>
          <w:iCs/>
        </w:rPr>
        <w:t>No guidelines consider PRRT as first-line treatment (versus alternative first-line treatments such as unlabelled SSA, target</w:t>
      </w:r>
      <w:r w:rsidR="00D910F8">
        <w:rPr>
          <w:i/>
          <w:iCs/>
        </w:rPr>
        <w:t>ed</w:t>
      </w:r>
      <w:r w:rsidRPr="00D3739C">
        <w:rPr>
          <w:i/>
          <w:iCs/>
        </w:rPr>
        <w:t xml:space="preserve"> treatment [everolimus, sunitinib] or chemotherapy)</w:t>
      </w:r>
      <w:r>
        <w:rPr>
          <w:i/>
          <w:iCs/>
        </w:rPr>
        <w:t>.</w:t>
      </w:r>
    </w:p>
    <w:p w14:paraId="3113449E" w14:textId="3DFD2786" w:rsidR="006D51B6" w:rsidRPr="00D3739C" w:rsidRDefault="006D51B6" w:rsidP="000B6C1B">
      <w:pPr>
        <w:pStyle w:val="ListParagraph"/>
        <w:numPr>
          <w:ilvl w:val="2"/>
          <w:numId w:val="28"/>
        </w:numPr>
        <w:ind w:left="284" w:hanging="284"/>
        <w:jc w:val="both"/>
        <w:rPr>
          <w:i/>
          <w:iCs/>
        </w:rPr>
      </w:pPr>
      <w:r w:rsidRPr="00D3739C">
        <w:rPr>
          <w:i/>
          <w:iCs/>
        </w:rPr>
        <w:lastRenderedPageBreak/>
        <w:t xml:space="preserve">The NETTER-1 trial compared </w:t>
      </w:r>
      <w:r w:rsidRPr="00D3739C">
        <w:rPr>
          <w:i/>
          <w:iCs/>
          <w:vertAlign w:val="superscript"/>
        </w:rPr>
        <w:t>177</w:t>
      </w:r>
      <w:r w:rsidRPr="00D3739C">
        <w:rPr>
          <w:i/>
          <w:iCs/>
        </w:rPr>
        <w:t>Lu-DOTATATE plus octreotide LAR (30mg/4week) to octreotide LAR</w:t>
      </w:r>
      <w:r w:rsidR="00B853DC">
        <w:rPr>
          <w:i/>
          <w:iCs/>
        </w:rPr>
        <w:t xml:space="preserve"> alone</w:t>
      </w:r>
      <w:r w:rsidRPr="00D3739C">
        <w:rPr>
          <w:i/>
          <w:iCs/>
        </w:rPr>
        <w:t xml:space="preserve"> (60mg/4week)</w:t>
      </w:r>
      <w:r>
        <w:rPr>
          <w:i/>
          <w:iCs/>
        </w:rPr>
        <w:t>.</w:t>
      </w:r>
    </w:p>
    <w:p w14:paraId="4711D39C" w14:textId="4817084F" w:rsidR="006D51B6" w:rsidRPr="00442522" w:rsidRDefault="006D51B6" w:rsidP="000B6C1B">
      <w:pPr>
        <w:pStyle w:val="ListParagraph"/>
        <w:numPr>
          <w:ilvl w:val="2"/>
          <w:numId w:val="28"/>
        </w:numPr>
        <w:ind w:left="284" w:hanging="284"/>
        <w:jc w:val="both"/>
        <w:rPr>
          <w:rFonts w:cs="Calibri"/>
          <w:i/>
          <w:iCs/>
        </w:rPr>
      </w:pPr>
      <w:r w:rsidRPr="00D3739C">
        <w:rPr>
          <w:i/>
          <w:iCs/>
        </w:rPr>
        <w:t>No published RCTs of PRRT versus targeted treatment or chemotherapy currently exist</w:t>
      </w:r>
      <w:r>
        <w:rPr>
          <w:i/>
          <w:iCs/>
        </w:rPr>
        <w:t>,</w:t>
      </w:r>
      <w:r w:rsidRPr="00D3739C">
        <w:rPr>
          <w:i/>
          <w:iCs/>
        </w:rPr>
        <w:t xml:space="preserve"> therefore only naïve comparisons are possible. There are several current comparative clinical trials of which one [NCT02230176</w:t>
      </w:r>
      <w:r w:rsidR="009404B5">
        <w:rPr>
          <w:i/>
          <w:iCs/>
        </w:rPr>
        <w:t>:</w:t>
      </w:r>
      <w:r w:rsidRPr="00D3739C">
        <w:rPr>
          <w:i/>
          <w:iCs/>
        </w:rPr>
        <w:t xml:space="preserve"> </w:t>
      </w:r>
      <w:r w:rsidRPr="00D3739C">
        <w:rPr>
          <w:i/>
          <w:iCs/>
          <w:vertAlign w:val="superscript"/>
        </w:rPr>
        <w:t>177</w:t>
      </w:r>
      <w:r w:rsidRPr="00D3739C">
        <w:rPr>
          <w:i/>
          <w:iCs/>
        </w:rPr>
        <w:t>Lu versus sunitinib 37.5mg/day] has a completion date of October 2023 but others are scheduled for completion even later.</w:t>
      </w:r>
    </w:p>
    <w:p w14:paraId="4141C8BB" w14:textId="59F21C77" w:rsidR="00BB42C1" w:rsidRPr="00442522" w:rsidRDefault="00BB42C1" w:rsidP="000B6C1B">
      <w:pPr>
        <w:jc w:val="both"/>
        <w:rPr>
          <w:rFonts w:cs="Calibri"/>
          <w:i/>
          <w:iCs/>
        </w:rPr>
      </w:pPr>
      <w:bookmarkStart w:id="45" w:name="_Hlk137506414"/>
      <w:r w:rsidRPr="00442522">
        <w:rPr>
          <w:rFonts w:cs="Calibri"/>
          <w:i/>
          <w:iCs/>
        </w:rPr>
        <w:t xml:space="preserve">PASC also stated </w:t>
      </w:r>
      <w:r w:rsidR="006D51B6">
        <w:rPr>
          <w:rFonts w:cs="Calibri"/>
          <w:i/>
          <w:iCs/>
        </w:rPr>
        <w:t xml:space="preserve">in April 2023 </w:t>
      </w:r>
      <w:r w:rsidRPr="00442522">
        <w:rPr>
          <w:rFonts w:cs="Calibri"/>
          <w:i/>
          <w:iCs/>
        </w:rPr>
        <w:t xml:space="preserve">that should the MBS listing be restricted to </w:t>
      </w:r>
      <w:r w:rsidRPr="00442522">
        <w:rPr>
          <w:rFonts w:cs="Calibri"/>
          <w:i/>
          <w:iCs/>
          <w:vertAlign w:val="superscript"/>
        </w:rPr>
        <w:t>177</w:t>
      </w:r>
      <w:r w:rsidRPr="00442522">
        <w:rPr>
          <w:rFonts w:cs="Calibri"/>
          <w:i/>
          <w:iCs/>
        </w:rPr>
        <w:t>Lu(nca)-</w:t>
      </w:r>
      <w:r w:rsidR="001C03D0" w:rsidRPr="00442522">
        <w:rPr>
          <w:rFonts w:cs="Calibri"/>
          <w:i/>
          <w:iCs/>
        </w:rPr>
        <w:t>DOTA-octreotate</w:t>
      </w:r>
      <w:r w:rsidRPr="00442522">
        <w:rPr>
          <w:rFonts w:cs="Calibri"/>
          <w:i/>
          <w:iCs/>
        </w:rPr>
        <w:t xml:space="preserve">, then </w:t>
      </w:r>
      <w:r w:rsidRPr="00442522">
        <w:rPr>
          <w:rFonts w:cs="Calibri"/>
          <w:i/>
          <w:iCs/>
          <w:vertAlign w:val="superscript"/>
        </w:rPr>
        <w:t>177</w:t>
      </w:r>
      <w:r w:rsidRPr="00442522">
        <w:rPr>
          <w:rFonts w:cs="Calibri"/>
          <w:i/>
          <w:iCs/>
        </w:rPr>
        <w:t xml:space="preserve">Lu(ca)- </w:t>
      </w:r>
      <w:r w:rsidR="001C03D0" w:rsidRPr="00442522">
        <w:rPr>
          <w:rFonts w:cs="Calibri"/>
          <w:i/>
          <w:iCs/>
        </w:rPr>
        <w:t>DOTA-</w:t>
      </w:r>
      <w:r w:rsidR="00110D5F" w:rsidRPr="00442522">
        <w:rPr>
          <w:rFonts w:cs="Calibri"/>
          <w:i/>
          <w:iCs/>
        </w:rPr>
        <w:t xml:space="preserve">octreotate </w:t>
      </w:r>
      <w:r w:rsidRPr="00442522">
        <w:rPr>
          <w:rFonts w:cs="Calibri"/>
          <w:i/>
          <w:iCs/>
        </w:rPr>
        <w:t xml:space="preserve">would be a relevant comparator (to demonstrate superiority of </w:t>
      </w:r>
      <w:r w:rsidRPr="00442522">
        <w:rPr>
          <w:rFonts w:cs="Calibri"/>
          <w:i/>
          <w:iCs/>
          <w:vertAlign w:val="superscript"/>
        </w:rPr>
        <w:t>177</w:t>
      </w:r>
      <w:r w:rsidRPr="00442522">
        <w:rPr>
          <w:rFonts w:cs="Calibri"/>
          <w:i/>
          <w:iCs/>
        </w:rPr>
        <w:t>Lu(nca)-</w:t>
      </w:r>
      <w:r w:rsidR="001C03D0" w:rsidRPr="00442522">
        <w:rPr>
          <w:rFonts w:cs="Calibri"/>
          <w:i/>
          <w:iCs/>
        </w:rPr>
        <w:t xml:space="preserve">DOTA-octreotate </w:t>
      </w:r>
      <w:r w:rsidRPr="00442522">
        <w:rPr>
          <w:rFonts w:cs="Calibri"/>
          <w:i/>
          <w:iCs/>
        </w:rPr>
        <w:t xml:space="preserve">versus </w:t>
      </w:r>
      <w:r w:rsidRPr="00442522">
        <w:rPr>
          <w:rFonts w:cs="Calibri"/>
          <w:i/>
          <w:iCs/>
          <w:vertAlign w:val="superscript"/>
        </w:rPr>
        <w:t>177</w:t>
      </w:r>
      <w:r w:rsidRPr="00442522">
        <w:rPr>
          <w:rFonts w:cs="Calibri"/>
          <w:i/>
          <w:iCs/>
        </w:rPr>
        <w:t>Lu(ca)-</w:t>
      </w:r>
      <w:r w:rsidR="001C03D0" w:rsidRPr="00442522">
        <w:rPr>
          <w:rFonts w:cs="Calibri"/>
          <w:i/>
          <w:iCs/>
        </w:rPr>
        <w:t>DOTA-octreotate</w:t>
      </w:r>
      <w:r w:rsidRPr="00442522">
        <w:rPr>
          <w:rFonts w:cs="Calibri"/>
          <w:i/>
          <w:iCs/>
        </w:rPr>
        <w:t>).</w:t>
      </w:r>
      <w:bookmarkEnd w:id="45"/>
    </w:p>
    <w:p w14:paraId="59CCCA61" w14:textId="1E94FC33" w:rsidR="00711717" w:rsidRDefault="00711717" w:rsidP="000B6C1B">
      <w:pPr>
        <w:jc w:val="both"/>
        <w:rPr>
          <w:rFonts w:cs="Calibri"/>
          <w:i/>
          <w:iCs/>
        </w:rPr>
      </w:pPr>
      <w:r w:rsidRPr="00442522">
        <w:rPr>
          <w:rFonts w:cs="Calibri"/>
          <w:i/>
          <w:iCs/>
        </w:rPr>
        <w:t>PASC agreed that the appropriate comparator for post-therapy SPECT/CT was no post-therapy SPECT/CT</w:t>
      </w:r>
      <w:r w:rsidR="006D51B6">
        <w:rPr>
          <w:rFonts w:cs="Calibri"/>
          <w:i/>
          <w:iCs/>
        </w:rPr>
        <w:t xml:space="preserve"> at its April 2023 meeting</w:t>
      </w:r>
      <w:r w:rsidRPr="00442522">
        <w:rPr>
          <w:rFonts w:cs="Calibri"/>
          <w:i/>
          <w:iCs/>
        </w:rPr>
        <w:t>.</w:t>
      </w:r>
    </w:p>
    <w:p w14:paraId="0D6AA875" w14:textId="5819AB4F" w:rsidR="00A51951" w:rsidRDefault="006D51B6" w:rsidP="00711717">
      <w:pPr>
        <w:autoSpaceDE w:val="0"/>
        <w:autoSpaceDN w:val="0"/>
        <w:adjustRightInd w:val="0"/>
        <w:spacing w:after="0" w:line="23" w:lineRule="atLeast"/>
        <w:rPr>
          <w:rFonts w:cs="Calibri"/>
          <w:i/>
          <w:iCs/>
        </w:rPr>
      </w:pPr>
      <w:r w:rsidRPr="00E35BCA">
        <w:rPr>
          <w:rFonts w:cs="Calibri"/>
        </w:rPr>
        <w:fldChar w:fldCharType="begin"/>
      </w:r>
      <w:r w:rsidRPr="00E35BCA">
        <w:rPr>
          <w:rFonts w:cs="Calibri"/>
        </w:rPr>
        <w:instrText xml:space="preserve"> REF _Ref144451352 \h </w:instrText>
      </w:r>
      <w:r>
        <w:rPr>
          <w:rFonts w:cs="Calibri"/>
        </w:rPr>
        <w:instrText xml:space="preserve"> \* MERGEFORMAT </w:instrText>
      </w:r>
      <w:r w:rsidRPr="00E35BCA">
        <w:rPr>
          <w:rFonts w:cs="Calibri"/>
        </w:rPr>
      </w:r>
      <w:r w:rsidRPr="00E35BCA">
        <w:rPr>
          <w:rFonts w:cs="Calibri"/>
        </w:rPr>
        <w:fldChar w:fldCharType="separate"/>
      </w:r>
      <w:r w:rsidRPr="006D51B6">
        <w:t xml:space="preserve">Table </w:t>
      </w:r>
      <w:r w:rsidRPr="006D51B6">
        <w:rPr>
          <w:noProof/>
        </w:rPr>
        <w:t>7</w:t>
      </w:r>
      <w:r w:rsidRPr="00E35BCA">
        <w:rPr>
          <w:rFonts w:cs="Calibri"/>
        </w:rPr>
        <w:fldChar w:fldCharType="end"/>
      </w:r>
      <w:r w:rsidR="00FC2046">
        <w:rPr>
          <w:rFonts w:cs="Calibri"/>
        </w:rPr>
        <w:t xml:space="preserve"> </w:t>
      </w:r>
      <w:r w:rsidR="004352A3" w:rsidRPr="00E35BCA">
        <w:rPr>
          <w:rFonts w:cs="Calibri"/>
        </w:rPr>
        <w:t>list</w:t>
      </w:r>
      <w:r w:rsidRPr="00E35BCA">
        <w:rPr>
          <w:rFonts w:cs="Calibri"/>
        </w:rPr>
        <w:t>s</w:t>
      </w:r>
      <w:r w:rsidR="004352A3" w:rsidRPr="00E35BCA">
        <w:rPr>
          <w:rFonts w:cs="Calibri"/>
        </w:rPr>
        <w:t xml:space="preserve"> the current comparative clinical trials that include </w:t>
      </w:r>
      <w:r w:rsidR="004352A3" w:rsidRPr="00E35BCA">
        <w:rPr>
          <w:rFonts w:cs="Calibri"/>
          <w:vertAlign w:val="superscript"/>
        </w:rPr>
        <w:t>177</w:t>
      </w:r>
      <w:r w:rsidR="004352A3" w:rsidRPr="00E35BCA">
        <w:rPr>
          <w:rFonts w:cs="Calibri"/>
        </w:rPr>
        <w:t>Lu-DOTA-</w:t>
      </w:r>
      <w:r w:rsidRPr="00E35BCA">
        <w:rPr>
          <w:rFonts w:cs="Calibri"/>
        </w:rPr>
        <w:t>o</w:t>
      </w:r>
      <w:r w:rsidR="004352A3" w:rsidRPr="00E35BCA">
        <w:rPr>
          <w:rFonts w:cs="Calibri"/>
        </w:rPr>
        <w:t>ctreotate PRRT.</w:t>
      </w:r>
    </w:p>
    <w:p w14:paraId="35667D41" w14:textId="7F077E29" w:rsidR="004352A3" w:rsidRDefault="00A51951" w:rsidP="00E35BCA">
      <w:pPr>
        <w:pStyle w:val="Caption"/>
        <w:spacing w:after="0"/>
        <w:rPr>
          <w:rFonts w:cs="Calibri"/>
          <w:i/>
          <w:iCs/>
        </w:rPr>
      </w:pPr>
      <w:bookmarkStart w:id="46" w:name="_Ref144451352"/>
      <w:r>
        <w:t xml:space="preserve">Table </w:t>
      </w:r>
      <w:r>
        <w:fldChar w:fldCharType="begin"/>
      </w:r>
      <w:r>
        <w:instrText xml:space="preserve"> SEQ Table \* ARABIC </w:instrText>
      </w:r>
      <w:r>
        <w:fldChar w:fldCharType="separate"/>
      </w:r>
      <w:r w:rsidR="00401046">
        <w:rPr>
          <w:noProof/>
        </w:rPr>
        <w:t>7</w:t>
      </w:r>
      <w:r>
        <w:fldChar w:fldCharType="end"/>
      </w:r>
      <w:bookmarkEnd w:id="46"/>
      <w:r>
        <w:tab/>
        <w:t>Current comparative clinical trial</w:t>
      </w:r>
      <w:r w:rsidR="0087006F">
        <w:t xml:space="preserve"> with </w:t>
      </w:r>
      <w:r w:rsidR="0087006F" w:rsidRPr="00E35BCA">
        <w:rPr>
          <w:vertAlign w:val="superscript"/>
        </w:rPr>
        <w:t>177</w:t>
      </w:r>
      <w:r w:rsidR="0087006F">
        <w:t>Lu-DOTA-octreotate</w:t>
      </w:r>
    </w:p>
    <w:tbl>
      <w:tblPr>
        <w:tblStyle w:val="TableGrid"/>
        <w:tblW w:w="0" w:type="auto"/>
        <w:tblInd w:w="0" w:type="dxa"/>
        <w:tblLook w:val="04A0" w:firstRow="1" w:lastRow="0" w:firstColumn="1" w:lastColumn="0" w:noHBand="0" w:noVBand="1"/>
      </w:tblPr>
      <w:tblGrid>
        <w:gridCol w:w="1434"/>
        <w:gridCol w:w="1556"/>
        <w:gridCol w:w="1994"/>
        <w:gridCol w:w="1848"/>
        <w:gridCol w:w="1388"/>
        <w:gridCol w:w="1351"/>
      </w:tblGrid>
      <w:tr w:rsidR="0087006F" w:rsidRPr="00AB6C7E" w14:paraId="7C67A9BE" w14:textId="77777777" w:rsidTr="008320BD">
        <w:tc>
          <w:tcPr>
            <w:tcW w:w="1508" w:type="dxa"/>
          </w:tcPr>
          <w:p w14:paraId="1AE17F2F" w14:textId="7712D9D2" w:rsidR="004352A3" w:rsidRPr="00AB6C7E" w:rsidRDefault="004352A3" w:rsidP="00E35BCA">
            <w:pPr>
              <w:keepNext/>
              <w:autoSpaceDE w:val="0"/>
              <w:autoSpaceDN w:val="0"/>
              <w:adjustRightInd w:val="0"/>
              <w:spacing w:after="0" w:line="23" w:lineRule="atLeast"/>
              <w:rPr>
                <w:rFonts w:ascii="Arial Narrow" w:hAnsi="Arial Narrow" w:cs="Calibri"/>
                <w:b/>
                <w:bCs/>
                <w:sz w:val="20"/>
                <w:szCs w:val="20"/>
              </w:rPr>
            </w:pPr>
            <w:r w:rsidRPr="00AB6C7E">
              <w:rPr>
                <w:rFonts w:ascii="Arial Narrow" w:hAnsi="Arial Narrow" w:cs="Calibri"/>
                <w:b/>
                <w:bCs/>
                <w:sz w:val="20"/>
                <w:szCs w:val="20"/>
              </w:rPr>
              <w:t>Identifier</w:t>
            </w:r>
          </w:p>
        </w:tc>
        <w:tc>
          <w:tcPr>
            <w:tcW w:w="1574" w:type="dxa"/>
          </w:tcPr>
          <w:p w14:paraId="57D8FE19" w14:textId="2BF8D8FB" w:rsidR="004352A3" w:rsidRPr="00AB6C7E" w:rsidRDefault="004352A3" w:rsidP="00E35BCA">
            <w:pPr>
              <w:keepNext/>
              <w:autoSpaceDE w:val="0"/>
              <w:autoSpaceDN w:val="0"/>
              <w:adjustRightInd w:val="0"/>
              <w:spacing w:after="0" w:line="23" w:lineRule="atLeast"/>
              <w:rPr>
                <w:rFonts w:ascii="Arial Narrow" w:hAnsi="Arial Narrow" w:cs="Calibri"/>
                <w:b/>
                <w:bCs/>
                <w:sz w:val="20"/>
                <w:szCs w:val="20"/>
              </w:rPr>
            </w:pPr>
            <w:r w:rsidRPr="00AB6C7E">
              <w:rPr>
                <w:rFonts w:ascii="Arial Narrow" w:hAnsi="Arial Narrow" w:cs="Calibri"/>
                <w:b/>
                <w:bCs/>
                <w:sz w:val="20"/>
                <w:szCs w:val="20"/>
              </w:rPr>
              <w:t>Trial Name</w:t>
            </w:r>
          </w:p>
        </w:tc>
        <w:tc>
          <w:tcPr>
            <w:tcW w:w="1994" w:type="dxa"/>
          </w:tcPr>
          <w:p w14:paraId="3A98DE9F" w14:textId="18602556" w:rsidR="004352A3" w:rsidRPr="00AB6C7E" w:rsidRDefault="004352A3" w:rsidP="00E35BCA">
            <w:pPr>
              <w:keepNext/>
              <w:autoSpaceDE w:val="0"/>
              <w:autoSpaceDN w:val="0"/>
              <w:adjustRightInd w:val="0"/>
              <w:spacing w:after="0" w:line="23" w:lineRule="atLeast"/>
              <w:rPr>
                <w:rFonts w:ascii="Arial Narrow" w:hAnsi="Arial Narrow" w:cs="Calibri"/>
                <w:b/>
                <w:bCs/>
                <w:sz w:val="20"/>
                <w:szCs w:val="20"/>
              </w:rPr>
            </w:pPr>
            <w:r w:rsidRPr="00AB6C7E">
              <w:rPr>
                <w:rFonts w:ascii="Arial Narrow" w:hAnsi="Arial Narrow" w:cs="Calibri"/>
                <w:b/>
                <w:bCs/>
                <w:sz w:val="20"/>
                <w:szCs w:val="20"/>
              </w:rPr>
              <w:t>Population</w:t>
            </w:r>
          </w:p>
        </w:tc>
        <w:tc>
          <w:tcPr>
            <w:tcW w:w="2149" w:type="dxa"/>
          </w:tcPr>
          <w:p w14:paraId="15A155ED" w14:textId="66C71A0B" w:rsidR="004352A3" w:rsidRPr="00AB6C7E" w:rsidRDefault="004352A3" w:rsidP="00E35BCA">
            <w:pPr>
              <w:keepNext/>
              <w:autoSpaceDE w:val="0"/>
              <w:autoSpaceDN w:val="0"/>
              <w:adjustRightInd w:val="0"/>
              <w:spacing w:after="0" w:line="23" w:lineRule="atLeast"/>
              <w:rPr>
                <w:rFonts w:ascii="Arial Narrow" w:hAnsi="Arial Narrow" w:cs="Calibri"/>
                <w:b/>
                <w:bCs/>
                <w:sz w:val="20"/>
                <w:szCs w:val="20"/>
              </w:rPr>
            </w:pPr>
            <w:r w:rsidRPr="00AB6C7E">
              <w:rPr>
                <w:rFonts w:ascii="Arial Narrow" w:hAnsi="Arial Narrow" w:cs="Calibri"/>
                <w:b/>
                <w:bCs/>
                <w:sz w:val="20"/>
                <w:szCs w:val="20"/>
              </w:rPr>
              <w:t>Intervention</w:t>
            </w:r>
          </w:p>
        </w:tc>
        <w:tc>
          <w:tcPr>
            <w:tcW w:w="882" w:type="dxa"/>
          </w:tcPr>
          <w:p w14:paraId="696A289B" w14:textId="127D0CEA" w:rsidR="004352A3" w:rsidRPr="00AB6C7E" w:rsidRDefault="004352A3" w:rsidP="00E35BCA">
            <w:pPr>
              <w:keepNext/>
              <w:autoSpaceDE w:val="0"/>
              <w:autoSpaceDN w:val="0"/>
              <w:adjustRightInd w:val="0"/>
              <w:spacing w:after="0" w:line="23" w:lineRule="atLeast"/>
              <w:rPr>
                <w:rFonts w:ascii="Arial Narrow" w:hAnsi="Arial Narrow" w:cs="Calibri"/>
                <w:b/>
                <w:bCs/>
                <w:sz w:val="20"/>
                <w:szCs w:val="20"/>
              </w:rPr>
            </w:pPr>
            <w:r w:rsidRPr="00AB6C7E">
              <w:rPr>
                <w:rFonts w:ascii="Arial Narrow" w:hAnsi="Arial Narrow" w:cs="Calibri"/>
                <w:b/>
                <w:bCs/>
                <w:sz w:val="20"/>
                <w:szCs w:val="20"/>
              </w:rPr>
              <w:t>Comparator</w:t>
            </w:r>
          </w:p>
        </w:tc>
        <w:tc>
          <w:tcPr>
            <w:tcW w:w="1464" w:type="dxa"/>
          </w:tcPr>
          <w:p w14:paraId="28A4B566" w14:textId="7E3A4D9E" w:rsidR="004352A3" w:rsidRPr="00AB6C7E" w:rsidRDefault="003D7128" w:rsidP="00E35BCA">
            <w:pPr>
              <w:keepNext/>
              <w:autoSpaceDE w:val="0"/>
              <w:autoSpaceDN w:val="0"/>
              <w:adjustRightInd w:val="0"/>
              <w:spacing w:after="0" w:line="23" w:lineRule="atLeast"/>
              <w:rPr>
                <w:rFonts w:ascii="Arial Narrow" w:hAnsi="Arial Narrow" w:cs="Calibri"/>
                <w:b/>
                <w:bCs/>
                <w:sz w:val="20"/>
                <w:szCs w:val="20"/>
              </w:rPr>
            </w:pPr>
            <w:r w:rsidRPr="00AB6C7E">
              <w:rPr>
                <w:rFonts w:ascii="Arial Narrow" w:hAnsi="Arial Narrow" w:cs="Calibri"/>
                <w:b/>
                <w:bCs/>
                <w:sz w:val="20"/>
                <w:szCs w:val="20"/>
              </w:rPr>
              <w:t>Completion</w:t>
            </w:r>
          </w:p>
        </w:tc>
      </w:tr>
      <w:tr w:rsidR="0087006F" w:rsidRPr="00AB6C7E" w14:paraId="12F93335" w14:textId="77777777" w:rsidTr="008320BD">
        <w:tc>
          <w:tcPr>
            <w:tcW w:w="1508" w:type="dxa"/>
          </w:tcPr>
          <w:p w14:paraId="2F6699DD" w14:textId="4742682E"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NCT02230176</w:t>
            </w:r>
          </w:p>
        </w:tc>
        <w:tc>
          <w:tcPr>
            <w:tcW w:w="1574" w:type="dxa"/>
          </w:tcPr>
          <w:p w14:paraId="0E298CAE" w14:textId="1ECB0AF7"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OCCLURANDOM</w:t>
            </w:r>
          </w:p>
        </w:tc>
        <w:tc>
          <w:tcPr>
            <w:tcW w:w="1994" w:type="dxa"/>
          </w:tcPr>
          <w:p w14:paraId="6B069712" w14:textId="7227DF06"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Unresectable, progressive, well-differential pNET, Phase II</w:t>
            </w:r>
          </w:p>
        </w:tc>
        <w:tc>
          <w:tcPr>
            <w:tcW w:w="2149" w:type="dxa"/>
          </w:tcPr>
          <w:p w14:paraId="76DE7FA7" w14:textId="3F7D8822"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Tahoma"/>
                <w:b/>
                <w:sz w:val="20"/>
                <w:szCs w:val="20"/>
                <w:vertAlign w:val="superscript"/>
              </w:rPr>
              <w:t>177</w:t>
            </w:r>
            <w:r w:rsidRPr="00AB6C7E">
              <w:rPr>
                <w:rFonts w:ascii="Arial Narrow" w:hAnsi="Arial Narrow" w:cs="Calibri"/>
                <w:sz w:val="20"/>
                <w:szCs w:val="20"/>
              </w:rPr>
              <w:t>Lu-DOTATATE 7.4 GBq x4</w:t>
            </w:r>
          </w:p>
        </w:tc>
        <w:tc>
          <w:tcPr>
            <w:tcW w:w="882" w:type="dxa"/>
          </w:tcPr>
          <w:p w14:paraId="50D41C15" w14:textId="75108744"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Suniti</w:t>
            </w:r>
            <w:r w:rsidR="00755AB3">
              <w:rPr>
                <w:rFonts w:ascii="Arial Narrow" w:hAnsi="Arial Narrow" w:cs="Calibri"/>
                <w:sz w:val="20"/>
                <w:szCs w:val="20"/>
              </w:rPr>
              <w:t>ni</w:t>
            </w:r>
            <w:r w:rsidRPr="00AB6C7E">
              <w:rPr>
                <w:rFonts w:ascii="Arial Narrow" w:hAnsi="Arial Narrow" w:cs="Calibri"/>
                <w:sz w:val="20"/>
                <w:szCs w:val="20"/>
              </w:rPr>
              <w:t>b 37.5,g/d</w:t>
            </w:r>
          </w:p>
        </w:tc>
        <w:tc>
          <w:tcPr>
            <w:tcW w:w="1464" w:type="dxa"/>
          </w:tcPr>
          <w:p w14:paraId="7446398D" w14:textId="240D5C24"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Oct 2023</w:t>
            </w:r>
          </w:p>
        </w:tc>
      </w:tr>
      <w:tr w:rsidR="0087006F" w:rsidRPr="00AB6C7E" w14:paraId="1785294C" w14:textId="77777777" w:rsidTr="008320BD">
        <w:tc>
          <w:tcPr>
            <w:tcW w:w="1508" w:type="dxa"/>
          </w:tcPr>
          <w:p w14:paraId="314209B0" w14:textId="403AAB3A"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NCT03049189</w:t>
            </w:r>
          </w:p>
        </w:tc>
        <w:tc>
          <w:tcPr>
            <w:tcW w:w="1574" w:type="dxa"/>
          </w:tcPr>
          <w:p w14:paraId="4D7A7ACE" w14:textId="2B10BEDC"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COMPETE</w:t>
            </w:r>
          </w:p>
        </w:tc>
        <w:tc>
          <w:tcPr>
            <w:tcW w:w="1994" w:type="dxa"/>
          </w:tcPr>
          <w:p w14:paraId="6EC610D1" w14:textId="4E02DE55"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Inoperable, progressive GET-NET, Phase III</w:t>
            </w:r>
          </w:p>
        </w:tc>
        <w:tc>
          <w:tcPr>
            <w:tcW w:w="2149" w:type="dxa"/>
          </w:tcPr>
          <w:p w14:paraId="3F8015EA" w14:textId="07EDFC24"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Tahoma"/>
                <w:b/>
                <w:sz w:val="20"/>
                <w:szCs w:val="20"/>
                <w:vertAlign w:val="superscript"/>
              </w:rPr>
              <w:t>177</w:t>
            </w:r>
            <w:r w:rsidRPr="00AB6C7E">
              <w:rPr>
                <w:rFonts w:ascii="Arial Narrow" w:hAnsi="Arial Narrow" w:cs="Calibri"/>
                <w:sz w:val="20"/>
                <w:szCs w:val="20"/>
              </w:rPr>
              <w:t>Lu-DOTATATOC 7.5+0.7 GBq x4</w:t>
            </w:r>
          </w:p>
        </w:tc>
        <w:tc>
          <w:tcPr>
            <w:tcW w:w="882" w:type="dxa"/>
          </w:tcPr>
          <w:p w14:paraId="2FD592BE" w14:textId="35593DB0"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Everolimus 10mg/d</w:t>
            </w:r>
          </w:p>
        </w:tc>
        <w:tc>
          <w:tcPr>
            <w:tcW w:w="1464" w:type="dxa"/>
          </w:tcPr>
          <w:p w14:paraId="2F6B499B" w14:textId="75071C3F"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June 2029</w:t>
            </w:r>
          </w:p>
        </w:tc>
      </w:tr>
      <w:tr w:rsidR="0087006F" w:rsidRPr="00AB6C7E" w14:paraId="713AB6BB" w14:textId="77777777" w:rsidTr="008320BD">
        <w:tc>
          <w:tcPr>
            <w:tcW w:w="1508" w:type="dxa"/>
          </w:tcPr>
          <w:p w14:paraId="39E2517E" w14:textId="5232C667"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NCT03972488</w:t>
            </w:r>
          </w:p>
        </w:tc>
        <w:tc>
          <w:tcPr>
            <w:tcW w:w="1574" w:type="dxa"/>
          </w:tcPr>
          <w:p w14:paraId="3A5D2FCE" w14:textId="1462B373"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NETTER-2</w:t>
            </w:r>
          </w:p>
        </w:tc>
        <w:tc>
          <w:tcPr>
            <w:tcW w:w="1994" w:type="dxa"/>
          </w:tcPr>
          <w:p w14:paraId="23FFD44B" w14:textId="3ACCFAA0"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Metastatic or locally advanced inoperable G2 or G3 GET-NET</w:t>
            </w:r>
          </w:p>
        </w:tc>
        <w:tc>
          <w:tcPr>
            <w:tcW w:w="2149" w:type="dxa"/>
          </w:tcPr>
          <w:p w14:paraId="28800EA6" w14:textId="56026AB9" w:rsidR="004352A3" w:rsidRPr="00632DDF" w:rsidRDefault="004352A3" w:rsidP="007B0205">
            <w:pPr>
              <w:keepNext/>
              <w:autoSpaceDE w:val="0"/>
              <w:autoSpaceDN w:val="0"/>
              <w:adjustRightInd w:val="0"/>
              <w:spacing w:after="0" w:line="23" w:lineRule="atLeast"/>
              <w:rPr>
                <w:rFonts w:ascii="Arial Narrow" w:hAnsi="Arial Narrow" w:cs="Calibri"/>
                <w:sz w:val="20"/>
                <w:szCs w:val="20"/>
              </w:rPr>
            </w:pPr>
            <w:r w:rsidRPr="00632DDF">
              <w:rPr>
                <w:rFonts w:ascii="Arial Narrow" w:hAnsi="Arial Narrow" w:cs="Calibri"/>
                <w:sz w:val="20"/>
                <w:szCs w:val="20"/>
              </w:rPr>
              <w:t>1</w:t>
            </w:r>
            <w:r w:rsidRPr="00632DDF">
              <w:rPr>
                <w:rFonts w:ascii="Arial Narrow" w:hAnsi="Arial Narrow" w:cs="Calibri"/>
                <w:sz w:val="20"/>
                <w:szCs w:val="20"/>
                <w:vertAlign w:val="superscript"/>
              </w:rPr>
              <w:t>st-</w:t>
            </w:r>
            <w:r w:rsidRPr="00632DDF">
              <w:rPr>
                <w:rFonts w:ascii="Arial Narrow" w:hAnsi="Arial Narrow" w:cs="Calibri"/>
                <w:sz w:val="20"/>
                <w:szCs w:val="20"/>
              </w:rPr>
              <w:t>line</w:t>
            </w:r>
            <w:r w:rsidRPr="00632DDF">
              <w:rPr>
                <w:rFonts w:ascii="Arial Narrow" w:hAnsi="Arial Narrow" w:cs="Tahoma"/>
                <w:b/>
                <w:sz w:val="20"/>
                <w:szCs w:val="20"/>
                <w:vertAlign w:val="superscript"/>
              </w:rPr>
              <w:t>177</w:t>
            </w:r>
            <w:r w:rsidRPr="00632DDF">
              <w:rPr>
                <w:rFonts w:ascii="Arial Narrow" w:hAnsi="Arial Narrow" w:cs="Calibri"/>
                <w:sz w:val="20"/>
                <w:szCs w:val="20"/>
              </w:rPr>
              <w:t>Lu-DOTATATE 7.4 GBq x4 plus octreotide LAR 30mg q 4 wk</w:t>
            </w:r>
          </w:p>
        </w:tc>
        <w:tc>
          <w:tcPr>
            <w:tcW w:w="882" w:type="dxa"/>
          </w:tcPr>
          <w:p w14:paraId="53BEC222" w14:textId="291A8BE1" w:rsidR="004352A3" w:rsidRPr="00632DDF" w:rsidRDefault="004352A3" w:rsidP="007B0205">
            <w:pPr>
              <w:keepNext/>
              <w:autoSpaceDE w:val="0"/>
              <w:autoSpaceDN w:val="0"/>
              <w:adjustRightInd w:val="0"/>
              <w:spacing w:after="0" w:line="23" w:lineRule="atLeast"/>
              <w:rPr>
                <w:rFonts w:ascii="Arial Narrow" w:hAnsi="Arial Narrow" w:cs="Calibri"/>
                <w:sz w:val="20"/>
                <w:szCs w:val="20"/>
              </w:rPr>
            </w:pPr>
            <w:r w:rsidRPr="00632DDF">
              <w:rPr>
                <w:rFonts w:ascii="Arial Narrow" w:hAnsi="Arial Narrow" w:cs="Calibri"/>
                <w:sz w:val="20"/>
                <w:szCs w:val="20"/>
              </w:rPr>
              <w:t>Octreotide LAR 60mg q 4 wk</w:t>
            </w:r>
          </w:p>
        </w:tc>
        <w:tc>
          <w:tcPr>
            <w:tcW w:w="1464" w:type="dxa"/>
          </w:tcPr>
          <w:p w14:paraId="582A654C" w14:textId="53006456"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July 2027</w:t>
            </w:r>
          </w:p>
        </w:tc>
      </w:tr>
      <w:tr w:rsidR="0087006F" w:rsidRPr="00AB6C7E" w14:paraId="1487EF94" w14:textId="77777777" w:rsidTr="008320BD">
        <w:tc>
          <w:tcPr>
            <w:tcW w:w="1508" w:type="dxa"/>
          </w:tcPr>
          <w:p w14:paraId="6D449E67" w14:textId="230ECA3D" w:rsidR="004352A3" w:rsidRPr="00AB6C7E" w:rsidRDefault="004352A3"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NCT04665739</w:t>
            </w:r>
          </w:p>
        </w:tc>
        <w:tc>
          <w:tcPr>
            <w:tcW w:w="1574" w:type="dxa"/>
          </w:tcPr>
          <w:p w14:paraId="7C7DCDF9" w14:textId="23D97A59" w:rsidR="004352A3" w:rsidRPr="00AB6C7E" w:rsidRDefault="00734ED2"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N/A</w:t>
            </w:r>
          </w:p>
        </w:tc>
        <w:tc>
          <w:tcPr>
            <w:tcW w:w="1994" w:type="dxa"/>
          </w:tcPr>
          <w:p w14:paraId="0153D3B4" w14:textId="4F3A20DA" w:rsidR="004352A3" w:rsidRPr="00AB6C7E" w:rsidRDefault="00734ED2"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Metastatic bronchial carcinoid tumour (well-/moderately dif</w:t>
            </w:r>
            <w:r w:rsidR="008A5190">
              <w:rPr>
                <w:rFonts w:ascii="Arial Narrow" w:hAnsi="Arial Narrow" w:cs="Calibri"/>
                <w:sz w:val="20"/>
                <w:szCs w:val="20"/>
              </w:rPr>
              <w:t>f.</w:t>
            </w:r>
            <w:r w:rsidRPr="00AB6C7E">
              <w:rPr>
                <w:rFonts w:ascii="Arial Narrow" w:hAnsi="Arial Narrow" w:cs="Calibri"/>
                <w:sz w:val="20"/>
                <w:szCs w:val="20"/>
              </w:rPr>
              <w:t xml:space="preserve"> , low/intermediate grade). Phase II</w:t>
            </w:r>
          </w:p>
        </w:tc>
        <w:tc>
          <w:tcPr>
            <w:tcW w:w="2149" w:type="dxa"/>
          </w:tcPr>
          <w:p w14:paraId="07ED58D1" w14:textId="4FDDB62F" w:rsidR="004352A3" w:rsidRPr="00AB6C7E" w:rsidRDefault="00734ED2"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Tahoma"/>
                <w:b/>
                <w:sz w:val="20"/>
                <w:szCs w:val="20"/>
                <w:vertAlign w:val="superscript"/>
              </w:rPr>
              <w:t>177</w:t>
            </w:r>
            <w:r w:rsidRPr="00AB6C7E">
              <w:rPr>
                <w:rFonts w:ascii="Arial Narrow" w:hAnsi="Arial Narrow" w:cs="Calibri"/>
                <w:sz w:val="20"/>
                <w:szCs w:val="20"/>
              </w:rPr>
              <w:t>Lu-DOTATATE (activity not stated) x4</w:t>
            </w:r>
          </w:p>
        </w:tc>
        <w:tc>
          <w:tcPr>
            <w:tcW w:w="882" w:type="dxa"/>
          </w:tcPr>
          <w:p w14:paraId="3774F4C9" w14:textId="368B731C" w:rsidR="004352A3" w:rsidRPr="00AB6C7E" w:rsidRDefault="00734ED2"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Everolimus</w:t>
            </w:r>
          </w:p>
        </w:tc>
        <w:tc>
          <w:tcPr>
            <w:tcW w:w="1464" w:type="dxa"/>
          </w:tcPr>
          <w:p w14:paraId="1CDFA477" w14:textId="3F91DD97" w:rsidR="004352A3" w:rsidRPr="00AB6C7E" w:rsidRDefault="00734ED2"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July 2024</w:t>
            </w:r>
          </w:p>
        </w:tc>
      </w:tr>
      <w:tr w:rsidR="0087006F" w:rsidRPr="00AB6C7E" w14:paraId="44F39388" w14:textId="77777777" w:rsidTr="008320BD">
        <w:tc>
          <w:tcPr>
            <w:tcW w:w="1508" w:type="dxa"/>
          </w:tcPr>
          <w:p w14:paraId="25458D73" w14:textId="68D15F54" w:rsidR="004352A3" w:rsidRPr="00AB6C7E" w:rsidRDefault="00734ED2"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NCT04919226</w:t>
            </w:r>
          </w:p>
        </w:tc>
        <w:tc>
          <w:tcPr>
            <w:tcW w:w="1574" w:type="dxa"/>
          </w:tcPr>
          <w:p w14:paraId="78502D6C" w14:textId="66EFB7A2" w:rsidR="004352A3" w:rsidRPr="00AB6C7E" w:rsidRDefault="00734ED2"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COMPOSE</w:t>
            </w:r>
          </w:p>
        </w:tc>
        <w:tc>
          <w:tcPr>
            <w:tcW w:w="1994" w:type="dxa"/>
          </w:tcPr>
          <w:p w14:paraId="36EB6E5D" w14:textId="70DCD422" w:rsidR="004352A3" w:rsidRPr="00AB6C7E" w:rsidRDefault="00734ED2"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Unresectable G2 or G3 GEP-NET; Phase III</w:t>
            </w:r>
          </w:p>
        </w:tc>
        <w:tc>
          <w:tcPr>
            <w:tcW w:w="2149" w:type="dxa"/>
          </w:tcPr>
          <w:p w14:paraId="00F5AF72" w14:textId="0CCCA99A" w:rsidR="004352A3" w:rsidRPr="00AB6C7E" w:rsidRDefault="00734ED2"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1</w:t>
            </w:r>
            <w:r w:rsidRPr="00AB6C7E">
              <w:rPr>
                <w:rFonts w:ascii="Arial Narrow" w:hAnsi="Arial Narrow" w:cs="Calibri"/>
                <w:sz w:val="20"/>
                <w:szCs w:val="20"/>
                <w:vertAlign w:val="superscript"/>
              </w:rPr>
              <w:t>st</w:t>
            </w:r>
            <w:r w:rsidRPr="00AB6C7E">
              <w:rPr>
                <w:rFonts w:ascii="Arial Narrow" w:hAnsi="Arial Narrow" w:cs="Calibri"/>
                <w:sz w:val="20"/>
                <w:szCs w:val="20"/>
              </w:rPr>
              <w:t xml:space="preserve"> or 2</w:t>
            </w:r>
            <w:r w:rsidRPr="00AB6C7E">
              <w:rPr>
                <w:rFonts w:ascii="Arial Narrow" w:hAnsi="Arial Narrow" w:cs="Calibri"/>
                <w:sz w:val="20"/>
                <w:szCs w:val="20"/>
                <w:vertAlign w:val="superscript"/>
              </w:rPr>
              <w:t>nd</w:t>
            </w:r>
            <w:r w:rsidRPr="00AB6C7E">
              <w:rPr>
                <w:rFonts w:ascii="Arial Narrow" w:hAnsi="Arial Narrow" w:cs="Calibri"/>
                <w:sz w:val="20"/>
                <w:szCs w:val="20"/>
              </w:rPr>
              <w:t xml:space="preserve"> line </w:t>
            </w:r>
            <w:r w:rsidRPr="00AB6C7E">
              <w:rPr>
                <w:rFonts w:ascii="Arial Narrow" w:hAnsi="Arial Narrow" w:cs="Tahoma"/>
                <w:b/>
                <w:sz w:val="20"/>
                <w:szCs w:val="20"/>
                <w:vertAlign w:val="superscript"/>
              </w:rPr>
              <w:t>177</w:t>
            </w:r>
            <w:r w:rsidRPr="00AB6C7E">
              <w:rPr>
                <w:rFonts w:ascii="Arial Narrow" w:hAnsi="Arial Narrow" w:cs="Calibri"/>
                <w:sz w:val="20"/>
                <w:szCs w:val="20"/>
              </w:rPr>
              <w:t>Lu-DOTATATE 7.4 GBq x4</w:t>
            </w:r>
          </w:p>
        </w:tc>
        <w:tc>
          <w:tcPr>
            <w:tcW w:w="882" w:type="dxa"/>
          </w:tcPr>
          <w:p w14:paraId="764DED5E" w14:textId="77777777" w:rsidR="004352A3" w:rsidRPr="00AB6C7E" w:rsidRDefault="00734ED2"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 xml:space="preserve">Best standard of care </w:t>
            </w:r>
          </w:p>
          <w:p w14:paraId="4AC999D6" w14:textId="77777777" w:rsidR="00734ED2" w:rsidRPr="00AB6C7E" w:rsidRDefault="00734ED2" w:rsidP="007B0205">
            <w:pPr>
              <w:pStyle w:val="ListParagraph"/>
              <w:keepNext/>
              <w:numPr>
                <w:ilvl w:val="0"/>
                <w:numId w:val="27"/>
              </w:numPr>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CAPTEM</w:t>
            </w:r>
          </w:p>
          <w:p w14:paraId="027F144F" w14:textId="77777777" w:rsidR="00734ED2" w:rsidRPr="00AB6C7E" w:rsidRDefault="00734ED2" w:rsidP="007B0205">
            <w:pPr>
              <w:pStyle w:val="ListParagraph"/>
              <w:keepNext/>
              <w:numPr>
                <w:ilvl w:val="0"/>
                <w:numId w:val="27"/>
              </w:numPr>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Everolimus</w:t>
            </w:r>
          </w:p>
          <w:p w14:paraId="6C584ABB" w14:textId="3C9F7EA1" w:rsidR="00734ED2" w:rsidRPr="00AB6C7E" w:rsidRDefault="00734ED2" w:rsidP="007B0205">
            <w:pPr>
              <w:pStyle w:val="ListParagraph"/>
              <w:keepNext/>
              <w:numPr>
                <w:ilvl w:val="0"/>
                <w:numId w:val="27"/>
              </w:numPr>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FOLFOX</w:t>
            </w:r>
          </w:p>
        </w:tc>
        <w:tc>
          <w:tcPr>
            <w:tcW w:w="1464" w:type="dxa"/>
          </w:tcPr>
          <w:p w14:paraId="1237C91F" w14:textId="7186B86D" w:rsidR="004352A3" w:rsidRPr="00AB6C7E" w:rsidRDefault="00734ED2"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Sep 2026</w:t>
            </w:r>
          </w:p>
        </w:tc>
      </w:tr>
      <w:tr w:rsidR="0087006F" w:rsidRPr="00AB6C7E" w14:paraId="10C5B4C1" w14:textId="77777777" w:rsidTr="008320BD">
        <w:tc>
          <w:tcPr>
            <w:tcW w:w="1508" w:type="dxa"/>
          </w:tcPr>
          <w:p w14:paraId="7716F492" w14:textId="4D834715" w:rsidR="004352A3" w:rsidRPr="00AB6C7E" w:rsidRDefault="001F2B7B"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NCT05247905</w:t>
            </w:r>
          </w:p>
        </w:tc>
        <w:tc>
          <w:tcPr>
            <w:tcW w:w="1574" w:type="dxa"/>
          </w:tcPr>
          <w:p w14:paraId="46B18564" w14:textId="2DC7B80E" w:rsidR="004352A3" w:rsidRPr="00AB6C7E" w:rsidRDefault="001F2B7B"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N/A</w:t>
            </w:r>
          </w:p>
        </w:tc>
        <w:tc>
          <w:tcPr>
            <w:tcW w:w="1994" w:type="dxa"/>
          </w:tcPr>
          <w:p w14:paraId="2357388D" w14:textId="4547A4B3" w:rsidR="004352A3" w:rsidRPr="00AB6C7E" w:rsidRDefault="001F2B7B"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G1, G2 or well-diff G3 pNET unresectable/metastatic, Phase III</w:t>
            </w:r>
          </w:p>
        </w:tc>
        <w:tc>
          <w:tcPr>
            <w:tcW w:w="2149" w:type="dxa"/>
          </w:tcPr>
          <w:p w14:paraId="6421504A" w14:textId="4932A38F" w:rsidR="004352A3" w:rsidRPr="00AB6C7E" w:rsidRDefault="001F2B7B"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Tahoma"/>
                <w:b/>
                <w:sz w:val="20"/>
                <w:szCs w:val="20"/>
                <w:vertAlign w:val="superscript"/>
              </w:rPr>
              <w:t>177</w:t>
            </w:r>
            <w:r w:rsidRPr="00AB6C7E">
              <w:rPr>
                <w:rFonts w:ascii="Arial Narrow" w:hAnsi="Arial Narrow" w:cs="Calibri"/>
                <w:sz w:val="20"/>
                <w:szCs w:val="20"/>
              </w:rPr>
              <w:t>Lu-DOTATATE (activity NS) q 8wk x4</w:t>
            </w:r>
          </w:p>
        </w:tc>
        <w:tc>
          <w:tcPr>
            <w:tcW w:w="882" w:type="dxa"/>
          </w:tcPr>
          <w:p w14:paraId="6D120344" w14:textId="143F5FCD" w:rsidR="004352A3" w:rsidRPr="00AB6C7E" w:rsidRDefault="001F2B7B"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CAPTEM q 4wk x 12</w:t>
            </w:r>
          </w:p>
        </w:tc>
        <w:tc>
          <w:tcPr>
            <w:tcW w:w="1464" w:type="dxa"/>
          </w:tcPr>
          <w:p w14:paraId="6714467B" w14:textId="2A7CD345" w:rsidR="004352A3" w:rsidRPr="00AB6C7E" w:rsidRDefault="001F2B7B" w:rsidP="007B0205">
            <w:pPr>
              <w:keepNext/>
              <w:autoSpaceDE w:val="0"/>
              <w:autoSpaceDN w:val="0"/>
              <w:adjustRightInd w:val="0"/>
              <w:spacing w:after="0" w:line="23" w:lineRule="atLeast"/>
              <w:rPr>
                <w:rFonts w:ascii="Arial Narrow" w:hAnsi="Arial Narrow" w:cs="Calibri"/>
                <w:sz w:val="20"/>
                <w:szCs w:val="20"/>
              </w:rPr>
            </w:pPr>
            <w:r w:rsidRPr="00AB6C7E">
              <w:rPr>
                <w:rFonts w:ascii="Arial Narrow" w:hAnsi="Arial Narrow" w:cs="Calibri"/>
                <w:sz w:val="20"/>
                <w:szCs w:val="20"/>
              </w:rPr>
              <w:t>Oct 2033</w:t>
            </w:r>
          </w:p>
        </w:tc>
      </w:tr>
    </w:tbl>
    <w:p w14:paraId="3D2BE355" w14:textId="77777777" w:rsidR="00AB6C7E" w:rsidRPr="00ED4E95" w:rsidDel="00302581" w:rsidRDefault="00AB6C7E" w:rsidP="00AB6C7E">
      <w:pPr>
        <w:pStyle w:val="Tablenotes"/>
        <w:spacing w:after="0"/>
      </w:pPr>
      <w:r w:rsidRPr="004D4938" w:rsidDel="00302581">
        <w:t xml:space="preserve">Source: </w:t>
      </w:r>
      <w:r w:rsidRPr="004D4938">
        <w:t>Developed by PASC</w:t>
      </w:r>
    </w:p>
    <w:p w14:paraId="789D30CF" w14:textId="745E74AD" w:rsidR="004352A3" w:rsidRPr="00632DDF" w:rsidRDefault="00A51951" w:rsidP="00E35BCA">
      <w:pPr>
        <w:keepNext/>
        <w:autoSpaceDE w:val="0"/>
        <w:autoSpaceDN w:val="0"/>
        <w:adjustRightInd w:val="0"/>
        <w:spacing w:after="0" w:line="23" w:lineRule="atLeast"/>
        <w:rPr>
          <w:rFonts w:ascii="Arial Narrow" w:hAnsi="Arial Narrow" w:cs="Calibri"/>
          <w:iCs/>
          <w:color w:val="000000" w:themeColor="text1"/>
        </w:rPr>
      </w:pPr>
      <w:r w:rsidRPr="00464F3A">
        <w:rPr>
          <w:rFonts w:ascii="Arial Narrow" w:hAnsi="Arial Narrow" w:cs="Calibri"/>
          <w:iCs/>
          <w:color w:val="000000" w:themeColor="text1"/>
          <w:sz w:val="18"/>
          <w:szCs w:val="18"/>
        </w:rPr>
        <w:t>CAPTEM=Capecitabine+temoxolomide; FOLFOX=folinic acid+fluorouracil+oxaliplatin; GEP-NET=gastroenteropancreatic neuroendocrine tumour; pNET=pancreatic NET</w:t>
      </w:r>
      <w:r w:rsidRPr="00632DDF">
        <w:rPr>
          <w:rFonts w:ascii="Arial Narrow" w:hAnsi="Arial Narrow" w:cs="Calibri"/>
          <w:iCs/>
          <w:color w:val="000000" w:themeColor="text1"/>
          <w:sz w:val="18"/>
          <w:szCs w:val="18"/>
        </w:rPr>
        <w:t>;</w:t>
      </w:r>
      <w:r w:rsidR="00632DDF">
        <w:rPr>
          <w:rFonts w:ascii="Arial Narrow" w:hAnsi="Arial Narrow" w:cs="Calibri"/>
          <w:iCs/>
          <w:color w:val="000000" w:themeColor="text1"/>
          <w:sz w:val="18"/>
          <w:szCs w:val="18"/>
        </w:rPr>
        <w:t xml:space="preserve"> diff=differentiated; q= every: wk= week</w:t>
      </w:r>
    </w:p>
    <w:p w14:paraId="15863BAA" w14:textId="157688E1" w:rsidR="00677AE3" w:rsidRPr="00ED4E95" w:rsidRDefault="00677AE3" w:rsidP="00713728">
      <w:pPr>
        <w:pStyle w:val="Heading3"/>
      </w:pPr>
      <w:r w:rsidRPr="00ED4E95">
        <w:t>Reference standard (for investigative technologies only)</w:t>
      </w:r>
    </w:p>
    <w:p w14:paraId="1D368F5D" w14:textId="0021BC9C" w:rsidR="00C64209" w:rsidRPr="00922B1C" w:rsidRDefault="00C64209" w:rsidP="00082E65">
      <w:r w:rsidRPr="00922B1C">
        <w:t xml:space="preserve">No reference standards for SSTR-PET/CT imaging were nominated.  </w:t>
      </w:r>
    </w:p>
    <w:p w14:paraId="7F7D0078" w14:textId="2489D3B3" w:rsidR="00AA0B31" w:rsidRDefault="00B71EE4" w:rsidP="007B0205">
      <w:pPr>
        <w:jc w:val="both"/>
      </w:pPr>
      <w:r w:rsidRPr="00922B1C">
        <w:t xml:space="preserve">In the assessment of </w:t>
      </w:r>
      <w:r w:rsidRPr="00922B1C">
        <w:rPr>
          <w:vertAlign w:val="superscript"/>
        </w:rPr>
        <w:t>68</w:t>
      </w:r>
      <w:r w:rsidRPr="00922B1C">
        <w:t>Ga-</w:t>
      </w:r>
      <w:r w:rsidR="001C03D0">
        <w:t>DOTA-</w:t>
      </w:r>
      <w:r w:rsidR="00110D5F">
        <w:t xml:space="preserve">octreotate </w:t>
      </w:r>
      <w:r w:rsidRPr="00922B1C">
        <w:t xml:space="preserve">PET/CT, the </w:t>
      </w:r>
      <w:r w:rsidR="00E312FC" w:rsidRPr="00922B1C">
        <w:t xml:space="preserve">MSAC 1479R PSD </w:t>
      </w:r>
      <w:r w:rsidRPr="00922B1C">
        <w:t xml:space="preserve">noted (p2) </w:t>
      </w:r>
      <w:r w:rsidR="00E312FC" w:rsidRPr="00922B1C">
        <w:t>that while the gold standard for the diagnosis of GEP</w:t>
      </w:r>
      <w:r w:rsidRPr="00922B1C">
        <w:t>-</w:t>
      </w:r>
      <w:r w:rsidR="00E312FC" w:rsidRPr="00922B1C">
        <w:t>NETS is histopathology, the evidence presented</w:t>
      </w:r>
      <w:r w:rsidR="000C2145" w:rsidRPr="00922B1C">
        <w:t xml:space="preserve"> in 1479R </w:t>
      </w:r>
      <w:r w:rsidR="00E312FC" w:rsidRPr="00922B1C">
        <w:t xml:space="preserve">to support the diagnostic accuracy of </w:t>
      </w:r>
      <w:r w:rsidRPr="00922B1C">
        <w:rPr>
          <w:vertAlign w:val="superscript"/>
        </w:rPr>
        <w:t>68</w:t>
      </w:r>
      <w:r w:rsidRPr="00922B1C">
        <w:t>Ga-</w:t>
      </w:r>
      <w:r w:rsidR="001C03D0">
        <w:t>DOTA-</w:t>
      </w:r>
      <w:r w:rsidR="00110D5F">
        <w:t xml:space="preserve">octreotate </w:t>
      </w:r>
      <w:r w:rsidRPr="00922B1C">
        <w:t>PET/CT</w:t>
      </w:r>
      <w:r w:rsidR="00E312FC" w:rsidRPr="00922B1C">
        <w:t xml:space="preserve">, consisted of a composite reference standard which </w:t>
      </w:r>
      <w:r w:rsidR="00E312FC" w:rsidRPr="00922B1C">
        <w:lastRenderedPageBreak/>
        <w:t>included the results from histopathology and/or conventional imaging and/or clinical follow-up of at least one year</w:t>
      </w:r>
      <w:r w:rsidR="005F56F5" w:rsidRPr="00922B1C">
        <w:t xml:space="preserve"> (MSAC 1479R, 2017)</w:t>
      </w:r>
      <w:r w:rsidRPr="00922B1C">
        <w:t>.</w:t>
      </w:r>
      <w:r w:rsidR="00A0561F" w:rsidRPr="00922B1C" w:rsidDel="00A0561F">
        <w:t xml:space="preserve"> </w:t>
      </w:r>
    </w:p>
    <w:p w14:paraId="01078226" w14:textId="1A4B0F4D" w:rsidR="003D1F86" w:rsidRPr="00442522" w:rsidRDefault="00442522" w:rsidP="007B0205">
      <w:pPr>
        <w:jc w:val="both"/>
        <w:rPr>
          <w:rFonts w:cs="Calibri"/>
          <w:i/>
          <w:iCs/>
        </w:rPr>
      </w:pPr>
      <w:r w:rsidRPr="004C3B98">
        <w:rPr>
          <w:rFonts w:cs="Calibri"/>
          <w:i/>
          <w:iCs/>
        </w:rPr>
        <w:t xml:space="preserve">At the April </w:t>
      </w:r>
      <w:r w:rsidR="00FC2046">
        <w:rPr>
          <w:rFonts w:cs="Calibri"/>
          <w:i/>
          <w:iCs/>
        </w:rPr>
        <w:t xml:space="preserve">2023 </w:t>
      </w:r>
      <w:r w:rsidRPr="004C3B98">
        <w:rPr>
          <w:rFonts w:cs="Calibri"/>
          <w:i/>
          <w:iCs/>
        </w:rPr>
        <w:t xml:space="preserve">meeting, </w:t>
      </w:r>
      <w:r w:rsidR="003D1F86" w:rsidRPr="00442522">
        <w:rPr>
          <w:rFonts w:cs="Calibri"/>
          <w:i/>
          <w:iCs/>
        </w:rPr>
        <w:t xml:space="preserve">PASC considered that immunohistochemistry (IHC) for SSTR-2 expression as the appropriate reference standard for </w:t>
      </w:r>
      <w:r w:rsidR="003D1F86" w:rsidRPr="00442522">
        <w:rPr>
          <w:rFonts w:cs="Calibri"/>
          <w:i/>
          <w:iCs/>
          <w:vertAlign w:val="superscript"/>
        </w:rPr>
        <w:t>68</w:t>
      </w:r>
      <w:r w:rsidR="003D1F86" w:rsidRPr="00442522">
        <w:rPr>
          <w:rFonts w:cs="Calibri"/>
          <w:i/>
          <w:iCs/>
        </w:rPr>
        <w:t>G</w:t>
      </w:r>
      <w:r w:rsidR="00797606" w:rsidRPr="00442522">
        <w:rPr>
          <w:rFonts w:cs="Calibri"/>
          <w:i/>
          <w:iCs/>
        </w:rPr>
        <w:t>a</w:t>
      </w:r>
      <w:r w:rsidR="003D1F86" w:rsidRPr="00442522">
        <w:rPr>
          <w:rFonts w:cs="Calibri"/>
          <w:i/>
          <w:iCs/>
        </w:rPr>
        <w:t>-</w:t>
      </w:r>
      <w:r w:rsidR="001C03D0" w:rsidRPr="00442522">
        <w:rPr>
          <w:rFonts w:cs="Calibri"/>
          <w:i/>
          <w:iCs/>
        </w:rPr>
        <w:t xml:space="preserve">DOTA-octreotate </w:t>
      </w:r>
      <w:r w:rsidR="003D1F86" w:rsidRPr="00442522">
        <w:rPr>
          <w:rFonts w:cs="Calibri"/>
          <w:i/>
          <w:iCs/>
        </w:rPr>
        <w:t>.</w:t>
      </w:r>
    </w:p>
    <w:p w14:paraId="1818A8F3" w14:textId="08D1E252" w:rsidR="003D1F86" w:rsidRDefault="00FC2046" w:rsidP="007B0205">
      <w:pPr>
        <w:jc w:val="both"/>
        <w:rPr>
          <w:rFonts w:cs="Calibri"/>
          <w:i/>
          <w:iCs/>
        </w:rPr>
      </w:pPr>
      <w:r w:rsidRPr="004C3B98">
        <w:rPr>
          <w:rFonts w:cs="Calibri"/>
          <w:i/>
          <w:iCs/>
        </w:rPr>
        <w:t xml:space="preserve">At the April </w:t>
      </w:r>
      <w:r>
        <w:rPr>
          <w:rFonts w:cs="Calibri"/>
          <w:i/>
          <w:iCs/>
        </w:rPr>
        <w:t xml:space="preserve">2023 </w:t>
      </w:r>
      <w:r w:rsidRPr="004C3B98">
        <w:rPr>
          <w:rFonts w:cs="Calibri"/>
          <w:i/>
          <w:iCs/>
        </w:rPr>
        <w:t xml:space="preserve">meeting, </w:t>
      </w:r>
      <w:r w:rsidR="003D1F86" w:rsidRPr="00442522">
        <w:rPr>
          <w:rFonts w:cs="Calibri"/>
          <w:i/>
          <w:iCs/>
        </w:rPr>
        <w:t>PASC considered there was no appropriate reference standard for FDG PET/CT.</w:t>
      </w:r>
    </w:p>
    <w:p w14:paraId="3BC68763" w14:textId="6786B75D" w:rsidR="00CE1B13" w:rsidRPr="00ED4E95" w:rsidRDefault="00CE1B13" w:rsidP="007B0205">
      <w:pPr>
        <w:pStyle w:val="Heading3"/>
        <w:jc w:val="both"/>
      </w:pPr>
      <w:r w:rsidRPr="00ED4E95">
        <w:t xml:space="preserve">Clinical utility standard (for </w:t>
      </w:r>
      <w:r w:rsidR="00BA4AFE" w:rsidRPr="00ED4E95">
        <w:t>co-dependent</w:t>
      </w:r>
      <w:r w:rsidRPr="00ED4E95">
        <w:t xml:space="preserve"> investigative technologies only)</w:t>
      </w:r>
    </w:p>
    <w:p w14:paraId="132E66F0" w14:textId="0EA55A4A" w:rsidR="00640865" w:rsidRPr="00922B1C" w:rsidRDefault="00082E65" w:rsidP="007B0205">
      <w:pPr>
        <w:jc w:val="both"/>
      </w:pPr>
      <w:r w:rsidRPr="00922B1C">
        <w:t xml:space="preserve">The clinical utility standard for SSTR-PET/CT </w:t>
      </w:r>
      <w:r w:rsidR="00EB4B1B" w:rsidRPr="00922B1C">
        <w:t xml:space="preserve">in this application </w:t>
      </w:r>
      <w:r w:rsidR="00BE1E79" w:rsidRPr="00922B1C">
        <w:t>w</w:t>
      </w:r>
      <w:r w:rsidR="00444B03" w:rsidRPr="00922B1C">
        <w:t>as</w:t>
      </w:r>
      <w:r w:rsidR="00BE1E79" w:rsidRPr="00922B1C">
        <w:t xml:space="preserve"> </w:t>
      </w:r>
      <w:r w:rsidR="00BE1E79" w:rsidRPr="00922B1C">
        <w:rPr>
          <w:vertAlign w:val="superscript"/>
        </w:rPr>
        <w:t>68</w:t>
      </w:r>
      <w:r w:rsidR="00BE1E79" w:rsidRPr="00922B1C">
        <w:t>Ga-</w:t>
      </w:r>
      <w:r w:rsidR="001C03D0">
        <w:t>DOTA-</w:t>
      </w:r>
      <w:r w:rsidR="00110D5F">
        <w:t xml:space="preserve">octreotate </w:t>
      </w:r>
      <w:r w:rsidR="00BE1E79" w:rsidRPr="00922B1C">
        <w:t>SSTR-PET/CT imaging</w:t>
      </w:r>
      <w:r w:rsidR="00A0561F" w:rsidRPr="00922B1C">
        <w:t xml:space="preserve"> or </w:t>
      </w:r>
      <w:r w:rsidR="00504C7D">
        <w:t xml:space="preserve">OctreoScan® </w:t>
      </w:r>
      <w:r w:rsidR="00A0561F" w:rsidRPr="00922B1C">
        <w:t>SPECT/CT</w:t>
      </w:r>
      <w:r w:rsidR="00444B03" w:rsidRPr="00922B1C">
        <w:t>.</w:t>
      </w:r>
      <w:r w:rsidR="00B46544" w:rsidRPr="00922B1C">
        <w:t xml:space="preserve"> </w:t>
      </w:r>
    </w:p>
    <w:p w14:paraId="5B7EF406" w14:textId="75A2938A" w:rsidR="00406C99" w:rsidRDefault="00406C99" w:rsidP="007B0205">
      <w:pPr>
        <w:jc w:val="both"/>
      </w:pPr>
      <w:r w:rsidRPr="00922B1C">
        <w:t xml:space="preserve">Where </w:t>
      </w:r>
      <w:r w:rsidRPr="00922B1C">
        <w:rPr>
          <w:vertAlign w:val="superscript"/>
        </w:rPr>
        <w:t>68</w:t>
      </w:r>
      <w:r w:rsidRPr="00922B1C">
        <w:t>Ga-</w:t>
      </w:r>
      <w:r w:rsidR="001C03D0">
        <w:t>DOTA-</w:t>
      </w:r>
      <w:r w:rsidR="00110D5F">
        <w:t xml:space="preserve">octreotate </w:t>
      </w:r>
      <w:r w:rsidRPr="00922B1C">
        <w:t xml:space="preserve">PET/CT was </w:t>
      </w:r>
      <w:r w:rsidR="003D2442" w:rsidRPr="00922B1C">
        <w:t>performed</w:t>
      </w:r>
      <w:r w:rsidRPr="00922B1C">
        <w:t xml:space="preserve"> in the studies cited in the application</w:t>
      </w:r>
      <w:r w:rsidR="00347DC9" w:rsidRPr="00922B1C">
        <w:t>, the modified Krenning score (5-point scale)</w:t>
      </w:r>
      <w:r w:rsidR="00866501" w:rsidRPr="00922B1C">
        <w:t xml:space="preserve"> was used</w:t>
      </w:r>
      <w:r w:rsidR="00347DC9" w:rsidRPr="00922B1C">
        <w:t xml:space="preserve">: 0=no uptake, 1=very low uptake, 2=uptake no more than the liver, 3=uptake greater than the liver, 4=uptake greater than the spleen. </w:t>
      </w:r>
      <w:r w:rsidR="00693C4F" w:rsidRPr="00922B1C">
        <w:t xml:space="preserve">A SSTR-positive status on PET/CT was based on a modified Krenning score </w:t>
      </w:r>
      <w:r w:rsidR="00693C4F" w:rsidRPr="00922B1C">
        <w:rPr>
          <w:rFonts w:cs="Calibri"/>
        </w:rPr>
        <w:t>≥</w:t>
      </w:r>
      <w:r w:rsidR="00693C4F" w:rsidRPr="00922B1C">
        <w:t xml:space="preserve">3 (i.e., tumour uptake greater than liver uptake). </w:t>
      </w:r>
      <w:r w:rsidR="00A0561F" w:rsidRPr="00922B1C">
        <w:t xml:space="preserve">Where </w:t>
      </w:r>
      <w:r w:rsidR="00504C7D">
        <w:t xml:space="preserve">OctreoScan® </w:t>
      </w:r>
      <w:r w:rsidR="00A0561F" w:rsidRPr="00922B1C">
        <w:t xml:space="preserve">was used in the studies cited by the application, the Krenning score (4-point scale) was used: 1=uptake less than liver, 2=uptake is </w:t>
      </w:r>
      <w:bookmarkStart w:id="47" w:name="_Int_zzrp6BUG"/>
      <w:r w:rsidR="00A0561F" w:rsidRPr="00922B1C">
        <w:t>approximately equal</w:t>
      </w:r>
      <w:bookmarkEnd w:id="47"/>
      <w:r w:rsidR="00A0561F" w:rsidRPr="00922B1C">
        <w:t xml:space="preserve"> to liver, 3=uptake is greater than liver, and 4=uptake is greater than kidney and spleen.</w:t>
      </w:r>
      <w:r w:rsidR="000E31B7">
        <w:t xml:space="preserve"> </w:t>
      </w:r>
      <w:r w:rsidR="005C1FB6" w:rsidRPr="00E35BCA">
        <w:t>Strosbe</w:t>
      </w:r>
      <w:r w:rsidR="00057F61" w:rsidRPr="00E35BCA">
        <w:t>rg</w:t>
      </w:r>
      <w:r w:rsidR="00E25016" w:rsidRPr="00E35BCA">
        <w:t xml:space="preserve"> </w:t>
      </w:r>
      <w:r w:rsidR="00F13C88" w:rsidRPr="00E35BCA">
        <w:t xml:space="preserve">et al. </w:t>
      </w:r>
      <w:r w:rsidR="00724D96" w:rsidRPr="00E35BCA">
        <w:t xml:space="preserve">performed a </w:t>
      </w:r>
      <w:r w:rsidR="00826127" w:rsidRPr="00E35BCA">
        <w:t>Phase 3 trial</w:t>
      </w:r>
      <w:r w:rsidR="00785985" w:rsidRPr="00E35BCA">
        <w:t xml:space="preserve"> (NETTER-1 trial)</w:t>
      </w:r>
      <w:r w:rsidR="00826127" w:rsidRPr="00E35BCA">
        <w:t xml:space="preserve"> which provides the</w:t>
      </w:r>
      <w:r w:rsidR="000E31B7" w:rsidRPr="00E35BCA">
        <w:t xml:space="preserve"> best evidence for the efficacy of </w:t>
      </w:r>
      <w:r w:rsidR="000E31B7" w:rsidRPr="00E35BCA">
        <w:rPr>
          <w:vertAlign w:val="superscript"/>
        </w:rPr>
        <w:t>177</w:t>
      </w:r>
      <w:r w:rsidR="000E31B7" w:rsidRPr="00E35BCA">
        <w:t>Lu-DOTA-octreotate in advanced midgut neuroend</w:t>
      </w:r>
      <w:r w:rsidR="00CA1CBA" w:rsidRPr="00E35BCA">
        <w:t>o</w:t>
      </w:r>
      <w:r w:rsidR="000E31B7" w:rsidRPr="00E35BCA">
        <w:t>crine tumours graded tumours</w:t>
      </w:r>
      <w:r w:rsidR="002D020A" w:rsidRPr="00E35BCA">
        <w:t xml:space="preserve"> </w:t>
      </w:r>
      <w:r w:rsidR="00442522" w:rsidRPr="00E35BCA">
        <w:t>(</w:t>
      </w:r>
      <w:r w:rsidR="000E31B7" w:rsidRPr="00E35BCA">
        <w:t>Strosberg 2017</w:t>
      </w:r>
      <w:r w:rsidR="00442522" w:rsidRPr="00E35BCA">
        <w:t>)</w:t>
      </w:r>
      <w:r w:rsidR="00CA1CBA" w:rsidRPr="00E35BCA">
        <w:t>.</w:t>
      </w:r>
      <w:r w:rsidR="000E31B7" w:rsidRPr="00E35BCA">
        <w:t xml:space="preserve"> </w:t>
      </w:r>
      <w:r w:rsidR="00CA1CBA" w:rsidRPr="00E35BCA">
        <w:t>P</w:t>
      </w:r>
      <w:r w:rsidR="000E31B7" w:rsidRPr="00E35BCA">
        <w:t xml:space="preserve">atients were included in the study if </w:t>
      </w:r>
      <w:r w:rsidR="00D02C3E" w:rsidRPr="00E35BCA">
        <w:t xml:space="preserve">they </w:t>
      </w:r>
      <w:r w:rsidR="000E31B7" w:rsidRPr="00E35BCA">
        <w:t>had somatostatin receptors on all target lesions</w:t>
      </w:r>
      <w:r w:rsidR="00FE013F" w:rsidRPr="00E35BCA">
        <w:t xml:space="preserve"> as determined by </w:t>
      </w:r>
      <w:r w:rsidR="002F506F" w:rsidRPr="00E35BCA">
        <w:t xml:space="preserve">somatostatin receptor scintigraphy. </w:t>
      </w:r>
      <w:r w:rsidR="001B1B9E" w:rsidRPr="00E35BCA">
        <w:t>Target lesions were identified via CT or MRI</w:t>
      </w:r>
      <w:r w:rsidR="001B1B9E" w:rsidRPr="004F6F49">
        <w:t xml:space="preserve">.  </w:t>
      </w:r>
      <w:r w:rsidR="002F506F" w:rsidRPr="00E35BCA">
        <w:t>Although the Krenning scale was used,</w:t>
      </w:r>
      <w:r w:rsidR="000E31B7" w:rsidRPr="00E35BCA">
        <w:t xml:space="preserve"> th</w:t>
      </w:r>
      <w:r w:rsidR="00442522" w:rsidRPr="00E35BCA">
        <w:t>r</w:t>
      </w:r>
      <w:r w:rsidR="000E31B7" w:rsidRPr="00E35BCA">
        <w:t xml:space="preserve">esholds </w:t>
      </w:r>
      <w:r w:rsidR="003B484A" w:rsidRPr="00E35BCA">
        <w:t xml:space="preserve">to determine eligibility for </w:t>
      </w:r>
      <w:r w:rsidR="003B484A" w:rsidRPr="00E35BCA">
        <w:rPr>
          <w:vertAlign w:val="superscript"/>
        </w:rPr>
        <w:t>177</w:t>
      </w:r>
      <w:r w:rsidR="003B484A" w:rsidRPr="00E35BCA">
        <w:t xml:space="preserve">Lu-DOTA-octreotate </w:t>
      </w:r>
      <w:r w:rsidR="000E31B7" w:rsidRPr="00E35BCA">
        <w:t>were not nominated.</w:t>
      </w:r>
      <w:r w:rsidR="000E31B7" w:rsidRPr="004C3B98">
        <w:rPr>
          <w:i/>
          <w:iCs/>
        </w:rPr>
        <w:t xml:space="preserve"> </w:t>
      </w:r>
    </w:p>
    <w:p w14:paraId="1E7E9437" w14:textId="6C6AF931" w:rsidR="002829D8" w:rsidRPr="004C3B98" w:rsidRDefault="00442522" w:rsidP="007B0205">
      <w:pPr>
        <w:jc w:val="both"/>
        <w:rPr>
          <w:i/>
          <w:iCs/>
        </w:rPr>
      </w:pPr>
      <w:r w:rsidRPr="004C3B98">
        <w:rPr>
          <w:i/>
          <w:iCs/>
        </w:rPr>
        <w:t>A</w:t>
      </w:r>
      <w:r w:rsidR="00FA5C67">
        <w:rPr>
          <w:i/>
          <w:iCs/>
        </w:rPr>
        <w:t>t</w:t>
      </w:r>
      <w:r w:rsidRPr="004C3B98">
        <w:rPr>
          <w:i/>
          <w:iCs/>
        </w:rPr>
        <w:t xml:space="preserve"> the April </w:t>
      </w:r>
      <w:r w:rsidR="004F6F49">
        <w:rPr>
          <w:i/>
          <w:iCs/>
        </w:rPr>
        <w:t xml:space="preserve">2023 </w:t>
      </w:r>
      <w:r w:rsidRPr="004C3B98">
        <w:rPr>
          <w:i/>
          <w:iCs/>
        </w:rPr>
        <w:t xml:space="preserve">meeting, </w:t>
      </w:r>
      <w:r w:rsidR="002829D8" w:rsidRPr="00442522">
        <w:rPr>
          <w:i/>
          <w:iCs/>
        </w:rPr>
        <w:t xml:space="preserve">PASC agreed that the clinical utility standard for SSTR-PET/CT was </w:t>
      </w:r>
      <w:r w:rsidR="002829D8" w:rsidRPr="00442522">
        <w:rPr>
          <w:i/>
          <w:iCs/>
          <w:vertAlign w:val="superscript"/>
        </w:rPr>
        <w:t>68</w:t>
      </w:r>
      <w:r w:rsidR="002829D8" w:rsidRPr="00442522">
        <w:rPr>
          <w:i/>
          <w:iCs/>
        </w:rPr>
        <w:t>Ga-</w:t>
      </w:r>
      <w:r w:rsidR="001C03D0" w:rsidRPr="00442522">
        <w:rPr>
          <w:i/>
          <w:iCs/>
        </w:rPr>
        <w:t>DOTA-</w:t>
      </w:r>
      <w:r w:rsidR="00110D5F" w:rsidRPr="00442522">
        <w:rPr>
          <w:i/>
          <w:iCs/>
        </w:rPr>
        <w:t xml:space="preserve">octreotate </w:t>
      </w:r>
      <w:r w:rsidR="002829D8" w:rsidRPr="00442522">
        <w:rPr>
          <w:i/>
          <w:iCs/>
        </w:rPr>
        <w:t xml:space="preserve">or </w:t>
      </w:r>
      <w:r w:rsidR="00504C7D" w:rsidRPr="004C3B98">
        <w:rPr>
          <w:i/>
          <w:iCs/>
        </w:rPr>
        <w:t xml:space="preserve">OctreoScan® </w:t>
      </w:r>
      <w:r w:rsidR="002829D8" w:rsidRPr="004C3B98">
        <w:rPr>
          <w:i/>
          <w:iCs/>
        </w:rPr>
        <w:t xml:space="preserve">SPECT/CT with a Krenning score </w:t>
      </w:r>
      <w:r w:rsidR="002829D8" w:rsidRPr="004C3B98">
        <w:rPr>
          <w:rFonts w:cs="Calibri"/>
          <w:i/>
          <w:iCs/>
        </w:rPr>
        <w:t>≥</w:t>
      </w:r>
      <w:r w:rsidR="004B7FAA" w:rsidRPr="004C3B98">
        <w:rPr>
          <w:i/>
          <w:iCs/>
        </w:rPr>
        <w:t>2</w:t>
      </w:r>
      <w:r w:rsidR="002829D8" w:rsidRPr="004C3B98">
        <w:rPr>
          <w:i/>
          <w:iCs/>
        </w:rPr>
        <w:t>. PASC also noted that there is no evidence to support “blind” u</w:t>
      </w:r>
      <w:r w:rsidR="002829D8" w:rsidRPr="00442522">
        <w:rPr>
          <w:i/>
          <w:iCs/>
        </w:rPr>
        <w:t>se of PRRT without prior documentation of SSTR expression – that is, positive SSTRI is (currently) a requirement for PRRT.</w:t>
      </w:r>
    </w:p>
    <w:p w14:paraId="4D0EBB27" w14:textId="3D20D479" w:rsidR="00A0561F" w:rsidRDefault="00A0561F" w:rsidP="007B0205">
      <w:pPr>
        <w:jc w:val="both"/>
      </w:pPr>
      <w:r w:rsidRPr="00922B1C">
        <w:t xml:space="preserve">The clinical utility standard for FDG PET </w:t>
      </w:r>
      <w:r w:rsidR="000D2BCC">
        <w:t xml:space="preserve">has </w:t>
      </w:r>
      <w:r w:rsidR="00246C98">
        <w:t xml:space="preserve">not </w:t>
      </w:r>
      <w:r w:rsidR="000D2BCC">
        <w:t>been</w:t>
      </w:r>
      <w:r w:rsidR="00246C98">
        <w:t xml:space="preserve"> nominated by the applicant</w:t>
      </w:r>
      <w:r w:rsidR="00FC5593">
        <w:t>.</w:t>
      </w:r>
    </w:p>
    <w:p w14:paraId="3C557D0C" w14:textId="163AFF20" w:rsidR="002829D8" w:rsidRDefault="00442522" w:rsidP="007B0205">
      <w:pPr>
        <w:jc w:val="both"/>
        <w:rPr>
          <w:i/>
          <w:iCs/>
        </w:rPr>
      </w:pPr>
      <w:r w:rsidRPr="004C3B98">
        <w:rPr>
          <w:i/>
          <w:iCs/>
        </w:rPr>
        <w:t xml:space="preserve">At the April </w:t>
      </w:r>
      <w:r w:rsidR="004F6F49">
        <w:rPr>
          <w:i/>
          <w:iCs/>
        </w:rPr>
        <w:t xml:space="preserve">2023 </w:t>
      </w:r>
      <w:r w:rsidRPr="004C3B98">
        <w:rPr>
          <w:i/>
          <w:iCs/>
        </w:rPr>
        <w:t xml:space="preserve">meeting, </w:t>
      </w:r>
      <w:r w:rsidR="002829D8" w:rsidRPr="00442522">
        <w:rPr>
          <w:i/>
          <w:iCs/>
        </w:rPr>
        <w:t xml:space="preserve">PASC noted that no clinical utility standard for FDG PET </w:t>
      </w:r>
      <w:r w:rsidR="002829D8" w:rsidRPr="00442522" w:rsidDel="00F134BA">
        <w:rPr>
          <w:i/>
          <w:iCs/>
        </w:rPr>
        <w:t xml:space="preserve">was </w:t>
      </w:r>
      <w:r w:rsidR="00365006" w:rsidRPr="00442522" w:rsidDel="00F134BA">
        <w:rPr>
          <w:i/>
          <w:iCs/>
        </w:rPr>
        <w:t>specified</w:t>
      </w:r>
      <w:r w:rsidR="00237C4C" w:rsidRPr="00442522">
        <w:rPr>
          <w:i/>
          <w:iCs/>
        </w:rPr>
        <w:t xml:space="preserve"> by the applicant</w:t>
      </w:r>
      <w:r w:rsidR="002829D8" w:rsidRPr="00442522" w:rsidDel="00F134BA">
        <w:rPr>
          <w:i/>
          <w:iCs/>
        </w:rPr>
        <w:t xml:space="preserve">. </w:t>
      </w:r>
      <w:r w:rsidR="0050416A" w:rsidRPr="00442522">
        <w:rPr>
          <w:i/>
          <w:iCs/>
        </w:rPr>
        <w:t>PASC acknowledged the prognostic value of FDG PET, specifically, that ‘discordant’ NETs (with FDG uptake &gt; SSTRI uptake) have a poorer prognosis than SSTRI positive/FDG negative NETs. However, PASC also noted there is no established</w:t>
      </w:r>
      <w:r w:rsidR="0050416A" w:rsidRPr="00442522">
        <w:rPr>
          <w:b/>
          <w:bCs/>
          <w:i/>
          <w:iCs/>
        </w:rPr>
        <w:t xml:space="preserve"> </w:t>
      </w:r>
      <w:r w:rsidR="0050416A" w:rsidRPr="00442522">
        <w:rPr>
          <w:i/>
          <w:iCs/>
        </w:rPr>
        <w:t>threshold</w:t>
      </w:r>
      <w:r w:rsidR="0050416A" w:rsidRPr="004C3B98">
        <w:rPr>
          <w:b/>
          <w:bCs/>
          <w:i/>
          <w:iCs/>
        </w:rPr>
        <w:t xml:space="preserve"> </w:t>
      </w:r>
      <w:r w:rsidR="0050416A" w:rsidRPr="00442522">
        <w:rPr>
          <w:i/>
          <w:iCs/>
        </w:rPr>
        <w:t>of “discordance” beyond which PRRT is contraindicated</w:t>
      </w:r>
      <w:r w:rsidR="000A29E9" w:rsidRPr="00442522">
        <w:rPr>
          <w:i/>
          <w:iCs/>
        </w:rPr>
        <w:t>.</w:t>
      </w:r>
      <w:r w:rsidR="00251243" w:rsidRPr="00442522">
        <w:rPr>
          <w:i/>
          <w:iCs/>
        </w:rPr>
        <w:t xml:space="preserve"> </w:t>
      </w:r>
      <w:r w:rsidR="00102410" w:rsidRPr="00E35BCA">
        <w:t xml:space="preserve">The applicant has also suggested that </w:t>
      </w:r>
      <w:r w:rsidR="00DE54FA" w:rsidRPr="00E35BCA">
        <w:t xml:space="preserve">eligibility for PRRT </w:t>
      </w:r>
      <w:r w:rsidR="002E0C2A" w:rsidRPr="00E35BCA">
        <w:t>should</w:t>
      </w:r>
      <w:r w:rsidR="00102410" w:rsidRPr="00E35BCA">
        <w:t xml:space="preserve"> </w:t>
      </w:r>
      <w:r w:rsidR="009500C9" w:rsidRPr="00E35BCA">
        <w:t>include that there are</w:t>
      </w:r>
      <w:r w:rsidR="00102410" w:rsidRPr="00E35BCA">
        <w:t xml:space="preserve"> no more than three sites of discordance of tumours &gt;2 cm </w:t>
      </w:r>
      <w:r w:rsidR="00A64825" w:rsidRPr="00E35BCA">
        <w:t>or that it should be left to the discretion of the MDT.</w:t>
      </w:r>
      <w:r w:rsidR="00194AA3" w:rsidRPr="00E35BCA">
        <w:t xml:space="preserve"> In follow up written advice (email 14</w:t>
      </w:r>
      <w:r w:rsidR="006F1944" w:rsidRPr="00E35BCA">
        <w:rPr>
          <w:vertAlign w:val="superscript"/>
        </w:rPr>
        <w:t>th</w:t>
      </w:r>
      <w:r w:rsidR="00194AA3" w:rsidRPr="00E35BCA">
        <w:t xml:space="preserve">  July</w:t>
      </w:r>
      <w:r w:rsidR="006F1944" w:rsidRPr="00E35BCA">
        <w:t xml:space="preserve"> 2023</w:t>
      </w:r>
      <w:r w:rsidR="00194AA3" w:rsidRPr="00E35BCA">
        <w:t xml:space="preserve">), the applicant clarified that these are often value judgements in which a MDT </w:t>
      </w:r>
      <w:r w:rsidR="00755AB3" w:rsidRPr="00E35BCA">
        <w:t>considers</w:t>
      </w:r>
      <w:r w:rsidR="00194AA3" w:rsidRPr="00E35BCA">
        <w:t xml:space="preserve"> all available information to determine the likely course of treatment</w:t>
      </w:r>
      <w:r w:rsidR="004A5D5F" w:rsidRPr="00E35BCA">
        <w:t>, and as such determining a level of discordance will not assist in that process</w:t>
      </w:r>
      <w:r w:rsidR="00194AA3" w:rsidRPr="00E35BCA">
        <w:t xml:space="preserve">.  </w:t>
      </w:r>
      <w:r w:rsidR="004A5D5F" w:rsidRPr="00E35BCA">
        <w:t xml:space="preserve">They </w:t>
      </w:r>
      <w:r w:rsidR="00194AA3" w:rsidRPr="00E35BCA">
        <w:t>therefore re-</w:t>
      </w:r>
      <w:r w:rsidR="004A5D5F" w:rsidRPr="00E35BCA">
        <w:t>iterated</w:t>
      </w:r>
      <w:r w:rsidR="00194AA3" w:rsidRPr="00E35BCA">
        <w:t xml:space="preserve"> that this is a decision best left to the MDT ( item 872 case conference).</w:t>
      </w:r>
    </w:p>
    <w:p w14:paraId="2A77F123" w14:textId="1EB55B3B" w:rsidR="00F179B0" w:rsidRDefault="00442522" w:rsidP="007B0205">
      <w:pPr>
        <w:jc w:val="both"/>
        <w:rPr>
          <w:i/>
          <w:iCs/>
        </w:rPr>
      </w:pPr>
      <w:r>
        <w:rPr>
          <w:i/>
          <w:iCs/>
        </w:rPr>
        <w:t xml:space="preserve">In its April </w:t>
      </w:r>
      <w:r w:rsidR="004F6F49">
        <w:rPr>
          <w:i/>
          <w:iCs/>
        </w:rPr>
        <w:t xml:space="preserve">2023 </w:t>
      </w:r>
      <w:r>
        <w:rPr>
          <w:i/>
          <w:iCs/>
        </w:rPr>
        <w:t xml:space="preserve">meeting, </w:t>
      </w:r>
      <w:r w:rsidR="00194AA3">
        <w:rPr>
          <w:i/>
          <w:iCs/>
        </w:rPr>
        <w:t>PASC noted that t</w:t>
      </w:r>
      <w:r w:rsidR="00F179B0">
        <w:rPr>
          <w:i/>
          <w:iCs/>
        </w:rPr>
        <w:t>he appropriate assessment questions are:</w:t>
      </w:r>
    </w:p>
    <w:p w14:paraId="2F2C5C4F" w14:textId="6376EB18" w:rsidR="00194AA3" w:rsidRPr="004C3B98" w:rsidRDefault="00F179B0" w:rsidP="007B0205">
      <w:pPr>
        <w:pStyle w:val="ListParagraph"/>
        <w:numPr>
          <w:ilvl w:val="0"/>
          <w:numId w:val="22"/>
        </w:numPr>
        <w:ind w:left="284" w:hanging="284"/>
        <w:jc w:val="both"/>
        <w:rPr>
          <w:i/>
          <w:iCs/>
        </w:rPr>
      </w:pPr>
      <w:r w:rsidRPr="004C3B98">
        <w:rPr>
          <w:i/>
          <w:iCs/>
        </w:rPr>
        <w:lastRenderedPageBreak/>
        <w:t xml:space="preserve">What is the clinical utility of </w:t>
      </w:r>
      <w:r w:rsidRPr="004C3B98">
        <w:rPr>
          <w:i/>
          <w:iCs/>
          <w:vertAlign w:val="superscript"/>
        </w:rPr>
        <w:t>68</w:t>
      </w:r>
      <w:r w:rsidRPr="004C3B98">
        <w:rPr>
          <w:i/>
          <w:iCs/>
        </w:rPr>
        <w:t xml:space="preserve">Ga-DOTA-octreotate PET/CT for the selection of patients with progressive, advanced, metastatic or inoperable NETs with suspected H-SSTR expression for </w:t>
      </w:r>
      <w:r w:rsidRPr="004C3B98">
        <w:rPr>
          <w:i/>
          <w:iCs/>
          <w:vertAlign w:val="superscript"/>
        </w:rPr>
        <w:t>177</w:t>
      </w:r>
      <w:r w:rsidRPr="004C3B98">
        <w:rPr>
          <w:i/>
          <w:iCs/>
        </w:rPr>
        <w:t>Lu-DOTA-octreotate therapy?</w:t>
      </w:r>
      <w:r w:rsidR="00194AA3" w:rsidRPr="004C3B98">
        <w:rPr>
          <w:i/>
          <w:iCs/>
        </w:rPr>
        <w:t xml:space="preserve"> </w:t>
      </w:r>
    </w:p>
    <w:p w14:paraId="520CD8EC" w14:textId="6425EAF5" w:rsidR="00F179B0" w:rsidRPr="004C3B98" w:rsidRDefault="00F179B0" w:rsidP="007B0205">
      <w:pPr>
        <w:pStyle w:val="ListParagraph"/>
        <w:numPr>
          <w:ilvl w:val="0"/>
          <w:numId w:val="22"/>
        </w:numPr>
        <w:ind w:left="284" w:hanging="284"/>
        <w:jc w:val="both"/>
        <w:rPr>
          <w:i/>
          <w:iCs/>
        </w:rPr>
      </w:pPr>
      <w:r w:rsidRPr="004C3B98">
        <w:rPr>
          <w:i/>
          <w:iCs/>
        </w:rPr>
        <w:t xml:space="preserve">What is the clinical utility of FDG PET-CT in addition to </w:t>
      </w:r>
      <w:r w:rsidRPr="004C3B98">
        <w:rPr>
          <w:i/>
          <w:iCs/>
          <w:vertAlign w:val="superscript"/>
        </w:rPr>
        <w:t>68</w:t>
      </w:r>
      <w:r w:rsidRPr="004C3B98">
        <w:rPr>
          <w:i/>
          <w:iCs/>
        </w:rPr>
        <w:t xml:space="preserve">Ga-DOTA-octreotate PET/CT for the selection of patients with progressive, advanced, metastatic or inoperable NETs with known H-SSTR expression for </w:t>
      </w:r>
      <w:r w:rsidRPr="004C3B98">
        <w:rPr>
          <w:i/>
          <w:iCs/>
          <w:vertAlign w:val="superscript"/>
        </w:rPr>
        <w:t>177</w:t>
      </w:r>
      <w:r w:rsidRPr="004C3B98">
        <w:rPr>
          <w:i/>
          <w:iCs/>
        </w:rPr>
        <w:t>Lu-DOTA-octreotate therapy?</w:t>
      </w:r>
    </w:p>
    <w:p w14:paraId="282EA4E3" w14:textId="1CEF24BF" w:rsidR="00251243" w:rsidRDefault="002859B8" w:rsidP="007B0205">
      <w:pPr>
        <w:jc w:val="both"/>
        <w:rPr>
          <w:i/>
          <w:iCs/>
        </w:rPr>
      </w:pPr>
      <w:r>
        <w:rPr>
          <w:i/>
          <w:iCs/>
        </w:rPr>
        <w:t>The clinical utility of both S</w:t>
      </w:r>
      <w:r w:rsidR="00442522">
        <w:rPr>
          <w:i/>
          <w:iCs/>
        </w:rPr>
        <w:t>STR</w:t>
      </w:r>
      <w:r>
        <w:rPr>
          <w:i/>
          <w:iCs/>
        </w:rPr>
        <w:t xml:space="preserve"> PET</w:t>
      </w:r>
      <w:r w:rsidR="00102410">
        <w:rPr>
          <w:i/>
          <w:iCs/>
        </w:rPr>
        <w:t>/CT</w:t>
      </w:r>
      <w:r>
        <w:rPr>
          <w:i/>
          <w:iCs/>
        </w:rPr>
        <w:t xml:space="preserve"> and FDG PET</w:t>
      </w:r>
      <w:r w:rsidR="00102410">
        <w:rPr>
          <w:i/>
          <w:iCs/>
        </w:rPr>
        <w:t>/CT</w:t>
      </w:r>
      <w:r>
        <w:rPr>
          <w:i/>
          <w:iCs/>
        </w:rPr>
        <w:t xml:space="preserve"> is likely to be confined to the </w:t>
      </w:r>
      <w:r w:rsidR="00F610C9">
        <w:rPr>
          <w:i/>
          <w:iCs/>
        </w:rPr>
        <w:t xml:space="preserve">organs with the </w:t>
      </w:r>
      <w:r>
        <w:rPr>
          <w:i/>
          <w:iCs/>
        </w:rPr>
        <w:t xml:space="preserve">most </w:t>
      </w:r>
      <w:r w:rsidR="00F610C9">
        <w:rPr>
          <w:i/>
          <w:iCs/>
        </w:rPr>
        <w:t xml:space="preserve">commonly occurring NETs as that is where the evidence is likely to be generated. </w:t>
      </w:r>
      <w:r w:rsidR="004D6652">
        <w:rPr>
          <w:i/>
          <w:iCs/>
        </w:rPr>
        <w:t>W</w:t>
      </w:r>
      <w:r w:rsidR="00F610C9">
        <w:rPr>
          <w:i/>
          <w:iCs/>
        </w:rPr>
        <w:t>here the NEN is primarily located can affect survivability but may not reflect disease burden. Therefore</w:t>
      </w:r>
      <w:r w:rsidR="005C2100">
        <w:rPr>
          <w:i/>
          <w:iCs/>
        </w:rPr>
        <w:t>,</w:t>
      </w:r>
      <w:r w:rsidR="00F610C9">
        <w:rPr>
          <w:i/>
          <w:iCs/>
        </w:rPr>
        <w:t xml:space="preserve"> the generalisability of the evidence </w:t>
      </w:r>
      <w:r w:rsidR="004D6652">
        <w:rPr>
          <w:i/>
          <w:iCs/>
        </w:rPr>
        <w:t>provide</w:t>
      </w:r>
      <w:r w:rsidR="00442522">
        <w:rPr>
          <w:i/>
          <w:iCs/>
        </w:rPr>
        <w:t>d</w:t>
      </w:r>
      <w:r w:rsidR="004D6652">
        <w:rPr>
          <w:i/>
          <w:iCs/>
        </w:rPr>
        <w:t xml:space="preserve"> in relation to one organ, to </w:t>
      </w:r>
      <w:r w:rsidR="004A5D5F">
        <w:rPr>
          <w:i/>
          <w:iCs/>
        </w:rPr>
        <w:t xml:space="preserve">other </w:t>
      </w:r>
      <w:r w:rsidR="004D6652">
        <w:rPr>
          <w:i/>
          <w:iCs/>
        </w:rPr>
        <w:t xml:space="preserve">organs </w:t>
      </w:r>
      <w:r w:rsidR="004A5D5F">
        <w:rPr>
          <w:i/>
          <w:iCs/>
        </w:rPr>
        <w:t xml:space="preserve">will </w:t>
      </w:r>
      <w:r w:rsidR="00F610C9">
        <w:rPr>
          <w:i/>
          <w:iCs/>
        </w:rPr>
        <w:t xml:space="preserve">need to be considered.  </w:t>
      </w:r>
    </w:p>
    <w:p w14:paraId="2DD3A5C3" w14:textId="25CA22B8" w:rsidR="00376EF4" w:rsidRDefault="00376EF4" w:rsidP="007B0205">
      <w:pPr>
        <w:autoSpaceDE w:val="0"/>
        <w:autoSpaceDN w:val="0"/>
        <w:adjustRightInd w:val="0"/>
        <w:jc w:val="both"/>
        <w:rPr>
          <w:i/>
          <w:iCs/>
        </w:rPr>
      </w:pPr>
      <w:r w:rsidRPr="17F23FD4">
        <w:rPr>
          <w:rFonts w:asciiTheme="minorHAnsi" w:hAnsiTheme="minorHAnsi" w:cstheme="minorBidi"/>
          <w:i/>
          <w:iCs/>
        </w:rPr>
        <w:t xml:space="preserve">For </w:t>
      </w:r>
      <w:r w:rsidRPr="17F23FD4">
        <w:rPr>
          <w:rFonts w:asciiTheme="minorHAnsi" w:hAnsiTheme="minorHAnsi" w:cstheme="minorBidi"/>
          <w:i/>
          <w:iCs/>
          <w:vertAlign w:val="superscript"/>
        </w:rPr>
        <w:t>68</w:t>
      </w:r>
      <w:r w:rsidRPr="17F23FD4">
        <w:rPr>
          <w:rFonts w:asciiTheme="minorHAnsi" w:hAnsiTheme="minorHAnsi" w:cstheme="minorBidi"/>
          <w:i/>
          <w:iCs/>
        </w:rPr>
        <w:t>Ga-DOTA</w:t>
      </w:r>
      <w:r w:rsidR="004F6F49" w:rsidRPr="17F23FD4">
        <w:rPr>
          <w:rFonts w:asciiTheme="minorHAnsi" w:hAnsiTheme="minorHAnsi" w:cstheme="minorBidi"/>
          <w:i/>
          <w:iCs/>
        </w:rPr>
        <w:t>-octreotate</w:t>
      </w:r>
      <w:r w:rsidRPr="17F23FD4">
        <w:rPr>
          <w:rFonts w:asciiTheme="minorHAnsi" w:hAnsiTheme="minorHAnsi" w:cstheme="minorBidi"/>
          <w:i/>
          <w:iCs/>
        </w:rPr>
        <w:t xml:space="preserve"> PET/CT</w:t>
      </w:r>
      <w:r w:rsidR="004F6F49" w:rsidRPr="17F23FD4">
        <w:rPr>
          <w:rFonts w:asciiTheme="minorHAnsi" w:hAnsiTheme="minorHAnsi" w:cstheme="minorBidi"/>
          <w:i/>
          <w:iCs/>
        </w:rPr>
        <w:t>,</w:t>
      </w:r>
      <w:r w:rsidRPr="17F23FD4">
        <w:rPr>
          <w:rFonts w:asciiTheme="minorHAnsi" w:hAnsiTheme="minorHAnsi" w:cstheme="minorBidi"/>
          <w:i/>
          <w:iCs/>
        </w:rPr>
        <w:t xml:space="preserve"> PASC noted </w:t>
      </w:r>
      <w:r w:rsidR="004F6F49" w:rsidRPr="17F23FD4">
        <w:rPr>
          <w:rFonts w:asciiTheme="minorHAnsi" w:hAnsiTheme="minorHAnsi" w:cstheme="minorBidi"/>
          <w:i/>
          <w:iCs/>
        </w:rPr>
        <w:t xml:space="preserve">in August 2023 </w:t>
      </w:r>
      <w:r w:rsidRPr="17F23FD4">
        <w:rPr>
          <w:rFonts w:asciiTheme="minorHAnsi" w:hAnsiTheme="minorHAnsi" w:cstheme="minorBidi"/>
          <w:i/>
          <w:iCs/>
        </w:rPr>
        <w:t>that Octreoscan® is a valid clinical utility standard: Results of studies based on Octreoscan® uptake (using</w:t>
      </w:r>
      <w:r w:rsidR="70B9585F" w:rsidRPr="17F23FD4">
        <w:rPr>
          <w:rFonts w:asciiTheme="minorHAnsi" w:hAnsiTheme="minorHAnsi" w:cstheme="minorBidi"/>
          <w:i/>
          <w:iCs/>
        </w:rPr>
        <w:t xml:space="preserve"> the</w:t>
      </w:r>
      <w:r w:rsidRPr="17F23FD4">
        <w:rPr>
          <w:rFonts w:asciiTheme="minorHAnsi" w:hAnsiTheme="minorHAnsi" w:cstheme="minorBidi"/>
          <w:i/>
          <w:iCs/>
        </w:rPr>
        <w:t xml:space="preserve"> Krenning score) need to be translated to </w:t>
      </w:r>
      <w:r w:rsidRPr="17F23FD4">
        <w:rPr>
          <w:rFonts w:asciiTheme="minorHAnsi" w:hAnsiTheme="minorHAnsi" w:cstheme="minorBidi"/>
          <w:i/>
          <w:iCs/>
          <w:vertAlign w:val="superscript"/>
        </w:rPr>
        <w:t>68</w:t>
      </w:r>
      <w:r w:rsidRPr="17F23FD4">
        <w:rPr>
          <w:rFonts w:asciiTheme="minorHAnsi" w:hAnsiTheme="minorHAnsi" w:cstheme="minorBidi"/>
          <w:i/>
          <w:iCs/>
        </w:rPr>
        <w:t>Ga-DOTA</w:t>
      </w:r>
      <w:r w:rsidR="004F6F49" w:rsidRPr="17F23FD4">
        <w:rPr>
          <w:rFonts w:asciiTheme="minorHAnsi" w:hAnsiTheme="minorHAnsi" w:cstheme="minorBidi"/>
          <w:i/>
          <w:iCs/>
        </w:rPr>
        <w:t>-octreotate</w:t>
      </w:r>
      <w:r w:rsidRPr="17F23FD4">
        <w:rPr>
          <w:rFonts w:asciiTheme="minorHAnsi" w:hAnsiTheme="minorHAnsi" w:cstheme="minorBidi"/>
          <w:i/>
          <w:iCs/>
        </w:rPr>
        <w:t xml:space="preserve"> uptake (using </w:t>
      </w:r>
      <w:r w:rsidR="004644A9">
        <w:rPr>
          <w:rFonts w:asciiTheme="minorHAnsi" w:hAnsiTheme="minorHAnsi" w:cstheme="minorBidi"/>
          <w:i/>
          <w:iCs/>
        </w:rPr>
        <w:t xml:space="preserve">the </w:t>
      </w:r>
      <w:r w:rsidRPr="17F23FD4">
        <w:rPr>
          <w:rFonts w:asciiTheme="minorHAnsi" w:hAnsiTheme="minorHAnsi" w:cstheme="minorBidi"/>
          <w:i/>
          <w:iCs/>
        </w:rPr>
        <w:t>modified Krenning score) for the assessment report.</w:t>
      </w:r>
    </w:p>
    <w:p w14:paraId="29C1EA87" w14:textId="0BD173EB" w:rsidR="007A66C8" w:rsidRPr="00ED4E95" w:rsidRDefault="007A66C8" w:rsidP="00713728">
      <w:pPr>
        <w:pStyle w:val="Heading3"/>
      </w:pPr>
      <w:r w:rsidRPr="00ED4E95">
        <w:t xml:space="preserve">Outcomes </w:t>
      </w:r>
    </w:p>
    <w:p w14:paraId="0BD91567" w14:textId="31386582" w:rsidR="00C87875" w:rsidRPr="00ED4E95" w:rsidRDefault="00365006" w:rsidP="00371FD3">
      <w:pPr>
        <w:rPr>
          <w:u w:val="single"/>
        </w:rPr>
      </w:pPr>
      <w:r>
        <w:rPr>
          <w:u w:val="single"/>
        </w:rPr>
        <w:t>Test</w:t>
      </w:r>
      <w:r w:rsidRPr="00ED4E95">
        <w:rPr>
          <w:u w:val="single"/>
        </w:rPr>
        <w:t xml:space="preserve"> </w:t>
      </w:r>
      <w:r w:rsidR="00C87875" w:rsidRPr="00ED4E95">
        <w:rPr>
          <w:u w:val="single"/>
        </w:rPr>
        <w:t>accuracy</w:t>
      </w:r>
    </w:p>
    <w:p w14:paraId="49E906C0" w14:textId="0A3D6234" w:rsidR="00C87875" w:rsidRPr="00922B1C" w:rsidRDefault="009642E8" w:rsidP="007B0205">
      <w:pPr>
        <w:jc w:val="both"/>
      </w:pPr>
      <w:r w:rsidRPr="00922B1C">
        <w:t xml:space="preserve">No outcomes for the two tests </w:t>
      </w:r>
      <w:r w:rsidR="00204016" w:rsidRPr="00922B1C">
        <w:t>(</w:t>
      </w:r>
      <w:r w:rsidRPr="00922B1C">
        <w:rPr>
          <w:vertAlign w:val="superscript"/>
        </w:rPr>
        <w:t>68</w:t>
      </w:r>
      <w:r w:rsidRPr="00922B1C">
        <w:t>Ga-</w:t>
      </w:r>
      <w:r w:rsidR="001C03D0">
        <w:t>DOTA-</w:t>
      </w:r>
      <w:r w:rsidR="00110D5F">
        <w:t xml:space="preserve">octreotate </w:t>
      </w:r>
      <w:r w:rsidRPr="00922B1C">
        <w:t xml:space="preserve">PET/CT or </w:t>
      </w:r>
      <w:r w:rsidR="00444B03" w:rsidRPr="00922B1C">
        <w:t>FDG PET/CT</w:t>
      </w:r>
      <w:r w:rsidR="00204016" w:rsidRPr="00922B1C">
        <w:t>)</w:t>
      </w:r>
      <w:r w:rsidRPr="00922B1C">
        <w:t xml:space="preserve"> were nominated. </w:t>
      </w:r>
    </w:p>
    <w:p w14:paraId="0DD07D14" w14:textId="619B7602" w:rsidR="003B017B" w:rsidRPr="00922B1C" w:rsidRDefault="00444B03" w:rsidP="007B0205">
      <w:pPr>
        <w:jc w:val="both"/>
      </w:pPr>
      <w:r w:rsidRPr="00922B1C">
        <w:t>In discussions,</w:t>
      </w:r>
      <w:r w:rsidR="003B017B" w:rsidRPr="00922B1C">
        <w:t xml:space="preserve"> the applicant </w:t>
      </w:r>
      <w:r w:rsidRPr="00922B1C">
        <w:t>agreed</w:t>
      </w:r>
      <w:r w:rsidR="003B017B" w:rsidRPr="00922B1C">
        <w:t xml:space="preserve"> that the </w:t>
      </w:r>
      <w:r w:rsidR="00CB5940">
        <w:t>pre-requisite</w:t>
      </w:r>
      <w:r w:rsidR="00CB5940" w:rsidRPr="00922B1C">
        <w:t xml:space="preserve"> </w:t>
      </w:r>
      <w:r w:rsidR="003B017B" w:rsidRPr="00922B1C">
        <w:t>tests identified are applied as predictive biomarkers for response to a specific highly targeted therapy. The tests are not being used to determine diagnostic accuracy</w:t>
      </w:r>
      <w:r w:rsidR="00124AC1" w:rsidRPr="00922B1C">
        <w:t xml:space="preserve">, hence, </w:t>
      </w:r>
      <w:r w:rsidR="003B017B" w:rsidRPr="00922B1C">
        <w:t xml:space="preserve">metrics such as sensitivity, specificity, positive and negative predictive values, area under the curve of the receiver operating characteristic curve, are not relevant to this application. </w:t>
      </w:r>
    </w:p>
    <w:p w14:paraId="0BE38F1E" w14:textId="74BE6BF9" w:rsidR="00981476" w:rsidRPr="00922B1C" w:rsidRDefault="00981476" w:rsidP="007B0205">
      <w:pPr>
        <w:jc w:val="both"/>
      </w:pPr>
      <w:r w:rsidRPr="00922B1C">
        <w:t xml:space="preserve">Moreover, the MSAC 1479R meeting minutes noted (p2) that no serious adverse events were associated with the use of </w:t>
      </w:r>
      <w:r w:rsidRPr="00922B1C">
        <w:rPr>
          <w:vertAlign w:val="superscript"/>
        </w:rPr>
        <w:t>68</w:t>
      </w:r>
      <w:r w:rsidRPr="00922B1C">
        <w:t>Ga-</w:t>
      </w:r>
      <w:r w:rsidR="001C03D0">
        <w:t>DOTA-</w:t>
      </w:r>
      <w:r w:rsidR="00110D5F">
        <w:t xml:space="preserve">octreotate </w:t>
      </w:r>
      <w:r w:rsidRPr="00922B1C">
        <w:t>PET/CT imaging</w:t>
      </w:r>
      <w:r w:rsidR="005F56F5" w:rsidRPr="00922B1C">
        <w:t xml:space="preserve"> (MSAC 1479R, 2017)</w:t>
      </w:r>
      <w:r w:rsidRPr="00922B1C">
        <w:t xml:space="preserve">. </w:t>
      </w:r>
    </w:p>
    <w:p w14:paraId="416DF5A9" w14:textId="003B771A" w:rsidR="005362C6" w:rsidRDefault="007503BC" w:rsidP="007B0205">
      <w:pPr>
        <w:jc w:val="both"/>
      </w:pPr>
      <w:r w:rsidRPr="00922B1C">
        <w:t>Other characteristics such as</w:t>
      </w:r>
      <w:r w:rsidR="00C96C36" w:rsidRPr="00922B1C">
        <w:t xml:space="preserve"> </w:t>
      </w:r>
      <w:r w:rsidR="008F2724" w:rsidRPr="00922B1C">
        <w:t>intra-/</w:t>
      </w:r>
      <w:r w:rsidR="00C96C36" w:rsidRPr="00922B1C">
        <w:t>i</w:t>
      </w:r>
      <w:r w:rsidR="005362C6" w:rsidRPr="00922B1C">
        <w:t>nter-</w:t>
      </w:r>
      <w:r w:rsidR="00095C80" w:rsidRPr="00922B1C">
        <w:t xml:space="preserve">observer </w:t>
      </w:r>
      <w:r w:rsidR="005362C6" w:rsidRPr="00922B1C">
        <w:t xml:space="preserve">agreement across SSTR-PET/CT </w:t>
      </w:r>
      <w:r w:rsidR="00365006">
        <w:t xml:space="preserve">and </w:t>
      </w:r>
      <w:r w:rsidR="00444B03" w:rsidRPr="00922B1C">
        <w:t>FDG PET/CT would be</w:t>
      </w:r>
      <w:r w:rsidR="00C96C36" w:rsidRPr="00922B1C">
        <w:t xml:space="preserve"> relevant outcome</w:t>
      </w:r>
      <w:r w:rsidR="00444B03" w:rsidRPr="00922B1C">
        <w:t>s</w:t>
      </w:r>
      <w:r w:rsidR="005729CC" w:rsidRPr="00922B1C">
        <w:t xml:space="preserve"> as variation in the classification of SSTR status will </w:t>
      </w:r>
      <w:bookmarkStart w:id="48" w:name="_Int_SheTrtQ2"/>
      <w:r w:rsidR="005729CC" w:rsidRPr="00922B1C">
        <w:t>likely influence</w:t>
      </w:r>
      <w:bookmarkEnd w:id="48"/>
      <w:r w:rsidR="005729CC" w:rsidRPr="00922B1C">
        <w:t xml:space="preserve"> change in management</w:t>
      </w:r>
      <w:r w:rsidR="00A967AB" w:rsidRPr="00922B1C">
        <w:t xml:space="preserve">. </w:t>
      </w:r>
      <w:r w:rsidR="006718C4" w:rsidRPr="00E35BCA">
        <w:t>The purpose of the addition of the FDG PET/CT is not to change the classification of SSTR status but to identify metabolically active disease in areas that express lower or no somatostatin receptors on receptor-based imaging. The status of the disease identified by the FDG PET</w:t>
      </w:r>
      <w:r w:rsidR="00C04E7D" w:rsidRPr="00E35BCA">
        <w:t>/CT</w:t>
      </w:r>
      <w:r w:rsidR="006718C4" w:rsidRPr="00E35BCA">
        <w:t xml:space="preserve"> may </w:t>
      </w:r>
      <w:r w:rsidR="00DE269A" w:rsidRPr="00E35BCA">
        <w:t xml:space="preserve">not </w:t>
      </w:r>
      <w:r w:rsidR="006718C4" w:rsidRPr="00E35BCA">
        <w:t xml:space="preserve">result in  change in </w:t>
      </w:r>
      <w:r w:rsidR="00755AB3" w:rsidRPr="00E35BCA">
        <w:t>management but</w:t>
      </w:r>
      <w:r w:rsidR="006718C4" w:rsidRPr="00E35BCA">
        <w:t xml:space="preserve"> change in management </w:t>
      </w:r>
      <w:r w:rsidR="00BF7874" w:rsidRPr="00E35BCA">
        <w:t>may</w:t>
      </w:r>
      <w:r w:rsidR="006718C4" w:rsidRPr="00E35BCA">
        <w:t xml:space="preserve"> be due to the MDT determining that </w:t>
      </w:r>
      <w:r w:rsidR="00282E33" w:rsidRPr="00E35BCA">
        <w:t>a</w:t>
      </w:r>
      <w:r w:rsidR="006A1449" w:rsidRPr="00E35BCA">
        <w:t xml:space="preserve"> </w:t>
      </w:r>
      <w:r w:rsidR="006718C4" w:rsidRPr="00E35BCA">
        <w:t>patient is not currently suitable for PRRT</w:t>
      </w:r>
      <w:r w:rsidR="00BF7874" w:rsidRPr="00E35BCA">
        <w:t xml:space="preserve"> rather than a reassessment of their SSTR classification.</w:t>
      </w:r>
      <w:r w:rsidR="00BF7874">
        <w:rPr>
          <w:i/>
          <w:iCs/>
        </w:rPr>
        <w:t xml:space="preserve"> </w:t>
      </w:r>
      <w:r w:rsidR="006718C4">
        <w:t xml:space="preserve"> </w:t>
      </w:r>
    </w:p>
    <w:p w14:paraId="7DACB496" w14:textId="041F8855" w:rsidR="00365006" w:rsidRPr="00E35BCA" w:rsidRDefault="00C04E7D" w:rsidP="007B0205">
      <w:pPr>
        <w:jc w:val="both"/>
      </w:pPr>
      <w:r w:rsidRPr="004C3B98">
        <w:rPr>
          <w:i/>
          <w:iCs/>
        </w:rPr>
        <w:t xml:space="preserve">At the April </w:t>
      </w:r>
      <w:r w:rsidR="000C26AC">
        <w:rPr>
          <w:i/>
          <w:iCs/>
        </w:rPr>
        <w:t xml:space="preserve">2023 </w:t>
      </w:r>
      <w:r w:rsidRPr="004C3B98">
        <w:rPr>
          <w:i/>
          <w:iCs/>
        </w:rPr>
        <w:t xml:space="preserve">meeting, </w:t>
      </w:r>
      <w:r w:rsidR="00365006" w:rsidRPr="00C04E7D">
        <w:rPr>
          <w:i/>
          <w:iCs/>
        </w:rPr>
        <w:t xml:space="preserve">PASC agreed that the relevant outcomes for </w:t>
      </w:r>
      <w:r w:rsidR="00365006" w:rsidRPr="00C04E7D">
        <w:rPr>
          <w:i/>
          <w:iCs/>
          <w:vertAlign w:val="superscript"/>
        </w:rPr>
        <w:t>68</w:t>
      </w:r>
      <w:r w:rsidR="00365006" w:rsidRPr="00C04E7D">
        <w:rPr>
          <w:i/>
          <w:iCs/>
        </w:rPr>
        <w:t>Ga-</w:t>
      </w:r>
      <w:r w:rsidR="001C03D0" w:rsidRPr="00C04E7D">
        <w:rPr>
          <w:i/>
          <w:iCs/>
        </w:rPr>
        <w:t>DOTA-</w:t>
      </w:r>
      <w:r w:rsidR="00110D5F" w:rsidRPr="00C04E7D">
        <w:rPr>
          <w:i/>
          <w:iCs/>
        </w:rPr>
        <w:t xml:space="preserve">octreotate </w:t>
      </w:r>
      <w:r w:rsidR="00365006" w:rsidRPr="00C04E7D">
        <w:rPr>
          <w:i/>
          <w:iCs/>
        </w:rPr>
        <w:t>PET/CT and FDG PET/CT were intra-/inter-observer variability, suggesting th</w:t>
      </w:r>
      <w:r w:rsidR="66BCC494" w:rsidRPr="00C04E7D">
        <w:rPr>
          <w:i/>
          <w:iCs/>
        </w:rPr>
        <w:t>at</w:t>
      </w:r>
      <w:r w:rsidR="00365006" w:rsidRPr="00C04E7D">
        <w:rPr>
          <w:i/>
          <w:iCs/>
        </w:rPr>
        <w:t xml:space="preserve"> this may be improved by using uptake quantification (for example SUV ratios).</w:t>
      </w:r>
      <w:r w:rsidR="003E7B39">
        <w:t xml:space="preserve"> </w:t>
      </w:r>
      <w:r w:rsidR="003E7B39" w:rsidRPr="00E35BCA">
        <w:t xml:space="preserve">This may be a difficult outcome to evaluate. The purpose of combining </w:t>
      </w:r>
      <w:r w:rsidR="003E7B39" w:rsidRPr="00E35BCA">
        <w:rPr>
          <w:vertAlign w:val="superscript"/>
        </w:rPr>
        <w:t>6</w:t>
      </w:r>
      <w:r w:rsidR="006718C4" w:rsidRPr="00E35BCA">
        <w:rPr>
          <w:vertAlign w:val="superscript"/>
        </w:rPr>
        <w:t>8</w:t>
      </w:r>
      <w:r w:rsidR="003E7B39" w:rsidRPr="00E35BCA">
        <w:t>Ga</w:t>
      </w:r>
      <w:r w:rsidRPr="00E35BCA">
        <w:t>-</w:t>
      </w:r>
      <w:r w:rsidR="003E7B39" w:rsidRPr="00E35BCA">
        <w:t>DOTA</w:t>
      </w:r>
      <w:r w:rsidRPr="00E35BCA">
        <w:t>-octreotate</w:t>
      </w:r>
      <w:r w:rsidR="003E7B39" w:rsidRPr="00E35BCA">
        <w:t xml:space="preserve"> followed by FDG PET</w:t>
      </w:r>
      <w:r w:rsidRPr="00E35BCA">
        <w:t>/CT</w:t>
      </w:r>
      <w:r w:rsidR="003E7B39" w:rsidRPr="00E35BCA">
        <w:t xml:space="preserve"> is that less differentiated NENs often co-express SSTRs and glucose-transporters and the uptake of </w:t>
      </w:r>
      <w:r w:rsidR="003E7B39" w:rsidRPr="00E35BCA">
        <w:rPr>
          <w:vertAlign w:val="superscript"/>
        </w:rPr>
        <w:t>18</w:t>
      </w:r>
      <w:r w:rsidR="003E7B39" w:rsidRPr="00E35BCA">
        <w:t xml:space="preserve">F-FDG can show areas that are hypermetabolic. </w:t>
      </w:r>
      <w:r w:rsidR="00BF7874" w:rsidRPr="00E35BCA">
        <w:t xml:space="preserve"> For these patients, t</w:t>
      </w:r>
      <w:r w:rsidR="006718C4" w:rsidRPr="00E35BCA">
        <w:t xml:space="preserve">he use of dual imaging can potentially provide a better picture of metabolic spatial intra- and inter-tumour heterogeneity of the disease, especially in higher-grade tumours. </w:t>
      </w:r>
      <w:r w:rsidR="00FD5D0D" w:rsidRPr="00E35BCA">
        <w:t xml:space="preserve">For MSAC Assessment </w:t>
      </w:r>
      <w:r w:rsidRPr="00E35BCA">
        <w:t xml:space="preserve">Report </w:t>
      </w:r>
      <w:r w:rsidR="00FD5D0D" w:rsidRPr="00E35BCA">
        <w:t>purposes, t</w:t>
      </w:r>
      <w:r w:rsidR="006718C4" w:rsidRPr="00E35BCA">
        <w:t>he imaging is designed to measure slightly different targets</w:t>
      </w:r>
      <w:r w:rsidR="00FD5D0D" w:rsidRPr="00E35BCA">
        <w:t>: the uptake of SS</w:t>
      </w:r>
      <w:r w:rsidRPr="00E35BCA">
        <w:t>T</w:t>
      </w:r>
      <w:r w:rsidR="00FD5D0D" w:rsidRPr="00E35BCA">
        <w:t xml:space="preserve">R agonists in receptor-based imaging correlates closely to SSTR2 receptor expression (and this is shown to correlate </w:t>
      </w:r>
      <w:r w:rsidR="00FD5D0D" w:rsidRPr="00E35BCA">
        <w:lastRenderedPageBreak/>
        <w:t>with overall survival), the target for PRRT therapy. But the FDG avidity, reflects increased tumour metabolic activity and is used for prognostic utility for NETs. C</w:t>
      </w:r>
      <w:r w:rsidR="006718C4" w:rsidRPr="00E35BCA">
        <w:t>ombined</w:t>
      </w:r>
      <w:r w:rsidRPr="00E35BCA">
        <w:t>,</w:t>
      </w:r>
      <w:r w:rsidR="006718C4" w:rsidRPr="00E35BCA">
        <w:t xml:space="preserve"> </w:t>
      </w:r>
      <w:r w:rsidR="00FD5D0D" w:rsidRPr="00E35BCA">
        <w:t>the two PET</w:t>
      </w:r>
      <w:r w:rsidRPr="00E35BCA">
        <w:t>/CT</w:t>
      </w:r>
      <w:r w:rsidR="00FD5D0D" w:rsidRPr="00E35BCA">
        <w:t xml:space="preserve"> studies </w:t>
      </w:r>
      <w:r w:rsidR="006718C4" w:rsidRPr="00E35BCA">
        <w:t xml:space="preserve">provide a better overall picture of the patient’s </w:t>
      </w:r>
      <w:r w:rsidR="00755AB3" w:rsidRPr="00E35BCA">
        <w:t>disease and</w:t>
      </w:r>
      <w:r w:rsidR="00BF7874" w:rsidRPr="00E35BCA">
        <w:t xml:space="preserve"> help predict response to PRRT</w:t>
      </w:r>
      <w:r w:rsidR="00FD5D0D" w:rsidRPr="00E35BCA">
        <w:t xml:space="preserve"> and suitability for this treatment given </w:t>
      </w:r>
      <w:r w:rsidR="00AF0E06" w:rsidRPr="00E35BCA">
        <w:t>the status of their disease</w:t>
      </w:r>
      <w:r w:rsidR="00FD5D0D" w:rsidRPr="00E35BCA">
        <w:t>.</w:t>
      </w:r>
      <w:r w:rsidR="00BF7874" w:rsidRPr="00E35BCA">
        <w:t xml:space="preserve"> </w:t>
      </w:r>
      <w:r w:rsidR="00FD5D0D" w:rsidRPr="00E35BCA">
        <w:t>Therefore</w:t>
      </w:r>
      <w:r w:rsidR="006718C4" w:rsidRPr="00E35BCA">
        <w:t xml:space="preserve"> intra-/inter-observer variability between </w:t>
      </w:r>
      <w:r w:rsidR="006718C4" w:rsidRPr="00E35BCA">
        <w:rPr>
          <w:vertAlign w:val="superscript"/>
        </w:rPr>
        <w:t>68</w:t>
      </w:r>
      <w:r w:rsidR="006718C4" w:rsidRPr="00E35BCA">
        <w:t xml:space="preserve">Ga-DOTA-octreotate and FDG PET/CT may </w:t>
      </w:r>
      <w:r w:rsidR="00BF7874" w:rsidRPr="00E35BCA">
        <w:t>not be relevant to determining test outcomes and suitability for PRRT</w:t>
      </w:r>
      <w:r w:rsidR="00FD5D0D" w:rsidRPr="00E35BCA">
        <w:t xml:space="preserve"> treatment.</w:t>
      </w:r>
    </w:p>
    <w:p w14:paraId="649B17DC" w14:textId="3D275C89" w:rsidR="00BF7874" w:rsidRPr="003E7B39" w:rsidRDefault="00BF7874" w:rsidP="007B0205">
      <w:pPr>
        <w:jc w:val="both"/>
        <w:rPr>
          <w:i/>
          <w:iCs/>
        </w:rPr>
      </w:pPr>
      <w:r w:rsidRPr="00E35BCA">
        <w:t>It is reported that the interpretation of dual modality imaging in multifocal and heterogenous tumours can be difficult</w:t>
      </w:r>
      <w:r w:rsidR="00AF0E06" w:rsidRPr="00E35BCA">
        <w:t>, which appears to be the reason that the applicant has recommended MDT guided imaging and treatment</w:t>
      </w:r>
      <w:r w:rsidRPr="00E35BCA">
        <w:t>. Measures of joint results of FDG and SS</w:t>
      </w:r>
      <w:r w:rsidR="00C04E7D" w:rsidRPr="00E35BCA">
        <w:t>T</w:t>
      </w:r>
      <w:r w:rsidRPr="00E35BCA">
        <w:t xml:space="preserve">R based imaging in a single combined parameter have not yet been developed. A scoring system (the NETPET Grading System) has been proposed </w:t>
      </w:r>
      <w:r w:rsidR="00FD5D0D" w:rsidRPr="00E35BCA">
        <w:t>that correlates with overall survival</w:t>
      </w:r>
      <w:r w:rsidR="00AF0E06" w:rsidRPr="00E35BCA">
        <w:t xml:space="preserve"> </w:t>
      </w:r>
      <w:r w:rsidR="00C04E7D" w:rsidRPr="00E35BCA">
        <w:t>(</w:t>
      </w:r>
      <w:r w:rsidR="00FD5D0D" w:rsidRPr="00E35BCA">
        <w:t>Chan 2017</w:t>
      </w:r>
      <w:r w:rsidR="00755AB3" w:rsidRPr="00E35BCA">
        <w:t>),</w:t>
      </w:r>
      <w:r w:rsidR="00AF0E06" w:rsidRPr="00E35BCA">
        <w:t xml:space="preserve"> but it appears to yet be validated</w:t>
      </w:r>
      <w:r w:rsidRPr="00E35BCA">
        <w:t>.</w:t>
      </w:r>
    </w:p>
    <w:p w14:paraId="7B2AFDDB" w14:textId="335FEB2A" w:rsidR="009642E8" w:rsidRPr="00ED4E95" w:rsidRDefault="009642E8" w:rsidP="007B0205">
      <w:pPr>
        <w:keepNext/>
        <w:jc w:val="both"/>
        <w:rPr>
          <w:u w:val="single"/>
        </w:rPr>
      </w:pPr>
      <w:r w:rsidRPr="00ED4E95">
        <w:rPr>
          <w:u w:val="single"/>
        </w:rPr>
        <w:t>Change in management</w:t>
      </w:r>
    </w:p>
    <w:p w14:paraId="01CD8A3F" w14:textId="2E1B0DFF" w:rsidR="009642E8" w:rsidRPr="00922B1C" w:rsidRDefault="009642E8" w:rsidP="007B0205">
      <w:pPr>
        <w:jc w:val="both"/>
      </w:pPr>
      <w:r w:rsidRPr="00922B1C">
        <w:t xml:space="preserve">The purpose of </w:t>
      </w:r>
      <w:r w:rsidRPr="00922B1C">
        <w:rPr>
          <w:vertAlign w:val="superscript"/>
        </w:rPr>
        <w:t>68</w:t>
      </w:r>
      <w:r w:rsidRPr="00922B1C">
        <w:t>Ga-</w:t>
      </w:r>
      <w:r w:rsidR="001C03D0">
        <w:t>DOTA-</w:t>
      </w:r>
      <w:r w:rsidR="00110D5F">
        <w:t xml:space="preserve">octreotate </w:t>
      </w:r>
      <w:r w:rsidRPr="00922B1C">
        <w:t>PET/CT imaging</w:t>
      </w:r>
      <w:r w:rsidR="00227257" w:rsidRPr="00922B1C">
        <w:t xml:space="preserve"> </w:t>
      </w:r>
      <w:r w:rsidRPr="00922B1C">
        <w:t xml:space="preserve">is to assess the eligibility for treatment with </w:t>
      </w:r>
      <w:r w:rsidRPr="00922B1C">
        <w:rPr>
          <w:vertAlign w:val="superscript"/>
        </w:rPr>
        <w:t>177</w:t>
      </w:r>
      <w:r w:rsidRPr="00922B1C">
        <w:t>Lu</w:t>
      </w:r>
      <w:r w:rsidR="00365006">
        <w:t>-</w:t>
      </w:r>
      <w:r w:rsidR="001C03D0">
        <w:t>DOTA-octreotate</w:t>
      </w:r>
      <w:r w:rsidRPr="00922B1C">
        <w:t xml:space="preserve">. Therefore, a result below the nominated threshold (i.e., </w:t>
      </w:r>
      <w:r w:rsidR="00E73977" w:rsidRPr="00922B1C">
        <w:t>below 3 for the modified Krenning score</w:t>
      </w:r>
      <w:r w:rsidRPr="00922B1C">
        <w:t xml:space="preserve">) would mean that patients </w:t>
      </w:r>
      <w:r w:rsidR="00772F37" w:rsidRPr="00922B1C">
        <w:t>are</w:t>
      </w:r>
      <w:r w:rsidRPr="00922B1C">
        <w:t xml:space="preserve"> not eligible for </w:t>
      </w:r>
      <w:r w:rsidRPr="00922B1C">
        <w:rPr>
          <w:vertAlign w:val="superscript"/>
        </w:rPr>
        <w:t>177</w:t>
      </w:r>
      <w:r w:rsidRPr="00922B1C">
        <w:t>Lu</w:t>
      </w:r>
      <w:r w:rsidR="00365006">
        <w:t>-</w:t>
      </w:r>
      <w:r w:rsidR="001C03D0">
        <w:t>DOTA-octreotate</w:t>
      </w:r>
      <w:r w:rsidRPr="00922B1C">
        <w:t xml:space="preserve"> treatment. </w:t>
      </w:r>
    </w:p>
    <w:p w14:paraId="0ABD5635" w14:textId="5EF4A86E" w:rsidR="009642E8" w:rsidRPr="00922B1C" w:rsidRDefault="009642E8" w:rsidP="007B0205">
      <w:pPr>
        <w:jc w:val="both"/>
      </w:pPr>
      <w:r w:rsidRPr="00922B1C">
        <w:t xml:space="preserve">Relevant outcomes would be the proportion of patients who meet the nominated thresholds of </w:t>
      </w:r>
      <w:r w:rsidRPr="00922B1C">
        <w:rPr>
          <w:vertAlign w:val="superscript"/>
        </w:rPr>
        <w:t>68</w:t>
      </w:r>
      <w:r w:rsidRPr="00922B1C">
        <w:t>Ga-</w:t>
      </w:r>
      <w:r w:rsidR="001C03D0">
        <w:t>DOTA-</w:t>
      </w:r>
      <w:r w:rsidR="00110D5F">
        <w:t xml:space="preserve">octreotate </w:t>
      </w:r>
      <w:r w:rsidRPr="00922B1C">
        <w:t xml:space="preserve">PET/CT imaging who then proceed to </w:t>
      </w:r>
      <w:r w:rsidRPr="00922B1C">
        <w:rPr>
          <w:vertAlign w:val="superscript"/>
        </w:rPr>
        <w:t>177</w:t>
      </w:r>
      <w:r w:rsidRPr="00922B1C">
        <w:t>Lu</w:t>
      </w:r>
      <w:r w:rsidR="00365006">
        <w:t>-</w:t>
      </w:r>
      <w:r w:rsidR="001C03D0">
        <w:t>DOTA-</w:t>
      </w:r>
      <w:r w:rsidR="00110D5F">
        <w:t xml:space="preserve">octreotate </w:t>
      </w:r>
      <w:r w:rsidRPr="00922B1C">
        <w:t xml:space="preserve">treatment. </w:t>
      </w:r>
    </w:p>
    <w:p w14:paraId="4582F21D" w14:textId="6AEE7806" w:rsidR="0030131D" w:rsidRDefault="0030131D" w:rsidP="007B0205">
      <w:pPr>
        <w:jc w:val="both"/>
      </w:pPr>
      <w:r w:rsidRPr="00922B1C">
        <w:t xml:space="preserve">It was noted </w:t>
      </w:r>
      <w:r w:rsidR="006A6380" w:rsidRPr="00922B1C">
        <w:t>in discussions with the applicant</w:t>
      </w:r>
      <w:r w:rsidRPr="00922B1C">
        <w:t xml:space="preserve"> that patients with higher grade NETs</w:t>
      </w:r>
      <w:r w:rsidR="00993F6B" w:rsidRPr="00922B1C">
        <w:t xml:space="preserve">, </w:t>
      </w:r>
      <w:bookmarkStart w:id="49" w:name="_Int_my0dq7xP"/>
      <w:r w:rsidR="00993F6B" w:rsidRPr="00922B1C">
        <w:t xml:space="preserve">in particular </w:t>
      </w:r>
      <w:r w:rsidRPr="00922B1C">
        <w:t>G2</w:t>
      </w:r>
      <w:bookmarkEnd w:id="49"/>
      <w:r w:rsidRPr="00922B1C">
        <w:t xml:space="preserve"> </w:t>
      </w:r>
      <w:r w:rsidR="00993F6B" w:rsidRPr="00922B1C">
        <w:t>tumour</w:t>
      </w:r>
      <w:r w:rsidR="00124AC1" w:rsidRPr="00922B1C">
        <w:t>s</w:t>
      </w:r>
      <w:r w:rsidR="00993F6B" w:rsidRPr="00922B1C">
        <w:t xml:space="preserve"> with Ki-67&gt;10% </w:t>
      </w:r>
      <w:r w:rsidRPr="00922B1C">
        <w:t>and G3</w:t>
      </w:r>
      <w:r w:rsidR="00993F6B" w:rsidRPr="00922B1C">
        <w:t xml:space="preserve"> tumours with Ki-67&lt;55%,</w:t>
      </w:r>
      <w:r w:rsidRPr="00922B1C">
        <w:t xml:space="preserve"> can reflect decreased SSTR expression which would lower the proportion of </w:t>
      </w:r>
      <w:r w:rsidR="008C6993" w:rsidRPr="00922B1C">
        <w:t>higher-grade NET</w:t>
      </w:r>
      <w:r w:rsidRPr="00922B1C">
        <w:t xml:space="preserve"> patients eligible for </w:t>
      </w:r>
      <w:r w:rsidRPr="00922B1C">
        <w:rPr>
          <w:vertAlign w:val="superscript"/>
        </w:rPr>
        <w:t>177</w:t>
      </w:r>
      <w:r w:rsidRPr="00922B1C">
        <w:t>Lu</w:t>
      </w:r>
      <w:r w:rsidR="00365006">
        <w:t>-</w:t>
      </w:r>
      <w:r w:rsidR="001C03D0">
        <w:t>DOTA-octreotate</w:t>
      </w:r>
      <w:r w:rsidRPr="00922B1C">
        <w:t xml:space="preserve"> treatment based on SSTR-positive status on SSTR-PET/CT imaging. As FDG PET/CT is recommended for </w:t>
      </w:r>
      <w:r w:rsidR="0030432E" w:rsidRPr="00922B1C">
        <w:t>these subgroups of patients</w:t>
      </w:r>
      <w:r w:rsidR="00370CB9" w:rsidRPr="00922B1C">
        <w:t xml:space="preserve"> (in addition to those who progress in less than 6 months and those with abnormal lesions on CT/MRI without H-SSTR)</w:t>
      </w:r>
      <w:r w:rsidRPr="00922B1C">
        <w:t xml:space="preserve">, </w:t>
      </w:r>
      <w:r w:rsidR="00A057C7" w:rsidRPr="00922B1C">
        <w:t xml:space="preserve">an </w:t>
      </w:r>
      <w:r w:rsidRPr="00922B1C">
        <w:t xml:space="preserve">additional outcome </w:t>
      </w:r>
      <w:r w:rsidR="006A6380" w:rsidRPr="00922B1C">
        <w:t>would</w:t>
      </w:r>
      <w:r w:rsidR="00993F6B" w:rsidRPr="00922B1C">
        <w:t xml:space="preserve"> include the proportion of patients with G2 (Ki-67&gt;10%) </w:t>
      </w:r>
      <w:r w:rsidR="00FB01E7" w:rsidRPr="00922B1C">
        <w:t>or</w:t>
      </w:r>
      <w:r w:rsidR="00993F6B" w:rsidRPr="00922B1C">
        <w:t xml:space="preserve"> G3 (Ki-67&lt;55%) </w:t>
      </w:r>
      <w:r w:rsidR="00124AC1" w:rsidRPr="00922B1C">
        <w:t xml:space="preserve">NETs </w:t>
      </w:r>
      <w:r w:rsidR="00993F6B" w:rsidRPr="00922B1C">
        <w:t xml:space="preserve">who </w:t>
      </w:r>
      <w:r w:rsidR="006A6380" w:rsidRPr="00922B1C">
        <w:t>have a</w:t>
      </w:r>
      <w:r w:rsidR="00993F6B" w:rsidRPr="00922B1C">
        <w:t xml:space="preserve"> </w:t>
      </w:r>
      <w:r w:rsidR="00A057C7" w:rsidRPr="00922B1C">
        <w:t xml:space="preserve">FDG PET/CT scan. </w:t>
      </w:r>
    </w:p>
    <w:p w14:paraId="0859A609" w14:textId="375792C7" w:rsidR="00365006" w:rsidRPr="004C3B98" w:rsidRDefault="00C04E7D" w:rsidP="007B0205">
      <w:pPr>
        <w:autoSpaceDE w:val="0"/>
        <w:autoSpaceDN w:val="0"/>
        <w:adjustRightInd w:val="0"/>
        <w:spacing w:after="0"/>
        <w:jc w:val="both"/>
        <w:rPr>
          <w:i/>
          <w:iCs/>
        </w:rPr>
      </w:pPr>
      <w:r w:rsidRPr="004C3B98">
        <w:rPr>
          <w:i/>
          <w:iCs/>
        </w:rPr>
        <w:t xml:space="preserve">At the April </w:t>
      </w:r>
      <w:r w:rsidR="000C26AC">
        <w:rPr>
          <w:i/>
          <w:iCs/>
        </w:rPr>
        <w:t xml:space="preserve">2023 </w:t>
      </w:r>
      <w:r w:rsidRPr="004C3B98">
        <w:rPr>
          <w:i/>
          <w:iCs/>
        </w:rPr>
        <w:t>meeting, f</w:t>
      </w:r>
      <w:r w:rsidR="00365006" w:rsidRPr="004C3B98">
        <w:rPr>
          <w:i/>
          <w:iCs/>
        </w:rPr>
        <w:t>or change in management outcomes, PASC considered the following were relevant:</w:t>
      </w:r>
    </w:p>
    <w:p w14:paraId="72435559" w14:textId="77777777" w:rsidR="00365006" w:rsidRPr="004C3B98" w:rsidRDefault="00365006" w:rsidP="007B0205">
      <w:pPr>
        <w:pStyle w:val="ListParagraph"/>
        <w:numPr>
          <w:ilvl w:val="0"/>
          <w:numId w:val="9"/>
        </w:numPr>
        <w:autoSpaceDE w:val="0"/>
        <w:autoSpaceDN w:val="0"/>
        <w:adjustRightInd w:val="0"/>
        <w:ind w:left="284" w:hanging="284"/>
        <w:jc w:val="both"/>
        <w:rPr>
          <w:i/>
          <w:iCs/>
        </w:rPr>
      </w:pPr>
      <w:r w:rsidRPr="004C3B98">
        <w:rPr>
          <w:i/>
          <w:iCs/>
        </w:rPr>
        <w:t xml:space="preserve">Proportion of patients considered eligible for PRRT following </w:t>
      </w:r>
      <w:r w:rsidRPr="004C3B98">
        <w:rPr>
          <w:i/>
          <w:iCs/>
          <w:vertAlign w:val="superscript"/>
        </w:rPr>
        <w:t>68</w:t>
      </w:r>
      <w:r w:rsidRPr="004C3B98">
        <w:rPr>
          <w:i/>
          <w:iCs/>
        </w:rPr>
        <w:t>Ga-DOTA octreotate PET/CT</w:t>
      </w:r>
    </w:p>
    <w:p w14:paraId="1C2E2C5F" w14:textId="7840807D" w:rsidR="00365006" w:rsidRPr="004C3B98" w:rsidRDefault="00365006" w:rsidP="007B0205">
      <w:pPr>
        <w:pStyle w:val="ListParagraph"/>
        <w:numPr>
          <w:ilvl w:val="0"/>
          <w:numId w:val="9"/>
        </w:numPr>
        <w:autoSpaceDE w:val="0"/>
        <w:autoSpaceDN w:val="0"/>
        <w:adjustRightInd w:val="0"/>
        <w:ind w:left="284" w:hanging="284"/>
        <w:jc w:val="both"/>
        <w:rPr>
          <w:i/>
          <w:iCs/>
        </w:rPr>
      </w:pPr>
      <w:r w:rsidRPr="004C3B98">
        <w:rPr>
          <w:i/>
          <w:iCs/>
        </w:rPr>
        <w:t>Proportion of</w:t>
      </w:r>
      <w:r w:rsidR="00F134BA" w:rsidRPr="004C3B98">
        <w:rPr>
          <w:i/>
          <w:iCs/>
        </w:rPr>
        <w:t xml:space="preserve"> SSTRI-positive</w:t>
      </w:r>
      <w:r w:rsidRPr="004C3B98">
        <w:rPr>
          <w:i/>
          <w:iCs/>
        </w:rPr>
        <w:t xml:space="preserve"> patients</w:t>
      </w:r>
      <w:r w:rsidR="00F134BA" w:rsidRPr="004C3B98">
        <w:rPr>
          <w:i/>
          <w:iCs/>
        </w:rPr>
        <w:t xml:space="preserve"> considered</w:t>
      </w:r>
      <w:r w:rsidRPr="004C3B98">
        <w:rPr>
          <w:i/>
          <w:iCs/>
        </w:rPr>
        <w:t xml:space="preserve"> ineligible</w:t>
      </w:r>
      <w:r w:rsidRPr="004C3B98">
        <w:rPr>
          <w:b/>
          <w:bCs/>
          <w:i/>
          <w:iCs/>
        </w:rPr>
        <w:t xml:space="preserve"> </w:t>
      </w:r>
      <w:r w:rsidRPr="004C3B98">
        <w:rPr>
          <w:i/>
          <w:iCs/>
        </w:rPr>
        <w:t>for PRRT following FDG PET/CT</w:t>
      </w:r>
    </w:p>
    <w:p w14:paraId="2CD6905D" w14:textId="7944682A" w:rsidR="00365006" w:rsidRPr="00E35BCA" w:rsidRDefault="00B56968" w:rsidP="007B0205">
      <w:pPr>
        <w:jc w:val="both"/>
      </w:pPr>
      <w:r w:rsidRPr="00E35BCA">
        <w:t xml:space="preserve">The literature notes that </w:t>
      </w:r>
      <w:r w:rsidRPr="00E35BCA">
        <w:rPr>
          <w:vertAlign w:val="superscript"/>
        </w:rPr>
        <w:t>18</w:t>
      </w:r>
      <w:r w:rsidR="00850E23" w:rsidRPr="00E35BCA">
        <w:t>F</w:t>
      </w:r>
      <w:r w:rsidRPr="00E35BCA">
        <w:t>-FDG</w:t>
      </w:r>
      <w:r w:rsidR="00850E23" w:rsidRPr="00E35BCA">
        <w:t xml:space="preserve"> </w:t>
      </w:r>
      <w:r w:rsidRPr="00E35BCA">
        <w:t>PET</w:t>
      </w:r>
      <w:r w:rsidR="00850E23" w:rsidRPr="00E35BCA">
        <w:t>/CT</w:t>
      </w:r>
      <w:r w:rsidRPr="00E35BCA">
        <w:t xml:space="preserve"> positive NENs that display low avidity on SSTR imaging are potentially high-grade, metabolically active and aggressive tumours with more rapid progression of disease and a worse prognosis </w:t>
      </w:r>
      <w:r w:rsidR="00C04E7D" w:rsidRPr="00E35BCA">
        <w:t>(</w:t>
      </w:r>
      <w:r w:rsidRPr="00E35BCA">
        <w:t>Kayani 2008; Nilica 2016; Chan 2017; Reccia 2023</w:t>
      </w:r>
      <w:r w:rsidR="00C04E7D" w:rsidRPr="00E35BCA">
        <w:t>)</w:t>
      </w:r>
      <w:r w:rsidRPr="00E35BCA">
        <w:t>. Therefore</w:t>
      </w:r>
      <w:r w:rsidR="005C2100" w:rsidRPr="00E35BCA">
        <w:t>,</w:t>
      </w:r>
      <w:r w:rsidRPr="00E35BCA">
        <w:t xml:space="preserve"> the outcomes nominated may not be informat</w:t>
      </w:r>
      <w:r w:rsidR="005C2100" w:rsidRPr="00E35BCA">
        <w:t>ive</w:t>
      </w:r>
      <w:r w:rsidRPr="00E35BCA">
        <w:t xml:space="preserve"> to how these tests are used in current clinical practice. Something which the utilisation data </w:t>
      </w:r>
      <w:r w:rsidR="005C2100" w:rsidRPr="00E35BCA">
        <w:t>will</w:t>
      </w:r>
      <w:r w:rsidRPr="00E35BCA">
        <w:t xml:space="preserve"> need to consider. </w:t>
      </w:r>
    </w:p>
    <w:p w14:paraId="4B9D36CF" w14:textId="0D75E74D" w:rsidR="00C87875" w:rsidRPr="00ED4E95" w:rsidRDefault="00C87875" w:rsidP="007B0205">
      <w:pPr>
        <w:jc w:val="both"/>
        <w:rPr>
          <w:u w:val="single"/>
        </w:rPr>
      </w:pPr>
      <w:r w:rsidRPr="00ED4E95">
        <w:rPr>
          <w:u w:val="single"/>
        </w:rPr>
        <w:t>Oncologic and patient outcomes</w:t>
      </w:r>
      <w:r w:rsidR="009642E8" w:rsidRPr="00ED4E95">
        <w:rPr>
          <w:u w:val="single"/>
        </w:rPr>
        <w:t xml:space="preserve"> </w:t>
      </w:r>
    </w:p>
    <w:p w14:paraId="14237BED" w14:textId="2C8F68F4" w:rsidR="0030131D" w:rsidRPr="00ED4E95" w:rsidRDefault="0030131D" w:rsidP="007B0205">
      <w:pPr>
        <w:jc w:val="both"/>
      </w:pPr>
      <w:r w:rsidRPr="00ED4E95">
        <w:t>The outcomes nominated in the application (p33) include:</w:t>
      </w:r>
    </w:p>
    <w:p w14:paraId="509FE345" w14:textId="55E0DC55" w:rsidR="00C87875" w:rsidRPr="00ED4E95" w:rsidRDefault="00C87875" w:rsidP="007B0205">
      <w:pPr>
        <w:pStyle w:val="ListParagraph"/>
        <w:numPr>
          <w:ilvl w:val="0"/>
          <w:numId w:val="3"/>
        </w:numPr>
        <w:ind w:left="360"/>
        <w:jc w:val="both"/>
      </w:pPr>
      <w:r w:rsidRPr="00ED4E95">
        <w:t>Quality of life</w:t>
      </w:r>
      <w:r w:rsidR="006A6380" w:rsidRPr="00ED4E95">
        <w:t>.</w:t>
      </w:r>
    </w:p>
    <w:p w14:paraId="497316C9" w14:textId="499FD961" w:rsidR="00C87875" w:rsidRPr="00850E23" w:rsidRDefault="00C87875" w:rsidP="007B0205">
      <w:pPr>
        <w:pStyle w:val="ListParagraph"/>
        <w:numPr>
          <w:ilvl w:val="0"/>
          <w:numId w:val="3"/>
        </w:numPr>
        <w:ind w:left="360"/>
        <w:jc w:val="both"/>
      </w:pPr>
      <w:r w:rsidRPr="00ED4E95">
        <w:t>Disease response i.e., symptomatic control of excess hormone secretion</w:t>
      </w:r>
      <w:r w:rsidR="007F1DE1">
        <w:t xml:space="preserve">, </w:t>
      </w:r>
      <w:r w:rsidRPr="00ED4E95">
        <w:t>bone pain</w:t>
      </w:r>
      <w:r w:rsidR="007F1DE1" w:rsidRPr="00850E23">
        <w:t>, objective response rate’ (measured by RECIST v.1.1 or repeat SSTRI) and disease control rate, tumour biomarkers</w:t>
      </w:r>
      <w:r w:rsidR="006A6380" w:rsidRPr="00850E23">
        <w:t>.</w:t>
      </w:r>
    </w:p>
    <w:p w14:paraId="60E1B4EF" w14:textId="57FAAD1D" w:rsidR="009642E8" w:rsidRPr="00ED4E95" w:rsidRDefault="00C87875" w:rsidP="007B0205">
      <w:pPr>
        <w:pStyle w:val="ListParagraph"/>
        <w:numPr>
          <w:ilvl w:val="0"/>
          <w:numId w:val="3"/>
        </w:numPr>
        <w:ind w:left="360"/>
        <w:jc w:val="both"/>
      </w:pPr>
      <w:r w:rsidRPr="00ED4E95">
        <w:lastRenderedPageBreak/>
        <w:t>Survival duration (overall and progression free)</w:t>
      </w:r>
      <w:r w:rsidR="006A6380" w:rsidRPr="00ED4E95">
        <w:t>.</w:t>
      </w:r>
    </w:p>
    <w:p w14:paraId="44CB1B63" w14:textId="77C35E5E" w:rsidR="00365006" w:rsidRDefault="009642E8" w:rsidP="007B0205">
      <w:pPr>
        <w:pStyle w:val="ListParagraph"/>
        <w:numPr>
          <w:ilvl w:val="0"/>
          <w:numId w:val="3"/>
        </w:numPr>
        <w:ind w:left="360"/>
        <w:jc w:val="both"/>
      </w:pPr>
      <w:r w:rsidRPr="00ED4E95">
        <w:t>Related Treatment Emergent Adverse Effects</w:t>
      </w:r>
      <w:r w:rsidR="006A6380" w:rsidRPr="00ED4E95">
        <w:t>.</w:t>
      </w:r>
    </w:p>
    <w:p w14:paraId="707AE997" w14:textId="38C52C95" w:rsidR="00365006" w:rsidRDefault="00C04E7D" w:rsidP="007B0205">
      <w:pPr>
        <w:jc w:val="both"/>
        <w:rPr>
          <w:i/>
          <w:iCs/>
        </w:rPr>
      </w:pPr>
      <w:r w:rsidRPr="004C3B98">
        <w:rPr>
          <w:i/>
          <w:iCs/>
        </w:rPr>
        <w:t xml:space="preserve">At the April </w:t>
      </w:r>
      <w:r w:rsidR="00F12B8F">
        <w:rPr>
          <w:i/>
          <w:iCs/>
        </w:rPr>
        <w:t xml:space="preserve">2023 </w:t>
      </w:r>
      <w:r w:rsidRPr="004C3B98">
        <w:rPr>
          <w:i/>
          <w:iCs/>
        </w:rPr>
        <w:t xml:space="preserve">meeting, </w:t>
      </w:r>
      <w:r w:rsidR="00365006" w:rsidRPr="00C04E7D">
        <w:rPr>
          <w:i/>
          <w:iCs/>
        </w:rPr>
        <w:t>PASC agreed with the clinical outcomes proposed, however expanded on the ‘disease response’ category, adding ‘objective response rate’ (measured by RECIST v.1.1 or repeat SSTRI) and ‘disease control rate’. PASC also considered that measurement of tumour biomarkers should be encompassed under ‘disease response’.</w:t>
      </w:r>
    </w:p>
    <w:p w14:paraId="1B60AC88" w14:textId="3195CDA0" w:rsidR="00F12B8F" w:rsidRDefault="00F12B8F" w:rsidP="007B0205">
      <w:pPr>
        <w:jc w:val="both"/>
        <w:rPr>
          <w:i/>
          <w:iCs/>
        </w:rPr>
      </w:pPr>
      <w:r>
        <w:rPr>
          <w:i/>
          <w:iCs/>
        </w:rPr>
        <w:t xml:space="preserve">At the August 2023 meeting, </w:t>
      </w:r>
      <w:r w:rsidRPr="00F12B8F">
        <w:rPr>
          <w:i/>
          <w:iCs/>
        </w:rPr>
        <w:t>PASC noted that the outcomes were as specified.</w:t>
      </w:r>
    </w:p>
    <w:p w14:paraId="4BBF84CB" w14:textId="77777777" w:rsidR="009B31CC" w:rsidRPr="00ED4E95" w:rsidRDefault="009B31CC" w:rsidP="00922B1C">
      <w:pPr>
        <w:pStyle w:val="Heading2"/>
        <w:keepLines w:val="0"/>
      </w:pPr>
      <w:r w:rsidRPr="00ED4E95">
        <w:t>Assessment framework (for investigative technologies)</w:t>
      </w:r>
    </w:p>
    <w:p w14:paraId="3825418F" w14:textId="505D0B11" w:rsidR="007503BC" w:rsidRPr="00922B1C" w:rsidRDefault="007503BC" w:rsidP="007B0205">
      <w:pPr>
        <w:jc w:val="both"/>
      </w:pPr>
      <w:r w:rsidRPr="00922B1C">
        <w:t xml:space="preserve">No trials were identified that compared the efficacy of </w:t>
      </w:r>
      <w:r w:rsidRPr="00922B1C">
        <w:rPr>
          <w:vertAlign w:val="superscript"/>
        </w:rPr>
        <w:t>177</w:t>
      </w:r>
      <w:r w:rsidRPr="00922B1C">
        <w:t>Lu</w:t>
      </w:r>
      <w:r w:rsidR="003167A0">
        <w:t>-</w:t>
      </w:r>
      <w:r w:rsidR="001C03D0">
        <w:t xml:space="preserve">DOTA-octreotate </w:t>
      </w:r>
      <w:r w:rsidRPr="00922B1C">
        <w:t>and standard supportive care in patients who were:</w:t>
      </w:r>
    </w:p>
    <w:p w14:paraId="615C93AD" w14:textId="5822AD8A" w:rsidR="00414F11" w:rsidRDefault="007503BC" w:rsidP="007B0205">
      <w:pPr>
        <w:pStyle w:val="ListParagraph"/>
        <w:numPr>
          <w:ilvl w:val="0"/>
          <w:numId w:val="3"/>
        </w:numPr>
        <w:ind w:left="360"/>
        <w:jc w:val="both"/>
      </w:pPr>
      <w:r w:rsidRPr="00922B1C">
        <w:t>SSTR-</w:t>
      </w:r>
      <w:r w:rsidR="00B67636" w:rsidRPr="00922B1C">
        <w:t xml:space="preserve">PET/CT </w:t>
      </w:r>
      <w:r w:rsidRPr="00922B1C">
        <w:t>positive and SSTR</w:t>
      </w:r>
      <w:r w:rsidR="00B67636" w:rsidRPr="00922B1C">
        <w:t xml:space="preserve">-PET/CT </w:t>
      </w:r>
      <w:r w:rsidRPr="00922B1C">
        <w:t>negative</w:t>
      </w:r>
      <w:r w:rsidR="006A6380" w:rsidRPr="00922B1C">
        <w:t>.</w:t>
      </w:r>
    </w:p>
    <w:p w14:paraId="45686997" w14:textId="4638F256" w:rsidR="00580D1C" w:rsidRPr="00850E23" w:rsidRDefault="00580D1C" w:rsidP="007B0205">
      <w:pPr>
        <w:jc w:val="both"/>
      </w:pPr>
      <w:r w:rsidRPr="004C3B98">
        <w:t xml:space="preserve">As noted above, </w:t>
      </w:r>
      <w:r w:rsidR="00F8164F" w:rsidRPr="004C3B98">
        <w:t>there is no evidence to support “blind” use of PRRT without prior documentation of SSTR expression – that is, positive SSTRI is (currently) a requirement for PRRT</w:t>
      </w:r>
      <w:r w:rsidR="003167A0" w:rsidRPr="004C3B98">
        <w:t>.</w:t>
      </w:r>
    </w:p>
    <w:p w14:paraId="388E40D4" w14:textId="1C7E761A" w:rsidR="00414F11" w:rsidRPr="00922B1C" w:rsidRDefault="00414F11" w:rsidP="007B0205">
      <w:pPr>
        <w:jc w:val="both"/>
      </w:pPr>
      <w:r w:rsidRPr="00922B1C">
        <w:t xml:space="preserve">Similarly, no trials were identified </w:t>
      </w:r>
      <w:r w:rsidR="00A672AF" w:rsidRPr="00922B1C">
        <w:t xml:space="preserve">that compared the efficacy of </w:t>
      </w:r>
      <w:r w:rsidR="00A672AF" w:rsidRPr="00922B1C">
        <w:rPr>
          <w:vertAlign w:val="superscript"/>
        </w:rPr>
        <w:t>177</w:t>
      </w:r>
      <w:r w:rsidR="00A672AF" w:rsidRPr="00922B1C">
        <w:t>Lu</w:t>
      </w:r>
      <w:r w:rsidR="003167A0">
        <w:t>-</w:t>
      </w:r>
      <w:r w:rsidR="001C03D0">
        <w:t xml:space="preserve">DOTA-octreotate </w:t>
      </w:r>
      <w:r w:rsidR="00A672AF" w:rsidRPr="00922B1C">
        <w:t xml:space="preserve">and standard supportive care </w:t>
      </w:r>
      <w:r w:rsidR="003537B9" w:rsidRPr="00922B1C">
        <w:t>in</w:t>
      </w:r>
      <w:r w:rsidR="00A672AF" w:rsidRPr="00922B1C">
        <w:t xml:space="preserve"> </w:t>
      </w:r>
      <w:r w:rsidRPr="00922B1C">
        <w:t>a subgroup of patients with higher-grade NETs (</w:t>
      </w:r>
      <w:r w:rsidR="003537B9" w:rsidRPr="00922B1C">
        <w:t xml:space="preserve">i.e., </w:t>
      </w:r>
      <w:r w:rsidRPr="00922B1C">
        <w:t>Ki-67&gt;10%) who were:</w:t>
      </w:r>
    </w:p>
    <w:p w14:paraId="543A0FAC" w14:textId="305664CB" w:rsidR="007503BC" w:rsidRPr="00922B1C" w:rsidRDefault="00D57543" w:rsidP="007B0205">
      <w:pPr>
        <w:pStyle w:val="ListParagraph"/>
        <w:numPr>
          <w:ilvl w:val="0"/>
          <w:numId w:val="3"/>
        </w:numPr>
        <w:ind w:left="360"/>
        <w:jc w:val="both"/>
      </w:pPr>
      <w:r w:rsidRPr="00922B1C">
        <w:t>SSTR-PET/CT positive and FDG-PET/CT</w:t>
      </w:r>
      <w:r w:rsidR="006A6380" w:rsidRPr="00922B1C">
        <w:t xml:space="preserve"> </w:t>
      </w:r>
      <w:r w:rsidRPr="00922B1C">
        <w:t>positive;</w:t>
      </w:r>
    </w:p>
    <w:p w14:paraId="304C11A1" w14:textId="0308A1B6" w:rsidR="00414F11" w:rsidRPr="00922B1C" w:rsidRDefault="00414F11" w:rsidP="007B0205">
      <w:pPr>
        <w:pStyle w:val="ListParagraph"/>
        <w:numPr>
          <w:ilvl w:val="0"/>
          <w:numId w:val="3"/>
        </w:numPr>
        <w:ind w:left="360"/>
        <w:jc w:val="both"/>
      </w:pPr>
      <w:r w:rsidRPr="00922B1C">
        <w:t>SSTR-PET/CT negative and FDG-PET/CT</w:t>
      </w:r>
      <w:r w:rsidR="006A6380" w:rsidRPr="00922B1C">
        <w:t xml:space="preserve"> </w:t>
      </w:r>
      <w:r w:rsidRPr="00922B1C">
        <w:t>positive;</w:t>
      </w:r>
      <w:r w:rsidR="00985415" w:rsidRPr="00922B1C">
        <w:t xml:space="preserve"> and</w:t>
      </w:r>
    </w:p>
    <w:p w14:paraId="6FC34039" w14:textId="75E076D1" w:rsidR="00414F11" w:rsidRPr="00922B1C" w:rsidRDefault="00414F11" w:rsidP="007B0205">
      <w:pPr>
        <w:pStyle w:val="ListParagraph"/>
        <w:numPr>
          <w:ilvl w:val="0"/>
          <w:numId w:val="3"/>
        </w:numPr>
        <w:ind w:left="360"/>
        <w:jc w:val="both"/>
      </w:pPr>
      <w:r w:rsidRPr="00922B1C">
        <w:t>SSTR-PET/CT positive and FDG-PET/CT</w:t>
      </w:r>
      <w:r w:rsidR="006A6380" w:rsidRPr="00922B1C">
        <w:t xml:space="preserve"> </w:t>
      </w:r>
      <w:r w:rsidRPr="00922B1C">
        <w:t>negative</w:t>
      </w:r>
      <w:r w:rsidR="00985415" w:rsidRPr="00922B1C">
        <w:t>.</w:t>
      </w:r>
    </w:p>
    <w:p w14:paraId="17664A18" w14:textId="3A857EA4" w:rsidR="008A1857" w:rsidRPr="004C3B98" w:rsidRDefault="008A1857" w:rsidP="007B0205">
      <w:pPr>
        <w:jc w:val="both"/>
      </w:pPr>
      <w:r w:rsidRPr="00922B1C">
        <w:t xml:space="preserve">Hence, a linked evidence approach will </w:t>
      </w:r>
      <w:bookmarkStart w:id="50" w:name="_Int_9XzOsqwl"/>
      <w:r w:rsidRPr="00922B1C">
        <w:t>likely be</w:t>
      </w:r>
      <w:bookmarkEnd w:id="50"/>
      <w:r w:rsidRPr="00922B1C">
        <w:t xml:space="preserve"> required to establish the proposed requirement for </w:t>
      </w:r>
      <w:r w:rsidR="00371656" w:rsidRPr="00922B1C">
        <w:t xml:space="preserve">(i) </w:t>
      </w:r>
      <w:r w:rsidR="003537B9" w:rsidRPr="00922B1C">
        <w:t xml:space="preserve">the threshold for a </w:t>
      </w:r>
      <w:r w:rsidR="00864703" w:rsidRPr="00922B1C">
        <w:t xml:space="preserve">positive SSTR status on </w:t>
      </w:r>
      <w:r w:rsidR="00864703" w:rsidRPr="00922B1C">
        <w:rPr>
          <w:vertAlign w:val="superscript"/>
        </w:rPr>
        <w:t>68</w:t>
      </w:r>
      <w:r w:rsidR="00864703" w:rsidRPr="00922B1C">
        <w:t>Ga-</w:t>
      </w:r>
      <w:r w:rsidR="001C03D0">
        <w:t>DOTA-</w:t>
      </w:r>
      <w:r w:rsidR="00110D5F">
        <w:t xml:space="preserve">octreotate </w:t>
      </w:r>
      <w:r w:rsidR="00864703" w:rsidRPr="00922B1C">
        <w:t xml:space="preserve">PET/CT (modified Krenning score </w:t>
      </w:r>
      <w:r w:rsidR="00864703" w:rsidRPr="00922B1C">
        <w:rPr>
          <w:rFonts w:cs="Calibri"/>
        </w:rPr>
        <w:t>≥</w:t>
      </w:r>
      <w:r w:rsidR="00864703" w:rsidRPr="00922B1C">
        <w:t>3) (ii) SSTR</w:t>
      </w:r>
      <w:r w:rsidR="003537B9" w:rsidRPr="00922B1C">
        <w:t xml:space="preserve">/FDG mismatch, and the implications of these characteristics on intermediate and health outcomes as </w:t>
      </w:r>
      <w:r w:rsidR="003537B9" w:rsidRPr="00A64825">
        <w:t>result o</w:t>
      </w:r>
      <w:r w:rsidR="003537B9" w:rsidRPr="004C3B98">
        <w:t xml:space="preserve">f treatment with </w:t>
      </w:r>
      <w:r w:rsidR="003537B9" w:rsidRPr="004C3B98">
        <w:rPr>
          <w:vertAlign w:val="superscript"/>
        </w:rPr>
        <w:t>177</w:t>
      </w:r>
      <w:r w:rsidR="003537B9" w:rsidRPr="004C3B98">
        <w:t>Lu</w:t>
      </w:r>
      <w:r w:rsidR="003167A0" w:rsidRPr="004C3B98">
        <w:t>-</w:t>
      </w:r>
      <w:r w:rsidR="001C03D0" w:rsidRPr="004C3B98">
        <w:t>DOTA-octreotate</w:t>
      </w:r>
      <w:r w:rsidR="003537B9" w:rsidRPr="004C3B98">
        <w:t xml:space="preserve">. </w:t>
      </w:r>
    </w:p>
    <w:p w14:paraId="59F76F04" w14:textId="192B2C52" w:rsidR="003167A0" w:rsidRPr="004D4938" w:rsidRDefault="004D4938" w:rsidP="007B0205">
      <w:pPr>
        <w:jc w:val="both"/>
        <w:rPr>
          <w:i/>
          <w:iCs/>
        </w:rPr>
      </w:pPr>
      <w:r w:rsidRPr="004C3B98">
        <w:rPr>
          <w:i/>
          <w:iCs/>
        </w:rPr>
        <w:t>At the April</w:t>
      </w:r>
      <w:r w:rsidR="000C26AC">
        <w:rPr>
          <w:i/>
          <w:iCs/>
        </w:rPr>
        <w:t xml:space="preserve"> 2023</w:t>
      </w:r>
      <w:r w:rsidRPr="004C3B98">
        <w:rPr>
          <w:i/>
          <w:iCs/>
        </w:rPr>
        <w:t xml:space="preserve"> meeting, </w:t>
      </w:r>
      <w:r w:rsidR="003167A0" w:rsidRPr="004D4938">
        <w:rPr>
          <w:i/>
          <w:iCs/>
        </w:rPr>
        <w:t>PASC considered that appropriate assessment questions for this application were:</w:t>
      </w:r>
    </w:p>
    <w:p w14:paraId="046AC77F" w14:textId="3290AF6E" w:rsidR="003167A0" w:rsidRPr="004D4938" w:rsidRDefault="003167A0" w:rsidP="007B0205">
      <w:pPr>
        <w:pStyle w:val="ListParagraph"/>
        <w:numPr>
          <w:ilvl w:val="0"/>
          <w:numId w:val="10"/>
        </w:numPr>
        <w:ind w:left="284" w:hanging="284"/>
        <w:jc w:val="both"/>
        <w:rPr>
          <w:i/>
          <w:iCs/>
        </w:rPr>
      </w:pPr>
      <w:r w:rsidRPr="004D4938">
        <w:rPr>
          <w:i/>
          <w:iCs/>
        </w:rPr>
        <w:t xml:space="preserve">What is the clinical utility of </w:t>
      </w:r>
      <w:r w:rsidRPr="004D4938">
        <w:rPr>
          <w:i/>
          <w:iCs/>
          <w:vertAlign w:val="superscript"/>
        </w:rPr>
        <w:t>68</w:t>
      </w:r>
      <w:r w:rsidRPr="004D4938">
        <w:rPr>
          <w:i/>
          <w:iCs/>
        </w:rPr>
        <w:t>Ga-</w:t>
      </w:r>
      <w:r w:rsidR="001C03D0" w:rsidRPr="004D4938">
        <w:rPr>
          <w:i/>
          <w:iCs/>
        </w:rPr>
        <w:t>DOTA-octreotate</w:t>
      </w:r>
      <w:r w:rsidRPr="004D4938">
        <w:rPr>
          <w:i/>
          <w:iCs/>
        </w:rPr>
        <w:t xml:space="preserve"> PET/CT for the selection of patients with progressive, advanced, metastatic or inoperable NETs with </w:t>
      </w:r>
      <w:r w:rsidR="00F134BA" w:rsidRPr="004D4938">
        <w:rPr>
          <w:i/>
          <w:iCs/>
        </w:rPr>
        <w:t xml:space="preserve">suspected </w:t>
      </w:r>
      <w:r w:rsidRPr="004D4938">
        <w:rPr>
          <w:i/>
          <w:iCs/>
        </w:rPr>
        <w:t xml:space="preserve">H-SSTR expression for </w:t>
      </w:r>
      <w:r w:rsidRPr="004D4938">
        <w:rPr>
          <w:i/>
          <w:iCs/>
          <w:vertAlign w:val="superscript"/>
        </w:rPr>
        <w:t>177</w:t>
      </w:r>
      <w:r w:rsidRPr="004D4938">
        <w:rPr>
          <w:i/>
          <w:iCs/>
        </w:rPr>
        <w:t>Lu-DOTA-</w:t>
      </w:r>
      <w:r w:rsidR="00F134BA" w:rsidRPr="004D4938">
        <w:rPr>
          <w:i/>
          <w:iCs/>
        </w:rPr>
        <w:t>o</w:t>
      </w:r>
      <w:r w:rsidRPr="004D4938">
        <w:rPr>
          <w:i/>
          <w:iCs/>
        </w:rPr>
        <w:t>ctreotate therapy?</w:t>
      </w:r>
    </w:p>
    <w:p w14:paraId="0F73FADA" w14:textId="4F04FD67" w:rsidR="003167A0" w:rsidRPr="004D4938" w:rsidRDefault="003167A0" w:rsidP="007B0205">
      <w:pPr>
        <w:pStyle w:val="ListParagraph"/>
        <w:numPr>
          <w:ilvl w:val="0"/>
          <w:numId w:val="10"/>
        </w:numPr>
        <w:ind w:left="284" w:hanging="284"/>
        <w:jc w:val="both"/>
        <w:rPr>
          <w:i/>
          <w:iCs/>
        </w:rPr>
      </w:pPr>
      <w:r w:rsidRPr="004D4938">
        <w:rPr>
          <w:i/>
          <w:iCs/>
        </w:rPr>
        <w:t xml:space="preserve">What is the clinical utility of FDG PET-CT in addition to </w:t>
      </w:r>
      <w:r w:rsidRPr="004D4938">
        <w:rPr>
          <w:i/>
          <w:iCs/>
          <w:vertAlign w:val="superscript"/>
        </w:rPr>
        <w:t>68</w:t>
      </w:r>
      <w:r w:rsidRPr="004D4938">
        <w:rPr>
          <w:i/>
          <w:iCs/>
        </w:rPr>
        <w:t>Ga-</w:t>
      </w:r>
      <w:r w:rsidR="001C03D0" w:rsidRPr="004D4938">
        <w:rPr>
          <w:i/>
          <w:iCs/>
        </w:rPr>
        <w:t>DOTA-</w:t>
      </w:r>
      <w:r w:rsidR="00110D5F" w:rsidRPr="004D4938">
        <w:rPr>
          <w:i/>
          <w:iCs/>
        </w:rPr>
        <w:t xml:space="preserve">octreotate </w:t>
      </w:r>
      <w:r w:rsidRPr="004D4938">
        <w:rPr>
          <w:i/>
          <w:iCs/>
        </w:rPr>
        <w:t xml:space="preserve">PET/CT for the selection of patients with progressive, advanced, metastatic or inoperable NETs with </w:t>
      </w:r>
      <w:r w:rsidR="00F134BA" w:rsidRPr="004D4938">
        <w:rPr>
          <w:i/>
          <w:iCs/>
        </w:rPr>
        <w:t xml:space="preserve">known </w:t>
      </w:r>
      <w:r w:rsidRPr="004D4938">
        <w:rPr>
          <w:i/>
          <w:iCs/>
        </w:rPr>
        <w:t xml:space="preserve">H-SSTR expression for </w:t>
      </w:r>
      <w:r w:rsidRPr="004D4938">
        <w:rPr>
          <w:i/>
          <w:iCs/>
          <w:vertAlign w:val="superscript"/>
        </w:rPr>
        <w:t>177</w:t>
      </w:r>
      <w:r w:rsidRPr="004D4938">
        <w:rPr>
          <w:i/>
          <w:iCs/>
        </w:rPr>
        <w:t>Lu-DOTA-</w:t>
      </w:r>
      <w:r w:rsidR="00F134BA" w:rsidRPr="004D4938">
        <w:rPr>
          <w:i/>
          <w:iCs/>
        </w:rPr>
        <w:t>o</w:t>
      </w:r>
      <w:r w:rsidRPr="004D4938">
        <w:rPr>
          <w:i/>
          <w:iCs/>
        </w:rPr>
        <w:t>ctreotate therapy?</w:t>
      </w:r>
    </w:p>
    <w:p w14:paraId="6F6B3B02" w14:textId="22D00C32" w:rsidR="003167A0" w:rsidRPr="004D4938" w:rsidRDefault="003167A0" w:rsidP="007B0205">
      <w:pPr>
        <w:pStyle w:val="ListParagraph"/>
        <w:numPr>
          <w:ilvl w:val="0"/>
          <w:numId w:val="10"/>
        </w:numPr>
        <w:ind w:left="284" w:hanging="284"/>
        <w:jc w:val="both"/>
        <w:rPr>
          <w:i/>
          <w:iCs/>
        </w:rPr>
      </w:pPr>
      <w:r w:rsidRPr="004D4938">
        <w:rPr>
          <w:i/>
          <w:iCs/>
        </w:rPr>
        <w:t xml:space="preserve">What is the safety, effectiveness and cost effectiveness of </w:t>
      </w:r>
      <w:r w:rsidRPr="004D4938">
        <w:rPr>
          <w:i/>
          <w:iCs/>
          <w:vertAlign w:val="superscript"/>
        </w:rPr>
        <w:t>177</w:t>
      </w:r>
      <w:r w:rsidRPr="004D4938">
        <w:rPr>
          <w:i/>
          <w:iCs/>
        </w:rPr>
        <w:t>Lu-DOTA-</w:t>
      </w:r>
      <w:r w:rsidR="00F134BA" w:rsidRPr="004D4938">
        <w:rPr>
          <w:i/>
          <w:iCs/>
        </w:rPr>
        <w:t>o</w:t>
      </w:r>
      <w:r w:rsidRPr="004D4938">
        <w:rPr>
          <w:i/>
          <w:iCs/>
        </w:rPr>
        <w:t xml:space="preserve">ctreotate vs alternative active and supportive care in patients with advanced NETs or other H-SSTR tumours as identified by </w:t>
      </w:r>
      <w:r w:rsidRPr="004D4938">
        <w:rPr>
          <w:i/>
          <w:iCs/>
          <w:vertAlign w:val="superscript"/>
        </w:rPr>
        <w:t>68</w:t>
      </w:r>
      <w:r w:rsidRPr="004D4938">
        <w:rPr>
          <w:i/>
          <w:iCs/>
        </w:rPr>
        <w:t>Ga-</w:t>
      </w:r>
      <w:r w:rsidR="001C03D0" w:rsidRPr="004D4938">
        <w:rPr>
          <w:i/>
          <w:iCs/>
        </w:rPr>
        <w:t>DOTA-</w:t>
      </w:r>
      <w:r w:rsidR="00110D5F" w:rsidRPr="004D4938">
        <w:rPr>
          <w:i/>
          <w:iCs/>
        </w:rPr>
        <w:t xml:space="preserve">octreotate </w:t>
      </w:r>
      <w:r w:rsidRPr="004D4938">
        <w:rPr>
          <w:i/>
          <w:iCs/>
        </w:rPr>
        <w:t>PET/CT?</w:t>
      </w:r>
    </w:p>
    <w:p w14:paraId="12B6CF20" w14:textId="554F6338" w:rsidR="003167A0" w:rsidRPr="004C3B98" w:rsidRDefault="003167A0" w:rsidP="007B0205">
      <w:pPr>
        <w:pStyle w:val="ListParagraph"/>
        <w:numPr>
          <w:ilvl w:val="0"/>
          <w:numId w:val="10"/>
        </w:numPr>
        <w:ind w:left="284" w:hanging="284"/>
        <w:jc w:val="both"/>
        <w:rPr>
          <w:i/>
          <w:iCs/>
        </w:rPr>
      </w:pPr>
      <w:r w:rsidRPr="004D4938">
        <w:rPr>
          <w:i/>
          <w:iCs/>
        </w:rPr>
        <w:t xml:space="preserve">What is the safety, effectiveness and cost effectiveness of </w:t>
      </w:r>
      <w:r w:rsidRPr="004D4938">
        <w:rPr>
          <w:i/>
          <w:iCs/>
          <w:vertAlign w:val="superscript"/>
        </w:rPr>
        <w:t>177</w:t>
      </w:r>
      <w:r w:rsidRPr="004D4938">
        <w:rPr>
          <w:i/>
          <w:iCs/>
        </w:rPr>
        <w:t>Lu(nca)-DOTA-</w:t>
      </w:r>
      <w:r w:rsidR="00F134BA" w:rsidRPr="004D4938">
        <w:rPr>
          <w:i/>
          <w:iCs/>
        </w:rPr>
        <w:t>o</w:t>
      </w:r>
      <w:r w:rsidRPr="004D4938">
        <w:rPr>
          <w:i/>
          <w:iCs/>
        </w:rPr>
        <w:t xml:space="preserve">ctreotate vs </w:t>
      </w:r>
      <w:r w:rsidRPr="004D4938">
        <w:rPr>
          <w:i/>
          <w:iCs/>
          <w:vertAlign w:val="superscript"/>
        </w:rPr>
        <w:t>177</w:t>
      </w:r>
      <w:r w:rsidRPr="004D4938">
        <w:rPr>
          <w:i/>
          <w:iCs/>
        </w:rPr>
        <w:t>Lu(ca)-DOTA-</w:t>
      </w:r>
      <w:r w:rsidR="00F134BA" w:rsidRPr="004D4938">
        <w:rPr>
          <w:i/>
          <w:iCs/>
        </w:rPr>
        <w:t>o</w:t>
      </w:r>
      <w:r w:rsidRPr="004D4938">
        <w:rPr>
          <w:i/>
          <w:iCs/>
        </w:rPr>
        <w:t xml:space="preserve">ctreotate in patients with advanced NETs or other H-SSTR tumours as identified by </w:t>
      </w:r>
      <w:r w:rsidRPr="004D4938">
        <w:rPr>
          <w:i/>
          <w:iCs/>
          <w:vertAlign w:val="superscript"/>
        </w:rPr>
        <w:t>68</w:t>
      </w:r>
      <w:r w:rsidRPr="004D4938">
        <w:rPr>
          <w:i/>
          <w:iCs/>
        </w:rPr>
        <w:t>Ga-</w:t>
      </w:r>
      <w:r w:rsidR="001C03D0" w:rsidRPr="004D4938">
        <w:rPr>
          <w:i/>
          <w:iCs/>
        </w:rPr>
        <w:t>DOTA-</w:t>
      </w:r>
      <w:r w:rsidR="00110D5F" w:rsidRPr="004D4938">
        <w:rPr>
          <w:i/>
          <w:iCs/>
        </w:rPr>
        <w:t xml:space="preserve">octreotate </w:t>
      </w:r>
      <w:r w:rsidRPr="004D4938">
        <w:rPr>
          <w:i/>
          <w:iCs/>
        </w:rPr>
        <w:t>PET/CT?</w:t>
      </w:r>
    </w:p>
    <w:p w14:paraId="52F71093" w14:textId="6B5B6166" w:rsidR="00C21BDB" w:rsidRPr="00E35BCA" w:rsidRDefault="00C21BDB" w:rsidP="007B0205">
      <w:pPr>
        <w:autoSpaceDE w:val="0"/>
        <w:autoSpaceDN w:val="0"/>
        <w:adjustRightInd w:val="0"/>
        <w:jc w:val="both"/>
        <w:rPr>
          <w:rFonts w:cs="Calibri"/>
        </w:rPr>
      </w:pPr>
      <w:r w:rsidRPr="004D4938">
        <w:rPr>
          <w:rFonts w:cs="Calibri"/>
          <w:i/>
          <w:iCs/>
        </w:rPr>
        <w:lastRenderedPageBreak/>
        <w:t>PASC clarified</w:t>
      </w:r>
      <w:r w:rsidR="004D4938" w:rsidRPr="004C3B98">
        <w:rPr>
          <w:rFonts w:cs="Calibri"/>
          <w:i/>
          <w:iCs/>
        </w:rPr>
        <w:t xml:space="preserve"> at the April </w:t>
      </w:r>
      <w:r w:rsidR="000C26AC">
        <w:rPr>
          <w:rFonts w:cs="Calibri"/>
          <w:i/>
          <w:iCs/>
        </w:rPr>
        <w:t xml:space="preserve">2023 </w:t>
      </w:r>
      <w:r w:rsidR="004D4938" w:rsidRPr="004C3B98">
        <w:rPr>
          <w:rFonts w:cs="Calibri"/>
          <w:i/>
          <w:iCs/>
        </w:rPr>
        <w:t>meeting</w:t>
      </w:r>
      <w:r w:rsidRPr="004D4938">
        <w:rPr>
          <w:rFonts w:cs="Calibri"/>
          <w:i/>
          <w:iCs/>
        </w:rPr>
        <w:t xml:space="preserve"> that the first three questions refer to the selection of patients for, and safety, effectiveness and cost-effectiveness of </w:t>
      </w:r>
      <w:r w:rsidRPr="004D4938">
        <w:rPr>
          <w:i/>
          <w:iCs/>
          <w:vertAlign w:val="superscript"/>
        </w:rPr>
        <w:t>177</w:t>
      </w:r>
      <w:r w:rsidRPr="004D4938">
        <w:rPr>
          <w:i/>
          <w:iCs/>
        </w:rPr>
        <w:t xml:space="preserve">Lu-DOTA-octreotate </w:t>
      </w:r>
      <w:r w:rsidRPr="004D4938">
        <w:rPr>
          <w:rFonts w:cs="Calibri"/>
          <w:i/>
          <w:iCs/>
        </w:rPr>
        <w:t xml:space="preserve">therapy (either </w:t>
      </w:r>
      <w:r w:rsidRPr="004D4938">
        <w:rPr>
          <w:i/>
          <w:iCs/>
          <w:vertAlign w:val="superscript"/>
        </w:rPr>
        <w:t>177</w:t>
      </w:r>
      <w:r w:rsidRPr="004D4938">
        <w:rPr>
          <w:i/>
          <w:iCs/>
        </w:rPr>
        <w:t xml:space="preserve">Lu(nca)-DOTA-octreotate or </w:t>
      </w:r>
      <w:r w:rsidRPr="004D4938">
        <w:rPr>
          <w:i/>
          <w:iCs/>
          <w:vertAlign w:val="superscript"/>
        </w:rPr>
        <w:t>177</w:t>
      </w:r>
      <w:r w:rsidRPr="004D4938">
        <w:rPr>
          <w:i/>
          <w:iCs/>
        </w:rPr>
        <w:t>Lu(ca)-DOTA-octreotate</w:t>
      </w:r>
      <w:r w:rsidRPr="004D4938">
        <w:rPr>
          <w:rFonts w:cs="Calibri"/>
          <w:i/>
          <w:iCs/>
        </w:rPr>
        <w:t xml:space="preserve">, since the evidence base does not draw a distinction). PASC noted that the final question is relevant only insofar as the application is to be restricted to </w:t>
      </w:r>
      <w:r w:rsidRPr="004D4938">
        <w:rPr>
          <w:i/>
          <w:iCs/>
          <w:vertAlign w:val="superscript"/>
        </w:rPr>
        <w:t>177</w:t>
      </w:r>
      <w:r w:rsidRPr="004D4938">
        <w:rPr>
          <w:i/>
          <w:iCs/>
        </w:rPr>
        <w:t>Lu(nca)-DOTA-octreotate as</w:t>
      </w:r>
      <w:r w:rsidRPr="004D4938">
        <w:rPr>
          <w:rFonts w:cs="Calibri"/>
          <w:i/>
          <w:iCs/>
        </w:rPr>
        <w:t xml:space="preserve"> there are some plausible claims relating to differences between these two products with respect to radiation protection and waste disposal</w:t>
      </w:r>
      <w:r w:rsidR="00493AC4" w:rsidRPr="004D4938">
        <w:rPr>
          <w:rFonts w:cs="Calibri"/>
          <w:i/>
          <w:iCs/>
        </w:rPr>
        <w:t>.</w:t>
      </w:r>
      <w:r w:rsidR="005C2100">
        <w:rPr>
          <w:rFonts w:cs="Calibri"/>
          <w:i/>
          <w:iCs/>
        </w:rPr>
        <w:t xml:space="preserve"> </w:t>
      </w:r>
      <w:r w:rsidR="005C2100" w:rsidRPr="00E35BCA">
        <w:rPr>
          <w:rFonts w:cs="Calibri"/>
        </w:rPr>
        <w:t xml:space="preserve">The applicant was to provide further information to address this question. </w:t>
      </w:r>
      <w:r w:rsidR="00191060" w:rsidRPr="00E35BCA">
        <w:rPr>
          <w:rFonts w:cs="Calibri"/>
        </w:rPr>
        <w:t xml:space="preserve">It should be noted that </w:t>
      </w:r>
      <w:r w:rsidR="005C2100" w:rsidRPr="00E35BCA">
        <w:rPr>
          <w:rFonts w:cs="Calibri"/>
        </w:rPr>
        <w:t>Australia has been using radiopharmaceuticals for therapy for</w:t>
      </w:r>
      <w:r w:rsidR="007F0385" w:rsidRPr="00E35BCA">
        <w:rPr>
          <w:rFonts w:cs="Calibri"/>
        </w:rPr>
        <w:t xml:space="preserve"> several </w:t>
      </w:r>
      <w:r w:rsidR="00D91041" w:rsidRPr="00E35BCA">
        <w:rPr>
          <w:rFonts w:cs="Calibri"/>
        </w:rPr>
        <w:t>decades and</w:t>
      </w:r>
      <w:r w:rsidR="005C2100" w:rsidRPr="00E35BCA">
        <w:rPr>
          <w:rFonts w:cs="Calibri"/>
        </w:rPr>
        <w:t xml:space="preserve"> specialist centres are </w:t>
      </w:r>
      <w:r w:rsidR="007F0385" w:rsidRPr="00E35BCA">
        <w:rPr>
          <w:rFonts w:cs="Calibri"/>
        </w:rPr>
        <w:t xml:space="preserve">likely </w:t>
      </w:r>
      <w:r w:rsidR="005C2100" w:rsidRPr="00E35BCA">
        <w:rPr>
          <w:rFonts w:cs="Calibri"/>
        </w:rPr>
        <w:t xml:space="preserve">well equipped to manage the additional radioactive waste from </w:t>
      </w:r>
      <w:r w:rsidR="005C2100" w:rsidRPr="00E35BCA">
        <w:rPr>
          <w:rFonts w:cs="Calibri"/>
          <w:vertAlign w:val="superscript"/>
        </w:rPr>
        <w:t>177</w:t>
      </w:r>
      <w:r w:rsidR="005C2100" w:rsidRPr="00E35BCA">
        <w:rPr>
          <w:rFonts w:cs="Calibri"/>
        </w:rPr>
        <w:t>Lu</w:t>
      </w:r>
      <w:r w:rsidR="00A64825" w:rsidRPr="00E35BCA">
        <w:rPr>
          <w:rFonts w:cs="Calibri"/>
        </w:rPr>
        <w:t>(ca</w:t>
      </w:r>
      <w:r w:rsidR="00755AB3" w:rsidRPr="00E35BCA">
        <w:rPr>
          <w:rFonts w:cs="Calibri"/>
        </w:rPr>
        <w:t>),</w:t>
      </w:r>
      <w:r w:rsidR="007F0385" w:rsidRPr="00E35BCA">
        <w:rPr>
          <w:rFonts w:cs="Calibri"/>
        </w:rPr>
        <w:t xml:space="preserve"> but additional information </w:t>
      </w:r>
      <w:r w:rsidR="00D91041" w:rsidRPr="00E35BCA">
        <w:rPr>
          <w:rFonts w:cs="Calibri"/>
        </w:rPr>
        <w:t xml:space="preserve">is required to inform this issue. </w:t>
      </w:r>
    </w:p>
    <w:p w14:paraId="2897CA6F" w14:textId="05026217" w:rsidR="003167A0" w:rsidRDefault="006A6380" w:rsidP="007B0205">
      <w:pPr>
        <w:jc w:val="both"/>
      </w:pPr>
      <w:r w:rsidRPr="00922B1C">
        <w:t>In discussions with the applicant</w:t>
      </w:r>
      <w:r w:rsidR="003537B9" w:rsidRPr="00922B1C">
        <w:t xml:space="preserve">, given the heterogenous nature of NETs and the complexities in patient management, an exemplar approach using pancreatic NETs was proposed to illustrate the flow of patients who go on to receive </w:t>
      </w:r>
      <w:r w:rsidR="003537B9" w:rsidRPr="00922B1C">
        <w:rPr>
          <w:vertAlign w:val="superscript"/>
        </w:rPr>
        <w:t>177</w:t>
      </w:r>
      <w:r w:rsidR="003537B9" w:rsidRPr="00922B1C">
        <w:t>Lu</w:t>
      </w:r>
      <w:r w:rsidR="003167A0">
        <w:t>-</w:t>
      </w:r>
      <w:r w:rsidR="001C03D0">
        <w:t>DOTA-octreotate</w:t>
      </w:r>
      <w:r w:rsidR="003537B9" w:rsidRPr="00922B1C">
        <w:t xml:space="preserve"> treatment. </w:t>
      </w:r>
      <w:r w:rsidR="00313C03" w:rsidRPr="00922B1C">
        <w:t xml:space="preserve">Pancreatic NETs were chosen on the basis they are </w:t>
      </w:r>
      <w:r w:rsidR="005F56F5" w:rsidRPr="00922B1C">
        <w:t xml:space="preserve">(i) </w:t>
      </w:r>
      <w:r w:rsidR="00BA7DC4" w:rsidRPr="00922B1C">
        <w:t xml:space="preserve">among the most common NETs (see </w:t>
      </w:r>
      <w:r w:rsidR="00BA7DC4" w:rsidRPr="00922B1C">
        <w:fldChar w:fldCharType="begin"/>
      </w:r>
      <w:r w:rsidR="00BA7DC4" w:rsidRPr="00922B1C">
        <w:instrText xml:space="preserve"> REF _Ref127363819 \h </w:instrText>
      </w:r>
      <w:r w:rsidR="00ED4E95" w:rsidRPr="00922B1C">
        <w:instrText xml:space="preserve"> \* MERGEFORMAT </w:instrText>
      </w:r>
      <w:r w:rsidR="00BA7DC4" w:rsidRPr="00922B1C">
        <w:fldChar w:fldCharType="separate"/>
      </w:r>
      <w:r w:rsidR="00401046" w:rsidRPr="00922B1C">
        <w:t xml:space="preserve">Table </w:t>
      </w:r>
      <w:r w:rsidR="00401046">
        <w:rPr>
          <w:noProof/>
        </w:rPr>
        <w:t>4</w:t>
      </w:r>
      <w:r w:rsidR="00BA7DC4" w:rsidRPr="00922B1C">
        <w:fldChar w:fldCharType="end"/>
      </w:r>
      <w:r w:rsidR="00BA7DC4" w:rsidRPr="00922B1C">
        <w:t xml:space="preserve">) and (ii) there are PBS-listed therapies for this condition (everolimus and sunitinib). </w:t>
      </w:r>
    </w:p>
    <w:p w14:paraId="6B457371" w14:textId="01272117" w:rsidR="00041EEA" w:rsidRDefault="00041EEA" w:rsidP="007B0205">
      <w:pPr>
        <w:pStyle w:val="Heading3"/>
        <w:keepNext w:val="0"/>
        <w:jc w:val="both"/>
      </w:pPr>
      <w:r>
        <w:t>Proposed exemplar approach</w:t>
      </w:r>
    </w:p>
    <w:p w14:paraId="54C467F1" w14:textId="60853F1D" w:rsidR="003167A0" w:rsidRPr="004D4938" w:rsidRDefault="004D4938" w:rsidP="007B0205">
      <w:pPr>
        <w:jc w:val="both"/>
        <w:rPr>
          <w:i/>
          <w:iCs/>
        </w:rPr>
      </w:pPr>
      <w:r w:rsidRPr="004C3B98">
        <w:rPr>
          <w:i/>
          <w:iCs/>
        </w:rPr>
        <w:t xml:space="preserve">In its consideration at the </w:t>
      </w:r>
      <w:r w:rsidR="00E753AE" w:rsidRPr="004C3B98">
        <w:rPr>
          <w:i/>
          <w:iCs/>
        </w:rPr>
        <w:t>April</w:t>
      </w:r>
      <w:r w:rsidRPr="004C3B98">
        <w:rPr>
          <w:i/>
          <w:iCs/>
        </w:rPr>
        <w:t xml:space="preserve"> </w:t>
      </w:r>
      <w:r w:rsidR="00F12B8F">
        <w:rPr>
          <w:i/>
          <w:iCs/>
        </w:rPr>
        <w:t xml:space="preserve">2023 </w:t>
      </w:r>
      <w:r w:rsidRPr="004C3B98">
        <w:rPr>
          <w:i/>
          <w:iCs/>
        </w:rPr>
        <w:t xml:space="preserve">meeting, </w:t>
      </w:r>
      <w:r w:rsidR="003167A0" w:rsidRPr="004D4938">
        <w:rPr>
          <w:i/>
          <w:iCs/>
        </w:rPr>
        <w:t>PASC agreed that an ‘exemplar’ approach to the economic evaluation would be appropriate. However, PASC considered that both pancreatic NETs and midgut NETs should be included. The basis of recommending inclusion of midgut NETs was the following:</w:t>
      </w:r>
    </w:p>
    <w:p w14:paraId="0DD46ADC" w14:textId="3C283FDE" w:rsidR="003167A0" w:rsidRPr="004D4938" w:rsidRDefault="00F134BA" w:rsidP="007B0205">
      <w:pPr>
        <w:pStyle w:val="ListParagraph"/>
        <w:numPr>
          <w:ilvl w:val="0"/>
          <w:numId w:val="11"/>
        </w:numPr>
        <w:ind w:left="284" w:hanging="284"/>
        <w:jc w:val="both"/>
        <w:rPr>
          <w:i/>
          <w:iCs/>
        </w:rPr>
      </w:pPr>
      <w:r w:rsidRPr="004D4938">
        <w:rPr>
          <w:i/>
          <w:iCs/>
        </w:rPr>
        <w:t>Pancreatic and m</w:t>
      </w:r>
      <w:r w:rsidR="003167A0" w:rsidRPr="004D4938">
        <w:rPr>
          <w:i/>
          <w:iCs/>
        </w:rPr>
        <w:t xml:space="preserve">idgut NETs </w:t>
      </w:r>
      <w:r w:rsidR="00AC52C7" w:rsidRPr="004D4938">
        <w:rPr>
          <w:i/>
          <w:iCs/>
        </w:rPr>
        <w:t xml:space="preserve">together </w:t>
      </w:r>
      <w:r w:rsidR="003167A0" w:rsidRPr="004D4938">
        <w:rPr>
          <w:i/>
          <w:iCs/>
        </w:rPr>
        <w:t>account for 27% of NET</w:t>
      </w:r>
      <w:r w:rsidR="0030316E" w:rsidRPr="004D4938">
        <w:rPr>
          <w:i/>
          <w:iCs/>
        </w:rPr>
        <w:t>s</w:t>
      </w:r>
      <w:r w:rsidR="003167A0" w:rsidRPr="004D4938">
        <w:rPr>
          <w:i/>
          <w:iCs/>
        </w:rPr>
        <w:t xml:space="preserve"> in the Australian population</w:t>
      </w:r>
      <w:r w:rsidR="00A64825" w:rsidRPr="004D4938">
        <w:rPr>
          <w:i/>
          <w:iCs/>
        </w:rPr>
        <w:t>.</w:t>
      </w:r>
    </w:p>
    <w:p w14:paraId="29143963" w14:textId="385A0061" w:rsidR="003167A0" w:rsidRPr="004D4938" w:rsidRDefault="003167A0" w:rsidP="007B0205">
      <w:pPr>
        <w:pStyle w:val="ListParagraph"/>
        <w:numPr>
          <w:ilvl w:val="0"/>
          <w:numId w:val="11"/>
        </w:numPr>
        <w:ind w:left="284" w:hanging="284"/>
        <w:jc w:val="both"/>
        <w:rPr>
          <w:i/>
          <w:iCs/>
        </w:rPr>
      </w:pPr>
      <w:r w:rsidRPr="004D4938">
        <w:rPr>
          <w:i/>
          <w:iCs/>
        </w:rPr>
        <w:t xml:space="preserve">Best available evidence (NETTER-1) </w:t>
      </w:r>
      <w:r w:rsidR="00F134BA" w:rsidRPr="004D4938">
        <w:rPr>
          <w:i/>
          <w:iCs/>
        </w:rPr>
        <w:t xml:space="preserve">was derived from </w:t>
      </w:r>
      <w:r w:rsidRPr="004D4938">
        <w:rPr>
          <w:i/>
          <w:iCs/>
        </w:rPr>
        <w:t>patients with midgut NETs</w:t>
      </w:r>
      <w:r w:rsidR="00A64825" w:rsidRPr="004D4938">
        <w:rPr>
          <w:i/>
          <w:iCs/>
        </w:rPr>
        <w:t>.</w:t>
      </w:r>
    </w:p>
    <w:p w14:paraId="07EA5F0A" w14:textId="284DBA36" w:rsidR="003167A0" w:rsidRPr="004D4938" w:rsidRDefault="003167A0" w:rsidP="007B0205">
      <w:pPr>
        <w:pStyle w:val="ListParagraph"/>
        <w:numPr>
          <w:ilvl w:val="0"/>
          <w:numId w:val="11"/>
        </w:numPr>
        <w:ind w:left="284" w:hanging="284"/>
        <w:jc w:val="both"/>
        <w:rPr>
          <w:i/>
          <w:iCs/>
        </w:rPr>
      </w:pPr>
      <w:r w:rsidRPr="004D4938">
        <w:rPr>
          <w:i/>
          <w:iCs/>
        </w:rPr>
        <w:t>There are PBS-subsidised agents for therapy of pancreatic and midgut NETs (including everolimus and sunitinib for the former and octreotide and lanreotide for the latter)</w:t>
      </w:r>
      <w:r w:rsidR="00A64825" w:rsidRPr="004D4938">
        <w:rPr>
          <w:i/>
          <w:iCs/>
        </w:rPr>
        <w:t>.</w:t>
      </w:r>
    </w:p>
    <w:p w14:paraId="454CAE77" w14:textId="77777777" w:rsidR="003167A0" w:rsidRPr="004D4938" w:rsidRDefault="003167A0" w:rsidP="007B0205">
      <w:pPr>
        <w:pStyle w:val="ListParagraph"/>
        <w:numPr>
          <w:ilvl w:val="0"/>
          <w:numId w:val="11"/>
        </w:numPr>
        <w:ind w:left="284" w:hanging="284"/>
        <w:jc w:val="both"/>
        <w:rPr>
          <w:i/>
          <w:iCs/>
        </w:rPr>
      </w:pPr>
      <w:r w:rsidRPr="004D4938">
        <w:rPr>
          <w:i/>
          <w:iCs/>
        </w:rPr>
        <w:t xml:space="preserve">The ESMO Clinical Practice Guideline encompasses pancreatic and midgut NETs. </w:t>
      </w:r>
    </w:p>
    <w:p w14:paraId="286B1898" w14:textId="3170B534" w:rsidR="002836E0" w:rsidRDefault="00C91F04" w:rsidP="007B0205">
      <w:pPr>
        <w:jc w:val="both"/>
      </w:pPr>
      <w:r w:rsidRPr="00E35BCA">
        <w:t xml:space="preserve">Caution </w:t>
      </w:r>
      <w:r w:rsidR="00C85709" w:rsidRPr="00E35BCA">
        <w:t>is</w:t>
      </w:r>
      <w:r w:rsidRPr="00E35BCA">
        <w:t xml:space="preserve"> considered to be necessary in the use of exemplars for the economic evaluation of NETs. Although the exemplars chosen may reflect common NETs, and therefore availability of evidence</w:t>
      </w:r>
      <w:r w:rsidR="004D4938" w:rsidRPr="00E35BCA">
        <w:t>,</w:t>
      </w:r>
      <w:r w:rsidRPr="00E35BCA">
        <w:t xml:space="preserve"> where the primar</w:t>
      </w:r>
      <w:r w:rsidR="002B63D7" w:rsidRPr="00E35BCA">
        <w:t xml:space="preserve">y </w:t>
      </w:r>
      <w:r w:rsidR="003E4154" w:rsidRPr="00E35BCA">
        <w:t>tumours</w:t>
      </w:r>
      <w:r w:rsidRPr="00E35BCA">
        <w:t xml:space="preserve"> are located can affect survivability but also may not reflect disease burden in NET patients. </w:t>
      </w:r>
    </w:p>
    <w:p w14:paraId="59BF741C" w14:textId="62D5D685" w:rsidR="00F12B8F" w:rsidRPr="00F12B8F" w:rsidRDefault="00F12B8F" w:rsidP="007B0205">
      <w:pPr>
        <w:jc w:val="both"/>
        <w:rPr>
          <w:i/>
          <w:iCs/>
        </w:rPr>
      </w:pPr>
      <w:r w:rsidRPr="536B0F9D">
        <w:rPr>
          <w:i/>
          <w:iCs/>
        </w:rPr>
        <w:t>PASC noted the concern raised</w:t>
      </w:r>
      <w:r w:rsidR="002F1713">
        <w:rPr>
          <w:i/>
          <w:iCs/>
        </w:rPr>
        <w:t xml:space="preserve"> by an independent expert</w:t>
      </w:r>
      <w:r w:rsidRPr="536B0F9D">
        <w:rPr>
          <w:i/>
          <w:iCs/>
        </w:rPr>
        <w:t xml:space="preserve"> that </w:t>
      </w:r>
      <w:r w:rsidR="6DA1C7FC" w:rsidRPr="536B0F9D">
        <w:rPr>
          <w:i/>
          <w:iCs/>
        </w:rPr>
        <w:t xml:space="preserve">although </w:t>
      </w:r>
      <w:r w:rsidRPr="536B0F9D">
        <w:rPr>
          <w:i/>
          <w:iCs/>
        </w:rPr>
        <w:t>the location of the primary tumour may affect survivability</w:t>
      </w:r>
      <w:r w:rsidR="37455830" w:rsidRPr="536B0F9D">
        <w:rPr>
          <w:i/>
          <w:iCs/>
        </w:rPr>
        <w:t>,</w:t>
      </w:r>
      <w:r w:rsidRPr="536B0F9D">
        <w:rPr>
          <w:i/>
          <w:iCs/>
        </w:rPr>
        <w:t xml:space="preserve"> </w:t>
      </w:r>
      <w:r w:rsidR="6C88F14A" w:rsidRPr="536B0F9D">
        <w:rPr>
          <w:i/>
          <w:iCs/>
        </w:rPr>
        <w:t xml:space="preserve">it </w:t>
      </w:r>
      <w:r w:rsidRPr="536B0F9D">
        <w:rPr>
          <w:i/>
          <w:iCs/>
        </w:rPr>
        <w:t>may not reflect disease burden</w:t>
      </w:r>
      <w:r w:rsidR="009C7C4F">
        <w:rPr>
          <w:i/>
          <w:iCs/>
        </w:rPr>
        <w:t xml:space="preserve">, so </w:t>
      </w:r>
      <w:r w:rsidR="4E69E242" w:rsidRPr="536B0F9D">
        <w:rPr>
          <w:i/>
          <w:iCs/>
        </w:rPr>
        <w:t xml:space="preserve">the </w:t>
      </w:r>
      <w:r w:rsidRPr="536B0F9D">
        <w:rPr>
          <w:i/>
          <w:iCs/>
        </w:rPr>
        <w:t xml:space="preserve">nominated exemplars of pancreatic and midgut NETs may not </w:t>
      </w:r>
      <w:r w:rsidR="41C30734" w:rsidRPr="536B0F9D">
        <w:rPr>
          <w:i/>
          <w:iCs/>
        </w:rPr>
        <w:t xml:space="preserve">be </w:t>
      </w:r>
      <w:r w:rsidRPr="536B0F9D">
        <w:rPr>
          <w:i/>
          <w:iCs/>
        </w:rPr>
        <w:t>generalis</w:t>
      </w:r>
      <w:r w:rsidR="1E605268" w:rsidRPr="536B0F9D">
        <w:rPr>
          <w:i/>
          <w:iCs/>
        </w:rPr>
        <w:t>abl</w:t>
      </w:r>
      <w:r w:rsidRPr="536B0F9D">
        <w:rPr>
          <w:i/>
          <w:iCs/>
        </w:rPr>
        <w:t>e to other NETs; however, PASC noted:</w:t>
      </w:r>
    </w:p>
    <w:p w14:paraId="20D649CA" w14:textId="795A3DFF" w:rsidR="00F12B8F" w:rsidRPr="00E35BCA" w:rsidRDefault="00F12B8F" w:rsidP="007B0205">
      <w:pPr>
        <w:pStyle w:val="ListParagraph"/>
        <w:numPr>
          <w:ilvl w:val="1"/>
          <w:numId w:val="29"/>
        </w:numPr>
        <w:ind w:left="284" w:hanging="284"/>
        <w:jc w:val="both"/>
        <w:rPr>
          <w:i/>
          <w:iCs/>
        </w:rPr>
      </w:pPr>
      <w:r w:rsidRPr="536B0F9D">
        <w:rPr>
          <w:i/>
          <w:iCs/>
        </w:rPr>
        <w:t>the purpose of exemplars is to evaluate the proposal for typical or more common population/intervention settings</w:t>
      </w:r>
      <w:r w:rsidR="00966EE9">
        <w:rPr>
          <w:i/>
          <w:iCs/>
        </w:rPr>
        <w:t xml:space="preserve"> for which there </w:t>
      </w:r>
      <w:r w:rsidR="00E32285">
        <w:rPr>
          <w:i/>
          <w:iCs/>
        </w:rPr>
        <w:t xml:space="preserve">is </w:t>
      </w:r>
      <w:r w:rsidRPr="536B0F9D">
        <w:rPr>
          <w:i/>
          <w:iCs/>
        </w:rPr>
        <w:t xml:space="preserve">the most clinical evidence, then </w:t>
      </w:r>
      <w:r w:rsidR="00A54650">
        <w:rPr>
          <w:i/>
          <w:iCs/>
        </w:rPr>
        <w:t xml:space="preserve">to </w:t>
      </w:r>
      <w:r w:rsidRPr="536B0F9D">
        <w:rPr>
          <w:i/>
          <w:iCs/>
        </w:rPr>
        <w:t>extrapolate the findings of the evaluation to other population/intervention settings (close enough to the exemplars).</w:t>
      </w:r>
    </w:p>
    <w:p w14:paraId="57D98846" w14:textId="1609690F" w:rsidR="00F12B8F" w:rsidRPr="00E35BCA" w:rsidRDefault="00F12B8F" w:rsidP="007B0205">
      <w:pPr>
        <w:pStyle w:val="ListParagraph"/>
        <w:numPr>
          <w:ilvl w:val="1"/>
          <w:numId w:val="29"/>
        </w:numPr>
        <w:ind w:left="284" w:hanging="284"/>
        <w:jc w:val="both"/>
        <w:rPr>
          <w:i/>
          <w:iCs/>
        </w:rPr>
      </w:pPr>
      <w:r w:rsidRPr="536B0F9D">
        <w:rPr>
          <w:i/>
          <w:iCs/>
        </w:rPr>
        <w:t xml:space="preserve">the disease burden </w:t>
      </w:r>
      <w:r w:rsidR="0080524D">
        <w:rPr>
          <w:i/>
          <w:iCs/>
        </w:rPr>
        <w:t>has been</w:t>
      </w:r>
      <w:r w:rsidRPr="536B0F9D">
        <w:rPr>
          <w:i/>
          <w:iCs/>
        </w:rPr>
        <w:t xml:space="preserve"> defined in the population (i.e., “locally advanced or metastatic, and inoperable neuroendocrine tumours [NETs] with documented disease progression or uncontrolled symptoms related to their NET”</w:t>
      </w:r>
      <w:r w:rsidR="3FB6DF9F" w:rsidRPr="536B0F9D">
        <w:rPr>
          <w:i/>
          <w:iCs/>
        </w:rPr>
        <w:t>)</w:t>
      </w:r>
      <w:r w:rsidRPr="536B0F9D">
        <w:rPr>
          <w:i/>
          <w:iCs/>
        </w:rPr>
        <w:t>.</w:t>
      </w:r>
    </w:p>
    <w:p w14:paraId="2CA39432" w14:textId="3F3627FA" w:rsidR="00F12B8F" w:rsidRPr="00E35BCA" w:rsidRDefault="00F12B8F" w:rsidP="007B0205">
      <w:pPr>
        <w:jc w:val="both"/>
      </w:pPr>
      <w:r w:rsidRPr="536B0F9D">
        <w:rPr>
          <w:i/>
          <w:iCs/>
        </w:rPr>
        <w:t xml:space="preserve">PASC re-affirmed that the </w:t>
      </w:r>
      <w:r w:rsidR="00A4387E">
        <w:rPr>
          <w:i/>
          <w:iCs/>
        </w:rPr>
        <w:t xml:space="preserve">assessment should </w:t>
      </w:r>
      <w:r w:rsidRPr="536B0F9D">
        <w:rPr>
          <w:i/>
          <w:iCs/>
        </w:rPr>
        <w:t>use pancreatic and midgut NETs as exemplars to evaluate the proposal.</w:t>
      </w:r>
    </w:p>
    <w:p w14:paraId="12F2305D" w14:textId="4EDBC170" w:rsidR="00717443" w:rsidRPr="00ED4E95" w:rsidRDefault="00717443" w:rsidP="009B31CC">
      <w:pPr>
        <w:keepNext/>
      </w:pPr>
      <w:r w:rsidRPr="00ED4E95">
        <w:rPr>
          <w:noProof/>
          <w:lang w:eastAsia="en-AU"/>
        </w:rPr>
        <w:lastRenderedPageBreak/>
        <w:drawing>
          <wp:inline distT="0" distB="0" distL="0" distR="0" wp14:anchorId="431FC2CE" wp14:editId="462EAB73">
            <wp:extent cx="5727700" cy="2044700"/>
            <wp:effectExtent l="0" t="0" r="0" b="0"/>
            <wp:docPr id="4" name="Picture 4" descr="Diagrammatic representation of intermediate steps and links between test population and health outcomes. Test population is linked to test results information (numbered 2 and labelled as testing, with a side link to adverse events of the test, numbered 7). Test results information is linked to change in clinical decisions (numbered 3 and labelled as decision-making). change in clinical decisions is linked to intermediate outcomes (numbered 5 and labelled as treatment/management, with a side link to adverse events of treatment, numbered 8). Intermediate outcomes is linked to health outcomes with a dotted line (numbered 6 and labelled as association). Testing is also linked directly to health outcomes (numbered 1). Treatment/management is also linked directly to health outcomes (number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matic representation of intermediate steps and links between test population and health outcomes. Test population is linked to test results information (numbered 2 and labelled as testing, with a side link to adverse events of the test, numbered 7). Test results information is linked to change in clinical decisions (numbered 3 and labelled as decision-making). change in clinical decisions is linked to intermediate outcomes (numbered 5 and labelled as treatment/management, with a side link to adverse events of treatment, numbered 8). Intermediate outcomes is linked to health outcomes with a dotted line (numbered 6 and labelled as association). Testing is also linked directly to health outcomes (numbered 1). Treatment/management is also linked directly to health outcomes (numbered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58E23E9A" w14:textId="702BC649" w:rsidR="009B31CC" w:rsidRPr="00ED4E95" w:rsidRDefault="00AE6FE0" w:rsidP="00C40CC4">
      <w:pPr>
        <w:pStyle w:val="Caption"/>
      </w:pPr>
      <w:bookmarkStart w:id="51" w:name="_Ref68327593"/>
      <w:bookmarkStart w:id="52" w:name="_Ref68327680"/>
      <w:r w:rsidRPr="00ED4E95">
        <w:t>Figure</w:t>
      </w:r>
      <w:bookmarkEnd w:id="51"/>
      <w:r w:rsidR="00E607F3" w:rsidRPr="00ED4E95">
        <w:t> </w:t>
      </w:r>
      <w:r w:rsidRPr="00ED4E95">
        <w:fldChar w:fldCharType="begin"/>
      </w:r>
      <w:r w:rsidRPr="00ED4E95">
        <w:instrText xml:space="preserve"> SEQ Figure \* ARABIC </w:instrText>
      </w:r>
      <w:r w:rsidRPr="00ED4E95">
        <w:fldChar w:fldCharType="separate"/>
      </w:r>
      <w:r w:rsidR="00401046">
        <w:rPr>
          <w:noProof/>
        </w:rPr>
        <w:t>6</w:t>
      </w:r>
      <w:r w:rsidRPr="00ED4E95">
        <w:fldChar w:fldCharType="end"/>
      </w:r>
      <w:bookmarkEnd w:id="52"/>
      <w:r w:rsidR="009B31CC" w:rsidRPr="00ED4E95">
        <w:tab/>
        <w:t>Generic assessment framework showing the links from the test population to health outcomes</w:t>
      </w:r>
    </w:p>
    <w:p w14:paraId="534738C5" w14:textId="4E0532B4" w:rsidR="00C40CC4" w:rsidRDefault="00C40CC4" w:rsidP="00C40CC4">
      <w:pPr>
        <w:pStyle w:val="Tablenotes"/>
        <w:keepLines/>
        <w:rPr>
          <w:szCs w:val="18"/>
        </w:rPr>
      </w:pPr>
      <w:r w:rsidRPr="00ED4E95">
        <w:rPr>
          <w:szCs w:val="18"/>
        </w:rPr>
        <w:t>Figure notes: 1: direct from test to health outcomes evidence; 2: test accuracy; 3: change in diagnosis/treatment/management; 4: influence of the change in management on health outcomes; 5: influence of the change in management on intermediate outcomes; 6: association of intermediate outcomes with health outcomes; 7: adverse events due to testing; 8: adverse events due to treatment</w:t>
      </w:r>
    </w:p>
    <w:p w14:paraId="6ECECF4C" w14:textId="77777777" w:rsidR="0021262D" w:rsidRDefault="0021262D" w:rsidP="00C40CC4">
      <w:pPr>
        <w:pStyle w:val="Tablenotes"/>
        <w:keepLines/>
        <w:rPr>
          <w:szCs w:val="18"/>
        </w:rPr>
      </w:pPr>
    </w:p>
    <w:p w14:paraId="6069F0B5" w14:textId="288846D5" w:rsidR="00D73332" w:rsidRPr="00ED4E95" w:rsidRDefault="00D73332" w:rsidP="004D4938">
      <w:pPr>
        <w:pStyle w:val="Heading2"/>
        <w:rPr>
          <w:b/>
          <w:bCs/>
          <w:i/>
        </w:rPr>
      </w:pPr>
      <w:r w:rsidRPr="00ED4E95">
        <w:t>Clinical management algorithms</w:t>
      </w:r>
    </w:p>
    <w:p w14:paraId="50DE066D" w14:textId="4FEB586A" w:rsidR="00B11265" w:rsidRPr="00ED4E95" w:rsidRDefault="00E45C1B" w:rsidP="000B6C1B">
      <w:pPr>
        <w:jc w:val="both"/>
      </w:pPr>
      <w:r w:rsidRPr="00ED4E95">
        <w:t xml:space="preserve">The clinical management algorithms presented in the application are presented in </w:t>
      </w:r>
      <w:r w:rsidRPr="00ED4E95">
        <w:fldChar w:fldCharType="begin"/>
      </w:r>
      <w:r w:rsidRPr="00ED4E95">
        <w:instrText xml:space="preserve"> REF _Ref127431467 \h </w:instrText>
      </w:r>
      <w:r w:rsidR="00ED4E95">
        <w:instrText xml:space="preserve"> \* MERGEFORMAT </w:instrText>
      </w:r>
      <w:r w:rsidRPr="00ED4E95">
        <w:fldChar w:fldCharType="separate"/>
      </w:r>
      <w:r w:rsidR="00401046" w:rsidRPr="00ED4E95">
        <w:t xml:space="preserve">Figure </w:t>
      </w:r>
      <w:r w:rsidR="00401046">
        <w:rPr>
          <w:noProof/>
        </w:rPr>
        <w:t>7</w:t>
      </w:r>
      <w:r w:rsidRPr="00ED4E95">
        <w:fldChar w:fldCharType="end"/>
      </w:r>
      <w:r w:rsidRPr="00ED4E95">
        <w:t xml:space="preserve"> and </w:t>
      </w:r>
      <w:r w:rsidRPr="00ED4E95">
        <w:fldChar w:fldCharType="begin"/>
      </w:r>
      <w:r w:rsidRPr="00ED4E95">
        <w:instrText xml:space="preserve"> REF _Ref128032674 \h </w:instrText>
      </w:r>
      <w:r w:rsidR="00ED4E95">
        <w:instrText xml:space="preserve"> \* MERGEFORMAT </w:instrText>
      </w:r>
      <w:r w:rsidRPr="00ED4E95">
        <w:fldChar w:fldCharType="separate"/>
      </w:r>
      <w:r w:rsidR="00401046" w:rsidRPr="00ED4E95">
        <w:t xml:space="preserve">Figure </w:t>
      </w:r>
      <w:r w:rsidR="00401046">
        <w:rPr>
          <w:noProof/>
        </w:rPr>
        <w:t>8</w:t>
      </w:r>
      <w:r w:rsidRPr="00ED4E95">
        <w:fldChar w:fldCharType="end"/>
      </w:r>
      <w:r w:rsidRPr="00ED4E95">
        <w:t>.</w:t>
      </w:r>
    </w:p>
    <w:p w14:paraId="38DC9E8F" w14:textId="2C73F727" w:rsidR="00A44274" w:rsidRPr="00ED4E95" w:rsidRDefault="00A44274" w:rsidP="000B6C1B">
      <w:pPr>
        <w:jc w:val="both"/>
      </w:pPr>
      <w:r w:rsidRPr="00ED4E95">
        <w:t>Clinical management based on current best management guidelines (ESMO</w:t>
      </w:r>
      <w:r w:rsidR="005F56F5" w:rsidRPr="00ED4E95">
        <w:t>; Pavel</w:t>
      </w:r>
      <w:r w:rsidRPr="00ED4E95">
        <w:t xml:space="preserve"> 2020) was presented in the application where it was explained that as </w:t>
      </w:r>
      <w:r w:rsidRPr="00ED4E95">
        <w:rPr>
          <w:bCs/>
          <w:vertAlign w:val="superscript"/>
        </w:rPr>
        <w:t>177</w:t>
      </w:r>
      <w:r w:rsidRPr="00ED4E95">
        <w:rPr>
          <w:bCs/>
        </w:rPr>
        <w:t>Lu</w:t>
      </w:r>
      <w:r w:rsidR="00CB781F">
        <w:rPr>
          <w:bCs/>
        </w:rPr>
        <w:t>-</w:t>
      </w:r>
      <w:r w:rsidR="001C03D0">
        <w:rPr>
          <w:bCs/>
        </w:rPr>
        <w:t>DOTA-octreotate</w:t>
      </w:r>
      <w:r w:rsidRPr="00ED4E95">
        <w:t xml:space="preserve"> treatment is already in use in Australia in multiple locations and has regulatory approval in the USA and European Union it did not provide a ‘proposed’ clinical management algorithm.</w:t>
      </w:r>
      <w:r w:rsidR="00BA7DC4" w:rsidRPr="00ED4E95">
        <w:t xml:space="preserve"> </w:t>
      </w:r>
      <w:r w:rsidRPr="00ED4E95">
        <w:t xml:space="preserve">The clinical algorithms presented demonstrate how current best practice guidance recommends the integration of </w:t>
      </w:r>
      <w:r w:rsidRPr="00ED4E95">
        <w:rPr>
          <w:bCs/>
          <w:vertAlign w:val="superscript"/>
        </w:rPr>
        <w:t>177</w:t>
      </w:r>
      <w:r w:rsidRPr="00ED4E95">
        <w:rPr>
          <w:bCs/>
        </w:rPr>
        <w:t>Lu</w:t>
      </w:r>
      <w:r w:rsidR="00CB781F">
        <w:rPr>
          <w:bCs/>
        </w:rPr>
        <w:t>-</w:t>
      </w:r>
      <w:r w:rsidR="001C03D0">
        <w:rPr>
          <w:bCs/>
        </w:rPr>
        <w:t xml:space="preserve">DOTA-octreotate </w:t>
      </w:r>
      <w:r w:rsidRPr="00ED4E95">
        <w:rPr>
          <w:bCs/>
        </w:rPr>
        <w:t>treatment (PRRT)</w:t>
      </w:r>
      <w:r w:rsidRPr="00ED4E95">
        <w:t xml:space="preserve"> with other potentially effective treatments for patients with advanced NET and H-SSTR malignancies and for patients with carcinoid syndrome. </w:t>
      </w:r>
    </w:p>
    <w:p w14:paraId="2B81FE6A" w14:textId="519EEBDA" w:rsidR="00E45C1B" w:rsidRDefault="00A44274" w:rsidP="000B6C1B">
      <w:pPr>
        <w:jc w:val="both"/>
        <w:rPr>
          <w:bCs/>
        </w:rPr>
      </w:pPr>
      <w:r w:rsidRPr="00ED4E95">
        <w:t xml:space="preserve">Moreover, the application stated that these algorithms illustrate well the complexity of optimal management strategies for patients with advanced NET and H-SSTR malignancies who may exhibit a wide variety of individual and changing clinical circumstances, so emphasising the desirability of requiring MDT referral for </w:t>
      </w:r>
      <w:r w:rsidRPr="00ED4E95">
        <w:rPr>
          <w:bCs/>
          <w:vertAlign w:val="superscript"/>
        </w:rPr>
        <w:t>177</w:t>
      </w:r>
      <w:r w:rsidRPr="00ED4E95">
        <w:rPr>
          <w:bCs/>
        </w:rPr>
        <w:t>Lu</w:t>
      </w:r>
      <w:r w:rsidR="00CB781F">
        <w:rPr>
          <w:bCs/>
        </w:rPr>
        <w:t>-</w:t>
      </w:r>
      <w:r w:rsidR="001C03D0">
        <w:rPr>
          <w:bCs/>
        </w:rPr>
        <w:t>DOTA-octreotate</w:t>
      </w:r>
      <w:r w:rsidRPr="00ED4E95">
        <w:rPr>
          <w:bCs/>
        </w:rPr>
        <w:t xml:space="preserve"> treatment.</w:t>
      </w:r>
    </w:p>
    <w:p w14:paraId="58CADFFD" w14:textId="77777777" w:rsidR="00C26602" w:rsidRPr="00ED4E95" w:rsidRDefault="00C26602" w:rsidP="000B6C1B">
      <w:pPr>
        <w:jc w:val="both"/>
        <w:rPr>
          <w:bCs/>
        </w:rPr>
      </w:pPr>
    </w:p>
    <w:p w14:paraId="70A952A5" w14:textId="2AF5F149" w:rsidR="00B11265" w:rsidRPr="00ED4E95" w:rsidRDefault="00B11265" w:rsidP="004C3B98">
      <w:pPr>
        <w:spacing w:after="0"/>
        <w:rPr>
          <w:i/>
          <w:iCs/>
        </w:rPr>
      </w:pPr>
      <w:r w:rsidRPr="00ED4E95">
        <w:rPr>
          <w:b/>
          <w:noProof/>
          <w:szCs w:val="20"/>
        </w:rPr>
        <w:lastRenderedPageBreak/>
        <w:drawing>
          <wp:inline distT="0" distB="0" distL="0" distR="0" wp14:anchorId="650DC0AD" wp14:editId="1B7840BD">
            <wp:extent cx="5731510" cy="5871845"/>
            <wp:effectExtent l="0" t="0" r="0" b="0"/>
            <wp:docPr id="2" name="Picture 2" descr="Figure 7 ESMO Clinical management algorithm for advanced/metastatic GEP-NETs&#10;Source: Figure 4, p854 from ESMO guidelines (Pavel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7 ESMO Clinical management algorithm for advanced/metastatic GEP-NETs&#10;Source: Figure 4, p854 from ESMO guidelines (Pavel 2020)&#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5871845"/>
                    </a:xfrm>
                    <a:prstGeom prst="rect">
                      <a:avLst/>
                    </a:prstGeom>
                  </pic:spPr>
                </pic:pic>
              </a:graphicData>
            </a:graphic>
          </wp:inline>
        </w:drawing>
      </w:r>
    </w:p>
    <w:p w14:paraId="2AD475FC" w14:textId="48B4B662" w:rsidR="00B11265" w:rsidRPr="00ED4E95" w:rsidRDefault="00B11265" w:rsidP="00A64825">
      <w:pPr>
        <w:pStyle w:val="Caption"/>
        <w:spacing w:before="0" w:after="0"/>
      </w:pPr>
      <w:bookmarkStart w:id="53" w:name="_Ref127431467"/>
      <w:r w:rsidRPr="00ED4E95">
        <w:t xml:space="preserve">Figure </w:t>
      </w:r>
      <w:r w:rsidRPr="00ED4E95">
        <w:fldChar w:fldCharType="begin"/>
      </w:r>
      <w:r w:rsidRPr="00ED4E95">
        <w:instrText xml:space="preserve"> SEQ Figure \* ARABIC </w:instrText>
      </w:r>
      <w:r w:rsidRPr="00ED4E95">
        <w:fldChar w:fldCharType="separate"/>
      </w:r>
      <w:r w:rsidR="00401046">
        <w:rPr>
          <w:noProof/>
        </w:rPr>
        <w:t>7</w:t>
      </w:r>
      <w:r w:rsidRPr="00ED4E95">
        <w:fldChar w:fldCharType="end"/>
      </w:r>
      <w:bookmarkEnd w:id="53"/>
      <w:r w:rsidRPr="00ED4E95">
        <w:tab/>
        <w:t>ESMO Clinical management algorithm for advanced/metastatic GEP-NETs</w:t>
      </w:r>
    </w:p>
    <w:p w14:paraId="33BF09B5" w14:textId="7F6C9112" w:rsidR="00B11265" w:rsidRPr="00ED4E95" w:rsidRDefault="00B11265" w:rsidP="00A64825">
      <w:pPr>
        <w:pStyle w:val="Tablenotes"/>
        <w:spacing w:after="0"/>
        <w:rPr>
          <w:lang w:val="en-GB" w:eastAsia="ja-JP"/>
        </w:rPr>
      </w:pPr>
      <w:r w:rsidRPr="00ED4E95">
        <w:rPr>
          <w:lang w:val="en-GB" w:eastAsia="ja-JP"/>
        </w:rPr>
        <w:t>Source: Figure 4, p854</w:t>
      </w:r>
      <w:r w:rsidR="00E6183B" w:rsidRPr="00ED4E95">
        <w:rPr>
          <w:lang w:val="en-GB" w:eastAsia="ja-JP"/>
        </w:rPr>
        <w:t xml:space="preserve"> from </w:t>
      </w:r>
      <w:r w:rsidRPr="00ED4E95">
        <w:rPr>
          <w:lang w:val="en-GB" w:eastAsia="ja-JP"/>
        </w:rPr>
        <w:t xml:space="preserve">ESMO </w:t>
      </w:r>
      <w:r w:rsidR="00E6183B" w:rsidRPr="00ED4E95">
        <w:rPr>
          <w:lang w:val="en-GB" w:eastAsia="ja-JP"/>
        </w:rPr>
        <w:t xml:space="preserve">guidelines </w:t>
      </w:r>
      <w:r w:rsidRPr="00ED4E95">
        <w:rPr>
          <w:lang w:val="en-GB" w:eastAsia="ja-JP"/>
        </w:rPr>
        <w:t>(Pavel 2020)</w:t>
      </w:r>
    </w:p>
    <w:p w14:paraId="42E43155" w14:textId="49F779EB" w:rsidR="00B11265" w:rsidRPr="00ED4E95" w:rsidRDefault="00B11265" w:rsidP="00A64825">
      <w:pPr>
        <w:spacing w:after="0"/>
        <w:rPr>
          <w:i/>
          <w:iCs/>
        </w:rPr>
      </w:pPr>
      <w:r w:rsidRPr="00ED4E95">
        <w:rPr>
          <w:b/>
          <w:noProof/>
          <w:szCs w:val="20"/>
        </w:rPr>
        <w:lastRenderedPageBreak/>
        <w:drawing>
          <wp:inline distT="0" distB="0" distL="0" distR="0" wp14:anchorId="7D3D4548" wp14:editId="406D1550">
            <wp:extent cx="5731510" cy="5356860"/>
            <wp:effectExtent l="0" t="0" r="0" b="2540"/>
            <wp:docPr id="5" name="Picture 5" descr="Figure 8 ESMO Clinical management algorithm for advanced/metastatic NETs with carcinoid syndrome2&#10;Source: Figure 3, p851 from ESMO guidelines (Pavel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8 ESMO Clinical management algorithm for advanced/metastatic NETs with carcinoid syndrome2&#10;Source: Figure 3, p851 from ESMO guidelines (Pavel 2020)&#10;"/>
                    <pic:cNvPicPr/>
                  </pic:nvPicPr>
                  <pic:blipFill>
                    <a:blip r:embed="rId18">
                      <a:extLst>
                        <a:ext uri="{28A0092B-C50C-407E-A947-70E740481C1C}">
                          <a14:useLocalDpi xmlns:a14="http://schemas.microsoft.com/office/drawing/2010/main" val="0"/>
                        </a:ext>
                      </a:extLst>
                    </a:blip>
                    <a:stretch>
                      <a:fillRect/>
                    </a:stretch>
                  </pic:blipFill>
                  <pic:spPr>
                    <a:xfrm>
                      <a:off x="0" y="0"/>
                      <a:ext cx="5731510" cy="5356860"/>
                    </a:xfrm>
                    <a:prstGeom prst="rect">
                      <a:avLst/>
                    </a:prstGeom>
                  </pic:spPr>
                </pic:pic>
              </a:graphicData>
            </a:graphic>
          </wp:inline>
        </w:drawing>
      </w:r>
    </w:p>
    <w:p w14:paraId="474555C8" w14:textId="14F390C2" w:rsidR="00B11265" w:rsidRPr="00ED4E95" w:rsidRDefault="00B11265" w:rsidP="00A64825">
      <w:pPr>
        <w:pStyle w:val="Caption"/>
        <w:spacing w:before="0" w:after="0"/>
      </w:pPr>
      <w:bookmarkStart w:id="54" w:name="_Ref128032674"/>
      <w:r w:rsidRPr="00ED4E95">
        <w:t xml:space="preserve">Figure </w:t>
      </w:r>
      <w:r w:rsidRPr="00ED4E95">
        <w:fldChar w:fldCharType="begin"/>
      </w:r>
      <w:r w:rsidRPr="00ED4E95">
        <w:instrText xml:space="preserve"> SEQ Figure \* ARABIC </w:instrText>
      </w:r>
      <w:r w:rsidRPr="00ED4E95">
        <w:fldChar w:fldCharType="separate"/>
      </w:r>
      <w:r w:rsidR="00401046">
        <w:rPr>
          <w:noProof/>
        </w:rPr>
        <w:t>8</w:t>
      </w:r>
      <w:r w:rsidRPr="00ED4E95">
        <w:fldChar w:fldCharType="end"/>
      </w:r>
      <w:bookmarkEnd w:id="54"/>
      <w:r w:rsidRPr="00ED4E95">
        <w:tab/>
        <w:t>ESMO Clinical management algorithm for advanced/metastatic NETs with carcinoid syndrome</w:t>
      </w:r>
      <w:r w:rsidR="00E6183B" w:rsidRPr="00ED4E95">
        <w:fldChar w:fldCharType="begin">
          <w:fldData xml:space="preserve">PEVuZE5vdGU+PENpdGU+PEF1dGhvcj5QYXZlbDwvQXV0aG9yPjxZZWFyPjIwMjA8L1llYXI+PFJl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</w:fldData>
        </w:fldChar>
      </w:r>
      <w:r w:rsidR="00263B20" w:rsidRPr="00ED4E95">
        <w:instrText xml:space="preserve"> ADDIN EN.CITE </w:instrText>
      </w:r>
      <w:r w:rsidR="00263B20" w:rsidRPr="00ED4E95">
        <w:fldChar w:fldCharType="begin">
          <w:fldData xml:space="preserve">PEVuZE5vdGU+PENpdGU+PEF1dGhvcj5QYXZlbDwvQXV0aG9yPjxZZWFyPjIwMjA8L1llYXI+PFJl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</w:fldData>
        </w:fldChar>
      </w:r>
      <w:r w:rsidR="00263B20" w:rsidRPr="00ED4E95">
        <w:instrText xml:space="preserve"> ADDIN EN.CITE.DATA </w:instrText>
      </w:r>
      <w:r w:rsidR="00263B20" w:rsidRPr="00ED4E95">
        <w:fldChar w:fldCharType="end"/>
      </w:r>
      <w:r w:rsidR="00E6183B" w:rsidRPr="00ED4E95">
        <w:fldChar w:fldCharType="separate"/>
      </w:r>
      <w:r w:rsidR="00263B20" w:rsidRPr="00ED4E95">
        <w:rPr>
          <w:noProof/>
          <w:vertAlign w:val="superscript"/>
        </w:rPr>
        <w:t>2</w:t>
      </w:r>
      <w:r w:rsidR="00E6183B" w:rsidRPr="00ED4E95">
        <w:fldChar w:fldCharType="end"/>
      </w:r>
    </w:p>
    <w:p w14:paraId="17C738E2" w14:textId="455FCCBC" w:rsidR="00B11265" w:rsidRPr="00ED4E95" w:rsidRDefault="00B11265" w:rsidP="004D17D0">
      <w:pPr>
        <w:pStyle w:val="Tablenotes"/>
        <w:rPr>
          <w:lang w:val="en-GB" w:eastAsia="ja-JP"/>
        </w:rPr>
      </w:pPr>
      <w:r w:rsidRPr="00ED4E95">
        <w:rPr>
          <w:lang w:val="en-GB" w:eastAsia="ja-JP"/>
        </w:rPr>
        <w:t>Source: Figure 3, p851</w:t>
      </w:r>
      <w:r w:rsidR="00E6183B" w:rsidRPr="00ED4E95">
        <w:rPr>
          <w:lang w:val="en-GB" w:eastAsia="ja-JP"/>
        </w:rPr>
        <w:t xml:space="preserve"> from </w:t>
      </w:r>
      <w:r w:rsidRPr="00ED4E95">
        <w:rPr>
          <w:lang w:val="en-GB" w:eastAsia="ja-JP"/>
        </w:rPr>
        <w:t xml:space="preserve">ESMO </w:t>
      </w:r>
      <w:r w:rsidR="00E6183B" w:rsidRPr="00ED4E95">
        <w:rPr>
          <w:lang w:val="en-GB" w:eastAsia="ja-JP"/>
        </w:rPr>
        <w:t xml:space="preserve">guidelines </w:t>
      </w:r>
      <w:r w:rsidRPr="00ED4E95">
        <w:rPr>
          <w:lang w:val="en-GB" w:eastAsia="ja-JP"/>
        </w:rPr>
        <w:t>(Pavel 2020)</w:t>
      </w:r>
    </w:p>
    <w:p w14:paraId="49758517" w14:textId="720B40E1" w:rsidR="002C152C" w:rsidRPr="00E35BCA" w:rsidRDefault="004D4938" w:rsidP="000B6C1B">
      <w:pPr>
        <w:jc w:val="both"/>
        <w:rPr>
          <w:i/>
          <w:iCs/>
        </w:rPr>
      </w:pPr>
      <w:r w:rsidRPr="004C3B98">
        <w:rPr>
          <w:rFonts w:cs="Calibri"/>
          <w:i/>
          <w:iCs/>
        </w:rPr>
        <w:t>At the April</w:t>
      </w:r>
      <w:r w:rsidR="00FC2046">
        <w:rPr>
          <w:rFonts w:cs="Calibri"/>
          <w:i/>
          <w:iCs/>
        </w:rPr>
        <w:t xml:space="preserve"> 2023</w:t>
      </w:r>
      <w:r w:rsidRPr="004C3B98">
        <w:rPr>
          <w:rFonts w:cs="Calibri"/>
          <w:i/>
          <w:iCs/>
        </w:rPr>
        <w:t xml:space="preserve"> meeting, </w:t>
      </w:r>
      <w:r w:rsidR="002C152C" w:rsidRPr="004D4938">
        <w:rPr>
          <w:rFonts w:cs="Calibri"/>
          <w:i/>
          <w:iCs/>
        </w:rPr>
        <w:t xml:space="preserve">PASC discussed the proposed clinical </w:t>
      </w:r>
      <w:r w:rsidR="002C152C" w:rsidRPr="004D4938">
        <w:rPr>
          <w:i/>
          <w:iCs/>
        </w:rPr>
        <w:t>management</w:t>
      </w:r>
      <w:r w:rsidR="002C152C" w:rsidRPr="004D4938">
        <w:rPr>
          <w:rFonts w:cs="Calibri"/>
          <w:i/>
          <w:iCs/>
        </w:rPr>
        <w:t xml:space="preserve"> algorithm presented in the PICO and those subsequently provided by the applicant. PASC questioned the inclusion of those who were SSTR negative OR those with grade 3</w:t>
      </w:r>
      <w:r w:rsidR="00B05839" w:rsidRPr="004D4938">
        <w:rPr>
          <w:rFonts w:cs="Calibri"/>
          <w:i/>
          <w:iCs/>
        </w:rPr>
        <w:t xml:space="preserve"> NET</w:t>
      </w:r>
      <w:r w:rsidR="002C152C" w:rsidRPr="004D4938">
        <w:rPr>
          <w:rFonts w:cs="Calibri"/>
          <w:i/>
          <w:iCs/>
        </w:rPr>
        <w:t xml:space="preserve">/NEC, as these are not germane to the application. PASC also requested the applicant propose (and justify) </w:t>
      </w:r>
      <w:r w:rsidR="002C152C" w:rsidRPr="004C3B98">
        <w:rPr>
          <w:rFonts w:cs="Calibri"/>
          <w:i/>
          <w:iCs/>
        </w:rPr>
        <w:t>a “FDG positive” threshold beyond which PRRT is not</w:t>
      </w:r>
      <w:r w:rsidR="002C152C" w:rsidRPr="004C3B98">
        <w:rPr>
          <w:rFonts w:cs="Calibri"/>
          <w:b/>
          <w:bCs/>
          <w:i/>
          <w:iCs/>
        </w:rPr>
        <w:t xml:space="preserve"> </w:t>
      </w:r>
      <w:r w:rsidR="002C152C" w:rsidRPr="004C3B98">
        <w:rPr>
          <w:rFonts w:cs="Calibri"/>
          <w:i/>
          <w:iCs/>
        </w:rPr>
        <w:t>the preferred option</w:t>
      </w:r>
      <w:r w:rsidR="00F75C95" w:rsidRPr="004C3B98">
        <w:rPr>
          <w:rFonts w:cs="Calibri"/>
          <w:i/>
          <w:iCs/>
        </w:rPr>
        <w:t xml:space="preserve"> for patients with H-SSTR tumours demonstrated on SSTRI</w:t>
      </w:r>
      <w:r w:rsidR="002C152C" w:rsidRPr="004C3B98">
        <w:rPr>
          <w:rFonts w:cs="Calibri"/>
          <w:i/>
          <w:iCs/>
        </w:rPr>
        <w:t>.</w:t>
      </w:r>
      <w:r w:rsidR="002C152C" w:rsidRPr="004C3B98">
        <w:rPr>
          <w:rFonts w:cs="Calibri"/>
        </w:rPr>
        <w:t xml:space="preserve"> </w:t>
      </w:r>
      <w:r w:rsidR="00A64825" w:rsidRPr="00E35BCA">
        <w:rPr>
          <w:rFonts w:cs="Calibri"/>
        </w:rPr>
        <w:t>As above, the applicant suggested that</w:t>
      </w:r>
      <w:r w:rsidR="007B31F1" w:rsidRPr="00E35BCA">
        <w:t xml:space="preserve"> eligibility for PRRT should include that </w:t>
      </w:r>
      <w:r w:rsidR="00A64825" w:rsidRPr="00E35BCA">
        <w:rPr>
          <w:rFonts w:cs="Calibri"/>
        </w:rPr>
        <w:t>there</w:t>
      </w:r>
      <w:r w:rsidR="00755432" w:rsidRPr="00E35BCA">
        <w:rPr>
          <w:rFonts w:cs="Calibri"/>
        </w:rPr>
        <w:t xml:space="preserve"> should</w:t>
      </w:r>
      <w:r w:rsidR="00A64825" w:rsidRPr="00E35BCA">
        <w:rPr>
          <w:rFonts w:cs="Calibri"/>
        </w:rPr>
        <w:t xml:space="preserve"> be no more than three sites of discordance of tumours &gt;2 cm or that </w:t>
      </w:r>
      <w:r w:rsidR="001E636A" w:rsidRPr="00E35BCA">
        <w:rPr>
          <w:rFonts w:cs="Calibri"/>
        </w:rPr>
        <w:t>decisions regarding eligibility</w:t>
      </w:r>
      <w:r w:rsidR="00A64825" w:rsidRPr="00E35BCA">
        <w:rPr>
          <w:rFonts w:cs="Calibri"/>
        </w:rPr>
        <w:t xml:space="preserve"> should be left to the discretion of the MDT.</w:t>
      </w:r>
      <w:r w:rsidR="003D71F3" w:rsidRPr="00E35BCA">
        <w:rPr>
          <w:rFonts w:cs="Calibri"/>
        </w:rPr>
        <w:t xml:space="preserve"> The applicant has re-iterated their preference that these decisions are left to </w:t>
      </w:r>
      <w:r w:rsidR="00D91041" w:rsidRPr="00E35BCA">
        <w:rPr>
          <w:rFonts w:cs="Calibri"/>
        </w:rPr>
        <w:t>the</w:t>
      </w:r>
      <w:r w:rsidR="003D71F3" w:rsidRPr="00E35BCA">
        <w:rPr>
          <w:rFonts w:cs="Calibri"/>
        </w:rPr>
        <w:t xml:space="preserve"> MDT.</w:t>
      </w:r>
      <w:r w:rsidR="003D71F3">
        <w:rPr>
          <w:rFonts w:cs="Calibri"/>
          <w:i/>
          <w:iCs/>
        </w:rPr>
        <w:t xml:space="preserve">  </w:t>
      </w:r>
    </w:p>
    <w:p w14:paraId="19565DE8" w14:textId="1E1A475C" w:rsidR="00B73F63" w:rsidRPr="00CD582C" w:rsidRDefault="00B73F63" w:rsidP="000B6C1B">
      <w:pPr>
        <w:autoSpaceDE w:val="0"/>
        <w:autoSpaceDN w:val="0"/>
        <w:adjustRightInd w:val="0"/>
        <w:jc w:val="both"/>
        <w:rPr>
          <w:rFonts w:cs="Calibri"/>
          <w:i/>
        </w:rPr>
      </w:pPr>
      <w:r w:rsidRPr="00CD582C">
        <w:rPr>
          <w:rFonts w:cs="Calibri"/>
          <w:i/>
        </w:rPr>
        <w:t>PASC suggested an amended clinical management algorithm (see Figure 9). The algorithm highlights thresholds for eligibility for PRRT. This includes a modified Krenning score of ≥3 and the threshold for FDG/SSRI discordance (&lt;2 lesions</w:t>
      </w:r>
      <w:r w:rsidR="000E5BB4" w:rsidRPr="00CD582C">
        <w:rPr>
          <w:rFonts w:cs="Calibri"/>
          <w:i/>
        </w:rPr>
        <w:t xml:space="preserve">). </w:t>
      </w:r>
      <w:r w:rsidRPr="00CD582C">
        <w:rPr>
          <w:rFonts w:cs="Calibri"/>
          <w:i/>
        </w:rPr>
        <w:t xml:space="preserve"> </w:t>
      </w:r>
      <w:r w:rsidR="000E5BB4" w:rsidRPr="00CD582C">
        <w:rPr>
          <w:rFonts w:cs="Calibri"/>
          <w:i/>
        </w:rPr>
        <w:t>However,</w:t>
      </w:r>
      <w:r w:rsidRPr="00CD582C">
        <w:rPr>
          <w:rFonts w:cs="Calibri"/>
          <w:i/>
        </w:rPr>
        <w:t xml:space="preserve"> these thresholds are for the purposes of the assessment report. In clinical practice</w:t>
      </w:r>
      <w:r w:rsidR="00301A9A" w:rsidRPr="00CD582C">
        <w:rPr>
          <w:rFonts w:cs="Calibri"/>
          <w:i/>
        </w:rPr>
        <w:t>,</w:t>
      </w:r>
      <w:r w:rsidRPr="00CD582C">
        <w:rPr>
          <w:rFonts w:cs="Calibri"/>
          <w:i/>
        </w:rPr>
        <w:t xml:space="preserve"> a</w:t>
      </w:r>
      <w:r w:rsidR="00301A9A" w:rsidRPr="00CD582C">
        <w:rPr>
          <w:rFonts w:cs="Calibri"/>
          <w:i/>
        </w:rPr>
        <w:t>n</w:t>
      </w:r>
      <w:r w:rsidRPr="00CD582C">
        <w:rPr>
          <w:rFonts w:cs="Calibri"/>
          <w:i/>
        </w:rPr>
        <w:t xml:space="preserve"> MDT will provide the guidance for individual patient management.</w:t>
      </w:r>
    </w:p>
    <w:p w14:paraId="1372D3E0" w14:textId="77777777" w:rsidR="00C26602" w:rsidRDefault="00C26602" w:rsidP="004D17D0">
      <w:pPr>
        <w:rPr>
          <w:b/>
          <w:bCs/>
          <w:lang w:val="en-GB" w:eastAsia="ja-JP"/>
        </w:rPr>
      </w:pPr>
    </w:p>
    <w:p w14:paraId="1CDFB0B1" w14:textId="4B4AE653" w:rsidR="00C26602" w:rsidRPr="00C26602" w:rsidRDefault="00C26602" w:rsidP="004D17D0">
      <w:pPr>
        <w:rPr>
          <w:b/>
          <w:bCs/>
          <w:lang w:val="en-GB" w:eastAsia="ja-JP"/>
        </w:rPr>
        <w:sectPr w:rsidR="00C26602" w:rsidRPr="00C26602" w:rsidSect="007D4E0F">
          <w:headerReference w:type="even" r:id="rId19"/>
          <w:headerReference w:type="default" r:id="rId20"/>
          <w:footerReference w:type="even" r:id="rId21"/>
          <w:footerReference w:type="default" r:id="rId22"/>
          <w:headerReference w:type="first" r:id="rId23"/>
          <w:footerReference w:type="first" r:id="rId24"/>
          <w:pgSz w:w="11906" w:h="16838"/>
          <w:pgMar w:top="682" w:right="1134" w:bottom="1021" w:left="1191" w:header="709" w:footer="680" w:gutter="0"/>
          <w:cols w:space="708"/>
          <w:docGrid w:linePitch="360"/>
        </w:sectPr>
      </w:pPr>
    </w:p>
    <w:p w14:paraId="204406DE" w14:textId="47F0D7CB" w:rsidR="004D17D0" w:rsidRDefault="00771461" w:rsidP="00E35BCA">
      <w:pPr>
        <w:spacing w:after="120"/>
        <w:rPr>
          <w:lang w:val="en-GB" w:eastAsia="ja-JP"/>
        </w:rPr>
      </w:pPr>
      <w:r w:rsidRPr="00771461">
        <w:rPr>
          <w:noProof/>
          <w:lang w:eastAsia="ja-JP"/>
        </w:rPr>
        <w:lastRenderedPageBreak/>
        <mc:AlternateContent>
          <mc:Choice Requires="wpg">
            <w:drawing>
              <wp:anchor distT="0" distB="0" distL="114300" distR="114300" simplePos="0" relativeHeight="251658240" behindDoc="0" locked="0" layoutInCell="1" allowOverlap="1" wp14:anchorId="7D935079" wp14:editId="6E1D53ED">
                <wp:simplePos x="0" y="0"/>
                <wp:positionH relativeFrom="margin">
                  <wp:align>left</wp:align>
                </wp:positionH>
                <wp:positionV relativeFrom="paragraph">
                  <wp:posOffset>-81956</wp:posOffset>
                </wp:positionV>
                <wp:extent cx="6780517" cy="4845050"/>
                <wp:effectExtent l="0" t="0" r="20955" b="12700"/>
                <wp:wrapNone/>
                <wp:docPr id="51" name="Group 51" descr="Figure 9 Reduced clinical management algorithm for G1 and G2 carcinoids and G3 pulmonary NECs&#10;Source: Developed by PASC&#10;CT = computed tomography; G1 = grade 1; G2 = grade 2; G3 = grade 3; FDG = Fluorodeoxyglucose;; m-Krenning = modified Krenning score; NEC = neuroendocrine carcinoma; NEN = neuroendocrine neoplasm;  PET = positron emission tomography; PRRT = peptide receptor radionuclide therapy; SSTR = somatostatin receptor&#10;a Patients with demonstrated high concentration of somatostatin receptor expressions (H-SSTR) at all, or the majority of, tumour sites. b No more than3 sites of discordance where the tumour is greater than or equal to 2 cm in size.&#10;">
                  <a:extLst xmlns:a="http://schemas.openxmlformats.org/drawingml/2006/main">
                    <a:ext uri="{FF2B5EF4-FFF2-40B4-BE49-F238E27FC236}">
                      <a16:creationId xmlns:a16="http://schemas.microsoft.com/office/drawing/2014/main" id="{DD6080A3-22FC-9C62-740D-7BCE6B7D77AC}"/>
                    </a:ext>
                  </a:extLst>
                </wp:docPr>
                <wp:cNvGraphicFramePr/>
                <a:graphic xmlns:a="http://schemas.openxmlformats.org/drawingml/2006/main">
                  <a:graphicData uri="http://schemas.microsoft.com/office/word/2010/wordprocessingGroup">
                    <wpg:wgp>
                      <wpg:cNvGrpSpPr/>
                      <wpg:grpSpPr>
                        <a:xfrm>
                          <a:off x="0" y="0"/>
                          <a:ext cx="6780517" cy="4845050"/>
                          <a:chOff x="0" y="0"/>
                          <a:chExt cx="7316841" cy="4953946"/>
                        </a:xfrm>
                      </wpg:grpSpPr>
                      <wpg:grpSp>
                        <wpg:cNvPr id="8837873" name="Group 8837873">
                          <a:extLst>
                            <a:ext uri="{FF2B5EF4-FFF2-40B4-BE49-F238E27FC236}">
                              <a16:creationId xmlns:a16="http://schemas.microsoft.com/office/drawing/2014/main" id="{66CE8EEF-4FEA-1DB2-7E73-EDB92AA69D68}"/>
                            </a:ext>
                          </a:extLst>
                        </wpg:cNvPr>
                        <wpg:cNvGrpSpPr/>
                        <wpg:grpSpPr>
                          <a:xfrm>
                            <a:off x="1969623" y="0"/>
                            <a:ext cx="3268345" cy="695614"/>
                            <a:chOff x="1969601" y="0"/>
                            <a:chExt cx="4113975" cy="927485"/>
                          </a:xfrm>
                        </wpg:grpSpPr>
                        <wps:wsp>
                          <wps:cNvPr id="1686750372" name="Rectangle 1686750372">
                            <a:extLst>
                              <a:ext uri="{FF2B5EF4-FFF2-40B4-BE49-F238E27FC236}">
                                <a16:creationId xmlns:a16="http://schemas.microsoft.com/office/drawing/2014/main" id="{923E56CD-4357-CC67-DCED-295B66EE030B}"/>
                              </a:ext>
                            </a:extLst>
                          </wps:cNvPr>
                          <wps:cNvSpPr/>
                          <wps:spPr>
                            <a:xfrm>
                              <a:off x="2032067" y="11129"/>
                              <a:ext cx="3866302" cy="916356"/>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00376519" name="TextBox 4">
                            <a:extLst>
                              <a:ext uri="{FF2B5EF4-FFF2-40B4-BE49-F238E27FC236}">
                                <a16:creationId xmlns:a16="http://schemas.microsoft.com/office/drawing/2014/main" id="{2EB5E9DD-1497-9332-06E3-A3F06A5AC6BD}"/>
                              </a:ext>
                            </a:extLst>
                          </wps:cNvPr>
                          <wps:cNvSpPr txBox="1"/>
                          <wps:spPr>
                            <a:xfrm>
                              <a:off x="1969601" y="0"/>
                              <a:ext cx="4113975" cy="822960"/>
                            </a:xfrm>
                            <a:prstGeom prst="rect">
                              <a:avLst/>
                            </a:prstGeom>
                            <a:noFill/>
                          </wps:spPr>
                          <wps:txbx>
                            <w:txbxContent>
                              <w:p w14:paraId="6E85C553" w14:textId="77777777" w:rsidR="00771461" w:rsidRDefault="00771461" w:rsidP="00E35BCA">
                                <w:pPr>
                                  <w:kinsoku w:val="0"/>
                                  <w:overflowPunct w:val="0"/>
                                  <w:spacing w:after="0" w:line="240" w:lineRule="auto"/>
                                  <w:jc w:val="center"/>
                                  <w:textAlignment w:val="baseline"/>
                                  <w:rPr>
                                    <w:rFonts w:ascii="Arial" w:hAnsi="Arial"/>
                                    <w:color w:val="000000" w:themeColor="text1"/>
                                    <w:kern w:val="24"/>
                                    <w:sz w:val="28"/>
                                    <w:szCs w:val="28"/>
                                  </w:rPr>
                                </w:pPr>
                                <w:r>
                                  <w:rPr>
                                    <w:rFonts w:ascii="Arial" w:hAnsi="Arial"/>
                                    <w:color w:val="000000" w:themeColor="text1"/>
                                    <w:kern w:val="24"/>
                                    <w:sz w:val="28"/>
                                    <w:szCs w:val="28"/>
                                  </w:rPr>
                                  <w:t>NEN:</w:t>
                                </w:r>
                              </w:p>
                              <w:p w14:paraId="1CEFF332" w14:textId="77777777" w:rsidR="00771461" w:rsidRDefault="00771461" w:rsidP="00E35BCA">
                                <w:pPr>
                                  <w:kinsoku w:val="0"/>
                                  <w:overflowPunct w:val="0"/>
                                  <w:spacing w:after="0" w:line="240" w:lineRule="auto"/>
                                  <w:jc w:val="center"/>
                                  <w:textAlignment w:val="baseline"/>
                                  <w:rPr>
                                    <w:rFonts w:ascii="Arial" w:hAnsi="Arial"/>
                                    <w:color w:val="000000" w:themeColor="text1"/>
                                    <w:kern w:val="24"/>
                                    <w:sz w:val="24"/>
                                    <w:szCs w:val="24"/>
                                  </w:rPr>
                                </w:pPr>
                                <w:r>
                                  <w:rPr>
                                    <w:rFonts w:ascii="Arial" w:hAnsi="Arial"/>
                                    <w:color w:val="000000" w:themeColor="text1"/>
                                    <w:kern w:val="24"/>
                                  </w:rPr>
                                  <w:t>advanced/metastatic, inoperable,</w:t>
                                </w:r>
                              </w:p>
                              <w:p w14:paraId="3C518A53" w14:textId="77777777" w:rsidR="00771461" w:rsidRDefault="00771461" w:rsidP="00E35BCA">
                                <w:pPr>
                                  <w:kinsoku w:val="0"/>
                                  <w:overflowPunct w:val="0"/>
                                  <w:spacing w:after="0" w:line="240" w:lineRule="auto"/>
                                  <w:jc w:val="center"/>
                                  <w:textAlignment w:val="baseline"/>
                                  <w:rPr>
                                    <w:rFonts w:ascii="Arial" w:hAnsi="Arial"/>
                                    <w:color w:val="000000" w:themeColor="text1"/>
                                    <w:kern w:val="24"/>
                                  </w:rPr>
                                </w:pPr>
                                <w:r>
                                  <w:rPr>
                                    <w:rFonts w:ascii="Arial" w:hAnsi="Arial"/>
                                    <w:color w:val="000000" w:themeColor="text1"/>
                                    <w:kern w:val="24"/>
                                  </w:rPr>
                                  <w:t>progressive, uncontrolled symptoms, etc</w:t>
                                </w:r>
                              </w:p>
                            </w:txbxContent>
                          </wps:txbx>
                          <wps:bodyPr wrap="square" rtlCol="0">
                            <a:noAutofit/>
                          </wps:bodyPr>
                        </wps:wsp>
                      </wpg:grpSp>
                      <wpg:grpSp>
                        <wpg:cNvPr id="1357436981" name="Group 1357436981">
                          <a:extLst>
                            <a:ext uri="{FF2B5EF4-FFF2-40B4-BE49-F238E27FC236}">
                              <a16:creationId xmlns:a16="http://schemas.microsoft.com/office/drawing/2014/main" id="{4A4DAB5B-22ED-909C-AB9B-C115E41373BB}"/>
                            </a:ext>
                          </a:extLst>
                        </wpg:cNvPr>
                        <wpg:cNvGrpSpPr/>
                        <wpg:grpSpPr>
                          <a:xfrm>
                            <a:off x="3197222" y="1011353"/>
                            <a:ext cx="982663" cy="490324"/>
                            <a:chOff x="3197222" y="1011354"/>
                            <a:chExt cx="979696" cy="393989"/>
                          </a:xfrm>
                        </wpg:grpSpPr>
                        <wps:wsp>
                          <wps:cNvPr id="859973645" name="Rectangle 859973645">
                            <a:extLst>
                              <a:ext uri="{FF2B5EF4-FFF2-40B4-BE49-F238E27FC236}">
                                <a16:creationId xmlns:a16="http://schemas.microsoft.com/office/drawing/2014/main" id="{6445EB59-2E03-1E94-694E-E3DEA6B05247}"/>
                              </a:ext>
                            </a:extLst>
                          </wps:cNvPr>
                          <wps:cNvSpPr/>
                          <wps:spPr>
                            <a:xfrm>
                              <a:off x="3197222" y="1011354"/>
                              <a:ext cx="814936" cy="314458"/>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05440230" name="TextBox 6">
                            <a:extLst>
                              <a:ext uri="{FF2B5EF4-FFF2-40B4-BE49-F238E27FC236}">
                                <a16:creationId xmlns:a16="http://schemas.microsoft.com/office/drawing/2014/main" id="{145980C5-E536-D2B6-EEA9-4F1AF6133EE6}"/>
                              </a:ext>
                            </a:extLst>
                          </wps:cNvPr>
                          <wps:cNvSpPr txBox="1"/>
                          <wps:spPr>
                            <a:xfrm>
                              <a:off x="3212165" y="1025983"/>
                              <a:ext cx="964753" cy="379360"/>
                            </a:xfrm>
                            <a:prstGeom prst="rect">
                              <a:avLst/>
                            </a:prstGeom>
                            <a:noFill/>
                          </wps:spPr>
                          <wps:txbx>
                            <w:txbxContent>
                              <w:p w14:paraId="538AA6A8" w14:textId="77777777" w:rsidR="00771461" w:rsidRDefault="00771461" w:rsidP="00771461">
                                <w:pPr>
                                  <w:kinsoku w:val="0"/>
                                  <w:overflowPunct w:val="0"/>
                                  <w:textAlignment w:val="baseline"/>
                                  <w:rPr>
                                    <w:rFonts w:ascii="Arial" w:hAnsi="Arial"/>
                                    <w:color w:val="767171" w:themeColor="background2" w:themeShade="80"/>
                                    <w:kern w:val="24"/>
                                    <w:sz w:val="32"/>
                                    <w:szCs w:val="32"/>
                                  </w:rPr>
                                </w:pPr>
                                <w:r>
                                  <w:rPr>
                                    <w:rFonts w:ascii="Arial" w:hAnsi="Arial"/>
                                    <w:color w:val="767171" w:themeColor="background2" w:themeShade="80"/>
                                    <w:kern w:val="24"/>
                                    <w:sz w:val="32"/>
                                    <w:szCs w:val="32"/>
                                  </w:rPr>
                                  <w:t>SSTRI</w:t>
                                </w:r>
                              </w:p>
                            </w:txbxContent>
                          </wps:txbx>
                          <wps:bodyPr wrap="square" rtlCol="0">
                            <a:noAutofit/>
                          </wps:bodyPr>
                        </wps:wsp>
                      </wpg:grpSp>
                      <wpg:grpSp>
                        <wpg:cNvPr id="989970069" name="Group 989970069">
                          <a:extLst>
                            <a:ext uri="{FF2B5EF4-FFF2-40B4-BE49-F238E27FC236}">
                              <a16:creationId xmlns:a16="http://schemas.microsoft.com/office/drawing/2014/main" id="{34765231-F68E-6D0D-12E3-0B8D0EB92DDC}"/>
                            </a:ext>
                          </a:extLst>
                        </wpg:cNvPr>
                        <wpg:cNvGrpSpPr/>
                        <wpg:grpSpPr>
                          <a:xfrm>
                            <a:off x="4519091" y="935963"/>
                            <a:ext cx="1750737" cy="687218"/>
                            <a:chOff x="4473008" y="935916"/>
                            <a:chExt cx="2334317" cy="916289"/>
                          </a:xfrm>
                        </wpg:grpSpPr>
                        <wps:wsp>
                          <wps:cNvPr id="1033922327" name="Rectangle 1033922327">
                            <a:extLst>
                              <a:ext uri="{FF2B5EF4-FFF2-40B4-BE49-F238E27FC236}">
                                <a16:creationId xmlns:a16="http://schemas.microsoft.com/office/drawing/2014/main" id="{DA5F21D6-8FAF-D0BE-E203-5F36423DF868}"/>
                              </a:ext>
                            </a:extLst>
                          </wps:cNvPr>
                          <wps:cNvSpPr/>
                          <wps:spPr>
                            <a:xfrm>
                              <a:off x="4732518" y="1023456"/>
                              <a:ext cx="1657524" cy="587054"/>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77676222" name="TextBox 8">
                            <a:extLst>
                              <a:ext uri="{FF2B5EF4-FFF2-40B4-BE49-F238E27FC236}">
                                <a16:creationId xmlns:a16="http://schemas.microsoft.com/office/drawing/2014/main" id="{665CEB4E-8015-57A7-046F-85D4D716895E}"/>
                              </a:ext>
                            </a:extLst>
                          </wps:cNvPr>
                          <wps:cNvSpPr txBox="1"/>
                          <wps:spPr>
                            <a:xfrm>
                              <a:off x="4473008" y="935916"/>
                              <a:ext cx="2334317" cy="916289"/>
                            </a:xfrm>
                            <a:prstGeom prst="rect">
                              <a:avLst/>
                            </a:prstGeom>
                            <a:noFill/>
                          </wps:spPr>
                          <wps:txbx>
                            <w:txbxContent>
                              <w:p w14:paraId="162234B7" w14:textId="77777777" w:rsidR="00771461" w:rsidRPr="0009509E" w:rsidRDefault="00771461" w:rsidP="00E35BCA">
                                <w:pPr>
                                  <w:kinsoku w:val="0"/>
                                  <w:overflowPunct w:val="0"/>
                                  <w:spacing w:after="0" w:line="240" w:lineRule="auto"/>
                                  <w:jc w:val="center"/>
                                  <w:textAlignment w:val="baseline"/>
                                  <w:rPr>
                                    <w:rFonts w:ascii="Arial" w:hAnsi="Arial"/>
                                    <w:kern w:val="24"/>
                                    <w:sz w:val="32"/>
                                    <w:szCs w:val="32"/>
                                  </w:rPr>
                                </w:pPr>
                                <w:r w:rsidRPr="0009509E">
                                  <w:rPr>
                                    <w:rFonts w:ascii="Arial" w:hAnsi="Arial"/>
                                    <w:kern w:val="24"/>
                                    <w:sz w:val="32"/>
                                    <w:szCs w:val="32"/>
                                  </w:rPr>
                                  <w:t>-</w:t>
                                </w:r>
                                <w:r w:rsidRPr="0009509E">
                                  <w:rPr>
                                    <w:rFonts w:ascii="Arial" w:hAnsi="Arial"/>
                                    <w:kern w:val="24"/>
                                    <w:sz w:val="32"/>
                                    <w:szCs w:val="32"/>
                                  </w:rPr>
                                  <w:t>ve</w:t>
                                </w:r>
                              </w:p>
                              <w:p w14:paraId="394D18C9" w14:textId="77777777" w:rsidR="00771461" w:rsidRPr="0009509E" w:rsidRDefault="00771461" w:rsidP="00771461">
                                <w:pPr>
                                  <w:kinsoku w:val="0"/>
                                  <w:overflowPunct w:val="0"/>
                                  <w:jc w:val="center"/>
                                  <w:textAlignment w:val="baseline"/>
                                  <w:rPr>
                                    <w:rFonts w:ascii="Arial" w:hAnsi="Arial"/>
                                    <w:color w:val="000000" w:themeColor="text1"/>
                                    <w:kern w:val="24"/>
                                    <w:sz w:val="18"/>
                                    <w:szCs w:val="18"/>
                                  </w:rPr>
                                </w:pPr>
                                <w:r w:rsidRPr="0009509E">
                                  <w:rPr>
                                    <w:rFonts w:ascii="Arial" w:hAnsi="Arial"/>
                                    <w:color w:val="000000" w:themeColor="text1"/>
                                    <w:kern w:val="24"/>
                                    <w:sz w:val="18"/>
                                    <w:szCs w:val="18"/>
                                  </w:rPr>
                                  <w:t>(i.e. m-Krenning &lt;3)</w:t>
                                </w:r>
                              </w:p>
                            </w:txbxContent>
                          </wps:txbx>
                          <wps:bodyPr wrap="square" rtlCol="0">
                            <a:noAutofit/>
                          </wps:bodyPr>
                        </wps:wsp>
                      </wpg:grpSp>
                      <wpg:grpSp>
                        <wpg:cNvPr id="112030034" name="Group 112030034">
                          <a:extLst>
                            <a:ext uri="{FF2B5EF4-FFF2-40B4-BE49-F238E27FC236}">
                              <a16:creationId xmlns:a16="http://schemas.microsoft.com/office/drawing/2014/main" id="{A8285C6A-ED3B-7DB4-0591-8740716B88C5}"/>
                            </a:ext>
                          </a:extLst>
                        </wpg:cNvPr>
                        <wpg:cNvGrpSpPr/>
                        <wpg:grpSpPr>
                          <a:xfrm>
                            <a:off x="657020" y="944507"/>
                            <a:ext cx="1436084" cy="628650"/>
                            <a:chOff x="649953" y="944459"/>
                            <a:chExt cx="1914779" cy="838199"/>
                          </a:xfrm>
                        </wpg:grpSpPr>
                        <wps:wsp>
                          <wps:cNvPr id="1021342750" name="Rectangle 1021342750">
                            <a:extLst>
                              <a:ext uri="{FF2B5EF4-FFF2-40B4-BE49-F238E27FC236}">
                                <a16:creationId xmlns:a16="http://schemas.microsoft.com/office/drawing/2014/main" id="{6B7AFF4A-C91F-C415-7DA8-2A8E6762BAB5}"/>
                              </a:ext>
                            </a:extLst>
                          </wps:cNvPr>
                          <wps:cNvSpPr/>
                          <wps:spPr>
                            <a:xfrm>
                              <a:off x="753376" y="1027730"/>
                              <a:ext cx="1657524" cy="587054"/>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23580874" name="TextBox 13">
                            <a:extLst>
                              <a:ext uri="{FF2B5EF4-FFF2-40B4-BE49-F238E27FC236}">
                                <a16:creationId xmlns:a16="http://schemas.microsoft.com/office/drawing/2014/main" id="{181B6C6C-B6F9-7AB3-177E-501F3800AA3E}"/>
                              </a:ext>
                            </a:extLst>
                          </wps:cNvPr>
                          <wps:cNvSpPr txBox="1"/>
                          <wps:spPr>
                            <a:xfrm>
                              <a:off x="649953" y="944459"/>
                              <a:ext cx="1914779" cy="838199"/>
                            </a:xfrm>
                            <a:prstGeom prst="rect">
                              <a:avLst/>
                            </a:prstGeom>
                            <a:noFill/>
                          </wps:spPr>
                          <wps:txbx>
                            <w:txbxContent>
                              <w:p w14:paraId="7393CFC0" w14:textId="77777777" w:rsidR="00771461" w:rsidRPr="0009509E" w:rsidRDefault="00771461" w:rsidP="00E35BCA">
                                <w:pPr>
                                  <w:kinsoku w:val="0"/>
                                  <w:overflowPunct w:val="0"/>
                                  <w:spacing w:after="0" w:line="240" w:lineRule="auto"/>
                                  <w:jc w:val="center"/>
                                  <w:textAlignment w:val="baseline"/>
                                  <w:rPr>
                                    <w:rFonts w:ascii="Arial" w:hAnsi="Arial"/>
                                    <w:kern w:val="24"/>
                                    <w:sz w:val="32"/>
                                    <w:szCs w:val="32"/>
                                  </w:rPr>
                                </w:pPr>
                                <w:r w:rsidRPr="0009509E">
                                  <w:rPr>
                                    <w:rFonts w:ascii="Arial" w:hAnsi="Arial"/>
                                    <w:kern w:val="24"/>
                                    <w:sz w:val="32"/>
                                    <w:szCs w:val="32"/>
                                  </w:rPr>
                                  <w:t>+</w:t>
                                </w:r>
                                <w:r w:rsidRPr="0009509E">
                                  <w:rPr>
                                    <w:rFonts w:ascii="Arial" w:hAnsi="Arial"/>
                                    <w:kern w:val="24"/>
                                    <w:sz w:val="32"/>
                                    <w:szCs w:val="32"/>
                                  </w:rPr>
                                  <w:t>ve</w:t>
                                </w:r>
                              </w:p>
                              <w:p w14:paraId="0895FD4D" w14:textId="1126D2C3" w:rsidR="00771461" w:rsidRPr="0009509E" w:rsidRDefault="00771461" w:rsidP="00771461">
                                <w:pPr>
                                  <w:kinsoku w:val="0"/>
                                  <w:overflowPunct w:val="0"/>
                                  <w:jc w:val="center"/>
                                  <w:textAlignment w:val="baseline"/>
                                  <w:rPr>
                                    <w:rFonts w:ascii="Arial" w:hAnsi="Arial"/>
                                    <w:color w:val="000000" w:themeColor="text1"/>
                                    <w:kern w:val="24"/>
                                    <w:sz w:val="18"/>
                                    <w:szCs w:val="18"/>
                                    <w:vertAlign w:val="superscript"/>
                                  </w:rPr>
                                </w:pPr>
                                <w:r w:rsidRPr="0009509E">
                                  <w:rPr>
                                    <w:rFonts w:ascii="Arial" w:hAnsi="Arial"/>
                                    <w:color w:val="000000" w:themeColor="text1"/>
                                    <w:kern w:val="24"/>
                                    <w:sz w:val="18"/>
                                    <w:szCs w:val="18"/>
                                  </w:rPr>
                                  <w:t xml:space="preserve">(i.e. m-Krenning </w:t>
                                </w:r>
                                <w:r w:rsidRPr="0009509E">
                                  <w:rPr>
                                    <w:rFonts w:ascii="Arial" w:hAnsi="Arial"/>
                                    <w:color w:val="000000" w:themeColor="text1"/>
                                    <w:kern w:val="24"/>
                                    <w:sz w:val="18"/>
                                    <w:szCs w:val="18"/>
                                    <w:u w:val="single"/>
                                  </w:rPr>
                                  <w:t>&gt;</w:t>
                                </w:r>
                                <w:r w:rsidRPr="0009509E">
                                  <w:rPr>
                                    <w:rFonts w:ascii="Arial" w:hAnsi="Arial"/>
                                    <w:color w:val="000000" w:themeColor="text1"/>
                                    <w:kern w:val="24"/>
                                    <w:sz w:val="18"/>
                                    <w:szCs w:val="18"/>
                                  </w:rPr>
                                  <w:t>3)</w:t>
                                </w:r>
                                <w:r w:rsidR="006C0352">
                                  <w:rPr>
                                    <w:rFonts w:ascii="Arial" w:hAnsi="Arial"/>
                                    <w:color w:val="000000" w:themeColor="text1"/>
                                    <w:kern w:val="24"/>
                                    <w:sz w:val="18"/>
                                    <w:szCs w:val="18"/>
                                    <w:vertAlign w:val="superscript"/>
                                  </w:rPr>
                                  <w:t>a</w:t>
                                </w:r>
                              </w:p>
                            </w:txbxContent>
                          </wps:txbx>
                          <wps:bodyPr wrap="square" rtlCol="0">
                            <a:noAutofit/>
                          </wps:bodyPr>
                        </wps:wsp>
                      </wpg:grpSp>
                      <wpg:grpSp>
                        <wpg:cNvPr id="1907794780" name="Group 1907794780">
                          <a:extLst>
                            <a:ext uri="{FF2B5EF4-FFF2-40B4-BE49-F238E27FC236}">
                              <a16:creationId xmlns:a16="http://schemas.microsoft.com/office/drawing/2014/main" id="{A684DB3D-BF0F-C518-A299-2F674D5E6113}"/>
                            </a:ext>
                          </a:extLst>
                        </wpg:cNvPr>
                        <wpg:cNvGrpSpPr/>
                        <wpg:grpSpPr>
                          <a:xfrm>
                            <a:off x="2458849" y="1584170"/>
                            <a:ext cx="2278533" cy="659010"/>
                            <a:chOff x="2424031" y="1584176"/>
                            <a:chExt cx="2579895" cy="773012"/>
                          </a:xfrm>
                        </wpg:grpSpPr>
                        <wps:wsp>
                          <wps:cNvPr id="62651430" name="Rectangle 62651430">
                            <a:extLst>
                              <a:ext uri="{FF2B5EF4-FFF2-40B4-BE49-F238E27FC236}">
                                <a16:creationId xmlns:a16="http://schemas.microsoft.com/office/drawing/2014/main" id="{2CB32A94-5893-D635-C8D4-D9CB039D023D}"/>
                              </a:ext>
                            </a:extLst>
                          </wps:cNvPr>
                          <wps:cNvSpPr/>
                          <wps:spPr>
                            <a:xfrm>
                              <a:off x="2722111" y="1584176"/>
                              <a:ext cx="2020102" cy="611954"/>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61546020" name="TextBox 21">
                            <a:extLst>
                              <a:ext uri="{FF2B5EF4-FFF2-40B4-BE49-F238E27FC236}">
                                <a16:creationId xmlns:a16="http://schemas.microsoft.com/office/drawing/2014/main" id="{1536E255-5E16-CCAB-BDB8-DF8EB235A947}"/>
                              </a:ext>
                            </a:extLst>
                          </wps:cNvPr>
                          <wps:cNvSpPr txBox="1"/>
                          <wps:spPr>
                            <a:xfrm>
                              <a:off x="2424031" y="1585527"/>
                              <a:ext cx="2579895" cy="771661"/>
                            </a:xfrm>
                            <a:prstGeom prst="rect">
                              <a:avLst/>
                            </a:prstGeom>
                            <a:noFill/>
                          </wps:spPr>
                          <wps:txbx>
                            <w:txbxContent>
                              <w:p w14:paraId="3C38FD5F" w14:textId="77777777" w:rsidR="00771461" w:rsidRDefault="00771461" w:rsidP="00E35BCA">
                                <w:pPr>
                                  <w:kinsoku w:val="0"/>
                                  <w:overflowPunct w:val="0"/>
                                  <w:spacing w:after="0" w:line="240" w:lineRule="auto"/>
                                  <w:jc w:val="center"/>
                                  <w:textAlignment w:val="baseline"/>
                                  <w:rPr>
                                    <w:rFonts w:ascii="Arial" w:hAnsi="Arial"/>
                                    <w:i/>
                                    <w:iCs/>
                                    <w:color w:val="000000" w:themeColor="text1"/>
                                    <w:kern w:val="24"/>
                                    <w:sz w:val="28"/>
                                    <w:szCs w:val="28"/>
                                  </w:rPr>
                                </w:pPr>
                                <w:r>
                                  <w:rPr>
                                    <w:rFonts w:ascii="Arial" w:hAnsi="Arial"/>
                                    <w:i/>
                                    <w:iCs/>
                                    <w:color w:val="2F5496" w:themeColor="accent5" w:themeShade="BF"/>
                                    <w:kern w:val="24"/>
                                    <w:sz w:val="28"/>
                                    <w:szCs w:val="28"/>
                                  </w:rPr>
                                  <w:t xml:space="preserve">Potential </w:t>
                                </w:r>
                                <w:r>
                                  <w:rPr>
                                    <w:rFonts w:ascii="Arial" w:hAnsi="Arial"/>
                                    <w:i/>
                                    <w:iCs/>
                                    <w:color w:val="000000" w:themeColor="text1"/>
                                    <w:kern w:val="24"/>
                                    <w:sz w:val="28"/>
                                    <w:szCs w:val="28"/>
                                  </w:rPr>
                                  <w:t>candidate</w:t>
                                </w:r>
                                <w:r w:rsidR="00FC2046">
                                  <w:rPr>
                                    <w:rFonts w:ascii="Arial" w:hAnsi="Arial"/>
                                    <w:i/>
                                    <w:iCs/>
                                    <w:color w:val="000000" w:themeColor="text1"/>
                                    <w:kern w:val="24"/>
                                    <w:sz w:val="28"/>
                                    <w:szCs w:val="28"/>
                                  </w:rPr>
                                  <w:t xml:space="preserve"> </w:t>
                                </w:r>
                                <w:r w:rsidR="00FC2046">
                                  <w:rPr>
                                    <w:rFonts w:ascii="Arial" w:hAnsi="Arial"/>
                                    <w:i/>
                                    <w:iCs/>
                                    <w:color w:val="000000" w:themeColor="text1"/>
                                    <w:kern w:val="24"/>
                                    <w:sz w:val="28"/>
                                    <w:szCs w:val="28"/>
                                  </w:rPr>
                                  <w:br/>
                                </w:r>
                                <w:r>
                                  <w:rPr>
                                    <w:rFonts w:ascii="Arial" w:hAnsi="Arial"/>
                                    <w:i/>
                                    <w:iCs/>
                                    <w:color w:val="000000" w:themeColor="text1"/>
                                    <w:kern w:val="24"/>
                                    <w:sz w:val="28"/>
                                    <w:szCs w:val="28"/>
                                  </w:rPr>
                                  <w:t>for PRRT</w:t>
                                </w:r>
                              </w:p>
                            </w:txbxContent>
                          </wps:txbx>
                          <wps:bodyPr wrap="square" rtlCol="0">
                            <a:noAutofit/>
                          </wps:bodyPr>
                        </wps:wsp>
                      </wpg:grpSp>
                      <wps:wsp>
                        <wps:cNvPr id="636640037" name="Rectangle: Rounded Corners 636640037">
                          <a:extLst>
                            <a:ext uri="{FF2B5EF4-FFF2-40B4-BE49-F238E27FC236}">
                              <a16:creationId xmlns:a16="http://schemas.microsoft.com/office/drawing/2014/main" id="{F4354B9B-D0FB-1F4C-F2F1-041CD9092FE7}"/>
                            </a:ext>
                          </a:extLst>
                        </wps:cNvPr>
                        <wps:cNvSpPr/>
                        <wps:spPr>
                          <a:xfrm>
                            <a:off x="0" y="2318107"/>
                            <a:ext cx="2273370" cy="7204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B0B351" w14:textId="77777777" w:rsidR="00771461" w:rsidRDefault="00771461" w:rsidP="00E35BCA">
                              <w:pPr>
                                <w:kinsoku w:val="0"/>
                                <w:overflowPunct w:val="0"/>
                                <w:spacing w:after="0" w:line="240" w:lineRule="auto"/>
                                <w:jc w:val="center"/>
                                <w:textAlignment w:val="baseline"/>
                                <w:rPr>
                                  <w:color w:val="FFFFFF" w:themeColor="light1"/>
                                  <w:kern w:val="24"/>
                                  <w:sz w:val="20"/>
                                  <w:szCs w:val="20"/>
                                </w:rPr>
                              </w:pPr>
                              <w:r>
                                <w:rPr>
                                  <w:color w:val="FFFFFF" w:themeColor="light1"/>
                                  <w:kern w:val="24"/>
                                  <w:sz w:val="20"/>
                                  <w:szCs w:val="20"/>
                                </w:rPr>
                                <w:t>G1 / typical carcinoid</w:t>
                              </w:r>
                            </w:p>
                            <w:p w14:paraId="55DBEF82" w14:textId="77777777" w:rsidR="00771461" w:rsidRDefault="00771461" w:rsidP="00E35BCA">
                              <w:pPr>
                                <w:kinsoku w:val="0"/>
                                <w:overflowPunct w:val="0"/>
                                <w:spacing w:after="0" w:line="240" w:lineRule="auto"/>
                                <w:jc w:val="center"/>
                                <w:textAlignment w:val="baseline"/>
                                <w:rPr>
                                  <w:color w:val="FFFFFF" w:themeColor="light1"/>
                                  <w:kern w:val="24"/>
                                  <w:sz w:val="20"/>
                                  <w:szCs w:val="20"/>
                                </w:rPr>
                              </w:pPr>
                              <w:r>
                                <w:rPr>
                                  <w:color w:val="FFFFFF" w:themeColor="light1"/>
                                  <w:kern w:val="24"/>
                                  <w:sz w:val="20"/>
                                  <w:szCs w:val="20"/>
                                </w:rPr>
                                <w:t>G2 / atypical carcinoid (Ki67 &lt; 10%)</w:t>
                              </w:r>
                            </w:p>
                            <w:p w14:paraId="71803A32" w14:textId="77777777" w:rsidR="00771461" w:rsidRDefault="00771461" w:rsidP="00E35BCA">
                              <w:pPr>
                                <w:kinsoku w:val="0"/>
                                <w:overflowPunct w:val="0"/>
                                <w:spacing w:after="0" w:line="240" w:lineRule="auto"/>
                                <w:jc w:val="center"/>
                                <w:textAlignment w:val="baseline"/>
                                <w:rPr>
                                  <w:color w:val="FFFFFF" w:themeColor="light1"/>
                                  <w:kern w:val="24"/>
                                  <w:sz w:val="20"/>
                                  <w:szCs w:val="20"/>
                                </w:rPr>
                              </w:pPr>
                              <w:r>
                                <w:rPr>
                                  <w:color w:val="FFFFFF" w:themeColor="light1"/>
                                  <w:kern w:val="24"/>
                                  <w:sz w:val="20"/>
                                  <w:szCs w:val="20"/>
                                </w:rPr>
                                <w:t xml:space="preserve">Slow progression (&gt; 6 </w:t>
                              </w:r>
                              <w:r>
                                <w:rPr>
                                  <w:color w:val="FFFFFF" w:themeColor="light1"/>
                                  <w:kern w:val="24"/>
                                  <w:sz w:val="20"/>
                                  <w:szCs w:val="20"/>
                                </w:rPr>
                                <w:t>mo)</w:t>
                              </w:r>
                            </w:p>
                          </w:txbxContent>
                        </wps:txbx>
                        <wps:bodyPr rtlCol="0" anchor="ctr"/>
                      </wps:wsp>
                      <wps:wsp>
                        <wps:cNvPr id="1051109961" name="Rectangle: Rounded Corners 1051109961">
                          <a:extLst>
                            <a:ext uri="{FF2B5EF4-FFF2-40B4-BE49-F238E27FC236}">
                              <a16:creationId xmlns:a16="http://schemas.microsoft.com/office/drawing/2014/main" id="{84710295-2DF3-AB71-E612-27F5191B741C}"/>
                            </a:ext>
                          </a:extLst>
                        </wps:cNvPr>
                        <wps:cNvSpPr/>
                        <wps:spPr>
                          <a:xfrm>
                            <a:off x="4659023" y="2334165"/>
                            <a:ext cx="2316352" cy="70442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221D01" w14:textId="77777777" w:rsidR="00771461" w:rsidRDefault="00771461" w:rsidP="00E35BCA">
                              <w:pPr>
                                <w:kinsoku w:val="0"/>
                                <w:overflowPunct w:val="0"/>
                                <w:spacing w:after="0" w:line="240" w:lineRule="auto"/>
                                <w:jc w:val="center"/>
                                <w:textAlignment w:val="baseline"/>
                                <w:rPr>
                                  <w:color w:val="FFFFFF" w:themeColor="light1"/>
                                  <w:kern w:val="24"/>
                                  <w:sz w:val="20"/>
                                  <w:szCs w:val="20"/>
                                </w:rPr>
                              </w:pPr>
                              <w:r>
                                <w:rPr>
                                  <w:color w:val="FFFFFF" w:themeColor="light1"/>
                                  <w:kern w:val="24"/>
                                  <w:sz w:val="20"/>
                                  <w:szCs w:val="20"/>
                                </w:rPr>
                                <w:t>G2 / atypical carcinoid (Ki67 &gt; 10%)</w:t>
                              </w:r>
                            </w:p>
                            <w:p w14:paraId="40BF72E0" w14:textId="77777777" w:rsidR="00771461" w:rsidRDefault="00771461" w:rsidP="00E35BCA">
                              <w:pPr>
                                <w:kinsoku w:val="0"/>
                                <w:overflowPunct w:val="0"/>
                                <w:spacing w:after="0" w:line="240" w:lineRule="auto"/>
                                <w:jc w:val="center"/>
                                <w:textAlignment w:val="baseline"/>
                                <w:rPr>
                                  <w:color w:val="FFFFFF" w:themeColor="light1"/>
                                  <w:kern w:val="24"/>
                                  <w:sz w:val="20"/>
                                  <w:szCs w:val="20"/>
                                </w:rPr>
                              </w:pPr>
                              <w:r>
                                <w:rPr>
                                  <w:color w:val="FFFFFF" w:themeColor="light1"/>
                                  <w:kern w:val="24"/>
                                  <w:sz w:val="20"/>
                                  <w:szCs w:val="20"/>
                                </w:rPr>
                                <w:t xml:space="preserve">G3 (Ki67 </w:t>
                              </w:r>
                              <w:r>
                                <w:rPr>
                                  <w:color w:val="FFFFFF" w:themeColor="light1"/>
                                  <w:kern w:val="24"/>
                                  <w:sz w:val="20"/>
                                  <w:szCs w:val="20"/>
                                  <w:u w:val="single"/>
                                </w:rPr>
                                <w:t>&lt;</w:t>
                              </w:r>
                              <w:r>
                                <w:rPr>
                                  <w:color w:val="FFFFFF" w:themeColor="light1"/>
                                  <w:kern w:val="24"/>
                                  <w:sz w:val="20"/>
                                  <w:szCs w:val="20"/>
                                </w:rPr>
                                <w:t xml:space="preserve"> 55%)</w:t>
                              </w:r>
                            </w:p>
                            <w:p w14:paraId="0BA6C81B" w14:textId="77777777" w:rsidR="00771461" w:rsidRDefault="00771461" w:rsidP="00771461">
                              <w:pPr>
                                <w:kinsoku w:val="0"/>
                                <w:overflowPunct w:val="0"/>
                                <w:jc w:val="center"/>
                                <w:textAlignment w:val="baseline"/>
                                <w:rPr>
                                  <w:color w:val="FFFFFF" w:themeColor="light1"/>
                                  <w:kern w:val="24"/>
                                  <w:sz w:val="20"/>
                                  <w:szCs w:val="20"/>
                                </w:rPr>
                              </w:pPr>
                              <w:r>
                                <w:rPr>
                                  <w:color w:val="FFFFFF" w:themeColor="light1"/>
                                  <w:kern w:val="24"/>
                                  <w:sz w:val="20"/>
                                  <w:szCs w:val="20"/>
                                </w:rPr>
                                <w:t xml:space="preserve">“G1” w. rapid progression (&lt; 6 </w:t>
                              </w:r>
                              <w:r>
                                <w:rPr>
                                  <w:color w:val="FFFFFF" w:themeColor="light1"/>
                                  <w:kern w:val="24"/>
                                  <w:sz w:val="20"/>
                                  <w:szCs w:val="20"/>
                                </w:rPr>
                                <w:t>mo)</w:t>
                              </w:r>
                            </w:p>
                          </w:txbxContent>
                        </wps:txbx>
                        <wps:bodyPr rtlCol="0" anchor="ctr"/>
                      </wps:wsp>
                      <wps:wsp>
                        <wps:cNvPr id="591445392" name="Rectangle: Rounded Corners 591445392">
                          <a:extLst>
                            <a:ext uri="{FF2B5EF4-FFF2-40B4-BE49-F238E27FC236}">
                              <a16:creationId xmlns:a16="http://schemas.microsoft.com/office/drawing/2014/main" id="{1FA18651-B562-4D96-21D2-9433075663F0}"/>
                            </a:ext>
                          </a:extLst>
                        </wps:cNvPr>
                        <wps:cNvSpPr/>
                        <wps:spPr>
                          <a:xfrm>
                            <a:off x="3241695" y="2724150"/>
                            <a:ext cx="823943" cy="4805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2C8A30" w14:textId="77777777" w:rsidR="00771461" w:rsidRDefault="00771461" w:rsidP="00E35BCA">
                              <w:pPr>
                                <w:kinsoku w:val="0"/>
                                <w:overflowPunct w:val="0"/>
                                <w:spacing w:after="0" w:line="240" w:lineRule="auto"/>
                                <w:jc w:val="center"/>
                                <w:textAlignment w:val="baseline"/>
                                <w:rPr>
                                  <w:color w:val="FFFFFF" w:themeColor="light1"/>
                                  <w:kern w:val="24"/>
                                  <w:sz w:val="24"/>
                                  <w:szCs w:val="24"/>
                                </w:rPr>
                              </w:pPr>
                              <w:r>
                                <w:rPr>
                                  <w:color w:val="FFFFFF" w:themeColor="light1"/>
                                  <w:kern w:val="24"/>
                                </w:rPr>
                                <w:t>FDG PET/CT</w:t>
                              </w:r>
                            </w:p>
                          </w:txbxContent>
                        </wps:txbx>
                        <wps:bodyPr rtlCol="0" anchor="ctr"/>
                      </wps:wsp>
                      <wps:wsp>
                        <wps:cNvPr id="529301399" name="Rectangle: Rounded Corners 529301399">
                          <a:extLst>
                            <a:ext uri="{FF2B5EF4-FFF2-40B4-BE49-F238E27FC236}">
                              <a16:creationId xmlns:a16="http://schemas.microsoft.com/office/drawing/2014/main" id="{E61013F3-0D1E-C704-D8D2-EDE462EE72B7}"/>
                            </a:ext>
                          </a:extLst>
                        </wps:cNvPr>
                        <wps:cNvSpPr/>
                        <wps:spPr>
                          <a:xfrm>
                            <a:off x="1579761" y="3630779"/>
                            <a:ext cx="2254362" cy="5719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077959" w14:textId="77777777" w:rsidR="00771461" w:rsidRDefault="00771461" w:rsidP="00E35BCA">
                              <w:pPr>
                                <w:kinsoku w:val="0"/>
                                <w:overflowPunct w:val="0"/>
                                <w:spacing w:after="0" w:line="240" w:lineRule="auto"/>
                                <w:jc w:val="center"/>
                                <w:textAlignment w:val="baseline"/>
                                <w:rPr>
                                  <w:color w:val="FFFFFF" w:themeColor="light1"/>
                                  <w:kern w:val="24"/>
                                  <w:sz w:val="24"/>
                                  <w:szCs w:val="24"/>
                                </w:rPr>
                              </w:pPr>
                              <w:r>
                                <w:rPr>
                                  <w:color w:val="FFFFFF" w:themeColor="light1"/>
                                  <w:kern w:val="24"/>
                                </w:rPr>
                                <w:t>Low FDG / SSRI discordance</w:t>
                              </w:r>
                            </w:p>
                            <w:p w14:paraId="56C72878" w14:textId="601B3D79" w:rsidR="00771461" w:rsidRPr="0009509E" w:rsidRDefault="00771461" w:rsidP="00E35BCA">
                              <w:pPr>
                                <w:kinsoku w:val="0"/>
                                <w:overflowPunct w:val="0"/>
                                <w:spacing w:after="0" w:line="240" w:lineRule="auto"/>
                                <w:jc w:val="center"/>
                                <w:textAlignment w:val="baseline"/>
                                <w:rPr>
                                  <w:color w:val="FFFFFF" w:themeColor="light1"/>
                                  <w:kern w:val="24"/>
                                  <w:vertAlign w:val="superscript"/>
                                </w:rPr>
                              </w:pPr>
                              <w:r>
                                <w:rPr>
                                  <w:color w:val="FFFFFF" w:themeColor="light1"/>
                                  <w:kern w:val="24"/>
                                </w:rPr>
                                <w:t>(</w:t>
                              </w:r>
                              <w:r w:rsidR="00A91A4C">
                                <w:rPr>
                                  <w:rFonts w:cs="Calibri"/>
                                  <w:color w:val="FFFFFF" w:themeColor="light1"/>
                                  <w:kern w:val="24"/>
                                </w:rPr>
                                <w:t>≤</w:t>
                              </w:r>
                              <w:r w:rsidR="00A91A4C">
                                <w:rPr>
                                  <w:color w:val="FFFFFF" w:themeColor="light1"/>
                                  <w:kern w:val="24"/>
                                </w:rPr>
                                <w:t>3</w:t>
                              </w:r>
                              <w:r w:rsidR="0006405F">
                                <w:t> </w:t>
                              </w:r>
                              <w:r>
                                <w:rPr>
                                  <w:color w:val="FFFFFF" w:themeColor="light1"/>
                                  <w:kern w:val="24"/>
                                </w:rPr>
                                <w:t>lesions)</w:t>
                              </w:r>
                              <w:r w:rsidR="00CB5CB7">
                                <w:rPr>
                                  <w:color w:val="FFFFFF" w:themeColor="light1"/>
                                  <w:kern w:val="24"/>
                                  <w:vertAlign w:val="superscript"/>
                                </w:rPr>
                                <w:t>b</w:t>
                              </w:r>
                            </w:p>
                          </w:txbxContent>
                        </wps:txbx>
                        <wps:bodyPr rtlCol="0" anchor="ctr"/>
                      </wps:wsp>
                      <wps:wsp>
                        <wps:cNvPr id="1113486940" name="Rectangle: Rounded Corners 1113486940">
                          <a:extLst>
                            <a:ext uri="{FF2B5EF4-FFF2-40B4-BE49-F238E27FC236}">
                              <a16:creationId xmlns:a16="http://schemas.microsoft.com/office/drawing/2014/main" id="{48107B22-42E6-9E75-D51F-93EAED8BF1FE}"/>
                            </a:ext>
                          </a:extLst>
                        </wps:cNvPr>
                        <wps:cNvSpPr/>
                        <wps:spPr>
                          <a:xfrm>
                            <a:off x="4987099" y="3605476"/>
                            <a:ext cx="2329742" cy="55628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7D1E61" w14:textId="77777777" w:rsidR="00771461" w:rsidRDefault="00771461" w:rsidP="00E35BCA">
                              <w:pPr>
                                <w:kinsoku w:val="0"/>
                                <w:overflowPunct w:val="0"/>
                                <w:spacing w:after="0" w:line="240" w:lineRule="auto"/>
                                <w:jc w:val="center"/>
                                <w:textAlignment w:val="baseline"/>
                                <w:rPr>
                                  <w:color w:val="FFFFFF" w:themeColor="light1"/>
                                  <w:kern w:val="24"/>
                                  <w:sz w:val="24"/>
                                  <w:szCs w:val="24"/>
                                </w:rPr>
                              </w:pPr>
                              <w:r>
                                <w:rPr>
                                  <w:color w:val="FFFFFF" w:themeColor="light1"/>
                                  <w:kern w:val="24"/>
                                </w:rPr>
                                <w:t>High FDG / SSRI discordance</w:t>
                              </w:r>
                            </w:p>
                            <w:p w14:paraId="18035FDC" w14:textId="11A3B804" w:rsidR="00771461" w:rsidRDefault="00771461" w:rsidP="00E35BCA">
                              <w:pPr>
                                <w:kinsoku w:val="0"/>
                                <w:overflowPunct w:val="0"/>
                                <w:spacing w:after="0" w:line="240" w:lineRule="auto"/>
                                <w:jc w:val="center"/>
                                <w:textAlignment w:val="baseline"/>
                                <w:rPr>
                                  <w:color w:val="FFFFFF" w:themeColor="light1"/>
                                  <w:kern w:val="24"/>
                                </w:rPr>
                              </w:pPr>
                              <w:r>
                                <w:rPr>
                                  <w:color w:val="FFFFFF" w:themeColor="light1"/>
                                  <w:kern w:val="24"/>
                                </w:rPr>
                                <w:t xml:space="preserve">(&gt; </w:t>
                              </w:r>
                              <w:r w:rsidR="00D2681F">
                                <w:rPr>
                                  <w:color w:val="FFFFFF" w:themeColor="light1"/>
                                  <w:kern w:val="24"/>
                                </w:rPr>
                                <w:t xml:space="preserve">3 </w:t>
                              </w:r>
                              <w:r>
                                <w:rPr>
                                  <w:color w:val="FFFFFF" w:themeColor="light1"/>
                                  <w:kern w:val="24"/>
                                </w:rPr>
                                <w:t>lesions)</w:t>
                              </w:r>
                            </w:p>
                          </w:txbxContent>
                        </wps:txbx>
                        <wps:bodyPr rtlCol="0" anchor="ctr"/>
                      </wps:wsp>
                      <wps:wsp>
                        <wps:cNvPr id="1025399642" name="Rectangle: Rounded Corners 1025399642">
                          <a:extLst>
                            <a:ext uri="{FF2B5EF4-FFF2-40B4-BE49-F238E27FC236}">
                              <a16:creationId xmlns:a16="http://schemas.microsoft.com/office/drawing/2014/main" id="{413278EB-D552-B103-DBFA-A8F711157F38}"/>
                            </a:ext>
                          </a:extLst>
                        </wps:cNvPr>
                        <wps:cNvSpPr/>
                        <wps:spPr>
                          <a:xfrm>
                            <a:off x="754488" y="4379798"/>
                            <a:ext cx="795504" cy="533838"/>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7086A1" w14:textId="77777777" w:rsidR="00771461" w:rsidRDefault="00771461" w:rsidP="00E35BCA">
                              <w:pPr>
                                <w:kinsoku w:val="0"/>
                                <w:overflowPunct w:val="0"/>
                                <w:spacing w:after="0" w:line="240" w:lineRule="auto"/>
                                <w:jc w:val="center"/>
                                <w:textAlignment w:val="baseline"/>
                                <w:rPr>
                                  <w:color w:val="FFFFFF" w:themeColor="light1"/>
                                  <w:kern w:val="24"/>
                                  <w:sz w:val="32"/>
                                  <w:szCs w:val="32"/>
                                </w:rPr>
                              </w:pPr>
                              <w:r>
                                <w:rPr>
                                  <w:color w:val="FFFFFF" w:themeColor="light1"/>
                                  <w:kern w:val="24"/>
                                  <w:sz w:val="32"/>
                                  <w:szCs w:val="32"/>
                                </w:rPr>
                                <w:t>PRRT</w:t>
                              </w:r>
                            </w:p>
                          </w:txbxContent>
                        </wps:txbx>
                        <wps:bodyPr rtlCol="0" anchor="ctr"/>
                      </wps:wsp>
                      <wps:wsp>
                        <wps:cNvPr id="580446707" name="Rectangle: Rounded Corners 580446707">
                          <a:extLst>
                            <a:ext uri="{FF2B5EF4-FFF2-40B4-BE49-F238E27FC236}">
                              <a16:creationId xmlns:a16="http://schemas.microsoft.com/office/drawing/2014/main" id="{76C4AB17-209B-C932-F68B-08125D2EA637}"/>
                            </a:ext>
                          </a:extLst>
                        </wps:cNvPr>
                        <wps:cNvSpPr/>
                        <wps:spPr>
                          <a:xfrm>
                            <a:off x="5603568" y="4392757"/>
                            <a:ext cx="1049987" cy="561189"/>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907A19" w14:textId="50D72BF9" w:rsidR="00771461" w:rsidRDefault="00771461" w:rsidP="00E35BCA">
                              <w:pPr>
                                <w:kinsoku w:val="0"/>
                                <w:overflowPunct w:val="0"/>
                                <w:spacing w:after="0" w:line="240" w:lineRule="auto"/>
                                <w:jc w:val="center"/>
                                <w:textAlignment w:val="baseline"/>
                                <w:rPr>
                                  <w:color w:val="FFFFFF" w:themeColor="light1"/>
                                  <w:kern w:val="24"/>
                                  <w:sz w:val="28"/>
                                  <w:szCs w:val="28"/>
                                </w:rPr>
                              </w:pPr>
                              <w:r>
                                <w:rPr>
                                  <w:color w:val="FFFFFF" w:themeColor="light1"/>
                                  <w:kern w:val="24"/>
                                  <w:sz w:val="28"/>
                                  <w:szCs w:val="28"/>
                                </w:rPr>
                                <w:t>Not for PRRT</w:t>
                              </w:r>
                            </w:p>
                          </w:txbxContent>
                        </wps:txbx>
                        <wps:bodyPr rtlCol="0" anchor="ctr"/>
                      </wps:wsp>
                      <wps:wsp>
                        <wps:cNvPr id="1097370791" name="Straight Arrow Connector 1097370791">
                          <a:extLst>
                            <a:ext uri="{FF2B5EF4-FFF2-40B4-BE49-F238E27FC236}">
                              <a16:creationId xmlns:a16="http://schemas.microsoft.com/office/drawing/2014/main" id="{D7D65A63-9406-BEA1-58CD-81D32E32FD7E}"/>
                            </a:ext>
                          </a:extLst>
                        </wps:cNvPr>
                        <wps:cNvCnPr>
                          <a:cxnSpLocks/>
                          <a:stCxn id="500376519" idx="2"/>
                          <a:endCxn id="859973645" idx="0"/>
                        </wps:cNvCnPr>
                        <wps:spPr>
                          <a:xfrm>
                            <a:off x="3603997" y="677108"/>
                            <a:ext cx="1927" cy="33424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2780420" name="Straight Arrow Connector 522780420">
                          <a:extLst>
                            <a:ext uri="{FF2B5EF4-FFF2-40B4-BE49-F238E27FC236}">
                              <a16:creationId xmlns:a16="http://schemas.microsoft.com/office/drawing/2014/main" id="{952C0B7F-DCE0-7FA9-987A-5A56E37E9117}"/>
                            </a:ext>
                          </a:extLst>
                        </wps:cNvPr>
                        <wps:cNvCnPr>
                          <a:cxnSpLocks/>
                        </wps:cNvCnPr>
                        <wps:spPr>
                          <a:xfrm flipH="1" flipV="1">
                            <a:off x="2024552" y="1194720"/>
                            <a:ext cx="1138486" cy="1230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8818459" name="Straight Arrow Connector 1938818459">
                          <a:extLst>
                            <a:ext uri="{FF2B5EF4-FFF2-40B4-BE49-F238E27FC236}">
                              <a16:creationId xmlns:a16="http://schemas.microsoft.com/office/drawing/2014/main" id="{B6D23867-28FF-B335-58E0-0EBAEEA6099F}"/>
                            </a:ext>
                          </a:extLst>
                        </wps:cNvPr>
                        <wps:cNvCnPr>
                          <a:cxnSpLocks/>
                        </wps:cNvCnPr>
                        <wps:spPr>
                          <a:xfrm flipV="1">
                            <a:off x="4042406" y="1186174"/>
                            <a:ext cx="657696" cy="1270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9822924" name="Straight Arrow Connector 1539822924">
                          <a:extLst>
                            <a:ext uri="{FF2B5EF4-FFF2-40B4-BE49-F238E27FC236}">
                              <a16:creationId xmlns:a16="http://schemas.microsoft.com/office/drawing/2014/main" id="{918C9CA5-69EF-FA84-E39B-A8D5441F9416}"/>
                            </a:ext>
                          </a:extLst>
                        </wps:cNvPr>
                        <wps:cNvCnPr>
                          <a:cxnSpLocks/>
                          <a:endCxn id="636640037" idx="3"/>
                        </wps:cNvCnPr>
                        <wps:spPr>
                          <a:xfrm flipH="1">
                            <a:off x="2273162" y="2117815"/>
                            <a:ext cx="774881" cy="56053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2445950" name="Straight Arrow Connector 482445950">
                          <a:extLst>
                            <a:ext uri="{FF2B5EF4-FFF2-40B4-BE49-F238E27FC236}">
                              <a16:creationId xmlns:a16="http://schemas.microsoft.com/office/drawing/2014/main" id="{91408F66-B407-FCE7-DB07-1F5AB31A938E}"/>
                            </a:ext>
                          </a:extLst>
                        </wps:cNvPr>
                        <wps:cNvCnPr>
                          <a:cxnSpLocks/>
                        </wps:cNvCnPr>
                        <wps:spPr>
                          <a:xfrm>
                            <a:off x="3912518" y="2123154"/>
                            <a:ext cx="744551" cy="29946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7876560" name="Straight Arrow Connector 1817876560">
                          <a:extLst>
                            <a:ext uri="{FF2B5EF4-FFF2-40B4-BE49-F238E27FC236}">
                              <a16:creationId xmlns:a16="http://schemas.microsoft.com/office/drawing/2014/main" id="{4F491784-827B-D020-ECAF-0BE77FDD0D88}"/>
                            </a:ext>
                          </a:extLst>
                        </wps:cNvPr>
                        <wps:cNvCnPr>
                          <a:cxnSpLocks/>
                        </wps:cNvCnPr>
                        <wps:spPr>
                          <a:xfrm flipH="1">
                            <a:off x="2600818" y="3205011"/>
                            <a:ext cx="630994" cy="3897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8299996" name="Straight Arrow Connector 1628299996">
                          <a:extLst>
                            <a:ext uri="{FF2B5EF4-FFF2-40B4-BE49-F238E27FC236}">
                              <a16:creationId xmlns:a16="http://schemas.microsoft.com/office/drawing/2014/main" id="{BEF1C396-9C93-8CF4-4E01-A2847380336D}"/>
                            </a:ext>
                          </a:extLst>
                        </wps:cNvPr>
                        <wps:cNvCnPr>
                          <a:cxnSpLocks/>
                        </wps:cNvCnPr>
                        <wps:spPr>
                          <a:xfrm>
                            <a:off x="4065853" y="3199184"/>
                            <a:ext cx="938338" cy="42322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4380481" name="Connector: Elbow 1794380481">
                          <a:extLst>
                            <a:ext uri="{FF2B5EF4-FFF2-40B4-BE49-F238E27FC236}">
                              <a16:creationId xmlns:a16="http://schemas.microsoft.com/office/drawing/2014/main" id="{03A40B91-8D9A-C096-F649-15F9390B6A39}"/>
                            </a:ext>
                          </a:extLst>
                        </wps:cNvPr>
                        <wps:cNvCnPr>
                          <a:cxnSpLocks/>
                          <a:stCxn id="1051109961" idx="1"/>
                          <a:endCxn id="591445392" idx="3"/>
                        </wps:cNvCnPr>
                        <wps:spPr>
                          <a:xfrm rot="10800000" flipV="1">
                            <a:off x="4065638" y="2686378"/>
                            <a:ext cx="593385" cy="278031"/>
                          </a:xfrm>
                          <a:prstGeom prst="bentConnector3">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3327346" name="Straight Arrow Connector 873327346">
                          <a:extLst>
                            <a:ext uri="{FF2B5EF4-FFF2-40B4-BE49-F238E27FC236}">
                              <a16:creationId xmlns:a16="http://schemas.microsoft.com/office/drawing/2014/main" id="{9DAADBE5-B7DA-3C2A-72D4-B284A2E5AF22}"/>
                            </a:ext>
                          </a:extLst>
                        </wps:cNvPr>
                        <wps:cNvCnPr>
                          <a:cxnSpLocks/>
                          <a:stCxn id="636640037" idx="2"/>
                        </wps:cNvCnPr>
                        <wps:spPr>
                          <a:xfrm>
                            <a:off x="1136581" y="3038592"/>
                            <a:ext cx="1742" cy="134720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4991248" name="Straight Arrow Connector 2104991248">
                          <a:extLst>
                            <a:ext uri="{FF2B5EF4-FFF2-40B4-BE49-F238E27FC236}">
                              <a16:creationId xmlns:a16="http://schemas.microsoft.com/office/drawing/2014/main" id="{3BD67AAF-BC51-282A-29F4-33A25A32754C}"/>
                            </a:ext>
                          </a:extLst>
                        </wps:cNvPr>
                        <wps:cNvCnPr>
                          <a:cxnSpLocks/>
                        </wps:cNvCnPr>
                        <wps:spPr>
                          <a:xfrm flipH="1">
                            <a:off x="1285830" y="4161764"/>
                            <a:ext cx="333204" cy="213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0640278" name="Straight Arrow Connector 530640278">
                          <a:extLst>
                            <a:ext uri="{FF2B5EF4-FFF2-40B4-BE49-F238E27FC236}">
                              <a16:creationId xmlns:a16="http://schemas.microsoft.com/office/drawing/2014/main" id="{128A742F-31AB-752B-704D-FDB1C3A413DB}"/>
                            </a:ext>
                          </a:extLst>
                        </wps:cNvPr>
                        <wps:cNvCnPr>
                          <a:cxnSpLocks/>
                        </wps:cNvCnPr>
                        <wps:spPr>
                          <a:xfrm>
                            <a:off x="6144639" y="4165549"/>
                            <a:ext cx="562" cy="23000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1821785" name="Straight Arrow Connector 991821785">
                          <a:extLst>
                            <a:ext uri="{FF2B5EF4-FFF2-40B4-BE49-F238E27FC236}">
                              <a16:creationId xmlns:a16="http://schemas.microsoft.com/office/drawing/2014/main" id="{1EAEF982-2FB3-29C3-11EA-F7622E6C1C7A}"/>
                            </a:ext>
                          </a:extLst>
                        </wps:cNvPr>
                        <wps:cNvCnPr>
                          <a:cxnSpLocks/>
                        </wps:cNvCnPr>
                        <wps:spPr>
                          <a:xfrm>
                            <a:off x="1977733" y="1467474"/>
                            <a:ext cx="759352" cy="44557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935079" id="Group 51" o:spid="_x0000_s1026" alt="Figure 9 Reduced clinical management algorithm for G1 and G2 carcinoids and G3 pulmonary NECs&#10;Source: Developed by PASC&#10;CT = computed tomography; G1 = grade 1; G2 = grade 2; G3 = grade 3; FDG = Fluorodeoxyglucose;; m-Krenning = modified Krenning score; NEC = neuroendocrine carcinoma; NEN = neuroendocrine neoplasm;  PET = positron emission tomography; PRRT = peptide receptor radionuclide therapy; SSTR = somatostatin receptor&#10;a Patients with demonstrated high concentration of somatostatin receptor expressions (H-SSTR) at all, or the majority of, tumour sites. b No more than3 sites of discordance where the tumour is greater than or equal to 2 cm in size.&#10;" style="position:absolute;margin-left:0;margin-top:-6.45pt;width:533.9pt;height:381.5pt;z-index:251658240;mso-position-horizontal:left;mso-position-horizontal-relative:margin;mso-width-relative:margin;mso-height-relative:margin" coordsize="73168,4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">
                <v:group id="Group 8837873" o:spid="_x0000_s1027" style="position:absolute;left:19696;width:32683;height:6956" coordorigin="19696" coordsize="41139,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">
                  <v:rect id="Rectangle 1686750372" o:spid="_x0000_s1028" style="position:absolute;left:20320;top:111;width:38663;height:9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" filled="f" strokecolor="#091723 [484]" strokeweight="1.5pt"/>
                  <v:shapetype id="_x0000_t202" coordsize="21600,21600" o:spt="202" path="m,l,21600r21600,l21600,xe">
                    <v:stroke joinstyle="miter"/>
                    <v:path gradientshapeok="t" o:connecttype="rect"/>
                  </v:shapetype>
                  <v:shape id="TextBox 4" o:spid="_x0000_s1029" type="#_x0000_t202" style="position:absolute;left:19696;width:41139;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" filled="f" stroked="f">
                    <v:textbox>
                      <w:txbxContent>
                        <w:p w14:paraId="6E85C553" w14:textId="77777777" w:rsidR="00771461" w:rsidRDefault="00771461" w:rsidP="00E35BCA">
                          <w:pPr>
                            <w:kinsoku w:val="0"/>
                            <w:overflowPunct w:val="0"/>
                            <w:spacing w:after="0" w:line="240" w:lineRule="auto"/>
                            <w:jc w:val="center"/>
                            <w:textAlignment w:val="baseline"/>
                            <w:rPr>
                              <w:rFonts w:ascii="Arial" w:hAnsi="Arial"/>
                              <w:color w:val="000000" w:themeColor="text1"/>
                              <w:kern w:val="24"/>
                              <w:sz w:val="28"/>
                              <w:szCs w:val="28"/>
                            </w:rPr>
                          </w:pPr>
                          <w:r>
                            <w:rPr>
                              <w:rFonts w:ascii="Arial" w:hAnsi="Arial"/>
                              <w:color w:val="000000" w:themeColor="text1"/>
                              <w:kern w:val="24"/>
                              <w:sz w:val="28"/>
                              <w:szCs w:val="28"/>
                            </w:rPr>
                            <w:t>NEN:</w:t>
                          </w:r>
                        </w:p>
                        <w:p w14:paraId="1CEFF332" w14:textId="77777777" w:rsidR="00771461" w:rsidRDefault="00771461" w:rsidP="00E35BCA">
                          <w:pPr>
                            <w:kinsoku w:val="0"/>
                            <w:overflowPunct w:val="0"/>
                            <w:spacing w:after="0" w:line="240" w:lineRule="auto"/>
                            <w:jc w:val="center"/>
                            <w:textAlignment w:val="baseline"/>
                            <w:rPr>
                              <w:rFonts w:ascii="Arial" w:hAnsi="Arial"/>
                              <w:color w:val="000000" w:themeColor="text1"/>
                              <w:kern w:val="24"/>
                              <w:sz w:val="24"/>
                              <w:szCs w:val="24"/>
                            </w:rPr>
                          </w:pPr>
                          <w:r>
                            <w:rPr>
                              <w:rFonts w:ascii="Arial" w:hAnsi="Arial"/>
                              <w:color w:val="000000" w:themeColor="text1"/>
                              <w:kern w:val="24"/>
                            </w:rPr>
                            <w:t>advanced/metastatic, inoperable,</w:t>
                          </w:r>
                        </w:p>
                        <w:p w14:paraId="3C518A53" w14:textId="77777777" w:rsidR="00771461" w:rsidRDefault="00771461" w:rsidP="00E35BCA">
                          <w:pPr>
                            <w:kinsoku w:val="0"/>
                            <w:overflowPunct w:val="0"/>
                            <w:spacing w:after="0" w:line="240" w:lineRule="auto"/>
                            <w:jc w:val="center"/>
                            <w:textAlignment w:val="baseline"/>
                            <w:rPr>
                              <w:rFonts w:ascii="Arial" w:hAnsi="Arial"/>
                              <w:color w:val="000000" w:themeColor="text1"/>
                              <w:kern w:val="24"/>
                            </w:rPr>
                          </w:pPr>
                          <w:r>
                            <w:rPr>
                              <w:rFonts w:ascii="Arial" w:hAnsi="Arial"/>
                              <w:color w:val="000000" w:themeColor="text1"/>
                              <w:kern w:val="24"/>
                            </w:rPr>
                            <w:t>progressive, uncontrolled symptoms, etc</w:t>
                          </w:r>
                        </w:p>
                      </w:txbxContent>
                    </v:textbox>
                  </v:shape>
                </v:group>
                <v:group id="Group 1357436981" o:spid="_x0000_s1030" style="position:absolute;left:31972;top:10113;width:9826;height:4903" coordorigin="31972,10113" coordsize="9796,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">
                  <v:rect id="Rectangle 859973645" o:spid="_x0000_s1031" style="position:absolute;left:31972;top:10113;width:8149;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" filled="f" strokecolor="#091723 [484]" strokeweight="1.5pt"/>
                  <v:shape id="TextBox 6" o:spid="_x0000_s1032" type="#_x0000_t202" style="position:absolute;left:32121;top:10259;width:9648;height:3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" filled="f" stroked="f">
                    <v:textbox>
                      <w:txbxContent>
                        <w:p w14:paraId="538AA6A8" w14:textId="77777777" w:rsidR="00771461" w:rsidRDefault="00771461" w:rsidP="00771461">
                          <w:pPr>
                            <w:kinsoku w:val="0"/>
                            <w:overflowPunct w:val="0"/>
                            <w:textAlignment w:val="baseline"/>
                            <w:rPr>
                              <w:rFonts w:ascii="Arial" w:hAnsi="Arial"/>
                              <w:color w:val="767171" w:themeColor="background2" w:themeShade="80"/>
                              <w:kern w:val="24"/>
                              <w:sz w:val="32"/>
                              <w:szCs w:val="32"/>
                            </w:rPr>
                          </w:pPr>
                          <w:r>
                            <w:rPr>
                              <w:rFonts w:ascii="Arial" w:hAnsi="Arial"/>
                              <w:color w:val="767171" w:themeColor="background2" w:themeShade="80"/>
                              <w:kern w:val="24"/>
                              <w:sz w:val="32"/>
                              <w:szCs w:val="32"/>
                            </w:rPr>
                            <w:t>SSTRI</w:t>
                          </w:r>
                        </w:p>
                      </w:txbxContent>
                    </v:textbox>
                  </v:shape>
                </v:group>
                <v:group id="Group 989970069" o:spid="_x0000_s1033" style="position:absolute;left:45190;top:9359;width:17508;height:6872" coordorigin="44730,9359" coordsize="23343,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">
                  <v:rect id="Rectangle 1033922327" o:spid="_x0000_s1034" style="position:absolute;left:47325;top:10234;width:16575;height:5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" filled="f" strokecolor="#091723 [484]" strokeweight="1.5pt"/>
                  <v:shape id="TextBox 8" o:spid="_x0000_s1035" type="#_x0000_t202" style="position:absolute;left:44730;top:9359;width:23343;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" filled="f" stroked="f">
                    <v:textbox>
                      <w:txbxContent>
                        <w:p w14:paraId="162234B7" w14:textId="77777777" w:rsidR="00771461" w:rsidRPr="0009509E" w:rsidRDefault="00771461" w:rsidP="00E35BCA">
                          <w:pPr>
                            <w:kinsoku w:val="0"/>
                            <w:overflowPunct w:val="0"/>
                            <w:spacing w:after="0" w:line="240" w:lineRule="auto"/>
                            <w:jc w:val="center"/>
                            <w:textAlignment w:val="baseline"/>
                            <w:rPr>
                              <w:rFonts w:ascii="Arial" w:hAnsi="Arial"/>
                              <w:kern w:val="24"/>
                              <w:sz w:val="32"/>
                              <w:szCs w:val="32"/>
                            </w:rPr>
                          </w:pPr>
                          <w:r w:rsidRPr="0009509E">
                            <w:rPr>
                              <w:rFonts w:ascii="Arial" w:hAnsi="Arial"/>
                              <w:kern w:val="24"/>
                              <w:sz w:val="32"/>
                              <w:szCs w:val="32"/>
                            </w:rPr>
                            <w:t>-</w:t>
                          </w:r>
                          <w:r w:rsidRPr="0009509E">
                            <w:rPr>
                              <w:rFonts w:ascii="Arial" w:hAnsi="Arial"/>
                              <w:kern w:val="24"/>
                              <w:sz w:val="32"/>
                              <w:szCs w:val="32"/>
                            </w:rPr>
                            <w:t>ve</w:t>
                          </w:r>
                        </w:p>
                        <w:p w14:paraId="394D18C9" w14:textId="77777777" w:rsidR="00771461" w:rsidRPr="0009509E" w:rsidRDefault="00771461" w:rsidP="00771461">
                          <w:pPr>
                            <w:kinsoku w:val="0"/>
                            <w:overflowPunct w:val="0"/>
                            <w:jc w:val="center"/>
                            <w:textAlignment w:val="baseline"/>
                            <w:rPr>
                              <w:rFonts w:ascii="Arial" w:hAnsi="Arial"/>
                              <w:color w:val="000000" w:themeColor="text1"/>
                              <w:kern w:val="24"/>
                              <w:sz w:val="18"/>
                              <w:szCs w:val="18"/>
                            </w:rPr>
                          </w:pPr>
                          <w:r w:rsidRPr="0009509E">
                            <w:rPr>
                              <w:rFonts w:ascii="Arial" w:hAnsi="Arial"/>
                              <w:color w:val="000000" w:themeColor="text1"/>
                              <w:kern w:val="24"/>
                              <w:sz w:val="18"/>
                              <w:szCs w:val="18"/>
                            </w:rPr>
                            <w:t>(i.e. m-Krenning &lt;3)</w:t>
                          </w:r>
                        </w:p>
                      </w:txbxContent>
                    </v:textbox>
                  </v:shape>
                </v:group>
                <v:group id="Group 112030034" o:spid="_x0000_s1036" style="position:absolute;left:6570;top:9445;width:14361;height:6286" coordorigin="6499,9444" coordsize="19147,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">
                  <v:rect id="Rectangle 1021342750" o:spid="_x0000_s1037" style="position:absolute;left:7533;top:10277;width:16576;height:5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" filled="f" strokecolor="#091723 [484]" strokeweight="1.5pt"/>
                  <v:shape id="TextBox 13" o:spid="_x0000_s1038" type="#_x0000_t202" style="position:absolute;left:6499;top:9444;width:19148;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" filled="f" stroked="f">
                    <v:textbox>
                      <w:txbxContent>
                        <w:p w14:paraId="7393CFC0" w14:textId="77777777" w:rsidR="00771461" w:rsidRPr="0009509E" w:rsidRDefault="00771461" w:rsidP="00E35BCA">
                          <w:pPr>
                            <w:kinsoku w:val="0"/>
                            <w:overflowPunct w:val="0"/>
                            <w:spacing w:after="0" w:line="240" w:lineRule="auto"/>
                            <w:jc w:val="center"/>
                            <w:textAlignment w:val="baseline"/>
                            <w:rPr>
                              <w:rFonts w:ascii="Arial" w:hAnsi="Arial"/>
                              <w:kern w:val="24"/>
                              <w:sz w:val="32"/>
                              <w:szCs w:val="32"/>
                            </w:rPr>
                          </w:pPr>
                          <w:r w:rsidRPr="0009509E">
                            <w:rPr>
                              <w:rFonts w:ascii="Arial" w:hAnsi="Arial"/>
                              <w:kern w:val="24"/>
                              <w:sz w:val="32"/>
                              <w:szCs w:val="32"/>
                            </w:rPr>
                            <w:t>+</w:t>
                          </w:r>
                          <w:r w:rsidRPr="0009509E">
                            <w:rPr>
                              <w:rFonts w:ascii="Arial" w:hAnsi="Arial"/>
                              <w:kern w:val="24"/>
                              <w:sz w:val="32"/>
                              <w:szCs w:val="32"/>
                            </w:rPr>
                            <w:t>ve</w:t>
                          </w:r>
                        </w:p>
                        <w:p w14:paraId="0895FD4D" w14:textId="1126D2C3" w:rsidR="00771461" w:rsidRPr="0009509E" w:rsidRDefault="00771461" w:rsidP="00771461">
                          <w:pPr>
                            <w:kinsoku w:val="0"/>
                            <w:overflowPunct w:val="0"/>
                            <w:jc w:val="center"/>
                            <w:textAlignment w:val="baseline"/>
                            <w:rPr>
                              <w:rFonts w:ascii="Arial" w:hAnsi="Arial"/>
                              <w:color w:val="000000" w:themeColor="text1"/>
                              <w:kern w:val="24"/>
                              <w:sz w:val="18"/>
                              <w:szCs w:val="18"/>
                              <w:vertAlign w:val="superscript"/>
                            </w:rPr>
                          </w:pPr>
                          <w:r w:rsidRPr="0009509E">
                            <w:rPr>
                              <w:rFonts w:ascii="Arial" w:hAnsi="Arial"/>
                              <w:color w:val="000000" w:themeColor="text1"/>
                              <w:kern w:val="24"/>
                              <w:sz w:val="18"/>
                              <w:szCs w:val="18"/>
                            </w:rPr>
                            <w:t xml:space="preserve">(i.e. m-Krenning </w:t>
                          </w:r>
                          <w:r w:rsidRPr="0009509E">
                            <w:rPr>
                              <w:rFonts w:ascii="Arial" w:hAnsi="Arial"/>
                              <w:color w:val="000000" w:themeColor="text1"/>
                              <w:kern w:val="24"/>
                              <w:sz w:val="18"/>
                              <w:szCs w:val="18"/>
                              <w:u w:val="single"/>
                            </w:rPr>
                            <w:t>&gt;</w:t>
                          </w:r>
                          <w:r w:rsidRPr="0009509E">
                            <w:rPr>
                              <w:rFonts w:ascii="Arial" w:hAnsi="Arial"/>
                              <w:color w:val="000000" w:themeColor="text1"/>
                              <w:kern w:val="24"/>
                              <w:sz w:val="18"/>
                              <w:szCs w:val="18"/>
                            </w:rPr>
                            <w:t>3)</w:t>
                          </w:r>
                          <w:r w:rsidR="006C0352">
                            <w:rPr>
                              <w:rFonts w:ascii="Arial" w:hAnsi="Arial"/>
                              <w:color w:val="000000" w:themeColor="text1"/>
                              <w:kern w:val="24"/>
                              <w:sz w:val="18"/>
                              <w:szCs w:val="18"/>
                              <w:vertAlign w:val="superscript"/>
                            </w:rPr>
                            <w:t>a</w:t>
                          </w:r>
                        </w:p>
                      </w:txbxContent>
                    </v:textbox>
                  </v:shape>
                </v:group>
                <v:group id="Group 1907794780" o:spid="_x0000_s1039" style="position:absolute;left:24588;top:15841;width:22785;height:6590" coordorigin="24240,15841" coordsize="25798,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">
                  <v:rect id="Rectangle 62651430" o:spid="_x0000_s1040" style="position:absolute;left:27221;top:15841;width:20201;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" filled="f" strokecolor="#091723 [484]" strokeweight="1.5pt"/>
                  <v:shape id="TextBox 21" o:spid="_x0000_s1041" type="#_x0000_t202" style="position:absolute;left:24240;top:15855;width:25799;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" filled="f" stroked="f">
                    <v:textbox>
                      <w:txbxContent>
                        <w:p w14:paraId="3C38FD5F" w14:textId="77777777" w:rsidR="00771461" w:rsidRDefault="00771461" w:rsidP="00E35BCA">
                          <w:pPr>
                            <w:kinsoku w:val="0"/>
                            <w:overflowPunct w:val="0"/>
                            <w:spacing w:after="0" w:line="240" w:lineRule="auto"/>
                            <w:jc w:val="center"/>
                            <w:textAlignment w:val="baseline"/>
                            <w:rPr>
                              <w:rFonts w:ascii="Arial" w:hAnsi="Arial"/>
                              <w:i/>
                              <w:iCs/>
                              <w:color w:val="000000" w:themeColor="text1"/>
                              <w:kern w:val="24"/>
                              <w:sz w:val="28"/>
                              <w:szCs w:val="28"/>
                            </w:rPr>
                          </w:pPr>
                          <w:r>
                            <w:rPr>
                              <w:rFonts w:ascii="Arial" w:hAnsi="Arial"/>
                              <w:i/>
                              <w:iCs/>
                              <w:color w:val="2F5496" w:themeColor="accent5" w:themeShade="BF"/>
                              <w:kern w:val="24"/>
                              <w:sz w:val="28"/>
                              <w:szCs w:val="28"/>
                            </w:rPr>
                            <w:t xml:space="preserve">Potential </w:t>
                          </w:r>
                          <w:r>
                            <w:rPr>
                              <w:rFonts w:ascii="Arial" w:hAnsi="Arial"/>
                              <w:i/>
                              <w:iCs/>
                              <w:color w:val="000000" w:themeColor="text1"/>
                              <w:kern w:val="24"/>
                              <w:sz w:val="28"/>
                              <w:szCs w:val="28"/>
                            </w:rPr>
                            <w:t>candidate</w:t>
                          </w:r>
                          <w:r w:rsidR="00FC2046">
                            <w:rPr>
                              <w:rFonts w:ascii="Arial" w:hAnsi="Arial"/>
                              <w:i/>
                              <w:iCs/>
                              <w:color w:val="000000" w:themeColor="text1"/>
                              <w:kern w:val="24"/>
                              <w:sz w:val="28"/>
                              <w:szCs w:val="28"/>
                            </w:rPr>
                            <w:t xml:space="preserve"> </w:t>
                          </w:r>
                          <w:r w:rsidR="00FC2046">
                            <w:rPr>
                              <w:rFonts w:ascii="Arial" w:hAnsi="Arial"/>
                              <w:i/>
                              <w:iCs/>
                              <w:color w:val="000000" w:themeColor="text1"/>
                              <w:kern w:val="24"/>
                              <w:sz w:val="28"/>
                              <w:szCs w:val="28"/>
                            </w:rPr>
                            <w:br/>
                          </w:r>
                          <w:r>
                            <w:rPr>
                              <w:rFonts w:ascii="Arial" w:hAnsi="Arial"/>
                              <w:i/>
                              <w:iCs/>
                              <w:color w:val="000000" w:themeColor="text1"/>
                              <w:kern w:val="24"/>
                              <w:sz w:val="28"/>
                              <w:szCs w:val="28"/>
                            </w:rPr>
                            <w:t>for PRRT</w:t>
                          </w:r>
                        </w:p>
                      </w:txbxContent>
                    </v:textbox>
                  </v:shape>
                </v:group>
                <v:roundrect id="Rectangle: Rounded Corners 636640037" o:spid="_x0000_s1042" style="position:absolute;top:23181;width:22733;height:72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" fillcolor="#5b9bd5 [3204]" strokecolor="#1f4d78 [1604]" strokeweight="1pt">
                  <v:stroke joinstyle="miter"/>
                  <v:textbox>
                    <w:txbxContent>
                      <w:p w14:paraId="40B0B351" w14:textId="77777777" w:rsidR="00771461" w:rsidRDefault="00771461" w:rsidP="00E35BCA">
                        <w:pPr>
                          <w:kinsoku w:val="0"/>
                          <w:overflowPunct w:val="0"/>
                          <w:spacing w:after="0" w:line="240" w:lineRule="auto"/>
                          <w:jc w:val="center"/>
                          <w:textAlignment w:val="baseline"/>
                          <w:rPr>
                            <w:color w:val="FFFFFF" w:themeColor="light1"/>
                            <w:kern w:val="24"/>
                            <w:sz w:val="20"/>
                            <w:szCs w:val="20"/>
                          </w:rPr>
                        </w:pPr>
                        <w:r>
                          <w:rPr>
                            <w:color w:val="FFFFFF" w:themeColor="light1"/>
                            <w:kern w:val="24"/>
                            <w:sz w:val="20"/>
                            <w:szCs w:val="20"/>
                          </w:rPr>
                          <w:t>G1 / typical carcinoid</w:t>
                        </w:r>
                      </w:p>
                      <w:p w14:paraId="55DBEF82" w14:textId="77777777" w:rsidR="00771461" w:rsidRDefault="00771461" w:rsidP="00E35BCA">
                        <w:pPr>
                          <w:kinsoku w:val="0"/>
                          <w:overflowPunct w:val="0"/>
                          <w:spacing w:after="0" w:line="240" w:lineRule="auto"/>
                          <w:jc w:val="center"/>
                          <w:textAlignment w:val="baseline"/>
                          <w:rPr>
                            <w:color w:val="FFFFFF" w:themeColor="light1"/>
                            <w:kern w:val="24"/>
                            <w:sz w:val="20"/>
                            <w:szCs w:val="20"/>
                          </w:rPr>
                        </w:pPr>
                        <w:r>
                          <w:rPr>
                            <w:color w:val="FFFFFF" w:themeColor="light1"/>
                            <w:kern w:val="24"/>
                            <w:sz w:val="20"/>
                            <w:szCs w:val="20"/>
                          </w:rPr>
                          <w:t>G2 / atypical carcinoid (Ki67 &lt; 10%)</w:t>
                        </w:r>
                      </w:p>
                      <w:p w14:paraId="71803A32" w14:textId="77777777" w:rsidR="00771461" w:rsidRDefault="00771461" w:rsidP="00E35BCA">
                        <w:pPr>
                          <w:kinsoku w:val="0"/>
                          <w:overflowPunct w:val="0"/>
                          <w:spacing w:after="0" w:line="240" w:lineRule="auto"/>
                          <w:jc w:val="center"/>
                          <w:textAlignment w:val="baseline"/>
                          <w:rPr>
                            <w:color w:val="FFFFFF" w:themeColor="light1"/>
                            <w:kern w:val="24"/>
                            <w:sz w:val="20"/>
                            <w:szCs w:val="20"/>
                          </w:rPr>
                        </w:pPr>
                        <w:r>
                          <w:rPr>
                            <w:color w:val="FFFFFF" w:themeColor="light1"/>
                            <w:kern w:val="24"/>
                            <w:sz w:val="20"/>
                            <w:szCs w:val="20"/>
                          </w:rPr>
                          <w:t xml:space="preserve">Slow progression (&gt; 6 </w:t>
                        </w:r>
                        <w:r>
                          <w:rPr>
                            <w:color w:val="FFFFFF" w:themeColor="light1"/>
                            <w:kern w:val="24"/>
                            <w:sz w:val="20"/>
                            <w:szCs w:val="20"/>
                          </w:rPr>
                          <w:t>mo)</w:t>
                        </w:r>
                      </w:p>
                    </w:txbxContent>
                  </v:textbox>
                </v:roundrect>
                <v:roundrect id="Rectangle: Rounded Corners 1051109961" o:spid="_x0000_s1043" style="position:absolute;left:46590;top:23341;width:23163;height:7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" fillcolor="#5b9bd5 [3204]" strokecolor="#1f4d78 [1604]" strokeweight="1pt">
                  <v:stroke joinstyle="miter"/>
                  <v:textbox>
                    <w:txbxContent>
                      <w:p w14:paraId="1D221D01" w14:textId="77777777" w:rsidR="00771461" w:rsidRDefault="00771461" w:rsidP="00E35BCA">
                        <w:pPr>
                          <w:kinsoku w:val="0"/>
                          <w:overflowPunct w:val="0"/>
                          <w:spacing w:after="0" w:line="240" w:lineRule="auto"/>
                          <w:jc w:val="center"/>
                          <w:textAlignment w:val="baseline"/>
                          <w:rPr>
                            <w:color w:val="FFFFFF" w:themeColor="light1"/>
                            <w:kern w:val="24"/>
                            <w:sz w:val="20"/>
                            <w:szCs w:val="20"/>
                          </w:rPr>
                        </w:pPr>
                        <w:r>
                          <w:rPr>
                            <w:color w:val="FFFFFF" w:themeColor="light1"/>
                            <w:kern w:val="24"/>
                            <w:sz w:val="20"/>
                            <w:szCs w:val="20"/>
                          </w:rPr>
                          <w:t>G2 / atypical carcinoid (Ki67 &gt; 10%)</w:t>
                        </w:r>
                      </w:p>
                      <w:p w14:paraId="40BF72E0" w14:textId="77777777" w:rsidR="00771461" w:rsidRDefault="00771461" w:rsidP="00E35BCA">
                        <w:pPr>
                          <w:kinsoku w:val="0"/>
                          <w:overflowPunct w:val="0"/>
                          <w:spacing w:after="0" w:line="240" w:lineRule="auto"/>
                          <w:jc w:val="center"/>
                          <w:textAlignment w:val="baseline"/>
                          <w:rPr>
                            <w:color w:val="FFFFFF" w:themeColor="light1"/>
                            <w:kern w:val="24"/>
                            <w:sz w:val="20"/>
                            <w:szCs w:val="20"/>
                          </w:rPr>
                        </w:pPr>
                        <w:r>
                          <w:rPr>
                            <w:color w:val="FFFFFF" w:themeColor="light1"/>
                            <w:kern w:val="24"/>
                            <w:sz w:val="20"/>
                            <w:szCs w:val="20"/>
                          </w:rPr>
                          <w:t xml:space="preserve">G3 (Ki67 </w:t>
                        </w:r>
                        <w:r>
                          <w:rPr>
                            <w:color w:val="FFFFFF" w:themeColor="light1"/>
                            <w:kern w:val="24"/>
                            <w:sz w:val="20"/>
                            <w:szCs w:val="20"/>
                            <w:u w:val="single"/>
                          </w:rPr>
                          <w:t>&lt;</w:t>
                        </w:r>
                        <w:r>
                          <w:rPr>
                            <w:color w:val="FFFFFF" w:themeColor="light1"/>
                            <w:kern w:val="24"/>
                            <w:sz w:val="20"/>
                            <w:szCs w:val="20"/>
                          </w:rPr>
                          <w:t xml:space="preserve"> 55%)</w:t>
                        </w:r>
                      </w:p>
                      <w:p w14:paraId="0BA6C81B" w14:textId="77777777" w:rsidR="00771461" w:rsidRDefault="00771461" w:rsidP="00771461">
                        <w:pPr>
                          <w:kinsoku w:val="0"/>
                          <w:overflowPunct w:val="0"/>
                          <w:jc w:val="center"/>
                          <w:textAlignment w:val="baseline"/>
                          <w:rPr>
                            <w:color w:val="FFFFFF" w:themeColor="light1"/>
                            <w:kern w:val="24"/>
                            <w:sz w:val="20"/>
                            <w:szCs w:val="20"/>
                          </w:rPr>
                        </w:pPr>
                        <w:r>
                          <w:rPr>
                            <w:color w:val="FFFFFF" w:themeColor="light1"/>
                            <w:kern w:val="24"/>
                            <w:sz w:val="20"/>
                            <w:szCs w:val="20"/>
                          </w:rPr>
                          <w:t xml:space="preserve">“G1” w. rapid progression (&lt; 6 </w:t>
                        </w:r>
                        <w:r>
                          <w:rPr>
                            <w:color w:val="FFFFFF" w:themeColor="light1"/>
                            <w:kern w:val="24"/>
                            <w:sz w:val="20"/>
                            <w:szCs w:val="20"/>
                          </w:rPr>
                          <w:t>mo)</w:t>
                        </w:r>
                      </w:p>
                    </w:txbxContent>
                  </v:textbox>
                </v:roundrect>
                <v:roundrect id="Rectangle: Rounded Corners 591445392" o:spid="_x0000_s1044" style="position:absolute;left:32416;top:27241;width:8240;height:48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" fillcolor="#5b9bd5 [3204]" strokecolor="#1f4d78 [1604]" strokeweight="1pt">
                  <v:stroke joinstyle="miter"/>
                  <v:textbox>
                    <w:txbxContent>
                      <w:p w14:paraId="762C8A30" w14:textId="77777777" w:rsidR="00771461" w:rsidRDefault="00771461" w:rsidP="00E35BCA">
                        <w:pPr>
                          <w:kinsoku w:val="0"/>
                          <w:overflowPunct w:val="0"/>
                          <w:spacing w:after="0" w:line="240" w:lineRule="auto"/>
                          <w:jc w:val="center"/>
                          <w:textAlignment w:val="baseline"/>
                          <w:rPr>
                            <w:color w:val="FFFFFF" w:themeColor="light1"/>
                            <w:kern w:val="24"/>
                            <w:sz w:val="24"/>
                            <w:szCs w:val="24"/>
                          </w:rPr>
                        </w:pPr>
                        <w:r>
                          <w:rPr>
                            <w:color w:val="FFFFFF" w:themeColor="light1"/>
                            <w:kern w:val="24"/>
                          </w:rPr>
                          <w:t>FDG PET/CT</w:t>
                        </w:r>
                      </w:p>
                    </w:txbxContent>
                  </v:textbox>
                </v:roundrect>
                <v:roundrect id="Rectangle: Rounded Corners 529301399" o:spid="_x0000_s1045" style="position:absolute;left:15797;top:36307;width:22544;height:5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" fillcolor="#5b9bd5 [3204]" strokecolor="#1f4d78 [1604]" strokeweight="1pt">
                  <v:stroke joinstyle="miter"/>
                  <v:textbox>
                    <w:txbxContent>
                      <w:p w14:paraId="41077959" w14:textId="77777777" w:rsidR="00771461" w:rsidRDefault="00771461" w:rsidP="00E35BCA">
                        <w:pPr>
                          <w:kinsoku w:val="0"/>
                          <w:overflowPunct w:val="0"/>
                          <w:spacing w:after="0" w:line="240" w:lineRule="auto"/>
                          <w:jc w:val="center"/>
                          <w:textAlignment w:val="baseline"/>
                          <w:rPr>
                            <w:color w:val="FFFFFF" w:themeColor="light1"/>
                            <w:kern w:val="24"/>
                            <w:sz w:val="24"/>
                            <w:szCs w:val="24"/>
                          </w:rPr>
                        </w:pPr>
                        <w:r>
                          <w:rPr>
                            <w:color w:val="FFFFFF" w:themeColor="light1"/>
                            <w:kern w:val="24"/>
                          </w:rPr>
                          <w:t>Low FDG / SSRI discordance</w:t>
                        </w:r>
                      </w:p>
                      <w:p w14:paraId="56C72878" w14:textId="601B3D79" w:rsidR="00771461" w:rsidRPr="0009509E" w:rsidRDefault="00771461" w:rsidP="00E35BCA">
                        <w:pPr>
                          <w:kinsoku w:val="0"/>
                          <w:overflowPunct w:val="0"/>
                          <w:spacing w:after="0" w:line="240" w:lineRule="auto"/>
                          <w:jc w:val="center"/>
                          <w:textAlignment w:val="baseline"/>
                          <w:rPr>
                            <w:color w:val="FFFFFF" w:themeColor="light1"/>
                            <w:kern w:val="24"/>
                            <w:vertAlign w:val="superscript"/>
                          </w:rPr>
                        </w:pPr>
                        <w:r>
                          <w:rPr>
                            <w:color w:val="FFFFFF" w:themeColor="light1"/>
                            <w:kern w:val="24"/>
                          </w:rPr>
                          <w:t>(</w:t>
                        </w:r>
                        <w:r w:rsidR="00A91A4C">
                          <w:rPr>
                            <w:rFonts w:cs="Calibri"/>
                            <w:color w:val="FFFFFF" w:themeColor="light1"/>
                            <w:kern w:val="24"/>
                          </w:rPr>
                          <w:t>≤</w:t>
                        </w:r>
                        <w:r w:rsidR="00A91A4C">
                          <w:rPr>
                            <w:color w:val="FFFFFF" w:themeColor="light1"/>
                            <w:kern w:val="24"/>
                          </w:rPr>
                          <w:t>3</w:t>
                        </w:r>
                        <w:r w:rsidR="0006405F">
                          <w:t> </w:t>
                        </w:r>
                        <w:r>
                          <w:rPr>
                            <w:color w:val="FFFFFF" w:themeColor="light1"/>
                            <w:kern w:val="24"/>
                          </w:rPr>
                          <w:t>lesions)</w:t>
                        </w:r>
                        <w:r w:rsidR="00CB5CB7">
                          <w:rPr>
                            <w:color w:val="FFFFFF" w:themeColor="light1"/>
                            <w:kern w:val="24"/>
                            <w:vertAlign w:val="superscript"/>
                          </w:rPr>
                          <w:t>b</w:t>
                        </w:r>
                      </w:p>
                    </w:txbxContent>
                  </v:textbox>
                </v:roundrect>
                <v:roundrect id="Rectangle: Rounded Corners 1113486940" o:spid="_x0000_s1046" style="position:absolute;left:49870;top:36054;width:23298;height:55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" fillcolor="#5b9bd5 [3204]" strokecolor="#1f4d78 [1604]" strokeweight="1pt">
                  <v:stroke joinstyle="miter"/>
                  <v:textbox>
                    <w:txbxContent>
                      <w:p w14:paraId="617D1E61" w14:textId="77777777" w:rsidR="00771461" w:rsidRDefault="00771461" w:rsidP="00E35BCA">
                        <w:pPr>
                          <w:kinsoku w:val="0"/>
                          <w:overflowPunct w:val="0"/>
                          <w:spacing w:after="0" w:line="240" w:lineRule="auto"/>
                          <w:jc w:val="center"/>
                          <w:textAlignment w:val="baseline"/>
                          <w:rPr>
                            <w:color w:val="FFFFFF" w:themeColor="light1"/>
                            <w:kern w:val="24"/>
                            <w:sz w:val="24"/>
                            <w:szCs w:val="24"/>
                          </w:rPr>
                        </w:pPr>
                        <w:r>
                          <w:rPr>
                            <w:color w:val="FFFFFF" w:themeColor="light1"/>
                            <w:kern w:val="24"/>
                          </w:rPr>
                          <w:t>High FDG / SSRI discordance</w:t>
                        </w:r>
                      </w:p>
                      <w:p w14:paraId="18035FDC" w14:textId="11A3B804" w:rsidR="00771461" w:rsidRDefault="00771461" w:rsidP="00E35BCA">
                        <w:pPr>
                          <w:kinsoku w:val="0"/>
                          <w:overflowPunct w:val="0"/>
                          <w:spacing w:after="0" w:line="240" w:lineRule="auto"/>
                          <w:jc w:val="center"/>
                          <w:textAlignment w:val="baseline"/>
                          <w:rPr>
                            <w:color w:val="FFFFFF" w:themeColor="light1"/>
                            <w:kern w:val="24"/>
                          </w:rPr>
                        </w:pPr>
                        <w:r>
                          <w:rPr>
                            <w:color w:val="FFFFFF" w:themeColor="light1"/>
                            <w:kern w:val="24"/>
                          </w:rPr>
                          <w:t xml:space="preserve">(&gt; </w:t>
                        </w:r>
                        <w:r w:rsidR="00D2681F">
                          <w:rPr>
                            <w:color w:val="FFFFFF" w:themeColor="light1"/>
                            <w:kern w:val="24"/>
                          </w:rPr>
                          <w:t xml:space="preserve">3 </w:t>
                        </w:r>
                        <w:r>
                          <w:rPr>
                            <w:color w:val="FFFFFF" w:themeColor="light1"/>
                            <w:kern w:val="24"/>
                          </w:rPr>
                          <w:t>lesions)</w:t>
                        </w:r>
                      </w:p>
                    </w:txbxContent>
                  </v:textbox>
                </v:roundrect>
                <v:roundrect id="Rectangle: Rounded Corners 1025399642" o:spid="_x0000_s1047" style="position:absolute;left:7544;top:43797;width:7955;height:53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" fillcolor="#00b050" strokecolor="#1f4d78 [1604]" strokeweight="1pt">
                  <v:stroke joinstyle="miter"/>
                  <v:textbox>
                    <w:txbxContent>
                      <w:p w14:paraId="757086A1" w14:textId="77777777" w:rsidR="00771461" w:rsidRDefault="00771461" w:rsidP="00E35BCA">
                        <w:pPr>
                          <w:kinsoku w:val="0"/>
                          <w:overflowPunct w:val="0"/>
                          <w:spacing w:after="0" w:line="240" w:lineRule="auto"/>
                          <w:jc w:val="center"/>
                          <w:textAlignment w:val="baseline"/>
                          <w:rPr>
                            <w:color w:val="FFFFFF" w:themeColor="light1"/>
                            <w:kern w:val="24"/>
                            <w:sz w:val="32"/>
                            <w:szCs w:val="32"/>
                          </w:rPr>
                        </w:pPr>
                        <w:r>
                          <w:rPr>
                            <w:color w:val="FFFFFF" w:themeColor="light1"/>
                            <w:kern w:val="24"/>
                            <w:sz w:val="32"/>
                            <w:szCs w:val="32"/>
                          </w:rPr>
                          <w:t>PRRT</w:t>
                        </w:r>
                      </w:p>
                    </w:txbxContent>
                  </v:textbox>
                </v:roundrect>
                <v:roundrect id="Rectangle: Rounded Corners 580446707" o:spid="_x0000_s1048" style="position:absolute;left:56035;top:43927;width:10500;height:56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" fillcolor="red" strokecolor="#1f4d78 [1604]" strokeweight="1pt">
                  <v:stroke joinstyle="miter"/>
                  <v:textbox>
                    <w:txbxContent>
                      <w:p w14:paraId="3F907A19" w14:textId="50D72BF9" w:rsidR="00771461" w:rsidRDefault="00771461" w:rsidP="00E35BCA">
                        <w:pPr>
                          <w:kinsoku w:val="0"/>
                          <w:overflowPunct w:val="0"/>
                          <w:spacing w:after="0" w:line="240" w:lineRule="auto"/>
                          <w:jc w:val="center"/>
                          <w:textAlignment w:val="baseline"/>
                          <w:rPr>
                            <w:color w:val="FFFFFF" w:themeColor="light1"/>
                            <w:kern w:val="24"/>
                            <w:sz w:val="28"/>
                            <w:szCs w:val="28"/>
                          </w:rPr>
                        </w:pPr>
                        <w:r>
                          <w:rPr>
                            <w:color w:val="FFFFFF" w:themeColor="light1"/>
                            <w:kern w:val="24"/>
                            <w:sz w:val="28"/>
                            <w:szCs w:val="28"/>
                          </w:rPr>
                          <w:t>Not for PRRT</w:t>
                        </w:r>
                      </w:p>
                    </w:txbxContent>
                  </v:textbox>
                </v:roundrect>
                <v:shapetype id="_x0000_t32" coordsize="21600,21600" o:spt="32" o:oned="t" path="m,l21600,21600e" filled="f">
                  <v:path arrowok="t" fillok="f" o:connecttype="none"/>
                  <o:lock v:ext="edit" shapetype="t"/>
                </v:shapetype>
                <v:shape id="Straight Arrow Connector 1097370791" o:spid="_x0000_s1049" type="#_x0000_t32" style="position:absolute;left:36039;top:6771;width:20;height:3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" strokecolor="black [3213]" strokeweight="1.5pt">
                  <v:stroke endarrow="block" joinstyle="miter"/>
                  <o:lock v:ext="edit" shapetype="f"/>
                </v:shape>
                <v:shape id="Straight Arrow Connector 522780420" o:spid="_x0000_s1050" type="#_x0000_t32" style="position:absolute;left:20245;top:11947;width:11385;height:1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" strokecolor="black [3213]" strokeweight="1.5pt">
                  <v:stroke endarrow="block" joinstyle="miter"/>
                  <o:lock v:ext="edit" shapetype="f"/>
                </v:shape>
                <v:shape id="Straight Arrow Connector 1938818459" o:spid="_x0000_s1051" type="#_x0000_t32" style="position:absolute;left:40424;top:11861;width:6577;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" strokecolor="black [3213]" strokeweight="1.5pt">
                  <v:stroke endarrow="block" joinstyle="miter"/>
                  <o:lock v:ext="edit" shapetype="f"/>
                </v:shape>
                <v:shape id="Straight Arrow Connector 1539822924" o:spid="_x0000_s1052" type="#_x0000_t32" style="position:absolute;left:22731;top:21178;width:7749;height:56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" strokecolor="black [3213]" strokeweight="1.5pt">
                  <v:stroke endarrow="block" joinstyle="miter"/>
                  <o:lock v:ext="edit" shapetype="f"/>
                </v:shape>
                <v:shape id="Straight Arrow Connector 482445950" o:spid="_x0000_s1053" type="#_x0000_t32" style="position:absolute;left:39125;top:21231;width:7445;height:2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" strokecolor="black [3213]" strokeweight="1.5pt">
                  <v:stroke endarrow="block" joinstyle="miter"/>
                  <o:lock v:ext="edit" shapetype="f"/>
                </v:shape>
                <v:shape id="Straight Arrow Connector 1817876560" o:spid="_x0000_s1054" type="#_x0000_t32" style="position:absolute;left:26008;top:32050;width:6310;height:38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" strokecolor="black [3213]" strokeweight="1.5pt">
                  <v:stroke endarrow="block" joinstyle="miter"/>
                  <o:lock v:ext="edit" shapetype="f"/>
                </v:shape>
                <v:shape id="Straight Arrow Connector 1628299996" o:spid="_x0000_s1055" type="#_x0000_t32" style="position:absolute;left:40658;top:31991;width:9383;height:42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" strokecolor="black [3213]" strokeweight="1.5pt">
                  <v:stroke endarrow="block"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794380481" o:spid="_x0000_s1056" type="#_x0000_t34" style="position:absolute;left:40656;top:26863;width:5934;height:27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" strokecolor="black [3213]" strokeweight="1.5pt">
                  <v:stroke endarrow="block"/>
                  <o:lock v:ext="edit" shapetype="f"/>
                </v:shape>
                <v:shape id="Straight Arrow Connector 873327346" o:spid="_x0000_s1057" type="#_x0000_t32" style="position:absolute;left:11365;top:30385;width:18;height:13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" strokecolor="black [3213]" strokeweight="1.5pt">
                  <v:stroke endarrow="block" joinstyle="miter"/>
                  <o:lock v:ext="edit" shapetype="f"/>
                </v:shape>
                <v:shape id="Straight Arrow Connector 2104991248" o:spid="_x0000_s1058" type="#_x0000_t32" style="position:absolute;left:12858;top:41617;width:3332;height:2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" strokecolor="black [3213]" strokeweight="1.5pt">
                  <v:stroke endarrow="block" joinstyle="miter"/>
                  <o:lock v:ext="edit" shapetype="f"/>
                </v:shape>
                <v:shape id="Straight Arrow Connector 530640278" o:spid="_x0000_s1059" type="#_x0000_t32" style="position:absolute;left:61446;top:41655;width:6;height:2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" strokecolor="black [3213]" strokeweight="1.5pt">
                  <v:stroke endarrow="block" joinstyle="miter"/>
                  <o:lock v:ext="edit" shapetype="f"/>
                </v:shape>
                <v:shape id="Straight Arrow Connector 991821785" o:spid="_x0000_s1060" type="#_x0000_t32" style="position:absolute;left:19777;top:14674;width:7593;height:4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" strokecolor="black [3213]" strokeweight="1.5pt">
                  <v:stroke endarrow="block" joinstyle="miter"/>
                  <o:lock v:ext="edit" shapetype="f"/>
                </v:shape>
                <w10:wrap anchorx="margin"/>
              </v:group>
            </w:pict>
          </mc:Fallback>
        </mc:AlternateContent>
      </w:r>
    </w:p>
    <w:p w14:paraId="693FB814" w14:textId="77777777" w:rsidR="00771461" w:rsidRDefault="00771461" w:rsidP="00771461">
      <w:pPr>
        <w:rPr>
          <w:lang w:val="en-GB" w:eastAsia="ja-JP"/>
        </w:rPr>
      </w:pPr>
    </w:p>
    <w:p w14:paraId="02C7A873" w14:textId="0E61D173" w:rsidR="00771461" w:rsidRDefault="00771461" w:rsidP="00771461">
      <w:pPr>
        <w:rPr>
          <w:lang w:val="en-GB" w:eastAsia="ja-JP"/>
        </w:rPr>
      </w:pPr>
    </w:p>
    <w:p w14:paraId="3B2DD06D" w14:textId="1BBDA597" w:rsidR="00771461" w:rsidRDefault="00A57A99" w:rsidP="00771461">
      <w:pPr>
        <w:rPr>
          <w:lang w:val="en-GB" w:eastAsia="ja-JP"/>
        </w:rPr>
      </w:pPr>
      <w:r>
        <w:rPr>
          <w:noProof/>
        </w:rPr>
        <mc:AlternateContent>
          <mc:Choice Requires="wps">
            <w:drawing>
              <wp:anchor distT="0" distB="0" distL="114300" distR="114300" simplePos="0" relativeHeight="251658241" behindDoc="0" locked="0" layoutInCell="1" allowOverlap="1" wp14:anchorId="0B85CAC4" wp14:editId="50D41FE1">
                <wp:simplePos x="0" y="0"/>
                <wp:positionH relativeFrom="column">
                  <wp:posOffset>5536565</wp:posOffset>
                </wp:positionH>
                <wp:positionV relativeFrom="paragraph">
                  <wp:posOffset>181005</wp:posOffset>
                </wp:positionV>
                <wp:extent cx="679450" cy="3468975"/>
                <wp:effectExtent l="0" t="0" r="1054100" b="93980"/>
                <wp:wrapNone/>
                <wp:docPr id="43" name="Connector: Elbow 43" descr="Figure 9 Reduced clinical management algorithm for G1 and G2 carcinoids and G3 pulmonary NECs&#10;Source: Developed by PASC&#10;CT = computed tomography; G1 = grade 1; G2 = grade 2; G3 = grade 3; FDG = Fluorodeoxyglucose;; m-Krenning = modified Krenning score; NEC = neuroendocrine carcinoma; NEN = neuroendocrine neoplasm;  PET = positron emission tomography; PRRT = peptide receptor radionuclide therapy; SSTR = somatostatin receptor&#10;a Patients with demonstrated high concentration of somatostatin receptor expressions (H-SSTR) at all, or the majority of, tumour sites. b No more than3 sites of discordance where the tumour is greater than or equal to 2 cm in size.&#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flipV="1">
                          <a:off x="0" y="0"/>
                          <a:ext cx="679450" cy="3468975"/>
                        </a:xfrm>
                        <a:prstGeom prst="bentConnector3">
                          <a:avLst>
                            <a:gd name="adj1" fmla="val 250935"/>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35F3481" id="Connector: Elbow 43" o:spid="_x0000_s1026" type="#_x0000_t34" alt="Figure 9 Reduced clinical management algorithm for G1 and G2 carcinoids and G3 pulmonary NECs&#10;Source: Developed by PASC&#10;CT = computed tomography; G1 = grade 1; G2 = grade 2; G3 = grade 3; FDG = Fluorodeoxyglucose;; m-Krenning = modified Krenning score; NEC = neuroendocrine carcinoma; NEN = neuroendocrine neoplasm;  PET = positron emission tomography; PRRT = peptide receptor radionuclide therapy; SSTR = somatostatin receptor&#10;a Patients with demonstrated high concentration of somatostatin receptor expressions (H-SSTR) at all, or the majority of, tumour sites. b No more than3 sites of discordance where the tumour is greater than or equal to 2 cm in size.&#10;" style="position:absolute;margin-left:435.95pt;margin-top:14.25pt;width:53.5pt;height:273.15pt;rotation:180;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" adj="54202" strokecolor="black [3213]" strokeweight="1.5pt">
                <v:stroke endarrow="block"/>
                <o:lock v:ext="edit" shapetype="f"/>
              </v:shape>
            </w:pict>
          </mc:Fallback>
        </mc:AlternateContent>
      </w:r>
    </w:p>
    <w:p w14:paraId="68973174" w14:textId="6FBEEC54" w:rsidR="00771461" w:rsidRDefault="00771461" w:rsidP="00771461">
      <w:pPr>
        <w:rPr>
          <w:lang w:val="en-GB" w:eastAsia="ja-JP"/>
        </w:rPr>
      </w:pPr>
    </w:p>
    <w:p w14:paraId="4BF7DD64" w14:textId="2AE3950F" w:rsidR="00771461" w:rsidRDefault="00771461" w:rsidP="00771461">
      <w:pPr>
        <w:rPr>
          <w:lang w:val="en-GB" w:eastAsia="ja-JP"/>
        </w:rPr>
      </w:pPr>
    </w:p>
    <w:p w14:paraId="6B82A0F6" w14:textId="77777777" w:rsidR="00771461" w:rsidRDefault="00771461" w:rsidP="00771461">
      <w:pPr>
        <w:rPr>
          <w:lang w:val="en-GB" w:eastAsia="ja-JP"/>
        </w:rPr>
      </w:pPr>
    </w:p>
    <w:p w14:paraId="0E461C48" w14:textId="7203CA35" w:rsidR="00771461" w:rsidRDefault="00771461" w:rsidP="00771461">
      <w:pPr>
        <w:rPr>
          <w:lang w:val="en-GB" w:eastAsia="ja-JP"/>
        </w:rPr>
      </w:pPr>
    </w:p>
    <w:p w14:paraId="78FB0272" w14:textId="77777777" w:rsidR="00771461" w:rsidRDefault="00771461" w:rsidP="00771461">
      <w:pPr>
        <w:rPr>
          <w:lang w:val="en-GB" w:eastAsia="ja-JP"/>
        </w:rPr>
      </w:pPr>
    </w:p>
    <w:p w14:paraId="7E50013B" w14:textId="7E63FF0C" w:rsidR="00771461" w:rsidRDefault="00771461" w:rsidP="00771461">
      <w:pPr>
        <w:rPr>
          <w:lang w:val="en-GB" w:eastAsia="ja-JP"/>
        </w:rPr>
      </w:pPr>
    </w:p>
    <w:p w14:paraId="741DC82C" w14:textId="77777777" w:rsidR="00771461" w:rsidRDefault="00771461" w:rsidP="00771461">
      <w:pPr>
        <w:rPr>
          <w:lang w:val="en-GB" w:eastAsia="ja-JP"/>
        </w:rPr>
      </w:pPr>
    </w:p>
    <w:p w14:paraId="2A5658C4" w14:textId="7BAB927D" w:rsidR="00771461" w:rsidRDefault="00771461">
      <w:pPr>
        <w:rPr>
          <w:lang w:val="en-GB" w:eastAsia="ja-JP"/>
        </w:rPr>
      </w:pPr>
    </w:p>
    <w:p w14:paraId="77CE4C52" w14:textId="5D68DFC7" w:rsidR="00FC2046" w:rsidRDefault="00FC2046">
      <w:pPr>
        <w:rPr>
          <w:lang w:val="en-GB" w:eastAsia="ja-JP"/>
        </w:rPr>
      </w:pPr>
    </w:p>
    <w:p w14:paraId="64E34984" w14:textId="6A6765EA" w:rsidR="00FC2046" w:rsidRDefault="00FC2046">
      <w:pPr>
        <w:rPr>
          <w:lang w:val="en-GB" w:eastAsia="ja-JP"/>
        </w:rPr>
      </w:pPr>
    </w:p>
    <w:p w14:paraId="6EF16F20" w14:textId="21B2FDCF" w:rsidR="00BE2AB4" w:rsidRDefault="00BE2AB4" w:rsidP="00922B1C">
      <w:pPr>
        <w:jc w:val="center"/>
      </w:pPr>
    </w:p>
    <w:p w14:paraId="46D5EC41" w14:textId="45DBCD1F" w:rsidR="002C152C" w:rsidRPr="004D4938" w:rsidDel="00302581" w:rsidRDefault="002C152C" w:rsidP="00401046">
      <w:pPr>
        <w:pStyle w:val="Caption"/>
        <w:spacing w:after="0"/>
      </w:pPr>
      <w:bookmarkStart w:id="55" w:name="_Ref134204941"/>
      <w:r w:rsidRPr="004C3B98" w:rsidDel="00302581">
        <w:t xml:space="preserve">Figure </w:t>
      </w:r>
      <w:r w:rsidRPr="004C3B98" w:rsidDel="00302581">
        <w:fldChar w:fldCharType="begin"/>
      </w:r>
      <w:r w:rsidRPr="004C3B98" w:rsidDel="00302581">
        <w:instrText xml:space="preserve"> SEQ Figure \* ARABIC </w:instrText>
      </w:r>
      <w:r w:rsidRPr="004C3B98" w:rsidDel="00302581">
        <w:fldChar w:fldCharType="separate"/>
      </w:r>
      <w:r w:rsidR="00401046">
        <w:rPr>
          <w:noProof/>
        </w:rPr>
        <w:t>9</w:t>
      </w:r>
      <w:r w:rsidRPr="004C3B98" w:rsidDel="00302581">
        <w:fldChar w:fldCharType="end"/>
      </w:r>
      <w:bookmarkEnd w:id="55"/>
      <w:r w:rsidRPr="004C3B98" w:rsidDel="00302581">
        <w:tab/>
        <w:t>Reduced clinical management algorithm for G1 and G2 carcinoids and G3 pulmonary NECs</w:t>
      </w:r>
    </w:p>
    <w:p w14:paraId="17D5601E" w14:textId="50F71010" w:rsidR="002C152C" w:rsidRPr="00ED4E95" w:rsidDel="00302581" w:rsidRDefault="002C152C" w:rsidP="002C152C">
      <w:pPr>
        <w:pStyle w:val="Tablenotes"/>
        <w:spacing w:after="0"/>
      </w:pPr>
      <w:r w:rsidRPr="004D4938" w:rsidDel="00302581">
        <w:t xml:space="preserve">Source: </w:t>
      </w:r>
      <w:r w:rsidRPr="004D4938">
        <w:t>Developed by PASC</w:t>
      </w:r>
    </w:p>
    <w:p w14:paraId="19F56A68" w14:textId="67BE2C22" w:rsidR="00230CD9" w:rsidRDefault="002C152C">
      <w:pPr>
        <w:pStyle w:val="Tablenotes"/>
        <w:spacing w:after="0"/>
      </w:pPr>
      <w:r w:rsidRPr="00ED4E95" w:rsidDel="00302581">
        <w:t>CT = computed tomography; G1 = grade 1; G2 = grade 2; G3 = grade 3; FDG = Fluorodeoxyglucose;</w:t>
      </w:r>
      <w:r w:rsidDel="00302581">
        <w:t>;</w:t>
      </w:r>
      <w:r w:rsidRPr="00ED4E95" w:rsidDel="00302581">
        <w:t xml:space="preserve"> </w:t>
      </w:r>
      <w:r w:rsidR="000E69F8">
        <w:t xml:space="preserve">m-Krenning = modified Krenning score; </w:t>
      </w:r>
      <w:r w:rsidRPr="00ED4E95" w:rsidDel="00302581">
        <w:t xml:space="preserve">NEC = neuroendocrine carcinoma; </w:t>
      </w:r>
      <w:r>
        <w:t>NEN = neuroendocrine neoplas</w:t>
      </w:r>
      <w:r w:rsidR="000E69F8">
        <w:t>m</w:t>
      </w:r>
      <w:r>
        <w:t>;</w:t>
      </w:r>
      <w:r w:rsidR="00FC2046">
        <w:t xml:space="preserve"> </w:t>
      </w:r>
      <w:r>
        <w:t xml:space="preserve"> </w:t>
      </w:r>
      <w:r w:rsidDel="00302581">
        <w:t xml:space="preserve">PET = positron emission tomography; </w:t>
      </w:r>
      <w:r w:rsidRPr="00ED4E95" w:rsidDel="00302581">
        <w:t>PRRT = peptide receptor radionuclide therapy</w:t>
      </w:r>
      <w:r w:rsidR="00440C65">
        <w:t xml:space="preserve">; </w:t>
      </w:r>
      <w:r w:rsidRPr="00ED4E95" w:rsidDel="00302581">
        <w:t>SSTR = somatostatin receptor</w:t>
      </w:r>
    </w:p>
    <w:p w14:paraId="09808967" w14:textId="3B9C82CD" w:rsidR="00BF7F70" w:rsidRPr="0009509E" w:rsidRDefault="00CB5CB7">
      <w:pPr>
        <w:pStyle w:val="Tablenotes"/>
        <w:spacing w:after="0"/>
        <w:rPr>
          <w:vertAlign w:val="superscript"/>
        </w:rPr>
      </w:pPr>
      <w:r>
        <w:rPr>
          <w:vertAlign w:val="superscript"/>
        </w:rPr>
        <w:t>a</w:t>
      </w:r>
      <w:r w:rsidR="006C0352">
        <w:rPr>
          <w:vertAlign w:val="superscript"/>
        </w:rPr>
        <w:t xml:space="preserve"> </w:t>
      </w:r>
      <w:r w:rsidR="006C0352" w:rsidRPr="0009509E">
        <w:t>Patients with demonstrated high concentration of somatostatin receptor expressions (H-SSTR) at all, or the majority of, tumour sites</w:t>
      </w:r>
      <w:r w:rsidR="006C0352" w:rsidRPr="006C0352">
        <w:rPr>
          <w:vertAlign w:val="superscript"/>
        </w:rPr>
        <w:t>.</w:t>
      </w:r>
      <w:r>
        <w:rPr>
          <w:vertAlign w:val="superscript"/>
        </w:rPr>
        <w:t xml:space="preserve"> b</w:t>
      </w:r>
      <w:r w:rsidR="00BF7F70">
        <w:rPr>
          <w:vertAlign w:val="superscript"/>
        </w:rPr>
        <w:t xml:space="preserve"> </w:t>
      </w:r>
      <w:r w:rsidR="00BF7F70">
        <w:t>No more than</w:t>
      </w:r>
      <w:r w:rsidR="000F264B">
        <w:t>3</w:t>
      </w:r>
      <w:r w:rsidR="00BF7F70">
        <w:t xml:space="preserve"> sites</w:t>
      </w:r>
      <w:r w:rsidR="00BF7F70" w:rsidRPr="536B0F9D">
        <w:rPr>
          <w:i/>
          <w:iCs/>
        </w:rPr>
        <w:t xml:space="preserve"> </w:t>
      </w:r>
      <w:r w:rsidR="00BF7F70">
        <w:t>of discordance where the tumour is greater than or equal to 2 cm in size.</w:t>
      </w:r>
    </w:p>
    <w:p w14:paraId="6C5DAA17" w14:textId="35A5FFEE" w:rsidR="00FC2046" w:rsidRDefault="00FC2046" w:rsidP="00E35BCA">
      <w:pPr>
        <w:pStyle w:val="Tablenotes"/>
        <w:spacing w:after="0"/>
        <w:sectPr w:rsidR="00FC2046" w:rsidSect="00ED4E95">
          <w:headerReference w:type="default" r:id="rId25"/>
          <w:pgSz w:w="16838" w:h="11906" w:orient="landscape"/>
          <w:pgMar w:top="1191" w:right="682" w:bottom="1134" w:left="1021" w:header="709" w:footer="709" w:gutter="0"/>
          <w:cols w:space="708"/>
          <w:docGrid w:linePitch="360"/>
        </w:sectPr>
      </w:pPr>
    </w:p>
    <w:p w14:paraId="2BDE22B9" w14:textId="1ED499D8" w:rsidR="00D73332" w:rsidRPr="00ED4E95" w:rsidRDefault="00D73332" w:rsidP="00713728">
      <w:pPr>
        <w:pStyle w:val="Heading2"/>
        <w:rPr>
          <w:b/>
          <w:bCs/>
          <w:i/>
        </w:rPr>
      </w:pPr>
      <w:r w:rsidRPr="00ED4E95">
        <w:lastRenderedPageBreak/>
        <w:t>Proposed economic evaluation</w:t>
      </w:r>
    </w:p>
    <w:p w14:paraId="19411A90" w14:textId="481E37A7" w:rsidR="007B25E6" w:rsidRPr="00522533" w:rsidRDefault="007B25E6" w:rsidP="000B6C1B">
      <w:pPr>
        <w:jc w:val="both"/>
        <w:rPr>
          <w:lang w:val="en-GB" w:eastAsia="ja-JP"/>
        </w:rPr>
      </w:pPr>
      <w:r w:rsidRPr="00ED4E95">
        <w:rPr>
          <w:rFonts w:ascii="Arial Narrow" w:eastAsia="Times New Roman" w:hAnsi="Arial Narrow" w:cs="Tahoma"/>
          <w:b/>
          <w:sz w:val="20"/>
          <w:szCs w:val="20"/>
          <w:lang w:val="en-GB" w:eastAsia="ja-JP"/>
        </w:rPr>
        <w:fldChar w:fldCharType="begin"/>
      </w:r>
      <w:r w:rsidRPr="00ED4E95">
        <w:instrText xml:space="preserve"> REF _Ref54260209 \h </w:instrText>
      </w:r>
      <w:r w:rsidR="00ED4E95">
        <w:rPr>
          <w:rFonts w:ascii="Arial Narrow" w:eastAsia="Times New Roman" w:hAnsi="Arial Narrow" w:cs="Tahoma"/>
          <w:b/>
          <w:sz w:val="20"/>
          <w:szCs w:val="20"/>
          <w:lang w:val="en-GB" w:eastAsia="ja-JP"/>
        </w:rPr>
        <w:instrText xml:space="preserve"> \* MERGEFORMAT </w:instrText>
      </w:r>
      <w:r w:rsidRPr="00ED4E95">
        <w:rPr>
          <w:rFonts w:ascii="Arial Narrow" w:eastAsia="Times New Roman" w:hAnsi="Arial Narrow" w:cs="Tahoma"/>
          <w:b/>
          <w:sz w:val="20"/>
          <w:szCs w:val="20"/>
          <w:lang w:val="en-GB" w:eastAsia="ja-JP"/>
        </w:rPr>
      </w:r>
      <w:r w:rsidRPr="00ED4E95">
        <w:rPr>
          <w:rFonts w:ascii="Arial Narrow" w:eastAsia="Times New Roman" w:hAnsi="Arial Narrow" w:cs="Tahoma"/>
          <w:b/>
          <w:sz w:val="20"/>
          <w:szCs w:val="20"/>
          <w:lang w:val="en-GB" w:eastAsia="ja-JP"/>
        </w:rPr>
        <w:fldChar w:fldCharType="separate"/>
      </w:r>
      <w:r w:rsidR="00401046" w:rsidRPr="00ED4E95">
        <w:t>Table </w:t>
      </w:r>
      <w:r w:rsidR="00401046">
        <w:t>8</w:t>
      </w:r>
      <w:r w:rsidRPr="00ED4E95">
        <w:rPr>
          <w:rFonts w:ascii="Arial Narrow" w:eastAsia="Times New Roman" w:hAnsi="Arial Narrow" w:cs="Tahoma"/>
          <w:b/>
          <w:sz w:val="20"/>
          <w:szCs w:val="20"/>
          <w:lang w:val="en-GB" w:eastAsia="ja-JP"/>
        </w:rPr>
        <w:fldChar w:fldCharType="end"/>
      </w:r>
      <w:r w:rsidRPr="00ED4E95">
        <w:t xml:space="preserve"> provides a </w:t>
      </w:r>
      <w:r w:rsidRPr="00922B1C">
        <w:rPr>
          <w:lang w:val="en-GB" w:eastAsia="ja-JP"/>
        </w:rPr>
        <w:t>guide</w:t>
      </w:r>
      <w:r w:rsidRPr="00ED4E95">
        <w:t xml:space="preserve"> for determining which type of economic evaluation is </w:t>
      </w:r>
      <w:r w:rsidRPr="00A4099B">
        <w:t xml:space="preserve">appropriate. </w:t>
      </w:r>
      <w:r w:rsidRPr="00922B1C">
        <w:t>Based on the clinical claim of superior health outcomes for effectiveness, and an inferred clinical claim of noninferior safety, a cost-effectiveness or cost-utility analysis would be appropriate.</w:t>
      </w:r>
      <w:r w:rsidRPr="00A4099B">
        <w:t xml:space="preserve"> </w:t>
      </w:r>
      <w:r w:rsidR="00A4099B" w:rsidRPr="004D4938">
        <w:rPr>
          <w:rFonts w:cs="Calibri"/>
          <w:i/>
          <w:iCs/>
        </w:rPr>
        <w:t>PASC agreed</w:t>
      </w:r>
      <w:r w:rsidR="004D4938" w:rsidRPr="004C3B98">
        <w:rPr>
          <w:rFonts w:cs="Calibri"/>
          <w:i/>
          <w:iCs/>
        </w:rPr>
        <w:t xml:space="preserve"> at the April </w:t>
      </w:r>
      <w:r w:rsidR="000C26AC">
        <w:rPr>
          <w:rFonts w:cs="Calibri"/>
          <w:i/>
          <w:iCs/>
        </w:rPr>
        <w:t xml:space="preserve">2023 </w:t>
      </w:r>
      <w:r w:rsidR="004D4938" w:rsidRPr="004C3B98">
        <w:rPr>
          <w:rFonts w:cs="Calibri"/>
          <w:i/>
          <w:iCs/>
        </w:rPr>
        <w:t>meeting</w:t>
      </w:r>
      <w:r w:rsidR="00A4099B" w:rsidRPr="004D4938">
        <w:rPr>
          <w:rFonts w:cs="Calibri"/>
          <w:i/>
          <w:iCs/>
        </w:rPr>
        <w:t>, on the basis on the claim of superior effectiveness and noninferior safety, that a cost-effectiveness or cost-utility analysis would be appropriate.</w:t>
      </w:r>
    </w:p>
    <w:p w14:paraId="6DAB2DBD" w14:textId="6E7D18C4" w:rsidR="000939E0" w:rsidRPr="00ED4E95" w:rsidRDefault="000939E0" w:rsidP="00C40CC4">
      <w:pPr>
        <w:pStyle w:val="Caption"/>
      </w:pPr>
      <w:bookmarkStart w:id="56" w:name="_Ref54260209"/>
      <w:bookmarkStart w:id="57" w:name="_Toc423450289"/>
      <w:r w:rsidRPr="00ED4E95">
        <w:t>Table</w:t>
      </w:r>
      <w:r w:rsidR="00DE762F" w:rsidRPr="00ED4E95">
        <w:t> </w:t>
      </w:r>
      <w:r w:rsidRPr="00ED4E95">
        <w:fldChar w:fldCharType="begin"/>
      </w:r>
      <w:r w:rsidRPr="00ED4E95">
        <w:instrText xml:space="preserve"> SEQ Table \* ARABIC </w:instrText>
      </w:r>
      <w:r w:rsidRPr="00ED4E95">
        <w:fldChar w:fldCharType="separate"/>
      </w:r>
      <w:r w:rsidR="00401046">
        <w:rPr>
          <w:noProof/>
        </w:rPr>
        <w:t>8</w:t>
      </w:r>
      <w:r w:rsidRPr="00ED4E95">
        <w:fldChar w:fldCharType="end"/>
      </w:r>
      <w:bookmarkEnd w:id="56"/>
      <w:r w:rsidR="001A5D2F" w:rsidRPr="00ED4E95">
        <w:tab/>
        <w:t>Classification of</w:t>
      </w:r>
      <w:r w:rsidRPr="00ED4E95">
        <w:t xml:space="preserve"> comparative effectiveness and safety of the proposed intervention</w:t>
      </w:r>
      <w:r w:rsidR="001A5D2F" w:rsidRPr="00ED4E95">
        <w:t>,</w:t>
      </w:r>
      <w:r w:rsidRPr="00ED4E95">
        <w:t xml:space="preserve"> compared with its main comparator</w:t>
      </w:r>
      <w:r w:rsidR="001A5D2F" w:rsidRPr="00ED4E95">
        <w:t>,</w:t>
      </w:r>
      <w:r w:rsidRPr="00ED4E95">
        <w:t xml:space="preserve"> and guide to the suitable type of economic evaluation</w:t>
      </w:r>
      <w:bookmarkEnd w:id="57"/>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12"/>
        <w:gridCol w:w="1905"/>
        <w:gridCol w:w="2227"/>
        <w:gridCol w:w="1748"/>
        <w:gridCol w:w="1434"/>
      </w:tblGrid>
      <w:tr w:rsidR="00686EED" w:rsidRPr="00ED4E95" w14:paraId="5238F44C" w14:textId="77777777" w:rsidTr="00686EED">
        <w:trPr>
          <w:cantSplit/>
          <w:tblHeader/>
        </w:trPr>
        <w:tc>
          <w:tcPr>
            <w:tcW w:w="2012" w:type="dxa"/>
            <w:vMerge w:val="restart"/>
            <w:tcBorders>
              <w:top w:val="single" w:sz="4" w:space="0" w:color="auto"/>
              <w:left w:val="single" w:sz="4" w:space="0" w:color="auto"/>
              <w:right w:val="single" w:sz="4" w:space="0" w:color="auto"/>
            </w:tcBorders>
          </w:tcPr>
          <w:p w14:paraId="5B06A6EA" w14:textId="730AFFCD" w:rsidR="00686EED" w:rsidRPr="00ED4E95" w:rsidRDefault="00686EED" w:rsidP="00C40CC4">
            <w:pPr>
              <w:pStyle w:val="TableHeading"/>
            </w:pPr>
            <w:bookmarkStart w:id="58" w:name="Title_Table2" w:colFirst="0" w:colLast="0"/>
            <w:r w:rsidRPr="00ED4E95">
              <w:t>Comparative safety</w:t>
            </w:r>
            <w:r w:rsidRPr="00ED4E95">
              <w:rPr>
                <w:color w:val="FFFFFF" w:themeColor="background1"/>
              </w:rPr>
              <w:t>-</w:t>
            </w:r>
          </w:p>
        </w:tc>
        <w:tc>
          <w:tcPr>
            <w:tcW w:w="1905" w:type="dxa"/>
            <w:tcBorders>
              <w:top w:val="single" w:sz="4" w:space="0" w:color="auto"/>
              <w:left w:val="single" w:sz="4" w:space="0" w:color="auto"/>
              <w:bottom w:val="single" w:sz="4" w:space="0" w:color="auto"/>
              <w:right w:val="nil"/>
            </w:tcBorders>
          </w:tcPr>
          <w:p w14:paraId="293E5792" w14:textId="77777777" w:rsidR="00686EED" w:rsidRPr="00ED4E95" w:rsidRDefault="00686EED" w:rsidP="00C40CC4">
            <w:pPr>
              <w:pStyle w:val="TableHeading"/>
              <w:jc w:val="center"/>
            </w:pPr>
          </w:p>
        </w:tc>
        <w:tc>
          <w:tcPr>
            <w:tcW w:w="2227" w:type="dxa"/>
            <w:tcBorders>
              <w:top w:val="single" w:sz="4" w:space="0" w:color="auto"/>
              <w:left w:val="nil"/>
              <w:bottom w:val="single" w:sz="4" w:space="0" w:color="auto"/>
            </w:tcBorders>
          </w:tcPr>
          <w:p w14:paraId="57B2397B" w14:textId="77777777" w:rsidR="00686EED" w:rsidRPr="00ED4E95" w:rsidRDefault="00686EED" w:rsidP="00C40CC4">
            <w:pPr>
              <w:pStyle w:val="TableHeading"/>
              <w:ind w:left="-75" w:right="-127"/>
              <w:jc w:val="center"/>
            </w:pPr>
            <w:r w:rsidRPr="00ED4E95">
              <w:t>Comparative effectiveness</w:t>
            </w:r>
          </w:p>
        </w:tc>
        <w:tc>
          <w:tcPr>
            <w:tcW w:w="1748" w:type="dxa"/>
            <w:tcBorders>
              <w:top w:val="single" w:sz="4" w:space="0" w:color="auto"/>
              <w:left w:val="nil"/>
              <w:bottom w:val="single" w:sz="4" w:space="0" w:color="auto"/>
            </w:tcBorders>
          </w:tcPr>
          <w:p w14:paraId="6B53FB6C" w14:textId="77777777" w:rsidR="00686EED" w:rsidRPr="00ED4E95" w:rsidRDefault="00686EED" w:rsidP="00C40CC4">
            <w:pPr>
              <w:pStyle w:val="TableHeading"/>
              <w:jc w:val="center"/>
            </w:pPr>
          </w:p>
        </w:tc>
        <w:tc>
          <w:tcPr>
            <w:tcW w:w="1434" w:type="dxa"/>
            <w:tcBorders>
              <w:top w:val="single" w:sz="4" w:space="0" w:color="auto"/>
              <w:left w:val="nil"/>
              <w:bottom w:val="single" w:sz="4" w:space="0" w:color="auto"/>
              <w:right w:val="single" w:sz="4" w:space="0" w:color="auto"/>
            </w:tcBorders>
          </w:tcPr>
          <w:p w14:paraId="0FE152FA" w14:textId="77777777" w:rsidR="00686EED" w:rsidRPr="00ED4E95" w:rsidRDefault="00686EED" w:rsidP="00C40CC4">
            <w:pPr>
              <w:pStyle w:val="TableHeading"/>
              <w:jc w:val="center"/>
            </w:pPr>
          </w:p>
        </w:tc>
      </w:tr>
      <w:bookmarkEnd w:id="58"/>
      <w:tr w:rsidR="00686EED" w:rsidRPr="00ED4E95" w14:paraId="78A8F3F1" w14:textId="77777777" w:rsidTr="0590C3BA">
        <w:trPr>
          <w:cantSplit/>
          <w:tblHeader/>
        </w:trPr>
        <w:tc>
          <w:tcPr>
            <w:tcW w:w="2012" w:type="dxa"/>
            <w:vMerge/>
          </w:tcPr>
          <w:p w14:paraId="6E00D947" w14:textId="57BEC7DE" w:rsidR="00686EED" w:rsidRPr="00ED4E95" w:rsidRDefault="00686EED" w:rsidP="00C40CC4">
            <w:pPr>
              <w:pStyle w:val="TableHeading"/>
            </w:pPr>
          </w:p>
        </w:tc>
        <w:tc>
          <w:tcPr>
            <w:tcW w:w="1905" w:type="dxa"/>
            <w:tcBorders>
              <w:left w:val="single" w:sz="4" w:space="0" w:color="auto"/>
              <w:bottom w:val="single" w:sz="4" w:space="0" w:color="auto"/>
              <w:right w:val="single" w:sz="4" w:space="0" w:color="auto"/>
            </w:tcBorders>
          </w:tcPr>
          <w:p w14:paraId="319C788C" w14:textId="77777777" w:rsidR="00686EED" w:rsidRPr="00ED4E95" w:rsidRDefault="00686EED" w:rsidP="00C40CC4">
            <w:pPr>
              <w:pStyle w:val="TableHeading"/>
              <w:jc w:val="center"/>
            </w:pPr>
            <w:r w:rsidRPr="00ED4E95">
              <w:t>Inferior</w:t>
            </w:r>
          </w:p>
        </w:tc>
        <w:tc>
          <w:tcPr>
            <w:tcW w:w="2227" w:type="dxa"/>
            <w:tcBorders>
              <w:top w:val="single" w:sz="4" w:space="0" w:color="auto"/>
              <w:left w:val="single" w:sz="4" w:space="0" w:color="auto"/>
              <w:bottom w:val="single" w:sz="4" w:space="0" w:color="auto"/>
              <w:right w:val="single" w:sz="4" w:space="0" w:color="auto"/>
            </w:tcBorders>
          </w:tcPr>
          <w:p w14:paraId="5AC96128" w14:textId="77777777" w:rsidR="00686EED" w:rsidRPr="00ED4E95" w:rsidRDefault="00686EED" w:rsidP="00C40CC4">
            <w:pPr>
              <w:pStyle w:val="TableHeading"/>
              <w:jc w:val="center"/>
            </w:pPr>
            <w:r w:rsidRPr="00ED4E95">
              <w:t>Uncertain</w:t>
            </w:r>
            <w:r w:rsidRPr="00ED4E95">
              <w:rPr>
                <w:vertAlign w:val="superscript"/>
              </w:rPr>
              <w:t>a</w:t>
            </w:r>
          </w:p>
        </w:tc>
        <w:tc>
          <w:tcPr>
            <w:tcW w:w="1748" w:type="dxa"/>
            <w:tcBorders>
              <w:top w:val="single" w:sz="4" w:space="0" w:color="auto"/>
              <w:left w:val="single" w:sz="4" w:space="0" w:color="auto"/>
              <w:bottom w:val="single" w:sz="4" w:space="0" w:color="auto"/>
              <w:right w:val="single" w:sz="4" w:space="0" w:color="auto"/>
            </w:tcBorders>
          </w:tcPr>
          <w:p w14:paraId="7AA1349D" w14:textId="4BA1ADFE" w:rsidR="00686EED" w:rsidRPr="00ED4E95" w:rsidRDefault="00686EED" w:rsidP="00C40CC4">
            <w:pPr>
              <w:pStyle w:val="TableHeading"/>
              <w:jc w:val="center"/>
            </w:pPr>
            <w:r w:rsidRPr="00ED4E95">
              <w:t>Noninferior</w:t>
            </w:r>
            <w:r w:rsidRPr="00ED4E95">
              <w:rPr>
                <w:vertAlign w:val="superscript"/>
              </w:rPr>
              <w:t>b</w:t>
            </w:r>
          </w:p>
        </w:tc>
        <w:tc>
          <w:tcPr>
            <w:tcW w:w="1434" w:type="dxa"/>
            <w:tcBorders>
              <w:top w:val="single" w:sz="4" w:space="0" w:color="auto"/>
              <w:left w:val="single" w:sz="4" w:space="0" w:color="auto"/>
              <w:bottom w:val="single" w:sz="4" w:space="0" w:color="auto"/>
              <w:right w:val="single" w:sz="4" w:space="0" w:color="auto"/>
            </w:tcBorders>
          </w:tcPr>
          <w:p w14:paraId="156C5942" w14:textId="77777777" w:rsidR="00686EED" w:rsidRPr="00ED4E95" w:rsidRDefault="00686EED" w:rsidP="00C40CC4">
            <w:pPr>
              <w:pStyle w:val="TableHeading"/>
              <w:jc w:val="center"/>
            </w:pPr>
            <w:r w:rsidRPr="00ED4E95">
              <w:t>Superior</w:t>
            </w:r>
          </w:p>
        </w:tc>
      </w:tr>
      <w:tr w:rsidR="000939E0" w:rsidRPr="00ED4E95" w14:paraId="1E111DC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4A362E2" w14:textId="77777777" w:rsidR="000939E0" w:rsidRPr="00ED4E95" w:rsidRDefault="000939E0" w:rsidP="00C40CC4">
            <w:pPr>
              <w:pStyle w:val="Tabletext"/>
              <w:keepNext/>
            </w:pPr>
            <w:r w:rsidRPr="00ED4E95">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0B15352C" w14:textId="77777777" w:rsidR="000939E0" w:rsidRPr="00ED4E95" w:rsidRDefault="000939E0" w:rsidP="00C40CC4">
            <w:pPr>
              <w:pStyle w:val="Tabletext"/>
              <w:keepNext/>
            </w:pPr>
            <w:r w:rsidRPr="00ED4E95">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7A58DE2" w14:textId="77777777" w:rsidR="000939E0" w:rsidRPr="00ED4E95" w:rsidRDefault="000939E0" w:rsidP="00C40CC4">
            <w:pPr>
              <w:pStyle w:val="Tabletext"/>
              <w:keepNext/>
            </w:pPr>
            <w:r w:rsidRPr="00ED4E95">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3540FA15" w14:textId="77777777" w:rsidR="000939E0" w:rsidRPr="00ED4E95" w:rsidRDefault="000939E0" w:rsidP="00C40CC4">
            <w:pPr>
              <w:pStyle w:val="Tabletext"/>
              <w:keepNext/>
            </w:pPr>
            <w:r w:rsidRPr="00ED4E95">
              <w:t>Health forgone: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18C6CF73" w14:textId="77777777" w:rsidR="000939E0" w:rsidRPr="00ED4E95" w:rsidRDefault="000939E0" w:rsidP="00C40CC4">
            <w:pPr>
              <w:pStyle w:val="Tabletext"/>
              <w:keepNext/>
            </w:pPr>
            <w:r w:rsidRPr="00ED4E95">
              <w:t xml:space="preserve">? </w:t>
            </w:r>
            <w:bookmarkStart w:id="59" w:name="_Int_LWbIHx2E"/>
            <w:r w:rsidRPr="00ED4E95">
              <w:t>Likely CUA</w:t>
            </w:r>
            <w:bookmarkEnd w:id="59"/>
          </w:p>
        </w:tc>
      </w:tr>
      <w:tr w:rsidR="000939E0" w:rsidRPr="00ED4E95" w14:paraId="463C275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1AF710C" w14:textId="77777777" w:rsidR="000939E0" w:rsidRPr="00ED4E95" w:rsidRDefault="000939E0" w:rsidP="00C40CC4">
            <w:pPr>
              <w:pStyle w:val="Tabletext"/>
              <w:keepNext/>
            </w:pPr>
            <w:r w:rsidRPr="00ED4E95">
              <w:t>Uncertain</w:t>
            </w:r>
            <w:r w:rsidRPr="00ED4E95">
              <w:rPr>
                <w:vertAlign w:val="superscript"/>
              </w:rPr>
              <w:t>a</w:t>
            </w:r>
          </w:p>
        </w:tc>
        <w:tc>
          <w:tcPr>
            <w:tcW w:w="1905" w:type="dxa"/>
            <w:tcBorders>
              <w:top w:val="single" w:sz="4" w:space="0" w:color="auto"/>
              <w:left w:val="single" w:sz="4" w:space="0" w:color="auto"/>
              <w:bottom w:val="single" w:sz="4" w:space="0" w:color="auto"/>
              <w:right w:val="single" w:sz="4" w:space="0" w:color="auto"/>
            </w:tcBorders>
            <w:vAlign w:val="center"/>
          </w:tcPr>
          <w:p w14:paraId="12909D79" w14:textId="77777777" w:rsidR="000939E0" w:rsidRPr="00ED4E95" w:rsidRDefault="000939E0" w:rsidP="00C40CC4">
            <w:pPr>
              <w:pStyle w:val="Tabletext"/>
              <w:keepNext/>
            </w:pPr>
            <w:r w:rsidRPr="00ED4E95">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50F5E2B4" w14:textId="77777777" w:rsidR="000939E0" w:rsidRPr="00ED4E95" w:rsidRDefault="000939E0" w:rsidP="00C40CC4">
            <w:pPr>
              <w:pStyle w:val="Tabletext"/>
              <w:keepNext/>
            </w:pPr>
            <w:r w:rsidRPr="00ED4E95">
              <w:t>?</w:t>
            </w:r>
          </w:p>
        </w:tc>
        <w:tc>
          <w:tcPr>
            <w:tcW w:w="1748" w:type="dxa"/>
            <w:tcBorders>
              <w:top w:val="single" w:sz="4" w:space="0" w:color="auto"/>
              <w:left w:val="single" w:sz="4" w:space="0" w:color="auto"/>
              <w:bottom w:val="single" w:sz="4" w:space="0" w:color="auto"/>
              <w:right w:val="single" w:sz="4" w:space="0" w:color="auto"/>
            </w:tcBorders>
            <w:vAlign w:val="center"/>
          </w:tcPr>
          <w:p w14:paraId="0406F2A1" w14:textId="77777777" w:rsidR="000939E0" w:rsidRPr="00ED4E95" w:rsidRDefault="000939E0" w:rsidP="00C40CC4">
            <w:pPr>
              <w:pStyle w:val="Tabletext"/>
              <w:keepNext/>
            </w:pPr>
            <w:r w:rsidRPr="00ED4E95">
              <w:t>?</w:t>
            </w:r>
          </w:p>
        </w:tc>
        <w:tc>
          <w:tcPr>
            <w:tcW w:w="1434" w:type="dxa"/>
            <w:tcBorders>
              <w:top w:val="single" w:sz="4" w:space="0" w:color="auto"/>
              <w:left w:val="single" w:sz="4" w:space="0" w:color="auto"/>
              <w:bottom w:val="single" w:sz="4" w:space="0" w:color="auto"/>
              <w:right w:val="single" w:sz="4" w:space="0" w:color="auto"/>
            </w:tcBorders>
            <w:vAlign w:val="center"/>
          </w:tcPr>
          <w:p w14:paraId="1996B8CC" w14:textId="77777777" w:rsidR="000939E0" w:rsidRPr="00ED4E95" w:rsidRDefault="000939E0" w:rsidP="00C40CC4">
            <w:pPr>
              <w:pStyle w:val="Tabletext"/>
              <w:keepNext/>
            </w:pPr>
            <w:r w:rsidRPr="00ED4E95">
              <w:t xml:space="preserve">? </w:t>
            </w:r>
            <w:bookmarkStart w:id="60" w:name="_Int_YLKDIIPz"/>
            <w:r w:rsidRPr="00ED4E95">
              <w:t>Likely CEA/CUA</w:t>
            </w:r>
            <w:bookmarkEnd w:id="60"/>
          </w:p>
        </w:tc>
      </w:tr>
      <w:tr w:rsidR="000939E0" w:rsidRPr="00ED4E95" w14:paraId="47335FF9"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CBD845B" w14:textId="149CC18B" w:rsidR="000939E0" w:rsidRPr="00ED4E95" w:rsidRDefault="000939E0" w:rsidP="00C40CC4">
            <w:pPr>
              <w:pStyle w:val="Tabletext"/>
              <w:keepNext/>
            </w:pPr>
            <w:r w:rsidRPr="00ED4E95">
              <w:t>Noninferior</w:t>
            </w:r>
            <w:r w:rsidRPr="00ED4E95">
              <w:rPr>
                <w:vertAlign w:val="superscript"/>
              </w:rPr>
              <w:t>b</w:t>
            </w:r>
          </w:p>
        </w:tc>
        <w:tc>
          <w:tcPr>
            <w:tcW w:w="1905" w:type="dxa"/>
            <w:tcBorders>
              <w:top w:val="single" w:sz="4" w:space="0" w:color="auto"/>
              <w:left w:val="single" w:sz="4" w:space="0" w:color="auto"/>
              <w:bottom w:val="single" w:sz="4" w:space="0" w:color="auto"/>
              <w:right w:val="single" w:sz="4" w:space="0" w:color="auto"/>
            </w:tcBorders>
            <w:vAlign w:val="center"/>
          </w:tcPr>
          <w:p w14:paraId="5D8B4B6F" w14:textId="77777777" w:rsidR="000939E0" w:rsidRPr="00ED4E95" w:rsidRDefault="000939E0" w:rsidP="00C40CC4">
            <w:pPr>
              <w:pStyle w:val="Tabletext"/>
              <w:keepNext/>
            </w:pPr>
            <w:r w:rsidRPr="00ED4E95">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3D9B9E4" w14:textId="77777777" w:rsidR="000939E0" w:rsidRPr="00ED4E95" w:rsidRDefault="000939E0" w:rsidP="00C40CC4">
            <w:pPr>
              <w:pStyle w:val="Tabletext"/>
              <w:keepNext/>
            </w:pPr>
            <w:r w:rsidRPr="00ED4E95">
              <w:t>?</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12BD2E22" w14:textId="77777777" w:rsidR="000939E0" w:rsidRPr="00ED4E95" w:rsidRDefault="000939E0" w:rsidP="00C40CC4">
            <w:pPr>
              <w:pStyle w:val="Tabletext"/>
              <w:keepNext/>
            </w:pPr>
            <w:r w:rsidRPr="00ED4E95">
              <w:t>CMA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7E9F7AB5" w14:textId="77777777" w:rsidR="000939E0" w:rsidRPr="00ED4E95" w:rsidRDefault="000939E0" w:rsidP="00C40CC4">
            <w:pPr>
              <w:pStyle w:val="Tabletext"/>
              <w:keepNext/>
            </w:pPr>
            <w:r w:rsidRPr="00ED4E95">
              <w:t>CEA/CUA</w:t>
            </w:r>
          </w:p>
        </w:tc>
      </w:tr>
      <w:tr w:rsidR="000939E0" w:rsidRPr="00ED4E95" w14:paraId="41AB5715"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8F5B4CB" w14:textId="77777777" w:rsidR="000939E0" w:rsidRPr="00ED4E95" w:rsidRDefault="000939E0" w:rsidP="00C40CC4">
            <w:pPr>
              <w:pStyle w:val="Tabletext"/>
              <w:keepNext/>
            </w:pPr>
            <w:r w:rsidRPr="00ED4E95">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2525815A" w14:textId="77777777" w:rsidR="000939E0" w:rsidRPr="00ED4E95" w:rsidRDefault="000939E0" w:rsidP="00C40CC4">
            <w:pPr>
              <w:pStyle w:val="Tabletext"/>
              <w:keepNext/>
            </w:pPr>
            <w:r w:rsidRPr="00ED4E95">
              <w:t xml:space="preserve">? </w:t>
            </w:r>
            <w:bookmarkStart w:id="61" w:name="_Int_5PM4Aci9"/>
            <w:r w:rsidRPr="00ED4E95">
              <w:t>Likely CUA</w:t>
            </w:r>
            <w:bookmarkEnd w:id="61"/>
          </w:p>
        </w:tc>
        <w:tc>
          <w:tcPr>
            <w:tcW w:w="2227" w:type="dxa"/>
            <w:tcBorders>
              <w:top w:val="single" w:sz="4" w:space="0" w:color="auto"/>
              <w:left w:val="single" w:sz="4" w:space="0" w:color="auto"/>
              <w:bottom w:val="single" w:sz="4" w:space="0" w:color="auto"/>
              <w:right w:val="single" w:sz="4" w:space="0" w:color="auto"/>
            </w:tcBorders>
            <w:vAlign w:val="center"/>
          </w:tcPr>
          <w:p w14:paraId="2AE0169D" w14:textId="77777777" w:rsidR="000939E0" w:rsidRPr="00ED4E95" w:rsidRDefault="000939E0" w:rsidP="00C40CC4">
            <w:pPr>
              <w:pStyle w:val="Tabletext"/>
              <w:keepNext/>
            </w:pPr>
            <w:r w:rsidRPr="00ED4E95">
              <w:t xml:space="preserve">? </w:t>
            </w:r>
            <w:bookmarkStart w:id="62" w:name="_Int_0vKhBCtH"/>
            <w:r w:rsidRPr="00ED4E95">
              <w:t>Likely CEA/CUA</w:t>
            </w:r>
            <w:bookmarkEnd w:id="62"/>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71D0525C" w14:textId="77777777" w:rsidR="000939E0" w:rsidRPr="00ED4E95" w:rsidRDefault="000939E0" w:rsidP="00C40CC4">
            <w:pPr>
              <w:pStyle w:val="Tabletext"/>
              <w:keepNext/>
            </w:pPr>
            <w:r w:rsidRPr="00ED4E95">
              <w:t>CEA/CUA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5FF47EA5" w14:textId="77777777" w:rsidR="000939E0" w:rsidRPr="00ED4E95" w:rsidRDefault="000939E0" w:rsidP="00C40CC4">
            <w:pPr>
              <w:pStyle w:val="Tabletext"/>
              <w:keepNext/>
            </w:pPr>
            <w:r w:rsidRPr="00ED4E95">
              <w:t>CEA/CUA</w:t>
            </w:r>
          </w:p>
        </w:tc>
      </w:tr>
    </w:tbl>
    <w:p w14:paraId="6538A3FB" w14:textId="77777777" w:rsidR="000939E0" w:rsidRPr="00ED4E95" w:rsidRDefault="000939E0" w:rsidP="00346C19">
      <w:pPr>
        <w:pStyle w:val="Tablenotes"/>
        <w:keepNext/>
        <w:spacing w:before="120" w:after="0"/>
        <w:rPr>
          <w:szCs w:val="18"/>
        </w:rPr>
      </w:pPr>
      <w:r w:rsidRPr="00ED4E95">
        <w:rPr>
          <w:szCs w:val="18"/>
        </w:rPr>
        <w:t>CEA=cost-effectiveness analysis; CMA=cost-minimisation analysis; CUA=cost-utility analysis</w:t>
      </w:r>
    </w:p>
    <w:p w14:paraId="48F7CED7" w14:textId="77777777" w:rsidR="000939E0" w:rsidRPr="00ED4E95" w:rsidRDefault="000939E0" w:rsidP="00346C19">
      <w:pPr>
        <w:pStyle w:val="Tablenotes"/>
        <w:keepNext/>
        <w:spacing w:after="0"/>
        <w:rPr>
          <w:b/>
          <w:szCs w:val="18"/>
        </w:rPr>
      </w:pPr>
      <w:r w:rsidRPr="00ED4E95">
        <w:rPr>
          <w:szCs w:val="18"/>
        </w:rPr>
        <w:t xml:space="preserve">? = reflect uncertainties and any identified health trade-offs in the economic evaluation, as a minimum in a cost-consequences analysis </w:t>
      </w:r>
    </w:p>
    <w:p w14:paraId="65C6F534" w14:textId="77777777" w:rsidR="000939E0" w:rsidRPr="00ED4E95" w:rsidRDefault="000939E0" w:rsidP="00346C19">
      <w:pPr>
        <w:pStyle w:val="Tablenotes"/>
        <w:keepNext/>
        <w:spacing w:after="0"/>
        <w:rPr>
          <w:b/>
          <w:szCs w:val="18"/>
        </w:rPr>
      </w:pPr>
      <w:r w:rsidRPr="00ED4E95">
        <w:rPr>
          <w:szCs w:val="18"/>
          <w:vertAlign w:val="superscript"/>
        </w:rPr>
        <w:t>a</w:t>
      </w:r>
      <w:r w:rsidRPr="00ED4E95">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1CB9C9B3" w14:textId="4E07ADB9" w:rsidR="000939E0" w:rsidRDefault="000939E0" w:rsidP="000939E0">
      <w:pPr>
        <w:pStyle w:val="Tablenotes"/>
        <w:rPr>
          <w:szCs w:val="18"/>
        </w:rPr>
      </w:pPr>
      <w:r w:rsidRPr="00ED4E95">
        <w:rPr>
          <w:szCs w:val="18"/>
          <w:vertAlign w:val="superscript"/>
        </w:rPr>
        <w:t>b</w:t>
      </w:r>
      <w:r w:rsidRPr="00ED4E95">
        <w:rPr>
          <w:szCs w:val="18"/>
        </w:rPr>
        <w:t> An adequate assessment of ‘noninferiority’ is the preferred basis for demonstrating equivalence</w:t>
      </w:r>
    </w:p>
    <w:p w14:paraId="4C90E4ED" w14:textId="77777777" w:rsidR="00783D41" w:rsidRDefault="00783D41" w:rsidP="004C3B98"/>
    <w:p w14:paraId="50CDCF9A" w14:textId="77777777" w:rsidR="00783D41" w:rsidRDefault="00783D41" w:rsidP="004C3B98"/>
    <w:p w14:paraId="02259B2E" w14:textId="77777777" w:rsidR="00783D41" w:rsidRDefault="00783D41" w:rsidP="004C3B98"/>
    <w:p w14:paraId="08A18FFE" w14:textId="77777777" w:rsidR="00783D41" w:rsidRDefault="00783D41" w:rsidP="004C3B98"/>
    <w:p w14:paraId="156A6E04" w14:textId="77777777" w:rsidR="00783D41" w:rsidRDefault="00783D41" w:rsidP="004C3B98"/>
    <w:p w14:paraId="6EDA0F6E" w14:textId="77777777" w:rsidR="00783D41" w:rsidRDefault="00783D41" w:rsidP="004C3B98"/>
    <w:p w14:paraId="110EB5B2" w14:textId="77777777" w:rsidR="00783D41" w:rsidRDefault="00783D41" w:rsidP="004C3B98"/>
    <w:p w14:paraId="6D15361D" w14:textId="77777777" w:rsidR="00783D41" w:rsidRDefault="00783D41" w:rsidP="004C3B98"/>
    <w:p w14:paraId="0BF418F5" w14:textId="77777777" w:rsidR="00783D41" w:rsidRDefault="00783D41" w:rsidP="004C3B98"/>
    <w:p w14:paraId="5025119F" w14:textId="77777777" w:rsidR="00783D41" w:rsidRDefault="00783D41" w:rsidP="004C3B98"/>
    <w:p w14:paraId="1C772D9A" w14:textId="77777777" w:rsidR="00783D41" w:rsidRDefault="00783D41" w:rsidP="004C3B98"/>
    <w:p w14:paraId="34CC755F" w14:textId="2DCFEB00" w:rsidR="004D4938" w:rsidRDefault="004D4938" w:rsidP="004C3B98">
      <w:r>
        <w:lastRenderedPageBreak/>
        <w:fldChar w:fldCharType="begin"/>
      </w:r>
      <w:r>
        <w:instrText xml:space="preserve"> REF _Ref140808259 \h </w:instrText>
      </w:r>
      <w:r>
        <w:fldChar w:fldCharType="separate"/>
      </w:r>
      <w:r w:rsidR="00401046">
        <w:t xml:space="preserve">Table </w:t>
      </w:r>
      <w:r w:rsidR="00401046">
        <w:rPr>
          <w:noProof/>
        </w:rPr>
        <w:t>9</w:t>
      </w:r>
      <w:r>
        <w:fldChar w:fldCharType="end"/>
      </w:r>
      <w:r>
        <w:t xml:space="preserve"> summarises the health resources identified as being relevant in the delivery of the intervention.</w:t>
      </w:r>
    </w:p>
    <w:p w14:paraId="49B9DC80" w14:textId="36CBC3AC" w:rsidR="009A27F3" w:rsidRPr="004C3B98" w:rsidRDefault="004D4938" w:rsidP="003B2D24">
      <w:pPr>
        <w:pStyle w:val="Caption"/>
        <w:rPr>
          <w:rFonts w:eastAsia="Calibri" w:cs="Times New Roman"/>
        </w:rPr>
      </w:pPr>
      <w:bookmarkStart w:id="63" w:name="_Ref140808259"/>
      <w:r>
        <w:t xml:space="preserve">Table </w:t>
      </w:r>
      <w:r>
        <w:fldChar w:fldCharType="begin"/>
      </w:r>
      <w:r>
        <w:instrText xml:space="preserve"> SEQ Table \* ARABIC </w:instrText>
      </w:r>
      <w:r>
        <w:fldChar w:fldCharType="separate"/>
      </w:r>
      <w:r w:rsidR="00401046">
        <w:rPr>
          <w:noProof/>
        </w:rPr>
        <w:t>9</w:t>
      </w:r>
      <w:r>
        <w:fldChar w:fldCharType="end"/>
      </w:r>
      <w:bookmarkEnd w:id="63"/>
      <w:r w:rsidR="009A27F3">
        <w:rPr>
          <w:rFonts w:ascii="Calibri" w:eastAsia="Calibri" w:hAnsi="Calibri" w:cs="Times New Roman"/>
          <w:sz w:val="22"/>
          <w:szCs w:val="22"/>
        </w:rPr>
        <w:t xml:space="preserve"> </w:t>
      </w:r>
      <w:r w:rsidR="009A27F3" w:rsidRPr="004C3B98">
        <w:rPr>
          <w:rFonts w:eastAsia="Calibri" w:cs="Times New Roman"/>
        </w:rPr>
        <w:t xml:space="preserve">Health Resources identified in the delivery of the intervention </w:t>
      </w:r>
    </w:p>
    <w:tbl>
      <w:tblPr>
        <w:tblStyle w:val="TableGrid"/>
        <w:tblW w:w="9634" w:type="dxa"/>
        <w:tblInd w:w="0" w:type="dxa"/>
        <w:tblCellMar>
          <w:left w:w="28" w:type="dxa"/>
          <w:right w:w="28" w:type="dxa"/>
        </w:tblCellMar>
        <w:tblLook w:val="04A0" w:firstRow="1" w:lastRow="0" w:firstColumn="1" w:lastColumn="0" w:noHBand="0" w:noVBand="1"/>
      </w:tblPr>
      <w:tblGrid>
        <w:gridCol w:w="3823"/>
        <w:gridCol w:w="2551"/>
        <w:gridCol w:w="1985"/>
        <w:gridCol w:w="1275"/>
      </w:tblGrid>
      <w:tr w:rsidR="004D4938" w:rsidRPr="009A27F3" w14:paraId="572D0665" w14:textId="77777777" w:rsidTr="004D4938">
        <w:trPr>
          <w:tblHeader/>
        </w:trPr>
        <w:tc>
          <w:tcPr>
            <w:tcW w:w="3823" w:type="dxa"/>
          </w:tcPr>
          <w:p w14:paraId="0285FDCE" w14:textId="15179F1E" w:rsidR="009A27F3" w:rsidRPr="004C3B98" w:rsidRDefault="009A27F3" w:rsidP="00E35BCA">
            <w:pPr>
              <w:keepNext/>
              <w:spacing w:after="0"/>
              <w:rPr>
                <w:rFonts w:ascii="Arial Narrow" w:hAnsi="Arial Narrow"/>
                <w:b/>
                <w:bCs/>
                <w:sz w:val="20"/>
                <w:szCs w:val="20"/>
              </w:rPr>
            </w:pPr>
            <w:r w:rsidRPr="004C3B98">
              <w:rPr>
                <w:rFonts w:ascii="Arial Narrow" w:hAnsi="Arial Narrow"/>
                <w:b/>
                <w:bCs/>
                <w:sz w:val="20"/>
                <w:szCs w:val="20"/>
              </w:rPr>
              <w:t>Medical Service Type</w:t>
            </w:r>
          </w:p>
        </w:tc>
        <w:tc>
          <w:tcPr>
            <w:tcW w:w="2551" w:type="dxa"/>
            <w:vAlign w:val="center"/>
          </w:tcPr>
          <w:p w14:paraId="6966802E" w14:textId="53F5AC39" w:rsidR="009A27F3" w:rsidRPr="004C3B98" w:rsidRDefault="009A27F3" w:rsidP="00E35BCA">
            <w:pPr>
              <w:keepNext/>
              <w:spacing w:after="0"/>
              <w:jc w:val="center"/>
              <w:rPr>
                <w:rFonts w:ascii="Arial Narrow" w:hAnsi="Arial Narrow"/>
                <w:b/>
                <w:bCs/>
                <w:sz w:val="20"/>
                <w:szCs w:val="20"/>
              </w:rPr>
            </w:pPr>
            <w:r w:rsidRPr="004C3B98">
              <w:rPr>
                <w:rFonts w:ascii="Arial Narrow" w:hAnsi="Arial Narrow"/>
                <w:b/>
                <w:bCs/>
                <w:sz w:val="20"/>
                <w:szCs w:val="20"/>
              </w:rPr>
              <w:t>Always required (Yes/No)</w:t>
            </w:r>
          </w:p>
        </w:tc>
        <w:tc>
          <w:tcPr>
            <w:tcW w:w="1985" w:type="dxa"/>
            <w:vAlign w:val="center"/>
          </w:tcPr>
          <w:p w14:paraId="1C505555" w14:textId="6053E764" w:rsidR="009A27F3" w:rsidRPr="004C3B98" w:rsidRDefault="00C76FE8" w:rsidP="00E35BCA">
            <w:pPr>
              <w:keepNext/>
              <w:spacing w:after="0"/>
              <w:jc w:val="center"/>
              <w:rPr>
                <w:rFonts w:ascii="Arial Narrow" w:hAnsi="Arial Narrow"/>
                <w:b/>
                <w:bCs/>
                <w:sz w:val="20"/>
                <w:szCs w:val="20"/>
              </w:rPr>
            </w:pPr>
            <w:r w:rsidRPr="004C3B98">
              <w:rPr>
                <w:rFonts w:ascii="Arial Narrow" w:hAnsi="Arial Narrow"/>
                <w:b/>
                <w:bCs/>
                <w:sz w:val="20"/>
                <w:szCs w:val="20"/>
              </w:rPr>
              <w:t>Frequency</w:t>
            </w:r>
          </w:p>
        </w:tc>
        <w:tc>
          <w:tcPr>
            <w:tcW w:w="1275" w:type="dxa"/>
            <w:vAlign w:val="center"/>
          </w:tcPr>
          <w:p w14:paraId="50E66895" w14:textId="1B619906" w:rsidR="009A27F3" w:rsidRPr="004C3B98" w:rsidRDefault="009A27F3" w:rsidP="00E35BCA">
            <w:pPr>
              <w:keepNext/>
              <w:spacing w:after="0"/>
              <w:jc w:val="center"/>
              <w:rPr>
                <w:rFonts w:ascii="Arial Narrow" w:hAnsi="Arial Narrow"/>
                <w:b/>
                <w:bCs/>
                <w:sz w:val="20"/>
                <w:szCs w:val="20"/>
              </w:rPr>
            </w:pPr>
            <w:r w:rsidRPr="004C3B98">
              <w:rPr>
                <w:rFonts w:ascii="Arial Narrow" w:hAnsi="Arial Narrow"/>
                <w:b/>
                <w:bCs/>
                <w:sz w:val="20"/>
                <w:szCs w:val="20"/>
              </w:rPr>
              <w:t>Cost</w:t>
            </w:r>
          </w:p>
        </w:tc>
      </w:tr>
      <w:tr w:rsidR="004D4938" w:rsidRPr="009A27F3" w14:paraId="61556C00" w14:textId="77777777" w:rsidTr="004C3B98">
        <w:tc>
          <w:tcPr>
            <w:tcW w:w="3823" w:type="dxa"/>
          </w:tcPr>
          <w:p w14:paraId="67E3D66D" w14:textId="7C93A55A" w:rsidR="009A27F3" w:rsidRPr="004C3B98" w:rsidRDefault="009A27F3" w:rsidP="00E35BCA">
            <w:pPr>
              <w:keepNext/>
              <w:spacing w:after="0"/>
              <w:rPr>
                <w:rFonts w:ascii="Arial Narrow" w:hAnsi="Arial Narrow"/>
                <w:sz w:val="20"/>
                <w:szCs w:val="20"/>
              </w:rPr>
            </w:pPr>
            <w:r w:rsidRPr="004C3B98">
              <w:rPr>
                <w:rFonts w:ascii="Arial Narrow" w:hAnsi="Arial Narrow"/>
                <w:sz w:val="20"/>
                <w:szCs w:val="20"/>
                <w:vertAlign w:val="superscript"/>
              </w:rPr>
              <w:t>177</w:t>
            </w:r>
            <w:r>
              <w:rPr>
                <w:rFonts w:ascii="Arial Narrow" w:hAnsi="Arial Narrow"/>
                <w:sz w:val="20"/>
                <w:szCs w:val="20"/>
              </w:rPr>
              <w:t xml:space="preserve">Lutetium Octreotate </w:t>
            </w:r>
          </w:p>
        </w:tc>
        <w:tc>
          <w:tcPr>
            <w:tcW w:w="2551" w:type="dxa"/>
          </w:tcPr>
          <w:p w14:paraId="2AA6093D" w14:textId="379E7931" w:rsidR="009A27F3" w:rsidRPr="004C3B98" w:rsidRDefault="009A27F3" w:rsidP="00E35BCA">
            <w:pPr>
              <w:keepNext/>
              <w:spacing w:after="0"/>
              <w:rPr>
                <w:rFonts w:ascii="Arial Narrow" w:hAnsi="Arial Narrow"/>
                <w:sz w:val="20"/>
                <w:szCs w:val="20"/>
              </w:rPr>
            </w:pPr>
            <w:r>
              <w:rPr>
                <w:rFonts w:ascii="Arial Narrow" w:hAnsi="Arial Narrow"/>
                <w:sz w:val="20"/>
                <w:szCs w:val="20"/>
              </w:rPr>
              <w:t>Yes</w:t>
            </w:r>
          </w:p>
        </w:tc>
        <w:tc>
          <w:tcPr>
            <w:tcW w:w="1985" w:type="dxa"/>
          </w:tcPr>
          <w:p w14:paraId="3996A77A" w14:textId="409598A0" w:rsidR="003E1AE2" w:rsidRDefault="003E1AE2" w:rsidP="00E35BCA">
            <w:pPr>
              <w:keepNext/>
              <w:spacing w:after="0"/>
              <w:rPr>
                <w:rFonts w:ascii="Arial Narrow" w:hAnsi="Arial Narrow"/>
                <w:sz w:val="20"/>
                <w:szCs w:val="20"/>
              </w:rPr>
            </w:pPr>
            <w:r>
              <w:rPr>
                <w:rFonts w:ascii="Arial Narrow" w:hAnsi="Arial Narrow"/>
                <w:sz w:val="20"/>
                <w:szCs w:val="20"/>
              </w:rPr>
              <w:t>7.4 GBq per IV Infusion</w:t>
            </w:r>
          </w:p>
          <w:p w14:paraId="3EBD2361" w14:textId="2CC85D28" w:rsidR="003E1AE2" w:rsidRPr="004C3B98" w:rsidRDefault="003E1AE2" w:rsidP="00E35BCA">
            <w:pPr>
              <w:keepNext/>
              <w:spacing w:after="0"/>
              <w:rPr>
                <w:rFonts w:ascii="Arial Narrow" w:hAnsi="Arial Narrow"/>
                <w:sz w:val="20"/>
                <w:szCs w:val="20"/>
              </w:rPr>
            </w:pPr>
            <w:r>
              <w:rPr>
                <w:rFonts w:ascii="Arial Narrow" w:hAnsi="Arial Narrow"/>
                <w:sz w:val="20"/>
                <w:szCs w:val="20"/>
              </w:rPr>
              <w:t>4 infusions at 6-12 week intervals</w:t>
            </w:r>
          </w:p>
        </w:tc>
        <w:tc>
          <w:tcPr>
            <w:tcW w:w="1275" w:type="dxa"/>
          </w:tcPr>
          <w:p w14:paraId="79031F3F" w14:textId="473B5745" w:rsidR="009A27F3" w:rsidRPr="004C3B98" w:rsidRDefault="009A27F3" w:rsidP="00E35BCA">
            <w:pPr>
              <w:keepNext/>
              <w:spacing w:after="0"/>
              <w:rPr>
                <w:rFonts w:ascii="Arial Narrow" w:hAnsi="Arial Narrow"/>
                <w:sz w:val="20"/>
                <w:szCs w:val="20"/>
              </w:rPr>
            </w:pPr>
            <w:r>
              <w:rPr>
                <w:rFonts w:ascii="Arial Narrow" w:hAnsi="Arial Narrow"/>
                <w:sz w:val="20"/>
                <w:szCs w:val="20"/>
              </w:rPr>
              <w:t>$8,000</w:t>
            </w:r>
            <w:r w:rsidR="00C76FE8">
              <w:rPr>
                <w:rFonts w:ascii="Arial Narrow" w:hAnsi="Arial Narrow"/>
                <w:sz w:val="20"/>
                <w:szCs w:val="20"/>
              </w:rPr>
              <w:t>/cycle</w:t>
            </w:r>
          </w:p>
        </w:tc>
      </w:tr>
      <w:tr w:rsidR="004D4938" w:rsidRPr="009A27F3" w14:paraId="2E02C187" w14:textId="77777777" w:rsidTr="004C3B98">
        <w:tc>
          <w:tcPr>
            <w:tcW w:w="3823" w:type="dxa"/>
          </w:tcPr>
          <w:p w14:paraId="77F6C483" w14:textId="04647775" w:rsidR="009A27F3" w:rsidRDefault="00C76FE8" w:rsidP="00E35BCA">
            <w:pPr>
              <w:keepNext/>
              <w:spacing w:after="0"/>
              <w:rPr>
                <w:rFonts w:ascii="Arial Narrow" w:hAnsi="Arial Narrow"/>
                <w:sz w:val="20"/>
                <w:szCs w:val="20"/>
              </w:rPr>
            </w:pPr>
            <w:r w:rsidRPr="004C3B98">
              <w:rPr>
                <w:rFonts w:ascii="Arial Narrow" w:hAnsi="Arial Narrow"/>
                <w:sz w:val="20"/>
                <w:szCs w:val="20"/>
                <w:vertAlign w:val="superscript"/>
              </w:rPr>
              <w:t>177</w:t>
            </w:r>
            <w:r>
              <w:rPr>
                <w:rFonts w:ascii="Arial Narrow" w:hAnsi="Arial Narrow"/>
                <w:sz w:val="20"/>
                <w:szCs w:val="20"/>
              </w:rPr>
              <w:t>Lutetium Octreotate</w:t>
            </w:r>
          </w:p>
          <w:p w14:paraId="356B551C" w14:textId="02F118DD" w:rsidR="00C76FE8" w:rsidRPr="004C3B98" w:rsidRDefault="00C76FE8" w:rsidP="00E35BCA">
            <w:pPr>
              <w:keepNext/>
              <w:spacing w:after="0"/>
              <w:rPr>
                <w:rFonts w:ascii="Arial Narrow" w:hAnsi="Arial Narrow"/>
                <w:sz w:val="20"/>
                <w:szCs w:val="20"/>
              </w:rPr>
            </w:pPr>
            <w:r>
              <w:rPr>
                <w:rFonts w:ascii="Arial Narrow" w:hAnsi="Arial Narrow"/>
                <w:sz w:val="20"/>
                <w:szCs w:val="20"/>
              </w:rPr>
              <w:t xml:space="preserve">Consolidation </w:t>
            </w:r>
          </w:p>
        </w:tc>
        <w:tc>
          <w:tcPr>
            <w:tcW w:w="2551" w:type="dxa"/>
          </w:tcPr>
          <w:p w14:paraId="71ACDBDA" w14:textId="7FE9A000" w:rsidR="009A27F3" w:rsidRPr="004C3B98" w:rsidRDefault="00C76FE8" w:rsidP="00E35BCA">
            <w:pPr>
              <w:keepNext/>
              <w:spacing w:after="0"/>
              <w:rPr>
                <w:rFonts w:ascii="Arial Narrow" w:hAnsi="Arial Narrow"/>
                <w:sz w:val="20"/>
                <w:szCs w:val="20"/>
              </w:rPr>
            </w:pPr>
            <w:r>
              <w:rPr>
                <w:rFonts w:ascii="Arial Narrow" w:hAnsi="Arial Narrow"/>
                <w:sz w:val="20"/>
                <w:szCs w:val="20"/>
              </w:rPr>
              <w:t>?</w:t>
            </w:r>
          </w:p>
        </w:tc>
        <w:tc>
          <w:tcPr>
            <w:tcW w:w="1985" w:type="dxa"/>
          </w:tcPr>
          <w:p w14:paraId="1B226A73" w14:textId="77777777" w:rsidR="009A27F3" w:rsidRDefault="00C76FE8" w:rsidP="00E35BCA">
            <w:pPr>
              <w:keepNext/>
              <w:spacing w:after="0"/>
              <w:rPr>
                <w:rFonts w:ascii="Arial Narrow" w:hAnsi="Arial Narrow"/>
                <w:sz w:val="20"/>
                <w:szCs w:val="20"/>
              </w:rPr>
            </w:pPr>
            <w:r>
              <w:rPr>
                <w:rFonts w:ascii="Arial Narrow" w:hAnsi="Arial Narrow"/>
                <w:sz w:val="20"/>
                <w:szCs w:val="20"/>
              </w:rPr>
              <w:t xml:space="preserve">The need for this is yet to be justified </w:t>
            </w:r>
          </w:p>
          <w:p w14:paraId="0F7B1B61" w14:textId="68580C4A" w:rsidR="00C76FE8" w:rsidRPr="004C3B98" w:rsidRDefault="00C76FE8" w:rsidP="00E35BCA">
            <w:pPr>
              <w:keepNext/>
              <w:spacing w:after="0"/>
              <w:rPr>
                <w:rFonts w:ascii="Arial Narrow" w:hAnsi="Arial Narrow"/>
                <w:sz w:val="20"/>
                <w:szCs w:val="20"/>
              </w:rPr>
            </w:pPr>
            <w:r>
              <w:rPr>
                <w:rFonts w:ascii="Arial Narrow" w:hAnsi="Arial Narrow"/>
                <w:sz w:val="20"/>
                <w:szCs w:val="20"/>
              </w:rPr>
              <w:t>2 cycles proposed</w:t>
            </w:r>
          </w:p>
        </w:tc>
        <w:tc>
          <w:tcPr>
            <w:tcW w:w="1275" w:type="dxa"/>
          </w:tcPr>
          <w:p w14:paraId="00D62259" w14:textId="6ED0754A" w:rsidR="009A27F3" w:rsidRPr="004C3B98" w:rsidRDefault="00C76FE8" w:rsidP="00E35BCA">
            <w:pPr>
              <w:keepNext/>
              <w:spacing w:after="0"/>
              <w:rPr>
                <w:rFonts w:ascii="Arial Narrow" w:hAnsi="Arial Narrow"/>
                <w:sz w:val="20"/>
                <w:szCs w:val="20"/>
              </w:rPr>
            </w:pPr>
            <w:r>
              <w:rPr>
                <w:rFonts w:ascii="Arial Narrow" w:hAnsi="Arial Narrow"/>
                <w:sz w:val="20"/>
                <w:szCs w:val="20"/>
              </w:rPr>
              <w:t>$8,000/cycle</w:t>
            </w:r>
          </w:p>
        </w:tc>
      </w:tr>
      <w:tr w:rsidR="004D4938" w:rsidRPr="009A27F3" w14:paraId="720E7FCF" w14:textId="77777777" w:rsidTr="004C3B98">
        <w:tc>
          <w:tcPr>
            <w:tcW w:w="3823" w:type="dxa"/>
          </w:tcPr>
          <w:p w14:paraId="6C23C589" w14:textId="4A8FC95C" w:rsidR="009A27F3" w:rsidRPr="004C3B98" w:rsidRDefault="00C76FE8" w:rsidP="00E35BCA">
            <w:pPr>
              <w:keepNext/>
              <w:spacing w:after="0"/>
              <w:rPr>
                <w:rFonts w:ascii="Arial Narrow" w:hAnsi="Arial Narrow"/>
                <w:sz w:val="20"/>
                <w:szCs w:val="20"/>
              </w:rPr>
            </w:pPr>
            <w:r>
              <w:rPr>
                <w:rFonts w:ascii="Arial Narrow" w:hAnsi="Arial Narrow"/>
                <w:sz w:val="20"/>
                <w:szCs w:val="20"/>
              </w:rPr>
              <w:t xml:space="preserve">Whole body </w:t>
            </w:r>
            <w:r w:rsidRPr="004C3B98">
              <w:rPr>
                <w:rFonts w:ascii="Arial Narrow" w:hAnsi="Arial Narrow"/>
                <w:sz w:val="20"/>
                <w:szCs w:val="20"/>
                <w:vertAlign w:val="superscript"/>
              </w:rPr>
              <w:t>68</w:t>
            </w:r>
            <w:r>
              <w:rPr>
                <w:rFonts w:ascii="Arial Narrow" w:hAnsi="Arial Narrow"/>
                <w:sz w:val="20"/>
                <w:szCs w:val="20"/>
              </w:rPr>
              <w:t>Gallium (</w:t>
            </w:r>
            <w:r w:rsidRPr="004C3B98">
              <w:rPr>
                <w:rFonts w:ascii="Arial Narrow" w:hAnsi="Arial Narrow"/>
                <w:sz w:val="20"/>
                <w:szCs w:val="20"/>
                <w:vertAlign w:val="superscript"/>
              </w:rPr>
              <w:t>68</w:t>
            </w:r>
            <w:r>
              <w:rPr>
                <w:rFonts w:ascii="Arial Narrow" w:hAnsi="Arial Narrow"/>
                <w:sz w:val="20"/>
                <w:szCs w:val="20"/>
              </w:rPr>
              <w:t>Ga)-octreotate PET</w:t>
            </w:r>
            <w:r w:rsidR="004D4938">
              <w:rPr>
                <w:rFonts w:ascii="Arial Narrow" w:hAnsi="Arial Narrow"/>
                <w:sz w:val="20"/>
                <w:szCs w:val="20"/>
              </w:rPr>
              <w:t>/CT</w:t>
            </w:r>
          </w:p>
        </w:tc>
        <w:tc>
          <w:tcPr>
            <w:tcW w:w="2551" w:type="dxa"/>
          </w:tcPr>
          <w:p w14:paraId="335E16EA" w14:textId="5D3707EA" w:rsidR="009A27F3" w:rsidRPr="004C3B98" w:rsidRDefault="00C76FE8" w:rsidP="00E35BCA">
            <w:pPr>
              <w:keepNext/>
              <w:spacing w:after="0"/>
              <w:rPr>
                <w:rFonts w:ascii="Arial Narrow" w:hAnsi="Arial Narrow"/>
                <w:sz w:val="20"/>
                <w:szCs w:val="20"/>
              </w:rPr>
            </w:pPr>
            <w:r>
              <w:rPr>
                <w:rFonts w:ascii="Arial Narrow" w:hAnsi="Arial Narrow"/>
                <w:sz w:val="20"/>
                <w:szCs w:val="20"/>
              </w:rPr>
              <w:t>Yes</w:t>
            </w:r>
            <w:r w:rsidR="00BE154A">
              <w:rPr>
                <w:rFonts w:ascii="Arial Narrow" w:hAnsi="Arial Narrow"/>
                <w:sz w:val="20"/>
                <w:szCs w:val="20"/>
              </w:rPr>
              <w:t xml:space="preserve"> (as for MBS Item 61647)</w:t>
            </w:r>
          </w:p>
        </w:tc>
        <w:tc>
          <w:tcPr>
            <w:tcW w:w="1985" w:type="dxa"/>
          </w:tcPr>
          <w:p w14:paraId="3BA1CDB9" w14:textId="0DAE2D9D" w:rsidR="009A27F3" w:rsidRPr="004C3B98" w:rsidRDefault="00C76FE8" w:rsidP="00E35BCA">
            <w:pPr>
              <w:keepNext/>
              <w:spacing w:after="0"/>
              <w:rPr>
                <w:rFonts w:ascii="Arial Narrow" w:hAnsi="Arial Narrow"/>
                <w:sz w:val="20"/>
                <w:szCs w:val="20"/>
              </w:rPr>
            </w:pPr>
            <w:r>
              <w:rPr>
                <w:rFonts w:ascii="Arial Narrow" w:hAnsi="Arial Narrow"/>
                <w:sz w:val="20"/>
                <w:szCs w:val="20"/>
              </w:rPr>
              <w:t>1</w:t>
            </w:r>
          </w:p>
        </w:tc>
        <w:tc>
          <w:tcPr>
            <w:tcW w:w="1275" w:type="dxa"/>
          </w:tcPr>
          <w:p w14:paraId="495E0D52" w14:textId="110D8648" w:rsidR="009A27F3" w:rsidRPr="004C3B98" w:rsidRDefault="00C76FE8" w:rsidP="00E35BCA">
            <w:pPr>
              <w:keepNext/>
              <w:spacing w:after="0"/>
              <w:rPr>
                <w:rFonts w:ascii="Arial Narrow" w:hAnsi="Arial Narrow"/>
                <w:sz w:val="20"/>
                <w:szCs w:val="20"/>
              </w:rPr>
            </w:pPr>
            <w:r>
              <w:rPr>
                <w:rFonts w:ascii="Arial Narrow" w:hAnsi="Arial Narrow"/>
                <w:sz w:val="20"/>
                <w:szCs w:val="20"/>
              </w:rPr>
              <w:t>$953</w:t>
            </w:r>
          </w:p>
        </w:tc>
      </w:tr>
      <w:tr w:rsidR="004D4938" w:rsidRPr="009A27F3" w14:paraId="571A739A" w14:textId="77777777" w:rsidTr="004C3B98">
        <w:tc>
          <w:tcPr>
            <w:tcW w:w="3823" w:type="dxa"/>
          </w:tcPr>
          <w:p w14:paraId="6B31E66F" w14:textId="26E02210" w:rsidR="009A27F3" w:rsidRPr="004C3B98" w:rsidRDefault="004D4938" w:rsidP="00E35BCA">
            <w:pPr>
              <w:keepNext/>
              <w:tabs>
                <w:tab w:val="left" w:pos="285"/>
              </w:tabs>
              <w:spacing w:after="0"/>
              <w:rPr>
                <w:rFonts w:ascii="Arial Narrow" w:hAnsi="Arial Narrow"/>
                <w:sz w:val="20"/>
                <w:szCs w:val="20"/>
              </w:rPr>
            </w:pPr>
            <w:r>
              <w:rPr>
                <w:rFonts w:ascii="Arial Narrow" w:hAnsi="Arial Narrow"/>
                <w:sz w:val="20"/>
                <w:szCs w:val="20"/>
              </w:rPr>
              <w:tab/>
            </w:r>
            <w:r w:rsidR="00C76FE8">
              <w:rPr>
                <w:rFonts w:ascii="Arial Narrow" w:hAnsi="Arial Narrow"/>
                <w:sz w:val="20"/>
                <w:szCs w:val="20"/>
              </w:rPr>
              <w:t xml:space="preserve">CT </w:t>
            </w:r>
          </w:p>
        </w:tc>
        <w:tc>
          <w:tcPr>
            <w:tcW w:w="2551" w:type="dxa"/>
          </w:tcPr>
          <w:p w14:paraId="6040867A" w14:textId="77777777" w:rsidR="00C76FE8" w:rsidRDefault="00C76FE8" w:rsidP="00E35BCA">
            <w:pPr>
              <w:keepNext/>
              <w:spacing w:after="0"/>
              <w:rPr>
                <w:rFonts w:ascii="Arial Narrow" w:hAnsi="Arial Narrow"/>
                <w:sz w:val="20"/>
                <w:szCs w:val="20"/>
              </w:rPr>
            </w:pPr>
            <w:r>
              <w:rPr>
                <w:rFonts w:ascii="Arial Narrow" w:hAnsi="Arial Narrow"/>
                <w:sz w:val="20"/>
                <w:szCs w:val="20"/>
              </w:rPr>
              <w:t xml:space="preserve">Yes </w:t>
            </w:r>
          </w:p>
          <w:p w14:paraId="74622B47" w14:textId="3731379B" w:rsidR="009A27F3" w:rsidRPr="004C3B98" w:rsidRDefault="00C76FE8" w:rsidP="00E35BCA">
            <w:pPr>
              <w:keepNext/>
              <w:spacing w:after="0"/>
              <w:rPr>
                <w:rFonts w:ascii="Arial Narrow" w:hAnsi="Arial Narrow"/>
                <w:sz w:val="20"/>
                <w:szCs w:val="20"/>
              </w:rPr>
            </w:pPr>
            <w:r>
              <w:rPr>
                <w:rFonts w:ascii="Arial Narrow" w:hAnsi="Arial Narrow"/>
                <w:sz w:val="20"/>
                <w:szCs w:val="20"/>
              </w:rPr>
              <w:t xml:space="preserve">MBS Item </w:t>
            </w:r>
            <w:r w:rsidR="00986CBD">
              <w:rPr>
                <w:rFonts w:ascii="Arial Narrow" w:hAnsi="Arial Narrow"/>
                <w:sz w:val="20"/>
                <w:szCs w:val="20"/>
              </w:rPr>
              <w:t>61505</w:t>
            </w:r>
          </w:p>
        </w:tc>
        <w:tc>
          <w:tcPr>
            <w:tcW w:w="1985" w:type="dxa"/>
          </w:tcPr>
          <w:p w14:paraId="752345D7" w14:textId="7080E268" w:rsidR="009A27F3" w:rsidRPr="004C3B98" w:rsidRDefault="00C76FE8" w:rsidP="00E35BCA">
            <w:pPr>
              <w:keepNext/>
              <w:spacing w:after="0"/>
              <w:rPr>
                <w:rFonts w:ascii="Arial Narrow" w:hAnsi="Arial Narrow"/>
                <w:sz w:val="20"/>
                <w:szCs w:val="20"/>
              </w:rPr>
            </w:pPr>
            <w:r>
              <w:rPr>
                <w:rFonts w:ascii="Arial Narrow" w:hAnsi="Arial Narrow"/>
                <w:sz w:val="20"/>
                <w:szCs w:val="20"/>
              </w:rPr>
              <w:t>1</w:t>
            </w:r>
          </w:p>
        </w:tc>
        <w:tc>
          <w:tcPr>
            <w:tcW w:w="1275" w:type="dxa"/>
          </w:tcPr>
          <w:p w14:paraId="653B3D78" w14:textId="72A3A81F" w:rsidR="009A27F3" w:rsidRPr="004C3B98" w:rsidRDefault="00C76FE8" w:rsidP="00E35BCA">
            <w:pPr>
              <w:keepNext/>
              <w:spacing w:after="0"/>
              <w:rPr>
                <w:rFonts w:ascii="Arial Narrow" w:hAnsi="Arial Narrow"/>
                <w:sz w:val="20"/>
                <w:szCs w:val="20"/>
              </w:rPr>
            </w:pPr>
            <w:r>
              <w:rPr>
                <w:rFonts w:ascii="Arial Narrow" w:hAnsi="Arial Narrow"/>
                <w:sz w:val="20"/>
                <w:szCs w:val="20"/>
              </w:rPr>
              <w:t>$</w:t>
            </w:r>
            <w:r w:rsidR="00986CBD">
              <w:rPr>
                <w:rFonts w:ascii="Arial Narrow" w:hAnsi="Arial Narrow"/>
                <w:sz w:val="20"/>
                <w:szCs w:val="20"/>
              </w:rPr>
              <w:t>100.00</w:t>
            </w:r>
          </w:p>
        </w:tc>
      </w:tr>
      <w:tr w:rsidR="004D4938" w:rsidRPr="009A27F3" w14:paraId="602E8BAF" w14:textId="77777777" w:rsidTr="004C3B98">
        <w:tc>
          <w:tcPr>
            <w:tcW w:w="3823" w:type="dxa"/>
          </w:tcPr>
          <w:p w14:paraId="43FEF40C" w14:textId="46F564C4" w:rsidR="009A27F3" w:rsidRPr="004C3B98" w:rsidRDefault="00C76FE8" w:rsidP="00E35BCA">
            <w:pPr>
              <w:keepNext/>
              <w:spacing w:after="0"/>
              <w:rPr>
                <w:rFonts w:ascii="Arial Narrow" w:hAnsi="Arial Narrow"/>
                <w:sz w:val="20"/>
                <w:szCs w:val="20"/>
              </w:rPr>
            </w:pPr>
            <w:r>
              <w:rPr>
                <w:rFonts w:ascii="Arial Narrow" w:hAnsi="Arial Narrow"/>
                <w:sz w:val="20"/>
                <w:szCs w:val="20"/>
              </w:rPr>
              <w:t>FDG PET/CT Imaging</w:t>
            </w:r>
          </w:p>
        </w:tc>
        <w:tc>
          <w:tcPr>
            <w:tcW w:w="2551" w:type="dxa"/>
          </w:tcPr>
          <w:p w14:paraId="2BA32B8D" w14:textId="092C995B" w:rsidR="009A27F3" w:rsidRDefault="004D4938" w:rsidP="00E35BCA">
            <w:pPr>
              <w:keepNext/>
              <w:spacing w:after="0"/>
              <w:rPr>
                <w:rFonts w:ascii="Arial Narrow" w:hAnsi="Arial Narrow"/>
                <w:sz w:val="20"/>
                <w:szCs w:val="20"/>
              </w:rPr>
            </w:pPr>
            <w:r>
              <w:rPr>
                <w:rFonts w:ascii="Arial Narrow" w:hAnsi="Arial Narrow"/>
                <w:sz w:val="20"/>
                <w:szCs w:val="20"/>
              </w:rPr>
              <w:t xml:space="preserve">No </w:t>
            </w:r>
          </w:p>
          <w:p w14:paraId="26E54C00" w14:textId="6EB9A3D4" w:rsidR="00C76FE8" w:rsidRPr="004C3B98" w:rsidRDefault="00C76FE8" w:rsidP="00E35BCA">
            <w:pPr>
              <w:keepNext/>
              <w:spacing w:after="0"/>
              <w:rPr>
                <w:rFonts w:ascii="Arial Narrow" w:hAnsi="Arial Narrow"/>
                <w:sz w:val="20"/>
                <w:szCs w:val="20"/>
              </w:rPr>
            </w:pPr>
            <w:r>
              <w:rPr>
                <w:rFonts w:ascii="Arial Narrow" w:hAnsi="Arial Narrow"/>
                <w:sz w:val="20"/>
                <w:szCs w:val="20"/>
              </w:rPr>
              <w:t>MBS 61612 (r</w:t>
            </w:r>
            <w:r w:rsidR="00BE154A">
              <w:rPr>
                <w:rFonts w:ascii="Arial Narrow" w:hAnsi="Arial Narrow"/>
                <w:sz w:val="20"/>
                <w:szCs w:val="20"/>
              </w:rPr>
              <w:t>ar</w:t>
            </w:r>
            <w:r>
              <w:rPr>
                <w:rFonts w:ascii="Arial Narrow" w:hAnsi="Arial Narrow"/>
                <w:sz w:val="20"/>
                <w:szCs w:val="20"/>
              </w:rPr>
              <w:t>e or uncommon cancers)</w:t>
            </w:r>
          </w:p>
        </w:tc>
        <w:tc>
          <w:tcPr>
            <w:tcW w:w="1985" w:type="dxa"/>
          </w:tcPr>
          <w:p w14:paraId="45A15518" w14:textId="678553ED" w:rsidR="009A27F3" w:rsidRPr="004C3B98" w:rsidRDefault="00C76FE8" w:rsidP="00E35BCA">
            <w:pPr>
              <w:keepNext/>
              <w:spacing w:after="0"/>
              <w:rPr>
                <w:rFonts w:ascii="Arial Narrow" w:hAnsi="Arial Narrow"/>
                <w:sz w:val="20"/>
                <w:szCs w:val="20"/>
              </w:rPr>
            </w:pPr>
            <w:r>
              <w:rPr>
                <w:rFonts w:ascii="Arial Narrow" w:hAnsi="Arial Narrow"/>
                <w:sz w:val="20"/>
                <w:szCs w:val="20"/>
              </w:rPr>
              <w:t>1</w:t>
            </w:r>
          </w:p>
        </w:tc>
        <w:tc>
          <w:tcPr>
            <w:tcW w:w="1275" w:type="dxa"/>
          </w:tcPr>
          <w:p w14:paraId="594A634B" w14:textId="16070FB3" w:rsidR="009A27F3" w:rsidRPr="004C3B98" w:rsidRDefault="00BE154A" w:rsidP="00E35BCA">
            <w:pPr>
              <w:keepNext/>
              <w:spacing w:after="0"/>
              <w:rPr>
                <w:rFonts w:ascii="Arial Narrow" w:hAnsi="Arial Narrow"/>
                <w:sz w:val="20"/>
                <w:szCs w:val="20"/>
              </w:rPr>
            </w:pPr>
            <w:r>
              <w:rPr>
                <w:rFonts w:ascii="Arial Narrow" w:hAnsi="Arial Narrow"/>
                <w:sz w:val="20"/>
                <w:szCs w:val="20"/>
              </w:rPr>
              <w:t>953.00</w:t>
            </w:r>
          </w:p>
        </w:tc>
      </w:tr>
      <w:tr w:rsidR="004D4938" w:rsidRPr="009A27F3" w14:paraId="5536154D" w14:textId="77777777" w:rsidTr="004C3B98">
        <w:tc>
          <w:tcPr>
            <w:tcW w:w="3823" w:type="dxa"/>
          </w:tcPr>
          <w:p w14:paraId="136379FA" w14:textId="66BFB977" w:rsidR="004D4938" w:rsidRDefault="004D4938" w:rsidP="00E35BCA">
            <w:pPr>
              <w:keepNext/>
              <w:tabs>
                <w:tab w:val="left" w:pos="254"/>
              </w:tabs>
              <w:spacing w:after="0"/>
              <w:rPr>
                <w:rFonts w:ascii="Arial Narrow" w:hAnsi="Arial Narrow"/>
                <w:sz w:val="20"/>
                <w:szCs w:val="20"/>
              </w:rPr>
            </w:pPr>
            <w:r>
              <w:rPr>
                <w:rFonts w:ascii="Arial Narrow" w:hAnsi="Arial Narrow"/>
                <w:sz w:val="20"/>
                <w:szCs w:val="20"/>
              </w:rPr>
              <w:tab/>
              <w:t xml:space="preserve">CT </w:t>
            </w:r>
          </w:p>
        </w:tc>
        <w:tc>
          <w:tcPr>
            <w:tcW w:w="2551" w:type="dxa"/>
          </w:tcPr>
          <w:p w14:paraId="643B00EA" w14:textId="324C983C" w:rsidR="004D4938" w:rsidRDefault="004D4938" w:rsidP="00E35BCA">
            <w:pPr>
              <w:keepNext/>
              <w:spacing w:after="0"/>
              <w:rPr>
                <w:rFonts w:ascii="Arial Narrow" w:hAnsi="Arial Narrow"/>
                <w:sz w:val="20"/>
                <w:szCs w:val="20"/>
              </w:rPr>
            </w:pPr>
            <w:r>
              <w:rPr>
                <w:rFonts w:ascii="Arial Narrow" w:hAnsi="Arial Narrow"/>
                <w:sz w:val="20"/>
                <w:szCs w:val="20"/>
              </w:rPr>
              <w:t xml:space="preserve">No  </w:t>
            </w:r>
          </w:p>
          <w:p w14:paraId="6A4B3001" w14:textId="469F066C" w:rsidR="004D4938" w:rsidRDefault="004D4938" w:rsidP="00E35BCA">
            <w:pPr>
              <w:keepNext/>
              <w:spacing w:after="0"/>
              <w:rPr>
                <w:rFonts w:ascii="Arial Narrow" w:hAnsi="Arial Narrow"/>
                <w:sz w:val="20"/>
                <w:szCs w:val="20"/>
              </w:rPr>
            </w:pPr>
            <w:r>
              <w:rPr>
                <w:rFonts w:ascii="Arial Narrow" w:hAnsi="Arial Narrow"/>
                <w:sz w:val="20"/>
                <w:szCs w:val="20"/>
              </w:rPr>
              <w:t>MBS Item 61505</w:t>
            </w:r>
          </w:p>
        </w:tc>
        <w:tc>
          <w:tcPr>
            <w:tcW w:w="1985" w:type="dxa"/>
          </w:tcPr>
          <w:p w14:paraId="617D7B71" w14:textId="5DC628E9" w:rsidR="004D4938" w:rsidRDefault="004D4938" w:rsidP="00E35BCA">
            <w:pPr>
              <w:keepNext/>
              <w:spacing w:after="0"/>
              <w:rPr>
                <w:rFonts w:ascii="Arial Narrow" w:hAnsi="Arial Narrow"/>
                <w:sz w:val="20"/>
                <w:szCs w:val="20"/>
              </w:rPr>
            </w:pPr>
            <w:r>
              <w:rPr>
                <w:rFonts w:ascii="Arial Narrow" w:hAnsi="Arial Narrow"/>
                <w:sz w:val="20"/>
                <w:szCs w:val="20"/>
              </w:rPr>
              <w:t>1</w:t>
            </w:r>
          </w:p>
        </w:tc>
        <w:tc>
          <w:tcPr>
            <w:tcW w:w="1275" w:type="dxa"/>
          </w:tcPr>
          <w:p w14:paraId="25F5792A" w14:textId="161C5E05" w:rsidR="004D4938" w:rsidRDefault="004D4938" w:rsidP="00E35BCA">
            <w:pPr>
              <w:keepNext/>
              <w:spacing w:after="0"/>
              <w:rPr>
                <w:rFonts w:ascii="Arial Narrow" w:hAnsi="Arial Narrow"/>
                <w:sz w:val="20"/>
                <w:szCs w:val="20"/>
              </w:rPr>
            </w:pPr>
            <w:r>
              <w:rPr>
                <w:rFonts w:ascii="Arial Narrow" w:hAnsi="Arial Narrow"/>
                <w:sz w:val="20"/>
                <w:szCs w:val="20"/>
              </w:rPr>
              <w:t>$100.00</w:t>
            </w:r>
          </w:p>
        </w:tc>
      </w:tr>
      <w:tr w:rsidR="004D4938" w:rsidRPr="009A27F3" w14:paraId="2B74BB5A" w14:textId="77777777" w:rsidTr="004C3B98">
        <w:tc>
          <w:tcPr>
            <w:tcW w:w="3823" w:type="dxa"/>
          </w:tcPr>
          <w:p w14:paraId="69549830" w14:textId="5398BD6F" w:rsidR="004D4938" w:rsidRPr="004C3B98" w:rsidRDefault="004D4938" w:rsidP="00E35BCA">
            <w:pPr>
              <w:keepNext/>
              <w:spacing w:after="0"/>
              <w:rPr>
                <w:rFonts w:ascii="Arial Narrow" w:hAnsi="Arial Narrow"/>
                <w:sz w:val="20"/>
                <w:szCs w:val="20"/>
              </w:rPr>
            </w:pPr>
            <w:r>
              <w:rPr>
                <w:rFonts w:ascii="Arial Narrow" w:hAnsi="Arial Narrow"/>
                <w:sz w:val="20"/>
                <w:szCs w:val="20"/>
              </w:rPr>
              <w:t xml:space="preserve">Theranostic Specialist </w:t>
            </w:r>
          </w:p>
        </w:tc>
        <w:tc>
          <w:tcPr>
            <w:tcW w:w="2551" w:type="dxa"/>
          </w:tcPr>
          <w:p w14:paraId="6D5F5FF9" w14:textId="160753CC" w:rsidR="004D4938" w:rsidRPr="004C3B98" w:rsidRDefault="004D4938" w:rsidP="00E35BCA">
            <w:pPr>
              <w:keepNext/>
              <w:spacing w:after="0"/>
              <w:rPr>
                <w:rFonts w:ascii="Arial Narrow" w:hAnsi="Arial Narrow"/>
                <w:sz w:val="20"/>
                <w:szCs w:val="20"/>
              </w:rPr>
            </w:pPr>
            <w:r>
              <w:rPr>
                <w:rFonts w:ascii="Arial Narrow" w:hAnsi="Arial Narrow"/>
                <w:sz w:val="20"/>
                <w:szCs w:val="20"/>
              </w:rPr>
              <w:t>Yes, consultation pre-treatment costs (MBS 110)</w:t>
            </w:r>
          </w:p>
        </w:tc>
        <w:tc>
          <w:tcPr>
            <w:tcW w:w="1985" w:type="dxa"/>
          </w:tcPr>
          <w:p w14:paraId="7EF1BAEE" w14:textId="1D1CC1AB" w:rsidR="004D4938" w:rsidRPr="004C3B98" w:rsidRDefault="004D4938" w:rsidP="00E35BCA">
            <w:pPr>
              <w:keepNext/>
              <w:spacing w:after="0"/>
              <w:rPr>
                <w:rFonts w:ascii="Arial Narrow" w:hAnsi="Arial Narrow"/>
                <w:sz w:val="20"/>
                <w:szCs w:val="20"/>
              </w:rPr>
            </w:pPr>
            <w:r>
              <w:rPr>
                <w:rFonts w:ascii="Arial Narrow" w:hAnsi="Arial Narrow"/>
                <w:sz w:val="20"/>
                <w:szCs w:val="20"/>
              </w:rPr>
              <w:t>1</w:t>
            </w:r>
          </w:p>
        </w:tc>
        <w:tc>
          <w:tcPr>
            <w:tcW w:w="1275" w:type="dxa"/>
          </w:tcPr>
          <w:p w14:paraId="1A9D36D2" w14:textId="23BB3FD2" w:rsidR="004D4938" w:rsidRPr="004C3B98" w:rsidRDefault="004D4938" w:rsidP="00E35BCA">
            <w:pPr>
              <w:keepNext/>
              <w:spacing w:after="0"/>
              <w:rPr>
                <w:rFonts w:ascii="Arial Narrow" w:hAnsi="Arial Narrow"/>
                <w:sz w:val="20"/>
                <w:szCs w:val="20"/>
              </w:rPr>
            </w:pPr>
            <w:r>
              <w:rPr>
                <w:rFonts w:ascii="Arial Narrow" w:hAnsi="Arial Narrow"/>
                <w:sz w:val="20"/>
                <w:szCs w:val="20"/>
              </w:rPr>
              <w:t>$</w:t>
            </w:r>
            <w:r w:rsidRPr="72B46FC9">
              <w:rPr>
                <w:rFonts w:ascii="Arial Narrow" w:hAnsi="Arial Narrow"/>
                <w:sz w:val="20"/>
                <w:szCs w:val="20"/>
              </w:rPr>
              <w:t>167.</w:t>
            </w:r>
            <w:r w:rsidRPr="414B1CD8">
              <w:rPr>
                <w:rFonts w:ascii="Arial Narrow" w:hAnsi="Arial Narrow"/>
                <w:sz w:val="20"/>
                <w:szCs w:val="20"/>
              </w:rPr>
              <w:t>75</w:t>
            </w:r>
          </w:p>
        </w:tc>
      </w:tr>
      <w:tr w:rsidR="004D4938" w:rsidRPr="00E83223" w14:paraId="2F1C60B1" w14:textId="77777777" w:rsidTr="004C3B98">
        <w:tc>
          <w:tcPr>
            <w:tcW w:w="3823" w:type="dxa"/>
          </w:tcPr>
          <w:p w14:paraId="74D48450" w14:textId="225ED03D" w:rsidR="004D4938" w:rsidRDefault="004D4938" w:rsidP="00E35BCA">
            <w:pPr>
              <w:keepNext/>
              <w:spacing w:after="0"/>
              <w:rPr>
                <w:rFonts w:ascii="Arial Narrow" w:hAnsi="Arial Narrow"/>
                <w:sz w:val="20"/>
                <w:szCs w:val="20"/>
              </w:rPr>
            </w:pPr>
            <w:r>
              <w:rPr>
                <w:rFonts w:ascii="Arial Narrow" w:hAnsi="Arial Narrow"/>
                <w:sz w:val="20"/>
                <w:szCs w:val="20"/>
              </w:rPr>
              <w:t xml:space="preserve">Specialist attendance theranostic centre for </w:t>
            </w:r>
            <w:r w:rsidRPr="003E6829">
              <w:rPr>
                <w:rFonts w:ascii="Arial Narrow" w:hAnsi="Arial Narrow"/>
                <w:sz w:val="20"/>
                <w:szCs w:val="20"/>
                <w:vertAlign w:val="superscript"/>
              </w:rPr>
              <w:t>177</w:t>
            </w:r>
            <w:r>
              <w:rPr>
                <w:rFonts w:ascii="Arial Narrow" w:hAnsi="Arial Narrow"/>
                <w:sz w:val="20"/>
                <w:szCs w:val="20"/>
              </w:rPr>
              <w:t>Lutetium Octreotate infusion</w:t>
            </w:r>
          </w:p>
        </w:tc>
        <w:tc>
          <w:tcPr>
            <w:tcW w:w="2551" w:type="dxa"/>
          </w:tcPr>
          <w:p w14:paraId="691DA4A7" w14:textId="77777777" w:rsidR="004D4938" w:rsidRDefault="004D4938" w:rsidP="00E35BCA">
            <w:pPr>
              <w:keepNext/>
              <w:spacing w:after="0"/>
              <w:rPr>
                <w:rFonts w:ascii="Arial Narrow" w:hAnsi="Arial Narrow"/>
                <w:sz w:val="20"/>
                <w:szCs w:val="20"/>
              </w:rPr>
            </w:pPr>
            <w:r>
              <w:rPr>
                <w:rFonts w:ascii="Arial Narrow" w:hAnsi="Arial Narrow"/>
                <w:sz w:val="20"/>
                <w:szCs w:val="20"/>
              </w:rPr>
              <w:t>Yes</w:t>
            </w:r>
          </w:p>
          <w:p w14:paraId="17E4DFE2" w14:textId="0D3011E5" w:rsidR="004D4938" w:rsidRDefault="004D4938" w:rsidP="00E35BCA">
            <w:pPr>
              <w:keepNext/>
              <w:spacing w:after="0"/>
              <w:rPr>
                <w:rFonts w:ascii="Arial Narrow" w:hAnsi="Arial Narrow"/>
                <w:sz w:val="20"/>
                <w:szCs w:val="20"/>
              </w:rPr>
            </w:pPr>
            <w:r>
              <w:rPr>
                <w:rFonts w:ascii="Arial Narrow" w:hAnsi="Arial Narrow"/>
                <w:sz w:val="20"/>
                <w:szCs w:val="20"/>
              </w:rPr>
              <w:t>MBS Item 13950 (requires alteration)</w:t>
            </w:r>
          </w:p>
        </w:tc>
        <w:tc>
          <w:tcPr>
            <w:tcW w:w="1985" w:type="dxa"/>
          </w:tcPr>
          <w:p w14:paraId="426DAD74" w14:textId="2A38F7B9" w:rsidR="004D4938" w:rsidRPr="00E83223" w:rsidRDefault="004D4938" w:rsidP="00E35BCA">
            <w:pPr>
              <w:keepNext/>
              <w:spacing w:after="0"/>
              <w:rPr>
                <w:rFonts w:ascii="Arial Narrow" w:hAnsi="Arial Narrow"/>
                <w:sz w:val="20"/>
                <w:szCs w:val="20"/>
              </w:rPr>
            </w:pPr>
            <w:r>
              <w:rPr>
                <w:rFonts w:ascii="Arial Narrow" w:hAnsi="Arial Narrow"/>
                <w:sz w:val="20"/>
                <w:szCs w:val="20"/>
              </w:rPr>
              <w:t>1 per cycle</w:t>
            </w:r>
          </w:p>
        </w:tc>
        <w:tc>
          <w:tcPr>
            <w:tcW w:w="1275" w:type="dxa"/>
          </w:tcPr>
          <w:p w14:paraId="04A41881" w14:textId="086FF7C5" w:rsidR="004D4938" w:rsidRPr="00E83223" w:rsidRDefault="004D4938" w:rsidP="00E35BCA">
            <w:pPr>
              <w:keepNext/>
              <w:spacing w:after="0"/>
              <w:rPr>
                <w:rFonts w:ascii="Arial Narrow" w:hAnsi="Arial Narrow"/>
                <w:sz w:val="20"/>
                <w:szCs w:val="20"/>
              </w:rPr>
            </w:pPr>
            <w:r>
              <w:rPr>
                <w:rFonts w:ascii="Arial Narrow" w:hAnsi="Arial Narrow"/>
                <w:sz w:val="20"/>
                <w:szCs w:val="20"/>
              </w:rPr>
              <w:t>$</w:t>
            </w:r>
            <w:r w:rsidRPr="2063BBFF">
              <w:rPr>
                <w:rFonts w:ascii="Arial Narrow" w:hAnsi="Arial Narrow"/>
                <w:sz w:val="20"/>
                <w:szCs w:val="20"/>
              </w:rPr>
              <w:t>118.30</w:t>
            </w:r>
          </w:p>
        </w:tc>
      </w:tr>
      <w:tr w:rsidR="004D4938" w:rsidRPr="00E83223" w14:paraId="3380D55F" w14:textId="77777777" w:rsidTr="004C3B98">
        <w:tc>
          <w:tcPr>
            <w:tcW w:w="3823" w:type="dxa"/>
          </w:tcPr>
          <w:p w14:paraId="748B0EC9" w14:textId="43DAF765" w:rsidR="004D4938" w:rsidRDefault="004D4938" w:rsidP="00E35BCA">
            <w:pPr>
              <w:keepNext/>
              <w:spacing w:after="0"/>
              <w:rPr>
                <w:rFonts w:ascii="Arial Narrow" w:hAnsi="Arial Narrow"/>
                <w:sz w:val="20"/>
                <w:szCs w:val="20"/>
              </w:rPr>
            </w:pPr>
            <w:r>
              <w:rPr>
                <w:rFonts w:ascii="Arial Narrow" w:hAnsi="Arial Narrow"/>
                <w:sz w:val="20"/>
                <w:szCs w:val="20"/>
              </w:rPr>
              <w:t>Nurse specialist</w:t>
            </w:r>
          </w:p>
        </w:tc>
        <w:tc>
          <w:tcPr>
            <w:tcW w:w="2551" w:type="dxa"/>
          </w:tcPr>
          <w:p w14:paraId="15C32198" w14:textId="600B55D1" w:rsidR="004D4938" w:rsidRDefault="004D4938" w:rsidP="00E35BCA">
            <w:pPr>
              <w:keepNext/>
              <w:spacing w:after="0"/>
              <w:rPr>
                <w:rFonts w:ascii="Arial Narrow" w:hAnsi="Arial Narrow"/>
                <w:sz w:val="20"/>
                <w:szCs w:val="20"/>
              </w:rPr>
            </w:pPr>
            <w:r>
              <w:rPr>
                <w:rFonts w:ascii="Arial Narrow" w:hAnsi="Arial Narrow"/>
                <w:sz w:val="20"/>
                <w:szCs w:val="20"/>
              </w:rPr>
              <w:t>Yes</w:t>
            </w:r>
          </w:p>
        </w:tc>
        <w:tc>
          <w:tcPr>
            <w:tcW w:w="1985" w:type="dxa"/>
          </w:tcPr>
          <w:p w14:paraId="79EC7F55" w14:textId="56412583" w:rsidR="004D4938" w:rsidRDefault="004D4938" w:rsidP="00E35BCA">
            <w:pPr>
              <w:keepNext/>
              <w:spacing w:after="0"/>
              <w:rPr>
                <w:rFonts w:ascii="Arial Narrow" w:hAnsi="Arial Narrow"/>
                <w:sz w:val="20"/>
                <w:szCs w:val="20"/>
              </w:rPr>
            </w:pPr>
            <w:r>
              <w:rPr>
                <w:rFonts w:ascii="Arial Narrow" w:hAnsi="Arial Narrow"/>
                <w:sz w:val="20"/>
                <w:szCs w:val="20"/>
              </w:rPr>
              <w:t>1 per cycle</w:t>
            </w:r>
          </w:p>
        </w:tc>
        <w:tc>
          <w:tcPr>
            <w:tcW w:w="1275" w:type="dxa"/>
          </w:tcPr>
          <w:p w14:paraId="00DDEC26" w14:textId="77777777" w:rsidR="004D4938" w:rsidRDefault="004D4938" w:rsidP="00E35BCA">
            <w:pPr>
              <w:keepNext/>
              <w:spacing w:after="0"/>
              <w:rPr>
                <w:rFonts w:ascii="Arial Narrow" w:hAnsi="Arial Narrow"/>
                <w:sz w:val="20"/>
                <w:szCs w:val="20"/>
              </w:rPr>
            </w:pPr>
          </w:p>
        </w:tc>
      </w:tr>
      <w:tr w:rsidR="004D4938" w:rsidRPr="00E83223" w14:paraId="673D121D" w14:textId="77777777" w:rsidTr="004C3B98">
        <w:tc>
          <w:tcPr>
            <w:tcW w:w="3823" w:type="dxa"/>
          </w:tcPr>
          <w:p w14:paraId="3DA45A01" w14:textId="24EB8B5E" w:rsidR="004D4938" w:rsidRDefault="004D4938" w:rsidP="00E35BCA">
            <w:pPr>
              <w:keepNext/>
              <w:spacing w:after="0"/>
              <w:rPr>
                <w:rFonts w:ascii="Arial Narrow" w:hAnsi="Arial Narrow"/>
                <w:sz w:val="20"/>
                <w:szCs w:val="20"/>
              </w:rPr>
            </w:pPr>
            <w:r>
              <w:rPr>
                <w:rFonts w:ascii="Arial Narrow" w:hAnsi="Arial Narrow"/>
                <w:sz w:val="20"/>
                <w:szCs w:val="20"/>
              </w:rPr>
              <w:t xml:space="preserve">Non-admitted patient </w:t>
            </w:r>
          </w:p>
        </w:tc>
        <w:tc>
          <w:tcPr>
            <w:tcW w:w="2551" w:type="dxa"/>
          </w:tcPr>
          <w:p w14:paraId="651DA3AA" w14:textId="309D6134" w:rsidR="004D4938" w:rsidRDefault="004D4938" w:rsidP="00E35BCA">
            <w:pPr>
              <w:keepNext/>
              <w:spacing w:after="0"/>
              <w:rPr>
                <w:rFonts w:ascii="Arial Narrow" w:hAnsi="Arial Narrow"/>
                <w:sz w:val="20"/>
                <w:szCs w:val="20"/>
              </w:rPr>
            </w:pPr>
            <w:r>
              <w:rPr>
                <w:rFonts w:ascii="Arial Narrow" w:hAnsi="Arial Narrow"/>
                <w:sz w:val="20"/>
                <w:szCs w:val="20"/>
              </w:rPr>
              <w:t>Yes</w:t>
            </w:r>
          </w:p>
        </w:tc>
        <w:tc>
          <w:tcPr>
            <w:tcW w:w="1985" w:type="dxa"/>
          </w:tcPr>
          <w:p w14:paraId="3D1C9FA7" w14:textId="77777777" w:rsidR="004D4938" w:rsidRDefault="004D4938" w:rsidP="00E35BCA">
            <w:pPr>
              <w:keepNext/>
              <w:spacing w:after="0"/>
              <w:rPr>
                <w:rFonts w:ascii="Arial Narrow" w:hAnsi="Arial Narrow"/>
                <w:sz w:val="20"/>
                <w:szCs w:val="20"/>
              </w:rPr>
            </w:pPr>
          </w:p>
        </w:tc>
        <w:tc>
          <w:tcPr>
            <w:tcW w:w="1275" w:type="dxa"/>
          </w:tcPr>
          <w:p w14:paraId="0E259CEB" w14:textId="77777777" w:rsidR="004D4938" w:rsidRDefault="004D4938" w:rsidP="00E35BCA">
            <w:pPr>
              <w:keepNext/>
              <w:spacing w:after="0"/>
              <w:rPr>
                <w:rFonts w:ascii="Arial Narrow" w:hAnsi="Arial Narrow"/>
                <w:sz w:val="20"/>
                <w:szCs w:val="20"/>
              </w:rPr>
            </w:pPr>
          </w:p>
        </w:tc>
      </w:tr>
      <w:tr w:rsidR="004D4938" w:rsidRPr="00E83223" w14:paraId="53D8C230" w14:textId="77777777" w:rsidTr="004C3B98">
        <w:tc>
          <w:tcPr>
            <w:tcW w:w="3823" w:type="dxa"/>
          </w:tcPr>
          <w:p w14:paraId="42AE6A88" w14:textId="6F4D0137" w:rsidR="004D4938" w:rsidRDefault="004D4938" w:rsidP="00E35BCA">
            <w:pPr>
              <w:keepNext/>
              <w:spacing w:after="0"/>
              <w:rPr>
                <w:rFonts w:ascii="Arial Narrow" w:hAnsi="Arial Narrow"/>
                <w:sz w:val="20"/>
                <w:szCs w:val="20"/>
              </w:rPr>
            </w:pPr>
            <w:r>
              <w:rPr>
                <w:rFonts w:ascii="Arial Narrow" w:hAnsi="Arial Narrow"/>
                <w:sz w:val="20"/>
                <w:szCs w:val="20"/>
              </w:rPr>
              <w:t xml:space="preserve">Amino acid infusion </w:t>
            </w:r>
          </w:p>
        </w:tc>
        <w:tc>
          <w:tcPr>
            <w:tcW w:w="2551" w:type="dxa"/>
          </w:tcPr>
          <w:p w14:paraId="3839AFD5" w14:textId="109C1951" w:rsidR="004D4938" w:rsidRDefault="004D4938" w:rsidP="00E35BCA">
            <w:pPr>
              <w:keepNext/>
              <w:spacing w:after="0"/>
              <w:rPr>
                <w:rFonts w:ascii="Arial Narrow" w:hAnsi="Arial Narrow"/>
                <w:sz w:val="20"/>
                <w:szCs w:val="20"/>
              </w:rPr>
            </w:pPr>
            <w:r>
              <w:rPr>
                <w:rFonts w:ascii="Arial Narrow" w:hAnsi="Arial Narrow"/>
                <w:sz w:val="20"/>
                <w:szCs w:val="20"/>
              </w:rPr>
              <w:t>Yes</w:t>
            </w:r>
          </w:p>
        </w:tc>
        <w:tc>
          <w:tcPr>
            <w:tcW w:w="1985" w:type="dxa"/>
          </w:tcPr>
          <w:p w14:paraId="181B62B6" w14:textId="098EF6D0" w:rsidR="004D4938" w:rsidRDefault="004D4938" w:rsidP="00E35BCA">
            <w:pPr>
              <w:keepNext/>
              <w:spacing w:after="0"/>
              <w:rPr>
                <w:rFonts w:ascii="Arial Narrow" w:hAnsi="Arial Narrow"/>
                <w:sz w:val="20"/>
                <w:szCs w:val="20"/>
              </w:rPr>
            </w:pPr>
            <w:r>
              <w:rPr>
                <w:rFonts w:ascii="Arial Narrow" w:hAnsi="Arial Narrow"/>
                <w:sz w:val="20"/>
                <w:szCs w:val="20"/>
              </w:rPr>
              <w:t xml:space="preserve">1 </w:t>
            </w:r>
          </w:p>
        </w:tc>
        <w:tc>
          <w:tcPr>
            <w:tcW w:w="1275" w:type="dxa"/>
          </w:tcPr>
          <w:p w14:paraId="6DA69BE8" w14:textId="686CF766" w:rsidR="004D4938" w:rsidRDefault="004D4938" w:rsidP="00E35BCA">
            <w:pPr>
              <w:keepNext/>
              <w:spacing w:after="0"/>
              <w:rPr>
                <w:rFonts w:ascii="Arial Narrow" w:hAnsi="Arial Narrow"/>
                <w:sz w:val="20"/>
                <w:szCs w:val="20"/>
              </w:rPr>
            </w:pPr>
            <w:r>
              <w:rPr>
                <w:rFonts w:ascii="Arial Narrow" w:hAnsi="Arial Narrow"/>
                <w:sz w:val="20"/>
                <w:szCs w:val="20"/>
              </w:rPr>
              <w:t>Applicant to provide fee</w:t>
            </w:r>
          </w:p>
        </w:tc>
      </w:tr>
      <w:tr w:rsidR="004D4938" w:rsidRPr="00E83223" w14:paraId="34A475C8" w14:textId="77777777" w:rsidTr="004C3B98">
        <w:tc>
          <w:tcPr>
            <w:tcW w:w="3823" w:type="dxa"/>
          </w:tcPr>
          <w:p w14:paraId="2BB67D1C" w14:textId="6950D81D" w:rsidR="004D4938" w:rsidRDefault="004D4938" w:rsidP="00E35BCA">
            <w:pPr>
              <w:keepNext/>
              <w:spacing w:after="0"/>
              <w:rPr>
                <w:rFonts w:ascii="Arial Narrow" w:hAnsi="Arial Narrow"/>
                <w:sz w:val="20"/>
                <w:szCs w:val="20"/>
              </w:rPr>
            </w:pPr>
            <w:r>
              <w:rPr>
                <w:rFonts w:ascii="Arial Narrow" w:hAnsi="Arial Narrow"/>
                <w:sz w:val="20"/>
                <w:szCs w:val="20"/>
              </w:rPr>
              <w:t>SPECT/CT</w:t>
            </w:r>
          </w:p>
        </w:tc>
        <w:tc>
          <w:tcPr>
            <w:tcW w:w="2551" w:type="dxa"/>
          </w:tcPr>
          <w:p w14:paraId="4DF490D9" w14:textId="0C2BAFA8" w:rsidR="004D4938" w:rsidRDefault="004D4938" w:rsidP="00E35BCA">
            <w:pPr>
              <w:keepNext/>
              <w:spacing w:after="0"/>
              <w:rPr>
                <w:rFonts w:ascii="Arial Narrow" w:hAnsi="Arial Narrow"/>
                <w:sz w:val="20"/>
                <w:szCs w:val="20"/>
              </w:rPr>
            </w:pPr>
            <w:r>
              <w:rPr>
                <w:rFonts w:ascii="Arial Narrow" w:hAnsi="Arial Narrow"/>
                <w:sz w:val="20"/>
                <w:szCs w:val="20"/>
              </w:rPr>
              <w:t>Recommended 24 hours after</w:t>
            </w:r>
          </w:p>
          <w:p w14:paraId="12EA602F" w14:textId="3EA49343" w:rsidR="004D4938" w:rsidRDefault="004D4938" w:rsidP="00E35BCA">
            <w:pPr>
              <w:keepNext/>
              <w:spacing w:after="0"/>
              <w:rPr>
                <w:rFonts w:ascii="Arial Narrow" w:hAnsi="Arial Narrow"/>
                <w:sz w:val="20"/>
                <w:szCs w:val="20"/>
              </w:rPr>
            </w:pPr>
            <w:r>
              <w:rPr>
                <w:rFonts w:ascii="Arial Narrow" w:hAnsi="Arial Narrow"/>
                <w:sz w:val="20"/>
                <w:szCs w:val="20"/>
              </w:rPr>
              <w:t>MBS Item 61462*/61505</w:t>
            </w:r>
          </w:p>
        </w:tc>
        <w:tc>
          <w:tcPr>
            <w:tcW w:w="1985" w:type="dxa"/>
          </w:tcPr>
          <w:p w14:paraId="4478A9B7" w14:textId="71970532" w:rsidR="004D4938" w:rsidRDefault="004D4938" w:rsidP="00E35BCA">
            <w:pPr>
              <w:keepNext/>
              <w:spacing w:after="0"/>
              <w:rPr>
                <w:rFonts w:ascii="Arial Narrow" w:hAnsi="Arial Narrow"/>
                <w:sz w:val="20"/>
                <w:szCs w:val="20"/>
              </w:rPr>
            </w:pPr>
            <w:r>
              <w:rPr>
                <w:rFonts w:ascii="Arial Narrow" w:hAnsi="Arial Narrow"/>
                <w:sz w:val="20"/>
                <w:szCs w:val="20"/>
              </w:rPr>
              <w:t>4</w:t>
            </w:r>
          </w:p>
        </w:tc>
        <w:tc>
          <w:tcPr>
            <w:tcW w:w="1275" w:type="dxa"/>
          </w:tcPr>
          <w:p w14:paraId="6413A5A0" w14:textId="5143EB15" w:rsidR="004D4938" w:rsidRDefault="004D4938" w:rsidP="00E35BCA">
            <w:pPr>
              <w:keepNext/>
              <w:spacing w:after="0"/>
              <w:rPr>
                <w:rFonts w:ascii="Arial Narrow" w:hAnsi="Arial Narrow"/>
                <w:sz w:val="20"/>
                <w:szCs w:val="20"/>
              </w:rPr>
            </w:pPr>
            <w:r>
              <w:rPr>
                <w:rFonts w:ascii="Arial Narrow" w:hAnsi="Arial Narrow"/>
                <w:sz w:val="20"/>
                <w:szCs w:val="20"/>
              </w:rPr>
              <w:t>$129/$100</w:t>
            </w:r>
          </w:p>
        </w:tc>
      </w:tr>
      <w:tr w:rsidR="004D4938" w:rsidRPr="00E83223" w14:paraId="07A5FB95" w14:textId="77777777" w:rsidTr="004C3B98">
        <w:tc>
          <w:tcPr>
            <w:tcW w:w="3823" w:type="dxa"/>
          </w:tcPr>
          <w:p w14:paraId="1BE136BA" w14:textId="0CAB5955" w:rsidR="004D4938" w:rsidRDefault="004D4938" w:rsidP="00E35BCA">
            <w:pPr>
              <w:keepNext/>
              <w:spacing w:after="0"/>
              <w:rPr>
                <w:rFonts w:ascii="Arial Narrow" w:hAnsi="Arial Narrow"/>
                <w:sz w:val="20"/>
                <w:szCs w:val="20"/>
              </w:rPr>
            </w:pPr>
            <w:r>
              <w:rPr>
                <w:rFonts w:ascii="Arial Narrow" w:hAnsi="Arial Narrow"/>
                <w:sz w:val="20"/>
                <w:szCs w:val="20"/>
              </w:rPr>
              <w:t>Follow-up testing-3 months</w:t>
            </w:r>
          </w:p>
        </w:tc>
        <w:tc>
          <w:tcPr>
            <w:tcW w:w="2551" w:type="dxa"/>
          </w:tcPr>
          <w:p w14:paraId="29FD34DF" w14:textId="77777777" w:rsidR="004D4938" w:rsidRDefault="004D4938" w:rsidP="00E35BCA">
            <w:pPr>
              <w:keepNext/>
              <w:spacing w:after="0"/>
              <w:rPr>
                <w:rFonts w:ascii="Arial Narrow" w:hAnsi="Arial Narrow"/>
                <w:sz w:val="20"/>
                <w:szCs w:val="20"/>
              </w:rPr>
            </w:pPr>
          </w:p>
        </w:tc>
        <w:tc>
          <w:tcPr>
            <w:tcW w:w="1985" w:type="dxa"/>
          </w:tcPr>
          <w:p w14:paraId="71E21B70" w14:textId="77777777" w:rsidR="004D4938" w:rsidRDefault="004D4938" w:rsidP="00E35BCA">
            <w:pPr>
              <w:keepNext/>
              <w:spacing w:after="0"/>
              <w:rPr>
                <w:rFonts w:ascii="Arial Narrow" w:hAnsi="Arial Narrow"/>
                <w:sz w:val="20"/>
                <w:szCs w:val="20"/>
              </w:rPr>
            </w:pPr>
          </w:p>
        </w:tc>
        <w:tc>
          <w:tcPr>
            <w:tcW w:w="1275" w:type="dxa"/>
          </w:tcPr>
          <w:p w14:paraId="0A437C05" w14:textId="77777777" w:rsidR="004D4938" w:rsidRDefault="004D4938" w:rsidP="00E35BCA">
            <w:pPr>
              <w:keepNext/>
              <w:spacing w:after="0"/>
              <w:rPr>
                <w:rFonts w:ascii="Arial Narrow" w:hAnsi="Arial Narrow"/>
                <w:sz w:val="20"/>
                <w:szCs w:val="20"/>
              </w:rPr>
            </w:pPr>
          </w:p>
        </w:tc>
      </w:tr>
      <w:tr w:rsidR="004D4938" w:rsidRPr="00E83223" w14:paraId="7BA1DA89" w14:textId="77777777" w:rsidTr="004C3B98">
        <w:tc>
          <w:tcPr>
            <w:tcW w:w="3823" w:type="dxa"/>
          </w:tcPr>
          <w:p w14:paraId="43F22060" w14:textId="6AD930CE" w:rsidR="004D4938" w:rsidRDefault="004D4938" w:rsidP="00E35BCA">
            <w:pPr>
              <w:keepNext/>
              <w:spacing w:after="0"/>
              <w:rPr>
                <w:rFonts w:ascii="Arial Narrow" w:hAnsi="Arial Narrow"/>
                <w:sz w:val="20"/>
                <w:szCs w:val="20"/>
              </w:rPr>
            </w:pPr>
            <w:r w:rsidRPr="004C3B98">
              <w:rPr>
                <w:rFonts w:ascii="Arial Narrow" w:hAnsi="Arial Narrow"/>
                <w:sz w:val="20"/>
                <w:szCs w:val="20"/>
                <w:vertAlign w:val="superscript"/>
              </w:rPr>
              <w:t>68</w:t>
            </w:r>
            <w:r>
              <w:rPr>
                <w:rFonts w:ascii="Arial Narrow" w:hAnsi="Arial Narrow"/>
                <w:sz w:val="20"/>
                <w:szCs w:val="20"/>
              </w:rPr>
              <w:t xml:space="preserve">Ga-DOTA Pet Study </w:t>
            </w:r>
          </w:p>
        </w:tc>
        <w:tc>
          <w:tcPr>
            <w:tcW w:w="2551" w:type="dxa"/>
          </w:tcPr>
          <w:p w14:paraId="3AD0ECF9" w14:textId="432F932F" w:rsidR="004D4938" w:rsidRDefault="004D4938" w:rsidP="00E35BCA">
            <w:pPr>
              <w:keepNext/>
              <w:spacing w:after="0"/>
              <w:rPr>
                <w:rFonts w:ascii="Arial Narrow" w:hAnsi="Arial Narrow"/>
                <w:sz w:val="20"/>
                <w:szCs w:val="20"/>
              </w:rPr>
            </w:pPr>
            <w:r>
              <w:rPr>
                <w:rFonts w:ascii="Arial Narrow" w:hAnsi="Arial Narrow"/>
                <w:sz w:val="20"/>
                <w:szCs w:val="20"/>
              </w:rPr>
              <w:t>Yes</w:t>
            </w:r>
          </w:p>
        </w:tc>
        <w:tc>
          <w:tcPr>
            <w:tcW w:w="1985" w:type="dxa"/>
          </w:tcPr>
          <w:p w14:paraId="7C1FEE16" w14:textId="7647D5C4" w:rsidR="004D4938" w:rsidRDefault="004D4938" w:rsidP="00E35BCA">
            <w:pPr>
              <w:keepNext/>
              <w:spacing w:after="0"/>
              <w:rPr>
                <w:rFonts w:ascii="Arial Narrow" w:hAnsi="Arial Narrow"/>
                <w:sz w:val="20"/>
                <w:szCs w:val="20"/>
              </w:rPr>
            </w:pPr>
            <w:r>
              <w:rPr>
                <w:rFonts w:ascii="Arial Narrow" w:hAnsi="Arial Narrow"/>
                <w:sz w:val="20"/>
                <w:szCs w:val="20"/>
              </w:rPr>
              <w:t>1</w:t>
            </w:r>
          </w:p>
        </w:tc>
        <w:tc>
          <w:tcPr>
            <w:tcW w:w="1275" w:type="dxa"/>
          </w:tcPr>
          <w:p w14:paraId="6FFDB5D4" w14:textId="42AD4159" w:rsidR="004D4938" w:rsidRDefault="004D4938" w:rsidP="00E35BCA">
            <w:pPr>
              <w:keepNext/>
              <w:spacing w:after="0"/>
              <w:rPr>
                <w:rFonts w:ascii="Arial Narrow" w:hAnsi="Arial Narrow"/>
                <w:sz w:val="20"/>
                <w:szCs w:val="20"/>
              </w:rPr>
            </w:pPr>
            <w:r>
              <w:rPr>
                <w:rFonts w:ascii="Arial Narrow" w:hAnsi="Arial Narrow"/>
                <w:sz w:val="20"/>
                <w:szCs w:val="20"/>
              </w:rPr>
              <w:t>$953</w:t>
            </w:r>
          </w:p>
        </w:tc>
      </w:tr>
      <w:tr w:rsidR="004D4938" w:rsidRPr="00E83223" w14:paraId="71612CC6" w14:textId="77777777" w:rsidTr="004C3B98">
        <w:tc>
          <w:tcPr>
            <w:tcW w:w="3823" w:type="dxa"/>
          </w:tcPr>
          <w:p w14:paraId="12A42D43" w14:textId="3CBDA1D6" w:rsidR="004D4938" w:rsidRDefault="004D4938" w:rsidP="00E35BCA">
            <w:pPr>
              <w:keepNext/>
              <w:tabs>
                <w:tab w:val="left" w:pos="285"/>
              </w:tabs>
              <w:spacing w:after="0"/>
              <w:rPr>
                <w:rFonts w:ascii="Arial Narrow" w:hAnsi="Arial Narrow"/>
                <w:sz w:val="20"/>
                <w:szCs w:val="20"/>
              </w:rPr>
            </w:pPr>
            <w:r>
              <w:rPr>
                <w:rFonts w:ascii="Arial Narrow" w:hAnsi="Arial Narrow"/>
                <w:sz w:val="20"/>
                <w:szCs w:val="20"/>
              </w:rPr>
              <w:tab/>
              <w:t>CT</w:t>
            </w:r>
          </w:p>
        </w:tc>
        <w:tc>
          <w:tcPr>
            <w:tcW w:w="2551" w:type="dxa"/>
          </w:tcPr>
          <w:p w14:paraId="3F691458" w14:textId="02AD7E87" w:rsidR="004D4938" w:rsidRDefault="004D4938" w:rsidP="00E35BCA">
            <w:pPr>
              <w:keepNext/>
              <w:spacing w:after="0"/>
              <w:rPr>
                <w:rFonts w:ascii="Arial Narrow" w:hAnsi="Arial Narrow"/>
                <w:sz w:val="20"/>
                <w:szCs w:val="20"/>
              </w:rPr>
            </w:pPr>
            <w:r>
              <w:rPr>
                <w:rFonts w:ascii="Arial Narrow" w:hAnsi="Arial Narrow"/>
                <w:sz w:val="20"/>
                <w:szCs w:val="20"/>
              </w:rPr>
              <w:t>Yes (61505)</w:t>
            </w:r>
          </w:p>
        </w:tc>
        <w:tc>
          <w:tcPr>
            <w:tcW w:w="1985" w:type="dxa"/>
          </w:tcPr>
          <w:p w14:paraId="3D3E45DE" w14:textId="70C9C8EA" w:rsidR="004D4938" w:rsidRDefault="004D4938" w:rsidP="00E35BCA">
            <w:pPr>
              <w:keepNext/>
              <w:spacing w:after="0"/>
              <w:rPr>
                <w:rFonts w:ascii="Arial Narrow" w:hAnsi="Arial Narrow"/>
                <w:sz w:val="20"/>
                <w:szCs w:val="20"/>
              </w:rPr>
            </w:pPr>
            <w:r>
              <w:rPr>
                <w:rFonts w:ascii="Arial Narrow" w:hAnsi="Arial Narrow"/>
                <w:sz w:val="20"/>
                <w:szCs w:val="20"/>
              </w:rPr>
              <w:t>1</w:t>
            </w:r>
          </w:p>
        </w:tc>
        <w:tc>
          <w:tcPr>
            <w:tcW w:w="1275" w:type="dxa"/>
          </w:tcPr>
          <w:p w14:paraId="190B1D95" w14:textId="0D28BDA7" w:rsidR="004D4938" w:rsidRDefault="004D4938" w:rsidP="00E35BCA">
            <w:pPr>
              <w:keepNext/>
              <w:spacing w:after="0"/>
              <w:rPr>
                <w:rFonts w:ascii="Arial Narrow" w:hAnsi="Arial Narrow"/>
                <w:sz w:val="20"/>
                <w:szCs w:val="20"/>
              </w:rPr>
            </w:pPr>
            <w:r>
              <w:rPr>
                <w:rFonts w:ascii="Arial Narrow" w:hAnsi="Arial Narrow"/>
                <w:sz w:val="20"/>
                <w:szCs w:val="20"/>
              </w:rPr>
              <w:t>$100</w:t>
            </w:r>
          </w:p>
        </w:tc>
      </w:tr>
      <w:tr w:rsidR="004D4938" w:rsidRPr="00E83223" w14:paraId="7259BC5D" w14:textId="77777777" w:rsidTr="004C3B98">
        <w:tc>
          <w:tcPr>
            <w:tcW w:w="3823" w:type="dxa"/>
          </w:tcPr>
          <w:p w14:paraId="7A7428DA" w14:textId="551FA9D8" w:rsidR="004D4938" w:rsidRDefault="004D4938" w:rsidP="00E35BCA">
            <w:pPr>
              <w:keepNext/>
              <w:spacing w:after="0"/>
              <w:rPr>
                <w:rFonts w:ascii="Arial Narrow" w:hAnsi="Arial Narrow"/>
                <w:sz w:val="20"/>
                <w:szCs w:val="20"/>
              </w:rPr>
            </w:pPr>
            <w:r>
              <w:rPr>
                <w:rFonts w:ascii="Arial Narrow" w:hAnsi="Arial Narrow"/>
                <w:sz w:val="20"/>
                <w:szCs w:val="20"/>
              </w:rPr>
              <w:t xml:space="preserve">MRI Scans of the liver </w:t>
            </w:r>
          </w:p>
        </w:tc>
        <w:tc>
          <w:tcPr>
            <w:tcW w:w="2551" w:type="dxa"/>
          </w:tcPr>
          <w:p w14:paraId="55502F80" w14:textId="3CAB787A" w:rsidR="004D4938" w:rsidRDefault="004D4938" w:rsidP="00E35BCA">
            <w:pPr>
              <w:keepNext/>
              <w:spacing w:after="0"/>
              <w:rPr>
                <w:rFonts w:ascii="Arial Narrow" w:hAnsi="Arial Narrow"/>
                <w:sz w:val="20"/>
                <w:szCs w:val="20"/>
              </w:rPr>
            </w:pPr>
            <w:r>
              <w:rPr>
                <w:rFonts w:ascii="Arial Narrow" w:hAnsi="Arial Narrow"/>
                <w:sz w:val="20"/>
                <w:szCs w:val="20"/>
              </w:rPr>
              <w:t>Yes ((item 63546))</w:t>
            </w:r>
          </w:p>
        </w:tc>
        <w:tc>
          <w:tcPr>
            <w:tcW w:w="1985" w:type="dxa"/>
          </w:tcPr>
          <w:p w14:paraId="003B2888" w14:textId="2A67848F" w:rsidR="004D4938" w:rsidRDefault="004D4938" w:rsidP="00E35BCA">
            <w:pPr>
              <w:keepNext/>
              <w:spacing w:after="0"/>
              <w:rPr>
                <w:rFonts w:ascii="Arial Narrow" w:hAnsi="Arial Narrow"/>
                <w:sz w:val="20"/>
                <w:szCs w:val="20"/>
              </w:rPr>
            </w:pPr>
            <w:r>
              <w:rPr>
                <w:rFonts w:ascii="Arial Narrow" w:hAnsi="Arial Narrow"/>
                <w:sz w:val="20"/>
                <w:szCs w:val="20"/>
              </w:rPr>
              <w:t>1</w:t>
            </w:r>
          </w:p>
        </w:tc>
        <w:tc>
          <w:tcPr>
            <w:tcW w:w="1275" w:type="dxa"/>
          </w:tcPr>
          <w:p w14:paraId="788E9383" w14:textId="562B6CC7" w:rsidR="004D4938" w:rsidRDefault="004D4938" w:rsidP="00E35BCA">
            <w:pPr>
              <w:keepNext/>
              <w:spacing w:after="0"/>
              <w:rPr>
                <w:rFonts w:ascii="Arial Narrow" w:hAnsi="Arial Narrow"/>
                <w:sz w:val="20"/>
                <w:szCs w:val="20"/>
              </w:rPr>
            </w:pPr>
            <w:r>
              <w:rPr>
                <w:rFonts w:ascii="Arial Narrow" w:hAnsi="Arial Narrow"/>
                <w:sz w:val="20"/>
                <w:szCs w:val="20"/>
              </w:rPr>
              <w:t>$</w:t>
            </w:r>
            <w:r w:rsidRPr="45C23517">
              <w:rPr>
                <w:rFonts w:ascii="Arial Narrow" w:hAnsi="Arial Narrow"/>
                <w:sz w:val="20"/>
                <w:szCs w:val="20"/>
              </w:rPr>
              <w:t>578.90</w:t>
            </w:r>
          </w:p>
        </w:tc>
      </w:tr>
      <w:tr w:rsidR="004D4938" w:rsidRPr="00E83223" w14:paraId="6C3DEE8F" w14:textId="77777777" w:rsidTr="004C3B98">
        <w:tc>
          <w:tcPr>
            <w:tcW w:w="3823" w:type="dxa"/>
          </w:tcPr>
          <w:p w14:paraId="3F3E5D21" w14:textId="1E89D296" w:rsidR="004D4938" w:rsidRDefault="004D4938" w:rsidP="00E35BCA">
            <w:pPr>
              <w:keepNext/>
              <w:spacing w:after="0"/>
              <w:rPr>
                <w:rFonts w:ascii="Arial Narrow" w:hAnsi="Arial Narrow"/>
                <w:sz w:val="20"/>
                <w:szCs w:val="20"/>
              </w:rPr>
            </w:pPr>
            <w:r>
              <w:rPr>
                <w:rFonts w:ascii="Arial Narrow" w:hAnsi="Arial Narrow"/>
                <w:sz w:val="20"/>
                <w:szCs w:val="20"/>
              </w:rPr>
              <w:t>biomarkers</w:t>
            </w:r>
          </w:p>
        </w:tc>
        <w:tc>
          <w:tcPr>
            <w:tcW w:w="2551" w:type="dxa"/>
          </w:tcPr>
          <w:p w14:paraId="5687835E" w14:textId="77777777" w:rsidR="004D4938" w:rsidRDefault="004D4938" w:rsidP="00E35BCA">
            <w:pPr>
              <w:keepNext/>
              <w:spacing w:after="0"/>
              <w:rPr>
                <w:rFonts w:ascii="Arial Narrow" w:hAnsi="Arial Narrow"/>
                <w:sz w:val="20"/>
                <w:szCs w:val="20"/>
              </w:rPr>
            </w:pPr>
          </w:p>
        </w:tc>
        <w:tc>
          <w:tcPr>
            <w:tcW w:w="1985" w:type="dxa"/>
          </w:tcPr>
          <w:p w14:paraId="27C798D2" w14:textId="77777777" w:rsidR="004D4938" w:rsidRDefault="004D4938" w:rsidP="00E35BCA">
            <w:pPr>
              <w:keepNext/>
              <w:spacing w:after="0"/>
              <w:rPr>
                <w:rFonts w:ascii="Arial Narrow" w:hAnsi="Arial Narrow"/>
                <w:sz w:val="20"/>
                <w:szCs w:val="20"/>
              </w:rPr>
            </w:pPr>
          </w:p>
        </w:tc>
        <w:tc>
          <w:tcPr>
            <w:tcW w:w="1275" w:type="dxa"/>
          </w:tcPr>
          <w:p w14:paraId="2F3E8ACE" w14:textId="77777777" w:rsidR="004D4938" w:rsidRDefault="004D4938" w:rsidP="00E35BCA">
            <w:pPr>
              <w:keepNext/>
              <w:spacing w:after="0"/>
              <w:rPr>
                <w:rFonts w:ascii="Arial Narrow" w:hAnsi="Arial Narrow"/>
                <w:sz w:val="20"/>
                <w:szCs w:val="20"/>
              </w:rPr>
            </w:pPr>
          </w:p>
        </w:tc>
      </w:tr>
    </w:tbl>
    <w:p w14:paraId="3C00238B" w14:textId="77777777" w:rsidR="00EC4990" w:rsidRDefault="00E83223" w:rsidP="00E35BCA">
      <w:pPr>
        <w:keepNext/>
        <w:spacing w:after="0"/>
        <w:rPr>
          <w:rFonts w:ascii="Arial Narrow" w:hAnsi="Arial Narrow"/>
          <w:sz w:val="18"/>
          <w:szCs w:val="18"/>
        </w:rPr>
      </w:pPr>
      <w:r w:rsidRPr="004C3B98">
        <w:rPr>
          <w:rFonts w:ascii="Arial Narrow" w:hAnsi="Arial Narrow"/>
          <w:sz w:val="18"/>
          <w:szCs w:val="18"/>
        </w:rPr>
        <w:t>NOTE: Not every patient will receive all these tests</w:t>
      </w:r>
    </w:p>
    <w:p w14:paraId="041C9753" w14:textId="605537F7" w:rsidR="009A27F3" w:rsidRDefault="00EC4990" w:rsidP="00E35BCA">
      <w:pPr>
        <w:keepNext/>
        <w:tabs>
          <w:tab w:val="left" w:pos="284"/>
        </w:tabs>
        <w:spacing w:after="0"/>
        <w:ind w:left="284" w:hanging="284"/>
        <w:rPr>
          <w:rFonts w:ascii="Arial Narrow" w:hAnsi="Arial Narrow"/>
          <w:sz w:val="18"/>
          <w:szCs w:val="18"/>
        </w:rPr>
      </w:pPr>
      <w:r>
        <w:rPr>
          <w:rFonts w:ascii="Arial Narrow" w:hAnsi="Arial Narrow"/>
          <w:sz w:val="18"/>
          <w:szCs w:val="18"/>
        </w:rPr>
        <w:t>*</w:t>
      </w:r>
      <w:r w:rsidR="004D4938">
        <w:rPr>
          <w:rFonts w:ascii="Arial Narrow" w:hAnsi="Arial Narrow"/>
          <w:sz w:val="18"/>
          <w:szCs w:val="18"/>
        </w:rPr>
        <w:tab/>
      </w:r>
      <w:r>
        <w:rPr>
          <w:rFonts w:ascii="Arial Narrow" w:hAnsi="Arial Narrow"/>
          <w:sz w:val="18"/>
          <w:szCs w:val="18"/>
        </w:rPr>
        <w:t xml:space="preserve">PASC has recommended that SPECT/CT be included into the cost of the infusion rather than amending a current MBS item but this awaits a final decision. </w:t>
      </w:r>
    </w:p>
    <w:p w14:paraId="10742606" w14:textId="25B8B4A0" w:rsidR="00E83223" w:rsidRDefault="00E83223" w:rsidP="00E35BCA">
      <w:pPr>
        <w:keepNext/>
        <w:spacing w:after="240"/>
        <w:rPr>
          <w:rFonts w:ascii="Arial Narrow" w:hAnsi="Arial Narrow"/>
          <w:sz w:val="18"/>
          <w:szCs w:val="18"/>
        </w:rPr>
      </w:pPr>
      <w:r>
        <w:rPr>
          <w:rFonts w:ascii="Arial Narrow" w:hAnsi="Arial Narrow"/>
          <w:sz w:val="18"/>
          <w:szCs w:val="18"/>
        </w:rPr>
        <w:t xml:space="preserve">Source: Pg 36 of the </w:t>
      </w:r>
      <w:r w:rsidR="004D4938">
        <w:rPr>
          <w:rFonts w:ascii="Arial Narrow" w:hAnsi="Arial Narrow"/>
          <w:sz w:val="18"/>
          <w:szCs w:val="18"/>
        </w:rPr>
        <w:t>a</w:t>
      </w:r>
      <w:r>
        <w:rPr>
          <w:rFonts w:ascii="Arial Narrow" w:hAnsi="Arial Narrow"/>
          <w:sz w:val="18"/>
          <w:szCs w:val="18"/>
        </w:rPr>
        <w:t>pplication</w:t>
      </w:r>
    </w:p>
    <w:p w14:paraId="047E4738" w14:textId="3242DA34" w:rsidR="00D73332" w:rsidRPr="00ED4E95" w:rsidRDefault="00D73332" w:rsidP="00DE762F">
      <w:pPr>
        <w:pStyle w:val="Heading2"/>
      </w:pPr>
      <w:r w:rsidRPr="00ED4E95">
        <w:t>Propos</w:t>
      </w:r>
      <w:r w:rsidR="000D1FCF" w:rsidRPr="00ED4E95">
        <w:t>al for public funding</w:t>
      </w:r>
    </w:p>
    <w:p w14:paraId="479694DF" w14:textId="223C58C0" w:rsidR="00E911C3" w:rsidRDefault="007B25E6" w:rsidP="000B6C1B">
      <w:pPr>
        <w:jc w:val="both"/>
      </w:pPr>
      <w:r w:rsidRPr="00ED4E95">
        <w:t xml:space="preserve">The application </w:t>
      </w:r>
      <w:r w:rsidR="00346C19" w:rsidRPr="00ED4E95">
        <w:t>proposed</w:t>
      </w:r>
      <w:r w:rsidRPr="00ED4E95">
        <w:t xml:space="preserve"> a single MBS item</w:t>
      </w:r>
      <w:r w:rsidR="000068B6" w:rsidRPr="00ED4E95">
        <w:t xml:space="preserve"> </w:t>
      </w:r>
      <w:r w:rsidR="00417311">
        <w:t>for the therapeutic intervention</w:t>
      </w:r>
      <w:r w:rsidR="000068B6" w:rsidRPr="00ED4E95">
        <w:t xml:space="preserve"> (p38</w:t>
      </w:r>
      <w:r w:rsidR="00755AB3" w:rsidRPr="00F75EEE">
        <w:t>) but</w:t>
      </w:r>
      <w:r w:rsidR="00346C19" w:rsidRPr="00922B1C">
        <w:t xml:space="preserve"> indicated </w:t>
      </w:r>
      <w:bookmarkStart w:id="64" w:name="_Int_Uej3Vbkj"/>
      <w:r w:rsidR="00346C19" w:rsidRPr="00922B1C">
        <w:t>a number of</w:t>
      </w:r>
      <w:bookmarkEnd w:id="64"/>
      <w:r w:rsidR="00346C19" w:rsidRPr="00922B1C">
        <w:t xml:space="preserve"> other MBS items would also require amendment. Although indicating required amendments</w:t>
      </w:r>
      <w:r w:rsidR="0037385F" w:rsidRPr="00922B1C">
        <w:t xml:space="preserve"> to a range of existing MBS items</w:t>
      </w:r>
      <w:r w:rsidR="00346C19" w:rsidRPr="00922B1C">
        <w:t>, the application did not provide proposed wording</w:t>
      </w:r>
      <w:r w:rsidR="00370CB9" w:rsidRPr="00922B1C">
        <w:t xml:space="preserve"> for most requests</w:t>
      </w:r>
      <w:r w:rsidR="000068B6" w:rsidRPr="00922B1C">
        <w:t xml:space="preserve">. </w:t>
      </w:r>
      <w:r w:rsidR="000068B6" w:rsidRPr="00F75EEE">
        <w:t xml:space="preserve">The proposed </w:t>
      </w:r>
      <w:r w:rsidR="0037385F" w:rsidRPr="00F75EEE">
        <w:t xml:space="preserve">new </w:t>
      </w:r>
      <w:r w:rsidR="000068B6" w:rsidRPr="00F75EEE">
        <w:t>item descriptors</w:t>
      </w:r>
      <w:r w:rsidR="0037385F" w:rsidRPr="00F75EEE">
        <w:t xml:space="preserve"> which have been</w:t>
      </w:r>
      <w:r w:rsidR="000068B6" w:rsidRPr="00F75EEE">
        <w:t xml:space="preserve"> drafted by the applicant are presented in the tables below</w:t>
      </w:r>
      <w:r w:rsidR="00370CB9" w:rsidRPr="00F75EEE">
        <w:t>.</w:t>
      </w:r>
    </w:p>
    <w:p w14:paraId="55544A6C" w14:textId="0ECB5CE4" w:rsidR="00727083" w:rsidRDefault="004D4938" w:rsidP="000B6C1B">
      <w:pPr>
        <w:jc w:val="both"/>
        <w:rPr>
          <w:rFonts w:cs="Calibri"/>
        </w:rPr>
      </w:pPr>
      <w:r w:rsidRPr="004C3B98">
        <w:rPr>
          <w:rFonts w:cs="Calibri"/>
          <w:i/>
          <w:iCs/>
        </w:rPr>
        <w:t xml:space="preserve">At the April </w:t>
      </w:r>
      <w:r w:rsidR="00FC2046">
        <w:rPr>
          <w:rFonts w:cs="Calibri"/>
          <w:i/>
          <w:iCs/>
        </w:rPr>
        <w:t xml:space="preserve">2023 </w:t>
      </w:r>
      <w:r w:rsidRPr="004C3B98">
        <w:rPr>
          <w:rFonts w:cs="Calibri"/>
          <w:i/>
          <w:iCs/>
        </w:rPr>
        <w:t xml:space="preserve">meeting, </w:t>
      </w:r>
      <w:r w:rsidR="00727083" w:rsidRPr="004D4938">
        <w:rPr>
          <w:rFonts w:cs="Calibri"/>
          <w:i/>
          <w:iCs/>
        </w:rPr>
        <w:t xml:space="preserve">PASC noted a requirement for an MBS item associated with an MDT. </w:t>
      </w:r>
      <w:bookmarkStart w:id="65" w:name="_Hlk137507566"/>
      <w:r w:rsidR="00727083" w:rsidRPr="004D4938">
        <w:rPr>
          <w:rFonts w:cs="Calibri"/>
          <w:i/>
          <w:iCs/>
        </w:rPr>
        <w:t xml:space="preserve">PASC questioned whether the current MBS items (items 871 and 872) would be applicable for the proposed MDTs or whether MBS items should be developed specifically for these MDTs (like MBS items 6080 and 6081 for </w:t>
      </w:r>
      <w:r w:rsidR="00727083" w:rsidRPr="004D4938">
        <w:rPr>
          <w:rFonts w:cs="Calibri"/>
          <w:i/>
          <w:iCs/>
        </w:rPr>
        <w:lastRenderedPageBreak/>
        <w:t>Transcatheter Aortic Valve Implantation (TAVI)).</w:t>
      </w:r>
      <w:bookmarkEnd w:id="65"/>
      <w:r w:rsidR="0098465D">
        <w:rPr>
          <w:rFonts w:cs="Calibri"/>
          <w:i/>
          <w:iCs/>
        </w:rPr>
        <w:t xml:space="preserve"> </w:t>
      </w:r>
      <w:r w:rsidR="00F77575" w:rsidRPr="00E35BCA">
        <w:rPr>
          <w:rFonts w:cs="Calibri"/>
        </w:rPr>
        <w:t>The applicant responded that Item 872 looked appropriate as an MDT Item (email 14</w:t>
      </w:r>
      <w:r w:rsidR="00D845F4" w:rsidRPr="00E35BCA">
        <w:rPr>
          <w:rFonts w:cs="Calibri"/>
          <w:vertAlign w:val="superscript"/>
        </w:rPr>
        <w:t>th</w:t>
      </w:r>
      <w:r w:rsidR="00D845F4" w:rsidRPr="00E35BCA">
        <w:rPr>
          <w:rFonts w:cs="Calibri"/>
        </w:rPr>
        <w:t xml:space="preserve"> </w:t>
      </w:r>
      <w:r w:rsidR="00F77575" w:rsidRPr="00E35BCA">
        <w:rPr>
          <w:rFonts w:cs="Calibri"/>
        </w:rPr>
        <w:t>July</w:t>
      </w:r>
      <w:r w:rsidR="00172E90" w:rsidRPr="00E35BCA">
        <w:rPr>
          <w:rFonts w:cs="Calibri"/>
        </w:rPr>
        <w:t xml:space="preserve"> 2023</w:t>
      </w:r>
      <w:r w:rsidR="00F77575" w:rsidRPr="00E35BCA">
        <w:rPr>
          <w:rFonts w:cs="Calibri"/>
        </w:rPr>
        <w:t>).</w:t>
      </w:r>
    </w:p>
    <w:p w14:paraId="1981F178" w14:textId="2C8DF22B" w:rsidR="00FC2046" w:rsidRPr="00FC2046" w:rsidRDefault="00FC2046" w:rsidP="000B6C1B">
      <w:pPr>
        <w:jc w:val="both"/>
        <w:rPr>
          <w:rFonts w:cs="Calibri"/>
          <w:i/>
          <w:iCs/>
        </w:rPr>
      </w:pPr>
      <w:r w:rsidRPr="00E35BCA">
        <w:rPr>
          <w:rFonts w:cs="Calibri"/>
          <w:i/>
          <w:iCs/>
        </w:rPr>
        <w:t xml:space="preserve">At the August 2023 meeting, </w:t>
      </w:r>
      <w:r w:rsidRPr="00FC2046">
        <w:rPr>
          <w:rFonts w:cs="Calibri"/>
          <w:i/>
          <w:iCs/>
        </w:rPr>
        <w:t>PASC noted that the current MBS case conferencing items 872 &amp; 871 are considered sufficient for MDT meetings, but also noted that:</w:t>
      </w:r>
    </w:p>
    <w:p w14:paraId="29195878" w14:textId="30ECD925" w:rsidR="00FC2046" w:rsidRPr="00E35BCA" w:rsidRDefault="00FC2046" w:rsidP="000B6C1B">
      <w:pPr>
        <w:pStyle w:val="ListParagraph"/>
        <w:numPr>
          <w:ilvl w:val="0"/>
          <w:numId w:val="38"/>
        </w:numPr>
        <w:ind w:left="284" w:hanging="284"/>
        <w:jc w:val="both"/>
        <w:rPr>
          <w:rFonts w:cs="Calibri"/>
          <w:i/>
          <w:iCs/>
        </w:rPr>
      </w:pPr>
      <w:r w:rsidRPr="00E35BCA">
        <w:rPr>
          <w:rFonts w:cs="Calibri"/>
          <w:i/>
          <w:iCs/>
        </w:rPr>
        <w:t xml:space="preserve">These items do not define which professionals should be involved in a “formally convened neuroendocrine tumour multidisciplinary board” (in the item descriptor) and this will need to be resolved. </w:t>
      </w:r>
    </w:p>
    <w:p w14:paraId="2BA8A4BE" w14:textId="08B638FB" w:rsidR="00FC2046" w:rsidRPr="00E35BCA" w:rsidRDefault="00FC2046" w:rsidP="000B6C1B">
      <w:pPr>
        <w:pStyle w:val="ListParagraph"/>
        <w:numPr>
          <w:ilvl w:val="0"/>
          <w:numId w:val="38"/>
        </w:numPr>
        <w:ind w:left="284" w:hanging="284"/>
        <w:jc w:val="both"/>
        <w:rPr>
          <w:rFonts w:cs="Calibri"/>
          <w:i/>
          <w:iCs/>
        </w:rPr>
      </w:pPr>
      <w:r w:rsidRPr="00E35BCA">
        <w:rPr>
          <w:rFonts w:cs="Calibri"/>
          <w:i/>
          <w:iCs/>
        </w:rPr>
        <w:t>AANMS feedback was that items 872 &amp; 871 are under-reimbursed.</w:t>
      </w:r>
    </w:p>
    <w:p w14:paraId="21C081BB" w14:textId="349F61A4" w:rsidR="00727083" w:rsidRPr="004C3B98" w:rsidRDefault="004D4938" w:rsidP="000B6C1B">
      <w:pPr>
        <w:jc w:val="both"/>
        <w:rPr>
          <w:i/>
          <w:iCs/>
        </w:rPr>
      </w:pPr>
      <w:r w:rsidRPr="004C3B98">
        <w:rPr>
          <w:rFonts w:cs="Calibri"/>
          <w:i/>
          <w:iCs/>
        </w:rPr>
        <w:t>In its consideration in April</w:t>
      </w:r>
      <w:r w:rsidR="00E47FC2">
        <w:rPr>
          <w:rFonts w:cs="Calibri"/>
          <w:i/>
          <w:iCs/>
        </w:rPr>
        <w:t xml:space="preserve"> 2023</w:t>
      </w:r>
      <w:r w:rsidRPr="004C3B98">
        <w:rPr>
          <w:rFonts w:cs="Calibri"/>
          <w:i/>
          <w:iCs/>
        </w:rPr>
        <w:t xml:space="preserve">, </w:t>
      </w:r>
      <w:r w:rsidR="00727083" w:rsidRPr="004D4938">
        <w:rPr>
          <w:rFonts w:cs="Calibri"/>
          <w:i/>
          <w:iCs/>
        </w:rPr>
        <w:t>PASC discussed the proposed item descriptors in the PICO, those subsequently provided by the applicant, those suggested by the Department and those further proposed by PASC.</w:t>
      </w:r>
    </w:p>
    <w:p w14:paraId="2554A012" w14:textId="7447A098" w:rsidR="00FE20F0" w:rsidRPr="00F75EEE" w:rsidRDefault="00FE20F0" w:rsidP="000B6C1B">
      <w:pPr>
        <w:jc w:val="both"/>
      </w:pPr>
      <w:r w:rsidRPr="00922B1C">
        <w:fldChar w:fldCharType="begin"/>
      </w:r>
      <w:r w:rsidRPr="00922B1C">
        <w:instrText xml:space="preserve"> REF _Ref128654478 \h  \* MERGEFORMAT </w:instrText>
      </w:r>
      <w:r w:rsidRPr="00922B1C">
        <w:fldChar w:fldCharType="separate"/>
      </w:r>
      <w:r w:rsidR="00401046" w:rsidRPr="00ED4E95">
        <w:t xml:space="preserve">Table </w:t>
      </w:r>
      <w:r w:rsidR="00401046">
        <w:rPr>
          <w:noProof/>
        </w:rPr>
        <w:t>10</w:t>
      </w:r>
      <w:r w:rsidRPr="00922B1C">
        <w:fldChar w:fldCharType="end"/>
      </w:r>
      <w:r w:rsidRPr="00922B1C">
        <w:t xml:space="preserve"> presents the MBS item for pre-treatment specialist consultation</w:t>
      </w:r>
      <w:r w:rsidR="00370CB9" w:rsidRPr="00922B1C">
        <w:t>; no changes required or requested</w:t>
      </w:r>
      <w:r w:rsidR="00996AC7" w:rsidRPr="00922B1C">
        <w:t>.</w:t>
      </w:r>
    </w:p>
    <w:p w14:paraId="01A45CF1" w14:textId="6E2E439B" w:rsidR="00FE20F0" w:rsidRPr="00ED4E95" w:rsidRDefault="00FE20F0" w:rsidP="00FE20F0">
      <w:pPr>
        <w:pStyle w:val="Caption"/>
        <w:rPr>
          <w:i/>
          <w:iCs/>
        </w:rPr>
      </w:pPr>
      <w:bookmarkStart w:id="66" w:name="_Ref128654478"/>
      <w:r w:rsidRPr="00ED4E95">
        <w:t xml:space="preserve">Table </w:t>
      </w:r>
      <w:r w:rsidRPr="00ED4E95">
        <w:fldChar w:fldCharType="begin"/>
      </w:r>
      <w:r w:rsidRPr="00ED4E95">
        <w:instrText xml:space="preserve"> SEQ Table \* ARABIC </w:instrText>
      </w:r>
      <w:r w:rsidRPr="00ED4E95">
        <w:fldChar w:fldCharType="separate"/>
      </w:r>
      <w:r w:rsidR="00401046">
        <w:rPr>
          <w:noProof/>
        </w:rPr>
        <w:t>10</w:t>
      </w:r>
      <w:r w:rsidRPr="00ED4E95">
        <w:fldChar w:fldCharType="end"/>
      </w:r>
      <w:bookmarkEnd w:id="66"/>
      <w:r w:rsidRPr="00ED4E95">
        <w:tab/>
        <w:t>MBS item proposed by the applicant for theranostic specialist pre-treatment consultation.</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016"/>
      </w:tblGrid>
      <w:tr w:rsidR="00FE20F0" w:rsidRPr="00ED4E95" w14:paraId="7F8BD570" w14:textId="77777777" w:rsidTr="005A13E2">
        <w:trPr>
          <w:cantSplit/>
          <w:tblHeader/>
        </w:trPr>
        <w:tc>
          <w:tcPr>
            <w:tcW w:w="9016" w:type="dxa"/>
            <w:tcBorders>
              <w:top w:val="single" w:sz="4" w:space="0" w:color="auto"/>
              <w:left w:val="single" w:sz="4" w:space="0" w:color="auto"/>
              <w:bottom w:val="single" w:sz="4" w:space="0" w:color="auto"/>
              <w:right w:val="single" w:sz="4" w:space="0" w:color="auto"/>
            </w:tcBorders>
            <w:hideMark/>
          </w:tcPr>
          <w:p w14:paraId="198E34C9" w14:textId="77777777" w:rsidR="00FE20F0" w:rsidRPr="00ED4E95" w:rsidRDefault="00FE20F0" w:rsidP="005A13E2">
            <w:pPr>
              <w:spacing w:before="40" w:after="40" w:line="240" w:lineRule="auto"/>
              <w:rPr>
                <w:rFonts w:ascii="Arial Narrow" w:hAnsi="Arial Narrow"/>
                <w:b/>
                <w:bCs/>
                <w:sz w:val="20"/>
                <w:szCs w:val="20"/>
              </w:rPr>
            </w:pPr>
            <w:r w:rsidRPr="00ED4E95">
              <w:rPr>
                <w:rFonts w:ascii="Arial Narrow" w:hAnsi="Arial Narrow"/>
                <w:b/>
                <w:bCs/>
                <w:sz w:val="20"/>
                <w:szCs w:val="20"/>
              </w:rPr>
              <w:t>Category 1 – Professional Attendances</w:t>
            </w:r>
          </w:p>
        </w:tc>
      </w:tr>
      <w:tr w:rsidR="00FE20F0" w:rsidRPr="00ED4E95" w14:paraId="4A8235D8" w14:textId="77777777" w:rsidTr="005A13E2">
        <w:trPr>
          <w:cantSplit/>
          <w:tblHeader/>
        </w:trPr>
        <w:tc>
          <w:tcPr>
            <w:tcW w:w="9016" w:type="dxa"/>
            <w:tcBorders>
              <w:top w:val="single" w:sz="4" w:space="0" w:color="auto"/>
              <w:left w:val="single" w:sz="4" w:space="0" w:color="auto"/>
              <w:bottom w:val="single" w:sz="4" w:space="0" w:color="auto"/>
              <w:right w:val="single" w:sz="4" w:space="0" w:color="auto"/>
            </w:tcBorders>
          </w:tcPr>
          <w:p w14:paraId="32882DE6" w14:textId="77777777" w:rsidR="00FE20F0" w:rsidRPr="00ED4E95" w:rsidRDefault="00FE20F0" w:rsidP="005A13E2">
            <w:pPr>
              <w:spacing w:before="120" w:after="120" w:line="240" w:lineRule="auto"/>
              <w:rPr>
                <w:rFonts w:ascii="Arial Narrow" w:hAnsi="Arial Narrow"/>
                <w:sz w:val="20"/>
                <w:szCs w:val="20"/>
              </w:rPr>
            </w:pPr>
            <w:r w:rsidRPr="00ED4E95">
              <w:rPr>
                <w:rFonts w:ascii="Arial Narrow" w:hAnsi="Arial Narrow"/>
                <w:sz w:val="20"/>
                <w:szCs w:val="20"/>
              </w:rPr>
              <w:t>MBS item 110</w:t>
            </w:r>
          </w:p>
          <w:p w14:paraId="2D55AAB2" w14:textId="77777777" w:rsidR="00FE20F0" w:rsidRPr="00ED4E95" w:rsidRDefault="00FE20F0" w:rsidP="005A13E2">
            <w:pPr>
              <w:rPr>
                <w:rFonts w:ascii="Arial Narrow" w:hAnsi="Arial Narrow"/>
                <w:sz w:val="20"/>
                <w:szCs w:val="20"/>
              </w:rPr>
            </w:pPr>
            <w:r w:rsidRPr="00ED4E95">
              <w:rPr>
                <w:rFonts w:ascii="Arial Narrow" w:hAnsi="Arial Narrow"/>
                <w:sz w:val="20"/>
                <w:szCs w:val="20"/>
              </w:rPr>
              <w:t>Professional attendance at consulting rooms or hospital, by a consultant physician in the practice of the consultant physician's specialty (other than psychiatry) following referral of the patient to the consultant physician by a referring practitioner-initial attendance in a single course of treatment.</w:t>
            </w:r>
          </w:p>
        </w:tc>
      </w:tr>
      <w:tr w:rsidR="00FE20F0" w:rsidRPr="00ED4E95" w14:paraId="6068B862" w14:textId="77777777" w:rsidTr="005A13E2">
        <w:trPr>
          <w:cantSplit/>
          <w:tblHeader/>
        </w:trPr>
        <w:tc>
          <w:tcPr>
            <w:tcW w:w="9016" w:type="dxa"/>
            <w:tcBorders>
              <w:top w:val="single" w:sz="4" w:space="0" w:color="auto"/>
              <w:left w:val="single" w:sz="4" w:space="0" w:color="auto"/>
              <w:bottom w:val="single" w:sz="4" w:space="0" w:color="auto"/>
              <w:right w:val="single" w:sz="4" w:space="0" w:color="auto"/>
            </w:tcBorders>
            <w:vAlign w:val="center"/>
          </w:tcPr>
          <w:p w14:paraId="00588EBE" w14:textId="77777777" w:rsidR="00FE20F0" w:rsidRPr="00ED4E95" w:rsidRDefault="00FE20F0" w:rsidP="005A13E2">
            <w:pPr>
              <w:spacing w:before="40" w:after="40" w:line="240" w:lineRule="auto"/>
              <w:rPr>
                <w:rFonts w:ascii="Arial Narrow" w:hAnsi="Arial Narrow"/>
                <w:sz w:val="20"/>
                <w:szCs w:val="20"/>
              </w:rPr>
            </w:pPr>
            <w:r w:rsidRPr="00ED4E95">
              <w:rPr>
                <w:rFonts w:ascii="Arial Narrow" w:hAnsi="Arial Narrow"/>
                <w:sz w:val="20"/>
                <w:szCs w:val="20"/>
              </w:rPr>
              <w:t>Fee: $161.90</w:t>
            </w:r>
          </w:p>
        </w:tc>
      </w:tr>
    </w:tbl>
    <w:p w14:paraId="2C766BA2" w14:textId="77777777" w:rsidR="00FE20F0" w:rsidRPr="00ED4E95" w:rsidRDefault="00FE20F0" w:rsidP="00FE20F0">
      <w:pPr>
        <w:pStyle w:val="Tablenotes"/>
        <w:spacing w:after="0"/>
      </w:pPr>
      <w:r w:rsidRPr="00ED4E95">
        <w:t>Source: MBS online</w:t>
      </w:r>
    </w:p>
    <w:p w14:paraId="560BFA85" w14:textId="5B3C4ECC" w:rsidR="00FE20F0" w:rsidRPr="00ED4E95" w:rsidRDefault="00FE20F0" w:rsidP="00FE20F0">
      <w:pPr>
        <w:pStyle w:val="Tablenotes"/>
        <w:spacing w:after="240"/>
      </w:pPr>
      <w:r w:rsidRPr="00ED4E95">
        <w:t>Abbreviations: MBS = Medicare Benefits Schedule</w:t>
      </w:r>
    </w:p>
    <w:p w14:paraId="33A7C9F8" w14:textId="56CFF488" w:rsidR="00D71A24" w:rsidRPr="00ED4E95" w:rsidRDefault="00D71A24" w:rsidP="000B6C1B">
      <w:pPr>
        <w:jc w:val="both"/>
      </w:pPr>
      <w:r w:rsidRPr="00ED4E95">
        <w:t xml:space="preserve">For administration of </w:t>
      </w:r>
      <w:r w:rsidRPr="00ED4E95">
        <w:rPr>
          <w:vertAlign w:val="superscript"/>
        </w:rPr>
        <w:t>177</w:t>
      </w:r>
      <w:r w:rsidRPr="00ED4E95">
        <w:t>Lu</w:t>
      </w:r>
      <w:r w:rsidR="00F75EEE">
        <w:t>-DOTA-</w:t>
      </w:r>
      <w:r w:rsidRPr="00ED4E95">
        <w:t xml:space="preserve">Octreotate, the application proposed amendment to MBS item 13950 for administration, see </w:t>
      </w:r>
      <w:r w:rsidRPr="00ED4E95">
        <w:fldChar w:fldCharType="begin"/>
      </w:r>
      <w:r w:rsidRPr="00ED4E95">
        <w:instrText xml:space="preserve"> REF _Ref128654656 \h </w:instrText>
      </w:r>
      <w:r w:rsidR="00ED4E95">
        <w:instrText xml:space="preserve"> \* MERGEFORMAT </w:instrText>
      </w:r>
      <w:r w:rsidRPr="00ED4E95">
        <w:fldChar w:fldCharType="separate"/>
      </w:r>
      <w:r w:rsidR="00401046" w:rsidRPr="00ED4E95">
        <w:t xml:space="preserve">Table </w:t>
      </w:r>
      <w:r w:rsidR="00401046">
        <w:rPr>
          <w:noProof/>
        </w:rPr>
        <w:t>11</w:t>
      </w:r>
      <w:r w:rsidRPr="00ED4E95">
        <w:fldChar w:fldCharType="end"/>
      </w:r>
      <w:r w:rsidRPr="00ED4E95">
        <w:t>.</w:t>
      </w:r>
    </w:p>
    <w:p w14:paraId="538335FF" w14:textId="08B633DF" w:rsidR="00FE20F0" w:rsidRPr="00ED4E95" w:rsidRDefault="00FE20F0" w:rsidP="00FE20F0">
      <w:pPr>
        <w:pStyle w:val="Caption"/>
        <w:rPr>
          <w:i/>
          <w:iCs/>
        </w:rPr>
      </w:pPr>
      <w:bookmarkStart w:id="67" w:name="_Ref128654656"/>
      <w:r w:rsidRPr="00ED4E95">
        <w:t xml:space="preserve">Table </w:t>
      </w:r>
      <w:r w:rsidRPr="00ED4E95">
        <w:fldChar w:fldCharType="begin"/>
      </w:r>
      <w:r w:rsidRPr="00ED4E95">
        <w:instrText xml:space="preserve"> SEQ Table \* ARABIC </w:instrText>
      </w:r>
      <w:r w:rsidRPr="00ED4E95">
        <w:fldChar w:fldCharType="separate"/>
      </w:r>
      <w:r w:rsidR="00401046">
        <w:rPr>
          <w:noProof/>
        </w:rPr>
        <w:t>11</w:t>
      </w:r>
      <w:r w:rsidRPr="00ED4E95">
        <w:fldChar w:fldCharType="end"/>
      </w:r>
      <w:bookmarkEnd w:id="67"/>
      <w:r w:rsidRPr="00ED4E95">
        <w:tab/>
        <w:t xml:space="preserve">Current and proposed MBS item for administration of </w:t>
      </w:r>
      <w:r w:rsidRPr="00ED4E95">
        <w:rPr>
          <w:vertAlign w:val="superscript"/>
        </w:rPr>
        <w:t>177</w:t>
      </w:r>
      <w:r w:rsidRPr="00ED4E95">
        <w:t>Lu</w:t>
      </w:r>
      <w:r w:rsidR="00F75EEE">
        <w:t>-</w:t>
      </w:r>
      <w:r w:rsidR="001C03D0">
        <w:t>DOTA-octreotate</w:t>
      </w:r>
      <w:r w:rsidRPr="00ED4E95">
        <w:t xml:space="preserve"> treatment </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4785"/>
        <w:gridCol w:w="4786"/>
      </w:tblGrid>
      <w:tr w:rsidR="00FE20F0" w:rsidRPr="00ED4E95" w14:paraId="41C689DF" w14:textId="77777777" w:rsidTr="005A13E2">
        <w:trPr>
          <w:cantSplit/>
          <w:tblHeader/>
        </w:trPr>
        <w:tc>
          <w:tcPr>
            <w:tcW w:w="4785" w:type="dxa"/>
            <w:tcBorders>
              <w:top w:val="single" w:sz="4" w:space="0" w:color="auto"/>
              <w:left w:val="single" w:sz="4" w:space="0" w:color="auto"/>
              <w:bottom w:val="single" w:sz="4" w:space="0" w:color="auto"/>
              <w:right w:val="single" w:sz="4" w:space="0" w:color="auto"/>
            </w:tcBorders>
            <w:hideMark/>
          </w:tcPr>
          <w:p w14:paraId="6BBB4A94" w14:textId="77777777" w:rsidR="00FE20F0" w:rsidRPr="00ED4E95" w:rsidRDefault="00FE20F0" w:rsidP="005A13E2">
            <w:pPr>
              <w:spacing w:before="40" w:after="40" w:line="240" w:lineRule="auto"/>
              <w:rPr>
                <w:rFonts w:ascii="Arial Narrow" w:hAnsi="Arial Narrow"/>
                <w:b/>
                <w:bCs/>
                <w:sz w:val="20"/>
                <w:szCs w:val="20"/>
              </w:rPr>
            </w:pPr>
            <w:r w:rsidRPr="00ED4E95">
              <w:rPr>
                <w:rFonts w:ascii="Arial Narrow" w:hAnsi="Arial Narrow"/>
                <w:b/>
                <w:bCs/>
                <w:sz w:val="20"/>
                <w:szCs w:val="20"/>
              </w:rPr>
              <w:t>Category 3 – Therapeutic Procedures</w:t>
            </w:r>
          </w:p>
        </w:tc>
        <w:tc>
          <w:tcPr>
            <w:tcW w:w="4786" w:type="dxa"/>
            <w:tcBorders>
              <w:top w:val="single" w:sz="4" w:space="0" w:color="auto"/>
              <w:left w:val="single" w:sz="4" w:space="0" w:color="auto"/>
              <w:bottom w:val="single" w:sz="4" w:space="0" w:color="auto"/>
              <w:right w:val="single" w:sz="4" w:space="0" w:color="auto"/>
            </w:tcBorders>
          </w:tcPr>
          <w:p w14:paraId="0B2912E5" w14:textId="0BC28039" w:rsidR="00FE20F0" w:rsidRPr="00922B1C" w:rsidRDefault="00FE20F0" w:rsidP="005A13E2">
            <w:pPr>
              <w:spacing w:before="40" w:after="40" w:line="240" w:lineRule="auto"/>
              <w:rPr>
                <w:rFonts w:ascii="Arial Narrow" w:hAnsi="Arial Narrow"/>
                <w:b/>
                <w:bCs/>
                <w:sz w:val="20"/>
                <w:szCs w:val="20"/>
              </w:rPr>
            </w:pPr>
            <w:r w:rsidRPr="00922B1C">
              <w:rPr>
                <w:rFonts w:ascii="Arial Narrow" w:hAnsi="Arial Narrow"/>
                <w:b/>
                <w:bCs/>
                <w:sz w:val="20"/>
                <w:szCs w:val="20"/>
              </w:rPr>
              <w:t>Proposed amendment</w:t>
            </w:r>
            <w:r w:rsidR="006A59DF" w:rsidRPr="00922B1C">
              <w:rPr>
                <w:rFonts w:ascii="Arial Narrow" w:hAnsi="Arial Narrow"/>
                <w:b/>
                <w:bCs/>
                <w:sz w:val="20"/>
                <w:szCs w:val="20"/>
              </w:rPr>
              <w:t xml:space="preserve">, if any </w:t>
            </w:r>
          </w:p>
        </w:tc>
      </w:tr>
      <w:tr w:rsidR="00FE20F0" w:rsidRPr="00ED4E95" w14:paraId="41829D8F" w14:textId="77777777" w:rsidTr="005A13E2">
        <w:trPr>
          <w:cantSplit/>
          <w:tblHeader/>
        </w:trPr>
        <w:tc>
          <w:tcPr>
            <w:tcW w:w="4785" w:type="dxa"/>
            <w:tcBorders>
              <w:top w:val="single" w:sz="4" w:space="0" w:color="auto"/>
              <w:left w:val="single" w:sz="4" w:space="0" w:color="auto"/>
              <w:bottom w:val="single" w:sz="4" w:space="0" w:color="auto"/>
              <w:right w:val="single" w:sz="4" w:space="0" w:color="auto"/>
            </w:tcBorders>
          </w:tcPr>
          <w:p w14:paraId="78A41011" w14:textId="77777777" w:rsidR="00FE20F0" w:rsidRPr="00ED4E95" w:rsidRDefault="00FE20F0" w:rsidP="005A13E2">
            <w:pPr>
              <w:spacing w:before="120" w:after="120" w:line="240" w:lineRule="auto"/>
              <w:rPr>
                <w:rFonts w:ascii="Arial Narrow" w:hAnsi="Arial Narrow"/>
                <w:sz w:val="20"/>
                <w:szCs w:val="20"/>
              </w:rPr>
            </w:pPr>
            <w:r w:rsidRPr="00ED4E95">
              <w:rPr>
                <w:rFonts w:ascii="Arial Narrow" w:hAnsi="Arial Narrow"/>
                <w:sz w:val="20"/>
                <w:szCs w:val="20"/>
              </w:rPr>
              <w:t>MBS item 13950</w:t>
            </w:r>
          </w:p>
          <w:p w14:paraId="49095722" w14:textId="77777777" w:rsidR="00FE20F0" w:rsidRPr="00ED4E95" w:rsidRDefault="00FE20F0" w:rsidP="005A13E2">
            <w:pPr>
              <w:rPr>
                <w:rFonts w:ascii="Arial Narrow" w:hAnsi="Arial Narrow"/>
                <w:sz w:val="20"/>
                <w:szCs w:val="20"/>
              </w:rPr>
            </w:pPr>
            <w:r w:rsidRPr="00ED4E95">
              <w:rPr>
                <w:rFonts w:ascii="Arial Narrow" w:hAnsi="Arial Narrow"/>
                <w:sz w:val="20"/>
                <w:szCs w:val="20"/>
              </w:rPr>
              <w:t>Parenteral administration of one or more antineoplastic agents, including agents used in cytotoxic chemotherapy or monoclonal antibody therapy but not agents used in anti-resorptive bone therapy or hormonal therapy, by or on behalf of a specialist or consultant physician—attendance for one or more episodes of administration.</w:t>
            </w:r>
          </w:p>
        </w:tc>
        <w:tc>
          <w:tcPr>
            <w:tcW w:w="4786" w:type="dxa"/>
            <w:tcBorders>
              <w:top w:val="single" w:sz="4" w:space="0" w:color="auto"/>
              <w:left w:val="single" w:sz="4" w:space="0" w:color="auto"/>
              <w:bottom w:val="single" w:sz="4" w:space="0" w:color="auto"/>
              <w:right w:val="single" w:sz="4" w:space="0" w:color="auto"/>
            </w:tcBorders>
          </w:tcPr>
          <w:p w14:paraId="0E573D09" w14:textId="77777777" w:rsidR="00727083" w:rsidRPr="00922B1C" w:rsidRDefault="00727083" w:rsidP="00727083">
            <w:pPr>
              <w:spacing w:before="120" w:after="120" w:line="240" w:lineRule="auto"/>
              <w:rPr>
                <w:rFonts w:ascii="Arial Narrow" w:hAnsi="Arial Narrow"/>
                <w:sz w:val="20"/>
                <w:szCs w:val="20"/>
              </w:rPr>
            </w:pPr>
            <w:r w:rsidRPr="00922B1C">
              <w:rPr>
                <w:rFonts w:ascii="Arial Narrow" w:hAnsi="Arial Narrow"/>
                <w:sz w:val="20"/>
                <w:szCs w:val="20"/>
              </w:rPr>
              <w:t>MBS item XXXX</w:t>
            </w:r>
          </w:p>
          <w:p w14:paraId="0660900B" w14:textId="43CD4BA0" w:rsidR="00FE20F0" w:rsidRPr="00922B1C" w:rsidRDefault="00727083" w:rsidP="00727083">
            <w:pPr>
              <w:spacing w:before="120" w:after="120" w:line="240" w:lineRule="auto"/>
              <w:rPr>
                <w:rFonts w:ascii="Arial Narrow" w:hAnsi="Arial Narrow"/>
                <w:sz w:val="20"/>
                <w:szCs w:val="20"/>
              </w:rPr>
            </w:pPr>
            <w:r w:rsidRPr="00727083">
              <w:rPr>
                <w:rFonts w:ascii="Arial Narrow" w:hAnsi="Arial Narrow"/>
                <w:sz w:val="20"/>
                <w:szCs w:val="20"/>
              </w:rPr>
              <w:t>Parenteral administration of radiopharmaceutical therapy with attendance by a credentialled Theranostic specialist for one  episode of administration.</w:t>
            </w:r>
          </w:p>
        </w:tc>
      </w:tr>
      <w:tr w:rsidR="00FE20F0" w:rsidRPr="00ED4E95" w14:paraId="007642BA" w14:textId="77777777" w:rsidTr="005A13E2">
        <w:trPr>
          <w:cantSplit/>
          <w:tblHeader/>
        </w:trPr>
        <w:tc>
          <w:tcPr>
            <w:tcW w:w="4785" w:type="dxa"/>
            <w:tcBorders>
              <w:top w:val="single" w:sz="4" w:space="0" w:color="auto"/>
              <w:left w:val="single" w:sz="4" w:space="0" w:color="auto"/>
              <w:bottom w:val="single" w:sz="4" w:space="0" w:color="auto"/>
              <w:right w:val="single" w:sz="4" w:space="0" w:color="auto"/>
            </w:tcBorders>
            <w:vAlign w:val="center"/>
          </w:tcPr>
          <w:p w14:paraId="4AE34D31" w14:textId="77777777" w:rsidR="00FE20F0" w:rsidRPr="00ED4E95" w:rsidRDefault="00FE20F0" w:rsidP="005A13E2">
            <w:pPr>
              <w:spacing w:before="40" w:after="40" w:line="240" w:lineRule="auto"/>
              <w:rPr>
                <w:rFonts w:ascii="Arial Narrow" w:hAnsi="Arial Narrow"/>
                <w:sz w:val="20"/>
                <w:szCs w:val="20"/>
              </w:rPr>
            </w:pPr>
            <w:r w:rsidRPr="00ED4E95">
              <w:rPr>
                <w:rFonts w:ascii="Arial Narrow" w:hAnsi="Arial Narrow"/>
                <w:sz w:val="20"/>
                <w:szCs w:val="20"/>
              </w:rPr>
              <w:t>Fee: $114.20</w:t>
            </w:r>
          </w:p>
        </w:tc>
        <w:tc>
          <w:tcPr>
            <w:tcW w:w="4786" w:type="dxa"/>
            <w:tcBorders>
              <w:top w:val="single" w:sz="4" w:space="0" w:color="auto"/>
              <w:left w:val="single" w:sz="4" w:space="0" w:color="auto"/>
              <w:bottom w:val="single" w:sz="4" w:space="0" w:color="auto"/>
              <w:right w:val="single" w:sz="4" w:space="0" w:color="auto"/>
            </w:tcBorders>
            <w:vAlign w:val="center"/>
          </w:tcPr>
          <w:p w14:paraId="0D152D44" w14:textId="133FE704" w:rsidR="00FE20F0" w:rsidRPr="00922B1C" w:rsidRDefault="00FE20F0" w:rsidP="005A13E2">
            <w:pPr>
              <w:spacing w:before="40" w:after="40" w:line="240" w:lineRule="auto"/>
              <w:rPr>
                <w:rFonts w:ascii="Arial Narrow" w:hAnsi="Arial Narrow"/>
                <w:sz w:val="20"/>
                <w:szCs w:val="20"/>
              </w:rPr>
            </w:pPr>
            <w:r w:rsidRPr="00922B1C">
              <w:rPr>
                <w:rFonts w:ascii="Arial Narrow" w:hAnsi="Arial Narrow"/>
                <w:sz w:val="20"/>
                <w:szCs w:val="20"/>
              </w:rPr>
              <w:t>Fee: $</w:t>
            </w:r>
            <w:r w:rsidR="00727083" w:rsidRPr="00922B1C">
              <w:rPr>
                <w:rFonts w:ascii="Arial Narrow" w:hAnsi="Arial Narrow"/>
                <w:sz w:val="20"/>
                <w:szCs w:val="20"/>
              </w:rPr>
              <w:t>114.20</w:t>
            </w:r>
          </w:p>
        </w:tc>
      </w:tr>
    </w:tbl>
    <w:p w14:paraId="53EA95D0" w14:textId="7E229F76" w:rsidR="00FE20F0" w:rsidRPr="00ED4E95" w:rsidRDefault="00FE20F0" w:rsidP="00FE20F0">
      <w:pPr>
        <w:pStyle w:val="Tablenotes"/>
        <w:spacing w:after="0"/>
      </w:pPr>
      <w:r w:rsidRPr="00ED4E95">
        <w:t>Source: MBS online</w:t>
      </w:r>
      <w:r w:rsidR="00F77575">
        <w:t xml:space="preserve">; </w:t>
      </w:r>
      <w:r w:rsidR="00755AB3">
        <w:t>episode</w:t>
      </w:r>
      <w:r w:rsidR="00F77575">
        <w:t>=cycle</w:t>
      </w:r>
    </w:p>
    <w:p w14:paraId="698227E6" w14:textId="77777777" w:rsidR="00FE20F0" w:rsidRPr="00ED4E95" w:rsidRDefault="00FE20F0" w:rsidP="00FE20F0">
      <w:pPr>
        <w:pStyle w:val="Tablenotes"/>
        <w:spacing w:after="240"/>
      </w:pPr>
      <w:r w:rsidRPr="00ED4E95">
        <w:t>Abbreviations: MBS = Medicare Benefits Schedule</w:t>
      </w:r>
    </w:p>
    <w:p w14:paraId="09F08CC1" w14:textId="5A990F11" w:rsidR="00D71A24" w:rsidRPr="00922B1C" w:rsidRDefault="00D71A24" w:rsidP="000B6C1B">
      <w:pPr>
        <w:jc w:val="both"/>
      </w:pPr>
      <w:r w:rsidRPr="00922B1C">
        <w:t xml:space="preserve">Notably, the descriptor for MBS item 13950 currently includes parenteral administration of antineoplastic agents such as agents used in cytotoxic chemotherapy or monoclonal antibody therapy and does not include radionuclide therapy (see </w:t>
      </w:r>
      <w:r w:rsidRPr="00922B1C">
        <w:fldChar w:fldCharType="begin"/>
      </w:r>
      <w:r w:rsidRPr="00922B1C">
        <w:instrText xml:space="preserve"> REF _Ref128654656 \h  \* MERGEFORMAT </w:instrText>
      </w:r>
      <w:r w:rsidRPr="00922B1C">
        <w:fldChar w:fldCharType="separate"/>
      </w:r>
      <w:r w:rsidR="00401046" w:rsidRPr="00ED4E95">
        <w:t xml:space="preserve">Table </w:t>
      </w:r>
      <w:r w:rsidR="00401046">
        <w:rPr>
          <w:noProof/>
        </w:rPr>
        <w:t>11</w:t>
      </w:r>
      <w:r w:rsidRPr="00922B1C">
        <w:fldChar w:fldCharType="end"/>
      </w:r>
      <w:r w:rsidRPr="00922B1C">
        <w:t xml:space="preserve"> under Proposal for public funding). In further discussions, the applicant highlighted the cost for supervision and administration per cycle of radionuclide therapy could be bundled. </w:t>
      </w:r>
    </w:p>
    <w:p w14:paraId="701BC607" w14:textId="72B6EA0C" w:rsidR="00484D15" w:rsidRPr="00727083" w:rsidRDefault="004D4938" w:rsidP="000B6C1B">
      <w:pPr>
        <w:jc w:val="both"/>
      </w:pPr>
      <w:r w:rsidRPr="004C3B98">
        <w:rPr>
          <w:rFonts w:cs="Calibri"/>
          <w:i/>
          <w:iCs/>
        </w:rPr>
        <w:lastRenderedPageBreak/>
        <w:t xml:space="preserve">At the April </w:t>
      </w:r>
      <w:r w:rsidR="00E47FC2">
        <w:rPr>
          <w:rFonts w:cs="Calibri"/>
          <w:i/>
          <w:iCs/>
        </w:rPr>
        <w:t xml:space="preserve">2023 </w:t>
      </w:r>
      <w:r w:rsidRPr="004C3B98">
        <w:rPr>
          <w:rFonts w:cs="Calibri"/>
          <w:i/>
          <w:iCs/>
        </w:rPr>
        <w:t xml:space="preserve">meeting, </w:t>
      </w:r>
      <w:r w:rsidR="00185FDB" w:rsidRPr="004D4938">
        <w:rPr>
          <w:rFonts w:cs="Calibri"/>
          <w:i/>
          <w:iCs/>
        </w:rPr>
        <w:t xml:space="preserve">PASC noted the applicant’s amendment to item 13950 to include “Parenteral administration of radiopharmaceutical therapy with attendance by a credentialled Theranostic specialist for one episode of administration”. </w:t>
      </w:r>
      <w:r w:rsidR="00837033" w:rsidRPr="004D4938">
        <w:rPr>
          <w:rFonts w:asciiTheme="minorHAnsi" w:hAnsiTheme="minorHAnsi" w:cstheme="minorBidi"/>
          <w:i/>
          <w:iCs/>
        </w:rPr>
        <w:t>However, PASC noted that, for Application 1686 (</w:t>
      </w:r>
      <w:r w:rsidR="00837033" w:rsidRPr="004D4938">
        <w:rPr>
          <w:rFonts w:asciiTheme="minorHAnsi" w:hAnsiTheme="minorHAnsi" w:cstheme="minorBidi"/>
          <w:i/>
          <w:iCs/>
          <w:vertAlign w:val="superscript"/>
        </w:rPr>
        <w:t>177</w:t>
      </w:r>
      <w:r w:rsidR="00837033" w:rsidRPr="004D4938">
        <w:rPr>
          <w:rFonts w:asciiTheme="minorHAnsi" w:hAnsiTheme="minorHAnsi" w:cstheme="minorBidi"/>
          <w:i/>
          <w:iCs/>
        </w:rPr>
        <w:t>Lutetium PSMA I&amp;T for metastatic castrate resistant prostate cancer</w:t>
      </w:r>
      <w:r w:rsidR="00837033" w:rsidRPr="004D4938">
        <w:rPr>
          <w:rFonts w:cs="Calibri"/>
          <w:i/>
          <w:iCs/>
        </w:rPr>
        <w:t xml:space="preserve">), MSAC advised that the cost of radiopharmaceutical administration should be included in the item fee; PASC considered that the cost of </w:t>
      </w:r>
      <w:r w:rsidR="00837033" w:rsidRPr="004D4938">
        <w:rPr>
          <w:rFonts w:cs="Calibri"/>
          <w:i/>
          <w:iCs/>
          <w:vertAlign w:val="superscript"/>
        </w:rPr>
        <w:t>177</w:t>
      </w:r>
      <w:r w:rsidR="00837033" w:rsidRPr="004D4938">
        <w:rPr>
          <w:rFonts w:cs="Calibri"/>
          <w:i/>
          <w:iCs/>
        </w:rPr>
        <w:t>Lu-</w:t>
      </w:r>
      <w:r w:rsidR="001C03D0" w:rsidRPr="004D4938">
        <w:rPr>
          <w:rFonts w:cs="Calibri"/>
          <w:i/>
          <w:iCs/>
        </w:rPr>
        <w:t>DOTA-</w:t>
      </w:r>
      <w:r w:rsidR="00110D5F" w:rsidRPr="004D4938">
        <w:rPr>
          <w:rFonts w:cs="Calibri"/>
          <w:i/>
          <w:iCs/>
        </w:rPr>
        <w:t xml:space="preserve">octreotate </w:t>
      </w:r>
      <w:r w:rsidR="00837033" w:rsidRPr="004D4938">
        <w:rPr>
          <w:rFonts w:cs="Calibri"/>
          <w:i/>
          <w:iCs/>
        </w:rPr>
        <w:t>administration should also be included in the item fee for the treatment</w:t>
      </w:r>
      <w:r w:rsidR="00837033" w:rsidRPr="004C3B98">
        <w:rPr>
          <w:rFonts w:cs="Calibri"/>
        </w:rPr>
        <w:t xml:space="preserve"> (see last dot point following </w:t>
      </w:r>
      <w:r w:rsidR="00962542">
        <w:rPr>
          <w:rFonts w:cs="Calibri"/>
        </w:rPr>
        <w:fldChar w:fldCharType="begin"/>
      </w:r>
      <w:r w:rsidR="00962542">
        <w:rPr>
          <w:rFonts w:cs="Calibri"/>
        </w:rPr>
        <w:instrText xml:space="preserve"> REF _Ref130353551 \h </w:instrText>
      </w:r>
      <w:r w:rsidR="000B6C1B">
        <w:rPr>
          <w:rFonts w:cs="Calibri"/>
        </w:rPr>
        <w:instrText xml:space="preserve"> \* MERGEFORMAT </w:instrText>
      </w:r>
      <w:r w:rsidR="00962542">
        <w:rPr>
          <w:rFonts w:cs="Calibri"/>
        </w:rPr>
      </w:r>
      <w:r w:rsidR="00962542">
        <w:rPr>
          <w:rFonts w:cs="Calibri"/>
        </w:rPr>
        <w:fldChar w:fldCharType="separate"/>
      </w:r>
      <w:r w:rsidR="00401046" w:rsidRPr="00ED4E95">
        <w:t xml:space="preserve">Table </w:t>
      </w:r>
      <w:r w:rsidR="00401046">
        <w:rPr>
          <w:noProof/>
        </w:rPr>
        <w:t>15</w:t>
      </w:r>
      <w:r w:rsidR="00962542">
        <w:rPr>
          <w:rFonts w:cs="Calibri"/>
        </w:rPr>
        <w:fldChar w:fldCharType="end"/>
      </w:r>
      <w:r w:rsidR="00837033" w:rsidRPr="00F77575">
        <w:rPr>
          <w:rFonts w:cs="Calibri"/>
        </w:rPr>
        <w:t>).</w:t>
      </w:r>
      <w:r w:rsidR="00864AF6">
        <w:rPr>
          <w:rFonts w:cs="Calibri"/>
          <w:i/>
          <w:iCs/>
        </w:rPr>
        <w:t xml:space="preserve"> </w:t>
      </w:r>
      <w:r w:rsidR="00484D15" w:rsidRPr="00ED4E95">
        <w:fldChar w:fldCharType="begin"/>
      </w:r>
      <w:r w:rsidR="00484D15" w:rsidRPr="00ED4E95">
        <w:instrText xml:space="preserve"> REF _Ref128653217 \h </w:instrText>
      </w:r>
      <w:r w:rsidR="00ED4E95">
        <w:instrText xml:space="preserve"> \* MERGEFORMAT </w:instrText>
      </w:r>
      <w:r w:rsidR="00484D15" w:rsidRPr="00ED4E95">
        <w:fldChar w:fldCharType="separate"/>
      </w:r>
      <w:r w:rsidR="00401046" w:rsidRPr="00ED4E95">
        <w:t xml:space="preserve">Table </w:t>
      </w:r>
      <w:r w:rsidR="00401046">
        <w:rPr>
          <w:noProof/>
        </w:rPr>
        <w:t>12</w:t>
      </w:r>
      <w:r w:rsidR="00484D15" w:rsidRPr="00ED4E95">
        <w:fldChar w:fldCharType="end"/>
      </w:r>
      <w:r w:rsidR="00484D15" w:rsidRPr="00ED4E95">
        <w:t xml:space="preserve"> below shows the current MBS item descriptors for </w:t>
      </w:r>
      <w:r w:rsidR="00484D15" w:rsidRPr="00ED4E95">
        <w:rPr>
          <w:vertAlign w:val="superscript"/>
        </w:rPr>
        <w:t>68</w:t>
      </w:r>
      <w:r w:rsidR="00484D15" w:rsidRPr="00ED4E95">
        <w:t>Ga</w:t>
      </w:r>
      <w:r w:rsidR="00727083">
        <w:t xml:space="preserve"> DOTA peptide </w:t>
      </w:r>
      <w:r w:rsidR="00484D15" w:rsidRPr="00ED4E95">
        <w:t>PET imaging</w:t>
      </w:r>
      <w:r w:rsidR="00D71A24" w:rsidRPr="00ED4E95">
        <w:t xml:space="preserve"> (item 61647) and the additions proposed by the applicant to allow for its intended use</w:t>
      </w:r>
      <w:r w:rsidR="00484D15" w:rsidRPr="00ED4E95">
        <w:t>.</w:t>
      </w:r>
      <w:r w:rsidR="00D71A24" w:rsidRPr="00ED4E95">
        <w:t xml:space="preserve"> Item 61647 is often billed with item 61505</w:t>
      </w:r>
      <w:r w:rsidR="00D71A24" w:rsidRPr="00727083">
        <w:t xml:space="preserve">, </w:t>
      </w:r>
      <w:r w:rsidR="00D71A24" w:rsidRPr="00922B1C">
        <w:t>it is considered that the wording for item 61505 would not require amendment.</w:t>
      </w:r>
      <w:r w:rsidR="0098465D">
        <w:t xml:space="preserve"> </w:t>
      </w:r>
    </w:p>
    <w:p w14:paraId="7488FDBD" w14:textId="6C7EFFF4" w:rsidR="00484D15" w:rsidRPr="00ED4E95" w:rsidRDefault="00484D15" w:rsidP="00484D15">
      <w:pPr>
        <w:pStyle w:val="Caption"/>
      </w:pPr>
      <w:bookmarkStart w:id="68" w:name="_Ref128653217"/>
      <w:r w:rsidRPr="00ED4E95">
        <w:t xml:space="preserve">Table </w:t>
      </w:r>
      <w:r w:rsidRPr="00ED4E95">
        <w:fldChar w:fldCharType="begin"/>
      </w:r>
      <w:r w:rsidRPr="00ED4E95">
        <w:instrText xml:space="preserve"> SEQ Table \* ARABIC </w:instrText>
      </w:r>
      <w:r w:rsidRPr="00ED4E95">
        <w:fldChar w:fldCharType="separate"/>
      </w:r>
      <w:r w:rsidR="00401046">
        <w:rPr>
          <w:noProof/>
        </w:rPr>
        <w:t>12</w:t>
      </w:r>
      <w:r w:rsidRPr="00ED4E95">
        <w:fldChar w:fldCharType="end"/>
      </w:r>
      <w:bookmarkEnd w:id="68"/>
      <w:r w:rsidRPr="00ED4E95">
        <w:tab/>
        <w:t xml:space="preserve">Current and proposed MBS items for </w:t>
      </w:r>
      <w:r w:rsidR="00CC1BC2" w:rsidRPr="00ED4E95">
        <w:rPr>
          <w:vertAlign w:val="superscript"/>
        </w:rPr>
        <w:t>68</w:t>
      </w:r>
      <w:r w:rsidR="00CC1BC2" w:rsidRPr="00ED4E95">
        <w:t>Ga</w:t>
      </w:r>
      <w:r w:rsidR="00727083">
        <w:t xml:space="preserve"> </w:t>
      </w:r>
      <w:r w:rsidR="00CC1BC2" w:rsidRPr="00ED4E95">
        <w:t xml:space="preserve">DOTA </w:t>
      </w:r>
      <w:r w:rsidR="00727083">
        <w:t xml:space="preserve">peptide </w:t>
      </w:r>
      <w:r w:rsidRPr="00ED4E95">
        <w:t xml:space="preserve">PET </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4798"/>
        <w:gridCol w:w="4773"/>
      </w:tblGrid>
      <w:tr w:rsidR="00484D15" w:rsidRPr="00ED4E95" w14:paraId="32622B34" w14:textId="77777777" w:rsidTr="00E72172">
        <w:trPr>
          <w:cantSplit/>
          <w:tblHeader/>
        </w:trPr>
        <w:tc>
          <w:tcPr>
            <w:tcW w:w="4798" w:type="dxa"/>
            <w:tcBorders>
              <w:top w:val="single" w:sz="4" w:space="0" w:color="auto"/>
              <w:left w:val="single" w:sz="4" w:space="0" w:color="auto"/>
              <w:bottom w:val="single" w:sz="4" w:space="0" w:color="auto"/>
              <w:right w:val="single" w:sz="4" w:space="0" w:color="auto"/>
            </w:tcBorders>
            <w:hideMark/>
          </w:tcPr>
          <w:p w14:paraId="467B3DF6" w14:textId="77777777" w:rsidR="00484D15" w:rsidRPr="00ED4E95" w:rsidRDefault="00484D15" w:rsidP="000717D5">
            <w:pPr>
              <w:spacing w:before="40" w:after="40" w:line="240" w:lineRule="auto"/>
              <w:rPr>
                <w:rFonts w:ascii="Arial Narrow" w:hAnsi="Arial Narrow"/>
                <w:b/>
                <w:bCs/>
                <w:sz w:val="20"/>
                <w:szCs w:val="20"/>
              </w:rPr>
            </w:pPr>
            <w:r w:rsidRPr="00ED4E95">
              <w:rPr>
                <w:rFonts w:ascii="Arial Narrow" w:hAnsi="Arial Narrow"/>
                <w:b/>
                <w:bCs/>
                <w:sz w:val="20"/>
                <w:szCs w:val="20"/>
              </w:rPr>
              <w:t>Category 5 – Diagnostic Imaging Services</w:t>
            </w:r>
          </w:p>
        </w:tc>
        <w:tc>
          <w:tcPr>
            <w:tcW w:w="4773" w:type="dxa"/>
            <w:tcBorders>
              <w:top w:val="single" w:sz="4" w:space="0" w:color="auto"/>
              <w:left w:val="single" w:sz="4" w:space="0" w:color="auto"/>
              <w:bottom w:val="single" w:sz="4" w:space="0" w:color="auto"/>
              <w:right w:val="single" w:sz="4" w:space="0" w:color="auto"/>
            </w:tcBorders>
          </w:tcPr>
          <w:p w14:paraId="0104DB6A" w14:textId="61C6BD07" w:rsidR="00484D15" w:rsidRPr="00922B1C" w:rsidRDefault="00484D15" w:rsidP="000717D5">
            <w:pPr>
              <w:spacing w:before="40" w:after="40" w:line="240" w:lineRule="auto"/>
              <w:rPr>
                <w:rFonts w:ascii="Arial Narrow" w:hAnsi="Arial Narrow"/>
                <w:b/>
                <w:bCs/>
                <w:sz w:val="20"/>
                <w:szCs w:val="20"/>
              </w:rPr>
            </w:pPr>
            <w:r w:rsidRPr="00922B1C">
              <w:rPr>
                <w:rFonts w:ascii="Arial Narrow" w:hAnsi="Arial Narrow"/>
                <w:b/>
                <w:bCs/>
                <w:sz w:val="20"/>
                <w:szCs w:val="20"/>
              </w:rPr>
              <w:t xml:space="preserve">Proposed </w:t>
            </w:r>
            <w:r w:rsidR="00D71A24" w:rsidRPr="00922B1C">
              <w:rPr>
                <w:rFonts w:ascii="Arial Narrow" w:hAnsi="Arial Narrow"/>
                <w:b/>
                <w:bCs/>
                <w:sz w:val="20"/>
                <w:szCs w:val="20"/>
              </w:rPr>
              <w:t xml:space="preserve">addition </w:t>
            </w:r>
          </w:p>
        </w:tc>
      </w:tr>
      <w:tr w:rsidR="00484D15" w:rsidRPr="00ED4E95" w14:paraId="23D7815E" w14:textId="77777777" w:rsidTr="00E72172">
        <w:trPr>
          <w:cantSplit/>
          <w:tblHeader/>
        </w:trPr>
        <w:tc>
          <w:tcPr>
            <w:tcW w:w="4798" w:type="dxa"/>
            <w:tcBorders>
              <w:top w:val="single" w:sz="4" w:space="0" w:color="auto"/>
              <w:left w:val="single" w:sz="4" w:space="0" w:color="auto"/>
              <w:bottom w:val="single" w:sz="4" w:space="0" w:color="auto"/>
              <w:right w:val="single" w:sz="4" w:space="0" w:color="auto"/>
            </w:tcBorders>
          </w:tcPr>
          <w:p w14:paraId="7B203E7C" w14:textId="77777777" w:rsidR="00484D15" w:rsidRPr="00ED4E95" w:rsidRDefault="00484D15" w:rsidP="007B0205">
            <w:pPr>
              <w:spacing w:before="120" w:after="120" w:line="240" w:lineRule="auto"/>
              <w:jc w:val="both"/>
              <w:rPr>
                <w:rFonts w:ascii="Arial Narrow" w:hAnsi="Arial Narrow"/>
                <w:sz w:val="20"/>
                <w:szCs w:val="20"/>
              </w:rPr>
            </w:pPr>
            <w:r w:rsidRPr="00ED4E95">
              <w:rPr>
                <w:rFonts w:ascii="Arial Narrow" w:hAnsi="Arial Narrow"/>
                <w:sz w:val="20"/>
                <w:szCs w:val="20"/>
              </w:rPr>
              <w:t>MBS item 61647</w:t>
            </w:r>
          </w:p>
          <w:p w14:paraId="1F0A0329" w14:textId="77777777" w:rsidR="00484D15" w:rsidRPr="00ED4E95" w:rsidRDefault="00484D15" w:rsidP="007B0205">
            <w:pPr>
              <w:spacing w:before="120" w:after="120" w:line="240" w:lineRule="auto"/>
              <w:jc w:val="both"/>
              <w:rPr>
                <w:rFonts w:ascii="Arial Narrow" w:hAnsi="Arial Narrow" w:cstheme="minorBidi"/>
                <w:sz w:val="20"/>
                <w:szCs w:val="20"/>
              </w:rPr>
            </w:pPr>
            <w:r w:rsidRPr="00ED4E95">
              <w:rPr>
                <w:rFonts w:ascii="Arial Narrow" w:hAnsi="Arial Narrow" w:cstheme="minorBidi"/>
                <w:sz w:val="20"/>
                <w:szCs w:val="20"/>
              </w:rPr>
              <w:t xml:space="preserve">Whole body </w:t>
            </w:r>
            <w:r w:rsidRPr="00ED4E95">
              <w:rPr>
                <w:rFonts w:ascii="Arial Narrow" w:hAnsi="Arial Narrow" w:cstheme="minorBidi"/>
                <w:sz w:val="20"/>
                <w:szCs w:val="20"/>
                <w:vertAlign w:val="superscript"/>
              </w:rPr>
              <w:t>68</w:t>
            </w:r>
            <w:r w:rsidRPr="00ED4E95">
              <w:rPr>
                <w:rFonts w:ascii="Arial Narrow" w:hAnsi="Arial Narrow" w:cstheme="minorBidi"/>
                <w:sz w:val="20"/>
                <w:szCs w:val="20"/>
              </w:rPr>
              <w:t>Ga DOTA peptide PET study, if:</w:t>
            </w:r>
          </w:p>
          <w:p w14:paraId="5E281189" w14:textId="77777777" w:rsidR="00484D15" w:rsidRPr="00ED4E95" w:rsidRDefault="00484D15" w:rsidP="007B0205">
            <w:pPr>
              <w:spacing w:before="120" w:after="120" w:line="240" w:lineRule="auto"/>
              <w:jc w:val="both"/>
              <w:rPr>
                <w:rFonts w:ascii="Arial Narrow" w:hAnsi="Arial Narrow" w:cstheme="minorBidi"/>
                <w:sz w:val="20"/>
                <w:szCs w:val="20"/>
              </w:rPr>
            </w:pPr>
            <w:r w:rsidRPr="00ED4E95">
              <w:rPr>
                <w:rFonts w:ascii="Arial Narrow" w:hAnsi="Arial Narrow" w:cstheme="minorBidi"/>
                <w:sz w:val="20"/>
                <w:szCs w:val="20"/>
              </w:rPr>
              <w:t xml:space="preserve">(a) a gastro entero pancreatic neuroendocrine tumour is suspected </w:t>
            </w:r>
            <w:bookmarkStart w:id="69" w:name="_Int_bz0AuhPI"/>
            <w:r w:rsidRPr="00ED4E95">
              <w:rPr>
                <w:rFonts w:ascii="Arial Narrow" w:hAnsi="Arial Narrow" w:cstheme="minorBidi"/>
                <w:sz w:val="20"/>
                <w:szCs w:val="20"/>
              </w:rPr>
              <w:t>on the basis of</w:t>
            </w:r>
            <w:bookmarkEnd w:id="69"/>
            <w:r w:rsidRPr="00ED4E95">
              <w:rPr>
                <w:rFonts w:ascii="Arial Narrow" w:hAnsi="Arial Narrow" w:cstheme="minorBidi"/>
                <w:sz w:val="20"/>
                <w:szCs w:val="20"/>
              </w:rPr>
              <w:t xml:space="preserve"> biochemical evidence with negative or equivocal conventional imaging; or</w:t>
            </w:r>
          </w:p>
          <w:p w14:paraId="4235A636" w14:textId="77777777" w:rsidR="00484D15" w:rsidRPr="00ED4E95" w:rsidRDefault="00484D15" w:rsidP="007B0205">
            <w:pPr>
              <w:spacing w:before="120" w:after="120" w:line="240" w:lineRule="auto"/>
              <w:jc w:val="both"/>
              <w:rPr>
                <w:rFonts w:ascii="Arial Narrow" w:hAnsi="Arial Narrow" w:cstheme="minorBidi"/>
                <w:sz w:val="20"/>
                <w:szCs w:val="20"/>
              </w:rPr>
            </w:pPr>
            <w:r w:rsidRPr="00ED4E95">
              <w:rPr>
                <w:rFonts w:ascii="Arial Narrow" w:hAnsi="Arial Narrow" w:cstheme="minorBidi"/>
                <w:sz w:val="20"/>
                <w:szCs w:val="20"/>
              </w:rPr>
              <w:t>(b) both:</w:t>
            </w:r>
          </w:p>
          <w:p w14:paraId="1F363F9C" w14:textId="77777777" w:rsidR="00484D15" w:rsidRPr="00ED4E95" w:rsidRDefault="00484D15" w:rsidP="007B0205">
            <w:pPr>
              <w:spacing w:before="120" w:after="120" w:line="240" w:lineRule="auto"/>
              <w:jc w:val="both"/>
              <w:rPr>
                <w:rFonts w:ascii="Arial Narrow" w:hAnsi="Arial Narrow" w:cstheme="minorBidi"/>
                <w:sz w:val="20"/>
                <w:szCs w:val="20"/>
              </w:rPr>
            </w:pPr>
            <w:r w:rsidRPr="00ED4E95">
              <w:rPr>
                <w:rFonts w:ascii="Arial Narrow" w:hAnsi="Arial Narrow" w:cstheme="minorBidi"/>
                <w:sz w:val="20"/>
                <w:szCs w:val="20"/>
              </w:rPr>
              <w:t xml:space="preserve">(i) a surgically amenable gastro entero pancreatic neuroendocrine tumour has been identified </w:t>
            </w:r>
            <w:bookmarkStart w:id="70" w:name="_Int_dALXl1Yt"/>
            <w:r w:rsidRPr="00ED4E95">
              <w:rPr>
                <w:rFonts w:ascii="Arial Narrow" w:hAnsi="Arial Narrow" w:cstheme="minorBidi"/>
                <w:sz w:val="20"/>
                <w:szCs w:val="20"/>
              </w:rPr>
              <w:t>on the basis of</w:t>
            </w:r>
            <w:bookmarkEnd w:id="70"/>
            <w:r w:rsidRPr="00ED4E95">
              <w:rPr>
                <w:rFonts w:ascii="Arial Narrow" w:hAnsi="Arial Narrow" w:cstheme="minorBidi"/>
                <w:sz w:val="20"/>
                <w:szCs w:val="20"/>
              </w:rPr>
              <w:t xml:space="preserve"> conventional techniques; and</w:t>
            </w:r>
          </w:p>
          <w:p w14:paraId="7F32FCEA" w14:textId="77777777" w:rsidR="00484D15" w:rsidRPr="00ED4E95" w:rsidRDefault="00484D15" w:rsidP="007B0205">
            <w:pPr>
              <w:spacing w:before="120" w:after="120" w:line="240" w:lineRule="auto"/>
              <w:jc w:val="both"/>
              <w:rPr>
                <w:rFonts w:ascii="Arial Narrow" w:hAnsi="Arial Narrow"/>
                <w:sz w:val="20"/>
                <w:szCs w:val="20"/>
              </w:rPr>
            </w:pPr>
            <w:r w:rsidRPr="00ED4E95">
              <w:rPr>
                <w:rFonts w:ascii="Arial Narrow" w:hAnsi="Arial Narrow" w:cstheme="minorBidi"/>
                <w:sz w:val="20"/>
                <w:szCs w:val="20"/>
              </w:rPr>
              <w:t>(ii) the study is for excluding additional disease sites (R)</w:t>
            </w:r>
          </w:p>
        </w:tc>
        <w:tc>
          <w:tcPr>
            <w:tcW w:w="4773" w:type="dxa"/>
            <w:tcBorders>
              <w:top w:val="single" w:sz="4" w:space="0" w:color="auto"/>
              <w:left w:val="single" w:sz="4" w:space="0" w:color="auto"/>
              <w:bottom w:val="single" w:sz="4" w:space="0" w:color="auto"/>
              <w:right w:val="single" w:sz="4" w:space="0" w:color="auto"/>
            </w:tcBorders>
          </w:tcPr>
          <w:p w14:paraId="621D9484" w14:textId="204EB081" w:rsidR="00484D15" w:rsidRPr="00922B1C" w:rsidRDefault="00D71A24" w:rsidP="007B0205">
            <w:pPr>
              <w:spacing w:before="120" w:after="120" w:line="240" w:lineRule="auto"/>
              <w:jc w:val="both"/>
              <w:rPr>
                <w:rFonts w:ascii="Arial Narrow" w:hAnsi="Arial Narrow"/>
                <w:sz w:val="20"/>
                <w:szCs w:val="20"/>
              </w:rPr>
            </w:pPr>
            <w:r w:rsidRPr="00922B1C">
              <w:rPr>
                <w:rFonts w:ascii="Arial Narrow" w:hAnsi="Arial Narrow"/>
                <w:sz w:val="20"/>
                <w:szCs w:val="20"/>
              </w:rPr>
              <w:t>For the evaluation of somatostatin receptor expression in patients with known metastatic or unresectable primary neuroendocrine neoplasia who have been deemed to be candidates for peptide receptor radionuclide therapy (PRRT) by a formally-convened neuroendocrine tumour multidisciplinary board or require follow-up for recurrent symptoms or imaging progression after PRRT but would remain candidates for retreatment based on prior benefit</w:t>
            </w:r>
          </w:p>
        </w:tc>
      </w:tr>
      <w:tr w:rsidR="00484D15" w:rsidRPr="00ED4E95" w14:paraId="78ED1B2E" w14:textId="77777777" w:rsidTr="00E72172">
        <w:trPr>
          <w:cantSplit/>
          <w:tblHeader/>
        </w:trPr>
        <w:tc>
          <w:tcPr>
            <w:tcW w:w="4798" w:type="dxa"/>
            <w:tcBorders>
              <w:top w:val="single" w:sz="4" w:space="0" w:color="auto"/>
              <w:left w:val="single" w:sz="4" w:space="0" w:color="auto"/>
              <w:bottom w:val="single" w:sz="4" w:space="0" w:color="auto"/>
              <w:right w:val="single" w:sz="4" w:space="0" w:color="auto"/>
            </w:tcBorders>
            <w:vAlign w:val="center"/>
          </w:tcPr>
          <w:p w14:paraId="1D8ABED4" w14:textId="77777777" w:rsidR="00484D15" w:rsidRPr="00ED4E95" w:rsidRDefault="00484D15" w:rsidP="007B0205">
            <w:pPr>
              <w:spacing w:before="40" w:after="40" w:line="240" w:lineRule="auto"/>
              <w:jc w:val="both"/>
              <w:rPr>
                <w:rFonts w:ascii="Arial Narrow" w:hAnsi="Arial Narrow"/>
                <w:sz w:val="20"/>
                <w:szCs w:val="20"/>
              </w:rPr>
            </w:pPr>
            <w:r w:rsidRPr="00ED4E95">
              <w:rPr>
                <w:rFonts w:ascii="Arial Narrow" w:hAnsi="Arial Narrow"/>
                <w:sz w:val="20"/>
                <w:szCs w:val="20"/>
              </w:rPr>
              <w:t>Fee: $953.00</w:t>
            </w:r>
          </w:p>
        </w:tc>
        <w:tc>
          <w:tcPr>
            <w:tcW w:w="4773" w:type="dxa"/>
            <w:tcBorders>
              <w:top w:val="single" w:sz="4" w:space="0" w:color="auto"/>
              <w:left w:val="single" w:sz="4" w:space="0" w:color="auto"/>
              <w:bottom w:val="single" w:sz="4" w:space="0" w:color="auto"/>
              <w:right w:val="single" w:sz="4" w:space="0" w:color="auto"/>
            </w:tcBorders>
          </w:tcPr>
          <w:p w14:paraId="6EC79006" w14:textId="33147A1E" w:rsidR="00484D15" w:rsidRPr="00922B1C" w:rsidRDefault="00484D15" w:rsidP="007B0205">
            <w:pPr>
              <w:spacing w:before="40" w:after="40" w:line="240" w:lineRule="auto"/>
              <w:jc w:val="both"/>
              <w:rPr>
                <w:rFonts w:ascii="Arial Narrow" w:hAnsi="Arial Narrow"/>
                <w:sz w:val="20"/>
                <w:szCs w:val="20"/>
              </w:rPr>
            </w:pPr>
            <w:r w:rsidRPr="00922B1C">
              <w:rPr>
                <w:rFonts w:ascii="Arial Narrow" w:hAnsi="Arial Narrow"/>
                <w:sz w:val="20"/>
                <w:szCs w:val="20"/>
              </w:rPr>
              <w:t>Fee: $953.00</w:t>
            </w:r>
          </w:p>
        </w:tc>
      </w:tr>
      <w:tr w:rsidR="00D71A24" w:rsidRPr="00ED4E95" w14:paraId="6466188D" w14:textId="77777777" w:rsidTr="005A13E2">
        <w:trPr>
          <w:cantSplit/>
          <w:tblHeader/>
        </w:trPr>
        <w:tc>
          <w:tcPr>
            <w:tcW w:w="9571" w:type="dxa"/>
            <w:gridSpan w:val="2"/>
            <w:tcBorders>
              <w:top w:val="single" w:sz="4" w:space="0" w:color="auto"/>
              <w:left w:val="single" w:sz="4" w:space="0" w:color="auto"/>
              <w:bottom w:val="single" w:sz="4" w:space="0" w:color="auto"/>
              <w:right w:val="single" w:sz="4" w:space="0" w:color="auto"/>
            </w:tcBorders>
            <w:hideMark/>
          </w:tcPr>
          <w:p w14:paraId="2EF41212" w14:textId="6C52FF20" w:rsidR="00D71A24" w:rsidRPr="00ED4E95" w:rsidRDefault="00D71A24" w:rsidP="007B0205">
            <w:pPr>
              <w:spacing w:before="40" w:after="40" w:line="240" w:lineRule="auto"/>
              <w:jc w:val="both"/>
              <w:rPr>
                <w:rFonts w:ascii="Arial Narrow" w:hAnsi="Arial Narrow"/>
                <w:b/>
                <w:bCs/>
                <w:i/>
                <w:iCs/>
                <w:sz w:val="20"/>
                <w:szCs w:val="20"/>
              </w:rPr>
            </w:pPr>
            <w:r w:rsidRPr="00ED4E95">
              <w:rPr>
                <w:rFonts w:ascii="Arial Narrow" w:hAnsi="Arial Narrow"/>
                <w:b/>
                <w:bCs/>
                <w:sz w:val="20"/>
                <w:szCs w:val="20"/>
              </w:rPr>
              <w:t>Category 5 – Diagnostic Imaging Services</w:t>
            </w:r>
          </w:p>
        </w:tc>
      </w:tr>
      <w:tr w:rsidR="00D71A24" w:rsidRPr="00ED4E95" w14:paraId="7F860096" w14:textId="77777777" w:rsidTr="005A13E2">
        <w:trPr>
          <w:cantSplit/>
          <w:tblHeader/>
        </w:trPr>
        <w:tc>
          <w:tcPr>
            <w:tcW w:w="9571" w:type="dxa"/>
            <w:gridSpan w:val="2"/>
            <w:tcBorders>
              <w:top w:val="single" w:sz="4" w:space="0" w:color="auto"/>
              <w:left w:val="single" w:sz="4" w:space="0" w:color="auto"/>
              <w:bottom w:val="single" w:sz="4" w:space="0" w:color="auto"/>
              <w:right w:val="single" w:sz="4" w:space="0" w:color="auto"/>
            </w:tcBorders>
          </w:tcPr>
          <w:p w14:paraId="24A1C0CD" w14:textId="77777777" w:rsidR="00D71A24" w:rsidRPr="00ED4E95" w:rsidRDefault="00D71A24" w:rsidP="007B0205">
            <w:pPr>
              <w:spacing w:before="120" w:after="120" w:line="240" w:lineRule="auto"/>
              <w:jc w:val="both"/>
              <w:rPr>
                <w:rFonts w:ascii="Arial Narrow" w:hAnsi="Arial Narrow"/>
                <w:sz w:val="20"/>
                <w:szCs w:val="20"/>
              </w:rPr>
            </w:pPr>
            <w:r w:rsidRPr="00ED4E95">
              <w:rPr>
                <w:rFonts w:ascii="Arial Narrow" w:hAnsi="Arial Narrow"/>
                <w:sz w:val="20"/>
                <w:szCs w:val="20"/>
              </w:rPr>
              <w:t>MBS item 61505</w:t>
            </w:r>
          </w:p>
          <w:p w14:paraId="6B3F895F" w14:textId="6C6E3B9B" w:rsidR="00D71A24" w:rsidRPr="00ED4E95" w:rsidRDefault="00D71A24" w:rsidP="007B0205">
            <w:pPr>
              <w:spacing w:before="120" w:after="120" w:line="240" w:lineRule="auto"/>
              <w:jc w:val="both"/>
              <w:rPr>
                <w:rFonts w:ascii="Arial Narrow" w:hAnsi="Arial Narrow"/>
                <w:i/>
                <w:iCs/>
                <w:sz w:val="20"/>
                <w:szCs w:val="20"/>
              </w:rPr>
            </w:pPr>
            <w:r w:rsidRPr="00ED4E95">
              <w:rPr>
                <w:rFonts w:ascii="Arial Narrow" w:hAnsi="Arial Narrow" w:cstheme="minorBidi"/>
                <w:sz w:val="20"/>
                <w:szCs w:val="20"/>
              </w:rPr>
              <w:t>CT scan performed at the same time and covering the same body area as single photon emission tomography or positron emission tomography for the purpose of anatomic localisation or attenuation correction if no separate diagnostic CT report is issued and performed in association with a service to which an item in Subgroup 1 or 2 of Group I4 applies (R)</w:t>
            </w:r>
          </w:p>
        </w:tc>
      </w:tr>
      <w:tr w:rsidR="00D71A24" w:rsidRPr="00ED4E95" w14:paraId="51816901" w14:textId="77777777" w:rsidTr="005A13E2">
        <w:trPr>
          <w:cantSplit/>
          <w:tblHeader/>
        </w:trPr>
        <w:tc>
          <w:tcPr>
            <w:tcW w:w="9571" w:type="dxa"/>
            <w:gridSpan w:val="2"/>
            <w:tcBorders>
              <w:top w:val="single" w:sz="4" w:space="0" w:color="auto"/>
              <w:left w:val="single" w:sz="4" w:space="0" w:color="auto"/>
              <w:bottom w:val="single" w:sz="4" w:space="0" w:color="auto"/>
              <w:right w:val="single" w:sz="4" w:space="0" w:color="auto"/>
            </w:tcBorders>
            <w:vAlign w:val="center"/>
          </w:tcPr>
          <w:p w14:paraId="49B8CC46" w14:textId="05D5FB1E" w:rsidR="00D71A24" w:rsidRPr="00ED4E95" w:rsidRDefault="00D71A24" w:rsidP="000717D5">
            <w:pPr>
              <w:spacing w:before="40" w:after="40" w:line="240" w:lineRule="auto"/>
              <w:rPr>
                <w:rFonts w:ascii="Arial Narrow" w:hAnsi="Arial Narrow"/>
                <w:i/>
                <w:iCs/>
                <w:sz w:val="20"/>
                <w:szCs w:val="20"/>
              </w:rPr>
            </w:pPr>
            <w:r w:rsidRPr="00ED4E95">
              <w:rPr>
                <w:rFonts w:ascii="Arial Narrow" w:hAnsi="Arial Narrow"/>
                <w:sz w:val="20"/>
                <w:szCs w:val="20"/>
              </w:rPr>
              <w:t>Fee: $100.00</w:t>
            </w:r>
          </w:p>
        </w:tc>
      </w:tr>
    </w:tbl>
    <w:p w14:paraId="6CA62174" w14:textId="77777777" w:rsidR="00484D15" w:rsidRPr="00ED4E95" w:rsidRDefault="00484D15" w:rsidP="00484D15">
      <w:pPr>
        <w:pStyle w:val="Tablenotes"/>
        <w:spacing w:after="0"/>
      </w:pPr>
      <w:r w:rsidRPr="00ED4E95">
        <w:t>Source: MBS online</w:t>
      </w:r>
    </w:p>
    <w:p w14:paraId="3C5E5408" w14:textId="21FE1CB0" w:rsidR="00484D15" w:rsidRDefault="00484D15" w:rsidP="00484D15">
      <w:pPr>
        <w:pStyle w:val="Tablenotes"/>
        <w:spacing w:after="240"/>
      </w:pPr>
      <w:r w:rsidRPr="00ED4E95">
        <w:t>Abbreviations: CT = computerised tomography; Ga = Gallium; MBS = Medicare Benefits Schedule; PET = positron emission tomography; SPECT = single photon emission tomography; SSTR = somatostatin receptor.</w:t>
      </w:r>
    </w:p>
    <w:p w14:paraId="3ECE6D1F" w14:textId="3F7D8D70" w:rsidR="00844CC9" w:rsidRPr="004D4938" w:rsidRDefault="00844CC9" w:rsidP="000B6C1B">
      <w:pPr>
        <w:jc w:val="both"/>
        <w:rPr>
          <w:rFonts w:cs="Calibri"/>
          <w:i/>
          <w:iCs/>
        </w:rPr>
      </w:pPr>
      <w:r w:rsidRPr="004C3B98">
        <w:rPr>
          <w:rFonts w:cs="Calibri"/>
          <w:i/>
          <w:iCs/>
        </w:rPr>
        <w:t xml:space="preserve">At the April </w:t>
      </w:r>
      <w:r w:rsidR="000C26AC">
        <w:rPr>
          <w:rFonts w:cs="Calibri"/>
          <w:i/>
          <w:iCs/>
        </w:rPr>
        <w:t xml:space="preserve">2023 </w:t>
      </w:r>
      <w:r w:rsidRPr="004C3B98">
        <w:rPr>
          <w:rFonts w:cs="Calibri"/>
          <w:i/>
          <w:iCs/>
        </w:rPr>
        <w:t xml:space="preserve">meeting, </w:t>
      </w:r>
      <w:r w:rsidRPr="004D4938">
        <w:rPr>
          <w:rFonts w:cs="Calibri"/>
          <w:i/>
          <w:iCs/>
        </w:rPr>
        <w:t xml:space="preserve">PASC noted the proposed new item for </w:t>
      </w:r>
      <w:r w:rsidRPr="004D4938">
        <w:rPr>
          <w:rFonts w:cs="Calibri"/>
          <w:i/>
          <w:iCs/>
          <w:vertAlign w:val="superscript"/>
        </w:rPr>
        <w:t>68</w:t>
      </w:r>
      <w:r w:rsidRPr="004D4938">
        <w:rPr>
          <w:rFonts w:cs="Calibri"/>
          <w:i/>
          <w:iCs/>
        </w:rPr>
        <w:t>Ga-DOTA-octreotate outlined by the Department:</w:t>
      </w:r>
    </w:p>
    <w:p w14:paraId="103D04B3" w14:textId="77777777" w:rsidR="00844CC9" w:rsidRPr="004D4938" w:rsidRDefault="00844CC9" w:rsidP="000B6C1B">
      <w:pPr>
        <w:ind w:left="426"/>
        <w:contextualSpacing/>
        <w:jc w:val="both"/>
        <w:rPr>
          <w:rFonts w:cs="Calibri"/>
          <w:i/>
          <w:iCs/>
          <w:sz w:val="20"/>
          <w:szCs w:val="20"/>
        </w:rPr>
      </w:pPr>
      <w:r w:rsidRPr="004D4938">
        <w:rPr>
          <w:rFonts w:cs="Calibri"/>
          <w:i/>
          <w:iCs/>
          <w:sz w:val="20"/>
          <w:szCs w:val="20"/>
        </w:rPr>
        <w:t xml:space="preserve">Whole body </w:t>
      </w:r>
      <w:r w:rsidRPr="004D4938">
        <w:rPr>
          <w:rFonts w:cs="Calibri"/>
          <w:i/>
          <w:iCs/>
          <w:sz w:val="20"/>
          <w:szCs w:val="20"/>
          <w:vertAlign w:val="superscript"/>
        </w:rPr>
        <w:t>68</w:t>
      </w:r>
      <w:r w:rsidRPr="004D4938">
        <w:rPr>
          <w:rFonts w:cs="Calibri"/>
          <w:i/>
          <w:iCs/>
          <w:sz w:val="20"/>
          <w:szCs w:val="20"/>
        </w:rPr>
        <w:t>Ga DOTA peptide PET study for the evaluation of somatostatin receptor expression in patients with known metastatic or unresectable primary neuroendocrine neoplasia who:</w:t>
      </w:r>
    </w:p>
    <w:p w14:paraId="0FE9F09E" w14:textId="77777777" w:rsidR="00844CC9" w:rsidRPr="004D4938" w:rsidRDefault="00844CC9" w:rsidP="000B6C1B">
      <w:pPr>
        <w:ind w:left="709" w:hanging="283"/>
        <w:contextualSpacing/>
        <w:jc w:val="both"/>
        <w:rPr>
          <w:rFonts w:cs="Calibri"/>
          <w:i/>
          <w:iCs/>
          <w:sz w:val="20"/>
          <w:szCs w:val="20"/>
        </w:rPr>
      </w:pPr>
      <w:r w:rsidRPr="004D4938">
        <w:rPr>
          <w:rFonts w:cs="Calibri"/>
          <w:i/>
          <w:iCs/>
          <w:sz w:val="20"/>
          <w:szCs w:val="20"/>
        </w:rPr>
        <w:t>a)</w:t>
      </w:r>
      <w:r w:rsidRPr="004D4938">
        <w:rPr>
          <w:rFonts w:cs="Calibri"/>
          <w:i/>
          <w:iCs/>
          <w:sz w:val="20"/>
          <w:szCs w:val="20"/>
        </w:rPr>
        <w:tab/>
        <w:t>are considered suitable for peptide receptor radionuclide therapy (PRRT) by a formally-convened neuroendocrine tumour multidisciplinary board; or</w:t>
      </w:r>
    </w:p>
    <w:p w14:paraId="1CC0899C" w14:textId="77777777" w:rsidR="00844CC9" w:rsidRPr="004D4938" w:rsidRDefault="00844CC9" w:rsidP="000B6C1B">
      <w:pPr>
        <w:ind w:left="709" w:hanging="283"/>
        <w:contextualSpacing/>
        <w:jc w:val="both"/>
        <w:rPr>
          <w:rFonts w:cs="Calibri"/>
          <w:i/>
          <w:iCs/>
          <w:sz w:val="20"/>
          <w:szCs w:val="20"/>
        </w:rPr>
      </w:pPr>
      <w:r w:rsidRPr="004D4938">
        <w:rPr>
          <w:rFonts w:cs="Calibri"/>
          <w:i/>
          <w:iCs/>
          <w:sz w:val="20"/>
          <w:szCs w:val="20"/>
        </w:rPr>
        <w:t>b)</w:t>
      </w:r>
      <w:r w:rsidRPr="004D4938">
        <w:rPr>
          <w:rFonts w:cs="Calibri"/>
          <w:i/>
          <w:iCs/>
          <w:sz w:val="20"/>
          <w:szCs w:val="20"/>
        </w:rPr>
        <w:tab/>
        <w:t xml:space="preserve">require follow-up for recurrent symptoms or imaging progression after PRRT but remain candidates for treatment based on prior benefit. (R)  </w:t>
      </w:r>
    </w:p>
    <w:p w14:paraId="216BDF98" w14:textId="77777777" w:rsidR="00844CC9" w:rsidRPr="004D4938" w:rsidRDefault="00844CC9" w:rsidP="000B6C1B">
      <w:pPr>
        <w:ind w:left="425"/>
        <w:jc w:val="both"/>
        <w:rPr>
          <w:rFonts w:cs="Calibri"/>
          <w:i/>
          <w:iCs/>
          <w:sz w:val="20"/>
          <w:szCs w:val="20"/>
        </w:rPr>
      </w:pPr>
      <w:r w:rsidRPr="004D4938">
        <w:rPr>
          <w:rFonts w:cs="Calibri"/>
          <w:i/>
          <w:iCs/>
          <w:sz w:val="20"/>
          <w:szCs w:val="20"/>
        </w:rPr>
        <w:t xml:space="preserve">Fee: $953.00 </w:t>
      </w:r>
      <w:r w:rsidRPr="004D4938">
        <w:rPr>
          <w:rFonts w:cs="Calibri"/>
          <w:i/>
          <w:iCs/>
          <w:sz w:val="20"/>
          <w:szCs w:val="20"/>
        </w:rPr>
        <w:tab/>
      </w:r>
      <w:r w:rsidRPr="004D4938">
        <w:rPr>
          <w:rFonts w:cs="Calibri"/>
          <w:i/>
          <w:iCs/>
          <w:sz w:val="20"/>
          <w:szCs w:val="20"/>
        </w:rPr>
        <w:tab/>
        <w:t>75%: $714.75   85% $859.80*</w:t>
      </w:r>
    </w:p>
    <w:p w14:paraId="426D8D5B" w14:textId="77777777" w:rsidR="00844CC9" w:rsidRPr="004D4938" w:rsidRDefault="00844CC9" w:rsidP="000B6C1B">
      <w:pPr>
        <w:jc w:val="both"/>
        <w:rPr>
          <w:rFonts w:cs="Calibri"/>
          <w:i/>
          <w:iCs/>
        </w:rPr>
      </w:pPr>
      <w:r w:rsidRPr="004D4938">
        <w:rPr>
          <w:rFonts w:cs="Calibri"/>
          <w:i/>
          <w:iCs/>
        </w:rPr>
        <w:t>And noted this differed to the description of the population:</w:t>
      </w:r>
    </w:p>
    <w:p w14:paraId="7FD4AC4E" w14:textId="77777777" w:rsidR="00844CC9" w:rsidRPr="004D4938" w:rsidRDefault="00844CC9" w:rsidP="000B6C1B">
      <w:pPr>
        <w:jc w:val="both"/>
        <w:rPr>
          <w:rFonts w:cs="Calibri"/>
          <w:i/>
          <w:iCs/>
          <w:sz w:val="20"/>
          <w:szCs w:val="20"/>
        </w:rPr>
      </w:pPr>
      <w:r w:rsidRPr="004D4938">
        <w:rPr>
          <w:rFonts w:cs="Calibri"/>
          <w:i/>
          <w:iCs/>
          <w:sz w:val="20"/>
          <w:szCs w:val="20"/>
        </w:rPr>
        <w:lastRenderedPageBreak/>
        <w:t>“locally advanced or metastatic, and inoperable NETs with documented disease progression or uncontrolled symptoms related to their NET”.</w:t>
      </w:r>
    </w:p>
    <w:p w14:paraId="058C8B3B" w14:textId="5DD410E7" w:rsidR="00844CC9" w:rsidRPr="00E35BCA" w:rsidRDefault="00844CC9" w:rsidP="000B6C1B">
      <w:pPr>
        <w:autoSpaceDE w:val="0"/>
        <w:autoSpaceDN w:val="0"/>
        <w:adjustRightInd w:val="0"/>
        <w:jc w:val="both"/>
        <w:rPr>
          <w:rFonts w:asciiTheme="minorHAnsi" w:hAnsiTheme="minorHAnsi" w:cstheme="minorHAnsi"/>
          <w:i/>
        </w:rPr>
      </w:pPr>
      <w:r w:rsidRPr="00E47FC2">
        <w:rPr>
          <w:rFonts w:asciiTheme="minorHAnsi" w:hAnsiTheme="minorHAnsi" w:cstheme="minorHAnsi"/>
          <w:i/>
          <w:iCs/>
        </w:rPr>
        <w:t xml:space="preserve">At the August 2023 PASC meeting, </w:t>
      </w:r>
      <w:r w:rsidRPr="00E35BCA">
        <w:rPr>
          <w:rFonts w:asciiTheme="minorHAnsi" w:hAnsiTheme="minorHAnsi" w:cstheme="minorHAnsi"/>
          <w:i/>
        </w:rPr>
        <w:t xml:space="preserve">PASC recommended that existing MBS item 61647 needed revision/replacement. Specifically, the relevant radiopharmaceutical product should be a </w:t>
      </w:r>
      <w:r w:rsidRPr="00E35BCA">
        <w:rPr>
          <w:rFonts w:asciiTheme="minorHAnsi" w:hAnsiTheme="minorHAnsi" w:cstheme="minorHAnsi"/>
          <w:i/>
          <w:vertAlign w:val="superscript"/>
        </w:rPr>
        <w:t>68</w:t>
      </w:r>
      <w:r w:rsidRPr="00E35BCA">
        <w:rPr>
          <w:rFonts w:asciiTheme="minorHAnsi" w:hAnsiTheme="minorHAnsi" w:cstheme="minorHAnsi"/>
          <w:i/>
        </w:rPr>
        <w:t>Ga-DOTA-octreotate or somatostatin receptor agonist (excludes SSTR antagonists) and indications should be amended to include:</w:t>
      </w:r>
    </w:p>
    <w:p w14:paraId="7BC5FBBF" w14:textId="4D4571F3" w:rsidR="00844CC9" w:rsidRPr="00E35BCA" w:rsidRDefault="00844CC9" w:rsidP="000B6C1B">
      <w:pPr>
        <w:pStyle w:val="ListParagraph"/>
        <w:numPr>
          <w:ilvl w:val="1"/>
          <w:numId w:val="30"/>
        </w:numPr>
        <w:autoSpaceDE w:val="0"/>
        <w:autoSpaceDN w:val="0"/>
        <w:adjustRightInd w:val="0"/>
        <w:ind w:left="425" w:hanging="425"/>
        <w:jc w:val="both"/>
        <w:rPr>
          <w:rFonts w:asciiTheme="minorHAnsi" w:hAnsiTheme="minorHAnsi" w:cstheme="minorBidi"/>
          <w:i/>
          <w:iCs/>
        </w:rPr>
      </w:pPr>
      <w:r w:rsidRPr="536B0F9D">
        <w:rPr>
          <w:rFonts w:asciiTheme="minorHAnsi" w:hAnsiTheme="minorHAnsi" w:cstheme="minorBidi"/>
          <w:i/>
          <w:iCs/>
        </w:rPr>
        <w:t>Localisation of functioning (hormonally active) NEN when conventional imaging</w:t>
      </w:r>
      <w:r w:rsidR="0088231D">
        <w:rPr>
          <w:rFonts w:asciiTheme="minorHAnsi" w:hAnsiTheme="minorHAnsi" w:cstheme="minorBidi"/>
          <w:i/>
          <w:iCs/>
        </w:rPr>
        <w:t xml:space="preserve"> is</w:t>
      </w:r>
      <w:r w:rsidR="476CCFD3" w:rsidRPr="536B0F9D">
        <w:rPr>
          <w:rFonts w:asciiTheme="minorHAnsi" w:hAnsiTheme="minorHAnsi" w:cstheme="minorBidi"/>
          <w:i/>
          <w:iCs/>
        </w:rPr>
        <w:t xml:space="preserve"> </w:t>
      </w:r>
      <w:r w:rsidRPr="536B0F9D">
        <w:rPr>
          <w:rFonts w:asciiTheme="minorHAnsi" w:hAnsiTheme="minorHAnsi" w:cstheme="minorBidi"/>
          <w:i/>
          <w:iCs/>
        </w:rPr>
        <w:t>negative/equivocal;</w:t>
      </w:r>
    </w:p>
    <w:p w14:paraId="7557B9C2" w14:textId="49FBE7B8" w:rsidR="00844CC9" w:rsidRPr="00E35BCA" w:rsidRDefault="00844CC9" w:rsidP="000B6C1B">
      <w:pPr>
        <w:pStyle w:val="ListParagraph"/>
        <w:numPr>
          <w:ilvl w:val="1"/>
          <w:numId w:val="30"/>
        </w:numPr>
        <w:autoSpaceDE w:val="0"/>
        <w:autoSpaceDN w:val="0"/>
        <w:adjustRightInd w:val="0"/>
        <w:ind w:left="425" w:hanging="425"/>
        <w:jc w:val="both"/>
        <w:rPr>
          <w:rFonts w:asciiTheme="minorHAnsi" w:hAnsiTheme="minorHAnsi" w:cstheme="minorBidi"/>
          <w:i/>
          <w:iCs/>
        </w:rPr>
      </w:pPr>
      <w:r w:rsidRPr="536B0F9D">
        <w:rPr>
          <w:rFonts w:asciiTheme="minorHAnsi" w:hAnsiTheme="minorHAnsi" w:cstheme="minorBidi"/>
          <w:i/>
          <w:iCs/>
        </w:rPr>
        <w:t>Staging of histologically confirmed NEN considered surgically curabl</w:t>
      </w:r>
      <w:r w:rsidR="580C51AB" w:rsidRPr="536B0F9D">
        <w:rPr>
          <w:rFonts w:asciiTheme="minorHAnsi" w:hAnsiTheme="minorHAnsi" w:cstheme="minorBidi"/>
          <w:i/>
          <w:iCs/>
        </w:rPr>
        <w:t>e</w:t>
      </w:r>
      <w:r w:rsidRPr="536B0F9D">
        <w:rPr>
          <w:rFonts w:asciiTheme="minorHAnsi" w:hAnsiTheme="minorHAnsi" w:cstheme="minorBidi"/>
          <w:i/>
          <w:iCs/>
        </w:rPr>
        <w:t xml:space="preserve"> on conventional imaging;</w:t>
      </w:r>
    </w:p>
    <w:p w14:paraId="417E2C8E" w14:textId="4DF9BDDF" w:rsidR="00844CC9" w:rsidRPr="00E35BCA" w:rsidRDefault="00844CC9" w:rsidP="000B6C1B">
      <w:pPr>
        <w:pStyle w:val="ListParagraph"/>
        <w:numPr>
          <w:ilvl w:val="1"/>
          <w:numId w:val="30"/>
        </w:numPr>
        <w:autoSpaceDE w:val="0"/>
        <w:autoSpaceDN w:val="0"/>
        <w:adjustRightInd w:val="0"/>
        <w:ind w:left="425" w:hanging="425"/>
        <w:jc w:val="both"/>
        <w:rPr>
          <w:rFonts w:asciiTheme="minorHAnsi" w:hAnsiTheme="minorHAnsi" w:cstheme="minorHAnsi"/>
          <w:i/>
        </w:rPr>
      </w:pPr>
      <w:r w:rsidRPr="00E35BCA">
        <w:rPr>
          <w:rFonts w:asciiTheme="minorHAnsi" w:hAnsiTheme="minorHAnsi" w:cstheme="minorHAnsi"/>
          <w:i/>
        </w:rPr>
        <w:t xml:space="preserve">Evaluation of </w:t>
      </w:r>
      <w:r w:rsidR="00E47FC2" w:rsidRPr="00E47FC2">
        <w:rPr>
          <w:rFonts w:asciiTheme="minorHAnsi" w:hAnsiTheme="minorHAnsi" w:cstheme="minorHAnsi"/>
          <w:i/>
        </w:rPr>
        <w:t xml:space="preserve">somatostatin analogue </w:t>
      </w:r>
      <w:r w:rsidR="00E47FC2">
        <w:rPr>
          <w:rFonts w:asciiTheme="minorHAnsi" w:hAnsiTheme="minorHAnsi" w:cstheme="minorHAnsi"/>
          <w:i/>
        </w:rPr>
        <w:t>(</w:t>
      </w:r>
      <w:r w:rsidRPr="00E35BCA">
        <w:rPr>
          <w:rFonts w:asciiTheme="minorHAnsi" w:hAnsiTheme="minorHAnsi" w:cstheme="minorHAnsi"/>
          <w:i/>
        </w:rPr>
        <w:t>SSA</w:t>
      </w:r>
      <w:r w:rsidR="00E47FC2">
        <w:rPr>
          <w:rFonts w:asciiTheme="minorHAnsi" w:hAnsiTheme="minorHAnsi" w:cstheme="minorHAnsi"/>
          <w:i/>
        </w:rPr>
        <w:t>)</w:t>
      </w:r>
      <w:r w:rsidRPr="00E35BCA">
        <w:rPr>
          <w:rFonts w:asciiTheme="minorHAnsi" w:hAnsiTheme="minorHAnsi" w:cstheme="minorHAnsi"/>
          <w:i/>
        </w:rPr>
        <w:t xml:space="preserve"> avidity (SSTR-2 expression) of NEN under consideration for PRRT;</w:t>
      </w:r>
    </w:p>
    <w:p w14:paraId="20801EC7" w14:textId="77777777" w:rsidR="00844CC9" w:rsidRPr="00E35BCA" w:rsidRDefault="00844CC9" w:rsidP="000B6C1B">
      <w:pPr>
        <w:pStyle w:val="ListParagraph"/>
        <w:numPr>
          <w:ilvl w:val="1"/>
          <w:numId w:val="30"/>
        </w:numPr>
        <w:autoSpaceDE w:val="0"/>
        <w:autoSpaceDN w:val="0"/>
        <w:adjustRightInd w:val="0"/>
        <w:ind w:left="425" w:hanging="425"/>
        <w:jc w:val="both"/>
        <w:rPr>
          <w:rFonts w:asciiTheme="minorHAnsi" w:hAnsiTheme="minorHAnsi" w:cstheme="minorHAnsi"/>
          <w:i/>
        </w:rPr>
      </w:pPr>
      <w:r w:rsidRPr="00E35BCA">
        <w:rPr>
          <w:rFonts w:asciiTheme="minorHAnsi" w:hAnsiTheme="minorHAnsi" w:cstheme="minorHAnsi"/>
          <w:i/>
        </w:rPr>
        <w:t>Evaluation of response to therapy;</w:t>
      </w:r>
    </w:p>
    <w:p w14:paraId="6E296DF0" w14:textId="77777777" w:rsidR="00844CC9" w:rsidRPr="00E35BCA" w:rsidRDefault="00844CC9" w:rsidP="000B6C1B">
      <w:pPr>
        <w:pStyle w:val="ListParagraph"/>
        <w:numPr>
          <w:ilvl w:val="1"/>
          <w:numId w:val="30"/>
        </w:numPr>
        <w:autoSpaceDE w:val="0"/>
        <w:autoSpaceDN w:val="0"/>
        <w:adjustRightInd w:val="0"/>
        <w:ind w:left="425" w:hanging="425"/>
        <w:jc w:val="both"/>
        <w:rPr>
          <w:rFonts w:asciiTheme="minorHAnsi" w:hAnsiTheme="minorHAnsi" w:cstheme="minorHAnsi"/>
          <w:i/>
        </w:rPr>
      </w:pPr>
      <w:r w:rsidRPr="00E35BCA">
        <w:rPr>
          <w:rFonts w:asciiTheme="minorHAnsi" w:hAnsiTheme="minorHAnsi" w:cstheme="minorHAnsi"/>
          <w:i/>
        </w:rPr>
        <w:t>Evaluation of suspected recurrent/metastatic disease in known SSA-avid (H-SSTR) NEN.</w:t>
      </w:r>
    </w:p>
    <w:p w14:paraId="27DF9A75" w14:textId="50440504" w:rsidR="00844CC9" w:rsidRPr="00ED4E95" w:rsidRDefault="00844CC9" w:rsidP="000B6C1B">
      <w:pPr>
        <w:jc w:val="both"/>
      </w:pPr>
      <w:r w:rsidRPr="00E35BCA">
        <w:rPr>
          <w:rFonts w:asciiTheme="minorHAnsi" w:hAnsiTheme="minorHAnsi" w:cstheme="minorHAnsi"/>
          <w:i/>
        </w:rPr>
        <w:t xml:space="preserve">PASC noted that a revised item for whole body </w:t>
      </w:r>
      <w:r w:rsidRPr="00E35BCA">
        <w:rPr>
          <w:rFonts w:asciiTheme="minorHAnsi" w:hAnsiTheme="minorHAnsi" w:cstheme="minorHAnsi"/>
          <w:i/>
          <w:vertAlign w:val="superscript"/>
        </w:rPr>
        <w:t>68</w:t>
      </w:r>
      <w:r w:rsidRPr="00E35BCA">
        <w:rPr>
          <w:rFonts w:asciiTheme="minorHAnsi" w:hAnsiTheme="minorHAnsi" w:cstheme="minorHAnsi"/>
          <w:i/>
        </w:rPr>
        <w:t>Ga-DOTA-peptide PET study should allow referral by a specialist or consultant physician rather than restrict referrals to a MDT.</w:t>
      </w:r>
    </w:p>
    <w:p w14:paraId="7DB409DF" w14:textId="2D297EE3" w:rsidR="00F77575" w:rsidRPr="004C3B98" w:rsidRDefault="00F77575" w:rsidP="000B6C1B">
      <w:pPr>
        <w:pStyle w:val="Tablenotes"/>
        <w:spacing w:after="240"/>
        <w:rPr>
          <w:rFonts w:asciiTheme="minorHAnsi" w:hAnsiTheme="minorHAnsi" w:cstheme="minorHAnsi"/>
          <w:sz w:val="22"/>
          <w:szCs w:val="22"/>
        </w:rPr>
      </w:pPr>
      <w:r w:rsidRPr="004C3B98">
        <w:rPr>
          <w:rFonts w:asciiTheme="minorHAnsi" w:hAnsiTheme="minorHAnsi" w:cstheme="minorHAnsi"/>
          <w:sz w:val="22"/>
          <w:szCs w:val="22"/>
        </w:rPr>
        <w:t xml:space="preserve">The proposed new MBS Item for </w:t>
      </w:r>
      <w:r w:rsidRPr="004C3B98">
        <w:rPr>
          <w:rFonts w:asciiTheme="minorHAnsi" w:hAnsiTheme="minorHAnsi" w:cstheme="minorHAnsi"/>
          <w:sz w:val="22"/>
          <w:szCs w:val="22"/>
          <w:vertAlign w:val="superscript"/>
        </w:rPr>
        <w:t>68</w:t>
      </w:r>
      <w:r w:rsidRPr="004C3B98">
        <w:rPr>
          <w:rFonts w:asciiTheme="minorHAnsi" w:hAnsiTheme="minorHAnsi" w:cstheme="minorHAnsi"/>
          <w:sz w:val="22"/>
          <w:szCs w:val="22"/>
        </w:rPr>
        <w:t>Ga DOTA peptide PET Study to determine SSTR expression</w:t>
      </w:r>
      <w:r w:rsidR="00844CC9">
        <w:rPr>
          <w:rFonts w:asciiTheme="minorHAnsi" w:hAnsiTheme="minorHAnsi" w:cstheme="minorHAnsi"/>
          <w:sz w:val="22"/>
          <w:szCs w:val="22"/>
        </w:rPr>
        <w:t xml:space="preserve">, </w:t>
      </w:r>
      <w:r w:rsidR="00844CC9">
        <w:rPr>
          <w:rFonts w:asciiTheme="minorHAnsi" w:hAnsiTheme="minorHAnsi" w:cstheme="minorHAnsi"/>
          <w:i/>
          <w:iCs/>
          <w:sz w:val="22"/>
          <w:szCs w:val="22"/>
        </w:rPr>
        <w:t>suggested by PASC at the August 2023 meeting</w:t>
      </w:r>
      <w:r w:rsidRPr="004C3B98">
        <w:rPr>
          <w:rFonts w:asciiTheme="minorHAnsi" w:hAnsiTheme="minorHAnsi" w:cstheme="minorHAnsi"/>
          <w:sz w:val="22"/>
          <w:szCs w:val="22"/>
        </w:rPr>
        <w:t xml:space="preserve"> is below (</w:t>
      </w:r>
      <w:r w:rsidR="004D4938">
        <w:rPr>
          <w:rFonts w:asciiTheme="minorHAnsi" w:hAnsiTheme="minorHAnsi" w:cstheme="minorHAnsi"/>
          <w:sz w:val="22"/>
          <w:szCs w:val="22"/>
        </w:rPr>
        <w:fldChar w:fldCharType="begin"/>
      </w:r>
      <w:r w:rsidR="004D4938">
        <w:rPr>
          <w:rFonts w:asciiTheme="minorHAnsi" w:hAnsiTheme="minorHAnsi" w:cstheme="minorHAnsi"/>
          <w:sz w:val="22"/>
          <w:szCs w:val="22"/>
        </w:rPr>
        <w:instrText xml:space="preserve"> REF _Ref140808871 \h  \* MERGEFORMAT </w:instrText>
      </w:r>
      <w:r w:rsidR="004D4938">
        <w:rPr>
          <w:rFonts w:asciiTheme="minorHAnsi" w:hAnsiTheme="minorHAnsi" w:cstheme="minorHAnsi"/>
          <w:sz w:val="22"/>
          <w:szCs w:val="22"/>
        </w:rPr>
      </w:r>
      <w:r w:rsidR="004D4938">
        <w:rPr>
          <w:rFonts w:asciiTheme="minorHAnsi" w:hAnsiTheme="minorHAnsi" w:cstheme="minorHAnsi"/>
          <w:sz w:val="22"/>
          <w:szCs w:val="22"/>
        </w:rPr>
        <w:fldChar w:fldCharType="separate"/>
      </w:r>
      <w:r w:rsidR="00401046" w:rsidRPr="000D7343">
        <w:rPr>
          <w:rFonts w:asciiTheme="minorHAnsi" w:hAnsiTheme="minorHAnsi" w:cstheme="minorHAnsi"/>
          <w:sz w:val="22"/>
          <w:szCs w:val="22"/>
        </w:rPr>
        <w:t>Table 13</w:t>
      </w:r>
      <w:r w:rsidR="004D4938">
        <w:rPr>
          <w:rFonts w:asciiTheme="minorHAnsi" w:hAnsiTheme="minorHAnsi" w:cstheme="minorHAnsi"/>
          <w:sz w:val="22"/>
          <w:szCs w:val="22"/>
        </w:rPr>
        <w:fldChar w:fldCharType="end"/>
      </w:r>
      <w:r w:rsidRPr="004C3B98">
        <w:rPr>
          <w:rFonts w:asciiTheme="minorHAnsi" w:hAnsiTheme="minorHAnsi" w:cstheme="minorHAnsi"/>
          <w:sz w:val="22"/>
          <w:szCs w:val="22"/>
        </w:rPr>
        <w:t>).</w:t>
      </w:r>
    </w:p>
    <w:p w14:paraId="3CE31FF6" w14:textId="2182E405" w:rsidR="00DD52E3" w:rsidRPr="004C3B98" w:rsidRDefault="009E6B18" w:rsidP="00F77575">
      <w:pPr>
        <w:pStyle w:val="Caption"/>
        <w:rPr>
          <w:rFonts w:cs="Calibri"/>
          <w:i/>
          <w:iCs/>
        </w:rPr>
      </w:pPr>
      <w:bookmarkStart w:id="71" w:name="_Ref140808871"/>
      <w:bookmarkStart w:id="72" w:name="_Ref140743291"/>
      <w:bookmarkStart w:id="73" w:name="_Ref140751766"/>
      <w:r w:rsidRPr="004C3B98">
        <w:rPr>
          <w:i/>
          <w:iCs/>
        </w:rPr>
        <w:t xml:space="preserve">Table </w:t>
      </w:r>
      <w:r w:rsidRPr="004C3B98">
        <w:rPr>
          <w:i/>
          <w:iCs/>
        </w:rPr>
        <w:fldChar w:fldCharType="begin"/>
      </w:r>
      <w:r w:rsidRPr="004C3B98">
        <w:rPr>
          <w:i/>
          <w:iCs/>
        </w:rPr>
        <w:instrText xml:space="preserve"> SEQ Table \* ARABIC </w:instrText>
      </w:r>
      <w:r w:rsidRPr="004C3B98">
        <w:rPr>
          <w:i/>
          <w:iCs/>
        </w:rPr>
        <w:fldChar w:fldCharType="separate"/>
      </w:r>
      <w:r w:rsidR="00401046">
        <w:rPr>
          <w:i/>
          <w:iCs/>
          <w:noProof/>
        </w:rPr>
        <w:t>13</w:t>
      </w:r>
      <w:r w:rsidRPr="004C3B98">
        <w:rPr>
          <w:i/>
          <w:iCs/>
        </w:rPr>
        <w:fldChar w:fldCharType="end"/>
      </w:r>
      <w:bookmarkEnd w:id="71"/>
      <w:bookmarkEnd w:id="72"/>
      <w:r w:rsidR="00844CC9">
        <w:rPr>
          <w:i/>
          <w:iCs/>
        </w:rPr>
        <w:tab/>
      </w:r>
      <w:r w:rsidR="008A530D" w:rsidRPr="004C3B98">
        <w:rPr>
          <w:rFonts w:cs="Calibri"/>
          <w:i/>
          <w:iCs/>
        </w:rPr>
        <w:t xml:space="preserve">Proposed MBS Item for </w:t>
      </w:r>
      <w:r w:rsidR="008A530D" w:rsidRPr="004C3B98">
        <w:rPr>
          <w:rFonts w:cs="Calibri"/>
          <w:i/>
          <w:iCs/>
          <w:vertAlign w:val="superscript"/>
        </w:rPr>
        <w:t>68</w:t>
      </w:r>
      <w:r w:rsidR="008A530D" w:rsidRPr="004C3B98">
        <w:rPr>
          <w:rFonts w:cs="Calibri"/>
          <w:i/>
          <w:iCs/>
        </w:rPr>
        <w:t>Ga DOTA peptide PET Study to determine SSTR expression</w:t>
      </w:r>
      <w:bookmarkEnd w:id="73"/>
    </w:p>
    <w:tbl>
      <w:tblPr>
        <w:tblStyle w:val="TableGrid"/>
        <w:tblW w:w="0" w:type="auto"/>
        <w:tblInd w:w="0" w:type="dxa"/>
        <w:tblLook w:val="04A0" w:firstRow="1" w:lastRow="0" w:firstColumn="1" w:lastColumn="0" w:noHBand="0" w:noVBand="1"/>
      </w:tblPr>
      <w:tblGrid>
        <w:gridCol w:w="9571"/>
      </w:tblGrid>
      <w:tr w:rsidR="00AE3414" w:rsidRPr="004D4938" w14:paraId="669BE5F8" w14:textId="77777777" w:rsidTr="008B7316">
        <w:tc>
          <w:tcPr>
            <w:tcW w:w="0" w:type="auto"/>
          </w:tcPr>
          <w:p w14:paraId="0FE1DB04" w14:textId="29EE7204" w:rsidR="008B7316" w:rsidRPr="004C3B98" w:rsidRDefault="008B7316" w:rsidP="004C3B98">
            <w:pPr>
              <w:keepNext/>
              <w:spacing w:before="40" w:after="40" w:line="240" w:lineRule="auto"/>
              <w:rPr>
                <w:rFonts w:ascii="Arial Narrow" w:hAnsi="Arial Narrow" w:cs="Calibri"/>
                <w:i/>
                <w:iCs/>
                <w:sz w:val="20"/>
                <w:szCs w:val="20"/>
              </w:rPr>
            </w:pPr>
            <w:r w:rsidRPr="004C3B98">
              <w:rPr>
                <w:rFonts w:ascii="Arial Narrow" w:hAnsi="Arial Narrow" w:cs="Calibri"/>
                <w:i/>
                <w:iCs/>
                <w:sz w:val="20"/>
                <w:szCs w:val="20"/>
              </w:rPr>
              <w:t>Category 5 – Diagnostic Imaging Services</w:t>
            </w:r>
          </w:p>
        </w:tc>
      </w:tr>
      <w:tr w:rsidR="00AE3414" w:rsidRPr="004D4938" w14:paraId="6D005E16" w14:textId="77777777" w:rsidTr="008B7316">
        <w:tc>
          <w:tcPr>
            <w:tcW w:w="0" w:type="auto"/>
          </w:tcPr>
          <w:p w14:paraId="37B5F141" w14:textId="64EBFE91" w:rsidR="008B7316" w:rsidRPr="004C3B98" w:rsidRDefault="008B7316" w:rsidP="007B0205">
            <w:pPr>
              <w:keepNext/>
              <w:spacing w:before="40" w:after="40" w:line="240" w:lineRule="auto"/>
              <w:jc w:val="both"/>
              <w:rPr>
                <w:rFonts w:ascii="Arial Narrow" w:hAnsi="Arial Narrow" w:cs="Calibri"/>
                <w:i/>
                <w:iCs/>
                <w:sz w:val="20"/>
                <w:szCs w:val="20"/>
              </w:rPr>
            </w:pPr>
            <w:r w:rsidRPr="004C3B98">
              <w:rPr>
                <w:rFonts w:ascii="Arial Narrow" w:hAnsi="Arial Narrow" w:cs="Calibri"/>
                <w:i/>
                <w:iCs/>
                <w:sz w:val="20"/>
                <w:szCs w:val="20"/>
              </w:rPr>
              <w:t xml:space="preserve">MBS Item </w:t>
            </w:r>
            <w:r w:rsidR="5EFCA652" w:rsidRPr="62CF2D77">
              <w:rPr>
                <w:rFonts w:ascii="Arial Narrow" w:hAnsi="Arial Narrow" w:cs="Calibri"/>
                <w:i/>
                <w:iCs/>
                <w:sz w:val="20"/>
                <w:szCs w:val="20"/>
              </w:rPr>
              <w:t>XXX</w:t>
            </w:r>
            <w:r w:rsidR="45097B4F" w:rsidRPr="62CF2D77">
              <w:rPr>
                <w:rFonts w:ascii="Arial Narrow" w:hAnsi="Arial Narrow" w:cs="Calibri"/>
                <w:i/>
                <w:iCs/>
                <w:sz w:val="20"/>
                <w:szCs w:val="20"/>
              </w:rPr>
              <w:t>X</w:t>
            </w:r>
          </w:p>
          <w:p w14:paraId="53399EEA" w14:textId="321B5A2B" w:rsidR="008B7316" w:rsidRPr="004C3B98" w:rsidRDefault="008B7316" w:rsidP="007B0205">
            <w:pPr>
              <w:keepNext/>
              <w:spacing w:before="40" w:after="40" w:line="240" w:lineRule="auto"/>
              <w:jc w:val="both"/>
              <w:rPr>
                <w:rFonts w:ascii="Arial Narrow" w:hAnsi="Arial Narrow" w:cs="Calibri"/>
                <w:i/>
                <w:iCs/>
                <w:sz w:val="20"/>
                <w:szCs w:val="20"/>
              </w:rPr>
            </w:pPr>
            <w:r w:rsidRPr="004C3B98">
              <w:rPr>
                <w:rFonts w:ascii="Arial Narrow" w:hAnsi="Arial Narrow" w:cs="Calibri"/>
                <w:i/>
                <w:iCs/>
                <w:sz w:val="20"/>
                <w:szCs w:val="20"/>
              </w:rPr>
              <w:t xml:space="preserve">Whole body </w:t>
            </w:r>
            <w:r w:rsidRPr="004C3B98">
              <w:rPr>
                <w:rFonts w:ascii="Arial Narrow" w:hAnsi="Arial Narrow" w:cs="Calibri"/>
                <w:i/>
                <w:iCs/>
                <w:sz w:val="20"/>
                <w:szCs w:val="20"/>
                <w:vertAlign w:val="superscript"/>
              </w:rPr>
              <w:t>68</w:t>
            </w:r>
            <w:r w:rsidRPr="004C3B98">
              <w:rPr>
                <w:rFonts w:ascii="Arial Narrow" w:hAnsi="Arial Narrow" w:cs="Calibri"/>
                <w:i/>
                <w:iCs/>
                <w:sz w:val="20"/>
                <w:szCs w:val="20"/>
              </w:rPr>
              <w:t>Ga</w:t>
            </w:r>
            <w:r w:rsidR="00B864B7">
              <w:rPr>
                <w:rFonts w:ascii="Arial Narrow" w:hAnsi="Arial Narrow" w:cs="Calibri"/>
                <w:i/>
                <w:iCs/>
                <w:sz w:val="20"/>
                <w:szCs w:val="20"/>
              </w:rPr>
              <w:t>-</w:t>
            </w:r>
            <w:r w:rsidRPr="004C3B98">
              <w:rPr>
                <w:rFonts w:ascii="Arial Narrow" w:hAnsi="Arial Narrow" w:cs="Calibri"/>
                <w:i/>
                <w:iCs/>
                <w:sz w:val="20"/>
                <w:szCs w:val="20"/>
              </w:rPr>
              <w:t>DOTA</w:t>
            </w:r>
            <w:r w:rsidR="00B864B7">
              <w:rPr>
                <w:rFonts w:ascii="Arial Narrow" w:hAnsi="Arial Narrow" w:cs="Calibri"/>
                <w:i/>
                <w:iCs/>
                <w:sz w:val="20"/>
                <w:szCs w:val="20"/>
              </w:rPr>
              <w:t xml:space="preserve">-octreotate </w:t>
            </w:r>
            <w:r w:rsidRPr="004C3B98">
              <w:rPr>
                <w:rFonts w:ascii="Arial Narrow" w:hAnsi="Arial Narrow" w:cs="Calibri"/>
                <w:i/>
                <w:iCs/>
                <w:sz w:val="20"/>
                <w:szCs w:val="20"/>
              </w:rPr>
              <w:t xml:space="preserve"> </w:t>
            </w:r>
            <w:r w:rsidR="00B864B7">
              <w:rPr>
                <w:rFonts w:ascii="Arial Narrow" w:hAnsi="Arial Narrow" w:cs="Calibri"/>
                <w:i/>
                <w:iCs/>
                <w:sz w:val="20"/>
                <w:szCs w:val="20"/>
              </w:rPr>
              <w:t xml:space="preserve">or somatostatin receptor agonist </w:t>
            </w:r>
            <w:r w:rsidRPr="004C3B98">
              <w:rPr>
                <w:rFonts w:ascii="Arial Narrow" w:hAnsi="Arial Narrow" w:cs="Calibri"/>
                <w:i/>
                <w:iCs/>
                <w:sz w:val="20"/>
                <w:szCs w:val="20"/>
              </w:rPr>
              <w:t xml:space="preserve">PET </w:t>
            </w:r>
            <w:r w:rsidR="009B3D63">
              <w:rPr>
                <w:rFonts w:ascii="Arial Narrow" w:hAnsi="Arial Narrow" w:cs="Calibri"/>
                <w:i/>
                <w:iCs/>
                <w:sz w:val="20"/>
                <w:szCs w:val="20"/>
              </w:rPr>
              <w:t>s</w:t>
            </w:r>
            <w:r w:rsidRPr="004C3B98">
              <w:rPr>
                <w:rFonts w:ascii="Arial Narrow" w:hAnsi="Arial Narrow" w:cs="Calibri"/>
                <w:i/>
                <w:iCs/>
                <w:sz w:val="20"/>
                <w:szCs w:val="20"/>
              </w:rPr>
              <w:t xml:space="preserve">tudy of patients with histologically confirmed, locally advanced or metastatic, and inoperable neuroendocrine </w:t>
            </w:r>
            <w:r w:rsidR="00FB4451" w:rsidRPr="00E35BCA">
              <w:rPr>
                <w:rFonts w:ascii="Arial Narrow" w:hAnsi="Arial Narrow" w:cs="Calibri"/>
                <w:i/>
                <w:iCs/>
                <w:sz w:val="20"/>
                <w:szCs w:val="20"/>
              </w:rPr>
              <w:t>neoplasms</w:t>
            </w:r>
            <w:r w:rsidRPr="00844CC9">
              <w:rPr>
                <w:rFonts w:ascii="Arial Narrow" w:hAnsi="Arial Narrow" w:cs="Calibri"/>
                <w:i/>
                <w:iCs/>
                <w:sz w:val="20"/>
                <w:szCs w:val="20"/>
              </w:rPr>
              <w:t xml:space="preserve"> </w:t>
            </w:r>
            <w:r w:rsidRPr="004C3B98">
              <w:rPr>
                <w:rFonts w:ascii="Arial Narrow" w:hAnsi="Arial Narrow" w:cs="Calibri"/>
                <w:i/>
                <w:iCs/>
                <w:sz w:val="20"/>
                <w:szCs w:val="20"/>
              </w:rPr>
              <w:t>(NE</w:t>
            </w:r>
            <w:r w:rsidR="00FB4451">
              <w:rPr>
                <w:rFonts w:ascii="Arial Narrow" w:hAnsi="Arial Narrow" w:cs="Calibri"/>
                <w:i/>
                <w:iCs/>
                <w:sz w:val="20"/>
                <w:szCs w:val="20"/>
              </w:rPr>
              <w:t>N</w:t>
            </w:r>
            <w:r w:rsidRPr="004C3B98">
              <w:rPr>
                <w:rFonts w:ascii="Arial Narrow" w:hAnsi="Arial Narrow" w:cs="Calibri"/>
                <w:i/>
                <w:iCs/>
                <w:sz w:val="20"/>
                <w:szCs w:val="20"/>
              </w:rPr>
              <w:t>s) with</w:t>
            </w:r>
          </w:p>
          <w:p w14:paraId="68E6984D" w14:textId="7E2B5E28" w:rsidR="008B7316" w:rsidRPr="004C3B98" w:rsidRDefault="00B864B7" w:rsidP="007B0205">
            <w:pPr>
              <w:pStyle w:val="ListParagraph"/>
              <w:keepNext/>
              <w:numPr>
                <w:ilvl w:val="0"/>
                <w:numId w:val="15"/>
              </w:numPr>
              <w:spacing w:before="40" w:after="40" w:line="240" w:lineRule="auto"/>
              <w:ind w:left="319" w:hanging="319"/>
              <w:jc w:val="both"/>
              <w:rPr>
                <w:rFonts w:ascii="Arial Narrow" w:hAnsi="Arial Narrow" w:cs="Calibri"/>
                <w:i/>
                <w:iCs/>
                <w:sz w:val="20"/>
                <w:szCs w:val="20"/>
              </w:rPr>
            </w:pPr>
            <w:r>
              <w:rPr>
                <w:rFonts w:ascii="Arial Narrow" w:hAnsi="Arial Narrow" w:cs="Calibri"/>
                <w:i/>
                <w:iCs/>
                <w:sz w:val="20"/>
                <w:szCs w:val="20"/>
              </w:rPr>
              <w:t>Localisation of functioning (hormonally active) NEN when conventional imaging negative</w:t>
            </w:r>
            <w:r w:rsidR="009B3D63">
              <w:rPr>
                <w:rFonts w:ascii="Arial Narrow" w:hAnsi="Arial Narrow" w:cs="Calibri"/>
                <w:i/>
                <w:iCs/>
                <w:sz w:val="20"/>
                <w:szCs w:val="20"/>
              </w:rPr>
              <w:t xml:space="preserve"> or </w:t>
            </w:r>
            <w:r>
              <w:rPr>
                <w:rFonts w:ascii="Arial Narrow" w:hAnsi="Arial Narrow" w:cs="Calibri"/>
                <w:i/>
                <w:iCs/>
                <w:sz w:val="20"/>
                <w:szCs w:val="20"/>
              </w:rPr>
              <w:t xml:space="preserve">equivocal; </w:t>
            </w:r>
            <w:r w:rsidR="008B7316" w:rsidRPr="004C3B98">
              <w:rPr>
                <w:rFonts w:ascii="Arial Narrow" w:hAnsi="Arial Narrow" w:cs="Calibri"/>
                <w:i/>
                <w:iCs/>
                <w:sz w:val="20"/>
                <w:szCs w:val="20"/>
              </w:rPr>
              <w:t>or</w:t>
            </w:r>
          </w:p>
          <w:p w14:paraId="5629E215" w14:textId="24E89E61" w:rsidR="008B7316" w:rsidRPr="004C3B98" w:rsidRDefault="00B864B7" w:rsidP="007B0205">
            <w:pPr>
              <w:pStyle w:val="ListParagraph"/>
              <w:keepNext/>
              <w:numPr>
                <w:ilvl w:val="0"/>
                <w:numId w:val="15"/>
              </w:numPr>
              <w:spacing w:before="40" w:after="40" w:line="240" w:lineRule="auto"/>
              <w:ind w:left="319" w:hanging="319"/>
              <w:jc w:val="both"/>
              <w:rPr>
                <w:rFonts w:ascii="Arial Narrow" w:hAnsi="Arial Narrow" w:cs="Calibri"/>
                <w:i/>
                <w:iCs/>
                <w:sz w:val="20"/>
                <w:szCs w:val="20"/>
              </w:rPr>
            </w:pPr>
            <w:r>
              <w:rPr>
                <w:rFonts w:ascii="Arial Narrow" w:hAnsi="Arial Narrow" w:cs="Calibri"/>
                <w:i/>
                <w:iCs/>
                <w:sz w:val="20"/>
                <w:szCs w:val="20"/>
              </w:rPr>
              <w:t>Staging of histologically confirmed NEN considered surgically curable on conventional imaging</w:t>
            </w:r>
            <w:r w:rsidR="008B7316" w:rsidRPr="004C3B98">
              <w:rPr>
                <w:rFonts w:ascii="Arial Narrow" w:hAnsi="Arial Narrow" w:cs="Calibri"/>
                <w:i/>
                <w:iCs/>
                <w:sz w:val="20"/>
                <w:szCs w:val="20"/>
              </w:rPr>
              <w:t xml:space="preserve">, </w:t>
            </w:r>
            <w:r w:rsidR="003F5CBA">
              <w:rPr>
                <w:rFonts w:ascii="Arial Narrow" w:hAnsi="Arial Narrow" w:cs="Calibri"/>
                <w:i/>
                <w:iCs/>
                <w:sz w:val="20"/>
                <w:szCs w:val="20"/>
              </w:rPr>
              <w:t>or</w:t>
            </w:r>
          </w:p>
          <w:p w14:paraId="3114E434" w14:textId="3A333149" w:rsidR="008B7316" w:rsidRPr="004C3B98" w:rsidRDefault="00844CC9" w:rsidP="007B0205">
            <w:pPr>
              <w:pStyle w:val="ListParagraph"/>
              <w:keepNext/>
              <w:numPr>
                <w:ilvl w:val="0"/>
                <w:numId w:val="15"/>
              </w:numPr>
              <w:spacing w:before="40" w:after="40" w:line="240" w:lineRule="auto"/>
              <w:ind w:left="319" w:hanging="319"/>
              <w:jc w:val="both"/>
              <w:rPr>
                <w:rFonts w:ascii="Arial Narrow" w:hAnsi="Arial Narrow" w:cs="Calibri"/>
                <w:i/>
                <w:iCs/>
                <w:sz w:val="20"/>
                <w:szCs w:val="20"/>
              </w:rPr>
            </w:pPr>
            <w:r>
              <w:rPr>
                <w:rFonts w:ascii="Arial Narrow" w:hAnsi="Arial Narrow" w:cs="Calibri"/>
                <w:i/>
                <w:iCs/>
                <w:sz w:val="20"/>
                <w:szCs w:val="20"/>
              </w:rPr>
              <w:t>E</w:t>
            </w:r>
            <w:r w:rsidR="009B3D63">
              <w:rPr>
                <w:rFonts w:ascii="Arial Narrow" w:hAnsi="Arial Narrow" w:cs="Calibri"/>
                <w:i/>
                <w:iCs/>
                <w:sz w:val="20"/>
                <w:szCs w:val="20"/>
              </w:rPr>
              <w:t xml:space="preserve">valuation of </w:t>
            </w:r>
            <w:r w:rsidR="003F5CBA">
              <w:rPr>
                <w:rFonts w:ascii="Arial Narrow" w:hAnsi="Arial Narrow" w:cs="Calibri"/>
                <w:i/>
                <w:iCs/>
                <w:sz w:val="20"/>
                <w:szCs w:val="20"/>
              </w:rPr>
              <w:t>somatostatin analogue (</w:t>
            </w:r>
            <w:r w:rsidR="009B3D63">
              <w:rPr>
                <w:rFonts w:ascii="Arial Narrow" w:hAnsi="Arial Narrow" w:cs="Calibri"/>
                <w:i/>
                <w:iCs/>
                <w:sz w:val="20"/>
                <w:szCs w:val="20"/>
              </w:rPr>
              <w:t>SSA</w:t>
            </w:r>
            <w:r w:rsidR="003F5CBA">
              <w:rPr>
                <w:rFonts w:ascii="Arial Narrow" w:hAnsi="Arial Narrow" w:cs="Calibri"/>
                <w:i/>
                <w:iCs/>
                <w:sz w:val="20"/>
                <w:szCs w:val="20"/>
              </w:rPr>
              <w:t>)</w:t>
            </w:r>
            <w:r w:rsidR="009B3D63">
              <w:rPr>
                <w:rFonts w:ascii="Arial Narrow" w:hAnsi="Arial Narrow" w:cs="Calibri"/>
                <w:i/>
                <w:iCs/>
                <w:sz w:val="20"/>
                <w:szCs w:val="20"/>
              </w:rPr>
              <w:t xml:space="preserve"> avidity (SSTR-2 expression) of NEN under consideration for peptide</w:t>
            </w:r>
            <w:r w:rsidR="003F5CBA">
              <w:rPr>
                <w:rFonts w:ascii="Arial Narrow" w:hAnsi="Arial Narrow" w:cs="Calibri"/>
                <w:i/>
                <w:iCs/>
                <w:sz w:val="20"/>
                <w:szCs w:val="20"/>
              </w:rPr>
              <w:t xml:space="preserve"> receptor</w:t>
            </w:r>
            <w:r w:rsidR="009B3D63">
              <w:rPr>
                <w:rFonts w:ascii="Arial Narrow" w:hAnsi="Arial Narrow" w:cs="Calibri"/>
                <w:i/>
                <w:iCs/>
                <w:sz w:val="20"/>
                <w:szCs w:val="20"/>
              </w:rPr>
              <w:t xml:space="preserve"> radionuclide therapy (PRRT); </w:t>
            </w:r>
            <w:r w:rsidR="003F5CBA">
              <w:rPr>
                <w:rFonts w:ascii="Arial Narrow" w:hAnsi="Arial Narrow" w:cs="Calibri"/>
                <w:i/>
                <w:iCs/>
                <w:sz w:val="20"/>
                <w:szCs w:val="20"/>
              </w:rPr>
              <w:t>or</w:t>
            </w:r>
          </w:p>
          <w:p w14:paraId="509853CA" w14:textId="345B624B" w:rsidR="008B7316" w:rsidRPr="004C3B98" w:rsidRDefault="009B3D63" w:rsidP="007B0205">
            <w:pPr>
              <w:pStyle w:val="ListParagraph"/>
              <w:keepNext/>
              <w:numPr>
                <w:ilvl w:val="0"/>
                <w:numId w:val="15"/>
              </w:numPr>
              <w:spacing w:before="40" w:after="40" w:line="240" w:lineRule="auto"/>
              <w:ind w:left="319" w:hanging="319"/>
              <w:jc w:val="both"/>
              <w:rPr>
                <w:rFonts w:ascii="Arial Narrow" w:hAnsi="Arial Narrow" w:cs="Calibri"/>
                <w:i/>
                <w:iCs/>
                <w:sz w:val="20"/>
                <w:szCs w:val="20"/>
              </w:rPr>
            </w:pPr>
            <w:r>
              <w:rPr>
                <w:rFonts w:ascii="Arial Narrow" w:hAnsi="Arial Narrow" w:cs="Calibri"/>
                <w:i/>
                <w:iCs/>
                <w:sz w:val="20"/>
                <w:szCs w:val="20"/>
              </w:rPr>
              <w:t xml:space="preserve">Evaluation of response to </w:t>
            </w:r>
            <w:r w:rsidR="00451048" w:rsidRPr="004C3B98">
              <w:rPr>
                <w:rFonts w:ascii="Arial Narrow" w:hAnsi="Arial Narrow" w:cs="Calibri"/>
                <w:i/>
                <w:iCs/>
                <w:sz w:val="20"/>
                <w:szCs w:val="20"/>
              </w:rPr>
              <w:t xml:space="preserve">r PRRT </w:t>
            </w:r>
            <w:r>
              <w:rPr>
                <w:rFonts w:ascii="Arial Narrow" w:hAnsi="Arial Narrow" w:cs="Calibri"/>
                <w:i/>
                <w:iCs/>
                <w:sz w:val="20"/>
                <w:szCs w:val="20"/>
              </w:rPr>
              <w:t>therapy</w:t>
            </w:r>
            <w:r w:rsidR="00986CBD" w:rsidRPr="004C3B98">
              <w:rPr>
                <w:rFonts w:ascii="Arial Narrow" w:hAnsi="Arial Narrow" w:cs="Calibri"/>
                <w:i/>
                <w:iCs/>
                <w:sz w:val="20"/>
                <w:szCs w:val="20"/>
              </w:rPr>
              <w:t>; or</w:t>
            </w:r>
          </w:p>
          <w:p w14:paraId="23DE2417" w14:textId="4B08FD66" w:rsidR="00986CBD" w:rsidRDefault="009B3D63" w:rsidP="007B0205">
            <w:pPr>
              <w:pStyle w:val="ListParagraph"/>
              <w:keepNext/>
              <w:numPr>
                <w:ilvl w:val="0"/>
                <w:numId w:val="15"/>
              </w:numPr>
              <w:spacing w:before="40" w:after="40" w:line="240" w:lineRule="auto"/>
              <w:ind w:left="319" w:hanging="319"/>
              <w:jc w:val="both"/>
              <w:rPr>
                <w:rFonts w:ascii="Arial Narrow" w:hAnsi="Arial Narrow" w:cs="Calibri"/>
                <w:i/>
                <w:iCs/>
                <w:sz w:val="20"/>
                <w:szCs w:val="20"/>
              </w:rPr>
            </w:pPr>
            <w:r>
              <w:rPr>
                <w:rFonts w:ascii="Arial Narrow" w:hAnsi="Arial Narrow" w:cs="Calibri"/>
                <w:i/>
                <w:iCs/>
                <w:sz w:val="20"/>
                <w:szCs w:val="20"/>
              </w:rPr>
              <w:t xml:space="preserve">Evaluation of suspected recurrent/metastatic disease in known SSA-avid (H-SSTR) NEN. </w:t>
            </w:r>
          </w:p>
          <w:p w14:paraId="05D239CF" w14:textId="31E0D939" w:rsidR="009B3D63" w:rsidRPr="00E35BCA" w:rsidRDefault="009B3D63" w:rsidP="007B0205">
            <w:pPr>
              <w:keepNext/>
              <w:spacing w:before="40" w:after="40" w:line="240" w:lineRule="auto"/>
              <w:jc w:val="both"/>
              <w:rPr>
                <w:rFonts w:ascii="Arial Narrow" w:hAnsi="Arial Narrow" w:cs="Calibri"/>
                <w:i/>
                <w:iCs/>
                <w:sz w:val="20"/>
                <w:szCs w:val="20"/>
              </w:rPr>
            </w:pPr>
            <w:r w:rsidRPr="00E35BCA">
              <w:rPr>
                <w:rFonts w:ascii="Arial Narrow" w:hAnsi="Arial Narrow" w:cs="Calibri"/>
                <w:i/>
                <w:iCs/>
                <w:sz w:val="20"/>
                <w:szCs w:val="20"/>
              </w:rPr>
              <w:t xml:space="preserve">when referred by a specialist or consultant physician. </w:t>
            </w:r>
          </w:p>
        </w:tc>
      </w:tr>
      <w:tr w:rsidR="00AE3414" w:rsidRPr="004D4938" w14:paraId="58005999" w14:textId="77777777" w:rsidTr="008B7316">
        <w:tc>
          <w:tcPr>
            <w:tcW w:w="0" w:type="auto"/>
          </w:tcPr>
          <w:p w14:paraId="4226726B" w14:textId="5466E061" w:rsidR="008B7316" w:rsidRPr="004C3B98" w:rsidRDefault="008A530D" w:rsidP="004C3B98">
            <w:pPr>
              <w:keepNext/>
              <w:spacing w:before="40" w:after="40" w:line="240" w:lineRule="auto"/>
              <w:rPr>
                <w:rFonts w:ascii="Arial Narrow" w:hAnsi="Arial Narrow" w:cs="Calibri"/>
                <w:i/>
                <w:iCs/>
                <w:sz w:val="20"/>
                <w:szCs w:val="20"/>
              </w:rPr>
            </w:pPr>
            <w:r w:rsidRPr="004C3B98">
              <w:rPr>
                <w:rFonts w:ascii="Arial Narrow" w:hAnsi="Arial Narrow" w:cs="Calibri"/>
                <w:i/>
                <w:iCs/>
                <w:sz w:val="20"/>
                <w:szCs w:val="20"/>
              </w:rPr>
              <w:t>Fee: $</w:t>
            </w:r>
            <w:r w:rsidR="00451048" w:rsidRPr="004C3B98">
              <w:rPr>
                <w:rFonts w:ascii="Arial Narrow" w:hAnsi="Arial Narrow" w:cs="Calibri"/>
                <w:i/>
                <w:iCs/>
                <w:sz w:val="20"/>
                <w:szCs w:val="20"/>
              </w:rPr>
              <w:t>953.00</w:t>
            </w:r>
          </w:p>
        </w:tc>
      </w:tr>
    </w:tbl>
    <w:p w14:paraId="54FE3DD2" w14:textId="77777777" w:rsidR="00DD52E3" w:rsidRPr="004C3B98" w:rsidRDefault="00DD52E3" w:rsidP="000B6C1B">
      <w:pPr>
        <w:keepNext/>
        <w:jc w:val="both"/>
        <w:rPr>
          <w:rFonts w:cs="Calibri"/>
        </w:rPr>
      </w:pPr>
    </w:p>
    <w:p w14:paraId="2C9F57C4" w14:textId="0F2497C0" w:rsidR="00D71A24" w:rsidRDefault="00D71A24" w:rsidP="000B6C1B">
      <w:pPr>
        <w:jc w:val="both"/>
        <w:rPr>
          <w:rFonts w:cs="Calibri"/>
          <w:i/>
          <w:iCs/>
        </w:rPr>
      </w:pPr>
      <w:r w:rsidRPr="00ED4E95">
        <w:fldChar w:fldCharType="begin"/>
      </w:r>
      <w:r w:rsidRPr="00ED4E95">
        <w:instrText xml:space="preserve"> REF _Ref128653206 \h </w:instrText>
      </w:r>
      <w:r w:rsidR="00ED4E95">
        <w:instrText xml:space="preserve"> \* MERGEFORMAT </w:instrText>
      </w:r>
      <w:r w:rsidRPr="00ED4E95">
        <w:fldChar w:fldCharType="separate"/>
      </w:r>
      <w:r w:rsidR="00401046" w:rsidRPr="00ED4E95">
        <w:t xml:space="preserve">Table </w:t>
      </w:r>
      <w:r w:rsidR="00401046">
        <w:rPr>
          <w:noProof/>
        </w:rPr>
        <w:t>14</w:t>
      </w:r>
      <w:r w:rsidRPr="00ED4E95">
        <w:fldChar w:fldCharType="end"/>
      </w:r>
      <w:r w:rsidRPr="00ED4E95">
        <w:t xml:space="preserve"> presents the current MBS item descriptors for FDG</w:t>
      </w:r>
      <w:r w:rsidRPr="00ED4E95">
        <w:rPr>
          <w:vertAlign w:val="superscript"/>
        </w:rPr>
        <w:t xml:space="preserve"> </w:t>
      </w:r>
      <w:r w:rsidRPr="00ED4E95">
        <w:t>PET/CT imaging</w:t>
      </w:r>
      <w:r w:rsidRPr="00727083">
        <w:t xml:space="preserve">. </w:t>
      </w:r>
      <w:r w:rsidRPr="00922B1C">
        <w:t>It is considered that the wording for item 61612 would not require amendment.</w:t>
      </w:r>
      <w:r w:rsidR="00185FDB">
        <w:t xml:space="preserve"> </w:t>
      </w:r>
      <w:r w:rsidR="004D4938" w:rsidRPr="004C3B98">
        <w:rPr>
          <w:i/>
          <w:iCs/>
        </w:rPr>
        <w:t xml:space="preserve">At is April </w:t>
      </w:r>
      <w:r w:rsidR="00E47FC2">
        <w:rPr>
          <w:i/>
          <w:iCs/>
        </w:rPr>
        <w:t xml:space="preserve">2023 </w:t>
      </w:r>
      <w:r w:rsidR="004D4938" w:rsidRPr="004C3B98">
        <w:rPr>
          <w:i/>
          <w:iCs/>
        </w:rPr>
        <w:t xml:space="preserve">meeting, </w:t>
      </w:r>
      <w:r w:rsidR="00185FDB" w:rsidRPr="004D4938">
        <w:rPr>
          <w:rFonts w:cs="Calibri"/>
          <w:i/>
          <w:iCs/>
        </w:rPr>
        <w:t>PASC agreed that the item descriptor for FDG PET/CT would likely not require amendment or a new item, noting that whole body FDG PET for treatment response and recurrence for rare or uncommon cancers was currently under consideration by MSAC. PASC further noted that the</w:t>
      </w:r>
      <w:r w:rsidR="00EF27B5" w:rsidRPr="004D4938">
        <w:rPr>
          <w:rFonts w:cs="Calibri"/>
          <w:i/>
          <w:iCs/>
        </w:rPr>
        <w:t xml:space="preserve"> incidence threshold of</w:t>
      </w:r>
      <w:r w:rsidR="00185FDB" w:rsidRPr="004D4938">
        <w:rPr>
          <w:rFonts w:cs="Calibri"/>
          <w:i/>
          <w:iCs/>
        </w:rPr>
        <w:t xml:space="preserve"> less than </w:t>
      </w:r>
      <w:r w:rsidR="00185FDB" w:rsidRPr="004D4938">
        <w:rPr>
          <w:i/>
          <w:iCs/>
        </w:rPr>
        <w:t>12 cases per 100,000 persons per year</w:t>
      </w:r>
      <w:r w:rsidR="00185FDB" w:rsidRPr="004D4938">
        <w:rPr>
          <w:rFonts w:cs="Calibri"/>
          <w:i/>
          <w:iCs/>
        </w:rPr>
        <w:t xml:space="preserve"> definition for rare cancers would apply.</w:t>
      </w:r>
    </w:p>
    <w:p w14:paraId="66DE6462" w14:textId="6EE49599" w:rsidR="00CC1BC2" w:rsidRPr="00ED4E95" w:rsidRDefault="00CC1BC2" w:rsidP="00CC1BC2">
      <w:pPr>
        <w:pStyle w:val="Caption"/>
      </w:pPr>
      <w:bookmarkStart w:id="74" w:name="_Ref128653206"/>
      <w:r w:rsidRPr="00ED4E95">
        <w:lastRenderedPageBreak/>
        <w:t xml:space="preserve">Table </w:t>
      </w:r>
      <w:r w:rsidRPr="00ED4E95">
        <w:fldChar w:fldCharType="begin"/>
      </w:r>
      <w:r w:rsidRPr="00ED4E95">
        <w:instrText xml:space="preserve"> SEQ Table \* ARABIC </w:instrText>
      </w:r>
      <w:r w:rsidRPr="00ED4E95">
        <w:fldChar w:fldCharType="separate"/>
      </w:r>
      <w:r w:rsidR="00401046">
        <w:rPr>
          <w:noProof/>
        </w:rPr>
        <w:t>14</w:t>
      </w:r>
      <w:r w:rsidRPr="00ED4E95">
        <w:fldChar w:fldCharType="end"/>
      </w:r>
      <w:bookmarkEnd w:id="74"/>
      <w:r w:rsidRPr="00ED4E95">
        <w:tab/>
        <w:t xml:space="preserve">Current and proposed MBS items for FDG PET imaging </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571"/>
      </w:tblGrid>
      <w:tr w:rsidR="00D71A24" w:rsidRPr="00ED4E95" w14:paraId="3DAA1B04" w14:textId="77777777" w:rsidTr="005A13E2">
        <w:trPr>
          <w:cantSplit/>
          <w:tblHeader/>
        </w:trPr>
        <w:tc>
          <w:tcPr>
            <w:tcW w:w="9571" w:type="dxa"/>
            <w:tcBorders>
              <w:top w:val="single" w:sz="4" w:space="0" w:color="auto"/>
              <w:left w:val="single" w:sz="4" w:space="0" w:color="auto"/>
              <w:bottom w:val="single" w:sz="4" w:space="0" w:color="auto"/>
              <w:right w:val="single" w:sz="4" w:space="0" w:color="auto"/>
            </w:tcBorders>
            <w:hideMark/>
          </w:tcPr>
          <w:p w14:paraId="1E3DA330" w14:textId="41306D2B" w:rsidR="00D71A24" w:rsidRPr="00ED4E95" w:rsidRDefault="00D71A24" w:rsidP="00E47FC2">
            <w:pPr>
              <w:spacing w:before="40" w:after="40" w:line="240" w:lineRule="auto"/>
              <w:rPr>
                <w:rFonts w:ascii="Arial Narrow" w:hAnsi="Arial Narrow"/>
                <w:b/>
                <w:bCs/>
                <w:i/>
                <w:iCs/>
                <w:sz w:val="20"/>
                <w:szCs w:val="20"/>
              </w:rPr>
            </w:pPr>
            <w:r w:rsidRPr="00ED4E95">
              <w:rPr>
                <w:rFonts w:ascii="Arial Narrow" w:hAnsi="Arial Narrow"/>
                <w:b/>
                <w:bCs/>
                <w:sz w:val="20"/>
                <w:szCs w:val="20"/>
              </w:rPr>
              <w:t xml:space="preserve">Category 5 – Diagnostic Imaging Services </w:t>
            </w:r>
          </w:p>
        </w:tc>
      </w:tr>
      <w:tr w:rsidR="00D71A24" w:rsidRPr="00ED4E95" w14:paraId="5F99F0A2" w14:textId="77777777" w:rsidTr="005A13E2">
        <w:trPr>
          <w:cantSplit/>
          <w:tblHeader/>
        </w:trPr>
        <w:tc>
          <w:tcPr>
            <w:tcW w:w="9571" w:type="dxa"/>
            <w:tcBorders>
              <w:top w:val="single" w:sz="4" w:space="0" w:color="auto"/>
              <w:left w:val="single" w:sz="4" w:space="0" w:color="auto"/>
              <w:bottom w:val="single" w:sz="4" w:space="0" w:color="auto"/>
              <w:right w:val="single" w:sz="4" w:space="0" w:color="auto"/>
            </w:tcBorders>
            <w:vAlign w:val="center"/>
          </w:tcPr>
          <w:p w14:paraId="4F402DDC" w14:textId="77777777" w:rsidR="00D71A24" w:rsidRPr="00ED4E95" w:rsidRDefault="00D71A24" w:rsidP="000717D5">
            <w:pPr>
              <w:spacing w:before="120" w:after="120" w:line="240" w:lineRule="auto"/>
              <w:rPr>
                <w:rFonts w:ascii="Arial Narrow" w:hAnsi="Arial Narrow"/>
                <w:sz w:val="20"/>
                <w:szCs w:val="20"/>
              </w:rPr>
            </w:pPr>
            <w:r w:rsidRPr="00ED4E95">
              <w:rPr>
                <w:rFonts w:ascii="Arial Narrow" w:hAnsi="Arial Narrow"/>
                <w:sz w:val="20"/>
                <w:szCs w:val="20"/>
              </w:rPr>
              <w:t>MBS item 61612</w:t>
            </w:r>
          </w:p>
          <w:p w14:paraId="6C2C1D92" w14:textId="77777777" w:rsidR="00D71A24" w:rsidRPr="00ED4E95" w:rsidRDefault="00D71A24" w:rsidP="000717D5">
            <w:pPr>
              <w:spacing w:before="120" w:after="120" w:line="240" w:lineRule="auto"/>
              <w:rPr>
                <w:rFonts w:ascii="Arial Narrow" w:hAnsi="Arial Narrow" w:cstheme="minorBidi"/>
                <w:sz w:val="20"/>
                <w:szCs w:val="20"/>
              </w:rPr>
            </w:pPr>
            <w:r w:rsidRPr="00ED4E95">
              <w:rPr>
                <w:rFonts w:ascii="Arial Narrow" w:hAnsi="Arial Narrow" w:cstheme="minorBidi"/>
                <w:sz w:val="20"/>
                <w:szCs w:val="20"/>
              </w:rPr>
              <w:t>Whole body FDG PET study for the initial staging of eligible cancer types, for a patient who is considered suitable for active therapy, if:</w:t>
            </w:r>
          </w:p>
          <w:p w14:paraId="73776345" w14:textId="77777777" w:rsidR="00D71A24" w:rsidRPr="00ED4E95" w:rsidRDefault="00D71A24" w:rsidP="000717D5">
            <w:pPr>
              <w:spacing w:before="120" w:after="120" w:line="240" w:lineRule="auto"/>
              <w:rPr>
                <w:rFonts w:ascii="Arial Narrow" w:hAnsi="Arial Narrow" w:cstheme="minorBidi"/>
                <w:sz w:val="20"/>
                <w:szCs w:val="20"/>
              </w:rPr>
            </w:pPr>
            <w:r w:rsidRPr="00ED4E95">
              <w:rPr>
                <w:rFonts w:ascii="Arial Narrow" w:hAnsi="Arial Narrow" w:cstheme="minorBidi"/>
                <w:sz w:val="20"/>
                <w:szCs w:val="20"/>
              </w:rPr>
              <w:t>(a) the eligible cancer type is:</w:t>
            </w:r>
          </w:p>
          <w:p w14:paraId="46284A5F" w14:textId="77777777" w:rsidR="00D71A24" w:rsidRPr="00ED4E95" w:rsidRDefault="00D71A24" w:rsidP="000717D5">
            <w:pPr>
              <w:spacing w:before="120" w:after="120" w:line="240" w:lineRule="auto"/>
              <w:rPr>
                <w:rFonts w:ascii="Arial Narrow" w:hAnsi="Arial Narrow" w:cstheme="minorBidi"/>
                <w:sz w:val="20"/>
                <w:szCs w:val="20"/>
              </w:rPr>
            </w:pPr>
            <w:r w:rsidRPr="00ED4E95">
              <w:rPr>
                <w:rFonts w:ascii="Arial Narrow" w:hAnsi="Arial Narrow" w:cstheme="minorBidi"/>
                <w:sz w:val="20"/>
                <w:szCs w:val="20"/>
              </w:rPr>
              <w:t>(i) a rare or uncommon cancer (less than 12 cases per 100,000 persons per year); and</w:t>
            </w:r>
          </w:p>
          <w:p w14:paraId="12BA058B" w14:textId="77777777" w:rsidR="00D71A24" w:rsidRPr="00ED4E95" w:rsidRDefault="00D71A24" w:rsidP="000717D5">
            <w:pPr>
              <w:spacing w:before="120" w:after="120" w:line="240" w:lineRule="auto"/>
              <w:rPr>
                <w:rFonts w:ascii="Arial Narrow" w:hAnsi="Arial Narrow" w:cstheme="minorBidi"/>
                <w:sz w:val="20"/>
                <w:szCs w:val="20"/>
              </w:rPr>
            </w:pPr>
            <w:r w:rsidRPr="00ED4E95">
              <w:rPr>
                <w:rFonts w:ascii="Arial Narrow" w:hAnsi="Arial Narrow" w:cstheme="minorBidi"/>
                <w:sz w:val="20"/>
                <w:szCs w:val="20"/>
              </w:rPr>
              <w:t>(ii) a typically FDG</w:t>
            </w:r>
            <w:r w:rsidRPr="00ED4E95">
              <w:rPr>
                <w:rFonts w:ascii="Cambria Math" w:hAnsi="Cambria Math" w:cs="Cambria Math"/>
                <w:sz w:val="20"/>
                <w:szCs w:val="20"/>
              </w:rPr>
              <w:t>‑</w:t>
            </w:r>
            <w:r w:rsidRPr="00ED4E95">
              <w:rPr>
                <w:rFonts w:ascii="Arial Narrow" w:hAnsi="Arial Narrow" w:cstheme="minorBidi"/>
                <w:sz w:val="20"/>
                <w:szCs w:val="20"/>
              </w:rPr>
              <w:t>avid cancer; and</w:t>
            </w:r>
          </w:p>
          <w:p w14:paraId="05734F9C" w14:textId="77777777" w:rsidR="00D71A24" w:rsidRPr="00ED4E95" w:rsidRDefault="00D71A24" w:rsidP="000717D5">
            <w:pPr>
              <w:spacing w:before="120" w:after="120" w:line="240" w:lineRule="auto"/>
              <w:rPr>
                <w:rFonts w:ascii="Arial Narrow" w:hAnsi="Arial Narrow" w:cstheme="minorBidi"/>
                <w:sz w:val="20"/>
                <w:szCs w:val="20"/>
              </w:rPr>
            </w:pPr>
            <w:r w:rsidRPr="00ED4E95">
              <w:rPr>
                <w:rFonts w:ascii="Arial Narrow" w:hAnsi="Arial Narrow" w:cstheme="minorBidi"/>
                <w:sz w:val="20"/>
                <w:szCs w:val="20"/>
              </w:rPr>
              <w:t>(b) there is at least a 10% likelihood that the PET study result will inform a significant change in management for the patient</w:t>
            </w:r>
          </w:p>
          <w:p w14:paraId="001FD0CD" w14:textId="33C1CA4C" w:rsidR="00D71A24" w:rsidRPr="00ED4E95" w:rsidRDefault="00D71A24" w:rsidP="000717D5">
            <w:pPr>
              <w:spacing w:before="120" w:after="120" w:line="240" w:lineRule="auto"/>
              <w:rPr>
                <w:rFonts w:ascii="Arial Narrow" w:hAnsi="Arial Narrow"/>
                <w:i/>
                <w:iCs/>
                <w:sz w:val="20"/>
                <w:szCs w:val="20"/>
              </w:rPr>
            </w:pPr>
            <w:r w:rsidRPr="00ED4E95">
              <w:rPr>
                <w:rFonts w:ascii="Arial Narrow" w:hAnsi="Arial Narrow" w:cstheme="minorBidi"/>
                <w:sz w:val="20"/>
                <w:szCs w:val="20"/>
              </w:rPr>
              <w:t>Applicable once per cancer diagnosis (R)</w:t>
            </w:r>
          </w:p>
        </w:tc>
      </w:tr>
      <w:tr w:rsidR="00D71A24" w:rsidRPr="00ED4E95" w14:paraId="1E7297E6" w14:textId="77777777" w:rsidTr="005A13E2">
        <w:trPr>
          <w:cantSplit/>
          <w:tblHeader/>
        </w:trPr>
        <w:tc>
          <w:tcPr>
            <w:tcW w:w="9571" w:type="dxa"/>
            <w:tcBorders>
              <w:top w:val="single" w:sz="4" w:space="0" w:color="auto"/>
              <w:left w:val="single" w:sz="4" w:space="0" w:color="auto"/>
              <w:bottom w:val="single" w:sz="4" w:space="0" w:color="auto"/>
              <w:right w:val="single" w:sz="4" w:space="0" w:color="auto"/>
            </w:tcBorders>
            <w:vAlign w:val="center"/>
          </w:tcPr>
          <w:p w14:paraId="42825E90" w14:textId="5B1BA4F3" w:rsidR="00D71A24" w:rsidRPr="00ED4E95" w:rsidRDefault="00D71A24" w:rsidP="000717D5">
            <w:pPr>
              <w:spacing w:before="40" w:after="40" w:line="240" w:lineRule="auto"/>
              <w:rPr>
                <w:rFonts w:ascii="Arial Narrow" w:hAnsi="Arial Narrow"/>
                <w:i/>
                <w:iCs/>
                <w:sz w:val="20"/>
                <w:szCs w:val="20"/>
              </w:rPr>
            </w:pPr>
            <w:r w:rsidRPr="00ED4E95">
              <w:rPr>
                <w:rFonts w:ascii="Arial Narrow" w:hAnsi="Arial Narrow"/>
                <w:sz w:val="20"/>
                <w:szCs w:val="20"/>
              </w:rPr>
              <w:t>Fee: $953.00</w:t>
            </w:r>
          </w:p>
        </w:tc>
      </w:tr>
    </w:tbl>
    <w:p w14:paraId="2D3A2760" w14:textId="77777777" w:rsidR="00CC1BC2" w:rsidRPr="00ED4E95" w:rsidRDefault="00CC1BC2" w:rsidP="00CC1BC2">
      <w:pPr>
        <w:pStyle w:val="Tablenotes"/>
        <w:spacing w:after="0"/>
      </w:pPr>
      <w:r w:rsidRPr="00ED4E95">
        <w:t>Source: MBS online</w:t>
      </w:r>
    </w:p>
    <w:p w14:paraId="2B055908" w14:textId="1FBEC658" w:rsidR="00CC1BC2" w:rsidRPr="00ED4E95" w:rsidRDefault="00CC1BC2" w:rsidP="00CC1BC2">
      <w:pPr>
        <w:pStyle w:val="Tablenotes"/>
        <w:spacing w:after="240"/>
      </w:pPr>
      <w:r w:rsidRPr="00ED4E95">
        <w:t>Abbreviations: FDG = Fluorodeoxyglucose; MBS = Medicare Benefits Schedule; PET = positron emission tomography</w:t>
      </w:r>
    </w:p>
    <w:p w14:paraId="266C8ED8" w14:textId="76A69D55" w:rsidR="00F77575" w:rsidRPr="00E35BCA" w:rsidRDefault="00F77575" w:rsidP="007B0205">
      <w:pPr>
        <w:jc w:val="both"/>
        <w:rPr>
          <w:rFonts w:cs="Calibri"/>
        </w:rPr>
      </w:pPr>
      <w:r w:rsidRPr="00E35BCA">
        <w:rPr>
          <w:rFonts w:cs="Calibri"/>
        </w:rPr>
        <w:t>It is noted that MBS Item 61612 does not require referral from an MDT.</w:t>
      </w:r>
    </w:p>
    <w:p w14:paraId="240070AD" w14:textId="3F7F424A" w:rsidR="00185FDB" w:rsidRDefault="004D4938" w:rsidP="007B0205">
      <w:pPr>
        <w:jc w:val="both"/>
        <w:rPr>
          <w:rFonts w:cs="Calibri"/>
        </w:rPr>
      </w:pPr>
      <w:r w:rsidRPr="004C3B98">
        <w:rPr>
          <w:rFonts w:cs="Calibri"/>
          <w:i/>
          <w:iCs/>
        </w:rPr>
        <w:t xml:space="preserve">In its consideration at the April </w:t>
      </w:r>
      <w:r w:rsidR="00E47FC2">
        <w:rPr>
          <w:rFonts w:cs="Calibri"/>
          <w:i/>
          <w:iCs/>
        </w:rPr>
        <w:t xml:space="preserve">2023 </w:t>
      </w:r>
      <w:r w:rsidRPr="004C3B98">
        <w:rPr>
          <w:rFonts w:cs="Calibri"/>
          <w:i/>
          <w:iCs/>
        </w:rPr>
        <w:t xml:space="preserve">meeting, </w:t>
      </w:r>
      <w:r w:rsidR="00185FDB" w:rsidRPr="004D4938">
        <w:rPr>
          <w:rFonts w:cs="Calibri"/>
          <w:i/>
          <w:iCs/>
        </w:rPr>
        <w:t xml:space="preserve">PASC noted that there was no MBS item fee associated with amino acid infusion, nor are the amino acids PBS-listed and agreed with the applicant’s proposal that the cost for amino acid infusion may be incorporated into the per cycle fee for </w:t>
      </w:r>
      <w:r w:rsidR="00185FDB" w:rsidRPr="004D4938">
        <w:rPr>
          <w:rFonts w:cs="Calibri"/>
          <w:i/>
          <w:iCs/>
          <w:vertAlign w:val="superscript"/>
        </w:rPr>
        <w:t>177</w:t>
      </w:r>
      <w:r w:rsidR="00185FDB" w:rsidRPr="004D4938">
        <w:rPr>
          <w:rFonts w:cs="Calibri"/>
          <w:i/>
          <w:iCs/>
        </w:rPr>
        <w:t>Lu-</w:t>
      </w:r>
      <w:r w:rsidR="001C03D0" w:rsidRPr="004D4938">
        <w:rPr>
          <w:rFonts w:cs="Calibri"/>
          <w:i/>
          <w:iCs/>
        </w:rPr>
        <w:t>DOTA-</w:t>
      </w:r>
      <w:r w:rsidR="00110D5F" w:rsidRPr="004D4938">
        <w:rPr>
          <w:rFonts w:cs="Calibri"/>
          <w:i/>
          <w:iCs/>
        </w:rPr>
        <w:t xml:space="preserve">octreotate </w:t>
      </w:r>
      <w:r w:rsidR="00185FDB" w:rsidRPr="004D4938">
        <w:rPr>
          <w:rFonts w:cs="Calibri"/>
          <w:i/>
          <w:iCs/>
        </w:rPr>
        <w:t>treatment</w:t>
      </w:r>
      <w:r w:rsidR="00185FDB" w:rsidRPr="004C3B98">
        <w:rPr>
          <w:rFonts w:cs="Calibri"/>
        </w:rPr>
        <w:t xml:space="preserve"> (see last dot point</w:t>
      </w:r>
      <w:r w:rsidR="00E83B0F" w:rsidRPr="004C3B98">
        <w:rPr>
          <w:rFonts w:cs="Calibri"/>
        </w:rPr>
        <w:t xml:space="preserve"> following </w:t>
      </w:r>
      <w:r w:rsidR="00962542">
        <w:rPr>
          <w:rFonts w:cs="Calibri"/>
        </w:rPr>
        <w:fldChar w:fldCharType="begin"/>
      </w:r>
      <w:r w:rsidR="00962542">
        <w:rPr>
          <w:rFonts w:cs="Calibri"/>
        </w:rPr>
        <w:instrText xml:space="preserve"> REF _Ref130353551 \h </w:instrText>
      </w:r>
      <w:r w:rsidR="000B6C1B">
        <w:rPr>
          <w:rFonts w:cs="Calibri"/>
        </w:rPr>
        <w:instrText xml:space="preserve"> \* MERGEFORMAT </w:instrText>
      </w:r>
      <w:r w:rsidR="00962542">
        <w:rPr>
          <w:rFonts w:cs="Calibri"/>
        </w:rPr>
      </w:r>
      <w:r w:rsidR="00962542">
        <w:rPr>
          <w:rFonts w:cs="Calibri"/>
        </w:rPr>
        <w:fldChar w:fldCharType="separate"/>
      </w:r>
      <w:r w:rsidR="00401046" w:rsidRPr="00ED4E95">
        <w:t xml:space="preserve">Table </w:t>
      </w:r>
      <w:r w:rsidR="00401046">
        <w:rPr>
          <w:noProof/>
        </w:rPr>
        <w:t>15</w:t>
      </w:r>
      <w:r w:rsidR="00962542">
        <w:rPr>
          <w:rFonts w:cs="Calibri"/>
        </w:rPr>
        <w:fldChar w:fldCharType="end"/>
      </w:r>
      <w:r w:rsidR="00185FDB" w:rsidRPr="004C3B98">
        <w:rPr>
          <w:rFonts w:cs="Calibri"/>
        </w:rPr>
        <w:t>).</w:t>
      </w:r>
    </w:p>
    <w:p w14:paraId="0FE38748" w14:textId="51B996AA" w:rsidR="00D430DB" w:rsidRPr="00E35BCA" w:rsidRDefault="00D430DB" w:rsidP="007B0205">
      <w:pPr>
        <w:autoSpaceDE w:val="0"/>
        <w:autoSpaceDN w:val="0"/>
        <w:adjustRightInd w:val="0"/>
        <w:jc w:val="both"/>
        <w:rPr>
          <w:rFonts w:asciiTheme="minorHAnsi" w:hAnsiTheme="minorHAnsi" w:cstheme="minorHAnsi"/>
          <w:i/>
        </w:rPr>
      </w:pPr>
      <w:r w:rsidRPr="00E35BCA">
        <w:rPr>
          <w:rFonts w:asciiTheme="minorHAnsi" w:hAnsiTheme="minorHAnsi" w:cstheme="minorHAnsi"/>
          <w:i/>
        </w:rPr>
        <w:t xml:space="preserve">In August 2023, PASC suggested the following descriptor for the proposed new MBS Item for the therapeutic intervention: </w:t>
      </w:r>
    </w:p>
    <w:p w14:paraId="26C9A0C3" w14:textId="77777777" w:rsidR="00D430DB" w:rsidRPr="00E35BCA" w:rsidRDefault="00D430DB" w:rsidP="007B0205">
      <w:pPr>
        <w:autoSpaceDE w:val="0"/>
        <w:autoSpaceDN w:val="0"/>
        <w:adjustRightInd w:val="0"/>
        <w:ind w:left="171"/>
        <w:jc w:val="both"/>
        <w:rPr>
          <w:rFonts w:asciiTheme="minorHAnsi" w:hAnsiTheme="minorHAnsi" w:cstheme="minorHAnsi"/>
          <w:i/>
        </w:rPr>
      </w:pPr>
      <w:r w:rsidRPr="00E35BCA">
        <w:rPr>
          <w:rFonts w:asciiTheme="minorHAnsi" w:hAnsiTheme="minorHAnsi" w:cstheme="minorHAnsi"/>
          <w:i/>
        </w:rPr>
        <w:t>“</w:t>
      </w:r>
      <w:r w:rsidRPr="00E35BCA">
        <w:rPr>
          <w:rFonts w:asciiTheme="minorHAnsi" w:hAnsiTheme="minorHAnsi" w:cstheme="minorHAnsi"/>
          <w:i/>
          <w:vertAlign w:val="superscript"/>
        </w:rPr>
        <w:t>177</w:t>
      </w:r>
      <w:r w:rsidRPr="00E35BCA">
        <w:rPr>
          <w:rFonts w:asciiTheme="minorHAnsi" w:hAnsiTheme="minorHAnsi" w:cstheme="minorHAnsi"/>
          <w:i/>
        </w:rPr>
        <w:t>Lutetium-somatostatin agonist therapy for patients with histologically confirmed, locally advanced or metastatic, and inoperable neuroendocrine neoplasms (NEN) with documented disease progression or uncontrolled symptoms related to their NEN despite standard therapy who:</w:t>
      </w:r>
    </w:p>
    <w:p w14:paraId="202916E2" w14:textId="77777777" w:rsidR="00D430DB" w:rsidRPr="00E35BCA" w:rsidRDefault="00D430DB" w:rsidP="007B0205">
      <w:pPr>
        <w:pStyle w:val="ListParagraph"/>
        <w:numPr>
          <w:ilvl w:val="0"/>
          <w:numId w:val="23"/>
        </w:numPr>
        <w:autoSpaceDE w:val="0"/>
        <w:autoSpaceDN w:val="0"/>
        <w:adjustRightInd w:val="0"/>
        <w:ind w:left="596" w:hanging="425"/>
        <w:jc w:val="both"/>
        <w:rPr>
          <w:rFonts w:asciiTheme="minorHAnsi" w:hAnsiTheme="minorHAnsi" w:cstheme="minorHAnsi"/>
          <w:i/>
        </w:rPr>
      </w:pPr>
      <w:r w:rsidRPr="00E35BCA">
        <w:rPr>
          <w:rFonts w:asciiTheme="minorHAnsi" w:hAnsiTheme="minorHAnsi" w:cstheme="minorHAnsi"/>
          <w:i/>
        </w:rPr>
        <w:t xml:space="preserve">have high tumour somatostatin receptor expression demonstrated on whole body </w:t>
      </w:r>
      <w:r w:rsidRPr="00E35BCA">
        <w:rPr>
          <w:rFonts w:asciiTheme="minorHAnsi" w:hAnsiTheme="minorHAnsi" w:cstheme="minorHAnsi"/>
          <w:i/>
          <w:vertAlign w:val="superscript"/>
        </w:rPr>
        <w:t>68</w:t>
      </w:r>
      <w:r w:rsidRPr="00E35BCA">
        <w:rPr>
          <w:rFonts w:asciiTheme="minorHAnsi" w:hAnsiTheme="minorHAnsi" w:cstheme="minorHAnsi"/>
          <w:i/>
        </w:rPr>
        <w:t xml:space="preserve">Ga-DOTA-somatostatin agonist PET study; and </w:t>
      </w:r>
    </w:p>
    <w:p w14:paraId="635F9EDC" w14:textId="77777777" w:rsidR="00D430DB" w:rsidRPr="00E35BCA" w:rsidRDefault="00D430DB" w:rsidP="007B0205">
      <w:pPr>
        <w:pStyle w:val="ListParagraph"/>
        <w:numPr>
          <w:ilvl w:val="0"/>
          <w:numId w:val="23"/>
        </w:numPr>
        <w:autoSpaceDE w:val="0"/>
        <w:autoSpaceDN w:val="0"/>
        <w:adjustRightInd w:val="0"/>
        <w:ind w:left="596" w:hanging="425"/>
        <w:jc w:val="both"/>
        <w:rPr>
          <w:rFonts w:asciiTheme="minorHAnsi" w:hAnsiTheme="minorHAnsi" w:cstheme="minorHAnsi"/>
          <w:i/>
        </w:rPr>
      </w:pPr>
      <w:r w:rsidRPr="00E35BCA">
        <w:rPr>
          <w:rFonts w:asciiTheme="minorHAnsi" w:hAnsiTheme="minorHAnsi" w:cstheme="minorHAnsi"/>
          <w:i/>
        </w:rPr>
        <w:t xml:space="preserve">are considered suitable for </w:t>
      </w:r>
      <w:r w:rsidRPr="00E35BCA">
        <w:rPr>
          <w:rFonts w:asciiTheme="minorHAnsi" w:hAnsiTheme="minorHAnsi" w:cstheme="minorHAnsi"/>
          <w:i/>
          <w:vertAlign w:val="superscript"/>
        </w:rPr>
        <w:t>177</w:t>
      </w:r>
      <w:r w:rsidRPr="00E35BCA">
        <w:rPr>
          <w:rFonts w:asciiTheme="minorHAnsi" w:hAnsiTheme="minorHAnsi" w:cstheme="minorHAnsi"/>
          <w:i/>
        </w:rPr>
        <w:t>Lu-somatostatin agonist therapy by a formally convened neuroendocrine tumour multidisciplinary board.”</w:t>
      </w:r>
    </w:p>
    <w:p w14:paraId="665E580E" w14:textId="5C813908" w:rsidR="00D430DB" w:rsidRPr="00E35BCA" w:rsidRDefault="00D430DB" w:rsidP="007B0205">
      <w:pPr>
        <w:autoSpaceDE w:val="0"/>
        <w:autoSpaceDN w:val="0"/>
        <w:adjustRightInd w:val="0"/>
        <w:jc w:val="both"/>
        <w:rPr>
          <w:rFonts w:asciiTheme="minorHAnsi" w:hAnsiTheme="minorHAnsi" w:cstheme="minorHAnsi"/>
          <w:i/>
        </w:rPr>
      </w:pPr>
      <w:r w:rsidRPr="00E35BCA">
        <w:rPr>
          <w:rFonts w:asciiTheme="minorHAnsi" w:hAnsiTheme="minorHAnsi" w:cstheme="minorHAnsi"/>
          <w:i/>
        </w:rPr>
        <w:t>As noted previously</w:t>
      </w:r>
      <w:r w:rsidR="00E47FC2" w:rsidRPr="00E35BCA">
        <w:rPr>
          <w:rFonts w:asciiTheme="minorHAnsi" w:hAnsiTheme="minorHAnsi" w:cstheme="minorHAnsi"/>
          <w:i/>
        </w:rPr>
        <w:t>,</w:t>
      </w:r>
      <w:r w:rsidRPr="00E35BCA">
        <w:rPr>
          <w:rFonts w:asciiTheme="minorHAnsi" w:hAnsiTheme="minorHAnsi" w:cstheme="minorHAnsi"/>
          <w:i/>
        </w:rPr>
        <w:t xml:space="preserve"> it is proposed that the number of cycles should </w:t>
      </w:r>
      <w:r w:rsidR="0081317E">
        <w:rPr>
          <w:rFonts w:asciiTheme="minorHAnsi" w:hAnsiTheme="minorHAnsi" w:cstheme="minorHAnsi"/>
          <w:i/>
        </w:rPr>
        <w:t xml:space="preserve">not </w:t>
      </w:r>
      <w:r w:rsidRPr="00E35BCA">
        <w:rPr>
          <w:rFonts w:asciiTheme="minorHAnsi" w:hAnsiTheme="minorHAnsi" w:cstheme="minorHAnsi"/>
          <w:i/>
        </w:rPr>
        <w:t>be specified in the item descriptor.</w:t>
      </w:r>
    </w:p>
    <w:p w14:paraId="4C64EDC6" w14:textId="77777777" w:rsidR="00D430DB" w:rsidRPr="00E35BCA" w:rsidRDefault="00D430DB" w:rsidP="007B0205">
      <w:pPr>
        <w:autoSpaceDE w:val="0"/>
        <w:autoSpaceDN w:val="0"/>
        <w:adjustRightInd w:val="0"/>
        <w:jc w:val="both"/>
        <w:rPr>
          <w:rFonts w:asciiTheme="minorHAnsi" w:hAnsiTheme="minorHAnsi" w:cstheme="minorHAnsi"/>
          <w:i/>
        </w:rPr>
      </w:pPr>
      <w:r w:rsidRPr="00E35BCA">
        <w:rPr>
          <w:rFonts w:asciiTheme="minorHAnsi" w:hAnsiTheme="minorHAnsi" w:cstheme="minorHAnsi"/>
          <w:i/>
        </w:rPr>
        <w:t>This item is inclusive of necessary patient preparation techniques such as the administration of an amino acid infusion, the preparation and administration of the radiopharmaceutical, immediate patient aftercare, and post-infusion single photon emission computed tomography, if performed.</w:t>
      </w:r>
    </w:p>
    <w:p w14:paraId="570292DB" w14:textId="77777777" w:rsidR="00D430DB" w:rsidRPr="00E35BCA" w:rsidRDefault="00D430DB" w:rsidP="007B0205">
      <w:pPr>
        <w:autoSpaceDE w:val="0"/>
        <w:autoSpaceDN w:val="0"/>
        <w:adjustRightInd w:val="0"/>
        <w:jc w:val="both"/>
        <w:rPr>
          <w:rFonts w:asciiTheme="minorHAnsi" w:hAnsiTheme="minorHAnsi" w:cstheme="minorHAnsi"/>
          <w:i/>
        </w:rPr>
      </w:pPr>
      <w:r w:rsidRPr="00E35BCA">
        <w:rPr>
          <w:rFonts w:asciiTheme="minorHAnsi" w:hAnsiTheme="minorHAnsi" w:cstheme="minorHAnsi"/>
          <w:i/>
        </w:rPr>
        <w:t>PASC noted the following points regarding the proposed item descriptor:</w:t>
      </w:r>
    </w:p>
    <w:p w14:paraId="18C8B1CE" w14:textId="77777777" w:rsidR="00D430DB" w:rsidRPr="00E35BCA" w:rsidRDefault="00D430DB" w:rsidP="007B0205">
      <w:pPr>
        <w:pStyle w:val="ListParagraph"/>
        <w:numPr>
          <w:ilvl w:val="0"/>
          <w:numId w:val="31"/>
        </w:numPr>
        <w:autoSpaceDE w:val="0"/>
        <w:autoSpaceDN w:val="0"/>
        <w:adjustRightInd w:val="0"/>
        <w:ind w:left="426" w:hanging="426"/>
        <w:jc w:val="both"/>
        <w:rPr>
          <w:rFonts w:asciiTheme="minorHAnsi" w:hAnsiTheme="minorHAnsi" w:cstheme="minorHAnsi"/>
          <w:i/>
        </w:rPr>
      </w:pPr>
      <w:r w:rsidRPr="00E35BCA">
        <w:rPr>
          <w:rFonts w:asciiTheme="minorHAnsi" w:hAnsiTheme="minorHAnsi" w:cstheme="minorHAnsi"/>
          <w:i/>
        </w:rPr>
        <w:t xml:space="preserve">The </w:t>
      </w:r>
      <w:r w:rsidRPr="00E35BCA">
        <w:rPr>
          <w:rFonts w:asciiTheme="minorHAnsi" w:hAnsiTheme="minorHAnsi" w:cstheme="minorHAnsi"/>
          <w:i/>
          <w:vertAlign w:val="superscript"/>
        </w:rPr>
        <w:t>177</w:t>
      </w:r>
      <w:r w:rsidRPr="00E35BCA">
        <w:rPr>
          <w:rFonts w:asciiTheme="minorHAnsi" w:hAnsiTheme="minorHAnsi" w:cstheme="minorHAnsi"/>
          <w:i/>
        </w:rPr>
        <w:t>Lutetium-somatostatin agonist as specified by definition excludes SSTR antagonists;</w:t>
      </w:r>
    </w:p>
    <w:p w14:paraId="6659E1EF" w14:textId="130CD913" w:rsidR="00D430DB" w:rsidRPr="00E35BCA" w:rsidRDefault="00D430DB" w:rsidP="007B0205">
      <w:pPr>
        <w:pStyle w:val="ListParagraph"/>
        <w:numPr>
          <w:ilvl w:val="0"/>
          <w:numId w:val="31"/>
        </w:numPr>
        <w:autoSpaceDE w:val="0"/>
        <w:autoSpaceDN w:val="0"/>
        <w:adjustRightInd w:val="0"/>
        <w:ind w:left="426" w:hanging="426"/>
        <w:jc w:val="both"/>
        <w:rPr>
          <w:rFonts w:asciiTheme="minorHAnsi" w:hAnsiTheme="minorHAnsi" w:cstheme="minorHAnsi"/>
          <w:i/>
          <w:sz w:val="24"/>
        </w:rPr>
      </w:pPr>
      <w:r w:rsidRPr="00E35BCA">
        <w:rPr>
          <w:rFonts w:asciiTheme="minorHAnsi" w:hAnsiTheme="minorHAnsi" w:cstheme="minorHAnsi"/>
          <w:i/>
        </w:rPr>
        <w:t xml:space="preserve">does not specify </w:t>
      </w:r>
      <w:r w:rsidRPr="00E35BCA">
        <w:rPr>
          <w:rFonts w:asciiTheme="minorHAnsi" w:hAnsiTheme="minorHAnsi" w:cstheme="minorHAnsi"/>
          <w:i/>
          <w:vertAlign w:val="superscript"/>
        </w:rPr>
        <w:t>177</w:t>
      </w:r>
      <w:r w:rsidRPr="00E35BCA">
        <w:rPr>
          <w:rFonts w:asciiTheme="minorHAnsi" w:hAnsiTheme="minorHAnsi" w:cstheme="minorHAnsi"/>
          <w:i/>
        </w:rPr>
        <w:t xml:space="preserve">Lu(nca) or </w:t>
      </w:r>
      <w:r w:rsidRPr="00E35BCA">
        <w:rPr>
          <w:rFonts w:asciiTheme="minorHAnsi" w:hAnsiTheme="minorHAnsi" w:cstheme="minorHAnsi"/>
          <w:i/>
          <w:vertAlign w:val="superscript"/>
        </w:rPr>
        <w:t>177</w:t>
      </w:r>
      <w:r w:rsidRPr="00E35BCA">
        <w:rPr>
          <w:rFonts w:asciiTheme="minorHAnsi" w:hAnsiTheme="minorHAnsi" w:cstheme="minorHAnsi"/>
          <w:i/>
        </w:rPr>
        <w:t>Lu(ca);</w:t>
      </w:r>
    </w:p>
    <w:p w14:paraId="213D6D36" w14:textId="114C6004" w:rsidR="00D430DB" w:rsidRPr="00E35BCA" w:rsidRDefault="00D430DB" w:rsidP="007B0205">
      <w:pPr>
        <w:pStyle w:val="ListParagraph"/>
        <w:numPr>
          <w:ilvl w:val="0"/>
          <w:numId w:val="31"/>
        </w:numPr>
        <w:autoSpaceDE w:val="0"/>
        <w:autoSpaceDN w:val="0"/>
        <w:adjustRightInd w:val="0"/>
        <w:ind w:left="426" w:hanging="426"/>
        <w:jc w:val="both"/>
        <w:rPr>
          <w:rFonts w:asciiTheme="minorHAnsi" w:hAnsiTheme="minorHAnsi" w:cstheme="minorHAnsi"/>
          <w:i/>
          <w:iCs/>
        </w:rPr>
      </w:pPr>
      <w:r w:rsidRPr="00E35BCA">
        <w:rPr>
          <w:rFonts w:asciiTheme="minorHAnsi" w:hAnsiTheme="minorHAnsi" w:cstheme="minorHAnsi"/>
          <w:i/>
        </w:rPr>
        <w:t>should include an explanatory note, to specify the provider’s qualifications (i</w:t>
      </w:r>
      <w:r w:rsidR="00755AB3">
        <w:rPr>
          <w:rFonts w:asciiTheme="minorHAnsi" w:hAnsiTheme="minorHAnsi" w:cstheme="minorHAnsi"/>
          <w:i/>
        </w:rPr>
        <w:t>.</w:t>
      </w:r>
      <w:r w:rsidRPr="00E35BCA">
        <w:rPr>
          <w:rFonts w:asciiTheme="minorHAnsi" w:hAnsiTheme="minorHAnsi" w:cstheme="minorHAnsi"/>
          <w:i/>
        </w:rPr>
        <w:t>e. theranostic specialist recognised by the Committee for Joint College Training of the RACP &amp; RANZCR).</w:t>
      </w:r>
    </w:p>
    <w:p w14:paraId="70150C19" w14:textId="3B4AC065" w:rsidR="00EF2E1F" w:rsidRPr="00ED4E95" w:rsidRDefault="00EF2E1F" w:rsidP="007B0205">
      <w:pPr>
        <w:jc w:val="both"/>
      </w:pPr>
      <w:r>
        <w:lastRenderedPageBreak/>
        <w:fldChar w:fldCharType="begin"/>
      </w:r>
      <w:r>
        <w:instrText xml:space="preserve"> REF _Ref130353551 \h </w:instrText>
      </w:r>
      <w:r w:rsidR="007B0205">
        <w:instrText xml:space="preserve"> \* MERGEFORMAT </w:instrText>
      </w:r>
      <w:r>
        <w:fldChar w:fldCharType="separate"/>
      </w:r>
      <w:r w:rsidR="00401046" w:rsidRPr="00ED4E95">
        <w:t xml:space="preserve">Table </w:t>
      </w:r>
      <w:r w:rsidR="00401046">
        <w:rPr>
          <w:noProof/>
        </w:rPr>
        <w:t>15</w:t>
      </w:r>
      <w:r>
        <w:fldChar w:fldCharType="end"/>
      </w:r>
      <w:r>
        <w:t xml:space="preserve"> presents the proposed </w:t>
      </w:r>
      <w:r w:rsidR="00C306B9">
        <w:t>MBS item descriptor for the therapeutic interve</w:t>
      </w:r>
      <w:r w:rsidR="00474C62">
        <w:t>ntion</w:t>
      </w:r>
      <w:r w:rsidR="00047F69">
        <w:t>,</w:t>
      </w:r>
      <w:r w:rsidR="00047F69">
        <w:rPr>
          <w:rFonts w:asciiTheme="minorHAnsi" w:hAnsiTheme="minorHAnsi" w:cstheme="minorHAnsi"/>
        </w:rPr>
        <w:t xml:space="preserve"> </w:t>
      </w:r>
      <w:r w:rsidR="00047F69">
        <w:rPr>
          <w:rFonts w:asciiTheme="minorHAnsi" w:hAnsiTheme="minorHAnsi" w:cstheme="minorHAnsi"/>
          <w:i/>
          <w:iCs/>
        </w:rPr>
        <w:t>suggested by PASC at the August 2023 meeting</w:t>
      </w:r>
      <w:r w:rsidR="00474C62">
        <w:t>.</w:t>
      </w:r>
    </w:p>
    <w:p w14:paraId="4E0BA799" w14:textId="4363F54E" w:rsidR="00CC1BC2" w:rsidRPr="00ED4E95" w:rsidRDefault="00CC1BC2" w:rsidP="00CC1BC2">
      <w:pPr>
        <w:pStyle w:val="Caption"/>
      </w:pPr>
      <w:bookmarkStart w:id="75" w:name="_Ref130353551"/>
      <w:r w:rsidRPr="00ED4E95">
        <w:t xml:space="preserve">Table </w:t>
      </w:r>
      <w:r w:rsidRPr="00ED4E95">
        <w:fldChar w:fldCharType="begin"/>
      </w:r>
      <w:r w:rsidRPr="00ED4E95">
        <w:instrText xml:space="preserve"> SEQ Table \* ARABIC </w:instrText>
      </w:r>
      <w:r w:rsidRPr="00ED4E95">
        <w:fldChar w:fldCharType="separate"/>
      </w:r>
      <w:r w:rsidR="00401046">
        <w:rPr>
          <w:noProof/>
        </w:rPr>
        <w:t>15</w:t>
      </w:r>
      <w:r w:rsidRPr="00ED4E95">
        <w:fldChar w:fldCharType="end"/>
      </w:r>
      <w:bookmarkEnd w:id="75"/>
      <w:r w:rsidR="00D634F3">
        <w:tab/>
      </w:r>
      <w:r w:rsidR="0035435A" w:rsidRPr="00ED4E95">
        <w:t>P</w:t>
      </w:r>
      <w:r w:rsidRPr="00ED4E95">
        <w:t xml:space="preserve">roposed MBS item for </w:t>
      </w:r>
      <w:r w:rsidR="00E54640" w:rsidRPr="00ED4E95">
        <w:rPr>
          <w:vertAlign w:val="superscript"/>
        </w:rPr>
        <w:t>177</w:t>
      </w:r>
      <w:r w:rsidR="00E54640" w:rsidRPr="00ED4E95">
        <w:t>Lu</w:t>
      </w:r>
      <w:r w:rsidR="00727083">
        <w:t>-</w:t>
      </w:r>
      <w:r w:rsidR="001C03D0">
        <w:t>DOTA-</w:t>
      </w:r>
      <w:r w:rsidR="00110D5F">
        <w:t xml:space="preserve">octreotate </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493"/>
      </w:tblGrid>
      <w:tr w:rsidR="00030910" w:rsidRPr="004C3B98" w14:paraId="6F043CBA" w14:textId="77777777" w:rsidTr="00ED4E95">
        <w:trPr>
          <w:cantSplit/>
          <w:tblHeader/>
        </w:trPr>
        <w:tc>
          <w:tcPr>
            <w:tcW w:w="9493" w:type="dxa"/>
            <w:tcBorders>
              <w:top w:val="single" w:sz="4" w:space="0" w:color="auto"/>
              <w:left w:val="single" w:sz="4" w:space="0" w:color="auto"/>
              <w:bottom w:val="single" w:sz="4" w:space="0" w:color="auto"/>
              <w:right w:val="single" w:sz="4" w:space="0" w:color="auto"/>
            </w:tcBorders>
            <w:hideMark/>
          </w:tcPr>
          <w:p w14:paraId="23C8F24D" w14:textId="77777777" w:rsidR="00030910" w:rsidRPr="004C3B98" w:rsidRDefault="00030910" w:rsidP="000717D5">
            <w:pPr>
              <w:spacing w:before="40" w:after="40" w:line="240" w:lineRule="auto"/>
              <w:rPr>
                <w:rFonts w:ascii="Arial Narrow" w:hAnsi="Arial Narrow"/>
                <w:i/>
                <w:iCs/>
                <w:sz w:val="20"/>
                <w:szCs w:val="20"/>
              </w:rPr>
            </w:pPr>
            <w:r w:rsidRPr="004C3B98">
              <w:rPr>
                <w:rFonts w:ascii="Arial Narrow" w:hAnsi="Arial Narrow"/>
                <w:i/>
                <w:iCs/>
                <w:sz w:val="20"/>
                <w:szCs w:val="20"/>
              </w:rPr>
              <w:t>Category T3-Therapeutic Nuclear Medicine</w:t>
            </w:r>
          </w:p>
        </w:tc>
      </w:tr>
      <w:tr w:rsidR="00030910" w:rsidRPr="004C3B98" w14:paraId="508B922C" w14:textId="77777777" w:rsidTr="00ED4E95">
        <w:trPr>
          <w:cantSplit/>
          <w:tblHeader/>
        </w:trPr>
        <w:tc>
          <w:tcPr>
            <w:tcW w:w="9493" w:type="dxa"/>
            <w:tcBorders>
              <w:top w:val="single" w:sz="4" w:space="0" w:color="auto"/>
              <w:left w:val="single" w:sz="4" w:space="0" w:color="auto"/>
              <w:bottom w:val="single" w:sz="4" w:space="0" w:color="auto"/>
              <w:right w:val="single" w:sz="4" w:space="0" w:color="auto"/>
            </w:tcBorders>
          </w:tcPr>
          <w:p w14:paraId="109A93B9" w14:textId="77777777" w:rsidR="00030910" w:rsidRPr="004C3B98" w:rsidRDefault="00030910" w:rsidP="000717D5">
            <w:pPr>
              <w:spacing w:before="120" w:after="120" w:line="240" w:lineRule="auto"/>
              <w:rPr>
                <w:rFonts w:ascii="Arial Narrow" w:hAnsi="Arial Narrow"/>
                <w:i/>
                <w:iCs/>
                <w:sz w:val="20"/>
                <w:szCs w:val="20"/>
              </w:rPr>
            </w:pPr>
            <w:r w:rsidRPr="004C3B98">
              <w:rPr>
                <w:rFonts w:ascii="Arial Narrow" w:hAnsi="Arial Narrow"/>
                <w:i/>
                <w:iCs/>
                <w:sz w:val="20"/>
                <w:szCs w:val="20"/>
              </w:rPr>
              <w:t>MBS item XXXX</w:t>
            </w:r>
          </w:p>
          <w:p w14:paraId="03BBF19D" w14:textId="4F57397C" w:rsidR="006C28DA" w:rsidRPr="004C3B98" w:rsidRDefault="00030910" w:rsidP="007B0205">
            <w:pPr>
              <w:pStyle w:val="ListParagraph"/>
              <w:spacing w:before="120" w:after="120" w:line="240" w:lineRule="auto"/>
              <w:ind w:left="0"/>
              <w:jc w:val="both"/>
              <w:rPr>
                <w:rFonts w:ascii="Arial Narrow" w:hAnsi="Arial Narrow"/>
                <w:i/>
                <w:iCs/>
                <w:sz w:val="20"/>
                <w:szCs w:val="20"/>
              </w:rPr>
            </w:pPr>
            <w:r w:rsidRPr="004C3B98">
              <w:rPr>
                <w:rFonts w:ascii="Arial Narrow" w:hAnsi="Arial Narrow"/>
                <w:i/>
                <w:iCs/>
                <w:sz w:val="20"/>
                <w:szCs w:val="20"/>
                <w:vertAlign w:val="superscript"/>
              </w:rPr>
              <w:t>177</w:t>
            </w:r>
            <w:r w:rsidRPr="004C3B98">
              <w:rPr>
                <w:rFonts w:ascii="Arial Narrow" w:hAnsi="Arial Narrow"/>
                <w:i/>
                <w:iCs/>
                <w:sz w:val="20"/>
                <w:szCs w:val="20"/>
              </w:rPr>
              <w:t>Lutetium</w:t>
            </w:r>
            <w:r w:rsidR="00727083" w:rsidRPr="004C3B98">
              <w:rPr>
                <w:rFonts w:ascii="Arial Narrow" w:hAnsi="Arial Narrow"/>
                <w:i/>
                <w:iCs/>
                <w:sz w:val="20"/>
                <w:szCs w:val="20"/>
              </w:rPr>
              <w:t>-</w:t>
            </w:r>
            <w:r w:rsidR="00FF2515" w:rsidRPr="004C3B98">
              <w:rPr>
                <w:rFonts w:ascii="Arial Narrow" w:hAnsi="Arial Narrow"/>
                <w:i/>
                <w:iCs/>
                <w:sz w:val="20"/>
                <w:szCs w:val="20"/>
              </w:rPr>
              <w:t>somastatin receptor agonist</w:t>
            </w:r>
            <w:r w:rsidR="001C03D0" w:rsidRPr="004C3B98">
              <w:rPr>
                <w:rFonts w:ascii="Arial Narrow" w:hAnsi="Arial Narrow"/>
                <w:i/>
                <w:iCs/>
                <w:sz w:val="20"/>
                <w:szCs w:val="20"/>
              </w:rPr>
              <w:t xml:space="preserve"> </w:t>
            </w:r>
            <w:r w:rsidRPr="004C3B98">
              <w:rPr>
                <w:rFonts w:ascii="Arial Narrow" w:hAnsi="Arial Narrow"/>
                <w:i/>
                <w:iCs/>
                <w:sz w:val="20"/>
                <w:szCs w:val="20"/>
              </w:rPr>
              <w:t>treatment for patients</w:t>
            </w:r>
            <w:r w:rsidR="00DA3F55" w:rsidRPr="004C3B98">
              <w:rPr>
                <w:rFonts w:ascii="Arial Narrow" w:hAnsi="Arial Narrow"/>
                <w:i/>
                <w:iCs/>
                <w:sz w:val="20"/>
                <w:szCs w:val="20"/>
              </w:rPr>
              <w:t xml:space="preserve"> </w:t>
            </w:r>
            <w:r w:rsidRPr="004C3B98">
              <w:rPr>
                <w:rFonts w:ascii="Arial Narrow" w:hAnsi="Arial Narrow"/>
                <w:i/>
                <w:iCs/>
                <w:sz w:val="20"/>
                <w:szCs w:val="20"/>
              </w:rPr>
              <w:t>with</w:t>
            </w:r>
            <w:r w:rsidR="00161EB9" w:rsidRPr="004C3B98">
              <w:rPr>
                <w:rFonts w:ascii="Arial Narrow" w:hAnsi="Arial Narrow"/>
                <w:i/>
                <w:iCs/>
                <w:sz w:val="20"/>
                <w:szCs w:val="20"/>
              </w:rPr>
              <w:t xml:space="preserve"> histologically confirmed, locally advanced or metastatic, and inoperable neuroendocrine tumours (NE</w:t>
            </w:r>
            <w:r w:rsidR="003F5CBA">
              <w:rPr>
                <w:rFonts w:ascii="Arial Narrow" w:hAnsi="Arial Narrow"/>
                <w:i/>
                <w:iCs/>
                <w:sz w:val="20"/>
                <w:szCs w:val="20"/>
              </w:rPr>
              <w:t>N</w:t>
            </w:r>
            <w:r w:rsidR="00161EB9" w:rsidRPr="004C3B98">
              <w:rPr>
                <w:rFonts w:ascii="Arial Narrow" w:hAnsi="Arial Narrow"/>
                <w:i/>
                <w:iCs/>
                <w:sz w:val="20"/>
                <w:szCs w:val="20"/>
              </w:rPr>
              <w:t>s) with documented disease progression or uncontrolled symptoms related to their NE</w:t>
            </w:r>
            <w:r w:rsidR="003F5CBA">
              <w:rPr>
                <w:rFonts w:ascii="Arial Narrow" w:hAnsi="Arial Narrow"/>
                <w:i/>
                <w:iCs/>
                <w:sz w:val="20"/>
                <w:szCs w:val="20"/>
              </w:rPr>
              <w:t>N despite standard therapy who</w:t>
            </w:r>
            <w:r w:rsidR="00022D90" w:rsidRPr="004C3B98">
              <w:rPr>
                <w:rFonts w:ascii="Arial Narrow" w:hAnsi="Arial Narrow"/>
                <w:i/>
                <w:iCs/>
                <w:sz w:val="20"/>
                <w:szCs w:val="20"/>
              </w:rPr>
              <w:t>:</w:t>
            </w:r>
          </w:p>
          <w:p w14:paraId="6B00DEBE" w14:textId="16B2AB39" w:rsidR="00161EB9" w:rsidRPr="004C3B98" w:rsidRDefault="00E6416A" w:rsidP="007B0205">
            <w:pPr>
              <w:pStyle w:val="ListParagraph"/>
              <w:numPr>
                <w:ilvl w:val="0"/>
                <w:numId w:val="16"/>
              </w:numPr>
              <w:spacing w:before="120" w:after="120" w:line="240" w:lineRule="auto"/>
              <w:ind w:left="319" w:hanging="284"/>
              <w:jc w:val="both"/>
              <w:rPr>
                <w:rFonts w:ascii="Arial Narrow" w:hAnsi="Arial Narrow"/>
                <w:i/>
                <w:iCs/>
                <w:sz w:val="20"/>
                <w:szCs w:val="20"/>
              </w:rPr>
            </w:pPr>
            <w:r w:rsidRPr="004C3B98">
              <w:rPr>
                <w:rFonts w:ascii="Arial Narrow" w:hAnsi="Arial Narrow"/>
                <w:i/>
                <w:iCs/>
                <w:sz w:val="20"/>
                <w:szCs w:val="20"/>
              </w:rPr>
              <w:t xml:space="preserve">have </w:t>
            </w:r>
            <w:r w:rsidR="00161EB9" w:rsidRPr="004C3B98">
              <w:rPr>
                <w:rFonts w:ascii="Arial Narrow" w:hAnsi="Arial Narrow"/>
                <w:i/>
                <w:iCs/>
                <w:sz w:val="20"/>
                <w:szCs w:val="20"/>
              </w:rPr>
              <w:t>high tumour somatostatin receptor expression</w:t>
            </w:r>
            <w:r w:rsidR="00022D90" w:rsidRPr="004C3B98">
              <w:rPr>
                <w:rFonts w:ascii="Arial Narrow" w:hAnsi="Arial Narrow"/>
                <w:i/>
                <w:iCs/>
                <w:sz w:val="20"/>
                <w:szCs w:val="20"/>
              </w:rPr>
              <w:t xml:space="preserve"> </w:t>
            </w:r>
            <w:r w:rsidR="00161EB9" w:rsidRPr="004C3B98">
              <w:rPr>
                <w:rFonts w:ascii="Arial Narrow" w:hAnsi="Arial Narrow"/>
                <w:i/>
                <w:iCs/>
                <w:sz w:val="20"/>
                <w:szCs w:val="20"/>
              </w:rPr>
              <w:t xml:space="preserve">demonstrated on whole body </w:t>
            </w:r>
            <w:r w:rsidR="00161EB9" w:rsidRPr="004C3B98">
              <w:rPr>
                <w:rFonts w:ascii="Arial Narrow" w:hAnsi="Arial Narrow"/>
                <w:i/>
                <w:iCs/>
                <w:sz w:val="20"/>
                <w:szCs w:val="20"/>
                <w:vertAlign w:val="superscript"/>
              </w:rPr>
              <w:t>68</w:t>
            </w:r>
            <w:r w:rsidR="004D4938" w:rsidRPr="004C3B98">
              <w:rPr>
                <w:rFonts w:ascii="Arial Narrow" w:hAnsi="Arial Narrow"/>
                <w:i/>
                <w:iCs/>
                <w:sz w:val="20"/>
                <w:szCs w:val="20"/>
              </w:rPr>
              <w:t>G</w:t>
            </w:r>
            <w:r w:rsidR="00161EB9" w:rsidRPr="004C3B98">
              <w:rPr>
                <w:rFonts w:ascii="Arial Narrow" w:hAnsi="Arial Narrow"/>
                <w:i/>
                <w:iCs/>
                <w:sz w:val="20"/>
                <w:szCs w:val="20"/>
              </w:rPr>
              <w:t xml:space="preserve">a DOTA </w:t>
            </w:r>
            <w:r w:rsidR="003F5CBA">
              <w:rPr>
                <w:rFonts w:ascii="Arial Narrow" w:hAnsi="Arial Narrow"/>
                <w:i/>
                <w:iCs/>
                <w:sz w:val="20"/>
                <w:szCs w:val="20"/>
              </w:rPr>
              <w:t xml:space="preserve">somatostatin agonist </w:t>
            </w:r>
            <w:r w:rsidR="003F5CBA" w:rsidRPr="004C3B98">
              <w:rPr>
                <w:rFonts w:ascii="Arial Narrow" w:hAnsi="Arial Narrow"/>
                <w:i/>
                <w:iCs/>
                <w:sz w:val="20"/>
                <w:szCs w:val="20"/>
              </w:rPr>
              <w:t xml:space="preserve"> </w:t>
            </w:r>
            <w:r w:rsidR="00161EB9" w:rsidRPr="004C3B98">
              <w:rPr>
                <w:rFonts w:ascii="Arial Narrow" w:hAnsi="Arial Narrow"/>
                <w:i/>
                <w:iCs/>
                <w:sz w:val="20"/>
                <w:szCs w:val="20"/>
              </w:rPr>
              <w:t>PET study;</w:t>
            </w:r>
            <w:r w:rsidR="00022D90" w:rsidRPr="004C3B98">
              <w:rPr>
                <w:rFonts w:ascii="Arial Narrow" w:hAnsi="Arial Narrow"/>
                <w:i/>
                <w:iCs/>
                <w:sz w:val="20"/>
                <w:szCs w:val="20"/>
              </w:rPr>
              <w:t xml:space="preserve"> </w:t>
            </w:r>
            <w:r w:rsidR="00161EB9" w:rsidRPr="004C3B98">
              <w:rPr>
                <w:rFonts w:ascii="Arial Narrow" w:hAnsi="Arial Narrow"/>
                <w:i/>
                <w:iCs/>
                <w:sz w:val="20"/>
                <w:szCs w:val="20"/>
              </w:rPr>
              <w:t>and</w:t>
            </w:r>
          </w:p>
          <w:p w14:paraId="36094DAF" w14:textId="2F293824" w:rsidR="00161EB9" w:rsidRPr="004C3B98" w:rsidRDefault="00161EB9" w:rsidP="007B0205">
            <w:pPr>
              <w:pStyle w:val="ListParagraph"/>
              <w:numPr>
                <w:ilvl w:val="0"/>
                <w:numId w:val="16"/>
              </w:numPr>
              <w:spacing w:before="120" w:after="120" w:line="240" w:lineRule="auto"/>
              <w:ind w:left="319" w:hanging="284"/>
              <w:jc w:val="both"/>
              <w:rPr>
                <w:rFonts w:ascii="Arial Narrow" w:hAnsi="Arial Narrow"/>
                <w:i/>
                <w:iCs/>
                <w:sz w:val="20"/>
                <w:szCs w:val="20"/>
              </w:rPr>
            </w:pPr>
            <w:r w:rsidRPr="004C3B98">
              <w:rPr>
                <w:rFonts w:ascii="Arial Narrow" w:hAnsi="Arial Narrow"/>
                <w:i/>
                <w:iCs/>
                <w:sz w:val="20"/>
                <w:szCs w:val="20"/>
              </w:rPr>
              <w:t xml:space="preserve">are considered suitable for </w:t>
            </w:r>
            <w:r w:rsidR="003F5CBA" w:rsidRPr="00E35BCA">
              <w:rPr>
                <w:rFonts w:ascii="Arial Narrow" w:hAnsi="Arial Narrow"/>
                <w:i/>
                <w:iCs/>
                <w:sz w:val="20"/>
                <w:szCs w:val="20"/>
                <w:vertAlign w:val="superscript"/>
              </w:rPr>
              <w:t>177</w:t>
            </w:r>
            <w:r w:rsidR="003F5CBA">
              <w:rPr>
                <w:rFonts w:ascii="Arial Narrow" w:hAnsi="Arial Narrow"/>
                <w:i/>
                <w:iCs/>
                <w:sz w:val="20"/>
                <w:szCs w:val="20"/>
              </w:rPr>
              <w:t xml:space="preserve">Lu-somatostatin agonist </w:t>
            </w:r>
            <w:r w:rsidRPr="004C3B98">
              <w:rPr>
                <w:rFonts w:ascii="Arial Narrow" w:hAnsi="Arial Narrow"/>
                <w:i/>
                <w:iCs/>
                <w:sz w:val="20"/>
                <w:szCs w:val="20"/>
              </w:rPr>
              <w:t xml:space="preserve">therapy by a </w:t>
            </w:r>
            <w:r w:rsidR="00E6416A" w:rsidRPr="004C3B98">
              <w:rPr>
                <w:rFonts w:ascii="Arial Narrow" w:hAnsi="Arial Narrow"/>
                <w:i/>
                <w:iCs/>
                <w:sz w:val="20"/>
                <w:szCs w:val="20"/>
              </w:rPr>
              <w:t>formally</w:t>
            </w:r>
            <w:r w:rsidR="00BF4897" w:rsidRPr="004C3B98">
              <w:rPr>
                <w:rFonts w:ascii="Arial Narrow" w:hAnsi="Arial Narrow"/>
                <w:i/>
                <w:iCs/>
                <w:sz w:val="20"/>
                <w:szCs w:val="20"/>
              </w:rPr>
              <w:t xml:space="preserve"> </w:t>
            </w:r>
            <w:r w:rsidR="00E6416A" w:rsidRPr="004C3B98">
              <w:rPr>
                <w:rFonts w:ascii="Arial Narrow" w:hAnsi="Arial Narrow"/>
                <w:i/>
                <w:iCs/>
                <w:sz w:val="20"/>
                <w:szCs w:val="20"/>
              </w:rPr>
              <w:t>convened neuroendocrine tumour multidisciplinary board</w:t>
            </w:r>
            <w:r w:rsidR="003F5CBA">
              <w:rPr>
                <w:rFonts w:ascii="Arial Narrow" w:hAnsi="Arial Narrow"/>
                <w:i/>
                <w:iCs/>
                <w:sz w:val="20"/>
                <w:szCs w:val="20"/>
              </w:rPr>
              <w:t>.</w:t>
            </w:r>
          </w:p>
          <w:p w14:paraId="68ADE4BC" w14:textId="5B5B9544" w:rsidR="00161EB9" w:rsidRPr="004C3B98" w:rsidRDefault="00E6416A" w:rsidP="007B0205">
            <w:pPr>
              <w:spacing w:before="120" w:after="120" w:line="240" w:lineRule="auto"/>
              <w:jc w:val="both"/>
              <w:rPr>
                <w:rFonts w:ascii="Arial Narrow" w:hAnsi="Arial Narrow"/>
                <w:i/>
                <w:iCs/>
                <w:sz w:val="20"/>
                <w:szCs w:val="20"/>
              </w:rPr>
            </w:pPr>
            <w:r w:rsidRPr="004C3B98">
              <w:rPr>
                <w:rFonts w:ascii="Arial Narrow" w:hAnsi="Arial Narrow"/>
                <w:i/>
                <w:iCs/>
                <w:sz w:val="20"/>
                <w:szCs w:val="20"/>
              </w:rPr>
              <w:t xml:space="preserve">The </w:t>
            </w:r>
            <w:r w:rsidR="003F5CBA">
              <w:rPr>
                <w:rFonts w:ascii="Arial Narrow" w:hAnsi="Arial Narrow"/>
                <w:i/>
                <w:iCs/>
                <w:sz w:val="20"/>
                <w:szCs w:val="20"/>
              </w:rPr>
              <w:t xml:space="preserve">item </w:t>
            </w:r>
            <w:r w:rsidRPr="004C3B98">
              <w:rPr>
                <w:rFonts w:ascii="Arial Narrow" w:hAnsi="Arial Narrow"/>
                <w:i/>
                <w:iCs/>
                <w:sz w:val="20"/>
                <w:szCs w:val="20"/>
              </w:rPr>
              <w:t xml:space="preserve">fee </w:t>
            </w:r>
            <w:r w:rsidR="003F5CBA">
              <w:rPr>
                <w:rFonts w:ascii="Arial Narrow" w:hAnsi="Arial Narrow"/>
                <w:i/>
                <w:iCs/>
                <w:sz w:val="20"/>
                <w:szCs w:val="20"/>
              </w:rPr>
              <w:t>is inclusive of necessary patient preparation such as</w:t>
            </w:r>
            <w:r w:rsidRPr="004C3B98">
              <w:rPr>
                <w:rFonts w:ascii="Arial Narrow" w:hAnsi="Arial Narrow"/>
                <w:i/>
                <w:iCs/>
                <w:sz w:val="20"/>
                <w:szCs w:val="20"/>
              </w:rPr>
              <w:t>:</w:t>
            </w:r>
          </w:p>
          <w:p w14:paraId="064F4451" w14:textId="6A2C09A1" w:rsidR="00E6416A" w:rsidRPr="004C3B98" w:rsidRDefault="00E6416A" w:rsidP="007B0205">
            <w:pPr>
              <w:pStyle w:val="ListParagraph"/>
              <w:numPr>
                <w:ilvl w:val="0"/>
                <w:numId w:val="32"/>
              </w:numPr>
              <w:spacing w:before="120" w:after="120" w:line="240" w:lineRule="auto"/>
              <w:ind w:left="319" w:hanging="284"/>
              <w:jc w:val="both"/>
              <w:rPr>
                <w:rFonts w:ascii="Arial Narrow" w:hAnsi="Arial Narrow"/>
                <w:i/>
                <w:iCs/>
                <w:sz w:val="20"/>
                <w:szCs w:val="20"/>
              </w:rPr>
            </w:pPr>
            <w:r w:rsidRPr="004C3B98">
              <w:rPr>
                <w:rFonts w:ascii="Arial Narrow" w:hAnsi="Arial Narrow"/>
                <w:i/>
                <w:iCs/>
                <w:sz w:val="20"/>
                <w:szCs w:val="20"/>
              </w:rPr>
              <w:t>patient preparation (including cost of amino acid infusion)</w:t>
            </w:r>
            <w:r w:rsidR="00F77575" w:rsidRPr="004C3B98">
              <w:rPr>
                <w:rFonts w:ascii="Arial Narrow" w:hAnsi="Arial Narrow"/>
                <w:i/>
                <w:iCs/>
                <w:sz w:val="20"/>
                <w:szCs w:val="20"/>
              </w:rPr>
              <w:t>,</w:t>
            </w:r>
          </w:p>
          <w:p w14:paraId="1FC423BD" w14:textId="7347B3E7" w:rsidR="006C28DA" w:rsidRPr="004C3B98" w:rsidRDefault="00E6416A" w:rsidP="007B0205">
            <w:pPr>
              <w:pStyle w:val="ListParagraph"/>
              <w:numPr>
                <w:ilvl w:val="0"/>
                <w:numId w:val="32"/>
              </w:numPr>
              <w:spacing w:before="120" w:after="120" w:line="240" w:lineRule="auto"/>
              <w:ind w:left="319" w:hanging="284"/>
              <w:jc w:val="both"/>
              <w:rPr>
                <w:rFonts w:ascii="Arial Narrow" w:hAnsi="Arial Narrow"/>
                <w:i/>
                <w:iCs/>
                <w:sz w:val="20"/>
                <w:szCs w:val="20"/>
              </w:rPr>
            </w:pPr>
            <w:r w:rsidRPr="004C3B98">
              <w:rPr>
                <w:rFonts w:ascii="Arial Narrow" w:hAnsi="Arial Narrow"/>
                <w:i/>
                <w:iCs/>
                <w:sz w:val="20"/>
                <w:szCs w:val="20"/>
              </w:rPr>
              <w:t xml:space="preserve">radiopharmaceutical preparation and </w:t>
            </w:r>
            <w:r w:rsidR="00F77575" w:rsidRPr="004C3B98">
              <w:rPr>
                <w:rFonts w:ascii="Arial Narrow" w:hAnsi="Arial Narrow"/>
                <w:i/>
                <w:iCs/>
                <w:sz w:val="20"/>
                <w:szCs w:val="20"/>
              </w:rPr>
              <w:t>administration,</w:t>
            </w:r>
          </w:p>
          <w:p w14:paraId="2B6437C9" w14:textId="6E3C8EE1" w:rsidR="00E83223" w:rsidRPr="004C3B98" w:rsidRDefault="00E6416A" w:rsidP="007B0205">
            <w:pPr>
              <w:pStyle w:val="ListParagraph"/>
              <w:numPr>
                <w:ilvl w:val="0"/>
                <w:numId w:val="32"/>
              </w:numPr>
              <w:spacing w:before="120" w:after="120" w:line="240" w:lineRule="auto"/>
              <w:ind w:left="319" w:hanging="284"/>
              <w:jc w:val="both"/>
              <w:rPr>
                <w:rFonts w:ascii="Arial Narrow" w:hAnsi="Arial Narrow"/>
                <w:i/>
                <w:iCs/>
                <w:sz w:val="20"/>
                <w:szCs w:val="20"/>
              </w:rPr>
            </w:pPr>
            <w:r w:rsidRPr="004C3B98">
              <w:rPr>
                <w:rFonts w:ascii="Arial Narrow" w:hAnsi="Arial Narrow"/>
                <w:i/>
                <w:iCs/>
                <w:sz w:val="20"/>
                <w:szCs w:val="20"/>
              </w:rPr>
              <w:t xml:space="preserve">immediate </w:t>
            </w:r>
            <w:r w:rsidR="003F5CBA">
              <w:rPr>
                <w:rFonts w:ascii="Arial Narrow" w:hAnsi="Arial Narrow"/>
                <w:i/>
                <w:iCs/>
                <w:sz w:val="20"/>
                <w:szCs w:val="20"/>
              </w:rPr>
              <w:t xml:space="preserve">patient </w:t>
            </w:r>
            <w:r w:rsidRPr="004C3B98">
              <w:rPr>
                <w:rFonts w:ascii="Arial Narrow" w:hAnsi="Arial Narrow"/>
                <w:i/>
                <w:iCs/>
                <w:sz w:val="20"/>
                <w:szCs w:val="20"/>
              </w:rPr>
              <w:t>aftercare; and</w:t>
            </w:r>
          </w:p>
          <w:p w14:paraId="76214FAF" w14:textId="39EB809F" w:rsidR="006C28DA" w:rsidRPr="004C3B98" w:rsidRDefault="00E47FC2" w:rsidP="007B0205">
            <w:pPr>
              <w:pStyle w:val="ListParagraph"/>
              <w:numPr>
                <w:ilvl w:val="0"/>
                <w:numId w:val="32"/>
              </w:numPr>
              <w:spacing w:before="120" w:after="120" w:line="240" w:lineRule="auto"/>
              <w:ind w:left="319" w:hanging="284"/>
              <w:jc w:val="both"/>
              <w:rPr>
                <w:rFonts w:ascii="Arial Narrow" w:hAnsi="Arial Narrow"/>
                <w:i/>
                <w:iCs/>
                <w:sz w:val="20"/>
                <w:szCs w:val="20"/>
              </w:rPr>
            </w:pPr>
            <w:r>
              <w:rPr>
                <w:rFonts w:ascii="Arial Narrow" w:hAnsi="Arial Narrow"/>
                <w:i/>
                <w:iCs/>
                <w:sz w:val="20"/>
                <w:szCs w:val="20"/>
              </w:rPr>
              <w:t>p</w:t>
            </w:r>
            <w:r w:rsidR="00E6416A" w:rsidRPr="004C3B98">
              <w:rPr>
                <w:rFonts w:ascii="Arial Narrow" w:hAnsi="Arial Narrow"/>
                <w:i/>
                <w:iCs/>
                <w:sz w:val="20"/>
                <w:szCs w:val="20"/>
              </w:rPr>
              <w:t>ost-infusion single photon emission tomography (</w:t>
            </w:r>
            <w:r w:rsidR="006C28DA" w:rsidRPr="004C3B98">
              <w:rPr>
                <w:rFonts w:ascii="Arial Narrow" w:hAnsi="Arial Narrow"/>
                <w:i/>
                <w:iCs/>
                <w:sz w:val="20"/>
                <w:szCs w:val="20"/>
              </w:rPr>
              <w:t>SPECT</w:t>
            </w:r>
            <w:r w:rsidR="00E6416A" w:rsidRPr="004C3B98">
              <w:rPr>
                <w:rFonts w:ascii="Arial Narrow" w:hAnsi="Arial Narrow"/>
                <w:i/>
                <w:iCs/>
                <w:sz w:val="20"/>
                <w:szCs w:val="20"/>
              </w:rPr>
              <w:t>) if performed</w:t>
            </w:r>
            <w:r w:rsidR="00E83223" w:rsidRPr="004C3B98">
              <w:rPr>
                <w:rFonts w:ascii="Arial Narrow" w:hAnsi="Arial Narrow"/>
                <w:i/>
                <w:iCs/>
                <w:sz w:val="20"/>
                <w:szCs w:val="20"/>
              </w:rPr>
              <w:t xml:space="preserve"> (recommended after every 2</w:t>
            </w:r>
            <w:r w:rsidR="00E83223" w:rsidRPr="004C3B98">
              <w:rPr>
                <w:rFonts w:ascii="Arial Narrow" w:hAnsi="Arial Narrow"/>
                <w:i/>
                <w:iCs/>
                <w:sz w:val="20"/>
                <w:szCs w:val="20"/>
                <w:vertAlign w:val="superscript"/>
              </w:rPr>
              <w:t>nd</w:t>
            </w:r>
            <w:r w:rsidR="00E83223" w:rsidRPr="004C3B98">
              <w:rPr>
                <w:rFonts w:ascii="Arial Narrow" w:hAnsi="Arial Narrow"/>
                <w:i/>
                <w:iCs/>
                <w:sz w:val="20"/>
                <w:szCs w:val="20"/>
              </w:rPr>
              <w:t xml:space="preserve"> cycle)</w:t>
            </w:r>
          </w:p>
          <w:p w14:paraId="1521E645" w14:textId="60B7A73B" w:rsidR="00E6416A" w:rsidRPr="004C3B98" w:rsidRDefault="009A27F3" w:rsidP="007B0205">
            <w:pPr>
              <w:spacing w:before="120" w:after="120" w:line="240" w:lineRule="auto"/>
              <w:jc w:val="both"/>
              <w:rPr>
                <w:rFonts w:ascii="Arial Narrow" w:hAnsi="Arial Narrow"/>
                <w:i/>
                <w:iCs/>
                <w:sz w:val="20"/>
                <w:szCs w:val="20"/>
              </w:rPr>
            </w:pPr>
            <w:r w:rsidRPr="004C3B98">
              <w:rPr>
                <w:rFonts w:ascii="Arial Narrow" w:hAnsi="Arial Narrow"/>
                <w:i/>
                <w:iCs/>
                <w:sz w:val="20"/>
                <w:szCs w:val="20"/>
              </w:rPr>
              <w:t>NOTE:</w:t>
            </w:r>
            <w:r w:rsidR="003F5CBA">
              <w:rPr>
                <w:rFonts w:ascii="Arial Narrow" w:hAnsi="Arial Narrow"/>
                <w:i/>
                <w:iCs/>
                <w:sz w:val="20"/>
                <w:szCs w:val="20"/>
              </w:rPr>
              <w:t xml:space="preserve"> To be finalised but will specify the provider’s qualifications</w:t>
            </w:r>
          </w:p>
        </w:tc>
      </w:tr>
      <w:tr w:rsidR="00030910" w:rsidRPr="004C3B98" w14:paraId="0C61C84F" w14:textId="77777777" w:rsidTr="00ED4E95">
        <w:trPr>
          <w:cantSplit/>
          <w:tblHeader/>
        </w:trPr>
        <w:tc>
          <w:tcPr>
            <w:tcW w:w="9493" w:type="dxa"/>
            <w:tcBorders>
              <w:top w:val="single" w:sz="4" w:space="0" w:color="auto"/>
              <w:left w:val="single" w:sz="4" w:space="0" w:color="auto"/>
              <w:bottom w:val="single" w:sz="4" w:space="0" w:color="auto"/>
              <w:right w:val="single" w:sz="4" w:space="0" w:color="auto"/>
            </w:tcBorders>
            <w:vAlign w:val="center"/>
          </w:tcPr>
          <w:p w14:paraId="1573892A" w14:textId="4EDE8317" w:rsidR="00030910" w:rsidRPr="00E35BCA" w:rsidRDefault="00030910" w:rsidP="000717D5">
            <w:pPr>
              <w:spacing w:before="40" w:after="40" w:line="240" w:lineRule="auto"/>
              <w:rPr>
                <w:rFonts w:ascii="Arial Narrow" w:hAnsi="Arial Narrow"/>
                <w:i/>
                <w:iCs/>
                <w:sz w:val="20"/>
                <w:szCs w:val="20"/>
                <w:highlight w:val="cyan"/>
              </w:rPr>
            </w:pPr>
            <w:r w:rsidRPr="00E35BCA">
              <w:rPr>
                <w:rFonts w:ascii="Arial Narrow" w:hAnsi="Arial Narrow"/>
                <w:i/>
                <w:iCs/>
                <w:sz w:val="20"/>
                <w:szCs w:val="20"/>
                <w:highlight w:val="cyan"/>
              </w:rPr>
              <w:t>Fee: $8,000.00</w:t>
            </w:r>
            <w:r w:rsidR="005A3509" w:rsidRPr="00E35BCA">
              <w:rPr>
                <w:rFonts w:ascii="Arial Narrow" w:hAnsi="Arial Narrow"/>
                <w:i/>
                <w:iCs/>
                <w:sz w:val="20"/>
                <w:szCs w:val="20"/>
                <w:highlight w:val="cyan"/>
              </w:rPr>
              <w:t xml:space="preserve"> + additional costs to be provided by Applicant</w:t>
            </w:r>
            <w:r w:rsidR="00FD5939">
              <w:rPr>
                <w:rFonts w:ascii="Arial Narrow" w:hAnsi="Arial Narrow"/>
                <w:i/>
                <w:iCs/>
                <w:sz w:val="20"/>
                <w:szCs w:val="20"/>
                <w:highlight w:val="cyan"/>
              </w:rPr>
              <w:t xml:space="preserve"> (see Attachment 1)</w:t>
            </w:r>
            <w:r w:rsidR="005A3509" w:rsidRPr="00E35BCA">
              <w:rPr>
                <w:rFonts w:ascii="Arial Narrow" w:hAnsi="Arial Narrow"/>
                <w:i/>
                <w:iCs/>
                <w:sz w:val="20"/>
                <w:szCs w:val="20"/>
                <w:highlight w:val="cyan"/>
              </w:rPr>
              <w:t xml:space="preserve"> to determine new fee</w:t>
            </w:r>
          </w:p>
        </w:tc>
      </w:tr>
    </w:tbl>
    <w:p w14:paraId="1D4B6A8B" w14:textId="43DE3FD6" w:rsidR="00653B8F" w:rsidRDefault="00653B8F" w:rsidP="000B6C1B">
      <w:pPr>
        <w:jc w:val="both"/>
      </w:pPr>
      <w:r w:rsidRPr="00922B1C">
        <w:t xml:space="preserve">The requested fee is consistent with that requested for </w:t>
      </w:r>
      <w:r w:rsidRPr="00922B1C">
        <w:rPr>
          <w:vertAlign w:val="superscript"/>
        </w:rPr>
        <w:t>177</w:t>
      </w:r>
      <w:r w:rsidRPr="00922B1C">
        <w:t>Lu-prostate specific membrane antigen (</w:t>
      </w:r>
      <w:r w:rsidRPr="00922B1C">
        <w:rPr>
          <w:vertAlign w:val="superscript"/>
        </w:rPr>
        <w:t>177</w:t>
      </w:r>
      <w:r w:rsidRPr="00922B1C">
        <w:t xml:space="preserve">Lu-PSMA; MSAC 1686). However, a distinction between the two is that the item descriptor for </w:t>
      </w:r>
      <w:r w:rsidRPr="00922B1C">
        <w:rPr>
          <w:vertAlign w:val="superscript"/>
        </w:rPr>
        <w:t>177</w:t>
      </w:r>
      <w:r w:rsidRPr="00922B1C">
        <w:t xml:space="preserve">Lu-PSMA included </w:t>
      </w:r>
      <w:r w:rsidR="00297DCD" w:rsidRPr="00922B1C">
        <w:t xml:space="preserve">SPECT/CT 24 hours following injection, whereas the applicant for </w:t>
      </w:r>
      <w:r w:rsidR="00297DCD" w:rsidRPr="00922B1C">
        <w:rPr>
          <w:vertAlign w:val="superscript"/>
        </w:rPr>
        <w:t>177</w:t>
      </w:r>
      <w:r w:rsidR="00297DCD" w:rsidRPr="00922B1C">
        <w:t>Lu</w:t>
      </w:r>
      <w:r w:rsidR="00727083">
        <w:t>-</w:t>
      </w:r>
      <w:r w:rsidR="001C03D0">
        <w:t>DOTA-octreotate</w:t>
      </w:r>
      <w:r w:rsidR="00297DCD" w:rsidRPr="00922B1C">
        <w:t xml:space="preserve"> has specifically indicated they would like the follow-up SPECT/CT </w:t>
      </w:r>
      <w:r w:rsidR="00BA7DC4" w:rsidRPr="00922B1C">
        <w:t xml:space="preserve">(if conducted) </w:t>
      </w:r>
      <w:r w:rsidR="00297DCD" w:rsidRPr="00922B1C">
        <w:t>to be kept separate.</w:t>
      </w:r>
      <w:r w:rsidR="00BF4897">
        <w:t xml:space="preserve"> </w:t>
      </w:r>
      <w:r w:rsidR="00F77575" w:rsidRPr="00047F69">
        <w:t>C</w:t>
      </w:r>
      <w:r w:rsidR="00BF4897" w:rsidRPr="00E35BCA">
        <w:t xml:space="preserve">linical advice was that the SPECT was </w:t>
      </w:r>
      <w:r w:rsidR="00F77575" w:rsidRPr="00E35BCA">
        <w:t>usually</w:t>
      </w:r>
      <w:r w:rsidR="00BF4897" w:rsidRPr="00E35BCA">
        <w:t xml:space="preserve"> done in the 24 hours following the infusion.</w:t>
      </w:r>
      <w:r w:rsidR="00BF4897">
        <w:t xml:space="preserve"> </w:t>
      </w:r>
    </w:p>
    <w:p w14:paraId="218161E5" w14:textId="118C11BD" w:rsidR="00185FDB" w:rsidRPr="004D4938" w:rsidRDefault="00185FDB" w:rsidP="000B6C1B">
      <w:pPr>
        <w:jc w:val="both"/>
        <w:rPr>
          <w:rFonts w:cs="Calibri"/>
          <w:i/>
          <w:iCs/>
        </w:rPr>
      </w:pPr>
      <w:r w:rsidRPr="004D4938">
        <w:rPr>
          <w:rFonts w:cs="Calibri"/>
          <w:i/>
          <w:iCs/>
        </w:rPr>
        <w:t>With respect to the item descriptor for therapy, PASC provided a further suggestion</w:t>
      </w:r>
      <w:r w:rsidR="004D4938" w:rsidRPr="004C3B98">
        <w:rPr>
          <w:rFonts w:cs="Calibri"/>
          <w:i/>
          <w:iCs/>
        </w:rPr>
        <w:t xml:space="preserve"> at the April </w:t>
      </w:r>
      <w:r w:rsidR="00573701">
        <w:rPr>
          <w:rFonts w:cs="Calibri"/>
          <w:i/>
          <w:iCs/>
        </w:rPr>
        <w:t xml:space="preserve">2023 </w:t>
      </w:r>
      <w:r w:rsidR="004D4938" w:rsidRPr="004C3B98">
        <w:rPr>
          <w:rFonts w:cs="Calibri"/>
          <w:i/>
          <w:iCs/>
        </w:rPr>
        <w:t>meeting</w:t>
      </w:r>
      <w:r w:rsidRPr="004D4938">
        <w:rPr>
          <w:rFonts w:cs="Calibri"/>
          <w:i/>
          <w:iCs/>
        </w:rPr>
        <w:t>, specifically:</w:t>
      </w:r>
    </w:p>
    <w:p w14:paraId="7B95487B" w14:textId="046FFAC5" w:rsidR="00185FDB" w:rsidRPr="004D4938" w:rsidRDefault="00936436" w:rsidP="000B6C1B">
      <w:pPr>
        <w:pStyle w:val="ListParagraph"/>
        <w:numPr>
          <w:ilvl w:val="0"/>
          <w:numId w:val="12"/>
        </w:numPr>
        <w:ind w:left="284" w:hanging="284"/>
        <w:jc w:val="both"/>
        <w:rPr>
          <w:rFonts w:cs="Calibri"/>
          <w:i/>
          <w:iCs/>
        </w:rPr>
      </w:pPr>
      <w:r w:rsidRPr="004D4938">
        <w:rPr>
          <w:rFonts w:cs="Calibri"/>
          <w:i/>
          <w:iCs/>
        </w:rPr>
        <w:t xml:space="preserve">PASC considered a more ‘generic’ description of therapy may be appropriate with removal of reference to </w:t>
      </w:r>
      <w:r w:rsidRPr="004D4938">
        <w:rPr>
          <w:rFonts w:cs="Calibri"/>
          <w:i/>
          <w:iCs/>
          <w:vertAlign w:val="superscript"/>
        </w:rPr>
        <w:t>177</w:t>
      </w:r>
      <w:r w:rsidRPr="004D4938">
        <w:rPr>
          <w:rFonts w:cs="Calibri"/>
          <w:i/>
          <w:iCs/>
        </w:rPr>
        <w:t>Lu(nca)-</w:t>
      </w:r>
      <w:r w:rsidR="001C03D0" w:rsidRPr="004D4938">
        <w:rPr>
          <w:rFonts w:cs="Calibri"/>
          <w:i/>
          <w:iCs/>
        </w:rPr>
        <w:t>DOTA-octreotate</w:t>
      </w:r>
      <w:r w:rsidRPr="004D4938">
        <w:rPr>
          <w:rFonts w:cs="Calibri"/>
          <w:i/>
          <w:iCs/>
        </w:rPr>
        <w:t xml:space="preserve"> in the item descriptor and replacing it with “</w:t>
      </w:r>
      <w:r w:rsidRPr="004D4938">
        <w:rPr>
          <w:rFonts w:cs="Calibri"/>
          <w:i/>
          <w:iCs/>
          <w:vertAlign w:val="superscript"/>
        </w:rPr>
        <w:t>177</w:t>
      </w:r>
      <w:r w:rsidRPr="004D4938">
        <w:rPr>
          <w:rFonts w:cs="Calibri"/>
          <w:i/>
          <w:iCs/>
        </w:rPr>
        <w:t>Lu-</w:t>
      </w:r>
      <w:r w:rsidR="001C03D0" w:rsidRPr="004D4938">
        <w:rPr>
          <w:rFonts w:cs="Calibri"/>
          <w:i/>
          <w:iCs/>
        </w:rPr>
        <w:t xml:space="preserve">DOTA-octreotate </w:t>
      </w:r>
      <w:r w:rsidRPr="004D4938">
        <w:rPr>
          <w:rFonts w:cs="Calibri"/>
          <w:i/>
          <w:iCs/>
        </w:rPr>
        <w:t>” or “</w:t>
      </w:r>
      <w:r w:rsidRPr="004D4938">
        <w:rPr>
          <w:rFonts w:cs="Calibri"/>
          <w:i/>
          <w:iCs/>
          <w:vertAlign w:val="superscript"/>
        </w:rPr>
        <w:t>177</w:t>
      </w:r>
      <w:r w:rsidRPr="004D4938">
        <w:rPr>
          <w:rFonts w:cs="Calibri"/>
          <w:i/>
          <w:iCs/>
        </w:rPr>
        <w:t xml:space="preserve">Lu-somatostatin receptor agonist”. This may be subject to the demonstration of noninferiority or therapeutic equivalence between radiopharmaceuticals eligible for the proposed item descriptor. The applicant reiterated that the proposal was for </w:t>
      </w:r>
      <w:r w:rsidRPr="004D4938">
        <w:rPr>
          <w:rFonts w:cs="Calibri"/>
          <w:i/>
          <w:iCs/>
          <w:vertAlign w:val="superscript"/>
        </w:rPr>
        <w:t>177</w:t>
      </w:r>
      <w:r w:rsidRPr="004D4938">
        <w:rPr>
          <w:rFonts w:cs="Calibri"/>
          <w:i/>
          <w:iCs/>
        </w:rPr>
        <w:t>Lu(nca)-</w:t>
      </w:r>
      <w:r w:rsidR="001C03D0" w:rsidRPr="004D4938">
        <w:rPr>
          <w:rFonts w:cs="Calibri"/>
          <w:i/>
          <w:iCs/>
        </w:rPr>
        <w:t>DOTA-</w:t>
      </w:r>
      <w:r w:rsidR="00110D5F" w:rsidRPr="004D4938">
        <w:rPr>
          <w:rFonts w:cs="Calibri"/>
          <w:i/>
          <w:iCs/>
        </w:rPr>
        <w:t xml:space="preserve">octreotate </w:t>
      </w:r>
      <w:r w:rsidRPr="004D4938">
        <w:rPr>
          <w:rFonts w:cs="Calibri"/>
          <w:i/>
          <w:iCs/>
        </w:rPr>
        <w:t xml:space="preserve">specifically, and there was potential for use of </w:t>
      </w:r>
      <w:r w:rsidRPr="004D4938">
        <w:rPr>
          <w:rFonts w:cs="Calibri"/>
          <w:i/>
          <w:iCs/>
          <w:vertAlign w:val="superscript"/>
        </w:rPr>
        <w:t>177</w:t>
      </w:r>
      <w:r w:rsidRPr="004D4938">
        <w:rPr>
          <w:rFonts w:cs="Calibri"/>
          <w:i/>
          <w:iCs/>
        </w:rPr>
        <w:t>Lu(ca)-</w:t>
      </w:r>
      <w:r w:rsidR="001C03D0" w:rsidRPr="004D4938">
        <w:rPr>
          <w:rFonts w:cs="Calibri"/>
          <w:i/>
          <w:iCs/>
        </w:rPr>
        <w:t>DOTA-octreotate</w:t>
      </w:r>
      <w:r w:rsidRPr="004D4938">
        <w:rPr>
          <w:rFonts w:cs="Calibri"/>
          <w:i/>
          <w:iCs/>
        </w:rPr>
        <w:t xml:space="preserve"> if the descriptor was left more ‘generic’ as </w:t>
      </w:r>
      <w:r w:rsidRPr="004D4938">
        <w:rPr>
          <w:rFonts w:cs="Calibri"/>
          <w:i/>
          <w:iCs/>
          <w:vertAlign w:val="superscript"/>
        </w:rPr>
        <w:t>177</w:t>
      </w:r>
      <w:r w:rsidRPr="004D4938">
        <w:rPr>
          <w:rFonts w:cs="Calibri"/>
          <w:i/>
          <w:iCs/>
        </w:rPr>
        <w:t>Lu(ca)-</w:t>
      </w:r>
      <w:r w:rsidR="001C03D0" w:rsidRPr="004D4938">
        <w:rPr>
          <w:rFonts w:cs="Calibri"/>
          <w:i/>
          <w:iCs/>
        </w:rPr>
        <w:t xml:space="preserve">DOTA-octreotate </w:t>
      </w:r>
      <w:r w:rsidRPr="004D4938">
        <w:rPr>
          <w:rFonts w:cs="Calibri"/>
          <w:i/>
          <w:iCs/>
        </w:rPr>
        <w:t xml:space="preserve">is much cheaper and prepared in some hospitals currently. The applicant also advised that </w:t>
      </w:r>
      <w:r w:rsidRPr="004D4938">
        <w:rPr>
          <w:rFonts w:cs="Calibri"/>
          <w:i/>
          <w:iCs/>
          <w:vertAlign w:val="superscript"/>
        </w:rPr>
        <w:t>177</w:t>
      </w:r>
      <w:r w:rsidRPr="004D4938">
        <w:rPr>
          <w:rFonts w:cs="Calibri"/>
          <w:i/>
          <w:iCs/>
        </w:rPr>
        <w:t>Lu(nca)-</w:t>
      </w:r>
      <w:r w:rsidR="001C03D0" w:rsidRPr="004D4938">
        <w:rPr>
          <w:rFonts w:cs="Calibri"/>
          <w:i/>
          <w:iCs/>
        </w:rPr>
        <w:t>DOTA-</w:t>
      </w:r>
      <w:r w:rsidR="00110D5F" w:rsidRPr="004D4938">
        <w:rPr>
          <w:rFonts w:cs="Calibri"/>
          <w:i/>
          <w:iCs/>
        </w:rPr>
        <w:t xml:space="preserve">octreotate </w:t>
      </w:r>
      <w:r w:rsidRPr="004D4938">
        <w:rPr>
          <w:rFonts w:cs="Calibri"/>
          <w:i/>
          <w:iCs/>
        </w:rPr>
        <w:t xml:space="preserve">is recommended in Europe and USA due to environmental considerations, because the “ca” product contains </w:t>
      </w:r>
      <w:r w:rsidRPr="004D4938">
        <w:rPr>
          <w:rFonts w:cs="Calibri"/>
          <w:i/>
          <w:iCs/>
          <w:vertAlign w:val="superscript"/>
        </w:rPr>
        <w:t>177m</w:t>
      </w:r>
      <w:r w:rsidRPr="004D4938">
        <w:rPr>
          <w:rFonts w:cs="Calibri"/>
          <w:i/>
          <w:iCs/>
        </w:rPr>
        <w:t xml:space="preserve">Lu, with a half-life of 160 days, whereas nca </w:t>
      </w:r>
      <w:r w:rsidRPr="004D4938">
        <w:rPr>
          <w:rFonts w:cs="Calibri"/>
          <w:i/>
          <w:iCs/>
          <w:vertAlign w:val="superscript"/>
        </w:rPr>
        <w:t>177</w:t>
      </w:r>
      <w:r w:rsidRPr="004D4938">
        <w:rPr>
          <w:rFonts w:cs="Calibri"/>
          <w:i/>
          <w:iCs/>
        </w:rPr>
        <w:t xml:space="preserve">Lu does not.  While this may have implications for radioactive waste storage and disposal, the clinical advantages of “nca” vs. “ca” </w:t>
      </w:r>
      <w:r w:rsidRPr="004D4938">
        <w:rPr>
          <w:rFonts w:cs="Calibri"/>
          <w:i/>
          <w:iCs/>
          <w:vertAlign w:val="superscript"/>
        </w:rPr>
        <w:t>177</w:t>
      </w:r>
      <w:r w:rsidRPr="004D4938">
        <w:rPr>
          <w:rFonts w:cs="Calibri"/>
          <w:i/>
          <w:iCs/>
        </w:rPr>
        <w:t>Lu-</w:t>
      </w:r>
      <w:r w:rsidR="001C03D0" w:rsidRPr="004D4938">
        <w:rPr>
          <w:rFonts w:cs="Calibri"/>
          <w:i/>
          <w:iCs/>
        </w:rPr>
        <w:t>DOTA-</w:t>
      </w:r>
      <w:r w:rsidR="00110D5F" w:rsidRPr="004D4938">
        <w:rPr>
          <w:rFonts w:cs="Calibri"/>
          <w:i/>
          <w:iCs/>
        </w:rPr>
        <w:t xml:space="preserve">octreotate </w:t>
      </w:r>
      <w:r w:rsidRPr="004D4938">
        <w:rPr>
          <w:rFonts w:cs="Calibri"/>
          <w:i/>
          <w:iCs/>
        </w:rPr>
        <w:t>remain to be established</w:t>
      </w:r>
      <w:r w:rsidR="00185FDB" w:rsidRPr="004D4938">
        <w:rPr>
          <w:rFonts w:cs="Calibri"/>
          <w:i/>
          <w:iCs/>
        </w:rPr>
        <w:t>.</w:t>
      </w:r>
    </w:p>
    <w:p w14:paraId="290AA307" w14:textId="2D8A4539" w:rsidR="00185FDB" w:rsidRPr="002A32AB" w:rsidRDefault="00185FDB" w:rsidP="000B6C1B">
      <w:pPr>
        <w:pStyle w:val="ListParagraph"/>
        <w:numPr>
          <w:ilvl w:val="0"/>
          <w:numId w:val="12"/>
        </w:numPr>
        <w:ind w:left="284" w:hanging="284"/>
        <w:jc w:val="both"/>
        <w:rPr>
          <w:rFonts w:cs="Calibri"/>
          <w:i/>
          <w:iCs/>
        </w:rPr>
      </w:pPr>
      <w:r w:rsidRPr="002A32AB">
        <w:rPr>
          <w:rFonts w:cs="Calibri"/>
          <w:i/>
          <w:iCs/>
        </w:rPr>
        <w:t>PASC considered the number of cycles should be limited to four (4) per 12 month period (as per the NETTER</w:t>
      </w:r>
      <w:r w:rsidR="00D506D7" w:rsidRPr="002A32AB">
        <w:rPr>
          <w:rFonts w:cs="Calibri"/>
          <w:i/>
          <w:iCs/>
        </w:rPr>
        <w:t>-1</w:t>
      </w:r>
      <w:r w:rsidRPr="002A32AB">
        <w:rPr>
          <w:rFonts w:cs="Calibri"/>
          <w:i/>
          <w:iCs/>
        </w:rPr>
        <w:t xml:space="preserve"> trial).</w:t>
      </w:r>
    </w:p>
    <w:p w14:paraId="7CFB83CC" w14:textId="62FDC6C1" w:rsidR="00B2008A" w:rsidRPr="002A32AB" w:rsidRDefault="00B2008A" w:rsidP="000B6C1B">
      <w:pPr>
        <w:pStyle w:val="ListParagraph"/>
        <w:numPr>
          <w:ilvl w:val="0"/>
          <w:numId w:val="12"/>
        </w:numPr>
        <w:ind w:left="284" w:hanging="284"/>
        <w:jc w:val="both"/>
        <w:rPr>
          <w:rFonts w:cs="Calibri"/>
          <w:i/>
          <w:iCs/>
        </w:rPr>
      </w:pPr>
      <w:r w:rsidRPr="002A32AB">
        <w:rPr>
          <w:rFonts w:cs="Calibri"/>
          <w:i/>
          <w:iCs/>
        </w:rPr>
        <w:t>PASC suggested changes to the description of patients to be “for patients with histologically confirmed, locally advance</w:t>
      </w:r>
      <w:r w:rsidR="00213B02" w:rsidRPr="002A32AB">
        <w:rPr>
          <w:rFonts w:cs="Calibri"/>
          <w:i/>
          <w:iCs/>
        </w:rPr>
        <w:t>d</w:t>
      </w:r>
      <w:r w:rsidRPr="002A32AB">
        <w:rPr>
          <w:rFonts w:cs="Calibri"/>
          <w:i/>
          <w:iCs/>
        </w:rPr>
        <w:t xml:space="preserve"> or metastatic, and inoperable neuroendocrine </w:t>
      </w:r>
      <w:r w:rsidR="00213B02" w:rsidRPr="002A32AB">
        <w:rPr>
          <w:rFonts w:cs="Calibri"/>
          <w:i/>
          <w:iCs/>
        </w:rPr>
        <w:t>tumours</w:t>
      </w:r>
      <w:r w:rsidRPr="002A32AB">
        <w:rPr>
          <w:rFonts w:cs="Calibri"/>
          <w:i/>
          <w:iCs/>
        </w:rPr>
        <w:t xml:space="preserve"> (NE</w:t>
      </w:r>
      <w:r w:rsidR="00213B02" w:rsidRPr="002A32AB">
        <w:rPr>
          <w:rFonts w:cs="Calibri"/>
          <w:i/>
          <w:iCs/>
        </w:rPr>
        <w:t>Ts</w:t>
      </w:r>
      <w:r w:rsidRPr="002A32AB">
        <w:rPr>
          <w:rFonts w:cs="Calibri"/>
          <w:i/>
          <w:iCs/>
        </w:rPr>
        <w:t>) with documented disease progression or uncontrolled symptoms related to their NEN</w:t>
      </w:r>
      <w:r w:rsidR="00213B02" w:rsidRPr="002A32AB">
        <w:rPr>
          <w:rFonts w:cs="Calibri"/>
          <w:i/>
          <w:iCs/>
        </w:rPr>
        <w:t xml:space="preserve"> </w:t>
      </w:r>
      <w:r w:rsidRPr="002A32AB">
        <w:rPr>
          <w:rFonts w:cs="Calibri"/>
          <w:i/>
          <w:iCs/>
        </w:rPr>
        <w:t>who:</w:t>
      </w:r>
    </w:p>
    <w:p w14:paraId="6DC4FA13" w14:textId="69638515" w:rsidR="00B2008A" w:rsidRPr="002A32AB" w:rsidRDefault="00B2008A" w:rsidP="000B6C1B">
      <w:pPr>
        <w:pStyle w:val="ListParagraph"/>
        <w:numPr>
          <w:ilvl w:val="0"/>
          <w:numId w:val="14"/>
        </w:numPr>
        <w:jc w:val="both"/>
        <w:rPr>
          <w:rFonts w:cs="Calibri"/>
          <w:i/>
          <w:iCs/>
        </w:rPr>
      </w:pPr>
      <w:r w:rsidRPr="002A32AB">
        <w:rPr>
          <w:rFonts w:cs="Calibri"/>
          <w:i/>
          <w:iCs/>
        </w:rPr>
        <w:lastRenderedPageBreak/>
        <w:t xml:space="preserve">Have high tumour somatostatin receptor expression demonstrated on whole body </w:t>
      </w:r>
      <w:r w:rsidRPr="002A32AB">
        <w:rPr>
          <w:rFonts w:cs="Calibri"/>
          <w:i/>
          <w:iCs/>
          <w:vertAlign w:val="superscript"/>
        </w:rPr>
        <w:t>68</w:t>
      </w:r>
      <w:r w:rsidRPr="002A32AB">
        <w:rPr>
          <w:rFonts w:cs="Calibri"/>
          <w:i/>
          <w:iCs/>
        </w:rPr>
        <w:t xml:space="preserve">Ga DOTA </w:t>
      </w:r>
      <w:r w:rsidR="00D57CD0" w:rsidRPr="002A32AB">
        <w:rPr>
          <w:rFonts w:cs="Calibri"/>
          <w:i/>
          <w:iCs/>
        </w:rPr>
        <w:t xml:space="preserve">peptide </w:t>
      </w:r>
      <w:r w:rsidRPr="002A32AB">
        <w:rPr>
          <w:rFonts w:cs="Calibri"/>
          <w:i/>
          <w:iCs/>
        </w:rPr>
        <w:t>PET study; and</w:t>
      </w:r>
    </w:p>
    <w:p w14:paraId="7B425082" w14:textId="56F40FFD" w:rsidR="00B2008A" w:rsidRPr="002A32AB" w:rsidRDefault="00B2008A" w:rsidP="000B6C1B">
      <w:pPr>
        <w:pStyle w:val="ListParagraph"/>
        <w:numPr>
          <w:ilvl w:val="0"/>
          <w:numId w:val="14"/>
        </w:numPr>
        <w:jc w:val="both"/>
        <w:rPr>
          <w:rFonts w:cs="Calibri"/>
          <w:i/>
          <w:iCs/>
        </w:rPr>
      </w:pPr>
      <w:r w:rsidRPr="002A32AB">
        <w:rPr>
          <w:rFonts w:cs="Calibri"/>
          <w:i/>
          <w:iCs/>
        </w:rPr>
        <w:t>Are considered suitable for peptide receptor radionuclide therapy (P</w:t>
      </w:r>
      <w:r w:rsidR="00C04E7D" w:rsidRPr="004C3B98">
        <w:rPr>
          <w:rFonts w:cs="Calibri"/>
          <w:i/>
          <w:iCs/>
        </w:rPr>
        <w:t>R</w:t>
      </w:r>
      <w:r w:rsidRPr="002A32AB">
        <w:rPr>
          <w:rFonts w:cs="Calibri"/>
          <w:i/>
          <w:iCs/>
        </w:rPr>
        <w:t>RT) by a formally-convened neuroendocrine tumour multidisciplinary board.</w:t>
      </w:r>
    </w:p>
    <w:p w14:paraId="181CFF43" w14:textId="77777777" w:rsidR="00185FDB" w:rsidRPr="002A32AB" w:rsidRDefault="00185FDB" w:rsidP="000B6C1B">
      <w:pPr>
        <w:pStyle w:val="ListParagraph"/>
        <w:numPr>
          <w:ilvl w:val="0"/>
          <w:numId w:val="12"/>
        </w:numPr>
        <w:ind w:left="284" w:hanging="284"/>
        <w:jc w:val="both"/>
        <w:rPr>
          <w:rFonts w:cs="Calibri"/>
          <w:i/>
          <w:iCs/>
        </w:rPr>
      </w:pPr>
      <w:r w:rsidRPr="002A32AB">
        <w:rPr>
          <w:rFonts w:cs="Calibri"/>
          <w:i/>
          <w:iCs/>
        </w:rPr>
        <w:t>PASC further stated the item should be inclusive of:</w:t>
      </w:r>
    </w:p>
    <w:p w14:paraId="2B797E44" w14:textId="37BEDAAA" w:rsidR="00185FDB" w:rsidRPr="002A32AB" w:rsidRDefault="00185FDB" w:rsidP="000B6C1B">
      <w:pPr>
        <w:pStyle w:val="ListParagraph"/>
        <w:numPr>
          <w:ilvl w:val="0"/>
          <w:numId w:val="13"/>
        </w:numPr>
        <w:jc w:val="both"/>
        <w:rPr>
          <w:rFonts w:cs="Calibri"/>
          <w:i/>
          <w:iCs/>
        </w:rPr>
      </w:pPr>
      <w:r w:rsidRPr="002A32AB">
        <w:rPr>
          <w:rFonts w:cs="Calibri"/>
          <w:i/>
          <w:iCs/>
        </w:rPr>
        <w:t>Patient preparation (including cost of amino acid infusion);</w:t>
      </w:r>
    </w:p>
    <w:p w14:paraId="6EEDB0C5" w14:textId="06F9C20E" w:rsidR="00185FDB" w:rsidRPr="002A32AB" w:rsidRDefault="00185FDB" w:rsidP="000B6C1B">
      <w:pPr>
        <w:pStyle w:val="ListParagraph"/>
        <w:numPr>
          <w:ilvl w:val="0"/>
          <w:numId w:val="13"/>
        </w:numPr>
        <w:autoSpaceDE w:val="0"/>
        <w:autoSpaceDN w:val="0"/>
        <w:adjustRightInd w:val="0"/>
        <w:spacing w:after="0" w:line="23" w:lineRule="atLeast"/>
        <w:jc w:val="both"/>
        <w:rPr>
          <w:rFonts w:cs="Calibri"/>
          <w:i/>
          <w:iCs/>
        </w:rPr>
      </w:pPr>
      <w:r w:rsidRPr="002A32AB">
        <w:rPr>
          <w:rFonts w:cs="Calibri"/>
          <w:i/>
          <w:iCs/>
        </w:rPr>
        <w:t>Radiopharmaceutical preparation and administration;</w:t>
      </w:r>
    </w:p>
    <w:p w14:paraId="2FA36D01" w14:textId="77777777" w:rsidR="00185FDB" w:rsidRPr="002A32AB" w:rsidRDefault="00185FDB" w:rsidP="000B6C1B">
      <w:pPr>
        <w:pStyle w:val="ListParagraph"/>
        <w:numPr>
          <w:ilvl w:val="0"/>
          <w:numId w:val="13"/>
        </w:numPr>
        <w:jc w:val="both"/>
        <w:rPr>
          <w:rFonts w:cs="Calibri"/>
          <w:i/>
          <w:iCs/>
        </w:rPr>
      </w:pPr>
      <w:r w:rsidRPr="002A32AB">
        <w:rPr>
          <w:rFonts w:cs="Calibri"/>
          <w:i/>
          <w:iCs/>
        </w:rPr>
        <w:t>Immediate aftercare; and</w:t>
      </w:r>
    </w:p>
    <w:p w14:paraId="2B998785" w14:textId="47E0D911" w:rsidR="00185FDB" w:rsidRPr="002A32AB" w:rsidRDefault="00185FDB" w:rsidP="000B6C1B">
      <w:pPr>
        <w:pStyle w:val="ListParagraph"/>
        <w:numPr>
          <w:ilvl w:val="0"/>
          <w:numId w:val="13"/>
        </w:numPr>
        <w:jc w:val="both"/>
        <w:rPr>
          <w:rFonts w:cs="Calibri"/>
          <w:i/>
          <w:iCs/>
        </w:rPr>
      </w:pPr>
      <w:r w:rsidRPr="002A32AB">
        <w:rPr>
          <w:rFonts w:cs="Calibri"/>
          <w:i/>
          <w:iCs/>
        </w:rPr>
        <w:t>Post-infusion single photon emission tomography (SPECT), if performed.</w:t>
      </w:r>
    </w:p>
    <w:p w14:paraId="75B2EDAD" w14:textId="05885D94" w:rsidR="00727083" w:rsidRDefault="00185FDB" w:rsidP="000B6C1B">
      <w:pPr>
        <w:jc w:val="both"/>
        <w:rPr>
          <w:rFonts w:cs="Calibri"/>
          <w:i/>
          <w:iCs/>
        </w:rPr>
      </w:pPr>
      <w:r w:rsidRPr="002A32AB">
        <w:rPr>
          <w:rFonts w:cs="Calibri"/>
          <w:i/>
          <w:iCs/>
        </w:rPr>
        <w:t>PASC acknowledged that the requested fee may require reconsideration given the further inclusions.</w:t>
      </w:r>
    </w:p>
    <w:p w14:paraId="62F5FBBE" w14:textId="6475DE5E" w:rsidR="00E47FC2" w:rsidRPr="00E47FC2" w:rsidRDefault="00E47FC2" w:rsidP="000B6C1B">
      <w:pPr>
        <w:jc w:val="both"/>
      </w:pPr>
      <w:r w:rsidRPr="00D3739C">
        <w:rPr>
          <w:rFonts w:asciiTheme="minorHAnsi" w:hAnsiTheme="minorHAnsi" w:cstheme="minorBidi"/>
          <w:i/>
          <w:iCs/>
        </w:rPr>
        <w:t>At the August 2023 PASC meeting, PASC noted the applicant’s revised bundled fee</w:t>
      </w:r>
      <w:r w:rsidR="00100338">
        <w:rPr>
          <w:rFonts w:asciiTheme="minorHAnsi" w:hAnsiTheme="minorHAnsi" w:cstheme="minorBidi"/>
          <w:i/>
          <w:iCs/>
        </w:rPr>
        <w:t xml:space="preserve"> which was not evaluated before</w:t>
      </w:r>
      <w:r w:rsidR="0031152B">
        <w:rPr>
          <w:rFonts w:asciiTheme="minorHAnsi" w:hAnsiTheme="minorHAnsi" w:cstheme="minorBidi"/>
          <w:i/>
          <w:iCs/>
        </w:rPr>
        <w:t xml:space="preserve"> PASC.</w:t>
      </w:r>
      <w:r w:rsidR="00100338">
        <w:rPr>
          <w:rFonts w:asciiTheme="minorHAnsi" w:hAnsiTheme="minorHAnsi" w:cstheme="minorBidi"/>
          <w:i/>
          <w:iCs/>
        </w:rPr>
        <w:t xml:space="preserve"> </w:t>
      </w:r>
      <w:r w:rsidR="001F161D">
        <w:rPr>
          <w:rFonts w:asciiTheme="minorHAnsi" w:hAnsiTheme="minorHAnsi" w:cstheme="minorBidi"/>
          <w:i/>
          <w:iCs/>
        </w:rPr>
        <w:t xml:space="preserve">The applicant proposed </w:t>
      </w:r>
      <w:r w:rsidR="00B55ACC">
        <w:rPr>
          <w:rFonts w:asciiTheme="minorHAnsi" w:hAnsiTheme="minorHAnsi" w:cstheme="minorBidi"/>
          <w:i/>
          <w:iCs/>
        </w:rPr>
        <w:t>fee of</w:t>
      </w:r>
      <w:r w:rsidR="00B73395">
        <w:rPr>
          <w:rFonts w:asciiTheme="minorHAnsi" w:hAnsiTheme="minorHAnsi" w:cstheme="minorBidi"/>
          <w:i/>
          <w:iCs/>
        </w:rPr>
        <w:t xml:space="preserve"> </w:t>
      </w:r>
      <w:r w:rsidR="00B55ACC" w:rsidRPr="00D3739C">
        <w:rPr>
          <w:rFonts w:asciiTheme="minorHAnsi" w:hAnsiTheme="minorHAnsi" w:cstheme="minorBidi"/>
          <w:i/>
          <w:iCs/>
        </w:rPr>
        <w:t>$10,431.05</w:t>
      </w:r>
      <w:r w:rsidR="00B55ACC">
        <w:rPr>
          <w:rFonts w:asciiTheme="minorHAnsi" w:hAnsiTheme="minorHAnsi" w:cstheme="minorBidi"/>
          <w:i/>
          <w:iCs/>
        </w:rPr>
        <w:t xml:space="preserve"> for </w:t>
      </w:r>
      <w:r w:rsidRPr="00D3739C">
        <w:rPr>
          <w:rFonts w:asciiTheme="minorHAnsi" w:hAnsiTheme="minorHAnsi" w:cstheme="minorBidi"/>
          <w:i/>
          <w:iCs/>
          <w:vertAlign w:val="superscript"/>
        </w:rPr>
        <w:t>177</w:t>
      </w:r>
      <w:r w:rsidRPr="00D3739C">
        <w:rPr>
          <w:rFonts w:asciiTheme="minorHAnsi" w:hAnsiTheme="minorHAnsi" w:cstheme="minorBidi"/>
          <w:i/>
          <w:iCs/>
        </w:rPr>
        <w:t>Lu(nca)</w:t>
      </w:r>
      <w:r>
        <w:rPr>
          <w:rFonts w:asciiTheme="minorHAnsi" w:hAnsiTheme="minorHAnsi" w:cstheme="minorBidi"/>
          <w:i/>
          <w:iCs/>
        </w:rPr>
        <w:t>-</w:t>
      </w:r>
      <w:r w:rsidRPr="00D3739C">
        <w:rPr>
          <w:rFonts w:asciiTheme="minorHAnsi" w:hAnsiTheme="minorHAnsi" w:cstheme="minorBidi"/>
          <w:i/>
          <w:iCs/>
        </w:rPr>
        <w:t>DOTA-</w:t>
      </w:r>
      <w:r>
        <w:rPr>
          <w:rFonts w:asciiTheme="minorHAnsi" w:hAnsiTheme="minorHAnsi" w:cstheme="minorBidi"/>
          <w:i/>
          <w:iCs/>
        </w:rPr>
        <w:t>o</w:t>
      </w:r>
      <w:r w:rsidRPr="00D3739C">
        <w:rPr>
          <w:rFonts w:asciiTheme="minorHAnsi" w:hAnsiTheme="minorHAnsi" w:cstheme="minorBidi"/>
          <w:i/>
          <w:iCs/>
        </w:rPr>
        <w:t xml:space="preserve">ctreotate) produced under GMP was $400 higher than the revised bundled fee for </w:t>
      </w:r>
      <w:r w:rsidRPr="00D3739C">
        <w:rPr>
          <w:rFonts w:asciiTheme="minorHAnsi" w:hAnsiTheme="minorHAnsi" w:cstheme="minorBidi"/>
          <w:i/>
          <w:iCs/>
          <w:vertAlign w:val="superscript"/>
        </w:rPr>
        <w:t>177</w:t>
      </w:r>
      <w:r w:rsidRPr="00D3739C">
        <w:rPr>
          <w:rFonts w:asciiTheme="minorHAnsi" w:hAnsiTheme="minorHAnsi" w:cstheme="minorBidi"/>
          <w:i/>
          <w:iCs/>
        </w:rPr>
        <w:t>Lu(ca)</w:t>
      </w:r>
      <w:r>
        <w:rPr>
          <w:rFonts w:asciiTheme="minorHAnsi" w:hAnsiTheme="minorHAnsi" w:cstheme="minorBidi"/>
          <w:i/>
          <w:iCs/>
        </w:rPr>
        <w:t>-</w:t>
      </w:r>
      <w:r w:rsidRPr="00D3739C">
        <w:rPr>
          <w:rFonts w:asciiTheme="minorHAnsi" w:hAnsiTheme="minorHAnsi" w:cstheme="minorBidi"/>
          <w:i/>
          <w:iCs/>
        </w:rPr>
        <w:t>DOTA-</w:t>
      </w:r>
      <w:r>
        <w:rPr>
          <w:rFonts w:asciiTheme="minorHAnsi" w:hAnsiTheme="minorHAnsi" w:cstheme="minorBidi"/>
          <w:i/>
          <w:iCs/>
        </w:rPr>
        <w:t>o</w:t>
      </w:r>
      <w:r w:rsidRPr="00D3739C">
        <w:rPr>
          <w:rFonts w:asciiTheme="minorHAnsi" w:hAnsiTheme="minorHAnsi" w:cstheme="minorBidi"/>
          <w:i/>
          <w:iCs/>
        </w:rPr>
        <w:t>ctreotate ($10,031.05) produced under GMP. PASC queried whether the theranostic specialist pre-treatment consultation fee ($110) could be unbundled due to exiting MBS item 110/104, and whether the facility cost ($900) could also be unbundled. PASC advised the assessment should consider both fee structures (</w:t>
      </w:r>
      <w:r w:rsidRPr="00D3739C">
        <w:rPr>
          <w:rFonts w:asciiTheme="minorHAnsi" w:hAnsiTheme="minorHAnsi" w:cstheme="minorBidi"/>
          <w:i/>
          <w:iCs/>
          <w:vertAlign w:val="superscript"/>
        </w:rPr>
        <w:t>177</w:t>
      </w:r>
      <w:r w:rsidRPr="00D3739C">
        <w:rPr>
          <w:rFonts w:asciiTheme="minorHAnsi" w:hAnsiTheme="minorHAnsi" w:cstheme="minorBidi"/>
          <w:i/>
          <w:iCs/>
        </w:rPr>
        <w:t>Lu</w:t>
      </w:r>
      <w:r>
        <w:rPr>
          <w:rFonts w:asciiTheme="minorHAnsi" w:hAnsiTheme="minorHAnsi" w:cstheme="minorBidi"/>
          <w:i/>
          <w:iCs/>
        </w:rPr>
        <w:t>(</w:t>
      </w:r>
      <w:r w:rsidRPr="00D3739C">
        <w:rPr>
          <w:rFonts w:asciiTheme="minorHAnsi" w:hAnsiTheme="minorHAnsi" w:cstheme="minorBidi"/>
          <w:i/>
          <w:iCs/>
        </w:rPr>
        <w:t>nca</w:t>
      </w:r>
      <w:r>
        <w:rPr>
          <w:rFonts w:asciiTheme="minorHAnsi" w:hAnsiTheme="minorHAnsi" w:cstheme="minorBidi"/>
          <w:i/>
          <w:iCs/>
        </w:rPr>
        <w:t>)</w:t>
      </w:r>
      <w:r w:rsidRPr="00D3739C">
        <w:rPr>
          <w:rFonts w:asciiTheme="minorHAnsi" w:hAnsiTheme="minorHAnsi" w:cstheme="minorBidi"/>
          <w:i/>
          <w:iCs/>
        </w:rPr>
        <w:t xml:space="preserve"> and </w:t>
      </w:r>
      <w:r w:rsidRPr="00D3739C">
        <w:rPr>
          <w:rFonts w:asciiTheme="minorHAnsi" w:hAnsiTheme="minorHAnsi" w:cstheme="minorBidi"/>
          <w:i/>
          <w:iCs/>
          <w:vertAlign w:val="superscript"/>
        </w:rPr>
        <w:t>177</w:t>
      </w:r>
      <w:r w:rsidRPr="00D3739C">
        <w:rPr>
          <w:rFonts w:asciiTheme="minorHAnsi" w:hAnsiTheme="minorHAnsi" w:cstheme="minorBidi"/>
          <w:i/>
          <w:iCs/>
        </w:rPr>
        <w:t>Lu</w:t>
      </w:r>
      <w:r>
        <w:rPr>
          <w:rFonts w:asciiTheme="minorHAnsi" w:hAnsiTheme="minorHAnsi" w:cstheme="minorBidi"/>
          <w:i/>
          <w:iCs/>
        </w:rPr>
        <w:t>(</w:t>
      </w:r>
      <w:r w:rsidRPr="00D3739C">
        <w:rPr>
          <w:rFonts w:asciiTheme="minorHAnsi" w:hAnsiTheme="minorHAnsi" w:cstheme="minorBidi"/>
          <w:i/>
          <w:iCs/>
        </w:rPr>
        <w:t>ca</w:t>
      </w:r>
      <w:r>
        <w:rPr>
          <w:rFonts w:asciiTheme="minorHAnsi" w:hAnsiTheme="minorHAnsi" w:cstheme="minorBidi"/>
          <w:i/>
          <w:iCs/>
        </w:rPr>
        <w:t>)</w:t>
      </w:r>
      <w:r w:rsidRPr="00D3739C">
        <w:rPr>
          <w:rFonts w:asciiTheme="minorHAnsi" w:hAnsiTheme="minorHAnsi" w:cstheme="minorBidi"/>
          <w:i/>
          <w:iCs/>
        </w:rPr>
        <w:t xml:space="preserve">) for PRRT therapy with </w:t>
      </w:r>
      <w:r w:rsidRPr="00D3739C">
        <w:rPr>
          <w:rFonts w:asciiTheme="minorHAnsi" w:hAnsiTheme="minorHAnsi" w:cstheme="minorBidi"/>
          <w:i/>
          <w:iCs/>
          <w:vertAlign w:val="superscript"/>
        </w:rPr>
        <w:t>177</w:t>
      </w:r>
      <w:r w:rsidRPr="00D3739C">
        <w:rPr>
          <w:rFonts w:asciiTheme="minorHAnsi" w:hAnsiTheme="minorHAnsi" w:cstheme="minorBidi"/>
          <w:i/>
          <w:iCs/>
        </w:rPr>
        <w:t>Lu</w:t>
      </w:r>
      <w:r>
        <w:rPr>
          <w:rFonts w:asciiTheme="minorHAnsi" w:hAnsiTheme="minorHAnsi" w:cstheme="minorBidi"/>
          <w:i/>
          <w:iCs/>
        </w:rPr>
        <w:t>-</w:t>
      </w:r>
      <w:r w:rsidRPr="00D3739C">
        <w:rPr>
          <w:rFonts w:asciiTheme="minorHAnsi" w:hAnsiTheme="minorHAnsi" w:cstheme="minorBidi"/>
          <w:i/>
          <w:iCs/>
        </w:rPr>
        <w:t>DOTA-</w:t>
      </w:r>
      <w:r>
        <w:rPr>
          <w:rFonts w:asciiTheme="minorHAnsi" w:hAnsiTheme="minorHAnsi" w:cstheme="minorBidi"/>
          <w:i/>
          <w:iCs/>
        </w:rPr>
        <w:t>o</w:t>
      </w:r>
      <w:r w:rsidRPr="00D3739C">
        <w:rPr>
          <w:rFonts w:asciiTheme="minorHAnsi" w:hAnsiTheme="minorHAnsi" w:cstheme="minorBidi"/>
          <w:i/>
          <w:iCs/>
        </w:rPr>
        <w:t>ctreotate.</w:t>
      </w:r>
    </w:p>
    <w:p w14:paraId="79F641A9" w14:textId="45319355" w:rsidR="00C43A0D" w:rsidRPr="009E6B18" w:rsidRDefault="00986FA5" w:rsidP="000B6C1B">
      <w:pPr>
        <w:jc w:val="both"/>
      </w:pPr>
      <w:r w:rsidRPr="006C4A81">
        <w:fldChar w:fldCharType="begin"/>
      </w:r>
      <w:r w:rsidRPr="00922B1C">
        <w:instrText xml:space="preserve"> REF _Ref130376042 \h </w:instrText>
      </w:r>
      <w:r w:rsidR="007F31F1" w:rsidRPr="00922B1C">
        <w:instrText xml:space="preserve"> \* MERGEFORMAT </w:instrText>
      </w:r>
      <w:r w:rsidRPr="006C4A81">
        <w:fldChar w:fldCharType="separate"/>
      </w:r>
      <w:r w:rsidR="00401046" w:rsidRPr="00ED4E95">
        <w:t xml:space="preserve">Table </w:t>
      </w:r>
      <w:r w:rsidR="00401046">
        <w:t>16</w:t>
      </w:r>
      <w:r w:rsidRPr="006C4A81">
        <w:fldChar w:fldCharType="end"/>
      </w:r>
      <w:r w:rsidR="00981AC7" w:rsidRPr="00922B1C">
        <w:t xml:space="preserve"> presents the item descriptor for SPECT, which </w:t>
      </w:r>
      <w:r w:rsidR="005E1C7B" w:rsidRPr="00922B1C">
        <w:t>the application indicated was a requirement following each treatment, but the applicant has since indicated is not a necessary test.</w:t>
      </w:r>
      <w:r w:rsidR="00782B7D" w:rsidRPr="00922B1C">
        <w:t xml:space="preserve"> The application proposed MBS item 61462 for repeat SPECT imaging post- </w:t>
      </w:r>
      <w:r w:rsidR="00782B7D" w:rsidRPr="00922B1C">
        <w:rPr>
          <w:vertAlign w:val="superscript"/>
        </w:rPr>
        <w:t>177</w:t>
      </w:r>
      <w:r w:rsidR="00782B7D" w:rsidRPr="00922B1C">
        <w:t>Lu</w:t>
      </w:r>
      <w:r w:rsidR="006C4A81">
        <w:t>-</w:t>
      </w:r>
      <w:r w:rsidR="001C03D0">
        <w:t>DOTA-octreotate</w:t>
      </w:r>
      <w:r w:rsidR="00782B7D" w:rsidRPr="00922B1C">
        <w:t xml:space="preserve"> therapy, however th</w:t>
      </w:r>
      <w:r w:rsidR="00354FAA" w:rsidRPr="00922B1C">
        <w:t xml:space="preserve">e item descriptor for </w:t>
      </w:r>
      <w:r w:rsidR="00782B7D" w:rsidRPr="00922B1C">
        <w:t>this item does not currently include MBS items 61647 (</w:t>
      </w:r>
      <w:r w:rsidR="00782B7D" w:rsidRPr="00922B1C">
        <w:rPr>
          <w:vertAlign w:val="superscript"/>
        </w:rPr>
        <w:t>68</w:t>
      </w:r>
      <w:r w:rsidR="00782B7D" w:rsidRPr="00922B1C">
        <w:t>Ga</w:t>
      </w:r>
      <w:r w:rsidR="0026716D">
        <w:t xml:space="preserve"> </w:t>
      </w:r>
      <w:r w:rsidR="00782B7D" w:rsidRPr="00922B1C">
        <w:t>DOTA</w:t>
      </w:r>
      <w:r w:rsidR="0026716D">
        <w:t xml:space="preserve"> </w:t>
      </w:r>
      <w:r w:rsidR="00782B7D" w:rsidRPr="00922B1C">
        <w:t>peptide PET) or 61369 (</w:t>
      </w:r>
      <w:r w:rsidR="00782B7D" w:rsidRPr="00922B1C">
        <w:rPr>
          <w:vertAlign w:val="superscript"/>
        </w:rPr>
        <w:t>111</w:t>
      </w:r>
      <w:r w:rsidR="00782B7D" w:rsidRPr="00922B1C">
        <w:t xml:space="preserve">In-octreotide SPECT) </w:t>
      </w:r>
      <w:r w:rsidR="00654748" w:rsidRPr="00922B1C">
        <w:t xml:space="preserve">in the list of </w:t>
      </w:r>
      <w:r w:rsidR="00AD680F" w:rsidRPr="00922B1C">
        <w:t xml:space="preserve">prerequisite </w:t>
      </w:r>
      <w:r w:rsidR="006D4A43" w:rsidRPr="00922B1C">
        <w:t>scans</w:t>
      </w:r>
      <w:r w:rsidR="00782B7D" w:rsidRPr="00922B1C">
        <w:t xml:space="preserve">. </w:t>
      </w:r>
      <w:r w:rsidR="00ED49CF" w:rsidRPr="00922B1C">
        <w:t xml:space="preserve">Unless the item descriptor is amended to include these two items, </w:t>
      </w:r>
      <w:r w:rsidR="00976FC2" w:rsidRPr="00922B1C">
        <w:t>i</w:t>
      </w:r>
      <w:r w:rsidR="00782B7D" w:rsidRPr="00922B1C">
        <w:t>n the scenario where a patient is deemed to benefit from post-treatment SPECT/CT this may be associated with additional out-of-pocket costs to the patient.</w:t>
      </w:r>
      <w:r w:rsidR="001D71CF" w:rsidRPr="00922B1C">
        <w:t xml:space="preserve"> </w:t>
      </w:r>
      <w:r w:rsidR="0026716D" w:rsidRPr="002A32AB">
        <w:rPr>
          <w:rFonts w:cs="Calibri"/>
          <w:i/>
          <w:iCs/>
        </w:rPr>
        <w:t xml:space="preserve">PASC agreed </w:t>
      </w:r>
      <w:r w:rsidR="002A32AB" w:rsidRPr="004C3B98">
        <w:rPr>
          <w:rFonts w:cs="Calibri"/>
          <w:i/>
          <w:iCs/>
        </w:rPr>
        <w:t xml:space="preserve">at its April </w:t>
      </w:r>
      <w:r w:rsidR="00573701">
        <w:rPr>
          <w:rFonts w:cs="Calibri"/>
          <w:i/>
          <w:iCs/>
        </w:rPr>
        <w:t xml:space="preserve">2023 </w:t>
      </w:r>
      <w:r w:rsidR="002A32AB" w:rsidRPr="004C3B98">
        <w:rPr>
          <w:rFonts w:cs="Calibri"/>
          <w:i/>
          <w:iCs/>
        </w:rPr>
        <w:t xml:space="preserve">meeting </w:t>
      </w:r>
      <w:r w:rsidR="0026716D" w:rsidRPr="002A32AB">
        <w:rPr>
          <w:rFonts w:cs="Calibri"/>
          <w:i/>
          <w:iCs/>
        </w:rPr>
        <w:t>that the item descriptor for repeat planar/SPECT imaging after therapy (item 61462 and 61505) would likely not require amendment or a new item but the cost of this could be accounted for in the item fee for the treatment</w:t>
      </w:r>
      <w:r w:rsidR="00C8599E" w:rsidRPr="002A32AB">
        <w:rPr>
          <w:rFonts w:cs="Calibri"/>
          <w:i/>
          <w:iCs/>
        </w:rPr>
        <w:t xml:space="preserve"> – this is also consistent with MSAC’s recommendation for Application 1686</w:t>
      </w:r>
      <w:r w:rsidR="00C8599E" w:rsidRPr="004C3B98">
        <w:rPr>
          <w:rFonts w:cs="Calibri"/>
        </w:rPr>
        <w:t xml:space="preserve"> </w:t>
      </w:r>
      <w:r w:rsidR="0026716D" w:rsidRPr="004C3B98">
        <w:rPr>
          <w:rFonts w:cs="Calibri"/>
        </w:rPr>
        <w:t xml:space="preserve">(see </w:t>
      </w:r>
      <w:r w:rsidR="00E652C8" w:rsidRPr="004C3B98">
        <w:rPr>
          <w:rFonts w:cs="Calibri"/>
        </w:rPr>
        <w:t xml:space="preserve">last dot point following </w:t>
      </w:r>
      <w:r w:rsidR="00962542">
        <w:rPr>
          <w:rFonts w:cs="Calibri"/>
        </w:rPr>
        <w:fldChar w:fldCharType="begin"/>
      </w:r>
      <w:r w:rsidR="00962542">
        <w:rPr>
          <w:rFonts w:cs="Calibri"/>
        </w:rPr>
        <w:instrText xml:space="preserve"> REF _Ref130353551 \h </w:instrText>
      </w:r>
      <w:r w:rsidR="000B6C1B">
        <w:rPr>
          <w:rFonts w:cs="Calibri"/>
        </w:rPr>
        <w:instrText xml:space="preserve"> \* MERGEFORMAT </w:instrText>
      </w:r>
      <w:r w:rsidR="00962542">
        <w:rPr>
          <w:rFonts w:cs="Calibri"/>
        </w:rPr>
      </w:r>
      <w:r w:rsidR="00962542">
        <w:rPr>
          <w:rFonts w:cs="Calibri"/>
        </w:rPr>
        <w:fldChar w:fldCharType="separate"/>
      </w:r>
      <w:r w:rsidR="00401046" w:rsidRPr="00ED4E95">
        <w:t xml:space="preserve">Table </w:t>
      </w:r>
      <w:r w:rsidR="00401046">
        <w:rPr>
          <w:noProof/>
        </w:rPr>
        <w:t>15</w:t>
      </w:r>
      <w:r w:rsidR="00962542">
        <w:rPr>
          <w:rFonts w:cs="Calibri"/>
        </w:rPr>
        <w:fldChar w:fldCharType="end"/>
      </w:r>
      <w:r w:rsidR="0026716D" w:rsidRPr="004C3B98">
        <w:rPr>
          <w:rFonts w:cs="Calibri"/>
        </w:rPr>
        <w:t>).</w:t>
      </w:r>
    </w:p>
    <w:p w14:paraId="23E9D969" w14:textId="256C8473" w:rsidR="00C6598B" w:rsidRPr="00ED4E95" w:rsidRDefault="00C6598B" w:rsidP="00C6598B">
      <w:pPr>
        <w:pStyle w:val="Caption"/>
        <w:rPr>
          <w:i/>
          <w:iCs/>
        </w:rPr>
      </w:pPr>
      <w:bookmarkStart w:id="76" w:name="_Ref130376042"/>
      <w:r w:rsidRPr="00ED4E95">
        <w:lastRenderedPageBreak/>
        <w:t xml:space="preserve">Table </w:t>
      </w:r>
      <w:r w:rsidRPr="00ED4E95">
        <w:fldChar w:fldCharType="begin"/>
      </w:r>
      <w:r w:rsidRPr="00ED4E95">
        <w:instrText xml:space="preserve"> SEQ Table \* ARABIC </w:instrText>
      </w:r>
      <w:r w:rsidRPr="00ED4E95">
        <w:fldChar w:fldCharType="separate"/>
      </w:r>
      <w:r w:rsidR="00401046">
        <w:rPr>
          <w:noProof/>
        </w:rPr>
        <w:t>16</w:t>
      </w:r>
      <w:r w:rsidRPr="00ED4E95">
        <w:fldChar w:fldCharType="end"/>
      </w:r>
      <w:bookmarkEnd w:id="76"/>
      <w:r w:rsidRPr="00ED4E95">
        <w:tab/>
        <w:t>Current and proposed MBS item descriptors for repeat SPECT/CT imaging</w:t>
      </w:r>
    </w:p>
    <w:tbl>
      <w:tblPr>
        <w:tblStyle w:val="TableGrid"/>
        <w:tblW w:w="0" w:type="auto"/>
        <w:tblInd w:w="0" w:type="dxa"/>
        <w:tblLook w:val="04A0" w:firstRow="1" w:lastRow="0" w:firstColumn="1" w:lastColumn="0" w:noHBand="0" w:noVBand="1"/>
      </w:tblPr>
      <w:tblGrid>
        <w:gridCol w:w="4785"/>
        <w:gridCol w:w="4786"/>
      </w:tblGrid>
      <w:tr w:rsidR="00C6598B" w:rsidRPr="00ED4E95" w14:paraId="755875EF" w14:textId="77777777" w:rsidTr="005A13E2">
        <w:trPr>
          <w:cantSplit/>
          <w:tblHeader/>
        </w:trPr>
        <w:tc>
          <w:tcPr>
            <w:tcW w:w="4785" w:type="dxa"/>
            <w:tcBorders>
              <w:top w:val="single" w:sz="4" w:space="0" w:color="auto"/>
              <w:left w:val="single" w:sz="4" w:space="0" w:color="auto"/>
              <w:bottom w:val="single" w:sz="4" w:space="0" w:color="auto"/>
              <w:right w:val="single" w:sz="4" w:space="0" w:color="auto"/>
            </w:tcBorders>
            <w:hideMark/>
          </w:tcPr>
          <w:p w14:paraId="5D464944" w14:textId="77777777" w:rsidR="00C6598B" w:rsidRPr="00ED4E95" w:rsidRDefault="00C6598B" w:rsidP="005A13E2">
            <w:pPr>
              <w:spacing w:before="40" w:after="40" w:line="240" w:lineRule="auto"/>
              <w:rPr>
                <w:rFonts w:ascii="Arial Narrow" w:hAnsi="Arial Narrow"/>
                <w:b/>
                <w:bCs/>
                <w:sz w:val="20"/>
                <w:szCs w:val="20"/>
              </w:rPr>
            </w:pPr>
            <w:r w:rsidRPr="00ED4E95">
              <w:rPr>
                <w:rFonts w:ascii="Arial Narrow" w:hAnsi="Arial Narrow"/>
                <w:b/>
                <w:bCs/>
                <w:sz w:val="20"/>
                <w:szCs w:val="20"/>
              </w:rPr>
              <w:t>Category 5 – Diagnostic Imaging Services</w:t>
            </w:r>
          </w:p>
        </w:tc>
        <w:tc>
          <w:tcPr>
            <w:tcW w:w="4786" w:type="dxa"/>
            <w:tcBorders>
              <w:top w:val="single" w:sz="4" w:space="0" w:color="auto"/>
              <w:left w:val="single" w:sz="4" w:space="0" w:color="auto"/>
              <w:bottom w:val="single" w:sz="4" w:space="0" w:color="auto"/>
              <w:right w:val="single" w:sz="4" w:space="0" w:color="auto"/>
            </w:tcBorders>
          </w:tcPr>
          <w:p w14:paraId="6C75916A" w14:textId="77777777" w:rsidR="00C6598B" w:rsidRPr="00ED4E95" w:rsidRDefault="00C6598B" w:rsidP="005A13E2">
            <w:pPr>
              <w:spacing w:before="40" w:after="40" w:line="240" w:lineRule="auto"/>
              <w:rPr>
                <w:rFonts w:ascii="Arial Narrow" w:hAnsi="Arial Narrow"/>
                <w:b/>
                <w:bCs/>
                <w:i/>
                <w:iCs/>
                <w:sz w:val="20"/>
                <w:szCs w:val="20"/>
              </w:rPr>
            </w:pPr>
            <w:r w:rsidRPr="00ED4E95">
              <w:rPr>
                <w:rFonts w:ascii="Arial Narrow" w:hAnsi="Arial Narrow"/>
                <w:b/>
                <w:bCs/>
                <w:i/>
                <w:iCs/>
                <w:sz w:val="20"/>
                <w:szCs w:val="20"/>
              </w:rPr>
              <w:t xml:space="preserve">Proposed amendment </w:t>
            </w:r>
          </w:p>
        </w:tc>
      </w:tr>
      <w:tr w:rsidR="00C6598B" w:rsidRPr="00ED4E95" w14:paraId="7AA52F97" w14:textId="77777777" w:rsidTr="005A13E2">
        <w:trPr>
          <w:cantSplit/>
          <w:tblHeader/>
        </w:trPr>
        <w:tc>
          <w:tcPr>
            <w:tcW w:w="4785" w:type="dxa"/>
            <w:tcBorders>
              <w:top w:val="single" w:sz="4" w:space="0" w:color="auto"/>
              <w:left w:val="single" w:sz="4" w:space="0" w:color="auto"/>
              <w:bottom w:val="single" w:sz="4" w:space="0" w:color="auto"/>
              <w:right w:val="single" w:sz="4" w:space="0" w:color="auto"/>
            </w:tcBorders>
          </w:tcPr>
          <w:p w14:paraId="5DB1375A" w14:textId="77777777" w:rsidR="00C6598B" w:rsidRPr="00ED4E95" w:rsidRDefault="00C6598B" w:rsidP="007B0205">
            <w:pPr>
              <w:spacing w:before="120" w:after="120" w:line="240" w:lineRule="auto"/>
              <w:jc w:val="both"/>
              <w:rPr>
                <w:rFonts w:ascii="Arial Narrow" w:hAnsi="Arial Narrow"/>
                <w:sz w:val="20"/>
                <w:szCs w:val="20"/>
              </w:rPr>
            </w:pPr>
            <w:r w:rsidRPr="00ED4E95">
              <w:rPr>
                <w:rFonts w:ascii="Arial Narrow" w:hAnsi="Arial Narrow"/>
                <w:sz w:val="20"/>
                <w:szCs w:val="20"/>
              </w:rPr>
              <w:t>MBS item 61462</w:t>
            </w:r>
          </w:p>
          <w:p w14:paraId="72A55654" w14:textId="77777777" w:rsidR="00C6598B" w:rsidRPr="00ED4E95" w:rsidRDefault="00C6598B" w:rsidP="007B0205">
            <w:pPr>
              <w:jc w:val="both"/>
              <w:rPr>
                <w:rFonts w:ascii="Arial Narrow" w:hAnsi="Arial Narrow"/>
                <w:sz w:val="20"/>
                <w:szCs w:val="20"/>
              </w:rPr>
            </w:pPr>
            <w:r w:rsidRPr="00ED4E95">
              <w:rPr>
                <w:rFonts w:ascii="Arial Narrow" w:hAnsi="Arial Narrow"/>
                <w:sz w:val="20"/>
                <w:szCs w:val="20"/>
              </w:rPr>
              <w:t xml:space="preserve">Repeat planar and single photon emission tomography imaging, or repeat planar imaging or single photon emission tomography imaging on an occasion </w:t>
            </w:r>
            <w:bookmarkStart w:id="77" w:name="_Int_9OPexV2o"/>
            <w:r w:rsidRPr="00ED4E95">
              <w:rPr>
                <w:rFonts w:ascii="Arial Narrow" w:hAnsi="Arial Narrow"/>
                <w:sz w:val="20"/>
                <w:szCs w:val="20"/>
              </w:rPr>
              <w:t>subsequent to</w:t>
            </w:r>
            <w:bookmarkEnd w:id="77"/>
            <w:r w:rsidRPr="00ED4E95">
              <w:rPr>
                <w:rFonts w:ascii="Arial Narrow" w:hAnsi="Arial Narrow"/>
                <w:sz w:val="20"/>
                <w:szCs w:val="20"/>
              </w:rPr>
              <w:t xml:space="preserve"> the performance of item 61364, 61426, 61429, 61430, 61442, 61450, 61453, 61469 or 61485, if there is no additional administration of radiopharmaceutical and if the previous radionuclide scan was abnormal or equivocal (R)</w:t>
            </w:r>
          </w:p>
        </w:tc>
        <w:tc>
          <w:tcPr>
            <w:tcW w:w="4786" w:type="dxa"/>
            <w:tcBorders>
              <w:top w:val="single" w:sz="4" w:space="0" w:color="auto"/>
              <w:left w:val="single" w:sz="4" w:space="0" w:color="auto"/>
              <w:bottom w:val="single" w:sz="4" w:space="0" w:color="auto"/>
              <w:right w:val="single" w:sz="4" w:space="0" w:color="auto"/>
            </w:tcBorders>
          </w:tcPr>
          <w:p w14:paraId="4BEDBE2A" w14:textId="4E3FA379" w:rsidR="00C6598B" w:rsidRPr="00ED4E95" w:rsidRDefault="00782B7D" w:rsidP="007B0205">
            <w:pPr>
              <w:spacing w:before="120" w:after="120" w:line="240" w:lineRule="auto"/>
              <w:jc w:val="both"/>
              <w:rPr>
                <w:rFonts w:ascii="Arial Narrow" w:hAnsi="Arial Narrow"/>
                <w:i/>
                <w:iCs/>
                <w:sz w:val="20"/>
                <w:szCs w:val="20"/>
              </w:rPr>
            </w:pPr>
            <w:r w:rsidRPr="00ED4E95">
              <w:rPr>
                <w:rFonts w:ascii="Arial Narrow" w:hAnsi="Arial Narrow"/>
                <w:i/>
                <w:iCs/>
                <w:sz w:val="20"/>
                <w:szCs w:val="20"/>
              </w:rPr>
              <w:t>None suggested.</w:t>
            </w:r>
          </w:p>
        </w:tc>
      </w:tr>
      <w:tr w:rsidR="00C6598B" w:rsidRPr="00ED4E95" w14:paraId="3C9626FF" w14:textId="77777777" w:rsidTr="005A13E2">
        <w:trPr>
          <w:cantSplit/>
          <w:tblHeader/>
        </w:trPr>
        <w:tc>
          <w:tcPr>
            <w:tcW w:w="4785" w:type="dxa"/>
            <w:tcBorders>
              <w:top w:val="single" w:sz="4" w:space="0" w:color="auto"/>
              <w:left w:val="single" w:sz="4" w:space="0" w:color="auto"/>
              <w:bottom w:val="single" w:sz="4" w:space="0" w:color="auto"/>
              <w:right w:val="single" w:sz="4" w:space="0" w:color="auto"/>
            </w:tcBorders>
            <w:vAlign w:val="center"/>
          </w:tcPr>
          <w:p w14:paraId="2E1FA7FF" w14:textId="77777777" w:rsidR="00C6598B" w:rsidRPr="00ED4E95" w:rsidRDefault="00C6598B" w:rsidP="007B0205">
            <w:pPr>
              <w:spacing w:before="40" w:after="40" w:line="240" w:lineRule="auto"/>
              <w:jc w:val="both"/>
              <w:rPr>
                <w:rFonts w:ascii="Arial Narrow" w:hAnsi="Arial Narrow"/>
                <w:sz w:val="20"/>
                <w:szCs w:val="20"/>
              </w:rPr>
            </w:pPr>
            <w:r w:rsidRPr="00ED4E95">
              <w:rPr>
                <w:rFonts w:ascii="Arial Narrow" w:hAnsi="Arial Narrow"/>
                <w:sz w:val="20"/>
                <w:szCs w:val="20"/>
              </w:rPr>
              <w:t>Fee: $129.00</w:t>
            </w:r>
          </w:p>
        </w:tc>
        <w:tc>
          <w:tcPr>
            <w:tcW w:w="4786" w:type="dxa"/>
            <w:tcBorders>
              <w:top w:val="single" w:sz="4" w:space="0" w:color="auto"/>
              <w:left w:val="single" w:sz="4" w:space="0" w:color="auto"/>
              <w:bottom w:val="single" w:sz="4" w:space="0" w:color="auto"/>
              <w:right w:val="single" w:sz="4" w:space="0" w:color="auto"/>
            </w:tcBorders>
            <w:vAlign w:val="center"/>
          </w:tcPr>
          <w:p w14:paraId="0F7CAA18" w14:textId="77777777" w:rsidR="00C6598B" w:rsidRPr="00ED4E95" w:rsidRDefault="00C6598B" w:rsidP="007B0205">
            <w:pPr>
              <w:spacing w:before="40" w:after="40" w:line="240" w:lineRule="auto"/>
              <w:jc w:val="both"/>
              <w:rPr>
                <w:rFonts w:ascii="Arial Narrow" w:hAnsi="Arial Narrow"/>
                <w:i/>
                <w:iCs/>
                <w:sz w:val="20"/>
                <w:szCs w:val="20"/>
              </w:rPr>
            </w:pPr>
            <w:r w:rsidRPr="00ED4E95">
              <w:rPr>
                <w:rFonts w:ascii="Arial Narrow" w:hAnsi="Arial Narrow"/>
                <w:i/>
                <w:iCs/>
                <w:sz w:val="20"/>
                <w:szCs w:val="20"/>
              </w:rPr>
              <w:t>Fee: $</w:t>
            </w:r>
          </w:p>
        </w:tc>
      </w:tr>
      <w:tr w:rsidR="00C6598B" w:rsidRPr="00ED4E95" w14:paraId="0F1445B2" w14:textId="77777777" w:rsidTr="005A13E2">
        <w:trPr>
          <w:cantSplit/>
          <w:tblHeader/>
        </w:trPr>
        <w:tc>
          <w:tcPr>
            <w:tcW w:w="4785" w:type="dxa"/>
            <w:tcBorders>
              <w:top w:val="single" w:sz="4" w:space="0" w:color="auto"/>
              <w:left w:val="single" w:sz="4" w:space="0" w:color="auto"/>
              <w:bottom w:val="single" w:sz="4" w:space="0" w:color="auto"/>
              <w:right w:val="single" w:sz="4" w:space="0" w:color="auto"/>
            </w:tcBorders>
          </w:tcPr>
          <w:p w14:paraId="6762DB07" w14:textId="77777777" w:rsidR="00C6598B" w:rsidRPr="00ED4E95" w:rsidRDefault="00C6598B" w:rsidP="007B0205">
            <w:pPr>
              <w:spacing w:before="40" w:after="40" w:line="240" w:lineRule="auto"/>
              <w:jc w:val="both"/>
              <w:rPr>
                <w:rFonts w:ascii="Arial Narrow" w:hAnsi="Arial Narrow"/>
                <w:b/>
                <w:bCs/>
                <w:sz w:val="20"/>
                <w:szCs w:val="20"/>
              </w:rPr>
            </w:pPr>
            <w:r w:rsidRPr="00ED4E95">
              <w:rPr>
                <w:rFonts w:ascii="Arial Narrow" w:hAnsi="Arial Narrow"/>
                <w:b/>
                <w:bCs/>
                <w:sz w:val="20"/>
                <w:szCs w:val="20"/>
              </w:rPr>
              <w:t>Category 5 – Diagnostic Imaging Services</w:t>
            </w:r>
          </w:p>
        </w:tc>
        <w:tc>
          <w:tcPr>
            <w:tcW w:w="4786" w:type="dxa"/>
            <w:tcBorders>
              <w:top w:val="single" w:sz="4" w:space="0" w:color="auto"/>
              <w:left w:val="single" w:sz="4" w:space="0" w:color="auto"/>
              <w:bottom w:val="single" w:sz="4" w:space="0" w:color="auto"/>
              <w:right w:val="single" w:sz="4" w:space="0" w:color="auto"/>
            </w:tcBorders>
          </w:tcPr>
          <w:p w14:paraId="567985F1" w14:textId="77777777" w:rsidR="00C6598B" w:rsidRPr="00ED4E95" w:rsidRDefault="00C6598B" w:rsidP="007B0205">
            <w:pPr>
              <w:spacing w:before="40" w:after="40" w:line="240" w:lineRule="auto"/>
              <w:jc w:val="both"/>
              <w:rPr>
                <w:rFonts w:ascii="Arial Narrow" w:hAnsi="Arial Narrow"/>
                <w:i/>
                <w:iCs/>
                <w:sz w:val="20"/>
                <w:szCs w:val="20"/>
              </w:rPr>
            </w:pPr>
            <w:r w:rsidRPr="00ED4E95">
              <w:rPr>
                <w:rFonts w:ascii="Arial Narrow" w:hAnsi="Arial Narrow"/>
                <w:b/>
                <w:bCs/>
                <w:i/>
                <w:iCs/>
                <w:sz w:val="20"/>
                <w:szCs w:val="20"/>
              </w:rPr>
              <w:t xml:space="preserve">Proposed amendment </w:t>
            </w:r>
          </w:p>
        </w:tc>
      </w:tr>
      <w:tr w:rsidR="00C6598B" w:rsidRPr="00ED4E95" w14:paraId="48E55B0E" w14:textId="77777777" w:rsidTr="00922B1C">
        <w:trPr>
          <w:cantSplit/>
          <w:tblHeader/>
        </w:trPr>
        <w:tc>
          <w:tcPr>
            <w:tcW w:w="4785" w:type="dxa"/>
            <w:tcBorders>
              <w:top w:val="single" w:sz="4" w:space="0" w:color="auto"/>
              <w:left w:val="single" w:sz="4" w:space="0" w:color="auto"/>
              <w:bottom w:val="single" w:sz="4" w:space="0" w:color="auto"/>
              <w:right w:val="single" w:sz="4" w:space="0" w:color="auto"/>
            </w:tcBorders>
          </w:tcPr>
          <w:p w14:paraId="17C27AA9" w14:textId="77777777" w:rsidR="00C6598B" w:rsidRPr="00ED4E95" w:rsidRDefault="00C6598B" w:rsidP="007B0205">
            <w:pPr>
              <w:spacing w:before="120" w:after="120" w:line="240" w:lineRule="auto"/>
              <w:jc w:val="both"/>
              <w:rPr>
                <w:rFonts w:ascii="Arial Narrow" w:hAnsi="Arial Narrow"/>
                <w:sz w:val="20"/>
                <w:szCs w:val="20"/>
              </w:rPr>
            </w:pPr>
            <w:r w:rsidRPr="00ED4E95">
              <w:rPr>
                <w:rFonts w:ascii="Arial Narrow" w:hAnsi="Arial Narrow"/>
                <w:sz w:val="20"/>
                <w:szCs w:val="20"/>
              </w:rPr>
              <w:t>MBS item 61505</w:t>
            </w:r>
          </w:p>
          <w:p w14:paraId="1AE85354" w14:textId="77777777" w:rsidR="00C6598B" w:rsidRPr="00ED4E95" w:rsidRDefault="00C6598B" w:rsidP="007B0205">
            <w:pPr>
              <w:spacing w:before="40" w:after="40" w:line="240" w:lineRule="auto"/>
              <w:jc w:val="both"/>
              <w:rPr>
                <w:rFonts w:ascii="Arial Narrow" w:hAnsi="Arial Narrow"/>
                <w:sz w:val="20"/>
                <w:szCs w:val="20"/>
              </w:rPr>
            </w:pPr>
            <w:r w:rsidRPr="00ED4E95">
              <w:rPr>
                <w:rFonts w:ascii="Arial Narrow" w:hAnsi="Arial Narrow" w:cstheme="minorBidi"/>
                <w:sz w:val="20"/>
                <w:szCs w:val="20"/>
              </w:rPr>
              <w:t>CT scan performed at the same time and covering the same body area as single photon emission tomography or positron emission tomography for the purpose of anatomic localisation or attenuation correction if no separate diagnostic CT report is issued and performed in association with a service to which an item in Subgroup 1 or 2 of Group I4 applies (R)</w:t>
            </w:r>
          </w:p>
        </w:tc>
        <w:tc>
          <w:tcPr>
            <w:tcW w:w="4786" w:type="dxa"/>
            <w:tcBorders>
              <w:top w:val="single" w:sz="4" w:space="0" w:color="auto"/>
              <w:left w:val="single" w:sz="4" w:space="0" w:color="auto"/>
              <w:bottom w:val="single" w:sz="4" w:space="0" w:color="auto"/>
              <w:right w:val="single" w:sz="4" w:space="0" w:color="auto"/>
            </w:tcBorders>
          </w:tcPr>
          <w:p w14:paraId="5DD17E41" w14:textId="77777777" w:rsidR="00C6598B" w:rsidRPr="00ED4E95" w:rsidRDefault="00C6598B" w:rsidP="007B0205">
            <w:pPr>
              <w:spacing w:before="40" w:after="40" w:line="240" w:lineRule="auto"/>
              <w:jc w:val="both"/>
              <w:rPr>
                <w:rFonts w:ascii="Arial Narrow" w:hAnsi="Arial Narrow"/>
                <w:i/>
                <w:iCs/>
                <w:sz w:val="20"/>
                <w:szCs w:val="20"/>
              </w:rPr>
            </w:pPr>
            <w:r w:rsidRPr="00ED4E95">
              <w:rPr>
                <w:rFonts w:ascii="Arial Narrow" w:hAnsi="Arial Narrow"/>
                <w:i/>
                <w:iCs/>
                <w:sz w:val="20"/>
                <w:szCs w:val="20"/>
              </w:rPr>
              <w:t>No changed requested.</w:t>
            </w:r>
          </w:p>
        </w:tc>
      </w:tr>
      <w:tr w:rsidR="00C6598B" w:rsidRPr="00ED4E95" w14:paraId="00BCA862" w14:textId="77777777" w:rsidTr="005A13E2">
        <w:trPr>
          <w:cantSplit/>
          <w:tblHeader/>
        </w:trPr>
        <w:tc>
          <w:tcPr>
            <w:tcW w:w="4785" w:type="dxa"/>
            <w:tcBorders>
              <w:top w:val="single" w:sz="4" w:space="0" w:color="auto"/>
              <w:left w:val="single" w:sz="4" w:space="0" w:color="auto"/>
              <w:bottom w:val="single" w:sz="4" w:space="0" w:color="auto"/>
              <w:right w:val="single" w:sz="4" w:space="0" w:color="auto"/>
            </w:tcBorders>
            <w:vAlign w:val="center"/>
          </w:tcPr>
          <w:p w14:paraId="21E300F4" w14:textId="77777777" w:rsidR="00C6598B" w:rsidRPr="00ED4E95" w:rsidRDefault="00C6598B" w:rsidP="005A13E2">
            <w:pPr>
              <w:spacing w:before="40" w:after="40" w:line="240" w:lineRule="auto"/>
              <w:rPr>
                <w:rFonts w:ascii="Arial Narrow" w:hAnsi="Arial Narrow"/>
                <w:sz w:val="20"/>
                <w:szCs w:val="20"/>
              </w:rPr>
            </w:pPr>
            <w:r w:rsidRPr="00ED4E95">
              <w:rPr>
                <w:rFonts w:ascii="Arial Narrow" w:hAnsi="Arial Narrow"/>
                <w:sz w:val="20"/>
                <w:szCs w:val="20"/>
              </w:rPr>
              <w:t>Fee: $100.00</w:t>
            </w:r>
          </w:p>
        </w:tc>
        <w:tc>
          <w:tcPr>
            <w:tcW w:w="4786" w:type="dxa"/>
            <w:tcBorders>
              <w:top w:val="single" w:sz="4" w:space="0" w:color="auto"/>
              <w:left w:val="single" w:sz="4" w:space="0" w:color="auto"/>
              <w:bottom w:val="single" w:sz="4" w:space="0" w:color="auto"/>
              <w:right w:val="single" w:sz="4" w:space="0" w:color="auto"/>
            </w:tcBorders>
            <w:vAlign w:val="center"/>
          </w:tcPr>
          <w:p w14:paraId="1CA85474" w14:textId="77777777" w:rsidR="00C6598B" w:rsidRPr="00ED4E95" w:rsidRDefault="00C6598B" w:rsidP="005A13E2">
            <w:pPr>
              <w:spacing w:before="40" w:after="40" w:line="240" w:lineRule="auto"/>
              <w:rPr>
                <w:rFonts w:ascii="Arial Narrow" w:hAnsi="Arial Narrow"/>
                <w:i/>
                <w:iCs/>
                <w:sz w:val="20"/>
                <w:szCs w:val="20"/>
              </w:rPr>
            </w:pPr>
            <w:r w:rsidRPr="00ED4E95">
              <w:rPr>
                <w:rFonts w:ascii="Arial Narrow" w:hAnsi="Arial Narrow"/>
                <w:i/>
                <w:iCs/>
                <w:sz w:val="20"/>
                <w:szCs w:val="20"/>
              </w:rPr>
              <w:t>Fee: $100.00</w:t>
            </w:r>
          </w:p>
        </w:tc>
      </w:tr>
    </w:tbl>
    <w:p w14:paraId="60945A97" w14:textId="77777777" w:rsidR="00C6598B" w:rsidRPr="00ED4E95" w:rsidRDefault="00C6598B" w:rsidP="00ED4E95">
      <w:pPr>
        <w:pStyle w:val="Tablenotes"/>
        <w:spacing w:after="0"/>
      </w:pPr>
      <w:r w:rsidRPr="00ED4E95">
        <w:t>Source: MBS online</w:t>
      </w:r>
    </w:p>
    <w:p w14:paraId="36644C64" w14:textId="15F72C6F" w:rsidR="00C6598B" w:rsidRDefault="00C6598B" w:rsidP="00ED4E95">
      <w:pPr>
        <w:pStyle w:val="Tablenotes"/>
        <w:spacing w:after="240"/>
      </w:pPr>
      <w:r w:rsidRPr="00ED4E95">
        <w:t>Abbreviations: MBS = Medicare Benefits Schedule; SPECT = single photon emission tomography.</w:t>
      </w:r>
    </w:p>
    <w:p w14:paraId="46705818" w14:textId="1C85920F" w:rsidR="00C26602" w:rsidRDefault="006D347D" w:rsidP="006D347D">
      <w:pPr>
        <w:pStyle w:val="Heading2"/>
      </w:pPr>
      <w:r>
        <w:t>Other Issues</w:t>
      </w:r>
    </w:p>
    <w:p w14:paraId="40C8F56C" w14:textId="4F3902EF" w:rsidR="006D347D" w:rsidRDefault="006D347D" w:rsidP="001E609D">
      <w:pPr>
        <w:jc w:val="both"/>
      </w:pPr>
      <w:r>
        <w:t xml:space="preserve">PASC </w:t>
      </w:r>
      <w:r w:rsidR="00642D16">
        <w:t>considered</w:t>
      </w:r>
      <w:r>
        <w:t xml:space="preserve"> the following additional issues with </w:t>
      </w:r>
      <w:r w:rsidRPr="00E35BCA">
        <w:rPr>
          <w:vertAlign w:val="superscript"/>
        </w:rPr>
        <w:t>177</w:t>
      </w:r>
      <w:r>
        <w:t>Lu-DOTA-octreotate:</w:t>
      </w:r>
    </w:p>
    <w:p w14:paraId="1C088B63" w14:textId="77777777" w:rsidR="00642D16" w:rsidRPr="00E35BCA" w:rsidRDefault="00642D16" w:rsidP="001E609D">
      <w:pPr>
        <w:pStyle w:val="Heading3"/>
        <w:jc w:val="both"/>
        <w:rPr>
          <w:rFonts w:asciiTheme="minorHAnsi" w:hAnsiTheme="minorHAnsi" w:cstheme="minorHAnsi"/>
        </w:rPr>
      </w:pPr>
      <w:r w:rsidRPr="00E35BCA">
        <w:t>Implementation</w:t>
      </w:r>
    </w:p>
    <w:p w14:paraId="0ED8146F" w14:textId="77777777" w:rsidR="00642D16" w:rsidRPr="00E35BCA" w:rsidRDefault="00642D16" w:rsidP="001E609D">
      <w:pPr>
        <w:autoSpaceDE w:val="0"/>
        <w:autoSpaceDN w:val="0"/>
        <w:adjustRightInd w:val="0"/>
        <w:jc w:val="both"/>
        <w:rPr>
          <w:rFonts w:asciiTheme="minorHAnsi" w:hAnsiTheme="minorHAnsi" w:cstheme="minorHAnsi"/>
          <w:i/>
        </w:rPr>
      </w:pPr>
      <w:r w:rsidRPr="00E35BCA">
        <w:rPr>
          <w:rFonts w:asciiTheme="minorHAnsi" w:hAnsiTheme="minorHAnsi" w:cstheme="minorHAnsi"/>
          <w:i/>
        </w:rPr>
        <w:t xml:space="preserve">PASC noted that the supply of </w:t>
      </w:r>
      <w:r w:rsidRPr="00E35BCA">
        <w:rPr>
          <w:rFonts w:asciiTheme="minorHAnsi" w:hAnsiTheme="minorHAnsi" w:cstheme="minorHAnsi"/>
          <w:i/>
          <w:vertAlign w:val="superscript"/>
        </w:rPr>
        <w:t>177</w:t>
      </w:r>
      <w:r w:rsidRPr="00E35BCA">
        <w:rPr>
          <w:rFonts w:asciiTheme="minorHAnsi" w:hAnsiTheme="minorHAnsi" w:cstheme="minorHAnsi"/>
          <w:i/>
        </w:rPr>
        <w:t>Lu worldwide is precarious.</w:t>
      </w:r>
    </w:p>
    <w:p w14:paraId="09EBFA1F" w14:textId="10182CD5" w:rsidR="00FD61F5" w:rsidRPr="00B023EE" w:rsidRDefault="00642D16" w:rsidP="001E609D">
      <w:pPr>
        <w:pStyle w:val="ListParagraph"/>
        <w:numPr>
          <w:ilvl w:val="0"/>
          <w:numId w:val="24"/>
        </w:numPr>
        <w:autoSpaceDE w:val="0"/>
        <w:autoSpaceDN w:val="0"/>
        <w:adjustRightInd w:val="0"/>
        <w:ind w:left="291" w:hanging="284"/>
        <w:jc w:val="both"/>
        <w:rPr>
          <w:rFonts w:asciiTheme="minorHAnsi" w:hAnsiTheme="minorHAnsi" w:cstheme="minorHAnsi"/>
          <w:i/>
        </w:rPr>
      </w:pPr>
      <w:r w:rsidRPr="00E35BCA">
        <w:rPr>
          <w:rFonts w:asciiTheme="minorHAnsi" w:hAnsiTheme="minorHAnsi" w:cstheme="minorHAnsi"/>
          <w:i/>
        </w:rPr>
        <w:t xml:space="preserve">The Australian Nuclear Science &amp; Technology Organisation (ANSTO) is TGA-registered  and supplies </w:t>
      </w:r>
      <w:r w:rsidRPr="00E35BCA">
        <w:rPr>
          <w:rFonts w:asciiTheme="minorHAnsi" w:hAnsiTheme="minorHAnsi" w:cstheme="minorHAnsi"/>
          <w:i/>
          <w:vertAlign w:val="superscript"/>
        </w:rPr>
        <w:t>177</w:t>
      </w:r>
      <w:r w:rsidRPr="00E35BCA">
        <w:rPr>
          <w:rFonts w:asciiTheme="minorHAnsi" w:hAnsiTheme="minorHAnsi" w:cstheme="minorHAnsi"/>
          <w:i/>
        </w:rPr>
        <w:t xml:space="preserve">Lu (nca) but if required </w:t>
      </w:r>
      <w:r w:rsidRPr="00E35BCA">
        <w:rPr>
          <w:rFonts w:asciiTheme="minorHAnsi" w:hAnsiTheme="minorHAnsi" w:cstheme="minorHAnsi"/>
          <w:i/>
          <w:vertAlign w:val="superscript"/>
        </w:rPr>
        <w:t>177</w:t>
      </w:r>
      <w:r w:rsidRPr="00E35BCA">
        <w:rPr>
          <w:rFonts w:asciiTheme="minorHAnsi" w:hAnsiTheme="minorHAnsi" w:cstheme="minorHAnsi"/>
          <w:i/>
        </w:rPr>
        <w:t>Lu (ca) can be sourced from overseas.</w:t>
      </w:r>
      <w:r w:rsidR="00FD61F5" w:rsidRPr="00FD61F5">
        <w:rPr>
          <w:rFonts w:asciiTheme="minorHAnsi" w:hAnsiTheme="minorHAnsi" w:cstheme="minorHAnsi"/>
          <w:i/>
        </w:rPr>
        <w:t xml:space="preserve"> </w:t>
      </w:r>
      <w:r w:rsidR="00FD61F5">
        <w:rPr>
          <w:rFonts w:asciiTheme="minorHAnsi" w:hAnsiTheme="minorHAnsi" w:cstheme="minorHAnsi"/>
          <w:i/>
        </w:rPr>
        <w:t xml:space="preserve">PASC noted that ANSTO’s ARTG listing (352151) is for </w:t>
      </w:r>
      <w:r w:rsidR="00FD61F5" w:rsidRPr="003A4D6B">
        <w:rPr>
          <w:rFonts w:asciiTheme="minorHAnsi" w:hAnsiTheme="minorHAnsi" w:cstheme="minorHAnsi"/>
          <w:i/>
          <w:vertAlign w:val="superscript"/>
        </w:rPr>
        <w:t>177</w:t>
      </w:r>
      <w:r w:rsidR="00FD61F5">
        <w:rPr>
          <w:rFonts w:asciiTheme="minorHAnsi" w:hAnsiTheme="minorHAnsi" w:cstheme="minorHAnsi"/>
          <w:i/>
        </w:rPr>
        <w:t>LuCl</w:t>
      </w:r>
      <w:r w:rsidR="00FD61F5" w:rsidRPr="003A4D6B">
        <w:rPr>
          <w:rFonts w:asciiTheme="minorHAnsi" w:hAnsiTheme="minorHAnsi" w:cstheme="minorHAnsi"/>
          <w:i/>
          <w:vertAlign w:val="subscript"/>
        </w:rPr>
        <w:t>3</w:t>
      </w:r>
      <w:r w:rsidR="00FD61F5">
        <w:rPr>
          <w:rFonts w:asciiTheme="minorHAnsi" w:hAnsiTheme="minorHAnsi" w:cstheme="minorHAnsi"/>
          <w:i/>
        </w:rPr>
        <w:t xml:space="preserve"> (not for </w:t>
      </w:r>
      <w:r w:rsidR="00FD61F5" w:rsidRPr="003A4D6B">
        <w:rPr>
          <w:rFonts w:asciiTheme="minorHAnsi" w:hAnsiTheme="minorHAnsi" w:cstheme="minorHAnsi"/>
          <w:i/>
          <w:vertAlign w:val="superscript"/>
        </w:rPr>
        <w:t>177</w:t>
      </w:r>
      <w:r w:rsidR="00FD61F5">
        <w:rPr>
          <w:rFonts w:asciiTheme="minorHAnsi" w:hAnsiTheme="minorHAnsi" w:cstheme="minorHAnsi"/>
          <w:i/>
        </w:rPr>
        <w:t>Lu-DOTA-octreotate) and does not specify “nca”.</w:t>
      </w:r>
    </w:p>
    <w:p w14:paraId="12949409" w14:textId="3CE71BC1" w:rsidR="00642D16" w:rsidRPr="00E35BCA" w:rsidRDefault="00642D16" w:rsidP="001E609D">
      <w:pPr>
        <w:pStyle w:val="ListParagraph"/>
        <w:autoSpaceDE w:val="0"/>
        <w:autoSpaceDN w:val="0"/>
        <w:adjustRightInd w:val="0"/>
        <w:ind w:left="291"/>
        <w:jc w:val="both"/>
        <w:rPr>
          <w:rFonts w:asciiTheme="minorHAnsi" w:hAnsiTheme="minorHAnsi" w:cstheme="minorHAnsi"/>
          <w:i/>
        </w:rPr>
      </w:pPr>
    </w:p>
    <w:p w14:paraId="68FFC91A" w14:textId="77777777" w:rsidR="00642D16" w:rsidRPr="00E35BCA" w:rsidRDefault="00642D16" w:rsidP="001E609D">
      <w:pPr>
        <w:autoSpaceDE w:val="0"/>
        <w:autoSpaceDN w:val="0"/>
        <w:adjustRightInd w:val="0"/>
        <w:jc w:val="both"/>
        <w:rPr>
          <w:rFonts w:asciiTheme="minorHAnsi" w:hAnsiTheme="minorHAnsi" w:cstheme="minorHAnsi"/>
          <w:i/>
        </w:rPr>
      </w:pPr>
      <w:r w:rsidRPr="00E35BCA">
        <w:rPr>
          <w:rFonts w:asciiTheme="minorHAnsi" w:hAnsiTheme="minorHAnsi" w:cstheme="minorHAnsi"/>
          <w:i/>
        </w:rPr>
        <w:t>PASC raised the following matters for additional consideration:</w:t>
      </w:r>
    </w:p>
    <w:p w14:paraId="37D2CE40" w14:textId="7EB236A9" w:rsidR="00642D16" w:rsidRPr="00E35BCA" w:rsidRDefault="00642D16" w:rsidP="001E609D">
      <w:pPr>
        <w:pStyle w:val="ListParagraph"/>
        <w:numPr>
          <w:ilvl w:val="0"/>
          <w:numId w:val="33"/>
        </w:numPr>
        <w:autoSpaceDE w:val="0"/>
        <w:autoSpaceDN w:val="0"/>
        <w:adjustRightInd w:val="0"/>
        <w:ind w:left="284" w:hanging="284"/>
        <w:jc w:val="both"/>
        <w:rPr>
          <w:rFonts w:asciiTheme="minorHAnsi" w:hAnsiTheme="minorHAnsi" w:cstheme="minorHAnsi"/>
          <w:i/>
        </w:rPr>
      </w:pPr>
      <w:r w:rsidRPr="00E35BCA">
        <w:rPr>
          <w:rFonts w:asciiTheme="minorHAnsi" w:hAnsiTheme="minorHAnsi" w:cstheme="minorHAnsi"/>
          <w:i/>
        </w:rPr>
        <w:t xml:space="preserve">If PRRT is MBS-funded, will “in-house” production —of either </w:t>
      </w:r>
      <w:r w:rsidRPr="00E35BCA">
        <w:rPr>
          <w:rFonts w:asciiTheme="minorHAnsi" w:hAnsiTheme="minorHAnsi" w:cstheme="minorHAnsi"/>
          <w:i/>
          <w:vertAlign w:val="superscript"/>
        </w:rPr>
        <w:t>177</w:t>
      </w:r>
      <w:r w:rsidRPr="00E35BCA">
        <w:rPr>
          <w:rFonts w:asciiTheme="minorHAnsi" w:hAnsiTheme="minorHAnsi" w:cstheme="minorHAnsi"/>
          <w:i/>
        </w:rPr>
        <w:t>Lu(nca)-DOTA</w:t>
      </w:r>
      <w:r w:rsidR="00047F69" w:rsidRPr="00E35BCA">
        <w:rPr>
          <w:rFonts w:asciiTheme="minorHAnsi" w:hAnsiTheme="minorHAnsi" w:cstheme="minorHAnsi"/>
          <w:i/>
        </w:rPr>
        <w:t>-octreotate</w:t>
      </w:r>
      <w:r w:rsidRPr="00E35BCA">
        <w:rPr>
          <w:rFonts w:asciiTheme="minorHAnsi" w:hAnsiTheme="minorHAnsi" w:cstheme="minorHAnsi"/>
          <w:i/>
        </w:rPr>
        <w:t xml:space="preserve"> or </w:t>
      </w:r>
      <w:r w:rsidRPr="00E35BCA">
        <w:rPr>
          <w:rFonts w:asciiTheme="minorHAnsi" w:hAnsiTheme="minorHAnsi" w:cstheme="minorHAnsi"/>
          <w:i/>
          <w:vertAlign w:val="superscript"/>
        </w:rPr>
        <w:t>177</w:t>
      </w:r>
      <w:r w:rsidRPr="00E35BCA">
        <w:rPr>
          <w:rFonts w:asciiTheme="minorHAnsi" w:hAnsiTheme="minorHAnsi" w:cstheme="minorHAnsi"/>
          <w:i/>
        </w:rPr>
        <w:t>Lu(ca)-DOTA</w:t>
      </w:r>
      <w:r w:rsidR="00047F69" w:rsidRPr="00E35BCA">
        <w:rPr>
          <w:rFonts w:asciiTheme="minorHAnsi" w:hAnsiTheme="minorHAnsi" w:cstheme="minorHAnsi"/>
          <w:i/>
        </w:rPr>
        <w:t>-octreotate</w:t>
      </w:r>
      <w:r w:rsidRPr="00E35BCA">
        <w:rPr>
          <w:rFonts w:asciiTheme="minorHAnsi" w:hAnsiTheme="minorHAnsi" w:cstheme="minorHAnsi"/>
          <w:i/>
        </w:rPr>
        <w:t xml:space="preserve"> —be eligible for reimbursement?</w:t>
      </w:r>
    </w:p>
    <w:p w14:paraId="2D3F44FE" w14:textId="7F939C16" w:rsidR="00642D16" w:rsidRPr="00E35BCA" w:rsidRDefault="00642D16" w:rsidP="001E609D">
      <w:pPr>
        <w:pStyle w:val="ListParagraph"/>
        <w:numPr>
          <w:ilvl w:val="0"/>
          <w:numId w:val="33"/>
        </w:numPr>
        <w:autoSpaceDE w:val="0"/>
        <w:autoSpaceDN w:val="0"/>
        <w:adjustRightInd w:val="0"/>
        <w:spacing w:after="240"/>
        <w:ind w:left="284" w:hanging="284"/>
        <w:jc w:val="both"/>
        <w:rPr>
          <w:rFonts w:asciiTheme="minorHAnsi" w:hAnsiTheme="minorHAnsi" w:cstheme="minorHAnsi"/>
          <w:i/>
        </w:rPr>
      </w:pPr>
      <w:r w:rsidRPr="00E35BCA">
        <w:rPr>
          <w:rFonts w:asciiTheme="minorHAnsi" w:hAnsiTheme="minorHAnsi" w:cstheme="minorHAnsi"/>
          <w:i/>
        </w:rPr>
        <w:t xml:space="preserve">If so, will “in-house” production facilities need to demonstrate GMP compliance? </w:t>
      </w:r>
    </w:p>
    <w:p w14:paraId="6F4692A5" w14:textId="77777777" w:rsidR="00642D16" w:rsidRPr="00E35BCA" w:rsidRDefault="00642D16" w:rsidP="001E609D">
      <w:pPr>
        <w:autoSpaceDE w:val="0"/>
        <w:autoSpaceDN w:val="0"/>
        <w:adjustRightInd w:val="0"/>
        <w:jc w:val="both"/>
        <w:rPr>
          <w:rFonts w:asciiTheme="minorHAnsi" w:hAnsiTheme="minorHAnsi" w:cstheme="minorHAnsi"/>
          <w:i/>
          <w:szCs w:val="20"/>
        </w:rPr>
      </w:pPr>
      <w:r w:rsidRPr="00E35BCA">
        <w:rPr>
          <w:rFonts w:asciiTheme="minorHAnsi" w:hAnsiTheme="minorHAnsi" w:cstheme="minorHAnsi"/>
          <w:i/>
          <w:szCs w:val="20"/>
        </w:rPr>
        <w:t>P</w:t>
      </w:r>
      <w:r w:rsidRPr="00E35BCA">
        <w:rPr>
          <w:rFonts w:asciiTheme="minorHAnsi" w:hAnsiTheme="minorHAnsi" w:cstheme="minorHAnsi"/>
          <w:i/>
        </w:rPr>
        <w:t>ASC noted the department’s advice that if MSAC supports the application the department would work through any implementation matters including what the appropriate requirements for MBS funding are</w:t>
      </w:r>
      <w:r w:rsidRPr="00E35BCA">
        <w:rPr>
          <w:rFonts w:asciiTheme="minorHAnsi" w:hAnsiTheme="minorHAnsi" w:cstheme="minorHAnsi"/>
          <w:i/>
          <w:szCs w:val="20"/>
        </w:rPr>
        <w:t xml:space="preserve">. </w:t>
      </w:r>
    </w:p>
    <w:p w14:paraId="0174C3FF" w14:textId="0A7CB2AF" w:rsidR="00642D16" w:rsidRPr="00E35BCA" w:rsidRDefault="00642D16" w:rsidP="001E609D">
      <w:pPr>
        <w:autoSpaceDE w:val="0"/>
        <w:autoSpaceDN w:val="0"/>
        <w:adjustRightInd w:val="0"/>
        <w:jc w:val="both"/>
        <w:rPr>
          <w:rFonts w:asciiTheme="minorHAnsi" w:hAnsiTheme="minorHAnsi" w:cstheme="minorHAnsi"/>
          <w:i/>
        </w:rPr>
      </w:pPr>
      <w:r w:rsidRPr="00E35BCA">
        <w:rPr>
          <w:rFonts w:asciiTheme="minorHAnsi" w:hAnsiTheme="minorHAnsi" w:cstheme="minorHAnsi"/>
          <w:i/>
        </w:rPr>
        <w:t xml:space="preserve">PASC noted that the current items 872 &amp; 873 were considered to be adequate for case conferencing by an MDT. PASC noted that it </w:t>
      </w:r>
      <w:r w:rsidR="006F2D45">
        <w:rPr>
          <w:rFonts w:asciiTheme="minorHAnsi" w:hAnsiTheme="minorHAnsi" w:cstheme="minorHAnsi"/>
          <w:i/>
        </w:rPr>
        <w:t>may</w:t>
      </w:r>
      <w:r w:rsidRPr="00E35BCA">
        <w:rPr>
          <w:rFonts w:asciiTheme="minorHAnsi" w:hAnsiTheme="minorHAnsi" w:cstheme="minorHAnsi"/>
          <w:i/>
        </w:rPr>
        <w:t xml:space="preserve"> be necessary to specify which professionals should be involved in the MDT for the purposes of reimbursement</w:t>
      </w:r>
      <w:r w:rsidR="00CE1F91">
        <w:rPr>
          <w:rFonts w:asciiTheme="minorHAnsi" w:hAnsiTheme="minorHAnsi" w:cstheme="minorHAnsi"/>
          <w:i/>
        </w:rPr>
        <w:t>, most likely via an explanatory note to the proposed item</w:t>
      </w:r>
      <w:r w:rsidRPr="00E35BCA">
        <w:rPr>
          <w:rFonts w:asciiTheme="minorHAnsi" w:hAnsiTheme="minorHAnsi" w:cstheme="minorHAnsi"/>
          <w:i/>
        </w:rPr>
        <w:t>.</w:t>
      </w:r>
    </w:p>
    <w:p w14:paraId="60A3AB5C" w14:textId="16F7E780" w:rsidR="47FFB1E2" w:rsidRDefault="47FFB1E2" w:rsidP="0590C3BA">
      <w:pPr>
        <w:pStyle w:val="Heading2"/>
        <w:rPr>
          <w:rFonts w:ascii="Calibri" w:eastAsia="Calibri" w:hAnsi="Calibri" w:cs="Calibri"/>
          <w:b/>
          <w:bCs/>
          <w:sz w:val="22"/>
          <w:szCs w:val="22"/>
        </w:rPr>
      </w:pPr>
      <w:r>
        <w:lastRenderedPageBreak/>
        <w:t xml:space="preserve">Summary of public consultation </w:t>
      </w:r>
      <w:r w:rsidR="462BB24A">
        <w:t>input</w:t>
      </w:r>
      <w:r w:rsidR="5B04D88F" w:rsidRPr="418C7343">
        <w:rPr>
          <w:rFonts w:ascii="Calibri" w:eastAsia="Calibri" w:hAnsi="Calibri" w:cs="Calibri"/>
          <w:b/>
          <w:bCs/>
          <w:sz w:val="22"/>
          <w:szCs w:val="22"/>
        </w:rPr>
        <w:t xml:space="preserve"> </w:t>
      </w:r>
    </w:p>
    <w:p w14:paraId="5822971B" w14:textId="5CD7E756" w:rsidR="49A70B5B" w:rsidRPr="00E5056D" w:rsidRDefault="00AE3414" w:rsidP="001E609D">
      <w:pPr>
        <w:spacing w:after="120"/>
        <w:jc w:val="both"/>
        <w:rPr>
          <w:i/>
        </w:rPr>
      </w:pPr>
      <w:r>
        <w:rPr>
          <w:i/>
        </w:rPr>
        <w:t xml:space="preserve">At the April </w:t>
      </w:r>
      <w:r w:rsidR="00BF63F4">
        <w:rPr>
          <w:i/>
          <w:iCs/>
        </w:rPr>
        <w:t>2023</w:t>
      </w:r>
      <w:r w:rsidR="00BF63F4">
        <w:rPr>
          <w:rFonts w:cs="Calibri"/>
          <w:i/>
        </w:rPr>
        <w:t xml:space="preserve"> </w:t>
      </w:r>
      <w:r>
        <w:rPr>
          <w:rFonts w:cs="Calibri"/>
          <w:i/>
          <w:iCs/>
        </w:rPr>
        <w:t xml:space="preserve">meeting, </w:t>
      </w:r>
      <w:r w:rsidR="49A70B5B" w:rsidRPr="002A32AB">
        <w:rPr>
          <w:rFonts w:cs="Calibri"/>
          <w:i/>
          <w:iCs/>
        </w:rPr>
        <w:t>PASC noted and welcomed consultation input from 6 organisations.</w:t>
      </w:r>
      <w:r w:rsidR="49A70B5B" w:rsidRPr="418C7343">
        <w:rPr>
          <w:rFonts w:cs="Calibri"/>
          <w:i/>
          <w:iCs/>
        </w:rPr>
        <w:t xml:space="preserve"> </w:t>
      </w:r>
      <w:r w:rsidR="49A70B5B" w:rsidRPr="00E5056D">
        <w:rPr>
          <w:i/>
        </w:rPr>
        <w:t>The</w:t>
      </w:r>
      <w:r w:rsidR="49A70B5B">
        <w:rPr>
          <w:i/>
        </w:rPr>
        <w:t xml:space="preserve"> </w:t>
      </w:r>
      <w:r w:rsidR="49A70B5B" w:rsidRPr="00E5056D">
        <w:rPr>
          <w:i/>
        </w:rPr>
        <w:t xml:space="preserve">organisations that submitted input were: </w:t>
      </w:r>
    </w:p>
    <w:p w14:paraId="270DC199" w14:textId="54B63440" w:rsidR="49A70B5B" w:rsidRPr="00192610" w:rsidRDefault="49A70B5B" w:rsidP="001E609D">
      <w:pPr>
        <w:pStyle w:val="ListParagraph"/>
        <w:numPr>
          <w:ilvl w:val="0"/>
          <w:numId w:val="26"/>
        </w:numPr>
        <w:spacing w:after="120" w:line="259" w:lineRule="auto"/>
        <w:jc w:val="both"/>
      </w:pPr>
      <w:r w:rsidRPr="00192610">
        <w:t>The Urological Society of Australia and New Zealand (USANZ)</w:t>
      </w:r>
    </w:p>
    <w:p w14:paraId="10668B0A" w14:textId="7791D72D" w:rsidR="49A70B5B" w:rsidRPr="00192610" w:rsidRDefault="49A70B5B" w:rsidP="001E609D">
      <w:pPr>
        <w:pStyle w:val="ListParagraph"/>
        <w:numPr>
          <w:ilvl w:val="0"/>
          <w:numId w:val="26"/>
        </w:numPr>
        <w:spacing w:after="120" w:line="259" w:lineRule="auto"/>
        <w:jc w:val="both"/>
      </w:pPr>
      <w:r w:rsidRPr="00192610">
        <w:t>Australian Diagnostic Imaging Association (ADIA)</w:t>
      </w:r>
    </w:p>
    <w:p w14:paraId="287F9643" w14:textId="40DE74F9" w:rsidR="49A70B5B" w:rsidRPr="00192610" w:rsidRDefault="49A70B5B" w:rsidP="001E609D">
      <w:pPr>
        <w:pStyle w:val="ListParagraph"/>
        <w:numPr>
          <w:ilvl w:val="0"/>
          <w:numId w:val="26"/>
        </w:numPr>
        <w:spacing w:after="120" w:line="259" w:lineRule="auto"/>
        <w:jc w:val="both"/>
      </w:pPr>
      <w:r w:rsidRPr="00192610">
        <w:t>Novartis Pharmaceuticals Australia Pty Ltd (Novartis)</w:t>
      </w:r>
    </w:p>
    <w:p w14:paraId="41DCBEE9" w14:textId="363D121C" w:rsidR="49A70B5B" w:rsidRPr="00192610" w:rsidRDefault="49A70B5B" w:rsidP="001E609D">
      <w:pPr>
        <w:pStyle w:val="ListParagraph"/>
        <w:numPr>
          <w:ilvl w:val="0"/>
          <w:numId w:val="26"/>
        </w:numPr>
        <w:spacing w:after="120" w:line="259" w:lineRule="auto"/>
        <w:jc w:val="both"/>
      </w:pPr>
      <w:r w:rsidRPr="00192610">
        <w:t>The Royal Australian and New Zealand College of Radiologists (RANZCR)</w:t>
      </w:r>
    </w:p>
    <w:p w14:paraId="687341D6" w14:textId="4E93B3D7" w:rsidR="49A70B5B" w:rsidRPr="00192610" w:rsidRDefault="49A70B5B" w:rsidP="001E609D">
      <w:pPr>
        <w:pStyle w:val="ListParagraph"/>
        <w:numPr>
          <w:ilvl w:val="0"/>
          <w:numId w:val="26"/>
        </w:numPr>
        <w:spacing w:after="120" w:line="259" w:lineRule="auto"/>
        <w:jc w:val="both"/>
      </w:pPr>
      <w:r w:rsidRPr="00192610">
        <w:t>Australian Association of Nuclear Medicine Specialists (AANMS)</w:t>
      </w:r>
    </w:p>
    <w:p w14:paraId="695C9105" w14:textId="7B0B61F8" w:rsidR="49A70B5B" w:rsidRPr="00192610" w:rsidRDefault="49A70B5B" w:rsidP="001E609D">
      <w:pPr>
        <w:pStyle w:val="ListParagraph"/>
        <w:numPr>
          <w:ilvl w:val="0"/>
          <w:numId w:val="26"/>
        </w:numPr>
        <w:spacing w:after="120" w:line="259" w:lineRule="auto"/>
        <w:jc w:val="both"/>
      </w:pPr>
      <w:r w:rsidRPr="00192610">
        <w:t>Telix Pharmaceuticals Limited (Telix)</w:t>
      </w:r>
    </w:p>
    <w:p w14:paraId="6E4F64A4" w14:textId="61D2A515" w:rsidR="49A70B5B" w:rsidRDefault="49A70B5B" w:rsidP="001E609D">
      <w:pPr>
        <w:jc w:val="both"/>
        <w:rPr>
          <w:color w:val="5B9BD5" w:themeColor="accent1"/>
        </w:rPr>
      </w:pPr>
      <w:r w:rsidRPr="5C9F407B">
        <w:rPr>
          <w:rFonts w:cs="Calibri"/>
        </w:rPr>
        <w:t xml:space="preserve">The consultation feedback received was mostly supportive of public funding for </w:t>
      </w:r>
      <w:r w:rsidR="00BF63F4" w:rsidRPr="5C9F407B">
        <w:rPr>
          <w:vertAlign w:val="superscript"/>
          <w:lang w:val="en-US"/>
        </w:rPr>
        <w:t>177</w:t>
      </w:r>
      <w:r w:rsidR="00BF63F4" w:rsidRPr="5C9F407B">
        <w:rPr>
          <w:lang w:val="en-US"/>
        </w:rPr>
        <w:t>Lu(nca)</w:t>
      </w:r>
      <w:r w:rsidR="008B4D70" w:rsidRPr="5C9F407B">
        <w:rPr>
          <w:lang w:val="en-US"/>
        </w:rPr>
        <w:t>-DOTA-o</w:t>
      </w:r>
      <w:r w:rsidR="00BF63F4" w:rsidRPr="5C9F407B">
        <w:rPr>
          <w:lang w:val="en-US"/>
        </w:rPr>
        <w:t xml:space="preserve">ctreotate </w:t>
      </w:r>
      <w:r w:rsidRPr="5C9F407B">
        <w:rPr>
          <w:rFonts w:cs="Calibri"/>
          <w:lang w:val="en-US"/>
        </w:rPr>
        <w:t>treatment for advanced neuroendocrine tumours (NETs) and other high somatostatin receptor (H-SSTR) expressing tumours</w:t>
      </w:r>
      <w:r w:rsidRPr="5C9F407B">
        <w:rPr>
          <w:rFonts w:cs="Calibri"/>
        </w:rPr>
        <w:t>. The consultation feedback raised a number of concerns, predominately in relation to the patent status of the radiopharmaceutical, the fee, and the suggested incorporation of the AANMS position statement into policy.</w:t>
      </w:r>
    </w:p>
    <w:p w14:paraId="7D587D20" w14:textId="4B460267" w:rsidR="49A70B5B" w:rsidRDefault="49A70B5B" w:rsidP="001E609D">
      <w:pPr>
        <w:jc w:val="both"/>
        <w:rPr>
          <w:b/>
          <w:bCs/>
        </w:rPr>
      </w:pPr>
      <w:r w:rsidRPr="418C7343">
        <w:rPr>
          <w:rFonts w:cs="Calibri"/>
          <w:b/>
          <w:bCs/>
        </w:rPr>
        <w:t>Clinical need and public health significance</w:t>
      </w:r>
    </w:p>
    <w:p w14:paraId="461D998D" w14:textId="2ED977C0" w:rsidR="49A70B5B" w:rsidRDefault="49A70B5B" w:rsidP="001E609D">
      <w:pPr>
        <w:jc w:val="both"/>
      </w:pPr>
      <w:r w:rsidRPr="418C7343">
        <w:t xml:space="preserve">The main benefits of public funding received in the consultation feedback included improved access and associated benefits, addressing the need for effective therapies, particularly for metastatic disease, and improved outcomes including prolonged periods of disease-free periods with minimum toxicity (compared with chemotherapy). </w:t>
      </w:r>
    </w:p>
    <w:p w14:paraId="492BBB98" w14:textId="6345C817" w:rsidR="49A70B5B" w:rsidRDefault="49A70B5B" w:rsidP="001E609D">
      <w:pPr>
        <w:jc w:val="both"/>
      </w:pPr>
      <w:r w:rsidRPr="418C7343">
        <w:t>The main disadvantages of public funding received in the consultation feedback mainly related to the side effects of treatment. However, it was stated that these could be managed.</w:t>
      </w:r>
    </w:p>
    <w:p w14:paraId="7791CCD7" w14:textId="1D6C94C7" w:rsidR="49A70B5B" w:rsidRDefault="49A70B5B" w:rsidP="001E609D">
      <w:pPr>
        <w:jc w:val="both"/>
      </w:pPr>
      <w:r w:rsidRPr="418C7343">
        <w:t>Other services identified in the consultation feedback as being needed to be delivered before or after the intervention included: oncology, nuclear medicine physicians, endocrinology, surgery, palliative care, medical physics, social workers and dietician support services. RANZCR stated that they support the need for patient cases to be discussed by an expert MDT prior to treatment. The AANMS agreed and added that treatments of other advanced H-SSTR malignancies should be referred from appropriate specialist practitioners.</w:t>
      </w:r>
    </w:p>
    <w:p w14:paraId="3686B669" w14:textId="46066AC4" w:rsidR="49A70B5B" w:rsidRDefault="49A70B5B" w:rsidP="001E609D">
      <w:pPr>
        <w:jc w:val="both"/>
        <w:rPr>
          <w:b/>
          <w:bCs/>
        </w:rPr>
      </w:pPr>
      <w:r w:rsidRPr="418C7343">
        <w:rPr>
          <w:rFonts w:cs="Calibri"/>
          <w:b/>
          <w:bCs/>
        </w:rPr>
        <w:t>Indication(s) for the proposed medical service and clinical claim</w:t>
      </w:r>
    </w:p>
    <w:p w14:paraId="36BE0426" w14:textId="26028ED6" w:rsidR="49A70B5B" w:rsidRPr="00D67F07" w:rsidRDefault="49A70B5B" w:rsidP="001E609D">
      <w:pPr>
        <w:jc w:val="both"/>
        <w:rPr>
          <w:color w:val="FF0000"/>
        </w:rPr>
      </w:pPr>
      <w:r w:rsidRPr="418C7343">
        <w:t xml:space="preserve">The consultation feedback ranged from agreeing to strongly agreeing with the proposed population(s). </w:t>
      </w:r>
      <w:r w:rsidR="00BF63F4">
        <w:t xml:space="preserve">The AANMS stated that the proposed interventions should be available to all patients who have SSTR expressing tumours of satisfactory avidity on a </w:t>
      </w:r>
      <w:r w:rsidR="00BF63F4" w:rsidRPr="005D3E6F">
        <w:rPr>
          <w:vertAlign w:val="superscript"/>
        </w:rPr>
        <w:t>68</w:t>
      </w:r>
      <w:r w:rsidR="00BF63F4">
        <w:t xml:space="preserve">Ga-DOTA-peptide PET scan. </w:t>
      </w:r>
      <w:r w:rsidR="00BF63F4" w:rsidRPr="004F6129">
        <w:t>Telix state</w:t>
      </w:r>
      <w:r w:rsidR="00BF63F4">
        <w:t>d that they agreed with the proposed populations, however, that the target population is unclear. They add that the MBS item descriptor does not align with the population outlined in the application.</w:t>
      </w:r>
    </w:p>
    <w:p w14:paraId="53BCAC50" w14:textId="0B03DEBB" w:rsidR="00BF63F4" w:rsidRDefault="00BF63F4" w:rsidP="001E609D">
      <w:pPr>
        <w:jc w:val="both"/>
      </w:pPr>
      <w:r>
        <w:t>The consultation feedback ranged from disagreeing to strongly agreeing with the proposed comparator. The AANMS stated that the only well published comparator is high dose long acting somatostatin, they went on to state that there is a trial nearing completion comparing Lu-D</w:t>
      </w:r>
      <w:r w:rsidR="001701DA">
        <w:t>ota</w:t>
      </w:r>
      <w:r>
        <w:t>tate to everolimus. They added that, currently, Lu</w:t>
      </w:r>
      <w:r w:rsidR="00CD582C">
        <w:t>tate</w:t>
      </w:r>
      <w:r>
        <w:t xml:space="preserve"> is used when most chemotherapy options are exhausted, so is an additional option rather than a direct competitor to other therapies. Telix stated that it is unclear what the proposed comparator is for each population.</w:t>
      </w:r>
    </w:p>
    <w:p w14:paraId="20192484" w14:textId="2B38AFBA" w:rsidR="006E7CD4" w:rsidRDefault="49A70B5B" w:rsidP="001E609D">
      <w:pPr>
        <w:jc w:val="both"/>
      </w:pPr>
      <w:r>
        <w:lastRenderedPageBreak/>
        <w:t>The consultation feedback ranged from disagreeing to strongly agreeing with the clinical claim.</w:t>
      </w:r>
      <w:r w:rsidR="00BF63F4">
        <w:t xml:space="preserve"> </w:t>
      </w:r>
      <w:r>
        <w:t xml:space="preserve">USANZ and Novartis questioned the therapeutic equivalence of </w:t>
      </w:r>
      <w:r w:rsidR="00435F79" w:rsidRPr="21328503">
        <w:rPr>
          <w:vertAlign w:val="superscript"/>
          <w:lang w:val="en-US"/>
        </w:rPr>
        <w:t>177</w:t>
      </w:r>
      <w:r>
        <w:t xml:space="preserve">Lu-DOTATATE and </w:t>
      </w:r>
      <w:r w:rsidR="00BF63F4" w:rsidRPr="21328503">
        <w:rPr>
          <w:vertAlign w:val="superscript"/>
          <w:lang w:val="en-US"/>
        </w:rPr>
        <w:t>177</w:t>
      </w:r>
      <w:r w:rsidR="00BF63F4" w:rsidRPr="21328503">
        <w:rPr>
          <w:lang w:val="en-US"/>
        </w:rPr>
        <w:t>Lutetium(nca) Octreotate.</w:t>
      </w:r>
      <w:r w:rsidR="00BF63F4">
        <w:t xml:space="preserve"> </w:t>
      </w:r>
      <w:r w:rsidR="006E7CD4">
        <w:t xml:space="preserve">Novartis stated that </w:t>
      </w:r>
      <w:r w:rsidR="006E7CD4" w:rsidRPr="21328503">
        <w:rPr>
          <w:vertAlign w:val="superscript"/>
          <w:lang w:val="en-US"/>
        </w:rPr>
        <w:t>177</w:t>
      </w:r>
      <w:r w:rsidR="006E7CD4" w:rsidRPr="21328503">
        <w:rPr>
          <w:lang w:val="en-US"/>
        </w:rPr>
        <w:t xml:space="preserve">Lutetium(nca) Octreotate </w:t>
      </w:r>
      <w:r w:rsidR="006E7CD4">
        <w:t xml:space="preserve">(proposed intervention) and the Novartis product, </w:t>
      </w:r>
      <w:r w:rsidR="006E7CD4" w:rsidRPr="21328503">
        <w:rPr>
          <w:vertAlign w:val="superscript"/>
          <w:lang w:val="en-US"/>
        </w:rPr>
        <w:t>177</w:t>
      </w:r>
      <w:r w:rsidR="006E7CD4">
        <w:t xml:space="preserve">Lu-DOTATATE, may be two different drug products. They stated that there is no evidence to support the therapeutic equivalence of </w:t>
      </w:r>
      <w:r w:rsidR="006E7CD4" w:rsidRPr="21328503">
        <w:rPr>
          <w:vertAlign w:val="superscript"/>
          <w:lang w:val="en-US"/>
        </w:rPr>
        <w:t>177</w:t>
      </w:r>
      <w:r w:rsidR="006E7CD4">
        <w:t xml:space="preserve">Lu-DOTATATE and </w:t>
      </w:r>
      <w:r w:rsidR="006E7CD4" w:rsidRPr="21328503">
        <w:rPr>
          <w:vertAlign w:val="superscript"/>
          <w:lang w:val="en-US"/>
        </w:rPr>
        <w:t>177</w:t>
      </w:r>
      <w:r w:rsidR="006E7CD4" w:rsidRPr="21328503">
        <w:rPr>
          <w:lang w:val="en-US"/>
        </w:rPr>
        <w:t xml:space="preserve">Lutetium(nca) Octreotate which is </w:t>
      </w:r>
      <w:r w:rsidR="006E7CD4">
        <w:t>not linked to a DOTA chelating moiety.</w:t>
      </w:r>
    </w:p>
    <w:p w14:paraId="7BE5480A" w14:textId="23697779" w:rsidR="49A70B5B" w:rsidRDefault="49A70B5B" w:rsidP="001E609D">
      <w:pPr>
        <w:jc w:val="both"/>
      </w:pPr>
      <w:r w:rsidRPr="418C7343">
        <w:t>RANZCR stated that the application is clinically appropriate, reflects current best practice and the evidence is robust</w:t>
      </w:r>
      <w:r w:rsidR="00BF63F4">
        <w:t xml:space="preserve">. </w:t>
      </w:r>
      <w:r w:rsidRPr="418C7343">
        <w:t>Telix stated that the number of repeat doses is not clear.</w:t>
      </w:r>
    </w:p>
    <w:p w14:paraId="109FCE56" w14:textId="6629E73B" w:rsidR="49A70B5B" w:rsidRDefault="49A70B5B" w:rsidP="001E609D">
      <w:pPr>
        <w:jc w:val="both"/>
        <w:rPr>
          <w:b/>
          <w:bCs/>
        </w:rPr>
      </w:pPr>
      <w:r w:rsidRPr="418C7343">
        <w:rPr>
          <w:rFonts w:cs="Calibri"/>
          <w:b/>
          <w:bCs/>
        </w:rPr>
        <w:t>Cost information for the proposed medical service</w:t>
      </w:r>
    </w:p>
    <w:p w14:paraId="0F8EF915" w14:textId="4E20517D" w:rsidR="49A70B5B" w:rsidRDefault="49A70B5B" w:rsidP="001E609D">
      <w:pPr>
        <w:jc w:val="both"/>
      </w:pPr>
      <w:r w:rsidRPr="418C7343">
        <w:t xml:space="preserve">The consultation feedback ranged from disagreeing to strongly agreeing with the proposed service descriptor. </w:t>
      </w:r>
      <w:r w:rsidR="00BF63F4">
        <w:t>Telix stated that it is not clear from the MBS item descriptor if the $8000 fee is for one dose, or whether one or more doses would be required. They went on to state that it is not clear if dosing is different per proposed population, and that MDT referral is not reflected in the MBS item descriptor.</w:t>
      </w:r>
    </w:p>
    <w:p w14:paraId="5197A0ED" w14:textId="2854BE85" w:rsidR="49A70B5B" w:rsidRDefault="49A70B5B" w:rsidP="001E609D">
      <w:pPr>
        <w:jc w:val="both"/>
      </w:pPr>
      <w:r>
        <w:t xml:space="preserve">The consultation feedback ranged from disagreeing to agreeing with the proposed service fee. ADIA stated that it is appropriate to allow practitioners to separately bill relevant items associated with delivering this therapy. They, however, added that, given the applicant has indicated the cost of the treatment dose is $8000, an MBS fee of $8000 is inappropriate as the MBS fee should be set to allow the provider to recover the cost of </w:t>
      </w:r>
      <w:r w:rsidR="00BF63F4" w:rsidRPr="21328503">
        <w:rPr>
          <w:vertAlign w:val="superscript"/>
          <w:lang w:val="en-US"/>
        </w:rPr>
        <w:t>177</w:t>
      </w:r>
      <w:r w:rsidR="00BF63F4" w:rsidRPr="21328503">
        <w:rPr>
          <w:lang w:val="en-US"/>
        </w:rPr>
        <w:t>Lutetium(nca) Octreotate</w:t>
      </w:r>
      <w:r w:rsidR="003E2E26" w:rsidRPr="21328503">
        <w:rPr>
          <w:lang w:val="en-US"/>
        </w:rPr>
        <w:t xml:space="preserve"> </w:t>
      </w:r>
      <w:r>
        <w:t>to avoid significant out of pocket costs to patients.</w:t>
      </w:r>
      <w:r w:rsidR="00BF63F4">
        <w:t xml:space="preserve"> </w:t>
      </w:r>
      <w:r>
        <w:t>The AANMS stated that the proposed fee is in line with costs as delivered in public hospital settings in the metropolitan area. They added that the cost to deliver the proposed intervention in rural areas would be higher, and that the cost of radiopharmaceuticals is expected to increase from May 2023.</w:t>
      </w:r>
      <w:r w:rsidR="00BF63F4">
        <w:t xml:space="preserve"> </w:t>
      </w:r>
      <w:r>
        <w:t>Telix stated that the true cost of delivery is between $12,000-$15,000 per dose in 2023.</w:t>
      </w:r>
    </w:p>
    <w:p w14:paraId="5E569B41" w14:textId="10351284" w:rsidR="49A70B5B" w:rsidRPr="00E76884" w:rsidRDefault="49A70B5B" w:rsidP="001E609D">
      <w:pPr>
        <w:jc w:val="both"/>
        <w:rPr>
          <w:color w:val="5B9BD5" w:themeColor="accent1"/>
        </w:rPr>
      </w:pPr>
      <w:r w:rsidRPr="418C7343">
        <w:rPr>
          <w:rFonts w:cs="Calibri"/>
          <w:b/>
          <w:bCs/>
        </w:rPr>
        <w:t xml:space="preserve">Additional comments </w:t>
      </w:r>
    </w:p>
    <w:p w14:paraId="6A4AFFDA" w14:textId="46841250" w:rsidR="49A70B5B" w:rsidRDefault="49A70B5B" w:rsidP="001E609D">
      <w:pPr>
        <w:jc w:val="both"/>
      </w:pPr>
      <w:r w:rsidRPr="21328503">
        <w:rPr>
          <w:rFonts w:cs="Calibri"/>
        </w:rPr>
        <w:t xml:space="preserve">ADIA stated that, as no theranostic service is currently listed on Medicare, regulatory settings for Medicare-funded provision have not been determined. They added that incorporation of the </w:t>
      </w:r>
      <w:r w:rsidRPr="21328503">
        <w:rPr>
          <w:rFonts w:cs="Calibri"/>
          <w:i/>
          <w:iCs/>
        </w:rPr>
        <w:t>AANMS Position Statement on Practice of Theranostics in Australia</w:t>
      </w:r>
      <w:r w:rsidRPr="21328503">
        <w:rPr>
          <w:rFonts w:cs="Calibri"/>
        </w:rPr>
        <w:t xml:space="preserve"> into legislation is inappropriate as these requirements would jeopardise provision of theranostics in private practice. RANZCR stated that they do not endorse the AANMS position statement as they do not believe it adequately establishes the required benchmarks for patient access to safe and high quality theranostics </w:t>
      </w:r>
      <w:r w:rsidR="00BF63F4">
        <w:t>services</w:t>
      </w:r>
      <w:r w:rsidR="00BF63F4" w:rsidRPr="21328503">
        <w:rPr>
          <w:rFonts w:cs="Calibri"/>
        </w:rPr>
        <w:t>.</w:t>
      </w:r>
    </w:p>
    <w:p w14:paraId="4D94B931" w14:textId="5E79085A" w:rsidR="00BF63F4" w:rsidRDefault="00BF63F4" w:rsidP="001E609D">
      <w:pPr>
        <w:jc w:val="both"/>
      </w:pPr>
      <w:r>
        <w:t xml:space="preserve">Novartis </w:t>
      </w:r>
      <w:r w:rsidR="6B7AE4CC">
        <w:t>noted</w:t>
      </w:r>
      <w:r>
        <w:t xml:space="preserve"> that its </w:t>
      </w:r>
      <w:r w:rsidRPr="21328503">
        <w:rPr>
          <w:vertAlign w:val="superscript"/>
        </w:rPr>
        <w:t>177</w:t>
      </w:r>
      <w:r>
        <w:t xml:space="preserve">Lu-DOTATE is protected by a granted patent. Novartis queried why the proposed product is exempt from ARTG registration. </w:t>
      </w:r>
    </w:p>
    <w:p w14:paraId="0C1084A7" w14:textId="045FFEC1" w:rsidR="49A70B5B" w:rsidRDefault="49A70B5B" w:rsidP="001E609D">
      <w:pPr>
        <w:jc w:val="both"/>
      </w:pPr>
      <w:r w:rsidRPr="21328503">
        <w:rPr>
          <w:rFonts w:cs="Calibri"/>
        </w:rPr>
        <w:t>The AANMS stated that all patients considered for this treatment must have a whole body DOTA-peptide PET/SPECT scan and suggested a new item number be created for this purpose. They added that a new item for FDG PET in the context of Lu</w:t>
      </w:r>
      <w:r w:rsidR="00CD582C">
        <w:rPr>
          <w:rFonts w:cs="Calibri"/>
        </w:rPr>
        <w:t>tate</w:t>
      </w:r>
      <w:r w:rsidRPr="21328503">
        <w:rPr>
          <w:rFonts w:cs="Calibri"/>
        </w:rPr>
        <w:t xml:space="preserve"> treatment should be created and that the post-treatment SPECT scan should have its own item number for tracking.</w:t>
      </w:r>
    </w:p>
    <w:p w14:paraId="230FBFC1" w14:textId="1721C690" w:rsidR="00BF63F4" w:rsidRDefault="00BF63F4" w:rsidP="001E609D">
      <w:pPr>
        <w:jc w:val="both"/>
      </w:pPr>
      <w:r>
        <w:t xml:space="preserve">As part of the consultation feedback for the August 2023 PASC meeting, organisations and specialists were asked for input on the key issues identified at the April 2023 PASC meeting, in addition to comments on these issues from the applicant. The targeted questions focused on the cost of providing </w:t>
      </w:r>
      <w:r w:rsidR="00435F79" w:rsidRPr="5C9F407B">
        <w:rPr>
          <w:vertAlign w:val="superscript"/>
          <w:lang w:val="en-US"/>
        </w:rPr>
        <w:t>177</w:t>
      </w:r>
      <w:r>
        <w:t>Lu</w:t>
      </w:r>
      <w:r w:rsidR="00355B48">
        <w:t>-DOTA-o</w:t>
      </w:r>
      <w:r>
        <w:t>ctreot</w:t>
      </w:r>
      <w:r w:rsidR="00C369B4">
        <w:t>ate</w:t>
      </w:r>
      <w:r>
        <w:t xml:space="preserve"> therapy including required doses and pre and post treatment scans, </w:t>
      </w:r>
      <w:r w:rsidR="005C64AD">
        <w:t xml:space="preserve">eligibility of patients for </w:t>
      </w:r>
      <w:r w:rsidR="005C64AD">
        <w:lastRenderedPageBreak/>
        <w:t xml:space="preserve">treatment and </w:t>
      </w:r>
      <w:r>
        <w:t xml:space="preserve">supply of </w:t>
      </w:r>
      <w:r w:rsidR="00435F79" w:rsidRPr="5C9F407B">
        <w:rPr>
          <w:vertAlign w:val="superscript"/>
          <w:lang w:val="en-US"/>
        </w:rPr>
        <w:t>177</w:t>
      </w:r>
      <w:r>
        <w:t>Lu</w:t>
      </w:r>
      <w:r w:rsidR="00355B48">
        <w:t>-DOTA-o</w:t>
      </w:r>
      <w:r>
        <w:t>ctreot</w:t>
      </w:r>
      <w:r w:rsidR="00C369B4">
        <w:t>ate</w:t>
      </w:r>
      <w:r>
        <w:t xml:space="preserve"> therapy</w:t>
      </w:r>
      <w:r w:rsidR="00A84A0C">
        <w:t>,</w:t>
      </w:r>
      <w:r>
        <w:t xml:space="preserve"> in particular </w:t>
      </w:r>
      <w:r w:rsidR="005C64AD">
        <w:t xml:space="preserve">whether </w:t>
      </w:r>
      <w:r w:rsidR="00A84A0C">
        <w:t xml:space="preserve">both </w:t>
      </w:r>
      <w:r>
        <w:t xml:space="preserve">carrier added </w:t>
      </w:r>
      <w:r w:rsidR="0066385D">
        <w:t>(ca)</w:t>
      </w:r>
      <w:r>
        <w:t xml:space="preserve"> and no-carrier added (nca) </w:t>
      </w:r>
      <w:r w:rsidR="00A84A0C">
        <w:t>products should be considered in the intervention</w:t>
      </w:r>
      <w:r w:rsidR="00B000A4">
        <w:t>.</w:t>
      </w:r>
    </w:p>
    <w:p w14:paraId="2E3C268E" w14:textId="010D515C" w:rsidR="00BF63F4" w:rsidRPr="0039668B" w:rsidRDefault="00BF63F4" w:rsidP="001E609D">
      <w:pPr>
        <w:spacing w:after="120"/>
        <w:jc w:val="both"/>
      </w:pPr>
      <w:r w:rsidRPr="5C9F407B">
        <w:rPr>
          <w:i/>
          <w:iCs/>
        </w:rPr>
        <w:t xml:space="preserve">At the August 2023 PASC meeting, PASC noted and welcomed additional consultation feedback from 5 organisations and 2 individuals who are clinical experts </w:t>
      </w:r>
      <w:r w:rsidR="00F12475" w:rsidRPr="5C9F407B">
        <w:rPr>
          <w:i/>
          <w:iCs/>
        </w:rPr>
        <w:t xml:space="preserve">and </w:t>
      </w:r>
      <w:r w:rsidRPr="5C9F407B">
        <w:rPr>
          <w:i/>
          <w:iCs/>
        </w:rPr>
        <w:t xml:space="preserve">provide </w:t>
      </w:r>
      <w:r w:rsidR="003B4725" w:rsidRPr="5C9F407B">
        <w:rPr>
          <w:rFonts w:asciiTheme="minorHAnsi" w:hAnsiTheme="minorHAnsi" w:cstheme="minorBidi"/>
          <w:i/>
          <w:iCs/>
        </w:rPr>
        <w:t>PRRT therapy in Australia</w:t>
      </w:r>
      <w:r w:rsidR="00927A6D" w:rsidRPr="5C9F407B">
        <w:rPr>
          <w:rFonts w:asciiTheme="minorHAnsi" w:hAnsiTheme="minorHAnsi" w:cstheme="minorBidi"/>
          <w:i/>
          <w:iCs/>
        </w:rPr>
        <w:t>.</w:t>
      </w:r>
      <w:r w:rsidR="003B4725" w:rsidRPr="5C9F407B">
        <w:rPr>
          <w:i/>
          <w:iCs/>
        </w:rPr>
        <w:t xml:space="preserve"> </w:t>
      </w:r>
      <w:r w:rsidRPr="00721B99">
        <w:t>The 5 organisations that submitted input were</w:t>
      </w:r>
      <w:r w:rsidRPr="0039668B">
        <w:t xml:space="preserve">: </w:t>
      </w:r>
    </w:p>
    <w:p w14:paraId="549FEE73" w14:textId="77777777" w:rsidR="00BF63F4" w:rsidRDefault="00BF63F4" w:rsidP="001E609D">
      <w:pPr>
        <w:pStyle w:val="ListParagraph"/>
        <w:numPr>
          <w:ilvl w:val="0"/>
          <w:numId w:val="25"/>
        </w:numPr>
        <w:spacing w:after="120" w:line="259" w:lineRule="auto"/>
        <w:jc w:val="both"/>
      </w:pPr>
      <w:r>
        <w:t>Medical Oncology Group of Australia (MOGA) and the Clinical Oncology Society of Australia (COSA)</w:t>
      </w:r>
    </w:p>
    <w:p w14:paraId="168B9BF4" w14:textId="77777777" w:rsidR="00BF63F4" w:rsidRPr="00CB482C" w:rsidRDefault="00BF63F4" w:rsidP="001E609D">
      <w:pPr>
        <w:pStyle w:val="ListParagraph"/>
        <w:numPr>
          <w:ilvl w:val="0"/>
          <w:numId w:val="25"/>
        </w:numPr>
        <w:spacing w:after="120" w:line="259" w:lineRule="auto"/>
        <w:jc w:val="both"/>
      </w:pPr>
      <w:r w:rsidRPr="00CB482C">
        <w:t>Australasian Association of Nuclear Medicine Specialists (AANMS)</w:t>
      </w:r>
    </w:p>
    <w:p w14:paraId="04EAA1E2" w14:textId="77777777" w:rsidR="00BF63F4" w:rsidRDefault="00BF63F4" w:rsidP="001E609D">
      <w:pPr>
        <w:pStyle w:val="ListParagraph"/>
        <w:numPr>
          <w:ilvl w:val="0"/>
          <w:numId w:val="25"/>
        </w:numPr>
        <w:spacing w:after="120" w:line="259" w:lineRule="auto"/>
        <w:jc w:val="both"/>
      </w:pPr>
      <w:r w:rsidRPr="00CB482C">
        <w:t>Australian and New Zealand Society of Nuclear Medicine (ANZSNM)</w:t>
      </w:r>
    </w:p>
    <w:p w14:paraId="3850FE18" w14:textId="77777777" w:rsidR="00BF63F4" w:rsidRDefault="00BF63F4" w:rsidP="001E609D">
      <w:pPr>
        <w:pStyle w:val="ListParagraph"/>
        <w:numPr>
          <w:ilvl w:val="0"/>
          <w:numId w:val="25"/>
        </w:numPr>
        <w:spacing w:after="120" w:line="259" w:lineRule="auto"/>
        <w:jc w:val="both"/>
      </w:pPr>
      <w:r>
        <w:t>NeuroEndocrine Cancer Australia (NECA)</w:t>
      </w:r>
    </w:p>
    <w:p w14:paraId="1630B1E4" w14:textId="77777777" w:rsidR="00BF63F4" w:rsidRDefault="00BF63F4" w:rsidP="001E609D">
      <w:pPr>
        <w:pStyle w:val="ListParagraph"/>
        <w:numPr>
          <w:ilvl w:val="0"/>
          <w:numId w:val="25"/>
        </w:numPr>
        <w:spacing w:after="120" w:line="259" w:lineRule="auto"/>
        <w:jc w:val="both"/>
      </w:pPr>
      <w:r w:rsidRPr="00CB482C">
        <w:t>Australian Diagnostic Imaging Association</w:t>
      </w:r>
      <w:r>
        <w:t xml:space="preserve"> (ADIA)</w:t>
      </w:r>
    </w:p>
    <w:p w14:paraId="65254321" w14:textId="5F807C3F" w:rsidR="00BF63F4" w:rsidRDefault="00BF63F4" w:rsidP="001E609D">
      <w:pPr>
        <w:jc w:val="both"/>
        <w:rPr>
          <w:color w:val="5B9BD5" w:themeColor="accent1"/>
        </w:rPr>
      </w:pPr>
      <w:r>
        <w:t xml:space="preserve">The consultation feedback received was largely supportive of public funding for </w:t>
      </w:r>
      <w:r w:rsidRPr="5C9F407B">
        <w:rPr>
          <w:vertAlign w:val="superscript"/>
        </w:rPr>
        <w:t>177</w:t>
      </w:r>
      <w:r>
        <w:t>Lu</w:t>
      </w:r>
      <w:r w:rsidR="00234438">
        <w:t>-DOTA-</w:t>
      </w:r>
      <w:r w:rsidR="004C154D">
        <w:t>o</w:t>
      </w:r>
      <w:r>
        <w:t xml:space="preserve">ctreotate treatment for advanced neuroendocrine and other high somatostatin receptor expressing tumours. The consultation feedback raised a number of concerns, predominately in relation to accessing the intervention and the MBS item descriptor and fee. </w:t>
      </w:r>
    </w:p>
    <w:p w14:paraId="618D37E1" w14:textId="77777777" w:rsidR="00BF63F4" w:rsidRDefault="00BF63F4" w:rsidP="001E609D">
      <w:pPr>
        <w:jc w:val="both"/>
        <w:rPr>
          <w:b/>
          <w:bCs/>
        </w:rPr>
      </w:pPr>
      <w:r w:rsidRPr="00C50417">
        <w:rPr>
          <w:b/>
          <w:bCs/>
        </w:rPr>
        <w:t>Clinical need and public health significance</w:t>
      </w:r>
    </w:p>
    <w:p w14:paraId="01A5AC5A" w14:textId="77777777" w:rsidR="00BF63F4" w:rsidRDefault="00BF63F4" w:rsidP="001E609D">
      <w:pPr>
        <w:jc w:val="both"/>
      </w:pPr>
      <w:r>
        <w:t>The main benefits of public funding received in the consultation feedback included reduction and control of the debilitating symptoms of neuroendocrine neoplasms (NENs) that include flushing, diarrhoea, asthma, nausea and heart palpitations and can enable return to normal routine and work. Public funding of this intervention also reduces the cost of treatment and allows safe, effective therapy to provide improved quality of life for patients.</w:t>
      </w:r>
    </w:p>
    <w:p w14:paraId="4BD1A49A" w14:textId="28E34BB7" w:rsidR="00BF63F4" w:rsidRDefault="00BF63F4" w:rsidP="001E609D">
      <w:pPr>
        <w:jc w:val="both"/>
      </w:pPr>
      <w:r>
        <w:t>The main disadvantages of public funding received in the consultation feedback included potential side effects of treatment including myelotoxicity, the potential for inequity in patient access due to geographical constraints and potential out of pocket costs should the MBS fee b</w:t>
      </w:r>
      <w:r w:rsidR="00E72AED">
        <w:t>e</w:t>
      </w:r>
      <w:r>
        <w:t xml:space="preserve"> inadequate.</w:t>
      </w:r>
    </w:p>
    <w:p w14:paraId="44A492B8" w14:textId="77777777" w:rsidR="00BF63F4" w:rsidRDefault="00BF63F4" w:rsidP="001E609D">
      <w:pPr>
        <w:jc w:val="both"/>
      </w:pPr>
      <w:r>
        <w:t xml:space="preserve">Other services identified in the consultation feedback as being needed to be delivered before or after the intervention included </w:t>
      </w:r>
      <w:r w:rsidRPr="00BD7357">
        <w:t>68Ga-DOTA-octreotate PET/CT imaging</w:t>
      </w:r>
      <w:r>
        <w:t xml:space="preserve"> and pre/post medications that can include amino acids, long/short acting octreotide and antiemetics.</w:t>
      </w:r>
    </w:p>
    <w:p w14:paraId="789D7BED" w14:textId="77777777" w:rsidR="00BF63F4" w:rsidRDefault="00BF63F4" w:rsidP="001E609D">
      <w:pPr>
        <w:jc w:val="both"/>
        <w:rPr>
          <w:b/>
          <w:bCs/>
        </w:rPr>
      </w:pPr>
      <w:r w:rsidRPr="00C50417">
        <w:rPr>
          <w:b/>
          <w:bCs/>
        </w:rPr>
        <w:t>Indication(s) for the proposed medical service and clinical claim</w:t>
      </w:r>
    </w:p>
    <w:p w14:paraId="4CA82031" w14:textId="77777777" w:rsidR="00BF63F4" w:rsidRDefault="00BF63F4" w:rsidP="001E609D">
      <w:pPr>
        <w:jc w:val="both"/>
      </w:pPr>
      <w:r>
        <w:t>The consultation feedback strongly agreed with the proposed population(s). All feedback noted that NENs are highly heterogeneous cancers and that patients are managed by a multidisciplinary team. The feedback stated that this therapy should be available to all appropriate patients identified by a multidisciplinary team.</w:t>
      </w:r>
      <w:r w:rsidRPr="00657DD5">
        <w:rPr>
          <w:color w:val="FF0000"/>
        </w:rPr>
        <w:t xml:space="preserve"> </w:t>
      </w:r>
    </w:p>
    <w:p w14:paraId="68E7E39F" w14:textId="62558F8E" w:rsidR="00BF63F4" w:rsidRDefault="00BF63F4" w:rsidP="001E609D">
      <w:pPr>
        <w:spacing w:after="120"/>
        <w:jc w:val="both"/>
      </w:pPr>
      <w:r>
        <w:t xml:space="preserve">The consultation feedback ranged from agreeing to strongly agreeing with the proposed comparator. ANZSNM stated that unfunded </w:t>
      </w:r>
      <w:r w:rsidRPr="5C9F407B">
        <w:rPr>
          <w:vertAlign w:val="superscript"/>
        </w:rPr>
        <w:t>177</w:t>
      </w:r>
      <w:r>
        <w:t>Lutetium Octreot</w:t>
      </w:r>
      <w:r w:rsidR="00F87393">
        <w:t>ate</w:t>
      </w:r>
      <w:r>
        <w:t xml:space="preserve"> therapy has been used in Australia for several years due to its superiority over non-radioactive somatostatin antagonists.</w:t>
      </w:r>
    </w:p>
    <w:p w14:paraId="23143337" w14:textId="5B3525D5" w:rsidR="00BF63F4" w:rsidRDefault="00BF63F4" w:rsidP="001E609D">
      <w:pPr>
        <w:jc w:val="both"/>
      </w:pPr>
      <w:r>
        <w:t xml:space="preserve">The consultation feedback ranged from agreeing to strongly agreeing with the clinical claim. ANZSNM stated that </w:t>
      </w:r>
      <w:r w:rsidRPr="5C9F407B">
        <w:rPr>
          <w:vertAlign w:val="superscript"/>
        </w:rPr>
        <w:t>177</w:t>
      </w:r>
      <w:r>
        <w:t>Lutetium Octreot</w:t>
      </w:r>
      <w:r w:rsidR="001A49A1">
        <w:t>ate</w:t>
      </w:r>
      <w:r>
        <w:t xml:space="preserve"> therapy has been proven to have superior outcomes compared to non-radioactive somatostatin antagonists. MOGA and COSA stated the recent NETTER-1 trial has established Peptide Receptor Radionuclide Therapy (PRRT that includes 177Lutetium Octreotide therapy) as the </w:t>
      </w:r>
      <w:r>
        <w:lastRenderedPageBreak/>
        <w:t>treatment of choice in this second-line setting for patients with midgut NENs and is supported by the forthcoming COSA NEN guidelines.</w:t>
      </w:r>
    </w:p>
    <w:p w14:paraId="58FD8066" w14:textId="77777777" w:rsidR="00BF63F4" w:rsidRDefault="00BF63F4" w:rsidP="001E609D">
      <w:pPr>
        <w:jc w:val="both"/>
        <w:rPr>
          <w:b/>
          <w:bCs/>
        </w:rPr>
      </w:pPr>
      <w:r w:rsidRPr="00E76884">
        <w:rPr>
          <w:b/>
          <w:bCs/>
        </w:rPr>
        <w:t>Cost information for the proposed medical service</w:t>
      </w:r>
    </w:p>
    <w:p w14:paraId="1033A478" w14:textId="1C603C51" w:rsidR="00BF63F4" w:rsidRDefault="00BF63F4" w:rsidP="001E609D">
      <w:pPr>
        <w:jc w:val="both"/>
      </w:pPr>
      <w:r>
        <w:t xml:space="preserve">The consultation feedback ranged from agreeing to strongly disagreeing with the proposed service descriptor. ADIA, AANMS, ANZSNM and the two clinical experts all disagreed with limiting the treatment to no carrier added (nca) </w:t>
      </w:r>
      <w:r w:rsidR="00435F79" w:rsidRPr="5C9F407B">
        <w:rPr>
          <w:vertAlign w:val="superscript"/>
          <w:lang w:val="en-US"/>
        </w:rPr>
        <w:t>177</w:t>
      </w:r>
      <w:r>
        <w:t xml:space="preserve">Lutetium. It was noted that carrier added </w:t>
      </w:r>
      <w:r w:rsidR="00435F79" w:rsidRPr="5C9F407B">
        <w:rPr>
          <w:vertAlign w:val="superscript"/>
          <w:lang w:val="en-US"/>
        </w:rPr>
        <w:t>177</w:t>
      </w:r>
      <w:r>
        <w:t xml:space="preserve">Lutetium is currently used in Australia with an excellent safety record, that there is no impact on the therapeutic outcome and that limiting the description to no carrier added could impact the supply and availability of </w:t>
      </w:r>
      <w:r w:rsidR="00435F79" w:rsidRPr="5C9F407B">
        <w:rPr>
          <w:vertAlign w:val="superscript"/>
          <w:lang w:val="en-US"/>
        </w:rPr>
        <w:t>177</w:t>
      </w:r>
      <w:r>
        <w:t>Lutetium in Australia. The two clinical experts expressed a preference for the item descriptor to be flexible regarding the number of cycles allowed per year to prevent potential out of pocket costs to patients. ADIA reiterated that as per their feedback in April, they disagree with the AANMS position statement regarding credentialling of theranostic specialists stating it would limit the service to metropolitan public hospital settings and impact regional and rural locations that currently provide the service.</w:t>
      </w:r>
    </w:p>
    <w:p w14:paraId="28395A26" w14:textId="77777777" w:rsidR="00BF63F4" w:rsidRDefault="00BF63F4" w:rsidP="001E609D">
      <w:pPr>
        <w:jc w:val="both"/>
      </w:pPr>
      <w:r>
        <w:t>The consultation feedback ranged disagreeing to agreeing with the proposed service fee. Almost all of the feedback commented that the proposed service fee would be insufficient to cover the cost of providing the therapy and that imaging post treatment should be covered by MBS funding.</w:t>
      </w:r>
    </w:p>
    <w:p w14:paraId="3B443361" w14:textId="77777777" w:rsidR="00BF63F4" w:rsidRPr="00E76884" w:rsidRDefault="00BF63F4" w:rsidP="001E609D">
      <w:pPr>
        <w:jc w:val="both"/>
        <w:rPr>
          <w:color w:val="5B9BD5" w:themeColor="accent1"/>
        </w:rPr>
      </w:pPr>
      <w:r w:rsidRPr="00C50417">
        <w:rPr>
          <w:b/>
          <w:bCs/>
        </w:rPr>
        <w:t xml:space="preserve">Additional comments </w:t>
      </w:r>
    </w:p>
    <w:p w14:paraId="4273E655" w14:textId="3388E4E0" w:rsidR="00BF63F4" w:rsidRDefault="00BF63F4" w:rsidP="001E609D">
      <w:pPr>
        <w:jc w:val="both"/>
      </w:pPr>
      <w:r>
        <w:t xml:space="preserve">In response to targeted questions, consultation feedback was provided on in-house radiopharmaceutical teams producing compounded </w:t>
      </w:r>
      <w:r w:rsidR="00435F79" w:rsidRPr="5C9F407B">
        <w:rPr>
          <w:vertAlign w:val="superscript"/>
          <w:lang w:val="en-US"/>
        </w:rPr>
        <w:t>177</w:t>
      </w:r>
      <w:r>
        <w:t>Lu(ca)</w:t>
      </w:r>
      <w:r w:rsidR="00745569">
        <w:t>-DOTA-o</w:t>
      </w:r>
      <w:r>
        <w:t>ctreotate. One clinical expert considered the practice was established and the product is made to a high standard with quality control performed before administration and did not consider there to be a clinically relevant difference between good manufacturing practice (GMP) and non-GMP products.</w:t>
      </w:r>
    </w:p>
    <w:p w14:paraId="73581967" w14:textId="77777777" w:rsidR="00BF63F4" w:rsidRDefault="00BF63F4" w:rsidP="001E609D">
      <w:pPr>
        <w:jc w:val="both"/>
        <w:rPr>
          <w:b/>
          <w:bCs/>
        </w:rPr>
      </w:pPr>
      <w:r w:rsidRPr="00D811C1">
        <w:rPr>
          <w:b/>
          <w:bCs/>
        </w:rPr>
        <w:t>Consumer Feedback</w:t>
      </w:r>
    </w:p>
    <w:p w14:paraId="15D36C0C" w14:textId="77777777" w:rsidR="00BF63F4" w:rsidRPr="00904B9E" w:rsidRDefault="00BF63F4" w:rsidP="001E609D">
      <w:pPr>
        <w:jc w:val="both"/>
      </w:pPr>
      <w:r w:rsidRPr="00904B9E">
        <w:t>NECA provided d</w:t>
      </w:r>
      <w:r>
        <w:t>eidentified cases from multiple patients who had received PRRT highlighting that the therapy is well tolerated without side effects, near complete resolution of flushing and diarrhoea, significant improvement in blood pressure control, significant reduction in prior metastases and improvement in quality of life.</w:t>
      </w:r>
    </w:p>
    <w:p w14:paraId="67EDCF2C" w14:textId="150BE6A0" w:rsidR="0069418B" w:rsidRDefault="00047F69" w:rsidP="001E609D">
      <w:pPr>
        <w:autoSpaceDE w:val="0"/>
        <w:autoSpaceDN w:val="0"/>
        <w:adjustRightInd w:val="0"/>
        <w:jc w:val="both"/>
        <w:rPr>
          <w:rFonts w:asciiTheme="minorHAnsi" w:hAnsiTheme="minorHAnsi" w:cstheme="minorBidi"/>
          <w:i/>
          <w:iCs/>
        </w:rPr>
      </w:pPr>
      <w:r>
        <w:rPr>
          <w:rFonts w:asciiTheme="minorHAnsi" w:hAnsiTheme="minorHAnsi" w:cstheme="minorBidi"/>
          <w:i/>
          <w:iCs/>
        </w:rPr>
        <w:t xml:space="preserve">In August 2023, </w:t>
      </w:r>
      <w:r w:rsidR="0069418B" w:rsidRPr="5C9F407B">
        <w:rPr>
          <w:rFonts w:asciiTheme="minorHAnsi" w:hAnsiTheme="minorHAnsi" w:cstheme="minorBidi"/>
          <w:i/>
          <w:iCs/>
        </w:rPr>
        <w:t xml:space="preserve">PASC also noted the consultation feedback from the April 2023 consideration. PASC noted that patent-related issues and the appropriateness of GMP exemptions were raised in the public consultation. PASC noted that these were implementation related matters that the Department would need to address. </w:t>
      </w:r>
      <w:r w:rsidR="001A02C5" w:rsidRPr="007517AB">
        <w:rPr>
          <w:rFonts w:asciiTheme="minorHAnsi" w:hAnsiTheme="minorHAnsi" w:cstheme="minorBidi"/>
          <w:i/>
          <w:iCs/>
        </w:rPr>
        <w:t>PASC noted that advising on</w:t>
      </w:r>
      <w:r w:rsidR="001A02C5">
        <w:rPr>
          <w:rFonts w:asciiTheme="minorHAnsi" w:hAnsiTheme="minorHAnsi" w:cstheme="minorBidi"/>
          <w:i/>
          <w:iCs/>
        </w:rPr>
        <w:t xml:space="preserve"> TGA regulations and patent-related issues </w:t>
      </w:r>
      <w:r w:rsidR="001A02C5" w:rsidRPr="007517AB">
        <w:rPr>
          <w:rFonts w:asciiTheme="minorHAnsi" w:hAnsiTheme="minorHAnsi" w:cstheme="minorBidi"/>
          <w:i/>
          <w:iCs/>
        </w:rPr>
        <w:t>is not within its Terms of Reference and considered this to be matter</w:t>
      </w:r>
      <w:r w:rsidR="001A02C5">
        <w:rPr>
          <w:rFonts w:asciiTheme="minorHAnsi" w:hAnsiTheme="minorHAnsi" w:cstheme="minorBidi"/>
          <w:i/>
          <w:iCs/>
        </w:rPr>
        <w:t>s</w:t>
      </w:r>
      <w:r w:rsidR="001A02C5" w:rsidRPr="007517AB">
        <w:rPr>
          <w:rFonts w:asciiTheme="minorHAnsi" w:hAnsiTheme="minorHAnsi" w:cstheme="minorBidi"/>
          <w:i/>
          <w:iCs/>
        </w:rPr>
        <w:t xml:space="preserve"> for government</w:t>
      </w:r>
      <w:r w:rsidR="001A02C5">
        <w:rPr>
          <w:rFonts w:asciiTheme="minorHAnsi" w:hAnsiTheme="minorHAnsi" w:cstheme="minorBidi"/>
          <w:i/>
          <w:iCs/>
        </w:rPr>
        <w:t>.</w:t>
      </w:r>
    </w:p>
    <w:p w14:paraId="4E68667F" w14:textId="77777777" w:rsidR="00D37A3F" w:rsidRPr="00ED4E95" w:rsidRDefault="00D37A3F" w:rsidP="00713728">
      <w:pPr>
        <w:pStyle w:val="Heading2"/>
      </w:pPr>
      <w:r w:rsidRPr="00ED4E95">
        <w:t>Next steps</w:t>
      </w:r>
    </w:p>
    <w:p w14:paraId="06822CC7" w14:textId="3794D311" w:rsidR="00AB0658" w:rsidRDefault="008818A5" w:rsidP="00E35BCA">
      <w:pPr>
        <w:pStyle w:val="NoSpacing"/>
        <w:spacing w:line="276" w:lineRule="auto"/>
        <w:rPr>
          <w:i/>
          <w:iCs/>
        </w:rPr>
      </w:pPr>
      <w:r w:rsidRPr="009F1C22">
        <w:rPr>
          <w:i/>
          <w:iCs/>
        </w:rPr>
        <w:t>In August 2023, PASC noted the applicant’s intent to proceed with a Department contracted assessment report (DCAR).</w:t>
      </w:r>
    </w:p>
    <w:p w14:paraId="6371F975" w14:textId="267BE5E2" w:rsidR="002C295B" w:rsidRDefault="002C295B" w:rsidP="00E35BCA">
      <w:pPr>
        <w:pStyle w:val="NoSpacing"/>
        <w:spacing w:line="276" w:lineRule="auto"/>
        <w:rPr>
          <w:i/>
          <w:iCs/>
        </w:rPr>
      </w:pPr>
    </w:p>
    <w:p w14:paraId="7A2EC38C" w14:textId="6F10D7C1" w:rsidR="002C295B" w:rsidRDefault="002C295B" w:rsidP="00E35BCA">
      <w:pPr>
        <w:pStyle w:val="NoSpacing"/>
        <w:spacing w:line="276" w:lineRule="auto"/>
        <w:rPr>
          <w:i/>
          <w:iCs/>
        </w:rPr>
      </w:pPr>
    </w:p>
    <w:p w14:paraId="4E7B328F" w14:textId="1E9E59C0" w:rsidR="002C295B" w:rsidRDefault="002C295B" w:rsidP="002C295B">
      <w:pPr>
        <w:pStyle w:val="Heading2"/>
      </w:pPr>
      <w:bookmarkStart w:id="78" w:name="_Hlk149130418"/>
      <w:r>
        <w:lastRenderedPageBreak/>
        <w:t>Applicant Comments on Ratified PICO</w:t>
      </w:r>
    </w:p>
    <w:p w14:paraId="7F5AEF94" w14:textId="2846C957" w:rsidR="002C295B" w:rsidRDefault="005F0450" w:rsidP="002C295B">
      <w:r w:rsidRPr="005F0450">
        <w:t>The AMT product is supplied as an extemporaneously manufactured medicine for individual patient use as prescribed by a medical practitioner. The product is exempt from ARTG entry and has not been assessed by TGA for quality, safety and efficacy. The AMT product is manufactured to GMP quality standards by a TGA licensed manufacturer.</w:t>
      </w:r>
    </w:p>
    <w:p w14:paraId="1882C2F5" w14:textId="47709317" w:rsidR="002C295B" w:rsidRDefault="002C295B" w:rsidP="002C295B">
      <w:pPr>
        <w:spacing w:after="160" w:line="259" w:lineRule="auto"/>
        <w:jc w:val="both"/>
      </w:pPr>
      <w:r>
        <w:t>It is noted the that the applicant and the clinical expert have repeatedly re-iterated their concern that patient safety will be jeopardised if MSAC supports funding for “in-house” production of therapeutic radiopharmaceuticals that are not produced by TGA licenced manufacturers (where GMP quality management systems and regular TGA audit is mandatory) or otherwise experienced radiopharmaceutical manufacturers who employ rigorous quality management systems.</w:t>
      </w:r>
    </w:p>
    <w:p w14:paraId="44C7B96A" w14:textId="4DCF478D" w:rsidR="002C295B" w:rsidRDefault="002C295B" w:rsidP="002C295B">
      <w:pPr>
        <w:spacing w:after="160" w:line="259" w:lineRule="auto"/>
        <w:jc w:val="both"/>
      </w:pPr>
      <w:r>
        <w:t>The presentation of differing views on the merits of GMP/ non-GMP radiopharmaceutical production does not adequately reflect the input provided by the applicant and the applicant’s nominated clinical expert. Quite simply, if there is no clinically relevant difference between GMP and non-GMP quality products the validity of the whole regulatory approach to pharmaceutical manufacture and supply in Australia is flawed and the economic costs associated with TGA licencing of manufacturers would not be justified on the basis of safety and quality of pharmaceuticals supplied to Australian patients.</w:t>
      </w:r>
    </w:p>
    <w:bookmarkEnd w:id="78"/>
    <w:p w14:paraId="54052A26" w14:textId="32AF60B8" w:rsidR="006D7A0B" w:rsidRDefault="00305DB6" w:rsidP="00305DB6">
      <w:pPr>
        <w:pStyle w:val="Heading2"/>
        <w:rPr>
          <w:lang w:eastAsia="en-AU"/>
        </w:rPr>
      </w:pPr>
      <w:r>
        <w:rPr>
          <w:lang w:eastAsia="en-AU"/>
        </w:rPr>
        <w:t>Attachment</w:t>
      </w:r>
      <w:r w:rsidR="00E57A0C">
        <w:rPr>
          <w:lang w:eastAsia="en-AU"/>
        </w:rPr>
        <w:t xml:space="preserve"> 1</w:t>
      </w:r>
    </w:p>
    <w:p w14:paraId="561FAD2C" w14:textId="1D83D8A6" w:rsidR="000F528F" w:rsidRPr="000F528F" w:rsidRDefault="000F528F" w:rsidP="0009509E">
      <w:pPr>
        <w:pStyle w:val="Heading3"/>
        <w:rPr>
          <w:lang w:eastAsia="en-AU"/>
        </w:rPr>
      </w:pPr>
      <w:r>
        <w:rPr>
          <w:lang w:eastAsia="en-AU"/>
        </w:rPr>
        <w:t>Bundled fee elements</w:t>
      </w:r>
    </w:p>
    <w:tbl>
      <w:tblPr>
        <w:tblStyle w:val="TableGrid"/>
        <w:tblW w:w="0" w:type="auto"/>
        <w:tblInd w:w="0" w:type="dxa"/>
        <w:tblLook w:val="04A0" w:firstRow="1" w:lastRow="0" w:firstColumn="1" w:lastColumn="0" w:noHBand="0" w:noVBand="1"/>
      </w:tblPr>
      <w:tblGrid>
        <w:gridCol w:w="3003"/>
        <w:gridCol w:w="3003"/>
        <w:gridCol w:w="3004"/>
      </w:tblGrid>
      <w:tr w:rsidR="006D7A0B" w:rsidRPr="00305DB6" w14:paraId="7E34D644" w14:textId="77777777" w:rsidTr="0009509E">
        <w:trPr>
          <w:tblHeader/>
        </w:trPr>
        <w:tc>
          <w:tcPr>
            <w:tcW w:w="3003" w:type="dxa"/>
          </w:tcPr>
          <w:p w14:paraId="2FD42075" w14:textId="77777777" w:rsidR="006D7A0B" w:rsidRPr="0009509E" w:rsidRDefault="006D7A0B">
            <w:pPr>
              <w:jc w:val="center"/>
              <w:rPr>
                <w:rFonts w:ascii="Arial Narrow" w:hAnsi="Arial Narrow"/>
                <w:b/>
                <w:bCs/>
                <w:sz w:val="20"/>
                <w:szCs w:val="20"/>
              </w:rPr>
            </w:pPr>
            <w:r w:rsidRPr="0009509E">
              <w:rPr>
                <w:rFonts w:ascii="Arial Narrow" w:hAnsi="Arial Narrow"/>
                <w:b/>
                <w:bCs/>
                <w:sz w:val="20"/>
                <w:szCs w:val="20"/>
              </w:rPr>
              <w:t>Service Element</w:t>
            </w:r>
          </w:p>
        </w:tc>
        <w:tc>
          <w:tcPr>
            <w:tcW w:w="3003" w:type="dxa"/>
          </w:tcPr>
          <w:p w14:paraId="77EDF47A" w14:textId="77777777" w:rsidR="006D7A0B" w:rsidRPr="0009509E" w:rsidRDefault="006D7A0B">
            <w:pPr>
              <w:jc w:val="center"/>
              <w:rPr>
                <w:rFonts w:ascii="Arial Narrow" w:hAnsi="Arial Narrow"/>
                <w:b/>
                <w:bCs/>
                <w:sz w:val="20"/>
                <w:szCs w:val="20"/>
              </w:rPr>
            </w:pPr>
            <w:r w:rsidRPr="0009509E">
              <w:rPr>
                <w:rFonts w:ascii="Arial Narrow" w:hAnsi="Arial Narrow"/>
                <w:b/>
                <w:bCs/>
                <w:sz w:val="20"/>
                <w:szCs w:val="20"/>
              </w:rPr>
              <w:t>Suggested Fee</w:t>
            </w:r>
          </w:p>
        </w:tc>
        <w:tc>
          <w:tcPr>
            <w:tcW w:w="3004" w:type="dxa"/>
          </w:tcPr>
          <w:p w14:paraId="7EC8F390" w14:textId="77777777" w:rsidR="006D7A0B" w:rsidRPr="0009509E" w:rsidRDefault="006D7A0B">
            <w:pPr>
              <w:jc w:val="center"/>
              <w:rPr>
                <w:rFonts w:ascii="Arial Narrow" w:hAnsi="Arial Narrow"/>
                <w:b/>
                <w:bCs/>
                <w:sz w:val="20"/>
                <w:szCs w:val="20"/>
              </w:rPr>
            </w:pPr>
            <w:r w:rsidRPr="0009509E">
              <w:rPr>
                <w:rFonts w:ascii="Arial Narrow" w:hAnsi="Arial Narrow"/>
                <w:b/>
                <w:bCs/>
                <w:sz w:val="20"/>
                <w:szCs w:val="20"/>
              </w:rPr>
              <w:t>Comment</w:t>
            </w:r>
          </w:p>
        </w:tc>
      </w:tr>
      <w:tr w:rsidR="006D7A0B" w:rsidRPr="00305DB6" w14:paraId="21E577BB" w14:textId="77777777">
        <w:tc>
          <w:tcPr>
            <w:tcW w:w="3003" w:type="dxa"/>
          </w:tcPr>
          <w:p w14:paraId="4C0CF1C1" w14:textId="77777777" w:rsidR="006D7A0B" w:rsidRPr="0009509E" w:rsidRDefault="006D7A0B">
            <w:pPr>
              <w:rPr>
                <w:rFonts w:ascii="Arial Narrow" w:hAnsi="Arial Narrow"/>
                <w:sz w:val="20"/>
                <w:szCs w:val="20"/>
              </w:rPr>
            </w:pPr>
            <w:r w:rsidRPr="0009509E">
              <w:rPr>
                <w:rFonts w:ascii="Arial Narrow" w:hAnsi="Arial Narrow"/>
                <w:sz w:val="20"/>
                <w:szCs w:val="20"/>
              </w:rPr>
              <w:t xml:space="preserve">GMP </w:t>
            </w:r>
            <w:r w:rsidRPr="0009509E">
              <w:rPr>
                <w:rFonts w:ascii="Arial Narrow" w:hAnsi="Arial Narrow"/>
                <w:sz w:val="20"/>
                <w:szCs w:val="20"/>
                <w:vertAlign w:val="superscript"/>
              </w:rPr>
              <w:t>177</w:t>
            </w:r>
            <w:r w:rsidRPr="0009509E">
              <w:rPr>
                <w:rFonts w:ascii="Arial Narrow" w:hAnsi="Arial Narrow"/>
                <w:sz w:val="20"/>
                <w:szCs w:val="20"/>
              </w:rPr>
              <w:t>Lu (nca)DOTA-Octreotate Supply</w:t>
            </w:r>
          </w:p>
        </w:tc>
        <w:tc>
          <w:tcPr>
            <w:tcW w:w="3003" w:type="dxa"/>
          </w:tcPr>
          <w:p w14:paraId="27A3471E" w14:textId="77777777" w:rsidR="006D7A0B" w:rsidRPr="0009509E" w:rsidRDefault="006D7A0B">
            <w:pPr>
              <w:rPr>
                <w:rFonts w:ascii="Arial Narrow" w:hAnsi="Arial Narrow"/>
                <w:sz w:val="20"/>
                <w:szCs w:val="20"/>
              </w:rPr>
            </w:pPr>
            <w:r w:rsidRPr="0009509E">
              <w:rPr>
                <w:rFonts w:ascii="Arial Narrow" w:hAnsi="Arial Narrow"/>
                <w:sz w:val="20"/>
                <w:szCs w:val="20"/>
              </w:rPr>
              <w:t>$8000</w:t>
            </w:r>
          </w:p>
        </w:tc>
        <w:tc>
          <w:tcPr>
            <w:tcW w:w="3004" w:type="dxa"/>
          </w:tcPr>
          <w:p w14:paraId="3DEC00BF" w14:textId="77777777" w:rsidR="006D7A0B" w:rsidRPr="0009509E" w:rsidRDefault="006D7A0B">
            <w:pPr>
              <w:rPr>
                <w:rFonts w:ascii="Arial Narrow" w:hAnsi="Arial Narrow"/>
                <w:sz w:val="20"/>
                <w:szCs w:val="20"/>
              </w:rPr>
            </w:pPr>
            <w:r w:rsidRPr="0009509E">
              <w:rPr>
                <w:rFonts w:ascii="Arial Narrow" w:hAnsi="Arial Narrow"/>
                <w:sz w:val="20"/>
                <w:szCs w:val="20"/>
              </w:rPr>
              <w:t>AMT cannot supply for a lower cost</w:t>
            </w:r>
          </w:p>
        </w:tc>
      </w:tr>
      <w:tr w:rsidR="006D7A0B" w:rsidRPr="00305DB6" w14:paraId="5024A98A" w14:textId="77777777">
        <w:tc>
          <w:tcPr>
            <w:tcW w:w="3003" w:type="dxa"/>
          </w:tcPr>
          <w:p w14:paraId="7B2EFA53" w14:textId="77777777" w:rsidR="006D7A0B" w:rsidRPr="0009509E" w:rsidRDefault="006D7A0B">
            <w:pPr>
              <w:rPr>
                <w:rFonts w:ascii="Arial Narrow" w:hAnsi="Arial Narrow"/>
                <w:sz w:val="20"/>
                <w:szCs w:val="20"/>
              </w:rPr>
            </w:pPr>
            <w:r w:rsidRPr="0009509E">
              <w:rPr>
                <w:rFonts w:ascii="Arial Narrow" w:hAnsi="Arial Narrow"/>
                <w:sz w:val="20"/>
                <w:szCs w:val="20"/>
              </w:rPr>
              <w:t xml:space="preserve">GMP </w:t>
            </w:r>
            <w:r w:rsidRPr="0009509E">
              <w:rPr>
                <w:rFonts w:ascii="Arial Narrow" w:hAnsi="Arial Narrow"/>
                <w:sz w:val="20"/>
                <w:szCs w:val="20"/>
                <w:vertAlign w:val="superscript"/>
              </w:rPr>
              <w:t>177</w:t>
            </w:r>
            <w:r w:rsidRPr="0009509E">
              <w:rPr>
                <w:rFonts w:ascii="Arial Narrow" w:hAnsi="Arial Narrow"/>
                <w:sz w:val="20"/>
                <w:szCs w:val="20"/>
              </w:rPr>
              <w:t>Lu (ca)DOTA-Octreotate Supply</w:t>
            </w:r>
          </w:p>
        </w:tc>
        <w:tc>
          <w:tcPr>
            <w:tcW w:w="3003" w:type="dxa"/>
          </w:tcPr>
          <w:p w14:paraId="54464799" w14:textId="77777777" w:rsidR="006D7A0B" w:rsidRPr="0009509E" w:rsidRDefault="006D7A0B">
            <w:pPr>
              <w:rPr>
                <w:rFonts w:ascii="Arial Narrow" w:hAnsi="Arial Narrow"/>
                <w:sz w:val="20"/>
                <w:szCs w:val="20"/>
              </w:rPr>
            </w:pPr>
            <w:r w:rsidRPr="0009509E">
              <w:rPr>
                <w:rFonts w:ascii="Arial Narrow" w:hAnsi="Arial Narrow"/>
                <w:sz w:val="20"/>
                <w:szCs w:val="20"/>
              </w:rPr>
              <w:t>$7600</w:t>
            </w:r>
          </w:p>
        </w:tc>
        <w:tc>
          <w:tcPr>
            <w:tcW w:w="3004" w:type="dxa"/>
          </w:tcPr>
          <w:p w14:paraId="2735A5C1" w14:textId="77777777" w:rsidR="006D7A0B" w:rsidRPr="0009509E" w:rsidRDefault="006D7A0B">
            <w:pPr>
              <w:rPr>
                <w:rFonts w:ascii="Arial Narrow" w:hAnsi="Arial Narrow"/>
                <w:sz w:val="20"/>
                <w:szCs w:val="20"/>
              </w:rPr>
            </w:pPr>
            <w:r w:rsidRPr="0009509E">
              <w:rPr>
                <w:rFonts w:ascii="Arial Narrow" w:hAnsi="Arial Narrow"/>
                <w:sz w:val="20"/>
                <w:szCs w:val="20"/>
              </w:rPr>
              <w:t>AMT cannot supply for a lower cost</w:t>
            </w:r>
          </w:p>
        </w:tc>
      </w:tr>
      <w:tr w:rsidR="006D7A0B" w:rsidRPr="00305DB6" w14:paraId="69F340D9" w14:textId="77777777">
        <w:tc>
          <w:tcPr>
            <w:tcW w:w="3003" w:type="dxa"/>
          </w:tcPr>
          <w:p w14:paraId="2988F777" w14:textId="77777777" w:rsidR="006D7A0B" w:rsidRPr="0009509E" w:rsidRDefault="006D7A0B">
            <w:pPr>
              <w:rPr>
                <w:rFonts w:ascii="Arial Narrow" w:hAnsi="Arial Narrow"/>
                <w:sz w:val="20"/>
                <w:szCs w:val="20"/>
              </w:rPr>
            </w:pPr>
            <w:r w:rsidRPr="0009509E">
              <w:rPr>
                <w:rFonts w:ascii="Arial Narrow" w:hAnsi="Arial Narrow"/>
                <w:sz w:val="20"/>
                <w:szCs w:val="20"/>
              </w:rPr>
              <w:t>Delivery</w:t>
            </w:r>
          </w:p>
        </w:tc>
        <w:tc>
          <w:tcPr>
            <w:tcW w:w="3003" w:type="dxa"/>
          </w:tcPr>
          <w:p w14:paraId="068A4C07" w14:textId="77777777" w:rsidR="006D7A0B" w:rsidRPr="0009509E" w:rsidRDefault="006D7A0B">
            <w:pPr>
              <w:rPr>
                <w:rFonts w:ascii="Arial Narrow" w:hAnsi="Arial Narrow"/>
                <w:sz w:val="20"/>
                <w:szCs w:val="20"/>
              </w:rPr>
            </w:pPr>
            <w:r w:rsidRPr="0009509E">
              <w:rPr>
                <w:rFonts w:ascii="Arial Narrow" w:hAnsi="Arial Narrow"/>
                <w:sz w:val="20"/>
                <w:szCs w:val="20"/>
              </w:rPr>
              <w:t>$450</w:t>
            </w:r>
          </w:p>
        </w:tc>
        <w:tc>
          <w:tcPr>
            <w:tcW w:w="3004" w:type="dxa"/>
          </w:tcPr>
          <w:p w14:paraId="02935A13" w14:textId="77777777" w:rsidR="006D7A0B" w:rsidRPr="0009509E" w:rsidRDefault="006D7A0B" w:rsidP="00EB5F1B">
            <w:pPr>
              <w:jc w:val="both"/>
              <w:rPr>
                <w:rFonts w:ascii="Arial Narrow" w:hAnsi="Arial Narrow"/>
                <w:sz w:val="20"/>
                <w:szCs w:val="20"/>
              </w:rPr>
            </w:pPr>
            <w:r w:rsidRPr="0009509E">
              <w:rPr>
                <w:rFonts w:ascii="Arial Narrow" w:hAnsi="Arial Narrow"/>
                <w:sz w:val="20"/>
                <w:szCs w:val="20"/>
              </w:rPr>
              <w:t xml:space="preserve">This is derived directly from fee suggested by AANMS for </w:t>
            </w:r>
            <w:r w:rsidRPr="0009509E">
              <w:rPr>
                <w:rFonts w:ascii="Arial Narrow" w:hAnsi="Arial Narrow"/>
                <w:sz w:val="20"/>
                <w:szCs w:val="20"/>
                <w:vertAlign w:val="superscript"/>
              </w:rPr>
              <w:t>177</w:t>
            </w:r>
            <w:r w:rsidRPr="0009509E">
              <w:rPr>
                <w:rFonts w:ascii="Arial Narrow" w:hAnsi="Arial Narrow"/>
                <w:sz w:val="20"/>
                <w:szCs w:val="20"/>
              </w:rPr>
              <w:t xml:space="preserve">Lu DOTA PSMA i&amp;t therapy. </w:t>
            </w:r>
          </w:p>
        </w:tc>
      </w:tr>
      <w:tr w:rsidR="006D7A0B" w:rsidRPr="00305DB6" w14:paraId="2BD00280" w14:textId="77777777">
        <w:tc>
          <w:tcPr>
            <w:tcW w:w="3003" w:type="dxa"/>
          </w:tcPr>
          <w:p w14:paraId="340BBCA5" w14:textId="77777777" w:rsidR="006D7A0B" w:rsidRPr="0009509E" w:rsidRDefault="006D7A0B">
            <w:pPr>
              <w:rPr>
                <w:rFonts w:ascii="Arial Narrow" w:hAnsi="Arial Narrow"/>
                <w:sz w:val="20"/>
                <w:szCs w:val="20"/>
              </w:rPr>
            </w:pPr>
            <w:r w:rsidRPr="0009509E">
              <w:rPr>
                <w:rFonts w:ascii="Arial Narrow" w:hAnsi="Arial Narrow"/>
                <w:sz w:val="20"/>
                <w:szCs w:val="20"/>
              </w:rPr>
              <w:t>Theranostic Specialist pre Treatment Consult Fee</w:t>
            </w:r>
          </w:p>
        </w:tc>
        <w:tc>
          <w:tcPr>
            <w:tcW w:w="3003" w:type="dxa"/>
          </w:tcPr>
          <w:p w14:paraId="4150E16E" w14:textId="77777777" w:rsidR="006D7A0B" w:rsidRPr="0009509E" w:rsidRDefault="006D7A0B">
            <w:pPr>
              <w:rPr>
                <w:rFonts w:ascii="Arial Narrow" w:hAnsi="Arial Narrow"/>
                <w:sz w:val="20"/>
                <w:szCs w:val="20"/>
              </w:rPr>
            </w:pPr>
            <w:r w:rsidRPr="0009509E">
              <w:rPr>
                <w:rFonts w:ascii="Arial Narrow" w:hAnsi="Arial Narrow"/>
                <w:sz w:val="20"/>
                <w:szCs w:val="20"/>
              </w:rPr>
              <w:t>$167.75</w:t>
            </w:r>
          </w:p>
        </w:tc>
        <w:tc>
          <w:tcPr>
            <w:tcW w:w="3004" w:type="dxa"/>
          </w:tcPr>
          <w:p w14:paraId="56E50A7B" w14:textId="77777777" w:rsidR="006D7A0B" w:rsidRPr="0009509E" w:rsidRDefault="006D7A0B" w:rsidP="00EB5F1B">
            <w:pPr>
              <w:jc w:val="both"/>
              <w:rPr>
                <w:rFonts w:ascii="Arial Narrow" w:hAnsi="Arial Narrow"/>
                <w:sz w:val="20"/>
                <w:szCs w:val="20"/>
              </w:rPr>
            </w:pPr>
            <w:r w:rsidRPr="0009509E">
              <w:rPr>
                <w:rFonts w:ascii="Arial Narrow" w:hAnsi="Arial Narrow"/>
                <w:sz w:val="20"/>
                <w:szCs w:val="20"/>
              </w:rPr>
              <w:t xml:space="preserve">This is aligned with Item 110 but no wording modification of that Item number would be required if the </w:t>
            </w:r>
            <w:r w:rsidRPr="0009509E">
              <w:rPr>
                <w:rFonts w:ascii="Arial Narrow" w:hAnsi="Arial Narrow"/>
                <w:sz w:val="20"/>
                <w:szCs w:val="20"/>
                <w:vertAlign w:val="superscript"/>
              </w:rPr>
              <w:t>177</w:t>
            </w:r>
            <w:r w:rsidRPr="0009509E">
              <w:rPr>
                <w:rFonts w:ascii="Arial Narrow" w:hAnsi="Arial Narrow"/>
                <w:sz w:val="20"/>
                <w:szCs w:val="20"/>
              </w:rPr>
              <w:t xml:space="preserve">Lu DOTA-Octreotate fee bundled a number of essential service elements. Higher fee than suggested by AANMS for </w:t>
            </w:r>
            <w:r w:rsidRPr="0009509E">
              <w:rPr>
                <w:rFonts w:ascii="Arial Narrow" w:hAnsi="Arial Narrow"/>
                <w:sz w:val="20"/>
                <w:szCs w:val="20"/>
                <w:vertAlign w:val="superscript"/>
              </w:rPr>
              <w:t>177</w:t>
            </w:r>
            <w:r w:rsidRPr="0009509E">
              <w:rPr>
                <w:rFonts w:ascii="Arial Narrow" w:hAnsi="Arial Narrow"/>
                <w:sz w:val="20"/>
                <w:szCs w:val="20"/>
              </w:rPr>
              <w:t>Lu DOTA PSMA i&amp;t therapy reflects differences in clinical complexity of patients. A lower fee could be applied in the Theranostic Specialist is also a member and of the MDT recommending treatment and receives a fee for that attendance</w:t>
            </w:r>
          </w:p>
        </w:tc>
      </w:tr>
      <w:tr w:rsidR="006D7A0B" w:rsidRPr="00305DB6" w14:paraId="793BE62C" w14:textId="77777777">
        <w:tc>
          <w:tcPr>
            <w:tcW w:w="3003" w:type="dxa"/>
          </w:tcPr>
          <w:p w14:paraId="65FCBEF7" w14:textId="77777777" w:rsidR="006D7A0B" w:rsidRPr="0009509E" w:rsidRDefault="006D7A0B" w:rsidP="00EB5F1B">
            <w:pPr>
              <w:rPr>
                <w:rFonts w:ascii="Arial Narrow" w:hAnsi="Arial Narrow"/>
                <w:sz w:val="20"/>
                <w:szCs w:val="20"/>
              </w:rPr>
            </w:pPr>
            <w:r w:rsidRPr="0009509E">
              <w:rPr>
                <w:rFonts w:ascii="Arial Narrow" w:hAnsi="Arial Narrow"/>
                <w:sz w:val="20"/>
                <w:szCs w:val="20"/>
              </w:rPr>
              <w:lastRenderedPageBreak/>
              <w:t>Theranostic Specialist Treatment Supervision and Follow-up Fee</w:t>
            </w:r>
          </w:p>
        </w:tc>
        <w:tc>
          <w:tcPr>
            <w:tcW w:w="3003" w:type="dxa"/>
          </w:tcPr>
          <w:p w14:paraId="2C36FB19" w14:textId="77777777" w:rsidR="006D7A0B" w:rsidRPr="0009509E" w:rsidRDefault="006D7A0B">
            <w:pPr>
              <w:rPr>
                <w:rFonts w:ascii="Arial Narrow" w:hAnsi="Arial Narrow"/>
                <w:sz w:val="20"/>
                <w:szCs w:val="20"/>
              </w:rPr>
            </w:pPr>
            <w:r w:rsidRPr="0009509E">
              <w:rPr>
                <w:rFonts w:ascii="Arial Narrow" w:hAnsi="Arial Narrow"/>
                <w:sz w:val="20"/>
                <w:szCs w:val="20"/>
              </w:rPr>
              <w:t>$118.30</w:t>
            </w:r>
          </w:p>
        </w:tc>
        <w:tc>
          <w:tcPr>
            <w:tcW w:w="3004" w:type="dxa"/>
          </w:tcPr>
          <w:p w14:paraId="544BC11A" w14:textId="77777777" w:rsidR="006D7A0B" w:rsidRPr="0009509E" w:rsidRDefault="006D7A0B" w:rsidP="00EB5F1B">
            <w:pPr>
              <w:jc w:val="both"/>
              <w:rPr>
                <w:rFonts w:ascii="Arial Narrow" w:hAnsi="Arial Narrow"/>
                <w:sz w:val="20"/>
                <w:szCs w:val="20"/>
              </w:rPr>
            </w:pPr>
            <w:r w:rsidRPr="0009509E">
              <w:rPr>
                <w:rFonts w:ascii="Arial Narrow" w:hAnsi="Arial Narrow"/>
                <w:sz w:val="20"/>
                <w:szCs w:val="20"/>
              </w:rPr>
              <w:t xml:space="preserve">This is aligned with Item 13950 but no wording modification of that Item number would be required if the </w:t>
            </w:r>
            <w:r w:rsidRPr="0009509E">
              <w:rPr>
                <w:rFonts w:ascii="Arial Narrow" w:hAnsi="Arial Narrow"/>
                <w:sz w:val="20"/>
                <w:szCs w:val="20"/>
                <w:vertAlign w:val="superscript"/>
              </w:rPr>
              <w:t>177</w:t>
            </w:r>
            <w:r w:rsidRPr="0009509E">
              <w:rPr>
                <w:rFonts w:ascii="Arial Narrow" w:hAnsi="Arial Narrow"/>
                <w:sz w:val="20"/>
                <w:szCs w:val="20"/>
              </w:rPr>
              <w:t>Lu DOTA-Octreotate fee bundled a number of essential service elements</w:t>
            </w:r>
          </w:p>
        </w:tc>
      </w:tr>
      <w:tr w:rsidR="006D7A0B" w:rsidRPr="00305DB6" w14:paraId="7CF065C8" w14:textId="77777777">
        <w:tc>
          <w:tcPr>
            <w:tcW w:w="3003" w:type="dxa"/>
          </w:tcPr>
          <w:p w14:paraId="09FA1D20" w14:textId="77777777" w:rsidR="006D7A0B" w:rsidRPr="0009509E" w:rsidRDefault="006D7A0B" w:rsidP="00EB5F1B">
            <w:pPr>
              <w:rPr>
                <w:rFonts w:ascii="Arial Narrow" w:hAnsi="Arial Narrow"/>
                <w:sz w:val="20"/>
                <w:szCs w:val="20"/>
              </w:rPr>
            </w:pPr>
            <w:r w:rsidRPr="0009509E">
              <w:rPr>
                <w:rFonts w:ascii="Arial Narrow" w:hAnsi="Arial Narrow"/>
                <w:sz w:val="20"/>
                <w:szCs w:val="20"/>
              </w:rPr>
              <w:t>Non admitted patient facility fee (Facility cost)</w:t>
            </w:r>
          </w:p>
        </w:tc>
        <w:tc>
          <w:tcPr>
            <w:tcW w:w="3003" w:type="dxa"/>
          </w:tcPr>
          <w:p w14:paraId="5B3C00E8" w14:textId="77777777" w:rsidR="006D7A0B" w:rsidRPr="0009509E" w:rsidRDefault="006D7A0B">
            <w:pPr>
              <w:rPr>
                <w:rFonts w:ascii="Arial Narrow" w:hAnsi="Arial Narrow"/>
                <w:sz w:val="20"/>
                <w:szCs w:val="20"/>
              </w:rPr>
            </w:pPr>
            <w:r w:rsidRPr="0009509E">
              <w:rPr>
                <w:rFonts w:ascii="Arial Narrow" w:hAnsi="Arial Narrow"/>
                <w:sz w:val="20"/>
                <w:szCs w:val="20"/>
              </w:rPr>
              <w:t>$900</w:t>
            </w:r>
          </w:p>
        </w:tc>
        <w:tc>
          <w:tcPr>
            <w:tcW w:w="3004" w:type="dxa"/>
          </w:tcPr>
          <w:p w14:paraId="27FBAB89" w14:textId="77777777" w:rsidR="006D7A0B" w:rsidRPr="0009509E" w:rsidRDefault="006D7A0B" w:rsidP="00EB5F1B">
            <w:pPr>
              <w:jc w:val="both"/>
              <w:rPr>
                <w:rFonts w:ascii="Arial Narrow" w:hAnsi="Arial Narrow"/>
                <w:sz w:val="20"/>
                <w:szCs w:val="20"/>
              </w:rPr>
            </w:pPr>
            <w:r w:rsidRPr="0009509E">
              <w:rPr>
                <w:rFonts w:ascii="Arial Narrow" w:hAnsi="Arial Narrow"/>
                <w:sz w:val="20"/>
                <w:szCs w:val="20"/>
              </w:rPr>
              <w:t xml:space="preserve">This is derived directly from fee suggested by AANMS for </w:t>
            </w:r>
            <w:r w:rsidRPr="0009509E">
              <w:rPr>
                <w:rFonts w:ascii="Arial Narrow" w:hAnsi="Arial Narrow"/>
                <w:sz w:val="20"/>
                <w:szCs w:val="20"/>
                <w:vertAlign w:val="superscript"/>
              </w:rPr>
              <w:t>177</w:t>
            </w:r>
            <w:r w:rsidRPr="0009509E">
              <w:rPr>
                <w:rFonts w:ascii="Arial Narrow" w:hAnsi="Arial Narrow"/>
                <w:sz w:val="20"/>
                <w:szCs w:val="20"/>
              </w:rPr>
              <w:t>Lu DOTA PSMA i&amp;t therapy</w:t>
            </w:r>
          </w:p>
        </w:tc>
      </w:tr>
      <w:tr w:rsidR="006D7A0B" w:rsidRPr="00305DB6" w14:paraId="20FEE3F5" w14:textId="77777777">
        <w:tc>
          <w:tcPr>
            <w:tcW w:w="3003" w:type="dxa"/>
          </w:tcPr>
          <w:p w14:paraId="2D7DA0A5" w14:textId="77777777" w:rsidR="006D7A0B" w:rsidRPr="0009509E" w:rsidRDefault="006D7A0B" w:rsidP="00EB5F1B">
            <w:pPr>
              <w:rPr>
                <w:rFonts w:ascii="Arial Narrow" w:hAnsi="Arial Narrow"/>
                <w:sz w:val="20"/>
                <w:szCs w:val="20"/>
              </w:rPr>
            </w:pPr>
            <w:r w:rsidRPr="0009509E">
              <w:rPr>
                <w:rFonts w:ascii="Arial Narrow" w:hAnsi="Arial Narrow"/>
                <w:sz w:val="20"/>
                <w:szCs w:val="20"/>
              </w:rPr>
              <w:t>Nuclear Medicine Technologist</w:t>
            </w:r>
          </w:p>
        </w:tc>
        <w:tc>
          <w:tcPr>
            <w:tcW w:w="3003" w:type="dxa"/>
          </w:tcPr>
          <w:p w14:paraId="47889E80" w14:textId="77777777" w:rsidR="006D7A0B" w:rsidRPr="0009509E" w:rsidRDefault="006D7A0B">
            <w:pPr>
              <w:rPr>
                <w:rFonts w:ascii="Arial Narrow" w:hAnsi="Arial Narrow"/>
                <w:sz w:val="20"/>
                <w:szCs w:val="20"/>
              </w:rPr>
            </w:pPr>
            <w:r w:rsidRPr="0009509E">
              <w:rPr>
                <w:rFonts w:ascii="Arial Narrow" w:hAnsi="Arial Narrow"/>
                <w:sz w:val="20"/>
                <w:szCs w:val="20"/>
              </w:rPr>
              <w:t>$200</w:t>
            </w:r>
          </w:p>
        </w:tc>
        <w:tc>
          <w:tcPr>
            <w:tcW w:w="3004" w:type="dxa"/>
          </w:tcPr>
          <w:p w14:paraId="5F35760E" w14:textId="77777777" w:rsidR="006D7A0B" w:rsidRPr="0009509E" w:rsidRDefault="006D7A0B" w:rsidP="00EB5F1B">
            <w:pPr>
              <w:jc w:val="both"/>
              <w:rPr>
                <w:rFonts w:ascii="Arial Narrow" w:hAnsi="Arial Narrow"/>
                <w:sz w:val="20"/>
                <w:szCs w:val="20"/>
              </w:rPr>
            </w:pPr>
            <w:r w:rsidRPr="0009509E">
              <w:rPr>
                <w:rFonts w:ascii="Arial Narrow" w:hAnsi="Arial Narrow"/>
                <w:sz w:val="20"/>
                <w:szCs w:val="20"/>
              </w:rPr>
              <w:t xml:space="preserve">This is derived directly from fee suggested by AANMS for </w:t>
            </w:r>
            <w:r w:rsidRPr="0009509E">
              <w:rPr>
                <w:rFonts w:ascii="Arial Narrow" w:hAnsi="Arial Narrow"/>
                <w:sz w:val="20"/>
                <w:szCs w:val="20"/>
                <w:vertAlign w:val="superscript"/>
              </w:rPr>
              <w:t>177</w:t>
            </w:r>
            <w:r w:rsidRPr="0009509E">
              <w:rPr>
                <w:rFonts w:ascii="Arial Narrow" w:hAnsi="Arial Narrow"/>
                <w:sz w:val="20"/>
                <w:szCs w:val="20"/>
              </w:rPr>
              <w:t>Lu DOTA PSMA i&amp;t therapy</w:t>
            </w:r>
          </w:p>
        </w:tc>
      </w:tr>
      <w:tr w:rsidR="006D7A0B" w:rsidRPr="00305DB6" w14:paraId="7624CAC7" w14:textId="77777777">
        <w:tc>
          <w:tcPr>
            <w:tcW w:w="3003" w:type="dxa"/>
          </w:tcPr>
          <w:p w14:paraId="6D7C04EB" w14:textId="77777777" w:rsidR="006D7A0B" w:rsidRPr="0009509E" w:rsidRDefault="006D7A0B" w:rsidP="00EB5F1B">
            <w:pPr>
              <w:rPr>
                <w:rFonts w:ascii="Arial Narrow" w:hAnsi="Arial Narrow"/>
                <w:sz w:val="20"/>
                <w:szCs w:val="20"/>
              </w:rPr>
            </w:pPr>
            <w:r w:rsidRPr="0009509E">
              <w:rPr>
                <w:rFonts w:ascii="Arial Narrow" w:hAnsi="Arial Narrow"/>
                <w:sz w:val="20"/>
                <w:szCs w:val="20"/>
              </w:rPr>
              <w:t>Amino Acid Infusion</w:t>
            </w:r>
          </w:p>
        </w:tc>
        <w:tc>
          <w:tcPr>
            <w:tcW w:w="3003" w:type="dxa"/>
          </w:tcPr>
          <w:p w14:paraId="49D5A02F" w14:textId="77777777" w:rsidR="006D7A0B" w:rsidRPr="0009509E" w:rsidRDefault="006D7A0B">
            <w:pPr>
              <w:rPr>
                <w:rFonts w:ascii="Arial Narrow" w:hAnsi="Arial Narrow"/>
                <w:sz w:val="20"/>
                <w:szCs w:val="20"/>
              </w:rPr>
            </w:pPr>
            <w:r w:rsidRPr="0009509E">
              <w:rPr>
                <w:rFonts w:ascii="Arial Narrow" w:hAnsi="Arial Narrow"/>
                <w:sz w:val="20"/>
                <w:szCs w:val="20"/>
              </w:rPr>
              <w:t>$120</w:t>
            </w:r>
          </w:p>
        </w:tc>
        <w:tc>
          <w:tcPr>
            <w:tcW w:w="3004" w:type="dxa"/>
          </w:tcPr>
          <w:p w14:paraId="236F0BCF" w14:textId="77777777" w:rsidR="006D7A0B" w:rsidRPr="0009509E" w:rsidRDefault="006D7A0B" w:rsidP="00EB5F1B">
            <w:pPr>
              <w:jc w:val="both"/>
              <w:rPr>
                <w:rFonts w:ascii="Arial Narrow" w:hAnsi="Arial Narrow"/>
                <w:sz w:val="20"/>
                <w:szCs w:val="20"/>
              </w:rPr>
            </w:pPr>
            <w:r w:rsidRPr="0009509E">
              <w:rPr>
                <w:rFonts w:ascii="Arial Narrow" w:hAnsi="Arial Narrow"/>
                <w:sz w:val="20"/>
                <w:szCs w:val="20"/>
              </w:rPr>
              <w:t>This is the cost to Peter MacCallum Cancer Centre from one commercial provider</w:t>
            </w:r>
          </w:p>
        </w:tc>
      </w:tr>
      <w:tr w:rsidR="006D7A0B" w:rsidRPr="00305DB6" w14:paraId="66D4AEDD" w14:textId="77777777">
        <w:tc>
          <w:tcPr>
            <w:tcW w:w="3003" w:type="dxa"/>
          </w:tcPr>
          <w:p w14:paraId="7C84388A" w14:textId="77777777" w:rsidR="006D7A0B" w:rsidRPr="0009509E" w:rsidRDefault="006D7A0B" w:rsidP="00EB5F1B">
            <w:pPr>
              <w:rPr>
                <w:rFonts w:ascii="Arial Narrow" w:hAnsi="Arial Narrow"/>
                <w:sz w:val="20"/>
                <w:szCs w:val="20"/>
              </w:rPr>
            </w:pPr>
            <w:r w:rsidRPr="0009509E">
              <w:rPr>
                <w:rFonts w:ascii="Arial Narrow" w:hAnsi="Arial Narrow"/>
                <w:sz w:val="20"/>
                <w:szCs w:val="20"/>
              </w:rPr>
              <w:t>Post-administration SPECT/CT scan</w:t>
            </w:r>
          </w:p>
        </w:tc>
        <w:tc>
          <w:tcPr>
            <w:tcW w:w="3003" w:type="dxa"/>
          </w:tcPr>
          <w:p w14:paraId="7779F6E6" w14:textId="77777777" w:rsidR="006D7A0B" w:rsidRPr="0009509E" w:rsidRDefault="006D7A0B">
            <w:pPr>
              <w:rPr>
                <w:rFonts w:ascii="Arial Narrow" w:hAnsi="Arial Narrow"/>
                <w:sz w:val="20"/>
                <w:szCs w:val="20"/>
              </w:rPr>
            </w:pPr>
            <w:r w:rsidRPr="0009509E">
              <w:rPr>
                <w:rFonts w:ascii="Arial Narrow" w:hAnsi="Arial Narrow"/>
                <w:sz w:val="20"/>
                <w:szCs w:val="20"/>
              </w:rPr>
              <w:t>$400</w:t>
            </w:r>
          </w:p>
        </w:tc>
        <w:tc>
          <w:tcPr>
            <w:tcW w:w="3004" w:type="dxa"/>
          </w:tcPr>
          <w:p w14:paraId="1D01BDA2" w14:textId="77777777" w:rsidR="006D7A0B" w:rsidRPr="0009509E" w:rsidRDefault="006D7A0B" w:rsidP="00EB5F1B">
            <w:pPr>
              <w:jc w:val="both"/>
              <w:rPr>
                <w:rFonts w:ascii="Arial Narrow" w:hAnsi="Arial Narrow"/>
                <w:sz w:val="20"/>
                <w:szCs w:val="20"/>
              </w:rPr>
            </w:pPr>
            <w:r w:rsidRPr="0009509E">
              <w:rPr>
                <w:rFonts w:ascii="Arial Narrow" w:hAnsi="Arial Narrow"/>
                <w:sz w:val="20"/>
                <w:szCs w:val="20"/>
              </w:rPr>
              <w:t xml:space="preserve">This is derived directly from fee suggested by AANMS for </w:t>
            </w:r>
            <w:r w:rsidRPr="0009509E">
              <w:rPr>
                <w:rFonts w:ascii="Arial Narrow" w:hAnsi="Arial Narrow"/>
                <w:sz w:val="20"/>
                <w:szCs w:val="20"/>
                <w:vertAlign w:val="superscript"/>
              </w:rPr>
              <w:t>177</w:t>
            </w:r>
            <w:r w:rsidRPr="0009509E">
              <w:rPr>
                <w:rFonts w:ascii="Arial Narrow" w:hAnsi="Arial Narrow"/>
                <w:sz w:val="20"/>
                <w:szCs w:val="20"/>
              </w:rPr>
              <w:t>Lu DOTA PSMA i&amp;t therapy</w:t>
            </w:r>
          </w:p>
        </w:tc>
      </w:tr>
      <w:tr w:rsidR="006D7A0B" w:rsidRPr="00305DB6" w14:paraId="12E6011B" w14:textId="77777777">
        <w:tc>
          <w:tcPr>
            <w:tcW w:w="3003" w:type="dxa"/>
          </w:tcPr>
          <w:p w14:paraId="08454B46" w14:textId="77777777" w:rsidR="006D7A0B" w:rsidRPr="0009509E" w:rsidRDefault="006D7A0B" w:rsidP="00EB5F1B">
            <w:pPr>
              <w:rPr>
                <w:rFonts w:ascii="Arial Narrow" w:hAnsi="Arial Narrow"/>
                <w:sz w:val="20"/>
                <w:szCs w:val="20"/>
              </w:rPr>
            </w:pPr>
            <w:r w:rsidRPr="0009509E">
              <w:rPr>
                <w:rFonts w:ascii="Arial Narrow" w:hAnsi="Arial Narrow"/>
                <w:sz w:val="20"/>
                <w:szCs w:val="20"/>
              </w:rPr>
              <w:t>Radiation Safety Officer/Physicist</w:t>
            </w:r>
          </w:p>
        </w:tc>
        <w:tc>
          <w:tcPr>
            <w:tcW w:w="3003" w:type="dxa"/>
          </w:tcPr>
          <w:p w14:paraId="656580FD" w14:textId="77777777" w:rsidR="006D7A0B" w:rsidRPr="0009509E" w:rsidRDefault="006D7A0B">
            <w:pPr>
              <w:rPr>
                <w:rFonts w:ascii="Arial Narrow" w:hAnsi="Arial Narrow"/>
                <w:sz w:val="20"/>
                <w:szCs w:val="20"/>
              </w:rPr>
            </w:pPr>
            <w:r w:rsidRPr="0009509E">
              <w:rPr>
                <w:rFonts w:ascii="Arial Narrow" w:hAnsi="Arial Narrow"/>
                <w:sz w:val="20"/>
                <w:szCs w:val="20"/>
              </w:rPr>
              <w:t>$75</w:t>
            </w:r>
          </w:p>
        </w:tc>
        <w:tc>
          <w:tcPr>
            <w:tcW w:w="3004" w:type="dxa"/>
          </w:tcPr>
          <w:p w14:paraId="02124B79" w14:textId="77777777" w:rsidR="006D7A0B" w:rsidRPr="0009509E" w:rsidRDefault="006D7A0B" w:rsidP="00EB5F1B">
            <w:pPr>
              <w:jc w:val="both"/>
              <w:rPr>
                <w:rFonts w:ascii="Arial Narrow" w:hAnsi="Arial Narrow"/>
                <w:sz w:val="20"/>
                <w:szCs w:val="20"/>
              </w:rPr>
            </w:pPr>
            <w:r w:rsidRPr="0009509E">
              <w:rPr>
                <w:rFonts w:ascii="Arial Narrow" w:hAnsi="Arial Narrow"/>
                <w:sz w:val="20"/>
                <w:szCs w:val="20"/>
              </w:rPr>
              <w:t xml:space="preserve">This is derived directly from fee suggested by AANMS for </w:t>
            </w:r>
            <w:r w:rsidRPr="0009509E">
              <w:rPr>
                <w:rFonts w:ascii="Arial Narrow" w:hAnsi="Arial Narrow"/>
                <w:sz w:val="20"/>
                <w:szCs w:val="20"/>
                <w:vertAlign w:val="superscript"/>
              </w:rPr>
              <w:t>177</w:t>
            </w:r>
            <w:r w:rsidRPr="0009509E">
              <w:rPr>
                <w:rFonts w:ascii="Arial Narrow" w:hAnsi="Arial Narrow"/>
                <w:sz w:val="20"/>
                <w:szCs w:val="20"/>
              </w:rPr>
              <w:t>Lu DOTA PSMA i&amp;t therapy. Probably this function could be supplied without additional cost by the Nuclear Medicine Technologist</w:t>
            </w:r>
          </w:p>
        </w:tc>
      </w:tr>
      <w:tr w:rsidR="006D7A0B" w:rsidRPr="00305DB6" w14:paraId="63452427" w14:textId="77777777">
        <w:tc>
          <w:tcPr>
            <w:tcW w:w="3003" w:type="dxa"/>
          </w:tcPr>
          <w:p w14:paraId="1CC5195E" w14:textId="77777777" w:rsidR="006D7A0B" w:rsidRPr="0009509E" w:rsidRDefault="006D7A0B">
            <w:pPr>
              <w:rPr>
                <w:rFonts w:ascii="Arial Narrow" w:hAnsi="Arial Narrow"/>
                <w:b/>
                <w:bCs/>
                <w:sz w:val="20"/>
                <w:szCs w:val="20"/>
              </w:rPr>
            </w:pPr>
            <w:r w:rsidRPr="0009509E">
              <w:rPr>
                <w:rFonts w:ascii="Arial Narrow" w:hAnsi="Arial Narrow"/>
                <w:b/>
                <w:bCs/>
                <w:sz w:val="20"/>
                <w:szCs w:val="20"/>
              </w:rPr>
              <w:t xml:space="preserve">Total </w:t>
            </w:r>
          </w:p>
          <w:p w14:paraId="506AEA3D" w14:textId="77777777" w:rsidR="006D7A0B" w:rsidRPr="0009509E" w:rsidRDefault="006D7A0B">
            <w:pPr>
              <w:rPr>
                <w:rFonts w:ascii="Arial Narrow" w:hAnsi="Arial Narrow"/>
                <w:b/>
                <w:bCs/>
                <w:sz w:val="20"/>
                <w:szCs w:val="20"/>
              </w:rPr>
            </w:pPr>
            <w:r w:rsidRPr="0009509E">
              <w:rPr>
                <w:rFonts w:ascii="Arial Narrow" w:hAnsi="Arial Narrow"/>
                <w:b/>
                <w:bCs/>
                <w:sz w:val="20"/>
                <w:szCs w:val="20"/>
              </w:rPr>
              <w:t xml:space="preserve">GMP </w:t>
            </w:r>
            <w:r w:rsidRPr="0009509E">
              <w:rPr>
                <w:rFonts w:ascii="Arial Narrow" w:hAnsi="Arial Narrow"/>
                <w:b/>
                <w:bCs/>
                <w:sz w:val="20"/>
                <w:szCs w:val="20"/>
                <w:vertAlign w:val="superscript"/>
              </w:rPr>
              <w:t>177</w:t>
            </w:r>
            <w:r w:rsidRPr="0009509E">
              <w:rPr>
                <w:rFonts w:ascii="Arial Narrow" w:hAnsi="Arial Narrow"/>
                <w:b/>
                <w:bCs/>
                <w:sz w:val="20"/>
                <w:szCs w:val="20"/>
              </w:rPr>
              <w:t>Lu (nca)DOTA-Octreotate</w:t>
            </w:r>
          </w:p>
        </w:tc>
        <w:tc>
          <w:tcPr>
            <w:tcW w:w="3003" w:type="dxa"/>
          </w:tcPr>
          <w:p w14:paraId="30A8FDC1" w14:textId="77777777" w:rsidR="006D7A0B" w:rsidRPr="0009509E" w:rsidRDefault="006D7A0B">
            <w:pPr>
              <w:rPr>
                <w:rFonts w:ascii="Arial Narrow" w:hAnsi="Arial Narrow"/>
                <w:b/>
                <w:bCs/>
                <w:sz w:val="20"/>
                <w:szCs w:val="20"/>
              </w:rPr>
            </w:pPr>
            <w:r w:rsidRPr="0009509E">
              <w:rPr>
                <w:rFonts w:ascii="Arial Narrow" w:hAnsi="Arial Narrow"/>
                <w:b/>
                <w:bCs/>
                <w:sz w:val="20"/>
                <w:szCs w:val="20"/>
              </w:rPr>
              <w:t>$10,431.05</w:t>
            </w:r>
          </w:p>
        </w:tc>
        <w:tc>
          <w:tcPr>
            <w:tcW w:w="3004" w:type="dxa"/>
          </w:tcPr>
          <w:p w14:paraId="5E1B958D" w14:textId="77777777" w:rsidR="006D7A0B" w:rsidRPr="0009509E" w:rsidRDefault="006D7A0B">
            <w:pPr>
              <w:rPr>
                <w:rFonts w:ascii="Arial Narrow" w:hAnsi="Arial Narrow"/>
                <w:sz w:val="20"/>
                <w:szCs w:val="20"/>
              </w:rPr>
            </w:pPr>
          </w:p>
        </w:tc>
      </w:tr>
      <w:tr w:rsidR="006D7A0B" w:rsidRPr="00305DB6" w14:paraId="213D539B" w14:textId="77777777">
        <w:tc>
          <w:tcPr>
            <w:tcW w:w="3003" w:type="dxa"/>
          </w:tcPr>
          <w:p w14:paraId="6E88D584" w14:textId="77777777" w:rsidR="006D7A0B" w:rsidRPr="0009509E" w:rsidRDefault="006D7A0B">
            <w:pPr>
              <w:rPr>
                <w:rFonts w:ascii="Arial Narrow" w:hAnsi="Arial Narrow"/>
                <w:b/>
                <w:bCs/>
                <w:sz w:val="20"/>
                <w:szCs w:val="20"/>
              </w:rPr>
            </w:pPr>
            <w:r w:rsidRPr="0009509E">
              <w:rPr>
                <w:rFonts w:ascii="Arial Narrow" w:hAnsi="Arial Narrow"/>
                <w:b/>
                <w:bCs/>
                <w:sz w:val="20"/>
                <w:szCs w:val="20"/>
              </w:rPr>
              <w:t xml:space="preserve">Total </w:t>
            </w:r>
          </w:p>
          <w:p w14:paraId="127411A2" w14:textId="77777777" w:rsidR="006D7A0B" w:rsidRPr="0009509E" w:rsidRDefault="006D7A0B">
            <w:pPr>
              <w:rPr>
                <w:rFonts w:ascii="Arial Narrow" w:hAnsi="Arial Narrow"/>
                <w:b/>
                <w:bCs/>
                <w:sz w:val="20"/>
                <w:szCs w:val="20"/>
              </w:rPr>
            </w:pPr>
            <w:r w:rsidRPr="0009509E">
              <w:rPr>
                <w:rFonts w:ascii="Arial Narrow" w:hAnsi="Arial Narrow"/>
                <w:b/>
                <w:bCs/>
                <w:sz w:val="20"/>
                <w:szCs w:val="20"/>
              </w:rPr>
              <w:t xml:space="preserve">GMP </w:t>
            </w:r>
            <w:r w:rsidRPr="0009509E">
              <w:rPr>
                <w:rFonts w:ascii="Arial Narrow" w:hAnsi="Arial Narrow"/>
                <w:b/>
                <w:bCs/>
                <w:sz w:val="20"/>
                <w:szCs w:val="20"/>
                <w:vertAlign w:val="superscript"/>
              </w:rPr>
              <w:t>177</w:t>
            </w:r>
            <w:r w:rsidRPr="0009509E">
              <w:rPr>
                <w:rFonts w:ascii="Arial Narrow" w:hAnsi="Arial Narrow"/>
                <w:b/>
                <w:bCs/>
                <w:sz w:val="20"/>
                <w:szCs w:val="20"/>
              </w:rPr>
              <w:t>Lu (ca)DOTA-Octreotate</w:t>
            </w:r>
          </w:p>
        </w:tc>
        <w:tc>
          <w:tcPr>
            <w:tcW w:w="3003" w:type="dxa"/>
          </w:tcPr>
          <w:p w14:paraId="09D51DE4" w14:textId="77777777" w:rsidR="006D7A0B" w:rsidRPr="0009509E" w:rsidRDefault="006D7A0B">
            <w:pPr>
              <w:rPr>
                <w:rFonts w:ascii="Arial Narrow" w:hAnsi="Arial Narrow"/>
                <w:b/>
                <w:bCs/>
                <w:sz w:val="20"/>
                <w:szCs w:val="20"/>
              </w:rPr>
            </w:pPr>
            <w:r w:rsidRPr="0009509E">
              <w:rPr>
                <w:rFonts w:ascii="Arial Narrow" w:hAnsi="Arial Narrow"/>
                <w:b/>
                <w:bCs/>
                <w:sz w:val="20"/>
                <w:szCs w:val="20"/>
              </w:rPr>
              <w:t>$10,031.05</w:t>
            </w:r>
          </w:p>
        </w:tc>
        <w:tc>
          <w:tcPr>
            <w:tcW w:w="3004" w:type="dxa"/>
          </w:tcPr>
          <w:p w14:paraId="4FE8637B" w14:textId="77777777" w:rsidR="006D7A0B" w:rsidRPr="0009509E" w:rsidRDefault="006D7A0B">
            <w:pPr>
              <w:rPr>
                <w:rFonts w:ascii="Arial Narrow" w:hAnsi="Arial Narrow"/>
                <w:sz w:val="20"/>
                <w:szCs w:val="20"/>
              </w:rPr>
            </w:pPr>
          </w:p>
        </w:tc>
      </w:tr>
    </w:tbl>
    <w:p w14:paraId="09ABBF78" w14:textId="5E686432" w:rsidR="006D7A0B" w:rsidRPr="0009509E" w:rsidRDefault="00305DB6" w:rsidP="0009509E">
      <w:pPr>
        <w:pStyle w:val="Tablenotes"/>
      </w:pPr>
      <w:r>
        <w:t xml:space="preserve">Source: provided by applicant </w:t>
      </w:r>
      <w:r w:rsidR="00763D3C">
        <w:t>in email on 04/</w:t>
      </w:r>
      <w:r w:rsidR="000F528F">
        <w:t>08</w:t>
      </w:r>
      <w:r w:rsidR="000B3218">
        <w:t>/23</w:t>
      </w:r>
    </w:p>
    <w:p w14:paraId="00B5AE26" w14:textId="77777777" w:rsidR="00305DB6" w:rsidRDefault="00305DB6" w:rsidP="00C159E9">
      <w:pPr>
        <w:pStyle w:val="Tablenotes"/>
        <w:tabs>
          <w:tab w:val="left" w:pos="284"/>
          <w:tab w:val="left" w:pos="709"/>
        </w:tabs>
        <w:spacing w:after="0"/>
        <w:rPr>
          <w:i/>
          <w:iCs/>
          <w:lang w:eastAsia="en-AU"/>
        </w:rPr>
      </w:pPr>
    </w:p>
    <w:p w14:paraId="322021ED" w14:textId="2786FD71" w:rsidR="00305DB6" w:rsidRPr="00ED4E95" w:rsidRDefault="00305DB6" w:rsidP="00C159E9">
      <w:pPr>
        <w:pStyle w:val="Tablenotes"/>
        <w:tabs>
          <w:tab w:val="left" w:pos="284"/>
          <w:tab w:val="left" w:pos="709"/>
        </w:tabs>
        <w:spacing w:after="0"/>
        <w:rPr>
          <w:i/>
          <w:iCs/>
          <w:lang w:eastAsia="en-AU"/>
        </w:rPr>
        <w:sectPr w:rsidR="00305DB6" w:rsidRPr="00ED4E95" w:rsidSect="00E35BCA">
          <w:headerReference w:type="default" r:id="rId26"/>
          <w:footerReference w:type="even" r:id="rId27"/>
          <w:footerReference w:type="default" r:id="rId28"/>
          <w:pgSz w:w="11906" w:h="16838"/>
          <w:pgMar w:top="682" w:right="1134" w:bottom="1021" w:left="1191" w:header="709" w:footer="624" w:gutter="0"/>
          <w:cols w:space="708"/>
          <w:docGrid w:linePitch="360"/>
        </w:sectPr>
      </w:pPr>
    </w:p>
    <w:p w14:paraId="3EDE7998" w14:textId="20501268" w:rsidR="008E078F" w:rsidRPr="00ED4E95" w:rsidRDefault="00A33126" w:rsidP="00AC609E">
      <w:pPr>
        <w:pStyle w:val="Heading2"/>
      </w:pPr>
      <w:r w:rsidRPr="00ED4E95">
        <w:lastRenderedPageBreak/>
        <w:t>References</w:t>
      </w:r>
    </w:p>
    <w:p w14:paraId="1AEE3E50" w14:textId="77777777" w:rsidR="00EB040C" w:rsidRDefault="00EB040C" w:rsidP="00EB5F1B">
      <w:pPr>
        <w:spacing w:after="120" w:line="240" w:lineRule="auto"/>
        <w:jc w:val="both"/>
        <w:rPr>
          <w:sz w:val="20"/>
          <w:szCs w:val="20"/>
        </w:rPr>
      </w:pPr>
      <w:proofErr w:type="spellStart"/>
      <w:r w:rsidRPr="00EB040C">
        <w:rPr>
          <w:sz w:val="20"/>
          <w:szCs w:val="20"/>
        </w:rPr>
        <w:t>Abeqbeitah</w:t>
      </w:r>
      <w:proofErr w:type="spellEnd"/>
      <w:r w:rsidRPr="00EB040C">
        <w:rPr>
          <w:sz w:val="20"/>
          <w:szCs w:val="20"/>
        </w:rPr>
        <w:t xml:space="preserve">, M. et al. Blood Clearance and Occupational Exposure for 177Lu-DOTATATE Compared to 177Lu PSMA Radionuclide Therapy, </w:t>
      </w:r>
      <w:proofErr w:type="spellStart"/>
      <w:r w:rsidRPr="004C3B98">
        <w:rPr>
          <w:i/>
          <w:iCs/>
          <w:sz w:val="20"/>
          <w:szCs w:val="20"/>
        </w:rPr>
        <w:t>Radiat</w:t>
      </w:r>
      <w:proofErr w:type="spellEnd"/>
      <w:r w:rsidRPr="004C3B98">
        <w:rPr>
          <w:i/>
          <w:iCs/>
          <w:sz w:val="20"/>
          <w:szCs w:val="20"/>
        </w:rPr>
        <w:t xml:space="preserve"> Environ </w:t>
      </w:r>
      <w:proofErr w:type="spellStart"/>
      <w:r w:rsidRPr="004C3B98">
        <w:rPr>
          <w:i/>
          <w:iCs/>
          <w:sz w:val="20"/>
          <w:szCs w:val="20"/>
        </w:rPr>
        <w:t>Biophys</w:t>
      </w:r>
      <w:proofErr w:type="spellEnd"/>
      <w:r w:rsidRPr="00EB040C">
        <w:rPr>
          <w:sz w:val="20"/>
          <w:szCs w:val="20"/>
        </w:rPr>
        <w:t>, 2018; 57(1): 55-61.</w:t>
      </w:r>
    </w:p>
    <w:p w14:paraId="0BCB9C94" w14:textId="55F108DF" w:rsidR="000C2E9F" w:rsidRPr="00ED4E95" w:rsidRDefault="000C2E9F" w:rsidP="00EB5F1B">
      <w:pPr>
        <w:spacing w:after="120" w:line="240" w:lineRule="auto"/>
        <w:jc w:val="both"/>
        <w:rPr>
          <w:sz w:val="20"/>
          <w:szCs w:val="20"/>
        </w:rPr>
      </w:pPr>
      <w:proofErr w:type="spellStart"/>
      <w:r w:rsidRPr="00ED4E95">
        <w:rPr>
          <w:sz w:val="20"/>
          <w:szCs w:val="20"/>
        </w:rPr>
        <w:t>Alevroudis</w:t>
      </w:r>
      <w:proofErr w:type="spellEnd"/>
      <w:r w:rsidRPr="00ED4E95">
        <w:rPr>
          <w:sz w:val="20"/>
          <w:szCs w:val="20"/>
        </w:rPr>
        <w:t xml:space="preserve"> E, </w:t>
      </w:r>
      <w:proofErr w:type="spellStart"/>
      <w:r w:rsidRPr="00ED4E95">
        <w:rPr>
          <w:sz w:val="20"/>
          <w:szCs w:val="20"/>
        </w:rPr>
        <w:t>Spei</w:t>
      </w:r>
      <w:proofErr w:type="spellEnd"/>
      <w:r w:rsidRPr="00ED4E95">
        <w:rPr>
          <w:sz w:val="20"/>
          <w:szCs w:val="20"/>
        </w:rPr>
        <w:t xml:space="preserve"> ME, </w:t>
      </w:r>
      <w:proofErr w:type="spellStart"/>
      <w:r w:rsidRPr="00ED4E95">
        <w:rPr>
          <w:sz w:val="20"/>
          <w:szCs w:val="20"/>
        </w:rPr>
        <w:t>Chatziioannou</w:t>
      </w:r>
      <w:proofErr w:type="spellEnd"/>
      <w:r w:rsidRPr="00ED4E95">
        <w:rPr>
          <w:sz w:val="20"/>
          <w:szCs w:val="20"/>
        </w:rPr>
        <w:t xml:space="preserve"> SN, </w:t>
      </w:r>
      <w:proofErr w:type="spellStart"/>
      <w:r w:rsidRPr="00ED4E95">
        <w:rPr>
          <w:sz w:val="20"/>
          <w:szCs w:val="20"/>
        </w:rPr>
        <w:t>Tsoli</w:t>
      </w:r>
      <w:proofErr w:type="spellEnd"/>
      <w:r w:rsidRPr="00ED4E95">
        <w:rPr>
          <w:sz w:val="20"/>
          <w:szCs w:val="20"/>
        </w:rPr>
        <w:t xml:space="preserve"> M, </w:t>
      </w:r>
      <w:proofErr w:type="spellStart"/>
      <w:r w:rsidRPr="00ED4E95">
        <w:rPr>
          <w:sz w:val="20"/>
          <w:szCs w:val="20"/>
        </w:rPr>
        <w:t>Wallin</w:t>
      </w:r>
      <w:proofErr w:type="spellEnd"/>
      <w:r w:rsidRPr="00ED4E95">
        <w:rPr>
          <w:sz w:val="20"/>
          <w:szCs w:val="20"/>
        </w:rPr>
        <w:t xml:space="preserve"> G, </w:t>
      </w:r>
      <w:proofErr w:type="spellStart"/>
      <w:r w:rsidRPr="00ED4E95">
        <w:rPr>
          <w:sz w:val="20"/>
          <w:szCs w:val="20"/>
        </w:rPr>
        <w:t>Kaltsas</w:t>
      </w:r>
      <w:proofErr w:type="spellEnd"/>
      <w:r w:rsidRPr="00ED4E95">
        <w:rPr>
          <w:sz w:val="20"/>
          <w:szCs w:val="20"/>
        </w:rPr>
        <w:t xml:space="preserve"> G, et al. Clinical Utility of (18)F-FDG PET in Neuroendocrine Tumors Prior to Peptide Receptor Radionuclide Therapy: A Systematic Review and Meta-Analysis. </w:t>
      </w:r>
      <w:r w:rsidRPr="00ED4E95">
        <w:rPr>
          <w:i/>
          <w:iCs/>
          <w:sz w:val="20"/>
          <w:szCs w:val="20"/>
        </w:rPr>
        <w:t>Cancers</w:t>
      </w:r>
      <w:r w:rsidRPr="00ED4E95">
        <w:rPr>
          <w:sz w:val="20"/>
          <w:szCs w:val="20"/>
        </w:rPr>
        <w:t xml:space="preserve"> (Basel). 2021;13(8).</w:t>
      </w:r>
    </w:p>
    <w:p w14:paraId="6FDB377F" w14:textId="77777777" w:rsidR="000C2E9F" w:rsidRPr="00ED4E95" w:rsidRDefault="000C2E9F" w:rsidP="00EB5F1B">
      <w:pPr>
        <w:spacing w:after="120" w:line="240" w:lineRule="auto"/>
        <w:jc w:val="both"/>
        <w:rPr>
          <w:sz w:val="20"/>
          <w:szCs w:val="20"/>
        </w:rPr>
      </w:pPr>
      <w:proofErr w:type="spellStart"/>
      <w:r w:rsidRPr="00ED4E95">
        <w:rPr>
          <w:sz w:val="20"/>
          <w:szCs w:val="20"/>
        </w:rPr>
        <w:t>Ambrosini</w:t>
      </w:r>
      <w:proofErr w:type="spellEnd"/>
      <w:r w:rsidRPr="00ED4E95">
        <w:rPr>
          <w:sz w:val="20"/>
          <w:szCs w:val="20"/>
        </w:rPr>
        <w:t xml:space="preserve"> V, </w:t>
      </w:r>
      <w:proofErr w:type="spellStart"/>
      <w:r w:rsidRPr="00ED4E95">
        <w:rPr>
          <w:sz w:val="20"/>
          <w:szCs w:val="20"/>
        </w:rPr>
        <w:t>Kunikowska</w:t>
      </w:r>
      <w:proofErr w:type="spellEnd"/>
      <w:r w:rsidRPr="00ED4E95">
        <w:rPr>
          <w:sz w:val="20"/>
          <w:szCs w:val="20"/>
        </w:rPr>
        <w:t xml:space="preserve"> J, </w:t>
      </w:r>
      <w:proofErr w:type="spellStart"/>
      <w:r w:rsidRPr="00ED4E95">
        <w:rPr>
          <w:sz w:val="20"/>
          <w:szCs w:val="20"/>
        </w:rPr>
        <w:t>Baudin</w:t>
      </w:r>
      <w:proofErr w:type="spellEnd"/>
      <w:r w:rsidRPr="00ED4E95">
        <w:rPr>
          <w:sz w:val="20"/>
          <w:szCs w:val="20"/>
        </w:rPr>
        <w:t xml:space="preserve"> E, Bodei L, Bouvier C, </w:t>
      </w:r>
      <w:proofErr w:type="spellStart"/>
      <w:r w:rsidRPr="00ED4E95">
        <w:rPr>
          <w:sz w:val="20"/>
          <w:szCs w:val="20"/>
        </w:rPr>
        <w:t>Capdevila</w:t>
      </w:r>
      <w:proofErr w:type="spellEnd"/>
      <w:r w:rsidRPr="00ED4E95">
        <w:rPr>
          <w:sz w:val="20"/>
          <w:szCs w:val="20"/>
        </w:rPr>
        <w:t xml:space="preserve"> J, et al. Consensus on molecular imaging and theranostics in neuroendocrine neoplasms. </w:t>
      </w:r>
      <w:proofErr w:type="spellStart"/>
      <w:r w:rsidRPr="00ED4E95">
        <w:rPr>
          <w:i/>
          <w:iCs/>
          <w:sz w:val="20"/>
          <w:szCs w:val="20"/>
        </w:rPr>
        <w:t>Eur</w:t>
      </w:r>
      <w:proofErr w:type="spellEnd"/>
      <w:r w:rsidRPr="00ED4E95">
        <w:rPr>
          <w:i/>
          <w:iCs/>
          <w:sz w:val="20"/>
          <w:szCs w:val="20"/>
        </w:rPr>
        <w:t xml:space="preserve"> J Cancer.</w:t>
      </w:r>
      <w:r w:rsidRPr="00ED4E95">
        <w:rPr>
          <w:sz w:val="20"/>
          <w:szCs w:val="20"/>
        </w:rPr>
        <w:t xml:space="preserve"> 2021;146:56-73.</w:t>
      </w:r>
    </w:p>
    <w:p w14:paraId="5540244F" w14:textId="77777777" w:rsidR="00F945A2" w:rsidRPr="00ED4E95" w:rsidRDefault="00F945A2" w:rsidP="00EB5F1B">
      <w:pPr>
        <w:spacing w:after="120" w:line="240" w:lineRule="auto"/>
        <w:jc w:val="both"/>
        <w:rPr>
          <w:sz w:val="20"/>
          <w:szCs w:val="20"/>
        </w:rPr>
      </w:pPr>
      <w:r w:rsidRPr="00ED4E95">
        <w:rPr>
          <w:sz w:val="20"/>
          <w:szCs w:val="20"/>
        </w:rPr>
        <w:t>Australian Institute of Health and Welfare. Cancer Data in Australia. AIHW; 2022.</w:t>
      </w:r>
    </w:p>
    <w:p w14:paraId="22812D83" w14:textId="6BFC9DD7" w:rsidR="000C2E9F" w:rsidRPr="00ED4E95" w:rsidRDefault="000C2E9F" w:rsidP="00EB5F1B">
      <w:pPr>
        <w:spacing w:after="120" w:line="240" w:lineRule="auto"/>
        <w:jc w:val="both"/>
        <w:rPr>
          <w:sz w:val="20"/>
          <w:szCs w:val="20"/>
        </w:rPr>
      </w:pPr>
      <w:proofErr w:type="spellStart"/>
      <w:r w:rsidRPr="00ED4E95">
        <w:rPr>
          <w:sz w:val="20"/>
          <w:szCs w:val="20"/>
        </w:rPr>
        <w:t>Becx</w:t>
      </w:r>
      <w:proofErr w:type="spellEnd"/>
      <w:r w:rsidRPr="00ED4E95">
        <w:rPr>
          <w:sz w:val="20"/>
          <w:szCs w:val="20"/>
        </w:rPr>
        <w:t xml:space="preserve"> MN, </w:t>
      </w:r>
      <w:proofErr w:type="spellStart"/>
      <w:r w:rsidRPr="00ED4E95">
        <w:rPr>
          <w:sz w:val="20"/>
          <w:szCs w:val="20"/>
        </w:rPr>
        <w:t>Minczeles</w:t>
      </w:r>
      <w:proofErr w:type="spellEnd"/>
      <w:r w:rsidRPr="00ED4E95">
        <w:rPr>
          <w:sz w:val="20"/>
          <w:szCs w:val="20"/>
        </w:rPr>
        <w:t xml:space="preserve"> NS, </w:t>
      </w:r>
      <w:proofErr w:type="spellStart"/>
      <w:r w:rsidRPr="00ED4E95">
        <w:rPr>
          <w:sz w:val="20"/>
          <w:szCs w:val="20"/>
        </w:rPr>
        <w:t>Brabander</w:t>
      </w:r>
      <w:proofErr w:type="spellEnd"/>
      <w:r w:rsidRPr="00ED4E95">
        <w:rPr>
          <w:sz w:val="20"/>
          <w:szCs w:val="20"/>
        </w:rPr>
        <w:t xml:space="preserve"> T, de Herder WW, </w:t>
      </w:r>
      <w:proofErr w:type="spellStart"/>
      <w:r w:rsidRPr="00ED4E95">
        <w:rPr>
          <w:sz w:val="20"/>
          <w:szCs w:val="20"/>
        </w:rPr>
        <w:t>Nonnekens</w:t>
      </w:r>
      <w:proofErr w:type="spellEnd"/>
      <w:r w:rsidRPr="00ED4E95">
        <w:rPr>
          <w:sz w:val="20"/>
          <w:szCs w:val="20"/>
        </w:rPr>
        <w:t xml:space="preserve"> J, </w:t>
      </w:r>
      <w:proofErr w:type="spellStart"/>
      <w:r w:rsidRPr="00ED4E95">
        <w:rPr>
          <w:sz w:val="20"/>
          <w:szCs w:val="20"/>
        </w:rPr>
        <w:t>Hofland</w:t>
      </w:r>
      <w:proofErr w:type="spellEnd"/>
      <w:r w:rsidRPr="00ED4E95">
        <w:rPr>
          <w:sz w:val="20"/>
          <w:szCs w:val="20"/>
        </w:rPr>
        <w:t xml:space="preserve"> J. A Clinical Guide to Peptide Receptor Radionuclide Therapy with (177)Lu-DOTATATE in Neuroendocrine </w:t>
      </w:r>
      <w:proofErr w:type="spellStart"/>
      <w:r w:rsidRPr="00ED4E95">
        <w:rPr>
          <w:sz w:val="20"/>
          <w:szCs w:val="20"/>
        </w:rPr>
        <w:t>Tumor</w:t>
      </w:r>
      <w:proofErr w:type="spellEnd"/>
      <w:r w:rsidRPr="00ED4E95">
        <w:rPr>
          <w:sz w:val="20"/>
          <w:szCs w:val="20"/>
        </w:rPr>
        <w:t xml:space="preserve"> Patients. </w:t>
      </w:r>
      <w:r w:rsidRPr="00ED4E95">
        <w:rPr>
          <w:i/>
          <w:iCs/>
          <w:sz w:val="20"/>
          <w:szCs w:val="20"/>
        </w:rPr>
        <w:t>Cancers</w:t>
      </w:r>
      <w:r w:rsidRPr="00ED4E95">
        <w:rPr>
          <w:sz w:val="20"/>
          <w:szCs w:val="20"/>
        </w:rPr>
        <w:t xml:space="preserve"> (Basel). 2022;14(23).</w:t>
      </w:r>
    </w:p>
    <w:p w14:paraId="4F8A8AC8" w14:textId="0D5E9C6B" w:rsidR="006F5947" w:rsidRPr="00ED4E95" w:rsidRDefault="006F5947" w:rsidP="00EB5F1B">
      <w:pPr>
        <w:spacing w:after="120" w:line="240" w:lineRule="auto"/>
        <w:jc w:val="both"/>
        <w:rPr>
          <w:sz w:val="20"/>
          <w:szCs w:val="20"/>
        </w:rPr>
      </w:pPr>
      <w:r w:rsidRPr="00ED4E95">
        <w:rPr>
          <w:sz w:val="20"/>
          <w:szCs w:val="20"/>
        </w:rPr>
        <w:t xml:space="preserve">Bergsma H, </w:t>
      </w:r>
      <w:proofErr w:type="spellStart"/>
      <w:r w:rsidRPr="00ED4E95">
        <w:rPr>
          <w:sz w:val="20"/>
          <w:szCs w:val="20"/>
        </w:rPr>
        <w:t>Konijnenberg</w:t>
      </w:r>
      <w:proofErr w:type="spellEnd"/>
      <w:r w:rsidRPr="00ED4E95">
        <w:rPr>
          <w:sz w:val="20"/>
          <w:szCs w:val="20"/>
        </w:rPr>
        <w:t xml:space="preserve"> MW, Kam BL, </w:t>
      </w:r>
      <w:proofErr w:type="spellStart"/>
      <w:r w:rsidRPr="00ED4E95">
        <w:rPr>
          <w:sz w:val="20"/>
          <w:szCs w:val="20"/>
        </w:rPr>
        <w:t>Teunissen</w:t>
      </w:r>
      <w:proofErr w:type="spellEnd"/>
      <w:r w:rsidRPr="00ED4E95">
        <w:rPr>
          <w:sz w:val="20"/>
          <w:szCs w:val="20"/>
        </w:rPr>
        <w:t xml:space="preserve"> JJ, </w:t>
      </w:r>
      <w:proofErr w:type="spellStart"/>
      <w:r w:rsidRPr="00ED4E95">
        <w:rPr>
          <w:sz w:val="20"/>
          <w:szCs w:val="20"/>
        </w:rPr>
        <w:t>Kooij</w:t>
      </w:r>
      <w:proofErr w:type="spellEnd"/>
      <w:r w:rsidRPr="00ED4E95">
        <w:rPr>
          <w:sz w:val="20"/>
          <w:szCs w:val="20"/>
        </w:rPr>
        <w:t xml:space="preserve"> PP, de Herder WW, et al. Subacute </w:t>
      </w:r>
      <w:proofErr w:type="spellStart"/>
      <w:r w:rsidRPr="00ED4E95">
        <w:rPr>
          <w:sz w:val="20"/>
          <w:szCs w:val="20"/>
        </w:rPr>
        <w:t>haematotoxicity</w:t>
      </w:r>
      <w:proofErr w:type="spellEnd"/>
      <w:r w:rsidRPr="00ED4E95">
        <w:rPr>
          <w:sz w:val="20"/>
          <w:szCs w:val="20"/>
        </w:rPr>
        <w:t xml:space="preserve"> after PRRT with (177)Lu-</w:t>
      </w:r>
      <w:r w:rsidR="001C03D0">
        <w:rPr>
          <w:sz w:val="20"/>
          <w:szCs w:val="20"/>
        </w:rPr>
        <w:t xml:space="preserve">DOTA-octreotate </w:t>
      </w:r>
      <w:r w:rsidRPr="00ED4E95">
        <w:rPr>
          <w:sz w:val="20"/>
          <w:szCs w:val="20"/>
        </w:rPr>
        <w:t xml:space="preserve">: prognostic factors, incidence and course. </w:t>
      </w:r>
      <w:proofErr w:type="spellStart"/>
      <w:r w:rsidRPr="00ED4E95">
        <w:rPr>
          <w:i/>
          <w:iCs/>
          <w:sz w:val="20"/>
          <w:szCs w:val="20"/>
        </w:rPr>
        <w:t>Eur</w:t>
      </w:r>
      <w:proofErr w:type="spellEnd"/>
      <w:r w:rsidRPr="00ED4E95">
        <w:rPr>
          <w:i/>
          <w:iCs/>
          <w:sz w:val="20"/>
          <w:szCs w:val="20"/>
        </w:rPr>
        <w:t xml:space="preserve"> J </w:t>
      </w:r>
      <w:proofErr w:type="spellStart"/>
      <w:r w:rsidRPr="00ED4E95">
        <w:rPr>
          <w:i/>
          <w:iCs/>
          <w:sz w:val="20"/>
          <w:szCs w:val="20"/>
        </w:rPr>
        <w:t>Nucl</w:t>
      </w:r>
      <w:proofErr w:type="spellEnd"/>
      <w:r w:rsidRPr="00ED4E95">
        <w:rPr>
          <w:i/>
          <w:iCs/>
          <w:sz w:val="20"/>
          <w:szCs w:val="20"/>
        </w:rPr>
        <w:t xml:space="preserve"> Med Mol Imaging</w:t>
      </w:r>
      <w:r w:rsidRPr="00ED4E95">
        <w:rPr>
          <w:sz w:val="20"/>
          <w:szCs w:val="20"/>
        </w:rPr>
        <w:t>. 2016;43(3):453-63.</w:t>
      </w:r>
    </w:p>
    <w:p w14:paraId="0806C846" w14:textId="77777777" w:rsidR="00DA5C6A" w:rsidRPr="00ED4E95" w:rsidRDefault="00DA5C6A" w:rsidP="00EB5F1B">
      <w:pPr>
        <w:spacing w:after="120" w:line="240" w:lineRule="auto"/>
        <w:jc w:val="both"/>
        <w:rPr>
          <w:sz w:val="20"/>
          <w:szCs w:val="20"/>
        </w:rPr>
      </w:pPr>
      <w:r w:rsidRPr="00ED4E95">
        <w:rPr>
          <w:sz w:val="20"/>
          <w:szCs w:val="20"/>
        </w:rPr>
        <w:t xml:space="preserve">Bidakhvidi NA, Goffin K, </w:t>
      </w:r>
      <w:proofErr w:type="spellStart"/>
      <w:r w:rsidRPr="00ED4E95">
        <w:rPr>
          <w:sz w:val="20"/>
          <w:szCs w:val="20"/>
        </w:rPr>
        <w:t>Dekervel</w:t>
      </w:r>
      <w:proofErr w:type="spellEnd"/>
      <w:r w:rsidRPr="00ED4E95">
        <w:rPr>
          <w:sz w:val="20"/>
          <w:szCs w:val="20"/>
        </w:rPr>
        <w:t xml:space="preserve"> J, </w:t>
      </w:r>
      <w:proofErr w:type="spellStart"/>
      <w:r w:rsidRPr="00ED4E95">
        <w:rPr>
          <w:sz w:val="20"/>
          <w:szCs w:val="20"/>
        </w:rPr>
        <w:t>Baete</w:t>
      </w:r>
      <w:proofErr w:type="spellEnd"/>
      <w:r w:rsidRPr="00ED4E95">
        <w:rPr>
          <w:sz w:val="20"/>
          <w:szCs w:val="20"/>
        </w:rPr>
        <w:t xml:space="preserve"> K, </w:t>
      </w:r>
      <w:proofErr w:type="spellStart"/>
      <w:r w:rsidRPr="00ED4E95">
        <w:rPr>
          <w:sz w:val="20"/>
          <w:szCs w:val="20"/>
        </w:rPr>
        <w:t>Nackaerts</w:t>
      </w:r>
      <w:proofErr w:type="spellEnd"/>
      <w:r w:rsidRPr="00ED4E95">
        <w:rPr>
          <w:sz w:val="20"/>
          <w:szCs w:val="20"/>
        </w:rPr>
        <w:t xml:space="preserve"> K, Clement P, et al. Peptide Receptor Radionuclide Therapy Targeting the Somatostatin Receptor: Basic Principles, Clinical Applications and Optimization Strategies. </w:t>
      </w:r>
      <w:r w:rsidRPr="00ED4E95">
        <w:rPr>
          <w:i/>
          <w:iCs/>
          <w:sz w:val="20"/>
          <w:szCs w:val="20"/>
        </w:rPr>
        <w:t>Cancers</w:t>
      </w:r>
      <w:r w:rsidRPr="00ED4E95">
        <w:rPr>
          <w:sz w:val="20"/>
          <w:szCs w:val="20"/>
        </w:rPr>
        <w:t xml:space="preserve"> (Basel). 2021;14(1).</w:t>
      </w:r>
    </w:p>
    <w:p w14:paraId="64D629D6" w14:textId="77777777" w:rsidR="006F5947" w:rsidRPr="00ED4E95" w:rsidRDefault="006F5947" w:rsidP="00EB5F1B">
      <w:pPr>
        <w:spacing w:after="120" w:line="240" w:lineRule="auto"/>
        <w:jc w:val="both"/>
        <w:rPr>
          <w:sz w:val="20"/>
          <w:szCs w:val="20"/>
        </w:rPr>
      </w:pPr>
      <w:r w:rsidRPr="00ED4E95">
        <w:rPr>
          <w:sz w:val="20"/>
          <w:szCs w:val="20"/>
        </w:rPr>
        <w:t xml:space="preserve">Bodei L, Kidd M, </w:t>
      </w:r>
      <w:proofErr w:type="spellStart"/>
      <w:r w:rsidRPr="00ED4E95">
        <w:rPr>
          <w:sz w:val="20"/>
          <w:szCs w:val="20"/>
        </w:rPr>
        <w:t>Paganelli</w:t>
      </w:r>
      <w:proofErr w:type="spellEnd"/>
      <w:r w:rsidRPr="00ED4E95">
        <w:rPr>
          <w:sz w:val="20"/>
          <w:szCs w:val="20"/>
        </w:rPr>
        <w:t xml:space="preserve"> G, Grana CM, </w:t>
      </w:r>
      <w:proofErr w:type="spellStart"/>
      <w:r w:rsidRPr="00ED4E95">
        <w:rPr>
          <w:sz w:val="20"/>
          <w:szCs w:val="20"/>
        </w:rPr>
        <w:t>Drozdov</w:t>
      </w:r>
      <w:proofErr w:type="spellEnd"/>
      <w:r w:rsidRPr="00ED4E95">
        <w:rPr>
          <w:sz w:val="20"/>
          <w:szCs w:val="20"/>
        </w:rPr>
        <w:t xml:space="preserve"> I, </w:t>
      </w:r>
      <w:proofErr w:type="spellStart"/>
      <w:r w:rsidRPr="00ED4E95">
        <w:rPr>
          <w:sz w:val="20"/>
          <w:szCs w:val="20"/>
        </w:rPr>
        <w:t>Cremonesi</w:t>
      </w:r>
      <w:proofErr w:type="spellEnd"/>
      <w:r w:rsidRPr="00ED4E95">
        <w:rPr>
          <w:sz w:val="20"/>
          <w:szCs w:val="20"/>
        </w:rPr>
        <w:t xml:space="preserve"> M, et al. Long-term tolerability of PRRT in 807 patients with neuroendocrine tumours: the value and limitations of clinical factors. </w:t>
      </w:r>
      <w:proofErr w:type="spellStart"/>
      <w:r w:rsidRPr="00ED4E95">
        <w:rPr>
          <w:i/>
          <w:iCs/>
          <w:sz w:val="20"/>
          <w:szCs w:val="20"/>
        </w:rPr>
        <w:t>Eur</w:t>
      </w:r>
      <w:proofErr w:type="spellEnd"/>
      <w:r w:rsidRPr="00ED4E95">
        <w:rPr>
          <w:i/>
          <w:iCs/>
          <w:sz w:val="20"/>
          <w:szCs w:val="20"/>
        </w:rPr>
        <w:t xml:space="preserve"> J </w:t>
      </w:r>
      <w:proofErr w:type="spellStart"/>
      <w:r w:rsidRPr="00ED4E95">
        <w:rPr>
          <w:i/>
          <w:iCs/>
          <w:sz w:val="20"/>
          <w:szCs w:val="20"/>
        </w:rPr>
        <w:t>Nucl</w:t>
      </w:r>
      <w:proofErr w:type="spellEnd"/>
      <w:r w:rsidRPr="00ED4E95">
        <w:rPr>
          <w:i/>
          <w:iCs/>
          <w:sz w:val="20"/>
          <w:szCs w:val="20"/>
        </w:rPr>
        <w:t xml:space="preserve"> Med Mol Imaging</w:t>
      </w:r>
      <w:r w:rsidRPr="00ED4E95">
        <w:rPr>
          <w:sz w:val="20"/>
          <w:szCs w:val="20"/>
        </w:rPr>
        <w:t>. 2015;42(1):5-19.</w:t>
      </w:r>
    </w:p>
    <w:p w14:paraId="60BF44FC" w14:textId="69DE6C0F" w:rsidR="006F5947" w:rsidRDefault="006F5947" w:rsidP="00EB5F1B">
      <w:pPr>
        <w:spacing w:after="120" w:line="240" w:lineRule="auto"/>
        <w:jc w:val="both"/>
        <w:rPr>
          <w:sz w:val="20"/>
          <w:szCs w:val="20"/>
        </w:rPr>
      </w:pPr>
      <w:r w:rsidRPr="00ED4E95">
        <w:rPr>
          <w:sz w:val="20"/>
          <w:szCs w:val="20"/>
        </w:rPr>
        <w:t xml:space="preserve">Brabander T, van der </w:t>
      </w:r>
      <w:proofErr w:type="spellStart"/>
      <w:r w:rsidRPr="00ED4E95">
        <w:rPr>
          <w:sz w:val="20"/>
          <w:szCs w:val="20"/>
        </w:rPr>
        <w:t>Zwan</w:t>
      </w:r>
      <w:proofErr w:type="spellEnd"/>
      <w:r w:rsidRPr="00ED4E95">
        <w:rPr>
          <w:sz w:val="20"/>
          <w:szCs w:val="20"/>
        </w:rPr>
        <w:t xml:space="preserve"> WA, </w:t>
      </w:r>
      <w:proofErr w:type="spellStart"/>
      <w:r w:rsidRPr="00ED4E95">
        <w:rPr>
          <w:sz w:val="20"/>
          <w:szCs w:val="20"/>
        </w:rPr>
        <w:t>Teunissen</w:t>
      </w:r>
      <w:proofErr w:type="spellEnd"/>
      <w:r w:rsidRPr="00ED4E95">
        <w:rPr>
          <w:sz w:val="20"/>
          <w:szCs w:val="20"/>
        </w:rPr>
        <w:t xml:space="preserve"> JJM, Kam BLR, </w:t>
      </w:r>
      <w:proofErr w:type="spellStart"/>
      <w:r w:rsidRPr="00ED4E95">
        <w:rPr>
          <w:sz w:val="20"/>
          <w:szCs w:val="20"/>
        </w:rPr>
        <w:t>Feelders</w:t>
      </w:r>
      <w:proofErr w:type="spellEnd"/>
      <w:r w:rsidRPr="00ED4E95">
        <w:rPr>
          <w:sz w:val="20"/>
          <w:szCs w:val="20"/>
        </w:rPr>
        <w:t xml:space="preserve"> RA, de Herder WW, et al. Long-Term Efficacy, Survival, and Safety of [(177)Lu-DOTA(0),Tyr(3)]octreotate in Patients with Gastroenteropancreatic and Bronchial Neuroendocrine Tumors. </w:t>
      </w:r>
      <w:r w:rsidRPr="00ED4E95">
        <w:rPr>
          <w:i/>
          <w:iCs/>
          <w:sz w:val="20"/>
          <w:szCs w:val="20"/>
        </w:rPr>
        <w:t>Clin Cancer Res.</w:t>
      </w:r>
      <w:r w:rsidRPr="00ED4E95">
        <w:rPr>
          <w:sz w:val="20"/>
          <w:szCs w:val="20"/>
        </w:rPr>
        <w:t xml:space="preserve"> 2017;23(16):4617-24.</w:t>
      </w:r>
    </w:p>
    <w:p w14:paraId="749017E8" w14:textId="66648601" w:rsidR="0056536B" w:rsidRDefault="0056536B" w:rsidP="00EB5F1B">
      <w:pPr>
        <w:spacing w:after="120" w:line="240" w:lineRule="auto"/>
        <w:jc w:val="both"/>
        <w:rPr>
          <w:sz w:val="20"/>
          <w:szCs w:val="20"/>
        </w:rPr>
      </w:pPr>
      <w:proofErr w:type="spellStart"/>
      <w:r w:rsidRPr="0056536B">
        <w:rPr>
          <w:sz w:val="20"/>
          <w:szCs w:val="20"/>
        </w:rPr>
        <w:t>Carideo</w:t>
      </w:r>
      <w:proofErr w:type="spellEnd"/>
      <w:r w:rsidRPr="0056536B">
        <w:rPr>
          <w:sz w:val="20"/>
          <w:szCs w:val="20"/>
        </w:rPr>
        <w:t xml:space="preserve"> L, </w:t>
      </w:r>
      <w:proofErr w:type="spellStart"/>
      <w:r w:rsidRPr="0056536B">
        <w:rPr>
          <w:sz w:val="20"/>
          <w:szCs w:val="20"/>
        </w:rPr>
        <w:t>Prosperi</w:t>
      </w:r>
      <w:proofErr w:type="spellEnd"/>
      <w:r w:rsidRPr="0056536B">
        <w:rPr>
          <w:sz w:val="20"/>
          <w:szCs w:val="20"/>
        </w:rPr>
        <w:t xml:space="preserve"> D, </w:t>
      </w:r>
      <w:proofErr w:type="spellStart"/>
      <w:r w:rsidRPr="0056536B">
        <w:rPr>
          <w:sz w:val="20"/>
          <w:szCs w:val="20"/>
        </w:rPr>
        <w:t>Panzuto</w:t>
      </w:r>
      <w:proofErr w:type="spellEnd"/>
      <w:r w:rsidRPr="0056536B">
        <w:rPr>
          <w:sz w:val="20"/>
          <w:szCs w:val="20"/>
        </w:rPr>
        <w:t xml:space="preserve"> F, Magi L, </w:t>
      </w:r>
      <w:proofErr w:type="spellStart"/>
      <w:r w:rsidRPr="0056536B">
        <w:rPr>
          <w:sz w:val="20"/>
          <w:szCs w:val="20"/>
        </w:rPr>
        <w:t>Pratesi</w:t>
      </w:r>
      <w:proofErr w:type="spellEnd"/>
      <w:r w:rsidRPr="0056536B">
        <w:rPr>
          <w:sz w:val="20"/>
          <w:szCs w:val="20"/>
        </w:rPr>
        <w:t xml:space="preserve"> MS, </w:t>
      </w:r>
      <w:proofErr w:type="spellStart"/>
      <w:r w:rsidRPr="0056536B">
        <w:rPr>
          <w:sz w:val="20"/>
          <w:szCs w:val="20"/>
        </w:rPr>
        <w:t>Rinzivillo</w:t>
      </w:r>
      <w:proofErr w:type="spellEnd"/>
      <w:r w:rsidRPr="0056536B">
        <w:rPr>
          <w:sz w:val="20"/>
          <w:szCs w:val="20"/>
        </w:rPr>
        <w:t xml:space="preserve"> M, </w:t>
      </w:r>
      <w:proofErr w:type="spellStart"/>
      <w:r w:rsidRPr="0056536B">
        <w:rPr>
          <w:sz w:val="20"/>
          <w:szCs w:val="20"/>
        </w:rPr>
        <w:t>Annibale</w:t>
      </w:r>
      <w:proofErr w:type="spellEnd"/>
      <w:r w:rsidRPr="0056536B">
        <w:rPr>
          <w:sz w:val="20"/>
          <w:szCs w:val="20"/>
        </w:rPr>
        <w:t xml:space="preserve"> B, </w:t>
      </w:r>
      <w:proofErr w:type="spellStart"/>
      <w:r w:rsidRPr="0056536B">
        <w:rPr>
          <w:sz w:val="20"/>
          <w:szCs w:val="20"/>
        </w:rPr>
        <w:t>Signore</w:t>
      </w:r>
      <w:proofErr w:type="spellEnd"/>
      <w:r w:rsidRPr="0056536B">
        <w:rPr>
          <w:sz w:val="20"/>
          <w:szCs w:val="20"/>
        </w:rPr>
        <w:t xml:space="preserve"> A. Role of Combined [68Ga]Ga-DOTA-SST Analogues and [18F]FDG PET/CT in the Management of GEP-NENs: </w:t>
      </w:r>
      <w:r w:rsidRPr="004C3B98">
        <w:rPr>
          <w:i/>
          <w:iCs/>
          <w:sz w:val="20"/>
          <w:szCs w:val="20"/>
        </w:rPr>
        <w:t>A Systematic Review. J Clin Med.</w:t>
      </w:r>
      <w:r w:rsidRPr="0056536B">
        <w:rPr>
          <w:sz w:val="20"/>
          <w:szCs w:val="20"/>
        </w:rPr>
        <w:t xml:space="preserve"> 2019 Jul 13;8(7):1032.</w:t>
      </w:r>
    </w:p>
    <w:p w14:paraId="567FCBF3" w14:textId="77777777" w:rsidR="00A83E1C" w:rsidRDefault="00575723" w:rsidP="00EB5F1B">
      <w:pPr>
        <w:spacing w:after="120" w:line="240" w:lineRule="auto"/>
        <w:jc w:val="both"/>
        <w:rPr>
          <w:sz w:val="20"/>
          <w:szCs w:val="20"/>
        </w:rPr>
      </w:pPr>
      <w:r w:rsidRPr="00575723">
        <w:rPr>
          <w:sz w:val="20"/>
          <w:szCs w:val="20"/>
        </w:rPr>
        <w:t xml:space="preserve">Chan DL, Hayes AR, </w:t>
      </w:r>
      <w:proofErr w:type="spellStart"/>
      <w:r w:rsidRPr="00575723">
        <w:rPr>
          <w:sz w:val="20"/>
          <w:szCs w:val="20"/>
        </w:rPr>
        <w:t>Karfis</w:t>
      </w:r>
      <w:proofErr w:type="spellEnd"/>
      <w:r w:rsidRPr="00575723">
        <w:rPr>
          <w:sz w:val="20"/>
          <w:szCs w:val="20"/>
        </w:rPr>
        <w:t xml:space="preserve"> I, Conner A, Furtado </w:t>
      </w:r>
      <w:proofErr w:type="spellStart"/>
      <w:r w:rsidRPr="00575723">
        <w:rPr>
          <w:sz w:val="20"/>
          <w:szCs w:val="20"/>
        </w:rPr>
        <w:t>O'Mahony</w:t>
      </w:r>
      <w:proofErr w:type="spellEnd"/>
      <w:r w:rsidRPr="00575723">
        <w:rPr>
          <w:sz w:val="20"/>
          <w:szCs w:val="20"/>
        </w:rPr>
        <w:t xml:space="preserve"> L, </w:t>
      </w:r>
      <w:r>
        <w:rPr>
          <w:sz w:val="20"/>
          <w:szCs w:val="20"/>
        </w:rPr>
        <w:t>et al</w:t>
      </w:r>
      <w:r w:rsidRPr="00575723">
        <w:rPr>
          <w:sz w:val="20"/>
          <w:szCs w:val="20"/>
        </w:rPr>
        <w:t>. Dual [</w:t>
      </w:r>
      <w:r w:rsidRPr="00575723">
        <w:rPr>
          <w:sz w:val="20"/>
          <w:szCs w:val="20"/>
          <w:vertAlign w:val="superscript"/>
        </w:rPr>
        <w:t>68</w:t>
      </w:r>
      <w:r w:rsidRPr="00575723">
        <w:rPr>
          <w:sz w:val="20"/>
          <w:szCs w:val="20"/>
        </w:rPr>
        <w:t>Ga]DOTATATE and [</w:t>
      </w:r>
      <w:r w:rsidRPr="00575723">
        <w:rPr>
          <w:sz w:val="20"/>
          <w:szCs w:val="20"/>
          <w:vertAlign w:val="superscript"/>
        </w:rPr>
        <w:t>18</w:t>
      </w:r>
      <w:r w:rsidRPr="00575723">
        <w:rPr>
          <w:sz w:val="20"/>
          <w:szCs w:val="20"/>
        </w:rPr>
        <w:t xml:space="preserve">F]FDG PET/CT in patients with metastatic gastroenteropancreatic neuroendocrine neoplasms: a multicentre validation of the NETPET score. </w:t>
      </w:r>
      <w:r w:rsidRPr="00B73C9B">
        <w:rPr>
          <w:i/>
          <w:iCs/>
          <w:sz w:val="20"/>
          <w:szCs w:val="20"/>
        </w:rPr>
        <w:t>Br J Cancer</w:t>
      </w:r>
      <w:r w:rsidRPr="00575723">
        <w:rPr>
          <w:sz w:val="20"/>
          <w:szCs w:val="20"/>
        </w:rPr>
        <w:t>. 2023 Feb;128(4):549-555.</w:t>
      </w:r>
    </w:p>
    <w:p w14:paraId="51702556" w14:textId="281EEEE9" w:rsidR="00C04E7D" w:rsidRDefault="00C04E7D" w:rsidP="00EB5F1B">
      <w:pPr>
        <w:spacing w:after="120" w:line="240" w:lineRule="auto"/>
        <w:jc w:val="both"/>
        <w:rPr>
          <w:sz w:val="20"/>
          <w:szCs w:val="20"/>
        </w:rPr>
      </w:pPr>
      <w:r w:rsidRPr="00C04E7D">
        <w:rPr>
          <w:sz w:val="20"/>
          <w:szCs w:val="20"/>
        </w:rPr>
        <w:t xml:space="preserve">Chan DLH, </w:t>
      </w:r>
      <w:proofErr w:type="spellStart"/>
      <w:r w:rsidRPr="00C04E7D">
        <w:rPr>
          <w:sz w:val="20"/>
          <w:szCs w:val="20"/>
        </w:rPr>
        <w:t>Pavlakis</w:t>
      </w:r>
      <w:proofErr w:type="spellEnd"/>
      <w:r w:rsidRPr="00C04E7D">
        <w:rPr>
          <w:sz w:val="20"/>
          <w:szCs w:val="20"/>
        </w:rPr>
        <w:t xml:space="preserve"> N, Schembri GP, Bernard EJ, Hsiao E, Hayes A, Barnes T, </w:t>
      </w:r>
      <w:proofErr w:type="spellStart"/>
      <w:r w:rsidRPr="00C04E7D">
        <w:rPr>
          <w:sz w:val="20"/>
          <w:szCs w:val="20"/>
        </w:rPr>
        <w:t>Diakos</w:t>
      </w:r>
      <w:proofErr w:type="spellEnd"/>
      <w:r w:rsidRPr="00C04E7D">
        <w:rPr>
          <w:sz w:val="20"/>
          <w:szCs w:val="20"/>
        </w:rPr>
        <w:t xml:space="preserve"> C, </w:t>
      </w:r>
      <w:proofErr w:type="spellStart"/>
      <w:r w:rsidRPr="00C04E7D">
        <w:rPr>
          <w:sz w:val="20"/>
          <w:szCs w:val="20"/>
        </w:rPr>
        <w:t>Khasraw</w:t>
      </w:r>
      <w:proofErr w:type="spellEnd"/>
      <w:r w:rsidRPr="00C04E7D">
        <w:rPr>
          <w:sz w:val="20"/>
          <w:szCs w:val="20"/>
        </w:rPr>
        <w:t xml:space="preserve"> M, Samra J, </w:t>
      </w:r>
      <w:proofErr w:type="spellStart"/>
      <w:r w:rsidRPr="00C04E7D">
        <w:rPr>
          <w:sz w:val="20"/>
          <w:szCs w:val="20"/>
        </w:rPr>
        <w:t>Eslick</w:t>
      </w:r>
      <w:proofErr w:type="spellEnd"/>
      <w:r w:rsidRPr="00C04E7D">
        <w:rPr>
          <w:sz w:val="20"/>
          <w:szCs w:val="20"/>
        </w:rPr>
        <w:t xml:space="preserve"> E, Roach PJ, Engel A, Clarke SJ, Bailey DL. Dual Somatostatin Receptor/FDG PET/CT Imaging in Metastatic Neuroendocrine Tumours: Proposal for a Novel Grading Scheme with Prognostic Significance. Theranostics 2017; 7(5):1149-1158.</w:t>
      </w:r>
    </w:p>
    <w:p w14:paraId="14E46806" w14:textId="6FDF84FB" w:rsidR="00575723" w:rsidRDefault="00A83E1C" w:rsidP="00EB5F1B">
      <w:pPr>
        <w:spacing w:after="120" w:line="240" w:lineRule="auto"/>
        <w:jc w:val="both"/>
        <w:rPr>
          <w:sz w:val="20"/>
          <w:szCs w:val="20"/>
        </w:rPr>
      </w:pPr>
      <w:r w:rsidRPr="00A83E1C">
        <w:rPr>
          <w:sz w:val="20"/>
          <w:szCs w:val="20"/>
        </w:rPr>
        <w:t xml:space="preserve">Charoenpitakchai M, Liu E, Zhao Z, Koyama T, Huh WJ, Berlin J, </w:t>
      </w:r>
      <w:proofErr w:type="spellStart"/>
      <w:r w:rsidRPr="00A83E1C">
        <w:rPr>
          <w:sz w:val="20"/>
          <w:szCs w:val="20"/>
        </w:rPr>
        <w:t>Hande</w:t>
      </w:r>
      <w:proofErr w:type="spellEnd"/>
      <w:r w:rsidRPr="00A83E1C">
        <w:rPr>
          <w:sz w:val="20"/>
          <w:szCs w:val="20"/>
        </w:rPr>
        <w:t xml:space="preserve"> K, Walker R, Shi C. In liver metastases from small intestinal neuroendocrine </w:t>
      </w:r>
      <w:proofErr w:type="spellStart"/>
      <w:r w:rsidRPr="00A83E1C">
        <w:rPr>
          <w:sz w:val="20"/>
          <w:szCs w:val="20"/>
        </w:rPr>
        <w:t>tumors</w:t>
      </w:r>
      <w:proofErr w:type="spellEnd"/>
      <w:r w:rsidRPr="00A83E1C">
        <w:rPr>
          <w:sz w:val="20"/>
          <w:szCs w:val="20"/>
        </w:rPr>
        <w:t xml:space="preserve">, SSTR2A expression is heterogeneous. </w:t>
      </w:r>
      <w:proofErr w:type="spellStart"/>
      <w:r w:rsidRPr="004C3B98">
        <w:rPr>
          <w:i/>
          <w:iCs/>
          <w:sz w:val="20"/>
          <w:szCs w:val="20"/>
        </w:rPr>
        <w:t>Virchows</w:t>
      </w:r>
      <w:proofErr w:type="spellEnd"/>
      <w:r w:rsidRPr="004C3B98">
        <w:rPr>
          <w:i/>
          <w:iCs/>
          <w:sz w:val="20"/>
          <w:szCs w:val="20"/>
        </w:rPr>
        <w:t xml:space="preserve"> Arch.</w:t>
      </w:r>
      <w:r w:rsidRPr="00A83E1C">
        <w:rPr>
          <w:sz w:val="20"/>
          <w:szCs w:val="20"/>
        </w:rPr>
        <w:t xml:space="preserve"> 2017 May;470(5):545-552.</w:t>
      </w:r>
    </w:p>
    <w:p w14:paraId="1315DDCB" w14:textId="7100B293" w:rsidR="00A83E1C" w:rsidRDefault="00A83E1C" w:rsidP="00EB5F1B">
      <w:pPr>
        <w:spacing w:after="120" w:line="240" w:lineRule="auto"/>
        <w:jc w:val="both"/>
        <w:rPr>
          <w:sz w:val="20"/>
          <w:szCs w:val="20"/>
        </w:rPr>
      </w:pPr>
      <w:r w:rsidRPr="00A83E1C">
        <w:rPr>
          <w:sz w:val="20"/>
          <w:szCs w:val="20"/>
        </w:rPr>
        <w:t xml:space="preserve">Cives M, Kunz PL, Morse B, Coppola D, Schell MJ, Campos T, Nguyen PT, </w:t>
      </w:r>
      <w:proofErr w:type="spellStart"/>
      <w:r w:rsidRPr="00A83E1C">
        <w:rPr>
          <w:sz w:val="20"/>
          <w:szCs w:val="20"/>
        </w:rPr>
        <w:t>Nandoskar</w:t>
      </w:r>
      <w:proofErr w:type="spellEnd"/>
      <w:r w:rsidRPr="00A83E1C">
        <w:rPr>
          <w:sz w:val="20"/>
          <w:szCs w:val="20"/>
        </w:rPr>
        <w:t xml:space="preserve"> P, Khandelwal V, Strosberg JR. Phase II clinical trial of </w:t>
      </w:r>
      <w:proofErr w:type="spellStart"/>
      <w:r w:rsidRPr="00A83E1C">
        <w:rPr>
          <w:sz w:val="20"/>
          <w:szCs w:val="20"/>
        </w:rPr>
        <w:t>pasireotide</w:t>
      </w:r>
      <w:proofErr w:type="spellEnd"/>
      <w:r w:rsidRPr="00A83E1C">
        <w:rPr>
          <w:sz w:val="20"/>
          <w:szCs w:val="20"/>
        </w:rPr>
        <w:t xml:space="preserve"> long-acting repeatable in patients with metastatic neuroendocrine </w:t>
      </w:r>
      <w:proofErr w:type="spellStart"/>
      <w:r w:rsidRPr="00A83E1C">
        <w:rPr>
          <w:sz w:val="20"/>
          <w:szCs w:val="20"/>
        </w:rPr>
        <w:t>tumors</w:t>
      </w:r>
      <w:proofErr w:type="spellEnd"/>
      <w:r w:rsidRPr="00A83E1C">
        <w:rPr>
          <w:sz w:val="20"/>
          <w:szCs w:val="20"/>
        </w:rPr>
        <w:t xml:space="preserve">. </w:t>
      </w:r>
      <w:proofErr w:type="spellStart"/>
      <w:r w:rsidRPr="004C3B98">
        <w:rPr>
          <w:i/>
          <w:iCs/>
          <w:sz w:val="20"/>
          <w:szCs w:val="20"/>
        </w:rPr>
        <w:t>Endocr</w:t>
      </w:r>
      <w:proofErr w:type="spellEnd"/>
      <w:r w:rsidRPr="004C3B98">
        <w:rPr>
          <w:i/>
          <w:iCs/>
          <w:sz w:val="20"/>
          <w:szCs w:val="20"/>
        </w:rPr>
        <w:t xml:space="preserve"> </w:t>
      </w:r>
      <w:proofErr w:type="spellStart"/>
      <w:r w:rsidRPr="004C3B98">
        <w:rPr>
          <w:i/>
          <w:iCs/>
          <w:sz w:val="20"/>
          <w:szCs w:val="20"/>
        </w:rPr>
        <w:t>Relat</w:t>
      </w:r>
      <w:proofErr w:type="spellEnd"/>
      <w:r w:rsidRPr="004C3B98">
        <w:rPr>
          <w:i/>
          <w:iCs/>
          <w:sz w:val="20"/>
          <w:szCs w:val="20"/>
        </w:rPr>
        <w:t xml:space="preserve"> Cancer</w:t>
      </w:r>
      <w:r w:rsidRPr="00A83E1C">
        <w:rPr>
          <w:sz w:val="20"/>
          <w:szCs w:val="20"/>
        </w:rPr>
        <w:t>. 2015 Feb;22(1):1-9.</w:t>
      </w:r>
    </w:p>
    <w:p w14:paraId="0AC7EC49" w14:textId="29FE6F44" w:rsidR="00F5138B" w:rsidRDefault="00F5138B" w:rsidP="00EB5F1B">
      <w:pPr>
        <w:spacing w:after="120" w:line="240" w:lineRule="auto"/>
        <w:jc w:val="both"/>
        <w:rPr>
          <w:sz w:val="20"/>
          <w:szCs w:val="20"/>
        </w:rPr>
      </w:pPr>
      <w:r w:rsidRPr="00F5138B">
        <w:rPr>
          <w:sz w:val="20"/>
          <w:szCs w:val="20"/>
        </w:rPr>
        <w:t xml:space="preserve">Flynn A, Benn D, Clifton-Bligh R, Robinson B, Trainer AH, James P, </w:t>
      </w:r>
      <w:r>
        <w:rPr>
          <w:sz w:val="20"/>
          <w:szCs w:val="20"/>
        </w:rPr>
        <w:t>et al</w:t>
      </w:r>
      <w:r w:rsidRPr="00F5138B">
        <w:rPr>
          <w:sz w:val="20"/>
          <w:szCs w:val="20"/>
        </w:rPr>
        <w:t xml:space="preserve">. The genomic landscape of phaeochromocytoma. </w:t>
      </w:r>
      <w:r w:rsidRPr="00B73C9B">
        <w:rPr>
          <w:i/>
          <w:iCs/>
          <w:sz w:val="20"/>
          <w:szCs w:val="20"/>
        </w:rPr>
        <w:t xml:space="preserve">J </w:t>
      </w:r>
      <w:proofErr w:type="spellStart"/>
      <w:r w:rsidRPr="00B73C9B">
        <w:rPr>
          <w:i/>
          <w:iCs/>
          <w:sz w:val="20"/>
          <w:szCs w:val="20"/>
        </w:rPr>
        <w:t>Pathol</w:t>
      </w:r>
      <w:proofErr w:type="spellEnd"/>
      <w:r w:rsidRPr="00B73C9B">
        <w:rPr>
          <w:i/>
          <w:iCs/>
          <w:sz w:val="20"/>
          <w:szCs w:val="20"/>
        </w:rPr>
        <w:t>.</w:t>
      </w:r>
      <w:r w:rsidRPr="00F5138B">
        <w:rPr>
          <w:sz w:val="20"/>
          <w:szCs w:val="20"/>
        </w:rPr>
        <w:t xml:space="preserve"> 2015 May;236(1):78-89. </w:t>
      </w:r>
    </w:p>
    <w:p w14:paraId="0E73F161" w14:textId="2D11D98D" w:rsidR="00667892" w:rsidRDefault="00667892" w:rsidP="00EB5F1B">
      <w:pPr>
        <w:spacing w:after="120" w:line="240" w:lineRule="auto"/>
        <w:jc w:val="both"/>
        <w:rPr>
          <w:sz w:val="20"/>
          <w:szCs w:val="20"/>
        </w:rPr>
      </w:pPr>
      <w:r w:rsidRPr="00667892">
        <w:rPr>
          <w:sz w:val="20"/>
          <w:szCs w:val="20"/>
        </w:rPr>
        <w:t xml:space="preserve">Gleisner KS, Brolin G, </w:t>
      </w:r>
      <w:proofErr w:type="spellStart"/>
      <w:r w:rsidRPr="00667892">
        <w:rPr>
          <w:sz w:val="20"/>
          <w:szCs w:val="20"/>
        </w:rPr>
        <w:t>Sundlöv</w:t>
      </w:r>
      <w:proofErr w:type="spellEnd"/>
      <w:r w:rsidRPr="00667892">
        <w:rPr>
          <w:sz w:val="20"/>
          <w:szCs w:val="20"/>
        </w:rPr>
        <w:t xml:space="preserve"> A, </w:t>
      </w:r>
      <w:proofErr w:type="spellStart"/>
      <w:r w:rsidRPr="00667892">
        <w:rPr>
          <w:sz w:val="20"/>
          <w:szCs w:val="20"/>
        </w:rPr>
        <w:t>Mjekiqi</w:t>
      </w:r>
      <w:proofErr w:type="spellEnd"/>
      <w:r w:rsidRPr="00667892">
        <w:rPr>
          <w:sz w:val="20"/>
          <w:szCs w:val="20"/>
        </w:rPr>
        <w:t xml:space="preserve"> E, </w:t>
      </w:r>
      <w:proofErr w:type="spellStart"/>
      <w:r w:rsidRPr="00667892">
        <w:rPr>
          <w:sz w:val="20"/>
          <w:szCs w:val="20"/>
        </w:rPr>
        <w:t>Östlund</w:t>
      </w:r>
      <w:proofErr w:type="spellEnd"/>
      <w:r w:rsidRPr="00667892">
        <w:rPr>
          <w:sz w:val="20"/>
          <w:szCs w:val="20"/>
        </w:rPr>
        <w:t xml:space="preserve"> K, </w:t>
      </w:r>
      <w:proofErr w:type="spellStart"/>
      <w:r w:rsidRPr="00667892">
        <w:rPr>
          <w:sz w:val="20"/>
          <w:szCs w:val="20"/>
        </w:rPr>
        <w:t>Tennvall</w:t>
      </w:r>
      <w:proofErr w:type="spellEnd"/>
      <w:r w:rsidRPr="00667892">
        <w:rPr>
          <w:sz w:val="20"/>
          <w:szCs w:val="20"/>
        </w:rPr>
        <w:t xml:space="preserve"> J, Larsson E. Long-Term Retention of 177Lu/177mLu-DOTATATE in Patients Investigated by γ-Spectrometry and γ-Camera Imaging. </w:t>
      </w:r>
      <w:r w:rsidRPr="00E35BCA">
        <w:rPr>
          <w:i/>
          <w:iCs/>
          <w:sz w:val="20"/>
          <w:szCs w:val="20"/>
        </w:rPr>
        <w:t xml:space="preserve">J </w:t>
      </w:r>
      <w:proofErr w:type="spellStart"/>
      <w:r w:rsidRPr="00E35BCA">
        <w:rPr>
          <w:i/>
          <w:iCs/>
          <w:sz w:val="20"/>
          <w:szCs w:val="20"/>
        </w:rPr>
        <w:t>Nucl</w:t>
      </w:r>
      <w:proofErr w:type="spellEnd"/>
      <w:r w:rsidRPr="00E35BCA">
        <w:rPr>
          <w:i/>
          <w:iCs/>
          <w:sz w:val="20"/>
          <w:szCs w:val="20"/>
        </w:rPr>
        <w:t xml:space="preserve"> Med</w:t>
      </w:r>
      <w:r w:rsidRPr="00667892">
        <w:rPr>
          <w:sz w:val="20"/>
          <w:szCs w:val="20"/>
        </w:rPr>
        <w:t xml:space="preserve">. 2015 Jul;56(7):976-84. </w:t>
      </w:r>
      <w:proofErr w:type="spellStart"/>
      <w:r w:rsidRPr="00667892">
        <w:rPr>
          <w:sz w:val="20"/>
          <w:szCs w:val="20"/>
        </w:rPr>
        <w:t>doi</w:t>
      </w:r>
      <w:proofErr w:type="spellEnd"/>
      <w:r w:rsidRPr="00667892">
        <w:rPr>
          <w:sz w:val="20"/>
          <w:szCs w:val="20"/>
        </w:rPr>
        <w:t xml:space="preserve">: 10.2967/jnumed.115.155390. </w:t>
      </w:r>
      <w:proofErr w:type="spellStart"/>
      <w:r w:rsidRPr="00667892">
        <w:rPr>
          <w:sz w:val="20"/>
          <w:szCs w:val="20"/>
        </w:rPr>
        <w:t>Epub</w:t>
      </w:r>
      <w:proofErr w:type="spellEnd"/>
      <w:r w:rsidRPr="00667892">
        <w:rPr>
          <w:sz w:val="20"/>
          <w:szCs w:val="20"/>
        </w:rPr>
        <w:t xml:space="preserve"> 2015 May 21. PMID: 25999429.</w:t>
      </w:r>
    </w:p>
    <w:p w14:paraId="3439AFFD" w14:textId="20FA6FE0" w:rsidR="00A83E1C" w:rsidRPr="00ED4E95" w:rsidRDefault="00A83E1C" w:rsidP="00EB5F1B">
      <w:pPr>
        <w:spacing w:after="120" w:line="240" w:lineRule="auto"/>
        <w:jc w:val="both"/>
        <w:rPr>
          <w:sz w:val="20"/>
          <w:szCs w:val="20"/>
        </w:rPr>
      </w:pPr>
      <w:r w:rsidRPr="00A83E1C">
        <w:rPr>
          <w:sz w:val="20"/>
          <w:szCs w:val="20"/>
        </w:rPr>
        <w:t xml:space="preserve">Graf J, Pape UF, Jann H, </w:t>
      </w:r>
      <w:proofErr w:type="spellStart"/>
      <w:r w:rsidRPr="00A83E1C">
        <w:rPr>
          <w:sz w:val="20"/>
          <w:szCs w:val="20"/>
        </w:rPr>
        <w:t>Denecke</w:t>
      </w:r>
      <w:proofErr w:type="spellEnd"/>
      <w:r w:rsidRPr="00A83E1C">
        <w:rPr>
          <w:sz w:val="20"/>
          <w:szCs w:val="20"/>
        </w:rPr>
        <w:t xml:space="preserve"> T, Arsenic R, Brenner W, Pavel M, Prasad V. Prognostic Significance of Somatostatin Receptor Heterogeneity in Progressive Neuroendocrine </w:t>
      </w:r>
      <w:proofErr w:type="spellStart"/>
      <w:r w:rsidRPr="00A83E1C">
        <w:rPr>
          <w:sz w:val="20"/>
          <w:szCs w:val="20"/>
        </w:rPr>
        <w:t>Tumor</w:t>
      </w:r>
      <w:proofErr w:type="spellEnd"/>
      <w:r w:rsidRPr="00A83E1C">
        <w:rPr>
          <w:sz w:val="20"/>
          <w:szCs w:val="20"/>
        </w:rPr>
        <w:t xml:space="preserve"> Treated with Lu-177 DOTATOC or Lu-177 DOTATATE. </w:t>
      </w:r>
      <w:proofErr w:type="spellStart"/>
      <w:r w:rsidRPr="004C3B98">
        <w:rPr>
          <w:i/>
          <w:iCs/>
          <w:sz w:val="20"/>
          <w:szCs w:val="20"/>
        </w:rPr>
        <w:t>Eur</w:t>
      </w:r>
      <w:proofErr w:type="spellEnd"/>
      <w:r w:rsidRPr="004C3B98">
        <w:rPr>
          <w:i/>
          <w:iCs/>
          <w:sz w:val="20"/>
          <w:szCs w:val="20"/>
        </w:rPr>
        <w:t xml:space="preserve"> J </w:t>
      </w:r>
      <w:proofErr w:type="spellStart"/>
      <w:r w:rsidRPr="004C3B98">
        <w:rPr>
          <w:i/>
          <w:iCs/>
          <w:sz w:val="20"/>
          <w:szCs w:val="20"/>
        </w:rPr>
        <w:t>Nucl</w:t>
      </w:r>
      <w:proofErr w:type="spellEnd"/>
      <w:r w:rsidRPr="004C3B98">
        <w:rPr>
          <w:i/>
          <w:iCs/>
          <w:sz w:val="20"/>
          <w:szCs w:val="20"/>
        </w:rPr>
        <w:t xml:space="preserve"> Med Mol Imaging.</w:t>
      </w:r>
      <w:r w:rsidRPr="00A83E1C">
        <w:rPr>
          <w:sz w:val="20"/>
          <w:szCs w:val="20"/>
        </w:rPr>
        <w:t xml:space="preserve"> 2020 Apr;47(4):881-894.</w:t>
      </w:r>
    </w:p>
    <w:p w14:paraId="6B9CCACC" w14:textId="3528FA45" w:rsidR="00D42FC9" w:rsidRDefault="00D42FC9" w:rsidP="00EB5F1B">
      <w:pPr>
        <w:spacing w:after="120" w:line="240" w:lineRule="auto"/>
        <w:jc w:val="both"/>
        <w:rPr>
          <w:sz w:val="20"/>
          <w:szCs w:val="20"/>
        </w:rPr>
      </w:pPr>
      <w:r w:rsidRPr="00ED4E95">
        <w:rPr>
          <w:sz w:val="20"/>
          <w:szCs w:val="20"/>
        </w:rPr>
        <w:lastRenderedPageBreak/>
        <w:t xml:space="preserve">Hennrich U, Kopka K. Lutathera((R)): The First FDA- and EMA-Approved Radiopharmaceutical for Peptide Receptor Radionuclide Therapy. </w:t>
      </w:r>
      <w:r w:rsidRPr="00ED4E95">
        <w:rPr>
          <w:i/>
          <w:iCs/>
          <w:sz w:val="20"/>
          <w:szCs w:val="20"/>
        </w:rPr>
        <w:t>Pharmaceuticals</w:t>
      </w:r>
      <w:r w:rsidRPr="00ED4E95">
        <w:rPr>
          <w:sz w:val="20"/>
          <w:szCs w:val="20"/>
        </w:rPr>
        <w:t xml:space="preserve"> (Basel). 2019;12(3)</w:t>
      </w:r>
      <w:r w:rsidR="008409BA" w:rsidRPr="00ED4E95">
        <w:rPr>
          <w:sz w:val="20"/>
          <w:szCs w:val="20"/>
        </w:rPr>
        <w:t>.</w:t>
      </w:r>
    </w:p>
    <w:p w14:paraId="0015EFBA" w14:textId="79985EDD" w:rsidR="00B73C9B" w:rsidRPr="00ED4E95" w:rsidRDefault="00B73C9B" w:rsidP="00EB5F1B">
      <w:pPr>
        <w:spacing w:after="120" w:line="240" w:lineRule="auto"/>
        <w:jc w:val="both"/>
        <w:rPr>
          <w:sz w:val="20"/>
          <w:szCs w:val="20"/>
        </w:rPr>
      </w:pPr>
      <w:r w:rsidRPr="00B73C9B">
        <w:rPr>
          <w:sz w:val="20"/>
          <w:szCs w:val="20"/>
        </w:rPr>
        <w:t xml:space="preserve">Hicks RJ, Jackson P, Kong G, Ware RE, </w:t>
      </w:r>
      <w:proofErr w:type="spellStart"/>
      <w:r w:rsidRPr="00B73C9B">
        <w:rPr>
          <w:sz w:val="20"/>
          <w:szCs w:val="20"/>
        </w:rPr>
        <w:t>Hofman</w:t>
      </w:r>
      <w:proofErr w:type="spellEnd"/>
      <w:r w:rsidRPr="00B73C9B">
        <w:rPr>
          <w:sz w:val="20"/>
          <w:szCs w:val="20"/>
        </w:rPr>
        <w:t xml:space="preserve"> MS, Pattison DA, </w:t>
      </w:r>
      <w:r>
        <w:rPr>
          <w:sz w:val="20"/>
          <w:szCs w:val="20"/>
        </w:rPr>
        <w:t>et al</w:t>
      </w:r>
      <w:r w:rsidRPr="00B73C9B">
        <w:rPr>
          <w:sz w:val="20"/>
          <w:szCs w:val="20"/>
        </w:rPr>
        <w:t xml:space="preserve">. </w:t>
      </w:r>
      <w:r w:rsidRPr="00B73C9B">
        <w:rPr>
          <w:sz w:val="20"/>
          <w:szCs w:val="20"/>
          <w:vertAlign w:val="superscript"/>
        </w:rPr>
        <w:t>64</w:t>
      </w:r>
      <w:r w:rsidRPr="00B73C9B">
        <w:rPr>
          <w:sz w:val="20"/>
          <w:szCs w:val="20"/>
        </w:rPr>
        <w:t xml:space="preserve">Cu-SARTATE PET Imaging of Patients with Neuroendocrine </w:t>
      </w:r>
      <w:proofErr w:type="spellStart"/>
      <w:r w:rsidRPr="00B73C9B">
        <w:rPr>
          <w:sz w:val="20"/>
          <w:szCs w:val="20"/>
        </w:rPr>
        <w:t>Tumors</w:t>
      </w:r>
      <w:proofErr w:type="spellEnd"/>
      <w:r w:rsidRPr="00B73C9B">
        <w:rPr>
          <w:sz w:val="20"/>
          <w:szCs w:val="20"/>
        </w:rPr>
        <w:t xml:space="preserve"> Demonstrates High </w:t>
      </w:r>
      <w:proofErr w:type="spellStart"/>
      <w:r w:rsidRPr="00B73C9B">
        <w:rPr>
          <w:sz w:val="20"/>
          <w:szCs w:val="20"/>
        </w:rPr>
        <w:t>Tumor</w:t>
      </w:r>
      <w:proofErr w:type="spellEnd"/>
      <w:r w:rsidRPr="00B73C9B">
        <w:rPr>
          <w:sz w:val="20"/>
          <w:szCs w:val="20"/>
        </w:rPr>
        <w:t xml:space="preserve"> Uptake and Retention, Potentially Allowing Prospective Dosimetry for Peptide Receptor Radionuclide Therapy. </w:t>
      </w:r>
      <w:r w:rsidRPr="00B73C9B">
        <w:rPr>
          <w:i/>
          <w:iCs/>
          <w:sz w:val="20"/>
          <w:szCs w:val="20"/>
        </w:rPr>
        <w:t xml:space="preserve">J </w:t>
      </w:r>
      <w:proofErr w:type="spellStart"/>
      <w:r w:rsidRPr="00B73C9B">
        <w:rPr>
          <w:i/>
          <w:iCs/>
          <w:sz w:val="20"/>
          <w:szCs w:val="20"/>
        </w:rPr>
        <w:t>Nucl</w:t>
      </w:r>
      <w:proofErr w:type="spellEnd"/>
      <w:r w:rsidRPr="00B73C9B">
        <w:rPr>
          <w:i/>
          <w:iCs/>
          <w:sz w:val="20"/>
          <w:szCs w:val="20"/>
        </w:rPr>
        <w:t xml:space="preserve"> Med</w:t>
      </w:r>
      <w:r w:rsidRPr="00B73C9B">
        <w:rPr>
          <w:sz w:val="20"/>
          <w:szCs w:val="20"/>
        </w:rPr>
        <w:t>. 2019 Jun;60(6):777-785</w:t>
      </w:r>
      <w:r>
        <w:rPr>
          <w:sz w:val="20"/>
          <w:szCs w:val="20"/>
        </w:rPr>
        <w:t>.</w:t>
      </w:r>
    </w:p>
    <w:p w14:paraId="10B3F0E0" w14:textId="77777777" w:rsidR="003E7E80" w:rsidRPr="00ED4E95" w:rsidRDefault="003E7E80" w:rsidP="00EB5F1B">
      <w:pPr>
        <w:spacing w:after="120" w:line="240" w:lineRule="auto"/>
        <w:jc w:val="both"/>
        <w:rPr>
          <w:sz w:val="20"/>
          <w:szCs w:val="20"/>
        </w:rPr>
      </w:pPr>
      <w:r w:rsidRPr="00ED4E95">
        <w:rPr>
          <w:sz w:val="20"/>
          <w:szCs w:val="20"/>
        </w:rPr>
        <w:t xml:space="preserve">Hicks RJ, </w:t>
      </w:r>
      <w:proofErr w:type="spellStart"/>
      <w:r w:rsidRPr="00ED4E95">
        <w:rPr>
          <w:sz w:val="20"/>
          <w:szCs w:val="20"/>
        </w:rPr>
        <w:t>Kwekkeboom</w:t>
      </w:r>
      <w:proofErr w:type="spellEnd"/>
      <w:r w:rsidRPr="00ED4E95">
        <w:rPr>
          <w:sz w:val="20"/>
          <w:szCs w:val="20"/>
        </w:rPr>
        <w:t xml:space="preserve"> DJ, </w:t>
      </w:r>
      <w:proofErr w:type="spellStart"/>
      <w:r w:rsidRPr="00ED4E95">
        <w:rPr>
          <w:sz w:val="20"/>
          <w:szCs w:val="20"/>
        </w:rPr>
        <w:t>Krenning</w:t>
      </w:r>
      <w:proofErr w:type="spellEnd"/>
      <w:r w:rsidRPr="00ED4E95">
        <w:rPr>
          <w:sz w:val="20"/>
          <w:szCs w:val="20"/>
        </w:rPr>
        <w:t xml:space="preserve"> E, </w:t>
      </w:r>
      <w:proofErr w:type="spellStart"/>
      <w:r w:rsidRPr="00ED4E95">
        <w:rPr>
          <w:sz w:val="20"/>
          <w:szCs w:val="20"/>
        </w:rPr>
        <w:t>Bodei</w:t>
      </w:r>
      <w:proofErr w:type="spellEnd"/>
      <w:r w:rsidRPr="00ED4E95">
        <w:rPr>
          <w:sz w:val="20"/>
          <w:szCs w:val="20"/>
        </w:rPr>
        <w:t xml:space="preserve"> L, </w:t>
      </w:r>
      <w:proofErr w:type="spellStart"/>
      <w:r w:rsidRPr="00ED4E95">
        <w:rPr>
          <w:sz w:val="20"/>
          <w:szCs w:val="20"/>
        </w:rPr>
        <w:t>Grozinsky</w:t>
      </w:r>
      <w:proofErr w:type="spellEnd"/>
      <w:r w:rsidRPr="00ED4E95">
        <w:rPr>
          <w:sz w:val="20"/>
          <w:szCs w:val="20"/>
        </w:rPr>
        <w:t xml:space="preserve">-Glasberg S, Arnold R, et al. ENETS Consensus Guidelines for the Standards of Care in Neuroendocrine Neoplasia: Peptide Receptor Radionuclide Therapy with </w:t>
      </w:r>
      <w:proofErr w:type="spellStart"/>
      <w:r w:rsidRPr="00ED4E95">
        <w:rPr>
          <w:sz w:val="20"/>
          <w:szCs w:val="20"/>
        </w:rPr>
        <w:t>Radiolabeled</w:t>
      </w:r>
      <w:proofErr w:type="spellEnd"/>
      <w:r w:rsidRPr="00ED4E95">
        <w:rPr>
          <w:sz w:val="20"/>
          <w:szCs w:val="20"/>
        </w:rPr>
        <w:t xml:space="preserve"> Somatostatin Analogues. </w:t>
      </w:r>
      <w:r w:rsidRPr="00ED4E95">
        <w:rPr>
          <w:i/>
          <w:iCs/>
          <w:sz w:val="20"/>
          <w:szCs w:val="20"/>
        </w:rPr>
        <w:t>Neuroendocrinology</w:t>
      </w:r>
      <w:r w:rsidRPr="00ED4E95">
        <w:rPr>
          <w:sz w:val="20"/>
          <w:szCs w:val="20"/>
        </w:rPr>
        <w:t>. 2017;105(3):295-309.</w:t>
      </w:r>
    </w:p>
    <w:p w14:paraId="6DA291EF" w14:textId="46EA368A" w:rsidR="002E16C8" w:rsidRPr="00ED4E95" w:rsidRDefault="002E16C8" w:rsidP="00EB5F1B">
      <w:pPr>
        <w:spacing w:after="120" w:line="240" w:lineRule="auto"/>
        <w:jc w:val="both"/>
        <w:rPr>
          <w:sz w:val="20"/>
          <w:szCs w:val="20"/>
        </w:rPr>
      </w:pPr>
      <w:r w:rsidRPr="00ED4E95">
        <w:rPr>
          <w:sz w:val="20"/>
          <w:szCs w:val="20"/>
        </w:rPr>
        <w:t xml:space="preserve">Hope TA, Abbott A, Colucci K, Bushnell DL, Gardner L, Graham WS, et al. NANETS/SNMMI Procedure Standard for Somatostatin Receptor-Based Peptide Receptor Radionuclide Therapy with (177)Lu-DOTATATE. </w:t>
      </w:r>
      <w:r w:rsidRPr="00ED4E95">
        <w:rPr>
          <w:i/>
          <w:iCs/>
          <w:sz w:val="20"/>
          <w:szCs w:val="20"/>
        </w:rPr>
        <w:t xml:space="preserve">J </w:t>
      </w:r>
      <w:proofErr w:type="spellStart"/>
      <w:r w:rsidRPr="00ED4E95">
        <w:rPr>
          <w:i/>
          <w:iCs/>
          <w:sz w:val="20"/>
          <w:szCs w:val="20"/>
        </w:rPr>
        <w:t>Nucl</w:t>
      </w:r>
      <w:proofErr w:type="spellEnd"/>
      <w:r w:rsidRPr="00ED4E95">
        <w:rPr>
          <w:i/>
          <w:iCs/>
          <w:sz w:val="20"/>
          <w:szCs w:val="20"/>
        </w:rPr>
        <w:t xml:space="preserve"> Med.</w:t>
      </w:r>
      <w:r w:rsidRPr="00ED4E95">
        <w:rPr>
          <w:sz w:val="20"/>
          <w:szCs w:val="20"/>
        </w:rPr>
        <w:t xml:space="preserve"> 2019a;60(7):937-43.</w:t>
      </w:r>
    </w:p>
    <w:p w14:paraId="3B3E8B36" w14:textId="64B778CF" w:rsidR="003E7E80" w:rsidRPr="00ED4E95" w:rsidRDefault="003E7E80" w:rsidP="00EB5F1B">
      <w:pPr>
        <w:spacing w:after="120" w:line="240" w:lineRule="auto"/>
        <w:jc w:val="both"/>
        <w:rPr>
          <w:sz w:val="20"/>
          <w:szCs w:val="20"/>
        </w:rPr>
      </w:pPr>
      <w:r w:rsidRPr="00ED4E95">
        <w:rPr>
          <w:sz w:val="20"/>
          <w:szCs w:val="20"/>
        </w:rPr>
        <w:t xml:space="preserve">Hope TA, Allen-Auerbach M, Bodei L, Calais J, </w:t>
      </w:r>
      <w:proofErr w:type="spellStart"/>
      <w:r w:rsidRPr="00ED4E95">
        <w:rPr>
          <w:sz w:val="20"/>
          <w:szCs w:val="20"/>
        </w:rPr>
        <w:t>Dahlbom</w:t>
      </w:r>
      <w:proofErr w:type="spellEnd"/>
      <w:r w:rsidRPr="00ED4E95">
        <w:rPr>
          <w:sz w:val="20"/>
          <w:szCs w:val="20"/>
        </w:rPr>
        <w:t xml:space="preserve"> M, </w:t>
      </w:r>
      <w:proofErr w:type="spellStart"/>
      <w:r w:rsidRPr="00ED4E95">
        <w:rPr>
          <w:sz w:val="20"/>
          <w:szCs w:val="20"/>
        </w:rPr>
        <w:t>Dunnwald</w:t>
      </w:r>
      <w:proofErr w:type="spellEnd"/>
      <w:r w:rsidRPr="00ED4E95">
        <w:rPr>
          <w:sz w:val="20"/>
          <w:szCs w:val="20"/>
        </w:rPr>
        <w:t xml:space="preserve"> LK, et al. SNMMI Procedure Standard/EANM Practice Guideline for SSTR PET: Imaging Neuroendocrine Tumors. </w:t>
      </w:r>
      <w:r w:rsidRPr="00ED4E95">
        <w:rPr>
          <w:i/>
          <w:iCs/>
          <w:sz w:val="20"/>
          <w:szCs w:val="20"/>
        </w:rPr>
        <w:t xml:space="preserve">J </w:t>
      </w:r>
      <w:proofErr w:type="spellStart"/>
      <w:r w:rsidRPr="00ED4E95">
        <w:rPr>
          <w:i/>
          <w:iCs/>
          <w:sz w:val="20"/>
          <w:szCs w:val="20"/>
        </w:rPr>
        <w:t>Nucl</w:t>
      </w:r>
      <w:proofErr w:type="spellEnd"/>
      <w:r w:rsidRPr="00ED4E95">
        <w:rPr>
          <w:i/>
          <w:iCs/>
          <w:sz w:val="20"/>
          <w:szCs w:val="20"/>
        </w:rPr>
        <w:t xml:space="preserve"> Med.</w:t>
      </w:r>
      <w:r w:rsidRPr="00ED4E95">
        <w:rPr>
          <w:sz w:val="20"/>
          <w:szCs w:val="20"/>
        </w:rPr>
        <w:t xml:space="preserve"> 2023;64(2):204-10.</w:t>
      </w:r>
    </w:p>
    <w:p w14:paraId="5EB0E8BF" w14:textId="38CDC430" w:rsidR="002E16C8" w:rsidRPr="00ED4E95" w:rsidRDefault="002E16C8" w:rsidP="00EB5F1B">
      <w:pPr>
        <w:spacing w:after="120" w:line="240" w:lineRule="auto"/>
        <w:jc w:val="both"/>
        <w:rPr>
          <w:sz w:val="20"/>
          <w:szCs w:val="20"/>
        </w:rPr>
      </w:pPr>
      <w:r w:rsidRPr="00ED4E95">
        <w:rPr>
          <w:sz w:val="20"/>
          <w:szCs w:val="20"/>
        </w:rPr>
        <w:t xml:space="preserve">Hope TA, L. B, Chan JL, El-Haddad G, </w:t>
      </w:r>
      <w:proofErr w:type="spellStart"/>
      <w:r w:rsidRPr="00ED4E95">
        <w:rPr>
          <w:sz w:val="20"/>
          <w:szCs w:val="20"/>
        </w:rPr>
        <w:t>Fidelman</w:t>
      </w:r>
      <w:proofErr w:type="spellEnd"/>
      <w:r w:rsidRPr="00ED4E95">
        <w:rPr>
          <w:sz w:val="20"/>
          <w:szCs w:val="20"/>
        </w:rPr>
        <w:t xml:space="preserve"> N, Kunz PL, et al. NANETS/SNMMI Consensus Statement on Patient Selection and Appropriate Use of 177Lu-DOTATATE Peptide Receptor Radionuclide Therapy. North American Neuroendocrine </w:t>
      </w:r>
      <w:proofErr w:type="spellStart"/>
      <w:r w:rsidRPr="00ED4E95">
        <w:rPr>
          <w:sz w:val="20"/>
          <w:szCs w:val="20"/>
        </w:rPr>
        <w:t>Tumor</w:t>
      </w:r>
      <w:proofErr w:type="spellEnd"/>
      <w:r w:rsidRPr="00ED4E95">
        <w:rPr>
          <w:sz w:val="20"/>
          <w:szCs w:val="20"/>
        </w:rPr>
        <w:t xml:space="preserve"> Society/Society of Nuclear Medicine &amp; Molecular Imaging. 2019b.</w:t>
      </w:r>
    </w:p>
    <w:p w14:paraId="2503CDA8" w14:textId="58137850" w:rsidR="003E7E80" w:rsidRDefault="003E7E80" w:rsidP="00EB5F1B">
      <w:pPr>
        <w:spacing w:after="120" w:line="240" w:lineRule="auto"/>
        <w:jc w:val="both"/>
        <w:rPr>
          <w:sz w:val="20"/>
          <w:szCs w:val="20"/>
        </w:rPr>
      </w:pPr>
      <w:r w:rsidRPr="00ED4E95">
        <w:rPr>
          <w:sz w:val="20"/>
          <w:szCs w:val="20"/>
        </w:rPr>
        <w:t xml:space="preserve">Iravani A, Parihar AS, </w:t>
      </w:r>
      <w:proofErr w:type="spellStart"/>
      <w:r w:rsidRPr="00ED4E95">
        <w:rPr>
          <w:sz w:val="20"/>
          <w:szCs w:val="20"/>
        </w:rPr>
        <w:t>Akhurst</w:t>
      </w:r>
      <w:proofErr w:type="spellEnd"/>
      <w:r w:rsidRPr="00ED4E95">
        <w:rPr>
          <w:sz w:val="20"/>
          <w:szCs w:val="20"/>
        </w:rPr>
        <w:t xml:space="preserve"> T, Hicks RJ. Molecular imaging phenotyping for selecting and monitoring radioligand therapy of neuroendocrine neoplasms. </w:t>
      </w:r>
      <w:r w:rsidRPr="00ED4E95">
        <w:rPr>
          <w:i/>
          <w:iCs/>
          <w:sz w:val="20"/>
          <w:szCs w:val="20"/>
        </w:rPr>
        <w:t>Cancer Imaging</w:t>
      </w:r>
      <w:r w:rsidRPr="00ED4E95">
        <w:rPr>
          <w:sz w:val="20"/>
          <w:szCs w:val="20"/>
        </w:rPr>
        <w:t>. 2022;22(1):25.</w:t>
      </w:r>
    </w:p>
    <w:p w14:paraId="52F376E0" w14:textId="31BB7F1C" w:rsidR="009C4533" w:rsidRDefault="009C4533" w:rsidP="00EB5F1B">
      <w:pPr>
        <w:spacing w:after="120" w:line="240" w:lineRule="auto"/>
        <w:jc w:val="both"/>
        <w:rPr>
          <w:sz w:val="20"/>
          <w:szCs w:val="20"/>
        </w:rPr>
      </w:pPr>
      <w:proofErr w:type="spellStart"/>
      <w:r w:rsidRPr="009C4533">
        <w:rPr>
          <w:sz w:val="20"/>
          <w:szCs w:val="20"/>
        </w:rPr>
        <w:t>Kamaldeep</w:t>
      </w:r>
      <w:proofErr w:type="spellEnd"/>
      <w:r w:rsidRPr="009C4533">
        <w:rPr>
          <w:sz w:val="20"/>
          <w:szCs w:val="20"/>
        </w:rPr>
        <w:t xml:space="preserve">, </w:t>
      </w:r>
      <w:proofErr w:type="spellStart"/>
      <w:r w:rsidRPr="009C4533">
        <w:rPr>
          <w:sz w:val="20"/>
          <w:szCs w:val="20"/>
        </w:rPr>
        <w:t>Wanage</w:t>
      </w:r>
      <w:proofErr w:type="spellEnd"/>
      <w:r w:rsidRPr="009C4533">
        <w:rPr>
          <w:sz w:val="20"/>
          <w:szCs w:val="20"/>
        </w:rPr>
        <w:t xml:space="preserve"> G, </w:t>
      </w:r>
      <w:proofErr w:type="spellStart"/>
      <w:r w:rsidRPr="009C4533">
        <w:rPr>
          <w:sz w:val="20"/>
          <w:szCs w:val="20"/>
        </w:rPr>
        <w:t>Loharkar</w:t>
      </w:r>
      <w:proofErr w:type="spellEnd"/>
      <w:r w:rsidRPr="009C4533">
        <w:rPr>
          <w:sz w:val="20"/>
          <w:szCs w:val="20"/>
        </w:rPr>
        <w:t xml:space="preserve"> S, Das T, </w:t>
      </w:r>
      <w:proofErr w:type="spellStart"/>
      <w:r w:rsidRPr="009C4533">
        <w:rPr>
          <w:sz w:val="20"/>
          <w:szCs w:val="20"/>
        </w:rPr>
        <w:t>Basu</w:t>
      </w:r>
      <w:proofErr w:type="spellEnd"/>
      <w:r w:rsidRPr="009C4533">
        <w:rPr>
          <w:sz w:val="20"/>
          <w:szCs w:val="20"/>
        </w:rPr>
        <w:t xml:space="preserve"> S and Banerjee S. Estimation of Absorbed Doses of Indigenously </w:t>
      </w:r>
      <w:proofErr w:type="spellStart"/>
      <w:r w:rsidRPr="009C4533">
        <w:rPr>
          <w:sz w:val="20"/>
          <w:szCs w:val="20"/>
        </w:rPr>
        <w:t>Produced‘‘Direct</w:t>
      </w:r>
      <w:proofErr w:type="spellEnd"/>
      <w:r w:rsidRPr="009C4533">
        <w:rPr>
          <w:sz w:val="20"/>
          <w:szCs w:val="20"/>
        </w:rPr>
        <w:t xml:space="preserve">-route’’ Lutetium-177-[ 177 Lu]Lu-DOTA-TATE PRRT in Normal Organs and </w:t>
      </w:r>
      <w:proofErr w:type="spellStart"/>
      <w:r w:rsidRPr="009C4533">
        <w:rPr>
          <w:sz w:val="20"/>
          <w:szCs w:val="20"/>
        </w:rPr>
        <w:t>Tumor</w:t>
      </w:r>
      <w:proofErr w:type="spellEnd"/>
      <w:r w:rsidRPr="009C4533">
        <w:rPr>
          <w:sz w:val="20"/>
          <w:szCs w:val="20"/>
        </w:rPr>
        <w:t xml:space="preserve"> Lesions in Patients of Metastatic Neuroendocrine Tumors: Comparison with No-Carrier-Added[ 177 Lu]Lu-DOTA-TATE and the Trend with Multiple Cycles. </w:t>
      </w:r>
      <w:r w:rsidRPr="004C3B98">
        <w:rPr>
          <w:i/>
          <w:iCs/>
          <w:sz w:val="20"/>
          <w:szCs w:val="20"/>
        </w:rPr>
        <w:t>Cancer Biotherapy and Radiopharmaceuticals</w:t>
      </w:r>
      <w:r w:rsidRPr="009C4533">
        <w:rPr>
          <w:sz w:val="20"/>
          <w:szCs w:val="20"/>
        </w:rPr>
        <w:t>. 2022;37(3):214-225.</w:t>
      </w:r>
    </w:p>
    <w:p w14:paraId="7DFB6994" w14:textId="0103F3D8" w:rsidR="005D5937" w:rsidRDefault="005D5937" w:rsidP="00EB5F1B">
      <w:pPr>
        <w:spacing w:after="120" w:line="240" w:lineRule="auto"/>
        <w:jc w:val="both"/>
        <w:rPr>
          <w:sz w:val="20"/>
          <w:szCs w:val="20"/>
        </w:rPr>
      </w:pPr>
      <w:r w:rsidRPr="005D5937">
        <w:rPr>
          <w:sz w:val="20"/>
          <w:szCs w:val="20"/>
        </w:rPr>
        <w:t xml:space="preserve">Kashyap R, </w:t>
      </w:r>
      <w:proofErr w:type="spellStart"/>
      <w:r w:rsidRPr="005D5937">
        <w:rPr>
          <w:sz w:val="20"/>
          <w:szCs w:val="20"/>
        </w:rPr>
        <w:t>Hofman</w:t>
      </w:r>
      <w:proofErr w:type="spellEnd"/>
      <w:r w:rsidRPr="005D5937">
        <w:rPr>
          <w:sz w:val="20"/>
          <w:szCs w:val="20"/>
        </w:rPr>
        <w:t xml:space="preserve"> MS, Michael M, Kong G, </w:t>
      </w:r>
      <w:proofErr w:type="spellStart"/>
      <w:r w:rsidRPr="005D5937">
        <w:rPr>
          <w:sz w:val="20"/>
          <w:szCs w:val="20"/>
        </w:rPr>
        <w:t>Akhurst</w:t>
      </w:r>
      <w:proofErr w:type="spellEnd"/>
      <w:r w:rsidRPr="005D5937">
        <w:rPr>
          <w:sz w:val="20"/>
          <w:szCs w:val="20"/>
        </w:rPr>
        <w:t xml:space="preserve"> T, Eu P, </w:t>
      </w:r>
      <w:r>
        <w:rPr>
          <w:sz w:val="20"/>
          <w:szCs w:val="20"/>
        </w:rPr>
        <w:t>et al</w:t>
      </w:r>
      <w:r w:rsidRPr="005D5937">
        <w:rPr>
          <w:sz w:val="20"/>
          <w:szCs w:val="20"/>
        </w:rPr>
        <w:t>. Favourable outcomes of (</w:t>
      </w:r>
      <w:r w:rsidRPr="005D5937">
        <w:rPr>
          <w:sz w:val="20"/>
          <w:szCs w:val="20"/>
          <w:vertAlign w:val="superscript"/>
        </w:rPr>
        <w:t>177</w:t>
      </w:r>
      <w:r w:rsidRPr="005D5937">
        <w:rPr>
          <w:sz w:val="20"/>
          <w:szCs w:val="20"/>
        </w:rPr>
        <w:t>)Lu-</w:t>
      </w:r>
      <w:proofErr w:type="spellStart"/>
      <w:r w:rsidRPr="005D5937">
        <w:rPr>
          <w:sz w:val="20"/>
          <w:szCs w:val="20"/>
        </w:rPr>
        <w:t>octreotate</w:t>
      </w:r>
      <w:proofErr w:type="spellEnd"/>
      <w:r w:rsidRPr="005D5937">
        <w:rPr>
          <w:sz w:val="20"/>
          <w:szCs w:val="20"/>
        </w:rPr>
        <w:t xml:space="preserve"> peptide receptor </w:t>
      </w:r>
      <w:proofErr w:type="spellStart"/>
      <w:r w:rsidRPr="005D5937">
        <w:rPr>
          <w:sz w:val="20"/>
          <w:szCs w:val="20"/>
        </w:rPr>
        <w:t>chemoradionuclide</w:t>
      </w:r>
      <w:proofErr w:type="spellEnd"/>
      <w:r w:rsidRPr="005D5937">
        <w:rPr>
          <w:sz w:val="20"/>
          <w:szCs w:val="20"/>
        </w:rPr>
        <w:t xml:space="preserve"> therapy in patients with FDG-avid neuroendocrine tumours. </w:t>
      </w:r>
      <w:proofErr w:type="spellStart"/>
      <w:r w:rsidRPr="005D5937">
        <w:rPr>
          <w:i/>
          <w:iCs/>
          <w:sz w:val="20"/>
          <w:szCs w:val="20"/>
        </w:rPr>
        <w:t>Eur</w:t>
      </w:r>
      <w:proofErr w:type="spellEnd"/>
      <w:r w:rsidRPr="005D5937">
        <w:rPr>
          <w:i/>
          <w:iCs/>
          <w:sz w:val="20"/>
          <w:szCs w:val="20"/>
        </w:rPr>
        <w:t xml:space="preserve"> J </w:t>
      </w:r>
      <w:proofErr w:type="spellStart"/>
      <w:r w:rsidRPr="005D5937">
        <w:rPr>
          <w:i/>
          <w:iCs/>
          <w:sz w:val="20"/>
          <w:szCs w:val="20"/>
        </w:rPr>
        <w:t>Nucl</w:t>
      </w:r>
      <w:proofErr w:type="spellEnd"/>
      <w:r w:rsidRPr="005D5937">
        <w:rPr>
          <w:i/>
          <w:iCs/>
          <w:sz w:val="20"/>
          <w:szCs w:val="20"/>
        </w:rPr>
        <w:t xml:space="preserve"> Med Mol Imaging</w:t>
      </w:r>
      <w:r w:rsidRPr="005D5937">
        <w:rPr>
          <w:sz w:val="20"/>
          <w:szCs w:val="20"/>
        </w:rPr>
        <w:t>. 2015 Feb;42(2):176-85.</w:t>
      </w:r>
    </w:p>
    <w:p w14:paraId="0AD53226" w14:textId="23B78100" w:rsidR="00C04E7D" w:rsidRPr="00ED4E95" w:rsidRDefault="00C04E7D" w:rsidP="00EB5F1B">
      <w:pPr>
        <w:spacing w:after="120" w:line="240" w:lineRule="auto"/>
        <w:jc w:val="both"/>
        <w:rPr>
          <w:sz w:val="20"/>
          <w:szCs w:val="20"/>
        </w:rPr>
      </w:pPr>
      <w:r w:rsidRPr="00C04E7D">
        <w:rPr>
          <w:sz w:val="20"/>
          <w:szCs w:val="20"/>
        </w:rPr>
        <w:t xml:space="preserve">Kayani I, </w:t>
      </w:r>
      <w:proofErr w:type="spellStart"/>
      <w:r w:rsidRPr="00C04E7D">
        <w:rPr>
          <w:sz w:val="20"/>
          <w:szCs w:val="20"/>
        </w:rPr>
        <w:t>Bomanji</w:t>
      </w:r>
      <w:proofErr w:type="spellEnd"/>
      <w:r w:rsidRPr="00C04E7D">
        <w:rPr>
          <w:sz w:val="20"/>
          <w:szCs w:val="20"/>
        </w:rPr>
        <w:t xml:space="preserve"> JB, Groves A, Conway G, </w:t>
      </w:r>
      <w:proofErr w:type="spellStart"/>
      <w:r w:rsidRPr="00C04E7D">
        <w:rPr>
          <w:sz w:val="20"/>
          <w:szCs w:val="20"/>
        </w:rPr>
        <w:t>Gacinovic</w:t>
      </w:r>
      <w:proofErr w:type="spellEnd"/>
      <w:r w:rsidRPr="00C04E7D">
        <w:rPr>
          <w:sz w:val="20"/>
          <w:szCs w:val="20"/>
        </w:rPr>
        <w:t xml:space="preserve"> S, Win T, Dickson J, Caplin M, Ell PJ. Functional imaging of neuroendocrine </w:t>
      </w:r>
      <w:proofErr w:type="spellStart"/>
      <w:r w:rsidRPr="00C04E7D">
        <w:rPr>
          <w:sz w:val="20"/>
          <w:szCs w:val="20"/>
        </w:rPr>
        <w:t>tumors</w:t>
      </w:r>
      <w:proofErr w:type="spellEnd"/>
      <w:r w:rsidRPr="00C04E7D">
        <w:rPr>
          <w:sz w:val="20"/>
          <w:szCs w:val="20"/>
        </w:rPr>
        <w:t xml:space="preserve"> with combined PET/CT using 68Ga-DOTATATE (DOTA-DPhe1,Tyr3-octreotate) and 18F-FDG. </w:t>
      </w:r>
      <w:r w:rsidRPr="004C3B98">
        <w:rPr>
          <w:i/>
          <w:iCs/>
          <w:sz w:val="20"/>
          <w:szCs w:val="20"/>
        </w:rPr>
        <w:t>Cancer</w:t>
      </w:r>
      <w:r w:rsidRPr="00C04E7D">
        <w:rPr>
          <w:sz w:val="20"/>
          <w:szCs w:val="20"/>
        </w:rPr>
        <w:t>. 2008 Jun;112(11):2447-55.</w:t>
      </w:r>
    </w:p>
    <w:p w14:paraId="186E9586" w14:textId="77777777" w:rsidR="006F5947" w:rsidRPr="00ED4E95" w:rsidRDefault="006F5947" w:rsidP="00EB5F1B">
      <w:pPr>
        <w:spacing w:after="120" w:line="240" w:lineRule="auto"/>
        <w:jc w:val="both"/>
        <w:rPr>
          <w:sz w:val="20"/>
          <w:szCs w:val="20"/>
        </w:rPr>
      </w:pPr>
      <w:r w:rsidRPr="00ED4E95">
        <w:rPr>
          <w:sz w:val="20"/>
          <w:szCs w:val="20"/>
        </w:rPr>
        <w:t xml:space="preserve">Khan S, Krenning EP, van Essen M, Kam BL, </w:t>
      </w:r>
      <w:proofErr w:type="spellStart"/>
      <w:r w:rsidRPr="00ED4E95">
        <w:rPr>
          <w:sz w:val="20"/>
          <w:szCs w:val="20"/>
        </w:rPr>
        <w:t>Teunissen</w:t>
      </w:r>
      <w:proofErr w:type="spellEnd"/>
      <w:r w:rsidRPr="00ED4E95">
        <w:rPr>
          <w:sz w:val="20"/>
          <w:szCs w:val="20"/>
        </w:rPr>
        <w:t xml:space="preserve"> JJ, </w:t>
      </w:r>
      <w:proofErr w:type="spellStart"/>
      <w:r w:rsidRPr="00ED4E95">
        <w:rPr>
          <w:sz w:val="20"/>
          <w:szCs w:val="20"/>
        </w:rPr>
        <w:t>Kwekkeboom</w:t>
      </w:r>
      <w:proofErr w:type="spellEnd"/>
      <w:r w:rsidRPr="00ED4E95">
        <w:rPr>
          <w:sz w:val="20"/>
          <w:szCs w:val="20"/>
        </w:rPr>
        <w:t xml:space="preserve"> DJ. Quality of life in 265 patients with gastroenteropancreatic or bronchial neuroendocrine </w:t>
      </w:r>
      <w:proofErr w:type="spellStart"/>
      <w:r w:rsidRPr="00ED4E95">
        <w:rPr>
          <w:sz w:val="20"/>
          <w:szCs w:val="20"/>
        </w:rPr>
        <w:t>tumors</w:t>
      </w:r>
      <w:proofErr w:type="spellEnd"/>
      <w:r w:rsidRPr="00ED4E95">
        <w:rPr>
          <w:sz w:val="20"/>
          <w:szCs w:val="20"/>
        </w:rPr>
        <w:t xml:space="preserve"> treated with [177Lu-DOTA0,Tyr3]</w:t>
      </w:r>
      <w:proofErr w:type="spellStart"/>
      <w:r w:rsidRPr="00ED4E95">
        <w:rPr>
          <w:sz w:val="20"/>
          <w:szCs w:val="20"/>
        </w:rPr>
        <w:t>octreotate</w:t>
      </w:r>
      <w:proofErr w:type="spellEnd"/>
      <w:r w:rsidRPr="00ED4E95">
        <w:rPr>
          <w:sz w:val="20"/>
          <w:szCs w:val="20"/>
        </w:rPr>
        <w:t xml:space="preserve">. </w:t>
      </w:r>
      <w:r w:rsidRPr="00ED4E95">
        <w:rPr>
          <w:i/>
          <w:iCs/>
          <w:sz w:val="20"/>
          <w:szCs w:val="20"/>
        </w:rPr>
        <w:t xml:space="preserve">J </w:t>
      </w:r>
      <w:proofErr w:type="spellStart"/>
      <w:r w:rsidRPr="00ED4E95">
        <w:rPr>
          <w:i/>
          <w:iCs/>
          <w:sz w:val="20"/>
          <w:szCs w:val="20"/>
        </w:rPr>
        <w:t>Nucl</w:t>
      </w:r>
      <w:proofErr w:type="spellEnd"/>
      <w:r w:rsidRPr="00ED4E95">
        <w:rPr>
          <w:i/>
          <w:iCs/>
          <w:sz w:val="20"/>
          <w:szCs w:val="20"/>
        </w:rPr>
        <w:t xml:space="preserve"> Med</w:t>
      </w:r>
      <w:r w:rsidRPr="00ED4E95">
        <w:rPr>
          <w:sz w:val="20"/>
          <w:szCs w:val="20"/>
        </w:rPr>
        <w:t>. 2011;52(9):1361-8.</w:t>
      </w:r>
    </w:p>
    <w:p w14:paraId="79D08900" w14:textId="1A113169" w:rsidR="006F5947" w:rsidRDefault="006F5947" w:rsidP="00EB5F1B">
      <w:pPr>
        <w:spacing w:after="120" w:line="240" w:lineRule="auto"/>
        <w:jc w:val="both"/>
        <w:rPr>
          <w:sz w:val="20"/>
          <w:szCs w:val="20"/>
        </w:rPr>
      </w:pPr>
      <w:r w:rsidRPr="00ED4E95">
        <w:rPr>
          <w:sz w:val="20"/>
          <w:szCs w:val="20"/>
        </w:rPr>
        <w:t xml:space="preserve">Kong G, </w:t>
      </w:r>
      <w:proofErr w:type="spellStart"/>
      <w:r w:rsidRPr="00ED4E95">
        <w:rPr>
          <w:sz w:val="20"/>
          <w:szCs w:val="20"/>
        </w:rPr>
        <w:t>Hofman</w:t>
      </w:r>
      <w:proofErr w:type="spellEnd"/>
      <w:r w:rsidRPr="00ED4E95">
        <w:rPr>
          <w:sz w:val="20"/>
          <w:szCs w:val="20"/>
        </w:rPr>
        <w:t xml:space="preserve"> MS, Murray WK, Wilson S, Wood P, Downie P, et al. Initial Experience With Gallium-68 </w:t>
      </w:r>
      <w:r w:rsidR="001C03D0">
        <w:rPr>
          <w:sz w:val="20"/>
          <w:szCs w:val="20"/>
        </w:rPr>
        <w:t>DOTA-</w:t>
      </w:r>
      <w:r w:rsidR="00110D5F">
        <w:rPr>
          <w:sz w:val="20"/>
          <w:szCs w:val="20"/>
        </w:rPr>
        <w:t xml:space="preserve">octreotate </w:t>
      </w:r>
      <w:r w:rsidRPr="00ED4E95">
        <w:rPr>
          <w:sz w:val="20"/>
          <w:szCs w:val="20"/>
        </w:rPr>
        <w:t xml:space="preserve">PET/CT and Peptide Receptor Radionuclide Therapy for </w:t>
      </w:r>
      <w:proofErr w:type="spellStart"/>
      <w:r w:rsidRPr="00ED4E95">
        <w:rPr>
          <w:sz w:val="20"/>
          <w:szCs w:val="20"/>
        </w:rPr>
        <w:t>Pediatric</w:t>
      </w:r>
      <w:proofErr w:type="spellEnd"/>
      <w:r w:rsidRPr="00ED4E95">
        <w:rPr>
          <w:sz w:val="20"/>
          <w:szCs w:val="20"/>
        </w:rPr>
        <w:t xml:space="preserve"> Patients With Refractory Metastatic Neuroblastoma. </w:t>
      </w:r>
      <w:r w:rsidRPr="00ED4E95">
        <w:rPr>
          <w:i/>
          <w:iCs/>
          <w:sz w:val="20"/>
          <w:szCs w:val="20"/>
        </w:rPr>
        <w:t xml:space="preserve">Journal of </w:t>
      </w:r>
      <w:proofErr w:type="spellStart"/>
      <w:r w:rsidRPr="00ED4E95">
        <w:rPr>
          <w:i/>
          <w:iCs/>
          <w:sz w:val="20"/>
          <w:szCs w:val="20"/>
        </w:rPr>
        <w:t>Paeidatric</w:t>
      </w:r>
      <w:proofErr w:type="spellEnd"/>
      <w:r w:rsidRPr="00ED4E95">
        <w:rPr>
          <w:i/>
          <w:iCs/>
          <w:sz w:val="20"/>
          <w:szCs w:val="20"/>
        </w:rPr>
        <w:t xml:space="preserve"> </w:t>
      </w:r>
      <w:proofErr w:type="spellStart"/>
      <w:r w:rsidRPr="00ED4E95">
        <w:rPr>
          <w:i/>
          <w:iCs/>
          <w:sz w:val="20"/>
          <w:szCs w:val="20"/>
        </w:rPr>
        <w:t>Haemotology</w:t>
      </w:r>
      <w:proofErr w:type="spellEnd"/>
      <w:r w:rsidRPr="00ED4E95">
        <w:rPr>
          <w:i/>
          <w:iCs/>
          <w:sz w:val="20"/>
          <w:szCs w:val="20"/>
        </w:rPr>
        <w:t xml:space="preserve"> and Oncology</w:t>
      </w:r>
      <w:r w:rsidRPr="00ED4E95">
        <w:rPr>
          <w:sz w:val="20"/>
          <w:szCs w:val="20"/>
        </w:rPr>
        <w:t>. 2016;38:87-96.</w:t>
      </w:r>
    </w:p>
    <w:p w14:paraId="20A14517" w14:textId="03F8696A" w:rsidR="00160A15" w:rsidRPr="00ED4E95" w:rsidRDefault="00160A15" w:rsidP="00EB5F1B">
      <w:pPr>
        <w:spacing w:after="120" w:line="240" w:lineRule="auto"/>
        <w:jc w:val="both"/>
        <w:rPr>
          <w:sz w:val="20"/>
          <w:szCs w:val="20"/>
        </w:rPr>
      </w:pPr>
      <w:r w:rsidRPr="00ED4E95">
        <w:rPr>
          <w:sz w:val="20"/>
          <w:szCs w:val="20"/>
        </w:rPr>
        <w:t xml:space="preserve">Kong G, </w:t>
      </w:r>
      <w:proofErr w:type="spellStart"/>
      <w:r w:rsidRPr="00ED4E95">
        <w:rPr>
          <w:sz w:val="20"/>
          <w:szCs w:val="20"/>
        </w:rPr>
        <w:t>Grozinsky</w:t>
      </w:r>
      <w:proofErr w:type="spellEnd"/>
      <w:r w:rsidRPr="00ED4E95">
        <w:rPr>
          <w:sz w:val="20"/>
          <w:szCs w:val="20"/>
        </w:rPr>
        <w:t xml:space="preserve">-Glasberg S, </w:t>
      </w:r>
      <w:proofErr w:type="spellStart"/>
      <w:r w:rsidRPr="00ED4E95">
        <w:rPr>
          <w:sz w:val="20"/>
          <w:szCs w:val="20"/>
        </w:rPr>
        <w:t>Hofman</w:t>
      </w:r>
      <w:proofErr w:type="spellEnd"/>
      <w:r w:rsidRPr="00ED4E95">
        <w:rPr>
          <w:sz w:val="20"/>
          <w:szCs w:val="20"/>
        </w:rPr>
        <w:t xml:space="preserve"> MS, Callahan J, </w:t>
      </w:r>
      <w:proofErr w:type="spellStart"/>
      <w:r w:rsidRPr="00ED4E95">
        <w:rPr>
          <w:sz w:val="20"/>
          <w:szCs w:val="20"/>
        </w:rPr>
        <w:t>Meirovitz</w:t>
      </w:r>
      <w:proofErr w:type="spellEnd"/>
      <w:r w:rsidRPr="00ED4E95">
        <w:rPr>
          <w:sz w:val="20"/>
          <w:szCs w:val="20"/>
        </w:rPr>
        <w:t xml:space="preserve"> A, </w:t>
      </w:r>
      <w:proofErr w:type="spellStart"/>
      <w:r w:rsidRPr="00ED4E95">
        <w:rPr>
          <w:sz w:val="20"/>
          <w:szCs w:val="20"/>
        </w:rPr>
        <w:t>Maimon</w:t>
      </w:r>
      <w:proofErr w:type="spellEnd"/>
      <w:r w:rsidRPr="00ED4E95">
        <w:rPr>
          <w:sz w:val="20"/>
          <w:szCs w:val="20"/>
        </w:rPr>
        <w:t xml:space="preserve"> O, et al. Efficacy of Peptide Receptor Radionuclide Therapy for Functional Metastatic Paraganglioma and Pheochromocytoma. </w:t>
      </w:r>
      <w:r w:rsidRPr="00ED4E95">
        <w:rPr>
          <w:i/>
          <w:iCs/>
          <w:sz w:val="20"/>
          <w:szCs w:val="20"/>
        </w:rPr>
        <w:t xml:space="preserve">J Clin Endocrinol </w:t>
      </w:r>
      <w:proofErr w:type="spellStart"/>
      <w:r w:rsidRPr="00ED4E95">
        <w:rPr>
          <w:i/>
          <w:iCs/>
          <w:sz w:val="20"/>
          <w:szCs w:val="20"/>
        </w:rPr>
        <w:t>Metab</w:t>
      </w:r>
      <w:proofErr w:type="spellEnd"/>
      <w:r w:rsidRPr="00ED4E95">
        <w:rPr>
          <w:sz w:val="20"/>
          <w:szCs w:val="20"/>
        </w:rPr>
        <w:t>. 2017;102(9):3278-87.</w:t>
      </w:r>
    </w:p>
    <w:p w14:paraId="74CFD9EF" w14:textId="77777777" w:rsidR="00D1415B" w:rsidRPr="00ED4E95" w:rsidRDefault="00D1415B" w:rsidP="00EB5F1B">
      <w:pPr>
        <w:spacing w:after="120" w:line="240" w:lineRule="auto"/>
        <w:jc w:val="both"/>
        <w:rPr>
          <w:sz w:val="20"/>
          <w:szCs w:val="20"/>
        </w:rPr>
      </w:pPr>
      <w:r w:rsidRPr="00ED4E95">
        <w:rPr>
          <w:sz w:val="20"/>
          <w:szCs w:val="20"/>
        </w:rPr>
        <w:t xml:space="preserve">Leyden S, </w:t>
      </w:r>
      <w:proofErr w:type="spellStart"/>
      <w:r w:rsidRPr="00ED4E95">
        <w:rPr>
          <w:sz w:val="20"/>
          <w:szCs w:val="20"/>
        </w:rPr>
        <w:t>Kolarova</w:t>
      </w:r>
      <w:proofErr w:type="spellEnd"/>
      <w:r w:rsidRPr="00ED4E95">
        <w:rPr>
          <w:sz w:val="20"/>
          <w:szCs w:val="20"/>
        </w:rPr>
        <w:t xml:space="preserve"> T, Bouvier C, Caplin M, Conroy S, Davies P, et al. Unmet needs in the international neuroendocrine </w:t>
      </w:r>
      <w:proofErr w:type="spellStart"/>
      <w:r w:rsidRPr="00ED4E95">
        <w:rPr>
          <w:sz w:val="20"/>
          <w:szCs w:val="20"/>
        </w:rPr>
        <w:t>tumor</w:t>
      </w:r>
      <w:proofErr w:type="spellEnd"/>
      <w:r w:rsidRPr="00ED4E95">
        <w:rPr>
          <w:sz w:val="20"/>
          <w:szCs w:val="20"/>
        </w:rPr>
        <w:t xml:space="preserve"> (NET) community: Assessment of major gaps from the perspective of patients, patient advocates and NET health care professionals. </w:t>
      </w:r>
      <w:r w:rsidRPr="00ED4E95">
        <w:rPr>
          <w:i/>
          <w:iCs/>
          <w:sz w:val="20"/>
          <w:szCs w:val="20"/>
        </w:rPr>
        <w:t>Int J Cancer.</w:t>
      </w:r>
      <w:r w:rsidRPr="00ED4E95">
        <w:rPr>
          <w:sz w:val="20"/>
          <w:szCs w:val="20"/>
        </w:rPr>
        <w:t xml:space="preserve"> 2020;146(5):1316-23.</w:t>
      </w:r>
    </w:p>
    <w:p w14:paraId="48A9C02A" w14:textId="2D997FFD" w:rsidR="008409BA" w:rsidRPr="00ED4E95" w:rsidRDefault="008409BA" w:rsidP="00EB5F1B">
      <w:pPr>
        <w:spacing w:after="120" w:line="240" w:lineRule="auto"/>
        <w:jc w:val="both"/>
        <w:rPr>
          <w:i/>
          <w:iCs/>
          <w:sz w:val="20"/>
          <w:szCs w:val="20"/>
        </w:rPr>
      </w:pPr>
      <w:proofErr w:type="spellStart"/>
      <w:r w:rsidRPr="00ED4E95">
        <w:rPr>
          <w:sz w:val="20"/>
          <w:szCs w:val="20"/>
        </w:rPr>
        <w:t>Majala</w:t>
      </w:r>
      <w:proofErr w:type="spellEnd"/>
      <w:r w:rsidRPr="00ED4E95">
        <w:rPr>
          <w:sz w:val="20"/>
          <w:szCs w:val="20"/>
        </w:rPr>
        <w:t xml:space="preserve"> S, </w:t>
      </w:r>
      <w:proofErr w:type="spellStart"/>
      <w:r w:rsidRPr="00ED4E95">
        <w:rPr>
          <w:sz w:val="20"/>
          <w:szCs w:val="20"/>
        </w:rPr>
        <w:t>Seppanen</w:t>
      </w:r>
      <w:proofErr w:type="spellEnd"/>
      <w:r w:rsidRPr="00ED4E95">
        <w:rPr>
          <w:sz w:val="20"/>
          <w:szCs w:val="20"/>
        </w:rPr>
        <w:t xml:space="preserve"> H, </w:t>
      </w:r>
      <w:proofErr w:type="spellStart"/>
      <w:r w:rsidRPr="00ED4E95">
        <w:rPr>
          <w:sz w:val="20"/>
          <w:szCs w:val="20"/>
        </w:rPr>
        <w:t>Kemppainen</w:t>
      </w:r>
      <w:proofErr w:type="spellEnd"/>
      <w:r w:rsidRPr="00ED4E95">
        <w:rPr>
          <w:sz w:val="20"/>
          <w:szCs w:val="20"/>
        </w:rPr>
        <w:t xml:space="preserve"> J, Sundstrom J, </w:t>
      </w:r>
      <w:proofErr w:type="spellStart"/>
      <w:r w:rsidRPr="00ED4E95">
        <w:rPr>
          <w:sz w:val="20"/>
          <w:szCs w:val="20"/>
        </w:rPr>
        <w:t>Schalin-Jäntti</w:t>
      </w:r>
      <w:proofErr w:type="spellEnd"/>
      <w:r w:rsidRPr="00ED4E95">
        <w:rPr>
          <w:sz w:val="20"/>
          <w:szCs w:val="20"/>
        </w:rPr>
        <w:t xml:space="preserve"> C, </w:t>
      </w:r>
      <w:proofErr w:type="spellStart"/>
      <w:r w:rsidRPr="00ED4E95">
        <w:rPr>
          <w:sz w:val="20"/>
          <w:szCs w:val="20"/>
        </w:rPr>
        <w:t>Gullichsen</w:t>
      </w:r>
      <w:proofErr w:type="spellEnd"/>
      <w:r w:rsidRPr="00ED4E95">
        <w:rPr>
          <w:sz w:val="20"/>
          <w:szCs w:val="20"/>
        </w:rPr>
        <w:t xml:space="preserve"> R, et al. Prediction of the aggressiveness of non-functional pancreatic neuroendocrine </w:t>
      </w:r>
      <w:proofErr w:type="spellStart"/>
      <w:r w:rsidRPr="00ED4E95">
        <w:rPr>
          <w:sz w:val="20"/>
          <w:szCs w:val="20"/>
        </w:rPr>
        <w:t>tumors</w:t>
      </w:r>
      <w:proofErr w:type="spellEnd"/>
      <w:r w:rsidRPr="00ED4E95">
        <w:rPr>
          <w:sz w:val="20"/>
          <w:szCs w:val="20"/>
        </w:rPr>
        <w:t xml:space="preserve"> based on the dual-tracer PET/CT. </w:t>
      </w:r>
      <w:r w:rsidRPr="00ED4E95">
        <w:rPr>
          <w:i/>
          <w:iCs/>
          <w:sz w:val="20"/>
          <w:szCs w:val="20"/>
        </w:rPr>
        <w:t xml:space="preserve">EJNMMI Research. </w:t>
      </w:r>
      <w:r w:rsidRPr="00ED4E95">
        <w:rPr>
          <w:sz w:val="20"/>
          <w:szCs w:val="20"/>
        </w:rPr>
        <w:t>2019, 9:116.</w:t>
      </w:r>
      <w:r w:rsidRPr="00ED4E95">
        <w:rPr>
          <w:i/>
          <w:iCs/>
          <w:sz w:val="20"/>
          <w:szCs w:val="20"/>
        </w:rPr>
        <w:t xml:space="preserve"> </w:t>
      </w:r>
    </w:p>
    <w:p w14:paraId="71D9463C" w14:textId="77777777" w:rsidR="006F5947" w:rsidRPr="00ED4E95" w:rsidRDefault="006F5947" w:rsidP="00EB5F1B">
      <w:pPr>
        <w:spacing w:after="120" w:line="240" w:lineRule="auto"/>
        <w:jc w:val="both"/>
        <w:rPr>
          <w:sz w:val="20"/>
          <w:szCs w:val="20"/>
        </w:rPr>
      </w:pPr>
      <w:proofErr w:type="spellStart"/>
      <w:r w:rsidRPr="00ED4E95">
        <w:rPr>
          <w:sz w:val="20"/>
          <w:szCs w:val="20"/>
        </w:rPr>
        <w:t>Marinova</w:t>
      </w:r>
      <w:proofErr w:type="spellEnd"/>
      <w:r w:rsidRPr="00ED4E95">
        <w:rPr>
          <w:sz w:val="20"/>
          <w:szCs w:val="20"/>
        </w:rPr>
        <w:t xml:space="preserve"> M, </w:t>
      </w:r>
      <w:proofErr w:type="spellStart"/>
      <w:r w:rsidRPr="00ED4E95">
        <w:rPr>
          <w:sz w:val="20"/>
          <w:szCs w:val="20"/>
        </w:rPr>
        <w:t>Mucke</w:t>
      </w:r>
      <w:proofErr w:type="spellEnd"/>
      <w:r w:rsidRPr="00ED4E95">
        <w:rPr>
          <w:sz w:val="20"/>
          <w:szCs w:val="20"/>
        </w:rPr>
        <w:t xml:space="preserve"> M, Fischer F, </w:t>
      </w:r>
      <w:proofErr w:type="spellStart"/>
      <w:r w:rsidRPr="00ED4E95">
        <w:rPr>
          <w:sz w:val="20"/>
          <w:szCs w:val="20"/>
        </w:rPr>
        <w:t>Essler</w:t>
      </w:r>
      <w:proofErr w:type="spellEnd"/>
      <w:r w:rsidRPr="00ED4E95">
        <w:rPr>
          <w:sz w:val="20"/>
          <w:szCs w:val="20"/>
        </w:rPr>
        <w:t xml:space="preserve"> M, </w:t>
      </w:r>
      <w:proofErr w:type="spellStart"/>
      <w:r w:rsidRPr="00ED4E95">
        <w:rPr>
          <w:sz w:val="20"/>
          <w:szCs w:val="20"/>
        </w:rPr>
        <w:t>Cuhls</w:t>
      </w:r>
      <w:proofErr w:type="spellEnd"/>
      <w:r w:rsidRPr="00ED4E95">
        <w:rPr>
          <w:sz w:val="20"/>
          <w:szCs w:val="20"/>
        </w:rPr>
        <w:t xml:space="preserve"> H, </w:t>
      </w:r>
      <w:proofErr w:type="spellStart"/>
      <w:r w:rsidRPr="00ED4E95">
        <w:rPr>
          <w:sz w:val="20"/>
          <w:szCs w:val="20"/>
        </w:rPr>
        <w:t>Radbruch</w:t>
      </w:r>
      <w:proofErr w:type="spellEnd"/>
      <w:r w:rsidRPr="00ED4E95">
        <w:rPr>
          <w:sz w:val="20"/>
          <w:szCs w:val="20"/>
        </w:rPr>
        <w:t xml:space="preserve"> L, et al. Quality of life in patients with midgut NET following peptide receptor radionuclide therapy. </w:t>
      </w:r>
      <w:proofErr w:type="spellStart"/>
      <w:r w:rsidRPr="00ED4E95">
        <w:rPr>
          <w:i/>
          <w:iCs/>
          <w:sz w:val="20"/>
          <w:szCs w:val="20"/>
        </w:rPr>
        <w:t>Eur</w:t>
      </w:r>
      <w:proofErr w:type="spellEnd"/>
      <w:r w:rsidRPr="00ED4E95">
        <w:rPr>
          <w:i/>
          <w:iCs/>
          <w:sz w:val="20"/>
          <w:szCs w:val="20"/>
        </w:rPr>
        <w:t xml:space="preserve"> J </w:t>
      </w:r>
      <w:proofErr w:type="spellStart"/>
      <w:r w:rsidRPr="00ED4E95">
        <w:rPr>
          <w:i/>
          <w:iCs/>
          <w:sz w:val="20"/>
          <w:szCs w:val="20"/>
        </w:rPr>
        <w:t>Nucl</w:t>
      </w:r>
      <w:proofErr w:type="spellEnd"/>
      <w:r w:rsidRPr="00ED4E95">
        <w:rPr>
          <w:i/>
          <w:iCs/>
          <w:sz w:val="20"/>
          <w:szCs w:val="20"/>
        </w:rPr>
        <w:t xml:space="preserve"> Med Mol Imaging</w:t>
      </w:r>
      <w:r w:rsidRPr="00ED4E95">
        <w:rPr>
          <w:sz w:val="20"/>
          <w:szCs w:val="20"/>
        </w:rPr>
        <w:t>. 2019;46(11):2252-9.</w:t>
      </w:r>
    </w:p>
    <w:p w14:paraId="599927CB" w14:textId="77777777" w:rsidR="00ED4DEC" w:rsidRPr="00ED4E95" w:rsidRDefault="00ED4DEC" w:rsidP="00EB5F1B">
      <w:pPr>
        <w:spacing w:after="120" w:line="240" w:lineRule="auto"/>
        <w:jc w:val="both"/>
        <w:rPr>
          <w:sz w:val="20"/>
          <w:szCs w:val="20"/>
        </w:rPr>
      </w:pPr>
      <w:r w:rsidRPr="00ED4E95">
        <w:rPr>
          <w:sz w:val="20"/>
          <w:szCs w:val="20"/>
        </w:rPr>
        <w:t>Medical Services Advisory Committee. Application No. 1479R – Substitution of 68Ga-DOTA-peptide PET/CT scanning in lieu of Octreotide for patients undergoing somatostatin receptor diagnostic imaging under MBS item 61369. Department of Health and Aged Care; 2017.</w:t>
      </w:r>
    </w:p>
    <w:p w14:paraId="2A32F7A1" w14:textId="6DAF759C" w:rsidR="00ED4DEC" w:rsidRPr="00ED4E95" w:rsidRDefault="00ED4DEC" w:rsidP="00EB5F1B">
      <w:pPr>
        <w:spacing w:after="120" w:line="240" w:lineRule="auto"/>
        <w:jc w:val="both"/>
        <w:rPr>
          <w:sz w:val="20"/>
          <w:szCs w:val="20"/>
        </w:rPr>
      </w:pPr>
      <w:r w:rsidRPr="00ED4E95">
        <w:rPr>
          <w:sz w:val="20"/>
          <w:szCs w:val="20"/>
        </w:rPr>
        <w:lastRenderedPageBreak/>
        <w:t>Medical Services Advisory Committee. Application 1632 – PSMA PET/CT imaging for informing treatment of patients with prostate cancer. Department of Health and Aged Care; 2021.</w:t>
      </w:r>
    </w:p>
    <w:p w14:paraId="5A1EE142" w14:textId="6816543C" w:rsidR="00243D4A" w:rsidRPr="00ED4E95" w:rsidRDefault="00243D4A" w:rsidP="00EB5F1B">
      <w:pPr>
        <w:spacing w:after="120" w:line="240" w:lineRule="auto"/>
        <w:jc w:val="both"/>
        <w:rPr>
          <w:sz w:val="20"/>
          <w:szCs w:val="20"/>
        </w:rPr>
      </w:pPr>
      <w:r w:rsidRPr="00ED4E95">
        <w:rPr>
          <w:sz w:val="20"/>
          <w:szCs w:val="20"/>
        </w:rPr>
        <w:t xml:space="preserve">Medical Services Advisory Committee. Application 1686 – </w:t>
      </w:r>
      <w:r w:rsidR="005E1C7B" w:rsidRPr="00ED4E95">
        <w:rPr>
          <w:sz w:val="20"/>
          <w:szCs w:val="20"/>
          <w:vertAlign w:val="superscript"/>
        </w:rPr>
        <w:t>177</w:t>
      </w:r>
      <w:r w:rsidR="005E1C7B" w:rsidRPr="00ED4E95">
        <w:rPr>
          <w:sz w:val="20"/>
          <w:szCs w:val="20"/>
        </w:rPr>
        <w:t>Lutetium Prostate Specific Membrane Antigen (PSMA) imaging and therapy (I&amp;T) for metastatic castrate resistant prostate cancer (</w:t>
      </w:r>
      <w:proofErr w:type="spellStart"/>
      <w:r w:rsidR="005E1C7B" w:rsidRPr="00ED4E95">
        <w:rPr>
          <w:sz w:val="20"/>
          <w:szCs w:val="20"/>
        </w:rPr>
        <w:t>mCRPC</w:t>
      </w:r>
      <w:proofErr w:type="spellEnd"/>
      <w:r w:rsidR="005E1C7B" w:rsidRPr="00ED4E95">
        <w:rPr>
          <w:sz w:val="20"/>
          <w:szCs w:val="20"/>
        </w:rPr>
        <w:t>), 2021.</w:t>
      </w:r>
    </w:p>
    <w:p w14:paraId="00F27DE5" w14:textId="707A9855" w:rsidR="00F945A2" w:rsidRDefault="00F945A2" w:rsidP="00EB5F1B">
      <w:pPr>
        <w:spacing w:after="120" w:line="240" w:lineRule="auto"/>
        <w:jc w:val="both"/>
        <w:rPr>
          <w:sz w:val="20"/>
          <w:szCs w:val="20"/>
        </w:rPr>
      </w:pPr>
      <w:r w:rsidRPr="00ED4E95">
        <w:rPr>
          <w:sz w:val="20"/>
          <w:szCs w:val="20"/>
        </w:rPr>
        <w:t xml:space="preserve">Michael M, </w:t>
      </w:r>
      <w:proofErr w:type="spellStart"/>
      <w:r w:rsidRPr="00ED4E95">
        <w:rPr>
          <w:sz w:val="20"/>
          <w:szCs w:val="20"/>
        </w:rPr>
        <w:t>Thursfield</w:t>
      </w:r>
      <w:proofErr w:type="spellEnd"/>
      <w:r w:rsidRPr="00ED4E95">
        <w:rPr>
          <w:sz w:val="20"/>
          <w:szCs w:val="20"/>
        </w:rPr>
        <w:t xml:space="preserve"> V, </w:t>
      </w:r>
      <w:proofErr w:type="spellStart"/>
      <w:r w:rsidRPr="00ED4E95">
        <w:rPr>
          <w:sz w:val="20"/>
          <w:szCs w:val="20"/>
        </w:rPr>
        <w:t>Te</w:t>
      </w:r>
      <w:proofErr w:type="spellEnd"/>
      <w:r w:rsidRPr="00ED4E95">
        <w:rPr>
          <w:sz w:val="20"/>
          <w:szCs w:val="20"/>
        </w:rPr>
        <w:t xml:space="preserve"> </w:t>
      </w:r>
      <w:proofErr w:type="spellStart"/>
      <w:r w:rsidRPr="00ED4E95">
        <w:rPr>
          <w:sz w:val="20"/>
          <w:szCs w:val="20"/>
        </w:rPr>
        <w:t>Marvelde</w:t>
      </w:r>
      <w:proofErr w:type="spellEnd"/>
      <w:r w:rsidRPr="00ED4E95">
        <w:rPr>
          <w:sz w:val="20"/>
          <w:szCs w:val="20"/>
        </w:rPr>
        <w:t xml:space="preserve"> L, Kong G, Hicks RJ. Incidence, prevalence, and survival trends for neuroendocrine neoplasms in Victoria, Australia, from 1982 to 2019: Based on site, grade, and region. </w:t>
      </w:r>
      <w:r w:rsidRPr="00ED4E95">
        <w:rPr>
          <w:i/>
          <w:iCs/>
          <w:sz w:val="20"/>
          <w:szCs w:val="20"/>
        </w:rPr>
        <w:t>Asia Pac J Clin Oncol</w:t>
      </w:r>
      <w:r w:rsidRPr="00ED4E95">
        <w:rPr>
          <w:sz w:val="20"/>
          <w:szCs w:val="20"/>
        </w:rPr>
        <w:t>. 2022;18(5):e306-e17.</w:t>
      </w:r>
    </w:p>
    <w:p w14:paraId="6A472406" w14:textId="52045B77" w:rsidR="00C04E7D" w:rsidRDefault="00C04E7D" w:rsidP="00EB5F1B">
      <w:pPr>
        <w:spacing w:after="120" w:line="240" w:lineRule="auto"/>
        <w:jc w:val="both"/>
        <w:rPr>
          <w:sz w:val="20"/>
          <w:szCs w:val="20"/>
        </w:rPr>
      </w:pPr>
      <w:proofErr w:type="spellStart"/>
      <w:r w:rsidRPr="00C04E7D">
        <w:rPr>
          <w:sz w:val="20"/>
          <w:szCs w:val="20"/>
        </w:rPr>
        <w:t>Nilica</w:t>
      </w:r>
      <w:proofErr w:type="spellEnd"/>
      <w:r w:rsidRPr="00C04E7D">
        <w:rPr>
          <w:sz w:val="20"/>
          <w:szCs w:val="20"/>
        </w:rPr>
        <w:t xml:space="preserve"> B, </w:t>
      </w:r>
      <w:proofErr w:type="spellStart"/>
      <w:r w:rsidRPr="00C04E7D">
        <w:rPr>
          <w:sz w:val="20"/>
          <w:szCs w:val="20"/>
        </w:rPr>
        <w:t>Waitz</w:t>
      </w:r>
      <w:proofErr w:type="spellEnd"/>
      <w:r w:rsidRPr="00C04E7D">
        <w:rPr>
          <w:sz w:val="20"/>
          <w:szCs w:val="20"/>
        </w:rPr>
        <w:t xml:space="preserve"> D, </w:t>
      </w:r>
      <w:proofErr w:type="spellStart"/>
      <w:r w:rsidRPr="00C04E7D">
        <w:rPr>
          <w:sz w:val="20"/>
          <w:szCs w:val="20"/>
        </w:rPr>
        <w:t>Stevanovic</w:t>
      </w:r>
      <w:proofErr w:type="spellEnd"/>
      <w:r w:rsidRPr="00C04E7D">
        <w:rPr>
          <w:sz w:val="20"/>
          <w:szCs w:val="20"/>
        </w:rPr>
        <w:t xml:space="preserve"> V, </w:t>
      </w:r>
      <w:proofErr w:type="spellStart"/>
      <w:r w:rsidRPr="00C04E7D">
        <w:rPr>
          <w:sz w:val="20"/>
          <w:szCs w:val="20"/>
        </w:rPr>
        <w:t>Uprimny</w:t>
      </w:r>
      <w:proofErr w:type="spellEnd"/>
      <w:r w:rsidRPr="00C04E7D">
        <w:rPr>
          <w:sz w:val="20"/>
          <w:szCs w:val="20"/>
        </w:rPr>
        <w:t xml:space="preserve"> C, Kendler D, Buxbaum S, </w:t>
      </w:r>
      <w:proofErr w:type="spellStart"/>
      <w:r w:rsidRPr="00C04E7D">
        <w:rPr>
          <w:sz w:val="20"/>
          <w:szCs w:val="20"/>
        </w:rPr>
        <w:t>Warwitz</w:t>
      </w:r>
      <w:proofErr w:type="spellEnd"/>
      <w:r w:rsidRPr="00C04E7D">
        <w:rPr>
          <w:sz w:val="20"/>
          <w:szCs w:val="20"/>
        </w:rPr>
        <w:t xml:space="preserve"> B, Gerardo L, Henninger B, </w:t>
      </w:r>
      <w:proofErr w:type="spellStart"/>
      <w:r w:rsidRPr="00C04E7D">
        <w:rPr>
          <w:sz w:val="20"/>
          <w:szCs w:val="20"/>
        </w:rPr>
        <w:t>Virgolini</w:t>
      </w:r>
      <w:proofErr w:type="spellEnd"/>
      <w:r w:rsidRPr="00C04E7D">
        <w:rPr>
          <w:sz w:val="20"/>
          <w:szCs w:val="20"/>
        </w:rPr>
        <w:t xml:space="preserve"> I, Rodrigues M. Direct comparison of (68)Ga-DOTA-TOC and (18)F-FDG PET/CT in the follow-up of patients with neuroendocrine tumour treated with the first full peptide receptor radionuclide therapy cycle.</w:t>
      </w:r>
      <w:r w:rsidRPr="004C3B98">
        <w:rPr>
          <w:i/>
          <w:iCs/>
          <w:sz w:val="20"/>
          <w:szCs w:val="20"/>
        </w:rPr>
        <w:t xml:space="preserve"> </w:t>
      </w:r>
      <w:proofErr w:type="spellStart"/>
      <w:r w:rsidRPr="004C3B98">
        <w:rPr>
          <w:i/>
          <w:iCs/>
          <w:sz w:val="20"/>
          <w:szCs w:val="20"/>
        </w:rPr>
        <w:t>Eur</w:t>
      </w:r>
      <w:proofErr w:type="spellEnd"/>
      <w:r w:rsidRPr="004C3B98">
        <w:rPr>
          <w:i/>
          <w:iCs/>
          <w:sz w:val="20"/>
          <w:szCs w:val="20"/>
        </w:rPr>
        <w:t xml:space="preserve"> J </w:t>
      </w:r>
      <w:proofErr w:type="spellStart"/>
      <w:r w:rsidRPr="004C3B98">
        <w:rPr>
          <w:i/>
          <w:iCs/>
          <w:sz w:val="20"/>
          <w:szCs w:val="20"/>
        </w:rPr>
        <w:t>Nucl</w:t>
      </w:r>
      <w:proofErr w:type="spellEnd"/>
      <w:r w:rsidRPr="004C3B98">
        <w:rPr>
          <w:i/>
          <w:iCs/>
          <w:sz w:val="20"/>
          <w:szCs w:val="20"/>
        </w:rPr>
        <w:t xml:space="preserve"> Med Mol Imaging</w:t>
      </w:r>
      <w:r w:rsidRPr="00C04E7D">
        <w:rPr>
          <w:sz w:val="20"/>
          <w:szCs w:val="20"/>
        </w:rPr>
        <w:t>. 2016 Aug;43(9):1585-92.</w:t>
      </w:r>
    </w:p>
    <w:p w14:paraId="2536A36F" w14:textId="3D11E6D9" w:rsidR="0056536B" w:rsidRPr="00ED4E95" w:rsidRDefault="0056536B" w:rsidP="00EB5F1B">
      <w:pPr>
        <w:spacing w:after="120" w:line="240" w:lineRule="auto"/>
        <w:jc w:val="both"/>
        <w:rPr>
          <w:sz w:val="20"/>
          <w:szCs w:val="20"/>
        </w:rPr>
      </w:pPr>
      <w:r w:rsidRPr="0056536B">
        <w:rPr>
          <w:sz w:val="20"/>
          <w:szCs w:val="20"/>
        </w:rPr>
        <w:t xml:space="preserve">Ortega C, Wong RKS, </w:t>
      </w:r>
      <w:proofErr w:type="spellStart"/>
      <w:r w:rsidRPr="0056536B">
        <w:rPr>
          <w:sz w:val="20"/>
          <w:szCs w:val="20"/>
        </w:rPr>
        <w:t>Schaefferkoetter</w:t>
      </w:r>
      <w:proofErr w:type="spellEnd"/>
      <w:r w:rsidRPr="0056536B">
        <w:rPr>
          <w:sz w:val="20"/>
          <w:szCs w:val="20"/>
        </w:rPr>
        <w:t xml:space="preserve"> J, </w:t>
      </w:r>
      <w:proofErr w:type="spellStart"/>
      <w:r w:rsidRPr="0056536B">
        <w:rPr>
          <w:sz w:val="20"/>
          <w:szCs w:val="20"/>
        </w:rPr>
        <w:t>Veit-Haibach</w:t>
      </w:r>
      <w:proofErr w:type="spellEnd"/>
      <w:r w:rsidRPr="0056536B">
        <w:rPr>
          <w:sz w:val="20"/>
          <w:szCs w:val="20"/>
        </w:rPr>
        <w:t xml:space="preserve"> P, </w:t>
      </w:r>
      <w:proofErr w:type="spellStart"/>
      <w:r w:rsidRPr="0056536B">
        <w:rPr>
          <w:sz w:val="20"/>
          <w:szCs w:val="20"/>
        </w:rPr>
        <w:t>Myrehaug</w:t>
      </w:r>
      <w:proofErr w:type="spellEnd"/>
      <w:r w:rsidRPr="0056536B">
        <w:rPr>
          <w:sz w:val="20"/>
          <w:szCs w:val="20"/>
        </w:rPr>
        <w:t xml:space="preserve"> S, </w:t>
      </w:r>
      <w:proofErr w:type="spellStart"/>
      <w:r w:rsidRPr="0056536B">
        <w:rPr>
          <w:sz w:val="20"/>
          <w:szCs w:val="20"/>
        </w:rPr>
        <w:t>Juergens</w:t>
      </w:r>
      <w:proofErr w:type="spellEnd"/>
      <w:r w:rsidRPr="0056536B">
        <w:rPr>
          <w:sz w:val="20"/>
          <w:szCs w:val="20"/>
        </w:rPr>
        <w:t xml:space="preserve"> R, Laidley D, </w:t>
      </w:r>
      <w:proofErr w:type="spellStart"/>
      <w:r w:rsidRPr="0056536B">
        <w:rPr>
          <w:sz w:val="20"/>
          <w:szCs w:val="20"/>
        </w:rPr>
        <w:t>Anconina</w:t>
      </w:r>
      <w:proofErr w:type="spellEnd"/>
      <w:r w:rsidRPr="0056536B">
        <w:rPr>
          <w:sz w:val="20"/>
          <w:szCs w:val="20"/>
        </w:rPr>
        <w:t xml:space="preserve"> R, Liu A, </w:t>
      </w:r>
      <w:proofErr w:type="spellStart"/>
      <w:r w:rsidRPr="0056536B">
        <w:rPr>
          <w:sz w:val="20"/>
          <w:szCs w:val="20"/>
        </w:rPr>
        <w:t>Metser</w:t>
      </w:r>
      <w:proofErr w:type="spellEnd"/>
      <w:r w:rsidRPr="0056536B">
        <w:rPr>
          <w:sz w:val="20"/>
          <w:szCs w:val="20"/>
        </w:rPr>
        <w:t xml:space="preserve"> U. Quantitative 68Ga-DOTATATE PET/CT Parameters for the Prediction of Therapy Response in Patients with Progressive Metastatic Neuroendocrine Tumors Treated with 177Lu-DOTATATE. </w:t>
      </w:r>
      <w:r w:rsidRPr="004C3B98">
        <w:rPr>
          <w:i/>
          <w:iCs/>
          <w:sz w:val="20"/>
          <w:szCs w:val="20"/>
        </w:rPr>
        <w:t xml:space="preserve">J </w:t>
      </w:r>
      <w:proofErr w:type="spellStart"/>
      <w:r w:rsidRPr="004C3B98">
        <w:rPr>
          <w:i/>
          <w:iCs/>
          <w:sz w:val="20"/>
          <w:szCs w:val="20"/>
        </w:rPr>
        <w:t>Nucl</w:t>
      </w:r>
      <w:proofErr w:type="spellEnd"/>
      <w:r w:rsidRPr="004C3B98">
        <w:rPr>
          <w:i/>
          <w:iCs/>
          <w:sz w:val="20"/>
          <w:szCs w:val="20"/>
        </w:rPr>
        <w:t xml:space="preserve"> Med.</w:t>
      </w:r>
      <w:r w:rsidRPr="0056536B">
        <w:rPr>
          <w:sz w:val="20"/>
          <w:szCs w:val="20"/>
        </w:rPr>
        <w:t xml:space="preserve"> 2021 Oct;62(10):1406-1414.</w:t>
      </w:r>
    </w:p>
    <w:p w14:paraId="2A16ECC0" w14:textId="1D2A75B6" w:rsidR="005E2426" w:rsidRPr="00ED4E95" w:rsidRDefault="005E2426" w:rsidP="00EB5F1B">
      <w:pPr>
        <w:spacing w:after="120" w:line="240" w:lineRule="auto"/>
        <w:jc w:val="both"/>
        <w:rPr>
          <w:sz w:val="20"/>
          <w:szCs w:val="20"/>
        </w:rPr>
      </w:pPr>
      <w:r w:rsidRPr="00ED4E95">
        <w:rPr>
          <w:sz w:val="20"/>
          <w:szCs w:val="20"/>
        </w:rPr>
        <w:t xml:space="preserve">Park S, Parihar AS, Bodei L, Hope TA, </w:t>
      </w:r>
      <w:proofErr w:type="spellStart"/>
      <w:r w:rsidRPr="00ED4E95">
        <w:rPr>
          <w:sz w:val="20"/>
          <w:szCs w:val="20"/>
        </w:rPr>
        <w:t>Mallak</w:t>
      </w:r>
      <w:proofErr w:type="spellEnd"/>
      <w:r w:rsidRPr="00ED4E95">
        <w:rPr>
          <w:sz w:val="20"/>
          <w:szCs w:val="20"/>
        </w:rPr>
        <w:t xml:space="preserve"> N, </w:t>
      </w:r>
      <w:proofErr w:type="spellStart"/>
      <w:r w:rsidRPr="00ED4E95">
        <w:rPr>
          <w:sz w:val="20"/>
          <w:szCs w:val="20"/>
        </w:rPr>
        <w:t>Millo</w:t>
      </w:r>
      <w:proofErr w:type="spellEnd"/>
      <w:r w:rsidRPr="00ED4E95">
        <w:rPr>
          <w:sz w:val="20"/>
          <w:szCs w:val="20"/>
        </w:rPr>
        <w:t xml:space="preserve"> C, et al. Somatostatin Receptor Imaging and Theranostics: Current Practice and Future Prospects. </w:t>
      </w:r>
      <w:r w:rsidRPr="00ED4E95">
        <w:rPr>
          <w:i/>
          <w:iCs/>
          <w:sz w:val="20"/>
          <w:szCs w:val="20"/>
        </w:rPr>
        <w:t>Journal of Nuclear Medicine</w:t>
      </w:r>
      <w:r w:rsidRPr="00ED4E95">
        <w:rPr>
          <w:sz w:val="20"/>
          <w:szCs w:val="20"/>
        </w:rPr>
        <w:t>. 2021;62(10):1323.</w:t>
      </w:r>
    </w:p>
    <w:p w14:paraId="02273341" w14:textId="21BEA6EF" w:rsidR="00D42FC9" w:rsidRDefault="00D42FC9" w:rsidP="00EB5F1B">
      <w:pPr>
        <w:spacing w:after="120" w:line="240" w:lineRule="auto"/>
        <w:jc w:val="both"/>
        <w:rPr>
          <w:sz w:val="20"/>
          <w:szCs w:val="20"/>
        </w:rPr>
      </w:pPr>
      <w:r w:rsidRPr="00ED4E95">
        <w:rPr>
          <w:sz w:val="20"/>
          <w:szCs w:val="20"/>
        </w:rPr>
        <w:t xml:space="preserve">Pavel M, Oberg K, </w:t>
      </w:r>
      <w:proofErr w:type="spellStart"/>
      <w:r w:rsidRPr="00ED4E95">
        <w:rPr>
          <w:sz w:val="20"/>
          <w:szCs w:val="20"/>
        </w:rPr>
        <w:t>Falconi</w:t>
      </w:r>
      <w:proofErr w:type="spellEnd"/>
      <w:r w:rsidRPr="00ED4E95">
        <w:rPr>
          <w:sz w:val="20"/>
          <w:szCs w:val="20"/>
        </w:rPr>
        <w:t xml:space="preserve"> M, </w:t>
      </w:r>
      <w:proofErr w:type="spellStart"/>
      <w:r w:rsidRPr="00ED4E95">
        <w:rPr>
          <w:sz w:val="20"/>
          <w:szCs w:val="20"/>
        </w:rPr>
        <w:t>Krenning</w:t>
      </w:r>
      <w:proofErr w:type="spellEnd"/>
      <w:r w:rsidRPr="00ED4E95">
        <w:rPr>
          <w:sz w:val="20"/>
          <w:szCs w:val="20"/>
        </w:rPr>
        <w:t xml:space="preserve"> EP, </w:t>
      </w:r>
      <w:proofErr w:type="spellStart"/>
      <w:r w:rsidRPr="00ED4E95">
        <w:rPr>
          <w:sz w:val="20"/>
          <w:szCs w:val="20"/>
        </w:rPr>
        <w:t>Sundin</w:t>
      </w:r>
      <w:proofErr w:type="spellEnd"/>
      <w:r w:rsidRPr="00ED4E95">
        <w:rPr>
          <w:sz w:val="20"/>
          <w:szCs w:val="20"/>
        </w:rPr>
        <w:t xml:space="preserve"> A, </w:t>
      </w:r>
      <w:proofErr w:type="spellStart"/>
      <w:r w:rsidRPr="00ED4E95">
        <w:rPr>
          <w:sz w:val="20"/>
          <w:szCs w:val="20"/>
        </w:rPr>
        <w:t>Perren</w:t>
      </w:r>
      <w:proofErr w:type="spellEnd"/>
      <w:r w:rsidRPr="00ED4E95">
        <w:rPr>
          <w:sz w:val="20"/>
          <w:szCs w:val="20"/>
        </w:rPr>
        <w:t xml:space="preserve"> A, et al. Gastroenteropancreatic neuroendocrine neoplasms: ESMO Clinical Practice Guidelines for diagnosis, treatment and follow-up. </w:t>
      </w:r>
      <w:r w:rsidRPr="00ED4E95">
        <w:rPr>
          <w:i/>
          <w:iCs/>
          <w:sz w:val="20"/>
          <w:szCs w:val="20"/>
        </w:rPr>
        <w:t>Ann Oncol. 2020</w:t>
      </w:r>
      <w:r w:rsidRPr="00ED4E95">
        <w:rPr>
          <w:sz w:val="20"/>
          <w:szCs w:val="20"/>
        </w:rPr>
        <w:t>;31(7):844-60.</w:t>
      </w:r>
    </w:p>
    <w:p w14:paraId="1B683C0A" w14:textId="1E8C851E" w:rsidR="00E10C42" w:rsidRPr="00ED4E95" w:rsidRDefault="00E10C42" w:rsidP="00EB5F1B">
      <w:pPr>
        <w:spacing w:after="120" w:line="240" w:lineRule="auto"/>
        <w:jc w:val="both"/>
        <w:rPr>
          <w:sz w:val="20"/>
          <w:szCs w:val="20"/>
        </w:rPr>
      </w:pPr>
      <w:r w:rsidRPr="00E10C42">
        <w:rPr>
          <w:sz w:val="20"/>
          <w:szCs w:val="20"/>
        </w:rPr>
        <w:t xml:space="preserve">Reccia I, Pai M, Kumar J, Spalding D, Frilling A. Tumour Heterogeneity and the Consequent Practical Challenges in the Management of Gastroenteropancreatic Neuroendocrine Neoplasms. </w:t>
      </w:r>
      <w:r w:rsidRPr="004C3B98">
        <w:rPr>
          <w:i/>
          <w:iCs/>
          <w:sz w:val="20"/>
          <w:szCs w:val="20"/>
        </w:rPr>
        <w:t>Cancers</w:t>
      </w:r>
      <w:r w:rsidRPr="00E10C42">
        <w:rPr>
          <w:sz w:val="20"/>
          <w:szCs w:val="20"/>
        </w:rPr>
        <w:t xml:space="preserve"> (Basel). 2023 Mar 20;15(6):1861.</w:t>
      </w:r>
    </w:p>
    <w:p w14:paraId="7EE6A430" w14:textId="77777777" w:rsidR="00ED4DEC" w:rsidRPr="00ED4E95" w:rsidRDefault="00ED4DEC" w:rsidP="00EB5F1B">
      <w:pPr>
        <w:spacing w:after="120" w:line="240" w:lineRule="auto"/>
        <w:jc w:val="both"/>
        <w:rPr>
          <w:sz w:val="20"/>
          <w:szCs w:val="20"/>
        </w:rPr>
      </w:pPr>
      <w:r w:rsidRPr="00ED4E95">
        <w:rPr>
          <w:sz w:val="20"/>
          <w:szCs w:val="20"/>
        </w:rPr>
        <w:t xml:space="preserve">Scott AM. Current status of positron emission tomography in oncology. </w:t>
      </w:r>
      <w:r w:rsidRPr="00ED4E95">
        <w:rPr>
          <w:i/>
          <w:iCs/>
          <w:sz w:val="20"/>
          <w:szCs w:val="20"/>
        </w:rPr>
        <w:t>Intern Med J.</w:t>
      </w:r>
      <w:r w:rsidRPr="00ED4E95">
        <w:rPr>
          <w:sz w:val="20"/>
          <w:szCs w:val="20"/>
        </w:rPr>
        <w:t xml:space="preserve"> 2001;31(1):27-36.</w:t>
      </w:r>
    </w:p>
    <w:p w14:paraId="1CF9F4AE" w14:textId="3AAC4BD9" w:rsidR="004E1CB7" w:rsidRDefault="004E1CB7" w:rsidP="00EB5F1B">
      <w:pPr>
        <w:spacing w:after="120" w:line="240" w:lineRule="auto"/>
        <w:jc w:val="both"/>
        <w:rPr>
          <w:sz w:val="20"/>
          <w:szCs w:val="20"/>
        </w:rPr>
      </w:pPr>
      <w:r w:rsidRPr="00ED4E95">
        <w:rPr>
          <w:sz w:val="20"/>
          <w:szCs w:val="20"/>
        </w:rPr>
        <w:t xml:space="preserve">Shah MH, Goldner WS, Benson AB, </w:t>
      </w:r>
      <w:proofErr w:type="spellStart"/>
      <w:r w:rsidRPr="00ED4E95">
        <w:rPr>
          <w:sz w:val="20"/>
          <w:szCs w:val="20"/>
        </w:rPr>
        <w:t>Bergsland</w:t>
      </w:r>
      <w:proofErr w:type="spellEnd"/>
      <w:r w:rsidRPr="00ED4E95">
        <w:rPr>
          <w:sz w:val="20"/>
          <w:szCs w:val="20"/>
        </w:rPr>
        <w:t xml:space="preserve"> E, </w:t>
      </w:r>
      <w:proofErr w:type="spellStart"/>
      <w:r w:rsidRPr="00ED4E95">
        <w:rPr>
          <w:sz w:val="20"/>
          <w:szCs w:val="20"/>
        </w:rPr>
        <w:t>Blaszkowsky</w:t>
      </w:r>
      <w:proofErr w:type="spellEnd"/>
      <w:r w:rsidRPr="00ED4E95">
        <w:rPr>
          <w:sz w:val="20"/>
          <w:szCs w:val="20"/>
        </w:rPr>
        <w:t xml:space="preserve"> LS, Brock P, et al. Neuroendocrine and Adrenal Tumors, Version 2.2021, NCCN Clinical Practice Guidelines in Oncology. </w:t>
      </w:r>
      <w:r w:rsidRPr="00ED4E95">
        <w:rPr>
          <w:i/>
          <w:iCs/>
          <w:sz w:val="20"/>
          <w:szCs w:val="20"/>
        </w:rPr>
        <w:t xml:space="preserve">J Natl </w:t>
      </w:r>
      <w:proofErr w:type="spellStart"/>
      <w:r w:rsidRPr="00ED4E95">
        <w:rPr>
          <w:i/>
          <w:iCs/>
          <w:sz w:val="20"/>
          <w:szCs w:val="20"/>
        </w:rPr>
        <w:t>Compr</w:t>
      </w:r>
      <w:proofErr w:type="spellEnd"/>
      <w:r w:rsidRPr="00ED4E95">
        <w:rPr>
          <w:i/>
          <w:iCs/>
          <w:sz w:val="20"/>
          <w:szCs w:val="20"/>
        </w:rPr>
        <w:t xml:space="preserve"> </w:t>
      </w:r>
      <w:proofErr w:type="spellStart"/>
      <w:r w:rsidRPr="00ED4E95">
        <w:rPr>
          <w:i/>
          <w:iCs/>
          <w:sz w:val="20"/>
          <w:szCs w:val="20"/>
        </w:rPr>
        <w:t>Canc</w:t>
      </w:r>
      <w:proofErr w:type="spellEnd"/>
      <w:r w:rsidRPr="00ED4E95">
        <w:rPr>
          <w:i/>
          <w:iCs/>
          <w:sz w:val="20"/>
          <w:szCs w:val="20"/>
        </w:rPr>
        <w:t xml:space="preserve"> </w:t>
      </w:r>
      <w:proofErr w:type="spellStart"/>
      <w:r w:rsidRPr="00ED4E95">
        <w:rPr>
          <w:i/>
          <w:iCs/>
          <w:sz w:val="20"/>
          <w:szCs w:val="20"/>
        </w:rPr>
        <w:t>Netw</w:t>
      </w:r>
      <w:proofErr w:type="spellEnd"/>
      <w:r w:rsidRPr="00ED4E95">
        <w:rPr>
          <w:sz w:val="20"/>
          <w:szCs w:val="20"/>
        </w:rPr>
        <w:t>. 2021;19(7):839-68.</w:t>
      </w:r>
    </w:p>
    <w:p w14:paraId="7C67675A" w14:textId="6A2FBA55" w:rsidR="00A83E1C" w:rsidRPr="00ED4E95" w:rsidRDefault="00A83E1C" w:rsidP="00EB5F1B">
      <w:pPr>
        <w:spacing w:after="120" w:line="240" w:lineRule="auto"/>
        <w:jc w:val="both"/>
        <w:rPr>
          <w:sz w:val="20"/>
          <w:szCs w:val="20"/>
        </w:rPr>
      </w:pPr>
      <w:r w:rsidRPr="00A83E1C">
        <w:rPr>
          <w:sz w:val="20"/>
          <w:szCs w:val="20"/>
        </w:rPr>
        <w:t xml:space="preserve">Shi C, Morse MA. Mechanisms of Resistance in Gastroenteropancreatic Neuroendocrine Tumors. </w:t>
      </w:r>
      <w:r w:rsidRPr="004C3B98">
        <w:rPr>
          <w:i/>
          <w:iCs/>
          <w:sz w:val="20"/>
          <w:szCs w:val="20"/>
        </w:rPr>
        <w:t>Cancers</w:t>
      </w:r>
      <w:r w:rsidRPr="00A83E1C">
        <w:rPr>
          <w:sz w:val="20"/>
          <w:szCs w:val="20"/>
        </w:rPr>
        <w:t xml:space="preserve"> (Basel). 2022 Dec 12;14(24):6114.</w:t>
      </w:r>
    </w:p>
    <w:p w14:paraId="3F6FB8D3" w14:textId="77777777" w:rsidR="006F5947" w:rsidRPr="00ED4E95" w:rsidRDefault="006F5947" w:rsidP="00EB5F1B">
      <w:pPr>
        <w:spacing w:after="120" w:line="240" w:lineRule="auto"/>
        <w:jc w:val="both"/>
        <w:rPr>
          <w:sz w:val="20"/>
          <w:szCs w:val="20"/>
        </w:rPr>
      </w:pPr>
      <w:proofErr w:type="spellStart"/>
      <w:r w:rsidRPr="00ED4E95">
        <w:rPr>
          <w:sz w:val="20"/>
          <w:szCs w:val="20"/>
        </w:rPr>
        <w:t>Sitani</w:t>
      </w:r>
      <w:proofErr w:type="spellEnd"/>
      <w:r w:rsidRPr="00ED4E95">
        <w:rPr>
          <w:sz w:val="20"/>
          <w:szCs w:val="20"/>
        </w:rPr>
        <w:t xml:space="preserve"> K, </w:t>
      </w:r>
      <w:proofErr w:type="spellStart"/>
      <w:r w:rsidRPr="00ED4E95">
        <w:rPr>
          <w:sz w:val="20"/>
          <w:szCs w:val="20"/>
        </w:rPr>
        <w:t>Parghane</w:t>
      </w:r>
      <w:proofErr w:type="spellEnd"/>
      <w:r w:rsidRPr="00ED4E95">
        <w:rPr>
          <w:sz w:val="20"/>
          <w:szCs w:val="20"/>
        </w:rPr>
        <w:t xml:space="preserve"> RV, </w:t>
      </w:r>
      <w:proofErr w:type="spellStart"/>
      <w:r w:rsidRPr="00ED4E95">
        <w:rPr>
          <w:sz w:val="20"/>
          <w:szCs w:val="20"/>
        </w:rPr>
        <w:t>Talole</w:t>
      </w:r>
      <w:proofErr w:type="spellEnd"/>
      <w:r w:rsidRPr="00ED4E95">
        <w:rPr>
          <w:sz w:val="20"/>
          <w:szCs w:val="20"/>
        </w:rPr>
        <w:t xml:space="preserve"> S, </w:t>
      </w:r>
      <w:proofErr w:type="spellStart"/>
      <w:r w:rsidRPr="00ED4E95">
        <w:rPr>
          <w:sz w:val="20"/>
          <w:szCs w:val="20"/>
        </w:rPr>
        <w:t>Basu</w:t>
      </w:r>
      <w:proofErr w:type="spellEnd"/>
      <w:r w:rsidRPr="00ED4E95">
        <w:rPr>
          <w:sz w:val="20"/>
          <w:szCs w:val="20"/>
        </w:rPr>
        <w:t xml:space="preserve"> S. Long-term outcome of indigenous 177Lu-DOTATATE PRRT in patients with Metastatic Advanced Neuroendocrine Tumours: a single institutional observation in a large tertiary care setting. </w:t>
      </w:r>
      <w:r w:rsidRPr="00ED4E95">
        <w:rPr>
          <w:i/>
          <w:iCs/>
          <w:sz w:val="20"/>
          <w:szCs w:val="20"/>
        </w:rPr>
        <w:t>The British Journal of Radiology.</w:t>
      </w:r>
      <w:r w:rsidRPr="00ED4E95">
        <w:rPr>
          <w:sz w:val="20"/>
          <w:szCs w:val="20"/>
        </w:rPr>
        <w:t xml:space="preserve"> 2020;94(1117):20201041.</w:t>
      </w:r>
    </w:p>
    <w:p w14:paraId="4FBFE82C" w14:textId="2B56E3D9" w:rsidR="006F5947" w:rsidRPr="00ED4E95" w:rsidRDefault="006F5947" w:rsidP="00EB5F1B">
      <w:pPr>
        <w:spacing w:after="120" w:line="240" w:lineRule="auto"/>
        <w:jc w:val="both"/>
        <w:rPr>
          <w:sz w:val="20"/>
          <w:szCs w:val="20"/>
        </w:rPr>
      </w:pPr>
      <w:r w:rsidRPr="00ED4E95">
        <w:rPr>
          <w:sz w:val="20"/>
          <w:szCs w:val="20"/>
        </w:rPr>
        <w:t xml:space="preserve">Strosberg J, El-Haddad G, Wolin E, </w:t>
      </w:r>
      <w:proofErr w:type="spellStart"/>
      <w:r w:rsidRPr="00ED4E95">
        <w:rPr>
          <w:sz w:val="20"/>
          <w:szCs w:val="20"/>
        </w:rPr>
        <w:t>Hendifar</w:t>
      </w:r>
      <w:proofErr w:type="spellEnd"/>
      <w:r w:rsidRPr="00ED4E95">
        <w:rPr>
          <w:sz w:val="20"/>
          <w:szCs w:val="20"/>
        </w:rPr>
        <w:t xml:space="preserve"> A, Yao J, </w:t>
      </w:r>
      <w:proofErr w:type="spellStart"/>
      <w:r w:rsidRPr="00ED4E95">
        <w:rPr>
          <w:sz w:val="20"/>
          <w:szCs w:val="20"/>
        </w:rPr>
        <w:t>Chasen</w:t>
      </w:r>
      <w:proofErr w:type="spellEnd"/>
      <w:r w:rsidRPr="00ED4E95">
        <w:rPr>
          <w:sz w:val="20"/>
          <w:szCs w:val="20"/>
        </w:rPr>
        <w:t xml:space="preserve"> B, et al. Phase 3 Trial of (177)Lu-Dotatate for Midgut Neuroendocrine Tumors. </w:t>
      </w:r>
      <w:r w:rsidRPr="00ED4E95">
        <w:rPr>
          <w:i/>
          <w:iCs/>
          <w:sz w:val="20"/>
          <w:szCs w:val="20"/>
        </w:rPr>
        <w:t xml:space="preserve">N </w:t>
      </w:r>
      <w:proofErr w:type="spellStart"/>
      <w:r w:rsidRPr="00ED4E95">
        <w:rPr>
          <w:i/>
          <w:iCs/>
          <w:sz w:val="20"/>
          <w:szCs w:val="20"/>
        </w:rPr>
        <w:t>Engl</w:t>
      </w:r>
      <w:proofErr w:type="spellEnd"/>
      <w:r w:rsidRPr="00ED4E95">
        <w:rPr>
          <w:i/>
          <w:iCs/>
          <w:sz w:val="20"/>
          <w:szCs w:val="20"/>
        </w:rPr>
        <w:t xml:space="preserve"> J Med</w:t>
      </w:r>
      <w:r w:rsidRPr="00ED4E95">
        <w:rPr>
          <w:sz w:val="20"/>
          <w:szCs w:val="20"/>
        </w:rPr>
        <w:t>. 2017;376(2):125-35.</w:t>
      </w:r>
    </w:p>
    <w:p w14:paraId="61289FF7" w14:textId="77777777" w:rsidR="005F56F5" w:rsidRPr="00ED4E95" w:rsidRDefault="005F56F5" w:rsidP="00EB5F1B">
      <w:pPr>
        <w:spacing w:after="120" w:line="240" w:lineRule="auto"/>
        <w:jc w:val="both"/>
        <w:rPr>
          <w:sz w:val="20"/>
          <w:szCs w:val="20"/>
        </w:rPr>
      </w:pPr>
      <w:proofErr w:type="spellStart"/>
      <w:r w:rsidRPr="00ED4E95">
        <w:rPr>
          <w:sz w:val="20"/>
          <w:szCs w:val="20"/>
        </w:rPr>
        <w:t>Strosberg</w:t>
      </w:r>
      <w:proofErr w:type="spellEnd"/>
      <w:r w:rsidRPr="00ED4E95">
        <w:rPr>
          <w:sz w:val="20"/>
          <w:szCs w:val="20"/>
        </w:rPr>
        <w:t xml:space="preserve"> J, </w:t>
      </w:r>
      <w:proofErr w:type="spellStart"/>
      <w:r w:rsidRPr="00ED4E95">
        <w:rPr>
          <w:sz w:val="20"/>
          <w:szCs w:val="20"/>
        </w:rPr>
        <w:t>Leeuwenkamp</w:t>
      </w:r>
      <w:proofErr w:type="spellEnd"/>
      <w:r w:rsidRPr="00ED4E95">
        <w:rPr>
          <w:sz w:val="20"/>
          <w:szCs w:val="20"/>
        </w:rPr>
        <w:t xml:space="preserve"> O, Siddiqui MK. Peptide receptor radiotherapy re-treatment in patients with progressive neuroendocrine </w:t>
      </w:r>
      <w:proofErr w:type="spellStart"/>
      <w:r w:rsidRPr="00ED4E95">
        <w:rPr>
          <w:sz w:val="20"/>
          <w:szCs w:val="20"/>
        </w:rPr>
        <w:t>tumors</w:t>
      </w:r>
      <w:proofErr w:type="spellEnd"/>
      <w:r w:rsidRPr="00ED4E95">
        <w:rPr>
          <w:sz w:val="20"/>
          <w:szCs w:val="20"/>
        </w:rPr>
        <w:t xml:space="preserve">: A systematic review and meta-analysis. </w:t>
      </w:r>
      <w:r w:rsidRPr="00ED4E95">
        <w:rPr>
          <w:i/>
          <w:iCs/>
          <w:sz w:val="20"/>
          <w:szCs w:val="20"/>
        </w:rPr>
        <w:t>Cancer Treat Rev.</w:t>
      </w:r>
      <w:r w:rsidRPr="00ED4E95">
        <w:rPr>
          <w:sz w:val="20"/>
          <w:szCs w:val="20"/>
        </w:rPr>
        <w:t xml:space="preserve"> 2021;93:102141.</w:t>
      </w:r>
    </w:p>
    <w:p w14:paraId="3655A176" w14:textId="7872A4C9" w:rsidR="006F5947" w:rsidRPr="00ED4E95" w:rsidRDefault="006F5947" w:rsidP="00EB5F1B">
      <w:pPr>
        <w:spacing w:after="120" w:line="240" w:lineRule="auto"/>
        <w:jc w:val="both"/>
        <w:rPr>
          <w:sz w:val="20"/>
          <w:szCs w:val="20"/>
        </w:rPr>
      </w:pPr>
      <w:r w:rsidRPr="00ED4E95">
        <w:rPr>
          <w:sz w:val="20"/>
          <w:szCs w:val="20"/>
        </w:rPr>
        <w:t xml:space="preserve">Thang SP, Lung MS, Kong G, </w:t>
      </w:r>
      <w:proofErr w:type="spellStart"/>
      <w:r w:rsidRPr="00ED4E95">
        <w:rPr>
          <w:sz w:val="20"/>
          <w:szCs w:val="20"/>
        </w:rPr>
        <w:t>Hofman</w:t>
      </w:r>
      <w:proofErr w:type="spellEnd"/>
      <w:r w:rsidRPr="00ED4E95">
        <w:rPr>
          <w:sz w:val="20"/>
          <w:szCs w:val="20"/>
        </w:rPr>
        <w:t xml:space="preserve"> MS, Callahan J, Michael M, et al. Peptide receptor radionuclide therapy (PRRT) in European Neuroendocrine Tumour Society (ENETS) grade 3 (G3) neuroendocrine neoplasia (NEN) - a single-institution retrospective analysis</w:t>
      </w:r>
      <w:r w:rsidRPr="00ED4E95">
        <w:rPr>
          <w:i/>
          <w:iCs/>
          <w:sz w:val="20"/>
          <w:szCs w:val="20"/>
        </w:rPr>
        <w:t xml:space="preserve">. </w:t>
      </w:r>
      <w:proofErr w:type="spellStart"/>
      <w:r w:rsidRPr="00ED4E95">
        <w:rPr>
          <w:i/>
          <w:iCs/>
          <w:sz w:val="20"/>
          <w:szCs w:val="20"/>
        </w:rPr>
        <w:t>Eur</w:t>
      </w:r>
      <w:proofErr w:type="spellEnd"/>
      <w:r w:rsidRPr="00ED4E95">
        <w:rPr>
          <w:i/>
          <w:iCs/>
          <w:sz w:val="20"/>
          <w:szCs w:val="20"/>
        </w:rPr>
        <w:t xml:space="preserve"> J </w:t>
      </w:r>
      <w:proofErr w:type="spellStart"/>
      <w:r w:rsidRPr="00ED4E95">
        <w:rPr>
          <w:i/>
          <w:iCs/>
          <w:sz w:val="20"/>
          <w:szCs w:val="20"/>
        </w:rPr>
        <w:t>Nucl</w:t>
      </w:r>
      <w:proofErr w:type="spellEnd"/>
      <w:r w:rsidRPr="00ED4E95">
        <w:rPr>
          <w:i/>
          <w:iCs/>
          <w:sz w:val="20"/>
          <w:szCs w:val="20"/>
        </w:rPr>
        <w:t xml:space="preserve"> Med Mol Imaging</w:t>
      </w:r>
      <w:r w:rsidRPr="00ED4E95">
        <w:rPr>
          <w:sz w:val="20"/>
          <w:szCs w:val="20"/>
        </w:rPr>
        <w:t>. 2018;45(2):262-77.</w:t>
      </w:r>
    </w:p>
    <w:p w14:paraId="074884D8" w14:textId="5443A607" w:rsidR="006F5947" w:rsidRDefault="006F5947" w:rsidP="00EB5F1B">
      <w:pPr>
        <w:spacing w:after="120" w:line="240" w:lineRule="auto"/>
        <w:jc w:val="both"/>
        <w:rPr>
          <w:sz w:val="20"/>
          <w:szCs w:val="20"/>
        </w:rPr>
      </w:pPr>
      <w:r w:rsidRPr="00ED4E95">
        <w:rPr>
          <w:sz w:val="20"/>
          <w:szCs w:val="20"/>
        </w:rPr>
        <w:t xml:space="preserve">Vaughan E, </w:t>
      </w:r>
      <w:proofErr w:type="spellStart"/>
      <w:r w:rsidRPr="00ED4E95">
        <w:rPr>
          <w:sz w:val="20"/>
          <w:szCs w:val="20"/>
        </w:rPr>
        <w:t>Machta</w:t>
      </w:r>
      <w:proofErr w:type="spellEnd"/>
      <w:r w:rsidRPr="00ED4E95">
        <w:rPr>
          <w:sz w:val="20"/>
          <w:szCs w:val="20"/>
        </w:rPr>
        <w:t xml:space="preserve"> J, Walker M, </w:t>
      </w:r>
      <w:proofErr w:type="spellStart"/>
      <w:r w:rsidRPr="00ED4E95">
        <w:rPr>
          <w:sz w:val="20"/>
          <w:szCs w:val="20"/>
        </w:rPr>
        <w:t>Toumpanakis</w:t>
      </w:r>
      <w:proofErr w:type="spellEnd"/>
      <w:r w:rsidRPr="00ED4E95">
        <w:rPr>
          <w:sz w:val="20"/>
          <w:szCs w:val="20"/>
        </w:rPr>
        <w:t xml:space="preserve"> C, Caplin M, </w:t>
      </w:r>
      <w:proofErr w:type="spellStart"/>
      <w:r w:rsidRPr="00ED4E95">
        <w:rPr>
          <w:sz w:val="20"/>
          <w:szCs w:val="20"/>
        </w:rPr>
        <w:t>Navalkissoor</w:t>
      </w:r>
      <w:proofErr w:type="spellEnd"/>
      <w:r w:rsidRPr="00ED4E95">
        <w:rPr>
          <w:sz w:val="20"/>
          <w:szCs w:val="20"/>
        </w:rPr>
        <w:t xml:space="preserve"> S. Retreatment with peptide receptor radionuclide therapy in patients with progressing neuroendocrine tumours: efficacy and prognostic factors for response. </w:t>
      </w:r>
      <w:r w:rsidRPr="00ED4E95">
        <w:rPr>
          <w:i/>
          <w:iCs/>
          <w:sz w:val="20"/>
          <w:szCs w:val="20"/>
        </w:rPr>
        <w:t xml:space="preserve">Br J </w:t>
      </w:r>
      <w:proofErr w:type="spellStart"/>
      <w:r w:rsidRPr="00ED4E95">
        <w:rPr>
          <w:i/>
          <w:iCs/>
          <w:sz w:val="20"/>
          <w:szCs w:val="20"/>
        </w:rPr>
        <w:t>Radiol</w:t>
      </w:r>
      <w:proofErr w:type="spellEnd"/>
      <w:r w:rsidRPr="00ED4E95">
        <w:rPr>
          <w:sz w:val="20"/>
          <w:szCs w:val="20"/>
        </w:rPr>
        <w:t>. 2018;91(1091):20180041.</w:t>
      </w:r>
    </w:p>
    <w:p w14:paraId="5129E334" w14:textId="6D4DFA04" w:rsidR="009C4533" w:rsidRPr="00ED4E95" w:rsidRDefault="009C4533" w:rsidP="00EB5F1B">
      <w:pPr>
        <w:spacing w:after="120" w:line="240" w:lineRule="auto"/>
        <w:jc w:val="both"/>
        <w:rPr>
          <w:sz w:val="20"/>
          <w:szCs w:val="20"/>
        </w:rPr>
      </w:pPr>
      <w:r w:rsidRPr="009C4533">
        <w:rPr>
          <w:sz w:val="20"/>
          <w:szCs w:val="20"/>
        </w:rPr>
        <w:t xml:space="preserve">Vogel WV, van der </w:t>
      </w:r>
      <w:proofErr w:type="spellStart"/>
      <w:r w:rsidRPr="009C4533">
        <w:rPr>
          <w:sz w:val="20"/>
          <w:szCs w:val="20"/>
        </w:rPr>
        <w:t>Marck</w:t>
      </w:r>
      <w:proofErr w:type="spellEnd"/>
      <w:r w:rsidRPr="009C4533">
        <w:rPr>
          <w:sz w:val="20"/>
          <w:szCs w:val="20"/>
        </w:rPr>
        <w:t xml:space="preserve"> SC, </w:t>
      </w:r>
      <w:proofErr w:type="spellStart"/>
      <w:r w:rsidRPr="009C4533">
        <w:rPr>
          <w:sz w:val="20"/>
          <w:szCs w:val="20"/>
        </w:rPr>
        <w:t>Versleijen</w:t>
      </w:r>
      <w:proofErr w:type="spellEnd"/>
      <w:r w:rsidRPr="009C4533">
        <w:rPr>
          <w:sz w:val="20"/>
          <w:szCs w:val="20"/>
        </w:rPr>
        <w:t xml:space="preserve"> MWJ. Challenges and future options for the production of lutetium-177. </w:t>
      </w:r>
      <w:proofErr w:type="spellStart"/>
      <w:r w:rsidRPr="004C3B98">
        <w:rPr>
          <w:i/>
          <w:iCs/>
          <w:sz w:val="20"/>
          <w:szCs w:val="20"/>
        </w:rPr>
        <w:t>Eur</w:t>
      </w:r>
      <w:proofErr w:type="spellEnd"/>
      <w:r w:rsidRPr="004C3B98">
        <w:rPr>
          <w:i/>
          <w:iCs/>
          <w:sz w:val="20"/>
          <w:szCs w:val="20"/>
        </w:rPr>
        <w:t xml:space="preserve"> J </w:t>
      </w:r>
      <w:proofErr w:type="spellStart"/>
      <w:r w:rsidRPr="004C3B98">
        <w:rPr>
          <w:i/>
          <w:iCs/>
          <w:sz w:val="20"/>
          <w:szCs w:val="20"/>
        </w:rPr>
        <w:t>Nucl</w:t>
      </w:r>
      <w:proofErr w:type="spellEnd"/>
      <w:r w:rsidRPr="004C3B98">
        <w:rPr>
          <w:i/>
          <w:iCs/>
          <w:sz w:val="20"/>
          <w:szCs w:val="20"/>
        </w:rPr>
        <w:t xml:space="preserve"> Med Mol Imaging.</w:t>
      </w:r>
      <w:r w:rsidRPr="009C4533">
        <w:rPr>
          <w:sz w:val="20"/>
          <w:szCs w:val="20"/>
        </w:rPr>
        <w:t xml:space="preserve"> 2021 Jul;48(8):2329-2335.</w:t>
      </w:r>
    </w:p>
    <w:p w14:paraId="424542C5" w14:textId="5EF19491" w:rsidR="00D1415B" w:rsidRPr="00ED4E95" w:rsidRDefault="00D1415B" w:rsidP="00EB5F1B">
      <w:pPr>
        <w:spacing w:after="120" w:line="240" w:lineRule="auto"/>
        <w:jc w:val="both"/>
        <w:rPr>
          <w:sz w:val="20"/>
          <w:szCs w:val="20"/>
        </w:rPr>
      </w:pPr>
      <w:r w:rsidRPr="00ED4E95">
        <w:rPr>
          <w:sz w:val="20"/>
          <w:szCs w:val="20"/>
        </w:rPr>
        <w:t xml:space="preserve">Wang LF, Lin L, Wang MJ, Li Y. The therapeutic efficacy of 177Lu-DOTATATE/DOTATOC in advanced neuroendocrine </w:t>
      </w:r>
      <w:proofErr w:type="spellStart"/>
      <w:r w:rsidRPr="00ED4E95">
        <w:rPr>
          <w:sz w:val="20"/>
          <w:szCs w:val="20"/>
        </w:rPr>
        <w:t>tumors</w:t>
      </w:r>
      <w:proofErr w:type="spellEnd"/>
      <w:r w:rsidRPr="00ED4E95">
        <w:rPr>
          <w:sz w:val="20"/>
          <w:szCs w:val="20"/>
        </w:rPr>
        <w:t xml:space="preserve">: A meta-analysis. </w:t>
      </w:r>
      <w:r w:rsidRPr="00ED4E95">
        <w:rPr>
          <w:i/>
          <w:iCs/>
          <w:sz w:val="20"/>
          <w:szCs w:val="20"/>
        </w:rPr>
        <w:t>Medicine</w:t>
      </w:r>
      <w:r w:rsidRPr="00ED4E95">
        <w:rPr>
          <w:sz w:val="20"/>
          <w:szCs w:val="20"/>
        </w:rPr>
        <w:t xml:space="preserve"> (Baltimore). 2020;99(10):e19304.</w:t>
      </w:r>
    </w:p>
    <w:p w14:paraId="15A28CC3" w14:textId="3DD04824" w:rsidR="004E1CB7" w:rsidRPr="00ED4E95" w:rsidRDefault="004E1CB7" w:rsidP="00EB5F1B">
      <w:pPr>
        <w:spacing w:after="120" w:line="240" w:lineRule="auto"/>
        <w:jc w:val="both"/>
        <w:rPr>
          <w:sz w:val="20"/>
          <w:szCs w:val="20"/>
        </w:rPr>
      </w:pPr>
      <w:r w:rsidRPr="00ED4E95">
        <w:rPr>
          <w:sz w:val="20"/>
          <w:szCs w:val="20"/>
        </w:rPr>
        <w:t xml:space="preserve">Yang Z. Pathology, classification, and grading of neuroendocrine neoplasms arising in the digestive system. </w:t>
      </w:r>
      <w:r w:rsidRPr="00ED4E95">
        <w:rPr>
          <w:i/>
          <w:iCs/>
          <w:sz w:val="20"/>
          <w:szCs w:val="20"/>
        </w:rPr>
        <w:t>UpToDate</w:t>
      </w:r>
      <w:r w:rsidRPr="00ED4E95">
        <w:rPr>
          <w:sz w:val="20"/>
          <w:szCs w:val="20"/>
        </w:rPr>
        <w:t>. 2023.</w:t>
      </w:r>
    </w:p>
    <w:p w14:paraId="77C274A4" w14:textId="77777777" w:rsidR="006F5947" w:rsidRPr="00ED4E95" w:rsidRDefault="006F5947" w:rsidP="00EB5F1B">
      <w:pPr>
        <w:spacing w:after="120" w:line="240" w:lineRule="auto"/>
        <w:jc w:val="both"/>
        <w:rPr>
          <w:sz w:val="20"/>
          <w:szCs w:val="20"/>
        </w:rPr>
      </w:pPr>
      <w:r w:rsidRPr="00ED4E95">
        <w:rPr>
          <w:sz w:val="20"/>
          <w:szCs w:val="20"/>
        </w:rPr>
        <w:lastRenderedPageBreak/>
        <w:t xml:space="preserve">Zhang J, Kulkarni HR, Singh A, </w:t>
      </w:r>
      <w:proofErr w:type="spellStart"/>
      <w:r w:rsidRPr="00ED4E95">
        <w:rPr>
          <w:sz w:val="20"/>
          <w:szCs w:val="20"/>
        </w:rPr>
        <w:t>Niepsch</w:t>
      </w:r>
      <w:proofErr w:type="spellEnd"/>
      <w:r w:rsidRPr="00ED4E95">
        <w:rPr>
          <w:sz w:val="20"/>
          <w:szCs w:val="20"/>
        </w:rPr>
        <w:t xml:space="preserve"> K, Muller D, Baum RP. Peptide Receptor Radionuclide Therapy in Grade 3 Neuroendocrine Neoplasms: Safety and Survival Analysis in 69 Patients. </w:t>
      </w:r>
      <w:r w:rsidRPr="00ED4E95">
        <w:rPr>
          <w:i/>
          <w:iCs/>
          <w:sz w:val="20"/>
          <w:szCs w:val="20"/>
        </w:rPr>
        <w:t xml:space="preserve">J </w:t>
      </w:r>
      <w:proofErr w:type="spellStart"/>
      <w:r w:rsidRPr="00ED4E95">
        <w:rPr>
          <w:i/>
          <w:iCs/>
          <w:sz w:val="20"/>
          <w:szCs w:val="20"/>
        </w:rPr>
        <w:t>Nucl</w:t>
      </w:r>
      <w:proofErr w:type="spellEnd"/>
      <w:r w:rsidRPr="00ED4E95">
        <w:rPr>
          <w:i/>
          <w:iCs/>
          <w:sz w:val="20"/>
          <w:szCs w:val="20"/>
        </w:rPr>
        <w:t xml:space="preserve"> Med</w:t>
      </w:r>
      <w:r w:rsidRPr="00ED4E95">
        <w:rPr>
          <w:sz w:val="20"/>
          <w:szCs w:val="20"/>
        </w:rPr>
        <w:t>. 2019;60(3):377-85.</w:t>
      </w:r>
    </w:p>
    <w:p w14:paraId="7A6C7347" w14:textId="4D88D865" w:rsidR="006F5947" w:rsidRPr="004E1CB7" w:rsidRDefault="006F5947" w:rsidP="00EB5F1B">
      <w:pPr>
        <w:spacing w:after="120" w:line="240" w:lineRule="auto"/>
        <w:jc w:val="both"/>
        <w:rPr>
          <w:sz w:val="20"/>
          <w:szCs w:val="20"/>
        </w:rPr>
      </w:pPr>
      <w:r w:rsidRPr="00ED4E95">
        <w:rPr>
          <w:sz w:val="20"/>
          <w:szCs w:val="20"/>
        </w:rPr>
        <w:t xml:space="preserve">Zidan L, </w:t>
      </w:r>
      <w:proofErr w:type="spellStart"/>
      <w:r w:rsidRPr="00ED4E95">
        <w:rPr>
          <w:sz w:val="20"/>
          <w:szCs w:val="20"/>
        </w:rPr>
        <w:t>Iravani</w:t>
      </w:r>
      <w:proofErr w:type="spellEnd"/>
      <w:r w:rsidRPr="00ED4E95">
        <w:rPr>
          <w:sz w:val="20"/>
          <w:szCs w:val="20"/>
        </w:rPr>
        <w:t xml:space="preserve"> A, </w:t>
      </w:r>
      <w:proofErr w:type="spellStart"/>
      <w:r w:rsidRPr="00ED4E95">
        <w:rPr>
          <w:sz w:val="20"/>
          <w:szCs w:val="20"/>
        </w:rPr>
        <w:t>Oleinikov</w:t>
      </w:r>
      <w:proofErr w:type="spellEnd"/>
      <w:r w:rsidRPr="00ED4E95">
        <w:rPr>
          <w:sz w:val="20"/>
          <w:szCs w:val="20"/>
        </w:rPr>
        <w:t xml:space="preserve"> K, Ben-Haim S, Gross DJ, </w:t>
      </w:r>
      <w:proofErr w:type="spellStart"/>
      <w:r w:rsidRPr="00ED4E95">
        <w:rPr>
          <w:sz w:val="20"/>
          <w:szCs w:val="20"/>
        </w:rPr>
        <w:t>Meirovitz</w:t>
      </w:r>
      <w:proofErr w:type="spellEnd"/>
      <w:r w:rsidRPr="00ED4E95">
        <w:rPr>
          <w:sz w:val="20"/>
          <w:szCs w:val="20"/>
        </w:rPr>
        <w:t xml:space="preserve"> A, et al. Efficacy and Safety of (177)Lu-DOTATATE in Lung Neuroendocrine </w:t>
      </w:r>
      <w:proofErr w:type="spellStart"/>
      <w:r w:rsidRPr="00ED4E95">
        <w:rPr>
          <w:sz w:val="20"/>
          <w:szCs w:val="20"/>
        </w:rPr>
        <w:t>Tumors</w:t>
      </w:r>
      <w:proofErr w:type="spellEnd"/>
      <w:r w:rsidRPr="00ED4E95">
        <w:rPr>
          <w:sz w:val="20"/>
          <w:szCs w:val="20"/>
        </w:rPr>
        <w:t xml:space="preserve">: A </w:t>
      </w:r>
      <w:proofErr w:type="spellStart"/>
      <w:r w:rsidRPr="00ED4E95">
        <w:rPr>
          <w:sz w:val="20"/>
          <w:szCs w:val="20"/>
        </w:rPr>
        <w:t>Bicenter</w:t>
      </w:r>
      <w:proofErr w:type="spellEnd"/>
      <w:r w:rsidRPr="00ED4E95">
        <w:rPr>
          <w:sz w:val="20"/>
          <w:szCs w:val="20"/>
        </w:rPr>
        <w:t xml:space="preserve"> study. </w:t>
      </w:r>
      <w:r w:rsidRPr="00ED4E95">
        <w:rPr>
          <w:i/>
          <w:iCs/>
          <w:sz w:val="20"/>
          <w:szCs w:val="20"/>
        </w:rPr>
        <w:t xml:space="preserve">J </w:t>
      </w:r>
      <w:proofErr w:type="spellStart"/>
      <w:r w:rsidRPr="00ED4E95">
        <w:rPr>
          <w:i/>
          <w:iCs/>
          <w:sz w:val="20"/>
          <w:szCs w:val="20"/>
        </w:rPr>
        <w:t>Nucl</w:t>
      </w:r>
      <w:proofErr w:type="spellEnd"/>
      <w:r w:rsidRPr="00ED4E95">
        <w:rPr>
          <w:i/>
          <w:iCs/>
          <w:sz w:val="20"/>
          <w:szCs w:val="20"/>
        </w:rPr>
        <w:t xml:space="preserve"> Med.</w:t>
      </w:r>
      <w:r w:rsidRPr="00ED4E95">
        <w:rPr>
          <w:sz w:val="20"/>
          <w:szCs w:val="20"/>
        </w:rPr>
        <w:t xml:space="preserve"> 2022;63(2):218-25.</w:t>
      </w:r>
    </w:p>
    <w:p w14:paraId="141E7952" w14:textId="29DBF1FA" w:rsidR="00E01349" w:rsidRPr="004C3B98" w:rsidRDefault="00E01349" w:rsidP="00EB5F1B">
      <w:pPr>
        <w:jc w:val="both"/>
        <w:rPr>
          <w:vertAlign w:val="superscript"/>
        </w:rPr>
      </w:pPr>
    </w:p>
    <w:sectPr w:rsidR="00E01349" w:rsidRPr="004C3B98" w:rsidSect="007443F2">
      <w:headerReference w:type="default" r:id="rId29"/>
      <w:pgSz w:w="11906" w:h="16838"/>
      <w:pgMar w:top="682" w:right="1134" w:bottom="102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EEB6F" w14:textId="77777777" w:rsidR="004249A5" w:rsidRDefault="004249A5" w:rsidP="0016315C">
      <w:pPr>
        <w:spacing w:after="0" w:line="240" w:lineRule="auto"/>
      </w:pPr>
      <w:r>
        <w:separator/>
      </w:r>
    </w:p>
  </w:endnote>
  <w:endnote w:type="continuationSeparator" w:id="0">
    <w:p w14:paraId="75602957" w14:textId="77777777" w:rsidR="004249A5" w:rsidRDefault="004249A5" w:rsidP="0016315C">
      <w:pPr>
        <w:spacing w:after="0" w:line="240" w:lineRule="auto"/>
      </w:pPr>
      <w:r>
        <w:continuationSeparator/>
      </w:r>
    </w:p>
  </w:endnote>
  <w:endnote w:type="continuationNotice" w:id="1">
    <w:p w14:paraId="0DD0978E" w14:textId="77777777" w:rsidR="004249A5" w:rsidRDefault="004249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E9B2" w14:textId="77777777" w:rsidR="00C159E9" w:rsidRDefault="00C159E9" w:rsidP="000717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p w14:paraId="5AC81ADE" w14:textId="77777777" w:rsidR="00C159E9" w:rsidRDefault="00C159E9"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6016595"/>
      <w:docPartObj>
        <w:docPartGallery w:val="Page Numbers (Bottom of Page)"/>
        <w:docPartUnique/>
      </w:docPartObj>
    </w:sdtPr>
    <w:sdtEndPr>
      <w:rPr>
        <w:rStyle w:val="PageNumber"/>
      </w:rPr>
    </w:sdtEndPr>
    <w:sdtContent>
      <w:p w14:paraId="3E4C1E6F" w14:textId="77777777" w:rsidR="00C159E9" w:rsidRDefault="00C159E9" w:rsidP="000717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38501C" w14:textId="7461C093" w:rsidR="00C159E9" w:rsidRPr="00685355" w:rsidRDefault="00713CFB" w:rsidP="00BB0FFB">
    <w:pPr>
      <w:jc w:val="center"/>
    </w:pPr>
    <w:r>
      <w:t>Ratified</w:t>
    </w:r>
    <w:r w:rsidR="002A04A8">
      <w:t xml:space="preserve"> </w:t>
    </w:r>
    <w:r w:rsidR="00C159E9">
      <w:t xml:space="preserve">PICO </w:t>
    </w:r>
    <w:r w:rsidR="00E56A7E">
      <w:t xml:space="preserve">Confirmation </w:t>
    </w:r>
    <w:r w:rsidR="00C159E9">
      <w:t xml:space="preserve">– </w:t>
    </w:r>
    <w:r w:rsidR="00041374">
      <w:t>August 2023</w:t>
    </w:r>
    <w:r w:rsidR="00E56A7E">
      <w:t xml:space="preserve"> PASC Meeting</w:t>
    </w:r>
    <w:r w:rsidR="00C159E9">
      <w:br/>
    </w:r>
    <w:r w:rsidR="00E56A7E">
      <w:t xml:space="preserve">MSAC </w:t>
    </w:r>
    <w:r w:rsidR="00C159E9">
      <w:t xml:space="preserve">Application </w:t>
    </w:r>
    <w:r w:rsidR="00C159E9" w:rsidRPr="004C54E4">
      <w:t>1744</w:t>
    </w:r>
    <w:r w:rsidR="00E56A7E">
      <w:t xml:space="preserve"> – </w:t>
    </w:r>
    <w:r w:rsidR="00C159E9">
      <w:t xml:space="preserve"> </w:t>
    </w:r>
    <w:r w:rsidR="00C159E9" w:rsidRPr="004C54E4">
      <w:rPr>
        <w:vertAlign w:val="superscript"/>
      </w:rPr>
      <w:t>177</w:t>
    </w:r>
    <w:r w:rsidR="00C159E9" w:rsidRPr="00584DDD">
      <w:t>Lutetium(nca)</w:t>
    </w:r>
    <w:r w:rsidR="00317448">
      <w:t>-DOTA-</w:t>
    </w:r>
    <w:r w:rsidR="005966A9">
      <w:t>o</w:t>
    </w:r>
    <w:r w:rsidR="00C159E9" w:rsidRPr="00584DDD">
      <w:t xml:space="preserve">ctreotate treatment for advanced </w:t>
    </w:r>
    <w:r w:rsidR="008468D0" w:rsidRPr="008468D0">
      <w:t>neuroendocrine neoplasms (NENs) with high somatostatin receptor (SSTR) expression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5C6F9" w14:textId="77777777" w:rsidR="00070DA1" w:rsidRDefault="00070D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D3D2" w14:textId="333EB724" w:rsidR="00685355" w:rsidRDefault="00685355" w:rsidP="000717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A4A6F">
      <w:rPr>
        <w:rStyle w:val="PageNumber"/>
        <w:noProof/>
      </w:rPr>
      <w:t>9</w:t>
    </w:r>
    <w:r>
      <w:rPr>
        <w:rStyle w:val="PageNumber"/>
      </w:rPr>
      <w:fldChar w:fldCharType="end"/>
    </w:r>
  </w:p>
  <w:p w14:paraId="74E72C2D" w14:textId="77777777" w:rsidR="00685355" w:rsidRDefault="00685355" w:rsidP="0068535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3382827"/>
      <w:docPartObj>
        <w:docPartGallery w:val="Page Numbers (Bottom of Page)"/>
        <w:docPartUnique/>
      </w:docPartObj>
    </w:sdtPr>
    <w:sdtEndPr>
      <w:rPr>
        <w:rStyle w:val="PageNumber"/>
      </w:rPr>
    </w:sdtEndPr>
    <w:sdtContent>
      <w:p w14:paraId="4DE593B1" w14:textId="39D5A86A" w:rsidR="00685355" w:rsidRDefault="00685355" w:rsidP="000717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59581A" w14:textId="37DAC826" w:rsidR="007D4E0F" w:rsidRPr="00685355" w:rsidRDefault="00447D01" w:rsidP="007D4E0F">
    <w:pPr>
      <w:jc w:val="center"/>
    </w:pPr>
    <w:r>
      <w:t xml:space="preserve">Ratified </w:t>
    </w:r>
    <w:r w:rsidR="007D4E0F">
      <w:t xml:space="preserve">PICO Confirmation – </w:t>
    </w:r>
    <w:r w:rsidR="00573701">
      <w:t>August 2023</w:t>
    </w:r>
    <w:r w:rsidR="007D4E0F">
      <w:t xml:space="preserve"> PASC Meeting</w:t>
    </w:r>
    <w:r w:rsidR="007D4E0F">
      <w:br/>
      <w:t xml:space="preserve">MSAC Application </w:t>
    </w:r>
    <w:r w:rsidR="007D4E0F" w:rsidRPr="004C54E4">
      <w:t>1744</w:t>
    </w:r>
    <w:r w:rsidR="007D4E0F">
      <w:t xml:space="preserve"> –  </w:t>
    </w:r>
    <w:r w:rsidR="007D4E0F" w:rsidRPr="004C54E4">
      <w:rPr>
        <w:vertAlign w:val="superscript"/>
      </w:rPr>
      <w:t>177</w:t>
    </w:r>
    <w:r w:rsidR="007D4E0F" w:rsidRPr="00584DDD">
      <w:t>Lutetium(nca)</w:t>
    </w:r>
    <w:r w:rsidR="007D4E0F">
      <w:t>-DOTA-o</w:t>
    </w:r>
    <w:r w:rsidR="007D4E0F" w:rsidRPr="00584DDD">
      <w:t xml:space="preserve">ctreotate treatment for advanced </w:t>
    </w:r>
    <w:r w:rsidR="008468D0" w:rsidRPr="008468D0">
      <w:t>neuroendocrine neoplasms (NENs) with high somatostatin receptor (SSTR) expression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67422" w14:textId="77777777" w:rsidR="004249A5" w:rsidRDefault="004249A5" w:rsidP="0016315C">
      <w:pPr>
        <w:spacing w:after="0" w:line="240" w:lineRule="auto"/>
      </w:pPr>
      <w:r>
        <w:separator/>
      </w:r>
    </w:p>
  </w:footnote>
  <w:footnote w:type="continuationSeparator" w:id="0">
    <w:p w14:paraId="652B4FFD" w14:textId="77777777" w:rsidR="004249A5" w:rsidRDefault="004249A5" w:rsidP="0016315C">
      <w:pPr>
        <w:spacing w:after="0" w:line="240" w:lineRule="auto"/>
      </w:pPr>
      <w:r>
        <w:continuationSeparator/>
      </w:r>
    </w:p>
  </w:footnote>
  <w:footnote w:type="continuationNotice" w:id="1">
    <w:p w14:paraId="6416396A" w14:textId="77777777" w:rsidR="004249A5" w:rsidRDefault="004249A5">
      <w:pPr>
        <w:spacing w:after="0" w:line="240" w:lineRule="auto"/>
      </w:pPr>
    </w:p>
  </w:footnote>
  <w:footnote w:id="2">
    <w:p w14:paraId="4BB8D751" w14:textId="0DE5B3FA" w:rsidR="00BE120F" w:rsidRDefault="00BE120F">
      <w:pPr>
        <w:pStyle w:val="FootnoteText"/>
      </w:pPr>
      <w:r>
        <w:rPr>
          <w:rStyle w:val="FootnoteReference"/>
        </w:rPr>
        <w:footnoteRef/>
      </w:r>
      <w:r>
        <w:t xml:space="preserve"> </w:t>
      </w:r>
      <w:r w:rsidRPr="00BE120F">
        <w:t>Rindi G et al: Endocr Pathol 2022; 33:115-154. doi:10.1007/s12022-022-09708-2</w:t>
      </w:r>
    </w:p>
  </w:footnote>
  <w:footnote w:id="3">
    <w:p w14:paraId="6B43B100" w14:textId="12B7AE99" w:rsidR="00BE120F" w:rsidRDefault="00BE120F">
      <w:pPr>
        <w:pStyle w:val="FootnoteText"/>
      </w:pPr>
      <w:r>
        <w:rPr>
          <w:rStyle w:val="FootnoteReference"/>
        </w:rPr>
        <w:footnoteRef/>
      </w:r>
      <w:r>
        <w:t xml:space="preserve"> </w:t>
      </w:r>
      <w:r w:rsidRPr="00BE120F">
        <w:t xml:space="preserve">Mete O et al: </w:t>
      </w:r>
      <w:r w:rsidRPr="00BE120F">
        <w:t>Endocr Pathol 2022; 33:90-114.  doi: 10.1007/s12022-022-09704-6</w:t>
      </w:r>
    </w:p>
  </w:footnote>
  <w:footnote w:id="4">
    <w:p w14:paraId="69B830D5" w14:textId="77777777" w:rsidR="00062D76" w:rsidRDefault="00062D76" w:rsidP="00062D76">
      <w:pPr>
        <w:pStyle w:val="FootnoteText"/>
      </w:pPr>
      <w:r>
        <w:rPr>
          <w:rStyle w:val="FootnoteReference"/>
        </w:rPr>
        <w:footnoteRef/>
      </w:r>
      <w:r>
        <w:t xml:space="preserve"> </w:t>
      </w:r>
      <w:r w:rsidRPr="00CD1ADE">
        <w:t xml:space="preserve">Parghane RV </w:t>
      </w:r>
      <w:r w:rsidRPr="00CD1ADE">
        <w:rPr>
          <w:i/>
          <w:iCs/>
        </w:rPr>
        <w:t>et al: J Nucl Med</w:t>
      </w:r>
      <w:r w:rsidRPr="00CD1ADE">
        <w:t xml:space="preserve"> 2021; 62:1558-1563; DOI: 10.2967/jnumed.120.258772</w:t>
      </w:r>
    </w:p>
  </w:footnote>
  <w:footnote w:id="5">
    <w:p w14:paraId="0EF5C940" w14:textId="0BCC391A" w:rsidR="003445AC" w:rsidRDefault="003445AC">
      <w:pPr>
        <w:pStyle w:val="FootnoteText"/>
      </w:pPr>
      <w:r>
        <w:rPr>
          <w:rStyle w:val="FootnoteReference"/>
        </w:rPr>
        <w:footnoteRef/>
      </w:r>
      <w:r>
        <w:t xml:space="preserve"> </w:t>
      </w:r>
      <w:hyperlink r:id="rId1" w:history="1">
        <w:r w:rsidRPr="004339E6">
          <w:rPr>
            <w:rStyle w:val="Hyperlink"/>
            <w:rFonts w:ascii="Calibri" w:hAnsi="Calibri"/>
          </w:rPr>
          <w:t>https://www.tga.gov.au/resources/resource/guidance/gmp-information-manufacturers-compounded-medicines-and-daas</w:t>
        </w:r>
      </w:hyperlink>
    </w:p>
    <w:p w14:paraId="51F4829D" w14:textId="77777777" w:rsidR="003445AC" w:rsidRDefault="003445AC">
      <w:pPr>
        <w:pStyle w:val="FootnoteText"/>
      </w:pPr>
    </w:p>
  </w:footnote>
  <w:footnote w:id="6">
    <w:p w14:paraId="17E63E74" w14:textId="77777777" w:rsidR="00667892" w:rsidRDefault="00667892" w:rsidP="00667892">
      <w:pPr>
        <w:pStyle w:val="FootnoteText"/>
      </w:pPr>
      <w:r>
        <w:rPr>
          <w:rStyle w:val="FootnoteReference"/>
        </w:rPr>
        <w:footnoteRef/>
      </w:r>
      <w:r>
        <w:t xml:space="preserve"> </w:t>
      </w:r>
      <w:r w:rsidRPr="009C08CA">
        <w:t>Lutathera®</w:t>
      </w:r>
      <w:r w:rsidRPr="00AA1820">
        <w:t xml:space="preserve">is also referred to as </w:t>
      </w:r>
      <w:r w:rsidRPr="000B616A">
        <w:rPr>
          <w:vertAlign w:val="superscript"/>
        </w:rPr>
        <w:t>177</w:t>
      </w:r>
      <w:r w:rsidRPr="00AA1820">
        <w:t>Lu-DOTATATE</w:t>
      </w:r>
      <w:r>
        <w:t xml:space="preserve"> in the Novartis submission</w:t>
      </w:r>
    </w:p>
  </w:footnote>
  <w:footnote w:id="7">
    <w:p w14:paraId="05C0B534" w14:textId="5530B3DC" w:rsidR="003360EA" w:rsidRDefault="003360EA">
      <w:pPr>
        <w:pStyle w:val="FootnoteText"/>
      </w:pPr>
      <w:r>
        <w:rPr>
          <w:rStyle w:val="FootnoteReference"/>
        </w:rPr>
        <w:footnoteRef/>
      </w:r>
      <w:r>
        <w:t xml:space="preserve"> This article is licensed under a creative commons attribution 4.0 International License, which permits use as long as appropriate credit is given to the original authors.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4AB3" w14:textId="77777777" w:rsidR="00070DA1" w:rsidRDefault="00070D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0590C3BA" w14:paraId="3C46B07D" w14:textId="77777777" w:rsidTr="00C86CD2">
      <w:trPr>
        <w:trHeight w:val="300"/>
      </w:trPr>
      <w:tc>
        <w:tcPr>
          <w:tcW w:w="3190" w:type="dxa"/>
        </w:tcPr>
        <w:p w14:paraId="1DADFCD6" w14:textId="7B310DB5" w:rsidR="0590C3BA" w:rsidRDefault="0590C3BA" w:rsidP="00C86CD2">
          <w:pPr>
            <w:pStyle w:val="Header"/>
            <w:ind w:left="-115"/>
          </w:pPr>
        </w:p>
      </w:tc>
      <w:tc>
        <w:tcPr>
          <w:tcW w:w="3190" w:type="dxa"/>
        </w:tcPr>
        <w:p w14:paraId="21573CDB" w14:textId="37E58143" w:rsidR="0590C3BA" w:rsidRDefault="0590C3BA" w:rsidP="00C86CD2">
          <w:pPr>
            <w:pStyle w:val="Header"/>
            <w:jc w:val="center"/>
          </w:pPr>
        </w:p>
      </w:tc>
      <w:tc>
        <w:tcPr>
          <w:tcW w:w="3190" w:type="dxa"/>
        </w:tcPr>
        <w:p w14:paraId="3DA6DE5E" w14:textId="4B310FA7" w:rsidR="0590C3BA" w:rsidRDefault="0590C3BA" w:rsidP="00C86CD2">
          <w:pPr>
            <w:pStyle w:val="Header"/>
            <w:ind w:right="-115"/>
            <w:jc w:val="right"/>
          </w:pPr>
        </w:p>
      </w:tc>
    </w:tr>
  </w:tbl>
  <w:p w14:paraId="0B7C96DF" w14:textId="45D3EBC3" w:rsidR="0036711C" w:rsidRDefault="00367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B2175" w14:textId="77777777" w:rsidR="00070DA1" w:rsidRDefault="00070D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045"/>
      <w:gridCol w:w="5045"/>
      <w:gridCol w:w="5045"/>
    </w:tblGrid>
    <w:tr w:rsidR="0590C3BA" w14:paraId="1AFD8656" w14:textId="77777777" w:rsidTr="00922B1C">
      <w:trPr>
        <w:trHeight w:val="300"/>
      </w:trPr>
      <w:tc>
        <w:tcPr>
          <w:tcW w:w="5045" w:type="dxa"/>
        </w:tcPr>
        <w:p w14:paraId="6B178DB1" w14:textId="273039AE" w:rsidR="0590C3BA" w:rsidRDefault="0590C3BA" w:rsidP="00922B1C">
          <w:pPr>
            <w:pStyle w:val="Header"/>
            <w:ind w:left="-115"/>
          </w:pPr>
        </w:p>
      </w:tc>
      <w:tc>
        <w:tcPr>
          <w:tcW w:w="5045" w:type="dxa"/>
        </w:tcPr>
        <w:p w14:paraId="3A9F7358" w14:textId="33914371" w:rsidR="0590C3BA" w:rsidRDefault="0590C3BA" w:rsidP="00922B1C">
          <w:pPr>
            <w:pStyle w:val="Header"/>
            <w:jc w:val="center"/>
          </w:pPr>
        </w:p>
      </w:tc>
      <w:tc>
        <w:tcPr>
          <w:tcW w:w="5045" w:type="dxa"/>
        </w:tcPr>
        <w:p w14:paraId="1672C534" w14:textId="55EEE6FF" w:rsidR="0590C3BA" w:rsidRDefault="0590C3BA" w:rsidP="00922B1C">
          <w:pPr>
            <w:pStyle w:val="Header"/>
            <w:ind w:right="-115"/>
            <w:jc w:val="right"/>
          </w:pPr>
        </w:p>
      </w:tc>
    </w:tr>
  </w:tbl>
  <w:p w14:paraId="6F2932AE" w14:textId="21F69E47" w:rsidR="0036711C" w:rsidRDefault="003671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045"/>
      <w:gridCol w:w="5045"/>
      <w:gridCol w:w="5045"/>
    </w:tblGrid>
    <w:tr w:rsidR="0590C3BA" w14:paraId="0B15AA0E" w14:textId="77777777" w:rsidTr="00922B1C">
      <w:trPr>
        <w:trHeight w:val="300"/>
      </w:trPr>
      <w:tc>
        <w:tcPr>
          <w:tcW w:w="5045" w:type="dxa"/>
        </w:tcPr>
        <w:p w14:paraId="205348FE" w14:textId="6C33A18F" w:rsidR="0590C3BA" w:rsidRDefault="0590C3BA" w:rsidP="00922B1C">
          <w:pPr>
            <w:pStyle w:val="Header"/>
            <w:ind w:left="-115"/>
          </w:pPr>
        </w:p>
      </w:tc>
      <w:tc>
        <w:tcPr>
          <w:tcW w:w="5045" w:type="dxa"/>
        </w:tcPr>
        <w:p w14:paraId="0A470702" w14:textId="3797EAB7" w:rsidR="0590C3BA" w:rsidRDefault="0590C3BA" w:rsidP="00922B1C">
          <w:pPr>
            <w:pStyle w:val="Header"/>
            <w:jc w:val="center"/>
          </w:pPr>
        </w:p>
      </w:tc>
      <w:tc>
        <w:tcPr>
          <w:tcW w:w="5045" w:type="dxa"/>
        </w:tcPr>
        <w:p w14:paraId="2F96DBE4" w14:textId="23B7F6CC" w:rsidR="0590C3BA" w:rsidRDefault="0590C3BA" w:rsidP="00922B1C">
          <w:pPr>
            <w:pStyle w:val="Header"/>
            <w:ind w:right="-115"/>
            <w:jc w:val="right"/>
          </w:pPr>
        </w:p>
      </w:tc>
    </w:tr>
  </w:tbl>
  <w:p w14:paraId="6A47B300" w14:textId="1F297E7A" w:rsidR="0036711C" w:rsidRDefault="0036711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0590C3BA" w14:paraId="25F6C4B9" w14:textId="77777777" w:rsidTr="00F5138B">
      <w:trPr>
        <w:trHeight w:val="300"/>
      </w:trPr>
      <w:tc>
        <w:tcPr>
          <w:tcW w:w="3190" w:type="dxa"/>
        </w:tcPr>
        <w:p w14:paraId="3746CDE9" w14:textId="18725616" w:rsidR="0590C3BA" w:rsidRDefault="0590C3BA" w:rsidP="00F5138B">
          <w:pPr>
            <w:pStyle w:val="Header"/>
            <w:ind w:left="-115"/>
          </w:pPr>
        </w:p>
      </w:tc>
      <w:tc>
        <w:tcPr>
          <w:tcW w:w="3190" w:type="dxa"/>
        </w:tcPr>
        <w:p w14:paraId="0433A980" w14:textId="6502EF85" w:rsidR="0590C3BA" w:rsidRDefault="0590C3BA" w:rsidP="00F5138B">
          <w:pPr>
            <w:pStyle w:val="Header"/>
            <w:jc w:val="center"/>
          </w:pPr>
        </w:p>
      </w:tc>
      <w:tc>
        <w:tcPr>
          <w:tcW w:w="3190" w:type="dxa"/>
        </w:tcPr>
        <w:p w14:paraId="34F02295" w14:textId="3CC5BC27" w:rsidR="0590C3BA" w:rsidRDefault="0590C3BA" w:rsidP="00F5138B">
          <w:pPr>
            <w:pStyle w:val="Header"/>
            <w:ind w:right="-115"/>
            <w:jc w:val="right"/>
          </w:pPr>
        </w:p>
      </w:tc>
    </w:tr>
  </w:tbl>
  <w:p w14:paraId="17A5C5AA" w14:textId="0ED067CE" w:rsidR="0036711C" w:rsidRDefault="003671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A4445"/>
    <w:multiLevelType w:val="hybridMultilevel"/>
    <w:tmpl w:val="B360F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2C395A"/>
    <w:multiLevelType w:val="hybridMultilevel"/>
    <w:tmpl w:val="03D0C432"/>
    <w:lvl w:ilvl="0" w:tplc="2870C4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6C31D5"/>
    <w:multiLevelType w:val="hybridMultilevel"/>
    <w:tmpl w:val="8826BFB8"/>
    <w:lvl w:ilvl="0" w:tplc="D43803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22BCF"/>
    <w:multiLevelType w:val="hybridMultilevel"/>
    <w:tmpl w:val="9A509A52"/>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375BF"/>
    <w:multiLevelType w:val="hybridMultilevel"/>
    <w:tmpl w:val="D7D21A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B16DB5"/>
    <w:multiLevelType w:val="hybridMultilevel"/>
    <w:tmpl w:val="829E7230"/>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023445"/>
    <w:multiLevelType w:val="hybridMultilevel"/>
    <w:tmpl w:val="0CE4E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C52E5C"/>
    <w:multiLevelType w:val="hybridMultilevel"/>
    <w:tmpl w:val="5D6EAF7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E73CE"/>
    <w:multiLevelType w:val="hybridMultilevel"/>
    <w:tmpl w:val="D29675F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1C5C21AC"/>
    <w:multiLevelType w:val="hybridMultilevel"/>
    <w:tmpl w:val="015EBD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FE1228A"/>
    <w:multiLevelType w:val="hybridMultilevel"/>
    <w:tmpl w:val="67B054A0"/>
    <w:lvl w:ilvl="0" w:tplc="BC160BAA">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1FEE267D"/>
    <w:multiLevelType w:val="hybridMultilevel"/>
    <w:tmpl w:val="5792EA80"/>
    <w:lvl w:ilvl="0" w:tplc="0C090001">
      <w:start w:val="1"/>
      <w:numFmt w:val="bullet"/>
      <w:lvlText w:val=""/>
      <w:lvlJc w:val="left"/>
      <w:pPr>
        <w:ind w:left="672" w:hanging="360"/>
      </w:pPr>
      <w:rPr>
        <w:rFonts w:ascii="Symbol" w:hAnsi="Symbol" w:hint="default"/>
      </w:rPr>
    </w:lvl>
    <w:lvl w:ilvl="1" w:tplc="FFFFFFFF" w:tentative="1">
      <w:start w:val="1"/>
      <w:numFmt w:val="bullet"/>
      <w:lvlText w:val="o"/>
      <w:lvlJc w:val="left"/>
      <w:pPr>
        <w:ind w:left="1392" w:hanging="360"/>
      </w:pPr>
      <w:rPr>
        <w:rFonts w:ascii="Courier New" w:hAnsi="Courier New" w:cs="Courier New" w:hint="default"/>
      </w:rPr>
    </w:lvl>
    <w:lvl w:ilvl="2" w:tplc="FFFFFFFF" w:tentative="1">
      <w:start w:val="1"/>
      <w:numFmt w:val="bullet"/>
      <w:lvlText w:val=""/>
      <w:lvlJc w:val="left"/>
      <w:pPr>
        <w:ind w:left="2112" w:hanging="360"/>
      </w:pPr>
      <w:rPr>
        <w:rFonts w:ascii="Wingdings" w:hAnsi="Wingdings" w:hint="default"/>
      </w:rPr>
    </w:lvl>
    <w:lvl w:ilvl="3" w:tplc="FFFFFFFF" w:tentative="1">
      <w:start w:val="1"/>
      <w:numFmt w:val="bullet"/>
      <w:lvlText w:val=""/>
      <w:lvlJc w:val="left"/>
      <w:pPr>
        <w:ind w:left="2832" w:hanging="360"/>
      </w:pPr>
      <w:rPr>
        <w:rFonts w:ascii="Symbol" w:hAnsi="Symbol" w:hint="default"/>
      </w:rPr>
    </w:lvl>
    <w:lvl w:ilvl="4" w:tplc="FFFFFFFF" w:tentative="1">
      <w:start w:val="1"/>
      <w:numFmt w:val="bullet"/>
      <w:lvlText w:val="o"/>
      <w:lvlJc w:val="left"/>
      <w:pPr>
        <w:ind w:left="3552" w:hanging="360"/>
      </w:pPr>
      <w:rPr>
        <w:rFonts w:ascii="Courier New" w:hAnsi="Courier New" w:cs="Courier New" w:hint="default"/>
      </w:rPr>
    </w:lvl>
    <w:lvl w:ilvl="5" w:tplc="FFFFFFFF" w:tentative="1">
      <w:start w:val="1"/>
      <w:numFmt w:val="bullet"/>
      <w:lvlText w:val=""/>
      <w:lvlJc w:val="left"/>
      <w:pPr>
        <w:ind w:left="4272" w:hanging="360"/>
      </w:pPr>
      <w:rPr>
        <w:rFonts w:ascii="Wingdings" w:hAnsi="Wingdings" w:hint="default"/>
      </w:rPr>
    </w:lvl>
    <w:lvl w:ilvl="6" w:tplc="FFFFFFFF" w:tentative="1">
      <w:start w:val="1"/>
      <w:numFmt w:val="bullet"/>
      <w:lvlText w:val=""/>
      <w:lvlJc w:val="left"/>
      <w:pPr>
        <w:ind w:left="4992" w:hanging="360"/>
      </w:pPr>
      <w:rPr>
        <w:rFonts w:ascii="Symbol" w:hAnsi="Symbol" w:hint="default"/>
      </w:rPr>
    </w:lvl>
    <w:lvl w:ilvl="7" w:tplc="FFFFFFFF" w:tentative="1">
      <w:start w:val="1"/>
      <w:numFmt w:val="bullet"/>
      <w:lvlText w:val="o"/>
      <w:lvlJc w:val="left"/>
      <w:pPr>
        <w:ind w:left="5712" w:hanging="360"/>
      </w:pPr>
      <w:rPr>
        <w:rFonts w:ascii="Courier New" w:hAnsi="Courier New" w:cs="Courier New" w:hint="default"/>
      </w:rPr>
    </w:lvl>
    <w:lvl w:ilvl="8" w:tplc="FFFFFFFF" w:tentative="1">
      <w:start w:val="1"/>
      <w:numFmt w:val="bullet"/>
      <w:lvlText w:val=""/>
      <w:lvlJc w:val="left"/>
      <w:pPr>
        <w:ind w:left="6432" w:hanging="360"/>
      </w:pPr>
      <w:rPr>
        <w:rFonts w:ascii="Wingdings" w:hAnsi="Wingdings" w:hint="default"/>
      </w:rPr>
    </w:lvl>
  </w:abstractNum>
  <w:abstractNum w:abstractNumId="12" w15:restartNumberingAfterBreak="0">
    <w:nsid w:val="27FC333F"/>
    <w:multiLevelType w:val="hybridMultilevel"/>
    <w:tmpl w:val="715C744A"/>
    <w:lvl w:ilvl="0" w:tplc="08090017">
      <w:start w:val="1"/>
      <w:numFmt w:val="lowerLetter"/>
      <w:lvlText w:val="%1)"/>
      <w:lvlJc w:val="lef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13" w15:restartNumberingAfterBreak="0">
    <w:nsid w:val="2D2E7A7A"/>
    <w:multiLevelType w:val="hybridMultilevel"/>
    <w:tmpl w:val="D90C4F36"/>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E646152"/>
    <w:multiLevelType w:val="hybridMultilevel"/>
    <w:tmpl w:val="AF90983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C60BDD"/>
    <w:multiLevelType w:val="hybridMultilevel"/>
    <w:tmpl w:val="9F68C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B07564"/>
    <w:multiLevelType w:val="hybridMultilevel"/>
    <w:tmpl w:val="AF9098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2E1629"/>
    <w:multiLevelType w:val="hybridMultilevel"/>
    <w:tmpl w:val="C5CA523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CD0173"/>
    <w:multiLevelType w:val="hybridMultilevel"/>
    <w:tmpl w:val="95E87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502263"/>
    <w:multiLevelType w:val="hybridMultilevel"/>
    <w:tmpl w:val="D29675F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412267C3"/>
    <w:multiLevelType w:val="hybridMultilevel"/>
    <w:tmpl w:val="8D4051E6"/>
    <w:lvl w:ilvl="0" w:tplc="3E0E2CF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413F4681"/>
    <w:multiLevelType w:val="hybridMultilevel"/>
    <w:tmpl w:val="F7F89D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1CB50A7"/>
    <w:multiLevelType w:val="hybridMultilevel"/>
    <w:tmpl w:val="EF40FD1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7095746"/>
    <w:multiLevelType w:val="hybridMultilevel"/>
    <w:tmpl w:val="28BC0FCE"/>
    <w:lvl w:ilvl="0" w:tplc="A26EFB64">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9910A12"/>
    <w:multiLevelType w:val="hybridMultilevel"/>
    <w:tmpl w:val="829E723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BA65F32"/>
    <w:multiLevelType w:val="hybridMultilevel"/>
    <w:tmpl w:val="43A46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44218"/>
    <w:multiLevelType w:val="hybridMultilevel"/>
    <w:tmpl w:val="85F8DE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BC64B7"/>
    <w:multiLevelType w:val="hybridMultilevel"/>
    <w:tmpl w:val="1F1E2062"/>
    <w:lvl w:ilvl="0" w:tplc="FFFFFFFF">
      <w:start w:val="1"/>
      <w:numFmt w:val="decimal"/>
      <w:lvlText w:val="%1)"/>
      <w:lvlJc w:val="left"/>
      <w:pPr>
        <w:ind w:left="720" w:hanging="360"/>
      </w:pPr>
      <w:rPr>
        <w:rFonts w:hint="default"/>
        <w:i/>
        <w:color w:val="2E74B5" w:themeColor="accent1" w:themeShade="BF"/>
      </w:rPr>
    </w:lvl>
    <w:lvl w:ilvl="1" w:tplc="08090017">
      <w:start w:val="1"/>
      <w:numFmt w:val="lowerLetter"/>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20B2A4D"/>
    <w:multiLevelType w:val="hybridMultilevel"/>
    <w:tmpl w:val="AD9AA20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8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26521E7"/>
    <w:multiLevelType w:val="hybridMultilevel"/>
    <w:tmpl w:val="8AE63370"/>
    <w:lvl w:ilvl="0" w:tplc="08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539A0621"/>
    <w:multiLevelType w:val="hybridMultilevel"/>
    <w:tmpl w:val="D72A19F2"/>
    <w:lvl w:ilvl="0" w:tplc="BC160B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32" w15:restartNumberingAfterBreak="0">
    <w:nsid w:val="55777EAD"/>
    <w:multiLevelType w:val="hybridMultilevel"/>
    <w:tmpl w:val="BBEA9E06"/>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790CF1"/>
    <w:multiLevelType w:val="hybridMultilevel"/>
    <w:tmpl w:val="2ED2A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1720D6"/>
    <w:multiLevelType w:val="hybridMultilevel"/>
    <w:tmpl w:val="BAE0D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931B88"/>
    <w:multiLevelType w:val="hybridMultilevel"/>
    <w:tmpl w:val="B0DA368A"/>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0C95369"/>
    <w:multiLevelType w:val="hybridMultilevel"/>
    <w:tmpl w:val="71E4BD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14E34E7"/>
    <w:multiLevelType w:val="hybridMultilevel"/>
    <w:tmpl w:val="E2AA4466"/>
    <w:lvl w:ilvl="0" w:tplc="FFFFFFFF">
      <w:start w:val="1"/>
      <w:numFmt w:val="lowerLetter"/>
      <w:lvlText w:val="%1)"/>
      <w:lvlJc w:val="left"/>
      <w:pPr>
        <w:ind w:left="720" w:hanging="360"/>
      </w:pPr>
    </w:lvl>
    <w:lvl w:ilvl="1" w:tplc="08090017">
      <w:start w:val="1"/>
      <w:numFmt w:val="lowerLetter"/>
      <w:lvlText w:val="%2)"/>
      <w:lvlJc w:val="lef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1985A4B"/>
    <w:multiLevelType w:val="hybridMultilevel"/>
    <w:tmpl w:val="6914AF14"/>
    <w:lvl w:ilvl="0" w:tplc="08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649E4DCA"/>
    <w:multiLevelType w:val="hybridMultilevel"/>
    <w:tmpl w:val="907EA192"/>
    <w:lvl w:ilvl="0" w:tplc="051AF72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56E69D8"/>
    <w:multiLevelType w:val="hybridMultilevel"/>
    <w:tmpl w:val="B0DA368A"/>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6C321A2"/>
    <w:multiLevelType w:val="hybridMultilevel"/>
    <w:tmpl w:val="EF40FD1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9EB30C9"/>
    <w:multiLevelType w:val="hybridMultilevel"/>
    <w:tmpl w:val="BC42A1DE"/>
    <w:lvl w:ilvl="0" w:tplc="08090017">
      <w:start w:val="1"/>
      <w:numFmt w:val="lowerLetter"/>
      <w:lvlText w:val="%1)"/>
      <w:lvlJc w:val="lef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43" w15:restartNumberingAfterBreak="0">
    <w:nsid w:val="6B630E60"/>
    <w:multiLevelType w:val="hybridMultilevel"/>
    <w:tmpl w:val="D90C4F3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4220147"/>
    <w:multiLevelType w:val="hybridMultilevel"/>
    <w:tmpl w:val="5B74EB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906D81"/>
    <w:multiLevelType w:val="hybridMultilevel"/>
    <w:tmpl w:val="8EC8FCE2"/>
    <w:lvl w:ilvl="0" w:tplc="64D0F5C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68932AF"/>
    <w:multiLevelType w:val="hybridMultilevel"/>
    <w:tmpl w:val="5B74EB6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7A37BF9"/>
    <w:multiLevelType w:val="hybridMultilevel"/>
    <w:tmpl w:val="A99C75D2"/>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370F02"/>
    <w:multiLevelType w:val="hybridMultilevel"/>
    <w:tmpl w:val="5FB07C66"/>
    <w:lvl w:ilvl="0" w:tplc="FFFFFFFF">
      <w:start w:val="1"/>
      <w:numFmt w:val="bullet"/>
      <w:lvlText w:val=""/>
      <w:lvlJc w:val="left"/>
      <w:pPr>
        <w:ind w:left="720" w:hanging="360"/>
      </w:pPr>
      <w:rPr>
        <w:rFonts w:ascii="Symbol" w:hAnsi="Symbol" w:hint="default"/>
      </w:rPr>
    </w:lvl>
    <w:lvl w:ilvl="1" w:tplc="08090017">
      <w:start w:val="1"/>
      <w:numFmt w:val="lowerLetter"/>
      <w:lvlText w:val="%2)"/>
      <w:lvlJc w:val="left"/>
      <w:pPr>
        <w:ind w:left="23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DCF2F8B"/>
    <w:multiLevelType w:val="hybridMultilevel"/>
    <w:tmpl w:val="5D2CE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F633AC7"/>
    <w:multiLevelType w:val="hybridMultilevel"/>
    <w:tmpl w:val="4876522A"/>
    <w:lvl w:ilvl="0" w:tplc="96BAD8DA">
      <w:start w:val="1"/>
      <w:numFmt w:val="lowerLetter"/>
      <w:lvlText w:val="%1)"/>
      <w:lvlJc w:val="left"/>
      <w:pPr>
        <w:ind w:left="1000" w:hanging="360"/>
      </w:pPr>
    </w:lvl>
    <w:lvl w:ilvl="1" w:tplc="D6528998">
      <w:start w:val="1"/>
      <w:numFmt w:val="lowerLetter"/>
      <w:lvlText w:val="%2)"/>
      <w:lvlJc w:val="left"/>
      <w:pPr>
        <w:ind w:left="1000" w:hanging="360"/>
      </w:pPr>
    </w:lvl>
    <w:lvl w:ilvl="2" w:tplc="003C733E">
      <w:start w:val="1"/>
      <w:numFmt w:val="lowerLetter"/>
      <w:lvlText w:val="%3)"/>
      <w:lvlJc w:val="left"/>
      <w:pPr>
        <w:ind w:left="1000" w:hanging="360"/>
      </w:pPr>
    </w:lvl>
    <w:lvl w:ilvl="3" w:tplc="7B68B0CE">
      <w:start w:val="1"/>
      <w:numFmt w:val="lowerLetter"/>
      <w:lvlText w:val="%4)"/>
      <w:lvlJc w:val="left"/>
      <w:pPr>
        <w:ind w:left="1000" w:hanging="360"/>
      </w:pPr>
    </w:lvl>
    <w:lvl w:ilvl="4" w:tplc="695C6A44">
      <w:start w:val="1"/>
      <w:numFmt w:val="lowerLetter"/>
      <w:lvlText w:val="%5)"/>
      <w:lvlJc w:val="left"/>
      <w:pPr>
        <w:ind w:left="1000" w:hanging="360"/>
      </w:pPr>
    </w:lvl>
    <w:lvl w:ilvl="5" w:tplc="16D8CB7C">
      <w:start w:val="1"/>
      <w:numFmt w:val="lowerLetter"/>
      <w:lvlText w:val="%6)"/>
      <w:lvlJc w:val="left"/>
      <w:pPr>
        <w:ind w:left="1000" w:hanging="360"/>
      </w:pPr>
    </w:lvl>
    <w:lvl w:ilvl="6" w:tplc="ED44E9D6">
      <w:start w:val="1"/>
      <w:numFmt w:val="lowerLetter"/>
      <w:lvlText w:val="%7)"/>
      <w:lvlJc w:val="left"/>
      <w:pPr>
        <w:ind w:left="1000" w:hanging="360"/>
      </w:pPr>
    </w:lvl>
    <w:lvl w:ilvl="7" w:tplc="61D6A364">
      <w:start w:val="1"/>
      <w:numFmt w:val="lowerLetter"/>
      <w:lvlText w:val="%8)"/>
      <w:lvlJc w:val="left"/>
      <w:pPr>
        <w:ind w:left="1000" w:hanging="360"/>
      </w:pPr>
    </w:lvl>
    <w:lvl w:ilvl="8" w:tplc="9AFE7A0E">
      <w:start w:val="1"/>
      <w:numFmt w:val="lowerLetter"/>
      <w:lvlText w:val="%9)"/>
      <w:lvlJc w:val="left"/>
      <w:pPr>
        <w:ind w:left="1000" w:hanging="360"/>
      </w:pPr>
    </w:lvl>
  </w:abstractNum>
  <w:num w:numId="1">
    <w:abstractNumId w:val="31"/>
  </w:num>
  <w:num w:numId="2">
    <w:abstractNumId w:val="36"/>
  </w:num>
  <w:num w:numId="3">
    <w:abstractNumId w:val="26"/>
  </w:num>
  <w:num w:numId="4">
    <w:abstractNumId w:val="34"/>
  </w:num>
  <w:num w:numId="5">
    <w:abstractNumId w:val="0"/>
  </w:num>
  <w:num w:numId="6">
    <w:abstractNumId w:val="30"/>
  </w:num>
  <w:num w:numId="7">
    <w:abstractNumId w:val="2"/>
  </w:num>
  <w:num w:numId="8">
    <w:abstractNumId w:val="17"/>
  </w:num>
  <w:num w:numId="9">
    <w:abstractNumId w:val="11"/>
  </w:num>
  <w:num w:numId="10">
    <w:abstractNumId w:val="3"/>
  </w:num>
  <w:num w:numId="11">
    <w:abstractNumId w:val="7"/>
  </w:num>
  <w:num w:numId="12">
    <w:abstractNumId w:val="32"/>
  </w:num>
  <w:num w:numId="13">
    <w:abstractNumId w:val="47"/>
  </w:num>
  <w:num w:numId="14">
    <w:abstractNumId w:val="20"/>
  </w:num>
  <w:num w:numId="15">
    <w:abstractNumId w:val="1"/>
  </w:num>
  <w:num w:numId="16">
    <w:abstractNumId w:val="4"/>
  </w:num>
  <w:num w:numId="17">
    <w:abstractNumId w:val="49"/>
  </w:num>
  <w:num w:numId="18">
    <w:abstractNumId w:val="23"/>
  </w:num>
  <w:num w:numId="19">
    <w:abstractNumId w:val="25"/>
  </w:num>
  <w:num w:numId="20">
    <w:abstractNumId w:val="9"/>
  </w:num>
  <w:num w:numId="21">
    <w:abstractNumId w:val="10"/>
  </w:num>
  <w:num w:numId="22">
    <w:abstractNumId w:val="15"/>
  </w:num>
  <w:num w:numId="23">
    <w:abstractNumId w:val="8"/>
  </w:num>
  <w:num w:numId="24">
    <w:abstractNumId w:val="33"/>
  </w:num>
  <w:num w:numId="25">
    <w:abstractNumId w:val="6"/>
  </w:num>
  <w:num w:numId="26">
    <w:abstractNumId w:val="18"/>
  </w:num>
  <w:num w:numId="27">
    <w:abstractNumId w:val="21"/>
  </w:num>
  <w:num w:numId="28">
    <w:abstractNumId w:val="28"/>
  </w:num>
  <w:num w:numId="29">
    <w:abstractNumId w:val="37"/>
  </w:num>
  <w:num w:numId="30">
    <w:abstractNumId w:val="48"/>
  </w:num>
  <w:num w:numId="31">
    <w:abstractNumId w:val="40"/>
  </w:num>
  <w:num w:numId="32">
    <w:abstractNumId w:val="39"/>
  </w:num>
  <w:num w:numId="33">
    <w:abstractNumId w:val="13"/>
  </w:num>
  <w:num w:numId="34">
    <w:abstractNumId w:val="5"/>
  </w:num>
  <w:num w:numId="35">
    <w:abstractNumId w:val="16"/>
  </w:num>
  <w:num w:numId="36">
    <w:abstractNumId w:val="27"/>
  </w:num>
  <w:num w:numId="37">
    <w:abstractNumId w:val="44"/>
  </w:num>
  <w:num w:numId="38">
    <w:abstractNumId w:val="41"/>
  </w:num>
  <w:num w:numId="39">
    <w:abstractNumId w:val="50"/>
  </w:num>
  <w:num w:numId="40">
    <w:abstractNumId w:val="45"/>
  </w:num>
  <w:num w:numId="41">
    <w:abstractNumId w:val="24"/>
  </w:num>
  <w:num w:numId="42">
    <w:abstractNumId w:val="14"/>
  </w:num>
  <w:num w:numId="43">
    <w:abstractNumId w:val="29"/>
  </w:num>
  <w:num w:numId="44">
    <w:abstractNumId w:val="46"/>
  </w:num>
  <w:num w:numId="45">
    <w:abstractNumId w:val="12"/>
  </w:num>
  <w:num w:numId="46">
    <w:abstractNumId w:val="42"/>
  </w:num>
  <w:num w:numId="47">
    <w:abstractNumId w:val="22"/>
  </w:num>
  <w:num w:numId="48">
    <w:abstractNumId w:val="38"/>
  </w:num>
  <w:num w:numId="49">
    <w:abstractNumId w:val="19"/>
  </w:num>
  <w:num w:numId="50">
    <w:abstractNumId w:val="35"/>
  </w:num>
  <w:num w:numId="51">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Superscrip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t0f95t8w0xwred2e7v2a05paxzfxtzrww0&quot;&gt;1744 EndNote Library&lt;record-ids&gt;&lt;item&gt;11&lt;/item&gt;&lt;item&gt;12&lt;/item&gt;&lt;item&gt;13&lt;/item&gt;&lt;item&gt;14&lt;/item&gt;&lt;item&gt;15&lt;/item&gt;&lt;item&gt;16&lt;/item&gt;&lt;item&gt;17&lt;/item&gt;&lt;item&gt;18&lt;/item&gt;&lt;item&gt;19&lt;/item&gt;&lt;item&gt;22&lt;/item&gt;&lt;item&gt;24&lt;/item&gt;&lt;item&gt;25&lt;/item&gt;&lt;item&gt;26&lt;/item&gt;&lt;item&gt;27&lt;/item&gt;&lt;item&gt;28&lt;/item&gt;&lt;item&gt;29&lt;/item&gt;&lt;item&gt;30&lt;/item&gt;&lt;item&gt;31&lt;/item&gt;&lt;item&gt;33&lt;/item&gt;&lt;item&gt;34&lt;/item&gt;&lt;item&gt;36&lt;/item&gt;&lt;item&gt;37&lt;/item&gt;&lt;item&gt;38&lt;/item&gt;&lt;item&gt;39&lt;/item&gt;&lt;item&gt;42&lt;/item&gt;&lt;item&gt;43&lt;/item&gt;&lt;item&gt;44&lt;/item&gt;&lt;item&gt;45&lt;/item&gt;&lt;item&gt;46&lt;/item&gt;&lt;item&gt;47&lt;/item&gt;&lt;item&gt;48&lt;/item&gt;&lt;item&gt;49&lt;/item&gt;&lt;item&gt;50&lt;/item&gt;&lt;item&gt;51&lt;/item&gt;&lt;item&gt;52&lt;/item&gt;&lt;item&gt;54&lt;/item&gt;&lt;item&gt;55&lt;/item&gt;&lt;item&gt;56&lt;/item&gt;&lt;item&gt;57&lt;/item&gt;&lt;item&gt;58&lt;/item&gt;&lt;/record-ids&gt;&lt;/item&gt;&lt;/Libraries&gt;"/>
  </w:docVars>
  <w:rsids>
    <w:rsidRoot w:val="001E5F9C"/>
    <w:rsid w:val="000005E2"/>
    <w:rsid w:val="0000098B"/>
    <w:rsid w:val="00001163"/>
    <w:rsid w:val="00001251"/>
    <w:rsid w:val="00001394"/>
    <w:rsid w:val="00001602"/>
    <w:rsid w:val="00001A07"/>
    <w:rsid w:val="00001B06"/>
    <w:rsid w:val="00001FA5"/>
    <w:rsid w:val="00001FF6"/>
    <w:rsid w:val="000021FE"/>
    <w:rsid w:val="000023F4"/>
    <w:rsid w:val="00002770"/>
    <w:rsid w:val="000027B3"/>
    <w:rsid w:val="00002B44"/>
    <w:rsid w:val="00002BEC"/>
    <w:rsid w:val="00003059"/>
    <w:rsid w:val="000035CE"/>
    <w:rsid w:val="00003AAF"/>
    <w:rsid w:val="00003F1B"/>
    <w:rsid w:val="0000401F"/>
    <w:rsid w:val="0000433B"/>
    <w:rsid w:val="00004806"/>
    <w:rsid w:val="00005091"/>
    <w:rsid w:val="000054D6"/>
    <w:rsid w:val="00005592"/>
    <w:rsid w:val="00005A97"/>
    <w:rsid w:val="00005BF5"/>
    <w:rsid w:val="00005E30"/>
    <w:rsid w:val="00006481"/>
    <w:rsid w:val="00006598"/>
    <w:rsid w:val="000067A5"/>
    <w:rsid w:val="000068B6"/>
    <w:rsid w:val="00006E80"/>
    <w:rsid w:val="00006EC9"/>
    <w:rsid w:val="00006F35"/>
    <w:rsid w:val="00007083"/>
    <w:rsid w:val="000073AA"/>
    <w:rsid w:val="00007858"/>
    <w:rsid w:val="000079DA"/>
    <w:rsid w:val="00007A77"/>
    <w:rsid w:val="00010664"/>
    <w:rsid w:val="000111FE"/>
    <w:rsid w:val="000114B1"/>
    <w:rsid w:val="0001154B"/>
    <w:rsid w:val="0001155B"/>
    <w:rsid w:val="000115F5"/>
    <w:rsid w:val="00011B4E"/>
    <w:rsid w:val="00011BF4"/>
    <w:rsid w:val="00011D04"/>
    <w:rsid w:val="0001206C"/>
    <w:rsid w:val="000120BB"/>
    <w:rsid w:val="00012154"/>
    <w:rsid w:val="00012465"/>
    <w:rsid w:val="00012521"/>
    <w:rsid w:val="0001287F"/>
    <w:rsid w:val="0001298C"/>
    <w:rsid w:val="00012E99"/>
    <w:rsid w:val="0001309F"/>
    <w:rsid w:val="00013179"/>
    <w:rsid w:val="00013547"/>
    <w:rsid w:val="00013C05"/>
    <w:rsid w:val="00013C3C"/>
    <w:rsid w:val="00013ED0"/>
    <w:rsid w:val="00013FF9"/>
    <w:rsid w:val="00014027"/>
    <w:rsid w:val="000142A2"/>
    <w:rsid w:val="00014531"/>
    <w:rsid w:val="0001457C"/>
    <w:rsid w:val="0001485A"/>
    <w:rsid w:val="000149E5"/>
    <w:rsid w:val="00014D81"/>
    <w:rsid w:val="000150D5"/>
    <w:rsid w:val="00015342"/>
    <w:rsid w:val="00015693"/>
    <w:rsid w:val="00015845"/>
    <w:rsid w:val="00015E6F"/>
    <w:rsid w:val="00015F76"/>
    <w:rsid w:val="00016028"/>
    <w:rsid w:val="0001614C"/>
    <w:rsid w:val="00016243"/>
    <w:rsid w:val="000162A0"/>
    <w:rsid w:val="000162D2"/>
    <w:rsid w:val="000166C2"/>
    <w:rsid w:val="000167D0"/>
    <w:rsid w:val="00016A02"/>
    <w:rsid w:val="00016C2B"/>
    <w:rsid w:val="00016D9A"/>
    <w:rsid w:val="00016FB1"/>
    <w:rsid w:val="000171C4"/>
    <w:rsid w:val="000173CB"/>
    <w:rsid w:val="00017494"/>
    <w:rsid w:val="000174DA"/>
    <w:rsid w:val="00017E56"/>
    <w:rsid w:val="00020217"/>
    <w:rsid w:val="00020291"/>
    <w:rsid w:val="0002075B"/>
    <w:rsid w:val="000207AB"/>
    <w:rsid w:val="00020A1B"/>
    <w:rsid w:val="00020CA1"/>
    <w:rsid w:val="00020CE8"/>
    <w:rsid w:val="00020F54"/>
    <w:rsid w:val="00021302"/>
    <w:rsid w:val="00021391"/>
    <w:rsid w:val="00021A58"/>
    <w:rsid w:val="00021C25"/>
    <w:rsid w:val="000220E3"/>
    <w:rsid w:val="000222DC"/>
    <w:rsid w:val="00022B98"/>
    <w:rsid w:val="00022D55"/>
    <w:rsid w:val="00022D90"/>
    <w:rsid w:val="0002356D"/>
    <w:rsid w:val="000235A5"/>
    <w:rsid w:val="00023651"/>
    <w:rsid w:val="00023A3D"/>
    <w:rsid w:val="00023BE3"/>
    <w:rsid w:val="00023DFE"/>
    <w:rsid w:val="00024338"/>
    <w:rsid w:val="00024979"/>
    <w:rsid w:val="00024F31"/>
    <w:rsid w:val="00025070"/>
    <w:rsid w:val="00025600"/>
    <w:rsid w:val="00025B90"/>
    <w:rsid w:val="00025CCB"/>
    <w:rsid w:val="00025D2D"/>
    <w:rsid w:val="00025E74"/>
    <w:rsid w:val="000260E3"/>
    <w:rsid w:val="000264B7"/>
    <w:rsid w:val="000266A8"/>
    <w:rsid w:val="0002686C"/>
    <w:rsid w:val="00026B5F"/>
    <w:rsid w:val="00026C23"/>
    <w:rsid w:val="00026DE4"/>
    <w:rsid w:val="00026E09"/>
    <w:rsid w:val="000278CC"/>
    <w:rsid w:val="00027A40"/>
    <w:rsid w:val="00027E0D"/>
    <w:rsid w:val="000302BC"/>
    <w:rsid w:val="000304A6"/>
    <w:rsid w:val="000307A0"/>
    <w:rsid w:val="00030848"/>
    <w:rsid w:val="00030910"/>
    <w:rsid w:val="00030DDD"/>
    <w:rsid w:val="00031628"/>
    <w:rsid w:val="00031755"/>
    <w:rsid w:val="00031B14"/>
    <w:rsid w:val="00031BD7"/>
    <w:rsid w:val="00031CC1"/>
    <w:rsid w:val="00031D97"/>
    <w:rsid w:val="00031E26"/>
    <w:rsid w:val="00031E76"/>
    <w:rsid w:val="00031E7C"/>
    <w:rsid w:val="00031F13"/>
    <w:rsid w:val="000323CD"/>
    <w:rsid w:val="00032544"/>
    <w:rsid w:val="0003256D"/>
    <w:rsid w:val="0003276B"/>
    <w:rsid w:val="00032849"/>
    <w:rsid w:val="0003294B"/>
    <w:rsid w:val="000329A3"/>
    <w:rsid w:val="00032BEA"/>
    <w:rsid w:val="00032D70"/>
    <w:rsid w:val="00032E51"/>
    <w:rsid w:val="00033261"/>
    <w:rsid w:val="0003350E"/>
    <w:rsid w:val="0003356E"/>
    <w:rsid w:val="00033BE6"/>
    <w:rsid w:val="00033E66"/>
    <w:rsid w:val="00033EDE"/>
    <w:rsid w:val="000343B5"/>
    <w:rsid w:val="00034AA6"/>
    <w:rsid w:val="00034B39"/>
    <w:rsid w:val="00034EE3"/>
    <w:rsid w:val="0003509D"/>
    <w:rsid w:val="0003528C"/>
    <w:rsid w:val="0003564D"/>
    <w:rsid w:val="000356C0"/>
    <w:rsid w:val="0003574A"/>
    <w:rsid w:val="00035ABE"/>
    <w:rsid w:val="00035CDA"/>
    <w:rsid w:val="00035D2D"/>
    <w:rsid w:val="0003619F"/>
    <w:rsid w:val="0003636C"/>
    <w:rsid w:val="000366E1"/>
    <w:rsid w:val="000367AD"/>
    <w:rsid w:val="000369CD"/>
    <w:rsid w:val="00036A67"/>
    <w:rsid w:val="00036BD0"/>
    <w:rsid w:val="00036D2F"/>
    <w:rsid w:val="0003739B"/>
    <w:rsid w:val="000378CA"/>
    <w:rsid w:val="00037B69"/>
    <w:rsid w:val="00037E6A"/>
    <w:rsid w:val="000402D6"/>
    <w:rsid w:val="00040612"/>
    <w:rsid w:val="000409A3"/>
    <w:rsid w:val="00040A0A"/>
    <w:rsid w:val="00040A20"/>
    <w:rsid w:val="00040A3E"/>
    <w:rsid w:val="00040D4A"/>
    <w:rsid w:val="000411A9"/>
    <w:rsid w:val="00041374"/>
    <w:rsid w:val="00041855"/>
    <w:rsid w:val="00041AEC"/>
    <w:rsid w:val="00041EEA"/>
    <w:rsid w:val="00042111"/>
    <w:rsid w:val="000427B0"/>
    <w:rsid w:val="000428F4"/>
    <w:rsid w:val="0004299F"/>
    <w:rsid w:val="00042CB7"/>
    <w:rsid w:val="00042D37"/>
    <w:rsid w:val="00043111"/>
    <w:rsid w:val="000438D3"/>
    <w:rsid w:val="0004396D"/>
    <w:rsid w:val="00043E8F"/>
    <w:rsid w:val="00043EA7"/>
    <w:rsid w:val="00043FC0"/>
    <w:rsid w:val="000440A9"/>
    <w:rsid w:val="00044215"/>
    <w:rsid w:val="000443E2"/>
    <w:rsid w:val="000448C8"/>
    <w:rsid w:val="000452FD"/>
    <w:rsid w:val="00045308"/>
    <w:rsid w:val="00045371"/>
    <w:rsid w:val="00045429"/>
    <w:rsid w:val="0004547C"/>
    <w:rsid w:val="000459AE"/>
    <w:rsid w:val="00045AAA"/>
    <w:rsid w:val="00045B68"/>
    <w:rsid w:val="00045C12"/>
    <w:rsid w:val="00046053"/>
    <w:rsid w:val="000465B9"/>
    <w:rsid w:val="0004676F"/>
    <w:rsid w:val="00046B04"/>
    <w:rsid w:val="00046F64"/>
    <w:rsid w:val="000470CD"/>
    <w:rsid w:val="000471F3"/>
    <w:rsid w:val="00047733"/>
    <w:rsid w:val="00047741"/>
    <w:rsid w:val="00047A1F"/>
    <w:rsid w:val="00047AA2"/>
    <w:rsid w:val="00047F31"/>
    <w:rsid w:val="00047F69"/>
    <w:rsid w:val="0005028A"/>
    <w:rsid w:val="00050493"/>
    <w:rsid w:val="000504EB"/>
    <w:rsid w:val="00050A63"/>
    <w:rsid w:val="00050FCF"/>
    <w:rsid w:val="00050FDB"/>
    <w:rsid w:val="00051982"/>
    <w:rsid w:val="00051B68"/>
    <w:rsid w:val="00052631"/>
    <w:rsid w:val="00052777"/>
    <w:rsid w:val="000528C5"/>
    <w:rsid w:val="00052C34"/>
    <w:rsid w:val="000541D5"/>
    <w:rsid w:val="000542A1"/>
    <w:rsid w:val="000545C5"/>
    <w:rsid w:val="00054A13"/>
    <w:rsid w:val="00054A20"/>
    <w:rsid w:val="0005515C"/>
    <w:rsid w:val="00055272"/>
    <w:rsid w:val="000553A8"/>
    <w:rsid w:val="00055480"/>
    <w:rsid w:val="000555A5"/>
    <w:rsid w:val="00055658"/>
    <w:rsid w:val="0005569D"/>
    <w:rsid w:val="000557A6"/>
    <w:rsid w:val="0005583A"/>
    <w:rsid w:val="00055BBC"/>
    <w:rsid w:val="00055CD9"/>
    <w:rsid w:val="00055E21"/>
    <w:rsid w:val="00056432"/>
    <w:rsid w:val="00056713"/>
    <w:rsid w:val="00056B80"/>
    <w:rsid w:val="00056E22"/>
    <w:rsid w:val="00056F30"/>
    <w:rsid w:val="00057023"/>
    <w:rsid w:val="00057DB4"/>
    <w:rsid w:val="00057F61"/>
    <w:rsid w:val="0006059E"/>
    <w:rsid w:val="0006068A"/>
    <w:rsid w:val="000607AB"/>
    <w:rsid w:val="00060B43"/>
    <w:rsid w:val="00060BFA"/>
    <w:rsid w:val="00061068"/>
    <w:rsid w:val="000613BC"/>
    <w:rsid w:val="00061850"/>
    <w:rsid w:val="00061A19"/>
    <w:rsid w:val="00061A87"/>
    <w:rsid w:val="00061CFB"/>
    <w:rsid w:val="00061D38"/>
    <w:rsid w:val="00061F95"/>
    <w:rsid w:val="00062061"/>
    <w:rsid w:val="00062065"/>
    <w:rsid w:val="000622BC"/>
    <w:rsid w:val="0006244F"/>
    <w:rsid w:val="00062BF9"/>
    <w:rsid w:val="00062D76"/>
    <w:rsid w:val="000634CC"/>
    <w:rsid w:val="00063689"/>
    <w:rsid w:val="00063CC4"/>
    <w:rsid w:val="00063D28"/>
    <w:rsid w:val="00063D84"/>
    <w:rsid w:val="00063FCC"/>
    <w:rsid w:val="0006405F"/>
    <w:rsid w:val="00064546"/>
    <w:rsid w:val="00064834"/>
    <w:rsid w:val="00064859"/>
    <w:rsid w:val="00064B3D"/>
    <w:rsid w:val="00064F76"/>
    <w:rsid w:val="00065008"/>
    <w:rsid w:val="00065456"/>
    <w:rsid w:val="000657D2"/>
    <w:rsid w:val="00065E19"/>
    <w:rsid w:val="000661FE"/>
    <w:rsid w:val="000662E2"/>
    <w:rsid w:val="00066537"/>
    <w:rsid w:val="000666FC"/>
    <w:rsid w:val="00066D11"/>
    <w:rsid w:val="00067162"/>
    <w:rsid w:val="0006721E"/>
    <w:rsid w:val="0006763B"/>
    <w:rsid w:val="000679D1"/>
    <w:rsid w:val="00067B0D"/>
    <w:rsid w:val="000702EB"/>
    <w:rsid w:val="0007064D"/>
    <w:rsid w:val="00070DA1"/>
    <w:rsid w:val="000711D0"/>
    <w:rsid w:val="00071240"/>
    <w:rsid w:val="000712F6"/>
    <w:rsid w:val="0007173D"/>
    <w:rsid w:val="000717D5"/>
    <w:rsid w:val="000720F7"/>
    <w:rsid w:val="000726BD"/>
    <w:rsid w:val="00072918"/>
    <w:rsid w:val="000732AC"/>
    <w:rsid w:val="00073420"/>
    <w:rsid w:val="0007358F"/>
    <w:rsid w:val="000736C5"/>
    <w:rsid w:val="00073912"/>
    <w:rsid w:val="00073CD0"/>
    <w:rsid w:val="00073DD5"/>
    <w:rsid w:val="00074070"/>
    <w:rsid w:val="00074B7B"/>
    <w:rsid w:val="00074DD8"/>
    <w:rsid w:val="00075146"/>
    <w:rsid w:val="000751BF"/>
    <w:rsid w:val="000755CD"/>
    <w:rsid w:val="000756FF"/>
    <w:rsid w:val="00075977"/>
    <w:rsid w:val="00075AA8"/>
    <w:rsid w:val="00075B55"/>
    <w:rsid w:val="000769EA"/>
    <w:rsid w:val="000769F2"/>
    <w:rsid w:val="00076CAF"/>
    <w:rsid w:val="00076DC2"/>
    <w:rsid w:val="00076E36"/>
    <w:rsid w:val="000771CB"/>
    <w:rsid w:val="0007796A"/>
    <w:rsid w:val="000800A8"/>
    <w:rsid w:val="000803B4"/>
    <w:rsid w:val="0008059D"/>
    <w:rsid w:val="000805E8"/>
    <w:rsid w:val="000808AA"/>
    <w:rsid w:val="00080B2E"/>
    <w:rsid w:val="00080B93"/>
    <w:rsid w:val="00080DA3"/>
    <w:rsid w:val="00081298"/>
    <w:rsid w:val="000818D5"/>
    <w:rsid w:val="00081AE0"/>
    <w:rsid w:val="00081BB1"/>
    <w:rsid w:val="00082009"/>
    <w:rsid w:val="000820D1"/>
    <w:rsid w:val="0008229E"/>
    <w:rsid w:val="00082359"/>
    <w:rsid w:val="00082454"/>
    <w:rsid w:val="0008294A"/>
    <w:rsid w:val="00082A02"/>
    <w:rsid w:val="00082AB9"/>
    <w:rsid w:val="00082E03"/>
    <w:rsid w:val="00082E65"/>
    <w:rsid w:val="000833E0"/>
    <w:rsid w:val="00083814"/>
    <w:rsid w:val="000839AE"/>
    <w:rsid w:val="00083B8B"/>
    <w:rsid w:val="00083C1F"/>
    <w:rsid w:val="00083F3C"/>
    <w:rsid w:val="00083F40"/>
    <w:rsid w:val="00084027"/>
    <w:rsid w:val="000841AD"/>
    <w:rsid w:val="00084618"/>
    <w:rsid w:val="0008461F"/>
    <w:rsid w:val="00084623"/>
    <w:rsid w:val="00084693"/>
    <w:rsid w:val="00084C9D"/>
    <w:rsid w:val="00084CDF"/>
    <w:rsid w:val="00085103"/>
    <w:rsid w:val="00085753"/>
    <w:rsid w:val="00085B3A"/>
    <w:rsid w:val="00085B58"/>
    <w:rsid w:val="00085C02"/>
    <w:rsid w:val="0008630A"/>
    <w:rsid w:val="000863E3"/>
    <w:rsid w:val="00086587"/>
    <w:rsid w:val="000866B9"/>
    <w:rsid w:val="00086A05"/>
    <w:rsid w:val="00086D12"/>
    <w:rsid w:val="000871DA"/>
    <w:rsid w:val="000873B9"/>
    <w:rsid w:val="000873EA"/>
    <w:rsid w:val="00087837"/>
    <w:rsid w:val="00087DA5"/>
    <w:rsid w:val="000901A7"/>
    <w:rsid w:val="0009021C"/>
    <w:rsid w:val="0009027F"/>
    <w:rsid w:val="000907F8"/>
    <w:rsid w:val="0009091D"/>
    <w:rsid w:val="000910EE"/>
    <w:rsid w:val="00091287"/>
    <w:rsid w:val="0009131F"/>
    <w:rsid w:val="000916F1"/>
    <w:rsid w:val="000917D6"/>
    <w:rsid w:val="000917DE"/>
    <w:rsid w:val="00092032"/>
    <w:rsid w:val="000923DF"/>
    <w:rsid w:val="000924B7"/>
    <w:rsid w:val="00093173"/>
    <w:rsid w:val="00093687"/>
    <w:rsid w:val="000937D6"/>
    <w:rsid w:val="00093811"/>
    <w:rsid w:val="0009396B"/>
    <w:rsid w:val="000939E0"/>
    <w:rsid w:val="000945A9"/>
    <w:rsid w:val="00094669"/>
    <w:rsid w:val="00094D40"/>
    <w:rsid w:val="00094FD5"/>
    <w:rsid w:val="0009509E"/>
    <w:rsid w:val="000952AC"/>
    <w:rsid w:val="00095BFD"/>
    <w:rsid w:val="00095C80"/>
    <w:rsid w:val="00095E6F"/>
    <w:rsid w:val="00095EE6"/>
    <w:rsid w:val="00095F49"/>
    <w:rsid w:val="00096734"/>
    <w:rsid w:val="00096923"/>
    <w:rsid w:val="000969E7"/>
    <w:rsid w:val="00096C1B"/>
    <w:rsid w:val="00096D85"/>
    <w:rsid w:val="000972BF"/>
    <w:rsid w:val="0009730F"/>
    <w:rsid w:val="00097838"/>
    <w:rsid w:val="00097AA7"/>
    <w:rsid w:val="000A00C9"/>
    <w:rsid w:val="000A00F2"/>
    <w:rsid w:val="000A0569"/>
    <w:rsid w:val="000A0724"/>
    <w:rsid w:val="000A0BA0"/>
    <w:rsid w:val="000A1526"/>
    <w:rsid w:val="000A1B97"/>
    <w:rsid w:val="000A2039"/>
    <w:rsid w:val="000A2304"/>
    <w:rsid w:val="000A2403"/>
    <w:rsid w:val="000A2537"/>
    <w:rsid w:val="000A29E9"/>
    <w:rsid w:val="000A2C1F"/>
    <w:rsid w:val="000A3242"/>
    <w:rsid w:val="000A3672"/>
    <w:rsid w:val="000A36E5"/>
    <w:rsid w:val="000A3770"/>
    <w:rsid w:val="000A3B94"/>
    <w:rsid w:val="000A3E7D"/>
    <w:rsid w:val="000A4C59"/>
    <w:rsid w:val="000A531A"/>
    <w:rsid w:val="000A557F"/>
    <w:rsid w:val="000A55EC"/>
    <w:rsid w:val="000A637C"/>
    <w:rsid w:val="000A63F3"/>
    <w:rsid w:val="000A66D9"/>
    <w:rsid w:val="000A6C1D"/>
    <w:rsid w:val="000A6DB3"/>
    <w:rsid w:val="000A7027"/>
    <w:rsid w:val="000A72D3"/>
    <w:rsid w:val="000A776C"/>
    <w:rsid w:val="000A7A4E"/>
    <w:rsid w:val="000A7E0A"/>
    <w:rsid w:val="000A7F1B"/>
    <w:rsid w:val="000B0018"/>
    <w:rsid w:val="000B0059"/>
    <w:rsid w:val="000B0063"/>
    <w:rsid w:val="000B0A32"/>
    <w:rsid w:val="000B0B60"/>
    <w:rsid w:val="000B0B89"/>
    <w:rsid w:val="000B0B99"/>
    <w:rsid w:val="000B0BFF"/>
    <w:rsid w:val="000B0C07"/>
    <w:rsid w:val="000B0CAB"/>
    <w:rsid w:val="000B0E05"/>
    <w:rsid w:val="000B1813"/>
    <w:rsid w:val="000B2015"/>
    <w:rsid w:val="000B203D"/>
    <w:rsid w:val="000B2288"/>
    <w:rsid w:val="000B22A7"/>
    <w:rsid w:val="000B258A"/>
    <w:rsid w:val="000B3218"/>
    <w:rsid w:val="000B32DF"/>
    <w:rsid w:val="000B34FA"/>
    <w:rsid w:val="000B38DF"/>
    <w:rsid w:val="000B3BFF"/>
    <w:rsid w:val="000B3D95"/>
    <w:rsid w:val="000B3E86"/>
    <w:rsid w:val="000B4021"/>
    <w:rsid w:val="000B430C"/>
    <w:rsid w:val="000B4652"/>
    <w:rsid w:val="000B4D01"/>
    <w:rsid w:val="000B4D2F"/>
    <w:rsid w:val="000B50E1"/>
    <w:rsid w:val="000B588A"/>
    <w:rsid w:val="000B616A"/>
    <w:rsid w:val="000B660D"/>
    <w:rsid w:val="000B687F"/>
    <w:rsid w:val="000B6C1B"/>
    <w:rsid w:val="000B6DD8"/>
    <w:rsid w:val="000B6DF6"/>
    <w:rsid w:val="000B6EA8"/>
    <w:rsid w:val="000B6F9E"/>
    <w:rsid w:val="000B7097"/>
    <w:rsid w:val="000B7635"/>
    <w:rsid w:val="000B7BB6"/>
    <w:rsid w:val="000C06F5"/>
    <w:rsid w:val="000C14BF"/>
    <w:rsid w:val="000C17E0"/>
    <w:rsid w:val="000C182D"/>
    <w:rsid w:val="000C18F7"/>
    <w:rsid w:val="000C1953"/>
    <w:rsid w:val="000C1992"/>
    <w:rsid w:val="000C1993"/>
    <w:rsid w:val="000C2145"/>
    <w:rsid w:val="000C23EA"/>
    <w:rsid w:val="000C2531"/>
    <w:rsid w:val="000C26AC"/>
    <w:rsid w:val="000C2787"/>
    <w:rsid w:val="000C2B53"/>
    <w:rsid w:val="000C2DEC"/>
    <w:rsid w:val="000C2E9F"/>
    <w:rsid w:val="000C3480"/>
    <w:rsid w:val="000C36C6"/>
    <w:rsid w:val="000C3961"/>
    <w:rsid w:val="000C3DBE"/>
    <w:rsid w:val="000C470F"/>
    <w:rsid w:val="000C47BA"/>
    <w:rsid w:val="000C4949"/>
    <w:rsid w:val="000C5A7A"/>
    <w:rsid w:val="000C5AF1"/>
    <w:rsid w:val="000C5CBC"/>
    <w:rsid w:val="000C5D56"/>
    <w:rsid w:val="000C5D62"/>
    <w:rsid w:val="000C6062"/>
    <w:rsid w:val="000C609A"/>
    <w:rsid w:val="000C61C2"/>
    <w:rsid w:val="000C6702"/>
    <w:rsid w:val="000C6B59"/>
    <w:rsid w:val="000C6BD2"/>
    <w:rsid w:val="000C6DDE"/>
    <w:rsid w:val="000C6F61"/>
    <w:rsid w:val="000C743E"/>
    <w:rsid w:val="000C748F"/>
    <w:rsid w:val="000C766C"/>
    <w:rsid w:val="000C7C89"/>
    <w:rsid w:val="000C7C9D"/>
    <w:rsid w:val="000C7E8C"/>
    <w:rsid w:val="000D0423"/>
    <w:rsid w:val="000D0430"/>
    <w:rsid w:val="000D0571"/>
    <w:rsid w:val="000D0611"/>
    <w:rsid w:val="000D07CA"/>
    <w:rsid w:val="000D0991"/>
    <w:rsid w:val="000D0A61"/>
    <w:rsid w:val="000D1065"/>
    <w:rsid w:val="000D10F3"/>
    <w:rsid w:val="000D13AD"/>
    <w:rsid w:val="000D17E1"/>
    <w:rsid w:val="000D1AC3"/>
    <w:rsid w:val="000D1EF0"/>
    <w:rsid w:val="000D1FCF"/>
    <w:rsid w:val="000D21F1"/>
    <w:rsid w:val="000D23D7"/>
    <w:rsid w:val="000D26C4"/>
    <w:rsid w:val="000D2ADB"/>
    <w:rsid w:val="000D2BCC"/>
    <w:rsid w:val="000D3D64"/>
    <w:rsid w:val="000D440D"/>
    <w:rsid w:val="000D4615"/>
    <w:rsid w:val="000D472E"/>
    <w:rsid w:val="000D5785"/>
    <w:rsid w:val="000D5879"/>
    <w:rsid w:val="000D58D4"/>
    <w:rsid w:val="000D5AAB"/>
    <w:rsid w:val="000D659C"/>
    <w:rsid w:val="000D6686"/>
    <w:rsid w:val="000D66A6"/>
    <w:rsid w:val="000D6731"/>
    <w:rsid w:val="000D699A"/>
    <w:rsid w:val="000D69E2"/>
    <w:rsid w:val="000D6C89"/>
    <w:rsid w:val="000D728D"/>
    <w:rsid w:val="000D7295"/>
    <w:rsid w:val="000D7343"/>
    <w:rsid w:val="000D7C72"/>
    <w:rsid w:val="000D7D5B"/>
    <w:rsid w:val="000E07D0"/>
    <w:rsid w:val="000E0D99"/>
    <w:rsid w:val="000E1B98"/>
    <w:rsid w:val="000E1F36"/>
    <w:rsid w:val="000E2642"/>
    <w:rsid w:val="000E2823"/>
    <w:rsid w:val="000E2D6C"/>
    <w:rsid w:val="000E31B7"/>
    <w:rsid w:val="000E36AD"/>
    <w:rsid w:val="000E39A3"/>
    <w:rsid w:val="000E3C82"/>
    <w:rsid w:val="000E4396"/>
    <w:rsid w:val="000E4E6A"/>
    <w:rsid w:val="000E4F1C"/>
    <w:rsid w:val="000E51C6"/>
    <w:rsid w:val="000E52A8"/>
    <w:rsid w:val="000E55BE"/>
    <w:rsid w:val="000E5BB4"/>
    <w:rsid w:val="000E5E05"/>
    <w:rsid w:val="000E5E22"/>
    <w:rsid w:val="000E5E51"/>
    <w:rsid w:val="000E5F37"/>
    <w:rsid w:val="000E623D"/>
    <w:rsid w:val="000E636A"/>
    <w:rsid w:val="000E69F8"/>
    <w:rsid w:val="000E71CA"/>
    <w:rsid w:val="000E73E1"/>
    <w:rsid w:val="000E7A89"/>
    <w:rsid w:val="000E7AB0"/>
    <w:rsid w:val="000F0C30"/>
    <w:rsid w:val="000F0DB6"/>
    <w:rsid w:val="000F0E32"/>
    <w:rsid w:val="000F109D"/>
    <w:rsid w:val="000F131D"/>
    <w:rsid w:val="000F1650"/>
    <w:rsid w:val="000F1A90"/>
    <w:rsid w:val="000F1C56"/>
    <w:rsid w:val="000F1DFC"/>
    <w:rsid w:val="000F1E4A"/>
    <w:rsid w:val="000F1EE7"/>
    <w:rsid w:val="000F25C0"/>
    <w:rsid w:val="000F264B"/>
    <w:rsid w:val="000F2A21"/>
    <w:rsid w:val="000F2C6C"/>
    <w:rsid w:val="000F2CB4"/>
    <w:rsid w:val="000F2E25"/>
    <w:rsid w:val="000F336F"/>
    <w:rsid w:val="000F39B5"/>
    <w:rsid w:val="000F3A08"/>
    <w:rsid w:val="000F3D96"/>
    <w:rsid w:val="000F3F3A"/>
    <w:rsid w:val="000F3FFE"/>
    <w:rsid w:val="000F3FFF"/>
    <w:rsid w:val="000F47A1"/>
    <w:rsid w:val="000F4A71"/>
    <w:rsid w:val="000F518A"/>
    <w:rsid w:val="000F528F"/>
    <w:rsid w:val="000F536E"/>
    <w:rsid w:val="000F5461"/>
    <w:rsid w:val="000F576C"/>
    <w:rsid w:val="000F5A13"/>
    <w:rsid w:val="000F5ABB"/>
    <w:rsid w:val="000F5BEF"/>
    <w:rsid w:val="000F5CB5"/>
    <w:rsid w:val="000F634E"/>
    <w:rsid w:val="000F688E"/>
    <w:rsid w:val="000F6D4E"/>
    <w:rsid w:val="000F70EC"/>
    <w:rsid w:val="000F712C"/>
    <w:rsid w:val="000F7722"/>
    <w:rsid w:val="000F7C35"/>
    <w:rsid w:val="000F7EB2"/>
    <w:rsid w:val="0010006D"/>
    <w:rsid w:val="00100320"/>
    <w:rsid w:val="00100338"/>
    <w:rsid w:val="001003E7"/>
    <w:rsid w:val="00100D16"/>
    <w:rsid w:val="00100FE1"/>
    <w:rsid w:val="00101FE6"/>
    <w:rsid w:val="00102299"/>
    <w:rsid w:val="00102410"/>
    <w:rsid w:val="00102462"/>
    <w:rsid w:val="0010281F"/>
    <w:rsid w:val="00102DC0"/>
    <w:rsid w:val="001033C3"/>
    <w:rsid w:val="0010342C"/>
    <w:rsid w:val="00103A9B"/>
    <w:rsid w:val="001044E8"/>
    <w:rsid w:val="00104564"/>
    <w:rsid w:val="00104824"/>
    <w:rsid w:val="00104BD2"/>
    <w:rsid w:val="0010520D"/>
    <w:rsid w:val="00105640"/>
    <w:rsid w:val="00105D8E"/>
    <w:rsid w:val="00105E02"/>
    <w:rsid w:val="001060A8"/>
    <w:rsid w:val="001061DE"/>
    <w:rsid w:val="00106315"/>
    <w:rsid w:val="00106497"/>
    <w:rsid w:val="00106499"/>
    <w:rsid w:val="001064CA"/>
    <w:rsid w:val="0010669F"/>
    <w:rsid w:val="001067B6"/>
    <w:rsid w:val="001068BD"/>
    <w:rsid w:val="00106A32"/>
    <w:rsid w:val="00106AEE"/>
    <w:rsid w:val="00106D48"/>
    <w:rsid w:val="00106DB4"/>
    <w:rsid w:val="00107127"/>
    <w:rsid w:val="00107631"/>
    <w:rsid w:val="00107898"/>
    <w:rsid w:val="00107B07"/>
    <w:rsid w:val="00107B66"/>
    <w:rsid w:val="00107BE2"/>
    <w:rsid w:val="00107CB7"/>
    <w:rsid w:val="00110160"/>
    <w:rsid w:val="00110944"/>
    <w:rsid w:val="00110C8F"/>
    <w:rsid w:val="00110D5F"/>
    <w:rsid w:val="00110DA0"/>
    <w:rsid w:val="00110F17"/>
    <w:rsid w:val="00111222"/>
    <w:rsid w:val="001112B2"/>
    <w:rsid w:val="0011159E"/>
    <w:rsid w:val="001115B1"/>
    <w:rsid w:val="00111B8C"/>
    <w:rsid w:val="00111CBD"/>
    <w:rsid w:val="001123E4"/>
    <w:rsid w:val="001126DE"/>
    <w:rsid w:val="001128A2"/>
    <w:rsid w:val="00112AFF"/>
    <w:rsid w:val="00112CAC"/>
    <w:rsid w:val="00112CB5"/>
    <w:rsid w:val="00112EE7"/>
    <w:rsid w:val="00113BBC"/>
    <w:rsid w:val="00114009"/>
    <w:rsid w:val="00114063"/>
    <w:rsid w:val="00114908"/>
    <w:rsid w:val="00114E20"/>
    <w:rsid w:val="00115229"/>
    <w:rsid w:val="00115248"/>
    <w:rsid w:val="00115A0A"/>
    <w:rsid w:val="00115C30"/>
    <w:rsid w:val="00115F22"/>
    <w:rsid w:val="00116062"/>
    <w:rsid w:val="001162D8"/>
    <w:rsid w:val="00116832"/>
    <w:rsid w:val="001168E0"/>
    <w:rsid w:val="00116B0C"/>
    <w:rsid w:val="00116B98"/>
    <w:rsid w:val="00116E8E"/>
    <w:rsid w:val="00117505"/>
    <w:rsid w:val="0011764F"/>
    <w:rsid w:val="00117A30"/>
    <w:rsid w:val="00117B02"/>
    <w:rsid w:val="00117F42"/>
    <w:rsid w:val="00120022"/>
    <w:rsid w:val="001203B6"/>
    <w:rsid w:val="00120447"/>
    <w:rsid w:val="001206B9"/>
    <w:rsid w:val="001207CF"/>
    <w:rsid w:val="00120F8A"/>
    <w:rsid w:val="00121632"/>
    <w:rsid w:val="001216BE"/>
    <w:rsid w:val="00121A4C"/>
    <w:rsid w:val="00121AC6"/>
    <w:rsid w:val="00121B2B"/>
    <w:rsid w:val="00121B2D"/>
    <w:rsid w:val="001220B4"/>
    <w:rsid w:val="0012217F"/>
    <w:rsid w:val="001223D7"/>
    <w:rsid w:val="001223E1"/>
    <w:rsid w:val="001225CE"/>
    <w:rsid w:val="0012395F"/>
    <w:rsid w:val="00123BB3"/>
    <w:rsid w:val="00123C99"/>
    <w:rsid w:val="00123D12"/>
    <w:rsid w:val="001240FE"/>
    <w:rsid w:val="0012427A"/>
    <w:rsid w:val="001242BB"/>
    <w:rsid w:val="00124317"/>
    <w:rsid w:val="001247FF"/>
    <w:rsid w:val="0012499B"/>
    <w:rsid w:val="001249E0"/>
    <w:rsid w:val="00124AC1"/>
    <w:rsid w:val="00124C00"/>
    <w:rsid w:val="00124C37"/>
    <w:rsid w:val="00124EDA"/>
    <w:rsid w:val="001252A0"/>
    <w:rsid w:val="00125423"/>
    <w:rsid w:val="00125572"/>
    <w:rsid w:val="00125963"/>
    <w:rsid w:val="0012609E"/>
    <w:rsid w:val="001262EB"/>
    <w:rsid w:val="001266D3"/>
    <w:rsid w:val="00126925"/>
    <w:rsid w:val="00126DC6"/>
    <w:rsid w:val="00126DEF"/>
    <w:rsid w:val="00126E79"/>
    <w:rsid w:val="00127733"/>
    <w:rsid w:val="00127799"/>
    <w:rsid w:val="00127AFA"/>
    <w:rsid w:val="00127B87"/>
    <w:rsid w:val="00127EA7"/>
    <w:rsid w:val="00130234"/>
    <w:rsid w:val="0013052F"/>
    <w:rsid w:val="001308F6"/>
    <w:rsid w:val="00130DC5"/>
    <w:rsid w:val="00131160"/>
    <w:rsid w:val="00131201"/>
    <w:rsid w:val="001313E6"/>
    <w:rsid w:val="001314F1"/>
    <w:rsid w:val="00131856"/>
    <w:rsid w:val="00131983"/>
    <w:rsid w:val="00131A79"/>
    <w:rsid w:val="00131CD2"/>
    <w:rsid w:val="00131FF7"/>
    <w:rsid w:val="001321BF"/>
    <w:rsid w:val="0013286C"/>
    <w:rsid w:val="00132D78"/>
    <w:rsid w:val="00132DCB"/>
    <w:rsid w:val="00132E25"/>
    <w:rsid w:val="00133017"/>
    <w:rsid w:val="00133304"/>
    <w:rsid w:val="00133924"/>
    <w:rsid w:val="00133D82"/>
    <w:rsid w:val="0013432F"/>
    <w:rsid w:val="00134605"/>
    <w:rsid w:val="001346CC"/>
    <w:rsid w:val="001347A0"/>
    <w:rsid w:val="00134AC9"/>
    <w:rsid w:val="0013511D"/>
    <w:rsid w:val="001356D9"/>
    <w:rsid w:val="0013577C"/>
    <w:rsid w:val="00135CE7"/>
    <w:rsid w:val="00135CFE"/>
    <w:rsid w:val="00136210"/>
    <w:rsid w:val="00136396"/>
    <w:rsid w:val="001364E1"/>
    <w:rsid w:val="001367A2"/>
    <w:rsid w:val="00136930"/>
    <w:rsid w:val="00136FDB"/>
    <w:rsid w:val="00136FF5"/>
    <w:rsid w:val="00137A05"/>
    <w:rsid w:val="00137C7F"/>
    <w:rsid w:val="00137DA9"/>
    <w:rsid w:val="001405D6"/>
    <w:rsid w:val="001407D7"/>
    <w:rsid w:val="001408F2"/>
    <w:rsid w:val="00140936"/>
    <w:rsid w:val="00140C3B"/>
    <w:rsid w:val="00140E66"/>
    <w:rsid w:val="001411B0"/>
    <w:rsid w:val="001411D4"/>
    <w:rsid w:val="00141471"/>
    <w:rsid w:val="0014166E"/>
    <w:rsid w:val="00141AC3"/>
    <w:rsid w:val="00141B0F"/>
    <w:rsid w:val="00141D48"/>
    <w:rsid w:val="0014232C"/>
    <w:rsid w:val="00142D76"/>
    <w:rsid w:val="00142F9C"/>
    <w:rsid w:val="00143391"/>
    <w:rsid w:val="00143393"/>
    <w:rsid w:val="001436FC"/>
    <w:rsid w:val="001437BA"/>
    <w:rsid w:val="0014390D"/>
    <w:rsid w:val="00143A09"/>
    <w:rsid w:val="0014408D"/>
    <w:rsid w:val="001444D5"/>
    <w:rsid w:val="0014458D"/>
    <w:rsid w:val="00144770"/>
    <w:rsid w:val="00144A43"/>
    <w:rsid w:val="00144F57"/>
    <w:rsid w:val="00145201"/>
    <w:rsid w:val="001456C4"/>
    <w:rsid w:val="001456D0"/>
    <w:rsid w:val="001458E3"/>
    <w:rsid w:val="00145AE2"/>
    <w:rsid w:val="0014668D"/>
    <w:rsid w:val="00146730"/>
    <w:rsid w:val="0014700F"/>
    <w:rsid w:val="0014716E"/>
    <w:rsid w:val="001475AC"/>
    <w:rsid w:val="001479ED"/>
    <w:rsid w:val="00147BBE"/>
    <w:rsid w:val="00147C6B"/>
    <w:rsid w:val="001504DF"/>
    <w:rsid w:val="0015050D"/>
    <w:rsid w:val="00150AE4"/>
    <w:rsid w:val="00151001"/>
    <w:rsid w:val="00151106"/>
    <w:rsid w:val="001511A8"/>
    <w:rsid w:val="0015173E"/>
    <w:rsid w:val="00151768"/>
    <w:rsid w:val="00151FFD"/>
    <w:rsid w:val="00152470"/>
    <w:rsid w:val="00152A95"/>
    <w:rsid w:val="00152E20"/>
    <w:rsid w:val="001530AE"/>
    <w:rsid w:val="0015314B"/>
    <w:rsid w:val="00153914"/>
    <w:rsid w:val="00153978"/>
    <w:rsid w:val="00153A76"/>
    <w:rsid w:val="00153B78"/>
    <w:rsid w:val="00153E55"/>
    <w:rsid w:val="0015406E"/>
    <w:rsid w:val="001540A1"/>
    <w:rsid w:val="00154233"/>
    <w:rsid w:val="0015454B"/>
    <w:rsid w:val="00155052"/>
    <w:rsid w:val="001555E2"/>
    <w:rsid w:val="0015599A"/>
    <w:rsid w:val="00155C6B"/>
    <w:rsid w:val="00155CB0"/>
    <w:rsid w:val="00155E7E"/>
    <w:rsid w:val="00156492"/>
    <w:rsid w:val="00156826"/>
    <w:rsid w:val="00156AC6"/>
    <w:rsid w:val="00156ACF"/>
    <w:rsid w:val="00156AFF"/>
    <w:rsid w:val="00156DA7"/>
    <w:rsid w:val="00156F6F"/>
    <w:rsid w:val="00157370"/>
    <w:rsid w:val="00157E92"/>
    <w:rsid w:val="0016037B"/>
    <w:rsid w:val="001603F9"/>
    <w:rsid w:val="0016052B"/>
    <w:rsid w:val="001606CE"/>
    <w:rsid w:val="00160784"/>
    <w:rsid w:val="00160A15"/>
    <w:rsid w:val="00160E50"/>
    <w:rsid w:val="0016101E"/>
    <w:rsid w:val="00161727"/>
    <w:rsid w:val="00161A3A"/>
    <w:rsid w:val="00161D5F"/>
    <w:rsid w:val="00161EB9"/>
    <w:rsid w:val="00161FBF"/>
    <w:rsid w:val="00162063"/>
    <w:rsid w:val="0016219B"/>
    <w:rsid w:val="001621D8"/>
    <w:rsid w:val="0016275D"/>
    <w:rsid w:val="00162F1D"/>
    <w:rsid w:val="0016315C"/>
    <w:rsid w:val="0016321E"/>
    <w:rsid w:val="00163431"/>
    <w:rsid w:val="00163A4C"/>
    <w:rsid w:val="00163A65"/>
    <w:rsid w:val="00163E67"/>
    <w:rsid w:val="00164458"/>
    <w:rsid w:val="001644F3"/>
    <w:rsid w:val="001646DB"/>
    <w:rsid w:val="00164B6B"/>
    <w:rsid w:val="001654CC"/>
    <w:rsid w:val="00165597"/>
    <w:rsid w:val="00165E8B"/>
    <w:rsid w:val="00166A19"/>
    <w:rsid w:val="00166A86"/>
    <w:rsid w:val="00166DE2"/>
    <w:rsid w:val="00166DFA"/>
    <w:rsid w:val="00166E68"/>
    <w:rsid w:val="00167069"/>
    <w:rsid w:val="0016738D"/>
    <w:rsid w:val="0016779D"/>
    <w:rsid w:val="00167C7F"/>
    <w:rsid w:val="001701DA"/>
    <w:rsid w:val="00170357"/>
    <w:rsid w:val="0017066A"/>
    <w:rsid w:val="0017090E"/>
    <w:rsid w:val="00171061"/>
    <w:rsid w:val="001710A3"/>
    <w:rsid w:val="001715E4"/>
    <w:rsid w:val="001719A7"/>
    <w:rsid w:val="0017205A"/>
    <w:rsid w:val="00172C20"/>
    <w:rsid w:val="00172E90"/>
    <w:rsid w:val="00172ED2"/>
    <w:rsid w:val="00172FA5"/>
    <w:rsid w:val="00173685"/>
    <w:rsid w:val="0017373E"/>
    <w:rsid w:val="00173763"/>
    <w:rsid w:val="001737CD"/>
    <w:rsid w:val="00173850"/>
    <w:rsid w:val="001738D8"/>
    <w:rsid w:val="00173A10"/>
    <w:rsid w:val="00173A37"/>
    <w:rsid w:val="001743F1"/>
    <w:rsid w:val="00174456"/>
    <w:rsid w:val="001744F9"/>
    <w:rsid w:val="00174E5A"/>
    <w:rsid w:val="00174E81"/>
    <w:rsid w:val="001753EC"/>
    <w:rsid w:val="00175712"/>
    <w:rsid w:val="001757C3"/>
    <w:rsid w:val="0017596E"/>
    <w:rsid w:val="00175D62"/>
    <w:rsid w:val="00175EF2"/>
    <w:rsid w:val="00176949"/>
    <w:rsid w:val="001769B5"/>
    <w:rsid w:val="00176CFC"/>
    <w:rsid w:val="00176D8C"/>
    <w:rsid w:val="00177384"/>
    <w:rsid w:val="00177408"/>
    <w:rsid w:val="00177439"/>
    <w:rsid w:val="001776D8"/>
    <w:rsid w:val="00177961"/>
    <w:rsid w:val="001779DA"/>
    <w:rsid w:val="00177C75"/>
    <w:rsid w:val="00180356"/>
    <w:rsid w:val="00180446"/>
    <w:rsid w:val="0018069E"/>
    <w:rsid w:val="00180868"/>
    <w:rsid w:val="00180D00"/>
    <w:rsid w:val="00180EEF"/>
    <w:rsid w:val="00180F2E"/>
    <w:rsid w:val="001816D7"/>
    <w:rsid w:val="00181EF0"/>
    <w:rsid w:val="00181F6C"/>
    <w:rsid w:val="001826FA"/>
    <w:rsid w:val="001828AF"/>
    <w:rsid w:val="00182B2D"/>
    <w:rsid w:val="00182DA2"/>
    <w:rsid w:val="00183185"/>
    <w:rsid w:val="001831DA"/>
    <w:rsid w:val="001833E2"/>
    <w:rsid w:val="0018388A"/>
    <w:rsid w:val="001839B0"/>
    <w:rsid w:val="00183DB5"/>
    <w:rsid w:val="00183E02"/>
    <w:rsid w:val="0018428F"/>
    <w:rsid w:val="00184CAB"/>
    <w:rsid w:val="00185290"/>
    <w:rsid w:val="00185839"/>
    <w:rsid w:val="00185D61"/>
    <w:rsid w:val="00185EB3"/>
    <w:rsid w:val="00185FDB"/>
    <w:rsid w:val="00186043"/>
    <w:rsid w:val="0018622C"/>
    <w:rsid w:val="00186443"/>
    <w:rsid w:val="001868E6"/>
    <w:rsid w:val="00186B3C"/>
    <w:rsid w:val="00186D94"/>
    <w:rsid w:val="00187628"/>
    <w:rsid w:val="001904D9"/>
    <w:rsid w:val="00190543"/>
    <w:rsid w:val="00190B38"/>
    <w:rsid w:val="00190BC0"/>
    <w:rsid w:val="00190ED7"/>
    <w:rsid w:val="00191060"/>
    <w:rsid w:val="001917C3"/>
    <w:rsid w:val="001919D6"/>
    <w:rsid w:val="00191A30"/>
    <w:rsid w:val="00192405"/>
    <w:rsid w:val="001924A8"/>
    <w:rsid w:val="00192610"/>
    <w:rsid w:val="001928C6"/>
    <w:rsid w:val="00192C82"/>
    <w:rsid w:val="001930A8"/>
    <w:rsid w:val="001933CE"/>
    <w:rsid w:val="0019373A"/>
    <w:rsid w:val="00193879"/>
    <w:rsid w:val="00193B44"/>
    <w:rsid w:val="00194708"/>
    <w:rsid w:val="00194AA3"/>
    <w:rsid w:val="00194BE4"/>
    <w:rsid w:val="0019610C"/>
    <w:rsid w:val="001962A1"/>
    <w:rsid w:val="001966FC"/>
    <w:rsid w:val="00196754"/>
    <w:rsid w:val="00196A67"/>
    <w:rsid w:val="00196DB9"/>
    <w:rsid w:val="00196FB9"/>
    <w:rsid w:val="00197342"/>
    <w:rsid w:val="001975A6"/>
    <w:rsid w:val="001977B7"/>
    <w:rsid w:val="001978D0"/>
    <w:rsid w:val="00197906"/>
    <w:rsid w:val="00197D29"/>
    <w:rsid w:val="00197E40"/>
    <w:rsid w:val="001A002B"/>
    <w:rsid w:val="001A02C5"/>
    <w:rsid w:val="001A060D"/>
    <w:rsid w:val="001A0708"/>
    <w:rsid w:val="001A09A9"/>
    <w:rsid w:val="001A0BF7"/>
    <w:rsid w:val="001A0C2B"/>
    <w:rsid w:val="001A0D45"/>
    <w:rsid w:val="001A102B"/>
    <w:rsid w:val="001A1220"/>
    <w:rsid w:val="001A1685"/>
    <w:rsid w:val="001A1763"/>
    <w:rsid w:val="001A180A"/>
    <w:rsid w:val="001A1D41"/>
    <w:rsid w:val="001A2015"/>
    <w:rsid w:val="001A208E"/>
    <w:rsid w:val="001A239C"/>
    <w:rsid w:val="001A25CE"/>
    <w:rsid w:val="001A2859"/>
    <w:rsid w:val="001A2943"/>
    <w:rsid w:val="001A2BC9"/>
    <w:rsid w:val="001A2E0D"/>
    <w:rsid w:val="001A38D0"/>
    <w:rsid w:val="001A3E0C"/>
    <w:rsid w:val="001A44FB"/>
    <w:rsid w:val="001A46CB"/>
    <w:rsid w:val="001A49A1"/>
    <w:rsid w:val="001A4FBF"/>
    <w:rsid w:val="001A4FCB"/>
    <w:rsid w:val="001A501A"/>
    <w:rsid w:val="001A50F5"/>
    <w:rsid w:val="001A5457"/>
    <w:rsid w:val="001A5628"/>
    <w:rsid w:val="001A56BE"/>
    <w:rsid w:val="001A5A1F"/>
    <w:rsid w:val="001A5AD6"/>
    <w:rsid w:val="001A5B89"/>
    <w:rsid w:val="001A5D2F"/>
    <w:rsid w:val="001A6191"/>
    <w:rsid w:val="001A6241"/>
    <w:rsid w:val="001A67FD"/>
    <w:rsid w:val="001A695D"/>
    <w:rsid w:val="001A6D1B"/>
    <w:rsid w:val="001A7013"/>
    <w:rsid w:val="001A7207"/>
    <w:rsid w:val="001A72FB"/>
    <w:rsid w:val="001A7391"/>
    <w:rsid w:val="001A760C"/>
    <w:rsid w:val="001A7C53"/>
    <w:rsid w:val="001A7DB2"/>
    <w:rsid w:val="001B0102"/>
    <w:rsid w:val="001B0713"/>
    <w:rsid w:val="001B0B53"/>
    <w:rsid w:val="001B0E98"/>
    <w:rsid w:val="001B0FBD"/>
    <w:rsid w:val="001B10E8"/>
    <w:rsid w:val="001B1128"/>
    <w:rsid w:val="001B15F9"/>
    <w:rsid w:val="001B1773"/>
    <w:rsid w:val="001B17A2"/>
    <w:rsid w:val="001B19C9"/>
    <w:rsid w:val="001B1B9E"/>
    <w:rsid w:val="001B1E5B"/>
    <w:rsid w:val="001B2138"/>
    <w:rsid w:val="001B2232"/>
    <w:rsid w:val="001B22F3"/>
    <w:rsid w:val="001B27CD"/>
    <w:rsid w:val="001B27F6"/>
    <w:rsid w:val="001B2C1A"/>
    <w:rsid w:val="001B2DB3"/>
    <w:rsid w:val="001B3122"/>
    <w:rsid w:val="001B3423"/>
    <w:rsid w:val="001B34CA"/>
    <w:rsid w:val="001B3658"/>
    <w:rsid w:val="001B3978"/>
    <w:rsid w:val="001B3A14"/>
    <w:rsid w:val="001B3DC4"/>
    <w:rsid w:val="001B3E14"/>
    <w:rsid w:val="001B3E24"/>
    <w:rsid w:val="001B3FD2"/>
    <w:rsid w:val="001B4125"/>
    <w:rsid w:val="001B43FB"/>
    <w:rsid w:val="001B464A"/>
    <w:rsid w:val="001B4747"/>
    <w:rsid w:val="001B490C"/>
    <w:rsid w:val="001B4E42"/>
    <w:rsid w:val="001B4F62"/>
    <w:rsid w:val="001B532D"/>
    <w:rsid w:val="001B62FA"/>
    <w:rsid w:val="001B64A4"/>
    <w:rsid w:val="001B6E5E"/>
    <w:rsid w:val="001B724F"/>
    <w:rsid w:val="001B751F"/>
    <w:rsid w:val="001B753A"/>
    <w:rsid w:val="001B777B"/>
    <w:rsid w:val="001B795B"/>
    <w:rsid w:val="001B7AB7"/>
    <w:rsid w:val="001B7CA7"/>
    <w:rsid w:val="001B7D19"/>
    <w:rsid w:val="001B7E78"/>
    <w:rsid w:val="001C03D0"/>
    <w:rsid w:val="001C06BF"/>
    <w:rsid w:val="001C09E9"/>
    <w:rsid w:val="001C0A64"/>
    <w:rsid w:val="001C0CE5"/>
    <w:rsid w:val="001C11F3"/>
    <w:rsid w:val="001C14F5"/>
    <w:rsid w:val="001C1620"/>
    <w:rsid w:val="001C1815"/>
    <w:rsid w:val="001C1C5A"/>
    <w:rsid w:val="001C234A"/>
    <w:rsid w:val="001C2AC1"/>
    <w:rsid w:val="001C2C65"/>
    <w:rsid w:val="001C2E80"/>
    <w:rsid w:val="001C2F5C"/>
    <w:rsid w:val="001C3347"/>
    <w:rsid w:val="001C3459"/>
    <w:rsid w:val="001C40DF"/>
    <w:rsid w:val="001C41A8"/>
    <w:rsid w:val="001C47D4"/>
    <w:rsid w:val="001C4DD9"/>
    <w:rsid w:val="001C5022"/>
    <w:rsid w:val="001C518D"/>
    <w:rsid w:val="001C55F0"/>
    <w:rsid w:val="001C573D"/>
    <w:rsid w:val="001C5A7F"/>
    <w:rsid w:val="001C5BA4"/>
    <w:rsid w:val="001C5C2D"/>
    <w:rsid w:val="001C6087"/>
    <w:rsid w:val="001C69C8"/>
    <w:rsid w:val="001C6C6C"/>
    <w:rsid w:val="001C6C82"/>
    <w:rsid w:val="001C7313"/>
    <w:rsid w:val="001C747F"/>
    <w:rsid w:val="001C7534"/>
    <w:rsid w:val="001C754E"/>
    <w:rsid w:val="001C7665"/>
    <w:rsid w:val="001C78A9"/>
    <w:rsid w:val="001C7B16"/>
    <w:rsid w:val="001D0199"/>
    <w:rsid w:val="001D0503"/>
    <w:rsid w:val="001D0619"/>
    <w:rsid w:val="001D195C"/>
    <w:rsid w:val="001D1A44"/>
    <w:rsid w:val="001D212D"/>
    <w:rsid w:val="001D2189"/>
    <w:rsid w:val="001D247E"/>
    <w:rsid w:val="001D2482"/>
    <w:rsid w:val="001D2DA5"/>
    <w:rsid w:val="001D2E28"/>
    <w:rsid w:val="001D2ED1"/>
    <w:rsid w:val="001D3275"/>
    <w:rsid w:val="001D3888"/>
    <w:rsid w:val="001D444E"/>
    <w:rsid w:val="001D467D"/>
    <w:rsid w:val="001D4CB1"/>
    <w:rsid w:val="001D4E80"/>
    <w:rsid w:val="001D4EA9"/>
    <w:rsid w:val="001D5379"/>
    <w:rsid w:val="001D5AB0"/>
    <w:rsid w:val="001D60C6"/>
    <w:rsid w:val="001D6928"/>
    <w:rsid w:val="001D6D92"/>
    <w:rsid w:val="001D71CA"/>
    <w:rsid w:val="001D71CF"/>
    <w:rsid w:val="001D7242"/>
    <w:rsid w:val="001D7B93"/>
    <w:rsid w:val="001D7C4E"/>
    <w:rsid w:val="001D7DDB"/>
    <w:rsid w:val="001E0123"/>
    <w:rsid w:val="001E033B"/>
    <w:rsid w:val="001E0556"/>
    <w:rsid w:val="001E0D97"/>
    <w:rsid w:val="001E1090"/>
    <w:rsid w:val="001E149E"/>
    <w:rsid w:val="001E17DE"/>
    <w:rsid w:val="001E182F"/>
    <w:rsid w:val="001E1AEB"/>
    <w:rsid w:val="001E1C28"/>
    <w:rsid w:val="001E1EA8"/>
    <w:rsid w:val="001E23ED"/>
    <w:rsid w:val="001E24D1"/>
    <w:rsid w:val="001E26E4"/>
    <w:rsid w:val="001E274F"/>
    <w:rsid w:val="001E27AA"/>
    <w:rsid w:val="001E2A49"/>
    <w:rsid w:val="001E2A99"/>
    <w:rsid w:val="001E2B7B"/>
    <w:rsid w:val="001E2C8F"/>
    <w:rsid w:val="001E31CE"/>
    <w:rsid w:val="001E3E4E"/>
    <w:rsid w:val="001E42F3"/>
    <w:rsid w:val="001E43A9"/>
    <w:rsid w:val="001E4615"/>
    <w:rsid w:val="001E466D"/>
    <w:rsid w:val="001E485A"/>
    <w:rsid w:val="001E4945"/>
    <w:rsid w:val="001E4A30"/>
    <w:rsid w:val="001E5369"/>
    <w:rsid w:val="001E5B80"/>
    <w:rsid w:val="001E5BB7"/>
    <w:rsid w:val="001E5ED5"/>
    <w:rsid w:val="001E5F9C"/>
    <w:rsid w:val="001E6017"/>
    <w:rsid w:val="001E609D"/>
    <w:rsid w:val="001E636A"/>
    <w:rsid w:val="001E68D0"/>
    <w:rsid w:val="001E6BDF"/>
    <w:rsid w:val="001E791A"/>
    <w:rsid w:val="001F0756"/>
    <w:rsid w:val="001F0A39"/>
    <w:rsid w:val="001F0D95"/>
    <w:rsid w:val="001F109B"/>
    <w:rsid w:val="001F154F"/>
    <w:rsid w:val="001F161D"/>
    <w:rsid w:val="001F1869"/>
    <w:rsid w:val="001F1D2B"/>
    <w:rsid w:val="001F1F2F"/>
    <w:rsid w:val="001F20AB"/>
    <w:rsid w:val="001F2216"/>
    <w:rsid w:val="001F22CD"/>
    <w:rsid w:val="001F2749"/>
    <w:rsid w:val="001F2A0C"/>
    <w:rsid w:val="001F2B7B"/>
    <w:rsid w:val="001F2D1B"/>
    <w:rsid w:val="001F2D7A"/>
    <w:rsid w:val="001F30DC"/>
    <w:rsid w:val="001F3313"/>
    <w:rsid w:val="001F345F"/>
    <w:rsid w:val="001F347F"/>
    <w:rsid w:val="001F3555"/>
    <w:rsid w:val="001F3902"/>
    <w:rsid w:val="001F3F11"/>
    <w:rsid w:val="001F4000"/>
    <w:rsid w:val="001F426D"/>
    <w:rsid w:val="001F433B"/>
    <w:rsid w:val="001F47D5"/>
    <w:rsid w:val="001F485D"/>
    <w:rsid w:val="001F4B2C"/>
    <w:rsid w:val="001F50DF"/>
    <w:rsid w:val="001F5C43"/>
    <w:rsid w:val="001F5F2B"/>
    <w:rsid w:val="001F5F86"/>
    <w:rsid w:val="001F5FBF"/>
    <w:rsid w:val="001F60C8"/>
    <w:rsid w:val="001F6708"/>
    <w:rsid w:val="001F6CA3"/>
    <w:rsid w:val="001F6DA3"/>
    <w:rsid w:val="001F6E75"/>
    <w:rsid w:val="001F7537"/>
    <w:rsid w:val="001F7726"/>
    <w:rsid w:val="001F7A25"/>
    <w:rsid w:val="00200324"/>
    <w:rsid w:val="00200621"/>
    <w:rsid w:val="002006B8"/>
    <w:rsid w:val="00200704"/>
    <w:rsid w:val="002009C5"/>
    <w:rsid w:val="002010F0"/>
    <w:rsid w:val="002011E3"/>
    <w:rsid w:val="002014B2"/>
    <w:rsid w:val="002016BE"/>
    <w:rsid w:val="00201D44"/>
    <w:rsid w:val="00202503"/>
    <w:rsid w:val="00203089"/>
    <w:rsid w:val="00203414"/>
    <w:rsid w:val="0020367A"/>
    <w:rsid w:val="00203735"/>
    <w:rsid w:val="00203913"/>
    <w:rsid w:val="00203BB4"/>
    <w:rsid w:val="00204016"/>
    <w:rsid w:val="002043D4"/>
    <w:rsid w:val="00204740"/>
    <w:rsid w:val="00204A2D"/>
    <w:rsid w:val="00204E53"/>
    <w:rsid w:val="00204E66"/>
    <w:rsid w:val="002054D5"/>
    <w:rsid w:val="00206063"/>
    <w:rsid w:val="002060CB"/>
    <w:rsid w:val="0020625C"/>
    <w:rsid w:val="00206304"/>
    <w:rsid w:val="00206322"/>
    <w:rsid w:val="002063ED"/>
    <w:rsid w:val="002064F7"/>
    <w:rsid w:val="00206790"/>
    <w:rsid w:val="00206CF7"/>
    <w:rsid w:val="0020701C"/>
    <w:rsid w:val="002074FB"/>
    <w:rsid w:val="002075BD"/>
    <w:rsid w:val="002078D3"/>
    <w:rsid w:val="00207B29"/>
    <w:rsid w:val="00207C5E"/>
    <w:rsid w:val="00207D16"/>
    <w:rsid w:val="00207E5A"/>
    <w:rsid w:val="0021061F"/>
    <w:rsid w:val="00210677"/>
    <w:rsid w:val="00210897"/>
    <w:rsid w:val="0021136F"/>
    <w:rsid w:val="002113D8"/>
    <w:rsid w:val="00211401"/>
    <w:rsid w:val="00211A32"/>
    <w:rsid w:val="00211C2C"/>
    <w:rsid w:val="00211CCD"/>
    <w:rsid w:val="00211CE3"/>
    <w:rsid w:val="00211E9E"/>
    <w:rsid w:val="002120FB"/>
    <w:rsid w:val="00212260"/>
    <w:rsid w:val="002123E9"/>
    <w:rsid w:val="00212414"/>
    <w:rsid w:val="0021262D"/>
    <w:rsid w:val="00212864"/>
    <w:rsid w:val="00212B50"/>
    <w:rsid w:val="00212C27"/>
    <w:rsid w:val="002132E4"/>
    <w:rsid w:val="00213761"/>
    <w:rsid w:val="00213B02"/>
    <w:rsid w:val="00213C0A"/>
    <w:rsid w:val="00214087"/>
    <w:rsid w:val="002144D7"/>
    <w:rsid w:val="0021453B"/>
    <w:rsid w:val="00214E73"/>
    <w:rsid w:val="00215283"/>
    <w:rsid w:val="00215308"/>
    <w:rsid w:val="00215375"/>
    <w:rsid w:val="002155CA"/>
    <w:rsid w:val="00215655"/>
    <w:rsid w:val="0021588F"/>
    <w:rsid w:val="00215891"/>
    <w:rsid w:val="002159A0"/>
    <w:rsid w:val="00215D2D"/>
    <w:rsid w:val="00216071"/>
    <w:rsid w:val="0021684B"/>
    <w:rsid w:val="002169A2"/>
    <w:rsid w:val="00216A9D"/>
    <w:rsid w:val="00216BAB"/>
    <w:rsid w:val="00217355"/>
    <w:rsid w:val="00217373"/>
    <w:rsid w:val="002174D3"/>
    <w:rsid w:val="00217853"/>
    <w:rsid w:val="00217ED9"/>
    <w:rsid w:val="00217FBC"/>
    <w:rsid w:val="00220850"/>
    <w:rsid w:val="00220E72"/>
    <w:rsid w:val="00221431"/>
    <w:rsid w:val="00221550"/>
    <w:rsid w:val="00221A80"/>
    <w:rsid w:val="002220DA"/>
    <w:rsid w:val="00222541"/>
    <w:rsid w:val="00222A43"/>
    <w:rsid w:val="002232B8"/>
    <w:rsid w:val="002233B8"/>
    <w:rsid w:val="002237A8"/>
    <w:rsid w:val="00223AC1"/>
    <w:rsid w:val="00223D93"/>
    <w:rsid w:val="00223FB0"/>
    <w:rsid w:val="002241E4"/>
    <w:rsid w:val="002243C0"/>
    <w:rsid w:val="00224480"/>
    <w:rsid w:val="00224595"/>
    <w:rsid w:val="00224B08"/>
    <w:rsid w:val="00224CC6"/>
    <w:rsid w:val="00224F0C"/>
    <w:rsid w:val="00224FF8"/>
    <w:rsid w:val="00225295"/>
    <w:rsid w:val="00226078"/>
    <w:rsid w:val="0022631A"/>
    <w:rsid w:val="00226846"/>
    <w:rsid w:val="00226932"/>
    <w:rsid w:val="00226ADF"/>
    <w:rsid w:val="002270A7"/>
    <w:rsid w:val="0022714C"/>
    <w:rsid w:val="00227188"/>
    <w:rsid w:val="00227257"/>
    <w:rsid w:val="002272F8"/>
    <w:rsid w:val="002274CA"/>
    <w:rsid w:val="0022785E"/>
    <w:rsid w:val="002279E7"/>
    <w:rsid w:val="00227B00"/>
    <w:rsid w:val="00230CD9"/>
    <w:rsid w:val="00230E14"/>
    <w:rsid w:val="002311FE"/>
    <w:rsid w:val="002313E5"/>
    <w:rsid w:val="002314CA"/>
    <w:rsid w:val="002315D9"/>
    <w:rsid w:val="0023170F"/>
    <w:rsid w:val="00231D1F"/>
    <w:rsid w:val="00232164"/>
    <w:rsid w:val="002323C9"/>
    <w:rsid w:val="00232446"/>
    <w:rsid w:val="0023300E"/>
    <w:rsid w:val="00234438"/>
    <w:rsid w:val="002344B3"/>
    <w:rsid w:val="00234928"/>
    <w:rsid w:val="00234D8A"/>
    <w:rsid w:val="00234E5A"/>
    <w:rsid w:val="00235899"/>
    <w:rsid w:val="00235B21"/>
    <w:rsid w:val="00235D85"/>
    <w:rsid w:val="00236221"/>
    <w:rsid w:val="0023635C"/>
    <w:rsid w:val="00236C40"/>
    <w:rsid w:val="00236ED4"/>
    <w:rsid w:val="00237080"/>
    <w:rsid w:val="002370C6"/>
    <w:rsid w:val="00237162"/>
    <w:rsid w:val="002379E5"/>
    <w:rsid w:val="00237B4B"/>
    <w:rsid w:val="00237C4C"/>
    <w:rsid w:val="00237D04"/>
    <w:rsid w:val="00237DE6"/>
    <w:rsid w:val="00240509"/>
    <w:rsid w:val="00240672"/>
    <w:rsid w:val="002408E1"/>
    <w:rsid w:val="00240B8F"/>
    <w:rsid w:val="00240F55"/>
    <w:rsid w:val="002411BF"/>
    <w:rsid w:val="002419C6"/>
    <w:rsid w:val="002419EE"/>
    <w:rsid w:val="0024216D"/>
    <w:rsid w:val="002421F1"/>
    <w:rsid w:val="00242299"/>
    <w:rsid w:val="002423C9"/>
    <w:rsid w:val="002425DF"/>
    <w:rsid w:val="00242612"/>
    <w:rsid w:val="0024264C"/>
    <w:rsid w:val="002429D7"/>
    <w:rsid w:val="00242A0F"/>
    <w:rsid w:val="0024302B"/>
    <w:rsid w:val="00243087"/>
    <w:rsid w:val="002437CE"/>
    <w:rsid w:val="002437EC"/>
    <w:rsid w:val="002439ED"/>
    <w:rsid w:val="00243B11"/>
    <w:rsid w:val="00243D4A"/>
    <w:rsid w:val="00243DAC"/>
    <w:rsid w:val="00243F1E"/>
    <w:rsid w:val="0024432D"/>
    <w:rsid w:val="002443F2"/>
    <w:rsid w:val="00244719"/>
    <w:rsid w:val="00244EE7"/>
    <w:rsid w:val="002456B4"/>
    <w:rsid w:val="00245826"/>
    <w:rsid w:val="00245BB1"/>
    <w:rsid w:val="00245DCD"/>
    <w:rsid w:val="002460E2"/>
    <w:rsid w:val="002464CE"/>
    <w:rsid w:val="002464DE"/>
    <w:rsid w:val="00246C98"/>
    <w:rsid w:val="00246E46"/>
    <w:rsid w:val="00247DBE"/>
    <w:rsid w:val="00250688"/>
    <w:rsid w:val="002507A2"/>
    <w:rsid w:val="00250EFC"/>
    <w:rsid w:val="00251243"/>
    <w:rsid w:val="00251538"/>
    <w:rsid w:val="002516B8"/>
    <w:rsid w:val="002516E9"/>
    <w:rsid w:val="00251A41"/>
    <w:rsid w:val="00251C33"/>
    <w:rsid w:val="00251F4F"/>
    <w:rsid w:val="00252270"/>
    <w:rsid w:val="002528C8"/>
    <w:rsid w:val="00252B8C"/>
    <w:rsid w:val="00252F00"/>
    <w:rsid w:val="00252FB1"/>
    <w:rsid w:val="0025310B"/>
    <w:rsid w:val="0025363C"/>
    <w:rsid w:val="0025373B"/>
    <w:rsid w:val="00253906"/>
    <w:rsid w:val="00254633"/>
    <w:rsid w:val="00254ACA"/>
    <w:rsid w:val="00254B15"/>
    <w:rsid w:val="00255034"/>
    <w:rsid w:val="00255309"/>
    <w:rsid w:val="00255370"/>
    <w:rsid w:val="0025542E"/>
    <w:rsid w:val="002554F4"/>
    <w:rsid w:val="00255577"/>
    <w:rsid w:val="002555F1"/>
    <w:rsid w:val="002556A7"/>
    <w:rsid w:val="0025584D"/>
    <w:rsid w:val="00255EC0"/>
    <w:rsid w:val="00255FB2"/>
    <w:rsid w:val="00256117"/>
    <w:rsid w:val="00256728"/>
    <w:rsid w:val="0025723B"/>
    <w:rsid w:val="002600FB"/>
    <w:rsid w:val="00260659"/>
    <w:rsid w:val="002608F8"/>
    <w:rsid w:val="00260AD9"/>
    <w:rsid w:val="00260E61"/>
    <w:rsid w:val="0026111F"/>
    <w:rsid w:val="00261BD6"/>
    <w:rsid w:val="00261C43"/>
    <w:rsid w:val="00261ED7"/>
    <w:rsid w:val="0026252F"/>
    <w:rsid w:val="0026268C"/>
    <w:rsid w:val="0026281E"/>
    <w:rsid w:val="00262ED1"/>
    <w:rsid w:val="002634AD"/>
    <w:rsid w:val="00263554"/>
    <w:rsid w:val="00263689"/>
    <w:rsid w:val="00263B20"/>
    <w:rsid w:val="00263F84"/>
    <w:rsid w:val="002641C1"/>
    <w:rsid w:val="002643B1"/>
    <w:rsid w:val="00264718"/>
    <w:rsid w:val="002647C6"/>
    <w:rsid w:val="00264D01"/>
    <w:rsid w:val="00264D06"/>
    <w:rsid w:val="00264F38"/>
    <w:rsid w:val="002652A4"/>
    <w:rsid w:val="002652DE"/>
    <w:rsid w:val="002655DB"/>
    <w:rsid w:val="002658D2"/>
    <w:rsid w:val="00266080"/>
    <w:rsid w:val="0026683E"/>
    <w:rsid w:val="0026684C"/>
    <w:rsid w:val="00266A87"/>
    <w:rsid w:val="00266F46"/>
    <w:rsid w:val="0026716D"/>
    <w:rsid w:val="0026760B"/>
    <w:rsid w:val="00267712"/>
    <w:rsid w:val="00267D9C"/>
    <w:rsid w:val="00270704"/>
    <w:rsid w:val="00270AF8"/>
    <w:rsid w:val="0027119C"/>
    <w:rsid w:val="00271209"/>
    <w:rsid w:val="0027150D"/>
    <w:rsid w:val="002715EE"/>
    <w:rsid w:val="00271651"/>
    <w:rsid w:val="00271684"/>
    <w:rsid w:val="0027170F"/>
    <w:rsid w:val="00271762"/>
    <w:rsid w:val="00271AFC"/>
    <w:rsid w:val="002721A5"/>
    <w:rsid w:val="002721F0"/>
    <w:rsid w:val="00272F5D"/>
    <w:rsid w:val="0027303A"/>
    <w:rsid w:val="002737D7"/>
    <w:rsid w:val="0027382B"/>
    <w:rsid w:val="002738B4"/>
    <w:rsid w:val="00273B13"/>
    <w:rsid w:val="00273B4B"/>
    <w:rsid w:val="00273CE1"/>
    <w:rsid w:val="00274874"/>
    <w:rsid w:val="00274AFD"/>
    <w:rsid w:val="002756CE"/>
    <w:rsid w:val="002758EB"/>
    <w:rsid w:val="0027598B"/>
    <w:rsid w:val="00275BBC"/>
    <w:rsid w:val="00275CC6"/>
    <w:rsid w:val="00275DA8"/>
    <w:rsid w:val="00275E2E"/>
    <w:rsid w:val="00275F5E"/>
    <w:rsid w:val="002764CE"/>
    <w:rsid w:val="00276A4A"/>
    <w:rsid w:val="00276C7D"/>
    <w:rsid w:val="0027737A"/>
    <w:rsid w:val="002774B1"/>
    <w:rsid w:val="002774EF"/>
    <w:rsid w:val="002775E8"/>
    <w:rsid w:val="00277B46"/>
    <w:rsid w:val="00277C58"/>
    <w:rsid w:val="00277D88"/>
    <w:rsid w:val="002802CD"/>
    <w:rsid w:val="002808BC"/>
    <w:rsid w:val="00280ADA"/>
    <w:rsid w:val="00280B84"/>
    <w:rsid w:val="002811EF"/>
    <w:rsid w:val="002818F8"/>
    <w:rsid w:val="00281B5B"/>
    <w:rsid w:val="00281BB1"/>
    <w:rsid w:val="002821D6"/>
    <w:rsid w:val="00282643"/>
    <w:rsid w:val="00282865"/>
    <w:rsid w:val="002829D8"/>
    <w:rsid w:val="00282A43"/>
    <w:rsid w:val="00282B1E"/>
    <w:rsid w:val="00282B4F"/>
    <w:rsid w:val="00282D42"/>
    <w:rsid w:val="00282E33"/>
    <w:rsid w:val="00282FF7"/>
    <w:rsid w:val="0028307A"/>
    <w:rsid w:val="002836E0"/>
    <w:rsid w:val="002843CE"/>
    <w:rsid w:val="00284451"/>
    <w:rsid w:val="00284845"/>
    <w:rsid w:val="00284DD3"/>
    <w:rsid w:val="00284F09"/>
    <w:rsid w:val="002857D3"/>
    <w:rsid w:val="00285847"/>
    <w:rsid w:val="002859B8"/>
    <w:rsid w:val="00285BAD"/>
    <w:rsid w:val="00285E1D"/>
    <w:rsid w:val="00285F6B"/>
    <w:rsid w:val="00285FCB"/>
    <w:rsid w:val="002860BC"/>
    <w:rsid w:val="002870D9"/>
    <w:rsid w:val="00287471"/>
    <w:rsid w:val="002874FB"/>
    <w:rsid w:val="002875B7"/>
    <w:rsid w:val="00287A1E"/>
    <w:rsid w:val="00287C21"/>
    <w:rsid w:val="00287DF0"/>
    <w:rsid w:val="00287FDD"/>
    <w:rsid w:val="00290829"/>
    <w:rsid w:val="00290C18"/>
    <w:rsid w:val="00290D74"/>
    <w:rsid w:val="00291036"/>
    <w:rsid w:val="00291287"/>
    <w:rsid w:val="00291432"/>
    <w:rsid w:val="002915AC"/>
    <w:rsid w:val="0029196F"/>
    <w:rsid w:val="002919C9"/>
    <w:rsid w:val="002924C0"/>
    <w:rsid w:val="00292AC8"/>
    <w:rsid w:val="00292E16"/>
    <w:rsid w:val="00292EC1"/>
    <w:rsid w:val="00292FD9"/>
    <w:rsid w:val="00293016"/>
    <w:rsid w:val="002942BF"/>
    <w:rsid w:val="00294D5E"/>
    <w:rsid w:val="00295909"/>
    <w:rsid w:val="00295C7C"/>
    <w:rsid w:val="0029619A"/>
    <w:rsid w:val="00296412"/>
    <w:rsid w:val="002966AD"/>
    <w:rsid w:val="00296A06"/>
    <w:rsid w:val="002972DD"/>
    <w:rsid w:val="00297363"/>
    <w:rsid w:val="00297592"/>
    <w:rsid w:val="002976A4"/>
    <w:rsid w:val="00297823"/>
    <w:rsid w:val="00297841"/>
    <w:rsid w:val="00297A51"/>
    <w:rsid w:val="00297A5A"/>
    <w:rsid w:val="00297DCD"/>
    <w:rsid w:val="00297E6E"/>
    <w:rsid w:val="002A0089"/>
    <w:rsid w:val="002A0323"/>
    <w:rsid w:val="002A04A8"/>
    <w:rsid w:val="002A06CC"/>
    <w:rsid w:val="002A08BE"/>
    <w:rsid w:val="002A0CDB"/>
    <w:rsid w:val="002A0D3A"/>
    <w:rsid w:val="002A0EDE"/>
    <w:rsid w:val="002A11A2"/>
    <w:rsid w:val="002A1397"/>
    <w:rsid w:val="002A1772"/>
    <w:rsid w:val="002A1ABB"/>
    <w:rsid w:val="002A1F47"/>
    <w:rsid w:val="002A2021"/>
    <w:rsid w:val="002A20E6"/>
    <w:rsid w:val="002A21D5"/>
    <w:rsid w:val="002A24C9"/>
    <w:rsid w:val="002A2873"/>
    <w:rsid w:val="002A2BCA"/>
    <w:rsid w:val="002A2EA0"/>
    <w:rsid w:val="002A327E"/>
    <w:rsid w:val="002A32AB"/>
    <w:rsid w:val="002A376F"/>
    <w:rsid w:val="002A385A"/>
    <w:rsid w:val="002A4157"/>
    <w:rsid w:val="002A4391"/>
    <w:rsid w:val="002A4565"/>
    <w:rsid w:val="002A4579"/>
    <w:rsid w:val="002A4611"/>
    <w:rsid w:val="002A4DD3"/>
    <w:rsid w:val="002A4E7D"/>
    <w:rsid w:val="002A5B3B"/>
    <w:rsid w:val="002A6017"/>
    <w:rsid w:val="002A6041"/>
    <w:rsid w:val="002A6343"/>
    <w:rsid w:val="002A6677"/>
    <w:rsid w:val="002A6E32"/>
    <w:rsid w:val="002A728A"/>
    <w:rsid w:val="002A74A3"/>
    <w:rsid w:val="002A7554"/>
    <w:rsid w:val="002A7D51"/>
    <w:rsid w:val="002B00FC"/>
    <w:rsid w:val="002B0819"/>
    <w:rsid w:val="002B085C"/>
    <w:rsid w:val="002B0E62"/>
    <w:rsid w:val="002B103E"/>
    <w:rsid w:val="002B144C"/>
    <w:rsid w:val="002B14E5"/>
    <w:rsid w:val="002B155D"/>
    <w:rsid w:val="002B1B57"/>
    <w:rsid w:val="002B1B5E"/>
    <w:rsid w:val="002B20B1"/>
    <w:rsid w:val="002B2170"/>
    <w:rsid w:val="002B218A"/>
    <w:rsid w:val="002B2697"/>
    <w:rsid w:val="002B2837"/>
    <w:rsid w:val="002B283D"/>
    <w:rsid w:val="002B2D11"/>
    <w:rsid w:val="002B2D52"/>
    <w:rsid w:val="002B3335"/>
    <w:rsid w:val="002B34A4"/>
    <w:rsid w:val="002B369C"/>
    <w:rsid w:val="002B3724"/>
    <w:rsid w:val="002B3834"/>
    <w:rsid w:val="002B3DB0"/>
    <w:rsid w:val="002B404D"/>
    <w:rsid w:val="002B41B4"/>
    <w:rsid w:val="002B423B"/>
    <w:rsid w:val="002B4240"/>
    <w:rsid w:val="002B45D2"/>
    <w:rsid w:val="002B4A65"/>
    <w:rsid w:val="002B4AE3"/>
    <w:rsid w:val="002B4BC0"/>
    <w:rsid w:val="002B4F90"/>
    <w:rsid w:val="002B5329"/>
    <w:rsid w:val="002B54B3"/>
    <w:rsid w:val="002B54ED"/>
    <w:rsid w:val="002B552A"/>
    <w:rsid w:val="002B5E41"/>
    <w:rsid w:val="002B6167"/>
    <w:rsid w:val="002B630F"/>
    <w:rsid w:val="002B63D7"/>
    <w:rsid w:val="002B6963"/>
    <w:rsid w:val="002B6B22"/>
    <w:rsid w:val="002B7092"/>
    <w:rsid w:val="002B73C5"/>
    <w:rsid w:val="002B7771"/>
    <w:rsid w:val="002B7C4E"/>
    <w:rsid w:val="002C0004"/>
    <w:rsid w:val="002C01D9"/>
    <w:rsid w:val="002C0709"/>
    <w:rsid w:val="002C095B"/>
    <w:rsid w:val="002C09EB"/>
    <w:rsid w:val="002C106F"/>
    <w:rsid w:val="002C11C5"/>
    <w:rsid w:val="002C1405"/>
    <w:rsid w:val="002C1491"/>
    <w:rsid w:val="002C152C"/>
    <w:rsid w:val="002C1668"/>
    <w:rsid w:val="002C1D99"/>
    <w:rsid w:val="002C2059"/>
    <w:rsid w:val="002C20EF"/>
    <w:rsid w:val="002C2133"/>
    <w:rsid w:val="002C2141"/>
    <w:rsid w:val="002C245F"/>
    <w:rsid w:val="002C24CE"/>
    <w:rsid w:val="002C24E6"/>
    <w:rsid w:val="002C295B"/>
    <w:rsid w:val="002C2D1D"/>
    <w:rsid w:val="002C2D26"/>
    <w:rsid w:val="002C2F4D"/>
    <w:rsid w:val="002C3FC2"/>
    <w:rsid w:val="002C425D"/>
    <w:rsid w:val="002C46D8"/>
    <w:rsid w:val="002C4784"/>
    <w:rsid w:val="002C522A"/>
    <w:rsid w:val="002C5508"/>
    <w:rsid w:val="002C57C5"/>
    <w:rsid w:val="002C5A79"/>
    <w:rsid w:val="002C5CBA"/>
    <w:rsid w:val="002C5CC3"/>
    <w:rsid w:val="002C5DF5"/>
    <w:rsid w:val="002C5E7C"/>
    <w:rsid w:val="002C5EA1"/>
    <w:rsid w:val="002C63BE"/>
    <w:rsid w:val="002C669D"/>
    <w:rsid w:val="002C6A9B"/>
    <w:rsid w:val="002C6AA6"/>
    <w:rsid w:val="002C71F7"/>
    <w:rsid w:val="002C7694"/>
    <w:rsid w:val="002C7AB2"/>
    <w:rsid w:val="002C7B00"/>
    <w:rsid w:val="002C7F32"/>
    <w:rsid w:val="002D01D5"/>
    <w:rsid w:val="002D020A"/>
    <w:rsid w:val="002D02EA"/>
    <w:rsid w:val="002D0311"/>
    <w:rsid w:val="002D04CC"/>
    <w:rsid w:val="002D06E4"/>
    <w:rsid w:val="002D0EC9"/>
    <w:rsid w:val="002D0F52"/>
    <w:rsid w:val="002D145E"/>
    <w:rsid w:val="002D1A55"/>
    <w:rsid w:val="002D1F84"/>
    <w:rsid w:val="002D2189"/>
    <w:rsid w:val="002D2E8E"/>
    <w:rsid w:val="002D2FB7"/>
    <w:rsid w:val="002D3072"/>
    <w:rsid w:val="002D330F"/>
    <w:rsid w:val="002D340F"/>
    <w:rsid w:val="002D352F"/>
    <w:rsid w:val="002D3ACD"/>
    <w:rsid w:val="002D4018"/>
    <w:rsid w:val="002D4191"/>
    <w:rsid w:val="002D42DC"/>
    <w:rsid w:val="002D4F38"/>
    <w:rsid w:val="002D52DA"/>
    <w:rsid w:val="002D5C54"/>
    <w:rsid w:val="002D5D59"/>
    <w:rsid w:val="002D60AB"/>
    <w:rsid w:val="002D62B5"/>
    <w:rsid w:val="002D6385"/>
    <w:rsid w:val="002D6A2F"/>
    <w:rsid w:val="002D6A94"/>
    <w:rsid w:val="002D6D4B"/>
    <w:rsid w:val="002D6EDD"/>
    <w:rsid w:val="002D6EF5"/>
    <w:rsid w:val="002D7281"/>
    <w:rsid w:val="002D73A7"/>
    <w:rsid w:val="002D7691"/>
    <w:rsid w:val="002D7FD7"/>
    <w:rsid w:val="002D7FF0"/>
    <w:rsid w:val="002E0750"/>
    <w:rsid w:val="002E0A7C"/>
    <w:rsid w:val="002E0AE3"/>
    <w:rsid w:val="002E0C2A"/>
    <w:rsid w:val="002E1173"/>
    <w:rsid w:val="002E16C8"/>
    <w:rsid w:val="002E19E9"/>
    <w:rsid w:val="002E1B56"/>
    <w:rsid w:val="002E1C8B"/>
    <w:rsid w:val="002E226B"/>
    <w:rsid w:val="002E237E"/>
    <w:rsid w:val="002E2505"/>
    <w:rsid w:val="002E25FF"/>
    <w:rsid w:val="002E266F"/>
    <w:rsid w:val="002E2D01"/>
    <w:rsid w:val="002E2E02"/>
    <w:rsid w:val="002E35CE"/>
    <w:rsid w:val="002E3642"/>
    <w:rsid w:val="002E3A8D"/>
    <w:rsid w:val="002E3B2D"/>
    <w:rsid w:val="002E4147"/>
    <w:rsid w:val="002E4187"/>
    <w:rsid w:val="002E42FF"/>
    <w:rsid w:val="002E4599"/>
    <w:rsid w:val="002E50B9"/>
    <w:rsid w:val="002E5142"/>
    <w:rsid w:val="002E5360"/>
    <w:rsid w:val="002E54BB"/>
    <w:rsid w:val="002E5523"/>
    <w:rsid w:val="002E560C"/>
    <w:rsid w:val="002E5730"/>
    <w:rsid w:val="002E593F"/>
    <w:rsid w:val="002E6386"/>
    <w:rsid w:val="002E6AAE"/>
    <w:rsid w:val="002E72D4"/>
    <w:rsid w:val="002E7859"/>
    <w:rsid w:val="002E78D6"/>
    <w:rsid w:val="002F03D0"/>
    <w:rsid w:val="002F0668"/>
    <w:rsid w:val="002F0B4E"/>
    <w:rsid w:val="002F0B60"/>
    <w:rsid w:val="002F0B61"/>
    <w:rsid w:val="002F0C86"/>
    <w:rsid w:val="002F1713"/>
    <w:rsid w:val="002F1A0D"/>
    <w:rsid w:val="002F200F"/>
    <w:rsid w:val="002F24DE"/>
    <w:rsid w:val="002F2C30"/>
    <w:rsid w:val="002F2D00"/>
    <w:rsid w:val="002F2D8D"/>
    <w:rsid w:val="002F31C9"/>
    <w:rsid w:val="002F3338"/>
    <w:rsid w:val="002F392C"/>
    <w:rsid w:val="002F3990"/>
    <w:rsid w:val="002F3E40"/>
    <w:rsid w:val="002F3F37"/>
    <w:rsid w:val="002F4281"/>
    <w:rsid w:val="002F46D9"/>
    <w:rsid w:val="002F47D4"/>
    <w:rsid w:val="002F497B"/>
    <w:rsid w:val="002F4A5B"/>
    <w:rsid w:val="002F4D00"/>
    <w:rsid w:val="002F4FAA"/>
    <w:rsid w:val="002F4FC6"/>
    <w:rsid w:val="002F506F"/>
    <w:rsid w:val="002F5649"/>
    <w:rsid w:val="002F58A4"/>
    <w:rsid w:val="002F58B1"/>
    <w:rsid w:val="002F58E4"/>
    <w:rsid w:val="002F59C3"/>
    <w:rsid w:val="002F5DA6"/>
    <w:rsid w:val="002F5E6D"/>
    <w:rsid w:val="002F60F5"/>
    <w:rsid w:val="002F6192"/>
    <w:rsid w:val="002F67A5"/>
    <w:rsid w:val="002F6BA0"/>
    <w:rsid w:val="002F7053"/>
    <w:rsid w:val="002F7240"/>
    <w:rsid w:val="002F765C"/>
    <w:rsid w:val="00300061"/>
    <w:rsid w:val="003000D3"/>
    <w:rsid w:val="00300228"/>
    <w:rsid w:val="0030039B"/>
    <w:rsid w:val="00300415"/>
    <w:rsid w:val="0030041D"/>
    <w:rsid w:val="00300730"/>
    <w:rsid w:val="00300769"/>
    <w:rsid w:val="00300A53"/>
    <w:rsid w:val="00300CD3"/>
    <w:rsid w:val="00301238"/>
    <w:rsid w:val="0030131D"/>
    <w:rsid w:val="00301A9A"/>
    <w:rsid w:val="00301FA3"/>
    <w:rsid w:val="0030203D"/>
    <w:rsid w:val="00302576"/>
    <w:rsid w:val="00302581"/>
    <w:rsid w:val="003028F5"/>
    <w:rsid w:val="003029AC"/>
    <w:rsid w:val="00302FEC"/>
    <w:rsid w:val="0030316E"/>
    <w:rsid w:val="0030328B"/>
    <w:rsid w:val="003032C4"/>
    <w:rsid w:val="003038A0"/>
    <w:rsid w:val="003039B5"/>
    <w:rsid w:val="00303BDC"/>
    <w:rsid w:val="00303CAA"/>
    <w:rsid w:val="00303EBD"/>
    <w:rsid w:val="0030422C"/>
    <w:rsid w:val="0030432E"/>
    <w:rsid w:val="00304336"/>
    <w:rsid w:val="003045D4"/>
    <w:rsid w:val="00304702"/>
    <w:rsid w:val="00304A57"/>
    <w:rsid w:val="00304B3D"/>
    <w:rsid w:val="00304E38"/>
    <w:rsid w:val="003052D3"/>
    <w:rsid w:val="00305C3F"/>
    <w:rsid w:val="00305D1C"/>
    <w:rsid w:val="00305DB6"/>
    <w:rsid w:val="00305F45"/>
    <w:rsid w:val="0030649A"/>
    <w:rsid w:val="0030687F"/>
    <w:rsid w:val="003068B6"/>
    <w:rsid w:val="00306A06"/>
    <w:rsid w:val="00306EEC"/>
    <w:rsid w:val="003074CB"/>
    <w:rsid w:val="003100F6"/>
    <w:rsid w:val="0031019E"/>
    <w:rsid w:val="003101DE"/>
    <w:rsid w:val="003101F0"/>
    <w:rsid w:val="0031023B"/>
    <w:rsid w:val="00310490"/>
    <w:rsid w:val="003107BF"/>
    <w:rsid w:val="00311155"/>
    <w:rsid w:val="003112B5"/>
    <w:rsid w:val="00311327"/>
    <w:rsid w:val="003114EB"/>
    <w:rsid w:val="0031152B"/>
    <w:rsid w:val="003116C8"/>
    <w:rsid w:val="00311AB2"/>
    <w:rsid w:val="00311B81"/>
    <w:rsid w:val="00312059"/>
    <w:rsid w:val="003122BC"/>
    <w:rsid w:val="003124ED"/>
    <w:rsid w:val="003129D1"/>
    <w:rsid w:val="00312F9E"/>
    <w:rsid w:val="0031309F"/>
    <w:rsid w:val="0031324E"/>
    <w:rsid w:val="003132BF"/>
    <w:rsid w:val="00313A5B"/>
    <w:rsid w:val="00313C03"/>
    <w:rsid w:val="00313C12"/>
    <w:rsid w:val="00313D63"/>
    <w:rsid w:val="00313ED2"/>
    <w:rsid w:val="0031438F"/>
    <w:rsid w:val="0031457B"/>
    <w:rsid w:val="00315386"/>
    <w:rsid w:val="00315528"/>
    <w:rsid w:val="00315572"/>
    <w:rsid w:val="003158A5"/>
    <w:rsid w:val="00315BF2"/>
    <w:rsid w:val="0031608D"/>
    <w:rsid w:val="00316475"/>
    <w:rsid w:val="003165BB"/>
    <w:rsid w:val="003167A0"/>
    <w:rsid w:val="00316AC3"/>
    <w:rsid w:val="00316E3A"/>
    <w:rsid w:val="00316FE4"/>
    <w:rsid w:val="003171A9"/>
    <w:rsid w:val="00317249"/>
    <w:rsid w:val="00317373"/>
    <w:rsid w:val="00317448"/>
    <w:rsid w:val="003177D7"/>
    <w:rsid w:val="00317FF9"/>
    <w:rsid w:val="003200BA"/>
    <w:rsid w:val="0032026F"/>
    <w:rsid w:val="00320482"/>
    <w:rsid w:val="0032054B"/>
    <w:rsid w:val="003207F5"/>
    <w:rsid w:val="00320879"/>
    <w:rsid w:val="003213D5"/>
    <w:rsid w:val="00321539"/>
    <w:rsid w:val="00321798"/>
    <w:rsid w:val="00322041"/>
    <w:rsid w:val="0032225D"/>
    <w:rsid w:val="0032248F"/>
    <w:rsid w:val="003225D1"/>
    <w:rsid w:val="0032267C"/>
    <w:rsid w:val="00322BEF"/>
    <w:rsid w:val="00322EA8"/>
    <w:rsid w:val="00322F65"/>
    <w:rsid w:val="0032309B"/>
    <w:rsid w:val="00323288"/>
    <w:rsid w:val="0032344B"/>
    <w:rsid w:val="003234E8"/>
    <w:rsid w:val="00323557"/>
    <w:rsid w:val="00323A58"/>
    <w:rsid w:val="00323B98"/>
    <w:rsid w:val="00323EAF"/>
    <w:rsid w:val="003240A8"/>
    <w:rsid w:val="003240CC"/>
    <w:rsid w:val="0032417D"/>
    <w:rsid w:val="003241D1"/>
    <w:rsid w:val="0032429B"/>
    <w:rsid w:val="0032441B"/>
    <w:rsid w:val="00324649"/>
    <w:rsid w:val="003248EB"/>
    <w:rsid w:val="00324B5B"/>
    <w:rsid w:val="00324EF8"/>
    <w:rsid w:val="0032537F"/>
    <w:rsid w:val="003255E4"/>
    <w:rsid w:val="003256F9"/>
    <w:rsid w:val="0032570D"/>
    <w:rsid w:val="0032588D"/>
    <w:rsid w:val="00325AE1"/>
    <w:rsid w:val="00325EF0"/>
    <w:rsid w:val="00326620"/>
    <w:rsid w:val="00326AC1"/>
    <w:rsid w:val="00326C3D"/>
    <w:rsid w:val="00326EF6"/>
    <w:rsid w:val="0032713E"/>
    <w:rsid w:val="00327713"/>
    <w:rsid w:val="0032794D"/>
    <w:rsid w:val="0032795C"/>
    <w:rsid w:val="00327BAE"/>
    <w:rsid w:val="00327D44"/>
    <w:rsid w:val="00327F79"/>
    <w:rsid w:val="00330226"/>
    <w:rsid w:val="00330235"/>
    <w:rsid w:val="00330993"/>
    <w:rsid w:val="00330A6D"/>
    <w:rsid w:val="00330B22"/>
    <w:rsid w:val="00330D71"/>
    <w:rsid w:val="0033117C"/>
    <w:rsid w:val="0033138C"/>
    <w:rsid w:val="003313F0"/>
    <w:rsid w:val="0033161F"/>
    <w:rsid w:val="003316E4"/>
    <w:rsid w:val="00331900"/>
    <w:rsid w:val="00331C58"/>
    <w:rsid w:val="00331F06"/>
    <w:rsid w:val="00332055"/>
    <w:rsid w:val="00332346"/>
    <w:rsid w:val="0033254F"/>
    <w:rsid w:val="00332695"/>
    <w:rsid w:val="003327DC"/>
    <w:rsid w:val="003327E8"/>
    <w:rsid w:val="00332857"/>
    <w:rsid w:val="003328AD"/>
    <w:rsid w:val="00332AD5"/>
    <w:rsid w:val="00332FF9"/>
    <w:rsid w:val="0033305E"/>
    <w:rsid w:val="00333088"/>
    <w:rsid w:val="00333152"/>
    <w:rsid w:val="0033361C"/>
    <w:rsid w:val="00333CF6"/>
    <w:rsid w:val="00333E9F"/>
    <w:rsid w:val="00333F1F"/>
    <w:rsid w:val="00334158"/>
    <w:rsid w:val="003342E7"/>
    <w:rsid w:val="00334939"/>
    <w:rsid w:val="003349C0"/>
    <w:rsid w:val="00334D95"/>
    <w:rsid w:val="00335148"/>
    <w:rsid w:val="00335255"/>
    <w:rsid w:val="00335296"/>
    <w:rsid w:val="003356E4"/>
    <w:rsid w:val="003358B2"/>
    <w:rsid w:val="00335B8B"/>
    <w:rsid w:val="00335CC5"/>
    <w:rsid w:val="003360EA"/>
    <w:rsid w:val="00336204"/>
    <w:rsid w:val="00336597"/>
    <w:rsid w:val="003366E2"/>
    <w:rsid w:val="00336C84"/>
    <w:rsid w:val="00336DF8"/>
    <w:rsid w:val="00337058"/>
    <w:rsid w:val="003370BB"/>
    <w:rsid w:val="00337777"/>
    <w:rsid w:val="0033796B"/>
    <w:rsid w:val="003379F2"/>
    <w:rsid w:val="00337DB0"/>
    <w:rsid w:val="00337DF9"/>
    <w:rsid w:val="00337F95"/>
    <w:rsid w:val="00340066"/>
    <w:rsid w:val="003401F9"/>
    <w:rsid w:val="003406D3"/>
    <w:rsid w:val="003408CC"/>
    <w:rsid w:val="0034092F"/>
    <w:rsid w:val="00340D24"/>
    <w:rsid w:val="00340E7E"/>
    <w:rsid w:val="00341497"/>
    <w:rsid w:val="003415E4"/>
    <w:rsid w:val="00341686"/>
    <w:rsid w:val="00341A1E"/>
    <w:rsid w:val="00341A36"/>
    <w:rsid w:val="00341AC8"/>
    <w:rsid w:val="00341AF5"/>
    <w:rsid w:val="00341B26"/>
    <w:rsid w:val="00341C07"/>
    <w:rsid w:val="00341D58"/>
    <w:rsid w:val="00341D60"/>
    <w:rsid w:val="00341ED9"/>
    <w:rsid w:val="0034239B"/>
    <w:rsid w:val="003423DA"/>
    <w:rsid w:val="003423F3"/>
    <w:rsid w:val="00342576"/>
    <w:rsid w:val="00343009"/>
    <w:rsid w:val="003432E4"/>
    <w:rsid w:val="0034332B"/>
    <w:rsid w:val="0034373E"/>
    <w:rsid w:val="00344274"/>
    <w:rsid w:val="003444D1"/>
    <w:rsid w:val="003445AC"/>
    <w:rsid w:val="00344690"/>
    <w:rsid w:val="003446C2"/>
    <w:rsid w:val="00344884"/>
    <w:rsid w:val="00344DF2"/>
    <w:rsid w:val="00344E64"/>
    <w:rsid w:val="0034521A"/>
    <w:rsid w:val="003452CD"/>
    <w:rsid w:val="0034571A"/>
    <w:rsid w:val="00345DD4"/>
    <w:rsid w:val="003460B5"/>
    <w:rsid w:val="00346AB0"/>
    <w:rsid w:val="00346C19"/>
    <w:rsid w:val="0034704A"/>
    <w:rsid w:val="0034729C"/>
    <w:rsid w:val="003476D2"/>
    <w:rsid w:val="003477D3"/>
    <w:rsid w:val="00347D8C"/>
    <w:rsid w:val="00347DC9"/>
    <w:rsid w:val="00350023"/>
    <w:rsid w:val="00350142"/>
    <w:rsid w:val="00350152"/>
    <w:rsid w:val="00350970"/>
    <w:rsid w:val="00350DBF"/>
    <w:rsid w:val="00350EA6"/>
    <w:rsid w:val="00351438"/>
    <w:rsid w:val="00351759"/>
    <w:rsid w:val="0035180E"/>
    <w:rsid w:val="0035185F"/>
    <w:rsid w:val="00351929"/>
    <w:rsid w:val="00351C80"/>
    <w:rsid w:val="00351C8A"/>
    <w:rsid w:val="003521C8"/>
    <w:rsid w:val="003522A7"/>
    <w:rsid w:val="0035237C"/>
    <w:rsid w:val="00352444"/>
    <w:rsid w:val="003526D9"/>
    <w:rsid w:val="0035275B"/>
    <w:rsid w:val="00352805"/>
    <w:rsid w:val="00352820"/>
    <w:rsid w:val="00352D2C"/>
    <w:rsid w:val="00352EED"/>
    <w:rsid w:val="00353641"/>
    <w:rsid w:val="00353713"/>
    <w:rsid w:val="003537B9"/>
    <w:rsid w:val="00353912"/>
    <w:rsid w:val="003539E3"/>
    <w:rsid w:val="00353A69"/>
    <w:rsid w:val="00353B44"/>
    <w:rsid w:val="00353CB0"/>
    <w:rsid w:val="00353CE5"/>
    <w:rsid w:val="00353E09"/>
    <w:rsid w:val="00353E77"/>
    <w:rsid w:val="003542D7"/>
    <w:rsid w:val="0035435A"/>
    <w:rsid w:val="00354A52"/>
    <w:rsid w:val="00354C82"/>
    <w:rsid w:val="00354DEE"/>
    <w:rsid w:val="00354E93"/>
    <w:rsid w:val="00354FAA"/>
    <w:rsid w:val="00354FDE"/>
    <w:rsid w:val="0035532F"/>
    <w:rsid w:val="003553ED"/>
    <w:rsid w:val="003559D1"/>
    <w:rsid w:val="00355B48"/>
    <w:rsid w:val="00355D05"/>
    <w:rsid w:val="00355FA8"/>
    <w:rsid w:val="003560BB"/>
    <w:rsid w:val="0035633F"/>
    <w:rsid w:val="0035639E"/>
    <w:rsid w:val="00356EF6"/>
    <w:rsid w:val="00356FAC"/>
    <w:rsid w:val="00357061"/>
    <w:rsid w:val="003571C7"/>
    <w:rsid w:val="003576C5"/>
    <w:rsid w:val="00357A3C"/>
    <w:rsid w:val="00357BAC"/>
    <w:rsid w:val="00360D66"/>
    <w:rsid w:val="00360DA4"/>
    <w:rsid w:val="00360E26"/>
    <w:rsid w:val="00361082"/>
    <w:rsid w:val="0036121C"/>
    <w:rsid w:val="0036132E"/>
    <w:rsid w:val="003615CF"/>
    <w:rsid w:val="003618A6"/>
    <w:rsid w:val="003621E2"/>
    <w:rsid w:val="0036259D"/>
    <w:rsid w:val="00362778"/>
    <w:rsid w:val="0036280C"/>
    <w:rsid w:val="00362A75"/>
    <w:rsid w:val="00362B24"/>
    <w:rsid w:val="00362B4A"/>
    <w:rsid w:val="00362C0D"/>
    <w:rsid w:val="00362EB2"/>
    <w:rsid w:val="00363463"/>
    <w:rsid w:val="00363A0E"/>
    <w:rsid w:val="00363AC9"/>
    <w:rsid w:val="00363B0F"/>
    <w:rsid w:val="003641E0"/>
    <w:rsid w:val="0036428D"/>
    <w:rsid w:val="00364A5B"/>
    <w:rsid w:val="00365006"/>
    <w:rsid w:val="003652FB"/>
    <w:rsid w:val="0036532D"/>
    <w:rsid w:val="0036542C"/>
    <w:rsid w:val="0036563A"/>
    <w:rsid w:val="003657B5"/>
    <w:rsid w:val="00365896"/>
    <w:rsid w:val="00365CBA"/>
    <w:rsid w:val="00365E39"/>
    <w:rsid w:val="00365F4C"/>
    <w:rsid w:val="00365F7D"/>
    <w:rsid w:val="003660A9"/>
    <w:rsid w:val="0036616C"/>
    <w:rsid w:val="00366418"/>
    <w:rsid w:val="00366828"/>
    <w:rsid w:val="003668B0"/>
    <w:rsid w:val="003669AB"/>
    <w:rsid w:val="00366B23"/>
    <w:rsid w:val="00366DEA"/>
    <w:rsid w:val="00366F65"/>
    <w:rsid w:val="00366F75"/>
    <w:rsid w:val="00366FB0"/>
    <w:rsid w:val="003670B2"/>
    <w:rsid w:val="0036711C"/>
    <w:rsid w:val="0036719E"/>
    <w:rsid w:val="003671C1"/>
    <w:rsid w:val="003672A0"/>
    <w:rsid w:val="003672B2"/>
    <w:rsid w:val="0036748C"/>
    <w:rsid w:val="0036760A"/>
    <w:rsid w:val="00367648"/>
    <w:rsid w:val="00367716"/>
    <w:rsid w:val="00367D5F"/>
    <w:rsid w:val="00367F2B"/>
    <w:rsid w:val="0037018E"/>
    <w:rsid w:val="00370262"/>
    <w:rsid w:val="003706D4"/>
    <w:rsid w:val="00370762"/>
    <w:rsid w:val="00370B70"/>
    <w:rsid w:val="00370CB9"/>
    <w:rsid w:val="00371656"/>
    <w:rsid w:val="00371870"/>
    <w:rsid w:val="00371875"/>
    <w:rsid w:val="00371FD3"/>
    <w:rsid w:val="003725C7"/>
    <w:rsid w:val="00373622"/>
    <w:rsid w:val="0037385F"/>
    <w:rsid w:val="00373EED"/>
    <w:rsid w:val="00374514"/>
    <w:rsid w:val="003748CD"/>
    <w:rsid w:val="00374BF9"/>
    <w:rsid w:val="00374C50"/>
    <w:rsid w:val="00374EA8"/>
    <w:rsid w:val="00375062"/>
    <w:rsid w:val="00375378"/>
    <w:rsid w:val="003754CE"/>
    <w:rsid w:val="00375909"/>
    <w:rsid w:val="00375A37"/>
    <w:rsid w:val="00375C1A"/>
    <w:rsid w:val="00375DC1"/>
    <w:rsid w:val="00375E69"/>
    <w:rsid w:val="00376523"/>
    <w:rsid w:val="003765C9"/>
    <w:rsid w:val="0037693A"/>
    <w:rsid w:val="003769D2"/>
    <w:rsid w:val="00376EF4"/>
    <w:rsid w:val="00376F7B"/>
    <w:rsid w:val="003774A3"/>
    <w:rsid w:val="0037768C"/>
    <w:rsid w:val="00377F09"/>
    <w:rsid w:val="00380109"/>
    <w:rsid w:val="003804C8"/>
    <w:rsid w:val="003804D8"/>
    <w:rsid w:val="0038095A"/>
    <w:rsid w:val="00380DAD"/>
    <w:rsid w:val="00380EB5"/>
    <w:rsid w:val="003812A2"/>
    <w:rsid w:val="00381311"/>
    <w:rsid w:val="003813A8"/>
    <w:rsid w:val="00381465"/>
    <w:rsid w:val="00381872"/>
    <w:rsid w:val="00381AC1"/>
    <w:rsid w:val="00381CE9"/>
    <w:rsid w:val="00381F3B"/>
    <w:rsid w:val="00381FE2"/>
    <w:rsid w:val="0038230C"/>
    <w:rsid w:val="00382805"/>
    <w:rsid w:val="00382C4E"/>
    <w:rsid w:val="00382D3B"/>
    <w:rsid w:val="003833FC"/>
    <w:rsid w:val="00383443"/>
    <w:rsid w:val="00383EA1"/>
    <w:rsid w:val="00383F09"/>
    <w:rsid w:val="003844D6"/>
    <w:rsid w:val="00385199"/>
    <w:rsid w:val="0038530B"/>
    <w:rsid w:val="003858E0"/>
    <w:rsid w:val="0038598C"/>
    <w:rsid w:val="00385A4C"/>
    <w:rsid w:val="00385C16"/>
    <w:rsid w:val="00385EFC"/>
    <w:rsid w:val="00385F61"/>
    <w:rsid w:val="00386691"/>
    <w:rsid w:val="0038674E"/>
    <w:rsid w:val="00386779"/>
    <w:rsid w:val="00386FB5"/>
    <w:rsid w:val="00387104"/>
    <w:rsid w:val="0038736C"/>
    <w:rsid w:val="003878A5"/>
    <w:rsid w:val="00387F80"/>
    <w:rsid w:val="00387FA2"/>
    <w:rsid w:val="00390195"/>
    <w:rsid w:val="00390226"/>
    <w:rsid w:val="003902CF"/>
    <w:rsid w:val="0039042E"/>
    <w:rsid w:val="00390DDC"/>
    <w:rsid w:val="003915A7"/>
    <w:rsid w:val="00391669"/>
    <w:rsid w:val="00391BED"/>
    <w:rsid w:val="00391E4D"/>
    <w:rsid w:val="003926CA"/>
    <w:rsid w:val="003928EE"/>
    <w:rsid w:val="00392AA7"/>
    <w:rsid w:val="003930AF"/>
    <w:rsid w:val="003930F1"/>
    <w:rsid w:val="0039331C"/>
    <w:rsid w:val="00393892"/>
    <w:rsid w:val="00393B0C"/>
    <w:rsid w:val="00393C38"/>
    <w:rsid w:val="00393D45"/>
    <w:rsid w:val="00394AFC"/>
    <w:rsid w:val="00394AFD"/>
    <w:rsid w:val="00394F13"/>
    <w:rsid w:val="00394FFA"/>
    <w:rsid w:val="003954FB"/>
    <w:rsid w:val="00395940"/>
    <w:rsid w:val="00395B43"/>
    <w:rsid w:val="00395D36"/>
    <w:rsid w:val="00396061"/>
    <w:rsid w:val="00396663"/>
    <w:rsid w:val="0039668B"/>
    <w:rsid w:val="00396B1E"/>
    <w:rsid w:val="00396CF6"/>
    <w:rsid w:val="00396F2B"/>
    <w:rsid w:val="00397183"/>
    <w:rsid w:val="00397530"/>
    <w:rsid w:val="00397838"/>
    <w:rsid w:val="003A0136"/>
    <w:rsid w:val="003A036D"/>
    <w:rsid w:val="003A0F55"/>
    <w:rsid w:val="003A0FCB"/>
    <w:rsid w:val="003A1103"/>
    <w:rsid w:val="003A1246"/>
    <w:rsid w:val="003A194C"/>
    <w:rsid w:val="003A1CF0"/>
    <w:rsid w:val="003A1FCD"/>
    <w:rsid w:val="003A2363"/>
    <w:rsid w:val="003A25F5"/>
    <w:rsid w:val="003A2B37"/>
    <w:rsid w:val="003A2B96"/>
    <w:rsid w:val="003A2C10"/>
    <w:rsid w:val="003A2EA3"/>
    <w:rsid w:val="003A303C"/>
    <w:rsid w:val="003A3B11"/>
    <w:rsid w:val="003A3B69"/>
    <w:rsid w:val="003A3F31"/>
    <w:rsid w:val="003A4086"/>
    <w:rsid w:val="003A43E9"/>
    <w:rsid w:val="003A47B4"/>
    <w:rsid w:val="003A4A57"/>
    <w:rsid w:val="003A4AA2"/>
    <w:rsid w:val="003A4E2E"/>
    <w:rsid w:val="003A5AD0"/>
    <w:rsid w:val="003A5C9D"/>
    <w:rsid w:val="003A5EFA"/>
    <w:rsid w:val="003A6148"/>
    <w:rsid w:val="003A62EC"/>
    <w:rsid w:val="003A6B3F"/>
    <w:rsid w:val="003A6C10"/>
    <w:rsid w:val="003A6CE1"/>
    <w:rsid w:val="003A6DA7"/>
    <w:rsid w:val="003A7177"/>
    <w:rsid w:val="003A72F5"/>
    <w:rsid w:val="003A74B7"/>
    <w:rsid w:val="003A74CF"/>
    <w:rsid w:val="003A775B"/>
    <w:rsid w:val="003A7CA8"/>
    <w:rsid w:val="003B017B"/>
    <w:rsid w:val="003B085A"/>
    <w:rsid w:val="003B0889"/>
    <w:rsid w:val="003B0A47"/>
    <w:rsid w:val="003B0BFA"/>
    <w:rsid w:val="003B0C4E"/>
    <w:rsid w:val="003B1ACD"/>
    <w:rsid w:val="003B2106"/>
    <w:rsid w:val="003B2264"/>
    <w:rsid w:val="003B2BF6"/>
    <w:rsid w:val="003B2D24"/>
    <w:rsid w:val="003B34EF"/>
    <w:rsid w:val="003B376C"/>
    <w:rsid w:val="003B3B34"/>
    <w:rsid w:val="003B3E68"/>
    <w:rsid w:val="003B41F9"/>
    <w:rsid w:val="003B4725"/>
    <w:rsid w:val="003B484A"/>
    <w:rsid w:val="003B4A2D"/>
    <w:rsid w:val="003B4B87"/>
    <w:rsid w:val="003B4D39"/>
    <w:rsid w:val="003B4E96"/>
    <w:rsid w:val="003B52A1"/>
    <w:rsid w:val="003B5523"/>
    <w:rsid w:val="003B5A1D"/>
    <w:rsid w:val="003B6345"/>
    <w:rsid w:val="003B63B6"/>
    <w:rsid w:val="003B6576"/>
    <w:rsid w:val="003B672B"/>
    <w:rsid w:val="003B6879"/>
    <w:rsid w:val="003B6A5F"/>
    <w:rsid w:val="003B6A94"/>
    <w:rsid w:val="003B6DD3"/>
    <w:rsid w:val="003B7609"/>
    <w:rsid w:val="003B781B"/>
    <w:rsid w:val="003B7B05"/>
    <w:rsid w:val="003B7EA6"/>
    <w:rsid w:val="003B7F45"/>
    <w:rsid w:val="003C0606"/>
    <w:rsid w:val="003C0693"/>
    <w:rsid w:val="003C0709"/>
    <w:rsid w:val="003C10E9"/>
    <w:rsid w:val="003C1178"/>
    <w:rsid w:val="003C11A9"/>
    <w:rsid w:val="003C11D6"/>
    <w:rsid w:val="003C1397"/>
    <w:rsid w:val="003C1F09"/>
    <w:rsid w:val="003C241E"/>
    <w:rsid w:val="003C251F"/>
    <w:rsid w:val="003C25D2"/>
    <w:rsid w:val="003C28C4"/>
    <w:rsid w:val="003C29AD"/>
    <w:rsid w:val="003C2AC0"/>
    <w:rsid w:val="003C2F65"/>
    <w:rsid w:val="003C3209"/>
    <w:rsid w:val="003C337F"/>
    <w:rsid w:val="003C3457"/>
    <w:rsid w:val="003C3C92"/>
    <w:rsid w:val="003C3CC6"/>
    <w:rsid w:val="003C3D9A"/>
    <w:rsid w:val="003C4433"/>
    <w:rsid w:val="003C493F"/>
    <w:rsid w:val="003C53C6"/>
    <w:rsid w:val="003C54A0"/>
    <w:rsid w:val="003C550E"/>
    <w:rsid w:val="003C592E"/>
    <w:rsid w:val="003C5947"/>
    <w:rsid w:val="003C5CF7"/>
    <w:rsid w:val="003C62A9"/>
    <w:rsid w:val="003C6343"/>
    <w:rsid w:val="003C6350"/>
    <w:rsid w:val="003C65B8"/>
    <w:rsid w:val="003C65B9"/>
    <w:rsid w:val="003C68EB"/>
    <w:rsid w:val="003C6934"/>
    <w:rsid w:val="003C7071"/>
    <w:rsid w:val="003C71D7"/>
    <w:rsid w:val="003C73B2"/>
    <w:rsid w:val="003C776A"/>
    <w:rsid w:val="003C7787"/>
    <w:rsid w:val="003C79FA"/>
    <w:rsid w:val="003C7C1D"/>
    <w:rsid w:val="003C7E65"/>
    <w:rsid w:val="003D06BB"/>
    <w:rsid w:val="003D0868"/>
    <w:rsid w:val="003D0895"/>
    <w:rsid w:val="003D0CAF"/>
    <w:rsid w:val="003D0E4A"/>
    <w:rsid w:val="003D107C"/>
    <w:rsid w:val="003D1099"/>
    <w:rsid w:val="003D1559"/>
    <w:rsid w:val="003D1F86"/>
    <w:rsid w:val="003D1FFD"/>
    <w:rsid w:val="003D2442"/>
    <w:rsid w:val="003D25C4"/>
    <w:rsid w:val="003D2F31"/>
    <w:rsid w:val="003D3666"/>
    <w:rsid w:val="003D3AB7"/>
    <w:rsid w:val="003D4906"/>
    <w:rsid w:val="003D4ADC"/>
    <w:rsid w:val="003D4D4C"/>
    <w:rsid w:val="003D5265"/>
    <w:rsid w:val="003D5524"/>
    <w:rsid w:val="003D569D"/>
    <w:rsid w:val="003D56C8"/>
    <w:rsid w:val="003D57F3"/>
    <w:rsid w:val="003D592A"/>
    <w:rsid w:val="003D59C9"/>
    <w:rsid w:val="003D5D53"/>
    <w:rsid w:val="003D5E67"/>
    <w:rsid w:val="003D5FFF"/>
    <w:rsid w:val="003D637B"/>
    <w:rsid w:val="003D6A7F"/>
    <w:rsid w:val="003D6C21"/>
    <w:rsid w:val="003D6D42"/>
    <w:rsid w:val="003D70BD"/>
    <w:rsid w:val="003D7128"/>
    <w:rsid w:val="003D71F3"/>
    <w:rsid w:val="003D77EB"/>
    <w:rsid w:val="003D7A36"/>
    <w:rsid w:val="003D7F60"/>
    <w:rsid w:val="003E0519"/>
    <w:rsid w:val="003E058B"/>
    <w:rsid w:val="003E0722"/>
    <w:rsid w:val="003E0877"/>
    <w:rsid w:val="003E08FB"/>
    <w:rsid w:val="003E0A1A"/>
    <w:rsid w:val="003E0EFA"/>
    <w:rsid w:val="003E1570"/>
    <w:rsid w:val="003E16F1"/>
    <w:rsid w:val="003E1729"/>
    <w:rsid w:val="003E18A2"/>
    <w:rsid w:val="003E1AE2"/>
    <w:rsid w:val="003E201C"/>
    <w:rsid w:val="003E2082"/>
    <w:rsid w:val="003E21E2"/>
    <w:rsid w:val="003E23BF"/>
    <w:rsid w:val="003E278C"/>
    <w:rsid w:val="003E2A5E"/>
    <w:rsid w:val="003E2E26"/>
    <w:rsid w:val="003E2E8F"/>
    <w:rsid w:val="003E2F47"/>
    <w:rsid w:val="003E3366"/>
    <w:rsid w:val="003E33B1"/>
    <w:rsid w:val="003E3B5B"/>
    <w:rsid w:val="003E3EF2"/>
    <w:rsid w:val="003E4154"/>
    <w:rsid w:val="003E4514"/>
    <w:rsid w:val="003E4C7B"/>
    <w:rsid w:val="003E4CBD"/>
    <w:rsid w:val="003E4ED9"/>
    <w:rsid w:val="003E54A9"/>
    <w:rsid w:val="003E54AC"/>
    <w:rsid w:val="003E5CC3"/>
    <w:rsid w:val="003E62CB"/>
    <w:rsid w:val="003E6389"/>
    <w:rsid w:val="003E665E"/>
    <w:rsid w:val="003E6697"/>
    <w:rsid w:val="003E6EA3"/>
    <w:rsid w:val="003E72BC"/>
    <w:rsid w:val="003E7317"/>
    <w:rsid w:val="003E79BB"/>
    <w:rsid w:val="003E7A02"/>
    <w:rsid w:val="003E7A94"/>
    <w:rsid w:val="003E7B39"/>
    <w:rsid w:val="003E7B73"/>
    <w:rsid w:val="003E7E80"/>
    <w:rsid w:val="003E7F02"/>
    <w:rsid w:val="003F0282"/>
    <w:rsid w:val="003F0337"/>
    <w:rsid w:val="003F0A39"/>
    <w:rsid w:val="003F0F50"/>
    <w:rsid w:val="003F18B5"/>
    <w:rsid w:val="003F1932"/>
    <w:rsid w:val="003F1934"/>
    <w:rsid w:val="003F1AB4"/>
    <w:rsid w:val="003F1DFF"/>
    <w:rsid w:val="003F1E39"/>
    <w:rsid w:val="003F1E3A"/>
    <w:rsid w:val="003F1FCD"/>
    <w:rsid w:val="003F214E"/>
    <w:rsid w:val="003F230C"/>
    <w:rsid w:val="003F2A41"/>
    <w:rsid w:val="003F2CC3"/>
    <w:rsid w:val="003F2D5A"/>
    <w:rsid w:val="003F3157"/>
    <w:rsid w:val="003F34AB"/>
    <w:rsid w:val="003F34BB"/>
    <w:rsid w:val="003F3BE3"/>
    <w:rsid w:val="003F3CD5"/>
    <w:rsid w:val="003F3F9C"/>
    <w:rsid w:val="003F3FFB"/>
    <w:rsid w:val="003F4783"/>
    <w:rsid w:val="003F4A5D"/>
    <w:rsid w:val="003F4A98"/>
    <w:rsid w:val="003F4E7D"/>
    <w:rsid w:val="003F4F03"/>
    <w:rsid w:val="003F4F25"/>
    <w:rsid w:val="003F51B7"/>
    <w:rsid w:val="003F5CBA"/>
    <w:rsid w:val="003F6015"/>
    <w:rsid w:val="003F606A"/>
    <w:rsid w:val="003F60C5"/>
    <w:rsid w:val="003F6256"/>
    <w:rsid w:val="003F661F"/>
    <w:rsid w:val="003F6BFC"/>
    <w:rsid w:val="003F6E22"/>
    <w:rsid w:val="003F6F41"/>
    <w:rsid w:val="003F7008"/>
    <w:rsid w:val="003F7814"/>
    <w:rsid w:val="003F7CAD"/>
    <w:rsid w:val="00400376"/>
    <w:rsid w:val="004003F7"/>
    <w:rsid w:val="004003FC"/>
    <w:rsid w:val="00400607"/>
    <w:rsid w:val="004007C2"/>
    <w:rsid w:val="00400AAA"/>
    <w:rsid w:val="00400AFA"/>
    <w:rsid w:val="00400B0C"/>
    <w:rsid w:val="00400BD5"/>
    <w:rsid w:val="00400FDC"/>
    <w:rsid w:val="00401046"/>
    <w:rsid w:val="004013E2"/>
    <w:rsid w:val="00401BBA"/>
    <w:rsid w:val="00401CED"/>
    <w:rsid w:val="00401E08"/>
    <w:rsid w:val="00402651"/>
    <w:rsid w:val="00402C51"/>
    <w:rsid w:val="00402D15"/>
    <w:rsid w:val="00402E4D"/>
    <w:rsid w:val="00402F02"/>
    <w:rsid w:val="00402FF5"/>
    <w:rsid w:val="004031D2"/>
    <w:rsid w:val="0040350E"/>
    <w:rsid w:val="0040362A"/>
    <w:rsid w:val="00403BC1"/>
    <w:rsid w:val="00403ECC"/>
    <w:rsid w:val="00404B35"/>
    <w:rsid w:val="00404C25"/>
    <w:rsid w:val="004050DD"/>
    <w:rsid w:val="004057B4"/>
    <w:rsid w:val="004066EA"/>
    <w:rsid w:val="00406764"/>
    <w:rsid w:val="004067A3"/>
    <w:rsid w:val="00406877"/>
    <w:rsid w:val="00406C99"/>
    <w:rsid w:val="00406F17"/>
    <w:rsid w:val="0040707F"/>
    <w:rsid w:val="00407106"/>
    <w:rsid w:val="004076F9"/>
    <w:rsid w:val="00407D62"/>
    <w:rsid w:val="00407D69"/>
    <w:rsid w:val="00407DC7"/>
    <w:rsid w:val="00410095"/>
    <w:rsid w:val="00410220"/>
    <w:rsid w:val="00410396"/>
    <w:rsid w:val="00410494"/>
    <w:rsid w:val="0041052A"/>
    <w:rsid w:val="00410593"/>
    <w:rsid w:val="004106F3"/>
    <w:rsid w:val="00410991"/>
    <w:rsid w:val="00410F19"/>
    <w:rsid w:val="004110FD"/>
    <w:rsid w:val="00411527"/>
    <w:rsid w:val="0041186C"/>
    <w:rsid w:val="00411B5E"/>
    <w:rsid w:val="00412381"/>
    <w:rsid w:val="004129A3"/>
    <w:rsid w:val="004129F8"/>
    <w:rsid w:val="00412A12"/>
    <w:rsid w:val="00412F03"/>
    <w:rsid w:val="0041345F"/>
    <w:rsid w:val="00413522"/>
    <w:rsid w:val="0041391A"/>
    <w:rsid w:val="00413A71"/>
    <w:rsid w:val="00413D15"/>
    <w:rsid w:val="00414008"/>
    <w:rsid w:val="00414011"/>
    <w:rsid w:val="00414036"/>
    <w:rsid w:val="0041414F"/>
    <w:rsid w:val="0041498B"/>
    <w:rsid w:val="00414BB4"/>
    <w:rsid w:val="00414DD5"/>
    <w:rsid w:val="00414F11"/>
    <w:rsid w:val="00414F52"/>
    <w:rsid w:val="004150DE"/>
    <w:rsid w:val="0041510A"/>
    <w:rsid w:val="004153DA"/>
    <w:rsid w:val="00415A63"/>
    <w:rsid w:val="00415EC8"/>
    <w:rsid w:val="00416263"/>
    <w:rsid w:val="0041684F"/>
    <w:rsid w:val="00417311"/>
    <w:rsid w:val="00417817"/>
    <w:rsid w:val="00417DC7"/>
    <w:rsid w:val="0042040B"/>
    <w:rsid w:val="00421192"/>
    <w:rsid w:val="00421197"/>
    <w:rsid w:val="00421309"/>
    <w:rsid w:val="004213F7"/>
    <w:rsid w:val="00421402"/>
    <w:rsid w:val="004214DF"/>
    <w:rsid w:val="0042163F"/>
    <w:rsid w:val="004216A0"/>
    <w:rsid w:val="0042199A"/>
    <w:rsid w:val="00421C94"/>
    <w:rsid w:val="00422392"/>
    <w:rsid w:val="004226B1"/>
    <w:rsid w:val="00422DEC"/>
    <w:rsid w:val="00422E3E"/>
    <w:rsid w:val="00422F6F"/>
    <w:rsid w:val="0042327C"/>
    <w:rsid w:val="00423491"/>
    <w:rsid w:val="004234A5"/>
    <w:rsid w:val="0042353D"/>
    <w:rsid w:val="00423C6D"/>
    <w:rsid w:val="004244B5"/>
    <w:rsid w:val="0042499C"/>
    <w:rsid w:val="004249A4"/>
    <w:rsid w:val="004249A5"/>
    <w:rsid w:val="00424A39"/>
    <w:rsid w:val="00424B31"/>
    <w:rsid w:val="00425945"/>
    <w:rsid w:val="004259F5"/>
    <w:rsid w:val="00426B84"/>
    <w:rsid w:val="00426C7F"/>
    <w:rsid w:val="00426FA2"/>
    <w:rsid w:val="00427561"/>
    <w:rsid w:val="00427920"/>
    <w:rsid w:val="004300B1"/>
    <w:rsid w:val="004300D6"/>
    <w:rsid w:val="004302DB"/>
    <w:rsid w:val="0043039D"/>
    <w:rsid w:val="00430448"/>
    <w:rsid w:val="0043046B"/>
    <w:rsid w:val="004308E2"/>
    <w:rsid w:val="004309CA"/>
    <w:rsid w:val="00430E13"/>
    <w:rsid w:val="00430FFB"/>
    <w:rsid w:val="004310EE"/>
    <w:rsid w:val="0043129C"/>
    <w:rsid w:val="00431349"/>
    <w:rsid w:val="00431466"/>
    <w:rsid w:val="0043149E"/>
    <w:rsid w:val="004318E7"/>
    <w:rsid w:val="00431976"/>
    <w:rsid w:val="00431ACA"/>
    <w:rsid w:val="00431FCC"/>
    <w:rsid w:val="004321B1"/>
    <w:rsid w:val="00432608"/>
    <w:rsid w:val="00432707"/>
    <w:rsid w:val="00432CB7"/>
    <w:rsid w:val="004330EA"/>
    <w:rsid w:val="004331D5"/>
    <w:rsid w:val="0043349B"/>
    <w:rsid w:val="004336D2"/>
    <w:rsid w:val="00433D8B"/>
    <w:rsid w:val="004341BE"/>
    <w:rsid w:val="0043448A"/>
    <w:rsid w:val="0043450D"/>
    <w:rsid w:val="00434DD2"/>
    <w:rsid w:val="00434DF8"/>
    <w:rsid w:val="004352A3"/>
    <w:rsid w:val="004354AB"/>
    <w:rsid w:val="0043590B"/>
    <w:rsid w:val="00435BBD"/>
    <w:rsid w:val="00435D1A"/>
    <w:rsid w:val="00435D35"/>
    <w:rsid w:val="00435D45"/>
    <w:rsid w:val="00435F79"/>
    <w:rsid w:val="00436158"/>
    <w:rsid w:val="0043616E"/>
    <w:rsid w:val="00436196"/>
    <w:rsid w:val="004363AB"/>
    <w:rsid w:val="004368F9"/>
    <w:rsid w:val="00436E0C"/>
    <w:rsid w:val="00436ECD"/>
    <w:rsid w:val="00436FEF"/>
    <w:rsid w:val="004373D8"/>
    <w:rsid w:val="00437B2B"/>
    <w:rsid w:val="00437BD4"/>
    <w:rsid w:val="00437C02"/>
    <w:rsid w:val="00437CA9"/>
    <w:rsid w:val="00437F80"/>
    <w:rsid w:val="0044006B"/>
    <w:rsid w:val="0044017B"/>
    <w:rsid w:val="004403CC"/>
    <w:rsid w:val="0044040A"/>
    <w:rsid w:val="00440BC6"/>
    <w:rsid w:val="00440C65"/>
    <w:rsid w:val="00440DBA"/>
    <w:rsid w:val="00441477"/>
    <w:rsid w:val="00441AE5"/>
    <w:rsid w:val="00441BB1"/>
    <w:rsid w:val="004420EB"/>
    <w:rsid w:val="00442522"/>
    <w:rsid w:val="004425AE"/>
    <w:rsid w:val="00442B8F"/>
    <w:rsid w:val="00442F3C"/>
    <w:rsid w:val="004430BB"/>
    <w:rsid w:val="004430F9"/>
    <w:rsid w:val="00443C27"/>
    <w:rsid w:val="0044436B"/>
    <w:rsid w:val="00444889"/>
    <w:rsid w:val="004448E5"/>
    <w:rsid w:val="00444B03"/>
    <w:rsid w:val="00444DB8"/>
    <w:rsid w:val="00444FA1"/>
    <w:rsid w:val="00444FE1"/>
    <w:rsid w:val="004451DC"/>
    <w:rsid w:val="00445246"/>
    <w:rsid w:val="004452A2"/>
    <w:rsid w:val="0044559C"/>
    <w:rsid w:val="0044575E"/>
    <w:rsid w:val="0044578F"/>
    <w:rsid w:val="00445818"/>
    <w:rsid w:val="0044581B"/>
    <w:rsid w:val="00445B09"/>
    <w:rsid w:val="00445B46"/>
    <w:rsid w:val="00445BFE"/>
    <w:rsid w:val="00445DCE"/>
    <w:rsid w:val="00445F89"/>
    <w:rsid w:val="004465C7"/>
    <w:rsid w:val="004469E4"/>
    <w:rsid w:val="00446B40"/>
    <w:rsid w:val="00446F28"/>
    <w:rsid w:val="00447944"/>
    <w:rsid w:val="00447B67"/>
    <w:rsid w:val="00447D01"/>
    <w:rsid w:val="00450317"/>
    <w:rsid w:val="00450601"/>
    <w:rsid w:val="00450B26"/>
    <w:rsid w:val="00450B32"/>
    <w:rsid w:val="00450BB3"/>
    <w:rsid w:val="00450DB0"/>
    <w:rsid w:val="00450F16"/>
    <w:rsid w:val="00451048"/>
    <w:rsid w:val="00451740"/>
    <w:rsid w:val="00451D62"/>
    <w:rsid w:val="00451F2F"/>
    <w:rsid w:val="0045235A"/>
    <w:rsid w:val="004524AD"/>
    <w:rsid w:val="004527CE"/>
    <w:rsid w:val="00452844"/>
    <w:rsid w:val="004528E9"/>
    <w:rsid w:val="00452E06"/>
    <w:rsid w:val="00452FBE"/>
    <w:rsid w:val="0045343D"/>
    <w:rsid w:val="0045362F"/>
    <w:rsid w:val="0045366B"/>
    <w:rsid w:val="004536D0"/>
    <w:rsid w:val="0045384C"/>
    <w:rsid w:val="00453A9C"/>
    <w:rsid w:val="00453EFC"/>
    <w:rsid w:val="00454A2D"/>
    <w:rsid w:val="00454BCD"/>
    <w:rsid w:val="00454F35"/>
    <w:rsid w:val="00455044"/>
    <w:rsid w:val="00455161"/>
    <w:rsid w:val="00455711"/>
    <w:rsid w:val="0045584E"/>
    <w:rsid w:val="00455C61"/>
    <w:rsid w:val="00456137"/>
    <w:rsid w:val="00456571"/>
    <w:rsid w:val="00456689"/>
    <w:rsid w:val="004568BC"/>
    <w:rsid w:val="00456A1E"/>
    <w:rsid w:val="00456B68"/>
    <w:rsid w:val="00456C4B"/>
    <w:rsid w:val="00456DDD"/>
    <w:rsid w:val="00457102"/>
    <w:rsid w:val="00457264"/>
    <w:rsid w:val="00457B34"/>
    <w:rsid w:val="00457FB2"/>
    <w:rsid w:val="0046023A"/>
    <w:rsid w:val="00460363"/>
    <w:rsid w:val="004606B0"/>
    <w:rsid w:val="00460C01"/>
    <w:rsid w:val="00460E7D"/>
    <w:rsid w:val="00461900"/>
    <w:rsid w:val="00461C7C"/>
    <w:rsid w:val="00461FFF"/>
    <w:rsid w:val="0046228F"/>
    <w:rsid w:val="0046274F"/>
    <w:rsid w:val="004628D6"/>
    <w:rsid w:val="00462BDF"/>
    <w:rsid w:val="00463438"/>
    <w:rsid w:val="00463A6D"/>
    <w:rsid w:val="00463CBD"/>
    <w:rsid w:val="00463DFB"/>
    <w:rsid w:val="004642A9"/>
    <w:rsid w:val="0046443C"/>
    <w:rsid w:val="004644A9"/>
    <w:rsid w:val="00464AB1"/>
    <w:rsid w:val="00464F3A"/>
    <w:rsid w:val="004652BA"/>
    <w:rsid w:val="00465617"/>
    <w:rsid w:val="00465621"/>
    <w:rsid w:val="0046564B"/>
    <w:rsid w:val="004656C0"/>
    <w:rsid w:val="00465844"/>
    <w:rsid w:val="004659B3"/>
    <w:rsid w:val="00466171"/>
    <w:rsid w:val="004667A4"/>
    <w:rsid w:val="004667EC"/>
    <w:rsid w:val="00467527"/>
    <w:rsid w:val="00470490"/>
    <w:rsid w:val="004705A3"/>
    <w:rsid w:val="004705EC"/>
    <w:rsid w:val="00470D76"/>
    <w:rsid w:val="00470EC8"/>
    <w:rsid w:val="00470F92"/>
    <w:rsid w:val="00471299"/>
    <w:rsid w:val="00471575"/>
    <w:rsid w:val="00471A52"/>
    <w:rsid w:val="00471C2E"/>
    <w:rsid w:val="00472109"/>
    <w:rsid w:val="00472C30"/>
    <w:rsid w:val="00472E53"/>
    <w:rsid w:val="00472F58"/>
    <w:rsid w:val="004731C0"/>
    <w:rsid w:val="00473E38"/>
    <w:rsid w:val="0047412E"/>
    <w:rsid w:val="00474349"/>
    <w:rsid w:val="00474723"/>
    <w:rsid w:val="00474C62"/>
    <w:rsid w:val="00475167"/>
    <w:rsid w:val="00475449"/>
    <w:rsid w:val="00475700"/>
    <w:rsid w:val="00475B20"/>
    <w:rsid w:val="004760E8"/>
    <w:rsid w:val="004763E5"/>
    <w:rsid w:val="00476825"/>
    <w:rsid w:val="004770D7"/>
    <w:rsid w:val="004771B6"/>
    <w:rsid w:val="0047778C"/>
    <w:rsid w:val="00477B11"/>
    <w:rsid w:val="00477F7A"/>
    <w:rsid w:val="0047BA09"/>
    <w:rsid w:val="00480136"/>
    <w:rsid w:val="004801DB"/>
    <w:rsid w:val="004802A3"/>
    <w:rsid w:val="00480406"/>
    <w:rsid w:val="004807B6"/>
    <w:rsid w:val="00480B0F"/>
    <w:rsid w:val="004810E4"/>
    <w:rsid w:val="00481130"/>
    <w:rsid w:val="004812D2"/>
    <w:rsid w:val="004814DB"/>
    <w:rsid w:val="00481548"/>
    <w:rsid w:val="00481BC2"/>
    <w:rsid w:val="0048299B"/>
    <w:rsid w:val="004829C9"/>
    <w:rsid w:val="004830F5"/>
    <w:rsid w:val="00483102"/>
    <w:rsid w:val="004831C4"/>
    <w:rsid w:val="004835C4"/>
    <w:rsid w:val="0048465F"/>
    <w:rsid w:val="004846E9"/>
    <w:rsid w:val="00484D15"/>
    <w:rsid w:val="00484DBB"/>
    <w:rsid w:val="00484E2C"/>
    <w:rsid w:val="00484FDC"/>
    <w:rsid w:val="004858CE"/>
    <w:rsid w:val="00485A5A"/>
    <w:rsid w:val="00485C8F"/>
    <w:rsid w:val="00485E2A"/>
    <w:rsid w:val="00485FED"/>
    <w:rsid w:val="00486A71"/>
    <w:rsid w:val="00486B11"/>
    <w:rsid w:val="00486B65"/>
    <w:rsid w:val="004871D0"/>
    <w:rsid w:val="004871DF"/>
    <w:rsid w:val="0048721E"/>
    <w:rsid w:val="00487380"/>
    <w:rsid w:val="00487C24"/>
    <w:rsid w:val="00487DCC"/>
    <w:rsid w:val="00490253"/>
    <w:rsid w:val="004903A7"/>
    <w:rsid w:val="0049047F"/>
    <w:rsid w:val="004904CE"/>
    <w:rsid w:val="00490629"/>
    <w:rsid w:val="00490799"/>
    <w:rsid w:val="00490B3D"/>
    <w:rsid w:val="00490E05"/>
    <w:rsid w:val="00490FBB"/>
    <w:rsid w:val="0049108E"/>
    <w:rsid w:val="0049127C"/>
    <w:rsid w:val="0049142D"/>
    <w:rsid w:val="00491746"/>
    <w:rsid w:val="004919C6"/>
    <w:rsid w:val="004919FA"/>
    <w:rsid w:val="00491CE4"/>
    <w:rsid w:val="0049245C"/>
    <w:rsid w:val="004927D0"/>
    <w:rsid w:val="004928E7"/>
    <w:rsid w:val="00492ACE"/>
    <w:rsid w:val="00492C3B"/>
    <w:rsid w:val="00492CA1"/>
    <w:rsid w:val="00492E3D"/>
    <w:rsid w:val="00492E6F"/>
    <w:rsid w:val="00492E77"/>
    <w:rsid w:val="00492EB8"/>
    <w:rsid w:val="00493511"/>
    <w:rsid w:val="004938E9"/>
    <w:rsid w:val="00493962"/>
    <w:rsid w:val="004939B4"/>
    <w:rsid w:val="00493AC4"/>
    <w:rsid w:val="00493E27"/>
    <w:rsid w:val="00494457"/>
    <w:rsid w:val="004948A8"/>
    <w:rsid w:val="004951A0"/>
    <w:rsid w:val="00495220"/>
    <w:rsid w:val="00495B20"/>
    <w:rsid w:val="00495BB4"/>
    <w:rsid w:val="00495F52"/>
    <w:rsid w:val="004964B6"/>
    <w:rsid w:val="00496557"/>
    <w:rsid w:val="00496814"/>
    <w:rsid w:val="00496825"/>
    <w:rsid w:val="00496A90"/>
    <w:rsid w:val="00497170"/>
    <w:rsid w:val="00497259"/>
    <w:rsid w:val="0049725A"/>
    <w:rsid w:val="00497343"/>
    <w:rsid w:val="00497742"/>
    <w:rsid w:val="004A0084"/>
    <w:rsid w:val="004A0312"/>
    <w:rsid w:val="004A0B0C"/>
    <w:rsid w:val="004A11D6"/>
    <w:rsid w:val="004A1280"/>
    <w:rsid w:val="004A1553"/>
    <w:rsid w:val="004A188F"/>
    <w:rsid w:val="004A21ED"/>
    <w:rsid w:val="004A23D3"/>
    <w:rsid w:val="004A247C"/>
    <w:rsid w:val="004A24BC"/>
    <w:rsid w:val="004A2665"/>
    <w:rsid w:val="004A27B3"/>
    <w:rsid w:val="004A29BC"/>
    <w:rsid w:val="004A29C2"/>
    <w:rsid w:val="004A2A99"/>
    <w:rsid w:val="004A2BB6"/>
    <w:rsid w:val="004A2F1E"/>
    <w:rsid w:val="004A2FA6"/>
    <w:rsid w:val="004A3124"/>
    <w:rsid w:val="004A34FB"/>
    <w:rsid w:val="004A37FC"/>
    <w:rsid w:val="004A38EF"/>
    <w:rsid w:val="004A3E82"/>
    <w:rsid w:val="004A4502"/>
    <w:rsid w:val="004A47DF"/>
    <w:rsid w:val="004A4830"/>
    <w:rsid w:val="004A49A9"/>
    <w:rsid w:val="004A4C96"/>
    <w:rsid w:val="004A4C9F"/>
    <w:rsid w:val="004A4CAC"/>
    <w:rsid w:val="004A4CF6"/>
    <w:rsid w:val="004A4F5D"/>
    <w:rsid w:val="004A4FD5"/>
    <w:rsid w:val="004A531A"/>
    <w:rsid w:val="004A531E"/>
    <w:rsid w:val="004A59CD"/>
    <w:rsid w:val="004A5CFE"/>
    <w:rsid w:val="004A5D5F"/>
    <w:rsid w:val="004A5F85"/>
    <w:rsid w:val="004A60BD"/>
    <w:rsid w:val="004A6273"/>
    <w:rsid w:val="004A6FC9"/>
    <w:rsid w:val="004A77A9"/>
    <w:rsid w:val="004A78BE"/>
    <w:rsid w:val="004A7CEE"/>
    <w:rsid w:val="004B0219"/>
    <w:rsid w:val="004B071E"/>
    <w:rsid w:val="004B0743"/>
    <w:rsid w:val="004B0AC1"/>
    <w:rsid w:val="004B0B40"/>
    <w:rsid w:val="004B135B"/>
    <w:rsid w:val="004B16A1"/>
    <w:rsid w:val="004B1882"/>
    <w:rsid w:val="004B214C"/>
    <w:rsid w:val="004B2473"/>
    <w:rsid w:val="004B2639"/>
    <w:rsid w:val="004B267B"/>
    <w:rsid w:val="004B2B2B"/>
    <w:rsid w:val="004B2E1F"/>
    <w:rsid w:val="004B38AE"/>
    <w:rsid w:val="004B3B32"/>
    <w:rsid w:val="004B3CE6"/>
    <w:rsid w:val="004B4066"/>
    <w:rsid w:val="004B4426"/>
    <w:rsid w:val="004B4F7C"/>
    <w:rsid w:val="004B53B5"/>
    <w:rsid w:val="004B575F"/>
    <w:rsid w:val="004B5BCC"/>
    <w:rsid w:val="004B5CAA"/>
    <w:rsid w:val="004B5D77"/>
    <w:rsid w:val="004B5D7A"/>
    <w:rsid w:val="004B65B0"/>
    <w:rsid w:val="004B6735"/>
    <w:rsid w:val="004B6DB2"/>
    <w:rsid w:val="004B6E1C"/>
    <w:rsid w:val="004B76A4"/>
    <w:rsid w:val="004B798F"/>
    <w:rsid w:val="004B7B74"/>
    <w:rsid w:val="004B7D1D"/>
    <w:rsid w:val="004B7E71"/>
    <w:rsid w:val="004B7FAA"/>
    <w:rsid w:val="004B7FD3"/>
    <w:rsid w:val="004C002F"/>
    <w:rsid w:val="004C0603"/>
    <w:rsid w:val="004C063E"/>
    <w:rsid w:val="004C082F"/>
    <w:rsid w:val="004C0A4C"/>
    <w:rsid w:val="004C0D5F"/>
    <w:rsid w:val="004C0D63"/>
    <w:rsid w:val="004C0DDC"/>
    <w:rsid w:val="004C134E"/>
    <w:rsid w:val="004C154D"/>
    <w:rsid w:val="004C1BED"/>
    <w:rsid w:val="004C239E"/>
    <w:rsid w:val="004C249E"/>
    <w:rsid w:val="004C2582"/>
    <w:rsid w:val="004C28D2"/>
    <w:rsid w:val="004C292C"/>
    <w:rsid w:val="004C2C5E"/>
    <w:rsid w:val="004C2E78"/>
    <w:rsid w:val="004C312E"/>
    <w:rsid w:val="004C35C4"/>
    <w:rsid w:val="004C3665"/>
    <w:rsid w:val="004C3B98"/>
    <w:rsid w:val="004C42C4"/>
    <w:rsid w:val="004C470E"/>
    <w:rsid w:val="004C4907"/>
    <w:rsid w:val="004C494F"/>
    <w:rsid w:val="004C4A45"/>
    <w:rsid w:val="004C4DC3"/>
    <w:rsid w:val="004C50FD"/>
    <w:rsid w:val="004C5242"/>
    <w:rsid w:val="004C53D8"/>
    <w:rsid w:val="004C54E4"/>
    <w:rsid w:val="004C5955"/>
    <w:rsid w:val="004C6260"/>
    <w:rsid w:val="004C63E2"/>
    <w:rsid w:val="004C63E6"/>
    <w:rsid w:val="004C67A4"/>
    <w:rsid w:val="004C6983"/>
    <w:rsid w:val="004C6C99"/>
    <w:rsid w:val="004C6DBD"/>
    <w:rsid w:val="004C7458"/>
    <w:rsid w:val="004C75CE"/>
    <w:rsid w:val="004C75CF"/>
    <w:rsid w:val="004C760A"/>
    <w:rsid w:val="004C7615"/>
    <w:rsid w:val="004C7FCE"/>
    <w:rsid w:val="004D0029"/>
    <w:rsid w:val="004D027D"/>
    <w:rsid w:val="004D0471"/>
    <w:rsid w:val="004D0698"/>
    <w:rsid w:val="004D0721"/>
    <w:rsid w:val="004D0828"/>
    <w:rsid w:val="004D09E0"/>
    <w:rsid w:val="004D0A4E"/>
    <w:rsid w:val="004D0ABD"/>
    <w:rsid w:val="004D0BF2"/>
    <w:rsid w:val="004D0F16"/>
    <w:rsid w:val="004D173F"/>
    <w:rsid w:val="004D17D0"/>
    <w:rsid w:val="004D196D"/>
    <w:rsid w:val="004D198F"/>
    <w:rsid w:val="004D1A36"/>
    <w:rsid w:val="004D1B97"/>
    <w:rsid w:val="004D1D0A"/>
    <w:rsid w:val="004D1D63"/>
    <w:rsid w:val="004D2142"/>
    <w:rsid w:val="004D2185"/>
    <w:rsid w:val="004D23F9"/>
    <w:rsid w:val="004D280F"/>
    <w:rsid w:val="004D2BE4"/>
    <w:rsid w:val="004D32A3"/>
    <w:rsid w:val="004D32C5"/>
    <w:rsid w:val="004D3751"/>
    <w:rsid w:val="004D3ADE"/>
    <w:rsid w:val="004D3D66"/>
    <w:rsid w:val="004D3D81"/>
    <w:rsid w:val="004D3DEE"/>
    <w:rsid w:val="004D3EAE"/>
    <w:rsid w:val="004D402F"/>
    <w:rsid w:val="004D40BA"/>
    <w:rsid w:val="004D41C4"/>
    <w:rsid w:val="004D4938"/>
    <w:rsid w:val="004D5317"/>
    <w:rsid w:val="004D57CC"/>
    <w:rsid w:val="004D5B54"/>
    <w:rsid w:val="004D5B7B"/>
    <w:rsid w:val="004D5C86"/>
    <w:rsid w:val="004D603F"/>
    <w:rsid w:val="004D62AC"/>
    <w:rsid w:val="004D62B2"/>
    <w:rsid w:val="004D6650"/>
    <w:rsid w:val="004D6652"/>
    <w:rsid w:val="004D6BEB"/>
    <w:rsid w:val="004D6D64"/>
    <w:rsid w:val="004D6E36"/>
    <w:rsid w:val="004D6F06"/>
    <w:rsid w:val="004D6F3E"/>
    <w:rsid w:val="004D6FB0"/>
    <w:rsid w:val="004D6FDC"/>
    <w:rsid w:val="004D7360"/>
    <w:rsid w:val="004D7697"/>
    <w:rsid w:val="004D76BE"/>
    <w:rsid w:val="004D76C3"/>
    <w:rsid w:val="004D76CA"/>
    <w:rsid w:val="004D7882"/>
    <w:rsid w:val="004D79A0"/>
    <w:rsid w:val="004D7B56"/>
    <w:rsid w:val="004D7D68"/>
    <w:rsid w:val="004D7E0A"/>
    <w:rsid w:val="004E02E4"/>
    <w:rsid w:val="004E0400"/>
    <w:rsid w:val="004E04AE"/>
    <w:rsid w:val="004E06C5"/>
    <w:rsid w:val="004E0849"/>
    <w:rsid w:val="004E0C94"/>
    <w:rsid w:val="004E0E5F"/>
    <w:rsid w:val="004E0F8A"/>
    <w:rsid w:val="004E1548"/>
    <w:rsid w:val="004E1C6E"/>
    <w:rsid w:val="004E1CB7"/>
    <w:rsid w:val="004E1FC6"/>
    <w:rsid w:val="004E1FE0"/>
    <w:rsid w:val="004E240F"/>
    <w:rsid w:val="004E2491"/>
    <w:rsid w:val="004E288B"/>
    <w:rsid w:val="004E29EB"/>
    <w:rsid w:val="004E2B1A"/>
    <w:rsid w:val="004E3413"/>
    <w:rsid w:val="004E3548"/>
    <w:rsid w:val="004E35F5"/>
    <w:rsid w:val="004E3ABF"/>
    <w:rsid w:val="004E45EC"/>
    <w:rsid w:val="004E46E5"/>
    <w:rsid w:val="004E46FD"/>
    <w:rsid w:val="004E4A14"/>
    <w:rsid w:val="004E5065"/>
    <w:rsid w:val="004E525A"/>
    <w:rsid w:val="004E539C"/>
    <w:rsid w:val="004E5959"/>
    <w:rsid w:val="004E5EA7"/>
    <w:rsid w:val="004E68AB"/>
    <w:rsid w:val="004E7222"/>
    <w:rsid w:val="004E76EC"/>
    <w:rsid w:val="004E7ADF"/>
    <w:rsid w:val="004E7B6F"/>
    <w:rsid w:val="004F02D5"/>
    <w:rsid w:val="004F0306"/>
    <w:rsid w:val="004F04DD"/>
    <w:rsid w:val="004F0618"/>
    <w:rsid w:val="004F06FA"/>
    <w:rsid w:val="004F071A"/>
    <w:rsid w:val="004F07AC"/>
    <w:rsid w:val="004F1028"/>
    <w:rsid w:val="004F17AF"/>
    <w:rsid w:val="004F1835"/>
    <w:rsid w:val="004F2355"/>
    <w:rsid w:val="004F243B"/>
    <w:rsid w:val="004F25AA"/>
    <w:rsid w:val="004F2E13"/>
    <w:rsid w:val="004F3068"/>
    <w:rsid w:val="004F3284"/>
    <w:rsid w:val="004F3340"/>
    <w:rsid w:val="004F34D9"/>
    <w:rsid w:val="004F3560"/>
    <w:rsid w:val="004F3742"/>
    <w:rsid w:val="004F3781"/>
    <w:rsid w:val="004F389F"/>
    <w:rsid w:val="004F3CC3"/>
    <w:rsid w:val="004F417C"/>
    <w:rsid w:val="004F42CD"/>
    <w:rsid w:val="004F4642"/>
    <w:rsid w:val="004F4C8F"/>
    <w:rsid w:val="004F4DD5"/>
    <w:rsid w:val="004F505A"/>
    <w:rsid w:val="004F5128"/>
    <w:rsid w:val="004F56E9"/>
    <w:rsid w:val="004F5708"/>
    <w:rsid w:val="004F6088"/>
    <w:rsid w:val="004F6386"/>
    <w:rsid w:val="004F682B"/>
    <w:rsid w:val="004F6976"/>
    <w:rsid w:val="004F6F07"/>
    <w:rsid w:val="004F6F49"/>
    <w:rsid w:val="004F6FCB"/>
    <w:rsid w:val="004F70EC"/>
    <w:rsid w:val="004F73FA"/>
    <w:rsid w:val="004F7BBD"/>
    <w:rsid w:val="004F7DF4"/>
    <w:rsid w:val="004F7F89"/>
    <w:rsid w:val="00500584"/>
    <w:rsid w:val="005005CA"/>
    <w:rsid w:val="005006E1"/>
    <w:rsid w:val="0050093D"/>
    <w:rsid w:val="00501593"/>
    <w:rsid w:val="00501C82"/>
    <w:rsid w:val="00501F13"/>
    <w:rsid w:val="005028B4"/>
    <w:rsid w:val="00502A12"/>
    <w:rsid w:val="00502A41"/>
    <w:rsid w:val="00502D4B"/>
    <w:rsid w:val="00502DE4"/>
    <w:rsid w:val="00502EDD"/>
    <w:rsid w:val="00502F02"/>
    <w:rsid w:val="005030F5"/>
    <w:rsid w:val="00503497"/>
    <w:rsid w:val="005034C1"/>
    <w:rsid w:val="00503EEB"/>
    <w:rsid w:val="00503F70"/>
    <w:rsid w:val="00504113"/>
    <w:rsid w:val="0050416A"/>
    <w:rsid w:val="00504195"/>
    <w:rsid w:val="005045E2"/>
    <w:rsid w:val="00504C7D"/>
    <w:rsid w:val="00504F12"/>
    <w:rsid w:val="0050532C"/>
    <w:rsid w:val="00505717"/>
    <w:rsid w:val="0050590C"/>
    <w:rsid w:val="00505BEC"/>
    <w:rsid w:val="00505BFF"/>
    <w:rsid w:val="00505C51"/>
    <w:rsid w:val="00505DFE"/>
    <w:rsid w:val="00505E75"/>
    <w:rsid w:val="005062C1"/>
    <w:rsid w:val="005065B1"/>
    <w:rsid w:val="00506BD2"/>
    <w:rsid w:val="00506CB9"/>
    <w:rsid w:val="005073B8"/>
    <w:rsid w:val="005077EB"/>
    <w:rsid w:val="005078D4"/>
    <w:rsid w:val="005079AB"/>
    <w:rsid w:val="00507BA1"/>
    <w:rsid w:val="00507D82"/>
    <w:rsid w:val="0051004B"/>
    <w:rsid w:val="00510344"/>
    <w:rsid w:val="005107C6"/>
    <w:rsid w:val="005107D4"/>
    <w:rsid w:val="00510967"/>
    <w:rsid w:val="00510DC5"/>
    <w:rsid w:val="005113FE"/>
    <w:rsid w:val="00511527"/>
    <w:rsid w:val="005115CA"/>
    <w:rsid w:val="005115DF"/>
    <w:rsid w:val="00511674"/>
    <w:rsid w:val="00511710"/>
    <w:rsid w:val="005122D1"/>
    <w:rsid w:val="00512BD2"/>
    <w:rsid w:val="00512E6C"/>
    <w:rsid w:val="00512ED6"/>
    <w:rsid w:val="00513312"/>
    <w:rsid w:val="00513B3F"/>
    <w:rsid w:val="00513B6C"/>
    <w:rsid w:val="00513EB8"/>
    <w:rsid w:val="00513EE6"/>
    <w:rsid w:val="00513F5A"/>
    <w:rsid w:val="005144A8"/>
    <w:rsid w:val="0051452A"/>
    <w:rsid w:val="005147CB"/>
    <w:rsid w:val="00514DC1"/>
    <w:rsid w:val="00514EB8"/>
    <w:rsid w:val="005151E0"/>
    <w:rsid w:val="0051558C"/>
    <w:rsid w:val="00515668"/>
    <w:rsid w:val="005159D0"/>
    <w:rsid w:val="00515C63"/>
    <w:rsid w:val="00515DE5"/>
    <w:rsid w:val="00515E90"/>
    <w:rsid w:val="005165D9"/>
    <w:rsid w:val="00516799"/>
    <w:rsid w:val="00516CC0"/>
    <w:rsid w:val="00517241"/>
    <w:rsid w:val="00517E2C"/>
    <w:rsid w:val="00517E3E"/>
    <w:rsid w:val="005202C9"/>
    <w:rsid w:val="0052037B"/>
    <w:rsid w:val="005204E9"/>
    <w:rsid w:val="005208B1"/>
    <w:rsid w:val="00520B6E"/>
    <w:rsid w:val="00520BCD"/>
    <w:rsid w:val="00520F38"/>
    <w:rsid w:val="005215D7"/>
    <w:rsid w:val="005216DC"/>
    <w:rsid w:val="0052172D"/>
    <w:rsid w:val="0052178B"/>
    <w:rsid w:val="005218F4"/>
    <w:rsid w:val="0052216A"/>
    <w:rsid w:val="005222D1"/>
    <w:rsid w:val="0052233E"/>
    <w:rsid w:val="00522533"/>
    <w:rsid w:val="00522A6E"/>
    <w:rsid w:val="00523137"/>
    <w:rsid w:val="00523420"/>
    <w:rsid w:val="005238FF"/>
    <w:rsid w:val="00523910"/>
    <w:rsid w:val="00523985"/>
    <w:rsid w:val="00523CB5"/>
    <w:rsid w:val="00523FDA"/>
    <w:rsid w:val="005245C7"/>
    <w:rsid w:val="005246C6"/>
    <w:rsid w:val="0052474A"/>
    <w:rsid w:val="00524874"/>
    <w:rsid w:val="00524BD4"/>
    <w:rsid w:val="00524D25"/>
    <w:rsid w:val="00524EE3"/>
    <w:rsid w:val="005252A1"/>
    <w:rsid w:val="005252C9"/>
    <w:rsid w:val="00525430"/>
    <w:rsid w:val="0052546C"/>
    <w:rsid w:val="0052573A"/>
    <w:rsid w:val="0052592C"/>
    <w:rsid w:val="005259EA"/>
    <w:rsid w:val="00525B7F"/>
    <w:rsid w:val="00525C92"/>
    <w:rsid w:val="00526049"/>
    <w:rsid w:val="005264BE"/>
    <w:rsid w:val="005266BF"/>
    <w:rsid w:val="00526974"/>
    <w:rsid w:val="00526D45"/>
    <w:rsid w:val="0052714A"/>
    <w:rsid w:val="00527349"/>
    <w:rsid w:val="0052734A"/>
    <w:rsid w:val="0052758C"/>
    <w:rsid w:val="0052763B"/>
    <w:rsid w:val="0052767D"/>
    <w:rsid w:val="005278F1"/>
    <w:rsid w:val="00527C0C"/>
    <w:rsid w:val="00527E6D"/>
    <w:rsid w:val="00527EEA"/>
    <w:rsid w:val="00530355"/>
    <w:rsid w:val="00530BE6"/>
    <w:rsid w:val="005315DD"/>
    <w:rsid w:val="0053162B"/>
    <w:rsid w:val="0053164D"/>
    <w:rsid w:val="005316C1"/>
    <w:rsid w:val="005318E3"/>
    <w:rsid w:val="005319CE"/>
    <w:rsid w:val="00531CBB"/>
    <w:rsid w:val="00531E4C"/>
    <w:rsid w:val="00531F63"/>
    <w:rsid w:val="00532136"/>
    <w:rsid w:val="00532421"/>
    <w:rsid w:val="0053252C"/>
    <w:rsid w:val="00533213"/>
    <w:rsid w:val="00533278"/>
    <w:rsid w:val="005333E8"/>
    <w:rsid w:val="00533665"/>
    <w:rsid w:val="00533C1C"/>
    <w:rsid w:val="00534511"/>
    <w:rsid w:val="005346CF"/>
    <w:rsid w:val="005346F2"/>
    <w:rsid w:val="0053499D"/>
    <w:rsid w:val="00534F99"/>
    <w:rsid w:val="00535537"/>
    <w:rsid w:val="005359E0"/>
    <w:rsid w:val="00535BC7"/>
    <w:rsid w:val="00535CF3"/>
    <w:rsid w:val="00535FBC"/>
    <w:rsid w:val="0053625D"/>
    <w:rsid w:val="005362C6"/>
    <w:rsid w:val="0053637F"/>
    <w:rsid w:val="00536766"/>
    <w:rsid w:val="00536812"/>
    <w:rsid w:val="00536908"/>
    <w:rsid w:val="00536BEC"/>
    <w:rsid w:val="005371C8"/>
    <w:rsid w:val="00537597"/>
    <w:rsid w:val="00537663"/>
    <w:rsid w:val="00537907"/>
    <w:rsid w:val="00537D20"/>
    <w:rsid w:val="00537F0B"/>
    <w:rsid w:val="00537F9C"/>
    <w:rsid w:val="0054028E"/>
    <w:rsid w:val="00540440"/>
    <w:rsid w:val="00540B6F"/>
    <w:rsid w:val="00540E5C"/>
    <w:rsid w:val="00540EB4"/>
    <w:rsid w:val="005414F1"/>
    <w:rsid w:val="005415DE"/>
    <w:rsid w:val="0054164D"/>
    <w:rsid w:val="005416C7"/>
    <w:rsid w:val="0054220B"/>
    <w:rsid w:val="00542917"/>
    <w:rsid w:val="0054389E"/>
    <w:rsid w:val="00543B39"/>
    <w:rsid w:val="00543B42"/>
    <w:rsid w:val="00543E33"/>
    <w:rsid w:val="00544247"/>
    <w:rsid w:val="00544A07"/>
    <w:rsid w:val="00544FBB"/>
    <w:rsid w:val="00546210"/>
    <w:rsid w:val="00546B10"/>
    <w:rsid w:val="00546FD2"/>
    <w:rsid w:val="005471A4"/>
    <w:rsid w:val="00547351"/>
    <w:rsid w:val="0054745F"/>
    <w:rsid w:val="00547EEB"/>
    <w:rsid w:val="00550945"/>
    <w:rsid w:val="005511A3"/>
    <w:rsid w:val="00551338"/>
    <w:rsid w:val="0055178C"/>
    <w:rsid w:val="00551E6C"/>
    <w:rsid w:val="00551FAA"/>
    <w:rsid w:val="00552C95"/>
    <w:rsid w:val="00552D7C"/>
    <w:rsid w:val="00553554"/>
    <w:rsid w:val="00553845"/>
    <w:rsid w:val="00553D06"/>
    <w:rsid w:val="005546B7"/>
    <w:rsid w:val="00554946"/>
    <w:rsid w:val="00554A2D"/>
    <w:rsid w:val="00554F51"/>
    <w:rsid w:val="00554F9A"/>
    <w:rsid w:val="00554FCA"/>
    <w:rsid w:val="005551E4"/>
    <w:rsid w:val="0055535B"/>
    <w:rsid w:val="005554A5"/>
    <w:rsid w:val="0055577F"/>
    <w:rsid w:val="00555830"/>
    <w:rsid w:val="00555A54"/>
    <w:rsid w:val="005560CE"/>
    <w:rsid w:val="005567E3"/>
    <w:rsid w:val="00556AC7"/>
    <w:rsid w:val="00556C4A"/>
    <w:rsid w:val="005578E9"/>
    <w:rsid w:val="005579CB"/>
    <w:rsid w:val="00557C74"/>
    <w:rsid w:val="00557CD2"/>
    <w:rsid w:val="0056007F"/>
    <w:rsid w:val="00560332"/>
    <w:rsid w:val="005604E7"/>
    <w:rsid w:val="00560B2B"/>
    <w:rsid w:val="00560FA3"/>
    <w:rsid w:val="00561583"/>
    <w:rsid w:val="00561596"/>
    <w:rsid w:val="005616F8"/>
    <w:rsid w:val="00561802"/>
    <w:rsid w:val="005618E3"/>
    <w:rsid w:val="00561A0C"/>
    <w:rsid w:val="00561A6F"/>
    <w:rsid w:val="005621E9"/>
    <w:rsid w:val="00562239"/>
    <w:rsid w:val="005623CB"/>
    <w:rsid w:val="005644D0"/>
    <w:rsid w:val="005645BC"/>
    <w:rsid w:val="00564BAC"/>
    <w:rsid w:val="00564FB5"/>
    <w:rsid w:val="005651ED"/>
    <w:rsid w:val="0056536B"/>
    <w:rsid w:val="005653FC"/>
    <w:rsid w:val="00565787"/>
    <w:rsid w:val="00565856"/>
    <w:rsid w:val="005658E7"/>
    <w:rsid w:val="00565BF1"/>
    <w:rsid w:val="005660FF"/>
    <w:rsid w:val="00566149"/>
    <w:rsid w:val="0056639C"/>
    <w:rsid w:val="005668A3"/>
    <w:rsid w:val="00566A18"/>
    <w:rsid w:val="00566B7E"/>
    <w:rsid w:val="00566E12"/>
    <w:rsid w:val="00566ECC"/>
    <w:rsid w:val="00567115"/>
    <w:rsid w:val="00567315"/>
    <w:rsid w:val="0056738F"/>
    <w:rsid w:val="005675A3"/>
    <w:rsid w:val="005675ED"/>
    <w:rsid w:val="005677E1"/>
    <w:rsid w:val="005678B3"/>
    <w:rsid w:val="00570092"/>
    <w:rsid w:val="0057056A"/>
    <w:rsid w:val="00570686"/>
    <w:rsid w:val="00570719"/>
    <w:rsid w:val="005709EE"/>
    <w:rsid w:val="00570A7A"/>
    <w:rsid w:val="00570C7B"/>
    <w:rsid w:val="00570DC2"/>
    <w:rsid w:val="00570EFE"/>
    <w:rsid w:val="0057102B"/>
    <w:rsid w:val="005716FA"/>
    <w:rsid w:val="00571738"/>
    <w:rsid w:val="00571B1B"/>
    <w:rsid w:val="0057203F"/>
    <w:rsid w:val="005727EC"/>
    <w:rsid w:val="005727F5"/>
    <w:rsid w:val="005729CC"/>
    <w:rsid w:val="00573241"/>
    <w:rsid w:val="00573701"/>
    <w:rsid w:val="00573B2A"/>
    <w:rsid w:val="00573B87"/>
    <w:rsid w:val="00573BA4"/>
    <w:rsid w:val="00573D67"/>
    <w:rsid w:val="00573D8B"/>
    <w:rsid w:val="005748B6"/>
    <w:rsid w:val="00574914"/>
    <w:rsid w:val="00574AD7"/>
    <w:rsid w:val="00574CE6"/>
    <w:rsid w:val="00574EBB"/>
    <w:rsid w:val="00575141"/>
    <w:rsid w:val="005754F3"/>
    <w:rsid w:val="00575534"/>
    <w:rsid w:val="00575723"/>
    <w:rsid w:val="005759D2"/>
    <w:rsid w:val="00575BB4"/>
    <w:rsid w:val="00575F3E"/>
    <w:rsid w:val="00575FD6"/>
    <w:rsid w:val="005764A0"/>
    <w:rsid w:val="005764E2"/>
    <w:rsid w:val="00576CBF"/>
    <w:rsid w:val="00576D63"/>
    <w:rsid w:val="00576EE8"/>
    <w:rsid w:val="0057700C"/>
    <w:rsid w:val="005771DC"/>
    <w:rsid w:val="00577381"/>
    <w:rsid w:val="00577516"/>
    <w:rsid w:val="00577590"/>
    <w:rsid w:val="00577768"/>
    <w:rsid w:val="00577C9A"/>
    <w:rsid w:val="00577EA9"/>
    <w:rsid w:val="00577F0F"/>
    <w:rsid w:val="00577F2F"/>
    <w:rsid w:val="00577FC7"/>
    <w:rsid w:val="00580800"/>
    <w:rsid w:val="00580948"/>
    <w:rsid w:val="00580D1C"/>
    <w:rsid w:val="00580F28"/>
    <w:rsid w:val="00582048"/>
    <w:rsid w:val="0058207C"/>
    <w:rsid w:val="005826C6"/>
    <w:rsid w:val="0058298F"/>
    <w:rsid w:val="00582D58"/>
    <w:rsid w:val="00582DB4"/>
    <w:rsid w:val="00583B5F"/>
    <w:rsid w:val="00584640"/>
    <w:rsid w:val="00584DDD"/>
    <w:rsid w:val="00585002"/>
    <w:rsid w:val="005850BA"/>
    <w:rsid w:val="00585238"/>
    <w:rsid w:val="005853AB"/>
    <w:rsid w:val="005857C3"/>
    <w:rsid w:val="00585A79"/>
    <w:rsid w:val="00585AB8"/>
    <w:rsid w:val="00585C53"/>
    <w:rsid w:val="0058624A"/>
    <w:rsid w:val="005862B4"/>
    <w:rsid w:val="0058638F"/>
    <w:rsid w:val="005863AD"/>
    <w:rsid w:val="005866E0"/>
    <w:rsid w:val="00586A86"/>
    <w:rsid w:val="00586D0D"/>
    <w:rsid w:val="0058769A"/>
    <w:rsid w:val="0058785D"/>
    <w:rsid w:val="00587F75"/>
    <w:rsid w:val="0059019A"/>
    <w:rsid w:val="0059039E"/>
    <w:rsid w:val="0059065D"/>
    <w:rsid w:val="00590B91"/>
    <w:rsid w:val="00590D93"/>
    <w:rsid w:val="00590D97"/>
    <w:rsid w:val="00591384"/>
    <w:rsid w:val="005915C9"/>
    <w:rsid w:val="00591663"/>
    <w:rsid w:val="00591ACB"/>
    <w:rsid w:val="00591ECE"/>
    <w:rsid w:val="005922D5"/>
    <w:rsid w:val="00592534"/>
    <w:rsid w:val="00592561"/>
    <w:rsid w:val="00592719"/>
    <w:rsid w:val="005933B0"/>
    <w:rsid w:val="005934CB"/>
    <w:rsid w:val="005935AB"/>
    <w:rsid w:val="005936C2"/>
    <w:rsid w:val="00593731"/>
    <w:rsid w:val="005937F0"/>
    <w:rsid w:val="00593BDF"/>
    <w:rsid w:val="005943FA"/>
    <w:rsid w:val="00594A7F"/>
    <w:rsid w:val="00594B1B"/>
    <w:rsid w:val="00595507"/>
    <w:rsid w:val="0059597C"/>
    <w:rsid w:val="005959A1"/>
    <w:rsid w:val="005959BF"/>
    <w:rsid w:val="00595D07"/>
    <w:rsid w:val="005965AB"/>
    <w:rsid w:val="005966A9"/>
    <w:rsid w:val="0059671D"/>
    <w:rsid w:val="00596A9E"/>
    <w:rsid w:val="00596B27"/>
    <w:rsid w:val="00596C0B"/>
    <w:rsid w:val="00596E67"/>
    <w:rsid w:val="00596ECE"/>
    <w:rsid w:val="0059712D"/>
    <w:rsid w:val="00597353"/>
    <w:rsid w:val="00597429"/>
    <w:rsid w:val="00597714"/>
    <w:rsid w:val="00597802"/>
    <w:rsid w:val="005978B0"/>
    <w:rsid w:val="005A0018"/>
    <w:rsid w:val="005A0528"/>
    <w:rsid w:val="005A0B2D"/>
    <w:rsid w:val="005A104B"/>
    <w:rsid w:val="005A128D"/>
    <w:rsid w:val="005A13E2"/>
    <w:rsid w:val="005A1576"/>
    <w:rsid w:val="005A163F"/>
    <w:rsid w:val="005A1AEF"/>
    <w:rsid w:val="005A21FE"/>
    <w:rsid w:val="005A23D0"/>
    <w:rsid w:val="005A24FA"/>
    <w:rsid w:val="005A270E"/>
    <w:rsid w:val="005A2B35"/>
    <w:rsid w:val="005A2E6E"/>
    <w:rsid w:val="005A307C"/>
    <w:rsid w:val="005A34D6"/>
    <w:rsid w:val="005A3509"/>
    <w:rsid w:val="005A3545"/>
    <w:rsid w:val="005A3AD7"/>
    <w:rsid w:val="005A41BF"/>
    <w:rsid w:val="005A427C"/>
    <w:rsid w:val="005A447F"/>
    <w:rsid w:val="005A4AB8"/>
    <w:rsid w:val="005A4B4A"/>
    <w:rsid w:val="005A4D1B"/>
    <w:rsid w:val="005A4DB6"/>
    <w:rsid w:val="005A4EB8"/>
    <w:rsid w:val="005A53DF"/>
    <w:rsid w:val="005A62E4"/>
    <w:rsid w:val="005A65B5"/>
    <w:rsid w:val="005A6B93"/>
    <w:rsid w:val="005A6CC2"/>
    <w:rsid w:val="005A6D78"/>
    <w:rsid w:val="005A6DE6"/>
    <w:rsid w:val="005A722F"/>
    <w:rsid w:val="005A73F3"/>
    <w:rsid w:val="005A74F4"/>
    <w:rsid w:val="005A7854"/>
    <w:rsid w:val="005A7B75"/>
    <w:rsid w:val="005B044E"/>
    <w:rsid w:val="005B05A2"/>
    <w:rsid w:val="005B0EC2"/>
    <w:rsid w:val="005B16EE"/>
    <w:rsid w:val="005B1809"/>
    <w:rsid w:val="005B1F28"/>
    <w:rsid w:val="005B1FAA"/>
    <w:rsid w:val="005B2016"/>
    <w:rsid w:val="005B2525"/>
    <w:rsid w:val="005B2B03"/>
    <w:rsid w:val="005B2CEA"/>
    <w:rsid w:val="005B2D8A"/>
    <w:rsid w:val="005B2DEE"/>
    <w:rsid w:val="005B37B7"/>
    <w:rsid w:val="005B3832"/>
    <w:rsid w:val="005B3AB1"/>
    <w:rsid w:val="005B41C2"/>
    <w:rsid w:val="005B435B"/>
    <w:rsid w:val="005B459C"/>
    <w:rsid w:val="005B46B5"/>
    <w:rsid w:val="005B4AE4"/>
    <w:rsid w:val="005B4B64"/>
    <w:rsid w:val="005B5138"/>
    <w:rsid w:val="005B53CD"/>
    <w:rsid w:val="005B5B22"/>
    <w:rsid w:val="005B5CAA"/>
    <w:rsid w:val="005B696E"/>
    <w:rsid w:val="005B6AEB"/>
    <w:rsid w:val="005B6DFA"/>
    <w:rsid w:val="005B6FCD"/>
    <w:rsid w:val="005B6FDB"/>
    <w:rsid w:val="005B7110"/>
    <w:rsid w:val="005B71E0"/>
    <w:rsid w:val="005B76A0"/>
    <w:rsid w:val="005B7BF1"/>
    <w:rsid w:val="005B7C11"/>
    <w:rsid w:val="005C0D21"/>
    <w:rsid w:val="005C0F7C"/>
    <w:rsid w:val="005C0FEE"/>
    <w:rsid w:val="005C12F7"/>
    <w:rsid w:val="005C16AC"/>
    <w:rsid w:val="005C16EC"/>
    <w:rsid w:val="005C1797"/>
    <w:rsid w:val="005C1A7F"/>
    <w:rsid w:val="005C1C92"/>
    <w:rsid w:val="005C1E1F"/>
    <w:rsid w:val="005C1EEE"/>
    <w:rsid w:val="005C1FB6"/>
    <w:rsid w:val="005C204F"/>
    <w:rsid w:val="005C2100"/>
    <w:rsid w:val="005C2102"/>
    <w:rsid w:val="005C2983"/>
    <w:rsid w:val="005C2BBD"/>
    <w:rsid w:val="005C30DE"/>
    <w:rsid w:val="005C338E"/>
    <w:rsid w:val="005C33B7"/>
    <w:rsid w:val="005C3489"/>
    <w:rsid w:val="005C37FB"/>
    <w:rsid w:val="005C3884"/>
    <w:rsid w:val="005C39A5"/>
    <w:rsid w:val="005C3B53"/>
    <w:rsid w:val="005C3B7C"/>
    <w:rsid w:val="005C3C3D"/>
    <w:rsid w:val="005C4228"/>
    <w:rsid w:val="005C448A"/>
    <w:rsid w:val="005C4495"/>
    <w:rsid w:val="005C44B3"/>
    <w:rsid w:val="005C4855"/>
    <w:rsid w:val="005C4992"/>
    <w:rsid w:val="005C4B9E"/>
    <w:rsid w:val="005C54BB"/>
    <w:rsid w:val="005C64AD"/>
    <w:rsid w:val="005C656F"/>
    <w:rsid w:val="005C6794"/>
    <w:rsid w:val="005C67FC"/>
    <w:rsid w:val="005C6CF6"/>
    <w:rsid w:val="005C7253"/>
    <w:rsid w:val="005C7417"/>
    <w:rsid w:val="005C75E6"/>
    <w:rsid w:val="005C75FC"/>
    <w:rsid w:val="005C7A10"/>
    <w:rsid w:val="005C7A8F"/>
    <w:rsid w:val="005C7ACE"/>
    <w:rsid w:val="005C7B2F"/>
    <w:rsid w:val="005C7B5B"/>
    <w:rsid w:val="005D03AC"/>
    <w:rsid w:val="005D0406"/>
    <w:rsid w:val="005D0AB9"/>
    <w:rsid w:val="005D111E"/>
    <w:rsid w:val="005D1288"/>
    <w:rsid w:val="005D12CE"/>
    <w:rsid w:val="005D1842"/>
    <w:rsid w:val="005D18B2"/>
    <w:rsid w:val="005D1C53"/>
    <w:rsid w:val="005D1F6D"/>
    <w:rsid w:val="005D20B3"/>
    <w:rsid w:val="005D21C1"/>
    <w:rsid w:val="005D2561"/>
    <w:rsid w:val="005D2803"/>
    <w:rsid w:val="005D2B16"/>
    <w:rsid w:val="005D2BD7"/>
    <w:rsid w:val="005D322A"/>
    <w:rsid w:val="005D3845"/>
    <w:rsid w:val="005D3A7B"/>
    <w:rsid w:val="005D3B24"/>
    <w:rsid w:val="005D3DEE"/>
    <w:rsid w:val="005D3F86"/>
    <w:rsid w:val="005D405C"/>
    <w:rsid w:val="005D4E3A"/>
    <w:rsid w:val="005D576D"/>
    <w:rsid w:val="005D5937"/>
    <w:rsid w:val="005D5F27"/>
    <w:rsid w:val="005D6105"/>
    <w:rsid w:val="005D6614"/>
    <w:rsid w:val="005D66D8"/>
    <w:rsid w:val="005D6835"/>
    <w:rsid w:val="005D689E"/>
    <w:rsid w:val="005D6AEF"/>
    <w:rsid w:val="005D75C0"/>
    <w:rsid w:val="005D76B8"/>
    <w:rsid w:val="005E0024"/>
    <w:rsid w:val="005E0279"/>
    <w:rsid w:val="005E052A"/>
    <w:rsid w:val="005E0AE1"/>
    <w:rsid w:val="005E0E29"/>
    <w:rsid w:val="005E0E53"/>
    <w:rsid w:val="005E0F49"/>
    <w:rsid w:val="005E0FEE"/>
    <w:rsid w:val="005E1110"/>
    <w:rsid w:val="005E11DE"/>
    <w:rsid w:val="005E13F6"/>
    <w:rsid w:val="005E1901"/>
    <w:rsid w:val="005E1A80"/>
    <w:rsid w:val="005E1AC4"/>
    <w:rsid w:val="005E1C7B"/>
    <w:rsid w:val="005E21BB"/>
    <w:rsid w:val="005E239D"/>
    <w:rsid w:val="005E2426"/>
    <w:rsid w:val="005E2719"/>
    <w:rsid w:val="005E27AD"/>
    <w:rsid w:val="005E3A3C"/>
    <w:rsid w:val="005E3EE8"/>
    <w:rsid w:val="005E4095"/>
    <w:rsid w:val="005E4A64"/>
    <w:rsid w:val="005E4B2A"/>
    <w:rsid w:val="005E4DCD"/>
    <w:rsid w:val="005E5327"/>
    <w:rsid w:val="005E57C6"/>
    <w:rsid w:val="005E581C"/>
    <w:rsid w:val="005E5C31"/>
    <w:rsid w:val="005E5F5E"/>
    <w:rsid w:val="005E628A"/>
    <w:rsid w:val="005E688A"/>
    <w:rsid w:val="005E75C1"/>
    <w:rsid w:val="005E785B"/>
    <w:rsid w:val="005E787F"/>
    <w:rsid w:val="005E7B27"/>
    <w:rsid w:val="005E7D0F"/>
    <w:rsid w:val="005E7E1D"/>
    <w:rsid w:val="005E7E94"/>
    <w:rsid w:val="005F01C3"/>
    <w:rsid w:val="005F0450"/>
    <w:rsid w:val="005F0551"/>
    <w:rsid w:val="005F09FF"/>
    <w:rsid w:val="005F0B8A"/>
    <w:rsid w:val="005F126B"/>
    <w:rsid w:val="005F129D"/>
    <w:rsid w:val="005F195F"/>
    <w:rsid w:val="005F198E"/>
    <w:rsid w:val="005F1B6C"/>
    <w:rsid w:val="005F1BE3"/>
    <w:rsid w:val="005F1F62"/>
    <w:rsid w:val="005F2046"/>
    <w:rsid w:val="005F265E"/>
    <w:rsid w:val="005F276D"/>
    <w:rsid w:val="005F2BA7"/>
    <w:rsid w:val="005F2BE8"/>
    <w:rsid w:val="005F2C06"/>
    <w:rsid w:val="005F2C15"/>
    <w:rsid w:val="005F2C6E"/>
    <w:rsid w:val="005F2CFB"/>
    <w:rsid w:val="005F3286"/>
    <w:rsid w:val="005F32C2"/>
    <w:rsid w:val="005F3AD9"/>
    <w:rsid w:val="005F3D14"/>
    <w:rsid w:val="005F3D5D"/>
    <w:rsid w:val="005F3F92"/>
    <w:rsid w:val="005F47D9"/>
    <w:rsid w:val="005F48E2"/>
    <w:rsid w:val="005F4B03"/>
    <w:rsid w:val="005F4B66"/>
    <w:rsid w:val="005F4DDC"/>
    <w:rsid w:val="005F4E23"/>
    <w:rsid w:val="005F4E48"/>
    <w:rsid w:val="005F4E8C"/>
    <w:rsid w:val="005F559A"/>
    <w:rsid w:val="005F562E"/>
    <w:rsid w:val="005F56F5"/>
    <w:rsid w:val="005F5B92"/>
    <w:rsid w:val="005F5C93"/>
    <w:rsid w:val="005F5EAD"/>
    <w:rsid w:val="005F63B1"/>
    <w:rsid w:val="005F640F"/>
    <w:rsid w:val="005F6B59"/>
    <w:rsid w:val="005F6D11"/>
    <w:rsid w:val="005F6E00"/>
    <w:rsid w:val="005F70D9"/>
    <w:rsid w:val="005F7413"/>
    <w:rsid w:val="005F768A"/>
    <w:rsid w:val="005F770A"/>
    <w:rsid w:val="005F772D"/>
    <w:rsid w:val="005F7C25"/>
    <w:rsid w:val="005F7E4B"/>
    <w:rsid w:val="00600007"/>
    <w:rsid w:val="006003F8"/>
    <w:rsid w:val="006004EB"/>
    <w:rsid w:val="00600AF3"/>
    <w:rsid w:val="00600F9C"/>
    <w:rsid w:val="00601181"/>
    <w:rsid w:val="006018B3"/>
    <w:rsid w:val="00601902"/>
    <w:rsid w:val="0060191D"/>
    <w:rsid w:val="00601AE6"/>
    <w:rsid w:val="00601E5B"/>
    <w:rsid w:val="00602118"/>
    <w:rsid w:val="00602226"/>
    <w:rsid w:val="006024A1"/>
    <w:rsid w:val="00602748"/>
    <w:rsid w:val="00602A5C"/>
    <w:rsid w:val="00602B4B"/>
    <w:rsid w:val="00602D99"/>
    <w:rsid w:val="006033AE"/>
    <w:rsid w:val="0060367B"/>
    <w:rsid w:val="0060382D"/>
    <w:rsid w:val="00603AFF"/>
    <w:rsid w:val="00603C78"/>
    <w:rsid w:val="00603E57"/>
    <w:rsid w:val="00603FCF"/>
    <w:rsid w:val="00604117"/>
    <w:rsid w:val="0060442A"/>
    <w:rsid w:val="00604A85"/>
    <w:rsid w:val="00604BB8"/>
    <w:rsid w:val="00604D43"/>
    <w:rsid w:val="0060529E"/>
    <w:rsid w:val="0060590C"/>
    <w:rsid w:val="00605947"/>
    <w:rsid w:val="00605A7A"/>
    <w:rsid w:val="0060619E"/>
    <w:rsid w:val="006066BB"/>
    <w:rsid w:val="00606A99"/>
    <w:rsid w:val="00606AA0"/>
    <w:rsid w:val="00606BF0"/>
    <w:rsid w:val="00606C4A"/>
    <w:rsid w:val="00606D58"/>
    <w:rsid w:val="006073A8"/>
    <w:rsid w:val="006076CA"/>
    <w:rsid w:val="00607C4B"/>
    <w:rsid w:val="006103DD"/>
    <w:rsid w:val="006103F2"/>
    <w:rsid w:val="006106B0"/>
    <w:rsid w:val="00610DF9"/>
    <w:rsid w:val="006115A5"/>
    <w:rsid w:val="00611D36"/>
    <w:rsid w:val="00612003"/>
    <w:rsid w:val="00612109"/>
    <w:rsid w:val="0061217E"/>
    <w:rsid w:val="0061258E"/>
    <w:rsid w:val="0061259B"/>
    <w:rsid w:val="006135D7"/>
    <w:rsid w:val="006137FE"/>
    <w:rsid w:val="00613DA9"/>
    <w:rsid w:val="00614263"/>
    <w:rsid w:val="0061436E"/>
    <w:rsid w:val="006147FB"/>
    <w:rsid w:val="006148D1"/>
    <w:rsid w:val="00614BB5"/>
    <w:rsid w:val="00614C26"/>
    <w:rsid w:val="00614C90"/>
    <w:rsid w:val="00614F8D"/>
    <w:rsid w:val="00615172"/>
    <w:rsid w:val="006155A3"/>
    <w:rsid w:val="006155C1"/>
    <w:rsid w:val="00615879"/>
    <w:rsid w:val="0061587F"/>
    <w:rsid w:val="00615976"/>
    <w:rsid w:val="006161D8"/>
    <w:rsid w:val="00616853"/>
    <w:rsid w:val="00616A89"/>
    <w:rsid w:val="00617287"/>
    <w:rsid w:val="0061778C"/>
    <w:rsid w:val="006179DD"/>
    <w:rsid w:val="00617EFB"/>
    <w:rsid w:val="0062019C"/>
    <w:rsid w:val="006203FF"/>
    <w:rsid w:val="006205B9"/>
    <w:rsid w:val="0062079C"/>
    <w:rsid w:val="006207D6"/>
    <w:rsid w:val="00621373"/>
    <w:rsid w:val="00621400"/>
    <w:rsid w:val="00621889"/>
    <w:rsid w:val="00621D5D"/>
    <w:rsid w:val="00622255"/>
    <w:rsid w:val="006222C6"/>
    <w:rsid w:val="006228CE"/>
    <w:rsid w:val="00622974"/>
    <w:rsid w:val="00622BAA"/>
    <w:rsid w:val="006231C0"/>
    <w:rsid w:val="006232E2"/>
    <w:rsid w:val="006237F6"/>
    <w:rsid w:val="00623A00"/>
    <w:rsid w:val="006241CC"/>
    <w:rsid w:val="0062437B"/>
    <w:rsid w:val="00624736"/>
    <w:rsid w:val="00624D3C"/>
    <w:rsid w:val="00624E1C"/>
    <w:rsid w:val="0062546E"/>
    <w:rsid w:val="006254A8"/>
    <w:rsid w:val="00626242"/>
    <w:rsid w:val="0062637E"/>
    <w:rsid w:val="00626478"/>
    <w:rsid w:val="006264EC"/>
    <w:rsid w:val="0062692B"/>
    <w:rsid w:val="00626BC1"/>
    <w:rsid w:val="0062720E"/>
    <w:rsid w:val="006302CB"/>
    <w:rsid w:val="006310A8"/>
    <w:rsid w:val="00631705"/>
    <w:rsid w:val="0063171C"/>
    <w:rsid w:val="00631C42"/>
    <w:rsid w:val="00632B45"/>
    <w:rsid w:val="00632C70"/>
    <w:rsid w:val="00632C96"/>
    <w:rsid w:val="00632DDF"/>
    <w:rsid w:val="006334DA"/>
    <w:rsid w:val="00633676"/>
    <w:rsid w:val="006338B4"/>
    <w:rsid w:val="00633AD5"/>
    <w:rsid w:val="00633C18"/>
    <w:rsid w:val="00633D7A"/>
    <w:rsid w:val="00634080"/>
    <w:rsid w:val="006347A5"/>
    <w:rsid w:val="00634A24"/>
    <w:rsid w:val="00634E15"/>
    <w:rsid w:val="0063500A"/>
    <w:rsid w:val="0063517B"/>
    <w:rsid w:val="006351A6"/>
    <w:rsid w:val="006355F0"/>
    <w:rsid w:val="00635698"/>
    <w:rsid w:val="006358A7"/>
    <w:rsid w:val="00635BA9"/>
    <w:rsid w:val="00635C63"/>
    <w:rsid w:val="00635D6A"/>
    <w:rsid w:val="00636054"/>
    <w:rsid w:val="00636355"/>
    <w:rsid w:val="00636419"/>
    <w:rsid w:val="00636919"/>
    <w:rsid w:val="00637320"/>
    <w:rsid w:val="00637531"/>
    <w:rsid w:val="00637535"/>
    <w:rsid w:val="006378BC"/>
    <w:rsid w:val="0063794C"/>
    <w:rsid w:val="0064000E"/>
    <w:rsid w:val="00640305"/>
    <w:rsid w:val="00640343"/>
    <w:rsid w:val="0064070C"/>
    <w:rsid w:val="00640865"/>
    <w:rsid w:val="006408CD"/>
    <w:rsid w:val="00640A55"/>
    <w:rsid w:val="006414D1"/>
    <w:rsid w:val="00641670"/>
    <w:rsid w:val="006416BE"/>
    <w:rsid w:val="006416BF"/>
    <w:rsid w:val="0064173D"/>
    <w:rsid w:val="00641A50"/>
    <w:rsid w:val="00641BA2"/>
    <w:rsid w:val="00641FBC"/>
    <w:rsid w:val="006423F1"/>
    <w:rsid w:val="00642725"/>
    <w:rsid w:val="006428B8"/>
    <w:rsid w:val="006428DF"/>
    <w:rsid w:val="00642AAD"/>
    <w:rsid w:val="00642D16"/>
    <w:rsid w:val="0064300F"/>
    <w:rsid w:val="00643258"/>
    <w:rsid w:val="006432AE"/>
    <w:rsid w:val="006434BA"/>
    <w:rsid w:val="006437A4"/>
    <w:rsid w:val="00644073"/>
    <w:rsid w:val="006445A7"/>
    <w:rsid w:val="006449EC"/>
    <w:rsid w:val="00644C93"/>
    <w:rsid w:val="00644DEB"/>
    <w:rsid w:val="00645549"/>
    <w:rsid w:val="00645BD3"/>
    <w:rsid w:val="00645CC5"/>
    <w:rsid w:val="00645EB1"/>
    <w:rsid w:val="00646076"/>
    <w:rsid w:val="006465DE"/>
    <w:rsid w:val="006468F2"/>
    <w:rsid w:val="006469C9"/>
    <w:rsid w:val="00646AE7"/>
    <w:rsid w:val="00646E51"/>
    <w:rsid w:val="006470F2"/>
    <w:rsid w:val="006473F7"/>
    <w:rsid w:val="006478E7"/>
    <w:rsid w:val="00647BF1"/>
    <w:rsid w:val="00647C0B"/>
    <w:rsid w:val="00647E88"/>
    <w:rsid w:val="00647E94"/>
    <w:rsid w:val="00647EB2"/>
    <w:rsid w:val="00650679"/>
    <w:rsid w:val="00650680"/>
    <w:rsid w:val="006507D0"/>
    <w:rsid w:val="00650856"/>
    <w:rsid w:val="006508D4"/>
    <w:rsid w:val="006509E9"/>
    <w:rsid w:val="00650C57"/>
    <w:rsid w:val="00650CA2"/>
    <w:rsid w:val="00650F9D"/>
    <w:rsid w:val="0065123C"/>
    <w:rsid w:val="0065148D"/>
    <w:rsid w:val="00651A02"/>
    <w:rsid w:val="00651BC4"/>
    <w:rsid w:val="00651D2C"/>
    <w:rsid w:val="00651E90"/>
    <w:rsid w:val="00651FF6"/>
    <w:rsid w:val="0065205D"/>
    <w:rsid w:val="0065207C"/>
    <w:rsid w:val="00652278"/>
    <w:rsid w:val="006523BA"/>
    <w:rsid w:val="00652418"/>
    <w:rsid w:val="00652DF3"/>
    <w:rsid w:val="00652F55"/>
    <w:rsid w:val="006535A4"/>
    <w:rsid w:val="006537C9"/>
    <w:rsid w:val="00653864"/>
    <w:rsid w:val="006538A0"/>
    <w:rsid w:val="0065396D"/>
    <w:rsid w:val="00653B8F"/>
    <w:rsid w:val="00653E8D"/>
    <w:rsid w:val="006542C4"/>
    <w:rsid w:val="00654748"/>
    <w:rsid w:val="00654E12"/>
    <w:rsid w:val="00654F58"/>
    <w:rsid w:val="00654FD7"/>
    <w:rsid w:val="006550AC"/>
    <w:rsid w:val="006550B6"/>
    <w:rsid w:val="00655C20"/>
    <w:rsid w:val="00655CC4"/>
    <w:rsid w:val="00655FE9"/>
    <w:rsid w:val="0065627D"/>
    <w:rsid w:val="0065649C"/>
    <w:rsid w:val="0065656B"/>
    <w:rsid w:val="00656774"/>
    <w:rsid w:val="006569AF"/>
    <w:rsid w:val="0065708F"/>
    <w:rsid w:val="006604D5"/>
    <w:rsid w:val="00660B79"/>
    <w:rsid w:val="00660D39"/>
    <w:rsid w:val="00660F2D"/>
    <w:rsid w:val="00661454"/>
    <w:rsid w:val="006614D3"/>
    <w:rsid w:val="00661531"/>
    <w:rsid w:val="00661C7B"/>
    <w:rsid w:val="00661FA6"/>
    <w:rsid w:val="00661FCE"/>
    <w:rsid w:val="006620F9"/>
    <w:rsid w:val="00662242"/>
    <w:rsid w:val="0066276F"/>
    <w:rsid w:val="00662C50"/>
    <w:rsid w:val="00662CFA"/>
    <w:rsid w:val="00662DC7"/>
    <w:rsid w:val="00662F90"/>
    <w:rsid w:val="00663364"/>
    <w:rsid w:val="006633B1"/>
    <w:rsid w:val="00663799"/>
    <w:rsid w:val="0066385D"/>
    <w:rsid w:val="00663CA1"/>
    <w:rsid w:val="00663E32"/>
    <w:rsid w:val="00663E40"/>
    <w:rsid w:val="00663E8E"/>
    <w:rsid w:val="00663F26"/>
    <w:rsid w:val="0066412D"/>
    <w:rsid w:val="00664578"/>
    <w:rsid w:val="006645A2"/>
    <w:rsid w:val="00664648"/>
    <w:rsid w:val="00664679"/>
    <w:rsid w:val="0066487C"/>
    <w:rsid w:val="00664B2C"/>
    <w:rsid w:val="00664F60"/>
    <w:rsid w:val="006650A5"/>
    <w:rsid w:val="00665930"/>
    <w:rsid w:val="00665B74"/>
    <w:rsid w:val="006662BC"/>
    <w:rsid w:val="00666830"/>
    <w:rsid w:val="00666920"/>
    <w:rsid w:val="00667072"/>
    <w:rsid w:val="00667892"/>
    <w:rsid w:val="00667A27"/>
    <w:rsid w:val="00667BA9"/>
    <w:rsid w:val="00667E9D"/>
    <w:rsid w:val="006700CA"/>
    <w:rsid w:val="00670506"/>
    <w:rsid w:val="00670616"/>
    <w:rsid w:val="00670A33"/>
    <w:rsid w:val="00670EB0"/>
    <w:rsid w:val="00670F70"/>
    <w:rsid w:val="00670FEF"/>
    <w:rsid w:val="0067115D"/>
    <w:rsid w:val="006715D1"/>
    <w:rsid w:val="006717E0"/>
    <w:rsid w:val="006718C4"/>
    <w:rsid w:val="00671965"/>
    <w:rsid w:val="00671BCD"/>
    <w:rsid w:val="006720B2"/>
    <w:rsid w:val="00672218"/>
    <w:rsid w:val="00672331"/>
    <w:rsid w:val="006726A0"/>
    <w:rsid w:val="00672A13"/>
    <w:rsid w:val="00672C60"/>
    <w:rsid w:val="00672EA1"/>
    <w:rsid w:val="006733AA"/>
    <w:rsid w:val="00673460"/>
    <w:rsid w:val="00673D0B"/>
    <w:rsid w:val="0067445A"/>
    <w:rsid w:val="00674A5C"/>
    <w:rsid w:val="00674FA3"/>
    <w:rsid w:val="006753CE"/>
    <w:rsid w:val="00675959"/>
    <w:rsid w:val="00675C2C"/>
    <w:rsid w:val="00675E1A"/>
    <w:rsid w:val="00676541"/>
    <w:rsid w:val="00676698"/>
    <w:rsid w:val="00676892"/>
    <w:rsid w:val="006768F5"/>
    <w:rsid w:val="006769F1"/>
    <w:rsid w:val="00676D3B"/>
    <w:rsid w:val="00676E00"/>
    <w:rsid w:val="006772F5"/>
    <w:rsid w:val="006774E0"/>
    <w:rsid w:val="006776B4"/>
    <w:rsid w:val="00677A5C"/>
    <w:rsid w:val="00677AE3"/>
    <w:rsid w:val="00677C59"/>
    <w:rsid w:val="00677C90"/>
    <w:rsid w:val="006803E7"/>
    <w:rsid w:val="0068057F"/>
    <w:rsid w:val="006805FB"/>
    <w:rsid w:val="00680747"/>
    <w:rsid w:val="00680925"/>
    <w:rsid w:val="00680BFE"/>
    <w:rsid w:val="00681125"/>
    <w:rsid w:val="0068133A"/>
    <w:rsid w:val="00682032"/>
    <w:rsid w:val="006821B6"/>
    <w:rsid w:val="00682588"/>
    <w:rsid w:val="0068283B"/>
    <w:rsid w:val="006828B6"/>
    <w:rsid w:val="00683161"/>
    <w:rsid w:val="00683A29"/>
    <w:rsid w:val="00684181"/>
    <w:rsid w:val="0068447B"/>
    <w:rsid w:val="00684587"/>
    <w:rsid w:val="006845DD"/>
    <w:rsid w:val="00684925"/>
    <w:rsid w:val="00684F3B"/>
    <w:rsid w:val="00684FD4"/>
    <w:rsid w:val="00685355"/>
    <w:rsid w:val="006853A1"/>
    <w:rsid w:val="006855DF"/>
    <w:rsid w:val="0068585B"/>
    <w:rsid w:val="00685AB3"/>
    <w:rsid w:val="00685D19"/>
    <w:rsid w:val="00685DA2"/>
    <w:rsid w:val="00686385"/>
    <w:rsid w:val="00686536"/>
    <w:rsid w:val="006866CF"/>
    <w:rsid w:val="0068689F"/>
    <w:rsid w:val="00686ADA"/>
    <w:rsid w:val="00686EED"/>
    <w:rsid w:val="00687354"/>
    <w:rsid w:val="00687515"/>
    <w:rsid w:val="00687749"/>
    <w:rsid w:val="006879BF"/>
    <w:rsid w:val="006903E8"/>
    <w:rsid w:val="00690B96"/>
    <w:rsid w:val="00690D10"/>
    <w:rsid w:val="00690E8C"/>
    <w:rsid w:val="006916D7"/>
    <w:rsid w:val="0069181B"/>
    <w:rsid w:val="00691A27"/>
    <w:rsid w:val="00691DC2"/>
    <w:rsid w:val="00691E56"/>
    <w:rsid w:val="00691EEE"/>
    <w:rsid w:val="00692259"/>
    <w:rsid w:val="00692556"/>
    <w:rsid w:val="006926AD"/>
    <w:rsid w:val="00692803"/>
    <w:rsid w:val="00692CCC"/>
    <w:rsid w:val="00692F97"/>
    <w:rsid w:val="00693044"/>
    <w:rsid w:val="006933D3"/>
    <w:rsid w:val="0069379A"/>
    <w:rsid w:val="006938DB"/>
    <w:rsid w:val="00693C4F"/>
    <w:rsid w:val="00693D90"/>
    <w:rsid w:val="00693E2B"/>
    <w:rsid w:val="00693EC7"/>
    <w:rsid w:val="00693FD4"/>
    <w:rsid w:val="0069410A"/>
    <w:rsid w:val="00694166"/>
    <w:rsid w:val="0069418B"/>
    <w:rsid w:val="006942E0"/>
    <w:rsid w:val="00694351"/>
    <w:rsid w:val="00694705"/>
    <w:rsid w:val="006948EC"/>
    <w:rsid w:val="006949DB"/>
    <w:rsid w:val="00694FDD"/>
    <w:rsid w:val="006952A6"/>
    <w:rsid w:val="00695339"/>
    <w:rsid w:val="006955A2"/>
    <w:rsid w:val="006956A5"/>
    <w:rsid w:val="00695B95"/>
    <w:rsid w:val="00695D88"/>
    <w:rsid w:val="00696067"/>
    <w:rsid w:val="006961EC"/>
    <w:rsid w:val="006962EC"/>
    <w:rsid w:val="00696850"/>
    <w:rsid w:val="00697163"/>
    <w:rsid w:val="006971C9"/>
    <w:rsid w:val="00697200"/>
    <w:rsid w:val="006974D4"/>
    <w:rsid w:val="0069761F"/>
    <w:rsid w:val="006978AF"/>
    <w:rsid w:val="00697AFC"/>
    <w:rsid w:val="00697E3E"/>
    <w:rsid w:val="00697E9D"/>
    <w:rsid w:val="006A02A4"/>
    <w:rsid w:val="006A07D0"/>
    <w:rsid w:val="006A123D"/>
    <w:rsid w:val="006A1449"/>
    <w:rsid w:val="006A14CF"/>
    <w:rsid w:val="006A16C2"/>
    <w:rsid w:val="006A1BE7"/>
    <w:rsid w:val="006A1D9A"/>
    <w:rsid w:val="006A1DEF"/>
    <w:rsid w:val="006A1F50"/>
    <w:rsid w:val="006A282A"/>
    <w:rsid w:val="006A2A26"/>
    <w:rsid w:val="006A3601"/>
    <w:rsid w:val="006A3A4E"/>
    <w:rsid w:val="006A3A80"/>
    <w:rsid w:val="006A3B00"/>
    <w:rsid w:val="006A43C2"/>
    <w:rsid w:val="006A467F"/>
    <w:rsid w:val="006A481A"/>
    <w:rsid w:val="006A4926"/>
    <w:rsid w:val="006A4F5B"/>
    <w:rsid w:val="006A5497"/>
    <w:rsid w:val="006A5712"/>
    <w:rsid w:val="006A57A6"/>
    <w:rsid w:val="006A59DF"/>
    <w:rsid w:val="006A59F3"/>
    <w:rsid w:val="006A5B5B"/>
    <w:rsid w:val="006A5CC4"/>
    <w:rsid w:val="006A5D64"/>
    <w:rsid w:val="006A5D85"/>
    <w:rsid w:val="006A5FCE"/>
    <w:rsid w:val="006A6380"/>
    <w:rsid w:val="006A6554"/>
    <w:rsid w:val="006A6794"/>
    <w:rsid w:val="006A6868"/>
    <w:rsid w:val="006A6CFD"/>
    <w:rsid w:val="006A6D1A"/>
    <w:rsid w:val="006A7166"/>
    <w:rsid w:val="006A7178"/>
    <w:rsid w:val="006A72DF"/>
    <w:rsid w:val="006A73A2"/>
    <w:rsid w:val="006A78C5"/>
    <w:rsid w:val="006A79BA"/>
    <w:rsid w:val="006A79FB"/>
    <w:rsid w:val="006A7A46"/>
    <w:rsid w:val="006A7AEA"/>
    <w:rsid w:val="006A7F5E"/>
    <w:rsid w:val="006B0444"/>
    <w:rsid w:val="006B055E"/>
    <w:rsid w:val="006B073D"/>
    <w:rsid w:val="006B1176"/>
    <w:rsid w:val="006B1198"/>
    <w:rsid w:val="006B13A7"/>
    <w:rsid w:val="006B14D6"/>
    <w:rsid w:val="006B1C5A"/>
    <w:rsid w:val="006B1C89"/>
    <w:rsid w:val="006B1E79"/>
    <w:rsid w:val="006B1EA1"/>
    <w:rsid w:val="006B20BB"/>
    <w:rsid w:val="006B22A9"/>
    <w:rsid w:val="006B2312"/>
    <w:rsid w:val="006B266B"/>
    <w:rsid w:val="006B28E4"/>
    <w:rsid w:val="006B2C3C"/>
    <w:rsid w:val="006B2C69"/>
    <w:rsid w:val="006B377D"/>
    <w:rsid w:val="006B420D"/>
    <w:rsid w:val="006B4B22"/>
    <w:rsid w:val="006B4F13"/>
    <w:rsid w:val="006B4F66"/>
    <w:rsid w:val="006B53F5"/>
    <w:rsid w:val="006B5915"/>
    <w:rsid w:val="006B60F0"/>
    <w:rsid w:val="006B6B87"/>
    <w:rsid w:val="006B6E21"/>
    <w:rsid w:val="006B6EED"/>
    <w:rsid w:val="006B708D"/>
    <w:rsid w:val="006B7481"/>
    <w:rsid w:val="006B7893"/>
    <w:rsid w:val="006C0259"/>
    <w:rsid w:val="006C028F"/>
    <w:rsid w:val="006C0352"/>
    <w:rsid w:val="006C0668"/>
    <w:rsid w:val="006C0691"/>
    <w:rsid w:val="006C1181"/>
    <w:rsid w:val="006C119E"/>
    <w:rsid w:val="006C19CF"/>
    <w:rsid w:val="006C1E92"/>
    <w:rsid w:val="006C2206"/>
    <w:rsid w:val="006C247F"/>
    <w:rsid w:val="006C24CE"/>
    <w:rsid w:val="006C24D7"/>
    <w:rsid w:val="006C271C"/>
    <w:rsid w:val="006C28DA"/>
    <w:rsid w:val="006C2CEE"/>
    <w:rsid w:val="006C2D00"/>
    <w:rsid w:val="006C2F9C"/>
    <w:rsid w:val="006C2FA8"/>
    <w:rsid w:val="006C2FB2"/>
    <w:rsid w:val="006C3190"/>
    <w:rsid w:val="006C325D"/>
    <w:rsid w:val="006C3497"/>
    <w:rsid w:val="006C34CB"/>
    <w:rsid w:val="006C386B"/>
    <w:rsid w:val="006C38F3"/>
    <w:rsid w:val="006C3983"/>
    <w:rsid w:val="006C3A7E"/>
    <w:rsid w:val="006C3A93"/>
    <w:rsid w:val="006C3BCC"/>
    <w:rsid w:val="006C3DAF"/>
    <w:rsid w:val="006C42C8"/>
    <w:rsid w:val="006C4A81"/>
    <w:rsid w:val="006C4B96"/>
    <w:rsid w:val="006C4E9A"/>
    <w:rsid w:val="006C51C0"/>
    <w:rsid w:val="006C5993"/>
    <w:rsid w:val="006C5B8C"/>
    <w:rsid w:val="006C5D48"/>
    <w:rsid w:val="006C5EFC"/>
    <w:rsid w:val="006C6624"/>
    <w:rsid w:val="006C6816"/>
    <w:rsid w:val="006C6AE3"/>
    <w:rsid w:val="006C6BEC"/>
    <w:rsid w:val="006C6D0F"/>
    <w:rsid w:val="006C7380"/>
    <w:rsid w:val="006C75D3"/>
    <w:rsid w:val="006C76CD"/>
    <w:rsid w:val="006D00D5"/>
    <w:rsid w:val="006D0156"/>
    <w:rsid w:val="006D02D6"/>
    <w:rsid w:val="006D03B5"/>
    <w:rsid w:val="006D051F"/>
    <w:rsid w:val="006D08C1"/>
    <w:rsid w:val="006D1823"/>
    <w:rsid w:val="006D1C87"/>
    <w:rsid w:val="006D1C95"/>
    <w:rsid w:val="006D2337"/>
    <w:rsid w:val="006D2535"/>
    <w:rsid w:val="006D264B"/>
    <w:rsid w:val="006D31C5"/>
    <w:rsid w:val="006D31E3"/>
    <w:rsid w:val="006D325A"/>
    <w:rsid w:val="006D3477"/>
    <w:rsid w:val="006D347D"/>
    <w:rsid w:val="006D349E"/>
    <w:rsid w:val="006D3756"/>
    <w:rsid w:val="006D3FCE"/>
    <w:rsid w:val="006D43F8"/>
    <w:rsid w:val="006D4A43"/>
    <w:rsid w:val="006D4ACA"/>
    <w:rsid w:val="006D4B99"/>
    <w:rsid w:val="006D4EF3"/>
    <w:rsid w:val="006D5187"/>
    <w:rsid w:val="006D51B6"/>
    <w:rsid w:val="006D52CA"/>
    <w:rsid w:val="006D546B"/>
    <w:rsid w:val="006D5D12"/>
    <w:rsid w:val="006D6781"/>
    <w:rsid w:val="006D6961"/>
    <w:rsid w:val="006D6CBF"/>
    <w:rsid w:val="006D6D4F"/>
    <w:rsid w:val="006D7255"/>
    <w:rsid w:val="006D7536"/>
    <w:rsid w:val="006D7A0B"/>
    <w:rsid w:val="006D7A71"/>
    <w:rsid w:val="006D7A87"/>
    <w:rsid w:val="006E03C7"/>
    <w:rsid w:val="006E065A"/>
    <w:rsid w:val="006E0ADB"/>
    <w:rsid w:val="006E0AF2"/>
    <w:rsid w:val="006E0D24"/>
    <w:rsid w:val="006E0F16"/>
    <w:rsid w:val="006E1089"/>
    <w:rsid w:val="006E158B"/>
    <w:rsid w:val="006E180D"/>
    <w:rsid w:val="006E28FE"/>
    <w:rsid w:val="006E292F"/>
    <w:rsid w:val="006E2C83"/>
    <w:rsid w:val="006E2D0B"/>
    <w:rsid w:val="006E2F29"/>
    <w:rsid w:val="006E325C"/>
    <w:rsid w:val="006E331B"/>
    <w:rsid w:val="006E349C"/>
    <w:rsid w:val="006E34EB"/>
    <w:rsid w:val="006E37F3"/>
    <w:rsid w:val="006E38F4"/>
    <w:rsid w:val="006E3967"/>
    <w:rsid w:val="006E3FF8"/>
    <w:rsid w:val="006E411A"/>
    <w:rsid w:val="006E4255"/>
    <w:rsid w:val="006E4B77"/>
    <w:rsid w:val="006E4B89"/>
    <w:rsid w:val="006E4E6C"/>
    <w:rsid w:val="006E56E5"/>
    <w:rsid w:val="006E582A"/>
    <w:rsid w:val="006E5C6F"/>
    <w:rsid w:val="006E5CB6"/>
    <w:rsid w:val="006E5F1A"/>
    <w:rsid w:val="006E602A"/>
    <w:rsid w:val="006E607B"/>
    <w:rsid w:val="006E6218"/>
    <w:rsid w:val="006E638D"/>
    <w:rsid w:val="006E645D"/>
    <w:rsid w:val="006E6637"/>
    <w:rsid w:val="006E67DB"/>
    <w:rsid w:val="006E685E"/>
    <w:rsid w:val="006E68D1"/>
    <w:rsid w:val="006E6EA5"/>
    <w:rsid w:val="006E6EAA"/>
    <w:rsid w:val="006E6F12"/>
    <w:rsid w:val="006E6F27"/>
    <w:rsid w:val="006E7AFB"/>
    <w:rsid w:val="006E7CD4"/>
    <w:rsid w:val="006F01C4"/>
    <w:rsid w:val="006F031F"/>
    <w:rsid w:val="006F0954"/>
    <w:rsid w:val="006F1197"/>
    <w:rsid w:val="006F1295"/>
    <w:rsid w:val="006F12AF"/>
    <w:rsid w:val="006F13EA"/>
    <w:rsid w:val="006F14BB"/>
    <w:rsid w:val="006F1525"/>
    <w:rsid w:val="006F1594"/>
    <w:rsid w:val="006F15BA"/>
    <w:rsid w:val="006F18AC"/>
    <w:rsid w:val="006F1944"/>
    <w:rsid w:val="006F1A0E"/>
    <w:rsid w:val="006F238F"/>
    <w:rsid w:val="006F276A"/>
    <w:rsid w:val="006F27A8"/>
    <w:rsid w:val="006F29B2"/>
    <w:rsid w:val="006F2C83"/>
    <w:rsid w:val="006F2D45"/>
    <w:rsid w:val="006F3159"/>
    <w:rsid w:val="006F3172"/>
    <w:rsid w:val="006F3273"/>
    <w:rsid w:val="006F34EB"/>
    <w:rsid w:val="006F35A3"/>
    <w:rsid w:val="006F3D09"/>
    <w:rsid w:val="006F405D"/>
    <w:rsid w:val="006F47B9"/>
    <w:rsid w:val="006F4A4B"/>
    <w:rsid w:val="006F4A4F"/>
    <w:rsid w:val="006F4CE4"/>
    <w:rsid w:val="006F4D48"/>
    <w:rsid w:val="006F5331"/>
    <w:rsid w:val="006F5470"/>
    <w:rsid w:val="006F55E4"/>
    <w:rsid w:val="006F5657"/>
    <w:rsid w:val="006F5947"/>
    <w:rsid w:val="006F5AE6"/>
    <w:rsid w:val="006F5F64"/>
    <w:rsid w:val="006F644C"/>
    <w:rsid w:val="006F6F03"/>
    <w:rsid w:val="00700166"/>
    <w:rsid w:val="007007AD"/>
    <w:rsid w:val="007007FA"/>
    <w:rsid w:val="00700957"/>
    <w:rsid w:val="00700973"/>
    <w:rsid w:val="00700A0A"/>
    <w:rsid w:val="00700F29"/>
    <w:rsid w:val="007012A2"/>
    <w:rsid w:val="007019CA"/>
    <w:rsid w:val="00701A44"/>
    <w:rsid w:val="0070208D"/>
    <w:rsid w:val="007021ED"/>
    <w:rsid w:val="007023EA"/>
    <w:rsid w:val="007024BD"/>
    <w:rsid w:val="00702B60"/>
    <w:rsid w:val="00702B86"/>
    <w:rsid w:val="00702D7F"/>
    <w:rsid w:val="00703C2B"/>
    <w:rsid w:val="00703E60"/>
    <w:rsid w:val="00703F1E"/>
    <w:rsid w:val="00703F4A"/>
    <w:rsid w:val="00704121"/>
    <w:rsid w:val="00704214"/>
    <w:rsid w:val="007042AE"/>
    <w:rsid w:val="007042D5"/>
    <w:rsid w:val="0070469D"/>
    <w:rsid w:val="00704C90"/>
    <w:rsid w:val="00705393"/>
    <w:rsid w:val="007058C0"/>
    <w:rsid w:val="0070624C"/>
    <w:rsid w:val="00706395"/>
    <w:rsid w:val="007064BE"/>
    <w:rsid w:val="007064CC"/>
    <w:rsid w:val="0070663F"/>
    <w:rsid w:val="00706FD4"/>
    <w:rsid w:val="00707383"/>
    <w:rsid w:val="007075D9"/>
    <w:rsid w:val="00707A2E"/>
    <w:rsid w:val="007100FB"/>
    <w:rsid w:val="00710155"/>
    <w:rsid w:val="00710459"/>
    <w:rsid w:val="00710F84"/>
    <w:rsid w:val="00711717"/>
    <w:rsid w:val="007119CB"/>
    <w:rsid w:val="00711E8B"/>
    <w:rsid w:val="007123EC"/>
    <w:rsid w:val="00712409"/>
    <w:rsid w:val="0071272F"/>
    <w:rsid w:val="00712822"/>
    <w:rsid w:val="00712946"/>
    <w:rsid w:val="00712968"/>
    <w:rsid w:val="00712ACD"/>
    <w:rsid w:val="00712BBC"/>
    <w:rsid w:val="0071315E"/>
    <w:rsid w:val="007136C6"/>
    <w:rsid w:val="00713728"/>
    <w:rsid w:val="007139F0"/>
    <w:rsid w:val="00713CFB"/>
    <w:rsid w:val="007141BD"/>
    <w:rsid w:val="007143AE"/>
    <w:rsid w:val="00714A8C"/>
    <w:rsid w:val="00715068"/>
    <w:rsid w:val="0071509C"/>
    <w:rsid w:val="00715110"/>
    <w:rsid w:val="00715889"/>
    <w:rsid w:val="00715C6D"/>
    <w:rsid w:val="00715EE3"/>
    <w:rsid w:val="00716069"/>
    <w:rsid w:val="007160A4"/>
    <w:rsid w:val="007160D6"/>
    <w:rsid w:val="00716378"/>
    <w:rsid w:val="00716456"/>
    <w:rsid w:val="00716588"/>
    <w:rsid w:val="00716627"/>
    <w:rsid w:val="00716BA2"/>
    <w:rsid w:val="00717443"/>
    <w:rsid w:val="0071761B"/>
    <w:rsid w:val="007178F1"/>
    <w:rsid w:val="00717CD6"/>
    <w:rsid w:val="00717D40"/>
    <w:rsid w:val="00720178"/>
    <w:rsid w:val="00720208"/>
    <w:rsid w:val="0072073D"/>
    <w:rsid w:val="00720FE0"/>
    <w:rsid w:val="00721B99"/>
    <w:rsid w:val="00721EAF"/>
    <w:rsid w:val="00722DD0"/>
    <w:rsid w:val="00722F5C"/>
    <w:rsid w:val="00723257"/>
    <w:rsid w:val="007232F2"/>
    <w:rsid w:val="0072337D"/>
    <w:rsid w:val="0072366D"/>
    <w:rsid w:val="0072378B"/>
    <w:rsid w:val="00723945"/>
    <w:rsid w:val="007239D3"/>
    <w:rsid w:val="00723AE5"/>
    <w:rsid w:val="00723CAC"/>
    <w:rsid w:val="00723ECF"/>
    <w:rsid w:val="00724106"/>
    <w:rsid w:val="007242C3"/>
    <w:rsid w:val="00724661"/>
    <w:rsid w:val="007249D6"/>
    <w:rsid w:val="00724D96"/>
    <w:rsid w:val="0072524C"/>
    <w:rsid w:val="0072542C"/>
    <w:rsid w:val="007257E4"/>
    <w:rsid w:val="00725CD1"/>
    <w:rsid w:val="00725D18"/>
    <w:rsid w:val="00725DCF"/>
    <w:rsid w:val="00725F7E"/>
    <w:rsid w:val="007265B0"/>
    <w:rsid w:val="00726712"/>
    <w:rsid w:val="00726918"/>
    <w:rsid w:val="00727083"/>
    <w:rsid w:val="0072720A"/>
    <w:rsid w:val="00727464"/>
    <w:rsid w:val="0072780A"/>
    <w:rsid w:val="00727F0C"/>
    <w:rsid w:val="00730596"/>
    <w:rsid w:val="0073095A"/>
    <w:rsid w:val="00730C9A"/>
    <w:rsid w:val="00730DB4"/>
    <w:rsid w:val="0073121F"/>
    <w:rsid w:val="007316FD"/>
    <w:rsid w:val="00732013"/>
    <w:rsid w:val="00732055"/>
    <w:rsid w:val="00732520"/>
    <w:rsid w:val="0073259A"/>
    <w:rsid w:val="00732B57"/>
    <w:rsid w:val="00732EAB"/>
    <w:rsid w:val="00732F5A"/>
    <w:rsid w:val="00733247"/>
    <w:rsid w:val="007337FC"/>
    <w:rsid w:val="0073381D"/>
    <w:rsid w:val="00733B35"/>
    <w:rsid w:val="00734372"/>
    <w:rsid w:val="007348AC"/>
    <w:rsid w:val="007348B9"/>
    <w:rsid w:val="00734E1D"/>
    <w:rsid w:val="00734ED2"/>
    <w:rsid w:val="00734FAE"/>
    <w:rsid w:val="00735221"/>
    <w:rsid w:val="00735618"/>
    <w:rsid w:val="0073569F"/>
    <w:rsid w:val="007360AD"/>
    <w:rsid w:val="0073610E"/>
    <w:rsid w:val="007361B1"/>
    <w:rsid w:val="007361FC"/>
    <w:rsid w:val="007367E5"/>
    <w:rsid w:val="007368CF"/>
    <w:rsid w:val="00736C3F"/>
    <w:rsid w:val="0073715B"/>
    <w:rsid w:val="007372A7"/>
    <w:rsid w:val="00737BD9"/>
    <w:rsid w:val="00737D1A"/>
    <w:rsid w:val="00740004"/>
    <w:rsid w:val="00740F06"/>
    <w:rsid w:val="00740F2C"/>
    <w:rsid w:val="00740FA7"/>
    <w:rsid w:val="00740FC2"/>
    <w:rsid w:val="00741078"/>
    <w:rsid w:val="00741435"/>
    <w:rsid w:val="007415EB"/>
    <w:rsid w:val="007417F5"/>
    <w:rsid w:val="00741F33"/>
    <w:rsid w:val="00741FF1"/>
    <w:rsid w:val="007424C7"/>
    <w:rsid w:val="00742D7C"/>
    <w:rsid w:val="00742E88"/>
    <w:rsid w:val="007430E3"/>
    <w:rsid w:val="007434F2"/>
    <w:rsid w:val="007438F8"/>
    <w:rsid w:val="0074394F"/>
    <w:rsid w:val="00743ECD"/>
    <w:rsid w:val="007443F2"/>
    <w:rsid w:val="00744C33"/>
    <w:rsid w:val="00744C40"/>
    <w:rsid w:val="00744D2A"/>
    <w:rsid w:val="007453E6"/>
    <w:rsid w:val="00745569"/>
    <w:rsid w:val="007455F0"/>
    <w:rsid w:val="00745A04"/>
    <w:rsid w:val="00745FB9"/>
    <w:rsid w:val="007465B2"/>
    <w:rsid w:val="007467A7"/>
    <w:rsid w:val="00746F89"/>
    <w:rsid w:val="00746FA5"/>
    <w:rsid w:val="0074723B"/>
    <w:rsid w:val="007473F9"/>
    <w:rsid w:val="007476CA"/>
    <w:rsid w:val="0074772C"/>
    <w:rsid w:val="007477C2"/>
    <w:rsid w:val="00747A50"/>
    <w:rsid w:val="00747EA9"/>
    <w:rsid w:val="0075015C"/>
    <w:rsid w:val="00750313"/>
    <w:rsid w:val="007503BC"/>
    <w:rsid w:val="007505A4"/>
    <w:rsid w:val="0075082E"/>
    <w:rsid w:val="007510E9"/>
    <w:rsid w:val="00751125"/>
    <w:rsid w:val="0075119D"/>
    <w:rsid w:val="007515CC"/>
    <w:rsid w:val="007517AB"/>
    <w:rsid w:val="0075194B"/>
    <w:rsid w:val="00751E08"/>
    <w:rsid w:val="00751F1B"/>
    <w:rsid w:val="00751FBB"/>
    <w:rsid w:val="0075208E"/>
    <w:rsid w:val="007526AA"/>
    <w:rsid w:val="0075290E"/>
    <w:rsid w:val="00752B78"/>
    <w:rsid w:val="0075323F"/>
    <w:rsid w:val="007532CB"/>
    <w:rsid w:val="007537CA"/>
    <w:rsid w:val="00753D38"/>
    <w:rsid w:val="00753F85"/>
    <w:rsid w:val="0075471E"/>
    <w:rsid w:val="007549F1"/>
    <w:rsid w:val="00754F96"/>
    <w:rsid w:val="00755010"/>
    <w:rsid w:val="00755012"/>
    <w:rsid w:val="0075504C"/>
    <w:rsid w:val="00755317"/>
    <w:rsid w:val="00755338"/>
    <w:rsid w:val="0075539A"/>
    <w:rsid w:val="00755432"/>
    <w:rsid w:val="007556DD"/>
    <w:rsid w:val="007557BD"/>
    <w:rsid w:val="00755AAD"/>
    <w:rsid w:val="00755AB3"/>
    <w:rsid w:val="007566BB"/>
    <w:rsid w:val="0075679B"/>
    <w:rsid w:val="00756BA7"/>
    <w:rsid w:val="00756E4B"/>
    <w:rsid w:val="00756EC5"/>
    <w:rsid w:val="00756F10"/>
    <w:rsid w:val="00757870"/>
    <w:rsid w:val="00757B9D"/>
    <w:rsid w:val="00757DD0"/>
    <w:rsid w:val="00757EFB"/>
    <w:rsid w:val="00760178"/>
    <w:rsid w:val="007604BA"/>
    <w:rsid w:val="0076052F"/>
    <w:rsid w:val="00760A8D"/>
    <w:rsid w:val="00760C6E"/>
    <w:rsid w:val="00761D88"/>
    <w:rsid w:val="00761EF0"/>
    <w:rsid w:val="00761EF7"/>
    <w:rsid w:val="007621D2"/>
    <w:rsid w:val="007623A8"/>
    <w:rsid w:val="007623C7"/>
    <w:rsid w:val="0076274A"/>
    <w:rsid w:val="007628EE"/>
    <w:rsid w:val="00762A87"/>
    <w:rsid w:val="00762AD3"/>
    <w:rsid w:val="00762B68"/>
    <w:rsid w:val="00762B76"/>
    <w:rsid w:val="0076357B"/>
    <w:rsid w:val="00763790"/>
    <w:rsid w:val="00763988"/>
    <w:rsid w:val="00763B34"/>
    <w:rsid w:val="00763CD7"/>
    <w:rsid w:val="00763D3C"/>
    <w:rsid w:val="00763D86"/>
    <w:rsid w:val="00763E5F"/>
    <w:rsid w:val="007650DD"/>
    <w:rsid w:val="0076518E"/>
    <w:rsid w:val="00765BD2"/>
    <w:rsid w:val="00765CFA"/>
    <w:rsid w:val="00765D8D"/>
    <w:rsid w:val="007668C5"/>
    <w:rsid w:val="00766974"/>
    <w:rsid w:val="00766CC9"/>
    <w:rsid w:val="00766D49"/>
    <w:rsid w:val="00766E90"/>
    <w:rsid w:val="00766FA0"/>
    <w:rsid w:val="0076740E"/>
    <w:rsid w:val="00767910"/>
    <w:rsid w:val="00767943"/>
    <w:rsid w:val="00767A62"/>
    <w:rsid w:val="00767FB5"/>
    <w:rsid w:val="00770000"/>
    <w:rsid w:val="007700B2"/>
    <w:rsid w:val="007709DB"/>
    <w:rsid w:val="00770B3F"/>
    <w:rsid w:val="0077135F"/>
    <w:rsid w:val="00771461"/>
    <w:rsid w:val="00771863"/>
    <w:rsid w:val="00771D13"/>
    <w:rsid w:val="00771D49"/>
    <w:rsid w:val="00772062"/>
    <w:rsid w:val="007721CD"/>
    <w:rsid w:val="00772252"/>
    <w:rsid w:val="00772609"/>
    <w:rsid w:val="00772AB6"/>
    <w:rsid w:val="00772BF5"/>
    <w:rsid w:val="00772CA8"/>
    <w:rsid w:val="00772E8A"/>
    <w:rsid w:val="00772F37"/>
    <w:rsid w:val="007733E0"/>
    <w:rsid w:val="00773983"/>
    <w:rsid w:val="00773BC2"/>
    <w:rsid w:val="00773C4D"/>
    <w:rsid w:val="00773E52"/>
    <w:rsid w:val="00773E84"/>
    <w:rsid w:val="00773E97"/>
    <w:rsid w:val="00773FAE"/>
    <w:rsid w:val="0077401D"/>
    <w:rsid w:val="0077458E"/>
    <w:rsid w:val="00774C37"/>
    <w:rsid w:val="00774FBD"/>
    <w:rsid w:val="0077513C"/>
    <w:rsid w:val="007751EE"/>
    <w:rsid w:val="00775252"/>
    <w:rsid w:val="0077545A"/>
    <w:rsid w:val="00775A37"/>
    <w:rsid w:val="00775E5D"/>
    <w:rsid w:val="00775EDC"/>
    <w:rsid w:val="00775F41"/>
    <w:rsid w:val="00776054"/>
    <w:rsid w:val="00776222"/>
    <w:rsid w:val="007764CD"/>
    <w:rsid w:val="007767CF"/>
    <w:rsid w:val="00776BBD"/>
    <w:rsid w:val="00776EB8"/>
    <w:rsid w:val="00777655"/>
    <w:rsid w:val="007776CF"/>
    <w:rsid w:val="00777856"/>
    <w:rsid w:val="0077787F"/>
    <w:rsid w:val="00777BFD"/>
    <w:rsid w:val="00777E1C"/>
    <w:rsid w:val="00777E82"/>
    <w:rsid w:val="0078042D"/>
    <w:rsid w:val="0078044C"/>
    <w:rsid w:val="00780820"/>
    <w:rsid w:val="00780C4E"/>
    <w:rsid w:val="00780E3A"/>
    <w:rsid w:val="00781081"/>
    <w:rsid w:val="007817D1"/>
    <w:rsid w:val="00781993"/>
    <w:rsid w:val="00781999"/>
    <w:rsid w:val="00781AC4"/>
    <w:rsid w:val="00781B60"/>
    <w:rsid w:val="007820E8"/>
    <w:rsid w:val="007821A0"/>
    <w:rsid w:val="007822E4"/>
    <w:rsid w:val="0078232D"/>
    <w:rsid w:val="00782B7D"/>
    <w:rsid w:val="00782D47"/>
    <w:rsid w:val="00782DC9"/>
    <w:rsid w:val="00783167"/>
    <w:rsid w:val="00783394"/>
    <w:rsid w:val="007839F3"/>
    <w:rsid w:val="00783AC3"/>
    <w:rsid w:val="00783B37"/>
    <w:rsid w:val="00783D41"/>
    <w:rsid w:val="00783ED1"/>
    <w:rsid w:val="0078467E"/>
    <w:rsid w:val="007847F5"/>
    <w:rsid w:val="007848FB"/>
    <w:rsid w:val="00784F5C"/>
    <w:rsid w:val="0078518D"/>
    <w:rsid w:val="007856F9"/>
    <w:rsid w:val="00785985"/>
    <w:rsid w:val="00785D09"/>
    <w:rsid w:val="00785E72"/>
    <w:rsid w:val="00786089"/>
    <w:rsid w:val="007868DC"/>
    <w:rsid w:val="00786CEF"/>
    <w:rsid w:val="00786D50"/>
    <w:rsid w:val="007871B7"/>
    <w:rsid w:val="00787301"/>
    <w:rsid w:val="007877EE"/>
    <w:rsid w:val="00790359"/>
    <w:rsid w:val="00790543"/>
    <w:rsid w:val="00790607"/>
    <w:rsid w:val="00790821"/>
    <w:rsid w:val="00790AAB"/>
    <w:rsid w:val="00790AEB"/>
    <w:rsid w:val="00790BA6"/>
    <w:rsid w:val="007912DE"/>
    <w:rsid w:val="0079165D"/>
    <w:rsid w:val="007916F4"/>
    <w:rsid w:val="00791D1D"/>
    <w:rsid w:val="00791EA7"/>
    <w:rsid w:val="007921A0"/>
    <w:rsid w:val="0079224C"/>
    <w:rsid w:val="0079229D"/>
    <w:rsid w:val="00792B10"/>
    <w:rsid w:val="00792BC0"/>
    <w:rsid w:val="00792BD0"/>
    <w:rsid w:val="00792C9D"/>
    <w:rsid w:val="007931B9"/>
    <w:rsid w:val="00793750"/>
    <w:rsid w:val="007937F1"/>
    <w:rsid w:val="00793B78"/>
    <w:rsid w:val="00794233"/>
    <w:rsid w:val="007944F8"/>
    <w:rsid w:val="00794542"/>
    <w:rsid w:val="0079471A"/>
    <w:rsid w:val="00794C91"/>
    <w:rsid w:val="00794DFE"/>
    <w:rsid w:val="00794FBC"/>
    <w:rsid w:val="00795177"/>
    <w:rsid w:val="00795213"/>
    <w:rsid w:val="00795577"/>
    <w:rsid w:val="00795A9D"/>
    <w:rsid w:val="00795BB8"/>
    <w:rsid w:val="00795BD4"/>
    <w:rsid w:val="00795C4B"/>
    <w:rsid w:val="00796049"/>
    <w:rsid w:val="007963AB"/>
    <w:rsid w:val="00796581"/>
    <w:rsid w:val="007965E8"/>
    <w:rsid w:val="0079674D"/>
    <w:rsid w:val="00796BBC"/>
    <w:rsid w:val="00797606"/>
    <w:rsid w:val="00797921"/>
    <w:rsid w:val="00797A8F"/>
    <w:rsid w:val="00797BD4"/>
    <w:rsid w:val="00797EDD"/>
    <w:rsid w:val="007A028D"/>
    <w:rsid w:val="007A04E4"/>
    <w:rsid w:val="007A090E"/>
    <w:rsid w:val="007A0ADE"/>
    <w:rsid w:val="007A0ADF"/>
    <w:rsid w:val="007A0AF9"/>
    <w:rsid w:val="007A0F2A"/>
    <w:rsid w:val="007A1028"/>
    <w:rsid w:val="007A1229"/>
    <w:rsid w:val="007A199F"/>
    <w:rsid w:val="007A1ECA"/>
    <w:rsid w:val="007A1FAF"/>
    <w:rsid w:val="007A1FB3"/>
    <w:rsid w:val="007A25B3"/>
    <w:rsid w:val="007A276E"/>
    <w:rsid w:val="007A2920"/>
    <w:rsid w:val="007A294F"/>
    <w:rsid w:val="007A2C9C"/>
    <w:rsid w:val="007A2EA1"/>
    <w:rsid w:val="007A30E7"/>
    <w:rsid w:val="007A319C"/>
    <w:rsid w:val="007A3368"/>
    <w:rsid w:val="007A338E"/>
    <w:rsid w:val="007A3477"/>
    <w:rsid w:val="007A3BCC"/>
    <w:rsid w:val="007A3EE3"/>
    <w:rsid w:val="007A3F97"/>
    <w:rsid w:val="007A4159"/>
    <w:rsid w:val="007A41F2"/>
    <w:rsid w:val="007A4428"/>
    <w:rsid w:val="007A4A38"/>
    <w:rsid w:val="007A4E53"/>
    <w:rsid w:val="007A56BB"/>
    <w:rsid w:val="007A5A5A"/>
    <w:rsid w:val="007A5C0A"/>
    <w:rsid w:val="007A5C68"/>
    <w:rsid w:val="007A6083"/>
    <w:rsid w:val="007A6608"/>
    <w:rsid w:val="007A66C8"/>
    <w:rsid w:val="007A6729"/>
    <w:rsid w:val="007A6D2A"/>
    <w:rsid w:val="007A6E96"/>
    <w:rsid w:val="007A715D"/>
    <w:rsid w:val="007B0109"/>
    <w:rsid w:val="007B01FF"/>
    <w:rsid w:val="007B0205"/>
    <w:rsid w:val="007B0258"/>
    <w:rsid w:val="007B03C6"/>
    <w:rsid w:val="007B05C9"/>
    <w:rsid w:val="007B070C"/>
    <w:rsid w:val="007B0890"/>
    <w:rsid w:val="007B0928"/>
    <w:rsid w:val="007B0C65"/>
    <w:rsid w:val="007B0EDE"/>
    <w:rsid w:val="007B1061"/>
    <w:rsid w:val="007B1540"/>
    <w:rsid w:val="007B17D5"/>
    <w:rsid w:val="007B1C70"/>
    <w:rsid w:val="007B1C79"/>
    <w:rsid w:val="007B1F2D"/>
    <w:rsid w:val="007B2535"/>
    <w:rsid w:val="007B25E6"/>
    <w:rsid w:val="007B28A0"/>
    <w:rsid w:val="007B290F"/>
    <w:rsid w:val="007B2C64"/>
    <w:rsid w:val="007B2D20"/>
    <w:rsid w:val="007B2EE3"/>
    <w:rsid w:val="007B31F1"/>
    <w:rsid w:val="007B3D85"/>
    <w:rsid w:val="007B43CD"/>
    <w:rsid w:val="007B43F1"/>
    <w:rsid w:val="007B4526"/>
    <w:rsid w:val="007B45F0"/>
    <w:rsid w:val="007B495A"/>
    <w:rsid w:val="007B4A31"/>
    <w:rsid w:val="007B4C3B"/>
    <w:rsid w:val="007B4D07"/>
    <w:rsid w:val="007B4E80"/>
    <w:rsid w:val="007B5349"/>
    <w:rsid w:val="007B53E3"/>
    <w:rsid w:val="007B545B"/>
    <w:rsid w:val="007B56A9"/>
    <w:rsid w:val="007B56ED"/>
    <w:rsid w:val="007B572E"/>
    <w:rsid w:val="007B5F44"/>
    <w:rsid w:val="007B6201"/>
    <w:rsid w:val="007B6270"/>
    <w:rsid w:val="007B633E"/>
    <w:rsid w:val="007B6354"/>
    <w:rsid w:val="007B650F"/>
    <w:rsid w:val="007B667F"/>
    <w:rsid w:val="007B6761"/>
    <w:rsid w:val="007B6852"/>
    <w:rsid w:val="007B6AE5"/>
    <w:rsid w:val="007B6C41"/>
    <w:rsid w:val="007B6F17"/>
    <w:rsid w:val="007B7438"/>
    <w:rsid w:val="007B753A"/>
    <w:rsid w:val="007B7561"/>
    <w:rsid w:val="007B76F8"/>
    <w:rsid w:val="007B79C0"/>
    <w:rsid w:val="007C012A"/>
    <w:rsid w:val="007C0197"/>
    <w:rsid w:val="007C0216"/>
    <w:rsid w:val="007C043B"/>
    <w:rsid w:val="007C04B2"/>
    <w:rsid w:val="007C0847"/>
    <w:rsid w:val="007C08BA"/>
    <w:rsid w:val="007C0905"/>
    <w:rsid w:val="007C0993"/>
    <w:rsid w:val="007C0DA6"/>
    <w:rsid w:val="007C0ED4"/>
    <w:rsid w:val="007C10CB"/>
    <w:rsid w:val="007C10E3"/>
    <w:rsid w:val="007C1122"/>
    <w:rsid w:val="007C148F"/>
    <w:rsid w:val="007C166D"/>
    <w:rsid w:val="007C184B"/>
    <w:rsid w:val="007C1E2D"/>
    <w:rsid w:val="007C244A"/>
    <w:rsid w:val="007C29D0"/>
    <w:rsid w:val="007C2EE4"/>
    <w:rsid w:val="007C3153"/>
    <w:rsid w:val="007C336C"/>
    <w:rsid w:val="007C3563"/>
    <w:rsid w:val="007C37FB"/>
    <w:rsid w:val="007C3B43"/>
    <w:rsid w:val="007C3D74"/>
    <w:rsid w:val="007C4658"/>
    <w:rsid w:val="007C4A30"/>
    <w:rsid w:val="007C4AE2"/>
    <w:rsid w:val="007C4E50"/>
    <w:rsid w:val="007C538E"/>
    <w:rsid w:val="007C60B1"/>
    <w:rsid w:val="007C667C"/>
    <w:rsid w:val="007C673D"/>
    <w:rsid w:val="007C7031"/>
    <w:rsid w:val="007C717F"/>
    <w:rsid w:val="007C7574"/>
    <w:rsid w:val="007C785A"/>
    <w:rsid w:val="007C7D68"/>
    <w:rsid w:val="007C7ED1"/>
    <w:rsid w:val="007D013B"/>
    <w:rsid w:val="007D0268"/>
    <w:rsid w:val="007D0498"/>
    <w:rsid w:val="007D05DF"/>
    <w:rsid w:val="007D08DB"/>
    <w:rsid w:val="007D0999"/>
    <w:rsid w:val="007D09C1"/>
    <w:rsid w:val="007D0D22"/>
    <w:rsid w:val="007D12A2"/>
    <w:rsid w:val="007D14D7"/>
    <w:rsid w:val="007D15A4"/>
    <w:rsid w:val="007D164D"/>
    <w:rsid w:val="007D1C41"/>
    <w:rsid w:val="007D1D2F"/>
    <w:rsid w:val="007D1D3D"/>
    <w:rsid w:val="007D1FF9"/>
    <w:rsid w:val="007D26F6"/>
    <w:rsid w:val="007D27F2"/>
    <w:rsid w:val="007D2899"/>
    <w:rsid w:val="007D2E40"/>
    <w:rsid w:val="007D380C"/>
    <w:rsid w:val="007D3BAC"/>
    <w:rsid w:val="007D3DF8"/>
    <w:rsid w:val="007D3E2A"/>
    <w:rsid w:val="007D3F2C"/>
    <w:rsid w:val="007D413B"/>
    <w:rsid w:val="007D4388"/>
    <w:rsid w:val="007D4575"/>
    <w:rsid w:val="007D457B"/>
    <w:rsid w:val="007D4594"/>
    <w:rsid w:val="007D47C3"/>
    <w:rsid w:val="007D4885"/>
    <w:rsid w:val="007D4E0F"/>
    <w:rsid w:val="007D5158"/>
    <w:rsid w:val="007D5668"/>
    <w:rsid w:val="007D57B4"/>
    <w:rsid w:val="007D57CA"/>
    <w:rsid w:val="007D57D7"/>
    <w:rsid w:val="007D5CE2"/>
    <w:rsid w:val="007D5F9A"/>
    <w:rsid w:val="007D6598"/>
    <w:rsid w:val="007D6953"/>
    <w:rsid w:val="007D6B03"/>
    <w:rsid w:val="007D6B28"/>
    <w:rsid w:val="007D6B83"/>
    <w:rsid w:val="007D6F4F"/>
    <w:rsid w:val="007D7357"/>
    <w:rsid w:val="007D75E2"/>
    <w:rsid w:val="007D7A78"/>
    <w:rsid w:val="007E0039"/>
    <w:rsid w:val="007E0430"/>
    <w:rsid w:val="007E176A"/>
    <w:rsid w:val="007E1940"/>
    <w:rsid w:val="007E1A00"/>
    <w:rsid w:val="007E1CD3"/>
    <w:rsid w:val="007E27B9"/>
    <w:rsid w:val="007E28A2"/>
    <w:rsid w:val="007E39BC"/>
    <w:rsid w:val="007E3DCA"/>
    <w:rsid w:val="007E3E3C"/>
    <w:rsid w:val="007E448B"/>
    <w:rsid w:val="007E4622"/>
    <w:rsid w:val="007E46CB"/>
    <w:rsid w:val="007E471F"/>
    <w:rsid w:val="007E4EF5"/>
    <w:rsid w:val="007E4F14"/>
    <w:rsid w:val="007E504F"/>
    <w:rsid w:val="007E52E1"/>
    <w:rsid w:val="007E53E6"/>
    <w:rsid w:val="007E549B"/>
    <w:rsid w:val="007E55A8"/>
    <w:rsid w:val="007E5CE7"/>
    <w:rsid w:val="007E614B"/>
    <w:rsid w:val="007E65B5"/>
    <w:rsid w:val="007E67BE"/>
    <w:rsid w:val="007E67F5"/>
    <w:rsid w:val="007E69A9"/>
    <w:rsid w:val="007E730D"/>
    <w:rsid w:val="007E78BF"/>
    <w:rsid w:val="007E7A98"/>
    <w:rsid w:val="007E7F65"/>
    <w:rsid w:val="007F0385"/>
    <w:rsid w:val="007F0C58"/>
    <w:rsid w:val="007F110A"/>
    <w:rsid w:val="007F1699"/>
    <w:rsid w:val="007F16B5"/>
    <w:rsid w:val="007F1792"/>
    <w:rsid w:val="007F1B88"/>
    <w:rsid w:val="007F1DE1"/>
    <w:rsid w:val="007F2003"/>
    <w:rsid w:val="007F22B2"/>
    <w:rsid w:val="007F2D46"/>
    <w:rsid w:val="007F31F1"/>
    <w:rsid w:val="007F3A09"/>
    <w:rsid w:val="007F3ADD"/>
    <w:rsid w:val="007F41AA"/>
    <w:rsid w:val="007F4386"/>
    <w:rsid w:val="007F4716"/>
    <w:rsid w:val="007F4A94"/>
    <w:rsid w:val="007F4B1F"/>
    <w:rsid w:val="007F4BD2"/>
    <w:rsid w:val="007F4C0E"/>
    <w:rsid w:val="007F5373"/>
    <w:rsid w:val="007F5770"/>
    <w:rsid w:val="007F5C31"/>
    <w:rsid w:val="007F5EC3"/>
    <w:rsid w:val="007F62D0"/>
    <w:rsid w:val="007F67B8"/>
    <w:rsid w:val="007F691C"/>
    <w:rsid w:val="007F6D24"/>
    <w:rsid w:val="007F71EA"/>
    <w:rsid w:val="007F7772"/>
    <w:rsid w:val="007F7A4A"/>
    <w:rsid w:val="007F7B15"/>
    <w:rsid w:val="007F7C19"/>
    <w:rsid w:val="008003B6"/>
    <w:rsid w:val="0080067F"/>
    <w:rsid w:val="0080069E"/>
    <w:rsid w:val="0080097C"/>
    <w:rsid w:val="00800BB4"/>
    <w:rsid w:val="00800FF4"/>
    <w:rsid w:val="00801422"/>
    <w:rsid w:val="008014C5"/>
    <w:rsid w:val="008014FB"/>
    <w:rsid w:val="00801CDC"/>
    <w:rsid w:val="0080210D"/>
    <w:rsid w:val="00802429"/>
    <w:rsid w:val="00802CC2"/>
    <w:rsid w:val="00802FC1"/>
    <w:rsid w:val="00803236"/>
    <w:rsid w:val="00803511"/>
    <w:rsid w:val="0080356D"/>
    <w:rsid w:val="0080375B"/>
    <w:rsid w:val="00803762"/>
    <w:rsid w:val="0080378F"/>
    <w:rsid w:val="00803E26"/>
    <w:rsid w:val="00804195"/>
    <w:rsid w:val="00804503"/>
    <w:rsid w:val="0080451B"/>
    <w:rsid w:val="00804C03"/>
    <w:rsid w:val="00804E5A"/>
    <w:rsid w:val="0080504E"/>
    <w:rsid w:val="0080524D"/>
    <w:rsid w:val="00805699"/>
    <w:rsid w:val="008056CF"/>
    <w:rsid w:val="008058DE"/>
    <w:rsid w:val="00805C9F"/>
    <w:rsid w:val="00805E13"/>
    <w:rsid w:val="008062DA"/>
    <w:rsid w:val="00806BC2"/>
    <w:rsid w:val="00807143"/>
    <w:rsid w:val="008078FA"/>
    <w:rsid w:val="00807A04"/>
    <w:rsid w:val="00807BFE"/>
    <w:rsid w:val="008101C0"/>
    <w:rsid w:val="00810791"/>
    <w:rsid w:val="008107D2"/>
    <w:rsid w:val="00810833"/>
    <w:rsid w:val="008108D1"/>
    <w:rsid w:val="00810A29"/>
    <w:rsid w:val="00810AFD"/>
    <w:rsid w:val="00810BBA"/>
    <w:rsid w:val="0081124D"/>
    <w:rsid w:val="00811710"/>
    <w:rsid w:val="008117B1"/>
    <w:rsid w:val="00811C7B"/>
    <w:rsid w:val="00812203"/>
    <w:rsid w:val="008123A9"/>
    <w:rsid w:val="00812423"/>
    <w:rsid w:val="0081259C"/>
    <w:rsid w:val="0081296B"/>
    <w:rsid w:val="00812BE1"/>
    <w:rsid w:val="00812F15"/>
    <w:rsid w:val="0081317E"/>
    <w:rsid w:val="0081323E"/>
    <w:rsid w:val="00813457"/>
    <w:rsid w:val="00813635"/>
    <w:rsid w:val="008136DC"/>
    <w:rsid w:val="00813A1A"/>
    <w:rsid w:val="00813B18"/>
    <w:rsid w:val="00813B78"/>
    <w:rsid w:val="00813DDD"/>
    <w:rsid w:val="008142B1"/>
    <w:rsid w:val="0081453C"/>
    <w:rsid w:val="00814948"/>
    <w:rsid w:val="00814BA2"/>
    <w:rsid w:val="00814E43"/>
    <w:rsid w:val="00815045"/>
    <w:rsid w:val="0081519C"/>
    <w:rsid w:val="0081530F"/>
    <w:rsid w:val="008156BB"/>
    <w:rsid w:val="008159EB"/>
    <w:rsid w:val="00815A9C"/>
    <w:rsid w:val="00815D6A"/>
    <w:rsid w:val="00815ED4"/>
    <w:rsid w:val="00815EDB"/>
    <w:rsid w:val="0081602A"/>
    <w:rsid w:val="00816197"/>
    <w:rsid w:val="00816785"/>
    <w:rsid w:val="008169F2"/>
    <w:rsid w:val="00816DC4"/>
    <w:rsid w:val="00816E0D"/>
    <w:rsid w:val="008173C5"/>
    <w:rsid w:val="00817619"/>
    <w:rsid w:val="0081761C"/>
    <w:rsid w:val="008178DC"/>
    <w:rsid w:val="00817DEA"/>
    <w:rsid w:val="00817F5B"/>
    <w:rsid w:val="0082080E"/>
    <w:rsid w:val="00820B5A"/>
    <w:rsid w:val="00820DC5"/>
    <w:rsid w:val="008212E9"/>
    <w:rsid w:val="00821567"/>
    <w:rsid w:val="0082166E"/>
    <w:rsid w:val="008217CD"/>
    <w:rsid w:val="00821AFB"/>
    <w:rsid w:val="00821C03"/>
    <w:rsid w:val="00821C89"/>
    <w:rsid w:val="00821CDC"/>
    <w:rsid w:val="00821EBA"/>
    <w:rsid w:val="0082209D"/>
    <w:rsid w:val="00822181"/>
    <w:rsid w:val="00822904"/>
    <w:rsid w:val="00822F89"/>
    <w:rsid w:val="0082301D"/>
    <w:rsid w:val="0082358C"/>
    <w:rsid w:val="008235BF"/>
    <w:rsid w:val="0082374A"/>
    <w:rsid w:val="00823CF4"/>
    <w:rsid w:val="00823E20"/>
    <w:rsid w:val="00823F1B"/>
    <w:rsid w:val="00823F29"/>
    <w:rsid w:val="008240E9"/>
    <w:rsid w:val="008244AF"/>
    <w:rsid w:val="0082464F"/>
    <w:rsid w:val="0082479E"/>
    <w:rsid w:val="00824A52"/>
    <w:rsid w:val="00824AEB"/>
    <w:rsid w:val="00824B1F"/>
    <w:rsid w:val="00824D37"/>
    <w:rsid w:val="00824DE6"/>
    <w:rsid w:val="00824F60"/>
    <w:rsid w:val="00824F67"/>
    <w:rsid w:val="00824F91"/>
    <w:rsid w:val="008251B8"/>
    <w:rsid w:val="008252A6"/>
    <w:rsid w:val="00825724"/>
    <w:rsid w:val="00825C62"/>
    <w:rsid w:val="00825DCE"/>
    <w:rsid w:val="00826127"/>
    <w:rsid w:val="008265DD"/>
    <w:rsid w:val="008267F5"/>
    <w:rsid w:val="00826806"/>
    <w:rsid w:val="00826835"/>
    <w:rsid w:val="00826C73"/>
    <w:rsid w:val="00826CB9"/>
    <w:rsid w:val="00826E31"/>
    <w:rsid w:val="0082788D"/>
    <w:rsid w:val="00827FCE"/>
    <w:rsid w:val="008303EB"/>
    <w:rsid w:val="008306A5"/>
    <w:rsid w:val="00830D26"/>
    <w:rsid w:val="00831587"/>
    <w:rsid w:val="008315A4"/>
    <w:rsid w:val="008318D5"/>
    <w:rsid w:val="00831A56"/>
    <w:rsid w:val="00831CAF"/>
    <w:rsid w:val="00831E12"/>
    <w:rsid w:val="0083200A"/>
    <w:rsid w:val="00832079"/>
    <w:rsid w:val="008320BD"/>
    <w:rsid w:val="008320D3"/>
    <w:rsid w:val="008321B4"/>
    <w:rsid w:val="00832A08"/>
    <w:rsid w:val="00832A86"/>
    <w:rsid w:val="00832AD3"/>
    <w:rsid w:val="00832BF1"/>
    <w:rsid w:val="00832E07"/>
    <w:rsid w:val="00832E48"/>
    <w:rsid w:val="00832FFB"/>
    <w:rsid w:val="00833557"/>
    <w:rsid w:val="008335B4"/>
    <w:rsid w:val="008337B8"/>
    <w:rsid w:val="00833975"/>
    <w:rsid w:val="00833A9D"/>
    <w:rsid w:val="00833AC0"/>
    <w:rsid w:val="00833B18"/>
    <w:rsid w:val="00833EAC"/>
    <w:rsid w:val="008341BF"/>
    <w:rsid w:val="0083428F"/>
    <w:rsid w:val="00834586"/>
    <w:rsid w:val="00834AA4"/>
    <w:rsid w:val="00834EC7"/>
    <w:rsid w:val="00835115"/>
    <w:rsid w:val="00835414"/>
    <w:rsid w:val="00835740"/>
    <w:rsid w:val="008357F5"/>
    <w:rsid w:val="00835A6D"/>
    <w:rsid w:val="00835C81"/>
    <w:rsid w:val="0083628D"/>
    <w:rsid w:val="0083664E"/>
    <w:rsid w:val="008367C4"/>
    <w:rsid w:val="00836A68"/>
    <w:rsid w:val="00836AA3"/>
    <w:rsid w:val="00837033"/>
    <w:rsid w:val="00837412"/>
    <w:rsid w:val="0083741F"/>
    <w:rsid w:val="0083773A"/>
    <w:rsid w:val="00837745"/>
    <w:rsid w:val="00837A5D"/>
    <w:rsid w:val="008401A2"/>
    <w:rsid w:val="00840238"/>
    <w:rsid w:val="0084032C"/>
    <w:rsid w:val="00840333"/>
    <w:rsid w:val="00840733"/>
    <w:rsid w:val="008408A0"/>
    <w:rsid w:val="00840928"/>
    <w:rsid w:val="008409BA"/>
    <w:rsid w:val="00840DE2"/>
    <w:rsid w:val="00840EE2"/>
    <w:rsid w:val="00840FBE"/>
    <w:rsid w:val="0084102C"/>
    <w:rsid w:val="008413E8"/>
    <w:rsid w:val="0084147E"/>
    <w:rsid w:val="008414EA"/>
    <w:rsid w:val="00841A55"/>
    <w:rsid w:val="00842B7D"/>
    <w:rsid w:val="00842D38"/>
    <w:rsid w:val="008430AE"/>
    <w:rsid w:val="008432DB"/>
    <w:rsid w:val="008434DF"/>
    <w:rsid w:val="008436C4"/>
    <w:rsid w:val="00843A1C"/>
    <w:rsid w:val="00843CD7"/>
    <w:rsid w:val="00843EA6"/>
    <w:rsid w:val="00843F07"/>
    <w:rsid w:val="00843FC0"/>
    <w:rsid w:val="00844092"/>
    <w:rsid w:val="008444BC"/>
    <w:rsid w:val="00844524"/>
    <w:rsid w:val="008445E4"/>
    <w:rsid w:val="008446EC"/>
    <w:rsid w:val="008447CD"/>
    <w:rsid w:val="00844801"/>
    <w:rsid w:val="008448F5"/>
    <w:rsid w:val="00844923"/>
    <w:rsid w:val="00844CC9"/>
    <w:rsid w:val="00844F6B"/>
    <w:rsid w:val="00845394"/>
    <w:rsid w:val="008456EC"/>
    <w:rsid w:val="00845907"/>
    <w:rsid w:val="008459C9"/>
    <w:rsid w:val="00845A5C"/>
    <w:rsid w:val="00845D25"/>
    <w:rsid w:val="00845F67"/>
    <w:rsid w:val="00845F88"/>
    <w:rsid w:val="00846738"/>
    <w:rsid w:val="008468D0"/>
    <w:rsid w:val="0084692B"/>
    <w:rsid w:val="00846944"/>
    <w:rsid w:val="0084699F"/>
    <w:rsid w:val="00846C33"/>
    <w:rsid w:val="00846F68"/>
    <w:rsid w:val="0084760B"/>
    <w:rsid w:val="00847730"/>
    <w:rsid w:val="0084775C"/>
    <w:rsid w:val="00847848"/>
    <w:rsid w:val="00847C78"/>
    <w:rsid w:val="008505E8"/>
    <w:rsid w:val="00850658"/>
    <w:rsid w:val="008509F0"/>
    <w:rsid w:val="00850C1A"/>
    <w:rsid w:val="00850E23"/>
    <w:rsid w:val="008510C0"/>
    <w:rsid w:val="0085115D"/>
    <w:rsid w:val="0085133F"/>
    <w:rsid w:val="008516EF"/>
    <w:rsid w:val="00851782"/>
    <w:rsid w:val="00851CF8"/>
    <w:rsid w:val="00851EEB"/>
    <w:rsid w:val="0085205E"/>
    <w:rsid w:val="00852560"/>
    <w:rsid w:val="00852629"/>
    <w:rsid w:val="0085269E"/>
    <w:rsid w:val="0085273D"/>
    <w:rsid w:val="008528B3"/>
    <w:rsid w:val="00852EC3"/>
    <w:rsid w:val="00852EC6"/>
    <w:rsid w:val="00853265"/>
    <w:rsid w:val="00853518"/>
    <w:rsid w:val="0085441E"/>
    <w:rsid w:val="0085446A"/>
    <w:rsid w:val="0085446B"/>
    <w:rsid w:val="00854F6D"/>
    <w:rsid w:val="00854FBE"/>
    <w:rsid w:val="00855107"/>
    <w:rsid w:val="00855447"/>
    <w:rsid w:val="0085602C"/>
    <w:rsid w:val="00856A72"/>
    <w:rsid w:val="00856E60"/>
    <w:rsid w:val="008571B4"/>
    <w:rsid w:val="0085724F"/>
    <w:rsid w:val="008573F4"/>
    <w:rsid w:val="00857853"/>
    <w:rsid w:val="00857C40"/>
    <w:rsid w:val="00857C96"/>
    <w:rsid w:val="00857FBA"/>
    <w:rsid w:val="008604AD"/>
    <w:rsid w:val="0086058D"/>
    <w:rsid w:val="008605CE"/>
    <w:rsid w:val="0086081C"/>
    <w:rsid w:val="008615BA"/>
    <w:rsid w:val="00861753"/>
    <w:rsid w:val="0086185D"/>
    <w:rsid w:val="00861AB8"/>
    <w:rsid w:val="00861D8A"/>
    <w:rsid w:val="00862298"/>
    <w:rsid w:val="00862322"/>
    <w:rsid w:val="008625D7"/>
    <w:rsid w:val="00862767"/>
    <w:rsid w:val="008627B7"/>
    <w:rsid w:val="00862AC3"/>
    <w:rsid w:val="00862CB0"/>
    <w:rsid w:val="00862FF8"/>
    <w:rsid w:val="0086323C"/>
    <w:rsid w:val="008635CE"/>
    <w:rsid w:val="00863779"/>
    <w:rsid w:val="008639E5"/>
    <w:rsid w:val="008639EE"/>
    <w:rsid w:val="00863A4A"/>
    <w:rsid w:val="00863F2D"/>
    <w:rsid w:val="0086443A"/>
    <w:rsid w:val="008645A8"/>
    <w:rsid w:val="00864703"/>
    <w:rsid w:val="00864AF6"/>
    <w:rsid w:val="00865243"/>
    <w:rsid w:val="008653D8"/>
    <w:rsid w:val="00865764"/>
    <w:rsid w:val="0086604F"/>
    <w:rsid w:val="0086608F"/>
    <w:rsid w:val="008660E2"/>
    <w:rsid w:val="00866501"/>
    <w:rsid w:val="0086655E"/>
    <w:rsid w:val="00866711"/>
    <w:rsid w:val="00866C6D"/>
    <w:rsid w:val="00866CC9"/>
    <w:rsid w:val="00866D20"/>
    <w:rsid w:val="008675DF"/>
    <w:rsid w:val="008675F5"/>
    <w:rsid w:val="00867C4D"/>
    <w:rsid w:val="00867C8C"/>
    <w:rsid w:val="0087006F"/>
    <w:rsid w:val="008701EB"/>
    <w:rsid w:val="00870454"/>
    <w:rsid w:val="00870878"/>
    <w:rsid w:val="008709A3"/>
    <w:rsid w:val="00870BFB"/>
    <w:rsid w:val="00870E77"/>
    <w:rsid w:val="00871719"/>
    <w:rsid w:val="00871D5D"/>
    <w:rsid w:val="00871F12"/>
    <w:rsid w:val="00871FA5"/>
    <w:rsid w:val="008720B9"/>
    <w:rsid w:val="008720E5"/>
    <w:rsid w:val="008722F7"/>
    <w:rsid w:val="008723B6"/>
    <w:rsid w:val="00872A8B"/>
    <w:rsid w:val="00872B4B"/>
    <w:rsid w:val="00872E80"/>
    <w:rsid w:val="00873131"/>
    <w:rsid w:val="00873999"/>
    <w:rsid w:val="00873BB8"/>
    <w:rsid w:val="00873CDD"/>
    <w:rsid w:val="00873CF6"/>
    <w:rsid w:val="00874094"/>
    <w:rsid w:val="008741F1"/>
    <w:rsid w:val="008743AB"/>
    <w:rsid w:val="00874488"/>
    <w:rsid w:val="008745B6"/>
    <w:rsid w:val="00874813"/>
    <w:rsid w:val="00874A07"/>
    <w:rsid w:val="00874BD6"/>
    <w:rsid w:val="00874D7C"/>
    <w:rsid w:val="00874EEB"/>
    <w:rsid w:val="00875720"/>
    <w:rsid w:val="008759A8"/>
    <w:rsid w:val="00875E8A"/>
    <w:rsid w:val="00875E9F"/>
    <w:rsid w:val="00876F2D"/>
    <w:rsid w:val="00877592"/>
    <w:rsid w:val="008779C7"/>
    <w:rsid w:val="00877F12"/>
    <w:rsid w:val="00880086"/>
    <w:rsid w:val="008803AB"/>
    <w:rsid w:val="00880C1A"/>
    <w:rsid w:val="008812BE"/>
    <w:rsid w:val="0088134F"/>
    <w:rsid w:val="00881576"/>
    <w:rsid w:val="008818A5"/>
    <w:rsid w:val="008819F4"/>
    <w:rsid w:val="00881F60"/>
    <w:rsid w:val="00882073"/>
    <w:rsid w:val="0088227A"/>
    <w:rsid w:val="0088231D"/>
    <w:rsid w:val="008824D2"/>
    <w:rsid w:val="00882E9F"/>
    <w:rsid w:val="00882F88"/>
    <w:rsid w:val="008834A5"/>
    <w:rsid w:val="008834AF"/>
    <w:rsid w:val="008836F2"/>
    <w:rsid w:val="00883BD5"/>
    <w:rsid w:val="00884447"/>
    <w:rsid w:val="008847CF"/>
    <w:rsid w:val="008848CA"/>
    <w:rsid w:val="008849F9"/>
    <w:rsid w:val="00884B2C"/>
    <w:rsid w:val="00884CBB"/>
    <w:rsid w:val="0088500F"/>
    <w:rsid w:val="0088503C"/>
    <w:rsid w:val="00885A0A"/>
    <w:rsid w:val="00885BDF"/>
    <w:rsid w:val="00885E77"/>
    <w:rsid w:val="0088616C"/>
    <w:rsid w:val="008861ED"/>
    <w:rsid w:val="0088628E"/>
    <w:rsid w:val="008863B9"/>
    <w:rsid w:val="008864CE"/>
    <w:rsid w:val="008865D1"/>
    <w:rsid w:val="008868E6"/>
    <w:rsid w:val="00886B64"/>
    <w:rsid w:val="00886DF2"/>
    <w:rsid w:val="00886E5A"/>
    <w:rsid w:val="0088717A"/>
    <w:rsid w:val="008871A3"/>
    <w:rsid w:val="008877A2"/>
    <w:rsid w:val="00887C16"/>
    <w:rsid w:val="00887D7D"/>
    <w:rsid w:val="008900FA"/>
    <w:rsid w:val="00890149"/>
    <w:rsid w:val="00890607"/>
    <w:rsid w:val="00890C48"/>
    <w:rsid w:val="00890FCC"/>
    <w:rsid w:val="00891370"/>
    <w:rsid w:val="008913FF"/>
    <w:rsid w:val="00891488"/>
    <w:rsid w:val="00891680"/>
    <w:rsid w:val="00891FE9"/>
    <w:rsid w:val="0089226F"/>
    <w:rsid w:val="008929FB"/>
    <w:rsid w:val="00892A7F"/>
    <w:rsid w:val="00892A9A"/>
    <w:rsid w:val="00892F30"/>
    <w:rsid w:val="008932E4"/>
    <w:rsid w:val="00893394"/>
    <w:rsid w:val="0089341D"/>
    <w:rsid w:val="008938E6"/>
    <w:rsid w:val="00893919"/>
    <w:rsid w:val="0089455B"/>
    <w:rsid w:val="008945C5"/>
    <w:rsid w:val="008946E4"/>
    <w:rsid w:val="0089495F"/>
    <w:rsid w:val="00894A19"/>
    <w:rsid w:val="00894AD1"/>
    <w:rsid w:val="00894DDB"/>
    <w:rsid w:val="00894DDF"/>
    <w:rsid w:val="008955B5"/>
    <w:rsid w:val="0089598E"/>
    <w:rsid w:val="00895B24"/>
    <w:rsid w:val="0089610C"/>
    <w:rsid w:val="0089668D"/>
    <w:rsid w:val="0089688A"/>
    <w:rsid w:val="00897170"/>
    <w:rsid w:val="00897647"/>
    <w:rsid w:val="00897A34"/>
    <w:rsid w:val="00897CE2"/>
    <w:rsid w:val="00897D77"/>
    <w:rsid w:val="00897D9C"/>
    <w:rsid w:val="008A0705"/>
    <w:rsid w:val="008A0768"/>
    <w:rsid w:val="008A0C8B"/>
    <w:rsid w:val="008A0F8F"/>
    <w:rsid w:val="008A10AF"/>
    <w:rsid w:val="008A1412"/>
    <w:rsid w:val="008A16E9"/>
    <w:rsid w:val="008A17F6"/>
    <w:rsid w:val="008A1857"/>
    <w:rsid w:val="008A1A88"/>
    <w:rsid w:val="008A1AF3"/>
    <w:rsid w:val="008A1C91"/>
    <w:rsid w:val="008A1D8F"/>
    <w:rsid w:val="008A1F3C"/>
    <w:rsid w:val="008A24A4"/>
    <w:rsid w:val="008A26D6"/>
    <w:rsid w:val="008A2777"/>
    <w:rsid w:val="008A283C"/>
    <w:rsid w:val="008A2874"/>
    <w:rsid w:val="008A2905"/>
    <w:rsid w:val="008A2AC3"/>
    <w:rsid w:val="008A2C4E"/>
    <w:rsid w:val="008A3526"/>
    <w:rsid w:val="008A356F"/>
    <w:rsid w:val="008A3794"/>
    <w:rsid w:val="008A410E"/>
    <w:rsid w:val="008A4196"/>
    <w:rsid w:val="008A45CD"/>
    <w:rsid w:val="008A46ED"/>
    <w:rsid w:val="008A470F"/>
    <w:rsid w:val="008A4B9A"/>
    <w:rsid w:val="008A4B9D"/>
    <w:rsid w:val="008A4E5B"/>
    <w:rsid w:val="008A5190"/>
    <w:rsid w:val="008A530C"/>
    <w:rsid w:val="008A530D"/>
    <w:rsid w:val="008A53F1"/>
    <w:rsid w:val="008A5722"/>
    <w:rsid w:val="008A57EF"/>
    <w:rsid w:val="008A5F78"/>
    <w:rsid w:val="008A637C"/>
    <w:rsid w:val="008A63BA"/>
    <w:rsid w:val="008A68E8"/>
    <w:rsid w:val="008A6B05"/>
    <w:rsid w:val="008A6C53"/>
    <w:rsid w:val="008A6D60"/>
    <w:rsid w:val="008A6D66"/>
    <w:rsid w:val="008A784B"/>
    <w:rsid w:val="008A7EF6"/>
    <w:rsid w:val="008B0873"/>
    <w:rsid w:val="008B0B29"/>
    <w:rsid w:val="008B0BBD"/>
    <w:rsid w:val="008B0BC2"/>
    <w:rsid w:val="008B1537"/>
    <w:rsid w:val="008B1C6B"/>
    <w:rsid w:val="008B1E2F"/>
    <w:rsid w:val="008B20F9"/>
    <w:rsid w:val="008B2561"/>
    <w:rsid w:val="008B2715"/>
    <w:rsid w:val="008B2A05"/>
    <w:rsid w:val="008B2C20"/>
    <w:rsid w:val="008B3508"/>
    <w:rsid w:val="008B3EFB"/>
    <w:rsid w:val="008B4167"/>
    <w:rsid w:val="008B456A"/>
    <w:rsid w:val="008B465B"/>
    <w:rsid w:val="008B4CF2"/>
    <w:rsid w:val="008B4D70"/>
    <w:rsid w:val="008B4F8C"/>
    <w:rsid w:val="008B50A2"/>
    <w:rsid w:val="008B524B"/>
    <w:rsid w:val="008B5AFA"/>
    <w:rsid w:val="008B5DDB"/>
    <w:rsid w:val="008B5F73"/>
    <w:rsid w:val="008B62AD"/>
    <w:rsid w:val="008B67CA"/>
    <w:rsid w:val="008B6C41"/>
    <w:rsid w:val="008B6E3F"/>
    <w:rsid w:val="008B6FE6"/>
    <w:rsid w:val="008B703A"/>
    <w:rsid w:val="008B723C"/>
    <w:rsid w:val="008B7316"/>
    <w:rsid w:val="008B7DCE"/>
    <w:rsid w:val="008C025D"/>
    <w:rsid w:val="008C0379"/>
    <w:rsid w:val="008C03CF"/>
    <w:rsid w:val="008C0731"/>
    <w:rsid w:val="008C0916"/>
    <w:rsid w:val="008C0EDE"/>
    <w:rsid w:val="008C0F18"/>
    <w:rsid w:val="008C12A4"/>
    <w:rsid w:val="008C1605"/>
    <w:rsid w:val="008C17A4"/>
    <w:rsid w:val="008C1C79"/>
    <w:rsid w:val="008C1C9F"/>
    <w:rsid w:val="008C20D6"/>
    <w:rsid w:val="008C2A33"/>
    <w:rsid w:val="008C2D9A"/>
    <w:rsid w:val="008C2F6C"/>
    <w:rsid w:val="008C32C8"/>
    <w:rsid w:val="008C375C"/>
    <w:rsid w:val="008C3838"/>
    <w:rsid w:val="008C38E7"/>
    <w:rsid w:val="008C391E"/>
    <w:rsid w:val="008C3984"/>
    <w:rsid w:val="008C3B10"/>
    <w:rsid w:val="008C41B5"/>
    <w:rsid w:val="008C4704"/>
    <w:rsid w:val="008C4955"/>
    <w:rsid w:val="008C4B3C"/>
    <w:rsid w:val="008C4D0F"/>
    <w:rsid w:val="008C4F64"/>
    <w:rsid w:val="008C547F"/>
    <w:rsid w:val="008C57E9"/>
    <w:rsid w:val="008C6993"/>
    <w:rsid w:val="008C6AC5"/>
    <w:rsid w:val="008C6B05"/>
    <w:rsid w:val="008C6D9A"/>
    <w:rsid w:val="008C6F50"/>
    <w:rsid w:val="008C7161"/>
    <w:rsid w:val="008C72B8"/>
    <w:rsid w:val="008C72E6"/>
    <w:rsid w:val="008C7D60"/>
    <w:rsid w:val="008D0211"/>
    <w:rsid w:val="008D09CB"/>
    <w:rsid w:val="008D09F3"/>
    <w:rsid w:val="008D0CC5"/>
    <w:rsid w:val="008D0CFC"/>
    <w:rsid w:val="008D0F26"/>
    <w:rsid w:val="008D1115"/>
    <w:rsid w:val="008D153A"/>
    <w:rsid w:val="008D19F3"/>
    <w:rsid w:val="008D1E40"/>
    <w:rsid w:val="008D2369"/>
    <w:rsid w:val="008D23CD"/>
    <w:rsid w:val="008D2908"/>
    <w:rsid w:val="008D2A94"/>
    <w:rsid w:val="008D2D58"/>
    <w:rsid w:val="008D2DEF"/>
    <w:rsid w:val="008D2ECC"/>
    <w:rsid w:val="008D3183"/>
    <w:rsid w:val="008D329D"/>
    <w:rsid w:val="008D3C87"/>
    <w:rsid w:val="008D3C90"/>
    <w:rsid w:val="008D3D04"/>
    <w:rsid w:val="008D414C"/>
    <w:rsid w:val="008D44C0"/>
    <w:rsid w:val="008D4652"/>
    <w:rsid w:val="008D4681"/>
    <w:rsid w:val="008D46D0"/>
    <w:rsid w:val="008D4C1F"/>
    <w:rsid w:val="008D4CBA"/>
    <w:rsid w:val="008D4D98"/>
    <w:rsid w:val="008D4EDF"/>
    <w:rsid w:val="008D4F3C"/>
    <w:rsid w:val="008D5077"/>
    <w:rsid w:val="008D5235"/>
    <w:rsid w:val="008D5540"/>
    <w:rsid w:val="008D55A3"/>
    <w:rsid w:val="008D58FF"/>
    <w:rsid w:val="008D5E4B"/>
    <w:rsid w:val="008D61D4"/>
    <w:rsid w:val="008D63B2"/>
    <w:rsid w:val="008D695A"/>
    <w:rsid w:val="008D6C57"/>
    <w:rsid w:val="008D6E33"/>
    <w:rsid w:val="008D711C"/>
    <w:rsid w:val="008D7378"/>
    <w:rsid w:val="008D73CE"/>
    <w:rsid w:val="008D798E"/>
    <w:rsid w:val="008E051E"/>
    <w:rsid w:val="008E078F"/>
    <w:rsid w:val="008E07A8"/>
    <w:rsid w:val="008E08BD"/>
    <w:rsid w:val="008E0B85"/>
    <w:rsid w:val="008E0C60"/>
    <w:rsid w:val="008E0D42"/>
    <w:rsid w:val="008E1267"/>
    <w:rsid w:val="008E1A94"/>
    <w:rsid w:val="008E1AE3"/>
    <w:rsid w:val="008E1BB3"/>
    <w:rsid w:val="008E1F17"/>
    <w:rsid w:val="008E2533"/>
    <w:rsid w:val="008E2673"/>
    <w:rsid w:val="008E286A"/>
    <w:rsid w:val="008E2C6F"/>
    <w:rsid w:val="008E3023"/>
    <w:rsid w:val="008E3034"/>
    <w:rsid w:val="008E31EB"/>
    <w:rsid w:val="008E32EB"/>
    <w:rsid w:val="008E35DD"/>
    <w:rsid w:val="008E376B"/>
    <w:rsid w:val="008E37BA"/>
    <w:rsid w:val="008E39C4"/>
    <w:rsid w:val="008E3A1E"/>
    <w:rsid w:val="008E3B0D"/>
    <w:rsid w:val="008E3F2B"/>
    <w:rsid w:val="008E40A1"/>
    <w:rsid w:val="008E444C"/>
    <w:rsid w:val="008E4566"/>
    <w:rsid w:val="008E467F"/>
    <w:rsid w:val="008E468E"/>
    <w:rsid w:val="008E4B78"/>
    <w:rsid w:val="008E4E41"/>
    <w:rsid w:val="008E5078"/>
    <w:rsid w:val="008E517A"/>
    <w:rsid w:val="008E530A"/>
    <w:rsid w:val="008E53B4"/>
    <w:rsid w:val="008E53DD"/>
    <w:rsid w:val="008E645A"/>
    <w:rsid w:val="008E6698"/>
    <w:rsid w:val="008E6711"/>
    <w:rsid w:val="008E685E"/>
    <w:rsid w:val="008E6953"/>
    <w:rsid w:val="008E6B53"/>
    <w:rsid w:val="008E6B95"/>
    <w:rsid w:val="008E70FF"/>
    <w:rsid w:val="008E7634"/>
    <w:rsid w:val="008E772A"/>
    <w:rsid w:val="008E7746"/>
    <w:rsid w:val="008E79B8"/>
    <w:rsid w:val="008E7E5F"/>
    <w:rsid w:val="008F027E"/>
    <w:rsid w:val="008F0526"/>
    <w:rsid w:val="008F09C2"/>
    <w:rsid w:val="008F0D36"/>
    <w:rsid w:val="008F1127"/>
    <w:rsid w:val="008F11A4"/>
    <w:rsid w:val="008F11C9"/>
    <w:rsid w:val="008F121B"/>
    <w:rsid w:val="008F1295"/>
    <w:rsid w:val="008F132B"/>
    <w:rsid w:val="008F1532"/>
    <w:rsid w:val="008F1565"/>
    <w:rsid w:val="008F158D"/>
    <w:rsid w:val="008F1FDE"/>
    <w:rsid w:val="008F212F"/>
    <w:rsid w:val="008F2284"/>
    <w:rsid w:val="008F22EC"/>
    <w:rsid w:val="008F241C"/>
    <w:rsid w:val="008F25F4"/>
    <w:rsid w:val="008F2724"/>
    <w:rsid w:val="008F27F2"/>
    <w:rsid w:val="008F2896"/>
    <w:rsid w:val="008F2CF2"/>
    <w:rsid w:val="008F2E36"/>
    <w:rsid w:val="008F3B6E"/>
    <w:rsid w:val="008F3B9D"/>
    <w:rsid w:val="008F3D27"/>
    <w:rsid w:val="008F3D65"/>
    <w:rsid w:val="008F3EDE"/>
    <w:rsid w:val="008F4357"/>
    <w:rsid w:val="008F463E"/>
    <w:rsid w:val="008F4885"/>
    <w:rsid w:val="008F48AC"/>
    <w:rsid w:val="008F497A"/>
    <w:rsid w:val="008F4A0D"/>
    <w:rsid w:val="008F5306"/>
    <w:rsid w:val="008F5790"/>
    <w:rsid w:val="008F5BCB"/>
    <w:rsid w:val="008F65C4"/>
    <w:rsid w:val="008F6967"/>
    <w:rsid w:val="008F6BF1"/>
    <w:rsid w:val="008F6FFA"/>
    <w:rsid w:val="008F7540"/>
    <w:rsid w:val="008F792F"/>
    <w:rsid w:val="008F7C07"/>
    <w:rsid w:val="00900F45"/>
    <w:rsid w:val="0090188C"/>
    <w:rsid w:val="00901A59"/>
    <w:rsid w:val="009020C0"/>
    <w:rsid w:val="00902235"/>
    <w:rsid w:val="00902582"/>
    <w:rsid w:val="00902849"/>
    <w:rsid w:val="00902921"/>
    <w:rsid w:val="00902E1E"/>
    <w:rsid w:val="0090342C"/>
    <w:rsid w:val="009035D7"/>
    <w:rsid w:val="00903B98"/>
    <w:rsid w:val="00903DD0"/>
    <w:rsid w:val="00903DDF"/>
    <w:rsid w:val="00903FF0"/>
    <w:rsid w:val="00904015"/>
    <w:rsid w:val="00904215"/>
    <w:rsid w:val="00904900"/>
    <w:rsid w:val="00904B90"/>
    <w:rsid w:val="00904CE7"/>
    <w:rsid w:val="00904EA4"/>
    <w:rsid w:val="00905A7F"/>
    <w:rsid w:val="00906428"/>
    <w:rsid w:val="0090652E"/>
    <w:rsid w:val="009069D3"/>
    <w:rsid w:val="00906D23"/>
    <w:rsid w:val="00906D7D"/>
    <w:rsid w:val="00907343"/>
    <w:rsid w:val="009075D4"/>
    <w:rsid w:val="00907875"/>
    <w:rsid w:val="00907936"/>
    <w:rsid w:val="00910130"/>
    <w:rsid w:val="009103B6"/>
    <w:rsid w:val="009105C1"/>
    <w:rsid w:val="00911218"/>
    <w:rsid w:val="009116FB"/>
    <w:rsid w:val="00911978"/>
    <w:rsid w:val="0091238B"/>
    <w:rsid w:val="00912660"/>
    <w:rsid w:val="009127FD"/>
    <w:rsid w:val="009128C8"/>
    <w:rsid w:val="009128D7"/>
    <w:rsid w:val="00912FFA"/>
    <w:rsid w:val="00913B52"/>
    <w:rsid w:val="00913C43"/>
    <w:rsid w:val="00913D5D"/>
    <w:rsid w:val="00913E03"/>
    <w:rsid w:val="00913F7F"/>
    <w:rsid w:val="009140EE"/>
    <w:rsid w:val="00914E6E"/>
    <w:rsid w:val="00914FC8"/>
    <w:rsid w:val="0091506A"/>
    <w:rsid w:val="00915208"/>
    <w:rsid w:val="00915752"/>
    <w:rsid w:val="00915832"/>
    <w:rsid w:val="00915A17"/>
    <w:rsid w:val="009161FE"/>
    <w:rsid w:val="009162CC"/>
    <w:rsid w:val="0091657F"/>
    <w:rsid w:val="009166DF"/>
    <w:rsid w:val="009171C3"/>
    <w:rsid w:val="009172C4"/>
    <w:rsid w:val="00917533"/>
    <w:rsid w:val="00917608"/>
    <w:rsid w:val="00917656"/>
    <w:rsid w:val="009176AE"/>
    <w:rsid w:val="00917AB0"/>
    <w:rsid w:val="0092005F"/>
    <w:rsid w:val="009203DD"/>
    <w:rsid w:val="0092063D"/>
    <w:rsid w:val="009208E1"/>
    <w:rsid w:val="009209EE"/>
    <w:rsid w:val="00920B7B"/>
    <w:rsid w:val="00920D8B"/>
    <w:rsid w:val="00920FD4"/>
    <w:rsid w:val="00921531"/>
    <w:rsid w:val="00921707"/>
    <w:rsid w:val="00921766"/>
    <w:rsid w:val="0092197E"/>
    <w:rsid w:val="00921EF3"/>
    <w:rsid w:val="00921F32"/>
    <w:rsid w:val="00921FD4"/>
    <w:rsid w:val="009220C7"/>
    <w:rsid w:val="00922312"/>
    <w:rsid w:val="009223E6"/>
    <w:rsid w:val="009224B3"/>
    <w:rsid w:val="00922732"/>
    <w:rsid w:val="00922B1C"/>
    <w:rsid w:val="00922C0C"/>
    <w:rsid w:val="00923127"/>
    <w:rsid w:val="00923179"/>
    <w:rsid w:val="009234D9"/>
    <w:rsid w:val="009236F9"/>
    <w:rsid w:val="00923C9A"/>
    <w:rsid w:val="009240EF"/>
    <w:rsid w:val="009241C0"/>
    <w:rsid w:val="0092422A"/>
    <w:rsid w:val="00924251"/>
    <w:rsid w:val="00924306"/>
    <w:rsid w:val="00924760"/>
    <w:rsid w:val="0092486D"/>
    <w:rsid w:val="009249C3"/>
    <w:rsid w:val="00924D2B"/>
    <w:rsid w:val="00925AD6"/>
    <w:rsid w:val="0092667F"/>
    <w:rsid w:val="00926CAA"/>
    <w:rsid w:val="0092710B"/>
    <w:rsid w:val="009274FC"/>
    <w:rsid w:val="009277B2"/>
    <w:rsid w:val="00927A6D"/>
    <w:rsid w:val="00927B91"/>
    <w:rsid w:val="00927D34"/>
    <w:rsid w:val="00927EBD"/>
    <w:rsid w:val="00927F61"/>
    <w:rsid w:val="009304DF"/>
    <w:rsid w:val="00930556"/>
    <w:rsid w:val="00930A4D"/>
    <w:rsid w:val="0093132D"/>
    <w:rsid w:val="0093140A"/>
    <w:rsid w:val="00931488"/>
    <w:rsid w:val="00931B17"/>
    <w:rsid w:val="00931BC0"/>
    <w:rsid w:val="00931EE4"/>
    <w:rsid w:val="00932480"/>
    <w:rsid w:val="0093261A"/>
    <w:rsid w:val="00932A12"/>
    <w:rsid w:val="00932B6A"/>
    <w:rsid w:val="00933860"/>
    <w:rsid w:val="009339F1"/>
    <w:rsid w:val="00933CB1"/>
    <w:rsid w:val="009341FF"/>
    <w:rsid w:val="009342B5"/>
    <w:rsid w:val="009345A5"/>
    <w:rsid w:val="0093475E"/>
    <w:rsid w:val="009347EF"/>
    <w:rsid w:val="0093491D"/>
    <w:rsid w:val="009349FC"/>
    <w:rsid w:val="00934BAA"/>
    <w:rsid w:val="00934C30"/>
    <w:rsid w:val="00934ED1"/>
    <w:rsid w:val="00935111"/>
    <w:rsid w:val="009359C2"/>
    <w:rsid w:val="00935A58"/>
    <w:rsid w:val="00935BE6"/>
    <w:rsid w:val="00935C21"/>
    <w:rsid w:val="00935ED7"/>
    <w:rsid w:val="0093636D"/>
    <w:rsid w:val="009363E5"/>
    <w:rsid w:val="00936436"/>
    <w:rsid w:val="00936534"/>
    <w:rsid w:val="009367E4"/>
    <w:rsid w:val="0093681F"/>
    <w:rsid w:val="00936896"/>
    <w:rsid w:val="009368BC"/>
    <w:rsid w:val="00936949"/>
    <w:rsid w:val="00936A38"/>
    <w:rsid w:val="00936ABE"/>
    <w:rsid w:val="00936BC0"/>
    <w:rsid w:val="00936D3E"/>
    <w:rsid w:val="00937488"/>
    <w:rsid w:val="0093766A"/>
    <w:rsid w:val="00937736"/>
    <w:rsid w:val="00937834"/>
    <w:rsid w:val="00937885"/>
    <w:rsid w:val="00937A50"/>
    <w:rsid w:val="00937A90"/>
    <w:rsid w:val="009401C9"/>
    <w:rsid w:val="00940467"/>
    <w:rsid w:val="009404B5"/>
    <w:rsid w:val="0094075C"/>
    <w:rsid w:val="0094094E"/>
    <w:rsid w:val="00940BBC"/>
    <w:rsid w:val="00940BC4"/>
    <w:rsid w:val="00940F24"/>
    <w:rsid w:val="00941029"/>
    <w:rsid w:val="00941066"/>
    <w:rsid w:val="0094165C"/>
    <w:rsid w:val="00941928"/>
    <w:rsid w:val="00941972"/>
    <w:rsid w:val="00941AE8"/>
    <w:rsid w:val="00941CB9"/>
    <w:rsid w:val="00941D71"/>
    <w:rsid w:val="00941F8E"/>
    <w:rsid w:val="0094231C"/>
    <w:rsid w:val="009423AB"/>
    <w:rsid w:val="00942788"/>
    <w:rsid w:val="009427ED"/>
    <w:rsid w:val="00942EB4"/>
    <w:rsid w:val="00942FBB"/>
    <w:rsid w:val="009438B6"/>
    <w:rsid w:val="00943E1C"/>
    <w:rsid w:val="0094402E"/>
    <w:rsid w:val="00944051"/>
    <w:rsid w:val="00944AE7"/>
    <w:rsid w:val="00944AF0"/>
    <w:rsid w:val="0094509C"/>
    <w:rsid w:val="00945334"/>
    <w:rsid w:val="00946653"/>
    <w:rsid w:val="00947150"/>
    <w:rsid w:val="0094720B"/>
    <w:rsid w:val="009473EB"/>
    <w:rsid w:val="0094791D"/>
    <w:rsid w:val="00947A9A"/>
    <w:rsid w:val="00947CBC"/>
    <w:rsid w:val="00950008"/>
    <w:rsid w:val="00950035"/>
    <w:rsid w:val="009500C9"/>
    <w:rsid w:val="0095041F"/>
    <w:rsid w:val="009504AD"/>
    <w:rsid w:val="00950905"/>
    <w:rsid w:val="0095096E"/>
    <w:rsid w:val="009509C1"/>
    <w:rsid w:val="00950A45"/>
    <w:rsid w:val="009510B5"/>
    <w:rsid w:val="009510BC"/>
    <w:rsid w:val="00951B44"/>
    <w:rsid w:val="00951D88"/>
    <w:rsid w:val="00951F81"/>
    <w:rsid w:val="0095227B"/>
    <w:rsid w:val="009526E5"/>
    <w:rsid w:val="00952780"/>
    <w:rsid w:val="009527F2"/>
    <w:rsid w:val="00952918"/>
    <w:rsid w:val="00952A8C"/>
    <w:rsid w:val="00952AC3"/>
    <w:rsid w:val="00952B5E"/>
    <w:rsid w:val="00952F92"/>
    <w:rsid w:val="009536B4"/>
    <w:rsid w:val="009541E1"/>
    <w:rsid w:val="00954566"/>
    <w:rsid w:val="0095497D"/>
    <w:rsid w:val="009549AF"/>
    <w:rsid w:val="00954C8C"/>
    <w:rsid w:val="00954FA1"/>
    <w:rsid w:val="00955031"/>
    <w:rsid w:val="00955B67"/>
    <w:rsid w:val="00955CAC"/>
    <w:rsid w:val="009564CF"/>
    <w:rsid w:val="009566C8"/>
    <w:rsid w:val="009567F4"/>
    <w:rsid w:val="0095706D"/>
    <w:rsid w:val="00957622"/>
    <w:rsid w:val="009576B9"/>
    <w:rsid w:val="00957865"/>
    <w:rsid w:val="009579D5"/>
    <w:rsid w:val="00957EEA"/>
    <w:rsid w:val="0096000F"/>
    <w:rsid w:val="009602E9"/>
    <w:rsid w:val="009603CE"/>
    <w:rsid w:val="00960708"/>
    <w:rsid w:val="00960932"/>
    <w:rsid w:val="00960BCA"/>
    <w:rsid w:val="00960C04"/>
    <w:rsid w:val="00960F65"/>
    <w:rsid w:val="009612C9"/>
    <w:rsid w:val="009613A8"/>
    <w:rsid w:val="00961C0C"/>
    <w:rsid w:val="00961C21"/>
    <w:rsid w:val="00961F65"/>
    <w:rsid w:val="009622D2"/>
    <w:rsid w:val="00962542"/>
    <w:rsid w:val="0096298E"/>
    <w:rsid w:val="00962ABD"/>
    <w:rsid w:val="00962D02"/>
    <w:rsid w:val="00962D8B"/>
    <w:rsid w:val="00962F28"/>
    <w:rsid w:val="00962FA7"/>
    <w:rsid w:val="00962FD2"/>
    <w:rsid w:val="0096310F"/>
    <w:rsid w:val="0096357D"/>
    <w:rsid w:val="009637F6"/>
    <w:rsid w:val="00963B72"/>
    <w:rsid w:val="00963D71"/>
    <w:rsid w:val="00964124"/>
    <w:rsid w:val="00964279"/>
    <w:rsid w:val="009642E8"/>
    <w:rsid w:val="009645B3"/>
    <w:rsid w:val="0096471C"/>
    <w:rsid w:val="00964A7C"/>
    <w:rsid w:val="0096510F"/>
    <w:rsid w:val="009651EC"/>
    <w:rsid w:val="00966005"/>
    <w:rsid w:val="00966183"/>
    <w:rsid w:val="0096653A"/>
    <w:rsid w:val="009669D3"/>
    <w:rsid w:val="00966D92"/>
    <w:rsid w:val="00966EE9"/>
    <w:rsid w:val="00966F23"/>
    <w:rsid w:val="009670C0"/>
    <w:rsid w:val="00967205"/>
    <w:rsid w:val="00967557"/>
    <w:rsid w:val="00967674"/>
    <w:rsid w:val="009676C9"/>
    <w:rsid w:val="00967B42"/>
    <w:rsid w:val="00967CEA"/>
    <w:rsid w:val="00967EE5"/>
    <w:rsid w:val="009705BE"/>
    <w:rsid w:val="00970771"/>
    <w:rsid w:val="00970896"/>
    <w:rsid w:val="00970CD8"/>
    <w:rsid w:val="00971447"/>
    <w:rsid w:val="0097161E"/>
    <w:rsid w:val="00972338"/>
    <w:rsid w:val="00972FA7"/>
    <w:rsid w:val="009730B0"/>
    <w:rsid w:val="00973437"/>
    <w:rsid w:val="00973B72"/>
    <w:rsid w:val="00973EDA"/>
    <w:rsid w:val="00974282"/>
    <w:rsid w:val="00974299"/>
    <w:rsid w:val="0097445D"/>
    <w:rsid w:val="00974542"/>
    <w:rsid w:val="009747CE"/>
    <w:rsid w:val="009750EB"/>
    <w:rsid w:val="00975474"/>
    <w:rsid w:val="00975AD8"/>
    <w:rsid w:val="00976102"/>
    <w:rsid w:val="0097610D"/>
    <w:rsid w:val="00976267"/>
    <w:rsid w:val="00976660"/>
    <w:rsid w:val="009767C1"/>
    <w:rsid w:val="009768F2"/>
    <w:rsid w:val="00976DDE"/>
    <w:rsid w:val="00976FC2"/>
    <w:rsid w:val="00977183"/>
    <w:rsid w:val="009772BF"/>
    <w:rsid w:val="0097734B"/>
    <w:rsid w:val="0097782B"/>
    <w:rsid w:val="009779C3"/>
    <w:rsid w:val="00977E62"/>
    <w:rsid w:val="00977FCD"/>
    <w:rsid w:val="0098006D"/>
    <w:rsid w:val="00980162"/>
    <w:rsid w:val="00980692"/>
    <w:rsid w:val="009808EF"/>
    <w:rsid w:val="00980A77"/>
    <w:rsid w:val="00980AAD"/>
    <w:rsid w:val="009810CE"/>
    <w:rsid w:val="0098121F"/>
    <w:rsid w:val="0098139A"/>
    <w:rsid w:val="00981476"/>
    <w:rsid w:val="0098183A"/>
    <w:rsid w:val="00981AC7"/>
    <w:rsid w:val="00981E1C"/>
    <w:rsid w:val="0098216C"/>
    <w:rsid w:val="009823FA"/>
    <w:rsid w:val="00982403"/>
    <w:rsid w:val="009824CE"/>
    <w:rsid w:val="0098346A"/>
    <w:rsid w:val="00983549"/>
    <w:rsid w:val="00983555"/>
    <w:rsid w:val="00983D0A"/>
    <w:rsid w:val="00983FEC"/>
    <w:rsid w:val="00984128"/>
    <w:rsid w:val="00984131"/>
    <w:rsid w:val="0098414A"/>
    <w:rsid w:val="00984387"/>
    <w:rsid w:val="009844C2"/>
    <w:rsid w:val="0098465D"/>
    <w:rsid w:val="00984A1D"/>
    <w:rsid w:val="00984A7A"/>
    <w:rsid w:val="009850BA"/>
    <w:rsid w:val="00985415"/>
    <w:rsid w:val="00985555"/>
    <w:rsid w:val="009857E7"/>
    <w:rsid w:val="00985825"/>
    <w:rsid w:val="0098596A"/>
    <w:rsid w:val="00985ACB"/>
    <w:rsid w:val="00985B09"/>
    <w:rsid w:val="00985F41"/>
    <w:rsid w:val="00986376"/>
    <w:rsid w:val="00986709"/>
    <w:rsid w:val="00986820"/>
    <w:rsid w:val="00986CBD"/>
    <w:rsid w:val="00986EBB"/>
    <w:rsid w:val="00986FA5"/>
    <w:rsid w:val="009872B3"/>
    <w:rsid w:val="009873E1"/>
    <w:rsid w:val="00987512"/>
    <w:rsid w:val="00987749"/>
    <w:rsid w:val="0098776A"/>
    <w:rsid w:val="00987CB3"/>
    <w:rsid w:val="00987D45"/>
    <w:rsid w:val="00987D85"/>
    <w:rsid w:val="00987DED"/>
    <w:rsid w:val="00987F6C"/>
    <w:rsid w:val="00990066"/>
    <w:rsid w:val="009902C2"/>
    <w:rsid w:val="00990A40"/>
    <w:rsid w:val="00990EB7"/>
    <w:rsid w:val="009913B8"/>
    <w:rsid w:val="00992350"/>
    <w:rsid w:val="0099265C"/>
    <w:rsid w:val="00992846"/>
    <w:rsid w:val="00992F0D"/>
    <w:rsid w:val="00992F13"/>
    <w:rsid w:val="00992FB4"/>
    <w:rsid w:val="00992FC3"/>
    <w:rsid w:val="00993538"/>
    <w:rsid w:val="009936B0"/>
    <w:rsid w:val="00993C1F"/>
    <w:rsid w:val="00993E07"/>
    <w:rsid w:val="00993F6B"/>
    <w:rsid w:val="00994296"/>
    <w:rsid w:val="009942C9"/>
    <w:rsid w:val="00994360"/>
    <w:rsid w:val="00994633"/>
    <w:rsid w:val="0099479E"/>
    <w:rsid w:val="009947EA"/>
    <w:rsid w:val="00994E00"/>
    <w:rsid w:val="009951B8"/>
    <w:rsid w:val="0099535A"/>
    <w:rsid w:val="0099551F"/>
    <w:rsid w:val="009955BC"/>
    <w:rsid w:val="009958D0"/>
    <w:rsid w:val="00995A19"/>
    <w:rsid w:val="00995A26"/>
    <w:rsid w:val="009963BE"/>
    <w:rsid w:val="00996588"/>
    <w:rsid w:val="00996591"/>
    <w:rsid w:val="00996987"/>
    <w:rsid w:val="00996A18"/>
    <w:rsid w:val="00996AC7"/>
    <w:rsid w:val="00996E10"/>
    <w:rsid w:val="009970C9"/>
    <w:rsid w:val="0099730C"/>
    <w:rsid w:val="00997A5A"/>
    <w:rsid w:val="00997A63"/>
    <w:rsid w:val="00997FDD"/>
    <w:rsid w:val="009A0163"/>
    <w:rsid w:val="009A035A"/>
    <w:rsid w:val="009A038F"/>
    <w:rsid w:val="009A08B1"/>
    <w:rsid w:val="009A0AC7"/>
    <w:rsid w:val="009A0E1C"/>
    <w:rsid w:val="009A1099"/>
    <w:rsid w:val="009A1371"/>
    <w:rsid w:val="009A1615"/>
    <w:rsid w:val="009A1A90"/>
    <w:rsid w:val="009A1B22"/>
    <w:rsid w:val="009A1B39"/>
    <w:rsid w:val="009A210F"/>
    <w:rsid w:val="009A2152"/>
    <w:rsid w:val="009A263C"/>
    <w:rsid w:val="009A27F3"/>
    <w:rsid w:val="009A2A0A"/>
    <w:rsid w:val="009A2C5A"/>
    <w:rsid w:val="009A3109"/>
    <w:rsid w:val="009A31E9"/>
    <w:rsid w:val="009A3344"/>
    <w:rsid w:val="009A3AC5"/>
    <w:rsid w:val="009A3AFF"/>
    <w:rsid w:val="009A3E42"/>
    <w:rsid w:val="009A3E82"/>
    <w:rsid w:val="009A4086"/>
    <w:rsid w:val="009A4101"/>
    <w:rsid w:val="009A4264"/>
    <w:rsid w:val="009A453E"/>
    <w:rsid w:val="009A454E"/>
    <w:rsid w:val="009A4717"/>
    <w:rsid w:val="009A4F9E"/>
    <w:rsid w:val="009A560E"/>
    <w:rsid w:val="009A5C73"/>
    <w:rsid w:val="009A5CAF"/>
    <w:rsid w:val="009A6743"/>
    <w:rsid w:val="009A68F7"/>
    <w:rsid w:val="009A6AB3"/>
    <w:rsid w:val="009A6DC0"/>
    <w:rsid w:val="009A7157"/>
    <w:rsid w:val="009A7256"/>
    <w:rsid w:val="009A7635"/>
    <w:rsid w:val="009A7A65"/>
    <w:rsid w:val="009A7ADC"/>
    <w:rsid w:val="009A7BDF"/>
    <w:rsid w:val="009A7EF5"/>
    <w:rsid w:val="009A7F73"/>
    <w:rsid w:val="009B01BA"/>
    <w:rsid w:val="009B0509"/>
    <w:rsid w:val="009B0771"/>
    <w:rsid w:val="009B0AE1"/>
    <w:rsid w:val="009B0C6C"/>
    <w:rsid w:val="009B13EC"/>
    <w:rsid w:val="009B158B"/>
    <w:rsid w:val="009B1747"/>
    <w:rsid w:val="009B1983"/>
    <w:rsid w:val="009B2125"/>
    <w:rsid w:val="009B2CF7"/>
    <w:rsid w:val="009B2F2C"/>
    <w:rsid w:val="009B31CC"/>
    <w:rsid w:val="009B3C03"/>
    <w:rsid w:val="009B3C4F"/>
    <w:rsid w:val="009B3D63"/>
    <w:rsid w:val="009B3E23"/>
    <w:rsid w:val="009B3F69"/>
    <w:rsid w:val="009B476F"/>
    <w:rsid w:val="009B484B"/>
    <w:rsid w:val="009B4AA9"/>
    <w:rsid w:val="009B4ACE"/>
    <w:rsid w:val="009B4D9F"/>
    <w:rsid w:val="009B52A2"/>
    <w:rsid w:val="009B53BA"/>
    <w:rsid w:val="009B571A"/>
    <w:rsid w:val="009B573B"/>
    <w:rsid w:val="009B5790"/>
    <w:rsid w:val="009B57E3"/>
    <w:rsid w:val="009B584C"/>
    <w:rsid w:val="009B5B76"/>
    <w:rsid w:val="009B5DB4"/>
    <w:rsid w:val="009B60DE"/>
    <w:rsid w:val="009B68D2"/>
    <w:rsid w:val="009B698A"/>
    <w:rsid w:val="009B72BE"/>
    <w:rsid w:val="009B785B"/>
    <w:rsid w:val="009B796F"/>
    <w:rsid w:val="009B7C18"/>
    <w:rsid w:val="009B7F15"/>
    <w:rsid w:val="009C01D0"/>
    <w:rsid w:val="009C025A"/>
    <w:rsid w:val="009C0384"/>
    <w:rsid w:val="009C086B"/>
    <w:rsid w:val="009C08CA"/>
    <w:rsid w:val="009C0997"/>
    <w:rsid w:val="009C09F1"/>
    <w:rsid w:val="009C0C65"/>
    <w:rsid w:val="009C0EE9"/>
    <w:rsid w:val="009C0F50"/>
    <w:rsid w:val="009C106B"/>
    <w:rsid w:val="009C1358"/>
    <w:rsid w:val="009C20B4"/>
    <w:rsid w:val="009C229B"/>
    <w:rsid w:val="009C23DE"/>
    <w:rsid w:val="009C27DE"/>
    <w:rsid w:val="009C2A8B"/>
    <w:rsid w:val="009C2AA9"/>
    <w:rsid w:val="009C2D11"/>
    <w:rsid w:val="009C2E53"/>
    <w:rsid w:val="009C325D"/>
    <w:rsid w:val="009C33D6"/>
    <w:rsid w:val="009C35DD"/>
    <w:rsid w:val="009C43AA"/>
    <w:rsid w:val="009C4533"/>
    <w:rsid w:val="009C4837"/>
    <w:rsid w:val="009C484D"/>
    <w:rsid w:val="009C4A44"/>
    <w:rsid w:val="009C4AF2"/>
    <w:rsid w:val="009C4D1A"/>
    <w:rsid w:val="009C4E5C"/>
    <w:rsid w:val="009C50B0"/>
    <w:rsid w:val="009C50CD"/>
    <w:rsid w:val="009C5446"/>
    <w:rsid w:val="009C588F"/>
    <w:rsid w:val="009C5BCC"/>
    <w:rsid w:val="009C5D56"/>
    <w:rsid w:val="009C6098"/>
    <w:rsid w:val="009C61D1"/>
    <w:rsid w:val="009C6346"/>
    <w:rsid w:val="009C63F6"/>
    <w:rsid w:val="009C72C0"/>
    <w:rsid w:val="009C72E7"/>
    <w:rsid w:val="009C75CD"/>
    <w:rsid w:val="009C77DE"/>
    <w:rsid w:val="009C7C4F"/>
    <w:rsid w:val="009D0123"/>
    <w:rsid w:val="009D0BEB"/>
    <w:rsid w:val="009D0DBC"/>
    <w:rsid w:val="009D0FF5"/>
    <w:rsid w:val="009D15D1"/>
    <w:rsid w:val="009D15DF"/>
    <w:rsid w:val="009D1AD9"/>
    <w:rsid w:val="009D1B9B"/>
    <w:rsid w:val="009D1E0D"/>
    <w:rsid w:val="009D21C1"/>
    <w:rsid w:val="009D22D1"/>
    <w:rsid w:val="009D241F"/>
    <w:rsid w:val="009D282F"/>
    <w:rsid w:val="009D2A98"/>
    <w:rsid w:val="009D2B62"/>
    <w:rsid w:val="009D2F42"/>
    <w:rsid w:val="009D3046"/>
    <w:rsid w:val="009D33DD"/>
    <w:rsid w:val="009D354C"/>
    <w:rsid w:val="009D37F5"/>
    <w:rsid w:val="009D3A68"/>
    <w:rsid w:val="009D3B0C"/>
    <w:rsid w:val="009D3B3C"/>
    <w:rsid w:val="009D4C84"/>
    <w:rsid w:val="009D4F3D"/>
    <w:rsid w:val="009D5128"/>
    <w:rsid w:val="009D5443"/>
    <w:rsid w:val="009D57D8"/>
    <w:rsid w:val="009D5A45"/>
    <w:rsid w:val="009D6272"/>
    <w:rsid w:val="009D667B"/>
    <w:rsid w:val="009D69C7"/>
    <w:rsid w:val="009D6A09"/>
    <w:rsid w:val="009D6C79"/>
    <w:rsid w:val="009D6CAA"/>
    <w:rsid w:val="009D70BF"/>
    <w:rsid w:val="009D71B0"/>
    <w:rsid w:val="009D795F"/>
    <w:rsid w:val="009D7DB6"/>
    <w:rsid w:val="009D7EF7"/>
    <w:rsid w:val="009E0384"/>
    <w:rsid w:val="009E0B5B"/>
    <w:rsid w:val="009E0B9D"/>
    <w:rsid w:val="009E0D9D"/>
    <w:rsid w:val="009E10E0"/>
    <w:rsid w:val="009E112B"/>
    <w:rsid w:val="009E13E9"/>
    <w:rsid w:val="009E1D0E"/>
    <w:rsid w:val="009E1FD8"/>
    <w:rsid w:val="009E214A"/>
    <w:rsid w:val="009E21FB"/>
    <w:rsid w:val="009E23AE"/>
    <w:rsid w:val="009E2442"/>
    <w:rsid w:val="009E25C6"/>
    <w:rsid w:val="009E27D5"/>
    <w:rsid w:val="009E2DCB"/>
    <w:rsid w:val="009E2E21"/>
    <w:rsid w:val="009E3234"/>
    <w:rsid w:val="009E3932"/>
    <w:rsid w:val="009E3A77"/>
    <w:rsid w:val="009E3C3C"/>
    <w:rsid w:val="009E3E33"/>
    <w:rsid w:val="009E3E5B"/>
    <w:rsid w:val="009E40BA"/>
    <w:rsid w:val="009E423E"/>
    <w:rsid w:val="009E4318"/>
    <w:rsid w:val="009E47C9"/>
    <w:rsid w:val="009E47CE"/>
    <w:rsid w:val="009E4923"/>
    <w:rsid w:val="009E576C"/>
    <w:rsid w:val="009E5B59"/>
    <w:rsid w:val="009E5F19"/>
    <w:rsid w:val="009E64A1"/>
    <w:rsid w:val="009E66D8"/>
    <w:rsid w:val="009E6B0F"/>
    <w:rsid w:val="009E6B18"/>
    <w:rsid w:val="009E6B3E"/>
    <w:rsid w:val="009E6B9F"/>
    <w:rsid w:val="009E6D05"/>
    <w:rsid w:val="009E71EF"/>
    <w:rsid w:val="009E7820"/>
    <w:rsid w:val="009E7A50"/>
    <w:rsid w:val="009E7A6B"/>
    <w:rsid w:val="009E7FE0"/>
    <w:rsid w:val="009F0080"/>
    <w:rsid w:val="009F0634"/>
    <w:rsid w:val="009F071B"/>
    <w:rsid w:val="009F0956"/>
    <w:rsid w:val="009F0A85"/>
    <w:rsid w:val="009F106C"/>
    <w:rsid w:val="009F1111"/>
    <w:rsid w:val="009F143C"/>
    <w:rsid w:val="009F181D"/>
    <w:rsid w:val="009F1828"/>
    <w:rsid w:val="009F1C22"/>
    <w:rsid w:val="009F238F"/>
    <w:rsid w:val="009F2E61"/>
    <w:rsid w:val="009F324B"/>
    <w:rsid w:val="009F383B"/>
    <w:rsid w:val="009F3995"/>
    <w:rsid w:val="009F3BE5"/>
    <w:rsid w:val="009F4175"/>
    <w:rsid w:val="009F41E2"/>
    <w:rsid w:val="009F457D"/>
    <w:rsid w:val="009F49F0"/>
    <w:rsid w:val="009F4F0E"/>
    <w:rsid w:val="009F4F55"/>
    <w:rsid w:val="009F5072"/>
    <w:rsid w:val="009F5149"/>
    <w:rsid w:val="009F52E7"/>
    <w:rsid w:val="009F57BB"/>
    <w:rsid w:val="009F5AAE"/>
    <w:rsid w:val="009F5AD8"/>
    <w:rsid w:val="009F5DAC"/>
    <w:rsid w:val="009F5EDC"/>
    <w:rsid w:val="009F5EEC"/>
    <w:rsid w:val="009F60D8"/>
    <w:rsid w:val="009F612E"/>
    <w:rsid w:val="009F61F1"/>
    <w:rsid w:val="009F671B"/>
    <w:rsid w:val="009F68F1"/>
    <w:rsid w:val="009F6AE0"/>
    <w:rsid w:val="009F6AE9"/>
    <w:rsid w:val="009F6CB7"/>
    <w:rsid w:val="009F6DFB"/>
    <w:rsid w:val="009F77CD"/>
    <w:rsid w:val="009F798E"/>
    <w:rsid w:val="00A00315"/>
    <w:rsid w:val="00A0055B"/>
    <w:rsid w:val="00A00755"/>
    <w:rsid w:val="00A00915"/>
    <w:rsid w:val="00A00929"/>
    <w:rsid w:val="00A00D0B"/>
    <w:rsid w:val="00A0103B"/>
    <w:rsid w:val="00A010BD"/>
    <w:rsid w:val="00A0130E"/>
    <w:rsid w:val="00A01458"/>
    <w:rsid w:val="00A014F2"/>
    <w:rsid w:val="00A01709"/>
    <w:rsid w:val="00A01880"/>
    <w:rsid w:val="00A01E6D"/>
    <w:rsid w:val="00A01EDE"/>
    <w:rsid w:val="00A02399"/>
    <w:rsid w:val="00A027FA"/>
    <w:rsid w:val="00A0286D"/>
    <w:rsid w:val="00A028DC"/>
    <w:rsid w:val="00A03152"/>
    <w:rsid w:val="00A035CF"/>
    <w:rsid w:val="00A0367B"/>
    <w:rsid w:val="00A037AB"/>
    <w:rsid w:val="00A03DD4"/>
    <w:rsid w:val="00A03F63"/>
    <w:rsid w:val="00A04140"/>
    <w:rsid w:val="00A04394"/>
    <w:rsid w:val="00A0463A"/>
    <w:rsid w:val="00A048C9"/>
    <w:rsid w:val="00A04A78"/>
    <w:rsid w:val="00A04D1A"/>
    <w:rsid w:val="00A05281"/>
    <w:rsid w:val="00A0561F"/>
    <w:rsid w:val="00A057C7"/>
    <w:rsid w:val="00A05972"/>
    <w:rsid w:val="00A05ABD"/>
    <w:rsid w:val="00A05ECF"/>
    <w:rsid w:val="00A06009"/>
    <w:rsid w:val="00A06E5B"/>
    <w:rsid w:val="00A074E9"/>
    <w:rsid w:val="00A075C5"/>
    <w:rsid w:val="00A076D3"/>
    <w:rsid w:val="00A0770D"/>
    <w:rsid w:val="00A07746"/>
    <w:rsid w:val="00A077D1"/>
    <w:rsid w:val="00A07DA8"/>
    <w:rsid w:val="00A07E7A"/>
    <w:rsid w:val="00A07EE7"/>
    <w:rsid w:val="00A10742"/>
    <w:rsid w:val="00A10B35"/>
    <w:rsid w:val="00A10EA6"/>
    <w:rsid w:val="00A1112E"/>
    <w:rsid w:val="00A11262"/>
    <w:rsid w:val="00A1155B"/>
    <w:rsid w:val="00A11580"/>
    <w:rsid w:val="00A115CC"/>
    <w:rsid w:val="00A11650"/>
    <w:rsid w:val="00A11B32"/>
    <w:rsid w:val="00A12311"/>
    <w:rsid w:val="00A1242A"/>
    <w:rsid w:val="00A125E5"/>
    <w:rsid w:val="00A12740"/>
    <w:rsid w:val="00A13533"/>
    <w:rsid w:val="00A1373B"/>
    <w:rsid w:val="00A137DA"/>
    <w:rsid w:val="00A13866"/>
    <w:rsid w:val="00A13C03"/>
    <w:rsid w:val="00A13D33"/>
    <w:rsid w:val="00A13F4C"/>
    <w:rsid w:val="00A141E0"/>
    <w:rsid w:val="00A144E3"/>
    <w:rsid w:val="00A1471B"/>
    <w:rsid w:val="00A14B97"/>
    <w:rsid w:val="00A15151"/>
    <w:rsid w:val="00A15872"/>
    <w:rsid w:val="00A16854"/>
    <w:rsid w:val="00A16908"/>
    <w:rsid w:val="00A16FFB"/>
    <w:rsid w:val="00A171C5"/>
    <w:rsid w:val="00A172DC"/>
    <w:rsid w:val="00A17975"/>
    <w:rsid w:val="00A17ECC"/>
    <w:rsid w:val="00A17F3C"/>
    <w:rsid w:val="00A20440"/>
    <w:rsid w:val="00A2092A"/>
    <w:rsid w:val="00A20A88"/>
    <w:rsid w:val="00A20CF9"/>
    <w:rsid w:val="00A212F7"/>
    <w:rsid w:val="00A21405"/>
    <w:rsid w:val="00A21841"/>
    <w:rsid w:val="00A21AD8"/>
    <w:rsid w:val="00A21B04"/>
    <w:rsid w:val="00A21BC0"/>
    <w:rsid w:val="00A21CB3"/>
    <w:rsid w:val="00A21F2C"/>
    <w:rsid w:val="00A21FD5"/>
    <w:rsid w:val="00A224E7"/>
    <w:rsid w:val="00A224F7"/>
    <w:rsid w:val="00A226F0"/>
    <w:rsid w:val="00A228A0"/>
    <w:rsid w:val="00A2293E"/>
    <w:rsid w:val="00A2355C"/>
    <w:rsid w:val="00A23678"/>
    <w:rsid w:val="00A23694"/>
    <w:rsid w:val="00A239F1"/>
    <w:rsid w:val="00A23C4B"/>
    <w:rsid w:val="00A23F3D"/>
    <w:rsid w:val="00A24141"/>
    <w:rsid w:val="00A245BF"/>
    <w:rsid w:val="00A24804"/>
    <w:rsid w:val="00A24912"/>
    <w:rsid w:val="00A24C83"/>
    <w:rsid w:val="00A24D2C"/>
    <w:rsid w:val="00A25286"/>
    <w:rsid w:val="00A252AB"/>
    <w:rsid w:val="00A2555D"/>
    <w:rsid w:val="00A2592E"/>
    <w:rsid w:val="00A259B7"/>
    <w:rsid w:val="00A25CE9"/>
    <w:rsid w:val="00A260AB"/>
    <w:rsid w:val="00A2624E"/>
    <w:rsid w:val="00A26808"/>
    <w:rsid w:val="00A26CEA"/>
    <w:rsid w:val="00A27856"/>
    <w:rsid w:val="00A27986"/>
    <w:rsid w:val="00A27D86"/>
    <w:rsid w:val="00A27E30"/>
    <w:rsid w:val="00A30089"/>
    <w:rsid w:val="00A304B2"/>
    <w:rsid w:val="00A3066E"/>
    <w:rsid w:val="00A309DA"/>
    <w:rsid w:val="00A30E30"/>
    <w:rsid w:val="00A30ECD"/>
    <w:rsid w:val="00A31095"/>
    <w:rsid w:val="00A316B9"/>
    <w:rsid w:val="00A317DA"/>
    <w:rsid w:val="00A317E8"/>
    <w:rsid w:val="00A319EF"/>
    <w:rsid w:val="00A31B59"/>
    <w:rsid w:val="00A322DF"/>
    <w:rsid w:val="00A32588"/>
    <w:rsid w:val="00A32BA5"/>
    <w:rsid w:val="00A32D21"/>
    <w:rsid w:val="00A32D51"/>
    <w:rsid w:val="00A32DB3"/>
    <w:rsid w:val="00A33004"/>
    <w:rsid w:val="00A33126"/>
    <w:rsid w:val="00A332B6"/>
    <w:rsid w:val="00A333A6"/>
    <w:rsid w:val="00A334A2"/>
    <w:rsid w:val="00A33779"/>
    <w:rsid w:val="00A337A1"/>
    <w:rsid w:val="00A338F7"/>
    <w:rsid w:val="00A33BC5"/>
    <w:rsid w:val="00A3412C"/>
    <w:rsid w:val="00A34618"/>
    <w:rsid w:val="00A348AB"/>
    <w:rsid w:val="00A348CE"/>
    <w:rsid w:val="00A34A0D"/>
    <w:rsid w:val="00A34F43"/>
    <w:rsid w:val="00A3531E"/>
    <w:rsid w:val="00A353A5"/>
    <w:rsid w:val="00A3546B"/>
    <w:rsid w:val="00A35D07"/>
    <w:rsid w:val="00A36427"/>
    <w:rsid w:val="00A3678C"/>
    <w:rsid w:val="00A370DE"/>
    <w:rsid w:val="00A37116"/>
    <w:rsid w:val="00A37570"/>
    <w:rsid w:val="00A377E9"/>
    <w:rsid w:val="00A37B6C"/>
    <w:rsid w:val="00A37C15"/>
    <w:rsid w:val="00A400A9"/>
    <w:rsid w:val="00A401C2"/>
    <w:rsid w:val="00A40703"/>
    <w:rsid w:val="00A40726"/>
    <w:rsid w:val="00A4099B"/>
    <w:rsid w:val="00A41045"/>
    <w:rsid w:val="00A4130E"/>
    <w:rsid w:val="00A4138E"/>
    <w:rsid w:val="00A413A5"/>
    <w:rsid w:val="00A415AC"/>
    <w:rsid w:val="00A41753"/>
    <w:rsid w:val="00A41909"/>
    <w:rsid w:val="00A41D6B"/>
    <w:rsid w:val="00A41D91"/>
    <w:rsid w:val="00A420F9"/>
    <w:rsid w:val="00A424D8"/>
    <w:rsid w:val="00A42770"/>
    <w:rsid w:val="00A42AD1"/>
    <w:rsid w:val="00A42AEE"/>
    <w:rsid w:val="00A42B49"/>
    <w:rsid w:val="00A42BB8"/>
    <w:rsid w:val="00A42EC8"/>
    <w:rsid w:val="00A42F92"/>
    <w:rsid w:val="00A43082"/>
    <w:rsid w:val="00A435AA"/>
    <w:rsid w:val="00A4387E"/>
    <w:rsid w:val="00A43C70"/>
    <w:rsid w:val="00A43DFB"/>
    <w:rsid w:val="00A43E22"/>
    <w:rsid w:val="00A44239"/>
    <w:rsid w:val="00A44274"/>
    <w:rsid w:val="00A443B8"/>
    <w:rsid w:val="00A44798"/>
    <w:rsid w:val="00A44842"/>
    <w:rsid w:val="00A44A84"/>
    <w:rsid w:val="00A44BF6"/>
    <w:rsid w:val="00A44D97"/>
    <w:rsid w:val="00A44F03"/>
    <w:rsid w:val="00A4524A"/>
    <w:rsid w:val="00A45510"/>
    <w:rsid w:val="00A45D8C"/>
    <w:rsid w:val="00A45EB1"/>
    <w:rsid w:val="00A45FA4"/>
    <w:rsid w:val="00A464B5"/>
    <w:rsid w:val="00A465DB"/>
    <w:rsid w:val="00A47380"/>
    <w:rsid w:val="00A4781D"/>
    <w:rsid w:val="00A478EB"/>
    <w:rsid w:val="00A47A3E"/>
    <w:rsid w:val="00A47B0E"/>
    <w:rsid w:val="00A500F0"/>
    <w:rsid w:val="00A50481"/>
    <w:rsid w:val="00A504E2"/>
    <w:rsid w:val="00A5055F"/>
    <w:rsid w:val="00A5074B"/>
    <w:rsid w:val="00A507A8"/>
    <w:rsid w:val="00A50CDE"/>
    <w:rsid w:val="00A51017"/>
    <w:rsid w:val="00A51626"/>
    <w:rsid w:val="00A51833"/>
    <w:rsid w:val="00A51951"/>
    <w:rsid w:val="00A51EC2"/>
    <w:rsid w:val="00A5221A"/>
    <w:rsid w:val="00A529ED"/>
    <w:rsid w:val="00A52A19"/>
    <w:rsid w:val="00A52AE1"/>
    <w:rsid w:val="00A52C34"/>
    <w:rsid w:val="00A52C74"/>
    <w:rsid w:val="00A5345B"/>
    <w:rsid w:val="00A53981"/>
    <w:rsid w:val="00A54364"/>
    <w:rsid w:val="00A543FD"/>
    <w:rsid w:val="00A5454F"/>
    <w:rsid w:val="00A54650"/>
    <w:rsid w:val="00A546B4"/>
    <w:rsid w:val="00A547BA"/>
    <w:rsid w:val="00A547E8"/>
    <w:rsid w:val="00A5488A"/>
    <w:rsid w:val="00A5494A"/>
    <w:rsid w:val="00A54C76"/>
    <w:rsid w:val="00A54D64"/>
    <w:rsid w:val="00A5521A"/>
    <w:rsid w:val="00A55281"/>
    <w:rsid w:val="00A55331"/>
    <w:rsid w:val="00A55586"/>
    <w:rsid w:val="00A55603"/>
    <w:rsid w:val="00A5568D"/>
    <w:rsid w:val="00A557F6"/>
    <w:rsid w:val="00A55C92"/>
    <w:rsid w:val="00A55E01"/>
    <w:rsid w:val="00A567CE"/>
    <w:rsid w:val="00A568DA"/>
    <w:rsid w:val="00A568EA"/>
    <w:rsid w:val="00A56A90"/>
    <w:rsid w:val="00A56F13"/>
    <w:rsid w:val="00A5714A"/>
    <w:rsid w:val="00A57241"/>
    <w:rsid w:val="00A572DC"/>
    <w:rsid w:val="00A57674"/>
    <w:rsid w:val="00A57A99"/>
    <w:rsid w:val="00A57B4D"/>
    <w:rsid w:val="00A57C2C"/>
    <w:rsid w:val="00A6011E"/>
    <w:rsid w:val="00A601E6"/>
    <w:rsid w:val="00A607E2"/>
    <w:rsid w:val="00A60A31"/>
    <w:rsid w:val="00A60AF1"/>
    <w:rsid w:val="00A60CFF"/>
    <w:rsid w:val="00A61026"/>
    <w:rsid w:val="00A61433"/>
    <w:rsid w:val="00A614D8"/>
    <w:rsid w:val="00A614F7"/>
    <w:rsid w:val="00A61A23"/>
    <w:rsid w:val="00A61C82"/>
    <w:rsid w:val="00A61EFB"/>
    <w:rsid w:val="00A62163"/>
    <w:rsid w:val="00A6235B"/>
    <w:rsid w:val="00A62448"/>
    <w:rsid w:val="00A6244F"/>
    <w:rsid w:val="00A6297C"/>
    <w:rsid w:val="00A63362"/>
    <w:rsid w:val="00A63E6E"/>
    <w:rsid w:val="00A64269"/>
    <w:rsid w:val="00A64513"/>
    <w:rsid w:val="00A64825"/>
    <w:rsid w:val="00A64DBB"/>
    <w:rsid w:val="00A651D9"/>
    <w:rsid w:val="00A65316"/>
    <w:rsid w:val="00A65395"/>
    <w:rsid w:val="00A65479"/>
    <w:rsid w:val="00A6582B"/>
    <w:rsid w:val="00A65B04"/>
    <w:rsid w:val="00A65B24"/>
    <w:rsid w:val="00A65E0E"/>
    <w:rsid w:val="00A6623E"/>
    <w:rsid w:val="00A665E1"/>
    <w:rsid w:val="00A667AF"/>
    <w:rsid w:val="00A6691B"/>
    <w:rsid w:val="00A66C5A"/>
    <w:rsid w:val="00A6720C"/>
    <w:rsid w:val="00A672AF"/>
    <w:rsid w:val="00A6734A"/>
    <w:rsid w:val="00A673D5"/>
    <w:rsid w:val="00A67A6E"/>
    <w:rsid w:val="00A67A8F"/>
    <w:rsid w:val="00A700C7"/>
    <w:rsid w:val="00A7019A"/>
    <w:rsid w:val="00A70666"/>
    <w:rsid w:val="00A70A43"/>
    <w:rsid w:val="00A70AAD"/>
    <w:rsid w:val="00A71045"/>
    <w:rsid w:val="00A71124"/>
    <w:rsid w:val="00A71985"/>
    <w:rsid w:val="00A71C1A"/>
    <w:rsid w:val="00A72523"/>
    <w:rsid w:val="00A72BF2"/>
    <w:rsid w:val="00A72EA4"/>
    <w:rsid w:val="00A735AA"/>
    <w:rsid w:val="00A7394D"/>
    <w:rsid w:val="00A739CC"/>
    <w:rsid w:val="00A73D9D"/>
    <w:rsid w:val="00A741BC"/>
    <w:rsid w:val="00A74540"/>
    <w:rsid w:val="00A7455F"/>
    <w:rsid w:val="00A748ED"/>
    <w:rsid w:val="00A74D26"/>
    <w:rsid w:val="00A74E1E"/>
    <w:rsid w:val="00A75040"/>
    <w:rsid w:val="00A7560B"/>
    <w:rsid w:val="00A75C14"/>
    <w:rsid w:val="00A75E09"/>
    <w:rsid w:val="00A763D7"/>
    <w:rsid w:val="00A7663B"/>
    <w:rsid w:val="00A76847"/>
    <w:rsid w:val="00A76857"/>
    <w:rsid w:val="00A768C7"/>
    <w:rsid w:val="00A76BAA"/>
    <w:rsid w:val="00A76D4A"/>
    <w:rsid w:val="00A76F39"/>
    <w:rsid w:val="00A77180"/>
    <w:rsid w:val="00A77482"/>
    <w:rsid w:val="00A77667"/>
    <w:rsid w:val="00A7770F"/>
    <w:rsid w:val="00A77986"/>
    <w:rsid w:val="00A77DCF"/>
    <w:rsid w:val="00A8026A"/>
    <w:rsid w:val="00A805DC"/>
    <w:rsid w:val="00A8080C"/>
    <w:rsid w:val="00A810D4"/>
    <w:rsid w:val="00A81146"/>
    <w:rsid w:val="00A813E8"/>
    <w:rsid w:val="00A81523"/>
    <w:rsid w:val="00A81743"/>
    <w:rsid w:val="00A81782"/>
    <w:rsid w:val="00A81DB8"/>
    <w:rsid w:val="00A81DFB"/>
    <w:rsid w:val="00A81E89"/>
    <w:rsid w:val="00A8215A"/>
    <w:rsid w:val="00A82269"/>
    <w:rsid w:val="00A82607"/>
    <w:rsid w:val="00A82787"/>
    <w:rsid w:val="00A83233"/>
    <w:rsid w:val="00A83716"/>
    <w:rsid w:val="00A83A49"/>
    <w:rsid w:val="00A83E1C"/>
    <w:rsid w:val="00A83F56"/>
    <w:rsid w:val="00A83F8A"/>
    <w:rsid w:val="00A842E4"/>
    <w:rsid w:val="00A843FB"/>
    <w:rsid w:val="00A84851"/>
    <w:rsid w:val="00A84A0C"/>
    <w:rsid w:val="00A84B8C"/>
    <w:rsid w:val="00A84DE5"/>
    <w:rsid w:val="00A84F51"/>
    <w:rsid w:val="00A851AF"/>
    <w:rsid w:val="00A864AC"/>
    <w:rsid w:val="00A864FB"/>
    <w:rsid w:val="00A869E7"/>
    <w:rsid w:val="00A86A88"/>
    <w:rsid w:val="00A87240"/>
    <w:rsid w:val="00A87381"/>
    <w:rsid w:val="00A877E0"/>
    <w:rsid w:val="00A8794F"/>
    <w:rsid w:val="00A87969"/>
    <w:rsid w:val="00A87A05"/>
    <w:rsid w:val="00A87B2A"/>
    <w:rsid w:val="00A87E67"/>
    <w:rsid w:val="00A909AD"/>
    <w:rsid w:val="00A90B57"/>
    <w:rsid w:val="00A90EBE"/>
    <w:rsid w:val="00A9139A"/>
    <w:rsid w:val="00A91A4C"/>
    <w:rsid w:val="00A91D26"/>
    <w:rsid w:val="00A9247F"/>
    <w:rsid w:val="00A92A7C"/>
    <w:rsid w:val="00A92D7E"/>
    <w:rsid w:val="00A92E57"/>
    <w:rsid w:val="00A933C2"/>
    <w:rsid w:val="00A93942"/>
    <w:rsid w:val="00A93A3F"/>
    <w:rsid w:val="00A93AE9"/>
    <w:rsid w:val="00A93C84"/>
    <w:rsid w:val="00A94B20"/>
    <w:rsid w:val="00A94C49"/>
    <w:rsid w:val="00A94CCE"/>
    <w:rsid w:val="00A94E1C"/>
    <w:rsid w:val="00A94EE7"/>
    <w:rsid w:val="00A9510D"/>
    <w:rsid w:val="00A95155"/>
    <w:rsid w:val="00A9585B"/>
    <w:rsid w:val="00A95DAD"/>
    <w:rsid w:val="00A960DA"/>
    <w:rsid w:val="00A96225"/>
    <w:rsid w:val="00A966D6"/>
    <w:rsid w:val="00A967AB"/>
    <w:rsid w:val="00A96ABB"/>
    <w:rsid w:val="00A9747D"/>
    <w:rsid w:val="00A97970"/>
    <w:rsid w:val="00A979F9"/>
    <w:rsid w:val="00A97DAD"/>
    <w:rsid w:val="00A97F77"/>
    <w:rsid w:val="00AA0063"/>
    <w:rsid w:val="00AA016B"/>
    <w:rsid w:val="00AA024D"/>
    <w:rsid w:val="00AA0B31"/>
    <w:rsid w:val="00AA1295"/>
    <w:rsid w:val="00AA13EE"/>
    <w:rsid w:val="00AA1820"/>
    <w:rsid w:val="00AA1D48"/>
    <w:rsid w:val="00AA2B9F"/>
    <w:rsid w:val="00AA2BCB"/>
    <w:rsid w:val="00AA2D2E"/>
    <w:rsid w:val="00AA2FEC"/>
    <w:rsid w:val="00AA36C9"/>
    <w:rsid w:val="00AA381F"/>
    <w:rsid w:val="00AA3AC6"/>
    <w:rsid w:val="00AA3BCB"/>
    <w:rsid w:val="00AA3CD7"/>
    <w:rsid w:val="00AA4102"/>
    <w:rsid w:val="00AA4129"/>
    <w:rsid w:val="00AA4443"/>
    <w:rsid w:val="00AA46CA"/>
    <w:rsid w:val="00AA4A6F"/>
    <w:rsid w:val="00AA567E"/>
    <w:rsid w:val="00AA5702"/>
    <w:rsid w:val="00AA5834"/>
    <w:rsid w:val="00AA640C"/>
    <w:rsid w:val="00AA6554"/>
    <w:rsid w:val="00AA6B7E"/>
    <w:rsid w:val="00AA73AA"/>
    <w:rsid w:val="00AA7687"/>
    <w:rsid w:val="00AA7C30"/>
    <w:rsid w:val="00AA7EC0"/>
    <w:rsid w:val="00AA7F73"/>
    <w:rsid w:val="00AB00CC"/>
    <w:rsid w:val="00AB013F"/>
    <w:rsid w:val="00AB0223"/>
    <w:rsid w:val="00AB0238"/>
    <w:rsid w:val="00AB058A"/>
    <w:rsid w:val="00AB064C"/>
    <w:rsid w:val="00AB0658"/>
    <w:rsid w:val="00AB0EA3"/>
    <w:rsid w:val="00AB0EF8"/>
    <w:rsid w:val="00AB149D"/>
    <w:rsid w:val="00AB21C2"/>
    <w:rsid w:val="00AB268C"/>
    <w:rsid w:val="00AB278A"/>
    <w:rsid w:val="00AB282D"/>
    <w:rsid w:val="00AB285A"/>
    <w:rsid w:val="00AB2AE4"/>
    <w:rsid w:val="00AB2D84"/>
    <w:rsid w:val="00AB3007"/>
    <w:rsid w:val="00AB3D59"/>
    <w:rsid w:val="00AB3E22"/>
    <w:rsid w:val="00AB4021"/>
    <w:rsid w:val="00AB4393"/>
    <w:rsid w:val="00AB45D9"/>
    <w:rsid w:val="00AB479B"/>
    <w:rsid w:val="00AB490C"/>
    <w:rsid w:val="00AB5271"/>
    <w:rsid w:val="00AB5D6D"/>
    <w:rsid w:val="00AB64A7"/>
    <w:rsid w:val="00AB6539"/>
    <w:rsid w:val="00AB6723"/>
    <w:rsid w:val="00AB683C"/>
    <w:rsid w:val="00AB6845"/>
    <w:rsid w:val="00AB6A39"/>
    <w:rsid w:val="00AB6C7E"/>
    <w:rsid w:val="00AB6D74"/>
    <w:rsid w:val="00AB7544"/>
    <w:rsid w:val="00AB754F"/>
    <w:rsid w:val="00AB7DFA"/>
    <w:rsid w:val="00AC0011"/>
    <w:rsid w:val="00AC06F7"/>
    <w:rsid w:val="00AC0790"/>
    <w:rsid w:val="00AC087F"/>
    <w:rsid w:val="00AC0C45"/>
    <w:rsid w:val="00AC110B"/>
    <w:rsid w:val="00AC1566"/>
    <w:rsid w:val="00AC1BBA"/>
    <w:rsid w:val="00AC1C19"/>
    <w:rsid w:val="00AC1EAC"/>
    <w:rsid w:val="00AC20E4"/>
    <w:rsid w:val="00AC271C"/>
    <w:rsid w:val="00AC30A0"/>
    <w:rsid w:val="00AC33E9"/>
    <w:rsid w:val="00AC34E5"/>
    <w:rsid w:val="00AC3588"/>
    <w:rsid w:val="00AC35D6"/>
    <w:rsid w:val="00AC37CB"/>
    <w:rsid w:val="00AC3B7F"/>
    <w:rsid w:val="00AC4035"/>
    <w:rsid w:val="00AC4193"/>
    <w:rsid w:val="00AC438B"/>
    <w:rsid w:val="00AC46D7"/>
    <w:rsid w:val="00AC4B9C"/>
    <w:rsid w:val="00AC4CD9"/>
    <w:rsid w:val="00AC4D61"/>
    <w:rsid w:val="00AC4FD0"/>
    <w:rsid w:val="00AC506B"/>
    <w:rsid w:val="00AC52C7"/>
    <w:rsid w:val="00AC53A2"/>
    <w:rsid w:val="00AC54C6"/>
    <w:rsid w:val="00AC54D9"/>
    <w:rsid w:val="00AC5744"/>
    <w:rsid w:val="00AC589C"/>
    <w:rsid w:val="00AC5B7B"/>
    <w:rsid w:val="00AC5D72"/>
    <w:rsid w:val="00AC5D92"/>
    <w:rsid w:val="00AC5EB0"/>
    <w:rsid w:val="00AC609E"/>
    <w:rsid w:val="00AC6658"/>
    <w:rsid w:val="00AC6808"/>
    <w:rsid w:val="00AC6C75"/>
    <w:rsid w:val="00AC6E99"/>
    <w:rsid w:val="00AC6FB7"/>
    <w:rsid w:val="00AC72D4"/>
    <w:rsid w:val="00AC7CCE"/>
    <w:rsid w:val="00AC7E98"/>
    <w:rsid w:val="00AC7ED1"/>
    <w:rsid w:val="00AD061D"/>
    <w:rsid w:val="00AD0672"/>
    <w:rsid w:val="00AD09FF"/>
    <w:rsid w:val="00AD0A65"/>
    <w:rsid w:val="00AD0BDF"/>
    <w:rsid w:val="00AD0C2E"/>
    <w:rsid w:val="00AD0F0E"/>
    <w:rsid w:val="00AD1088"/>
    <w:rsid w:val="00AD1513"/>
    <w:rsid w:val="00AD15AC"/>
    <w:rsid w:val="00AD200E"/>
    <w:rsid w:val="00AD2284"/>
    <w:rsid w:val="00AD2592"/>
    <w:rsid w:val="00AD2BD7"/>
    <w:rsid w:val="00AD32DD"/>
    <w:rsid w:val="00AD3BEE"/>
    <w:rsid w:val="00AD42DA"/>
    <w:rsid w:val="00AD4652"/>
    <w:rsid w:val="00AD474B"/>
    <w:rsid w:val="00AD4BBF"/>
    <w:rsid w:val="00AD4BC6"/>
    <w:rsid w:val="00AD4C15"/>
    <w:rsid w:val="00AD4E17"/>
    <w:rsid w:val="00AD4E99"/>
    <w:rsid w:val="00AD53C7"/>
    <w:rsid w:val="00AD5B5F"/>
    <w:rsid w:val="00AD5C7D"/>
    <w:rsid w:val="00AD643E"/>
    <w:rsid w:val="00AD679C"/>
    <w:rsid w:val="00AD67E7"/>
    <w:rsid w:val="00AD680F"/>
    <w:rsid w:val="00AD6AEC"/>
    <w:rsid w:val="00AD6C0C"/>
    <w:rsid w:val="00AD6DAD"/>
    <w:rsid w:val="00AD6E1A"/>
    <w:rsid w:val="00AD708B"/>
    <w:rsid w:val="00AD72F9"/>
    <w:rsid w:val="00AD74FC"/>
    <w:rsid w:val="00AD767A"/>
    <w:rsid w:val="00AD769D"/>
    <w:rsid w:val="00AD799C"/>
    <w:rsid w:val="00AD7B19"/>
    <w:rsid w:val="00AE0021"/>
    <w:rsid w:val="00AE0589"/>
    <w:rsid w:val="00AE07DA"/>
    <w:rsid w:val="00AE0BFD"/>
    <w:rsid w:val="00AE0FCC"/>
    <w:rsid w:val="00AE10D9"/>
    <w:rsid w:val="00AE13DC"/>
    <w:rsid w:val="00AE1C7B"/>
    <w:rsid w:val="00AE1DAC"/>
    <w:rsid w:val="00AE1E1B"/>
    <w:rsid w:val="00AE1FB5"/>
    <w:rsid w:val="00AE2092"/>
    <w:rsid w:val="00AE2363"/>
    <w:rsid w:val="00AE2569"/>
    <w:rsid w:val="00AE2DB5"/>
    <w:rsid w:val="00AE2EDD"/>
    <w:rsid w:val="00AE2F8D"/>
    <w:rsid w:val="00AE3331"/>
    <w:rsid w:val="00AE3414"/>
    <w:rsid w:val="00AE3620"/>
    <w:rsid w:val="00AE3946"/>
    <w:rsid w:val="00AE39A0"/>
    <w:rsid w:val="00AE39FE"/>
    <w:rsid w:val="00AE3C7B"/>
    <w:rsid w:val="00AE3F75"/>
    <w:rsid w:val="00AE4617"/>
    <w:rsid w:val="00AE495B"/>
    <w:rsid w:val="00AE4AB7"/>
    <w:rsid w:val="00AE5297"/>
    <w:rsid w:val="00AE544D"/>
    <w:rsid w:val="00AE5455"/>
    <w:rsid w:val="00AE56DB"/>
    <w:rsid w:val="00AE5B28"/>
    <w:rsid w:val="00AE5D8D"/>
    <w:rsid w:val="00AE5DDF"/>
    <w:rsid w:val="00AE63B5"/>
    <w:rsid w:val="00AE6665"/>
    <w:rsid w:val="00AE6D49"/>
    <w:rsid w:val="00AE6FE0"/>
    <w:rsid w:val="00AE74F8"/>
    <w:rsid w:val="00AE79E1"/>
    <w:rsid w:val="00AE7FD5"/>
    <w:rsid w:val="00AF0053"/>
    <w:rsid w:val="00AF00EC"/>
    <w:rsid w:val="00AF0114"/>
    <w:rsid w:val="00AF024F"/>
    <w:rsid w:val="00AF054D"/>
    <w:rsid w:val="00AF07DE"/>
    <w:rsid w:val="00AF0E06"/>
    <w:rsid w:val="00AF1038"/>
    <w:rsid w:val="00AF1748"/>
    <w:rsid w:val="00AF1C16"/>
    <w:rsid w:val="00AF1F3D"/>
    <w:rsid w:val="00AF238D"/>
    <w:rsid w:val="00AF24AD"/>
    <w:rsid w:val="00AF2534"/>
    <w:rsid w:val="00AF254F"/>
    <w:rsid w:val="00AF261A"/>
    <w:rsid w:val="00AF273D"/>
    <w:rsid w:val="00AF2F48"/>
    <w:rsid w:val="00AF2FE0"/>
    <w:rsid w:val="00AF314A"/>
    <w:rsid w:val="00AF389A"/>
    <w:rsid w:val="00AF39EF"/>
    <w:rsid w:val="00AF3B95"/>
    <w:rsid w:val="00AF42E5"/>
    <w:rsid w:val="00AF433F"/>
    <w:rsid w:val="00AF4576"/>
    <w:rsid w:val="00AF4634"/>
    <w:rsid w:val="00AF46FC"/>
    <w:rsid w:val="00AF494C"/>
    <w:rsid w:val="00AF49DA"/>
    <w:rsid w:val="00AF4E67"/>
    <w:rsid w:val="00AF51D4"/>
    <w:rsid w:val="00AF51E5"/>
    <w:rsid w:val="00AF5343"/>
    <w:rsid w:val="00AF5867"/>
    <w:rsid w:val="00AF5B53"/>
    <w:rsid w:val="00AF5EAB"/>
    <w:rsid w:val="00AF6016"/>
    <w:rsid w:val="00AF6211"/>
    <w:rsid w:val="00AF6498"/>
    <w:rsid w:val="00AF6811"/>
    <w:rsid w:val="00AF6A69"/>
    <w:rsid w:val="00AF6EDB"/>
    <w:rsid w:val="00AF6EF3"/>
    <w:rsid w:val="00AF6F64"/>
    <w:rsid w:val="00AF764D"/>
    <w:rsid w:val="00AF78B1"/>
    <w:rsid w:val="00AF790B"/>
    <w:rsid w:val="00AF7FC9"/>
    <w:rsid w:val="00B00058"/>
    <w:rsid w:val="00B000A4"/>
    <w:rsid w:val="00B0092A"/>
    <w:rsid w:val="00B00FBE"/>
    <w:rsid w:val="00B01112"/>
    <w:rsid w:val="00B0127C"/>
    <w:rsid w:val="00B01822"/>
    <w:rsid w:val="00B01863"/>
    <w:rsid w:val="00B01951"/>
    <w:rsid w:val="00B02164"/>
    <w:rsid w:val="00B023EE"/>
    <w:rsid w:val="00B026E3"/>
    <w:rsid w:val="00B0286F"/>
    <w:rsid w:val="00B02911"/>
    <w:rsid w:val="00B0292E"/>
    <w:rsid w:val="00B02BE4"/>
    <w:rsid w:val="00B030CC"/>
    <w:rsid w:val="00B0329E"/>
    <w:rsid w:val="00B0370B"/>
    <w:rsid w:val="00B03960"/>
    <w:rsid w:val="00B03971"/>
    <w:rsid w:val="00B03A12"/>
    <w:rsid w:val="00B03AD0"/>
    <w:rsid w:val="00B03C56"/>
    <w:rsid w:val="00B04303"/>
    <w:rsid w:val="00B04334"/>
    <w:rsid w:val="00B04A31"/>
    <w:rsid w:val="00B04A9A"/>
    <w:rsid w:val="00B04C3E"/>
    <w:rsid w:val="00B04EDD"/>
    <w:rsid w:val="00B0503D"/>
    <w:rsid w:val="00B05710"/>
    <w:rsid w:val="00B05839"/>
    <w:rsid w:val="00B0617F"/>
    <w:rsid w:val="00B06412"/>
    <w:rsid w:val="00B06728"/>
    <w:rsid w:val="00B0683D"/>
    <w:rsid w:val="00B07A50"/>
    <w:rsid w:val="00B07CF1"/>
    <w:rsid w:val="00B07EF2"/>
    <w:rsid w:val="00B1003F"/>
    <w:rsid w:val="00B100C6"/>
    <w:rsid w:val="00B102F8"/>
    <w:rsid w:val="00B105B2"/>
    <w:rsid w:val="00B10727"/>
    <w:rsid w:val="00B107A1"/>
    <w:rsid w:val="00B10910"/>
    <w:rsid w:val="00B110F7"/>
    <w:rsid w:val="00B11265"/>
    <w:rsid w:val="00B1185A"/>
    <w:rsid w:val="00B11FFB"/>
    <w:rsid w:val="00B12278"/>
    <w:rsid w:val="00B12440"/>
    <w:rsid w:val="00B12529"/>
    <w:rsid w:val="00B1265A"/>
    <w:rsid w:val="00B1270A"/>
    <w:rsid w:val="00B12804"/>
    <w:rsid w:val="00B12E73"/>
    <w:rsid w:val="00B136BC"/>
    <w:rsid w:val="00B13B26"/>
    <w:rsid w:val="00B14618"/>
    <w:rsid w:val="00B14801"/>
    <w:rsid w:val="00B1487E"/>
    <w:rsid w:val="00B148B5"/>
    <w:rsid w:val="00B14987"/>
    <w:rsid w:val="00B14D7A"/>
    <w:rsid w:val="00B14DB5"/>
    <w:rsid w:val="00B14F3F"/>
    <w:rsid w:val="00B15553"/>
    <w:rsid w:val="00B15998"/>
    <w:rsid w:val="00B15BB8"/>
    <w:rsid w:val="00B160A0"/>
    <w:rsid w:val="00B1632B"/>
    <w:rsid w:val="00B1640E"/>
    <w:rsid w:val="00B16456"/>
    <w:rsid w:val="00B166D7"/>
    <w:rsid w:val="00B16775"/>
    <w:rsid w:val="00B16FB9"/>
    <w:rsid w:val="00B16FBC"/>
    <w:rsid w:val="00B17453"/>
    <w:rsid w:val="00B17B75"/>
    <w:rsid w:val="00B17E5C"/>
    <w:rsid w:val="00B2008A"/>
    <w:rsid w:val="00B20271"/>
    <w:rsid w:val="00B202D0"/>
    <w:rsid w:val="00B20311"/>
    <w:rsid w:val="00B20ABF"/>
    <w:rsid w:val="00B20C31"/>
    <w:rsid w:val="00B20E1A"/>
    <w:rsid w:val="00B20FCC"/>
    <w:rsid w:val="00B2106B"/>
    <w:rsid w:val="00B21CEE"/>
    <w:rsid w:val="00B21E99"/>
    <w:rsid w:val="00B2269E"/>
    <w:rsid w:val="00B2274E"/>
    <w:rsid w:val="00B22B6D"/>
    <w:rsid w:val="00B22EAA"/>
    <w:rsid w:val="00B22EF8"/>
    <w:rsid w:val="00B23121"/>
    <w:rsid w:val="00B23491"/>
    <w:rsid w:val="00B23533"/>
    <w:rsid w:val="00B23876"/>
    <w:rsid w:val="00B23E55"/>
    <w:rsid w:val="00B23FD4"/>
    <w:rsid w:val="00B240EF"/>
    <w:rsid w:val="00B240FE"/>
    <w:rsid w:val="00B24574"/>
    <w:rsid w:val="00B24811"/>
    <w:rsid w:val="00B24BD3"/>
    <w:rsid w:val="00B24D65"/>
    <w:rsid w:val="00B24FAB"/>
    <w:rsid w:val="00B2500D"/>
    <w:rsid w:val="00B252F0"/>
    <w:rsid w:val="00B253B8"/>
    <w:rsid w:val="00B254A2"/>
    <w:rsid w:val="00B25BDC"/>
    <w:rsid w:val="00B25E65"/>
    <w:rsid w:val="00B25ED4"/>
    <w:rsid w:val="00B26065"/>
    <w:rsid w:val="00B26178"/>
    <w:rsid w:val="00B2673B"/>
    <w:rsid w:val="00B267BE"/>
    <w:rsid w:val="00B2691A"/>
    <w:rsid w:val="00B273A0"/>
    <w:rsid w:val="00B27471"/>
    <w:rsid w:val="00B275BC"/>
    <w:rsid w:val="00B2781A"/>
    <w:rsid w:val="00B27BBE"/>
    <w:rsid w:val="00B27BD2"/>
    <w:rsid w:val="00B27FC4"/>
    <w:rsid w:val="00B30149"/>
    <w:rsid w:val="00B30197"/>
    <w:rsid w:val="00B30211"/>
    <w:rsid w:val="00B30449"/>
    <w:rsid w:val="00B3052F"/>
    <w:rsid w:val="00B308AE"/>
    <w:rsid w:val="00B30D76"/>
    <w:rsid w:val="00B31012"/>
    <w:rsid w:val="00B3116D"/>
    <w:rsid w:val="00B31E40"/>
    <w:rsid w:val="00B324F9"/>
    <w:rsid w:val="00B32706"/>
    <w:rsid w:val="00B32AF6"/>
    <w:rsid w:val="00B32D8C"/>
    <w:rsid w:val="00B33394"/>
    <w:rsid w:val="00B334C0"/>
    <w:rsid w:val="00B335DF"/>
    <w:rsid w:val="00B335E1"/>
    <w:rsid w:val="00B33A5E"/>
    <w:rsid w:val="00B34778"/>
    <w:rsid w:val="00B34889"/>
    <w:rsid w:val="00B34934"/>
    <w:rsid w:val="00B34ABF"/>
    <w:rsid w:val="00B34AC5"/>
    <w:rsid w:val="00B34B44"/>
    <w:rsid w:val="00B34CA3"/>
    <w:rsid w:val="00B34D70"/>
    <w:rsid w:val="00B34E04"/>
    <w:rsid w:val="00B350CA"/>
    <w:rsid w:val="00B35141"/>
    <w:rsid w:val="00B3581F"/>
    <w:rsid w:val="00B358D3"/>
    <w:rsid w:val="00B358E1"/>
    <w:rsid w:val="00B35BA8"/>
    <w:rsid w:val="00B35BBC"/>
    <w:rsid w:val="00B35BD4"/>
    <w:rsid w:val="00B35E0B"/>
    <w:rsid w:val="00B36195"/>
    <w:rsid w:val="00B361EE"/>
    <w:rsid w:val="00B365CF"/>
    <w:rsid w:val="00B369A6"/>
    <w:rsid w:val="00B36E55"/>
    <w:rsid w:val="00B36FB9"/>
    <w:rsid w:val="00B378C1"/>
    <w:rsid w:val="00B37A05"/>
    <w:rsid w:val="00B40696"/>
    <w:rsid w:val="00B40A45"/>
    <w:rsid w:val="00B41911"/>
    <w:rsid w:val="00B41BE3"/>
    <w:rsid w:val="00B41D8F"/>
    <w:rsid w:val="00B4277A"/>
    <w:rsid w:val="00B428FC"/>
    <w:rsid w:val="00B42995"/>
    <w:rsid w:val="00B42C2D"/>
    <w:rsid w:val="00B42FC1"/>
    <w:rsid w:val="00B43B06"/>
    <w:rsid w:val="00B43F2E"/>
    <w:rsid w:val="00B443D2"/>
    <w:rsid w:val="00B44BB8"/>
    <w:rsid w:val="00B44CAA"/>
    <w:rsid w:val="00B44E5E"/>
    <w:rsid w:val="00B44EF6"/>
    <w:rsid w:val="00B450BB"/>
    <w:rsid w:val="00B45465"/>
    <w:rsid w:val="00B456BA"/>
    <w:rsid w:val="00B458BE"/>
    <w:rsid w:val="00B45903"/>
    <w:rsid w:val="00B4591D"/>
    <w:rsid w:val="00B45BBB"/>
    <w:rsid w:val="00B46255"/>
    <w:rsid w:val="00B4626F"/>
    <w:rsid w:val="00B46421"/>
    <w:rsid w:val="00B46544"/>
    <w:rsid w:val="00B46745"/>
    <w:rsid w:val="00B46962"/>
    <w:rsid w:val="00B46B03"/>
    <w:rsid w:val="00B47380"/>
    <w:rsid w:val="00B475E1"/>
    <w:rsid w:val="00B47F74"/>
    <w:rsid w:val="00B5000D"/>
    <w:rsid w:val="00B50028"/>
    <w:rsid w:val="00B500C8"/>
    <w:rsid w:val="00B5010D"/>
    <w:rsid w:val="00B506A4"/>
    <w:rsid w:val="00B506C2"/>
    <w:rsid w:val="00B50718"/>
    <w:rsid w:val="00B5071F"/>
    <w:rsid w:val="00B50C1D"/>
    <w:rsid w:val="00B50F12"/>
    <w:rsid w:val="00B51088"/>
    <w:rsid w:val="00B515D4"/>
    <w:rsid w:val="00B515D9"/>
    <w:rsid w:val="00B51738"/>
    <w:rsid w:val="00B5178C"/>
    <w:rsid w:val="00B51A8F"/>
    <w:rsid w:val="00B5206A"/>
    <w:rsid w:val="00B522B7"/>
    <w:rsid w:val="00B52737"/>
    <w:rsid w:val="00B52802"/>
    <w:rsid w:val="00B52833"/>
    <w:rsid w:val="00B529EC"/>
    <w:rsid w:val="00B52A9F"/>
    <w:rsid w:val="00B5356D"/>
    <w:rsid w:val="00B53A79"/>
    <w:rsid w:val="00B53C23"/>
    <w:rsid w:val="00B5445A"/>
    <w:rsid w:val="00B5482C"/>
    <w:rsid w:val="00B54904"/>
    <w:rsid w:val="00B54A7C"/>
    <w:rsid w:val="00B54BC4"/>
    <w:rsid w:val="00B552B7"/>
    <w:rsid w:val="00B55632"/>
    <w:rsid w:val="00B55957"/>
    <w:rsid w:val="00B55ACC"/>
    <w:rsid w:val="00B5688B"/>
    <w:rsid w:val="00B56968"/>
    <w:rsid w:val="00B56D44"/>
    <w:rsid w:val="00B56D74"/>
    <w:rsid w:val="00B56E60"/>
    <w:rsid w:val="00B56F72"/>
    <w:rsid w:val="00B573DC"/>
    <w:rsid w:val="00B60247"/>
    <w:rsid w:val="00B60520"/>
    <w:rsid w:val="00B6073C"/>
    <w:rsid w:val="00B60744"/>
    <w:rsid w:val="00B608B8"/>
    <w:rsid w:val="00B60A91"/>
    <w:rsid w:val="00B60F39"/>
    <w:rsid w:val="00B61401"/>
    <w:rsid w:val="00B61618"/>
    <w:rsid w:val="00B61667"/>
    <w:rsid w:val="00B61B70"/>
    <w:rsid w:val="00B61E3D"/>
    <w:rsid w:val="00B62B8C"/>
    <w:rsid w:val="00B62BD3"/>
    <w:rsid w:val="00B62D5F"/>
    <w:rsid w:val="00B62EC2"/>
    <w:rsid w:val="00B62F91"/>
    <w:rsid w:val="00B63008"/>
    <w:rsid w:val="00B6343A"/>
    <w:rsid w:val="00B63608"/>
    <w:rsid w:val="00B639E1"/>
    <w:rsid w:val="00B63D50"/>
    <w:rsid w:val="00B63DFA"/>
    <w:rsid w:val="00B63F37"/>
    <w:rsid w:val="00B63FF7"/>
    <w:rsid w:val="00B640D7"/>
    <w:rsid w:val="00B64293"/>
    <w:rsid w:val="00B6446E"/>
    <w:rsid w:val="00B64939"/>
    <w:rsid w:val="00B64A30"/>
    <w:rsid w:val="00B64EF2"/>
    <w:rsid w:val="00B65007"/>
    <w:rsid w:val="00B6518A"/>
    <w:rsid w:val="00B6531F"/>
    <w:rsid w:val="00B654ED"/>
    <w:rsid w:val="00B65731"/>
    <w:rsid w:val="00B65A4E"/>
    <w:rsid w:val="00B65FD6"/>
    <w:rsid w:val="00B66058"/>
    <w:rsid w:val="00B661FA"/>
    <w:rsid w:val="00B667BC"/>
    <w:rsid w:val="00B66938"/>
    <w:rsid w:val="00B66C07"/>
    <w:rsid w:val="00B66D07"/>
    <w:rsid w:val="00B66E52"/>
    <w:rsid w:val="00B67054"/>
    <w:rsid w:val="00B67297"/>
    <w:rsid w:val="00B67636"/>
    <w:rsid w:val="00B67BDE"/>
    <w:rsid w:val="00B67DEC"/>
    <w:rsid w:val="00B67EC8"/>
    <w:rsid w:val="00B70137"/>
    <w:rsid w:val="00B70157"/>
    <w:rsid w:val="00B701DC"/>
    <w:rsid w:val="00B70405"/>
    <w:rsid w:val="00B7047C"/>
    <w:rsid w:val="00B708B8"/>
    <w:rsid w:val="00B70C04"/>
    <w:rsid w:val="00B7170F"/>
    <w:rsid w:val="00B7173D"/>
    <w:rsid w:val="00B7195A"/>
    <w:rsid w:val="00B71C5C"/>
    <w:rsid w:val="00B71CC2"/>
    <w:rsid w:val="00B71EE4"/>
    <w:rsid w:val="00B72B7F"/>
    <w:rsid w:val="00B72D7D"/>
    <w:rsid w:val="00B73271"/>
    <w:rsid w:val="00B73395"/>
    <w:rsid w:val="00B733DD"/>
    <w:rsid w:val="00B736D5"/>
    <w:rsid w:val="00B73848"/>
    <w:rsid w:val="00B73996"/>
    <w:rsid w:val="00B73B93"/>
    <w:rsid w:val="00B73C9B"/>
    <w:rsid w:val="00B73F5C"/>
    <w:rsid w:val="00B73F63"/>
    <w:rsid w:val="00B73FDD"/>
    <w:rsid w:val="00B7408E"/>
    <w:rsid w:val="00B7411A"/>
    <w:rsid w:val="00B74120"/>
    <w:rsid w:val="00B74281"/>
    <w:rsid w:val="00B74357"/>
    <w:rsid w:val="00B743F8"/>
    <w:rsid w:val="00B74462"/>
    <w:rsid w:val="00B745AD"/>
    <w:rsid w:val="00B74B98"/>
    <w:rsid w:val="00B750FD"/>
    <w:rsid w:val="00B753B3"/>
    <w:rsid w:val="00B7563F"/>
    <w:rsid w:val="00B759CC"/>
    <w:rsid w:val="00B75D22"/>
    <w:rsid w:val="00B75E91"/>
    <w:rsid w:val="00B7611F"/>
    <w:rsid w:val="00B76374"/>
    <w:rsid w:val="00B7642D"/>
    <w:rsid w:val="00B77122"/>
    <w:rsid w:val="00B77276"/>
    <w:rsid w:val="00B77346"/>
    <w:rsid w:val="00B77587"/>
    <w:rsid w:val="00B775E2"/>
    <w:rsid w:val="00B777F5"/>
    <w:rsid w:val="00B77C08"/>
    <w:rsid w:val="00B77D11"/>
    <w:rsid w:val="00B80627"/>
    <w:rsid w:val="00B80F3C"/>
    <w:rsid w:val="00B80FB1"/>
    <w:rsid w:val="00B812FC"/>
    <w:rsid w:val="00B81325"/>
    <w:rsid w:val="00B8146B"/>
    <w:rsid w:val="00B81767"/>
    <w:rsid w:val="00B818CB"/>
    <w:rsid w:val="00B82530"/>
    <w:rsid w:val="00B82604"/>
    <w:rsid w:val="00B8269F"/>
    <w:rsid w:val="00B82A03"/>
    <w:rsid w:val="00B82A81"/>
    <w:rsid w:val="00B82CBF"/>
    <w:rsid w:val="00B82CD2"/>
    <w:rsid w:val="00B82D32"/>
    <w:rsid w:val="00B83121"/>
    <w:rsid w:val="00B83BB2"/>
    <w:rsid w:val="00B83F70"/>
    <w:rsid w:val="00B8405A"/>
    <w:rsid w:val="00B84493"/>
    <w:rsid w:val="00B84E83"/>
    <w:rsid w:val="00B84FFB"/>
    <w:rsid w:val="00B850E7"/>
    <w:rsid w:val="00B853DC"/>
    <w:rsid w:val="00B86007"/>
    <w:rsid w:val="00B86124"/>
    <w:rsid w:val="00B86271"/>
    <w:rsid w:val="00B864B7"/>
    <w:rsid w:val="00B865F0"/>
    <w:rsid w:val="00B8666C"/>
    <w:rsid w:val="00B866B7"/>
    <w:rsid w:val="00B87173"/>
    <w:rsid w:val="00B872B6"/>
    <w:rsid w:val="00B8786F"/>
    <w:rsid w:val="00B87B67"/>
    <w:rsid w:val="00B87D05"/>
    <w:rsid w:val="00B87FFE"/>
    <w:rsid w:val="00B903E1"/>
    <w:rsid w:val="00B904F0"/>
    <w:rsid w:val="00B906D5"/>
    <w:rsid w:val="00B90820"/>
    <w:rsid w:val="00B90BF4"/>
    <w:rsid w:val="00B9118A"/>
    <w:rsid w:val="00B911AA"/>
    <w:rsid w:val="00B913AF"/>
    <w:rsid w:val="00B926B0"/>
    <w:rsid w:val="00B92AC2"/>
    <w:rsid w:val="00B92B06"/>
    <w:rsid w:val="00B92B3F"/>
    <w:rsid w:val="00B92CFE"/>
    <w:rsid w:val="00B92E4C"/>
    <w:rsid w:val="00B92FDE"/>
    <w:rsid w:val="00B93056"/>
    <w:rsid w:val="00B93160"/>
    <w:rsid w:val="00B933BC"/>
    <w:rsid w:val="00B93441"/>
    <w:rsid w:val="00B937ED"/>
    <w:rsid w:val="00B93AE5"/>
    <w:rsid w:val="00B93B34"/>
    <w:rsid w:val="00B93B9B"/>
    <w:rsid w:val="00B93CE6"/>
    <w:rsid w:val="00B93D0D"/>
    <w:rsid w:val="00B9460C"/>
    <w:rsid w:val="00B9498D"/>
    <w:rsid w:val="00B94F92"/>
    <w:rsid w:val="00B9506F"/>
    <w:rsid w:val="00B95536"/>
    <w:rsid w:val="00B9591F"/>
    <w:rsid w:val="00B95A81"/>
    <w:rsid w:val="00B95C5E"/>
    <w:rsid w:val="00B95F6D"/>
    <w:rsid w:val="00B96349"/>
    <w:rsid w:val="00B963B3"/>
    <w:rsid w:val="00B96485"/>
    <w:rsid w:val="00B9648A"/>
    <w:rsid w:val="00B968A2"/>
    <w:rsid w:val="00B96912"/>
    <w:rsid w:val="00B969B9"/>
    <w:rsid w:val="00B96C53"/>
    <w:rsid w:val="00B96C5A"/>
    <w:rsid w:val="00B96D55"/>
    <w:rsid w:val="00B96E12"/>
    <w:rsid w:val="00B97442"/>
    <w:rsid w:val="00B977CA"/>
    <w:rsid w:val="00B97EED"/>
    <w:rsid w:val="00BA01ED"/>
    <w:rsid w:val="00BA047C"/>
    <w:rsid w:val="00BA0796"/>
    <w:rsid w:val="00BA0799"/>
    <w:rsid w:val="00BA142F"/>
    <w:rsid w:val="00BA149F"/>
    <w:rsid w:val="00BA2109"/>
    <w:rsid w:val="00BA2170"/>
    <w:rsid w:val="00BA2365"/>
    <w:rsid w:val="00BA27E0"/>
    <w:rsid w:val="00BA2896"/>
    <w:rsid w:val="00BA2B57"/>
    <w:rsid w:val="00BA2C49"/>
    <w:rsid w:val="00BA3104"/>
    <w:rsid w:val="00BA34A7"/>
    <w:rsid w:val="00BA38BB"/>
    <w:rsid w:val="00BA3EC3"/>
    <w:rsid w:val="00BA423B"/>
    <w:rsid w:val="00BA482B"/>
    <w:rsid w:val="00BA4997"/>
    <w:rsid w:val="00BA49D4"/>
    <w:rsid w:val="00BA4AFE"/>
    <w:rsid w:val="00BA4CB7"/>
    <w:rsid w:val="00BA4FB6"/>
    <w:rsid w:val="00BA53D9"/>
    <w:rsid w:val="00BA5794"/>
    <w:rsid w:val="00BA61EC"/>
    <w:rsid w:val="00BA646D"/>
    <w:rsid w:val="00BA6731"/>
    <w:rsid w:val="00BA6AAE"/>
    <w:rsid w:val="00BA6B9D"/>
    <w:rsid w:val="00BA6CF4"/>
    <w:rsid w:val="00BA6DD8"/>
    <w:rsid w:val="00BA6E85"/>
    <w:rsid w:val="00BA6EE9"/>
    <w:rsid w:val="00BA756A"/>
    <w:rsid w:val="00BA759C"/>
    <w:rsid w:val="00BA75B7"/>
    <w:rsid w:val="00BA7721"/>
    <w:rsid w:val="00BA781E"/>
    <w:rsid w:val="00BA7883"/>
    <w:rsid w:val="00BA78B4"/>
    <w:rsid w:val="00BA7A8A"/>
    <w:rsid w:val="00BA7D03"/>
    <w:rsid w:val="00BA7DC4"/>
    <w:rsid w:val="00BA7EDC"/>
    <w:rsid w:val="00BB00F0"/>
    <w:rsid w:val="00BB06EE"/>
    <w:rsid w:val="00BB082C"/>
    <w:rsid w:val="00BB09A0"/>
    <w:rsid w:val="00BB0FFB"/>
    <w:rsid w:val="00BB130E"/>
    <w:rsid w:val="00BB1663"/>
    <w:rsid w:val="00BB1698"/>
    <w:rsid w:val="00BB1710"/>
    <w:rsid w:val="00BB193C"/>
    <w:rsid w:val="00BB1B67"/>
    <w:rsid w:val="00BB1EE0"/>
    <w:rsid w:val="00BB203A"/>
    <w:rsid w:val="00BB21C3"/>
    <w:rsid w:val="00BB28A0"/>
    <w:rsid w:val="00BB2A24"/>
    <w:rsid w:val="00BB2A96"/>
    <w:rsid w:val="00BB2CD8"/>
    <w:rsid w:val="00BB2F5D"/>
    <w:rsid w:val="00BB3207"/>
    <w:rsid w:val="00BB3439"/>
    <w:rsid w:val="00BB3B22"/>
    <w:rsid w:val="00BB3DE2"/>
    <w:rsid w:val="00BB42C1"/>
    <w:rsid w:val="00BB43A1"/>
    <w:rsid w:val="00BB486A"/>
    <w:rsid w:val="00BB496B"/>
    <w:rsid w:val="00BB49D8"/>
    <w:rsid w:val="00BB4CB3"/>
    <w:rsid w:val="00BB4F72"/>
    <w:rsid w:val="00BB5638"/>
    <w:rsid w:val="00BB58AF"/>
    <w:rsid w:val="00BB599B"/>
    <w:rsid w:val="00BB5A72"/>
    <w:rsid w:val="00BB5CDA"/>
    <w:rsid w:val="00BB5EEB"/>
    <w:rsid w:val="00BB6120"/>
    <w:rsid w:val="00BB65F7"/>
    <w:rsid w:val="00BB66F1"/>
    <w:rsid w:val="00BB67B6"/>
    <w:rsid w:val="00BB6905"/>
    <w:rsid w:val="00BB7F23"/>
    <w:rsid w:val="00BC008C"/>
    <w:rsid w:val="00BC04B8"/>
    <w:rsid w:val="00BC0AD2"/>
    <w:rsid w:val="00BC0C0C"/>
    <w:rsid w:val="00BC0D41"/>
    <w:rsid w:val="00BC0F81"/>
    <w:rsid w:val="00BC165B"/>
    <w:rsid w:val="00BC1998"/>
    <w:rsid w:val="00BC1C32"/>
    <w:rsid w:val="00BC1E32"/>
    <w:rsid w:val="00BC215D"/>
    <w:rsid w:val="00BC2AEB"/>
    <w:rsid w:val="00BC2C43"/>
    <w:rsid w:val="00BC3A32"/>
    <w:rsid w:val="00BC3A96"/>
    <w:rsid w:val="00BC3B12"/>
    <w:rsid w:val="00BC3B4E"/>
    <w:rsid w:val="00BC3BA1"/>
    <w:rsid w:val="00BC410B"/>
    <w:rsid w:val="00BC4776"/>
    <w:rsid w:val="00BC478A"/>
    <w:rsid w:val="00BC47B7"/>
    <w:rsid w:val="00BC4A2A"/>
    <w:rsid w:val="00BC5740"/>
    <w:rsid w:val="00BC5A9F"/>
    <w:rsid w:val="00BC6325"/>
    <w:rsid w:val="00BC6351"/>
    <w:rsid w:val="00BC6C5D"/>
    <w:rsid w:val="00BC6CB0"/>
    <w:rsid w:val="00BC6EF3"/>
    <w:rsid w:val="00BC6F78"/>
    <w:rsid w:val="00BC7191"/>
    <w:rsid w:val="00BC7849"/>
    <w:rsid w:val="00BC7F8E"/>
    <w:rsid w:val="00BD00E9"/>
    <w:rsid w:val="00BD0145"/>
    <w:rsid w:val="00BD0173"/>
    <w:rsid w:val="00BD0B1C"/>
    <w:rsid w:val="00BD0B5C"/>
    <w:rsid w:val="00BD0E60"/>
    <w:rsid w:val="00BD1161"/>
    <w:rsid w:val="00BD1228"/>
    <w:rsid w:val="00BD1EA5"/>
    <w:rsid w:val="00BD22A5"/>
    <w:rsid w:val="00BD22ED"/>
    <w:rsid w:val="00BD2449"/>
    <w:rsid w:val="00BD262F"/>
    <w:rsid w:val="00BD264D"/>
    <w:rsid w:val="00BD2E01"/>
    <w:rsid w:val="00BD2F66"/>
    <w:rsid w:val="00BD3153"/>
    <w:rsid w:val="00BD3590"/>
    <w:rsid w:val="00BD39ED"/>
    <w:rsid w:val="00BD3BCC"/>
    <w:rsid w:val="00BD3EBD"/>
    <w:rsid w:val="00BD464F"/>
    <w:rsid w:val="00BD498F"/>
    <w:rsid w:val="00BD4A41"/>
    <w:rsid w:val="00BD529A"/>
    <w:rsid w:val="00BD5683"/>
    <w:rsid w:val="00BD5782"/>
    <w:rsid w:val="00BD586E"/>
    <w:rsid w:val="00BD59DF"/>
    <w:rsid w:val="00BD5B90"/>
    <w:rsid w:val="00BD5FEF"/>
    <w:rsid w:val="00BD6FF8"/>
    <w:rsid w:val="00BD70C2"/>
    <w:rsid w:val="00BD71BF"/>
    <w:rsid w:val="00BD7310"/>
    <w:rsid w:val="00BD7862"/>
    <w:rsid w:val="00BD7D81"/>
    <w:rsid w:val="00BD7FD2"/>
    <w:rsid w:val="00BE0063"/>
    <w:rsid w:val="00BE03A1"/>
    <w:rsid w:val="00BE05F1"/>
    <w:rsid w:val="00BE0D57"/>
    <w:rsid w:val="00BE0FA3"/>
    <w:rsid w:val="00BE0FB9"/>
    <w:rsid w:val="00BE120F"/>
    <w:rsid w:val="00BE154A"/>
    <w:rsid w:val="00BE1554"/>
    <w:rsid w:val="00BE178B"/>
    <w:rsid w:val="00BE17C0"/>
    <w:rsid w:val="00BE17D6"/>
    <w:rsid w:val="00BE1C54"/>
    <w:rsid w:val="00BE1DA3"/>
    <w:rsid w:val="00BE1E79"/>
    <w:rsid w:val="00BE259F"/>
    <w:rsid w:val="00BE2AB4"/>
    <w:rsid w:val="00BE2FB0"/>
    <w:rsid w:val="00BE30CC"/>
    <w:rsid w:val="00BE3127"/>
    <w:rsid w:val="00BE34F1"/>
    <w:rsid w:val="00BE3C0C"/>
    <w:rsid w:val="00BE3C82"/>
    <w:rsid w:val="00BE4513"/>
    <w:rsid w:val="00BE4807"/>
    <w:rsid w:val="00BE4997"/>
    <w:rsid w:val="00BE50E7"/>
    <w:rsid w:val="00BE51A8"/>
    <w:rsid w:val="00BE5392"/>
    <w:rsid w:val="00BE55B9"/>
    <w:rsid w:val="00BE565F"/>
    <w:rsid w:val="00BE592C"/>
    <w:rsid w:val="00BE5B8F"/>
    <w:rsid w:val="00BE5E67"/>
    <w:rsid w:val="00BE60F0"/>
    <w:rsid w:val="00BE6308"/>
    <w:rsid w:val="00BE6368"/>
    <w:rsid w:val="00BE6394"/>
    <w:rsid w:val="00BE6487"/>
    <w:rsid w:val="00BE668B"/>
    <w:rsid w:val="00BE669D"/>
    <w:rsid w:val="00BE70E6"/>
    <w:rsid w:val="00BE7202"/>
    <w:rsid w:val="00BE76CE"/>
    <w:rsid w:val="00BF0147"/>
    <w:rsid w:val="00BF01FD"/>
    <w:rsid w:val="00BF040C"/>
    <w:rsid w:val="00BF044D"/>
    <w:rsid w:val="00BF052F"/>
    <w:rsid w:val="00BF072C"/>
    <w:rsid w:val="00BF1366"/>
    <w:rsid w:val="00BF13EF"/>
    <w:rsid w:val="00BF1541"/>
    <w:rsid w:val="00BF15B8"/>
    <w:rsid w:val="00BF15DA"/>
    <w:rsid w:val="00BF198D"/>
    <w:rsid w:val="00BF1B67"/>
    <w:rsid w:val="00BF1DBB"/>
    <w:rsid w:val="00BF2207"/>
    <w:rsid w:val="00BF25C9"/>
    <w:rsid w:val="00BF27ED"/>
    <w:rsid w:val="00BF2A78"/>
    <w:rsid w:val="00BF2FCE"/>
    <w:rsid w:val="00BF329E"/>
    <w:rsid w:val="00BF3D96"/>
    <w:rsid w:val="00BF41FA"/>
    <w:rsid w:val="00BF424F"/>
    <w:rsid w:val="00BF4475"/>
    <w:rsid w:val="00BF4897"/>
    <w:rsid w:val="00BF49BE"/>
    <w:rsid w:val="00BF4CF9"/>
    <w:rsid w:val="00BF523F"/>
    <w:rsid w:val="00BF533C"/>
    <w:rsid w:val="00BF554F"/>
    <w:rsid w:val="00BF5B02"/>
    <w:rsid w:val="00BF5C07"/>
    <w:rsid w:val="00BF5C23"/>
    <w:rsid w:val="00BF6315"/>
    <w:rsid w:val="00BF63F4"/>
    <w:rsid w:val="00BF6819"/>
    <w:rsid w:val="00BF689E"/>
    <w:rsid w:val="00BF68EF"/>
    <w:rsid w:val="00BF6944"/>
    <w:rsid w:val="00BF6BEF"/>
    <w:rsid w:val="00BF6EDE"/>
    <w:rsid w:val="00BF7289"/>
    <w:rsid w:val="00BF7874"/>
    <w:rsid w:val="00BF7A43"/>
    <w:rsid w:val="00BF7BBE"/>
    <w:rsid w:val="00BF7F70"/>
    <w:rsid w:val="00C00185"/>
    <w:rsid w:val="00C00F0F"/>
    <w:rsid w:val="00C00F14"/>
    <w:rsid w:val="00C00FA3"/>
    <w:rsid w:val="00C01546"/>
    <w:rsid w:val="00C0173C"/>
    <w:rsid w:val="00C01EF4"/>
    <w:rsid w:val="00C01FE3"/>
    <w:rsid w:val="00C021BB"/>
    <w:rsid w:val="00C022F6"/>
    <w:rsid w:val="00C02B29"/>
    <w:rsid w:val="00C02B4D"/>
    <w:rsid w:val="00C02C41"/>
    <w:rsid w:val="00C03739"/>
    <w:rsid w:val="00C03AC3"/>
    <w:rsid w:val="00C03C49"/>
    <w:rsid w:val="00C04106"/>
    <w:rsid w:val="00C042FD"/>
    <w:rsid w:val="00C043FA"/>
    <w:rsid w:val="00C04471"/>
    <w:rsid w:val="00C045B3"/>
    <w:rsid w:val="00C04B3F"/>
    <w:rsid w:val="00C04BAD"/>
    <w:rsid w:val="00C04BFA"/>
    <w:rsid w:val="00C04E7D"/>
    <w:rsid w:val="00C0516B"/>
    <w:rsid w:val="00C05518"/>
    <w:rsid w:val="00C0560A"/>
    <w:rsid w:val="00C0582B"/>
    <w:rsid w:val="00C05C2D"/>
    <w:rsid w:val="00C05D91"/>
    <w:rsid w:val="00C05E09"/>
    <w:rsid w:val="00C05E8F"/>
    <w:rsid w:val="00C06027"/>
    <w:rsid w:val="00C060AB"/>
    <w:rsid w:val="00C060E0"/>
    <w:rsid w:val="00C0620D"/>
    <w:rsid w:val="00C06458"/>
    <w:rsid w:val="00C06781"/>
    <w:rsid w:val="00C0688F"/>
    <w:rsid w:val="00C06C23"/>
    <w:rsid w:val="00C1006B"/>
    <w:rsid w:val="00C10755"/>
    <w:rsid w:val="00C111AE"/>
    <w:rsid w:val="00C115BA"/>
    <w:rsid w:val="00C11DBD"/>
    <w:rsid w:val="00C1203A"/>
    <w:rsid w:val="00C120F0"/>
    <w:rsid w:val="00C12156"/>
    <w:rsid w:val="00C12227"/>
    <w:rsid w:val="00C12278"/>
    <w:rsid w:val="00C12616"/>
    <w:rsid w:val="00C12A27"/>
    <w:rsid w:val="00C12DB1"/>
    <w:rsid w:val="00C12EB3"/>
    <w:rsid w:val="00C131D0"/>
    <w:rsid w:val="00C13654"/>
    <w:rsid w:val="00C13AA0"/>
    <w:rsid w:val="00C13DE0"/>
    <w:rsid w:val="00C14242"/>
    <w:rsid w:val="00C14602"/>
    <w:rsid w:val="00C14694"/>
    <w:rsid w:val="00C14CDC"/>
    <w:rsid w:val="00C154A3"/>
    <w:rsid w:val="00C159E9"/>
    <w:rsid w:val="00C15CE1"/>
    <w:rsid w:val="00C15DCF"/>
    <w:rsid w:val="00C161C5"/>
    <w:rsid w:val="00C16219"/>
    <w:rsid w:val="00C162EC"/>
    <w:rsid w:val="00C164DE"/>
    <w:rsid w:val="00C164EE"/>
    <w:rsid w:val="00C16653"/>
    <w:rsid w:val="00C16904"/>
    <w:rsid w:val="00C16955"/>
    <w:rsid w:val="00C169A1"/>
    <w:rsid w:val="00C16A85"/>
    <w:rsid w:val="00C16CE1"/>
    <w:rsid w:val="00C16D5A"/>
    <w:rsid w:val="00C16D8D"/>
    <w:rsid w:val="00C171B9"/>
    <w:rsid w:val="00C176FE"/>
    <w:rsid w:val="00C17978"/>
    <w:rsid w:val="00C17AAC"/>
    <w:rsid w:val="00C17AB1"/>
    <w:rsid w:val="00C17FCC"/>
    <w:rsid w:val="00C20043"/>
    <w:rsid w:val="00C20773"/>
    <w:rsid w:val="00C20836"/>
    <w:rsid w:val="00C20973"/>
    <w:rsid w:val="00C20BD7"/>
    <w:rsid w:val="00C20DFF"/>
    <w:rsid w:val="00C20EB9"/>
    <w:rsid w:val="00C218E5"/>
    <w:rsid w:val="00C21921"/>
    <w:rsid w:val="00C21A98"/>
    <w:rsid w:val="00C21BDB"/>
    <w:rsid w:val="00C21D46"/>
    <w:rsid w:val="00C222A6"/>
    <w:rsid w:val="00C2256B"/>
    <w:rsid w:val="00C226AB"/>
    <w:rsid w:val="00C22C8E"/>
    <w:rsid w:val="00C22E24"/>
    <w:rsid w:val="00C236F7"/>
    <w:rsid w:val="00C23AE7"/>
    <w:rsid w:val="00C23C90"/>
    <w:rsid w:val="00C24420"/>
    <w:rsid w:val="00C24692"/>
    <w:rsid w:val="00C2477D"/>
    <w:rsid w:val="00C2488D"/>
    <w:rsid w:val="00C248A6"/>
    <w:rsid w:val="00C25413"/>
    <w:rsid w:val="00C25B19"/>
    <w:rsid w:val="00C25E34"/>
    <w:rsid w:val="00C26564"/>
    <w:rsid w:val="00C26602"/>
    <w:rsid w:val="00C267DA"/>
    <w:rsid w:val="00C26CF8"/>
    <w:rsid w:val="00C27705"/>
    <w:rsid w:val="00C277C9"/>
    <w:rsid w:val="00C277F7"/>
    <w:rsid w:val="00C278C1"/>
    <w:rsid w:val="00C2795C"/>
    <w:rsid w:val="00C27BCF"/>
    <w:rsid w:val="00C3013F"/>
    <w:rsid w:val="00C30251"/>
    <w:rsid w:val="00C3025A"/>
    <w:rsid w:val="00C306B9"/>
    <w:rsid w:val="00C30E18"/>
    <w:rsid w:val="00C3105A"/>
    <w:rsid w:val="00C3108C"/>
    <w:rsid w:val="00C314D8"/>
    <w:rsid w:val="00C322EA"/>
    <w:rsid w:val="00C329F2"/>
    <w:rsid w:val="00C32A88"/>
    <w:rsid w:val="00C333E5"/>
    <w:rsid w:val="00C3341B"/>
    <w:rsid w:val="00C33500"/>
    <w:rsid w:val="00C33681"/>
    <w:rsid w:val="00C338DE"/>
    <w:rsid w:val="00C338DF"/>
    <w:rsid w:val="00C33FDE"/>
    <w:rsid w:val="00C3466F"/>
    <w:rsid w:val="00C34AAF"/>
    <w:rsid w:val="00C34B31"/>
    <w:rsid w:val="00C34F8F"/>
    <w:rsid w:val="00C3500C"/>
    <w:rsid w:val="00C3501E"/>
    <w:rsid w:val="00C3516D"/>
    <w:rsid w:val="00C353AD"/>
    <w:rsid w:val="00C355DA"/>
    <w:rsid w:val="00C3662A"/>
    <w:rsid w:val="00C369A3"/>
    <w:rsid w:val="00C369B4"/>
    <w:rsid w:val="00C36A5B"/>
    <w:rsid w:val="00C36F95"/>
    <w:rsid w:val="00C37049"/>
    <w:rsid w:val="00C378EB"/>
    <w:rsid w:val="00C37A0E"/>
    <w:rsid w:val="00C37CA0"/>
    <w:rsid w:val="00C4011D"/>
    <w:rsid w:val="00C4026E"/>
    <w:rsid w:val="00C405AE"/>
    <w:rsid w:val="00C406EA"/>
    <w:rsid w:val="00C4072B"/>
    <w:rsid w:val="00C40865"/>
    <w:rsid w:val="00C40A2A"/>
    <w:rsid w:val="00C40BA7"/>
    <w:rsid w:val="00C40CC4"/>
    <w:rsid w:val="00C40E1E"/>
    <w:rsid w:val="00C40F58"/>
    <w:rsid w:val="00C4175C"/>
    <w:rsid w:val="00C41761"/>
    <w:rsid w:val="00C41844"/>
    <w:rsid w:val="00C418A5"/>
    <w:rsid w:val="00C41E0E"/>
    <w:rsid w:val="00C422E7"/>
    <w:rsid w:val="00C4273A"/>
    <w:rsid w:val="00C4278E"/>
    <w:rsid w:val="00C4290E"/>
    <w:rsid w:val="00C429BC"/>
    <w:rsid w:val="00C42A8F"/>
    <w:rsid w:val="00C4331F"/>
    <w:rsid w:val="00C4356D"/>
    <w:rsid w:val="00C43747"/>
    <w:rsid w:val="00C43A04"/>
    <w:rsid w:val="00C43A0D"/>
    <w:rsid w:val="00C44124"/>
    <w:rsid w:val="00C447FF"/>
    <w:rsid w:val="00C44890"/>
    <w:rsid w:val="00C44B9C"/>
    <w:rsid w:val="00C44E05"/>
    <w:rsid w:val="00C45814"/>
    <w:rsid w:val="00C46053"/>
    <w:rsid w:val="00C46669"/>
    <w:rsid w:val="00C46913"/>
    <w:rsid w:val="00C46A08"/>
    <w:rsid w:val="00C46D0C"/>
    <w:rsid w:val="00C4723B"/>
    <w:rsid w:val="00C474D6"/>
    <w:rsid w:val="00C47932"/>
    <w:rsid w:val="00C47A42"/>
    <w:rsid w:val="00C47B66"/>
    <w:rsid w:val="00C47D0B"/>
    <w:rsid w:val="00C47DC5"/>
    <w:rsid w:val="00C47DDC"/>
    <w:rsid w:val="00C50367"/>
    <w:rsid w:val="00C503AE"/>
    <w:rsid w:val="00C5094E"/>
    <w:rsid w:val="00C5108C"/>
    <w:rsid w:val="00C51223"/>
    <w:rsid w:val="00C51501"/>
    <w:rsid w:val="00C51C28"/>
    <w:rsid w:val="00C51ED8"/>
    <w:rsid w:val="00C52B90"/>
    <w:rsid w:val="00C52CF2"/>
    <w:rsid w:val="00C531F1"/>
    <w:rsid w:val="00C53514"/>
    <w:rsid w:val="00C5373C"/>
    <w:rsid w:val="00C53BD5"/>
    <w:rsid w:val="00C53F42"/>
    <w:rsid w:val="00C54349"/>
    <w:rsid w:val="00C5504C"/>
    <w:rsid w:val="00C5515D"/>
    <w:rsid w:val="00C55772"/>
    <w:rsid w:val="00C557D9"/>
    <w:rsid w:val="00C55FFE"/>
    <w:rsid w:val="00C564C7"/>
    <w:rsid w:val="00C56962"/>
    <w:rsid w:val="00C5697C"/>
    <w:rsid w:val="00C56ABD"/>
    <w:rsid w:val="00C56B6E"/>
    <w:rsid w:val="00C5700E"/>
    <w:rsid w:val="00C571DB"/>
    <w:rsid w:val="00C57232"/>
    <w:rsid w:val="00C574D4"/>
    <w:rsid w:val="00C57529"/>
    <w:rsid w:val="00C60073"/>
    <w:rsid w:val="00C60A57"/>
    <w:rsid w:val="00C60C5D"/>
    <w:rsid w:val="00C6120F"/>
    <w:rsid w:val="00C612FB"/>
    <w:rsid w:val="00C6168D"/>
    <w:rsid w:val="00C61D80"/>
    <w:rsid w:val="00C6240E"/>
    <w:rsid w:val="00C6257C"/>
    <w:rsid w:val="00C627A4"/>
    <w:rsid w:val="00C62A10"/>
    <w:rsid w:val="00C62B59"/>
    <w:rsid w:val="00C62BF5"/>
    <w:rsid w:val="00C62F20"/>
    <w:rsid w:val="00C630F6"/>
    <w:rsid w:val="00C630F9"/>
    <w:rsid w:val="00C63149"/>
    <w:rsid w:val="00C634ED"/>
    <w:rsid w:val="00C634F5"/>
    <w:rsid w:val="00C639AA"/>
    <w:rsid w:val="00C63C87"/>
    <w:rsid w:val="00C63E21"/>
    <w:rsid w:val="00C64209"/>
    <w:rsid w:val="00C642BA"/>
    <w:rsid w:val="00C64764"/>
    <w:rsid w:val="00C64BAF"/>
    <w:rsid w:val="00C64BC5"/>
    <w:rsid w:val="00C651E3"/>
    <w:rsid w:val="00C6554A"/>
    <w:rsid w:val="00C65584"/>
    <w:rsid w:val="00C6562F"/>
    <w:rsid w:val="00C65913"/>
    <w:rsid w:val="00C65933"/>
    <w:rsid w:val="00C6598B"/>
    <w:rsid w:val="00C66081"/>
    <w:rsid w:val="00C6626E"/>
    <w:rsid w:val="00C662FD"/>
    <w:rsid w:val="00C66961"/>
    <w:rsid w:val="00C669CE"/>
    <w:rsid w:val="00C6734B"/>
    <w:rsid w:val="00C6751A"/>
    <w:rsid w:val="00C675BD"/>
    <w:rsid w:val="00C67F3D"/>
    <w:rsid w:val="00C67FFC"/>
    <w:rsid w:val="00C67FFD"/>
    <w:rsid w:val="00C70046"/>
    <w:rsid w:val="00C7004A"/>
    <w:rsid w:val="00C7026D"/>
    <w:rsid w:val="00C7058C"/>
    <w:rsid w:val="00C709F9"/>
    <w:rsid w:val="00C70EDE"/>
    <w:rsid w:val="00C714D2"/>
    <w:rsid w:val="00C71A15"/>
    <w:rsid w:val="00C71A94"/>
    <w:rsid w:val="00C71D6B"/>
    <w:rsid w:val="00C72002"/>
    <w:rsid w:val="00C723E4"/>
    <w:rsid w:val="00C7242D"/>
    <w:rsid w:val="00C72493"/>
    <w:rsid w:val="00C726DF"/>
    <w:rsid w:val="00C7325D"/>
    <w:rsid w:val="00C73348"/>
    <w:rsid w:val="00C733AB"/>
    <w:rsid w:val="00C734A8"/>
    <w:rsid w:val="00C73F05"/>
    <w:rsid w:val="00C73FC0"/>
    <w:rsid w:val="00C74E50"/>
    <w:rsid w:val="00C74E80"/>
    <w:rsid w:val="00C75072"/>
    <w:rsid w:val="00C75390"/>
    <w:rsid w:val="00C75540"/>
    <w:rsid w:val="00C75700"/>
    <w:rsid w:val="00C762D7"/>
    <w:rsid w:val="00C76377"/>
    <w:rsid w:val="00C764BD"/>
    <w:rsid w:val="00C76751"/>
    <w:rsid w:val="00C76C54"/>
    <w:rsid w:val="00C76FE8"/>
    <w:rsid w:val="00C7741A"/>
    <w:rsid w:val="00C7787C"/>
    <w:rsid w:val="00C77912"/>
    <w:rsid w:val="00C779BD"/>
    <w:rsid w:val="00C77E06"/>
    <w:rsid w:val="00C77F6F"/>
    <w:rsid w:val="00C80140"/>
    <w:rsid w:val="00C805FB"/>
    <w:rsid w:val="00C8060D"/>
    <w:rsid w:val="00C80780"/>
    <w:rsid w:val="00C80B5B"/>
    <w:rsid w:val="00C80CA0"/>
    <w:rsid w:val="00C80FF1"/>
    <w:rsid w:val="00C81459"/>
    <w:rsid w:val="00C8170D"/>
    <w:rsid w:val="00C81929"/>
    <w:rsid w:val="00C81932"/>
    <w:rsid w:val="00C823CB"/>
    <w:rsid w:val="00C8242A"/>
    <w:rsid w:val="00C8246B"/>
    <w:rsid w:val="00C82558"/>
    <w:rsid w:val="00C82583"/>
    <w:rsid w:val="00C828EC"/>
    <w:rsid w:val="00C82F37"/>
    <w:rsid w:val="00C82FAE"/>
    <w:rsid w:val="00C82FCD"/>
    <w:rsid w:val="00C83028"/>
    <w:rsid w:val="00C8314F"/>
    <w:rsid w:val="00C831A2"/>
    <w:rsid w:val="00C8377D"/>
    <w:rsid w:val="00C83ABC"/>
    <w:rsid w:val="00C83DDC"/>
    <w:rsid w:val="00C84053"/>
    <w:rsid w:val="00C844BF"/>
    <w:rsid w:val="00C84803"/>
    <w:rsid w:val="00C84E1A"/>
    <w:rsid w:val="00C850B3"/>
    <w:rsid w:val="00C8557E"/>
    <w:rsid w:val="00C85709"/>
    <w:rsid w:val="00C8599E"/>
    <w:rsid w:val="00C85AE8"/>
    <w:rsid w:val="00C85B7E"/>
    <w:rsid w:val="00C85E2F"/>
    <w:rsid w:val="00C85EBF"/>
    <w:rsid w:val="00C86426"/>
    <w:rsid w:val="00C867ED"/>
    <w:rsid w:val="00C86845"/>
    <w:rsid w:val="00C86CD2"/>
    <w:rsid w:val="00C86DCA"/>
    <w:rsid w:val="00C870EF"/>
    <w:rsid w:val="00C8741B"/>
    <w:rsid w:val="00C87875"/>
    <w:rsid w:val="00C878F5"/>
    <w:rsid w:val="00C9073A"/>
    <w:rsid w:val="00C9092E"/>
    <w:rsid w:val="00C90A21"/>
    <w:rsid w:val="00C90AFF"/>
    <w:rsid w:val="00C90CEC"/>
    <w:rsid w:val="00C90D49"/>
    <w:rsid w:val="00C90E39"/>
    <w:rsid w:val="00C91503"/>
    <w:rsid w:val="00C91763"/>
    <w:rsid w:val="00C917DF"/>
    <w:rsid w:val="00C91D3D"/>
    <w:rsid w:val="00C91D8D"/>
    <w:rsid w:val="00C91F04"/>
    <w:rsid w:val="00C9222D"/>
    <w:rsid w:val="00C92343"/>
    <w:rsid w:val="00C92559"/>
    <w:rsid w:val="00C9259B"/>
    <w:rsid w:val="00C927E3"/>
    <w:rsid w:val="00C92A4B"/>
    <w:rsid w:val="00C92EBC"/>
    <w:rsid w:val="00C92FD2"/>
    <w:rsid w:val="00C931C2"/>
    <w:rsid w:val="00C931C7"/>
    <w:rsid w:val="00C931F8"/>
    <w:rsid w:val="00C9355E"/>
    <w:rsid w:val="00C935D1"/>
    <w:rsid w:val="00C93C2A"/>
    <w:rsid w:val="00C93E1B"/>
    <w:rsid w:val="00C94862"/>
    <w:rsid w:val="00C949CC"/>
    <w:rsid w:val="00C94B46"/>
    <w:rsid w:val="00C95026"/>
    <w:rsid w:val="00C951A5"/>
    <w:rsid w:val="00C952A5"/>
    <w:rsid w:val="00C9531A"/>
    <w:rsid w:val="00C95439"/>
    <w:rsid w:val="00C95754"/>
    <w:rsid w:val="00C957C4"/>
    <w:rsid w:val="00C95EA3"/>
    <w:rsid w:val="00C96084"/>
    <w:rsid w:val="00C9609C"/>
    <w:rsid w:val="00C962C1"/>
    <w:rsid w:val="00C967BD"/>
    <w:rsid w:val="00C96C36"/>
    <w:rsid w:val="00C96DEE"/>
    <w:rsid w:val="00C977B7"/>
    <w:rsid w:val="00C97AA8"/>
    <w:rsid w:val="00C97B17"/>
    <w:rsid w:val="00C97B63"/>
    <w:rsid w:val="00C97DD0"/>
    <w:rsid w:val="00CA0802"/>
    <w:rsid w:val="00CA0878"/>
    <w:rsid w:val="00CA12F0"/>
    <w:rsid w:val="00CA13C6"/>
    <w:rsid w:val="00CA18A3"/>
    <w:rsid w:val="00CA1BFC"/>
    <w:rsid w:val="00CA1CBA"/>
    <w:rsid w:val="00CA1FBD"/>
    <w:rsid w:val="00CA266D"/>
    <w:rsid w:val="00CA29CE"/>
    <w:rsid w:val="00CA2C33"/>
    <w:rsid w:val="00CA2CD5"/>
    <w:rsid w:val="00CA2E40"/>
    <w:rsid w:val="00CA339E"/>
    <w:rsid w:val="00CA367A"/>
    <w:rsid w:val="00CA3766"/>
    <w:rsid w:val="00CA3DAA"/>
    <w:rsid w:val="00CA3EEB"/>
    <w:rsid w:val="00CA4543"/>
    <w:rsid w:val="00CA47A1"/>
    <w:rsid w:val="00CA4BB0"/>
    <w:rsid w:val="00CA4C3B"/>
    <w:rsid w:val="00CA4CBB"/>
    <w:rsid w:val="00CA4EA1"/>
    <w:rsid w:val="00CA4FD5"/>
    <w:rsid w:val="00CA57C9"/>
    <w:rsid w:val="00CA5BFC"/>
    <w:rsid w:val="00CA6182"/>
    <w:rsid w:val="00CA645E"/>
    <w:rsid w:val="00CA6636"/>
    <w:rsid w:val="00CA6B00"/>
    <w:rsid w:val="00CA6B28"/>
    <w:rsid w:val="00CA6C30"/>
    <w:rsid w:val="00CA6C61"/>
    <w:rsid w:val="00CA723D"/>
    <w:rsid w:val="00CA73BC"/>
    <w:rsid w:val="00CA758A"/>
    <w:rsid w:val="00CA7A5F"/>
    <w:rsid w:val="00CA7D36"/>
    <w:rsid w:val="00CA7F16"/>
    <w:rsid w:val="00CB0025"/>
    <w:rsid w:val="00CB04EC"/>
    <w:rsid w:val="00CB053D"/>
    <w:rsid w:val="00CB0A9E"/>
    <w:rsid w:val="00CB0B87"/>
    <w:rsid w:val="00CB0CE7"/>
    <w:rsid w:val="00CB0E12"/>
    <w:rsid w:val="00CB1A80"/>
    <w:rsid w:val="00CB1ABE"/>
    <w:rsid w:val="00CB1CE6"/>
    <w:rsid w:val="00CB1DB7"/>
    <w:rsid w:val="00CB24F4"/>
    <w:rsid w:val="00CB26AF"/>
    <w:rsid w:val="00CB2748"/>
    <w:rsid w:val="00CB2DC7"/>
    <w:rsid w:val="00CB325D"/>
    <w:rsid w:val="00CB4028"/>
    <w:rsid w:val="00CB4217"/>
    <w:rsid w:val="00CB45B4"/>
    <w:rsid w:val="00CB4963"/>
    <w:rsid w:val="00CB496E"/>
    <w:rsid w:val="00CB4C55"/>
    <w:rsid w:val="00CB4CF0"/>
    <w:rsid w:val="00CB511C"/>
    <w:rsid w:val="00CB523E"/>
    <w:rsid w:val="00CB5940"/>
    <w:rsid w:val="00CB5CB7"/>
    <w:rsid w:val="00CB5FCB"/>
    <w:rsid w:val="00CB6039"/>
    <w:rsid w:val="00CB6211"/>
    <w:rsid w:val="00CB67DE"/>
    <w:rsid w:val="00CB6CF1"/>
    <w:rsid w:val="00CB743A"/>
    <w:rsid w:val="00CB774F"/>
    <w:rsid w:val="00CB781F"/>
    <w:rsid w:val="00CC00DD"/>
    <w:rsid w:val="00CC013D"/>
    <w:rsid w:val="00CC038F"/>
    <w:rsid w:val="00CC0427"/>
    <w:rsid w:val="00CC05F8"/>
    <w:rsid w:val="00CC0631"/>
    <w:rsid w:val="00CC0DCF"/>
    <w:rsid w:val="00CC1559"/>
    <w:rsid w:val="00CC1856"/>
    <w:rsid w:val="00CC1A86"/>
    <w:rsid w:val="00CC1BC2"/>
    <w:rsid w:val="00CC1D27"/>
    <w:rsid w:val="00CC1F4E"/>
    <w:rsid w:val="00CC2068"/>
    <w:rsid w:val="00CC2637"/>
    <w:rsid w:val="00CC2679"/>
    <w:rsid w:val="00CC2D18"/>
    <w:rsid w:val="00CC2E8C"/>
    <w:rsid w:val="00CC3325"/>
    <w:rsid w:val="00CC34F3"/>
    <w:rsid w:val="00CC38BC"/>
    <w:rsid w:val="00CC392A"/>
    <w:rsid w:val="00CC3A77"/>
    <w:rsid w:val="00CC3D3F"/>
    <w:rsid w:val="00CC4160"/>
    <w:rsid w:val="00CC434F"/>
    <w:rsid w:val="00CC4613"/>
    <w:rsid w:val="00CC4830"/>
    <w:rsid w:val="00CC487F"/>
    <w:rsid w:val="00CC5652"/>
    <w:rsid w:val="00CC577A"/>
    <w:rsid w:val="00CC60DA"/>
    <w:rsid w:val="00CC6528"/>
    <w:rsid w:val="00CC6544"/>
    <w:rsid w:val="00CC6D9A"/>
    <w:rsid w:val="00CC7053"/>
    <w:rsid w:val="00CC70F0"/>
    <w:rsid w:val="00CC71BE"/>
    <w:rsid w:val="00CC7403"/>
    <w:rsid w:val="00CC76C1"/>
    <w:rsid w:val="00CC7868"/>
    <w:rsid w:val="00CC7B15"/>
    <w:rsid w:val="00CC7C4D"/>
    <w:rsid w:val="00CC7CA9"/>
    <w:rsid w:val="00CC7DB3"/>
    <w:rsid w:val="00CD0026"/>
    <w:rsid w:val="00CD0739"/>
    <w:rsid w:val="00CD0840"/>
    <w:rsid w:val="00CD0AC6"/>
    <w:rsid w:val="00CD141A"/>
    <w:rsid w:val="00CD15EF"/>
    <w:rsid w:val="00CD1ADE"/>
    <w:rsid w:val="00CD21A2"/>
    <w:rsid w:val="00CD24FD"/>
    <w:rsid w:val="00CD2535"/>
    <w:rsid w:val="00CD2894"/>
    <w:rsid w:val="00CD2AB8"/>
    <w:rsid w:val="00CD2CD5"/>
    <w:rsid w:val="00CD31DF"/>
    <w:rsid w:val="00CD3219"/>
    <w:rsid w:val="00CD34A1"/>
    <w:rsid w:val="00CD35AD"/>
    <w:rsid w:val="00CD37DC"/>
    <w:rsid w:val="00CD3D85"/>
    <w:rsid w:val="00CD3E05"/>
    <w:rsid w:val="00CD3E5D"/>
    <w:rsid w:val="00CD3F5A"/>
    <w:rsid w:val="00CD4123"/>
    <w:rsid w:val="00CD4152"/>
    <w:rsid w:val="00CD4290"/>
    <w:rsid w:val="00CD44AB"/>
    <w:rsid w:val="00CD4962"/>
    <w:rsid w:val="00CD49CF"/>
    <w:rsid w:val="00CD4A31"/>
    <w:rsid w:val="00CD4A93"/>
    <w:rsid w:val="00CD4ACB"/>
    <w:rsid w:val="00CD4BE0"/>
    <w:rsid w:val="00CD5212"/>
    <w:rsid w:val="00CD5676"/>
    <w:rsid w:val="00CD582C"/>
    <w:rsid w:val="00CD5B56"/>
    <w:rsid w:val="00CD5B63"/>
    <w:rsid w:val="00CD6085"/>
    <w:rsid w:val="00CD6160"/>
    <w:rsid w:val="00CD619A"/>
    <w:rsid w:val="00CD6477"/>
    <w:rsid w:val="00CD680F"/>
    <w:rsid w:val="00CD729F"/>
    <w:rsid w:val="00CD74EC"/>
    <w:rsid w:val="00CD75B7"/>
    <w:rsid w:val="00CD7815"/>
    <w:rsid w:val="00CD7D05"/>
    <w:rsid w:val="00CD7D55"/>
    <w:rsid w:val="00CE02E0"/>
    <w:rsid w:val="00CE0695"/>
    <w:rsid w:val="00CE1040"/>
    <w:rsid w:val="00CE10BF"/>
    <w:rsid w:val="00CE1B13"/>
    <w:rsid w:val="00CE1D1D"/>
    <w:rsid w:val="00CE1F91"/>
    <w:rsid w:val="00CE1FD3"/>
    <w:rsid w:val="00CE213A"/>
    <w:rsid w:val="00CE22D2"/>
    <w:rsid w:val="00CE27EB"/>
    <w:rsid w:val="00CE281D"/>
    <w:rsid w:val="00CE295F"/>
    <w:rsid w:val="00CE2C9D"/>
    <w:rsid w:val="00CE2DEF"/>
    <w:rsid w:val="00CE2FD3"/>
    <w:rsid w:val="00CE3129"/>
    <w:rsid w:val="00CE32A6"/>
    <w:rsid w:val="00CE32E6"/>
    <w:rsid w:val="00CE35E3"/>
    <w:rsid w:val="00CE384E"/>
    <w:rsid w:val="00CE3E9A"/>
    <w:rsid w:val="00CE3F4A"/>
    <w:rsid w:val="00CE45CB"/>
    <w:rsid w:val="00CE496B"/>
    <w:rsid w:val="00CE4EC5"/>
    <w:rsid w:val="00CE4FB8"/>
    <w:rsid w:val="00CE50B7"/>
    <w:rsid w:val="00CE515F"/>
    <w:rsid w:val="00CE51A7"/>
    <w:rsid w:val="00CE539A"/>
    <w:rsid w:val="00CE54B4"/>
    <w:rsid w:val="00CE5535"/>
    <w:rsid w:val="00CE58E6"/>
    <w:rsid w:val="00CE5B89"/>
    <w:rsid w:val="00CE5CC2"/>
    <w:rsid w:val="00CE5EB0"/>
    <w:rsid w:val="00CE63A3"/>
    <w:rsid w:val="00CE63D1"/>
    <w:rsid w:val="00CE663A"/>
    <w:rsid w:val="00CE689B"/>
    <w:rsid w:val="00CE6A83"/>
    <w:rsid w:val="00CE71CB"/>
    <w:rsid w:val="00CE7BE6"/>
    <w:rsid w:val="00CE7E35"/>
    <w:rsid w:val="00CE7F38"/>
    <w:rsid w:val="00CE7FE6"/>
    <w:rsid w:val="00CF00B6"/>
    <w:rsid w:val="00CF03BC"/>
    <w:rsid w:val="00CF0750"/>
    <w:rsid w:val="00CF08B7"/>
    <w:rsid w:val="00CF0E5D"/>
    <w:rsid w:val="00CF130E"/>
    <w:rsid w:val="00CF1481"/>
    <w:rsid w:val="00CF1523"/>
    <w:rsid w:val="00CF177C"/>
    <w:rsid w:val="00CF17BA"/>
    <w:rsid w:val="00CF182B"/>
    <w:rsid w:val="00CF19AC"/>
    <w:rsid w:val="00CF1C5B"/>
    <w:rsid w:val="00CF2EE0"/>
    <w:rsid w:val="00CF3EA8"/>
    <w:rsid w:val="00CF3FE4"/>
    <w:rsid w:val="00CF4341"/>
    <w:rsid w:val="00CF4514"/>
    <w:rsid w:val="00CF4DB6"/>
    <w:rsid w:val="00CF4EF2"/>
    <w:rsid w:val="00CF54CC"/>
    <w:rsid w:val="00CF563F"/>
    <w:rsid w:val="00CF5676"/>
    <w:rsid w:val="00CF5C02"/>
    <w:rsid w:val="00CF5ECF"/>
    <w:rsid w:val="00CF6FE3"/>
    <w:rsid w:val="00CF7893"/>
    <w:rsid w:val="00CF79B7"/>
    <w:rsid w:val="00CF7A5D"/>
    <w:rsid w:val="00CF7C70"/>
    <w:rsid w:val="00CF7C7D"/>
    <w:rsid w:val="00D00853"/>
    <w:rsid w:val="00D00880"/>
    <w:rsid w:val="00D009F1"/>
    <w:rsid w:val="00D00D4D"/>
    <w:rsid w:val="00D00E2E"/>
    <w:rsid w:val="00D0128C"/>
    <w:rsid w:val="00D01504"/>
    <w:rsid w:val="00D015D6"/>
    <w:rsid w:val="00D016A7"/>
    <w:rsid w:val="00D018A4"/>
    <w:rsid w:val="00D019F0"/>
    <w:rsid w:val="00D01B2C"/>
    <w:rsid w:val="00D02309"/>
    <w:rsid w:val="00D02603"/>
    <w:rsid w:val="00D02720"/>
    <w:rsid w:val="00D027C6"/>
    <w:rsid w:val="00D0297C"/>
    <w:rsid w:val="00D02A43"/>
    <w:rsid w:val="00D02B23"/>
    <w:rsid w:val="00D02C3E"/>
    <w:rsid w:val="00D02E59"/>
    <w:rsid w:val="00D0303F"/>
    <w:rsid w:val="00D03381"/>
    <w:rsid w:val="00D03453"/>
    <w:rsid w:val="00D0354B"/>
    <w:rsid w:val="00D03780"/>
    <w:rsid w:val="00D037AD"/>
    <w:rsid w:val="00D037DE"/>
    <w:rsid w:val="00D04010"/>
    <w:rsid w:val="00D04179"/>
    <w:rsid w:val="00D0426F"/>
    <w:rsid w:val="00D0430E"/>
    <w:rsid w:val="00D046FC"/>
    <w:rsid w:val="00D04974"/>
    <w:rsid w:val="00D04A5C"/>
    <w:rsid w:val="00D05399"/>
    <w:rsid w:val="00D053CE"/>
    <w:rsid w:val="00D054B3"/>
    <w:rsid w:val="00D05760"/>
    <w:rsid w:val="00D0576D"/>
    <w:rsid w:val="00D0588E"/>
    <w:rsid w:val="00D0608D"/>
    <w:rsid w:val="00D062F0"/>
    <w:rsid w:val="00D062FD"/>
    <w:rsid w:val="00D0691C"/>
    <w:rsid w:val="00D0708B"/>
    <w:rsid w:val="00D070DE"/>
    <w:rsid w:val="00D07575"/>
    <w:rsid w:val="00D07A57"/>
    <w:rsid w:val="00D07F51"/>
    <w:rsid w:val="00D102DB"/>
    <w:rsid w:val="00D10404"/>
    <w:rsid w:val="00D10549"/>
    <w:rsid w:val="00D1086D"/>
    <w:rsid w:val="00D10B60"/>
    <w:rsid w:val="00D10DD4"/>
    <w:rsid w:val="00D110BB"/>
    <w:rsid w:val="00D11306"/>
    <w:rsid w:val="00D1154F"/>
    <w:rsid w:val="00D11A9A"/>
    <w:rsid w:val="00D11E44"/>
    <w:rsid w:val="00D11F48"/>
    <w:rsid w:val="00D12506"/>
    <w:rsid w:val="00D1262E"/>
    <w:rsid w:val="00D127E4"/>
    <w:rsid w:val="00D12C48"/>
    <w:rsid w:val="00D12D7D"/>
    <w:rsid w:val="00D1340E"/>
    <w:rsid w:val="00D134FF"/>
    <w:rsid w:val="00D1386F"/>
    <w:rsid w:val="00D13AE6"/>
    <w:rsid w:val="00D13C80"/>
    <w:rsid w:val="00D13F9B"/>
    <w:rsid w:val="00D1415B"/>
    <w:rsid w:val="00D141FC"/>
    <w:rsid w:val="00D14393"/>
    <w:rsid w:val="00D14423"/>
    <w:rsid w:val="00D1483A"/>
    <w:rsid w:val="00D14BDA"/>
    <w:rsid w:val="00D14CDA"/>
    <w:rsid w:val="00D152CC"/>
    <w:rsid w:val="00D15383"/>
    <w:rsid w:val="00D158CA"/>
    <w:rsid w:val="00D159E4"/>
    <w:rsid w:val="00D15BEE"/>
    <w:rsid w:val="00D1601B"/>
    <w:rsid w:val="00D160E9"/>
    <w:rsid w:val="00D16461"/>
    <w:rsid w:val="00D17149"/>
    <w:rsid w:val="00D17277"/>
    <w:rsid w:val="00D172F3"/>
    <w:rsid w:val="00D17491"/>
    <w:rsid w:val="00D179B6"/>
    <w:rsid w:val="00D17C3D"/>
    <w:rsid w:val="00D17E0D"/>
    <w:rsid w:val="00D17F05"/>
    <w:rsid w:val="00D20851"/>
    <w:rsid w:val="00D20967"/>
    <w:rsid w:val="00D2104E"/>
    <w:rsid w:val="00D21166"/>
    <w:rsid w:val="00D21179"/>
    <w:rsid w:val="00D2133A"/>
    <w:rsid w:val="00D21478"/>
    <w:rsid w:val="00D21BC1"/>
    <w:rsid w:val="00D21F0B"/>
    <w:rsid w:val="00D22057"/>
    <w:rsid w:val="00D220AB"/>
    <w:rsid w:val="00D220D4"/>
    <w:rsid w:val="00D221C8"/>
    <w:rsid w:val="00D22368"/>
    <w:rsid w:val="00D2383E"/>
    <w:rsid w:val="00D23C7C"/>
    <w:rsid w:val="00D23DB8"/>
    <w:rsid w:val="00D23DCD"/>
    <w:rsid w:val="00D242D7"/>
    <w:rsid w:val="00D246EA"/>
    <w:rsid w:val="00D248D0"/>
    <w:rsid w:val="00D248EF"/>
    <w:rsid w:val="00D24BAA"/>
    <w:rsid w:val="00D24BD1"/>
    <w:rsid w:val="00D2523B"/>
    <w:rsid w:val="00D2588E"/>
    <w:rsid w:val="00D264A8"/>
    <w:rsid w:val="00D265EE"/>
    <w:rsid w:val="00D2670B"/>
    <w:rsid w:val="00D2681F"/>
    <w:rsid w:val="00D275CE"/>
    <w:rsid w:val="00D27790"/>
    <w:rsid w:val="00D27C67"/>
    <w:rsid w:val="00D27D93"/>
    <w:rsid w:val="00D301C6"/>
    <w:rsid w:val="00D304A3"/>
    <w:rsid w:val="00D30699"/>
    <w:rsid w:val="00D308A8"/>
    <w:rsid w:val="00D309BF"/>
    <w:rsid w:val="00D30C48"/>
    <w:rsid w:val="00D30C9D"/>
    <w:rsid w:val="00D30D37"/>
    <w:rsid w:val="00D3110D"/>
    <w:rsid w:val="00D318F4"/>
    <w:rsid w:val="00D31CD5"/>
    <w:rsid w:val="00D31E0B"/>
    <w:rsid w:val="00D320B0"/>
    <w:rsid w:val="00D32456"/>
    <w:rsid w:val="00D32615"/>
    <w:rsid w:val="00D32974"/>
    <w:rsid w:val="00D32CC3"/>
    <w:rsid w:val="00D3301D"/>
    <w:rsid w:val="00D330AA"/>
    <w:rsid w:val="00D332A7"/>
    <w:rsid w:val="00D332DB"/>
    <w:rsid w:val="00D3352D"/>
    <w:rsid w:val="00D33A88"/>
    <w:rsid w:val="00D3409F"/>
    <w:rsid w:val="00D34A7A"/>
    <w:rsid w:val="00D34D3A"/>
    <w:rsid w:val="00D35761"/>
    <w:rsid w:val="00D35B6C"/>
    <w:rsid w:val="00D35CA8"/>
    <w:rsid w:val="00D35DFF"/>
    <w:rsid w:val="00D36431"/>
    <w:rsid w:val="00D366E4"/>
    <w:rsid w:val="00D3671C"/>
    <w:rsid w:val="00D36B68"/>
    <w:rsid w:val="00D36CCD"/>
    <w:rsid w:val="00D374E3"/>
    <w:rsid w:val="00D3751D"/>
    <w:rsid w:val="00D37A3F"/>
    <w:rsid w:val="00D37EBE"/>
    <w:rsid w:val="00D37F02"/>
    <w:rsid w:val="00D40017"/>
    <w:rsid w:val="00D40096"/>
    <w:rsid w:val="00D40107"/>
    <w:rsid w:val="00D4062D"/>
    <w:rsid w:val="00D40986"/>
    <w:rsid w:val="00D409A4"/>
    <w:rsid w:val="00D40C5D"/>
    <w:rsid w:val="00D40C67"/>
    <w:rsid w:val="00D4123E"/>
    <w:rsid w:val="00D41432"/>
    <w:rsid w:val="00D416BE"/>
    <w:rsid w:val="00D41BE3"/>
    <w:rsid w:val="00D41D9C"/>
    <w:rsid w:val="00D42300"/>
    <w:rsid w:val="00D425EA"/>
    <w:rsid w:val="00D428E6"/>
    <w:rsid w:val="00D42959"/>
    <w:rsid w:val="00D42990"/>
    <w:rsid w:val="00D42D5F"/>
    <w:rsid w:val="00D42FC9"/>
    <w:rsid w:val="00D430DB"/>
    <w:rsid w:val="00D430E8"/>
    <w:rsid w:val="00D431D7"/>
    <w:rsid w:val="00D4327F"/>
    <w:rsid w:val="00D438D8"/>
    <w:rsid w:val="00D439F0"/>
    <w:rsid w:val="00D43DC8"/>
    <w:rsid w:val="00D43F19"/>
    <w:rsid w:val="00D4413A"/>
    <w:rsid w:val="00D441CC"/>
    <w:rsid w:val="00D44789"/>
    <w:rsid w:val="00D448A0"/>
    <w:rsid w:val="00D44983"/>
    <w:rsid w:val="00D44D94"/>
    <w:rsid w:val="00D44E1E"/>
    <w:rsid w:val="00D44F0D"/>
    <w:rsid w:val="00D450C0"/>
    <w:rsid w:val="00D45178"/>
    <w:rsid w:val="00D45195"/>
    <w:rsid w:val="00D454F8"/>
    <w:rsid w:val="00D4573C"/>
    <w:rsid w:val="00D457C4"/>
    <w:rsid w:val="00D457F2"/>
    <w:rsid w:val="00D45AF1"/>
    <w:rsid w:val="00D45CB7"/>
    <w:rsid w:val="00D4602D"/>
    <w:rsid w:val="00D46085"/>
    <w:rsid w:val="00D4623D"/>
    <w:rsid w:val="00D46250"/>
    <w:rsid w:val="00D4637A"/>
    <w:rsid w:val="00D463A3"/>
    <w:rsid w:val="00D465F0"/>
    <w:rsid w:val="00D46A5A"/>
    <w:rsid w:val="00D46F39"/>
    <w:rsid w:val="00D470B0"/>
    <w:rsid w:val="00D47317"/>
    <w:rsid w:val="00D47350"/>
    <w:rsid w:val="00D474E3"/>
    <w:rsid w:val="00D4752F"/>
    <w:rsid w:val="00D476E6"/>
    <w:rsid w:val="00D47EE5"/>
    <w:rsid w:val="00D47FA1"/>
    <w:rsid w:val="00D47FEF"/>
    <w:rsid w:val="00D505F0"/>
    <w:rsid w:val="00D50681"/>
    <w:rsid w:val="00D506D3"/>
    <w:rsid w:val="00D506D7"/>
    <w:rsid w:val="00D51240"/>
    <w:rsid w:val="00D51445"/>
    <w:rsid w:val="00D51959"/>
    <w:rsid w:val="00D51AD6"/>
    <w:rsid w:val="00D51B6D"/>
    <w:rsid w:val="00D51BFE"/>
    <w:rsid w:val="00D51C77"/>
    <w:rsid w:val="00D51FD8"/>
    <w:rsid w:val="00D52956"/>
    <w:rsid w:val="00D52A29"/>
    <w:rsid w:val="00D52B06"/>
    <w:rsid w:val="00D52D63"/>
    <w:rsid w:val="00D52F36"/>
    <w:rsid w:val="00D5319A"/>
    <w:rsid w:val="00D531DA"/>
    <w:rsid w:val="00D536BB"/>
    <w:rsid w:val="00D536DE"/>
    <w:rsid w:val="00D539D2"/>
    <w:rsid w:val="00D54325"/>
    <w:rsid w:val="00D54C6E"/>
    <w:rsid w:val="00D557A9"/>
    <w:rsid w:val="00D55B3E"/>
    <w:rsid w:val="00D55BEE"/>
    <w:rsid w:val="00D55E63"/>
    <w:rsid w:val="00D55F81"/>
    <w:rsid w:val="00D560DC"/>
    <w:rsid w:val="00D5617C"/>
    <w:rsid w:val="00D564B5"/>
    <w:rsid w:val="00D56545"/>
    <w:rsid w:val="00D56860"/>
    <w:rsid w:val="00D5720D"/>
    <w:rsid w:val="00D57543"/>
    <w:rsid w:val="00D57CD0"/>
    <w:rsid w:val="00D57D63"/>
    <w:rsid w:val="00D6073E"/>
    <w:rsid w:val="00D60D3D"/>
    <w:rsid w:val="00D60D56"/>
    <w:rsid w:val="00D60D87"/>
    <w:rsid w:val="00D60F5C"/>
    <w:rsid w:val="00D61103"/>
    <w:rsid w:val="00D61255"/>
    <w:rsid w:val="00D612BF"/>
    <w:rsid w:val="00D6146F"/>
    <w:rsid w:val="00D61F82"/>
    <w:rsid w:val="00D6217A"/>
    <w:rsid w:val="00D62706"/>
    <w:rsid w:val="00D62D56"/>
    <w:rsid w:val="00D62F39"/>
    <w:rsid w:val="00D634F3"/>
    <w:rsid w:val="00D63596"/>
    <w:rsid w:val="00D636AE"/>
    <w:rsid w:val="00D6388C"/>
    <w:rsid w:val="00D639E0"/>
    <w:rsid w:val="00D63F60"/>
    <w:rsid w:val="00D6448F"/>
    <w:rsid w:val="00D64700"/>
    <w:rsid w:val="00D64819"/>
    <w:rsid w:val="00D64A6B"/>
    <w:rsid w:val="00D64F52"/>
    <w:rsid w:val="00D65175"/>
    <w:rsid w:val="00D65354"/>
    <w:rsid w:val="00D65392"/>
    <w:rsid w:val="00D655F2"/>
    <w:rsid w:val="00D6642D"/>
    <w:rsid w:val="00D66DE0"/>
    <w:rsid w:val="00D672B7"/>
    <w:rsid w:val="00D70075"/>
    <w:rsid w:val="00D70114"/>
    <w:rsid w:val="00D70157"/>
    <w:rsid w:val="00D70501"/>
    <w:rsid w:val="00D70C90"/>
    <w:rsid w:val="00D710E4"/>
    <w:rsid w:val="00D71A24"/>
    <w:rsid w:val="00D71EAC"/>
    <w:rsid w:val="00D71EE7"/>
    <w:rsid w:val="00D71FCC"/>
    <w:rsid w:val="00D730B5"/>
    <w:rsid w:val="00D73332"/>
    <w:rsid w:val="00D73A47"/>
    <w:rsid w:val="00D743D3"/>
    <w:rsid w:val="00D74822"/>
    <w:rsid w:val="00D74977"/>
    <w:rsid w:val="00D74F78"/>
    <w:rsid w:val="00D7513D"/>
    <w:rsid w:val="00D7525C"/>
    <w:rsid w:val="00D752AB"/>
    <w:rsid w:val="00D75431"/>
    <w:rsid w:val="00D75C4A"/>
    <w:rsid w:val="00D75C7B"/>
    <w:rsid w:val="00D75D3B"/>
    <w:rsid w:val="00D75EE2"/>
    <w:rsid w:val="00D7619D"/>
    <w:rsid w:val="00D76228"/>
    <w:rsid w:val="00D76502"/>
    <w:rsid w:val="00D76A0E"/>
    <w:rsid w:val="00D76D84"/>
    <w:rsid w:val="00D770B8"/>
    <w:rsid w:val="00D77151"/>
    <w:rsid w:val="00D772E2"/>
    <w:rsid w:val="00D772E4"/>
    <w:rsid w:val="00D773CB"/>
    <w:rsid w:val="00D77D4D"/>
    <w:rsid w:val="00D77E60"/>
    <w:rsid w:val="00D80C57"/>
    <w:rsid w:val="00D80EC2"/>
    <w:rsid w:val="00D81041"/>
    <w:rsid w:val="00D810F5"/>
    <w:rsid w:val="00D81332"/>
    <w:rsid w:val="00D81A34"/>
    <w:rsid w:val="00D81DA0"/>
    <w:rsid w:val="00D81E92"/>
    <w:rsid w:val="00D824F7"/>
    <w:rsid w:val="00D826FA"/>
    <w:rsid w:val="00D82BF4"/>
    <w:rsid w:val="00D82F19"/>
    <w:rsid w:val="00D82F61"/>
    <w:rsid w:val="00D83062"/>
    <w:rsid w:val="00D830F3"/>
    <w:rsid w:val="00D83557"/>
    <w:rsid w:val="00D84537"/>
    <w:rsid w:val="00D845F4"/>
    <w:rsid w:val="00D84677"/>
    <w:rsid w:val="00D84690"/>
    <w:rsid w:val="00D84734"/>
    <w:rsid w:val="00D84778"/>
    <w:rsid w:val="00D84B53"/>
    <w:rsid w:val="00D84E12"/>
    <w:rsid w:val="00D85150"/>
    <w:rsid w:val="00D855B3"/>
    <w:rsid w:val="00D85779"/>
    <w:rsid w:val="00D85AFD"/>
    <w:rsid w:val="00D85D92"/>
    <w:rsid w:val="00D867D5"/>
    <w:rsid w:val="00D86824"/>
    <w:rsid w:val="00D86867"/>
    <w:rsid w:val="00D87275"/>
    <w:rsid w:val="00D87830"/>
    <w:rsid w:val="00D87A21"/>
    <w:rsid w:val="00D87F76"/>
    <w:rsid w:val="00D90844"/>
    <w:rsid w:val="00D90B57"/>
    <w:rsid w:val="00D90BC4"/>
    <w:rsid w:val="00D91041"/>
    <w:rsid w:val="00D910F8"/>
    <w:rsid w:val="00D915A2"/>
    <w:rsid w:val="00D91783"/>
    <w:rsid w:val="00D9183A"/>
    <w:rsid w:val="00D91859"/>
    <w:rsid w:val="00D91E63"/>
    <w:rsid w:val="00D920BC"/>
    <w:rsid w:val="00D92581"/>
    <w:rsid w:val="00D9264D"/>
    <w:rsid w:val="00D92ABE"/>
    <w:rsid w:val="00D92CB5"/>
    <w:rsid w:val="00D92CCA"/>
    <w:rsid w:val="00D92F6D"/>
    <w:rsid w:val="00D93253"/>
    <w:rsid w:val="00D9337A"/>
    <w:rsid w:val="00D937D4"/>
    <w:rsid w:val="00D93C11"/>
    <w:rsid w:val="00D93DA9"/>
    <w:rsid w:val="00D93EEA"/>
    <w:rsid w:val="00D93F25"/>
    <w:rsid w:val="00D940FA"/>
    <w:rsid w:val="00D94468"/>
    <w:rsid w:val="00D94BA7"/>
    <w:rsid w:val="00D94C83"/>
    <w:rsid w:val="00D94EDC"/>
    <w:rsid w:val="00D95045"/>
    <w:rsid w:val="00D95104"/>
    <w:rsid w:val="00D95D13"/>
    <w:rsid w:val="00D9613A"/>
    <w:rsid w:val="00D96167"/>
    <w:rsid w:val="00D9691F"/>
    <w:rsid w:val="00D969C1"/>
    <w:rsid w:val="00D96ADD"/>
    <w:rsid w:val="00D96DBD"/>
    <w:rsid w:val="00D97943"/>
    <w:rsid w:val="00D979F0"/>
    <w:rsid w:val="00D97A09"/>
    <w:rsid w:val="00D97AEE"/>
    <w:rsid w:val="00D97F03"/>
    <w:rsid w:val="00DA0A20"/>
    <w:rsid w:val="00DA10BB"/>
    <w:rsid w:val="00DA10D7"/>
    <w:rsid w:val="00DA117E"/>
    <w:rsid w:val="00DA1359"/>
    <w:rsid w:val="00DA1531"/>
    <w:rsid w:val="00DA1619"/>
    <w:rsid w:val="00DA170C"/>
    <w:rsid w:val="00DA182F"/>
    <w:rsid w:val="00DA19C8"/>
    <w:rsid w:val="00DA21B5"/>
    <w:rsid w:val="00DA24F5"/>
    <w:rsid w:val="00DA2BC8"/>
    <w:rsid w:val="00DA3667"/>
    <w:rsid w:val="00DA3722"/>
    <w:rsid w:val="00DA3DAB"/>
    <w:rsid w:val="00DA3EFD"/>
    <w:rsid w:val="00DA3F55"/>
    <w:rsid w:val="00DA4048"/>
    <w:rsid w:val="00DA46A8"/>
    <w:rsid w:val="00DA471A"/>
    <w:rsid w:val="00DA488E"/>
    <w:rsid w:val="00DA4B5A"/>
    <w:rsid w:val="00DA4D7B"/>
    <w:rsid w:val="00DA506B"/>
    <w:rsid w:val="00DA53EB"/>
    <w:rsid w:val="00DA598C"/>
    <w:rsid w:val="00DA5C6A"/>
    <w:rsid w:val="00DA62C6"/>
    <w:rsid w:val="00DA6419"/>
    <w:rsid w:val="00DA6A3D"/>
    <w:rsid w:val="00DA6B60"/>
    <w:rsid w:val="00DA7395"/>
    <w:rsid w:val="00DA73F1"/>
    <w:rsid w:val="00DA756F"/>
    <w:rsid w:val="00DA762E"/>
    <w:rsid w:val="00DA7AA5"/>
    <w:rsid w:val="00DA7D42"/>
    <w:rsid w:val="00DA7EEB"/>
    <w:rsid w:val="00DB05A6"/>
    <w:rsid w:val="00DB0AE0"/>
    <w:rsid w:val="00DB0B6D"/>
    <w:rsid w:val="00DB0E5A"/>
    <w:rsid w:val="00DB1761"/>
    <w:rsid w:val="00DB17A5"/>
    <w:rsid w:val="00DB1917"/>
    <w:rsid w:val="00DB1986"/>
    <w:rsid w:val="00DB1A8A"/>
    <w:rsid w:val="00DB1B92"/>
    <w:rsid w:val="00DB1BCF"/>
    <w:rsid w:val="00DB1C7C"/>
    <w:rsid w:val="00DB1FCF"/>
    <w:rsid w:val="00DB2C8D"/>
    <w:rsid w:val="00DB2F36"/>
    <w:rsid w:val="00DB31B3"/>
    <w:rsid w:val="00DB32E8"/>
    <w:rsid w:val="00DB33C5"/>
    <w:rsid w:val="00DB364B"/>
    <w:rsid w:val="00DB3679"/>
    <w:rsid w:val="00DB39BE"/>
    <w:rsid w:val="00DB39F4"/>
    <w:rsid w:val="00DB4404"/>
    <w:rsid w:val="00DB4B15"/>
    <w:rsid w:val="00DB4D12"/>
    <w:rsid w:val="00DB4F0F"/>
    <w:rsid w:val="00DB5737"/>
    <w:rsid w:val="00DB580A"/>
    <w:rsid w:val="00DB59C0"/>
    <w:rsid w:val="00DB5FCA"/>
    <w:rsid w:val="00DB61EB"/>
    <w:rsid w:val="00DB6207"/>
    <w:rsid w:val="00DB62D8"/>
    <w:rsid w:val="00DB65FE"/>
    <w:rsid w:val="00DB68CE"/>
    <w:rsid w:val="00DB6990"/>
    <w:rsid w:val="00DB6BA5"/>
    <w:rsid w:val="00DB701C"/>
    <w:rsid w:val="00DB7EF7"/>
    <w:rsid w:val="00DB7FCA"/>
    <w:rsid w:val="00DC015F"/>
    <w:rsid w:val="00DC0720"/>
    <w:rsid w:val="00DC09BB"/>
    <w:rsid w:val="00DC0C62"/>
    <w:rsid w:val="00DC0E05"/>
    <w:rsid w:val="00DC0F65"/>
    <w:rsid w:val="00DC17F4"/>
    <w:rsid w:val="00DC1BEC"/>
    <w:rsid w:val="00DC28C2"/>
    <w:rsid w:val="00DC2B3A"/>
    <w:rsid w:val="00DC2DC3"/>
    <w:rsid w:val="00DC307C"/>
    <w:rsid w:val="00DC325D"/>
    <w:rsid w:val="00DC34ED"/>
    <w:rsid w:val="00DC3CD2"/>
    <w:rsid w:val="00DC3E44"/>
    <w:rsid w:val="00DC42F6"/>
    <w:rsid w:val="00DC455A"/>
    <w:rsid w:val="00DC45DD"/>
    <w:rsid w:val="00DC49CE"/>
    <w:rsid w:val="00DC4A67"/>
    <w:rsid w:val="00DC4D4D"/>
    <w:rsid w:val="00DC5908"/>
    <w:rsid w:val="00DC5A16"/>
    <w:rsid w:val="00DC5C42"/>
    <w:rsid w:val="00DC5F7D"/>
    <w:rsid w:val="00DC6032"/>
    <w:rsid w:val="00DC616A"/>
    <w:rsid w:val="00DC6286"/>
    <w:rsid w:val="00DC6398"/>
    <w:rsid w:val="00DC63F8"/>
    <w:rsid w:val="00DC64F9"/>
    <w:rsid w:val="00DC68E7"/>
    <w:rsid w:val="00DC6BCB"/>
    <w:rsid w:val="00DC6DA4"/>
    <w:rsid w:val="00DC6DBE"/>
    <w:rsid w:val="00DC6E95"/>
    <w:rsid w:val="00DC76C0"/>
    <w:rsid w:val="00DC76C4"/>
    <w:rsid w:val="00DC7BD4"/>
    <w:rsid w:val="00DD0293"/>
    <w:rsid w:val="00DD06EE"/>
    <w:rsid w:val="00DD07C6"/>
    <w:rsid w:val="00DD07F3"/>
    <w:rsid w:val="00DD1003"/>
    <w:rsid w:val="00DD1D8E"/>
    <w:rsid w:val="00DD1DC0"/>
    <w:rsid w:val="00DD1FDA"/>
    <w:rsid w:val="00DD2045"/>
    <w:rsid w:val="00DD214A"/>
    <w:rsid w:val="00DD229E"/>
    <w:rsid w:val="00DD2441"/>
    <w:rsid w:val="00DD27CC"/>
    <w:rsid w:val="00DD2D4F"/>
    <w:rsid w:val="00DD31DE"/>
    <w:rsid w:val="00DD332F"/>
    <w:rsid w:val="00DD36F2"/>
    <w:rsid w:val="00DD36F8"/>
    <w:rsid w:val="00DD3D83"/>
    <w:rsid w:val="00DD3E52"/>
    <w:rsid w:val="00DD4866"/>
    <w:rsid w:val="00DD4A25"/>
    <w:rsid w:val="00DD4B28"/>
    <w:rsid w:val="00DD4CD5"/>
    <w:rsid w:val="00DD50B0"/>
    <w:rsid w:val="00DD52E3"/>
    <w:rsid w:val="00DD5A54"/>
    <w:rsid w:val="00DD5C68"/>
    <w:rsid w:val="00DD5DF6"/>
    <w:rsid w:val="00DD64BA"/>
    <w:rsid w:val="00DD6B9D"/>
    <w:rsid w:val="00DD6F17"/>
    <w:rsid w:val="00DD6F93"/>
    <w:rsid w:val="00DD71DA"/>
    <w:rsid w:val="00DE0245"/>
    <w:rsid w:val="00DE028E"/>
    <w:rsid w:val="00DE04DF"/>
    <w:rsid w:val="00DE0A51"/>
    <w:rsid w:val="00DE0B62"/>
    <w:rsid w:val="00DE0F99"/>
    <w:rsid w:val="00DE1731"/>
    <w:rsid w:val="00DE190F"/>
    <w:rsid w:val="00DE19FB"/>
    <w:rsid w:val="00DE1CFF"/>
    <w:rsid w:val="00DE1F29"/>
    <w:rsid w:val="00DE2089"/>
    <w:rsid w:val="00DE269A"/>
    <w:rsid w:val="00DE2A17"/>
    <w:rsid w:val="00DE2AC0"/>
    <w:rsid w:val="00DE30EE"/>
    <w:rsid w:val="00DE34D6"/>
    <w:rsid w:val="00DE3751"/>
    <w:rsid w:val="00DE3855"/>
    <w:rsid w:val="00DE3881"/>
    <w:rsid w:val="00DE3AB9"/>
    <w:rsid w:val="00DE3B76"/>
    <w:rsid w:val="00DE3E3B"/>
    <w:rsid w:val="00DE403D"/>
    <w:rsid w:val="00DE4104"/>
    <w:rsid w:val="00DE4F8B"/>
    <w:rsid w:val="00DE538F"/>
    <w:rsid w:val="00DE54FA"/>
    <w:rsid w:val="00DE5915"/>
    <w:rsid w:val="00DE5B76"/>
    <w:rsid w:val="00DE5EE8"/>
    <w:rsid w:val="00DE613C"/>
    <w:rsid w:val="00DE65C7"/>
    <w:rsid w:val="00DE6F73"/>
    <w:rsid w:val="00DE73B1"/>
    <w:rsid w:val="00DE762F"/>
    <w:rsid w:val="00DE7B81"/>
    <w:rsid w:val="00DE7F10"/>
    <w:rsid w:val="00DF0057"/>
    <w:rsid w:val="00DF029D"/>
    <w:rsid w:val="00DF0325"/>
    <w:rsid w:val="00DF03FF"/>
    <w:rsid w:val="00DF04F9"/>
    <w:rsid w:val="00DF0512"/>
    <w:rsid w:val="00DF058F"/>
    <w:rsid w:val="00DF06F4"/>
    <w:rsid w:val="00DF0BCB"/>
    <w:rsid w:val="00DF128F"/>
    <w:rsid w:val="00DF13EA"/>
    <w:rsid w:val="00DF15B3"/>
    <w:rsid w:val="00DF1D55"/>
    <w:rsid w:val="00DF1FBE"/>
    <w:rsid w:val="00DF24F8"/>
    <w:rsid w:val="00DF2550"/>
    <w:rsid w:val="00DF337B"/>
    <w:rsid w:val="00DF34BC"/>
    <w:rsid w:val="00DF35DB"/>
    <w:rsid w:val="00DF35DC"/>
    <w:rsid w:val="00DF38C5"/>
    <w:rsid w:val="00DF3B7B"/>
    <w:rsid w:val="00DF3C1D"/>
    <w:rsid w:val="00DF3EFE"/>
    <w:rsid w:val="00DF4237"/>
    <w:rsid w:val="00DF4D06"/>
    <w:rsid w:val="00DF4D9D"/>
    <w:rsid w:val="00DF4E7F"/>
    <w:rsid w:val="00DF4F5F"/>
    <w:rsid w:val="00DF5563"/>
    <w:rsid w:val="00DF572D"/>
    <w:rsid w:val="00DF5761"/>
    <w:rsid w:val="00DF5A6F"/>
    <w:rsid w:val="00DF5A9B"/>
    <w:rsid w:val="00DF5C4D"/>
    <w:rsid w:val="00DF6265"/>
    <w:rsid w:val="00DF6B15"/>
    <w:rsid w:val="00DF6BA7"/>
    <w:rsid w:val="00DF723F"/>
    <w:rsid w:val="00DF727B"/>
    <w:rsid w:val="00DF7E43"/>
    <w:rsid w:val="00DF7F55"/>
    <w:rsid w:val="00E006D2"/>
    <w:rsid w:val="00E00797"/>
    <w:rsid w:val="00E007C9"/>
    <w:rsid w:val="00E00CB3"/>
    <w:rsid w:val="00E00D00"/>
    <w:rsid w:val="00E00D88"/>
    <w:rsid w:val="00E00F38"/>
    <w:rsid w:val="00E01341"/>
    <w:rsid w:val="00E01349"/>
    <w:rsid w:val="00E01350"/>
    <w:rsid w:val="00E01481"/>
    <w:rsid w:val="00E01530"/>
    <w:rsid w:val="00E0163B"/>
    <w:rsid w:val="00E016DA"/>
    <w:rsid w:val="00E0181E"/>
    <w:rsid w:val="00E0227C"/>
    <w:rsid w:val="00E024A2"/>
    <w:rsid w:val="00E02801"/>
    <w:rsid w:val="00E02AA5"/>
    <w:rsid w:val="00E03081"/>
    <w:rsid w:val="00E033C9"/>
    <w:rsid w:val="00E03982"/>
    <w:rsid w:val="00E03A3F"/>
    <w:rsid w:val="00E03D01"/>
    <w:rsid w:val="00E03ECC"/>
    <w:rsid w:val="00E04209"/>
    <w:rsid w:val="00E04771"/>
    <w:rsid w:val="00E04A91"/>
    <w:rsid w:val="00E0559A"/>
    <w:rsid w:val="00E063B2"/>
    <w:rsid w:val="00E06CD7"/>
    <w:rsid w:val="00E06E82"/>
    <w:rsid w:val="00E074B8"/>
    <w:rsid w:val="00E076A5"/>
    <w:rsid w:val="00E0782C"/>
    <w:rsid w:val="00E07A1A"/>
    <w:rsid w:val="00E07C92"/>
    <w:rsid w:val="00E10079"/>
    <w:rsid w:val="00E105E1"/>
    <w:rsid w:val="00E10626"/>
    <w:rsid w:val="00E107DF"/>
    <w:rsid w:val="00E10A15"/>
    <w:rsid w:val="00E10C42"/>
    <w:rsid w:val="00E115AA"/>
    <w:rsid w:val="00E11A9C"/>
    <w:rsid w:val="00E11B91"/>
    <w:rsid w:val="00E122F4"/>
    <w:rsid w:val="00E126A2"/>
    <w:rsid w:val="00E12725"/>
    <w:rsid w:val="00E12C96"/>
    <w:rsid w:val="00E12D20"/>
    <w:rsid w:val="00E12D8B"/>
    <w:rsid w:val="00E136D8"/>
    <w:rsid w:val="00E137CE"/>
    <w:rsid w:val="00E13C11"/>
    <w:rsid w:val="00E13C92"/>
    <w:rsid w:val="00E13F60"/>
    <w:rsid w:val="00E13F82"/>
    <w:rsid w:val="00E14572"/>
    <w:rsid w:val="00E14911"/>
    <w:rsid w:val="00E14CA6"/>
    <w:rsid w:val="00E14DE2"/>
    <w:rsid w:val="00E15191"/>
    <w:rsid w:val="00E15510"/>
    <w:rsid w:val="00E15634"/>
    <w:rsid w:val="00E156CD"/>
    <w:rsid w:val="00E15838"/>
    <w:rsid w:val="00E158A9"/>
    <w:rsid w:val="00E159D9"/>
    <w:rsid w:val="00E15A08"/>
    <w:rsid w:val="00E15AEA"/>
    <w:rsid w:val="00E15E71"/>
    <w:rsid w:val="00E16726"/>
    <w:rsid w:val="00E16C12"/>
    <w:rsid w:val="00E16CAA"/>
    <w:rsid w:val="00E16F5F"/>
    <w:rsid w:val="00E1764E"/>
    <w:rsid w:val="00E179D6"/>
    <w:rsid w:val="00E17D39"/>
    <w:rsid w:val="00E17ED0"/>
    <w:rsid w:val="00E20172"/>
    <w:rsid w:val="00E20177"/>
    <w:rsid w:val="00E202BD"/>
    <w:rsid w:val="00E2058E"/>
    <w:rsid w:val="00E20808"/>
    <w:rsid w:val="00E208A9"/>
    <w:rsid w:val="00E20908"/>
    <w:rsid w:val="00E20B1B"/>
    <w:rsid w:val="00E20C07"/>
    <w:rsid w:val="00E20C12"/>
    <w:rsid w:val="00E20C44"/>
    <w:rsid w:val="00E20C58"/>
    <w:rsid w:val="00E212D7"/>
    <w:rsid w:val="00E214A1"/>
    <w:rsid w:val="00E21964"/>
    <w:rsid w:val="00E21A05"/>
    <w:rsid w:val="00E21AE7"/>
    <w:rsid w:val="00E21D19"/>
    <w:rsid w:val="00E2211C"/>
    <w:rsid w:val="00E22198"/>
    <w:rsid w:val="00E2245F"/>
    <w:rsid w:val="00E227BE"/>
    <w:rsid w:val="00E22911"/>
    <w:rsid w:val="00E2296E"/>
    <w:rsid w:val="00E22981"/>
    <w:rsid w:val="00E22C0E"/>
    <w:rsid w:val="00E22D22"/>
    <w:rsid w:val="00E231E5"/>
    <w:rsid w:val="00E2342A"/>
    <w:rsid w:val="00E234E4"/>
    <w:rsid w:val="00E23552"/>
    <w:rsid w:val="00E23672"/>
    <w:rsid w:val="00E23C0D"/>
    <w:rsid w:val="00E2410F"/>
    <w:rsid w:val="00E244E5"/>
    <w:rsid w:val="00E24627"/>
    <w:rsid w:val="00E25016"/>
    <w:rsid w:val="00E252DC"/>
    <w:rsid w:val="00E25511"/>
    <w:rsid w:val="00E259A1"/>
    <w:rsid w:val="00E25CC0"/>
    <w:rsid w:val="00E25E7E"/>
    <w:rsid w:val="00E25ECA"/>
    <w:rsid w:val="00E25F00"/>
    <w:rsid w:val="00E267A7"/>
    <w:rsid w:val="00E26B69"/>
    <w:rsid w:val="00E26FA3"/>
    <w:rsid w:val="00E274FC"/>
    <w:rsid w:val="00E2751D"/>
    <w:rsid w:val="00E27CA6"/>
    <w:rsid w:val="00E27DA3"/>
    <w:rsid w:val="00E27E92"/>
    <w:rsid w:val="00E27EE9"/>
    <w:rsid w:val="00E303C6"/>
    <w:rsid w:val="00E304F4"/>
    <w:rsid w:val="00E307E6"/>
    <w:rsid w:val="00E3080E"/>
    <w:rsid w:val="00E308A1"/>
    <w:rsid w:val="00E309AE"/>
    <w:rsid w:val="00E30B9D"/>
    <w:rsid w:val="00E30C06"/>
    <w:rsid w:val="00E31180"/>
    <w:rsid w:val="00E312FC"/>
    <w:rsid w:val="00E31653"/>
    <w:rsid w:val="00E316B3"/>
    <w:rsid w:val="00E3172D"/>
    <w:rsid w:val="00E31986"/>
    <w:rsid w:val="00E31B1C"/>
    <w:rsid w:val="00E31C9B"/>
    <w:rsid w:val="00E32285"/>
    <w:rsid w:val="00E32593"/>
    <w:rsid w:val="00E32800"/>
    <w:rsid w:val="00E32D83"/>
    <w:rsid w:val="00E32F66"/>
    <w:rsid w:val="00E333F6"/>
    <w:rsid w:val="00E33565"/>
    <w:rsid w:val="00E33890"/>
    <w:rsid w:val="00E34006"/>
    <w:rsid w:val="00E3436E"/>
    <w:rsid w:val="00E34C6E"/>
    <w:rsid w:val="00E34F7A"/>
    <w:rsid w:val="00E353CF"/>
    <w:rsid w:val="00E35BB1"/>
    <w:rsid w:val="00E35BCA"/>
    <w:rsid w:val="00E35ED1"/>
    <w:rsid w:val="00E3615E"/>
    <w:rsid w:val="00E365C9"/>
    <w:rsid w:val="00E36B27"/>
    <w:rsid w:val="00E36CF4"/>
    <w:rsid w:val="00E36D6D"/>
    <w:rsid w:val="00E3701E"/>
    <w:rsid w:val="00E370E1"/>
    <w:rsid w:val="00E37569"/>
    <w:rsid w:val="00E3786A"/>
    <w:rsid w:val="00E37B80"/>
    <w:rsid w:val="00E37D33"/>
    <w:rsid w:val="00E37D7E"/>
    <w:rsid w:val="00E37EFB"/>
    <w:rsid w:val="00E4002A"/>
    <w:rsid w:val="00E40322"/>
    <w:rsid w:val="00E406DA"/>
    <w:rsid w:val="00E40A58"/>
    <w:rsid w:val="00E4111D"/>
    <w:rsid w:val="00E41126"/>
    <w:rsid w:val="00E41394"/>
    <w:rsid w:val="00E4152E"/>
    <w:rsid w:val="00E4154B"/>
    <w:rsid w:val="00E41767"/>
    <w:rsid w:val="00E417B1"/>
    <w:rsid w:val="00E41A56"/>
    <w:rsid w:val="00E42234"/>
    <w:rsid w:val="00E425FD"/>
    <w:rsid w:val="00E42D31"/>
    <w:rsid w:val="00E42D71"/>
    <w:rsid w:val="00E430DA"/>
    <w:rsid w:val="00E432F3"/>
    <w:rsid w:val="00E4364E"/>
    <w:rsid w:val="00E43E14"/>
    <w:rsid w:val="00E43F36"/>
    <w:rsid w:val="00E44392"/>
    <w:rsid w:val="00E44D9D"/>
    <w:rsid w:val="00E44FD0"/>
    <w:rsid w:val="00E45449"/>
    <w:rsid w:val="00E454F9"/>
    <w:rsid w:val="00E45980"/>
    <w:rsid w:val="00E45B8B"/>
    <w:rsid w:val="00E45C1B"/>
    <w:rsid w:val="00E45E2C"/>
    <w:rsid w:val="00E46023"/>
    <w:rsid w:val="00E4619F"/>
    <w:rsid w:val="00E4691C"/>
    <w:rsid w:val="00E46DA3"/>
    <w:rsid w:val="00E470B0"/>
    <w:rsid w:val="00E47116"/>
    <w:rsid w:val="00E479D2"/>
    <w:rsid w:val="00E47E21"/>
    <w:rsid w:val="00E47F85"/>
    <w:rsid w:val="00E47FC2"/>
    <w:rsid w:val="00E47FFC"/>
    <w:rsid w:val="00E5019D"/>
    <w:rsid w:val="00E504A3"/>
    <w:rsid w:val="00E50558"/>
    <w:rsid w:val="00E5088B"/>
    <w:rsid w:val="00E512DD"/>
    <w:rsid w:val="00E512F8"/>
    <w:rsid w:val="00E51301"/>
    <w:rsid w:val="00E51946"/>
    <w:rsid w:val="00E51A98"/>
    <w:rsid w:val="00E51CD4"/>
    <w:rsid w:val="00E51CEB"/>
    <w:rsid w:val="00E53557"/>
    <w:rsid w:val="00E54339"/>
    <w:rsid w:val="00E54540"/>
    <w:rsid w:val="00E54640"/>
    <w:rsid w:val="00E5478B"/>
    <w:rsid w:val="00E547B5"/>
    <w:rsid w:val="00E54C91"/>
    <w:rsid w:val="00E54D52"/>
    <w:rsid w:val="00E54E8B"/>
    <w:rsid w:val="00E5575D"/>
    <w:rsid w:val="00E557E5"/>
    <w:rsid w:val="00E558D5"/>
    <w:rsid w:val="00E55D4A"/>
    <w:rsid w:val="00E55DA3"/>
    <w:rsid w:val="00E560F7"/>
    <w:rsid w:val="00E5611D"/>
    <w:rsid w:val="00E56164"/>
    <w:rsid w:val="00E567A4"/>
    <w:rsid w:val="00E56A7E"/>
    <w:rsid w:val="00E570C8"/>
    <w:rsid w:val="00E57359"/>
    <w:rsid w:val="00E574A7"/>
    <w:rsid w:val="00E57A0C"/>
    <w:rsid w:val="00E57FB5"/>
    <w:rsid w:val="00E602D2"/>
    <w:rsid w:val="00E605AE"/>
    <w:rsid w:val="00E6074C"/>
    <w:rsid w:val="00E607F3"/>
    <w:rsid w:val="00E6084A"/>
    <w:rsid w:val="00E60C45"/>
    <w:rsid w:val="00E6128B"/>
    <w:rsid w:val="00E615F7"/>
    <w:rsid w:val="00E6183B"/>
    <w:rsid w:val="00E619AC"/>
    <w:rsid w:val="00E61CF4"/>
    <w:rsid w:val="00E61E30"/>
    <w:rsid w:val="00E62306"/>
    <w:rsid w:val="00E6272C"/>
    <w:rsid w:val="00E6285D"/>
    <w:rsid w:val="00E6296C"/>
    <w:rsid w:val="00E6297C"/>
    <w:rsid w:val="00E637E7"/>
    <w:rsid w:val="00E63A29"/>
    <w:rsid w:val="00E63A98"/>
    <w:rsid w:val="00E6416A"/>
    <w:rsid w:val="00E6448E"/>
    <w:rsid w:val="00E64625"/>
    <w:rsid w:val="00E646C8"/>
    <w:rsid w:val="00E6472A"/>
    <w:rsid w:val="00E647CE"/>
    <w:rsid w:val="00E648A0"/>
    <w:rsid w:val="00E65236"/>
    <w:rsid w:val="00E652C8"/>
    <w:rsid w:val="00E652DF"/>
    <w:rsid w:val="00E6562C"/>
    <w:rsid w:val="00E65D7D"/>
    <w:rsid w:val="00E65DCC"/>
    <w:rsid w:val="00E65ED4"/>
    <w:rsid w:val="00E661F0"/>
    <w:rsid w:val="00E665B2"/>
    <w:rsid w:val="00E66C1D"/>
    <w:rsid w:val="00E66F1B"/>
    <w:rsid w:val="00E6705A"/>
    <w:rsid w:val="00E676F9"/>
    <w:rsid w:val="00E67C22"/>
    <w:rsid w:val="00E67E3A"/>
    <w:rsid w:val="00E7013D"/>
    <w:rsid w:val="00E70692"/>
    <w:rsid w:val="00E70DA7"/>
    <w:rsid w:val="00E71063"/>
    <w:rsid w:val="00E710A6"/>
    <w:rsid w:val="00E718A8"/>
    <w:rsid w:val="00E71B1B"/>
    <w:rsid w:val="00E71B52"/>
    <w:rsid w:val="00E72172"/>
    <w:rsid w:val="00E72353"/>
    <w:rsid w:val="00E723B4"/>
    <w:rsid w:val="00E724BD"/>
    <w:rsid w:val="00E724C5"/>
    <w:rsid w:val="00E72646"/>
    <w:rsid w:val="00E726E6"/>
    <w:rsid w:val="00E727F9"/>
    <w:rsid w:val="00E7293B"/>
    <w:rsid w:val="00E72AED"/>
    <w:rsid w:val="00E72C15"/>
    <w:rsid w:val="00E73038"/>
    <w:rsid w:val="00E733AE"/>
    <w:rsid w:val="00E73424"/>
    <w:rsid w:val="00E73748"/>
    <w:rsid w:val="00E73977"/>
    <w:rsid w:val="00E73A0F"/>
    <w:rsid w:val="00E73B74"/>
    <w:rsid w:val="00E73BF1"/>
    <w:rsid w:val="00E73E57"/>
    <w:rsid w:val="00E74110"/>
    <w:rsid w:val="00E74641"/>
    <w:rsid w:val="00E74815"/>
    <w:rsid w:val="00E74C26"/>
    <w:rsid w:val="00E753AE"/>
    <w:rsid w:val="00E75574"/>
    <w:rsid w:val="00E75696"/>
    <w:rsid w:val="00E757A1"/>
    <w:rsid w:val="00E75A30"/>
    <w:rsid w:val="00E761C8"/>
    <w:rsid w:val="00E767E0"/>
    <w:rsid w:val="00E76BEC"/>
    <w:rsid w:val="00E776AA"/>
    <w:rsid w:val="00E77C18"/>
    <w:rsid w:val="00E77E91"/>
    <w:rsid w:val="00E806EC"/>
    <w:rsid w:val="00E80959"/>
    <w:rsid w:val="00E80BDE"/>
    <w:rsid w:val="00E80D10"/>
    <w:rsid w:val="00E80D92"/>
    <w:rsid w:val="00E80E73"/>
    <w:rsid w:val="00E80E83"/>
    <w:rsid w:val="00E80EC3"/>
    <w:rsid w:val="00E80FA6"/>
    <w:rsid w:val="00E81067"/>
    <w:rsid w:val="00E810F0"/>
    <w:rsid w:val="00E811BC"/>
    <w:rsid w:val="00E8129B"/>
    <w:rsid w:val="00E812B7"/>
    <w:rsid w:val="00E8145F"/>
    <w:rsid w:val="00E81997"/>
    <w:rsid w:val="00E81BAB"/>
    <w:rsid w:val="00E82430"/>
    <w:rsid w:val="00E825CD"/>
    <w:rsid w:val="00E82775"/>
    <w:rsid w:val="00E82AD2"/>
    <w:rsid w:val="00E82D09"/>
    <w:rsid w:val="00E82EC9"/>
    <w:rsid w:val="00E82F79"/>
    <w:rsid w:val="00E830AE"/>
    <w:rsid w:val="00E83223"/>
    <w:rsid w:val="00E8342A"/>
    <w:rsid w:val="00E8384D"/>
    <w:rsid w:val="00E83A70"/>
    <w:rsid w:val="00E83B0F"/>
    <w:rsid w:val="00E84289"/>
    <w:rsid w:val="00E842EC"/>
    <w:rsid w:val="00E844AB"/>
    <w:rsid w:val="00E84A11"/>
    <w:rsid w:val="00E84CE4"/>
    <w:rsid w:val="00E84F0D"/>
    <w:rsid w:val="00E84F9D"/>
    <w:rsid w:val="00E858E9"/>
    <w:rsid w:val="00E85980"/>
    <w:rsid w:val="00E85AA4"/>
    <w:rsid w:val="00E85B44"/>
    <w:rsid w:val="00E85EBD"/>
    <w:rsid w:val="00E85F89"/>
    <w:rsid w:val="00E863DD"/>
    <w:rsid w:val="00E86568"/>
    <w:rsid w:val="00E86595"/>
    <w:rsid w:val="00E86749"/>
    <w:rsid w:val="00E869DF"/>
    <w:rsid w:val="00E86E37"/>
    <w:rsid w:val="00E86F3C"/>
    <w:rsid w:val="00E871F1"/>
    <w:rsid w:val="00E87246"/>
    <w:rsid w:val="00E87443"/>
    <w:rsid w:val="00E87C88"/>
    <w:rsid w:val="00E9008B"/>
    <w:rsid w:val="00E905F0"/>
    <w:rsid w:val="00E9069E"/>
    <w:rsid w:val="00E90773"/>
    <w:rsid w:val="00E90898"/>
    <w:rsid w:val="00E90AEB"/>
    <w:rsid w:val="00E90BF5"/>
    <w:rsid w:val="00E90FF3"/>
    <w:rsid w:val="00E910EB"/>
    <w:rsid w:val="00E911C3"/>
    <w:rsid w:val="00E915B6"/>
    <w:rsid w:val="00E916DB"/>
    <w:rsid w:val="00E91BFC"/>
    <w:rsid w:val="00E91C0C"/>
    <w:rsid w:val="00E91D8B"/>
    <w:rsid w:val="00E91E85"/>
    <w:rsid w:val="00E925B5"/>
    <w:rsid w:val="00E92A37"/>
    <w:rsid w:val="00E92AE4"/>
    <w:rsid w:val="00E92F07"/>
    <w:rsid w:val="00E92FAB"/>
    <w:rsid w:val="00E93305"/>
    <w:rsid w:val="00E934F4"/>
    <w:rsid w:val="00E93646"/>
    <w:rsid w:val="00E93A30"/>
    <w:rsid w:val="00E9419A"/>
    <w:rsid w:val="00E9456C"/>
    <w:rsid w:val="00E9472C"/>
    <w:rsid w:val="00E947C3"/>
    <w:rsid w:val="00E94E2B"/>
    <w:rsid w:val="00E959BD"/>
    <w:rsid w:val="00E95D47"/>
    <w:rsid w:val="00E95FC8"/>
    <w:rsid w:val="00E96253"/>
    <w:rsid w:val="00E968D0"/>
    <w:rsid w:val="00E96B08"/>
    <w:rsid w:val="00E96B3D"/>
    <w:rsid w:val="00E97593"/>
    <w:rsid w:val="00E9787E"/>
    <w:rsid w:val="00E979A3"/>
    <w:rsid w:val="00E97AA8"/>
    <w:rsid w:val="00EA049D"/>
    <w:rsid w:val="00EA08C7"/>
    <w:rsid w:val="00EA0A98"/>
    <w:rsid w:val="00EA0C48"/>
    <w:rsid w:val="00EA1794"/>
    <w:rsid w:val="00EA19CE"/>
    <w:rsid w:val="00EA19F5"/>
    <w:rsid w:val="00EA1E9F"/>
    <w:rsid w:val="00EA23FF"/>
    <w:rsid w:val="00EA2554"/>
    <w:rsid w:val="00EA26DA"/>
    <w:rsid w:val="00EA2897"/>
    <w:rsid w:val="00EA2D67"/>
    <w:rsid w:val="00EA2E85"/>
    <w:rsid w:val="00EA351C"/>
    <w:rsid w:val="00EA3575"/>
    <w:rsid w:val="00EA35DF"/>
    <w:rsid w:val="00EA3C16"/>
    <w:rsid w:val="00EA3D91"/>
    <w:rsid w:val="00EA3E74"/>
    <w:rsid w:val="00EA4052"/>
    <w:rsid w:val="00EA4571"/>
    <w:rsid w:val="00EA4AEE"/>
    <w:rsid w:val="00EA4B2B"/>
    <w:rsid w:val="00EA5456"/>
    <w:rsid w:val="00EA57DE"/>
    <w:rsid w:val="00EA581F"/>
    <w:rsid w:val="00EA61D9"/>
    <w:rsid w:val="00EA6428"/>
    <w:rsid w:val="00EA6BEF"/>
    <w:rsid w:val="00EA74E4"/>
    <w:rsid w:val="00EA77F3"/>
    <w:rsid w:val="00EA7DAD"/>
    <w:rsid w:val="00EA7F27"/>
    <w:rsid w:val="00EB00C8"/>
    <w:rsid w:val="00EB00D0"/>
    <w:rsid w:val="00EB040C"/>
    <w:rsid w:val="00EB0663"/>
    <w:rsid w:val="00EB06A7"/>
    <w:rsid w:val="00EB10D2"/>
    <w:rsid w:val="00EB111C"/>
    <w:rsid w:val="00EB1691"/>
    <w:rsid w:val="00EB17A2"/>
    <w:rsid w:val="00EB252B"/>
    <w:rsid w:val="00EB26D7"/>
    <w:rsid w:val="00EB2A6F"/>
    <w:rsid w:val="00EB311D"/>
    <w:rsid w:val="00EB3539"/>
    <w:rsid w:val="00EB3557"/>
    <w:rsid w:val="00EB35E0"/>
    <w:rsid w:val="00EB3691"/>
    <w:rsid w:val="00EB3E37"/>
    <w:rsid w:val="00EB4731"/>
    <w:rsid w:val="00EB47AB"/>
    <w:rsid w:val="00EB4AF8"/>
    <w:rsid w:val="00EB4B1B"/>
    <w:rsid w:val="00EB4F4D"/>
    <w:rsid w:val="00EB50C3"/>
    <w:rsid w:val="00EB5651"/>
    <w:rsid w:val="00EB5BE5"/>
    <w:rsid w:val="00EB5F1B"/>
    <w:rsid w:val="00EB6224"/>
    <w:rsid w:val="00EB62B7"/>
    <w:rsid w:val="00EB62E5"/>
    <w:rsid w:val="00EB686E"/>
    <w:rsid w:val="00EB732C"/>
    <w:rsid w:val="00EB7AFE"/>
    <w:rsid w:val="00EB7F61"/>
    <w:rsid w:val="00EC009E"/>
    <w:rsid w:val="00EC0287"/>
    <w:rsid w:val="00EC02C7"/>
    <w:rsid w:val="00EC04B6"/>
    <w:rsid w:val="00EC068E"/>
    <w:rsid w:val="00EC0F5B"/>
    <w:rsid w:val="00EC123B"/>
    <w:rsid w:val="00EC152D"/>
    <w:rsid w:val="00EC154A"/>
    <w:rsid w:val="00EC192F"/>
    <w:rsid w:val="00EC19E9"/>
    <w:rsid w:val="00EC1A67"/>
    <w:rsid w:val="00EC1DF3"/>
    <w:rsid w:val="00EC2099"/>
    <w:rsid w:val="00EC26AF"/>
    <w:rsid w:val="00EC2827"/>
    <w:rsid w:val="00EC2907"/>
    <w:rsid w:val="00EC2DB6"/>
    <w:rsid w:val="00EC2E80"/>
    <w:rsid w:val="00EC3909"/>
    <w:rsid w:val="00EC3B29"/>
    <w:rsid w:val="00EC471B"/>
    <w:rsid w:val="00EC4990"/>
    <w:rsid w:val="00EC4A74"/>
    <w:rsid w:val="00EC4B4C"/>
    <w:rsid w:val="00EC51FA"/>
    <w:rsid w:val="00EC538C"/>
    <w:rsid w:val="00EC547F"/>
    <w:rsid w:val="00EC5A8F"/>
    <w:rsid w:val="00EC5AF8"/>
    <w:rsid w:val="00EC5B90"/>
    <w:rsid w:val="00EC5BC7"/>
    <w:rsid w:val="00EC605D"/>
    <w:rsid w:val="00EC6326"/>
    <w:rsid w:val="00EC63C7"/>
    <w:rsid w:val="00EC6776"/>
    <w:rsid w:val="00EC67D5"/>
    <w:rsid w:val="00EC6D08"/>
    <w:rsid w:val="00EC6E45"/>
    <w:rsid w:val="00EC6E98"/>
    <w:rsid w:val="00EC6F50"/>
    <w:rsid w:val="00EC713E"/>
    <w:rsid w:val="00EC73B5"/>
    <w:rsid w:val="00EC78EE"/>
    <w:rsid w:val="00EC78F9"/>
    <w:rsid w:val="00EC7A42"/>
    <w:rsid w:val="00ED00EC"/>
    <w:rsid w:val="00ED0346"/>
    <w:rsid w:val="00ED0408"/>
    <w:rsid w:val="00ED0635"/>
    <w:rsid w:val="00ED0B3F"/>
    <w:rsid w:val="00ED0D0C"/>
    <w:rsid w:val="00ED0DB9"/>
    <w:rsid w:val="00ED1041"/>
    <w:rsid w:val="00ED197D"/>
    <w:rsid w:val="00ED1A0D"/>
    <w:rsid w:val="00ED1AE0"/>
    <w:rsid w:val="00ED1C8C"/>
    <w:rsid w:val="00ED2094"/>
    <w:rsid w:val="00ED2242"/>
    <w:rsid w:val="00ED2487"/>
    <w:rsid w:val="00ED2720"/>
    <w:rsid w:val="00ED2E6B"/>
    <w:rsid w:val="00ED2E7F"/>
    <w:rsid w:val="00ED2F98"/>
    <w:rsid w:val="00ED3272"/>
    <w:rsid w:val="00ED3538"/>
    <w:rsid w:val="00ED3D30"/>
    <w:rsid w:val="00ED3DA9"/>
    <w:rsid w:val="00ED3E54"/>
    <w:rsid w:val="00ED400D"/>
    <w:rsid w:val="00ED4415"/>
    <w:rsid w:val="00ED4494"/>
    <w:rsid w:val="00ED4562"/>
    <w:rsid w:val="00ED49CF"/>
    <w:rsid w:val="00ED4DEC"/>
    <w:rsid w:val="00ED4E95"/>
    <w:rsid w:val="00ED505D"/>
    <w:rsid w:val="00ED5101"/>
    <w:rsid w:val="00ED5608"/>
    <w:rsid w:val="00ED5676"/>
    <w:rsid w:val="00ED5AF7"/>
    <w:rsid w:val="00ED5CDE"/>
    <w:rsid w:val="00ED5F88"/>
    <w:rsid w:val="00ED6016"/>
    <w:rsid w:val="00ED6553"/>
    <w:rsid w:val="00ED6936"/>
    <w:rsid w:val="00ED69C6"/>
    <w:rsid w:val="00ED6B6F"/>
    <w:rsid w:val="00ED6F3A"/>
    <w:rsid w:val="00ED7173"/>
    <w:rsid w:val="00EE0063"/>
    <w:rsid w:val="00EE012F"/>
    <w:rsid w:val="00EE0275"/>
    <w:rsid w:val="00EE05C4"/>
    <w:rsid w:val="00EE07D9"/>
    <w:rsid w:val="00EE097A"/>
    <w:rsid w:val="00EE099E"/>
    <w:rsid w:val="00EE0A4B"/>
    <w:rsid w:val="00EE0D18"/>
    <w:rsid w:val="00EE0D61"/>
    <w:rsid w:val="00EE0D7A"/>
    <w:rsid w:val="00EE12A6"/>
    <w:rsid w:val="00EE13DD"/>
    <w:rsid w:val="00EE151F"/>
    <w:rsid w:val="00EE21B9"/>
    <w:rsid w:val="00EE274F"/>
    <w:rsid w:val="00EE27D5"/>
    <w:rsid w:val="00EE2C68"/>
    <w:rsid w:val="00EE3105"/>
    <w:rsid w:val="00EE3AB2"/>
    <w:rsid w:val="00EE4010"/>
    <w:rsid w:val="00EE40B0"/>
    <w:rsid w:val="00EE4831"/>
    <w:rsid w:val="00EE4891"/>
    <w:rsid w:val="00EE4A61"/>
    <w:rsid w:val="00EE4C9B"/>
    <w:rsid w:val="00EE4D2A"/>
    <w:rsid w:val="00EE4DC9"/>
    <w:rsid w:val="00EE4F8E"/>
    <w:rsid w:val="00EE539F"/>
    <w:rsid w:val="00EE574B"/>
    <w:rsid w:val="00EE5DD7"/>
    <w:rsid w:val="00EE5F30"/>
    <w:rsid w:val="00EE6030"/>
    <w:rsid w:val="00EE676B"/>
    <w:rsid w:val="00EE676E"/>
    <w:rsid w:val="00EE687D"/>
    <w:rsid w:val="00EE69EA"/>
    <w:rsid w:val="00EE738F"/>
    <w:rsid w:val="00EE743A"/>
    <w:rsid w:val="00EE74FD"/>
    <w:rsid w:val="00EE7521"/>
    <w:rsid w:val="00EE76A9"/>
    <w:rsid w:val="00EE774D"/>
    <w:rsid w:val="00EE7804"/>
    <w:rsid w:val="00EE7F38"/>
    <w:rsid w:val="00EE7FBB"/>
    <w:rsid w:val="00EF0165"/>
    <w:rsid w:val="00EF06A5"/>
    <w:rsid w:val="00EF07C2"/>
    <w:rsid w:val="00EF099E"/>
    <w:rsid w:val="00EF0A12"/>
    <w:rsid w:val="00EF0A70"/>
    <w:rsid w:val="00EF0B38"/>
    <w:rsid w:val="00EF0BA2"/>
    <w:rsid w:val="00EF0C27"/>
    <w:rsid w:val="00EF10E5"/>
    <w:rsid w:val="00EF115E"/>
    <w:rsid w:val="00EF138C"/>
    <w:rsid w:val="00EF13B3"/>
    <w:rsid w:val="00EF15E8"/>
    <w:rsid w:val="00EF1C5B"/>
    <w:rsid w:val="00EF1F2B"/>
    <w:rsid w:val="00EF214D"/>
    <w:rsid w:val="00EF2365"/>
    <w:rsid w:val="00EF2451"/>
    <w:rsid w:val="00EF2482"/>
    <w:rsid w:val="00EF27B5"/>
    <w:rsid w:val="00EF2BA1"/>
    <w:rsid w:val="00EF2DA4"/>
    <w:rsid w:val="00EF2E1F"/>
    <w:rsid w:val="00EF2E33"/>
    <w:rsid w:val="00EF2EC4"/>
    <w:rsid w:val="00EF30F7"/>
    <w:rsid w:val="00EF34C4"/>
    <w:rsid w:val="00EF385C"/>
    <w:rsid w:val="00EF3BEC"/>
    <w:rsid w:val="00EF3FDD"/>
    <w:rsid w:val="00EF3FEC"/>
    <w:rsid w:val="00EF4235"/>
    <w:rsid w:val="00EF4405"/>
    <w:rsid w:val="00EF4837"/>
    <w:rsid w:val="00EF4916"/>
    <w:rsid w:val="00EF516E"/>
    <w:rsid w:val="00EF534E"/>
    <w:rsid w:val="00EF5B7E"/>
    <w:rsid w:val="00EF645D"/>
    <w:rsid w:val="00EF6466"/>
    <w:rsid w:val="00EF66B6"/>
    <w:rsid w:val="00EF6A94"/>
    <w:rsid w:val="00EF6F92"/>
    <w:rsid w:val="00EF75AD"/>
    <w:rsid w:val="00EF75BA"/>
    <w:rsid w:val="00EF7823"/>
    <w:rsid w:val="00EF78EC"/>
    <w:rsid w:val="00EF7B06"/>
    <w:rsid w:val="00EF7B41"/>
    <w:rsid w:val="00F0020B"/>
    <w:rsid w:val="00F00574"/>
    <w:rsid w:val="00F007F9"/>
    <w:rsid w:val="00F0098D"/>
    <w:rsid w:val="00F00DFC"/>
    <w:rsid w:val="00F0123C"/>
    <w:rsid w:val="00F013B5"/>
    <w:rsid w:val="00F0142E"/>
    <w:rsid w:val="00F0158A"/>
    <w:rsid w:val="00F017BB"/>
    <w:rsid w:val="00F0183F"/>
    <w:rsid w:val="00F018F0"/>
    <w:rsid w:val="00F01CB0"/>
    <w:rsid w:val="00F01D07"/>
    <w:rsid w:val="00F01FD9"/>
    <w:rsid w:val="00F01FDB"/>
    <w:rsid w:val="00F02E15"/>
    <w:rsid w:val="00F02F22"/>
    <w:rsid w:val="00F032D7"/>
    <w:rsid w:val="00F03719"/>
    <w:rsid w:val="00F0396E"/>
    <w:rsid w:val="00F03A2B"/>
    <w:rsid w:val="00F03AC3"/>
    <w:rsid w:val="00F03CA8"/>
    <w:rsid w:val="00F04022"/>
    <w:rsid w:val="00F0413C"/>
    <w:rsid w:val="00F043D0"/>
    <w:rsid w:val="00F04619"/>
    <w:rsid w:val="00F04791"/>
    <w:rsid w:val="00F049E7"/>
    <w:rsid w:val="00F04D9D"/>
    <w:rsid w:val="00F050DA"/>
    <w:rsid w:val="00F0534D"/>
    <w:rsid w:val="00F057FE"/>
    <w:rsid w:val="00F061C3"/>
    <w:rsid w:val="00F06433"/>
    <w:rsid w:val="00F064AD"/>
    <w:rsid w:val="00F065C2"/>
    <w:rsid w:val="00F0674A"/>
    <w:rsid w:val="00F0679F"/>
    <w:rsid w:val="00F06CFF"/>
    <w:rsid w:val="00F06D48"/>
    <w:rsid w:val="00F0700B"/>
    <w:rsid w:val="00F07718"/>
    <w:rsid w:val="00F077FA"/>
    <w:rsid w:val="00F0780E"/>
    <w:rsid w:val="00F07C9C"/>
    <w:rsid w:val="00F07F42"/>
    <w:rsid w:val="00F10090"/>
    <w:rsid w:val="00F10191"/>
    <w:rsid w:val="00F10426"/>
    <w:rsid w:val="00F10567"/>
    <w:rsid w:val="00F10668"/>
    <w:rsid w:val="00F106C3"/>
    <w:rsid w:val="00F10962"/>
    <w:rsid w:val="00F10B3B"/>
    <w:rsid w:val="00F10B69"/>
    <w:rsid w:val="00F10E66"/>
    <w:rsid w:val="00F11C50"/>
    <w:rsid w:val="00F11FEE"/>
    <w:rsid w:val="00F12068"/>
    <w:rsid w:val="00F12437"/>
    <w:rsid w:val="00F12475"/>
    <w:rsid w:val="00F125B3"/>
    <w:rsid w:val="00F12B5A"/>
    <w:rsid w:val="00F12B8F"/>
    <w:rsid w:val="00F12D88"/>
    <w:rsid w:val="00F1311D"/>
    <w:rsid w:val="00F1311F"/>
    <w:rsid w:val="00F131BF"/>
    <w:rsid w:val="00F133F8"/>
    <w:rsid w:val="00F134BA"/>
    <w:rsid w:val="00F13C88"/>
    <w:rsid w:val="00F13CEA"/>
    <w:rsid w:val="00F13DD0"/>
    <w:rsid w:val="00F13F4E"/>
    <w:rsid w:val="00F1428A"/>
    <w:rsid w:val="00F1488C"/>
    <w:rsid w:val="00F148C1"/>
    <w:rsid w:val="00F149F9"/>
    <w:rsid w:val="00F14A68"/>
    <w:rsid w:val="00F14ED0"/>
    <w:rsid w:val="00F15032"/>
    <w:rsid w:val="00F1510D"/>
    <w:rsid w:val="00F15395"/>
    <w:rsid w:val="00F1577F"/>
    <w:rsid w:val="00F15D8C"/>
    <w:rsid w:val="00F1604B"/>
    <w:rsid w:val="00F1608D"/>
    <w:rsid w:val="00F16157"/>
    <w:rsid w:val="00F16435"/>
    <w:rsid w:val="00F167B5"/>
    <w:rsid w:val="00F1680C"/>
    <w:rsid w:val="00F16985"/>
    <w:rsid w:val="00F16DF1"/>
    <w:rsid w:val="00F16E15"/>
    <w:rsid w:val="00F176E1"/>
    <w:rsid w:val="00F177C4"/>
    <w:rsid w:val="00F179B0"/>
    <w:rsid w:val="00F17D93"/>
    <w:rsid w:val="00F202AF"/>
    <w:rsid w:val="00F2073A"/>
    <w:rsid w:val="00F20A85"/>
    <w:rsid w:val="00F20A9C"/>
    <w:rsid w:val="00F20C21"/>
    <w:rsid w:val="00F20C76"/>
    <w:rsid w:val="00F20C8D"/>
    <w:rsid w:val="00F20E94"/>
    <w:rsid w:val="00F20EEA"/>
    <w:rsid w:val="00F21404"/>
    <w:rsid w:val="00F21681"/>
    <w:rsid w:val="00F219C4"/>
    <w:rsid w:val="00F21A60"/>
    <w:rsid w:val="00F222D4"/>
    <w:rsid w:val="00F224AE"/>
    <w:rsid w:val="00F22A09"/>
    <w:rsid w:val="00F23B9A"/>
    <w:rsid w:val="00F23D2E"/>
    <w:rsid w:val="00F23EC3"/>
    <w:rsid w:val="00F24444"/>
    <w:rsid w:val="00F24ABE"/>
    <w:rsid w:val="00F251C9"/>
    <w:rsid w:val="00F25205"/>
    <w:rsid w:val="00F254E6"/>
    <w:rsid w:val="00F259EE"/>
    <w:rsid w:val="00F25A86"/>
    <w:rsid w:val="00F25B43"/>
    <w:rsid w:val="00F25CDA"/>
    <w:rsid w:val="00F266A5"/>
    <w:rsid w:val="00F269E6"/>
    <w:rsid w:val="00F26A95"/>
    <w:rsid w:val="00F26BFD"/>
    <w:rsid w:val="00F2715C"/>
    <w:rsid w:val="00F27574"/>
    <w:rsid w:val="00F27CD5"/>
    <w:rsid w:val="00F3023F"/>
    <w:rsid w:val="00F308F1"/>
    <w:rsid w:val="00F30947"/>
    <w:rsid w:val="00F309B5"/>
    <w:rsid w:val="00F3107E"/>
    <w:rsid w:val="00F311EF"/>
    <w:rsid w:val="00F321F9"/>
    <w:rsid w:val="00F32379"/>
    <w:rsid w:val="00F32741"/>
    <w:rsid w:val="00F32AAB"/>
    <w:rsid w:val="00F32B2E"/>
    <w:rsid w:val="00F32EA1"/>
    <w:rsid w:val="00F331A3"/>
    <w:rsid w:val="00F33673"/>
    <w:rsid w:val="00F3399F"/>
    <w:rsid w:val="00F34190"/>
    <w:rsid w:val="00F3439D"/>
    <w:rsid w:val="00F348A4"/>
    <w:rsid w:val="00F34A23"/>
    <w:rsid w:val="00F34D56"/>
    <w:rsid w:val="00F34E1C"/>
    <w:rsid w:val="00F34E87"/>
    <w:rsid w:val="00F34F53"/>
    <w:rsid w:val="00F35019"/>
    <w:rsid w:val="00F350E9"/>
    <w:rsid w:val="00F3553C"/>
    <w:rsid w:val="00F35559"/>
    <w:rsid w:val="00F355E0"/>
    <w:rsid w:val="00F3581A"/>
    <w:rsid w:val="00F361B8"/>
    <w:rsid w:val="00F36BC5"/>
    <w:rsid w:val="00F36CAF"/>
    <w:rsid w:val="00F36CC5"/>
    <w:rsid w:val="00F36DEE"/>
    <w:rsid w:val="00F37522"/>
    <w:rsid w:val="00F40085"/>
    <w:rsid w:val="00F404D1"/>
    <w:rsid w:val="00F40799"/>
    <w:rsid w:val="00F409D3"/>
    <w:rsid w:val="00F40A76"/>
    <w:rsid w:val="00F40AA8"/>
    <w:rsid w:val="00F40D3C"/>
    <w:rsid w:val="00F40D6F"/>
    <w:rsid w:val="00F40F3B"/>
    <w:rsid w:val="00F4109C"/>
    <w:rsid w:val="00F411BC"/>
    <w:rsid w:val="00F415AD"/>
    <w:rsid w:val="00F41CDA"/>
    <w:rsid w:val="00F42820"/>
    <w:rsid w:val="00F42D98"/>
    <w:rsid w:val="00F42DF0"/>
    <w:rsid w:val="00F42E48"/>
    <w:rsid w:val="00F42F12"/>
    <w:rsid w:val="00F430DB"/>
    <w:rsid w:val="00F43130"/>
    <w:rsid w:val="00F436E2"/>
    <w:rsid w:val="00F43798"/>
    <w:rsid w:val="00F43A80"/>
    <w:rsid w:val="00F44041"/>
    <w:rsid w:val="00F44182"/>
    <w:rsid w:val="00F4477D"/>
    <w:rsid w:val="00F449C9"/>
    <w:rsid w:val="00F44AAF"/>
    <w:rsid w:val="00F44F50"/>
    <w:rsid w:val="00F45940"/>
    <w:rsid w:val="00F46011"/>
    <w:rsid w:val="00F462A7"/>
    <w:rsid w:val="00F4668F"/>
    <w:rsid w:val="00F468EF"/>
    <w:rsid w:val="00F46C2F"/>
    <w:rsid w:val="00F46EC0"/>
    <w:rsid w:val="00F475C2"/>
    <w:rsid w:val="00F47C41"/>
    <w:rsid w:val="00F47E6E"/>
    <w:rsid w:val="00F47EC6"/>
    <w:rsid w:val="00F4E014"/>
    <w:rsid w:val="00F505AA"/>
    <w:rsid w:val="00F51162"/>
    <w:rsid w:val="00F512C3"/>
    <w:rsid w:val="00F5138B"/>
    <w:rsid w:val="00F518CA"/>
    <w:rsid w:val="00F518E3"/>
    <w:rsid w:val="00F52174"/>
    <w:rsid w:val="00F522B5"/>
    <w:rsid w:val="00F53282"/>
    <w:rsid w:val="00F53A4E"/>
    <w:rsid w:val="00F53C44"/>
    <w:rsid w:val="00F53DFA"/>
    <w:rsid w:val="00F542ED"/>
    <w:rsid w:val="00F54D59"/>
    <w:rsid w:val="00F54DE0"/>
    <w:rsid w:val="00F54E91"/>
    <w:rsid w:val="00F55AAA"/>
    <w:rsid w:val="00F55F3B"/>
    <w:rsid w:val="00F56013"/>
    <w:rsid w:val="00F560D4"/>
    <w:rsid w:val="00F56107"/>
    <w:rsid w:val="00F562E2"/>
    <w:rsid w:val="00F56366"/>
    <w:rsid w:val="00F56A24"/>
    <w:rsid w:val="00F56D4C"/>
    <w:rsid w:val="00F56E1E"/>
    <w:rsid w:val="00F572FF"/>
    <w:rsid w:val="00F573FE"/>
    <w:rsid w:val="00F5753A"/>
    <w:rsid w:val="00F57A8F"/>
    <w:rsid w:val="00F57DDF"/>
    <w:rsid w:val="00F60453"/>
    <w:rsid w:val="00F60679"/>
    <w:rsid w:val="00F60904"/>
    <w:rsid w:val="00F60AFD"/>
    <w:rsid w:val="00F60B85"/>
    <w:rsid w:val="00F60D92"/>
    <w:rsid w:val="00F610C9"/>
    <w:rsid w:val="00F615CB"/>
    <w:rsid w:val="00F62279"/>
    <w:rsid w:val="00F626AE"/>
    <w:rsid w:val="00F62847"/>
    <w:rsid w:val="00F6294A"/>
    <w:rsid w:val="00F62AB7"/>
    <w:rsid w:val="00F62FE7"/>
    <w:rsid w:val="00F6312D"/>
    <w:rsid w:val="00F6371B"/>
    <w:rsid w:val="00F63746"/>
    <w:rsid w:val="00F6383D"/>
    <w:rsid w:val="00F63BF7"/>
    <w:rsid w:val="00F63C16"/>
    <w:rsid w:val="00F63C50"/>
    <w:rsid w:val="00F63E3C"/>
    <w:rsid w:val="00F63E4C"/>
    <w:rsid w:val="00F64413"/>
    <w:rsid w:val="00F64783"/>
    <w:rsid w:val="00F64D11"/>
    <w:rsid w:val="00F650CA"/>
    <w:rsid w:val="00F653DD"/>
    <w:rsid w:val="00F654C9"/>
    <w:rsid w:val="00F655A2"/>
    <w:rsid w:val="00F65B04"/>
    <w:rsid w:val="00F65E3B"/>
    <w:rsid w:val="00F65E7F"/>
    <w:rsid w:val="00F65EFA"/>
    <w:rsid w:val="00F660E8"/>
    <w:rsid w:val="00F6654D"/>
    <w:rsid w:val="00F6662F"/>
    <w:rsid w:val="00F66700"/>
    <w:rsid w:val="00F66F07"/>
    <w:rsid w:val="00F66F5E"/>
    <w:rsid w:val="00F674D1"/>
    <w:rsid w:val="00F7022A"/>
    <w:rsid w:val="00F704F5"/>
    <w:rsid w:val="00F70808"/>
    <w:rsid w:val="00F70C1A"/>
    <w:rsid w:val="00F70D5E"/>
    <w:rsid w:val="00F71795"/>
    <w:rsid w:val="00F717A1"/>
    <w:rsid w:val="00F71A61"/>
    <w:rsid w:val="00F71D50"/>
    <w:rsid w:val="00F72228"/>
    <w:rsid w:val="00F723A8"/>
    <w:rsid w:val="00F723E7"/>
    <w:rsid w:val="00F72FB6"/>
    <w:rsid w:val="00F7303E"/>
    <w:rsid w:val="00F73228"/>
    <w:rsid w:val="00F733BC"/>
    <w:rsid w:val="00F7367A"/>
    <w:rsid w:val="00F738FE"/>
    <w:rsid w:val="00F73CB3"/>
    <w:rsid w:val="00F73D37"/>
    <w:rsid w:val="00F74010"/>
    <w:rsid w:val="00F74082"/>
    <w:rsid w:val="00F74314"/>
    <w:rsid w:val="00F74624"/>
    <w:rsid w:val="00F74941"/>
    <w:rsid w:val="00F750E3"/>
    <w:rsid w:val="00F750F6"/>
    <w:rsid w:val="00F75813"/>
    <w:rsid w:val="00F75C95"/>
    <w:rsid w:val="00F75CAD"/>
    <w:rsid w:val="00F75EEE"/>
    <w:rsid w:val="00F75F71"/>
    <w:rsid w:val="00F7623A"/>
    <w:rsid w:val="00F76619"/>
    <w:rsid w:val="00F769C1"/>
    <w:rsid w:val="00F76D31"/>
    <w:rsid w:val="00F76E32"/>
    <w:rsid w:val="00F76F90"/>
    <w:rsid w:val="00F77413"/>
    <w:rsid w:val="00F77575"/>
    <w:rsid w:val="00F7792E"/>
    <w:rsid w:val="00F77A54"/>
    <w:rsid w:val="00F77BB4"/>
    <w:rsid w:val="00F77F63"/>
    <w:rsid w:val="00F80238"/>
    <w:rsid w:val="00F804A2"/>
    <w:rsid w:val="00F8070A"/>
    <w:rsid w:val="00F809C4"/>
    <w:rsid w:val="00F80B6F"/>
    <w:rsid w:val="00F80F0F"/>
    <w:rsid w:val="00F81198"/>
    <w:rsid w:val="00F8150B"/>
    <w:rsid w:val="00F8164F"/>
    <w:rsid w:val="00F81EF7"/>
    <w:rsid w:val="00F81FFF"/>
    <w:rsid w:val="00F820B9"/>
    <w:rsid w:val="00F822A8"/>
    <w:rsid w:val="00F823DC"/>
    <w:rsid w:val="00F825BD"/>
    <w:rsid w:val="00F83498"/>
    <w:rsid w:val="00F83501"/>
    <w:rsid w:val="00F83894"/>
    <w:rsid w:val="00F83A27"/>
    <w:rsid w:val="00F83D01"/>
    <w:rsid w:val="00F83D02"/>
    <w:rsid w:val="00F83D77"/>
    <w:rsid w:val="00F83DED"/>
    <w:rsid w:val="00F83E2B"/>
    <w:rsid w:val="00F83F5A"/>
    <w:rsid w:val="00F840ED"/>
    <w:rsid w:val="00F8410E"/>
    <w:rsid w:val="00F841B1"/>
    <w:rsid w:val="00F845E2"/>
    <w:rsid w:val="00F846EA"/>
    <w:rsid w:val="00F8473F"/>
    <w:rsid w:val="00F847A8"/>
    <w:rsid w:val="00F84BDD"/>
    <w:rsid w:val="00F84FA5"/>
    <w:rsid w:val="00F856F2"/>
    <w:rsid w:val="00F857A5"/>
    <w:rsid w:val="00F85DBC"/>
    <w:rsid w:val="00F86270"/>
    <w:rsid w:val="00F86A5C"/>
    <w:rsid w:val="00F87366"/>
    <w:rsid w:val="00F87393"/>
    <w:rsid w:val="00F875E1"/>
    <w:rsid w:val="00F87665"/>
    <w:rsid w:val="00F878AA"/>
    <w:rsid w:val="00F87949"/>
    <w:rsid w:val="00F87C0A"/>
    <w:rsid w:val="00F903F0"/>
    <w:rsid w:val="00F9057D"/>
    <w:rsid w:val="00F90688"/>
    <w:rsid w:val="00F911F3"/>
    <w:rsid w:val="00F917D3"/>
    <w:rsid w:val="00F91EAC"/>
    <w:rsid w:val="00F92104"/>
    <w:rsid w:val="00F9214A"/>
    <w:rsid w:val="00F92298"/>
    <w:rsid w:val="00F922AB"/>
    <w:rsid w:val="00F923BC"/>
    <w:rsid w:val="00F92645"/>
    <w:rsid w:val="00F928E8"/>
    <w:rsid w:val="00F92921"/>
    <w:rsid w:val="00F9292D"/>
    <w:rsid w:val="00F93563"/>
    <w:rsid w:val="00F936E4"/>
    <w:rsid w:val="00F93875"/>
    <w:rsid w:val="00F93C8F"/>
    <w:rsid w:val="00F93CD9"/>
    <w:rsid w:val="00F9401C"/>
    <w:rsid w:val="00F9408C"/>
    <w:rsid w:val="00F941E6"/>
    <w:rsid w:val="00F945A2"/>
    <w:rsid w:val="00F94992"/>
    <w:rsid w:val="00F94C9D"/>
    <w:rsid w:val="00F94DAB"/>
    <w:rsid w:val="00F9519C"/>
    <w:rsid w:val="00F9534D"/>
    <w:rsid w:val="00F95352"/>
    <w:rsid w:val="00F9590E"/>
    <w:rsid w:val="00F95935"/>
    <w:rsid w:val="00F95F3B"/>
    <w:rsid w:val="00F96486"/>
    <w:rsid w:val="00F96555"/>
    <w:rsid w:val="00F96B7E"/>
    <w:rsid w:val="00F97080"/>
    <w:rsid w:val="00F970D5"/>
    <w:rsid w:val="00F972A1"/>
    <w:rsid w:val="00F973AA"/>
    <w:rsid w:val="00F97473"/>
    <w:rsid w:val="00FA020D"/>
    <w:rsid w:val="00FA0215"/>
    <w:rsid w:val="00FA0D07"/>
    <w:rsid w:val="00FA0D17"/>
    <w:rsid w:val="00FA0FF7"/>
    <w:rsid w:val="00FA13B4"/>
    <w:rsid w:val="00FA14C4"/>
    <w:rsid w:val="00FA1768"/>
    <w:rsid w:val="00FA1E0C"/>
    <w:rsid w:val="00FA2228"/>
    <w:rsid w:val="00FA22D2"/>
    <w:rsid w:val="00FA25F4"/>
    <w:rsid w:val="00FA26C7"/>
    <w:rsid w:val="00FA2A9F"/>
    <w:rsid w:val="00FA2CB0"/>
    <w:rsid w:val="00FA3175"/>
    <w:rsid w:val="00FA3344"/>
    <w:rsid w:val="00FA3362"/>
    <w:rsid w:val="00FA34B6"/>
    <w:rsid w:val="00FA41AA"/>
    <w:rsid w:val="00FA42EE"/>
    <w:rsid w:val="00FA478E"/>
    <w:rsid w:val="00FA4868"/>
    <w:rsid w:val="00FA48DB"/>
    <w:rsid w:val="00FA4A75"/>
    <w:rsid w:val="00FA4C63"/>
    <w:rsid w:val="00FA4FDE"/>
    <w:rsid w:val="00FA52BF"/>
    <w:rsid w:val="00FA5C67"/>
    <w:rsid w:val="00FA5EAD"/>
    <w:rsid w:val="00FA5FAC"/>
    <w:rsid w:val="00FA5FB6"/>
    <w:rsid w:val="00FA6073"/>
    <w:rsid w:val="00FA611E"/>
    <w:rsid w:val="00FA61A6"/>
    <w:rsid w:val="00FA66D0"/>
    <w:rsid w:val="00FA67D1"/>
    <w:rsid w:val="00FA6864"/>
    <w:rsid w:val="00FA6A88"/>
    <w:rsid w:val="00FA6AA7"/>
    <w:rsid w:val="00FA6AE6"/>
    <w:rsid w:val="00FA6F86"/>
    <w:rsid w:val="00FA7066"/>
    <w:rsid w:val="00FA7954"/>
    <w:rsid w:val="00FA7D2E"/>
    <w:rsid w:val="00FA7DC9"/>
    <w:rsid w:val="00FA7F15"/>
    <w:rsid w:val="00FB01E7"/>
    <w:rsid w:val="00FB037B"/>
    <w:rsid w:val="00FB0867"/>
    <w:rsid w:val="00FB0BB6"/>
    <w:rsid w:val="00FB0CD1"/>
    <w:rsid w:val="00FB149A"/>
    <w:rsid w:val="00FB16AF"/>
    <w:rsid w:val="00FB1D19"/>
    <w:rsid w:val="00FB21B9"/>
    <w:rsid w:val="00FB2230"/>
    <w:rsid w:val="00FB228D"/>
    <w:rsid w:val="00FB22B7"/>
    <w:rsid w:val="00FB26DA"/>
    <w:rsid w:val="00FB2DEE"/>
    <w:rsid w:val="00FB315D"/>
    <w:rsid w:val="00FB31A3"/>
    <w:rsid w:val="00FB35A7"/>
    <w:rsid w:val="00FB3699"/>
    <w:rsid w:val="00FB39F9"/>
    <w:rsid w:val="00FB3C11"/>
    <w:rsid w:val="00FB3C9A"/>
    <w:rsid w:val="00FB3D52"/>
    <w:rsid w:val="00FB3F25"/>
    <w:rsid w:val="00FB4451"/>
    <w:rsid w:val="00FB44E4"/>
    <w:rsid w:val="00FB45BB"/>
    <w:rsid w:val="00FB46DD"/>
    <w:rsid w:val="00FB47CE"/>
    <w:rsid w:val="00FB499C"/>
    <w:rsid w:val="00FB49D5"/>
    <w:rsid w:val="00FB4F04"/>
    <w:rsid w:val="00FB520C"/>
    <w:rsid w:val="00FB541B"/>
    <w:rsid w:val="00FB6034"/>
    <w:rsid w:val="00FB605A"/>
    <w:rsid w:val="00FB6157"/>
    <w:rsid w:val="00FB6241"/>
    <w:rsid w:val="00FB641E"/>
    <w:rsid w:val="00FB681B"/>
    <w:rsid w:val="00FB68B1"/>
    <w:rsid w:val="00FB695D"/>
    <w:rsid w:val="00FB69C4"/>
    <w:rsid w:val="00FB6A6A"/>
    <w:rsid w:val="00FB725A"/>
    <w:rsid w:val="00FB75F9"/>
    <w:rsid w:val="00FB7A40"/>
    <w:rsid w:val="00FB7E8B"/>
    <w:rsid w:val="00FB7FD4"/>
    <w:rsid w:val="00FC002C"/>
    <w:rsid w:val="00FC07BA"/>
    <w:rsid w:val="00FC0853"/>
    <w:rsid w:val="00FC0874"/>
    <w:rsid w:val="00FC0AFE"/>
    <w:rsid w:val="00FC0C77"/>
    <w:rsid w:val="00FC11ED"/>
    <w:rsid w:val="00FC1207"/>
    <w:rsid w:val="00FC1E72"/>
    <w:rsid w:val="00FC1E93"/>
    <w:rsid w:val="00FC2046"/>
    <w:rsid w:val="00FC24B8"/>
    <w:rsid w:val="00FC277B"/>
    <w:rsid w:val="00FC2A35"/>
    <w:rsid w:val="00FC2CB7"/>
    <w:rsid w:val="00FC3056"/>
    <w:rsid w:val="00FC325C"/>
    <w:rsid w:val="00FC3623"/>
    <w:rsid w:val="00FC3816"/>
    <w:rsid w:val="00FC3933"/>
    <w:rsid w:val="00FC3CF5"/>
    <w:rsid w:val="00FC3D95"/>
    <w:rsid w:val="00FC4154"/>
    <w:rsid w:val="00FC4947"/>
    <w:rsid w:val="00FC4BA5"/>
    <w:rsid w:val="00FC4D99"/>
    <w:rsid w:val="00FC4EA6"/>
    <w:rsid w:val="00FC4FBE"/>
    <w:rsid w:val="00FC5075"/>
    <w:rsid w:val="00FC517F"/>
    <w:rsid w:val="00FC5247"/>
    <w:rsid w:val="00FC52BB"/>
    <w:rsid w:val="00FC5593"/>
    <w:rsid w:val="00FC57E3"/>
    <w:rsid w:val="00FC5B62"/>
    <w:rsid w:val="00FC5C12"/>
    <w:rsid w:val="00FC621A"/>
    <w:rsid w:val="00FC67B1"/>
    <w:rsid w:val="00FC6AAD"/>
    <w:rsid w:val="00FC6D85"/>
    <w:rsid w:val="00FC71C2"/>
    <w:rsid w:val="00FC71D5"/>
    <w:rsid w:val="00FC7B4F"/>
    <w:rsid w:val="00FC7B71"/>
    <w:rsid w:val="00FC7F7E"/>
    <w:rsid w:val="00FD0B44"/>
    <w:rsid w:val="00FD11EB"/>
    <w:rsid w:val="00FD1494"/>
    <w:rsid w:val="00FD1892"/>
    <w:rsid w:val="00FD191F"/>
    <w:rsid w:val="00FD1B66"/>
    <w:rsid w:val="00FD1DC9"/>
    <w:rsid w:val="00FD1F00"/>
    <w:rsid w:val="00FD2D6A"/>
    <w:rsid w:val="00FD351B"/>
    <w:rsid w:val="00FD374D"/>
    <w:rsid w:val="00FD40AD"/>
    <w:rsid w:val="00FD41C3"/>
    <w:rsid w:val="00FD452E"/>
    <w:rsid w:val="00FD4651"/>
    <w:rsid w:val="00FD490C"/>
    <w:rsid w:val="00FD4A46"/>
    <w:rsid w:val="00FD4C65"/>
    <w:rsid w:val="00FD4CCA"/>
    <w:rsid w:val="00FD4E33"/>
    <w:rsid w:val="00FD511E"/>
    <w:rsid w:val="00FD527E"/>
    <w:rsid w:val="00FD531B"/>
    <w:rsid w:val="00FD5824"/>
    <w:rsid w:val="00FD5877"/>
    <w:rsid w:val="00FD5939"/>
    <w:rsid w:val="00FD5B99"/>
    <w:rsid w:val="00FD5D0D"/>
    <w:rsid w:val="00FD5DD8"/>
    <w:rsid w:val="00FD61F5"/>
    <w:rsid w:val="00FD61FE"/>
    <w:rsid w:val="00FD6448"/>
    <w:rsid w:val="00FD656C"/>
    <w:rsid w:val="00FD66B2"/>
    <w:rsid w:val="00FD6C69"/>
    <w:rsid w:val="00FD7012"/>
    <w:rsid w:val="00FD74BE"/>
    <w:rsid w:val="00FD74D8"/>
    <w:rsid w:val="00FD7982"/>
    <w:rsid w:val="00FD799D"/>
    <w:rsid w:val="00FD7D7A"/>
    <w:rsid w:val="00FD7DEE"/>
    <w:rsid w:val="00FD7F14"/>
    <w:rsid w:val="00FE013F"/>
    <w:rsid w:val="00FE096B"/>
    <w:rsid w:val="00FE0A39"/>
    <w:rsid w:val="00FE0C12"/>
    <w:rsid w:val="00FE1367"/>
    <w:rsid w:val="00FE1635"/>
    <w:rsid w:val="00FE1877"/>
    <w:rsid w:val="00FE195F"/>
    <w:rsid w:val="00FE1C11"/>
    <w:rsid w:val="00FE1C2F"/>
    <w:rsid w:val="00FE20E9"/>
    <w:rsid w:val="00FE20F0"/>
    <w:rsid w:val="00FE228B"/>
    <w:rsid w:val="00FE2409"/>
    <w:rsid w:val="00FE28E0"/>
    <w:rsid w:val="00FE3472"/>
    <w:rsid w:val="00FE3C62"/>
    <w:rsid w:val="00FE4617"/>
    <w:rsid w:val="00FE47D2"/>
    <w:rsid w:val="00FE5666"/>
    <w:rsid w:val="00FE57F4"/>
    <w:rsid w:val="00FE5834"/>
    <w:rsid w:val="00FE5C55"/>
    <w:rsid w:val="00FE5DB6"/>
    <w:rsid w:val="00FE5FCE"/>
    <w:rsid w:val="00FE6423"/>
    <w:rsid w:val="00FE65DE"/>
    <w:rsid w:val="00FE65E3"/>
    <w:rsid w:val="00FE68AF"/>
    <w:rsid w:val="00FE6B73"/>
    <w:rsid w:val="00FE6BCD"/>
    <w:rsid w:val="00FE7454"/>
    <w:rsid w:val="00FE796F"/>
    <w:rsid w:val="00FE7DA0"/>
    <w:rsid w:val="00FF001E"/>
    <w:rsid w:val="00FF0261"/>
    <w:rsid w:val="00FF0B18"/>
    <w:rsid w:val="00FF0E66"/>
    <w:rsid w:val="00FF1504"/>
    <w:rsid w:val="00FF15C0"/>
    <w:rsid w:val="00FF1D60"/>
    <w:rsid w:val="00FF1DD1"/>
    <w:rsid w:val="00FF1EA5"/>
    <w:rsid w:val="00FF1FB7"/>
    <w:rsid w:val="00FF20C8"/>
    <w:rsid w:val="00FF22D5"/>
    <w:rsid w:val="00FF237B"/>
    <w:rsid w:val="00FF2436"/>
    <w:rsid w:val="00FF2515"/>
    <w:rsid w:val="00FF29E3"/>
    <w:rsid w:val="00FF2A6C"/>
    <w:rsid w:val="00FF2F58"/>
    <w:rsid w:val="00FF302A"/>
    <w:rsid w:val="00FF32F9"/>
    <w:rsid w:val="00FF34D7"/>
    <w:rsid w:val="00FF3530"/>
    <w:rsid w:val="00FF38E0"/>
    <w:rsid w:val="00FF394A"/>
    <w:rsid w:val="00FF3B34"/>
    <w:rsid w:val="00FF48FD"/>
    <w:rsid w:val="00FF49CE"/>
    <w:rsid w:val="00FF5593"/>
    <w:rsid w:val="00FF55D2"/>
    <w:rsid w:val="00FF5BBA"/>
    <w:rsid w:val="00FF5C3C"/>
    <w:rsid w:val="00FF5F1B"/>
    <w:rsid w:val="00FF607E"/>
    <w:rsid w:val="00FF6282"/>
    <w:rsid w:val="00FF6E68"/>
    <w:rsid w:val="00FF71B0"/>
    <w:rsid w:val="00FF73B8"/>
    <w:rsid w:val="00FF750A"/>
    <w:rsid w:val="00FF78CD"/>
    <w:rsid w:val="00FF7920"/>
    <w:rsid w:val="00FF79A1"/>
    <w:rsid w:val="00FF7A02"/>
    <w:rsid w:val="00FF7B0A"/>
    <w:rsid w:val="00FF7CD8"/>
    <w:rsid w:val="0115B57F"/>
    <w:rsid w:val="01367781"/>
    <w:rsid w:val="0143AC1E"/>
    <w:rsid w:val="015671CC"/>
    <w:rsid w:val="0156E829"/>
    <w:rsid w:val="0171B95B"/>
    <w:rsid w:val="01839702"/>
    <w:rsid w:val="019FE280"/>
    <w:rsid w:val="01E7EFFF"/>
    <w:rsid w:val="01FCD9AD"/>
    <w:rsid w:val="0226A835"/>
    <w:rsid w:val="0231A2C7"/>
    <w:rsid w:val="023D0E0B"/>
    <w:rsid w:val="025D3A17"/>
    <w:rsid w:val="02859056"/>
    <w:rsid w:val="035309D4"/>
    <w:rsid w:val="03885D37"/>
    <w:rsid w:val="0388B34E"/>
    <w:rsid w:val="039745E5"/>
    <w:rsid w:val="03D2B459"/>
    <w:rsid w:val="03EAB1D0"/>
    <w:rsid w:val="03ED5D17"/>
    <w:rsid w:val="03F10C53"/>
    <w:rsid w:val="03F3EE36"/>
    <w:rsid w:val="03FE56A2"/>
    <w:rsid w:val="0460FD60"/>
    <w:rsid w:val="04E24F0C"/>
    <w:rsid w:val="052894A1"/>
    <w:rsid w:val="0570957E"/>
    <w:rsid w:val="0590C3BA"/>
    <w:rsid w:val="05C8BA4C"/>
    <w:rsid w:val="05F5C571"/>
    <w:rsid w:val="060F1FC3"/>
    <w:rsid w:val="0639286C"/>
    <w:rsid w:val="06A9ECE7"/>
    <w:rsid w:val="06E0A242"/>
    <w:rsid w:val="07352022"/>
    <w:rsid w:val="079AD769"/>
    <w:rsid w:val="07AA471D"/>
    <w:rsid w:val="07B7674C"/>
    <w:rsid w:val="084E773D"/>
    <w:rsid w:val="0855A4D4"/>
    <w:rsid w:val="09C0BA48"/>
    <w:rsid w:val="09E873A5"/>
    <w:rsid w:val="0A4AB62D"/>
    <w:rsid w:val="0B20603D"/>
    <w:rsid w:val="0B91BA21"/>
    <w:rsid w:val="0B9BC375"/>
    <w:rsid w:val="0BBF4249"/>
    <w:rsid w:val="0C921549"/>
    <w:rsid w:val="0CBBFD6E"/>
    <w:rsid w:val="0CBFDCA9"/>
    <w:rsid w:val="0CDA5711"/>
    <w:rsid w:val="0CDD7503"/>
    <w:rsid w:val="0D052181"/>
    <w:rsid w:val="0D15FCB3"/>
    <w:rsid w:val="0D5D171B"/>
    <w:rsid w:val="0DC568BD"/>
    <w:rsid w:val="0DD3721E"/>
    <w:rsid w:val="0E679DB9"/>
    <w:rsid w:val="0E8BF326"/>
    <w:rsid w:val="0EA343AE"/>
    <w:rsid w:val="0EAF5150"/>
    <w:rsid w:val="0EE55931"/>
    <w:rsid w:val="0F578AF8"/>
    <w:rsid w:val="0F9E02C2"/>
    <w:rsid w:val="0FBE1231"/>
    <w:rsid w:val="0FC9762B"/>
    <w:rsid w:val="0FFF177D"/>
    <w:rsid w:val="1008C841"/>
    <w:rsid w:val="1043610C"/>
    <w:rsid w:val="10622135"/>
    <w:rsid w:val="109D0CB2"/>
    <w:rsid w:val="10B627B3"/>
    <w:rsid w:val="10B880B6"/>
    <w:rsid w:val="111B6613"/>
    <w:rsid w:val="112E8938"/>
    <w:rsid w:val="115376D2"/>
    <w:rsid w:val="116CE1DA"/>
    <w:rsid w:val="1195D15F"/>
    <w:rsid w:val="11A7F95F"/>
    <w:rsid w:val="11BBFA97"/>
    <w:rsid w:val="11E46275"/>
    <w:rsid w:val="11F0DA0C"/>
    <w:rsid w:val="11FE5ECB"/>
    <w:rsid w:val="123A21C4"/>
    <w:rsid w:val="127D4F1D"/>
    <w:rsid w:val="12982E33"/>
    <w:rsid w:val="12A53C93"/>
    <w:rsid w:val="12AFA556"/>
    <w:rsid w:val="12CAC09B"/>
    <w:rsid w:val="12DCB116"/>
    <w:rsid w:val="131D544E"/>
    <w:rsid w:val="13A910E0"/>
    <w:rsid w:val="13D5C20D"/>
    <w:rsid w:val="140F4DD0"/>
    <w:rsid w:val="14991591"/>
    <w:rsid w:val="149A7BF4"/>
    <w:rsid w:val="14AAE84E"/>
    <w:rsid w:val="14C189E1"/>
    <w:rsid w:val="14C2E825"/>
    <w:rsid w:val="14E9B35A"/>
    <w:rsid w:val="151B0F23"/>
    <w:rsid w:val="152ED3C2"/>
    <w:rsid w:val="15422EF7"/>
    <w:rsid w:val="1563DB32"/>
    <w:rsid w:val="1599BD1A"/>
    <w:rsid w:val="161ABA0F"/>
    <w:rsid w:val="16247141"/>
    <w:rsid w:val="16505814"/>
    <w:rsid w:val="16BF1598"/>
    <w:rsid w:val="16EFF073"/>
    <w:rsid w:val="171C7A85"/>
    <w:rsid w:val="175AE0BB"/>
    <w:rsid w:val="177E09AC"/>
    <w:rsid w:val="17A63032"/>
    <w:rsid w:val="17D74CD6"/>
    <w:rsid w:val="17F23FD4"/>
    <w:rsid w:val="1840FEDE"/>
    <w:rsid w:val="18997229"/>
    <w:rsid w:val="190F4E57"/>
    <w:rsid w:val="19D125D5"/>
    <w:rsid w:val="19F356F2"/>
    <w:rsid w:val="1A05C622"/>
    <w:rsid w:val="1A06C81E"/>
    <w:rsid w:val="1A34F714"/>
    <w:rsid w:val="1A87997F"/>
    <w:rsid w:val="1A99E9D7"/>
    <w:rsid w:val="1AAC9B64"/>
    <w:rsid w:val="1AC1FD87"/>
    <w:rsid w:val="1AE7A695"/>
    <w:rsid w:val="1AF8B739"/>
    <w:rsid w:val="1B07F7E0"/>
    <w:rsid w:val="1B2322E2"/>
    <w:rsid w:val="1BB15FB6"/>
    <w:rsid w:val="1BE65814"/>
    <w:rsid w:val="1C020485"/>
    <w:rsid w:val="1C05634D"/>
    <w:rsid w:val="1C1C0E1E"/>
    <w:rsid w:val="1C3AF5F3"/>
    <w:rsid w:val="1CC02521"/>
    <w:rsid w:val="1CCDFBAE"/>
    <w:rsid w:val="1D133586"/>
    <w:rsid w:val="1DABD3C7"/>
    <w:rsid w:val="1DC5237B"/>
    <w:rsid w:val="1DF1F11E"/>
    <w:rsid w:val="1E058B5B"/>
    <w:rsid w:val="1E23BEC3"/>
    <w:rsid w:val="1E24E69D"/>
    <w:rsid w:val="1E605268"/>
    <w:rsid w:val="1EA34957"/>
    <w:rsid w:val="1EDAEE94"/>
    <w:rsid w:val="1F1655AA"/>
    <w:rsid w:val="1F574F5B"/>
    <w:rsid w:val="1FA0F49F"/>
    <w:rsid w:val="1FBDCC39"/>
    <w:rsid w:val="1FDB37F6"/>
    <w:rsid w:val="203CCE32"/>
    <w:rsid w:val="205DB4CA"/>
    <w:rsid w:val="2063BBFF"/>
    <w:rsid w:val="207A1E2F"/>
    <w:rsid w:val="20ABDDB8"/>
    <w:rsid w:val="20BD2D35"/>
    <w:rsid w:val="21328503"/>
    <w:rsid w:val="214F2656"/>
    <w:rsid w:val="215CCFF1"/>
    <w:rsid w:val="2192AFA5"/>
    <w:rsid w:val="21B296B6"/>
    <w:rsid w:val="2213B6BB"/>
    <w:rsid w:val="2223FA09"/>
    <w:rsid w:val="2242FFBA"/>
    <w:rsid w:val="224858C1"/>
    <w:rsid w:val="224B9A6E"/>
    <w:rsid w:val="226E1366"/>
    <w:rsid w:val="2286CE3B"/>
    <w:rsid w:val="22881CF7"/>
    <w:rsid w:val="22987FC7"/>
    <w:rsid w:val="22EB90AF"/>
    <w:rsid w:val="2334C80F"/>
    <w:rsid w:val="233F4E53"/>
    <w:rsid w:val="23BC4970"/>
    <w:rsid w:val="23CD303A"/>
    <w:rsid w:val="23D73418"/>
    <w:rsid w:val="244F4C6A"/>
    <w:rsid w:val="245954CB"/>
    <w:rsid w:val="24925A75"/>
    <w:rsid w:val="24ED8D61"/>
    <w:rsid w:val="250BA02B"/>
    <w:rsid w:val="25559B74"/>
    <w:rsid w:val="2569E87A"/>
    <w:rsid w:val="259D4E29"/>
    <w:rsid w:val="25B4D676"/>
    <w:rsid w:val="25CF2ACF"/>
    <w:rsid w:val="25F5836F"/>
    <w:rsid w:val="2639FD28"/>
    <w:rsid w:val="26A729C6"/>
    <w:rsid w:val="26B08881"/>
    <w:rsid w:val="26BBC79F"/>
    <w:rsid w:val="26BC8164"/>
    <w:rsid w:val="2707B8C8"/>
    <w:rsid w:val="27A2E058"/>
    <w:rsid w:val="27B8097F"/>
    <w:rsid w:val="28097407"/>
    <w:rsid w:val="28333A40"/>
    <w:rsid w:val="2849C961"/>
    <w:rsid w:val="29AFFD3E"/>
    <w:rsid w:val="2A0EA991"/>
    <w:rsid w:val="2A1267AF"/>
    <w:rsid w:val="2A4BFB67"/>
    <w:rsid w:val="2A54BEE5"/>
    <w:rsid w:val="2A86AEC8"/>
    <w:rsid w:val="2BA42E7B"/>
    <w:rsid w:val="2C06E79A"/>
    <w:rsid w:val="2C1C9770"/>
    <w:rsid w:val="2C2AB58C"/>
    <w:rsid w:val="2C3EA97E"/>
    <w:rsid w:val="2C9CC319"/>
    <w:rsid w:val="2CC621C2"/>
    <w:rsid w:val="2DF4BDDB"/>
    <w:rsid w:val="2EF7DFF4"/>
    <w:rsid w:val="2F0F888C"/>
    <w:rsid w:val="2F92C607"/>
    <w:rsid w:val="2F9D57FC"/>
    <w:rsid w:val="30078EF4"/>
    <w:rsid w:val="3012D531"/>
    <w:rsid w:val="30193A6B"/>
    <w:rsid w:val="305EB747"/>
    <w:rsid w:val="307E699A"/>
    <w:rsid w:val="3091ABD4"/>
    <w:rsid w:val="30B80B40"/>
    <w:rsid w:val="30BE5AD5"/>
    <w:rsid w:val="30E69CA0"/>
    <w:rsid w:val="3146290A"/>
    <w:rsid w:val="317421E7"/>
    <w:rsid w:val="31AA5216"/>
    <w:rsid w:val="31EA395D"/>
    <w:rsid w:val="31F07D94"/>
    <w:rsid w:val="320E4F41"/>
    <w:rsid w:val="3216C179"/>
    <w:rsid w:val="321F7C74"/>
    <w:rsid w:val="3220CC79"/>
    <w:rsid w:val="324B45C3"/>
    <w:rsid w:val="326FFAF9"/>
    <w:rsid w:val="3280AFBE"/>
    <w:rsid w:val="32AF833B"/>
    <w:rsid w:val="33118CDB"/>
    <w:rsid w:val="3353BDD6"/>
    <w:rsid w:val="336BAED2"/>
    <w:rsid w:val="338F9177"/>
    <w:rsid w:val="33A1252D"/>
    <w:rsid w:val="33A5B3FC"/>
    <w:rsid w:val="344BF98C"/>
    <w:rsid w:val="3481E413"/>
    <w:rsid w:val="348B888B"/>
    <w:rsid w:val="34A1F74E"/>
    <w:rsid w:val="34E0D058"/>
    <w:rsid w:val="34E3497F"/>
    <w:rsid w:val="352BCB87"/>
    <w:rsid w:val="35C22381"/>
    <w:rsid w:val="35E6B02C"/>
    <w:rsid w:val="3680FBBD"/>
    <w:rsid w:val="36A59AD2"/>
    <w:rsid w:val="36CDF4DC"/>
    <w:rsid w:val="36FE6F3B"/>
    <w:rsid w:val="370B4017"/>
    <w:rsid w:val="370F57C7"/>
    <w:rsid w:val="37455830"/>
    <w:rsid w:val="375DBED8"/>
    <w:rsid w:val="3761AC1B"/>
    <w:rsid w:val="378FE834"/>
    <w:rsid w:val="38297839"/>
    <w:rsid w:val="386BC752"/>
    <w:rsid w:val="38D96F71"/>
    <w:rsid w:val="397B4C64"/>
    <w:rsid w:val="399BFCD1"/>
    <w:rsid w:val="39B66652"/>
    <w:rsid w:val="39CE0782"/>
    <w:rsid w:val="39E26DED"/>
    <w:rsid w:val="39EBDA69"/>
    <w:rsid w:val="3A1BFB74"/>
    <w:rsid w:val="3A476688"/>
    <w:rsid w:val="3A5B6AE1"/>
    <w:rsid w:val="3ACF7963"/>
    <w:rsid w:val="3B06863C"/>
    <w:rsid w:val="3B28F6F5"/>
    <w:rsid w:val="3B59E26E"/>
    <w:rsid w:val="3BB470D3"/>
    <w:rsid w:val="3BB95F53"/>
    <w:rsid w:val="3BF424DC"/>
    <w:rsid w:val="3C0F3F39"/>
    <w:rsid w:val="3C531E50"/>
    <w:rsid w:val="3CDB8C7D"/>
    <w:rsid w:val="3CDCE7D7"/>
    <w:rsid w:val="3D141AC9"/>
    <w:rsid w:val="3D2D3A41"/>
    <w:rsid w:val="3D3B9781"/>
    <w:rsid w:val="3D71A083"/>
    <w:rsid w:val="3D76BD3E"/>
    <w:rsid w:val="3D897E13"/>
    <w:rsid w:val="3D95E894"/>
    <w:rsid w:val="3DF1EC19"/>
    <w:rsid w:val="3DFB0354"/>
    <w:rsid w:val="3E2F2853"/>
    <w:rsid w:val="3E4DA19F"/>
    <w:rsid w:val="3E857783"/>
    <w:rsid w:val="3F1ED917"/>
    <w:rsid w:val="3FB6DF9F"/>
    <w:rsid w:val="3FFE3197"/>
    <w:rsid w:val="400B53B3"/>
    <w:rsid w:val="406FC38C"/>
    <w:rsid w:val="40964E6D"/>
    <w:rsid w:val="40A35E81"/>
    <w:rsid w:val="40B6B8F1"/>
    <w:rsid w:val="41101C7D"/>
    <w:rsid w:val="4126DF5C"/>
    <w:rsid w:val="414B1CD8"/>
    <w:rsid w:val="418C7343"/>
    <w:rsid w:val="41C30734"/>
    <w:rsid w:val="41C6D035"/>
    <w:rsid w:val="41FA7103"/>
    <w:rsid w:val="41FCC404"/>
    <w:rsid w:val="420F691C"/>
    <w:rsid w:val="423EE92C"/>
    <w:rsid w:val="4240E344"/>
    <w:rsid w:val="4262CEBE"/>
    <w:rsid w:val="4277EAC7"/>
    <w:rsid w:val="42E60992"/>
    <w:rsid w:val="433EBFB8"/>
    <w:rsid w:val="438EF00E"/>
    <w:rsid w:val="43A302D8"/>
    <w:rsid w:val="43BE4F18"/>
    <w:rsid w:val="43C72DC9"/>
    <w:rsid w:val="441E7B48"/>
    <w:rsid w:val="447491B9"/>
    <w:rsid w:val="450137FB"/>
    <w:rsid w:val="45097B4F"/>
    <w:rsid w:val="454DF5A6"/>
    <w:rsid w:val="4566B11F"/>
    <w:rsid w:val="4580B02A"/>
    <w:rsid w:val="458F818F"/>
    <w:rsid w:val="45C23517"/>
    <w:rsid w:val="45DB3C62"/>
    <w:rsid w:val="460767AE"/>
    <w:rsid w:val="4625D92F"/>
    <w:rsid w:val="462BB24A"/>
    <w:rsid w:val="4670A450"/>
    <w:rsid w:val="46736993"/>
    <w:rsid w:val="46CEBAC5"/>
    <w:rsid w:val="47073AC4"/>
    <w:rsid w:val="470CE18E"/>
    <w:rsid w:val="47659ECB"/>
    <w:rsid w:val="476CCFD3"/>
    <w:rsid w:val="47A6AB18"/>
    <w:rsid w:val="47B461FF"/>
    <w:rsid w:val="47FB63FA"/>
    <w:rsid w:val="47FFB1E2"/>
    <w:rsid w:val="484D2E4C"/>
    <w:rsid w:val="4852C6F7"/>
    <w:rsid w:val="485AF46F"/>
    <w:rsid w:val="48A1A09F"/>
    <w:rsid w:val="491FDE94"/>
    <w:rsid w:val="4928DBAF"/>
    <w:rsid w:val="492BAE06"/>
    <w:rsid w:val="497BF385"/>
    <w:rsid w:val="49A5617E"/>
    <w:rsid w:val="49A70B5B"/>
    <w:rsid w:val="49B7588E"/>
    <w:rsid w:val="49BE30E3"/>
    <w:rsid w:val="4A3E0126"/>
    <w:rsid w:val="4A7E4D86"/>
    <w:rsid w:val="4A99F1AE"/>
    <w:rsid w:val="4AA99C2C"/>
    <w:rsid w:val="4AE1DBBD"/>
    <w:rsid w:val="4B2E8E01"/>
    <w:rsid w:val="4BC2D9DB"/>
    <w:rsid w:val="4BDD1FF7"/>
    <w:rsid w:val="4C4D5E01"/>
    <w:rsid w:val="4CC29EBE"/>
    <w:rsid w:val="4CF53A8A"/>
    <w:rsid w:val="4CF8C0BA"/>
    <w:rsid w:val="4D0DC604"/>
    <w:rsid w:val="4D5AC587"/>
    <w:rsid w:val="4DCE8655"/>
    <w:rsid w:val="4DDC2F3D"/>
    <w:rsid w:val="4E69E242"/>
    <w:rsid w:val="4E819DF8"/>
    <w:rsid w:val="4ECA0A9C"/>
    <w:rsid w:val="4FD473AF"/>
    <w:rsid w:val="4FE12BFC"/>
    <w:rsid w:val="500893F0"/>
    <w:rsid w:val="501A8812"/>
    <w:rsid w:val="508C1C30"/>
    <w:rsid w:val="50AA49FB"/>
    <w:rsid w:val="512860D6"/>
    <w:rsid w:val="513DCA0B"/>
    <w:rsid w:val="51476874"/>
    <w:rsid w:val="51678EBB"/>
    <w:rsid w:val="51B53A4A"/>
    <w:rsid w:val="52025CEF"/>
    <w:rsid w:val="5229604E"/>
    <w:rsid w:val="523BEFFB"/>
    <w:rsid w:val="524D083D"/>
    <w:rsid w:val="52585F31"/>
    <w:rsid w:val="5297B907"/>
    <w:rsid w:val="52A592D4"/>
    <w:rsid w:val="52B7FF3A"/>
    <w:rsid w:val="530F4AA8"/>
    <w:rsid w:val="53157FE7"/>
    <w:rsid w:val="5352123E"/>
    <w:rsid w:val="536B0F9D"/>
    <w:rsid w:val="53C0CAAE"/>
    <w:rsid w:val="53D5B35B"/>
    <w:rsid w:val="53E074BF"/>
    <w:rsid w:val="54C993D3"/>
    <w:rsid w:val="551782A5"/>
    <w:rsid w:val="55294F93"/>
    <w:rsid w:val="553EA917"/>
    <w:rsid w:val="557B5DAA"/>
    <w:rsid w:val="557E24AA"/>
    <w:rsid w:val="55ACDDE3"/>
    <w:rsid w:val="5601627F"/>
    <w:rsid w:val="5608D75D"/>
    <w:rsid w:val="562DA68B"/>
    <w:rsid w:val="5660103B"/>
    <w:rsid w:val="56732FF0"/>
    <w:rsid w:val="56C35796"/>
    <w:rsid w:val="5705A25A"/>
    <w:rsid w:val="57206A9B"/>
    <w:rsid w:val="57B8F6C7"/>
    <w:rsid w:val="5806F859"/>
    <w:rsid w:val="580C51AB"/>
    <w:rsid w:val="581149F2"/>
    <w:rsid w:val="582A5194"/>
    <w:rsid w:val="582DE172"/>
    <w:rsid w:val="583BBC92"/>
    <w:rsid w:val="586B6EEE"/>
    <w:rsid w:val="59356466"/>
    <w:rsid w:val="59433181"/>
    <w:rsid w:val="59AD63C0"/>
    <w:rsid w:val="59CD48D4"/>
    <w:rsid w:val="59DEC926"/>
    <w:rsid w:val="5A426859"/>
    <w:rsid w:val="5A4F0B07"/>
    <w:rsid w:val="5A5F5AF6"/>
    <w:rsid w:val="5A629B51"/>
    <w:rsid w:val="5A66C04E"/>
    <w:rsid w:val="5A691A21"/>
    <w:rsid w:val="5A936066"/>
    <w:rsid w:val="5AE0ED45"/>
    <w:rsid w:val="5AF10B18"/>
    <w:rsid w:val="5B04D88F"/>
    <w:rsid w:val="5B2D2966"/>
    <w:rsid w:val="5B875FE4"/>
    <w:rsid w:val="5BBDF626"/>
    <w:rsid w:val="5BC328D9"/>
    <w:rsid w:val="5BED8521"/>
    <w:rsid w:val="5BF80D0D"/>
    <w:rsid w:val="5BFC8FC7"/>
    <w:rsid w:val="5C07DC61"/>
    <w:rsid w:val="5C9673AE"/>
    <w:rsid w:val="5C9F407B"/>
    <w:rsid w:val="5CBA4539"/>
    <w:rsid w:val="5D046BA2"/>
    <w:rsid w:val="5D33429F"/>
    <w:rsid w:val="5D380919"/>
    <w:rsid w:val="5DB61811"/>
    <w:rsid w:val="5DC72255"/>
    <w:rsid w:val="5E893B3B"/>
    <w:rsid w:val="5EBF9E4A"/>
    <w:rsid w:val="5ED0238D"/>
    <w:rsid w:val="5ED1369F"/>
    <w:rsid w:val="5ED78CF4"/>
    <w:rsid w:val="5EF01B75"/>
    <w:rsid w:val="5EFCA652"/>
    <w:rsid w:val="5EFF8FC2"/>
    <w:rsid w:val="5F163B9D"/>
    <w:rsid w:val="5F4FDF8C"/>
    <w:rsid w:val="5F6B9112"/>
    <w:rsid w:val="5F771449"/>
    <w:rsid w:val="5FC79468"/>
    <w:rsid w:val="602AC98F"/>
    <w:rsid w:val="602C556F"/>
    <w:rsid w:val="60579AD2"/>
    <w:rsid w:val="608D6129"/>
    <w:rsid w:val="609B470F"/>
    <w:rsid w:val="61497DD1"/>
    <w:rsid w:val="617F931F"/>
    <w:rsid w:val="6186E907"/>
    <w:rsid w:val="61890B0E"/>
    <w:rsid w:val="61C56152"/>
    <w:rsid w:val="61D12501"/>
    <w:rsid w:val="6204C983"/>
    <w:rsid w:val="62455447"/>
    <w:rsid w:val="6256038E"/>
    <w:rsid w:val="62561933"/>
    <w:rsid w:val="62852FAA"/>
    <w:rsid w:val="62985942"/>
    <w:rsid w:val="62CF2D77"/>
    <w:rsid w:val="633D6085"/>
    <w:rsid w:val="63780C35"/>
    <w:rsid w:val="6411433A"/>
    <w:rsid w:val="641B029B"/>
    <w:rsid w:val="642683B2"/>
    <w:rsid w:val="642D4DF7"/>
    <w:rsid w:val="6433346F"/>
    <w:rsid w:val="646A5FFB"/>
    <w:rsid w:val="648AAC29"/>
    <w:rsid w:val="64AE6EFC"/>
    <w:rsid w:val="64CFC8C5"/>
    <w:rsid w:val="64D56827"/>
    <w:rsid w:val="64F81093"/>
    <w:rsid w:val="6566CBA7"/>
    <w:rsid w:val="65793E4A"/>
    <w:rsid w:val="65797C63"/>
    <w:rsid w:val="6599EB40"/>
    <w:rsid w:val="65D9814D"/>
    <w:rsid w:val="66292848"/>
    <w:rsid w:val="664F168F"/>
    <w:rsid w:val="668D9C03"/>
    <w:rsid w:val="66BAED77"/>
    <w:rsid w:val="66BCC494"/>
    <w:rsid w:val="66E4F64F"/>
    <w:rsid w:val="677E9AEC"/>
    <w:rsid w:val="67C7B82A"/>
    <w:rsid w:val="67E30DB7"/>
    <w:rsid w:val="680A9CBA"/>
    <w:rsid w:val="68944966"/>
    <w:rsid w:val="69023DDA"/>
    <w:rsid w:val="69408F3B"/>
    <w:rsid w:val="69640922"/>
    <w:rsid w:val="698D3E58"/>
    <w:rsid w:val="69C995DF"/>
    <w:rsid w:val="69DC3D1C"/>
    <w:rsid w:val="6A5ABA9E"/>
    <w:rsid w:val="6A5B65CF"/>
    <w:rsid w:val="6A671B7A"/>
    <w:rsid w:val="6A6CB08B"/>
    <w:rsid w:val="6A91E014"/>
    <w:rsid w:val="6AC6AC05"/>
    <w:rsid w:val="6B1128EA"/>
    <w:rsid w:val="6B1F99B9"/>
    <w:rsid w:val="6B2B5361"/>
    <w:rsid w:val="6B3A432A"/>
    <w:rsid w:val="6B5F6609"/>
    <w:rsid w:val="6B7AE4CC"/>
    <w:rsid w:val="6BA49CE5"/>
    <w:rsid w:val="6C27975E"/>
    <w:rsid w:val="6C88F14A"/>
    <w:rsid w:val="6CA13BBC"/>
    <w:rsid w:val="6CB130C0"/>
    <w:rsid w:val="6CD20F19"/>
    <w:rsid w:val="6CD9E15B"/>
    <w:rsid w:val="6CEF93AE"/>
    <w:rsid w:val="6CF16475"/>
    <w:rsid w:val="6CFD5A9B"/>
    <w:rsid w:val="6D0DAEE2"/>
    <w:rsid w:val="6D13E21A"/>
    <w:rsid w:val="6D176716"/>
    <w:rsid w:val="6D20547D"/>
    <w:rsid w:val="6D44D3FA"/>
    <w:rsid w:val="6D772AD9"/>
    <w:rsid w:val="6D8A1EFA"/>
    <w:rsid w:val="6DA1C7FC"/>
    <w:rsid w:val="6DC96FD2"/>
    <w:rsid w:val="6DD34DDA"/>
    <w:rsid w:val="6E2442AF"/>
    <w:rsid w:val="6E5C730A"/>
    <w:rsid w:val="6F2FEB1D"/>
    <w:rsid w:val="6F56CC89"/>
    <w:rsid w:val="6F95067A"/>
    <w:rsid w:val="6FA42E82"/>
    <w:rsid w:val="6FA73258"/>
    <w:rsid w:val="6FB2AFD1"/>
    <w:rsid w:val="70B9585F"/>
    <w:rsid w:val="70B9C647"/>
    <w:rsid w:val="70F4FAEB"/>
    <w:rsid w:val="710FC828"/>
    <w:rsid w:val="7122378D"/>
    <w:rsid w:val="7135C958"/>
    <w:rsid w:val="71397C83"/>
    <w:rsid w:val="717DF024"/>
    <w:rsid w:val="71DCBDBA"/>
    <w:rsid w:val="724D5165"/>
    <w:rsid w:val="72877D31"/>
    <w:rsid w:val="72A3C213"/>
    <w:rsid w:val="72A5D492"/>
    <w:rsid w:val="72B46FC9"/>
    <w:rsid w:val="72C0B2A7"/>
    <w:rsid w:val="730946A4"/>
    <w:rsid w:val="731C410D"/>
    <w:rsid w:val="736BD385"/>
    <w:rsid w:val="738247BF"/>
    <w:rsid w:val="73D2FFA6"/>
    <w:rsid w:val="73DE480C"/>
    <w:rsid w:val="73F0F921"/>
    <w:rsid w:val="747BFD90"/>
    <w:rsid w:val="747F3A20"/>
    <w:rsid w:val="74A352B8"/>
    <w:rsid w:val="74A4D493"/>
    <w:rsid w:val="74ADEA4B"/>
    <w:rsid w:val="7558A190"/>
    <w:rsid w:val="75F3CCE7"/>
    <w:rsid w:val="75FF3DD8"/>
    <w:rsid w:val="763A0610"/>
    <w:rsid w:val="76AC05E2"/>
    <w:rsid w:val="774627C1"/>
    <w:rsid w:val="7762282A"/>
    <w:rsid w:val="777E5A63"/>
    <w:rsid w:val="77CE34C3"/>
    <w:rsid w:val="77DFCB49"/>
    <w:rsid w:val="77F0D96B"/>
    <w:rsid w:val="781EC824"/>
    <w:rsid w:val="7874FBA1"/>
    <w:rsid w:val="787D462E"/>
    <w:rsid w:val="78940A2E"/>
    <w:rsid w:val="78B38381"/>
    <w:rsid w:val="79415DC7"/>
    <w:rsid w:val="79421DCC"/>
    <w:rsid w:val="796BE45E"/>
    <w:rsid w:val="7974AD39"/>
    <w:rsid w:val="79762F3F"/>
    <w:rsid w:val="79BEC4A2"/>
    <w:rsid w:val="79C8192B"/>
    <w:rsid w:val="79E70651"/>
    <w:rsid w:val="7A00EC69"/>
    <w:rsid w:val="7A17560B"/>
    <w:rsid w:val="7A8644A6"/>
    <w:rsid w:val="7B67612D"/>
    <w:rsid w:val="7B8D8928"/>
    <w:rsid w:val="7BE090C7"/>
    <w:rsid w:val="7CBC585F"/>
    <w:rsid w:val="7CBDBC3A"/>
    <w:rsid w:val="7CC91D55"/>
    <w:rsid w:val="7CCD0570"/>
    <w:rsid w:val="7CD61A51"/>
    <w:rsid w:val="7CE85A39"/>
    <w:rsid w:val="7D11A5FB"/>
    <w:rsid w:val="7DD1D829"/>
    <w:rsid w:val="7DD29BC1"/>
    <w:rsid w:val="7DDB21C3"/>
    <w:rsid w:val="7DEC4076"/>
    <w:rsid w:val="7E096155"/>
    <w:rsid w:val="7E1695BC"/>
    <w:rsid w:val="7E66B03F"/>
    <w:rsid w:val="7E854FE8"/>
    <w:rsid w:val="7EB1DFCB"/>
    <w:rsid w:val="7EBEB628"/>
    <w:rsid w:val="7EE359F0"/>
    <w:rsid w:val="7F46CCCF"/>
    <w:rsid w:val="7F5BC8F8"/>
    <w:rsid w:val="7F8CCD15"/>
    <w:rsid w:val="7FC4AF98"/>
    <w:rsid w:val="7FE19E95"/>
    <w:rsid w:val="7FE5945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45B"/>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9342B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HealthConsult,Summary box,Table Gridbeth,RTI AMCP Table,new style,ASD Table"/>
    <w:basedOn w:val="TableNormal"/>
    <w:uiPriority w:val="3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1"/>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character" w:styleId="UnresolvedMention">
    <w:name w:val="Unresolved Mention"/>
    <w:basedOn w:val="DefaultParagraphFont"/>
    <w:uiPriority w:val="99"/>
    <w:unhideWhenUsed/>
    <w:rsid w:val="00BB0FFB"/>
    <w:rPr>
      <w:color w:val="605E5C"/>
      <w:shd w:val="clear" w:color="auto" w:fill="E1DFDD"/>
    </w:rPr>
  </w:style>
  <w:style w:type="paragraph" w:styleId="NoSpacing">
    <w:name w:val="No Spacing"/>
    <w:uiPriority w:val="1"/>
    <w:qFormat/>
    <w:rsid w:val="00C01546"/>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rsid w:val="009342B5"/>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unhideWhenUsed/>
    <w:rsid w:val="001A7DB2"/>
    <w:pPr>
      <w:spacing w:after="0" w:line="240" w:lineRule="auto"/>
    </w:pPr>
    <w:rPr>
      <w:sz w:val="20"/>
      <w:szCs w:val="20"/>
    </w:rPr>
  </w:style>
  <w:style w:type="character" w:customStyle="1" w:styleId="FootnoteTextChar">
    <w:name w:val="Footnote Text Char"/>
    <w:basedOn w:val="DefaultParagraphFont"/>
    <w:link w:val="FootnoteText"/>
    <w:uiPriority w:val="99"/>
    <w:rsid w:val="001A7DB2"/>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1A7DB2"/>
    <w:rPr>
      <w:vertAlign w:val="superscript"/>
    </w:rPr>
  </w:style>
  <w:style w:type="paragraph" w:styleId="EndnoteText">
    <w:name w:val="endnote text"/>
    <w:basedOn w:val="Normal"/>
    <w:link w:val="EndnoteTextChar"/>
    <w:uiPriority w:val="99"/>
    <w:unhideWhenUsed/>
    <w:rsid w:val="00763988"/>
    <w:pPr>
      <w:spacing w:after="0" w:line="240" w:lineRule="auto"/>
    </w:pPr>
    <w:rPr>
      <w:sz w:val="20"/>
      <w:szCs w:val="20"/>
    </w:rPr>
  </w:style>
  <w:style w:type="character" w:customStyle="1" w:styleId="EndnoteTextChar">
    <w:name w:val="Endnote Text Char"/>
    <w:basedOn w:val="DefaultParagraphFont"/>
    <w:link w:val="EndnoteText"/>
    <w:uiPriority w:val="99"/>
    <w:rsid w:val="00763988"/>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763988"/>
    <w:rPr>
      <w:vertAlign w:val="superscript"/>
    </w:rPr>
  </w:style>
  <w:style w:type="paragraph" w:customStyle="1" w:styleId="EndNoteBibliographyTitle">
    <w:name w:val="EndNote Bibliography Title"/>
    <w:basedOn w:val="Normal"/>
    <w:link w:val="EndNoteBibliographyTitleChar"/>
    <w:rsid w:val="008E078F"/>
    <w:pPr>
      <w:spacing w:after="0"/>
      <w:jc w:val="center"/>
    </w:pPr>
    <w:rPr>
      <w:rFonts w:cs="Calibri"/>
      <w:noProof/>
      <w:lang w:val="en-US"/>
    </w:rPr>
  </w:style>
  <w:style w:type="character" w:customStyle="1" w:styleId="EndNoteBibliographyTitleChar">
    <w:name w:val="EndNote Bibliography Title Char"/>
    <w:basedOn w:val="TablenotesChar"/>
    <w:link w:val="EndNoteBibliographyTitle"/>
    <w:rsid w:val="008E078F"/>
    <w:rPr>
      <w:rFonts w:ascii="Calibri" w:eastAsia="Calibri" w:hAnsi="Calibri" w:cs="Calibri"/>
      <w:noProof/>
      <w:snapToGrid/>
      <w:sz w:val="18"/>
      <w:szCs w:val="20"/>
      <w:lang w:val="en-US"/>
    </w:rPr>
  </w:style>
  <w:style w:type="paragraph" w:customStyle="1" w:styleId="EndNoteBibliography">
    <w:name w:val="EndNote Bibliography"/>
    <w:basedOn w:val="Normal"/>
    <w:link w:val="EndNoteBibliographyChar"/>
    <w:rsid w:val="008E078F"/>
    <w:pPr>
      <w:spacing w:line="240" w:lineRule="auto"/>
    </w:pPr>
    <w:rPr>
      <w:rFonts w:cs="Calibri"/>
      <w:noProof/>
      <w:lang w:val="en-US"/>
    </w:rPr>
  </w:style>
  <w:style w:type="character" w:customStyle="1" w:styleId="EndNoteBibliographyChar">
    <w:name w:val="EndNote Bibliography Char"/>
    <w:basedOn w:val="TablenotesChar"/>
    <w:link w:val="EndNoteBibliography"/>
    <w:rsid w:val="008E078F"/>
    <w:rPr>
      <w:rFonts w:ascii="Calibri" w:eastAsia="Calibri" w:hAnsi="Calibri" w:cs="Calibri"/>
      <w:noProof/>
      <w:snapToGrid/>
      <w:sz w:val="18"/>
      <w:szCs w:val="20"/>
      <w:lang w:val="en-US"/>
    </w:rPr>
  </w:style>
  <w:style w:type="character" w:styleId="Mention">
    <w:name w:val="Mention"/>
    <w:basedOn w:val="DefaultParagraphFont"/>
    <w:uiPriority w:val="99"/>
    <w:unhideWhenUsed/>
    <w:rsid w:val="00771863"/>
    <w:rPr>
      <w:color w:val="2B579A"/>
      <w:shd w:val="clear" w:color="auto" w:fill="E1DFDD"/>
    </w:rPr>
  </w:style>
  <w:style w:type="table" w:customStyle="1" w:styleId="HealthConsult1">
    <w:name w:val="HealthConsult1"/>
    <w:basedOn w:val="TableNormal"/>
    <w:next w:val="TableGrid"/>
    <w:uiPriority w:val="59"/>
    <w:rsid w:val="004A11D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2">
    <w:name w:val="HealthConsult2"/>
    <w:basedOn w:val="TableNormal"/>
    <w:next w:val="TableGrid"/>
    <w:uiPriority w:val="59"/>
    <w:rsid w:val="004A11D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3">
    <w:name w:val="HealthConsult3"/>
    <w:basedOn w:val="TableNormal"/>
    <w:next w:val="TableGrid"/>
    <w:uiPriority w:val="59"/>
    <w:rsid w:val="004A11D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4">
    <w:name w:val="HealthConsult4"/>
    <w:basedOn w:val="TableNormal"/>
    <w:next w:val="TableGrid"/>
    <w:uiPriority w:val="59"/>
    <w:rsid w:val="004A11D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5">
    <w:name w:val="HealthConsult5"/>
    <w:basedOn w:val="TableNormal"/>
    <w:next w:val="TableGrid"/>
    <w:uiPriority w:val="59"/>
    <w:rsid w:val="004A11D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6">
    <w:name w:val="HealthConsult6"/>
    <w:basedOn w:val="TableNormal"/>
    <w:next w:val="TableGrid"/>
    <w:uiPriority w:val="59"/>
    <w:rsid w:val="004A11D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7">
    <w:name w:val="HealthConsult7"/>
    <w:basedOn w:val="TableNormal"/>
    <w:next w:val="TableGrid"/>
    <w:uiPriority w:val="59"/>
    <w:rsid w:val="004A11D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8">
    <w:name w:val="HealthConsult8"/>
    <w:basedOn w:val="TableNormal"/>
    <w:next w:val="TableGrid"/>
    <w:uiPriority w:val="59"/>
    <w:rsid w:val="004A11D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9">
    <w:name w:val="HealthConsult9"/>
    <w:basedOn w:val="TableNormal"/>
    <w:next w:val="TableGrid"/>
    <w:uiPriority w:val="59"/>
    <w:rsid w:val="004A11D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10">
    <w:name w:val="HealthConsult10"/>
    <w:basedOn w:val="TableNormal"/>
    <w:next w:val="TableGrid"/>
    <w:uiPriority w:val="59"/>
    <w:rsid w:val="004A11D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11">
    <w:name w:val="HealthConsult11"/>
    <w:basedOn w:val="TableNormal"/>
    <w:next w:val="TableGrid"/>
    <w:uiPriority w:val="59"/>
    <w:rsid w:val="004A11D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12">
    <w:name w:val="HealthConsult12"/>
    <w:basedOn w:val="TableNormal"/>
    <w:next w:val="TableGrid"/>
    <w:uiPriority w:val="59"/>
    <w:rsid w:val="004A11D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13">
    <w:name w:val="HealthConsult13"/>
    <w:basedOn w:val="TableNormal"/>
    <w:next w:val="TableGrid"/>
    <w:uiPriority w:val="59"/>
    <w:rsid w:val="0059256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14">
    <w:name w:val="HealthConsult14"/>
    <w:basedOn w:val="TableNormal"/>
    <w:next w:val="TableGrid"/>
    <w:uiPriority w:val="59"/>
    <w:rsid w:val="0059256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15">
    <w:name w:val="HealthConsult15"/>
    <w:basedOn w:val="TableNormal"/>
    <w:next w:val="TableGrid"/>
    <w:uiPriority w:val="59"/>
    <w:rsid w:val="0059256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16">
    <w:name w:val="HealthConsult16"/>
    <w:basedOn w:val="TableNormal"/>
    <w:next w:val="TableGrid"/>
    <w:uiPriority w:val="59"/>
    <w:rsid w:val="0059256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17">
    <w:name w:val="HealthConsult17"/>
    <w:basedOn w:val="TableNormal"/>
    <w:next w:val="TableGrid"/>
    <w:uiPriority w:val="59"/>
    <w:rsid w:val="0059256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18">
    <w:name w:val="HealthConsult18"/>
    <w:basedOn w:val="TableNormal"/>
    <w:next w:val="TableGrid"/>
    <w:uiPriority w:val="59"/>
    <w:rsid w:val="0003326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19">
    <w:name w:val="HealthConsult19"/>
    <w:basedOn w:val="TableNormal"/>
    <w:next w:val="TableGrid"/>
    <w:uiPriority w:val="59"/>
    <w:rsid w:val="0003326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20">
    <w:name w:val="HealthConsult20"/>
    <w:basedOn w:val="TableNormal"/>
    <w:next w:val="TableGrid"/>
    <w:uiPriority w:val="59"/>
    <w:rsid w:val="0003326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21">
    <w:name w:val="HealthConsult21"/>
    <w:basedOn w:val="TableNormal"/>
    <w:next w:val="TableGrid"/>
    <w:uiPriority w:val="59"/>
    <w:rsid w:val="0003326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22">
    <w:name w:val="HealthConsult22"/>
    <w:basedOn w:val="TableNormal"/>
    <w:next w:val="TableGrid"/>
    <w:uiPriority w:val="59"/>
    <w:rsid w:val="0003326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23">
    <w:name w:val="HealthConsult23"/>
    <w:basedOn w:val="TableNormal"/>
    <w:next w:val="TableGrid"/>
    <w:uiPriority w:val="59"/>
    <w:rsid w:val="0003326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24">
    <w:name w:val="HealthConsult24"/>
    <w:basedOn w:val="TableNormal"/>
    <w:next w:val="TableGrid"/>
    <w:uiPriority w:val="59"/>
    <w:rsid w:val="0003326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25">
    <w:name w:val="HealthConsult25"/>
    <w:basedOn w:val="TableNormal"/>
    <w:next w:val="TableGrid"/>
    <w:uiPriority w:val="59"/>
    <w:rsid w:val="0003326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26">
    <w:name w:val="HealthConsult26"/>
    <w:basedOn w:val="TableNormal"/>
    <w:next w:val="TableGrid"/>
    <w:uiPriority w:val="59"/>
    <w:rsid w:val="0003326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31457B"/>
    <w:pPr>
      <w:numPr>
        <w:numId w:val="30"/>
      </w:numPr>
      <w:spacing w:after="24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0BB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uthors-list-item">
    <w:name w:val="authors-list-item"/>
    <w:basedOn w:val="DefaultParagraphFont"/>
    <w:rsid w:val="003360EA"/>
  </w:style>
  <w:style w:type="character" w:customStyle="1" w:styleId="author-sup-separator">
    <w:name w:val="author-sup-separator"/>
    <w:basedOn w:val="DefaultParagraphFont"/>
    <w:rsid w:val="003360EA"/>
  </w:style>
  <w:style w:type="character" w:customStyle="1" w:styleId="comma">
    <w:name w:val="comma"/>
    <w:basedOn w:val="DefaultParagraphFont"/>
    <w:rsid w:val="00336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8890">
      <w:bodyDiv w:val="1"/>
      <w:marLeft w:val="0"/>
      <w:marRight w:val="0"/>
      <w:marTop w:val="0"/>
      <w:marBottom w:val="0"/>
      <w:divBdr>
        <w:top w:val="none" w:sz="0" w:space="0" w:color="auto"/>
        <w:left w:val="none" w:sz="0" w:space="0" w:color="auto"/>
        <w:bottom w:val="none" w:sz="0" w:space="0" w:color="auto"/>
        <w:right w:val="none" w:sz="0" w:space="0" w:color="auto"/>
      </w:divBdr>
    </w:div>
    <w:div w:id="43260957">
      <w:bodyDiv w:val="1"/>
      <w:marLeft w:val="0"/>
      <w:marRight w:val="0"/>
      <w:marTop w:val="0"/>
      <w:marBottom w:val="0"/>
      <w:divBdr>
        <w:top w:val="none" w:sz="0" w:space="0" w:color="auto"/>
        <w:left w:val="none" w:sz="0" w:space="0" w:color="auto"/>
        <w:bottom w:val="none" w:sz="0" w:space="0" w:color="auto"/>
        <w:right w:val="none" w:sz="0" w:space="0" w:color="auto"/>
      </w:divBdr>
    </w:div>
    <w:div w:id="47805480">
      <w:bodyDiv w:val="1"/>
      <w:marLeft w:val="0"/>
      <w:marRight w:val="0"/>
      <w:marTop w:val="0"/>
      <w:marBottom w:val="0"/>
      <w:divBdr>
        <w:top w:val="none" w:sz="0" w:space="0" w:color="auto"/>
        <w:left w:val="none" w:sz="0" w:space="0" w:color="auto"/>
        <w:bottom w:val="none" w:sz="0" w:space="0" w:color="auto"/>
        <w:right w:val="none" w:sz="0" w:space="0" w:color="auto"/>
      </w:divBdr>
    </w:div>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59407373">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133259039">
      <w:bodyDiv w:val="1"/>
      <w:marLeft w:val="0"/>
      <w:marRight w:val="0"/>
      <w:marTop w:val="0"/>
      <w:marBottom w:val="0"/>
      <w:divBdr>
        <w:top w:val="none" w:sz="0" w:space="0" w:color="auto"/>
        <w:left w:val="none" w:sz="0" w:space="0" w:color="auto"/>
        <w:bottom w:val="none" w:sz="0" w:space="0" w:color="auto"/>
        <w:right w:val="none" w:sz="0" w:space="0" w:color="auto"/>
      </w:divBdr>
    </w:div>
    <w:div w:id="283388859">
      <w:bodyDiv w:val="1"/>
      <w:marLeft w:val="0"/>
      <w:marRight w:val="0"/>
      <w:marTop w:val="0"/>
      <w:marBottom w:val="0"/>
      <w:divBdr>
        <w:top w:val="none" w:sz="0" w:space="0" w:color="auto"/>
        <w:left w:val="none" w:sz="0" w:space="0" w:color="auto"/>
        <w:bottom w:val="none" w:sz="0" w:space="0" w:color="auto"/>
        <w:right w:val="none" w:sz="0" w:space="0" w:color="auto"/>
      </w:divBdr>
    </w:div>
    <w:div w:id="349263426">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382410765">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459350158">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09162395">
      <w:bodyDiv w:val="1"/>
      <w:marLeft w:val="0"/>
      <w:marRight w:val="0"/>
      <w:marTop w:val="0"/>
      <w:marBottom w:val="0"/>
      <w:divBdr>
        <w:top w:val="none" w:sz="0" w:space="0" w:color="auto"/>
        <w:left w:val="none" w:sz="0" w:space="0" w:color="auto"/>
        <w:bottom w:val="none" w:sz="0" w:space="0" w:color="auto"/>
        <w:right w:val="none" w:sz="0" w:space="0" w:color="auto"/>
      </w:divBdr>
    </w:div>
    <w:div w:id="657423129">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762145679">
      <w:bodyDiv w:val="1"/>
      <w:marLeft w:val="0"/>
      <w:marRight w:val="0"/>
      <w:marTop w:val="0"/>
      <w:marBottom w:val="0"/>
      <w:divBdr>
        <w:top w:val="none" w:sz="0" w:space="0" w:color="auto"/>
        <w:left w:val="none" w:sz="0" w:space="0" w:color="auto"/>
        <w:bottom w:val="none" w:sz="0" w:space="0" w:color="auto"/>
        <w:right w:val="none" w:sz="0" w:space="0" w:color="auto"/>
      </w:divBdr>
    </w:div>
    <w:div w:id="823161808">
      <w:bodyDiv w:val="1"/>
      <w:marLeft w:val="0"/>
      <w:marRight w:val="0"/>
      <w:marTop w:val="0"/>
      <w:marBottom w:val="0"/>
      <w:divBdr>
        <w:top w:val="none" w:sz="0" w:space="0" w:color="auto"/>
        <w:left w:val="none" w:sz="0" w:space="0" w:color="auto"/>
        <w:bottom w:val="none" w:sz="0" w:space="0" w:color="auto"/>
        <w:right w:val="none" w:sz="0" w:space="0" w:color="auto"/>
      </w:divBdr>
    </w:div>
    <w:div w:id="879971307">
      <w:bodyDiv w:val="1"/>
      <w:marLeft w:val="0"/>
      <w:marRight w:val="0"/>
      <w:marTop w:val="0"/>
      <w:marBottom w:val="0"/>
      <w:divBdr>
        <w:top w:val="none" w:sz="0" w:space="0" w:color="auto"/>
        <w:left w:val="none" w:sz="0" w:space="0" w:color="auto"/>
        <w:bottom w:val="none" w:sz="0" w:space="0" w:color="auto"/>
        <w:right w:val="none" w:sz="0" w:space="0" w:color="auto"/>
      </w:divBdr>
    </w:div>
    <w:div w:id="885794904">
      <w:bodyDiv w:val="1"/>
      <w:marLeft w:val="0"/>
      <w:marRight w:val="0"/>
      <w:marTop w:val="0"/>
      <w:marBottom w:val="0"/>
      <w:divBdr>
        <w:top w:val="none" w:sz="0" w:space="0" w:color="auto"/>
        <w:left w:val="none" w:sz="0" w:space="0" w:color="auto"/>
        <w:bottom w:val="none" w:sz="0" w:space="0" w:color="auto"/>
        <w:right w:val="none" w:sz="0" w:space="0" w:color="auto"/>
      </w:divBdr>
    </w:div>
    <w:div w:id="941257818">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117597778">
      <w:bodyDiv w:val="1"/>
      <w:marLeft w:val="0"/>
      <w:marRight w:val="0"/>
      <w:marTop w:val="0"/>
      <w:marBottom w:val="0"/>
      <w:divBdr>
        <w:top w:val="none" w:sz="0" w:space="0" w:color="auto"/>
        <w:left w:val="none" w:sz="0" w:space="0" w:color="auto"/>
        <w:bottom w:val="none" w:sz="0" w:space="0" w:color="auto"/>
        <w:right w:val="none" w:sz="0" w:space="0" w:color="auto"/>
      </w:divBdr>
    </w:div>
    <w:div w:id="1181162815">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268584914">
      <w:bodyDiv w:val="1"/>
      <w:marLeft w:val="0"/>
      <w:marRight w:val="0"/>
      <w:marTop w:val="0"/>
      <w:marBottom w:val="0"/>
      <w:divBdr>
        <w:top w:val="none" w:sz="0" w:space="0" w:color="auto"/>
        <w:left w:val="none" w:sz="0" w:space="0" w:color="auto"/>
        <w:bottom w:val="none" w:sz="0" w:space="0" w:color="auto"/>
        <w:right w:val="none" w:sz="0" w:space="0" w:color="auto"/>
      </w:divBdr>
    </w:div>
    <w:div w:id="1291204127">
      <w:bodyDiv w:val="1"/>
      <w:marLeft w:val="0"/>
      <w:marRight w:val="0"/>
      <w:marTop w:val="0"/>
      <w:marBottom w:val="0"/>
      <w:divBdr>
        <w:top w:val="none" w:sz="0" w:space="0" w:color="auto"/>
        <w:left w:val="none" w:sz="0" w:space="0" w:color="auto"/>
        <w:bottom w:val="none" w:sz="0" w:space="0" w:color="auto"/>
        <w:right w:val="none" w:sz="0" w:space="0" w:color="auto"/>
      </w:divBdr>
    </w:div>
    <w:div w:id="1370374410">
      <w:bodyDiv w:val="1"/>
      <w:marLeft w:val="0"/>
      <w:marRight w:val="0"/>
      <w:marTop w:val="0"/>
      <w:marBottom w:val="0"/>
      <w:divBdr>
        <w:top w:val="none" w:sz="0" w:space="0" w:color="auto"/>
        <w:left w:val="none" w:sz="0" w:space="0" w:color="auto"/>
        <w:bottom w:val="none" w:sz="0" w:space="0" w:color="auto"/>
        <w:right w:val="none" w:sz="0" w:space="0" w:color="auto"/>
      </w:divBdr>
    </w:div>
    <w:div w:id="1371998738">
      <w:bodyDiv w:val="1"/>
      <w:marLeft w:val="0"/>
      <w:marRight w:val="0"/>
      <w:marTop w:val="0"/>
      <w:marBottom w:val="0"/>
      <w:divBdr>
        <w:top w:val="none" w:sz="0" w:space="0" w:color="auto"/>
        <w:left w:val="none" w:sz="0" w:space="0" w:color="auto"/>
        <w:bottom w:val="none" w:sz="0" w:space="0" w:color="auto"/>
        <w:right w:val="none" w:sz="0" w:space="0" w:color="auto"/>
      </w:divBdr>
    </w:div>
    <w:div w:id="1435131559">
      <w:bodyDiv w:val="1"/>
      <w:marLeft w:val="0"/>
      <w:marRight w:val="0"/>
      <w:marTop w:val="0"/>
      <w:marBottom w:val="0"/>
      <w:divBdr>
        <w:top w:val="none" w:sz="0" w:space="0" w:color="auto"/>
        <w:left w:val="none" w:sz="0" w:space="0" w:color="auto"/>
        <w:bottom w:val="none" w:sz="0" w:space="0" w:color="auto"/>
        <w:right w:val="none" w:sz="0" w:space="0" w:color="auto"/>
      </w:divBdr>
    </w:div>
    <w:div w:id="1482186403">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17422437">
      <w:bodyDiv w:val="1"/>
      <w:marLeft w:val="0"/>
      <w:marRight w:val="0"/>
      <w:marTop w:val="0"/>
      <w:marBottom w:val="0"/>
      <w:divBdr>
        <w:top w:val="none" w:sz="0" w:space="0" w:color="auto"/>
        <w:left w:val="none" w:sz="0" w:space="0" w:color="auto"/>
        <w:bottom w:val="none" w:sz="0" w:space="0" w:color="auto"/>
        <w:right w:val="none" w:sz="0" w:space="0" w:color="auto"/>
      </w:divBdr>
    </w:div>
    <w:div w:id="1548107381">
      <w:bodyDiv w:val="1"/>
      <w:marLeft w:val="0"/>
      <w:marRight w:val="0"/>
      <w:marTop w:val="0"/>
      <w:marBottom w:val="0"/>
      <w:divBdr>
        <w:top w:val="none" w:sz="0" w:space="0" w:color="auto"/>
        <w:left w:val="none" w:sz="0" w:space="0" w:color="auto"/>
        <w:bottom w:val="none" w:sz="0" w:space="0" w:color="auto"/>
        <w:right w:val="none" w:sz="0" w:space="0" w:color="auto"/>
      </w:divBdr>
    </w:div>
    <w:div w:id="1556576658">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35006763">
      <w:bodyDiv w:val="1"/>
      <w:marLeft w:val="0"/>
      <w:marRight w:val="0"/>
      <w:marTop w:val="0"/>
      <w:marBottom w:val="0"/>
      <w:divBdr>
        <w:top w:val="none" w:sz="0" w:space="0" w:color="auto"/>
        <w:left w:val="none" w:sz="0" w:space="0" w:color="auto"/>
        <w:bottom w:val="none" w:sz="0" w:space="0" w:color="auto"/>
        <w:right w:val="none" w:sz="0" w:space="0" w:color="auto"/>
      </w:divBdr>
    </w:div>
    <w:div w:id="1736465799">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829050377">
      <w:bodyDiv w:val="1"/>
      <w:marLeft w:val="0"/>
      <w:marRight w:val="0"/>
      <w:marTop w:val="0"/>
      <w:marBottom w:val="0"/>
      <w:divBdr>
        <w:top w:val="none" w:sz="0" w:space="0" w:color="auto"/>
        <w:left w:val="none" w:sz="0" w:space="0" w:color="auto"/>
        <w:bottom w:val="none" w:sz="0" w:space="0" w:color="auto"/>
        <w:right w:val="none" w:sz="0" w:space="0" w:color="auto"/>
      </w:divBdr>
    </w:div>
    <w:div w:id="1930774503">
      <w:bodyDiv w:val="1"/>
      <w:marLeft w:val="0"/>
      <w:marRight w:val="0"/>
      <w:marTop w:val="0"/>
      <w:marBottom w:val="0"/>
      <w:divBdr>
        <w:top w:val="none" w:sz="0" w:space="0" w:color="auto"/>
        <w:left w:val="none" w:sz="0" w:space="0" w:color="auto"/>
        <w:bottom w:val="none" w:sz="0" w:space="0" w:color="auto"/>
        <w:right w:val="none" w:sz="0" w:space="0" w:color="auto"/>
      </w:divBdr>
    </w:div>
    <w:div w:id="2027048939">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ience.osti.gov/-/media/np/nsac/pdf/docs/2015/2015_NSACI_Report_to_NSAC_Final.pdf"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hyperlink" Target="https://science.osti.gov/-/media/np/nsac/pdf/docs/2015/2015_NSACI_Report_to_NSAC_Final.pdf" TargetMode="Externa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ga.gov.au/resources/auspar/auspar-lutetium-177lu-chloride"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resources/resource/guidance/gmp-information-manufacturers-compounded-medicines-and-da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C0ADB-7CCF-4BC9-8F3A-D8E39C8F0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28635</Words>
  <Characters>163222</Characters>
  <Application>Microsoft Office Word</Application>
  <DocSecurity>4</DocSecurity>
  <Lines>1360</Lines>
  <Paragraphs>382</Paragraphs>
  <ScaleCrop>false</ScaleCrop>
  <HeadingPairs>
    <vt:vector size="2" baseType="variant">
      <vt:variant>
        <vt:lpstr>Title</vt:lpstr>
      </vt:variant>
      <vt:variant>
        <vt:i4>1</vt:i4>
      </vt:variant>
    </vt:vector>
  </HeadingPairs>
  <TitlesOfParts>
    <vt:vector size="1" baseType="lpstr">
      <vt:lpstr>1744 Ratified PICO</vt:lpstr>
    </vt:vector>
  </TitlesOfParts>
  <Company/>
  <LinksUpToDate>false</LinksUpToDate>
  <CharactersWithSpaces>191475</CharactersWithSpaces>
  <SharedDoc>false</SharedDoc>
  <HLinks>
    <vt:vector size="24" baseType="variant">
      <vt:variant>
        <vt:i4>3342447</vt:i4>
      </vt:variant>
      <vt:variant>
        <vt:i4>114</vt:i4>
      </vt:variant>
      <vt:variant>
        <vt:i4>0</vt:i4>
      </vt:variant>
      <vt:variant>
        <vt:i4>5</vt:i4>
      </vt:variant>
      <vt:variant>
        <vt:lpwstr>https://www.tga.gov.au/resources/auspar/auspar-lutetium-177lu-chloride</vt:lpwstr>
      </vt:variant>
      <vt:variant>
        <vt:lpwstr/>
      </vt:variant>
      <vt:variant>
        <vt:i4>5898290</vt:i4>
      </vt:variant>
      <vt:variant>
        <vt:i4>82</vt:i4>
      </vt:variant>
      <vt:variant>
        <vt:i4>0</vt:i4>
      </vt:variant>
      <vt:variant>
        <vt:i4>5</vt:i4>
      </vt:variant>
      <vt:variant>
        <vt:lpwstr>https://science.osti.gov/-/media/np/nsac/pdf/docs/2015/2015_NSACI_Report_to_NSAC_Final.pdf</vt:lpwstr>
      </vt:variant>
      <vt:variant>
        <vt:lpwstr/>
      </vt:variant>
      <vt:variant>
        <vt:i4>5898290</vt:i4>
      </vt:variant>
      <vt:variant>
        <vt:i4>69</vt:i4>
      </vt:variant>
      <vt:variant>
        <vt:i4>0</vt:i4>
      </vt:variant>
      <vt:variant>
        <vt:i4>5</vt:i4>
      </vt:variant>
      <vt:variant>
        <vt:lpwstr>https://science.osti.gov/-/media/np/nsac/pdf/docs/2015/2015_NSACI_Report_to_NSAC_Final.pdf</vt:lpwstr>
      </vt:variant>
      <vt:variant>
        <vt:lpwstr/>
      </vt:variant>
      <vt:variant>
        <vt:i4>2162733</vt:i4>
      </vt:variant>
      <vt:variant>
        <vt:i4>0</vt:i4>
      </vt:variant>
      <vt:variant>
        <vt:i4>0</vt:i4>
      </vt:variant>
      <vt:variant>
        <vt:i4>5</vt:i4>
      </vt:variant>
      <vt:variant>
        <vt:lpwstr>https://www.tga.gov.au/resources/resource/guidance/gmp-information-manufacturers-compounded-medicines-and-daas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1744 Ratified PICO</dc:title>
  <dc:subject/>
  <dc:creator/>
  <cp:keywords/>
  <dc:description/>
  <cp:lastModifiedBy/>
  <cp:revision>1</cp:revision>
  <dcterms:created xsi:type="dcterms:W3CDTF">2023-10-25T05:31:00Z</dcterms:created>
  <dcterms:modified xsi:type="dcterms:W3CDTF">2023-10-25T05:31:00Z</dcterms:modified>
</cp:coreProperties>
</file>