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01" w:rsidRDefault="00402D39" w:rsidP="00156ACE">
      <w:pPr>
        <w:widowControl w:val="0"/>
        <w:autoSpaceDE w:val="0"/>
        <w:autoSpaceDN w:val="0"/>
        <w:adjustRightInd w:val="0"/>
        <w:jc w:val="center"/>
        <w:rPr>
          <w:rFonts w:ascii="Calibri" w:hAnsi="Calibri"/>
          <w:sz w:val="24"/>
          <w:szCs w:val="24"/>
        </w:rPr>
      </w:pPr>
      <w:r>
        <w:rPr>
          <w:rFonts w:ascii="Calibri" w:hAnsi="Calibri"/>
          <w:noProof/>
          <w:sz w:val="24"/>
          <w:szCs w:val="24"/>
          <w:lang w:val="en-AU" w:eastAsia="en-AU"/>
        </w:rPr>
        <w:drawing>
          <wp:inline distT="0" distB="0" distL="0" distR="0" wp14:anchorId="16A54F48" wp14:editId="5EDF2B16">
            <wp:extent cx="1892300" cy="1223010"/>
            <wp:effectExtent l="0" t="0" r="0" b="0"/>
            <wp:docPr id="1" name="Picture 1" title="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92300" cy="1223010"/>
                    </a:xfrm>
                    <a:prstGeom prst="rect">
                      <a:avLst/>
                    </a:prstGeom>
                    <a:noFill/>
                    <a:ln w="9525">
                      <a:noFill/>
                      <a:miter lim="800000"/>
                      <a:headEnd/>
                      <a:tailEnd/>
                    </a:ln>
                  </pic:spPr>
                </pic:pic>
              </a:graphicData>
            </a:graphic>
          </wp:inline>
        </w:drawing>
      </w:r>
    </w:p>
    <w:p w:rsidR="00887301" w:rsidRDefault="00887301">
      <w:pPr>
        <w:widowControl w:val="0"/>
        <w:autoSpaceDE w:val="0"/>
        <w:autoSpaceDN w:val="0"/>
        <w:adjustRightInd w:val="0"/>
        <w:spacing w:after="300"/>
        <w:rPr>
          <w:rFonts w:ascii="Calibri" w:hAnsi="Calibri"/>
          <w:sz w:val="24"/>
          <w:szCs w:val="24"/>
        </w:rPr>
      </w:pPr>
    </w:p>
    <w:p w:rsidR="00887301" w:rsidRPr="006618C1" w:rsidRDefault="008A4416">
      <w:pPr>
        <w:widowControl w:val="0"/>
        <w:autoSpaceDE w:val="0"/>
        <w:autoSpaceDN w:val="0"/>
        <w:adjustRightInd w:val="0"/>
        <w:spacing w:after="240"/>
        <w:jc w:val="center"/>
        <w:rPr>
          <w:rFonts w:cstheme="minorHAnsi"/>
          <w:b/>
          <w:bCs/>
          <w:sz w:val="48"/>
          <w:szCs w:val="48"/>
          <w:u w:val="single"/>
        </w:rPr>
      </w:pPr>
      <w:r>
        <w:rPr>
          <w:rFonts w:cstheme="minorHAnsi"/>
          <w:b/>
          <w:bCs/>
          <w:sz w:val="48"/>
          <w:szCs w:val="48"/>
          <w:u w:val="single"/>
        </w:rPr>
        <w:t>Application 1566</w:t>
      </w:r>
    </w:p>
    <w:p w:rsidR="00887301" w:rsidRPr="006618C1" w:rsidRDefault="003E5FE5">
      <w:pPr>
        <w:widowControl w:val="0"/>
        <w:autoSpaceDE w:val="0"/>
        <w:autoSpaceDN w:val="0"/>
        <w:adjustRightInd w:val="0"/>
        <w:spacing w:after="240"/>
        <w:jc w:val="center"/>
        <w:rPr>
          <w:rFonts w:cstheme="minorHAnsi"/>
          <w:b/>
          <w:bCs/>
          <w:color w:val="548DD4"/>
          <w:sz w:val="48"/>
          <w:szCs w:val="48"/>
          <w:u w:val="single"/>
        </w:rPr>
      </w:pPr>
      <w:r w:rsidRPr="006618C1">
        <w:rPr>
          <w:rFonts w:cstheme="minorHAnsi"/>
          <w:b/>
          <w:bCs/>
          <w:color w:val="548DD4"/>
          <w:sz w:val="48"/>
          <w:szCs w:val="48"/>
          <w:u w:val="single"/>
        </w:rPr>
        <w:t>Immunoglobulin for Myasthenia Gravis</w:t>
      </w:r>
      <w:r w:rsidR="00BE444A">
        <w:rPr>
          <w:rFonts w:cstheme="minorHAnsi"/>
          <w:b/>
          <w:bCs/>
          <w:color w:val="548DD4"/>
          <w:sz w:val="48"/>
          <w:szCs w:val="48"/>
          <w:u w:val="single"/>
        </w:rPr>
        <w:t xml:space="preserve"> (MG)</w:t>
      </w:r>
    </w:p>
    <w:p w:rsidR="00887301" w:rsidRPr="006618C1" w:rsidRDefault="00887301">
      <w:pPr>
        <w:widowControl w:val="0"/>
        <w:autoSpaceDE w:val="0"/>
        <w:autoSpaceDN w:val="0"/>
        <w:adjustRightInd w:val="0"/>
        <w:spacing w:after="240"/>
        <w:rPr>
          <w:rFonts w:cstheme="minorHAnsi"/>
          <w:b/>
          <w:bCs/>
          <w:color w:val="000000"/>
          <w:sz w:val="36"/>
          <w:szCs w:val="36"/>
          <w:u w:val="single"/>
        </w:rPr>
      </w:pPr>
    </w:p>
    <w:p w:rsidR="00887301" w:rsidRPr="006618C1" w:rsidRDefault="003E5FE5">
      <w:pPr>
        <w:widowControl w:val="0"/>
        <w:autoSpaceDE w:val="0"/>
        <w:autoSpaceDN w:val="0"/>
        <w:adjustRightInd w:val="0"/>
        <w:spacing w:after="240"/>
        <w:jc w:val="center"/>
        <w:rPr>
          <w:rFonts w:cstheme="minorHAnsi"/>
          <w:b/>
          <w:bCs/>
          <w:sz w:val="72"/>
          <w:szCs w:val="72"/>
          <w:u w:val="single"/>
        </w:rPr>
      </w:pPr>
      <w:r w:rsidRPr="006618C1">
        <w:rPr>
          <w:rFonts w:cstheme="minorHAnsi"/>
          <w:b/>
          <w:bCs/>
          <w:sz w:val="72"/>
          <w:szCs w:val="72"/>
          <w:u w:val="single"/>
        </w:rPr>
        <w:t>PICO Confirmation</w:t>
      </w:r>
    </w:p>
    <w:p w:rsidR="00887301" w:rsidRPr="006618C1" w:rsidRDefault="003E5FE5">
      <w:pPr>
        <w:widowControl w:val="0"/>
        <w:autoSpaceDE w:val="0"/>
        <w:autoSpaceDN w:val="0"/>
        <w:adjustRightInd w:val="0"/>
        <w:spacing w:after="240"/>
        <w:jc w:val="center"/>
        <w:rPr>
          <w:rFonts w:cstheme="minorHAnsi"/>
          <w:b/>
          <w:bCs/>
          <w:sz w:val="32"/>
          <w:szCs w:val="32"/>
        </w:rPr>
      </w:pPr>
      <w:r w:rsidRPr="006618C1">
        <w:rPr>
          <w:rFonts w:cstheme="minorHAnsi"/>
          <w:b/>
          <w:bCs/>
          <w:sz w:val="32"/>
          <w:szCs w:val="32"/>
        </w:rPr>
        <w:t>(</w:t>
      </w:r>
      <w:proofErr w:type="gramStart"/>
      <w:r w:rsidRPr="006618C1">
        <w:rPr>
          <w:rFonts w:cstheme="minorHAnsi"/>
          <w:b/>
          <w:bCs/>
          <w:sz w:val="32"/>
          <w:szCs w:val="32"/>
        </w:rPr>
        <w:t>to</w:t>
      </w:r>
      <w:proofErr w:type="gramEnd"/>
      <w:r w:rsidRPr="006618C1">
        <w:rPr>
          <w:rFonts w:cstheme="minorHAnsi"/>
          <w:b/>
          <w:bCs/>
          <w:sz w:val="32"/>
          <w:szCs w:val="32"/>
        </w:rPr>
        <w:t xml:space="preserve"> guide a new </w:t>
      </w:r>
      <w:r w:rsidR="003B38AE">
        <w:rPr>
          <w:rFonts w:cstheme="minorHAnsi"/>
          <w:b/>
          <w:bCs/>
          <w:sz w:val="32"/>
          <w:szCs w:val="32"/>
        </w:rPr>
        <w:t>referral</w:t>
      </w:r>
      <w:r w:rsidRPr="006618C1">
        <w:rPr>
          <w:rFonts w:cstheme="minorHAnsi"/>
          <w:b/>
          <w:bCs/>
          <w:sz w:val="32"/>
          <w:szCs w:val="32"/>
        </w:rPr>
        <w:t xml:space="preserve"> to MSAC)</w:t>
      </w:r>
    </w:p>
    <w:p w:rsidR="00887301" w:rsidRPr="006618C1" w:rsidRDefault="00887301">
      <w:pPr>
        <w:widowControl w:val="0"/>
        <w:autoSpaceDE w:val="0"/>
        <w:autoSpaceDN w:val="0"/>
        <w:adjustRightInd w:val="0"/>
        <w:rPr>
          <w:rFonts w:cstheme="minorHAnsi"/>
          <w:sz w:val="24"/>
          <w:szCs w:val="24"/>
        </w:rPr>
      </w:pPr>
    </w:p>
    <w:p w:rsidR="00887301" w:rsidRPr="006618C1" w:rsidRDefault="003E5FE5">
      <w:pPr>
        <w:widowControl w:val="0"/>
        <w:autoSpaceDE w:val="0"/>
        <w:autoSpaceDN w:val="0"/>
        <w:adjustRightInd w:val="0"/>
        <w:jc w:val="both"/>
        <w:rPr>
          <w:rFonts w:cstheme="minorHAnsi"/>
          <w:sz w:val="20"/>
          <w:szCs w:val="20"/>
        </w:rPr>
      </w:pPr>
      <w:r w:rsidRPr="006618C1">
        <w:rPr>
          <w:rFonts w:cstheme="minorHAnsi"/>
          <w:sz w:val="20"/>
          <w:szCs w:val="20"/>
        </w:rPr>
        <w:t>Phone:  +61 2 6289 7550</w:t>
      </w:r>
    </w:p>
    <w:p w:rsidR="00887301" w:rsidRPr="006618C1" w:rsidRDefault="003E5FE5">
      <w:pPr>
        <w:widowControl w:val="0"/>
        <w:autoSpaceDE w:val="0"/>
        <w:autoSpaceDN w:val="0"/>
        <w:adjustRightInd w:val="0"/>
        <w:jc w:val="both"/>
        <w:rPr>
          <w:rFonts w:cstheme="minorHAnsi"/>
          <w:color w:val="0000FF"/>
          <w:sz w:val="20"/>
          <w:szCs w:val="20"/>
          <w:u w:val="single"/>
        </w:rPr>
      </w:pPr>
      <w:r w:rsidRPr="006618C1">
        <w:rPr>
          <w:rFonts w:cstheme="minorHAnsi"/>
          <w:sz w:val="20"/>
          <w:szCs w:val="20"/>
        </w:rPr>
        <w:t xml:space="preserve">Email:  </w:t>
      </w:r>
      <w:hyperlink r:id="rId9" w:history="1">
        <w:r w:rsidRPr="006618C1">
          <w:rPr>
            <w:rFonts w:cstheme="minorHAnsi"/>
            <w:color w:val="0000FF"/>
            <w:sz w:val="20"/>
            <w:szCs w:val="20"/>
            <w:u w:val="single"/>
          </w:rPr>
          <w:t>hta@health.gov.au</w:t>
        </w:r>
      </w:hyperlink>
      <w:r w:rsidR="00356909">
        <w:rPr>
          <w:rFonts w:cstheme="minorHAnsi"/>
          <w:color w:val="0000FF"/>
          <w:sz w:val="20"/>
          <w:szCs w:val="20"/>
          <w:u w:val="single"/>
        </w:rPr>
        <w:t xml:space="preserve">, </w:t>
      </w:r>
      <w:r w:rsidRPr="006618C1">
        <w:rPr>
          <w:rFonts w:cstheme="minorHAnsi"/>
          <w:sz w:val="20"/>
          <w:szCs w:val="20"/>
        </w:rPr>
        <w:t xml:space="preserve">Website:  </w:t>
      </w:r>
      <w:hyperlink r:id="rId10" w:history="1">
        <w:r w:rsidRPr="006618C1">
          <w:rPr>
            <w:rFonts w:cstheme="minorHAnsi"/>
            <w:color w:val="0000FF"/>
            <w:sz w:val="20"/>
            <w:szCs w:val="20"/>
            <w:u w:val="single"/>
          </w:rPr>
          <w:t>http://www.msac.gov.au</w:t>
        </w:r>
      </w:hyperlink>
    </w:p>
    <w:p w:rsidR="005A2C3F" w:rsidRDefault="005A2C3F">
      <w:pPr>
        <w:rPr>
          <w:rFonts w:cstheme="minorHAnsi"/>
          <w:sz w:val="24"/>
          <w:szCs w:val="24"/>
        </w:rPr>
      </w:pPr>
      <w:r>
        <w:rPr>
          <w:rFonts w:cstheme="minorHAnsi"/>
          <w:sz w:val="24"/>
          <w:szCs w:val="24"/>
        </w:rPr>
        <w:br w:type="page"/>
      </w:r>
    </w:p>
    <w:p w:rsidR="00887301" w:rsidRPr="005A2C3F" w:rsidRDefault="003E5FE5" w:rsidP="005A2C3F">
      <w:pPr>
        <w:widowControl w:val="0"/>
        <w:autoSpaceDE w:val="0"/>
        <w:autoSpaceDN w:val="0"/>
        <w:adjustRightInd w:val="0"/>
        <w:spacing w:after="240" w:afterAutospacing="1"/>
        <w:rPr>
          <w:rFonts w:cstheme="minorHAnsi"/>
          <w:sz w:val="24"/>
          <w:szCs w:val="24"/>
        </w:rPr>
      </w:pPr>
      <w:r w:rsidRPr="006618C1">
        <w:rPr>
          <w:rFonts w:cstheme="minorHAnsi"/>
          <w:b/>
          <w:bCs/>
          <w:i/>
          <w:iCs/>
          <w:color w:val="548DD4"/>
          <w:sz w:val="24"/>
          <w:szCs w:val="24"/>
        </w:rPr>
        <w:lastRenderedPageBreak/>
        <w:t>Summary of PICO criteria to define the question(s) to be addressed in an Assessment Report to the Medical Services Advisory Committee (MSAC)</w:t>
      </w:r>
    </w:p>
    <w:p w:rsidR="00887301" w:rsidRPr="006618C1" w:rsidRDefault="003E5FE5" w:rsidP="00D73510">
      <w:pPr>
        <w:pStyle w:val="Caption1"/>
        <w:spacing w:after="0"/>
        <w:rPr>
          <w:rFonts w:asciiTheme="minorHAnsi" w:hAnsiTheme="minorHAnsi" w:cstheme="minorHAnsi"/>
          <w:szCs w:val="24"/>
        </w:rPr>
      </w:pPr>
      <w:r w:rsidRPr="006618C1">
        <w:rPr>
          <w:rFonts w:asciiTheme="minorHAnsi" w:hAnsiTheme="minorHAnsi" w:cstheme="minorHAnsi"/>
          <w:szCs w:val="20"/>
        </w:rPr>
        <w:t xml:space="preserve">Table </w:t>
      </w:r>
      <w:r w:rsidRPr="006618C1">
        <w:rPr>
          <w:rFonts w:asciiTheme="minorHAnsi" w:hAnsiTheme="minorHAnsi" w:cstheme="minorHAnsi"/>
          <w:szCs w:val="24"/>
        </w:rPr>
        <w:t xml:space="preserve">1: PICO criteria for indication 1: </w:t>
      </w:r>
      <w:r w:rsidR="00BE444A">
        <w:rPr>
          <w:rFonts w:asciiTheme="minorHAnsi" w:hAnsiTheme="minorHAnsi" w:cstheme="minorHAnsi"/>
          <w:szCs w:val="24"/>
        </w:rPr>
        <w:t>M</w:t>
      </w:r>
      <w:r w:rsidRPr="006618C1">
        <w:rPr>
          <w:rFonts w:asciiTheme="minorHAnsi" w:hAnsiTheme="minorHAnsi" w:cstheme="minorHAnsi"/>
          <w:szCs w:val="24"/>
        </w:rPr>
        <w:t xml:space="preserve">yasthenic </w:t>
      </w:r>
      <w:r w:rsidR="00BE444A">
        <w:rPr>
          <w:rFonts w:asciiTheme="minorHAnsi" w:hAnsiTheme="minorHAnsi" w:cstheme="minorHAnsi"/>
          <w:szCs w:val="24"/>
        </w:rPr>
        <w:t>C</w:t>
      </w:r>
      <w:r w:rsidRPr="006618C1">
        <w:rPr>
          <w:rFonts w:asciiTheme="minorHAnsi" w:hAnsiTheme="minorHAnsi" w:cstheme="minorHAnsi"/>
          <w:szCs w:val="24"/>
        </w:rPr>
        <w:t>risis</w:t>
      </w:r>
    </w:p>
    <w:tbl>
      <w:tblPr>
        <w:tblW w:w="10080" w:type="dxa"/>
        <w:tblInd w:w="8" w:type="dxa"/>
        <w:tblLayout w:type="fixed"/>
        <w:tblCellMar>
          <w:left w:w="0" w:type="dxa"/>
          <w:right w:w="0" w:type="dxa"/>
        </w:tblCellMar>
        <w:tblLook w:val="0000" w:firstRow="0" w:lastRow="0" w:firstColumn="0" w:lastColumn="0" w:noHBand="0" w:noVBand="0"/>
        <w:tblCaption w:val="Table 1 PICO criteria for indication 1 - Myasthenic crisis"/>
      </w:tblPr>
      <w:tblGrid>
        <w:gridCol w:w="1890"/>
        <w:gridCol w:w="8190"/>
      </w:tblGrid>
      <w:tr w:rsidR="00887301" w:rsidRPr="00356909" w:rsidTr="00895022">
        <w:tc>
          <w:tcPr>
            <w:tcW w:w="189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87301" w:rsidRPr="00356909" w:rsidRDefault="003E5FE5" w:rsidP="00895022">
            <w:pPr>
              <w:widowControl w:val="0"/>
              <w:autoSpaceDE w:val="0"/>
              <w:autoSpaceDN w:val="0"/>
              <w:adjustRightInd w:val="0"/>
              <w:spacing w:before="120" w:after="120"/>
              <w:rPr>
                <w:rFonts w:cstheme="minorHAnsi"/>
                <w:sz w:val="20"/>
                <w:szCs w:val="20"/>
              </w:rPr>
            </w:pPr>
            <w:r w:rsidRPr="00356909">
              <w:rPr>
                <w:rFonts w:cstheme="minorHAnsi"/>
                <w:b/>
                <w:bCs/>
                <w:sz w:val="20"/>
                <w:szCs w:val="20"/>
              </w:rPr>
              <w:t>Component</w:t>
            </w:r>
            <w:r w:rsidRPr="00356909">
              <w:rPr>
                <w:rFonts w:cstheme="minorHAnsi"/>
                <w:sz w:val="20"/>
                <w:szCs w:val="20"/>
              </w:rPr>
              <w:t xml:space="preserve"> </w:t>
            </w:r>
          </w:p>
        </w:tc>
        <w:tc>
          <w:tcPr>
            <w:tcW w:w="8190" w:type="dxa"/>
            <w:tcBorders>
              <w:top w:val="single" w:sz="6" w:space="0" w:color="auto"/>
              <w:left w:val="single" w:sz="6" w:space="0" w:color="auto"/>
              <w:bottom w:val="single" w:sz="4" w:space="0" w:color="auto"/>
              <w:right w:val="single" w:sz="6" w:space="0" w:color="auto"/>
            </w:tcBorders>
            <w:shd w:val="clear" w:color="auto" w:fill="B8CCE4" w:themeFill="accent1" w:themeFillTint="66"/>
            <w:vAlign w:val="center"/>
          </w:tcPr>
          <w:p w:rsidR="00887301" w:rsidRPr="00356909" w:rsidRDefault="003E5FE5" w:rsidP="00207531">
            <w:pPr>
              <w:spacing w:before="120" w:after="120"/>
              <w:ind w:left="237"/>
              <w:rPr>
                <w:rFonts w:cstheme="minorHAnsi"/>
                <w:b/>
                <w:sz w:val="20"/>
                <w:szCs w:val="20"/>
              </w:rPr>
            </w:pPr>
            <w:r w:rsidRPr="00356909">
              <w:rPr>
                <w:rFonts w:cstheme="minorHAnsi"/>
                <w:b/>
                <w:sz w:val="20"/>
                <w:szCs w:val="20"/>
              </w:rPr>
              <w:t xml:space="preserve">Description </w:t>
            </w:r>
          </w:p>
        </w:tc>
      </w:tr>
      <w:tr w:rsidR="00887301" w:rsidRPr="00356909" w:rsidTr="00EC63C6">
        <w:tc>
          <w:tcPr>
            <w:tcW w:w="1890" w:type="dxa"/>
            <w:tcBorders>
              <w:top w:val="single" w:sz="6" w:space="0" w:color="auto"/>
              <w:left w:val="single" w:sz="6" w:space="0" w:color="auto"/>
              <w:bottom w:val="single" w:sz="6" w:space="0" w:color="auto"/>
              <w:right w:val="single" w:sz="6" w:space="0" w:color="auto"/>
            </w:tcBorders>
          </w:tcPr>
          <w:p w:rsidR="00887301" w:rsidRPr="00356909" w:rsidRDefault="003E5FE5" w:rsidP="00356909">
            <w:pPr>
              <w:widowControl w:val="0"/>
              <w:shd w:val="clear" w:color="auto" w:fill="FFFFFF"/>
              <w:autoSpaceDE w:val="0"/>
              <w:autoSpaceDN w:val="0"/>
              <w:adjustRightInd w:val="0"/>
              <w:rPr>
                <w:rFonts w:cstheme="minorHAnsi"/>
                <w:sz w:val="20"/>
                <w:szCs w:val="20"/>
              </w:rPr>
            </w:pPr>
            <w:r w:rsidRPr="00356909">
              <w:rPr>
                <w:rFonts w:cstheme="minorHAnsi"/>
                <w:sz w:val="20"/>
                <w:szCs w:val="20"/>
              </w:rPr>
              <w:t xml:space="preserve">Patients </w:t>
            </w:r>
          </w:p>
        </w:tc>
        <w:tc>
          <w:tcPr>
            <w:tcW w:w="8190" w:type="dxa"/>
            <w:tcBorders>
              <w:top w:val="single" w:sz="4" w:space="0" w:color="auto"/>
              <w:left w:val="single" w:sz="6" w:space="0" w:color="auto"/>
              <w:bottom w:val="single" w:sz="6" w:space="0" w:color="auto"/>
              <w:right w:val="single" w:sz="6" w:space="0" w:color="auto"/>
            </w:tcBorders>
          </w:tcPr>
          <w:p w:rsidR="00156ACE" w:rsidRPr="00356909" w:rsidRDefault="003E5FE5" w:rsidP="00E7225A">
            <w:pPr>
              <w:widowControl w:val="0"/>
              <w:shd w:val="clear" w:color="auto" w:fill="FFFFFF"/>
              <w:autoSpaceDE w:val="0"/>
              <w:autoSpaceDN w:val="0"/>
              <w:adjustRightInd w:val="0"/>
              <w:spacing w:before="120"/>
              <w:ind w:left="238" w:right="85" w:hanging="238"/>
              <w:rPr>
                <w:rFonts w:cstheme="minorHAnsi"/>
                <w:sz w:val="20"/>
                <w:szCs w:val="20"/>
              </w:rPr>
            </w:pPr>
            <w:r w:rsidRPr="00356909">
              <w:rPr>
                <w:rFonts w:cstheme="minorHAnsi"/>
                <w:sz w:val="20"/>
                <w:szCs w:val="20"/>
              </w:rPr>
              <w:t xml:space="preserve">Patients with MG with: </w:t>
            </w:r>
          </w:p>
          <w:p w:rsidR="00156ACE" w:rsidRPr="00356909" w:rsidRDefault="003E5FE5" w:rsidP="00EE2A0C">
            <w:pPr>
              <w:pStyle w:val="ListParagraph"/>
              <w:widowControl w:val="0"/>
              <w:numPr>
                <w:ilvl w:val="0"/>
                <w:numId w:val="50"/>
              </w:numPr>
              <w:shd w:val="clear" w:color="auto" w:fill="FFFFFF"/>
              <w:autoSpaceDE w:val="0"/>
              <w:autoSpaceDN w:val="0"/>
              <w:adjustRightInd w:val="0"/>
              <w:ind w:left="1075" w:hanging="425"/>
              <w:rPr>
                <w:rFonts w:cstheme="minorHAnsi"/>
                <w:sz w:val="20"/>
                <w:szCs w:val="20"/>
              </w:rPr>
            </w:pPr>
            <w:r w:rsidRPr="00356909">
              <w:rPr>
                <w:rFonts w:cstheme="minorHAnsi"/>
                <w:sz w:val="20"/>
                <w:szCs w:val="20"/>
              </w:rPr>
              <w:t xml:space="preserve">myasthenic crisis with respiratory insufficiency requiring intubation and assisted ventilation </w:t>
            </w:r>
          </w:p>
          <w:p w:rsidR="00156ACE" w:rsidRPr="00356909" w:rsidRDefault="003E5FE5" w:rsidP="00E7225A">
            <w:pPr>
              <w:widowControl w:val="0"/>
              <w:shd w:val="clear" w:color="auto" w:fill="FFFFFF"/>
              <w:autoSpaceDE w:val="0"/>
              <w:autoSpaceDN w:val="0"/>
              <w:adjustRightInd w:val="0"/>
              <w:spacing w:before="120"/>
              <w:ind w:left="237" w:hanging="237"/>
              <w:rPr>
                <w:rFonts w:cstheme="minorHAnsi"/>
                <w:sz w:val="20"/>
                <w:szCs w:val="20"/>
              </w:rPr>
            </w:pPr>
            <w:r w:rsidRPr="00356909">
              <w:rPr>
                <w:rFonts w:cstheme="minorHAnsi"/>
                <w:b/>
                <w:bCs/>
                <w:sz w:val="20"/>
                <w:szCs w:val="20"/>
              </w:rPr>
              <w:t>OR</w:t>
            </w:r>
            <w:r w:rsidRPr="00356909">
              <w:rPr>
                <w:rFonts w:cstheme="minorHAnsi"/>
                <w:sz w:val="20"/>
                <w:szCs w:val="20"/>
              </w:rPr>
              <w:t xml:space="preserve"> </w:t>
            </w:r>
          </w:p>
          <w:p w:rsidR="00156ACE" w:rsidRPr="00356909" w:rsidRDefault="003E5FE5" w:rsidP="00EE2A0C">
            <w:pPr>
              <w:pStyle w:val="ListParagraph"/>
              <w:widowControl w:val="0"/>
              <w:numPr>
                <w:ilvl w:val="0"/>
                <w:numId w:val="50"/>
              </w:numPr>
              <w:shd w:val="clear" w:color="auto" w:fill="FFFFFF"/>
              <w:autoSpaceDE w:val="0"/>
              <w:autoSpaceDN w:val="0"/>
              <w:adjustRightInd w:val="0"/>
              <w:ind w:left="1075" w:hanging="425"/>
              <w:rPr>
                <w:rFonts w:cstheme="minorHAnsi"/>
                <w:sz w:val="20"/>
                <w:szCs w:val="20"/>
              </w:rPr>
            </w:pPr>
            <w:r w:rsidRPr="00356909">
              <w:rPr>
                <w:rFonts w:cstheme="minorHAnsi"/>
                <w:sz w:val="20"/>
                <w:szCs w:val="20"/>
              </w:rPr>
              <w:t>risk of myasthenic crisis displaying symptoms of respiratory insufficiency such as persistent difficulty with speech, difficulty chewing or swallowing and/or shortness of breath on minimal activity</w:t>
            </w:r>
          </w:p>
          <w:p w:rsidR="00156ACE" w:rsidRPr="00337856" w:rsidRDefault="003E5FE5" w:rsidP="00E7225A">
            <w:pPr>
              <w:widowControl w:val="0"/>
              <w:shd w:val="clear" w:color="auto" w:fill="FFFFFF"/>
              <w:autoSpaceDE w:val="0"/>
              <w:autoSpaceDN w:val="0"/>
              <w:adjustRightInd w:val="0"/>
              <w:spacing w:before="120"/>
              <w:ind w:left="237" w:hanging="237"/>
              <w:rPr>
                <w:rFonts w:cstheme="minorHAnsi"/>
                <w:b/>
                <w:bCs/>
                <w:sz w:val="20"/>
                <w:szCs w:val="20"/>
              </w:rPr>
            </w:pPr>
            <w:r w:rsidRPr="00337856">
              <w:rPr>
                <w:rFonts w:cstheme="minorHAnsi"/>
                <w:b/>
                <w:bCs/>
                <w:sz w:val="20"/>
                <w:szCs w:val="20"/>
              </w:rPr>
              <w:t>AND</w:t>
            </w:r>
          </w:p>
          <w:p w:rsidR="00887301" w:rsidRPr="00FF2B91" w:rsidRDefault="003E5FE5" w:rsidP="00EE2A0C">
            <w:pPr>
              <w:pStyle w:val="ListParagraph"/>
              <w:widowControl w:val="0"/>
              <w:numPr>
                <w:ilvl w:val="0"/>
                <w:numId w:val="50"/>
              </w:numPr>
              <w:shd w:val="clear" w:color="auto" w:fill="FFFFFF"/>
              <w:autoSpaceDE w:val="0"/>
              <w:autoSpaceDN w:val="0"/>
              <w:adjustRightInd w:val="0"/>
              <w:ind w:left="1075" w:hanging="425"/>
              <w:rPr>
                <w:rFonts w:cstheme="minorHAnsi"/>
                <w:i/>
                <w:sz w:val="20"/>
                <w:szCs w:val="20"/>
              </w:rPr>
            </w:pPr>
            <w:proofErr w:type="gramStart"/>
            <w:r w:rsidRPr="00EE2A0C">
              <w:rPr>
                <w:rFonts w:eastAsiaTheme="minorHAnsi" w:cstheme="minorHAnsi"/>
                <w:sz w:val="20"/>
                <w:szCs w:val="20"/>
                <w:lang w:val="en-AU"/>
              </w:rPr>
              <w:t>clinical</w:t>
            </w:r>
            <w:proofErr w:type="gramEnd"/>
            <w:r w:rsidRPr="00EE2A0C">
              <w:rPr>
                <w:rFonts w:eastAsiaTheme="minorHAnsi" w:cstheme="minorHAnsi"/>
                <w:sz w:val="20"/>
                <w:szCs w:val="20"/>
                <w:lang w:val="en-AU"/>
              </w:rPr>
              <w:t xml:space="preserve"> assessment confirms severe disability as measured by a Myasthenia Gravis Composite (MGC) score of at least four points </w:t>
            </w:r>
            <w:r w:rsidR="00337856" w:rsidRPr="00EE2A0C">
              <w:rPr>
                <w:rFonts w:eastAsiaTheme="minorHAnsi" w:cstheme="minorHAnsi"/>
                <w:sz w:val="20"/>
                <w:szCs w:val="20"/>
                <w:lang w:val="en-AU"/>
              </w:rPr>
              <w:t>who are currently eligible for immunoglobulin</w:t>
            </w:r>
            <w:r w:rsidR="00337856" w:rsidRPr="007319B3">
              <w:rPr>
                <w:rFonts w:cstheme="minorHAnsi"/>
                <w:sz w:val="20"/>
                <w:szCs w:val="20"/>
              </w:rPr>
              <w:t xml:space="preserve"> (Ig) treatment in Australia according to version 3 of the </w:t>
            </w:r>
            <w:r w:rsidR="00337856" w:rsidRPr="007319B3">
              <w:rPr>
                <w:rFonts w:cstheme="minorHAnsi"/>
                <w:i/>
                <w:sz w:val="20"/>
                <w:szCs w:val="20"/>
              </w:rPr>
              <w:t>Criteria for the clinical use of immunoglobulin in Australia.</w:t>
            </w:r>
          </w:p>
        </w:tc>
      </w:tr>
      <w:tr w:rsidR="00887301" w:rsidRPr="00356909" w:rsidTr="00156ACE">
        <w:tc>
          <w:tcPr>
            <w:tcW w:w="1890" w:type="dxa"/>
            <w:tcBorders>
              <w:top w:val="single" w:sz="6" w:space="0" w:color="auto"/>
              <w:left w:val="single" w:sz="6" w:space="0" w:color="auto"/>
              <w:bottom w:val="single" w:sz="6" w:space="0" w:color="auto"/>
              <w:right w:val="single" w:sz="6" w:space="0" w:color="auto"/>
            </w:tcBorders>
          </w:tcPr>
          <w:p w:rsidR="00887301" w:rsidRPr="00356909" w:rsidRDefault="003E5FE5" w:rsidP="00356909">
            <w:pPr>
              <w:widowControl w:val="0"/>
              <w:shd w:val="clear" w:color="auto" w:fill="FFFFFF"/>
              <w:autoSpaceDE w:val="0"/>
              <w:autoSpaceDN w:val="0"/>
              <w:adjustRightInd w:val="0"/>
              <w:rPr>
                <w:rFonts w:cstheme="minorHAnsi"/>
                <w:sz w:val="20"/>
                <w:szCs w:val="20"/>
              </w:rPr>
            </w:pPr>
            <w:r w:rsidRPr="00356909">
              <w:rPr>
                <w:rFonts w:cstheme="minorHAnsi"/>
                <w:sz w:val="20"/>
                <w:szCs w:val="20"/>
              </w:rPr>
              <w:t xml:space="preserve">Intervention </w:t>
            </w:r>
          </w:p>
        </w:tc>
        <w:tc>
          <w:tcPr>
            <w:tcW w:w="8190" w:type="dxa"/>
            <w:tcBorders>
              <w:top w:val="single" w:sz="6" w:space="0" w:color="auto"/>
              <w:left w:val="single" w:sz="6" w:space="0" w:color="auto"/>
              <w:bottom w:val="single" w:sz="6" w:space="0" w:color="auto"/>
              <w:right w:val="single" w:sz="6" w:space="0" w:color="auto"/>
            </w:tcBorders>
          </w:tcPr>
          <w:p w:rsidR="00887301" w:rsidRPr="00356909" w:rsidRDefault="00207531" w:rsidP="00E7225A">
            <w:pPr>
              <w:widowControl w:val="0"/>
              <w:shd w:val="clear" w:color="auto" w:fill="FFFFFF"/>
              <w:autoSpaceDE w:val="0"/>
              <w:autoSpaceDN w:val="0"/>
              <w:adjustRightInd w:val="0"/>
              <w:spacing w:before="120" w:after="120"/>
              <w:ind w:left="80" w:right="85"/>
              <w:rPr>
                <w:rFonts w:cstheme="minorHAnsi"/>
                <w:sz w:val="20"/>
                <w:szCs w:val="20"/>
              </w:rPr>
            </w:pPr>
            <w:r w:rsidRPr="00356909">
              <w:rPr>
                <w:rFonts w:cstheme="minorHAnsi"/>
                <w:sz w:val="20"/>
                <w:szCs w:val="20"/>
              </w:rPr>
              <w:t xml:space="preserve">Intravenous </w:t>
            </w:r>
            <w:r w:rsidR="003E5FE5" w:rsidRPr="00356909">
              <w:rPr>
                <w:rFonts w:cstheme="minorHAnsi"/>
                <w:sz w:val="20"/>
                <w:szCs w:val="20"/>
              </w:rPr>
              <w:t>Immunoglobulin</w:t>
            </w:r>
            <w:r w:rsidR="0092692F">
              <w:rPr>
                <w:rFonts w:cstheme="minorHAnsi"/>
                <w:sz w:val="20"/>
                <w:szCs w:val="20"/>
              </w:rPr>
              <w:t xml:space="preserve"> (IVIg)</w:t>
            </w:r>
          </w:p>
        </w:tc>
      </w:tr>
      <w:tr w:rsidR="00887301" w:rsidRPr="00356909" w:rsidTr="00156ACE">
        <w:tc>
          <w:tcPr>
            <w:tcW w:w="1890" w:type="dxa"/>
            <w:tcBorders>
              <w:top w:val="single" w:sz="6" w:space="0" w:color="auto"/>
              <w:left w:val="single" w:sz="6" w:space="0" w:color="auto"/>
              <w:bottom w:val="single" w:sz="6" w:space="0" w:color="auto"/>
              <w:right w:val="single" w:sz="6" w:space="0" w:color="auto"/>
            </w:tcBorders>
          </w:tcPr>
          <w:p w:rsidR="00887301" w:rsidRPr="00356909" w:rsidRDefault="003E5FE5" w:rsidP="00356909">
            <w:pPr>
              <w:widowControl w:val="0"/>
              <w:shd w:val="clear" w:color="auto" w:fill="FFFFFF"/>
              <w:autoSpaceDE w:val="0"/>
              <w:autoSpaceDN w:val="0"/>
              <w:adjustRightInd w:val="0"/>
              <w:rPr>
                <w:rFonts w:cstheme="minorHAnsi"/>
                <w:sz w:val="20"/>
                <w:szCs w:val="20"/>
              </w:rPr>
            </w:pPr>
            <w:r w:rsidRPr="00356909">
              <w:rPr>
                <w:rFonts w:cstheme="minorHAnsi"/>
                <w:sz w:val="20"/>
                <w:szCs w:val="20"/>
              </w:rPr>
              <w:t xml:space="preserve">Comparator </w:t>
            </w:r>
          </w:p>
        </w:tc>
        <w:tc>
          <w:tcPr>
            <w:tcW w:w="8190" w:type="dxa"/>
            <w:tcBorders>
              <w:top w:val="single" w:sz="6" w:space="0" w:color="auto"/>
              <w:left w:val="single" w:sz="6" w:space="0" w:color="auto"/>
              <w:bottom w:val="single" w:sz="6" w:space="0" w:color="auto"/>
              <w:right w:val="single" w:sz="6" w:space="0" w:color="auto"/>
            </w:tcBorders>
          </w:tcPr>
          <w:p w:rsidR="00887301" w:rsidRPr="00EE2A0C" w:rsidRDefault="0002674E" w:rsidP="00EE2A0C">
            <w:pPr>
              <w:widowControl w:val="0"/>
              <w:shd w:val="clear" w:color="auto" w:fill="FFFFFF"/>
              <w:autoSpaceDE w:val="0"/>
              <w:autoSpaceDN w:val="0"/>
              <w:adjustRightInd w:val="0"/>
              <w:rPr>
                <w:rFonts w:cstheme="minorHAnsi"/>
                <w:sz w:val="20"/>
                <w:szCs w:val="20"/>
              </w:rPr>
            </w:pPr>
            <w:r w:rsidRPr="00EE2A0C">
              <w:rPr>
                <w:rFonts w:cstheme="minorHAnsi"/>
                <w:sz w:val="20"/>
                <w:szCs w:val="20"/>
              </w:rPr>
              <w:t xml:space="preserve">Plasma exchange </w:t>
            </w:r>
            <w:r w:rsidR="0092692F" w:rsidRPr="00EE2A0C">
              <w:rPr>
                <w:rFonts w:cstheme="minorHAnsi"/>
                <w:sz w:val="20"/>
                <w:szCs w:val="20"/>
              </w:rPr>
              <w:t>delivered via</w:t>
            </w:r>
          </w:p>
          <w:p w:rsidR="0092692F" w:rsidRPr="00EE2A0C" w:rsidRDefault="0002674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peripheral or</w:t>
            </w:r>
          </w:p>
          <w:p w:rsidR="0002674E" w:rsidRPr="00356909" w:rsidRDefault="0002674E" w:rsidP="00EE2A0C">
            <w:pPr>
              <w:pStyle w:val="ListParagraph"/>
              <w:widowControl w:val="0"/>
              <w:numPr>
                <w:ilvl w:val="0"/>
                <w:numId w:val="50"/>
              </w:numPr>
              <w:shd w:val="clear" w:color="auto" w:fill="FFFFFF"/>
              <w:autoSpaceDE w:val="0"/>
              <w:autoSpaceDN w:val="0"/>
              <w:adjustRightInd w:val="0"/>
              <w:ind w:left="1075" w:hanging="425"/>
              <w:rPr>
                <w:rFonts w:cstheme="minorHAnsi"/>
                <w:sz w:val="20"/>
                <w:szCs w:val="20"/>
              </w:rPr>
            </w:pPr>
            <w:r w:rsidRPr="00EE2A0C">
              <w:rPr>
                <w:rFonts w:eastAsiaTheme="minorHAnsi" w:cstheme="minorHAnsi"/>
                <w:sz w:val="20"/>
                <w:szCs w:val="20"/>
                <w:lang w:val="en-AU"/>
              </w:rPr>
              <w:t>central</w:t>
            </w:r>
            <w:r w:rsidRPr="00356909">
              <w:rPr>
                <w:rFonts w:cstheme="minorHAnsi"/>
                <w:sz w:val="20"/>
                <w:szCs w:val="20"/>
              </w:rPr>
              <w:t xml:space="preserve"> venous access</w:t>
            </w:r>
          </w:p>
        </w:tc>
      </w:tr>
      <w:tr w:rsidR="00887301" w:rsidRPr="00356909" w:rsidTr="00156ACE">
        <w:tc>
          <w:tcPr>
            <w:tcW w:w="1890" w:type="dxa"/>
            <w:tcBorders>
              <w:top w:val="single" w:sz="6" w:space="0" w:color="auto"/>
              <w:left w:val="single" w:sz="6" w:space="0" w:color="auto"/>
              <w:bottom w:val="single" w:sz="6" w:space="0" w:color="auto"/>
              <w:right w:val="single" w:sz="6" w:space="0" w:color="auto"/>
            </w:tcBorders>
          </w:tcPr>
          <w:p w:rsidR="00887301" w:rsidRPr="00356909" w:rsidRDefault="003E5FE5">
            <w:pPr>
              <w:widowControl w:val="0"/>
              <w:shd w:val="clear" w:color="auto" w:fill="FFFFFF"/>
              <w:autoSpaceDE w:val="0"/>
              <w:autoSpaceDN w:val="0"/>
              <w:adjustRightInd w:val="0"/>
              <w:spacing w:after="240"/>
              <w:rPr>
                <w:rFonts w:cstheme="minorHAnsi"/>
                <w:sz w:val="20"/>
                <w:szCs w:val="20"/>
              </w:rPr>
            </w:pPr>
            <w:r w:rsidRPr="00356909">
              <w:rPr>
                <w:rFonts w:cstheme="minorHAnsi"/>
                <w:sz w:val="20"/>
                <w:szCs w:val="20"/>
              </w:rPr>
              <w:t xml:space="preserve">Outcomes </w:t>
            </w:r>
          </w:p>
        </w:tc>
        <w:tc>
          <w:tcPr>
            <w:tcW w:w="8190" w:type="dxa"/>
            <w:tcBorders>
              <w:top w:val="single" w:sz="6" w:space="0" w:color="auto"/>
              <w:left w:val="single" w:sz="6" w:space="0" w:color="auto"/>
              <w:bottom w:val="single" w:sz="6" w:space="0" w:color="auto"/>
              <w:right w:val="single" w:sz="6" w:space="0" w:color="auto"/>
            </w:tcBorders>
          </w:tcPr>
          <w:p w:rsidR="00356909" w:rsidRPr="003A6E41" w:rsidRDefault="00356909" w:rsidP="00D73510">
            <w:pPr>
              <w:pStyle w:val="Tablecontents"/>
              <w:spacing w:line="276" w:lineRule="auto"/>
              <w:ind w:left="363"/>
              <w:rPr>
                <w:rFonts w:asciiTheme="minorHAnsi" w:hAnsiTheme="minorHAnsi" w:cstheme="minorHAnsi"/>
                <w:b/>
                <w:bCs/>
                <w:i/>
                <w:iCs/>
                <w:sz w:val="20"/>
                <w:szCs w:val="20"/>
              </w:rPr>
            </w:pPr>
            <w:r w:rsidRPr="003A6E41">
              <w:rPr>
                <w:rFonts w:asciiTheme="minorHAnsi" w:hAnsiTheme="minorHAnsi" w:cstheme="minorHAnsi"/>
                <w:b/>
                <w:bCs/>
                <w:i/>
                <w:iCs/>
                <w:sz w:val="20"/>
                <w:szCs w:val="20"/>
              </w:rPr>
              <w:t>The outcomes listed are those identified in the development of the PICO. Additional or more specific outcomes identified during the evaluation process that are considered relevant to the intervention or comparator treatment may be addressed in the evaluation report (Contracted Assessment). Broadly the outcomes identified pre assessment and considered in scope are:</w:t>
            </w:r>
          </w:p>
          <w:p w:rsidR="00356909" w:rsidRPr="003A6E41" w:rsidRDefault="00356909"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Safety Outcomes:</w:t>
            </w:r>
          </w:p>
          <w:p w:rsidR="0047096E"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 xml:space="preserve">adverse events associated with administration of the therapy (such as IV line insertion risks, line sepsis) </w:t>
            </w:r>
          </w:p>
          <w:p w:rsidR="00356909"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side effects of the therapy (such as haemodynamic effects, inflammatory and thrombotic effects)</w:t>
            </w:r>
          </w:p>
          <w:p w:rsidR="00356909" w:rsidRDefault="00356909"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Clinical effectiveness outcomes:</w:t>
            </w:r>
          </w:p>
          <w:p w:rsidR="0047096E"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 xml:space="preserve">mortality </w:t>
            </w:r>
          </w:p>
          <w:p w:rsidR="0047096E"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 xml:space="preserve">rates of infection </w:t>
            </w:r>
          </w:p>
          <w:p w:rsidR="0047096E"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 xml:space="preserve">change in disability and muscle strength (e.g. Myasthenia Gravis Composite [MGC] score) </w:t>
            </w:r>
          </w:p>
          <w:p w:rsidR="0047096E"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 xml:space="preserve">change in quality of life </w:t>
            </w:r>
          </w:p>
          <w:p w:rsidR="0047096E"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 xml:space="preserve">rates of remission </w:t>
            </w:r>
          </w:p>
          <w:p w:rsidR="0047096E"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 xml:space="preserve">disease stability </w:t>
            </w:r>
          </w:p>
          <w:p w:rsidR="0047096E" w:rsidRPr="00EE2A0C" w:rsidRDefault="0047096E" w:rsidP="00EE2A0C">
            <w:pPr>
              <w:pStyle w:val="ListParagraph"/>
              <w:widowControl w:val="0"/>
              <w:numPr>
                <w:ilvl w:val="0"/>
                <w:numId w:val="50"/>
              </w:numPr>
              <w:shd w:val="clear" w:color="auto" w:fill="FFFFFF"/>
              <w:autoSpaceDE w:val="0"/>
              <w:autoSpaceDN w:val="0"/>
              <w:adjustRightInd w:val="0"/>
              <w:ind w:left="1075" w:hanging="425"/>
              <w:rPr>
                <w:rFonts w:eastAsiaTheme="minorHAnsi" w:cstheme="minorHAnsi"/>
                <w:sz w:val="20"/>
                <w:szCs w:val="20"/>
                <w:lang w:val="en-AU"/>
              </w:rPr>
            </w:pPr>
            <w:r w:rsidRPr="00EE2A0C">
              <w:rPr>
                <w:rFonts w:eastAsiaTheme="minorHAnsi" w:cstheme="minorHAnsi"/>
                <w:sz w:val="20"/>
                <w:szCs w:val="20"/>
                <w:lang w:val="en-AU"/>
              </w:rPr>
              <w:t>time to relapse</w:t>
            </w:r>
          </w:p>
          <w:p w:rsidR="0047096E" w:rsidRPr="0047096E" w:rsidRDefault="0047096E" w:rsidP="00EE2A0C">
            <w:pPr>
              <w:pStyle w:val="ListParagraph"/>
              <w:widowControl w:val="0"/>
              <w:numPr>
                <w:ilvl w:val="0"/>
                <w:numId w:val="50"/>
              </w:numPr>
              <w:shd w:val="clear" w:color="auto" w:fill="FFFFFF"/>
              <w:autoSpaceDE w:val="0"/>
              <w:autoSpaceDN w:val="0"/>
              <w:adjustRightInd w:val="0"/>
              <w:ind w:left="1075" w:hanging="425"/>
              <w:rPr>
                <w:rFonts w:cs="Times New Roman"/>
                <w:sz w:val="20"/>
                <w:szCs w:val="20"/>
              </w:rPr>
            </w:pPr>
            <w:r w:rsidRPr="00EE2A0C">
              <w:rPr>
                <w:rFonts w:eastAsiaTheme="minorHAnsi" w:cstheme="minorHAnsi"/>
                <w:sz w:val="20"/>
                <w:szCs w:val="20"/>
                <w:lang w:val="en-AU"/>
              </w:rPr>
              <w:t>need</w:t>
            </w:r>
            <w:r w:rsidRPr="005D1FC8">
              <w:rPr>
                <w:rFonts w:cs="Times New Roman"/>
                <w:sz w:val="20"/>
                <w:szCs w:val="20"/>
              </w:rPr>
              <w:t xml:space="preserve"> for ventilation</w:t>
            </w:r>
            <w:r w:rsidRPr="0047096E">
              <w:rPr>
                <w:bCs/>
                <w:sz w:val="20"/>
                <w:szCs w:val="20"/>
              </w:rPr>
              <w:t xml:space="preserve"> or other life support systems</w:t>
            </w:r>
          </w:p>
          <w:p w:rsidR="00356909" w:rsidRPr="003A6E41" w:rsidRDefault="00356909"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Healthcare system resources utilisation</w:t>
            </w:r>
          </w:p>
          <w:p w:rsidR="00356909" w:rsidRPr="003A6E41" w:rsidRDefault="00356909" w:rsidP="00A4150B">
            <w:pPr>
              <w:pStyle w:val="Tablecontents"/>
              <w:numPr>
                <w:ilvl w:val="0"/>
                <w:numId w:val="39"/>
              </w:numPr>
              <w:spacing w:line="276" w:lineRule="auto"/>
              <w:ind w:left="420" w:hanging="337"/>
              <w:rPr>
                <w:rFonts w:asciiTheme="minorHAnsi" w:hAnsiTheme="minorHAnsi" w:cstheme="minorHAnsi"/>
                <w:sz w:val="20"/>
                <w:szCs w:val="20"/>
              </w:rPr>
            </w:pPr>
            <w:r w:rsidRPr="003A6E41">
              <w:rPr>
                <w:rFonts w:asciiTheme="minorHAnsi" w:hAnsiTheme="minorHAnsi" w:cstheme="minorHAnsi"/>
                <w:sz w:val="20"/>
                <w:szCs w:val="20"/>
              </w:rPr>
              <w:t xml:space="preserve">Changes in health system resource utilisation associated with the intervention </w:t>
            </w:r>
          </w:p>
          <w:p w:rsidR="00356909" w:rsidRPr="00EE2A0C" w:rsidRDefault="00356909" w:rsidP="00EE2A0C">
            <w:pPr>
              <w:pStyle w:val="ListParagraph"/>
              <w:widowControl w:val="0"/>
              <w:numPr>
                <w:ilvl w:val="1"/>
                <w:numId w:val="50"/>
              </w:numPr>
              <w:shd w:val="clear" w:color="auto" w:fill="FFFFFF"/>
              <w:autoSpaceDE w:val="0"/>
              <w:autoSpaceDN w:val="0"/>
              <w:adjustRightInd w:val="0"/>
              <w:ind w:hanging="430"/>
              <w:rPr>
                <w:rFonts w:eastAsiaTheme="minorHAnsi" w:cstheme="minorHAnsi"/>
                <w:sz w:val="20"/>
                <w:szCs w:val="20"/>
                <w:lang w:val="en-AU"/>
              </w:rPr>
            </w:pPr>
            <w:r w:rsidRPr="00EE2A0C">
              <w:rPr>
                <w:rFonts w:eastAsiaTheme="minorHAnsi" w:cstheme="minorHAnsi"/>
                <w:sz w:val="20"/>
                <w:szCs w:val="20"/>
                <w:lang w:val="en-AU"/>
              </w:rPr>
              <w:t xml:space="preserve">Ig products, </w:t>
            </w:r>
          </w:p>
          <w:p w:rsidR="00356909" w:rsidRPr="003A6E41" w:rsidRDefault="00356909" w:rsidP="00EE2A0C">
            <w:pPr>
              <w:pStyle w:val="ListParagraph"/>
              <w:widowControl w:val="0"/>
              <w:numPr>
                <w:ilvl w:val="1"/>
                <w:numId w:val="50"/>
              </w:numPr>
              <w:shd w:val="clear" w:color="auto" w:fill="FFFFFF"/>
              <w:autoSpaceDE w:val="0"/>
              <w:autoSpaceDN w:val="0"/>
              <w:adjustRightInd w:val="0"/>
              <w:ind w:hanging="430"/>
              <w:rPr>
                <w:rFonts w:cstheme="minorHAnsi"/>
                <w:sz w:val="20"/>
                <w:szCs w:val="20"/>
              </w:rPr>
            </w:pPr>
            <w:r w:rsidRPr="00EE2A0C">
              <w:rPr>
                <w:rFonts w:eastAsiaTheme="minorHAnsi" w:cstheme="minorHAnsi"/>
                <w:sz w:val="20"/>
                <w:szCs w:val="20"/>
                <w:lang w:val="en-AU"/>
              </w:rPr>
              <w:t>Infusion</w:t>
            </w:r>
            <w:r w:rsidRPr="003A6E41">
              <w:rPr>
                <w:rFonts w:cstheme="minorHAnsi"/>
                <w:sz w:val="20"/>
                <w:szCs w:val="20"/>
              </w:rPr>
              <w:t xml:space="preserve"> equipment,</w:t>
            </w:r>
          </w:p>
          <w:p w:rsidR="00356909" w:rsidRPr="00EE2A0C" w:rsidRDefault="00356909" w:rsidP="00EE2A0C">
            <w:pPr>
              <w:pStyle w:val="ListParagraph"/>
              <w:widowControl w:val="0"/>
              <w:numPr>
                <w:ilvl w:val="1"/>
                <w:numId w:val="50"/>
              </w:numPr>
              <w:shd w:val="clear" w:color="auto" w:fill="FFFFFF"/>
              <w:autoSpaceDE w:val="0"/>
              <w:autoSpaceDN w:val="0"/>
              <w:adjustRightInd w:val="0"/>
              <w:ind w:hanging="430"/>
              <w:rPr>
                <w:rFonts w:eastAsiaTheme="minorHAnsi" w:cstheme="minorHAnsi"/>
                <w:sz w:val="20"/>
                <w:szCs w:val="20"/>
                <w:lang w:val="en-AU"/>
              </w:rPr>
            </w:pPr>
            <w:r w:rsidRPr="00EE2A0C">
              <w:rPr>
                <w:rFonts w:eastAsiaTheme="minorHAnsi" w:cstheme="minorHAnsi"/>
                <w:sz w:val="20"/>
                <w:szCs w:val="20"/>
                <w:lang w:val="en-AU"/>
              </w:rPr>
              <w:t xml:space="preserve">Administrative and clinician time (e.g. resources associated with requesting, and </w:t>
            </w:r>
            <w:r w:rsidRPr="00EE2A0C">
              <w:rPr>
                <w:rFonts w:eastAsiaTheme="minorHAnsi" w:cstheme="minorHAnsi"/>
                <w:sz w:val="20"/>
                <w:szCs w:val="20"/>
                <w:lang w:val="en-AU"/>
              </w:rPr>
              <w:lastRenderedPageBreak/>
              <w:t xml:space="preserve">authorising, access to Ig), </w:t>
            </w:r>
          </w:p>
          <w:p w:rsidR="00356909" w:rsidRPr="00EE2A0C" w:rsidRDefault="00356909" w:rsidP="00EE2A0C">
            <w:pPr>
              <w:pStyle w:val="ListParagraph"/>
              <w:widowControl w:val="0"/>
              <w:numPr>
                <w:ilvl w:val="1"/>
                <w:numId w:val="50"/>
              </w:numPr>
              <w:shd w:val="clear" w:color="auto" w:fill="FFFFFF"/>
              <w:autoSpaceDE w:val="0"/>
              <w:autoSpaceDN w:val="0"/>
              <w:adjustRightInd w:val="0"/>
              <w:ind w:hanging="430"/>
              <w:rPr>
                <w:rFonts w:eastAsiaTheme="minorHAnsi" w:cstheme="minorHAnsi"/>
                <w:sz w:val="20"/>
                <w:szCs w:val="20"/>
                <w:lang w:val="en-AU"/>
              </w:rPr>
            </w:pPr>
            <w:r w:rsidRPr="00EE2A0C">
              <w:rPr>
                <w:rFonts w:eastAsiaTheme="minorHAnsi" w:cstheme="minorHAnsi"/>
                <w:sz w:val="20"/>
                <w:szCs w:val="20"/>
                <w:lang w:val="en-AU"/>
              </w:rPr>
              <w:t>Nursing time (for initiation and monitoring if IVIg)</w:t>
            </w:r>
          </w:p>
          <w:p w:rsidR="00356909" w:rsidRPr="00EE2A0C" w:rsidRDefault="00356909" w:rsidP="00EE2A0C">
            <w:pPr>
              <w:pStyle w:val="ListParagraph"/>
              <w:widowControl w:val="0"/>
              <w:numPr>
                <w:ilvl w:val="1"/>
                <w:numId w:val="50"/>
              </w:numPr>
              <w:shd w:val="clear" w:color="auto" w:fill="FFFFFF"/>
              <w:autoSpaceDE w:val="0"/>
              <w:autoSpaceDN w:val="0"/>
              <w:adjustRightInd w:val="0"/>
              <w:ind w:hanging="430"/>
              <w:rPr>
                <w:rFonts w:eastAsiaTheme="minorHAnsi" w:cstheme="minorHAnsi"/>
                <w:sz w:val="20"/>
                <w:szCs w:val="20"/>
                <w:lang w:val="en-AU"/>
              </w:rPr>
            </w:pPr>
            <w:r w:rsidRPr="00EE2A0C">
              <w:rPr>
                <w:rFonts w:eastAsiaTheme="minorHAnsi" w:cstheme="minorHAnsi"/>
                <w:sz w:val="20"/>
                <w:szCs w:val="20"/>
                <w:lang w:val="en-AU"/>
              </w:rPr>
              <w:t>Hospitalisation (including use of hospital resources)</w:t>
            </w:r>
          </w:p>
          <w:p w:rsidR="00356909" w:rsidRPr="00EE2A0C" w:rsidRDefault="00356909" w:rsidP="00EE2A0C">
            <w:pPr>
              <w:pStyle w:val="ListParagraph"/>
              <w:widowControl w:val="0"/>
              <w:numPr>
                <w:ilvl w:val="1"/>
                <w:numId w:val="50"/>
              </w:numPr>
              <w:shd w:val="clear" w:color="auto" w:fill="FFFFFF"/>
              <w:autoSpaceDE w:val="0"/>
              <w:autoSpaceDN w:val="0"/>
              <w:adjustRightInd w:val="0"/>
              <w:ind w:hanging="430"/>
              <w:rPr>
                <w:rFonts w:eastAsiaTheme="minorHAnsi" w:cstheme="minorHAnsi"/>
                <w:sz w:val="20"/>
                <w:szCs w:val="20"/>
                <w:lang w:val="en-AU"/>
              </w:rPr>
            </w:pPr>
            <w:r w:rsidRPr="00EE2A0C">
              <w:rPr>
                <w:rFonts w:eastAsiaTheme="minorHAnsi" w:cstheme="minorHAnsi"/>
                <w:sz w:val="20"/>
                <w:szCs w:val="20"/>
                <w:lang w:val="en-AU"/>
              </w:rPr>
              <w:t xml:space="preserve">Medication to treat of adverse events (e.g. analgesia or antihistamines)  </w:t>
            </w:r>
          </w:p>
          <w:p w:rsidR="00356909" w:rsidRPr="00EE2A0C" w:rsidRDefault="00356909" w:rsidP="00EE2A0C">
            <w:pPr>
              <w:pStyle w:val="ListParagraph"/>
              <w:widowControl w:val="0"/>
              <w:numPr>
                <w:ilvl w:val="1"/>
                <w:numId w:val="50"/>
              </w:numPr>
              <w:shd w:val="clear" w:color="auto" w:fill="FFFFFF"/>
              <w:autoSpaceDE w:val="0"/>
              <w:autoSpaceDN w:val="0"/>
              <w:adjustRightInd w:val="0"/>
              <w:ind w:hanging="430"/>
              <w:rPr>
                <w:rFonts w:eastAsiaTheme="minorHAnsi" w:cstheme="minorHAnsi"/>
                <w:sz w:val="20"/>
                <w:szCs w:val="20"/>
                <w:lang w:val="en-AU"/>
              </w:rPr>
            </w:pPr>
            <w:r w:rsidRPr="00EE2A0C">
              <w:rPr>
                <w:rFonts w:eastAsiaTheme="minorHAnsi" w:cstheme="minorHAnsi"/>
                <w:sz w:val="20"/>
                <w:szCs w:val="20"/>
                <w:lang w:val="en-AU"/>
              </w:rPr>
              <w:t xml:space="preserve">Training of patient or carer to provide infusions (SCIg only), </w:t>
            </w:r>
          </w:p>
          <w:p w:rsidR="00356909" w:rsidRPr="00EE2A0C" w:rsidRDefault="00356909" w:rsidP="00EE2A0C">
            <w:pPr>
              <w:pStyle w:val="ListParagraph"/>
              <w:widowControl w:val="0"/>
              <w:numPr>
                <w:ilvl w:val="1"/>
                <w:numId w:val="50"/>
              </w:numPr>
              <w:shd w:val="clear" w:color="auto" w:fill="FFFFFF"/>
              <w:autoSpaceDE w:val="0"/>
              <w:autoSpaceDN w:val="0"/>
              <w:adjustRightInd w:val="0"/>
              <w:ind w:hanging="430"/>
              <w:rPr>
                <w:rFonts w:eastAsiaTheme="minorHAnsi" w:cstheme="minorHAnsi"/>
                <w:sz w:val="20"/>
                <w:szCs w:val="20"/>
                <w:lang w:val="en-AU"/>
              </w:rPr>
            </w:pPr>
            <w:r w:rsidRPr="00EE2A0C">
              <w:rPr>
                <w:rFonts w:eastAsiaTheme="minorHAnsi" w:cstheme="minorHAnsi"/>
                <w:sz w:val="20"/>
                <w:szCs w:val="20"/>
                <w:lang w:val="en-AU"/>
              </w:rPr>
              <w:t>Product dispensing and disposal of any unused product</w:t>
            </w:r>
          </w:p>
          <w:p w:rsidR="00356909" w:rsidRPr="003A6E41" w:rsidRDefault="00356909" w:rsidP="00EE2A0C">
            <w:pPr>
              <w:pStyle w:val="ListParagraph"/>
              <w:widowControl w:val="0"/>
              <w:numPr>
                <w:ilvl w:val="1"/>
                <w:numId w:val="50"/>
              </w:numPr>
              <w:shd w:val="clear" w:color="auto" w:fill="FFFFFF"/>
              <w:autoSpaceDE w:val="0"/>
              <w:autoSpaceDN w:val="0"/>
              <w:adjustRightInd w:val="0"/>
              <w:ind w:hanging="430"/>
              <w:rPr>
                <w:rFonts w:cstheme="minorHAnsi"/>
                <w:sz w:val="20"/>
                <w:szCs w:val="20"/>
              </w:rPr>
            </w:pPr>
            <w:r w:rsidRPr="00EE2A0C">
              <w:rPr>
                <w:rFonts w:eastAsiaTheme="minorHAnsi" w:cstheme="minorHAnsi"/>
                <w:sz w:val="20"/>
                <w:szCs w:val="20"/>
                <w:lang w:val="en-AU"/>
              </w:rPr>
              <w:t>Follow</w:t>
            </w:r>
            <w:r w:rsidRPr="003A6E41">
              <w:rPr>
                <w:rFonts w:cstheme="minorHAnsi"/>
                <w:sz w:val="20"/>
                <w:szCs w:val="20"/>
              </w:rPr>
              <w:t>-up and/or monitoring visits, including regular neurology visits</w:t>
            </w:r>
          </w:p>
          <w:p w:rsidR="00356909" w:rsidRPr="003A6E41" w:rsidRDefault="00356909" w:rsidP="00A4150B">
            <w:pPr>
              <w:pStyle w:val="Tablecontents"/>
              <w:numPr>
                <w:ilvl w:val="0"/>
                <w:numId w:val="39"/>
              </w:numPr>
              <w:spacing w:line="276" w:lineRule="auto"/>
              <w:ind w:left="420" w:hanging="337"/>
              <w:rPr>
                <w:rFonts w:asciiTheme="minorHAnsi" w:hAnsiTheme="minorHAnsi" w:cstheme="minorHAnsi"/>
                <w:sz w:val="20"/>
                <w:szCs w:val="20"/>
              </w:rPr>
            </w:pPr>
            <w:r w:rsidRPr="003A6E41">
              <w:rPr>
                <w:rFonts w:asciiTheme="minorHAnsi" w:hAnsiTheme="minorHAnsi" w:cstheme="minorHAnsi"/>
                <w:sz w:val="20"/>
                <w:szCs w:val="20"/>
              </w:rPr>
              <w:t>Change in health system resource utilisation associated with the comparator</w:t>
            </w:r>
            <w:r w:rsidR="002B7C22">
              <w:rPr>
                <w:rFonts w:asciiTheme="minorHAnsi" w:hAnsiTheme="minorHAnsi" w:cstheme="minorHAnsi"/>
                <w:sz w:val="20"/>
                <w:szCs w:val="20"/>
              </w:rPr>
              <w:t>(</w:t>
            </w:r>
            <w:r w:rsidRPr="003A6E41">
              <w:rPr>
                <w:rFonts w:asciiTheme="minorHAnsi" w:hAnsiTheme="minorHAnsi" w:cstheme="minorHAnsi"/>
                <w:sz w:val="20"/>
                <w:szCs w:val="20"/>
              </w:rPr>
              <w:t>s</w:t>
            </w:r>
            <w:r w:rsidR="002B7C22">
              <w:rPr>
                <w:rFonts w:asciiTheme="minorHAnsi" w:hAnsiTheme="minorHAnsi" w:cstheme="minorHAnsi"/>
                <w:sz w:val="20"/>
                <w:szCs w:val="20"/>
              </w:rPr>
              <w:t>)</w:t>
            </w:r>
          </w:p>
          <w:p w:rsidR="00356909" w:rsidRPr="003A6E41" w:rsidRDefault="00356909" w:rsidP="00257138">
            <w:pPr>
              <w:pStyle w:val="Tablecontents"/>
              <w:numPr>
                <w:ilvl w:val="0"/>
                <w:numId w:val="42"/>
              </w:numPr>
              <w:spacing w:line="276" w:lineRule="auto"/>
              <w:ind w:hanging="430"/>
              <w:rPr>
                <w:rFonts w:asciiTheme="minorHAnsi" w:hAnsiTheme="minorHAnsi" w:cstheme="minorHAnsi"/>
                <w:sz w:val="20"/>
                <w:szCs w:val="20"/>
              </w:rPr>
            </w:pPr>
            <w:r w:rsidRPr="003A6E41">
              <w:rPr>
                <w:rFonts w:asciiTheme="minorHAnsi" w:hAnsiTheme="minorHAnsi" w:cstheme="minorHAnsi"/>
                <w:sz w:val="20"/>
                <w:szCs w:val="20"/>
              </w:rPr>
              <w:t xml:space="preserve">Comparator products </w:t>
            </w:r>
          </w:p>
          <w:p w:rsidR="00356909" w:rsidRPr="003A6E41" w:rsidRDefault="00356909" w:rsidP="00257138">
            <w:pPr>
              <w:pStyle w:val="Tablecontents"/>
              <w:numPr>
                <w:ilvl w:val="0"/>
                <w:numId w:val="42"/>
              </w:numPr>
              <w:spacing w:line="276" w:lineRule="auto"/>
              <w:ind w:hanging="430"/>
              <w:rPr>
                <w:rFonts w:asciiTheme="minorHAnsi" w:hAnsiTheme="minorHAnsi" w:cstheme="minorHAnsi"/>
                <w:sz w:val="20"/>
                <w:szCs w:val="20"/>
              </w:rPr>
            </w:pPr>
            <w:r w:rsidRPr="003A6E41">
              <w:rPr>
                <w:rFonts w:asciiTheme="minorHAnsi" w:hAnsiTheme="minorHAnsi" w:cstheme="minorHAnsi"/>
                <w:sz w:val="20"/>
                <w:szCs w:val="20"/>
              </w:rPr>
              <w:t>Resources to deliver the comparator (eg hospital and staff time for IV steroids and plasma exchange, dispensing for oral treatments)</w:t>
            </w:r>
          </w:p>
          <w:p w:rsidR="00356909" w:rsidRPr="003A6E41" w:rsidRDefault="00356909" w:rsidP="00257138">
            <w:pPr>
              <w:pStyle w:val="Tablecontents"/>
              <w:numPr>
                <w:ilvl w:val="0"/>
                <w:numId w:val="42"/>
              </w:numPr>
              <w:spacing w:line="276" w:lineRule="auto"/>
              <w:ind w:hanging="430"/>
              <w:rPr>
                <w:rFonts w:asciiTheme="minorHAnsi" w:hAnsiTheme="minorHAnsi" w:cstheme="minorHAnsi"/>
                <w:sz w:val="20"/>
                <w:szCs w:val="20"/>
              </w:rPr>
            </w:pPr>
            <w:r w:rsidRPr="003A6E41">
              <w:rPr>
                <w:rFonts w:asciiTheme="minorHAnsi" w:hAnsiTheme="minorHAnsi" w:cstheme="minorHAnsi"/>
                <w:sz w:val="20"/>
                <w:szCs w:val="20"/>
              </w:rPr>
              <w:t>Hospitalisation</w:t>
            </w:r>
          </w:p>
          <w:p w:rsidR="00356909" w:rsidRDefault="0092692F" w:rsidP="00257138">
            <w:pPr>
              <w:pStyle w:val="Tablecontents"/>
              <w:numPr>
                <w:ilvl w:val="0"/>
                <w:numId w:val="42"/>
              </w:numPr>
              <w:spacing w:line="276" w:lineRule="auto"/>
              <w:ind w:hanging="430"/>
              <w:rPr>
                <w:rFonts w:asciiTheme="minorHAnsi" w:hAnsiTheme="minorHAnsi" w:cstheme="minorHAnsi"/>
                <w:sz w:val="20"/>
                <w:szCs w:val="20"/>
              </w:rPr>
            </w:pPr>
            <w:r>
              <w:rPr>
                <w:rFonts w:asciiTheme="minorHAnsi" w:hAnsiTheme="minorHAnsi" w:cstheme="minorHAnsi"/>
                <w:sz w:val="20"/>
                <w:szCs w:val="20"/>
              </w:rPr>
              <w:t>Management</w:t>
            </w:r>
            <w:r w:rsidRPr="003A6E41">
              <w:rPr>
                <w:rFonts w:asciiTheme="minorHAnsi" w:hAnsiTheme="minorHAnsi" w:cstheme="minorHAnsi"/>
                <w:sz w:val="20"/>
                <w:szCs w:val="20"/>
              </w:rPr>
              <w:t xml:space="preserve"> </w:t>
            </w:r>
            <w:r w:rsidR="00356909" w:rsidRPr="003A6E41">
              <w:rPr>
                <w:rFonts w:asciiTheme="minorHAnsi" w:hAnsiTheme="minorHAnsi" w:cstheme="minorHAnsi"/>
                <w:sz w:val="20"/>
                <w:szCs w:val="20"/>
              </w:rPr>
              <w:t>of adverse events</w:t>
            </w:r>
          </w:p>
          <w:p w:rsidR="00887301" w:rsidRPr="00356909" w:rsidRDefault="00356909" w:rsidP="00257138">
            <w:pPr>
              <w:pStyle w:val="Tablecontents"/>
              <w:numPr>
                <w:ilvl w:val="0"/>
                <w:numId w:val="42"/>
              </w:numPr>
              <w:spacing w:line="276" w:lineRule="auto"/>
              <w:ind w:hanging="430"/>
              <w:rPr>
                <w:rFonts w:asciiTheme="minorHAnsi" w:hAnsiTheme="minorHAnsi" w:cstheme="minorHAnsi"/>
                <w:sz w:val="20"/>
                <w:szCs w:val="20"/>
              </w:rPr>
            </w:pPr>
            <w:r w:rsidRPr="00356909">
              <w:rPr>
                <w:rFonts w:asciiTheme="minorHAnsi" w:hAnsiTheme="minorHAnsi" w:cstheme="minorHAnsi"/>
                <w:sz w:val="20"/>
                <w:szCs w:val="20"/>
              </w:rPr>
              <w:t>Follow-up and/or monitoring visits, including regular neurology visits</w:t>
            </w:r>
          </w:p>
        </w:tc>
      </w:tr>
    </w:tbl>
    <w:p w:rsidR="00A21165" w:rsidRPr="006618C1" w:rsidRDefault="00A21165" w:rsidP="00D73510">
      <w:pPr>
        <w:pStyle w:val="Caption1"/>
        <w:spacing w:after="0"/>
        <w:rPr>
          <w:rFonts w:asciiTheme="minorHAnsi" w:hAnsiTheme="minorHAnsi" w:cstheme="minorHAnsi"/>
        </w:rPr>
      </w:pPr>
    </w:p>
    <w:p w:rsidR="00887301" w:rsidRPr="006618C1" w:rsidRDefault="003E5FE5" w:rsidP="00D73510">
      <w:pPr>
        <w:pStyle w:val="Caption1"/>
        <w:spacing w:after="0"/>
        <w:rPr>
          <w:rFonts w:asciiTheme="minorHAnsi" w:hAnsiTheme="minorHAnsi" w:cstheme="minorHAnsi"/>
        </w:rPr>
      </w:pPr>
      <w:r w:rsidRPr="006618C1">
        <w:rPr>
          <w:rFonts w:asciiTheme="minorHAnsi" w:hAnsiTheme="minorHAnsi" w:cstheme="minorHAnsi"/>
        </w:rPr>
        <w:t xml:space="preserve">Table 2: PICO criteria for indication 2: </w:t>
      </w:r>
      <w:r w:rsidR="002B7C22">
        <w:rPr>
          <w:rFonts w:asciiTheme="minorHAnsi" w:hAnsiTheme="minorHAnsi" w:cstheme="minorHAnsi"/>
        </w:rPr>
        <w:t>P</w:t>
      </w:r>
      <w:r w:rsidRPr="006618C1">
        <w:rPr>
          <w:rFonts w:asciiTheme="minorHAnsi" w:hAnsiTheme="minorHAnsi" w:cstheme="minorHAnsi"/>
        </w:rPr>
        <w:t xml:space="preserve">rior to </w:t>
      </w:r>
      <w:r w:rsidR="002B7C22">
        <w:rPr>
          <w:rFonts w:asciiTheme="minorHAnsi" w:hAnsiTheme="minorHAnsi" w:cstheme="minorHAnsi"/>
        </w:rPr>
        <w:t>S</w:t>
      </w:r>
      <w:r w:rsidRPr="006618C1">
        <w:rPr>
          <w:rFonts w:asciiTheme="minorHAnsi" w:hAnsiTheme="minorHAnsi" w:cstheme="minorHAnsi"/>
        </w:rPr>
        <w:t>urgery</w:t>
      </w:r>
    </w:p>
    <w:tbl>
      <w:tblPr>
        <w:tblW w:w="10080" w:type="dxa"/>
        <w:tblInd w:w="8" w:type="dxa"/>
        <w:tblLayout w:type="fixed"/>
        <w:tblCellMar>
          <w:left w:w="0" w:type="dxa"/>
          <w:right w:w="0" w:type="dxa"/>
        </w:tblCellMar>
        <w:tblLook w:val="0000" w:firstRow="0" w:lastRow="0" w:firstColumn="0" w:lastColumn="0" w:noHBand="0" w:noVBand="0"/>
        <w:tblCaption w:val="Table 2: PICO criteria for indication 2: Prior to Surgery"/>
      </w:tblPr>
      <w:tblGrid>
        <w:gridCol w:w="1827"/>
        <w:gridCol w:w="8253"/>
      </w:tblGrid>
      <w:tr w:rsidR="00887301" w:rsidRPr="006618C1" w:rsidTr="00EE2A0C">
        <w:tc>
          <w:tcPr>
            <w:tcW w:w="182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87301" w:rsidRPr="006618C1" w:rsidRDefault="003E5FE5" w:rsidP="00895022">
            <w:pPr>
              <w:widowControl w:val="0"/>
              <w:autoSpaceDE w:val="0"/>
              <w:autoSpaceDN w:val="0"/>
              <w:adjustRightInd w:val="0"/>
              <w:spacing w:before="120" w:after="120"/>
              <w:rPr>
                <w:rFonts w:cstheme="minorHAnsi"/>
                <w:b/>
                <w:bCs/>
              </w:rPr>
            </w:pPr>
            <w:r w:rsidRPr="006618C1">
              <w:rPr>
                <w:rFonts w:cstheme="minorHAnsi"/>
                <w:b/>
                <w:bCs/>
              </w:rPr>
              <w:t xml:space="preserve">Component </w:t>
            </w:r>
          </w:p>
        </w:tc>
        <w:tc>
          <w:tcPr>
            <w:tcW w:w="825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87301" w:rsidRPr="006618C1" w:rsidRDefault="003E5FE5" w:rsidP="00207531">
            <w:pPr>
              <w:spacing w:before="120" w:after="120"/>
              <w:ind w:left="147"/>
              <w:rPr>
                <w:rFonts w:cstheme="minorHAnsi"/>
              </w:rPr>
            </w:pPr>
            <w:r w:rsidRPr="006618C1">
              <w:rPr>
                <w:rFonts w:cstheme="minorHAnsi"/>
                <w:b/>
              </w:rPr>
              <w:t>Description</w:t>
            </w:r>
            <w:r w:rsidRPr="006618C1">
              <w:rPr>
                <w:rFonts w:cstheme="minorHAnsi"/>
              </w:rPr>
              <w:t xml:space="preserve"> </w:t>
            </w:r>
          </w:p>
        </w:tc>
      </w:tr>
      <w:tr w:rsidR="00887301" w:rsidRPr="006618C1" w:rsidTr="00EE2A0C">
        <w:tc>
          <w:tcPr>
            <w:tcW w:w="1827" w:type="dxa"/>
            <w:tcBorders>
              <w:top w:val="single" w:sz="6" w:space="0" w:color="auto"/>
              <w:left w:val="single" w:sz="6" w:space="0" w:color="auto"/>
              <w:bottom w:val="single" w:sz="6" w:space="0" w:color="auto"/>
              <w:right w:val="single" w:sz="6" w:space="0" w:color="auto"/>
            </w:tcBorders>
          </w:tcPr>
          <w:p w:rsidR="00887301" w:rsidRPr="006618C1" w:rsidRDefault="003E5FE5" w:rsidP="00356909">
            <w:pPr>
              <w:widowControl w:val="0"/>
              <w:autoSpaceDE w:val="0"/>
              <w:autoSpaceDN w:val="0"/>
              <w:adjustRightInd w:val="0"/>
              <w:rPr>
                <w:rFonts w:cstheme="minorHAnsi"/>
                <w:b/>
                <w:bCs/>
              </w:rPr>
            </w:pPr>
            <w:r w:rsidRPr="006618C1">
              <w:rPr>
                <w:rFonts w:cstheme="minorHAnsi"/>
                <w:b/>
                <w:bCs/>
              </w:rPr>
              <w:t xml:space="preserve">Patients </w:t>
            </w:r>
          </w:p>
        </w:tc>
        <w:tc>
          <w:tcPr>
            <w:tcW w:w="8253" w:type="dxa"/>
            <w:tcBorders>
              <w:top w:val="single" w:sz="6" w:space="0" w:color="auto"/>
              <w:left w:val="single" w:sz="6" w:space="0" w:color="auto"/>
              <w:bottom w:val="single" w:sz="6" w:space="0" w:color="auto"/>
              <w:right w:val="single" w:sz="6" w:space="0" w:color="auto"/>
            </w:tcBorders>
          </w:tcPr>
          <w:p w:rsidR="00887301" w:rsidRPr="002B7C22" w:rsidRDefault="003E5FE5" w:rsidP="00D73510">
            <w:pPr>
              <w:widowControl w:val="0"/>
              <w:autoSpaceDE w:val="0"/>
              <w:autoSpaceDN w:val="0"/>
              <w:adjustRightInd w:val="0"/>
              <w:ind w:left="415"/>
              <w:rPr>
                <w:rFonts w:cstheme="minorHAnsi"/>
                <w:bCs/>
                <w:sz w:val="20"/>
                <w:szCs w:val="20"/>
              </w:rPr>
            </w:pPr>
            <w:r w:rsidRPr="002B7C22">
              <w:rPr>
                <w:rFonts w:cstheme="minorHAnsi"/>
                <w:bCs/>
                <w:sz w:val="20"/>
                <w:szCs w:val="20"/>
              </w:rPr>
              <w:t xml:space="preserve">Patients with advanced MG disease, bulbar symptoms or respiratory involvement, in whom surgery and/or thymectomy is planned </w:t>
            </w:r>
            <w:r w:rsidR="0013607A" w:rsidRPr="007319B3">
              <w:rPr>
                <w:rFonts w:cstheme="minorHAnsi"/>
                <w:noProof/>
                <w:sz w:val="20"/>
                <w:szCs w:val="20"/>
              </w:rPr>
              <w:t>who</w:t>
            </w:r>
            <w:r w:rsidR="0013607A" w:rsidRPr="007319B3">
              <w:rPr>
                <w:rFonts w:cstheme="minorHAnsi"/>
                <w:sz w:val="20"/>
                <w:szCs w:val="20"/>
              </w:rPr>
              <w:t xml:space="preserve"> are currently eligible for immunoglobulin (Ig) treatment in Australia according to version 3 of the </w:t>
            </w:r>
            <w:r w:rsidR="0013607A" w:rsidRPr="007319B3">
              <w:rPr>
                <w:rFonts w:cstheme="minorHAnsi"/>
                <w:i/>
                <w:sz w:val="20"/>
                <w:szCs w:val="20"/>
              </w:rPr>
              <w:t>Criteria for the clinical use of immunoglobulin in Australia</w:t>
            </w:r>
          </w:p>
        </w:tc>
      </w:tr>
      <w:tr w:rsidR="00887301" w:rsidRPr="006618C1" w:rsidTr="00EE2A0C">
        <w:tc>
          <w:tcPr>
            <w:tcW w:w="1827" w:type="dxa"/>
            <w:tcBorders>
              <w:top w:val="single" w:sz="6" w:space="0" w:color="auto"/>
              <w:left w:val="single" w:sz="6" w:space="0" w:color="auto"/>
              <w:bottom w:val="single" w:sz="6" w:space="0" w:color="auto"/>
              <w:right w:val="single" w:sz="6" w:space="0" w:color="auto"/>
            </w:tcBorders>
          </w:tcPr>
          <w:p w:rsidR="00887301" w:rsidRPr="006618C1" w:rsidRDefault="003E5FE5" w:rsidP="00356909">
            <w:pPr>
              <w:widowControl w:val="0"/>
              <w:autoSpaceDE w:val="0"/>
              <w:autoSpaceDN w:val="0"/>
              <w:adjustRightInd w:val="0"/>
              <w:rPr>
                <w:rFonts w:cstheme="minorHAnsi"/>
                <w:b/>
                <w:bCs/>
              </w:rPr>
            </w:pPr>
            <w:r w:rsidRPr="006618C1">
              <w:rPr>
                <w:rFonts w:cstheme="minorHAnsi"/>
                <w:b/>
                <w:bCs/>
              </w:rPr>
              <w:br w:type="page"/>
              <w:t xml:space="preserve">Intervention </w:t>
            </w:r>
          </w:p>
        </w:tc>
        <w:tc>
          <w:tcPr>
            <w:tcW w:w="8253" w:type="dxa"/>
            <w:tcBorders>
              <w:top w:val="single" w:sz="6" w:space="0" w:color="auto"/>
              <w:left w:val="single" w:sz="6" w:space="0" w:color="auto"/>
              <w:bottom w:val="single" w:sz="6" w:space="0" w:color="auto"/>
              <w:right w:val="single" w:sz="6" w:space="0" w:color="auto"/>
            </w:tcBorders>
          </w:tcPr>
          <w:p w:rsidR="00887301" w:rsidRPr="002B7C22" w:rsidRDefault="00207531" w:rsidP="00D73510">
            <w:pPr>
              <w:widowControl w:val="0"/>
              <w:autoSpaceDE w:val="0"/>
              <w:autoSpaceDN w:val="0"/>
              <w:adjustRightInd w:val="0"/>
              <w:ind w:left="415" w:right="85"/>
              <w:rPr>
                <w:rFonts w:cstheme="minorHAnsi"/>
                <w:b/>
                <w:bCs/>
                <w:sz w:val="20"/>
                <w:szCs w:val="20"/>
              </w:rPr>
            </w:pPr>
            <w:r w:rsidRPr="002B7C22">
              <w:rPr>
                <w:rFonts w:cstheme="minorHAnsi"/>
                <w:sz w:val="20"/>
                <w:szCs w:val="20"/>
              </w:rPr>
              <w:t>Intravenous Immunoglobulin</w:t>
            </w:r>
            <w:r w:rsidR="0092692F">
              <w:rPr>
                <w:rFonts w:cstheme="minorHAnsi"/>
                <w:sz w:val="20"/>
                <w:szCs w:val="20"/>
              </w:rPr>
              <w:t xml:space="preserve"> (IVIg)</w:t>
            </w:r>
          </w:p>
        </w:tc>
      </w:tr>
      <w:tr w:rsidR="00887301" w:rsidRPr="006618C1" w:rsidTr="00EE2A0C">
        <w:tc>
          <w:tcPr>
            <w:tcW w:w="1827" w:type="dxa"/>
            <w:tcBorders>
              <w:top w:val="single" w:sz="6" w:space="0" w:color="auto"/>
              <w:left w:val="single" w:sz="6" w:space="0" w:color="auto"/>
              <w:bottom w:val="single" w:sz="6" w:space="0" w:color="auto"/>
              <w:right w:val="single" w:sz="6" w:space="0" w:color="auto"/>
            </w:tcBorders>
          </w:tcPr>
          <w:p w:rsidR="00887301" w:rsidRPr="006618C1" w:rsidRDefault="003E5FE5" w:rsidP="00356909">
            <w:pPr>
              <w:widowControl w:val="0"/>
              <w:autoSpaceDE w:val="0"/>
              <w:autoSpaceDN w:val="0"/>
              <w:adjustRightInd w:val="0"/>
              <w:rPr>
                <w:rFonts w:cstheme="minorHAnsi"/>
                <w:b/>
                <w:bCs/>
              </w:rPr>
            </w:pPr>
            <w:r w:rsidRPr="006618C1">
              <w:rPr>
                <w:rFonts w:cstheme="minorHAnsi"/>
                <w:b/>
                <w:bCs/>
              </w:rPr>
              <w:t xml:space="preserve">Comparator </w:t>
            </w:r>
          </w:p>
        </w:tc>
        <w:tc>
          <w:tcPr>
            <w:tcW w:w="8253" w:type="dxa"/>
            <w:tcBorders>
              <w:top w:val="single" w:sz="6" w:space="0" w:color="auto"/>
              <w:left w:val="single" w:sz="6" w:space="0" w:color="auto"/>
              <w:bottom w:val="single" w:sz="6" w:space="0" w:color="auto"/>
              <w:right w:val="single" w:sz="6" w:space="0" w:color="auto"/>
            </w:tcBorders>
          </w:tcPr>
          <w:p w:rsidR="0092692F" w:rsidRPr="00356909" w:rsidRDefault="0092692F" w:rsidP="00846450">
            <w:pPr>
              <w:widowControl w:val="0"/>
              <w:shd w:val="clear" w:color="auto" w:fill="FFFFFF"/>
              <w:autoSpaceDE w:val="0"/>
              <w:autoSpaceDN w:val="0"/>
              <w:adjustRightInd w:val="0"/>
              <w:ind w:left="-10" w:right="85"/>
              <w:rPr>
                <w:rFonts w:cstheme="minorHAnsi"/>
                <w:sz w:val="20"/>
                <w:szCs w:val="20"/>
              </w:rPr>
            </w:pPr>
            <w:r w:rsidRPr="00356909">
              <w:rPr>
                <w:rFonts w:cstheme="minorHAnsi"/>
                <w:sz w:val="20"/>
                <w:szCs w:val="20"/>
              </w:rPr>
              <w:t xml:space="preserve">Plasma exchange </w:t>
            </w:r>
            <w:r>
              <w:rPr>
                <w:rFonts w:cstheme="minorHAnsi"/>
                <w:sz w:val="20"/>
                <w:szCs w:val="20"/>
              </w:rPr>
              <w:t>delivered via</w:t>
            </w:r>
          </w:p>
          <w:p w:rsidR="0092692F" w:rsidRPr="00257138" w:rsidRDefault="0092692F" w:rsidP="00EE2A0C">
            <w:pPr>
              <w:pStyle w:val="Tablecontents"/>
              <w:numPr>
                <w:ilvl w:val="0"/>
                <w:numId w:val="42"/>
              </w:numPr>
              <w:spacing w:line="276" w:lineRule="auto"/>
              <w:rPr>
                <w:rFonts w:cstheme="minorHAnsi"/>
                <w:sz w:val="20"/>
                <w:szCs w:val="20"/>
              </w:rPr>
            </w:pPr>
            <w:r w:rsidRPr="00257138">
              <w:rPr>
                <w:rFonts w:asciiTheme="minorHAnsi" w:hAnsiTheme="minorHAnsi" w:cstheme="minorHAnsi"/>
                <w:sz w:val="20"/>
                <w:szCs w:val="20"/>
              </w:rPr>
              <w:t>peripheral or</w:t>
            </w:r>
          </w:p>
          <w:p w:rsidR="0002674E" w:rsidRPr="0013607A" w:rsidRDefault="0092692F" w:rsidP="00EE2A0C">
            <w:pPr>
              <w:pStyle w:val="Tablecontents"/>
              <w:numPr>
                <w:ilvl w:val="0"/>
                <w:numId w:val="42"/>
              </w:numPr>
              <w:spacing w:line="276" w:lineRule="auto"/>
              <w:rPr>
                <w:rFonts w:cstheme="minorHAnsi"/>
                <w:sz w:val="20"/>
                <w:szCs w:val="20"/>
              </w:rPr>
            </w:pPr>
            <w:r w:rsidRPr="00257138">
              <w:rPr>
                <w:rFonts w:asciiTheme="minorHAnsi" w:hAnsiTheme="minorHAnsi" w:cstheme="minorHAnsi"/>
                <w:sz w:val="20"/>
                <w:szCs w:val="20"/>
              </w:rPr>
              <w:t>central</w:t>
            </w:r>
            <w:r w:rsidRPr="0092692F">
              <w:rPr>
                <w:rFonts w:cstheme="minorHAnsi"/>
                <w:sz w:val="20"/>
                <w:szCs w:val="20"/>
              </w:rPr>
              <w:t xml:space="preserve"> venous access</w:t>
            </w:r>
          </w:p>
        </w:tc>
      </w:tr>
      <w:tr w:rsidR="00887301" w:rsidRPr="006618C1" w:rsidTr="00EE2A0C">
        <w:tc>
          <w:tcPr>
            <w:tcW w:w="1827" w:type="dxa"/>
            <w:tcBorders>
              <w:top w:val="single" w:sz="6" w:space="0" w:color="auto"/>
              <w:left w:val="single" w:sz="6" w:space="0" w:color="auto"/>
              <w:bottom w:val="single" w:sz="6" w:space="0" w:color="auto"/>
              <w:right w:val="single" w:sz="6" w:space="0" w:color="auto"/>
            </w:tcBorders>
          </w:tcPr>
          <w:p w:rsidR="00887301" w:rsidRPr="006618C1" w:rsidRDefault="003E5FE5" w:rsidP="00EC63C6">
            <w:pPr>
              <w:widowControl w:val="0"/>
              <w:autoSpaceDE w:val="0"/>
              <w:autoSpaceDN w:val="0"/>
              <w:adjustRightInd w:val="0"/>
              <w:spacing w:after="240"/>
              <w:rPr>
                <w:rFonts w:cstheme="minorHAnsi"/>
                <w:b/>
                <w:bCs/>
              </w:rPr>
            </w:pPr>
            <w:r w:rsidRPr="006618C1">
              <w:rPr>
                <w:rFonts w:cstheme="minorHAnsi"/>
                <w:b/>
                <w:bCs/>
              </w:rPr>
              <w:t xml:space="preserve">Outcomes </w:t>
            </w:r>
          </w:p>
        </w:tc>
        <w:tc>
          <w:tcPr>
            <w:tcW w:w="8253" w:type="dxa"/>
            <w:tcBorders>
              <w:top w:val="single" w:sz="6" w:space="0" w:color="auto"/>
              <w:left w:val="single" w:sz="6" w:space="0" w:color="auto"/>
              <w:bottom w:val="single" w:sz="6" w:space="0" w:color="auto"/>
              <w:right w:val="single" w:sz="6" w:space="0" w:color="auto"/>
            </w:tcBorders>
          </w:tcPr>
          <w:p w:rsidR="00356909" w:rsidRPr="003A6E41" w:rsidRDefault="00356909" w:rsidP="00D73510">
            <w:pPr>
              <w:pStyle w:val="Tablecontents"/>
              <w:spacing w:line="276" w:lineRule="auto"/>
              <w:ind w:left="415"/>
              <w:rPr>
                <w:rFonts w:asciiTheme="minorHAnsi" w:hAnsiTheme="minorHAnsi" w:cstheme="minorHAnsi"/>
                <w:b/>
                <w:bCs/>
                <w:i/>
                <w:iCs/>
                <w:sz w:val="20"/>
                <w:szCs w:val="20"/>
              </w:rPr>
            </w:pPr>
            <w:r w:rsidRPr="003A6E41">
              <w:rPr>
                <w:rFonts w:asciiTheme="minorHAnsi" w:hAnsiTheme="minorHAnsi" w:cstheme="minorHAnsi"/>
                <w:b/>
                <w:bCs/>
                <w:i/>
                <w:iCs/>
                <w:sz w:val="20"/>
                <w:szCs w:val="20"/>
              </w:rPr>
              <w:t>The outcomes listed are those identified in the development of the PICO. Additional or more specific outcomes identified during the evaluation process that are considered relevant to the intervention or comparator treatment may be addressed in the evaluation report (Contracted Assessment). Broadly the outcomes identified pre assessment and considered in scope are:</w:t>
            </w:r>
          </w:p>
          <w:p w:rsidR="00356909" w:rsidRPr="003A6E41" w:rsidRDefault="00356909"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Safety Outcomes:</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 xml:space="preserve">adverse events associated with administration of the therapy (such as IV line insertion risks, line sepsis) </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side effects of the therapy (such as haemodynamic effects, inflammatory and thrombotic effects)</w:t>
            </w:r>
          </w:p>
          <w:p w:rsidR="00356909" w:rsidRPr="003A6E41" w:rsidRDefault="00356909"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Clinical effectiveness outcomes:</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 xml:space="preserve">mortality </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 xml:space="preserve">rates of infection </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 xml:space="preserve">change in disability and muscle strength (e.g. Myasthenia Gravis Composite [MGC] score) </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 xml:space="preserve">change in quality of life </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 xml:space="preserve">rates of remission </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 xml:space="preserve">disease stability </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time to relapse</w:t>
            </w:r>
          </w:p>
          <w:p w:rsidR="0047096E" w:rsidRPr="00EE2A0C" w:rsidRDefault="0047096E" w:rsidP="00EE2A0C">
            <w:pPr>
              <w:pStyle w:val="Tablecontents"/>
              <w:numPr>
                <w:ilvl w:val="0"/>
                <w:numId w:val="42"/>
              </w:numPr>
              <w:spacing w:line="276" w:lineRule="auto"/>
              <w:rPr>
                <w:rFonts w:cstheme="minorHAnsi"/>
                <w:sz w:val="20"/>
                <w:szCs w:val="20"/>
              </w:rPr>
            </w:pPr>
            <w:r w:rsidRPr="00EE2A0C">
              <w:rPr>
                <w:rFonts w:asciiTheme="minorHAnsi" w:hAnsiTheme="minorHAnsi" w:cstheme="minorHAnsi"/>
                <w:sz w:val="20"/>
                <w:szCs w:val="20"/>
              </w:rPr>
              <w:t>time to surgery</w:t>
            </w:r>
          </w:p>
          <w:p w:rsidR="005640B4" w:rsidRDefault="005640B4" w:rsidP="00356909">
            <w:pPr>
              <w:pStyle w:val="Tablecontents"/>
              <w:spacing w:line="276" w:lineRule="auto"/>
              <w:rPr>
                <w:rFonts w:asciiTheme="minorHAnsi" w:hAnsiTheme="minorHAnsi" w:cstheme="minorHAnsi"/>
                <w:i/>
                <w:iCs/>
                <w:sz w:val="20"/>
                <w:szCs w:val="20"/>
              </w:rPr>
            </w:pPr>
          </w:p>
          <w:p w:rsidR="00DD0BAD" w:rsidRDefault="00356909" w:rsidP="00DD0BAD">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Healthcare system resources utilisation</w:t>
            </w:r>
          </w:p>
          <w:p w:rsidR="00356909" w:rsidRPr="00DD0BAD" w:rsidRDefault="00356909" w:rsidP="00A4150B">
            <w:pPr>
              <w:pStyle w:val="Tablecontents"/>
              <w:numPr>
                <w:ilvl w:val="0"/>
                <w:numId w:val="39"/>
              </w:numPr>
              <w:spacing w:line="276" w:lineRule="auto"/>
              <w:ind w:left="420" w:hanging="337"/>
              <w:rPr>
                <w:rFonts w:asciiTheme="minorHAnsi" w:hAnsiTheme="minorHAnsi" w:cstheme="minorHAnsi"/>
                <w:i/>
                <w:iCs/>
                <w:sz w:val="20"/>
                <w:szCs w:val="20"/>
              </w:rPr>
            </w:pPr>
            <w:r w:rsidRPr="003A6E41">
              <w:rPr>
                <w:rFonts w:asciiTheme="minorHAnsi" w:hAnsiTheme="minorHAnsi" w:cstheme="minorHAnsi"/>
                <w:sz w:val="20"/>
                <w:szCs w:val="20"/>
              </w:rPr>
              <w:t xml:space="preserve">Changes in health system resource utilisation associated with the intervention </w:t>
            </w:r>
          </w:p>
          <w:p w:rsidR="00356909" w:rsidRPr="003A6E41"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Ig products, </w:t>
            </w:r>
          </w:p>
          <w:p w:rsidR="00356909" w:rsidRPr="003A6E41"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Infusion equipment ,</w:t>
            </w:r>
          </w:p>
          <w:p w:rsidR="00356909" w:rsidRPr="003A6E41"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Administrative and clinician time (e.g. resources associated with requesting, and </w:t>
            </w:r>
            <w:proofErr w:type="spellStart"/>
            <w:r w:rsidRPr="003A6E41">
              <w:rPr>
                <w:rFonts w:asciiTheme="minorHAnsi" w:hAnsiTheme="minorHAnsi" w:cstheme="minorHAnsi"/>
                <w:sz w:val="20"/>
                <w:szCs w:val="20"/>
              </w:rPr>
              <w:t>authorising</w:t>
            </w:r>
            <w:proofErr w:type="spellEnd"/>
            <w:r w:rsidRPr="003A6E41">
              <w:rPr>
                <w:rFonts w:asciiTheme="minorHAnsi" w:hAnsiTheme="minorHAnsi" w:cstheme="minorHAnsi"/>
                <w:sz w:val="20"/>
                <w:szCs w:val="20"/>
              </w:rPr>
              <w:t xml:space="preserve">, access to Ig), </w:t>
            </w:r>
          </w:p>
          <w:p w:rsidR="00356909" w:rsidRPr="003A6E41"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Nursing time (for initiation and monitoring if IVIg)</w:t>
            </w:r>
          </w:p>
          <w:p w:rsidR="00356909" w:rsidRPr="003A6E41"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Hospitalisation (including use of hospital resources)</w:t>
            </w:r>
          </w:p>
          <w:p w:rsidR="00356909" w:rsidRPr="003A6E41"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Medication to treat of adverse events (e.g. analgesia or antihistamines)  </w:t>
            </w:r>
          </w:p>
          <w:p w:rsidR="00356909" w:rsidRPr="003A6E41"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Training of patient or </w:t>
            </w:r>
            <w:proofErr w:type="spellStart"/>
            <w:r w:rsidRPr="003A6E41">
              <w:rPr>
                <w:rFonts w:asciiTheme="minorHAnsi" w:hAnsiTheme="minorHAnsi" w:cstheme="minorHAnsi"/>
                <w:sz w:val="20"/>
                <w:szCs w:val="20"/>
              </w:rPr>
              <w:t>carer</w:t>
            </w:r>
            <w:proofErr w:type="spellEnd"/>
            <w:r w:rsidRPr="003A6E41">
              <w:rPr>
                <w:rFonts w:asciiTheme="minorHAnsi" w:hAnsiTheme="minorHAnsi" w:cstheme="minorHAnsi"/>
                <w:sz w:val="20"/>
                <w:szCs w:val="20"/>
              </w:rPr>
              <w:t xml:space="preserve"> to provide infusions (SCIg only), </w:t>
            </w:r>
          </w:p>
          <w:p w:rsidR="00356909"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Product dispensing and disposal of  any unused product</w:t>
            </w:r>
          </w:p>
          <w:p w:rsidR="00356909" w:rsidRPr="003A6E41" w:rsidRDefault="00356909" w:rsidP="00EE2A0C">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Follow-up and/or monitoring visits, including regular neurology visits</w:t>
            </w:r>
          </w:p>
          <w:p w:rsidR="00356909" w:rsidRPr="003A6E41" w:rsidRDefault="00356909" w:rsidP="00A4150B">
            <w:pPr>
              <w:pStyle w:val="Tablecontents"/>
              <w:numPr>
                <w:ilvl w:val="0"/>
                <w:numId w:val="39"/>
              </w:numPr>
              <w:spacing w:line="276" w:lineRule="auto"/>
              <w:ind w:left="420" w:hanging="337"/>
              <w:rPr>
                <w:rFonts w:asciiTheme="minorHAnsi" w:hAnsiTheme="minorHAnsi" w:cstheme="minorHAnsi"/>
                <w:sz w:val="20"/>
                <w:szCs w:val="20"/>
              </w:rPr>
            </w:pPr>
            <w:r w:rsidRPr="003A6E41">
              <w:rPr>
                <w:rFonts w:asciiTheme="minorHAnsi" w:hAnsiTheme="minorHAnsi" w:cstheme="minorHAnsi"/>
                <w:sz w:val="20"/>
                <w:szCs w:val="20"/>
              </w:rPr>
              <w:t>Change in health system resource utilisation associated with the comparators</w:t>
            </w:r>
          </w:p>
          <w:p w:rsidR="00356909" w:rsidRPr="003A6E41" w:rsidRDefault="00356909" w:rsidP="00356909">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Comparator products </w:t>
            </w:r>
          </w:p>
          <w:p w:rsidR="00356909" w:rsidRPr="003A6E41" w:rsidRDefault="00356909" w:rsidP="00356909">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Resources to deliver the comparator (eg hospital and staff time for IV steroids and plasma exchange, dispensing for oral treatments)</w:t>
            </w:r>
          </w:p>
          <w:p w:rsidR="00356909" w:rsidRPr="003A6E41" w:rsidRDefault="00356909" w:rsidP="00356909">
            <w:pPr>
              <w:pStyle w:val="Tablecontents"/>
              <w:numPr>
                <w:ilvl w:val="0"/>
                <w:numId w:val="42"/>
              </w:numPr>
              <w:spacing w:line="276" w:lineRule="auto"/>
              <w:rPr>
                <w:rFonts w:asciiTheme="minorHAnsi" w:hAnsiTheme="minorHAnsi" w:cstheme="minorHAnsi"/>
                <w:sz w:val="20"/>
                <w:szCs w:val="20"/>
              </w:rPr>
            </w:pPr>
            <w:r w:rsidRPr="003A6E41">
              <w:rPr>
                <w:rFonts w:asciiTheme="minorHAnsi" w:hAnsiTheme="minorHAnsi" w:cstheme="minorHAnsi"/>
                <w:sz w:val="20"/>
                <w:szCs w:val="20"/>
              </w:rPr>
              <w:t>Hospitalisation</w:t>
            </w:r>
          </w:p>
          <w:p w:rsidR="00356909" w:rsidRDefault="0092692F" w:rsidP="00356909">
            <w:pPr>
              <w:pStyle w:val="Tablecontents"/>
              <w:numPr>
                <w:ilvl w:val="0"/>
                <w:numId w:val="42"/>
              </w:numPr>
              <w:spacing w:line="276" w:lineRule="auto"/>
              <w:rPr>
                <w:rFonts w:asciiTheme="minorHAnsi" w:hAnsiTheme="minorHAnsi" w:cstheme="minorHAnsi"/>
                <w:sz w:val="20"/>
                <w:szCs w:val="20"/>
              </w:rPr>
            </w:pPr>
            <w:r>
              <w:rPr>
                <w:rFonts w:asciiTheme="minorHAnsi" w:hAnsiTheme="minorHAnsi" w:cstheme="minorHAnsi"/>
                <w:sz w:val="20"/>
                <w:szCs w:val="20"/>
              </w:rPr>
              <w:t>Management</w:t>
            </w:r>
            <w:r w:rsidRPr="003A6E41">
              <w:rPr>
                <w:rFonts w:asciiTheme="minorHAnsi" w:hAnsiTheme="minorHAnsi" w:cstheme="minorHAnsi"/>
                <w:sz w:val="20"/>
                <w:szCs w:val="20"/>
              </w:rPr>
              <w:t xml:space="preserve"> </w:t>
            </w:r>
            <w:r w:rsidR="00356909" w:rsidRPr="003A6E41">
              <w:rPr>
                <w:rFonts w:asciiTheme="minorHAnsi" w:hAnsiTheme="minorHAnsi" w:cstheme="minorHAnsi"/>
                <w:sz w:val="20"/>
                <w:szCs w:val="20"/>
              </w:rPr>
              <w:t>of adverse events</w:t>
            </w:r>
          </w:p>
          <w:p w:rsidR="00887301" w:rsidRPr="00356909" w:rsidRDefault="00356909" w:rsidP="00356909">
            <w:pPr>
              <w:pStyle w:val="Tablecontents"/>
              <w:numPr>
                <w:ilvl w:val="0"/>
                <w:numId w:val="42"/>
              </w:numPr>
              <w:spacing w:line="276" w:lineRule="auto"/>
              <w:rPr>
                <w:rFonts w:asciiTheme="minorHAnsi" w:hAnsiTheme="minorHAnsi" w:cstheme="minorHAnsi"/>
                <w:sz w:val="20"/>
                <w:szCs w:val="20"/>
              </w:rPr>
            </w:pPr>
            <w:r w:rsidRPr="00356909">
              <w:rPr>
                <w:rFonts w:asciiTheme="minorHAnsi" w:hAnsiTheme="minorHAnsi" w:cstheme="minorHAnsi"/>
                <w:sz w:val="20"/>
                <w:szCs w:val="20"/>
              </w:rPr>
              <w:t>Follow-up and/or monitoring visits, including regular neurology visits</w:t>
            </w:r>
          </w:p>
        </w:tc>
      </w:tr>
    </w:tbl>
    <w:p w:rsidR="00887301" w:rsidRPr="006618C1" w:rsidRDefault="003E5FE5" w:rsidP="005640B4">
      <w:pPr>
        <w:pStyle w:val="Caption1"/>
        <w:spacing w:before="240" w:after="0"/>
        <w:rPr>
          <w:rFonts w:asciiTheme="minorHAnsi" w:hAnsiTheme="minorHAnsi" w:cstheme="minorHAnsi"/>
        </w:rPr>
      </w:pPr>
      <w:r w:rsidRPr="006618C1">
        <w:rPr>
          <w:rFonts w:asciiTheme="minorHAnsi" w:hAnsiTheme="minorHAnsi" w:cstheme="minorHAnsi"/>
          <w:szCs w:val="20"/>
        </w:rPr>
        <w:lastRenderedPageBreak/>
        <w:t xml:space="preserve">Table </w:t>
      </w:r>
      <w:r w:rsidRPr="006618C1">
        <w:rPr>
          <w:rFonts w:asciiTheme="minorHAnsi" w:hAnsiTheme="minorHAnsi" w:cstheme="minorHAnsi"/>
        </w:rPr>
        <w:t xml:space="preserve">3: PICO criteria for indication 3: </w:t>
      </w:r>
      <w:r w:rsidR="002B7C22">
        <w:rPr>
          <w:rFonts w:asciiTheme="minorHAnsi" w:hAnsiTheme="minorHAnsi" w:cstheme="minorHAnsi"/>
        </w:rPr>
        <w:t>Maintenance T</w:t>
      </w:r>
      <w:r w:rsidRPr="006618C1">
        <w:rPr>
          <w:rFonts w:asciiTheme="minorHAnsi" w:hAnsiTheme="minorHAnsi" w:cstheme="minorHAnsi"/>
        </w:rPr>
        <w:t>herapy</w:t>
      </w:r>
    </w:p>
    <w:tbl>
      <w:tblPr>
        <w:tblW w:w="10080" w:type="dxa"/>
        <w:tblInd w:w="8" w:type="dxa"/>
        <w:tblLayout w:type="fixed"/>
        <w:tblCellMar>
          <w:left w:w="0" w:type="dxa"/>
          <w:right w:w="0" w:type="dxa"/>
        </w:tblCellMar>
        <w:tblLook w:val="0000" w:firstRow="0" w:lastRow="0" w:firstColumn="0" w:lastColumn="0" w:noHBand="0" w:noVBand="0"/>
        <w:tblCaption w:val="Table 3: PICO criteria for indication 3: Maintenance Therapy"/>
      </w:tblPr>
      <w:tblGrid>
        <w:gridCol w:w="1980"/>
        <w:gridCol w:w="8100"/>
      </w:tblGrid>
      <w:tr w:rsidR="00887301" w:rsidRPr="006618C1" w:rsidTr="00352C42">
        <w:tc>
          <w:tcPr>
            <w:tcW w:w="198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87301" w:rsidRPr="006618C1" w:rsidRDefault="003E5FE5" w:rsidP="00895022">
            <w:pPr>
              <w:spacing w:before="120" w:after="120"/>
              <w:rPr>
                <w:rFonts w:cstheme="minorHAnsi"/>
                <w:b/>
              </w:rPr>
            </w:pPr>
            <w:r w:rsidRPr="006618C1">
              <w:rPr>
                <w:rFonts w:cstheme="minorHAnsi"/>
                <w:b/>
              </w:rPr>
              <w:t xml:space="preserve">Component </w:t>
            </w:r>
          </w:p>
        </w:tc>
        <w:tc>
          <w:tcPr>
            <w:tcW w:w="810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87301" w:rsidRPr="006618C1" w:rsidRDefault="003E5FE5" w:rsidP="0002674E">
            <w:pPr>
              <w:spacing w:before="120" w:after="120"/>
              <w:ind w:left="288"/>
              <w:rPr>
                <w:rFonts w:cstheme="minorHAnsi"/>
                <w:b/>
              </w:rPr>
            </w:pPr>
            <w:r w:rsidRPr="006618C1">
              <w:rPr>
                <w:rFonts w:cstheme="minorHAnsi"/>
                <w:b/>
              </w:rPr>
              <w:t xml:space="preserve">Description </w:t>
            </w:r>
          </w:p>
        </w:tc>
      </w:tr>
      <w:tr w:rsidR="00887301" w:rsidRPr="006618C1" w:rsidTr="00352C42">
        <w:tc>
          <w:tcPr>
            <w:tcW w:w="1980" w:type="dxa"/>
            <w:tcBorders>
              <w:top w:val="single" w:sz="6" w:space="0" w:color="auto"/>
              <w:left w:val="single" w:sz="6" w:space="0" w:color="auto"/>
              <w:bottom w:val="single" w:sz="6" w:space="0" w:color="auto"/>
              <w:right w:val="single" w:sz="6" w:space="0" w:color="auto"/>
            </w:tcBorders>
          </w:tcPr>
          <w:p w:rsidR="00887301" w:rsidRPr="002B7C22" w:rsidRDefault="003E5FE5" w:rsidP="00356909">
            <w:pPr>
              <w:widowControl w:val="0"/>
              <w:shd w:val="clear" w:color="auto" w:fill="FFFFFF"/>
              <w:autoSpaceDE w:val="0"/>
              <w:autoSpaceDN w:val="0"/>
              <w:adjustRightInd w:val="0"/>
              <w:rPr>
                <w:rFonts w:cstheme="minorHAnsi"/>
                <w:b/>
              </w:rPr>
            </w:pPr>
            <w:r w:rsidRPr="002B7C22">
              <w:rPr>
                <w:rFonts w:cstheme="minorHAnsi"/>
                <w:b/>
              </w:rPr>
              <w:t xml:space="preserve">Patients </w:t>
            </w:r>
          </w:p>
        </w:tc>
        <w:tc>
          <w:tcPr>
            <w:tcW w:w="8100" w:type="dxa"/>
            <w:tcBorders>
              <w:top w:val="single" w:sz="6" w:space="0" w:color="auto"/>
              <w:left w:val="single" w:sz="6" w:space="0" w:color="auto"/>
              <w:bottom w:val="single" w:sz="6" w:space="0" w:color="auto"/>
              <w:right w:val="single" w:sz="6" w:space="0" w:color="auto"/>
            </w:tcBorders>
          </w:tcPr>
          <w:p w:rsidR="00887301" w:rsidRPr="002B7C22" w:rsidRDefault="003E5FE5" w:rsidP="00DD0BAD">
            <w:pPr>
              <w:widowControl w:val="0"/>
              <w:shd w:val="clear" w:color="auto" w:fill="FFFFFF"/>
              <w:autoSpaceDE w:val="0"/>
              <w:autoSpaceDN w:val="0"/>
              <w:adjustRightInd w:val="0"/>
              <w:spacing w:before="100" w:beforeAutospacing="1" w:after="100" w:afterAutospacing="1"/>
              <w:ind w:left="415"/>
              <w:rPr>
                <w:rFonts w:cstheme="minorHAnsi"/>
                <w:sz w:val="20"/>
                <w:szCs w:val="20"/>
              </w:rPr>
            </w:pPr>
            <w:r w:rsidRPr="002B7C22">
              <w:rPr>
                <w:rFonts w:cstheme="minorHAnsi"/>
                <w:sz w:val="20"/>
                <w:szCs w:val="20"/>
              </w:rPr>
              <w:t>Patients with moderate to severe MG as assessed by a Myasthenia Gravis Composite score of at least four points, in whom at least two other treatments have been ineffective or caused intolerable side effects, or are contraindicated or unavailable</w:t>
            </w:r>
            <w:r w:rsidR="0013607A">
              <w:rPr>
                <w:rFonts w:cstheme="minorHAnsi"/>
                <w:sz w:val="20"/>
                <w:szCs w:val="20"/>
              </w:rPr>
              <w:t xml:space="preserve">, </w:t>
            </w:r>
            <w:r w:rsidR="0013607A" w:rsidRPr="007319B3">
              <w:rPr>
                <w:rFonts w:cstheme="minorHAnsi"/>
                <w:noProof/>
                <w:sz w:val="20"/>
                <w:szCs w:val="20"/>
              </w:rPr>
              <w:t>who</w:t>
            </w:r>
            <w:r w:rsidR="0013607A" w:rsidRPr="007319B3">
              <w:rPr>
                <w:rFonts w:cstheme="minorHAnsi"/>
                <w:sz w:val="20"/>
                <w:szCs w:val="20"/>
              </w:rPr>
              <w:t xml:space="preserve"> are currently eligible for immunoglobulin (Ig) treatment in Australia according to version 3 of the </w:t>
            </w:r>
            <w:r w:rsidR="0013607A" w:rsidRPr="007319B3">
              <w:rPr>
                <w:rFonts w:cstheme="minorHAnsi"/>
                <w:i/>
                <w:sz w:val="20"/>
                <w:szCs w:val="20"/>
              </w:rPr>
              <w:t>Criteria for the clinical use of immunoglobulin in Australia</w:t>
            </w:r>
          </w:p>
        </w:tc>
      </w:tr>
      <w:tr w:rsidR="00352C42" w:rsidRPr="006618C1" w:rsidTr="00352C42">
        <w:tc>
          <w:tcPr>
            <w:tcW w:w="1980" w:type="dxa"/>
            <w:tcBorders>
              <w:top w:val="single" w:sz="6" w:space="0" w:color="auto"/>
              <w:left w:val="single" w:sz="6" w:space="0" w:color="auto"/>
              <w:bottom w:val="single" w:sz="6" w:space="0" w:color="auto"/>
              <w:right w:val="single" w:sz="6" w:space="0" w:color="auto"/>
            </w:tcBorders>
          </w:tcPr>
          <w:p w:rsidR="00352C42" w:rsidRPr="002B7C22" w:rsidRDefault="00352C42" w:rsidP="00356909">
            <w:pPr>
              <w:widowControl w:val="0"/>
              <w:shd w:val="clear" w:color="auto" w:fill="FFFFFF"/>
              <w:autoSpaceDE w:val="0"/>
              <w:autoSpaceDN w:val="0"/>
              <w:adjustRightInd w:val="0"/>
              <w:rPr>
                <w:rFonts w:cstheme="minorHAnsi"/>
                <w:b/>
              </w:rPr>
            </w:pPr>
            <w:r w:rsidRPr="002B7C22">
              <w:rPr>
                <w:rFonts w:cstheme="minorHAnsi"/>
                <w:b/>
              </w:rPr>
              <w:t>Intervention</w:t>
            </w:r>
          </w:p>
        </w:tc>
        <w:tc>
          <w:tcPr>
            <w:tcW w:w="8100" w:type="dxa"/>
            <w:tcBorders>
              <w:top w:val="single" w:sz="6" w:space="0" w:color="auto"/>
              <w:left w:val="single" w:sz="6" w:space="0" w:color="auto"/>
              <w:bottom w:val="single" w:sz="6" w:space="0" w:color="auto"/>
              <w:right w:val="single" w:sz="6" w:space="0" w:color="auto"/>
            </w:tcBorders>
          </w:tcPr>
          <w:p w:rsidR="00352C42" w:rsidRPr="002B7C22" w:rsidRDefault="00352C42" w:rsidP="00352C42">
            <w:pPr>
              <w:widowControl w:val="0"/>
              <w:shd w:val="clear" w:color="auto" w:fill="FFFFFF"/>
              <w:autoSpaceDE w:val="0"/>
              <w:autoSpaceDN w:val="0"/>
              <w:adjustRightInd w:val="0"/>
              <w:ind w:left="572" w:hanging="567"/>
              <w:rPr>
                <w:rFonts w:cstheme="minorHAnsi"/>
                <w:sz w:val="20"/>
                <w:szCs w:val="20"/>
              </w:rPr>
            </w:pPr>
            <w:r w:rsidRPr="002B7C22">
              <w:rPr>
                <w:rFonts w:cstheme="minorHAnsi"/>
                <w:sz w:val="20"/>
                <w:szCs w:val="20"/>
              </w:rPr>
              <w:t>Immunoglobulin</w:t>
            </w:r>
            <w:r>
              <w:rPr>
                <w:rFonts w:cstheme="minorHAnsi"/>
                <w:sz w:val="20"/>
                <w:szCs w:val="20"/>
              </w:rPr>
              <w:t xml:space="preserve"> delivered via</w:t>
            </w:r>
          </w:p>
          <w:p w:rsidR="00352C42" w:rsidRPr="00257138" w:rsidRDefault="00352C42" w:rsidP="00EE2A0C">
            <w:pPr>
              <w:pStyle w:val="Tablecontents"/>
              <w:numPr>
                <w:ilvl w:val="0"/>
                <w:numId w:val="42"/>
              </w:numPr>
              <w:spacing w:line="276" w:lineRule="auto"/>
              <w:ind w:left="979" w:hanging="425"/>
              <w:rPr>
                <w:rFonts w:cstheme="minorHAnsi"/>
                <w:sz w:val="20"/>
                <w:szCs w:val="20"/>
              </w:rPr>
            </w:pPr>
            <w:r w:rsidRPr="00257138">
              <w:rPr>
                <w:rFonts w:asciiTheme="minorHAnsi" w:hAnsiTheme="minorHAnsi" w:cstheme="minorHAnsi"/>
                <w:sz w:val="20"/>
                <w:szCs w:val="20"/>
              </w:rPr>
              <w:t>intravenous administration (IVIg), or</w:t>
            </w:r>
          </w:p>
          <w:p w:rsidR="00352C42" w:rsidRPr="00352C42" w:rsidRDefault="00352C42" w:rsidP="00EE2A0C">
            <w:pPr>
              <w:pStyle w:val="Tablecontents"/>
              <w:numPr>
                <w:ilvl w:val="0"/>
                <w:numId w:val="42"/>
              </w:numPr>
              <w:spacing w:line="276" w:lineRule="auto"/>
              <w:ind w:left="979" w:hanging="425"/>
              <w:rPr>
                <w:rFonts w:cstheme="minorHAnsi"/>
                <w:sz w:val="20"/>
                <w:szCs w:val="20"/>
              </w:rPr>
            </w:pPr>
            <w:r w:rsidRPr="00257138">
              <w:rPr>
                <w:rFonts w:asciiTheme="minorHAnsi" w:hAnsiTheme="minorHAnsi" w:cstheme="minorHAnsi"/>
                <w:sz w:val="20"/>
                <w:szCs w:val="20"/>
              </w:rPr>
              <w:t>subcutaneous</w:t>
            </w:r>
            <w:r w:rsidRPr="00352C42">
              <w:rPr>
                <w:rFonts w:cstheme="minorHAnsi"/>
                <w:sz w:val="20"/>
                <w:szCs w:val="20"/>
              </w:rPr>
              <w:t xml:space="preserve"> administration (SCIg)</w:t>
            </w:r>
          </w:p>
        </w:tc>
      </w:tr>
      <w:tr w:rsidR="00887301" w:rsidRPr="006618C1" w:rsidTr="00352C42">
        <w:tc>
          <w:tcPr>
            <w:tcW w:w="1980" w:type="dxa"/>
            <w:tcBorders>
              <w:top w:val="single" w:sz="6" w:space="0" w:color="auto"/>
              <w:left w:val="single" w:sz="6" w:space="0" w:color="auto"/>
              <w:bottom w:val="single" w:sz="4" w:space="0" w:color="auto"/>
              <w:right w:val="single" w:sz="6" w:space="0" w:color="auto"/>
            </w:tcBorders>
          </w:tcPr>
          <w:p w:rsidR="00887301" w:rsidRPr="002B7C22" w:rsidRDefault="003E5FE5" w:rsidP="00356909">
            <w:pPr>
              <w:widowControl w:val="0"/>
              <w:shd w:val="clear" w:color="auto" w:fill="FFFFFF"/>
              <w:autoSpaceDE w:val="0"/>
              <w:autoSpaceDN w:val="0"/>
              <w:adjustRightInd w:val="0"/>
              <w:rPr>
                <w:rFonts w:cstheme="minorHAnsi"/>
                <w:b/>
              </w:rPr>
            </w:pPr>
            <w:r w:rsidRPr="002B7C22">
              <w:rPr>
                <w:rFonts w:cstheme="minorHAnsi"/>
                <w:b/>
              </w:rPr>
              <w:t xml:space="preserve">Comparators </w:t>
            </w:r>
          </w:p>
        </w:tc>
        <w:tc>
          <w:tcPr>
            <w:tcW w:w="8100" w:type="dxa"/>
            <w:tcBorders>
              <w:top w:val="single" w:sz="6" w:space="0" w:color="auto"/>
              <w:left w:val="single" w:sz="6" w:space="0" w:color="auto"/>
              <w:bottom w:val="single" w:sz="4" w:space="0" w:color="auto"/>
              <w:right w:val="single" w:sz="6" w:space="0" w:color="auto"/>
            </w:tcBorders>
          </w:tcPr>
          <w:p w:rsidR="00887301" w:rsidRPr="00257138" w:rsidRDefault="003E5FE5" w:rsidP="00EE2A0C">
            <w:pPr>
              <w:pStyle w:val="Tablecontents"/>
              <w:numPr>
                <w:ilvl w:val="0"/>
                <w:numId w:val="42"/>
              </w:numPr>
              <w:spacing w:line="276" w:lineRule="auto"/>
              <w:ind w:left="979" w:hanging="425"/>
              <w:rPr>
                <w:rFonts w:cstheme="minorHAnsi"/>
                <w:sz w:val="20"/>
                <w:szCs w:val="20"/>
              </w:rPr>
            </w:pPr>
            <w:r w:rsidRPr="00257138">
              <w:rPr>
                <w:rFonts w:asciiTheme="minorHAnsi" w:hAnsiTheme="minorHAnsi" w:cstheme="minorHAnsi"/>
                <w:sz w:val="20"/>
                <w:szCs w:val="20"/>
              </w:rPr>
              <w:t>Oral steroids (such as prednisone, prednisolone, dexamethasone, methy</w:t>
            </w:r>
            <w:r w:rsidR="0092692F" w:rsidRPr="00257138">
              <w:rPr>
                <w:rFonts w:asciiTheme="minorHAnsi" w:hAnsiTheme="minorHAnsi" w:cstheme="minorHAnsi"/>
                <w:sz w:val="20"/>
                <w:szCs w:val="20"/>
              </w:rPr>
              <w:t>l</w:t>
            </w:r>
            <w:r w:rsidRPr="00257138">
              <w:rPr>
                <w:rFonts w:asciiTheme="minorHAnsi" w:hAnsiTheme="minorHAnsi" w:cstheme="minorHAnsi"/>
                <w:sz w:val="20"/>
                <w:szCs w:val="20"/>
              </w:rPr>
              <w:t>pred</w:t>
            </w:r>
            <w:r w:rsidR="00A312AF" w:rsidRPr="00257138">
              <w:rPr>
                <w:rFonts w:asciiTheme="minorHAnsi" w:hAnsiTheme="minorHAnsi" w:cstheme="minorHAnsi"/>
                <w:sz w:val="20"/>
                <w:szCs w:val="20"/>
              </w:rPr>
              <w:t>n</w:t>
            </w:r>
            <w:r w:rsidRPr="00257138">
              <w:rPr>
                <w:rFonts w:asciiTheme="minorHAnsi" w:hAnsiTheme="minorHAnsi" w:cstheme="minorHAnsi"/>
                <w:sz w:val="20"/>
                <w:szCs w:val="20"/>
              </w:rPr>
              <w:t>isolone)</w:t>
            </w:r>
          </w:p>
          <w:p w:rsidR="0002674E" w:rsidRPr="00257138" w:rsidRDefault="00AC1DCE" w:rsidP="00EE2A0C">
            <w:pPr>
              <w:pStyle w:val="Tablecontents"/>
              <w:numPr>
                <w:ilvl w:val="0"/>
                <w:numId w:val="42"/>
              </w:numPr>
              <w:spacing w:line="276" w:lineRule="auto"/>
              <w:ind w:left="979" w:hanging="425"/>
              <w:rPr>
                <w:rFonts w:cstheme="minorHAnsi"/>
                <w:sz w:val="20"/>
                <w:szCs w:val="20"/>
              </w:rPr>
            </w:pPr>
            <w:r w:rsidRPr="00257138">
              <w:rPr>
                <w:rFonts w:asciiTheme="minorHAnsi" w:hAnsiTheme="minorHAnsi" w:cstheme="minorHAnsi"/>
                <w:sz w:val="20"/>
                <w:szCs w:val="20"/>
              </w:rPr>
              <w:t>C</w:t>
            </w:r>
            <w:r w:rsidR="004748AB" w:rsidRPr="00257138">
              <w:rPr>
                <w:rFonts w:asciiTheme="minorHAnsi" w:hAnsiTheme="minorHAnsi" w:cstheme="minorHAnsi"/>
                <w:sz w:val="20"/>
                <w:szCs w:val="20"/>
              </w:rPr>
              <w:t>holinesterase inhibitor (</w:t>
            </w:r>
            <w:proofErr w:type="spellStart"/>
            <w:r w:rsidR="004748AB" w:rsidRPr="00257138">
              <w:rPr>
                <w:rFonts w:asciiTheme="minorHAnsi" w:hAnsiTheme="minorHAnsi" w:cstheme="minorHAnsi"/>
                <w:sz w:val="20"/>
                <w:szCs w:val="20"/>
              </w:rPr>
              <w:t>p</w:t>
            </w:r>
            <w:r w:rsidR="0002674E" w:rsidRPr="00257138">
              <w:rPr>
                <w:rFonts w:asciiTheme="minorHAnsi" w:hAnsiTheme="minorHAnsi" w:cstheme="minorHAnsi"/>
                <w:sz w:val="20"/>
                <w:szCs w:val="20"/>
              </w:rPr>
              <w:t>yridostigmine</w:t>
            </w:r>
            <w:proofErr w:type="spellEnd"/>
            <w:r w:rsidRPr="00257138">
              <w:rPr>
                <w:rFonts w:asciiTheme="minorHAnsi" w:hAnsiTheme="minorHAnsi" w:cstheme="minorHAnsi"/>
                <w:sz w:val="20"/>
                <w:szCs w:val="20"/>
              </w:rPr>
              <w:t>, very rarely neostigmine IV infusion</w:t>
            </w:r>
            <w:r w:rsidR="004748AB" w:rsidRPr="00257138">
              <w:rPr>
                <w:rFonts w:asciiTheme="minorHAnsi" w:hAnsiTheme="minorHAnsi" w:cstheme="minorHAnsi"/>
                <w:sz w:val="20"/>
                <w:szCs w:val="20"/>
              </w:rPr>
              <w:t>)</w:t>
            </w:r>
          </w:p>
          <w:p w:rsidR="0013607A" w:rsidRPr="00257138" w:rsidRDefault="003E5FE5" w:rsidP="00EE2A0C">
            <w:pPr>
              <w:pStyle w:val="Tablecontents"/>
              <w:numPr>
                <w:ilvl w:val="0"/>
                <w:numId w:val="42"/>
              </w:numPr>
              <w:spacing w:line="276" w:lineRule="auto"/>
              <w:ind w:left="979" w:hanging="425"/>
              <w:rPr>
                <w:rFonts w:cstheme="minorHAnsi"/>
                <w:sz w:val="20"/>
                <w:szCs w:val="20"/>
              </w:rPr>
            </w:pPr>
            <w:r w:rsidRPr="00257138">
              <w:rPr>
                <w:rFonts w:asciiTheme="minorHAnsi" w:hAnsiTheme="minorHAnsi" w:cstheme="minorHAnsi"/>
                <w:sz w:val="20"/>
                <w:szCs w:val="20"/>
              </w:rPr>
              <w:t xml:space="preserve">Immunosuppressant and immunomodulatory drugs (such as azathioprine, </w:t>
            </w:r>
            <w:r w:rsidR="00EC63C6" w:rsidRPr="00257138">
              <w:rPr>
                <w:rFonts w:asciiTheme="minorHAnsi" w:hAnsiTheme="minorHAnsi" w:cstheme="minorHAnsi"/>
                <w:sz w:val="20"/>
                <w:szCs w:val="20"/>
              </w:rPr>
              <w:t xml:space="preserve">methotrexate, </w:t>
            </w:r>
            <w:r w:rsidRPr="00257138">
              <w:rPr>
                <w:rFonts w:asciiTheme="minorHAnsi" w:hAnsiTheme="minorHAnsi" w:cstheme="minorHAnsi"/>
                <w:sz w:val="20"/>
                <w:szCs w:val="20"/>
              </w:rPr>
              <w:t xml:space="preserve">cyclophosphamide, cyclosporine, </w:t>
            </w:r>
            <w:proofErr w:type="spellStart"/>
            <w:r w:rsidRPr="00257138">
              <w:rPr>
                <w:rFonts w:asciiTheme="minorHAnsi" w:hAnsiTheme="minorHAnsi" w:cstheme="minorHAnsi"/>
                <w:sz w:val="20"/>
                <w:szCs w:val="20"/>
              </w:rPr>
              <w:t>mycophenolate</w:t>
            </w:r>
            <w:proofErr w:type="spellEnd"/>
            <w:r w:rsidRPr="00257138">
              <w:rPr>
                <w:rFonts w:asciiTheme="minorHAnsi" w:hAnsiTheme="minorHAnsi" w:cstheme="minorHAnsi"/>
                <w:sz w:val="20"/>
                <w:szCs w:val="20"/>
              </w:rPr>
              <w:t xml:space="preserve"> </w:t>
            </w:r>
            <w:proofErr w:type="spellStart"/>
            <w:r w:rsidRPr="00257138">
              <w:rPr>
                <w:rFonts w:asciiTheme="minorHAnsi" w:hAnsiTheme="minorHAnsi" w:cstheme="minorHAnsi"/>
                <w:sz w:val="20"/>
                <w:szCs w:val="20"/>
              </w:rPr>
              <w:t>mofetil</w:t>
            </w:r>
            <w:proofErr w:type="spellEnd"/>
            <w:r w:rsidRPr="00257138">
              <w:rPr>
                <w:rFonts w:asciiTheme="minorHAnsi" w:hAnsiTheme="minorHAnsi" w:cstheme="minorHAnsi"/>
                <w:sz w:val="20"/>
                <w:szCs w:val="20"/>
              </w:rPr>
              <w:t xml:space="preserve">, rituximab) </w:t>
            </w:r>
          </w:p>
          <w:p w:rsidR="0002674E" w:rsidRPr="00257138" w:rsidRDefault="0002674E" w:rsidP="00EE2A0C">
            <w:pPr>
              <w:pStyle w:val="Tablecontents"/>
              <w:numPr>
                <w:ilvl w:val="0"/>
                <w:numId w:val="42"/>
              </w:numPr>
              <w:spacing w:line="276" w:lineRule="auto"/>
              <w:ind w:left="979" w:hanging="425"/>
              <w:rPr>
                <w:rFonts w:cstheme="minorHAnsi"/>
                <w:sz w:val="20"/>
                <w:szCs w:val="20"/>
              </w:rPr>
            </w:pPr>
            <w:r w:rsidRPr="00257138">
              <w:rPr>
                <w:rFonts w:asciiTheme="minorHAnsi" w:hAnsiTheme="minorHAnsi" w:cstheme="minorHAnsi"/>
                <w:sz w:val="20"/>
                <w:szCs w:val="20"/>
              </w:rPr>
              <w:t>Plasma exchange</w:t>
            </w:r>
            <w:r w:rsidR="0092692F" w:rsidRPr="00257138">
              <w:rPr>
                <w:rFonts w:asciiTheme="minorHAnsi" w:hAnsiTheme="minorHAnsi" w:cstheme="minorHAnsi"/>
                <w:sz w:val="20"/>
                <w:szCs w:val="20"/>
              </w:rPr>
              <w:t xml:space="preserve"> (delivered via </w:t>
            </w:r>
            <w:r w:rsidRPr="00257138">
              <w:rPr>
                <w:rFonts w:asciiTheme="minorHAnsi" w:hAnsiTheme="minorHAnsi" w:cstheme="minorHAnsi"/>
                <w:sz w:val="20"/>
                <w:szCs w:val="20"/>
              </w:rPr>
              <w:t>peripheral or central venous access</w:t>
            </w:r>
            <w:r w:rsidR="0092692F" w:rsidRPr="00257138">
              <w:rPr>
                <w:rFonts w:asciiTheme="minorHAnsi" w:hAnsiTheme="minorHAnsi" w:cstheme="minorHAnsi"/>
                <w:sz w:val="20"/>
                <w:szCs w:val="20"/>
              </w:rPr>
              <w:t>)</w:t>
            </w:r>
          </w:p>
          <w:p w:rsidR="0002674E" w:rsidRPr="002B7C22" w:rsidRDefault="0002674E" w:rsidP="00EE2A0C">
            <w:pPr>
              <w:pStyle w:val="Tablecontents"/>
              <w:numPr>
                <w:ilvl w:val="0"/>
                <w:numId w:val="42"/>
              </w:numPr>
              <w:spacing w:line="276" w:lineRule="auto"/>
              <w:ind w:left="979" w:hanging="425"/>
              <w:rPr>
                <w:rFonts w:cstheme="minorHAnsi"/>
                <w:sz w:val="20"/>
                <w:szCs w:val="20"/>
              </w:rPr>
            </w:pPr>
            <w:r w:rsidRPr="00257138">
              <w:rPr>
                <w:rFonts w:asciiTheme="minorHAnsi" w:hAnsiTheme="minorHAnsi" w:cstheme="minorHAnsi"/>
                <w:sz w:val="20"/>
                <w:szCs w:val="20"/>
              </w:rPr>
              <w:t>Thymectomy</w:t>
            </w:r>
          </w:p>
        </w:tc>
      </w:tr>
      <w:tr w:rsidR="001E28C0" w:rsidRPr="006618C1" w:rsidTr="00352C42">
        <w:trPr>
          <w:trHeight w:val="10436"/>
        </w:trPr>
        <w:tc>
          <w:tcPr>
            <w:tcW w:w="1980" w:type="dxa"/>
            <w:tcBorders>
              <w:top w:val="single" w:sz="4" w:space="0" w:color="auto"/>
              <w:left w:val="single" w:sz="4" w:space="0" w:color="auto"/>
              <w:bottom w:val="single" w:sz="4" w:space="0" w:color="auto"/>
              <w:right w:val="single" w:sz="4" w:space="0" w:color="auto"/>
            </w:tcBorders>
          </w:tcPr>
          <w:p w:rsidR="001E28C0" w:rsidRPr="002B7C22" w:rsidRDefault="001E28C0">
            <w:pPr>
              <w:widowControl w:val="0"/>
              <w:autoSpaceDE w:val="0"/>
              <w:autoSpaceDN w:val="0"/>
              <w:adjustRightInd w:val="0"/>
              <w:spacing w:after="240"/>
              <w:rPr>
                <w:rFonts w:cstheme="minorHAnsi"/>
                <w:b/>
              </w:rPr>
            </w:pPr>
            <w:r w:rsidRPr="006618C1">
              <w:rPr>
                <w:rFonts w:cstheme="minorHAnsi"/>
              </w:rPr>
              <w:lastRenderedPageBreak/>
              <w:br w:type="page"/>
            </w:r>
            <w:r w:rsidRPr="002B7C22">
              <w:rPr>
                <w:rFonts w:cstheme="minorHAnsi"/>
                <w:b/>
              </w:rPr>
              <w:t xml:space="preserve">Outcomes </w:t>
            </w:r>
          </w:p>
        </w:tc>
        <w:tc>
          <w:tcPr>
            <w:tcW w:w="8100" w:type="dxa"/>
            <w:tcBorders>
              <w:top w:val="single" w:sz="4" w:space="0" w:color="auto"/>
              <w:left w:val="single" w:sz="4" w:space="0" w:color="auto"/>
              <w:bottom w:val="single" w:sz="4" w:space="0" w:color="auto"/>
              <w:right w:val="single" w:sz="4" w:space="0" w:color="auto"/>
            </w:tcBorders>
          </w:tcPr>
          <w:p w:rsidR="001E28C0" w:rsidRPr="003A6E41" w:rsidRDefault="001E28C0" w:rsidP="00352C42">
            <w:pPr>
              <w:pStyle w:val="Tablecontents"/>
              <w:spacing w:line="276" w:lineRule="auto"/>
              <w:ind w:left="415"/>
              <w:rPr>
                <w:rFonts w:asciiTheme="minorHAnsi" w:hAnsiTheme="minorHAnsi" w:cstheme="minorHAnsi"/>
                <w:b/>
                <w:bCs/>
                <w:i/>
                <w:iCs/>
                <w:sz w:val="20"/>
                <w:szCs w:val="20"/>
              </w:rPr>
            </w:pPr>
            <w:r w:rsidRPr="003A6E41">
              <w:rPr>
                <w:rFonts w:asciiTheme="minorHAnsi" w:hAnsiTheme="minorHAnsi" w:cstheme="minorHAnsi"/>
                <w:b/>
                <w:bCs/>
                <w:i/>
                <w:iCs/>
                <w:sz w:val="20"/>
                <w:szCs w:val="20"/>
              </w:rPr>
              <w:t>The outcomes listed are those identified in the development of the PICO. Additional or more specific outcomes identified during the evaluation process that are considered relevant to the intervention or comparator treatment may be addressed in the evaluation report (Contracted Assessment). Broadly the outcomes identified pre assessment and considered in scope are:</w:t>
            </w:r>
          </w:p>
          <w:p w:rsidR="001E28C0" w:rsidRPr="003A6E41" w:rsidRDefault="001E28C0"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Safety Outcomes:</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 xml:space="preserve">adverse events associated with administration of the therapy (such as IV line insertion risks, line sepsis) </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side effects of the therapy (such as haemodynamic effects, inflammatory and thrombotic effects)</w:t>
            </w:r>
          </w:p>
          <w:p w:rsidR="001E28C0" w:rsidRPr="003A6E41" w:rsidRDefault="001E28C0"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Clinical effectiveness outcomes:</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 xml:space="preserve">mortality </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 xml:space="preserve">rates of infection </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 xml:space="preserve">change in disability and muscle strength (e.g. Myasthenia Gravis Composite [MGC] score) </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 xml:space="preserve">change in quality of life </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 xml:space="preserve">rates of remission </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 xml:space="preserve">disease stability </w:t>
            </w:r>
          </w:p>
          <w:p w:rsidR="001E28C0" w:rsidRPr="00EE2A0C" w:rsidRDefault="001E28C0" w:rsidP="00EE2A0C">
            <w:pPr>
              <w:pStyle w:val="Tablecontents"/>
              <w:numPr>
                <w:ilvl w:val="0"/>
                <w:numId w:val="42"/>
              </w:numPr>
              <w:spacing w:line="276" w:lineRule="auto"/>
              <w:ind w:left="979" w:hanging="425"/>
              <w:rPr>
                <w:rFonts w:cstheme="minorHAnsi"/>
                <w:sz w:val="20"/>
                <w:szCs w:val="20"/>
              </w:rPr>
            </w:pPr>
            <w:r w:rsidRPr="00EE2A0C">
              <w:rPr>
                <w:rFonts w:asciiTheme="minorHAnsi" w:hAnsiTheme="minorHAnsi" w:cstheme="minorHAnsi"/>
                <w:sz w:val="20"/>
                <w:szCs w:val="20"/>
              </w:rPr>
              <w:t>time to relapse</w:t>
            </w:r>
          </w:p>
          <w:p w:rsidR="001E28C0" w:rsidRPr="0047096E" w:rsidRDefault="001E28C0" w:rsidP="00EE2A0C">
            <w:pPr>
              <w:pStyle w:val="ListParagraph"/>
              <w:widowControl w:val="0"/>
              <w:numPr>
                <w:ilvl w:val="0"/>
                <w:numId w:val="48"/>
              </w:numPr>
              <w:shd w:val="clear" w:color="auto" w:fill="FFFFFF"/>
              <w:autoSpaceDE w:val="0"/>
              <w:autoSpaceDN w:val="0"/>
              <w:adjustRightInd w:val="0"/>
              <w:ind w:left="985" w:hanging="415"/>
              <w:rPr>
                <w:rFonts w:cs="Times New Roman"/>
                <w:sz w:val="20"/>
                <w:szCs w:val="20"/>
              </w:rPr>
            </w:pPr>
            <w:r w:rsidRPr="0047096E">
              <w:rPr>
                <w:bCs/>
                <w:sz w:val="20"/>
                <w:szCs w:val="20"/>
              </w:rPr>
              <w:t>need for ventilation or other life support systems</w:t>
            </w:r>
          </w:p>
          <w:p w:rsidR="001E28C0" w:rsidRPr="003A6E41" w:rsidRDefault="001E28C0"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Healthcare system resources utilisation</w:t>
            </w:r>
          </w:p>
          <w:p w:rsidR="001E28C0" w:rsidRPr="003A6E41" w:rsidRDefault="001E28C0" w:rsidP="00A4150B">
            <w:pPr>
              <w:pStyle w:val="Tablecontents"/>
              <w:numPr>
                <w:ilvl w:val="0"/>
                <w:numId w:val="39"/>
              </w:numPr>
              <w:spacing w:line="276" w:lineRule="auto"/>
              <w:ind w:left="420" w:hanging="337"/>
              <w:rPr>
                <w:rFonts w:asciiTheme="minorHAnsi" w:hAnsiTheme="minorHAnsi" w:cstheme="minorHAnsi"/>
                <w:sz w:val="20"/>
                <w:szCs w:val="20"/>
              </w:rPr>
            </w:pPr>
            <w:r w:rsidRPr="003A6E41">
              <w:rPr>
                <w:rFonts w:asciiTheme="minorHAnsi" w:hAnsiTheme="minorHAnsi" w:cstheme="minorHAnsi"/>
                <w:sz w:val="20"/>
                <w:szCs w:val="20"/>
              </w:rPr>
              <w:t xml:space="preserve">Changes in health system resource utilisation associated with the intervention </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 xml:space="preserve">Ig products, </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Infusion equipment,</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 xml:space="preserve">Administrative and clinician time (e.g. resources associated with requesting, and </w:t>
            </w:r>
            <w:proofErr w:type="spellStart"/>
            <w:r w:rsidRPr="003A6E41">
              <w:rPr>
                <w:rFonts w:asciiTheme="minorHAnsi" w:hAnsiTheme="minorHAnsi" w:cstheme="minorHAnsi"/>
                <w:sz w:val="20"/>
                <w:szCs w:val="20"/>
              </w:rPr>
              <w:t>authorising</w:t>
            </w:r>
            <w:proofErr w:type="spellEnd"/>
            <w:r w:rsidRPr="003A6E41">
              <w:rPr>
                <w:rFonts w:asciiTheme="minorHAnsi" w:hAnsiTheme="minorHAnsi" w:cstheme="minorHAnsi"/>
                <w:sz w:val="20"/>
                <w:szCs w:val="20"/>
              </w:rPr>
              <w:t xml:space="preserve">, access to Ig), </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Nursing time (for initiation and monitoring if IVIg)</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Hospitalisation (including use of hospital resources)</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 xml:space="preserve">Medication to treat of adverse events (e.g. analgesia or antihistamines)  </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 xml:space="preserve">Training of patient or </w:t>
            </w:r>
            <w:proofErr w:type="spellStart"/>
            <w:r w:rsidRPr="003A6E41">
              <w:rPr>
                <w:rFonts w:asciiTheme="minorHAnsi" w:hAnsiTheme="minorHAnsi" w:cstheme="minorHAnsi"/>
                <w:sz w:val="20"/>
                <w:szCs w:val="20"/>
              </w:rPr>
              <w:t>carer</w:t>
            </w:r>
            <w:proofErr w:type="spellEnd"/>
            <w:r w:rsidRPr="003A6E41">
              <w:rPr>
                <w:rFonts w:asciiTheme="minorHAnsi" w:hAnsiTheme="minorHAnsi" w:cstheme="minorHAnsi"/>
                <w:sz w:val="20"/>
                <w:szCs w:val="20"/>
              </w:rPr>
              <w:t xml:space="preserve"> to provide infusions (SCIg only), </w:t>
            </w:r>
          </w:p>
          <w:p w:rsidR="001E28C0"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Product dispensing and disposal of any unused product</w:t>
            </w:r>
          </w:p>
          <w:p w:rsidR="001E28C0"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56909">
              <w:rPr>
                <w:rFonts w:asciiTheme="minorHAnsi" w:hAnsiTheme="minorHAnsi" w:cstheme="minorHAnsi"/>
                <w:sz w:val="20"/>
                <w:szCs w:val="20"/>
              </w:rPr>
              <w:t>Follow-up and/or monitoring visits, including regular neurology visits</w:t>
            </w:r>
          </w:p>
          <w:p w:rsidR="001E28C0" w:rsidRPr="003A6E41" w:rsidRDefault="001E28C0" w:rsidP="00A4150B">
            <w:pPr>
              <w:pStyle w:val="Tablecontents"/>
              <w:numPr>
                <w:ilvl w:val="0"/>
                <w:numId w:val="39"/>
              </w:numPr>
              <w:spacing w:line="276" w:lineRule="auto"/>
              <w:ind w:left="420" w:hanging="337"/>
              <w:rPr>
                <w:rFonts w:asciiTheme="minorHAnsi" w:hAnsiTheme="minorHAnsi" w:cstheme="minorHAnsi"/>
                <w:sz w:val="20"/>
                <w:szCs w:val="20"/>
              </w:rPr>
            </w:pPr>
            <w:r w:rsidRPr="003A6E41">
              <w:rPr>
                <w:rFonts w:asciiTheme="minorHAnsi" w:hAnsiTheme="minorHAnsi" w:cstheme="minorHAnsi"/>
                <w:sz w:val="20"/>
                <w:szCs w:val="20"/>
              </w:rPr>
              <w:t>Change in health system resource utilisation associated with the comparators</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 xml:space="preserve">Comparator products </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Resources to deliver the comparator (eg hospital and staff time for IV steroids and plasma exchange, dispensing for oral treatments)</w:t>
            </w:r>
          </w:p>
          <w:p w:rsidR="001E28C0" w:rsidRPr="003A6E41"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sidRPr="003A6E41">
              <w:rPr>
                <w:rFonts w:asciiTheme="minorHAnsi" w:hAnsiTheme="minorHAnsi" w:cstheme="minorHAnsi"/>
                <w:sz w:val="20"/>
                <w:szCs w:val="20"/>
              </w:rPr>
              <w:t>Hospitalisation</w:t>
            </w:r>
          </w:p>
          <w:p w:rsidR="001E28C0" w:rsidRDefault="001E28C0" w:rsidP="00EE2A0C">
            <w:pPr>
              <w:pStyle w:val="Tablecontents"/>
              <w:numPr>
                <w:ilvl w:val="0"/>
                <w:numId w:val="42"/>
              </w:numPr>
              <w:spacing w:line="276" w:lineRule="auto"/>
              <w:ind w:left="979" w:hanging="425"/>
              <w:rPr>
                <w:rFonts w:asciiTheme="minorHAnsi" w:hAnsiTheme="minorHAnsi" w:cstheme="minorHAnsi"/>
                <w:sz w:val="20"/>
                <w:szCs w:val="20"/>
              </w:rPr>
            </w:pPr>
            <w:r>
              <w:rPr>
                <w:rFonts w:asciiTheme="minorHAnsi" w:hAnsiTheme="minorHAnsi" w:cstheme="minorHAnsi"/>
                <w:sz w:val="20"/>
                <w:szCs w:val="20"/>
              </w:rPr>
              <w:t>Management</w:t>
            </w:r>
            <w:r w:rsidRPr="003A6E41">
              <w:rPr>
                <w:rFonts w:asciiTheme="minorHAnsi" w:hAnsiTheme="minorHAnsi" w:cstheme="minorHAnsi"/>
                <w:sz w:val="20"/>
                <w:szCs w:val="20"/>
              </w:rPr>
              <w:t xml:space="preserve"> of adverse events</w:t>
            </w:r>
          </w:p>
          <w:p w:rsidR="001E28C0" w:rsidRPr="006618C1" w:rsidRDefault="001E28C0" w:rsidP="00EE2A0C">
            <w:pPr>
              <w:pStyle w:val="Tablecontents"/>
              <w:numPr>
                <w:ilvl w:val="0"/>
                <w:numId w:val="42"/>
              </w:numPr>
              <w:spacing w:line="276" w:lineRule="auto"/>
              <w:ind w:left="979" w:hanging="425"/>
              <w:rPr>
                <w:rFonts w:cstheme="minorHAnsi"/>
              </w:rPr>
            </w:pPr>
            <w:r w:rsidRPr="00356909">
              <w:rPr>
                <w:rFonts w:asciiTheme="minorHAnsi" w:hAnsiTheme="minorHAnsi" w:cstheme="minorHAnsi"/>
                <w:sz w:val="20"/>
                <w:szCs w:val="20"/>
              </w:rPr>
              <w:t>Follow-up and/or monitoring visits, including regular neurology visits</w:t>
            </w:r>
          </w:p>
        </w:tc>
      </w:tr>
    </w:tbl>
    <w:p w:rsidR="00352C42" w:rsidRDefault="00352C42">
      <w:pPr>
        <w:widowControl w:val="0"/>
        <w:autoSpaceDE w:val="0"/>
        <w:autoSpaceDN w:val="0"/>
        <w:adjustRightInd w:val="0"/>
        <w:rPr>
          <w:rFonts w:cstheme="minorHAnsi"/>
          <w:sz w:val="24"/>
          <w:szCs w:val="24"/>
        </w:rPr>
      </w:pPr>
    </w:p>
    <w:p w:rsidR="00352C42" w:rsidRDefault="00352C42">
      <w:pPr>
        <w:rPr>
          <w:rFonts w:cstheme="minorHAnsi"/>
          <w:sz w:val="24"/>
          <w:szCs w:val="24"/>
        </w:rPr>
      </w:pPr>
      <w:r>
        <w:rPr>
          <w:rFonts w:cstheme="minorHAnsi"/>
          <w:sz w:val="24"/>
          <w:szCs w:val="24"/>
        </w:rPr>
        <w:br w:type="page"/>
      </w:r>
    </w:p>
    <w:p w:rsidR="001E28C0" w:rsidRPr="006618C1" w:rsidRDefault="001E28C0">
      <w:pPr>
        <w:widowControl w:val="0"/>
        <w:autoSpaceDE w:val="0"/>
        <w:autoSpaceDN w:val="0"/>
        <w:adjustRightInd w:val="0"/>
        <w:rPr>
          <w:rFonts w:cstheme="minorHAnsi"/>
          <w:sz w:val="24"/>
          <w:szCs w:val="24"/>
        </w:rPr>
      </w:pPr>
    </w:p>
    <w:p w:rsidR="00887301" w:rsidRPr="00970715" w:rsidRDefault="003E5FE5" w:rsidP="00895022">
      <w:pPr>
        <w:widowControl w:val="0"/>
        <w:autoSpaceDE w:val="0"/>
        <w:autoSpaceDN w:val="0"/>
        <w:adjustRightInd w:val="0"/>
        <w:spacing w:after="360"/>
        <w:rPr>
          <w:rFonts w:cstheme="minorHAnsi"/>
          <w:b/>
          <w:bCs/>
          <w:i/>
          <w:iCs/>
          <w:color w:val="548DD4"/>
          <w:sz w:val="26"/>
          <w:szCs w:val="26"/>
          <w:u w:val="single"/>
        </w:rPr>
      </w:pPr>
      <w:r w:rsidRPr="00970715">
        <w:rPr>
          <w:rFonts w:cstheme="minorHAnsi"/>
          <w:b/>
          <w:bCs/>
          <w:i/>
          <w:iCs/>
          <w:color w:val="548DD4"/>
          <w:sz w:val="26"/>
          <w:szCs w:val="26"/>
          <w:u w:val="single"/>
        </w:rPr>
        <w:t xml:space="preserve">PICO rationale for therapeutic medical services </w:t>
      </w:r>
    </w:p>
    <w:p w:rsidR="00887301" w:rsidRPr="00970715" w:rsidRDefault="003E5FE5" w:rsidP="00970715">
      <w:pPr>
        <w:pStyle w:val="Heading1"/>
        <w:rPr>
          <w:b/>
        </w:rPr>
      </w:pPr>
      <w:r w:rsidRPr="00970715">
        <w:rPr>
          <w:b/>
        </w:rPr>
        <w:t>Population</w:t>
      </w:r>
    </w:p>
    <w:p w:rsidR="00887301" w:rsidRPr="006618C1" w:rsidRDefault="003E5FE5" w:rsidP="00895022">
      <w:pPr>
        <w:widowControl w:val="0"/>
        <w:autoSpaceDE w:val="0"/>
        <w:autoSpaceDN w:val="0"/>
        <w:adjustRightInd w:val="0"/>
        <w:spacing w:after="240"/>
        <w:rPr>
          <w:rFonts w:cstheme="minorHAnsi"/>
        </w:rPr>
      </w:pPr>
      <w:r w:rsidRPr="006618C1">
        <w:rPr>
          <w:rFonts w:cstheme="minorHAnsi"/>
        </w:rPr>
        <w:t xml:space="preserve">Myasthenia Gravis (MG) is a debilitating autoimmune disease affecting the nervous system and causing muscle weakness. MG is associated in the majority of patients (85%) with the presence of antibodies to the acetylcholine receptors (AChR) of the neuromuscular junction. In a smaller proportion of cases, MG is associated with antibodies to muscle specific tyrosine kinase (MuSK), a protein also found at the neuromuscular junction which has a role in AChR function. A very small number of MG patients are </w:t>
      </w:r>
      <w:proofErr w:type="spellStart"/>
      <w:r w:rsidRPr="006618C1">
        <w:rPr>
          <w:rFonts w:cstheme="minorHAnsi"/>
        </w:rPr>
        <w:t>sero</w:t>
      </w:r>
      <w:proofErr w:type="spellEnd"/>
      <w:r w:rsidRPr="006618C1">
        <w:rPr>
          <w:rFonts w:cstheme="minorHAnsi"/>
        </w:rPr>
        <w:t>-negative, that is, they do not have antibodies to either of these two proteins.</w:t>
      </w:r>
    </w:p>
    <w:p w:rsidR="00887301" w:rsidRPr="006618C1" w:rsidRDefault="003E5FE5" w:rsidP="00895022">
      <w:pPr>
        <w:widowControl w:val="0"/>
        <w:autoSpaceDE w:val="0"/>
        <w:autoSpaceDN w:val="0"/>
        <w:adjustRightInd w:val="0"/>
        <w:spacing w:before="240" w:after="240"/>
        <w:rPr>
          <w:rFonts w:cstheme="minorHAnsi"/>
        </w:rPr>
      </w:pPr>
      <w:r w:rsidRPr="006618C1">
        <w:rPr>
          <w:rFonts w:cstheme="minorHAnsi"/>
        </w:rPr>
        <w:t>Symptoms of muscle weakness are have a common pattern in MG, most commonly causing unilateral or bilateral drooping of the eyelid (ptosis), double vision (diplopia), difficulty swallowing (dysphagia), weakness of the proximal muscles and respiratory system. Disease onset is on average earlier in women at 28 years, whereas in men onset at 42 years on average. Symptoms can appear at any age however, and 10% of cases begin in childhood. Women are affected 50% more often than men. Severity worsens over one to three years to its maximum degree</w:t>
      </w:r>
      <w:r w:rsidR="00895022" w:rsidRPr="006618C1">
        <w:rPr>
          <w:rFonts w:cstheme="minorHAnsi"/>
        </w:rPr>
        <w:t>.</w:t>
      </w:r>
    </w:p>
    <w:p w:rsidR="00887301" w:rsidRPr="006618C1" w:rsidRDefault="003E5FE5" w:rsidP="00895022">
      <w:pPr>
        <w:widowControl w:val="0"/>
        <w:autoSpaceDE w:val="0"/>
        <w:autoSpaceDN w:val="0"/>
        <w:adjustRightInd w:val="0"/>
        <w:spacing w:after="240"/>
        <w:rPr>
          <w:rFonts w:cstheme="minorHAnsi"/>
        </w:rPr>
      </w:pPr>
      <w:r w:rsidRPr="006618C1">
        <w:rPr>
          <w:rFonts w:cstheme="minorHAnsi"/>
        </w:rPr>
        <w:t>MG affects two to seven out of every 10,000 people in Western countries. It occurs about one and a half times more often in women than in men. In about 10 percent of cases, MG begins in childhood</w:t>
      </w:r>
      <w:r w:rsidR="0092692F">
        <w:rPr>
          <w:rFonts w:cstheme="minorHAnsi"/>
        </w:rPr>
        <w:t xml:space="preserve"> </w:t>
      </w:r>
      <w:r w:rsidRPr="006618C1">
        <w:rPr>
          <w:rFonts w:cstheme="minorHAnsi"/>
        </w:rPr>
        <w:t>(Muscular Dystrophy Foundation Australia 2012)</w:t>
      </w:r>
      <w:r w:rsidR="0092692F">
        <w:rPr>
          <w:rFonts w:cstheme="minorHAnsi"/>
        </w:rPr>
        <w:t>.</w:t>
      </w:r>
      <w:r w:rsidRPr="006618C1">
        <w:rPr>
          <w:rFonts w:cstheme="minorHAnsi"/>
        </w:rPr>
        <w:t xml:space="preserve"> Quality of life is severely impacted by MG with everyday activities made difficult for MG sufferers due to the weakness in muscles, especially</w:t>
      </w:r>
      <w:r w:rsidR="0092692F">
        <w:rPr>
          <w:rFonts w:cstheme="minorHAnsi"/>
        </w:rPr>
        <w:t xml:space="preserve"> in the</w:t>
      </w:r>
      <w:r w:rsidRPr="006618C1">
        <w:rPr>
          <w:rFonts w:cstheme="minorHAnsi"/>
        </w:rPr>
        <w:t xml:space="preserve"> limbs. Over 30 percent of patients experience very severe symptoms requiring hospitalisation and/or intensive care.</w:t>
      </w:r>
    </w:p>
    <w:p w:rsidR="00887301" w:rsidRPr="006618C1" w:rsidRDefault="003E5FE5" w:rsidP="00895022">
      <w:pPr>
        <w:widowControl w:val="0"/>
        <w:autoSpaceDE w:val="0"/>
        <w:autoSpaceDN w:val="0"/>
        <w:adjustRightInd w:val="0"/>
        <w:spacing w:after="240"/>
        <w:rPr>
          <w:rFonts w:cstheme="minorHAnsi"/>
        </w:rPr>
      </w:pPr>
      <w:r w:rsidRPr="006618C1">
        <w:rPr>
          <w:rFonts w:cstheme="minorHAnsi"/>
        </w:rPr>
        <w:t>There is evidence that the natural history of MG is characterised by exacerbations and remissions similar to those seen in other autoimmune diseases. The most striking initiating factor of exacerbation has been infection. Respiratory failure is the most common cause of death. Advance technology in artificial ventilation has significantly contributed to the decreased mortality from 40% to 5%. Similarly, improved antibiotics have also reduced mortality from respiratory and other infections in patients with severe exacerbations. More recent publications have reported that most individuals with the condition have normal life expectancy.</w:t>
      </w:r>
    </w:p>
    <w:p w:rsidR="00887301" w:rsidRPr="006618C1" w:rsidRDefault="003E5FE5" w:rsidP="00895022">
      <w:pPr>
        <w:widowControl w:val="0"/>
        <w:autoSpaceDE w:val="0"/>
        <w:autoSpaceDN w:val="0"/>
        <w:adjustRightInd w:val="0"/>
        <w:spacing w:after="240"/>
        <w:rPr>
          <w:rFonts w:cstheme="minorHAnsi"/>
        </w:rPr>
      </w:pPr>
      <w:r w:rsidRPr="006618C1">
        <w:rPr>
          <w:rFonts w:cstheme="minorHAnsi"/>
        </w:rPr>
        <w:t>Remission occurs in about 20 percent of people with MG. Usually, the remissions are temporary, with an average duration of five years, but some people experience more than one remission during their lifetime. Occasionally permanent remission can occur, lasting over 20 years.</w:t>
      </w:r>
    </w:p>
    <w:p w:rsidR="00057EBA" w:rsidRPr="006618C1" w:rsidRDefault="003A155E" w:rsidP="00895022">
      <w:pPr>
        <w:widowControl w:val="0"/>
        <w:autoSpaceDE w:val="0"/>
        <w:autoSpaceDN w:val="0"/>
        <w:adjustRightInd w:val="0"/>
        <w:spacing w:after="240"/>
        <w:rPr>
          <w:rFonts w:cstheme="minorHAnsi"/>
        </w:rPr>
      </w:pPr>
      <w:r w:rsidRPr="006618C1">
        <w:rPr>
          <w:rFonts w:cstheme="minorHAnsi"/>
        </w:rPr>
        <w:t>MG is one of the top ten diagnostic groups for use of</w:t>
      </w:r>
      <w:r w:rsidR="00B54354" w:rsidRPr="006618C1">
        <w:rPr>
          <w:rFonts w:cstheme="minorHAnsi"/>
        </w:rPr>
        <w:t xml:space="preserve"> immunoglobulin (</w:t>
      </w:r>
      <w:r w:rsidRPr="006618C1">
        <w:rPr>
          <w:rFonts w:cstheme="minorHAnsi"/>
        </w:rPr>
        <w:t>Ig</w:t>
      </w:r>
      <w:r w:rsidR="00B54354" w:rsidRPr="006618C1">
        <w:rPr>
          <w:rFonts w:cstheme="minorHAnsi"/>
        </w:rPr>
        <w:t>)</w:t>
      </w:r>
      <w:r w:rsidRPr="006618C1">
        <w:rPr>
          <w:rFonts w:cstheme="minorHAnsi"/>
        </w:rPr>
        <w:t xml:space="preserve">. </w:t>
      </w:r>
      <w:r w:rsidR="00057EBA" w:rsidRPr="006618C1">
        <w:rPr>
          <w:rFonts w:cstheme="minorHAnsi"/>
        </w:rPr>
        <w:t xml:space="preserve">The National Blood Authority report (2015-16) shows that there has been a 15.7% increase in the use of Ig for MG since 2011-12, with 402, 881 grams of Ig issued for 945 patients with disorder in 2015-16. </w:t>
      </w:r>
      <w:r w:rsidRPr="006618C1">
        <w:rPr>
          <w:rFonts w:cstheme="minorHAnsi"/>
        </w:rPr>
        <w:t>(National Blood Authority, 2016)</w:t>
      </w:r>
    </w:p>
    <w:p w:rsidR="003970FC" w:rsidRPr="006618C1" w:rsidRDefault="003E5FE5" w:rsidP="009E2E46">
      <w:pPr>
        <w:widowControl w:val="0"/>
        <w:autoSpaceDE w:val="0"/>
        <w:autoSpaceDN w:val="0"/>
        <w:adjustRightInd w:val="0"/>
        <w:rPr>
          <w:rFonts w:cstheme="minorHAnsi"/>
          <w:b/>
          <w:bCs/>
          <w:sz w:val="20"/>
          <w:szCs w:val="20"/>
        </w:rPr>
      </w:pPr>
      <w:r w:rsidRPr="006618C1">
        <w:rPr>
          <w:rFonts w:cstheme="minorHAnsi"/>
        </w:rPr>
        <w:t xml:space="preserve">There are three indications in which MG patients may be eligible for Ig therapy, as shown in Figure 1. </w:t>
      </w:r>
      <w:r w:rsidR="00A21165" w:rsidRPr="006618C1">
        <w:rPr>
          <w:rFonts w:cstheme="minorHAnsi"/>
        </w:rPr>
        <w:t xml:space="preserve">These indications are set forth in the </w:t>
      </w:r>
      <w:r w:rsidR="00A21165" w:rsidRPr="006618C1">
        <w:rPr>
          <w:rFonts w:cstheme="minorHAnsi"/>
          <w:i/>
        </w:rPr>
        <w:t xml:space="preserve">Criteria for Immunoglobulin Use in Australia, Version 3, </w:t>
      </w:r>
      <w:r w:rsidR="00A21165" w:rsidRPr="006618C1">
        <w:rPr>
          <w:rFonts w:cstheme="minorHAnsi"/>
        </w:rPr>
        <w:t>from the National Blood Authority (NBA). (National Blood Authority, 2018)</w:t>
      </w:r>
      <w:r w:rsidR="003970FC" w:rsidRPr="006618C1">
        <w:rPr>
          <w:rFonts w:cstheme="minorHAnsi"/>
          <w:sz w:val="20"/>
          <w:szCs w:val="20"/>
        </w:rPr>
        <w:br w:type="page"/>
      </w:r>
    </w:p>
    <w:p w:rsidR="00887301" w:rsidRPr="006618C1" w:rsidRDefault="003E5FE5" w:rsidP="003970FC">
      <w:pPr>
        <w:pStyle w:val="Caption1"/>
        <w:rPr>
          <w:rFonts w:asciiTheme="minorHAnsi" w:hAnsiTheme="minorHAnsi" w:cstheme="minorHAnsi"/>
        </w:rPr>
      </w:pPr>
      <w:r w:rsidRPr="006618C1">
        <w:rPr>
          <w:rFonts w:asciiTheme="minorHAnsi" w:hAnsiTheme="minorHAnsi" w:cstheme="minorHAnsi"/>
          <w:szCs w:val="20"/>
        </w:rPr>
        <w:lastRenderedPageBreak/>
        <w:t xml:space="preserve">Figure </w:t>
      </w:r>
      <w:r w:rsidRPr="006618C1">
        <w:rPr>
          <w:rFonts w:asciiTheme="minorHAnsi" w:hAnsiTheme="minorHAnsi" w:cstheme="minorHAnsi"/>
        </w:rPr>
        <w:t>1: Indications for Ig therapy in pati</w:t>
      </w:r>
      <w:r w:rsidR="00E82E6B" w:rsidRPr="006618C1">
        <w:rPr>
          <w:rFonts w:asciiTheme="minorHAnsi" w:hAnsiTheme="minorHAnsi" w:cstheme="minorHAnsi"/>
        </w:rPr>
        <w:t xml:space="preserve">ents with MG, according to NBA </w:t>
      </w:r>
      <w:r w:rsidR="00E82E6B" w:rsidRPr="006618C1">
        <w:rPr>
          <w:rFonts w:asciiTheme="minorHAnsi" w:hAnsiTheme="minorHAnsi" w:cstheme="minorHAnsi"/>
          <w:i/>
        </w:rPr>
        <w:t>C</w:t>
      </w:r>
      <w:r w:rsidRPr="006618C1">
        <w:rPr>
          <w:rFonts w:asciiTheme="minorHAnsi" w:hAnsiTheme="minorHAnsi" w:cstheme="minorHAnsi"/>
          <w:i/>
        </w:rPr>
        <w:t>riteria</w:t>
      </w:r>
      <w:r w:rsidR="00A21165" w:rsidRPr="006618C1">
        <w:rPr>
          <w:rFonts w:asciiTheme="minorHAnsi" w:hAnsiTheme="minorHAnsi" w:cstheme="minorHAnsi"/>
          <w:i/>
        </w:rPr>
        <w:t>, V</w:t>
      </w:r>
      <w:r w:rsidR="00E82E6B" w:rsidRPr="006618C1">
        <w:rPr>
          <w:rFonts w:asciiTheme="minorHAnsi" w:hAnsiTheme="minorHAnsi" w:cstheme="minorHAnsi"/>
          <w:i/>
        </w:rPr>
        <w:t xml:space="preserve">ersion </w:t>
      </w:r>
      <w:r w:rsidR="00A21165" w:rsidRPr="006618C1">
        <w:rPr>
          <w:rFonts w:asciiTheme="minorHAnsi" w:hAnsiTheme="minorHAnsi" w:cstheme="minorHAnsi"/>
          <w:i/>
        </w:rPr>
        <w:t>3</w:t>
      </w:r>
      <w:r w:rsidRPr="006618C1">
        <w:rPr>
          <w:rFonts w:asciiTheme="minorHAnsi" w:hAnsiTheme="minorHAnsi" w:cstheme="minorHAnsi"/>
        </w:rPr>
        <w:t xml:space="preserve"> (National Blood Authority 2018)</w:t>
      </w:r>
    </w:p>
    <w:p w:rsidR="00887301" w:rsidRPr="006618C1" w:rsidRDefault="003E5FE5" w:rsidP="005F38C8">
      <w:pPr>
        <w:widowControl w:val="0"/>
        <w:shd w:val="clear" w:color="auto" w:fill="FDE9D9"/>
        <w:autoSpaceDE w:val="0"/>
        <w:autoSpaceDN w:val="0"/>
        <w:adjustRightInd w:val="0"/>
        <w:spacing w:after="120"/>
        <w:rPr>
          <w:rFonts w:cstheme="minorHAnsi"/>
          <w:b/>
          <w:bCs/>
          <w:sz w:val="18"/>
          <w:szCs w:val="18"/>
          <w:u w:val="single"/>
        </w:rPr>
      </w:pPr>
      <w:r w:rsidRPr="006618C1">
        <w:rPr>
          <w:rFonts w:cstheme="minorHAnsi"/>
          <w:b/>
          <w:bCs/>
          <w:sz w:val="18"/>
          <w:szCs w:val="18"/>
          <w:u w:val="single"/>
        </w:rPr>
        <w:t>Indication 1: Myasthenic crisis as an alternative treatment to plasma exchange</w:t>
      </w:r>
    </w:p>
    <w:p w:rsidR="00887301" w:rsidRPr="006618C1" w:rsidRDefault="003E5FE5" w:rsidP="005F38C8">
      <w:pPr>
        <w:widowControl w:val="0"/>
        <w:shd w:val="clear" w:color="auto" w:fill="FDE9D9"/>
        <w:autoSpaceDE w:val="0"/>
        <w:autoSpaceDN w:val="0"/>
        <w:adjustRightInd w:val="0"/>
        <w:spacing w:after="120"/>
        <w:rPr>
          <w:rFonts w:cstheme="minorHAnsi"/>
          <w:b/>
          <w:bCs/>
          <w:sz w:val="18"/>
          <w:szCs w:val="18"/>
        </w:rPr>
      </w:pPr>
      <w:r w:rsidRPr="006618C1">
        <w:rPr>
          <w:rFonts w:cstheme="minorHAnsi"/>
          <w:b/>
          <w:bCs/>
          <w:sz w:val="18"/>
          <w:szCs w:val="18"/>
        </w:rPr>
        <w:t>Initial Qualifying Criteria:</w:t>
      </w:r>
    </w:p>
    <w:p w:rsidR="00887301" w:rsidRPr="006618C1" w:rsidRDefault="003E5FE5" w:rsidP="005F38C8">
      <w:pPr>
        <w:widowControl w:val="0"/>
        <w:shd w:val="clear" w:color="auto" w:fill="FDE9D9"/>
        <w:autoSpaceDE w:val="0"/>
        <w:autoSpaceDN w:val="0"/>
        <w:adjustRightInd w:val="0"/>
        <w:spacing w:after="120"/>
        <w:rPr>
          <w:rFonts w:cstheme="minorHAnsi"/>
          <w:sz w:val="18"/>
          <w:szCs w:val="18"/>
        </w:rPr>
      </w:pPr>
      <w:r w:rsidRPr="006618C1">
        <w:rPr>
          <w:rFonts w:cstheme="minorHAnsi"/>
          <w:sz w:val="18"/>
          <w:szCs w:val="18"/>
        </w:rPr>
        <w:t>Myasthenic crisis with respiratory insufficiency requiring intubation and assisted ventilation.</w:t>
      </w:r>
    </w:p>
    <w:p w:rsidR="00887301" w:rsidRPr="006618C1" w:rsidRDefault="003E5FE5" w:rsidP="005F38C8">
      <w:pPr>
        <w:widowControl w:val="0"/>
        <w:shd w:val="clear" w:color="auto" w:fill="FDE9D9"/>
        <w:autoSpaceDE w:val="0"/>
        <w:autoSpaceDN w:val="0"/>
        <w:adjustRightInd w:val="0"/>
        <w:spacing w:after="120"/>
        <w:jc w:val="center"/>
        <w:rPr>
          <w:rFonts w:cstheme="minorHAnsi"/>
          <w:sz w:val="18"/>
          <w:szCs w:val="18"/>
        </w:rPr>
      </w:pPr>
      <w:r w:rsidRPr="006618C1">
        <w:rPr>
          <w:rFonts w:cstheme="minorHAnsi"/>
          <w:sz w:val="18"/>
          <w:szCs w:val="18"/>
        </w:rPr>
        <w:t>OR</w:t>
      </w:r>
    </w:p>
    <w:p w:rsidR="00887301" w:rsidRPr="006618C1" w:rsidRDefault="003E5FE5" w:rsidP="005F38C8">
      <w:pPr>
        <w:widowControl w:val="0"/>
        <w:shd w:val="clear" w:color="auto" w:fill="FDE9D9"/>
        <w:autoSpaceDE w:val="0"/>
        <w:autoSpaceDN w:val="0"/>
        <w:adjustRightInd w:val="0"/>
        <w:rPr>
          <w:rFonts w:cstheme="minorHAnsi"/>
          <w:sz w:val="18"/>
          <w:szCs w:val="18"/>
        </w:rPr>
      </w:pPr>
      <w:r w:rsidRPr="006618C1">
        <w:rPr>
          <w:rFonts w:cstheme="minorHAnsi"/>
          <w:sz w:val="18"/>
          <w:szCs w:val="18"/>
        </w:rPr>
        <w:t>Patient at risk of myasthenic crisis displaying symptoms of respiratory insufficiency such as persistent difficulty with speech, difficulty chewing or swallowing and/or shortness of breath on minimal activity.</w:t>
      </w:r>
    </w:p>
    <w:p w:rsidR="00887301" w:rsidRPr="006618C1" w:rsidRDefault="003E5FE5" w:rsidP="005F38C8">
      <w:pPr>
        <w:widowControl w:val="0"/>
        <w:shd w:val="clear" w:color="auto" w:fill="FDE9D9"/>
        <w:autoSpaceDE w:val="0"/>
        <w:autoSpaceDN w:val="0"/>
        <w:adjustRightInd w:val="0"/>
        <w:spacing w:before="120" w:after="120"/>
        <w:rPr>
          <w:rFonts w:cstheme="minorHAnsi"/>
          <w:b/>
          <w:bCs/>
          <w:sz w:val="18"/>
          <w:szCs w:val="18"/>
        </w:rPr>
      </w:pPr>
      <w:r w:rsidRPr="006618C1">
        <w:rPr>
          <w:rFonts w:cstheme="minorHAnsi"/>
          <w:b/>
          <w:bCs/>
          <w:sz w:val="18"/>
          <w:szCs w:val="18"/>
        </w:rPr>
        <w:t>AND</w:t>
      </w:r>
    </w:p>
    <w:p w:rsidR="00887301" w:rsidRPr="006618C1" w:rsidRDefault="003E5FE5" w:rsidP="005F38C8">
      <w:pPr>
        <w:widowControl w:val="0"/>
        <w:shd w:val="clear" w:color="auto" w:fill="FDE9D9"/>
        <w:autoSpaceDE w:val="0"/>
        <w:autoSpaceDN w:val="0"/>
        <w:adjustRightInd w:val="0"/>
        <w:spacing w:after="240"/>
        <w:rPr>
          <w:rFonts w:cstheme="minorHAnsi"/>
          <w:sz w:val="18"/>
          <w:szCs w:val="18"/>
        </w:rPr>
      </w:pPr>
      <w:r w:rsidRPr="006618C1">
        <w:rPr>
          <w:rFonts w:cstheme="minorHAnsi"/>
          <w:sz w:val="18"/>
          <w:szCs w:val="18"/>
        </w:rPr>
        <w:t>Clinical assessment confirms severe disability as measured by a Myasthenia Gravis Composite (MGC) score of at least four points.</w:t>
      </w:r>
    </w:p>
    <w:p w:rsidR="00887301" w:rsidRPr="006618C1" w:rsidRDefault="003E5FE5" w:rsidP="005F38C8">
      <w:pPr>
        <w:widowControl w:val="0"/>
        <w:shd w:val="clear" w:color="auto" w:fill="EAF1DD"/>
        <w:autoSpaceDE w:val="0"/>
        <w:autoSpaceDN w:val="0"/>
        <w:adjustRightInd w:val="0"/>
        <w:spacing w:after="120"/>
        <w:rPr>
          <w:rFonts w:cstheme="minorHAnsi"/>
          <w:b/>
          <w:bCs/>
          <w:sz w:val="18"/>
          <w:szCs w:val="18"/>
          <w:u w:val="single"/>
        </w:rPr>
      </w:pPr>
      <w:r w:rsidRPr="006618C1">
        <w:rPr>
          <w:rFonts w:cstheme="minorHAnsi"/>
          <w:b/>
          <w:bCs/>
          <w:sz w:val="18"/>
          <w:szCs w:val="18"/>
          <w:u w:val="single"/>
        </w:rPr>
        <w:t>Indication 2: MG prior to surgery and/or thymectomy in patients with advanced disease, bulbar symptoms or respiratory involvement, as an alternative treatment to plasma exchange</w:t>
      </w:r>
    </w:p>
    <w:p w:rsidR="00887301" w:rsidRPr="006618C1" w:rsidRDefault="003E5FE5" w:rsidP="005F38C8">
      <w:pPr>
        <w:widowControl w:val="0"/>
        <w:shd w:val="clear" w:color="auto" w:fill="EAF1DD"/>
        <w:autoSpaceDE w:val="0"/>
        <w:autoSpaceDN w:val="0"/>
        <w:adjustRightInd w:val="0"/>
        <w:spacing w:after="120"/>
        <w:rPr>
          <w:rFonts w:cstheme="minorHAnsi"/>
          <w:b/>
          <w:bCs/>
          <w:sz w:val="18"/>
          <w:szCs w:val="18"/>
        </w:rPr>
      </w:pPr>
      <w:r w:rsidRPr="006618C1">
        <w:rPr>
          <w:rFonts w:cstheme="minorHAnsi"/>
          <w:b/>
          <w:bCs/>
          <w:sz w:val="18"/>
          <w:szCs w:val="18"/>
        </w:rPr>
        <w:t>Initial Qualifying Criteria:</w:t>
      </w:r>
    </w:p>
    <w:p w:rsidR="00887301" w:rsidRPr="006618C1" w:rsidRDefault="003E5FE5" w:rsidP="005F38C8">
      <w:pPr>
        <w:widowControl w:val="0"/>
        <w:shd w:val="clear" w:color="auto" w:fill="EAF1DD"/>
        <w:autoSpaceDE w:val="0"/>
        <w:autoSpaceDN w:val="0"/>
        <w:adjustRightInd w:val="0"/>
        <w:spacing w:after="120"/>
        <w:rPr>
          <w:rFonts w:cstheme="minorHAnsi"/>
          <w:sz w:val="18"/>
          <w:szCs w:val="18"/>
        </w:rPr>
      </w:pPr>
      <w:r w:rsidRPr="006618C1">
        <w:rPr>
          <w:rFonts w:cstheme="minorHAnsi"/>
          <w:sz w:val="18"/>
          <w:szCs w:val="18"/>
        </w:rPr>
        <w:t>Surgery is planned.</w:t>
      </w:r>
    </w:p>
    <w:p w:rsidR="00887301" w:rsidRPr="006618C1" w:rsidRDefault="003E5FE5" w:rsidP="005F38C8">
      <w:pPr>
        <w:widowControl w:val="0"/>
        <w:shd w:val="clear" w:color="auto" w:fill="EAF1DD"/>
        <w:autoSpaceDE w:val="0"/>
        <w:autoSpaceDN w:val="0"/>
        <w:adjustRightInd w:val="0"/>
        <w:spacing w:after="120"/>
        <w:rPr>
          <w:rFonts w:cstheme="minorHAnsi"/>
          <w:b/>
          <w:bCs/>
          <w:sz w:val="18"/>
          <w:szCs w:val="18"/>
        </w:rPr>
      </w:pPr>
      <w:r w:rsidRPr="006618C1">
        <w:rPr>
          <w:rFonts w:cstheme="minorHAnsi"/>
          <w:b/>
          <w:bCs/>
          <w:sz w:val="18"/>
          <w:szCs w:val="18"/>
        </w:rPr>
        <w:t>AND</w:t>
      </w:r>
    </w:p>
    <w:p w:rsidR="00887301" w:rsidRPr="006618C1" w:rsidRDefault="003E5FE5" w:rsidP="005F38C8">
      <w:pPr>
        <w:widowControl w:val="0"/>
        <w:shd w:val="clear" w:color="auto" w:fill="EAF1DD"/>
        <w:autoSpaceDE w:val="0"/>
        <w:autoSpaceDN w:val="0"/>
        <w:adjustRightInd w:val="0"/>
        <w:spacing w:after="240"/>
        <w:rPr>
          <w:rFonts w:cstheme="minorHAnsi"/>
          <w:sz w:val="18"/>
          <w:szCs w:val="18"/>
        </w:rPr>
      </w:pPr>
      <w:r w:rsidRPr="006618C1">
        <w:rPr>
          <w:rFonts w:cstheme="minorHAnsi"/>
          <w:sz w:val="18"/>
          <w:szCs w:val="18"/>
        </w:rPr>
        <w:t>The patient has advanced MG disease, bulbar symptoms and/or respiratory involvement.</w:t>
      </w:r>
    </w:p>
    <w:p w:rsidR="00887301" w:rsidRPr="006618C1" w:rsidRDefault="003E5FE5" w:rsidP="005F38C8">
      <w:pPr>
        <w:widowControl w:val="0"/>
        <w:shd w:val="clear" w:color="auto" w:fill="F2DBDB"/>
        <w:autoSpaceDE w:val="0"/>
        <w:autoSpaceDN w:val="0"/>
        <w:adjustRightInd w:val="0"/>
        <w:spacing w:after="120"/>
        <w:rPr>
          <w:rFonts w:cstheme="minorHAnsi"/>
          <w:b/>
          <w:bCs/>
          <w:sz w:val="18"/>
          <w:szCs w:val="18"/>
          <w:u w:val="single"/>
        </w:rPr>
      </w:pPr>
      <w:r w:rsidRPr="006618C1">
        <w:rPr>
          <w:rFonts w:cstheme="minorHAnsi"/>
          <w:b/>
          <w:bCs/>
          <w:sz w:val="18"/>
          <w:szCs w:val="18"/>
          <w:u w:val="single"/>
        </w:rPr>
        <w:t>Indication 3: As maintenance therapy for moderate to severe MG when other treatments have been ineffective or caused intolerable side effects.</w:t>
      </w:r>
    </w:p>
    <w:p w:rsidR="00887301" w:rsidRPr="006618C1" w:rsidRDefault="003E5FE5" w:rsidP="005F38C8">
      <w:pPr>
        <w:widowControl w:val="0"/>
        <w:shd w:val="clear" w:color="auto" w:fill="F2DBDB"/>
        <w:autoSpaceDE w:val="0"/>
        <w:autoSpaceDN w:val="0"/>
        <w:adjustRightInd w:val="0"/>
        <w:spacing w:after="120"/>
        <w:rPr>
          <w:rFonts w:cstheme="minorHAnsi"/>
          <w:b/>
          <w:bCs/>
          <w:sz w:val="18"/>
          <w:szCs w:val="18"/>
        </w:rPr>
      </w:pPr>
      <w:r w:rsidRPr="006618C1">
        <w:rPr>
          <w:rFonts w:cstheme="minorHAnsi"/>
          <w:b/>
          <w:bCs/>
          <w:sz w:val="18"/>
          <w:szCs w:val="18"/>
        </w:rPr>
        <w:t>Initial Qualifying Criteria:</w:t>
      </w:r>
    </w:p>
    <w:p w:rsidR="00887301" w:rsidRPr="006618C1" w:rsidRDefault="003E5FE5" w:rsidP="005F38C8">
      <w:pPr>
        <w:widowControl w:val="0"/>
        <w:shd w:val="clear" w:color="auto" w:fill="F2DBDB"/>
        <w:autoSpaceDE w:val="0"/>
        <w:autoSpaceDN w:val="0"/>
        <w:adjustRightInd w:val="0"/>
        <w:rPr>
          <w:rFonts w:cstheme="minorHAnsi"/>
          <w:sz w:val="18"/>
          <w:szCs w:val="18"/>
        </w:rPr>
      </w:pPr>
      <w:r w:rsidRPr="006618C1">
        <w:rPr>
          <w:rFonts w:cstheme="minorHAnsi"/>
          <w:sz w:val="18"/>
          <w:szCs w:val="18"/>
        </w:rPr>
        <w:t xml:space="preserve">The patient has moderate to severe MG as assessed by a </w:t>
      </w:r>
      <w:hyperlink r:id="rId11" w:history="1">
        <w:r w:rsidRPr="006618C1">
          <w:rPr>
            <w:rFonts w:cstheme="minorHAnsi"/>
            <w:color w:val="0000FF"/>
            <w:sz w:val="18"/>
            <w:szCs w:val="18"/>
            <w:u w:val="single"/>
          </w:rPr>
          <w:t>Myasthenia Gravis Composite (MGC)</w:t>
        </w:r>
      </w:hyperlink>
      <w:r w:rsidRPr="006618C1">
        <w:rPr>
          <w:rFonts w:cstheme="minorHAnsi"/>
          <w:sz w:val="18"/>
          <w:szCs w:val="18"/>
        </w:rPr>
        <w:t xml:space="preserve"> score of at least four points.</w:t>
      </w:r>
    </w:p>
    <w:p w:rsidR="00887301" w:rsidRPr="006618C1" w:rsidRDefault="003E5FE5" w:rsidP="005F38C8">
      <w:pPr>
        <w:widowControl w:val="0"/>
        <w:shd w:val="clear" w:color="auto" w:fill="F2DBDB"/>
        <w:autoSpaceDE w:val="0"/>
        <w:autoSpaceDN w:val="0"/>
        <w:adjustRightInd w:val="0"/>
        <w:spacing w:before="120" w:after="120"/>
        <w:rPr>
          <w:rFonts w:cstheme="minorHAnsi"/>
          <w:b/>
          <w:bCs/>
          <w:sz w:val="18"/>
          <w:szCs w:val="18"/>
        </w:rPr>
      </w:pPr>
      <w:r w:rsidRPr="006618C1">
        <w:rPr>
          <w:rFonts w:cstheme="minorHAnsi"/>
          <w:b/>
          <w:bCs/>
          <w:sz w:val="18"/>
          <w:szCs w:val="18"/>
        </w:rPr>
        <w:t>AND</w:t>
      </w:r>
    </w:p>
    <w:p w:rsidR="00887301" w:rsidRPr="006618C1" w:rsidRDefault="003E5FE5" w:rsidP="005F38C8">
      <w:pPr>
        <w:widowControl w:val="0"/>
        <w:shd w:val="clear" w:color="auto" w:fill="F2DBDB"/>
        <w:autoSpaceDE w:val="0"/>
        <w:autoSpaceDN w:val="0"/>
        <w:adjustRightInd w:val="0"/>
        <w:rPr>
          <w:rFonts w:cstheme="minorHAnsi"/>
          <w:sz w:val="18"/>
          <w:szCs w:val="18"/>
        </w:rPr>
      </w:pPr>
      <w:r w:rsidRPr="006618C1">
        <w:rPr>
          <w:rFonts w:cstheme="minorHAnsi"/>
          <w:sz w:val="18"/>
          <w:szCs w:val="18"/>
        </w:rPr>
        <w:t>At least two other treatments are ineffective, are contraindicated, unavailable or caused intolerable side effects.</w:t>
      </w:r>
    </w:p>
    <w:p w:rsidR="00887301" w:rsidRPr="006618C1" w:rsidRDefault="003E5FE5" w:rsidP="005F38C8">
      <w:pPr>
        <w:widowControl w:val="0"/>
        <w:shd w:val="clear" w:color="auto" w:fill="F2DBDB"/>
        <w:autoSpaceDE w:val="0"/>
        <w:autoSpaceDN w:val="0"/>
        <w:adjustRightInd w:val="0"/>
        <w:spacing w:before="120" w:after="120"/>
        <w:rPr>
          <w:rFonts w:cstheme="minorHAnsi"/>
          <w:b/>
          <w:bCs/>
          <w:sz w:val="18"/>
          <w:szCs w:val="18"/>
        </w:rPr>
      </w:pPr>
      <w:r w:rsidRPr="006618C1">
        <w:rPr>
          <w:rFonts w:cstheme="minorHAnsi"/>
          <w:b/>
          <w:bCs/>
          <w:sz w:val="18"/>
          <w:szCs w:val="18"/>
        </w:rPr>
        <w:t>Qualifying postscript</w:t>
      </w:r>
    </w:p>
    <w:p w:rsidR="00887301" w:rsidRPr="006618C1" w:rsidRDefault="003E5FE5" w:rsidP="005F38C8">
      <w:pPr>
        <w:widowControl w:val="0"/>
        <w:shd w:val="clear" w:color="auto" w:fill="F2DBDB"/>
        <w:autoSpaceDE w:val="0"/>
        <w:autoSpaceDN w:val="0"/>
        <w:adjustRightInd w:val="0"/>
        <w:spacing w:after="120"/>
        <w:rPr>
          <w:rFonts w:cstheme="minorHAnsi"/>
          <w:i/>
          <w:iCs/>
          <w:sz w:val="18"/>
          <w:szCs w:val="18"/>
        </w:rPr>
      </w:pPr>
      <w:r w:rsidRPr="006618C1">
        <w:rPr>
          <w:rFonts w:cstheme="minorHAnsi"/>
          <w:sz w:val="18"/>
          <w:szCs w:val="18"/>
        </w:rPr>
        <w:t xml:space="preserve">IVIg should be regarded as a stopgap treatment while using short-term drugs such as </w:t>
      </w:r>
      <w:proofErr w:type="spellStart"/>
      <w:r w:rsidRPr="006618C1">
        <w:rPr>
          <w:rFonts w:cstheme="minorHAnsi"/>
          <w:sz w:val="18"/>
          <w:szCs w:val="18"/>
        </w:rPr>
        <w:t>pyridostigmine</w:t>
      </w:r>
      <w:proofErr w:type="spellEnd"/>
      <w:r w:rsidRPr="006618C1">
        <w:rPr>
          <w:rFonts w:cstheme="minorHAnsi"/>
          <w:sz w:val="18"/>
          <w:szCs w:val="18"/>
        </w:rPr>
        <w:t xml:space="preserve"> and while introducing effective immunotherapy</w:t>
      </w:r>
      <w:r w:rsidRPr="006618C1">
        <w:rPr>
          <w:rFonts w:cstheme="minorHAnsi"/>
          <w:i/>
          <w:iCs/>
          <w:sz w:val="18"/>
          <w:szCs w:val="18"/>
        </w:rPr>
        <w:t>.</w:t>
      </w:r>
    </w:p>
    <w:p w:rsidR="00887301" w:rsidRPr="006618C1" w:rsidRDefault="003E5FE5" w:rsidP="005F38C8">
      <w:pPr>
        <w:widowControl w:val="0"/>
        <w:shd w:val="clear" w:color="auto" w:fill="F2DBDB"/>
        <w:autoSpaceDE w:val="0"/>
        <w:autoSpaceDN w:val="0"/>
        <w:adjustRightInd w:val="0"/>
        <w:spacing w:after="120"/>
        <w:rPr>
          <w:rFonts w:cstheme="minorHAnsi"/>
          <w:sz w:val="18"/>
          <w:szCs w:val="18"/>
        </w:rPr>
      </w:pPr>
      <w:r w:rsidRPr="006618C1">
        <w:rPr>
          <w:rFonts w:cstheme="minorHAnsi"/>
          <w:sz w:val="18"/>
          <w:szCs w:val="18"/>
        </w:rPr>
        <w:t>IVIg should be used for four months (induction plus three maintenance cycles) before determining whether the patient has responded. If there is no benefit after this treatment, IVIg therapy should be abandoned.</w:t>
      </w:r>
    </w:p>
    <w:p w:rsidR="00887301" w:rsidRPr="006618C1" w:rsidRDefault="003E5FE5" w:rsidP="005F38C8">
      <w:pPr>
        <w:widowControl w:val="0"/>
        <w:shd w:val="clear" w:color="auto" w:fill="F2DBDB"/>
        <w:autoSpaceDE w:val="0"/>
        <w:autoSpaceDN w:val="0"/>
        <w:adjustRightInd w:val="0"/>
        <w:spacing w:after="120"/>
        <w:rPr>
          <w:rFonts w:cstheme="minorHAnsi"/>
          <w:sz w:val="18"/>
          <w:szCs w:val="18"/>
        </w:rPr>
      </w:pPr>
      <w:r w:rsidRPr="006618C1">
        <w:rPr>
          <w:rFonts w:cstheme="minorHAnsi"/>
          <w:sz w:val="18"/>
          <w:szCs w:val="18"/>
        </w:rPr>
        <w:t xml:space="preserve">Review by a neurologist is required within four months and annually thereafter. </w:t>
      </w:r>
    </w:p>
    <w:p w:rsidR="00887301" w:rsidRPr="006618C1" w:rsidRDefault="003E5FE5" w:rsidP="005F38C8">
      <w:pPr>
        <w:widowControl w:val="0"/>
        <w:shd w:val="clear" w:color="auto" w:fill="F2DBDB"/>
        <w:autoSpaceDE w:val="0"/>
        <w:autoSpaceDN w:val="0"/>
        <w:adjustRightInd w:val="0"/>
        <w:spacing w:after="120"/>
        <w:rPr>
          <w:rFonts w:cstheme="minorHAnsi"/>
          <w:sz w:val="18"/>
          <w:szCs w:val="18"/>
        </w:rPr>
      </w:pPr>
      <w:r w:rsidRPr="006618C1">
        <w:rPr>
          <w:rFonts w:cstheme="minorHAnsi"/>
          <w:sz w:val="18"/>
          <w:szCs w:val="18"/>
        </w:rPr>
        <w:t>Documentation of clinical effectiveness is necessary for continuation of IVIg therapy.</w:t>
      </w:r>
    </w:p>
    <w:p w:rsidR="00887301" w:rsidRPr="006618C1" w:rsidRDefault="003E5FE5" w:rsidP="005F38C8">
      <w:pPr>
        <w:widowControl w:val="0"/>
        <w:shd w:val="clear" w:color="auto" w:fill="FFFFFF"/>
        <w:autoSpaceDE w:val="0"/>
        <w:autoSpaceDN w:val="0"/>
        <w:adjustRightInd w:val="0"/>
        <w:spacing w:before="240" w:after="240"/>
        <w:rPr>
          <w:rFonts w:cstheme="minorHAnsi"/>
        </w:rPr>
      </w:pPr>
      <w:r w:rsidRPr="006618C1">
        <w:rPr>
          <w:rFonts w:cstheme="minorHAnsi"/>
        </w:rPr>
        <w:t xml:space="preserve">For indications 1 and 3, a clinical assessment must confirm a moderate to severe disability using the Myasthenia Gravis Composite (MGC) score, of at least four points. The MGC score is calculated from a 10 question clinical assessment questionnaire (seen in Appendix A). </w:t>
      </w:r>
    </w:p>
    <w:p w:rsidR="00887301" w:rsidRPr="006618C1" w:rsidRDefault="003E5FE5">
      <w:pPr>
        <w:widowControl w:val="0"/>
        <w:autoSpaceDE w:val="0"/>
        <w:autoSpaceDN w:val="0"/>
        <w:adjustRightInd w:val="0"/>
        <w:rPr>
          <w:rFonts w:cstheme="minorHAnsi"/>
        </w:rPr>
      </w:pPr>
      <w:r w:rsidRPr="006618C1">
        <w:rPr>
          <w:rFonts w:cstheme="minorHAnsi"/>
        </w:rPr>
        <w:t>For access to ongoing Ig treatment for patients using it as maintenan</w:t>
      </w:r>
      <w:r w:rsidR="003044BC" w:rsidRPr="006618C1">
        <w:rPr>
          <w:rFonts w:cstheme="minorHAnsi"/>
        </w:rPr>
        <w:t>ce therapy (indication 3), the c</w:t>
      </w:r>
      <w:r w:rsidRPr="006618C1">
        <w:rPr>
          <w:rFonts w:cstheme="minorHAnsi"/>
        </w:rPr>
        <w:t xml:space="preserve">riteria are </w:t>
      </w:r>
      <w:r w:rsidR="00805594" w:rsidRPr="006618C1">
        <w:rPr>
          <w:rFonts w:cstheme="minorHAnsi"/>
        </w:rPr>
        <w:t>listed</w:t>
      </w:r>
      <w:r w:rsidRPr="006618C1">
        <w:rPr>
          <w:rFonts w:cstheme="minorHAnsi"/>
        </w:rPr>
        <w:t xml:space="preserve"> in Figure 2:</w:t>
      </w:r>
    </w:p>
    <w:p w:rsidR="003970FC" w:rsidRPr="006618C1" w:rsidRDefault="003970FC">
      <w:pPr>
        <w:widowControl w:val="0"/>
        <w:autoSpaceDE w:val="0"/>
        <w:autoSpaceDN w:val="0"/>
        <w:adjustRightInd w:val="0"/>
        <w:rPr>
          <w:rFonts w:cstheme="minorHAnsi"/>
        </w:rPr>
      </w:pPr>
    </w:p>
    <w:p w:rsidR="00805594" w:rsidRPr="006618C1" w:rsidRDefault="00805594">
      <w:pPr>
        <w:rPr>
          <w:rFonts w:cstheme="minorHAnsi"/>
          <w:b/>
          <w:bCs/>
          <w:szCs w:val="20"/>
        </w:rPr>
      </w:pPr>
      <w:r w:rsidRPr="006618C1">
        <w:rPr>
          <w:rFonts w:cstheme="minorHAnsi"/>
          <w:szCs w:val="20"/>
        </w:rPr>
        <w:br w:type="page"/>
      </w:r>
    </w:p>
    <w:p w:rsidR="00887301" w:rsidRPr="006618C1" w:rsidRDefault="003E5FE5" w:rsidP="00805594">
      <w:pPr>
        <w:pStyle w:val="Caption1"/>
        <w:rPr>
          <w:rFonts w:asciiTheme="minorHAnsi" w:hAnsiTheme="minorHAnsi" w:cstheme="minorHAnsi"/>
        </w:rPr>
      </w:pPr>
      <w:r w:rsidRPr="006618C1">
        <w:rPr>
          <w:rFonts w:asciiTheme="minorHAnsi" w:hAnsiTheme="minorHAnsi" w:cstheme="minorHAnsi"/>
          <w:szCs w:val="20"/>
        </w:rPr>
        <w:lastRenderedPageBreak/>
        <w:t xml:space="preserve">Figure </w:t>
      </w:r>
      <w:r w:rsidRPr="006618C1">
        <w:rPr>
          <w:rFonts w:asciiTheme="minorHAnsi" w:hAnsiTheme="minorHAnsi" w:cstheme="minorHAnsi"/>
        </w:rPr>
        <w:t>2: Requirements for continuing Ig therapy in pati</w:t>
      </w:r>
      <w:r w:rsidR="00E82E6B" w:rsidRPr="006618C1">
        <w:rPr>
          <w:rFonts w:asciiTheme="minorHAnsi" w:hAnsiTheme="minorHAnsi" w:cstheme="minorHAnsi"/>
        </w:rPr>
        <w:t xml:space="preserve">ents with MG, according to NBA </w:t>
      </w:r>
      <w:r w:rsidR="00E82E6B" w:rsidRPr="006618C1">
        <w:rPr>
          <w:rFonts w:asciiTheme="minorHAnsi" w:hAnsiTheme="minorHAnsi" w:cstheme="minorHAnsi"/>
          <w:i/>
        </w:rPr>
        <w:t>C</w:t>
      </w:r>
      <w:r w:rsidRPr="006618C1">
        <w:rPr>
          <w:rFonts w:asciiTheme="minorHAnsi" w:hAnsiTheme="minorHAnsi" w:cstheme="minorHAnsi"/>
          <w:i/>
        </w:rPr>
        <w:t>riteria</w:t>
      </w:r>
      <w:r w:rsidR="00A21165" w:rsidRPr="006618C1">
        <w:rPr>
          <w:rFonts w:asciiTheme="minorHAnsi" w:hAnsiTheme="minorHAnsi" w:cstheme="minorHAnsi"/>
          <w:i/>
        </w:rPr>
        <w:t>, V</w:t>
      </w:r>
      <w:r w:rsidR="00E82E6B" w:rsidRPr="006618C1">
        <w:rPr>
          <w:rFonts w:asciiTheme="minorHAnsi" w:hAnsiTheme="minorHAnsi" w:cstheme="minorHAnsi"/>
          <w:i/>
        </w:rPr>
        <w:t xml:space="preserve">ersion </w:t>
      </w:r>
      <w:r w:rsidR="00A21165" w:rsidRPr="006618C1">
        <w:rPr>
          <w:rFonts w:asciiTheme="minorHAnsi" w:hAnsiTheme="minorHAnsi" w:cstheme="minorHAnsi"/>
          <w:i/>
        </w:rPr>
        <w:t>3</w:t>
      </w:r>
      <w:r w:rsidRPr="006618C1">
        <w:rPr>
          <w:rFonts w:asciiTheme="minorHAnsi" w:hAnsiTheme="minorHAnsi" w:cstheme="minorHAnsi"/>
        </w:rPr>
        <w:t xml:space="preserve"> (National Blood Authority 2018)</w:t>
      </w:r>
    </w:p>
    <w:p w:rsidR="00887301" w:rsidRPr="006618C1" w:rsidRDefault="003E5FE5" w:rsidP="003970FC">
      <w:pPr>
        <w:widowControl w:val="0"/>
        <w:shd w:val="clear" w:color="auto" w:fill="CCC0D9"/>
        <w:autoSpaceDE w:val="0"/>
        <w:autoSpaceDN w:val="0"/>
        <w:adjustRightInd w:val="0"/>
        <w:spacing w:after="120"/>
        <w:rPr>
          <w:rFonts w:cstheme="minorHAnsi"/>
          <w:sz w:val="18"/>
          <w:szCs w:val="18"/>
          <w:u w:val="single"/>
        </w:rPr>
      </w:pPr>
      <w:r w:rsidRPr="006618C1">
        <w:rPr>
          <w:rFonts w:cstheme="minorHAnsi"/>
          <w:b/>
          <w:bCs/>
          <w:sz w:val="18"/>
          <w:szCs w:val="18"/>
          <w:u w:val="single"/>
        </w:rPr>
        <w:t xml:space="preserve">On review of the initial </w:t>
      </w:r>
      <w:proofErr w:type="spellStart"/>
      <w:r w:rsidRPr="006618C1">
        <w:rPr>
          <w:rFonts w:cstheme="minorHAnsi"/>
          <w:b/>
          <w:bCs/>
          <w:sz w:val="18"/>
          <w:szCs w:val="18"/>
          <w:u w:val="single"/>
        </w:rPr>
        <w:t>authorisation</w:t>
      </w:r>
      <w:proofErr w:type="spellEnd"/>
      <w:r w:rsidRPr="006618C1">
        <w:rPr>
          <w:rFonts w:cstheme="minorHAnsi"/>
          <w:b/>
          <w:bCs/>
          <w:sz w:val="18"/>
          <w:szCs w:val="18"/>
          <w:u w:val="single"/>
        </w:rPr>
        <w:t xml:space="preserve"> period</w:t>
      </w:r>
      <w:r w:rsidRPr="006618C1">
        <w:rPr>
          <w:rFonts w:cstheme="minorHAnsi"/>
          <w:sz w:val="18"/>
          <w:szCs w:val="18"/>
          <w:u w:val="single"/>
        </w:rPr>
        <w:t xml:space="preserve"> </w:t>
      </w:r>
    </w:p>
    <w:p w:rsidR="003970FC" w:rsidRPr="006618C1" w:rsidRDefault="003E5FE5" w:rsidP="003970FC">
      <w:pPr>
        <w:widowControl w:val="0"/>
        <w:shd w:val="clear" w:color="auto" w:fill="CCC0D9"/>
        <w:autoSpaceDE w:val="0"/>
        <w:autoSpaceDN w:val="0"/>
        <w:adjustRightInd w:val="0"/>
        <w:rPr>
          <w:rFonts w:cstheme="minorHAnsi"/>
          <w:sz w:val="18"/>
          <w:szCs w:val="18"/>
        </w:rPr>
      </w:pPr>
      <w:r w:rsidRPr="006618C1">
        <w:rPr>
          <w:rFonts w:cstheme="minorHAnsi"/>
          <w:sz w:val="18"/>
          <w:szCs w:val="18"/>
        </w:rPr>
        <w:t xml:space="preserve">Improvement in fatigability and weakness as measured by a </w:t>
      </w:r>
      <w:hyperlink r:id="rId12" w:history="1">
        <w:r w:rsidRPr="006618C1">
          <w:rPr>
            <w:rFonts w:cstheme="minorHAnsi"/>
            <w:color w:val="0000FF"/>
            <w:sz w:val="18"/>
            <w:szCs w:val="18"/>
            <w:u w:val="single"/>
          </w:rPr>
          <w:t>Myasthenia Gravis Composite (MGC)</w:t>
        </w:r>
      </w:hyperlink>
      <w:r w:rsidRPr="006618C1">
        <w:rPr>
          <w:rFonts w:cstheme="minorHAnsi"/>
          <w:sz w:val="18"/>
          <w:szCs w:val="18"/>
        </w:rPr>
        <w:t xml:space="preserve"> score of at least three points less than the qualifying score</w:t>
      </w:r>
    </w:p>
    <w:p w:rsidR="00887301" w:rsidRPr="006618C1" w:rsidRDefault="003E5FE5" w:rsidP="003970FC">
      <w:pPr>
        <w:widowControl w:val="0"/>
        <w:shd w:val="clear" w:color="auto" w:fill="CCC0D9"/>
        <w:autoSpaceDE w:val="0"/>
        <w:autoSpaceDN w:val="0"/>
        <w:adjustRightInd w:val="0"/>
        <w:spacing w:before="120" w:after="120"/>
        <w:rPr>
          <w:rFonts w:cstheme="minorHAnsi"/>
          <w:b/>
          <w:sz w:val="18"/>
          <w:szCs w:val="18"/>
        </w:rPr>
      </w:pPr>
      <w:r w:rsidRPr="006618C1">
        <w:rPr>
          <w:rFonts w:cstheme="minorHAnsi"/>
          <w:b/>
          <w:sz w:val="18"/>
          <w:szCs w:val="18"/>
        </w:rPr>
        <w:t>OR</w:t>
      </w:r>
    </w:p>
    <w:p w:rsidR="00887301" w:rsidRPr="006618C1" w:rsidRDefault="003E5FE5" w:rsidP="003970FC">
      <w:pPr>
        <w:widowControl w:val="0"/>
        <w:shd w:val="clear" w:color="auto" w:fill="CCC0D9"/>
        <w:autoSpaceDE w:val="0"/>
        <w:autoSpaceDN w:val="0"/>
        <w:adjustRightInd w:val="0"/>
        <w:rPr>
          <w:rFonts w:cstheme="minorHAnsi"/>
          <w:sz w:val="18"/>
          <w:szCs w:val="18"/>
        </w:rPr>
      </w:pPr>
      <w:r w:rsidRPr="006618C1">
        <w:rPr>
          <w:rFonts w:cstheme="minorHAnsi"/>
          <w:sz w:val="18"/>
          <w:szCs w:val="18"/>
        </w:rPr>
        <w:t>The patient with severe disease continues to report improvement in symptoms and disability post infusion, with end-of-cycle deterioration</w:t>
      </w:r>
    </w:p>
    <w:p w:rsidR="00887301" w:rsidRPr="006618C1" w:rsidRDefault="003E5FE5" w:rsidP="003970FC">
      <w:pPr>
        <w:widowControl w:val="0"/>
        <w:shd w:val="clear" w:color="auto" w:fill="CCC0D9"/>
        <w:autoSpaceDE w:val="0"/>
        <w:autoSpaceDN w:val="0"/>
        <w:adjustRightInd w:val="0"/>
        <w:spacing w:before="120" w:after="120"/>
        <w:rPr>
          <w:rFonts w:cstheme="minorHAnsi"/>
          <w:b/>
          <w:sz w:val="18"/>
          <w:szCs w:val="18"/>
        </w:rPr>
      </w:pPr>
      <w:r w:rsidRPr="006618C1">
        <w:rPr>
          <w:rFonts w:cstheme="minorHAnsi"/>
          <w:b/>
          <w:sz w:val="18"/>
          <w:szCs w:val="18"/>
        </w:rPr>
        <w:t>AND</w:t>
      </w:r>
    </w:p>
    <w:p w:rsidR="00887301" w:rsidRPr="006618C1" w:rsidRDefault="003E5FE5" w:rsidP="003970FC">
      <w:pPr>
        <w:widowControl w:val="0"/>
        <w:shd w:val="clear" w:color="auto" w:fill="CCC0D9"/>
        <w:autoSpaceDE w:val="0"/>
        <w:autoSpaceDN w:val="0"/>
        <w:adjustRightInd w:val="0"/>
        <w:rPr>
          <w:rFonts w:cstheme="minorHAnsi"/>
          <w:sz w:val="18"/>
          <w:szCs w:val="18"/>
        </w:rPr>
      </w:pPr>
      <w:r w:rsidRPr="006618C1">
        <w:rPr>
          <w:rFonts w:cstheme="minorHAnsi"/>
          <w:sz w:val="18"/>
          <w:szCs w:val="18"/>
        </w:rPr>
        <w:t>At least two other treatments are being prescribed concurrently</w:t>
      </w:r>
    </w:p>
    <w:p w:rsidR="00887301" w:rsidRPr="006618C1" w:rsidRDefault="003E5FE5" w:rsidP="003970FC">
      <w:pPr>
        <w:widowControl w:val="0"/>
        <w:shd w:val="clear" w:color="auto" w:fill="CCC0D9"/>
        <w:autoSpaceDE w:val="0"/>
        <w:autoSpaceDN w:val="0"/>
        <w:adjustRightInd w:val="0"/>
        <w:spacing w:before="120" w:after="120"/>
        <w:rPr>
          <w:rFonts w:cstheme="minorHAnsi"/>
          <w:b/>
          <w:sz w:val="18"/>
          <w:szCs w:val="18"/>
        </w:rPr>
      </w:pPr>
      <w:r w:rsidRPr="006618C1">
        <w:rPr>
          <w:rFonts w:cstheme="minorHAnsi"/>
          <w:b/>
          <w:sz w:val="18"/>
          <w:szCs w:val="18"/>
        </w:rPr>
        <w:t>OR</w:t>
      </w:r>
    </w:p>
    <w:p w:rsidR="00887301" w:rsidRPr="006618C1" w:rsidRDefault="003E5FE5" w:rsidP="003970FC">
      <w:pPr>
        <w:widowControl w:val="0"/>
        <w:shd w:val="clear" w:color="auto" w:fill="CCC0D9"/>
        <w:autoSpaceDE w:val="0"/>
        <w:autoSpaceDN w:val="0"/>
        <w:adjustRightInd w:val="0"/>
        <w:rPr>
          <w:rFonts w:cstheme="minorHAnsi"/>
          <w:sz w:val="18"/>
          <w:szCs w:val="18"/>
        </w:rPr>
      </w:pPr>
      <w:r w:rsidRPr="006618C1">
        <w:rPr>
          <w:rFonts w:cstheme="minorHAnsi"/>
          <w:sz w:val="18"/>
          <w:szCs w:val="18"/>
        </w:rPr>
        <w:t xml:space="preserve">Unable to be prescribed two other treatments concurrently, including: </w:t>
      </w:r>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r w:rsidRPr="006618C1">
        <w:rPr>
          <w:rFonts w:cstheme="minorHAnsi"/>
          <w:sz w:val="18"/>
          <w:szCs w:val="18"/>
        </w:rPr>
        <w:t>Anticholinesterase inhibitor</w:t>
      </w:r>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r w:rsidRPr="006618C1">
        <w:rPr>
          <w:rFonts w:cstheme="minorHAnsi"/>
          <w:sz w:val="18"/>
          <w:szCs w:val="18"/>
        </w:rPr>
        <w:t>Corticosteroids</w:t>
      </w:r>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r w:rsidRPr="006618C1">
        <w:rPr>
          <w:rFonts w:cstheme="minorHAnsi"/>
          <w:sz w:val="18"/>
          <w:szCs w:val="18"/>
        </w:rPr>
        <w:t>Azathioprine</w:t>
      </w:r>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r w:rsidRPr="006618C1">
        <w:rPr>
          <w:rFonts w:cstheme="minorHAnsi"/>
          <w:sz w:val="18"/>
          <w:szCs w:val="18"/>
        </w:rPr>
        <w:t>Methotrexate</w:t>
      </w:r>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r w:rsidRPr="006618C1">
        <w:rPr>
          <w:rFonts w:cstheme="minorHAnsi"/>
          <w:sz w:val="18"/>
          <w:szCs w:val="18"/>
        </w:rPr>
        <w:t>Cyclophosphamide</w:t>
      </w:r>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proofErr w:type="spellStart"/>
      <w:r w:rsidRPr="006618C1">
        <w:rPr>
          <w:rFonts w:cstheme="minorHAnsi"/>
          <w:sz w:val="18"/>
          <w:szCs w:val="18"/>
        </w:rPr>
        <w:t>Cyclosporin</w:t>
      </w:r>
      <w:proofErr w:type="spellEnd"/>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proofErr w:type="spellStart"/>
      <w:r w:rsidRPr="006618C1">
        <w:rPr>
          <w:rFonts w:cstheme="minorHAnsi"/>
          <w:sz w:val="18"/>
          <w:szCs w:val="18"/>
        </w:rPr>
        <w:t>Mycoplenolate</w:t>
      </w:r>
      <w:proofErr w:type="spellEnd"/>
      <w:r w:rsidRPr="006618C1">
        <w:rPr>
          <w:rFonts w:cstheme="minorHAnsi"/>
          <w:sz w:val="18"/>
          <w:szCs w:val="18"/>
        </w:rPr>
        <w:t xml:space="preserve"> </w:t>
      </w:r>
      <w:proofErr w:type="spellStart"/>
      <w:r w:rsidRPr="006618C1">
        <w:rPr>
          <w:rFonts w:cstheme="minorHAnsi"/>
          <w:sz w:val="18"/>
          <w:szCs w:val="18"/>
        </w:rPr>
        <w:t>mofetil</w:t>
      </w:r>
      <w:proofErr w:type="spellEnd"/>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r w:rsidRPr="006618C1">
        <w:rPr>
          <w:rFonts w:cstheme="minorHAnsi"/>
          <w:sz w:val="18"/>
          <w:szCs w:val="18"/>
        </w:rPr>
        <w:t>Monoclonal antibodies</w:t>
      </w:r>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r w:rsidRPr="006618C1">
        <w:rPr>
          <w:rFonts w:cstheme="minorHAnsi"/>
          <w:sz w:val="18"/>
          <w:szCs w:val="18"/>
        </w:rPr>
        <w:t>Plasma exchange</w:t>
      </w:r>
    </w:p>
    <w:p w:rsidR="00887301" w:rsidRPr="006618C1" w:rsidRDefault="003E5FE5" w:rsidP="003970FC">
      <w:pPr>
        <w:widowControl w:val="0"/>
        <w:numPr>
          <w:ilvl w:val="0"/>
          <w:numId w:val="2"/>
        </w:numPr>
        <w:shd w:val="clear" w:color="auto" w:fill="CCC0D9"/>
        <w:autoSpaceDE w:val="0"/>
        <w:autoSpaceDN w:val="0"/>
        <w:adjustRightInd w:val="0"/>
        <w:rPr>
          <w:rFonts w:cstheme="minorHAnsi"/>
          <w:sz w:val="18"/>
          <w:szCs w:val="18"/>
        </w:rPr>
      </w:pPr>
      <w:r w:rsidRPr="006618C1">
        <w:rPr>
          <w:rFonts w:cstheme="minorHAnsi"/>
          <w:sz w:val="18"/>
          <w:szCs w:val="18"/>
        </w:rPr>
        <w:t>Thymectomy</w:t>
      </w:r>
    </w:p>
    <w:p w:rsidR="00887301" w:rsidRPr="006618C1" w:rsidRDefault="003E5FE5" w:rsidP="003970FC">
      <w:pPr>
        <w:widowControl w:val="0"/>
        <w:shd w:val="clear" w:color="auto" w:fill="CCC0D9"/>
        <w:autoSpaceDE w:val="0"/>
        <w:autoSpaceDN w:val="0"/>
        <w:adjustRightInd w:val="0"/>
        <w:spacing w:after="120"/>
        <w:rPr>
          <w:rFonts w:cstheme="minorHAnsi"/>
          <w:sz w:val="18"/>
          <w:szCs w:val="18"/>
          <w:u w:val="single"/>
        </w:rPr>
      </w:pPr>
      <w:r w:rsidRPr="006618C1">
        <w:rPr>
          <w:rFonts w:cstheme="minorHAnsi"/>
          <w:b/>
          <w:bCs/>
          <w:sz w:val="18"/>
          <w:szCs w:val="18"/>
          <w:u w:val="single"/>
        </w:rPr>
        <w:t xml:space="preserve">On review of a continuing </w:t>
      </w:r>
      <w:proofErr w:type="spellStart"/>
      <w:r w:rsidRPr="006618C1">
        <w:rPr>
          <w:rFonts w:cstheme="minorHAnsi"/>
          <w:b/>
          <w:bCs/>
          <w:sz w:val="18"/>
          <w:szCs w:val="18"/>
          <w:u w:val="single"/>
        </w:rPr>
        <w:t>authorisation</w:t>
      </w:r>
      <w:proofErr w:type="spellEnd"/>
      <w:r w:rsidRPr="006618C1">
        <w:rPr>
          <w:rFonts w:cstheme="minorHAnsi"/>
          <w:b/>
          <w:bCs/>
          <w:sz w:val="18"/>
          <w:szCs w:val="18"/>
          <w:u w:val="single"/>
        </w:rPr>
        <w:t xml:space="preserve"> period</w:t>
      </w:r>
      <w:r w:rsidRPr="006618C1">
        <w:rPr>
          <w:rFonts w:cstheme="minorHAnsi"/>
          <w:sz w:val="18"/>
          <w:szCs w:val="18"/>
          <w:u w:val="single"/>
        </w:rPr>
        <w:t xml:space="preserve"> </w:t>
      </w:r>
    </w:p>
    <w:p w:rsidR="00887301" w:rsidRPr="006618C1" w:rsidRDefault="003E5FE5" w:rsidP="003970FC">
      <w:pPr>
        <w:widowControl w:val="0"/>
        <w:shd w:val="clear" w:color="auto" w:fill="CCC0D9"/>
        <w:autoSpaceDE w:val="0"/>
        <w:autoSpaceDN w:val="0"/>
        <w:adjustRightInd w:val="0"/>
        <w:rPr>
          <w:rFonts w:cstheme="minorHAnsi"/>
          <w:sz w:val="18"/>
          <w:szCs w:val="18"/>
        </w:rPr>
      </w:pPr>
      <w:r w:rsidRPr="006618C1">
        <w:rPr>
          <w:rFonts w:cstheme="minorHAnsi"/>
          <w:sz w:val="18"/>
          <w:szCs w:val="18"/>
        </w:rPr>
        <w:t xml:space="preserve">Stability in fatigability and weakness as measured by a </w:t>
      </w:r>
      <w:hyperlink r:id="rId13" w:history="1">
        <w:r w:rsidRPr="006618C1">
          <w:rPr>
            <w:rFonts w:cstheme="minorHAnsi"/>
            <w:color w:val="0000FF"/>
            <w:sz w:val="18"/>
            <w:szCs w:val="18"/>
            <w:u w:val="single"/>
          </w:rPr>
          <w:t>Myasthenia Gravis Composite (MGC) score</w:t>
        </w:r>
      </w:hyperlink>
      <w:r w:rsidRPr="006618C1">
        <w:rPr>
          <w:rFonts w:cstheme="minorHAnsi"/>
          <w:sz w:val="18"/>
          <w:szCs w:val="18"/>
        </w:rPr>
        <w:t xml:space="preserve"> compared to the previous review and less than the qualifying score</w:t>
      </w:r>
    </w:p>
    <w:p w:rsidR="00887301" w:rsidRPr="006618C1" w:rsidRDefault="003E5FE5" w:rsidP="003970FC">
      <w:pPr>
        <w:widowControl w:val="0"/>
        <w:shd w:val="clear" w:color="auto" w:fill="CCC0D9"/>
        <w:autoSpaceDE w:val="0"/>
        <w:autoSpaceDN w:val="0"/>
        <w:adjustRightInd w:val="0"/>
        <w:spacing w:before="120" w:after="120"/>
        <w:rPr>
          <w:rFonts w:cstheme="minorHAnsi"/>
          <w:b/>
          <w:sz w:val="18"/>
          <w:szCs w:val="18"/>
        </w:rPr>
      </w:pPr>
      <w:r w:rsidRPr="006618C1">
        <w:rPr>
          <w:rFonts w:cstheme="minorHAnsi"/>
          <w:b/>
          <w:sz w:val="18"/>
          <w:szCs w:val="18"/>
        </w:rPr>
        <w:t>OR</w:t>
      </w:r>
    </w:p>
    <w:p w:rsidR="00887301" w:rsidRPr="006618C1" w:rsidRDefault="003E5FE5" w:rsidP="003970FC">
      <w:pPr>
        <w:widowControl w:val="0"/>
        <w:shd w:val="clear" w:color="auto" w:fill="CCC0D9"/>
        <w:autoSpaceDE w:val="0"/>
        <w:autoSpaceDN w:val="0"/>
        <w:adjustRightInd w:val="0"/>
        <w:rPr>
          <w:rFonts w:cstheme="minorHAnsi"/>
          <w:sz w:val="18"/>
          <w:szCs w:val="18"/>
        </w:rPr>
      </w:pPr>
      <w:r w:rsidRPr="006618C1">
        <w:rPr>
          <w:rFonts w:cstheme="minorHAnsi"/>
          <w:sz w:val="18"/>
          <w:szCs w:val="18"/>
        </w:rPr>
        <w:t>The patient with severe disease continues to report improvement in symptoms and disability post infusion, with end-of-cycle deterioration</w:t>
      </w:r>
    </w:p>
    <w:p w:rsidR="00887301" w:rsidRPr="006618C1" w:rsidRDefault="003E5FE5" w:rsidP="003970FC">
      <w:pPr>
        <w:widowControl w:val="0"/>
        <w:shd w:val="clear" w:color="auto" w:fill="CCC0D9"/>
        <w:autoSpaceDE w:val="0"/>
        <w:autoSpaceDN w:val="0"/>
        <w:adjustRightInd w:val="0"/>
        <w:spacing w:before="120" w:after="120"/>
        <w:rPr>
          <w:rFonts w:cstheme="minorHAnsi"/>
          <w:b/>
          <w:sz w:val="18"/>
          <w:szCs w:val="18"/>
        </w:rPr>
      </w:pPr>
      <w:r w:rsidRPr="006618C1">
        <w:rPr>
          <w:rFonts w:cstheme="minorHAnsi"/>
          <w:b/>
          <w:sz w:val="18"/>
          <w:szCs w:val="18"/>
        </w:rPr>
        <w:t>AND</w:t>
      </w:r>
    </w:p>
    <w:p w:rsidR="00887301" w:rsidRPr="006618C1" w:rsidRDefault="003E5FE5" w:rsidP="003970FC">
      <w:pPr>
        <w:widowControl w:val="0"/>
        <w:shd w:val="clear" w:color="auto" w:fill="CCC0D9"/>
        <w:autoSpaceDE w:val="0"/>
        <w:autoSpaceDN w:val="0"/>
        <w:adjustRightInd w:val="0"/>
        <w:rPr>
          <w:rFonts w:cstheme="minorHAnsi"/>
          <w:sz w:val="18"/>
          <w:szCs w:val="18"/>
        </w:rPr>
      </w:pPr>
      <w:r w:rsidRPr="006618C1">
        <w:rPr>
          <w:rFonts w:cstheme="minorHAnsi"/>
          <w:sz w:val="18"/>
          <w:szCs w:val="18"/>
        </w:rPr>
        <w:t>At least two other treatments being prescribed concurrently</w:t>
      </w:r>
    </w:p>
    <w:p w:rsidR="00887301" w:rsidRPr="006618C1" w:rsidRDefault="003E5FE5" w:rsidP="003970FC">
      <w:pPr>
        <w:widowControl w:val="0"/>
        <w:shd w:val="clear" w:color="auto" w:fill="CCC0D9"/>
        <w:autoSpaceDE w:val="0"/>
        <w:autoSpaceDN w:val="0"/>
        <w:adjustRightInd w:val="0"/>
        <w:spacing w:before="120" w:after="120"/>
        <w:rPr>
          <w:rFonts w:cstheme="minorHAnsi"/>
          <w:b/>
          <w:sz w:val="18"/>
          <w:szCs w:val="18"/>
        </w:rPr>
      </w:pPr>
      <w:r w:rsidRPr="006618C1">
        <w:rPr>
          <w:rFonts w:cstheme="minorHAnsi"/>
          <w:b/>
          <w:sz w:val="18"/>
          <w:szCs w:val="18"/>
        </w:rPr>
        <w:t>OR</w:t>
      </w:r>
    </w:p>
    <w:p w:rsidR="00887301" w:rsidRPr="006618C1" w:rsidRDefault="003E5FE5" w:rsidP="003970FC">
      <w:pPr>
        <w:widowControl w:val="0"/>
        <w:shd w:val="clear" w:color="auto" w:fill="CCC0D9"/>
        <w:autoSpaceDE w:val="0"/>
        <w:autoSpaceDN w:val="0"/>
        <w:adjustRightInd w:val="0"/>
        <w:spacing w:after="120"/>
        <w:rPr>
          <w:rFonts w:cstheme="minorHAnsi"/>
          <w:sz w:val="18"/>
          <w:szCs w:val="18"/>
        </w:rPr>
      </w:pPr>
      <w:r w:rsidRPr="006618C1">
        <w:rPr>
          <w:rFonts w:cstheme="minorHAnsi"/>
          <w:sz w:val="18"/>
          <w:szCs w:val="18"/>
        </w:rPr>
        <w:t xml:space="preserve">Unable to be prescribed two other treatments concurrently, including: </w:t>
      </w:r>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r w:rsidRPr="006618C1">
        <w:rPr>
          <w:rFonts w:cstheme="minorHAnsi"/>
          <w:sz w:val="18"/>
          <w:szCs w:val="18"/>
        </w:rPr>
        <w:t>Anticholinesterase inhibitor</w:t>
      </w:r>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r w:rsidRPr="006618C1">
        <w:rPr>
          <w:rFonts w:cstheme="minorHAnsi"/>
          <w:sz w:val="18"/>
          <w:szCs w:val="18"/>
        </w:rPr>
        <w:t>Corticosteroids</w:t>
      </w:r>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r w:rsidRPr="006618C1">
        <w:rPr>
          <w:rFonts w:cstheme="minorHAnsi"/>
          <w:sz w:val="18"/>
          <w:szCs w:val="18"/>
        </w:rPr>
        <w:t>Azathioprine</w:t>
      </w:r>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r w:rsidRPr="006618C1">
        <w:rPr>
          <w:rFonts w:cstheme="minorHAnsi"/>
          <w:sz w:val="18"/>
          <w:szCs w:val="18"/>
        </w:rPr>
        <w:t>Methotrexate</w:t>
      </w:r>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r w:rsidRPr="006618C1">
        <w:rPr>
          <w:rFonts w:cstheme="minorHAnsi"/>
          <w:sz w:val="18"/>
          <w:szCs w:val="18"/>
        </w:rPr>
        <w:t>Cyclophosphamide</w:t>
      </w:r>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proofErr w:type="spellStart"/>
      <w:r w:rsidRPr="006618C1">
        <w:rPr>
          <w:rFonts w:cstheme="minorHAnsi"/>
          <w:sz w:val="18"/>
          <w:szCs w:val="18"/>
        </w:rPr>
        <w:t>Cyclosporin</w:t>
      </w:r>
      <w:proofErr w:type="spellEnd"/>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proofErr w:type="spellStart"/>
      <w:r w:rsidRPr="006618C1">
        <w:rPr>
          <w:rFonts w:cstheme="minorHAnsi"/>
          <w:sz w:val="18"/>
          <w:szCs w:val="18"/>
        </w:rPr>
        <w:t>Mycoplenolate</w:t>
      </w:r>
      <w:proofErr w:type="spellEnd"/>
      <w:r w:rsidRPr="006618C1">
        <w:rPr>
          <w:rFonts w:cstheme="minorHAnsi"/>
          <w:sz w:val="18"/>
          <w:szCs w:val="18"/>
        </w:rPr>
        <w:t xml:space="preserve"> </w:t>
      </w:r>
      <w:proofErr w:type="spellStart"/>
      <w:r w:rsidRPr="006618C1">
        <w:rPr>
          <w:rFonts w:cstheme="minorHAnsi"/>
          <w:sz w:val="18"/>
          <w:szCs w:val="18"/>
        </w:rPr>
        <w:t>mofetil</w:t>
      </w:r>
      <w:proofErr w:type="spellEnd"/>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r w:rsidRPr="006618C1">
        <w:rPr>
          <w:rFonts w:cstheme="minorHAnsi"/>
          <w:sz w:val="18"/>
          <w:szCs w:val="18"/>
        </w:rPr>
        <w:t>Monoclonal antibodies</w:t>
      </w:r>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r w:rsidRPr="006618C1">
        <w:rPr>
          <w:rFonts w:cstheme="minorHAnsi"/>
          <w:sz w:val="18"/>
          <w:szCs w:val="18"/>
        </w:rPr>
        <w:t>Plasma exchange</w:t>
      </w:r>
    </w:p>
    <w:p w:rsidR="00887301" w:rsidRPr="006618C1" w:rsidRDefault="003E5FE5" w:rsidP="003970FC">
      <w:pPr>
        <w:widowControl w:val="0"/>
        <w:numPr>
          <w:ilvl w:val="0"/>
          <w:numId w:val="3"/>
        </w:numPr>
        <w:shd w:val="clear" w:color="auto" w:fill="CCC0D9"/>
        <w:autoSpaceDE w:val="0"/>
        <w:autoSpaceDN w:val="0"/>
        <w:adjustRightInd w:val="0"/>
        <w:rPr>
          <w:rFonts w:cstheme="minorHAnsi"/>
          <w:sz w:val="18"/>
          <w:szCs w:val="18"/>
        </w:rPr>
      </w:pPr>
      <w:r w:rsidRPr="006618C1">
        <w:rPr>
          <w:rFonts w:cstheme="minorHAnsi"/>
          <w:sz w:val="18"/>
          <w:szCs w:val="18"/>
        </w:rPr>
        <w:t>Thymectomy</w:t>
      </w:r>
    </w:p>
    <w:p w:rsidR="00887301" w:rsidRPr="006618C1" w:rsidRDefault="003E5FE5" w:rsidP="003970FC">
      <w:pPr>
        <w:widowControl w:val="0"/>
        <w:shd w:val="clear" w:color="auto" w:fill="CCC0D9"/>
        <w:autoSpaceDE w:val="0"/>
        <w:autoSpaceDN w:val="0"/>
        <w:adjustRightInd w:val="0"/>
        <w:spacing w:before="120" w:after="120"/>
        <w:rPr>
          <w:rFonts w:cstheme="minorHAnsi"/>
          <w:b/>
          <w:sz w:val="18"/>
          <w:szCs w:val="18"/>
        </w:rPr>
      </w:pPr>
      <w:r w:rsidRPr="006618C1">
        <w:rPr>
          <w:rFonts w:cstheme="minorHAnsi"/>
          <w:b/>
          <w:sz w:val="18"/>
          <w:szCs w:val="18"/>
        </w:rPr>
        <w:t>AND</w:t>
      </w:r>
    </w:p>
    <w:p w:rsidR="00887301" w:rsidRPr="006618C1" w:rsidRDefault="003E5FE5">
      <w:pPr>
        <w:widowControl w:val="0"/>
        <w:shd w:val="clear" w:color="auto" w:fill="CCC0D9"/>
        <w:autoSpaceDE w:val="0"/>
        <w:autoSpaceDN w:val="0"/>
        <w:adjustRightInd w:val="0"/>
        <w:spacing w:after="240"/>
        <w:rPr>
          <w:rFonts w:cstheme="minorHAnsi"/>
          <w:sz w:val="18"/>
          <w:szCs w:val="18"/>
        </w:rPr>
      </w:pPr>
      <w:r w:rsidRPr="006618C1">
        <w:rPr>
          <w:rFonts w:cstheme="minorHAnsi"/>
          <w:sz w:val="18"/>
          <w:szCs w:val="18"/>
        </w:rPr>
        <w:t>A trial of weaning/cessation of Ig therapy is planned for patients who are clinically stable to identify those in remission or a reason provided as to why a trial is not planned</w:t>
      </w:r>
    </w:p>
    <w:p w:rsidR="00895022" w:rsidRPr="006618C1" w:rsidRDefault="00895022">
      <w:pPr>
        <w:widowControl w:val="0"/>
        <w:autoSpaceDE w:val="0"/>
        <w:autoSpaceDN w:val="0"/>
        <w:adjustRightInd w:val="0"/>
        <w:rPr>
          <w:rFonts w:cstheme="minorHAnsi"/>
          <w:i/>
          <w:iCs/>
          <w:u w:val="single"/>
        </w:rPr>
      </w:pPr>
    </w:p>
    <w:p w:rsidR="00887301" w:rsidRPr="006618C1" w:rsidRDefault="003E5FE5" w:rsidP="00970715">
      <w:pPr>
        <w:pStyle w:val="Heading3"/>
      </w:pPr>
      <w:r w:rsidRPr="006618C1">
        <w:t>Rationale</w:t>
      </w:r>
    </w:p>
    <w:p w:rsidR="00887301" w:rsidRPr="006618C1" w:rsidRDefault="003E5FE5" w:rsidP="00A21165">
      <w:pPr>
        <w:widowControl w:val="0"/>
        <w:autoSpaceDE w:val="0"/>
        <w:autoSpaceDN w:val="0"/>
        <w:adjustRightInd w:val="0"/>
        <w:spacing w:after="120"/>
        <w:ind w:right="85"/>
        <w:rPr>
          <w:rFonts w:cstheme="minorHAnsi"/>
        </w:rPr>
      </w:pPr>
      <w:r w:rsidRPr="006618C1">
        <w:rPr>
          <w:rFonts w:cstheme="minorHAnsi"/>
        </w:rPr>
        <w:t xml:space="preserve">These three patient indications are proposed as they are the indications eligible for Ig according to the </w:t>
      </w:r>
      <w:r w:rsidRPr="006618C1">
        <w:rPr>
          <w:rFonts w:cstheme="minorHAnsi"/>
          <w:i/>
          <w:iCs/>
        </w:rPr>
        <w:t>Criteria for Clinical Use of Immunoglobulin in Australia</w:t>
      </w:r>
      <w:r w:rsidR="00A21165" w:rsidRPr="006618C1">
        <w:rPr>
          <w:rFonts w:cstheme="minorHAnsi"/>
          <w:i/>
          <w:iCs/>
        </w:rPr>
        <w:t>, Version 3</w:t>
      </w:r>
      <w:r w:rsidRPr="006618C1">
        <w:rPr>
          <w:rFonts w:cstheme="minorHAnsi"/>
        </w:rPr>
        <w:t xml:space="preserve"> (National Blood Authority 2018).</w:t>
      </w:r>
    </w:p>
    <w:p w:rsidR="00887301" w:rsidRPr="006618C1" w:rsidRDefault="003E5FE5" w:rsidP="00A21165">
      <w:pPr>
        <w:widowControl w:val="0"/>
        <w:autoSpaceDE w:val="0"/>
        <w:autoSpaceDN w:val="0"/>
        <w:adjustRightInd w:val="0"/>
        <w:spacing w:after="120"/>
        <w:ind w:right="85"/>
        <w:rPr>
          <w:rFonts w:cstheme="minorHAnsi"/>
        </w:rPr>
      </w:pPr>
      <w:r w:rsidRPr="006618C1">
        <w:rPr>
          <w:rFonts w:cstheme="minorHAnsi"/>
        </w:rPr>
        <w:t>Less common scenarios which may be considered for inclusion in the Ig treatment plan, but are not considered here, include:</w:t>
      </w:r>
    </w:p>
    <w:p w:rsidR="00887301" w:rsidRPr="006618C1" w:rsidRDefault="003E5FE5">
      <w:pPr>
        <w:widowControl w:val="0"/>
        <w:numPr>
          <w:ilvl w:val="0"/>
          <w:numId w:val="4"/>
        </w:numPr>
        <w:autoSpaceDE w:val="0"/>
        <w:autoSpaceDN w:val="0"/>
        <w:adjustRightInd w:val="0"/>
        <w:ind w:left="360"/>
        <w:rPr>
          <w:rFonts w:cstheme="minorHAnsi"/>
        </w:rPr>
      </w:pPr>
      <w:r w:rsidRPr="006618C1">
        <w:rPr>
          <w:rFonts w:cstheme="minorHAnsi"/>
        </w:rPr>
        <w:t>Ocular MG (note that pure ocular MG is not eligible for Ig therapy)</w:t>
      </w:r>
    </w:p>
    <w:p w:rsidR="00887301" w:rsidRPr="006618C1" w:rsidRDefault="003E5FE5">
      <w:pPr>
        <w:widowControl w:val="0"/>
        <w:numPr>
          <w:ilvl w:val="0"/>
          <w:numId w:val="4"/>
        </w:numPr>
        <w:autoSpaceDE w:val="0"/>
        <w:autoSpaceDN w:val="0"/>
        <w:adjustRightInd w:val="0"/>
        <w:ind w:left="360"/>
        <w:rPr>
          <w:rFonts w:cstheme="minorHAnsi"/>
        </w:rPr>
      </w:pPr>
      <w:r w:rsidRPr="006618C1">
        <w:rPr>
          <w:rFonts w:cstheme="minorHAnsi"/>
        </w:rPr>
        <w:t>MG with MuSK antibodies</w:t>
      </w:r>
    </w:p>
    <w:p w:rsidR="00887301" w:rsidRPr="006618C1" w:rsidRDefault="003E5FE5">
      <w:pPr>
        <w:widowControl w:val="0"/>
        <w:numPr>
          <w:ilvl w:val="0"/>
          <w:numId w:val="4"/>
        </w:numPr>
        <w:autoSpaceDE w:val="0"/>
        <w:autoSpaceDN w:val="0"/>
        <w:adjustRightInd w:val="0"/>
        <w:ind w:left="360"/>
        <w:rPr>
          <w:rFonts w:cstheme="minorHAnsi"/>
        </w:rPr>
      </w:pPr>
      <w:r w:rsidRPr="006618C1">
        <w:rPr>
          <w:rFonts w:cstheme="minorHAnsi"/>
        </w:rPr>
        <w:t xml:space="preserve">Thymectomy </w:t>
      </w:r>
    </w:p>
    <w:p w:rsidR="00887301" w:rsidRPr="006618C1" w:rsidRDefault="003E5FE5">
      <w:pPr>
        <w:widowControl w:val="0"/>
        <w:numPr>
          <w:ilvl w:val="0"/>
          <w:numId w:val="4"/>
        </w:numPr>
        <w:autoSpaceDE w:val="0"/>
        <w:autoSpaceDN w:val="0"/>
        <w:adjustRightInd w:val="0"/>
        <w:ind w:left="360"/>
        <w:rPr>
          <w:rFonts w:cstheme="minorHAnsi"/>
        </w:rPr>
      </w:pPr>
      <w:r w:rsidRPr="006618C1">
        <w:rPr>
          <w:rFonts w:cstheme="minorHAnsi"/>
        </w:rPr>
        <w:t>Impending myasthenic crisis</w:t>
      </w:r>
    </w:p>
    <w:p w:rsidR="00887301" w:rsidRPr="006618C1" w:rsidRDefault="003E5FE5">
      <w:pPr>
        <w:widowControl w:val="0"/>
        <w:numPr>
          <w:ilvl w:val="0"/>
          <w:numId w:val="4"/>
        </w:numPr>
        <w:autoSpaceDE w:val="0"/>
        <w:autoSpaceDN w:val="0"/>
        <w:adjustRightInd w:val="0"/>
        <w:ind w:left="360"/>
        <w:rPr>
          <w:rFonts w:cstheme="minorHAnsi"/>
        </w:rPr>
      </w:pPr>
      <w:r w:rsidRPr="006618C1">
        <w:rPr>
          <w:rFonts w:cstheme="minorHAnsi"/>
        </w:rPr>
        <w:t>MG in pregnancy</w:t>
      </w:r>
    </w:p>
    <w:p w:rsidR="00887301" w:rsidRPr="006618C1" w:rsidRDefault="003E5FE5">
      <w:pPr>
        <w:widowControl w:val="0"/>
        <w:numPr>
          <w:ilvl w:val="0"/>
          <w:numId w:val="4"/>
        </w:numPr>
        <w:autoSpaceDE w:val="0"/>
        <w:autoSpaceDN w:val="0"/>
        <w:adjustRightInd w:val="0"/>
        <w:ind w:left="360"/>
        <w:rPr>
          <w:rFonts w:cstheme="minorHAnsi"/>
        </w:rPr>
      </w:pPr>
      <w:r w:rsidRPr="006618C1">
        <w:rPr>
          <w:rFonts w:cstheme="minorHAnsi"/>
        </w:rPr>
        <w:t>Juvenile MG</w:t>
      </w:r>
    </w:p>
    <w:p w:rsidR="00805594" w:rsidRPr="006618C1" w:rsidRDefault="00805594">
      <w:pPr>
        <w:widowControl w:val="0"/>
        <w:autoSpaceDE w:val="0"/>
        <w:autoSpaceDN w:val="0"/>
        <w:adjustRightInd w:val="0"/>
        <w:rPr>
          <w:rFonts w:cstheme="minorHAnsi"/>
          <w:b/>
          <w:bCs/>
        </w:rPr>
      </w:pPr>
    </w:p>
    <w:p w:rsidR="00887301" w:rsidRPr="006618C1" w:rsidRDefault="003E5FE5" w:rsidP="00970715">
      <w:pPr>
        <w:pStyle w:val="Heading1"/>
      </w:pPr>
      <w:r w:rsidRPr="006618C1">
        <w:t>Intervention</w:t>
      </w:r>
    </w:p>
    <w:p w:rsidR="00887301" w:rsidRPr="006618C1" w:rsidRDefault="003E5FE5" w:rsidP="00805594">
      <w:pPr>
        <w:widowControl w:val="0"/>
        <w:autoSpaceDE w:val="0"/>
        <w:autoSpaceDN w:val="0"/>
        <w:adjustRightInd w:val="0"/>
        <w:spacing w:after="120"/>
        <w:rPr>
          <w:rFonts w:cstheme="minorHAnsi"/>
        </w:rPr>
      </w:pPr>
      <w:r w:rsidRPr="006618C1">
        <w:rPr>
          <w:rFonts w:cstheme="minorHAnsi"/>
        </w:rPr>
        <w:t xml:space="preserve">There are </w:t>
      </w:r>
      <w:r w:rsidR="0013607A">
        <w:rPr>
          <w:rFonts w:cstheme="minorHAnsi"/>
        </w:rPr>
        <w:t>two</w:t>
      </w:r>
      <w:r w:rsidRPr="006618C1">
        <w:rPr>
          <w:rFonts w:cstheme="minorHAnsi"/>
        </w:rPr>
        <w:t xml:space="preserve"> Ig products registered for MG on the ARTG:</w:t>
      </w:r>
    </w:p>
    <w:p w:rsidR="00887301" w:rsidRPr="006618C1" w:rsidRDefault="003E5FE5" w:rsidP="00805594">
      <w:pPr>
        <w:widowControl w:val="0"/>
        <w:autoSpaceDE w:val="0"/>
        <w:autoSpaceDN w:val="0"/>
        <w:adjustRightInd w:val="0"/>
        <w:spacing w:after="120"/>
        <w:ind w:left="720"/>
        <w:rPr>
          <w:rFonts w:cstheme="minorHAnsi"/>
        </w:rPr>
      </w:pPr>
      <w:proofErr w:type="spellStart"/>
      <w:r w:rsidRPr="006618C1">
        <w:rPr>
          <w:rFonts w:cstheme="minorHAnsi"/>
        </w:rPr>
        <w:t>Intragam</w:t>
      </w:r>
      <w:proofErr w:type="spellEnd"/>
      <w:r w:rsidRPr="006618C1">
        <w:rPr>
          <w:rFonts w:cstheme="minorHAnsi"/>
        </w:rPr>
        <w:t xml:space="preserve"> 10 – can only be administered </w:t>
      </w:r>
      <w:r w:rsidR="00425CD3" w:rsidRPr="006618C1">
        <w:rPr>
          <w:rFonts w:cstheme="minorHAnsi"/>
        </w:rPr>
        <w:t>intravenously (</w:t>
      </w:r>
      <w:r w:rsidRPr="006618C1">
        <w:rPr>
          <w:rFonts w:cstheme="minorHAnsi"/>
        </w:rPr>
        <w:t>IV</w:t>
      </w:r>
      <w:r w:rsidR="00425CD3" w:rsidRPr="006618C1">
        <w:rPr>
          <w:rFonts w:cstheme="minorHAnsi"/>
        </w:rPr>
        <w:t>)</w:t>
      </w:r>
      <w:r w:rsidRPr="006618C1">
        <w:rPr>
          <w:rFonts w:cstheme="minorHAnsi"/>
        </w:rPr>
        <w:t>. It is a domestic product.</w:t>
      </w:r>
      <w:r w:rsidR="00544D6F" w:rsidRPr="006618C1">
        <w:rPr>
          <w:rFonts w:cstheme="minorHAnsi"/>
        </w:rPr>
        <w:t xml:space="preserve"> The price</w:t>
      </w:r>
      <w:r w:rsidRPr="006618C1">
        <w:rPr>
          <w:rFonts w:cstheme="minorHAnsi"/>
        </w:rPr>
        <w:t xml:space="preserve"> excludes the cost of plasma collection. It is available under the National Blood Arrangements for MG.</w:t>
      </w:r>
    </w:p>
    <w:p w:rsidR="00887301" w:rsidRPr="006618C1" w:rsidRDefault="003E5FE5" w:rsidP="00805594">
      <w:pPr>
        <w:widowControl w:val="0"/>
        <w:autoSpaceDE w:val="0"/>
        <w:autoSpaceDN w:val="0"/>
        <w:adjustRightInd w:val="0"/>
        <w:spacing w:after="120"/>
        <w:ind w:left="720"/>
        <w:rPr>
          <w:rFonts w:cstheme="minorHAnsi"/>
        </w:rPr>
      </w:pPr>
      <w:proofErr w:type="spellStart"/>
      <w:r w:rsidRPr="006618C1">
        <w:rPr>
          <w:rFonts w:cstheme="minorHAnsi"/>
        </w:rPr>
        <w:t>Privigen</w:t>
      </w:r>
      <w:proofErr w:type="spellEnd"/>
      <w:r w:rsidRPr="006618C1">
        <w:rPr>
          <w:rFonts w:cstheme="minorHAnsi"/>
        </w:rPr>
        <w:t xml:space="preserve"> 10%. – can only be administered IV. It is an imported product. It is available in four different doses (5g, 10g, 20g, </w:t>
      </w:r>
      <w:proofErr w:type="gramStart"/>
      <w:r w:rsidRPr="006618C1">
        <w:rPr>
          <w:rFonts w:cstheme="minorHAnsi"/>
        </w:rPr>
        <w:t>40g</w:t>
      </w:r>
      <w:proofErr w:type="gramEnd"/>
      <w:r w:rsidRPr="006618C1">
        <w:rPr>
          <w:rFonts w:cstheme="minorHAnsi"/>
        </w:rPr>
        <w:t xml:space="preserve">) and is funded under the National Blood Arrangements for MG. </w:t>
      </w:r>
    </w:p>
    <w:p w:rsidR="00E27227" w:rsidRPr="006618C1" w:rsidRDefault="003E5FE5">
      <w:pPr>
        <w:widowControl w:val="0"/>
        <w:autoSpaceDE w:val="0"/>
        <w:autoSpaceDN w:val="0"/>
        <w:adjustRightInd w:val="0"/>
        <w:spacing w:after="240"/>
        <w:rPr>
          <w:rFonts w:cstheme="minorHAnsi"/>
        </w:rPr>
      </w:pPr>
      <w:r w:rsidRPr="006618C1">
        <w:rPr>
          <w:rFonts w:cstheme="minorHAnsi"/>
        </w:rPr>
        <w:t xml:space="preserve">NBA currently provides Ig </w:t>
      </w:r>
      <w:r w:rsidR="00425CD3" w:rsidRPr="006618C1">
        <w:rPr>
          <w:rFonts w:cstheme="minorHAnsi"/>
        </w:rPr>
        <w:t xml:space="preserve">by intravenous infusion (IVIg) </w:t>
      </w:r>
      <w:r w:rsidRPr="006618C1">
        <w:rPr>
          <w:rFonts w:cstheme="minorHAnsi"/>
        </w:rPr>
        <w:t xml:space="preserve">for a further three products for MG:  </w:t>
      </w:r>
      <w:proofErr w:type="spellStart"/>
      <w:r w:rsidRPr="006618C1">
        <w:rPr>
          <w:rFonts w:cstheme="minorHAnsi"/>
        </w:rPr>
        <w:t>Flebogamma</w:t>
      </w:r>
      <w:proofErr w:type="spellEnd"/>
      <w:r w:rsidRPr="006618C1">
        <w:rPr>
          <w:rFonts w:cstheme="minorHAnsi"/>
        </w:rPr>
        <w:t xml:space="preserve"> 5%, </w:t>
      </w:r>
      <w:proofErr w:type="spellStart"/>
      <w:r w:rsidRPr="006618C1">
        <w:rPr>
          <w:rFonts w:cstheme="minorHAnsi"/>
        </w:rPr>
        <w:t>Flebogamma</w:t>
      </w:r>
      <w:proofErr w:type="spellEnd"/>
      <w:r w:rsidRPr="006618C1">
        <w:rPr>
          <w:rFonts w:cstheme="minorHAnsi"/>
        </w:rPr>
        <w:t xml:space="preserve"> 10% and </w:t>
      </w:r>
      <w:proofErr w:type="spellStart"/>
      <w:r w:rsidRPr="006618C1">
        <w:rPr>
          <w:rFonts w:cstheme="minorHAnsi"/>
        </w:rPr>
        <w:t>Intragam</w:t>
      </w:r>
      <w:proofErr w:type="spellEnd"/>
      <w:r w:rsidRPr="006618C1">
        <w:rPr>
          <w:rFonts w:cstheme="minorHAnsi"/>
        </w:rPr>
        <w:t xml:space="preserve"> P. The latter will be removed from the Product List once current stocks expire. It has been replaced by </w:t>
      </w:r>
      <w:proofErr w:type="spellStart"/>
      <w:r w:rsidRPr="006618C1">
        <w:rPr>
          <w:rFonts w:cstheme="minorHAnsi"/>
        </w:rPr>
        <w:t>Intragam</w:t>
      </w:r>
      <w:proofErr w:type="spellEnd"/>
      <w:r w:rsidRPr="006618C1">
        <w:rPr>
          <w:rFonts w:cstheme="minorHAnsi"/>
        </w:rPr>
        <w:t xml:space="preserve"> 10. Cost may be a barrier in accessing these products. The available products and indications are </w:t>
      </w:r>
      <w:proofErr w:type="spellStart"/>
      <w:r w:rsidRPr="006618C1">
        <w:rPr>
          <w:rFonts w:cstheme="minorHAnsi"/>
        </w:rPr>
        <w:t>summarised</w:t>
      </w:r>
      <w:proofErr w:type="spellEnd"/>
      <w:r w:rsidRPr="006618C1">
        <w:rPr>
          <w:rFonts w:cstheme="minorHAnsi"/>
        </w:rPr>
        <w:t xml:space="preserve"> in Table </w:t>
      </w:r>
      <w:r w:rsidR="00E27227" w:rsidRPr="006618C1">
        <w:rPr>
          <w:rFonts w:cstheme="minorHAnsi"/>
        </w:rPr>
        <w:t>4</w:t>
      </w:r>
      <w:r w:rsidRPr="006618C1">
        <w:rPr>
          <w:rFonts w:cstheme="minorHAnsi"/>
        </w:rPr>
        <w:t>.</w:t>
      </w:r>
    </w:p>
    <w:p w:rsidR="00E27227" w:rsidRPr="006618C1" w:rsidRDefault="00E27227">
      <w:pPr>
        <w:rPr>
          <w:rFonts w:cstheme="minorHAnsi"/>
        </w:rPr>
      </w:pPr>
      <w:r w:rsidRPr="006618C1">
        <w:rPr>
          <w:rFonts w:cstheme="minorHAnsi"/>
        </w:rPr>
        <w:br w:type="page"/>
      </w:r>
    </w:p>
    <w:p w:rsidR="00887301" w:rsidRPr="006618C1" w:rsidRDefault="00887301">
      <w:pPr>
        <w:widowControl w:val="0"/>
        <w:autoSpaceDE w:val="0"/>
        <w:autoSpaceDN w:val="0"/>
        <w:adjustRightInd w:val="0"/>
        <w:spacing w:after="240"/>
        <w:rPr>
          <w:rFonts w:cstheme="minorHAnsi"/>
        </w:rPr>
      </w:pPr>
    </w:p>
    <w:p w:rsidR="00887301" w:rsidRPr="006618C1" w:rsidRDefault="003E5FE5" w:rsidP="00155EE1">
      <w:pPr>
        <w:pStyle w:val="Caption1"/>
        <w:spacing w:after="0"/>
        <w:rPr>
          <w:rFonts w:asciiTheme="minorHAnsi" w:hAnsiTheme="minorHAnsi" w:cstheme="minorHAnsi"/>
        </w:rPr>
      </w:pPr>
      <w:r w:rsidRPr="006618C1">
        <w:rPr>
          <w:rFonts w:asciiTheme="minorHAnsi" w:hAnsiTheme="minorHAnsi" w:cstheme="minorHAnsi"/>
          <w:szCs w:val="20"/>
        </w:rPr>
        <w:t xml:space="preserve">Table </w:t>
      </w:r>
      <w:r w:rsidR="00E27227" w:rsidRPr="006618C1">
        <w:rPr>
          <w:rFonts w:asciiTheme="minorHAnsi" w:hAnsiTheme="minorHAnsi" w:cstheme="minorHAnsi"/>
        </w:rPr>
        <w:t>4</w:t>
      </w:r>
      <w:r w:rsidRPr="006618C1">
        <w:rPr>
          <w:rFonts w:asciiTheme="minorHAnsi" w:hAnsiTheme="minorHAnsi" w:cstheme="minorHAnsi"/>
        </w:rPr>
        <w:t>: Ig products registered on the ARTG for use in Australia</w:t>
      </w:r>
    </w:p>
    <w:tbl>
      <w:tblPr>
        <w:tblStyle w:val="TableGrid"/>
        <w:tblW w:w="0" w:type="auto"/>
        <w:tblInd w:w="108" w:type="dxa"/>
        <w:tblLook w:val="04A0" w:firstRow="1" w:lastRow="0" w:firstColumn="1" w:lastColumn="0" w:noHBand="0" w:noVBand="1"/>
        <w:tblCaption w:val="Table 4. Ig products registered on the ARTG for Australian use"/>
        <w:tblDescription w:val="Row 1 - TGA registered indications including MG, Row 2- Route of Administration, Row 3 - TGA indication for MG, Row 4 - NBA Funded for MG*"/>
      </w:tblPr>
      <w:tblGrid>
        <w:gridCol w:w="4219"/>
        <w:gridCol w:w="1461"/>
        <w:gridCol w:w="1123"/>
        <w:gridCol w:w="1112"/>
      </w:tblGrid>
      <w:tr w:rsidR="00544D6F" w:rsidRPr="006618C1" w:rsidTr="00B001D9">
        <w:trPr>
          <w:tblHeader/>
        </w:trPr>
        <w:tc>
          <w:tcPr>
            <w:tcW w:w="4219" w:type="dxa"/>
          </w:tcPr>
          <w:p w:rsidR="00544D6F" w:rsidRPr="006618C1" w:rsidRDefault="00544D6F" w:rsidP="00B54354">
            <w:pPr>
              <w:rPr>
                <w:rFonts w:cstheme="minorHAnsi"/>
                <w:b/>
                <w:sz w:val="18"/>
                <w:szCs w:val="20"/>
              </w:rPr>
            </w:pPr>
            <w:r w:rsidRPr="006618C1">
              <w:rPr>
                <w:rFonts w:cstheme="minorHAnsi"/>
                <w:b/>
                <w:sz w:val="18"/>
                <w:szCs w:val="20"/>
              </w:rPr>
              <w:t>TGA registered indications including MG</w:t>
            </w:r>
          </w:p>
        </w:tc>
        <w:tc>
          <w:tcPr>
            <w:tcW w:w="1375" w:type="dxa"/>
          </w:tcPr>
          <w:p w:rsidR="00544D6F" w:rsidRPr="006618C1" w:rsidRDefault="00544D6F" w:rsidP="00B54354">
            <w:pPr>
              <w:ind w:left="34"/>
              <w:rPr>
                <w:rFonts w:cstheme="minorHAnsi"/>
                <w:b/>
                <w:sz w:val="18"/>
                <w:szCs w:val="20"/>
              </w:rPr>
            </w:pPr>
            <w:r w:rsidRPr="006618C1">
              <w:rPr>
                <w:rFonts w:cstheme="minorHAnsi"/>
                <w:b/>
                <w:sz w:val="18"/>
                <w:szCs w:val="20"/>
              </w:rPr>
              <w:t>Route of Administration</w:t>
            </w:r>
          </w:p>
        </w:tc>
        <w:tc>
          <w:tcPr>
            <w:tcW w:w="1123" w:type="dxa"/>
          </w:tcPr>
          <w:p w:rsidR="00544D6F" w:rsidRPr="006618C1" w:rsidRDefault="00155EE1" w:rsidP="00B54354">
            <w:pPr>
              <w:ind w:left="34"/>
              <w:rPr>
                <w:rFonts w:cstheme="minorHAnsi"/>
                <w:b/>
                <w:sz w:val="18"/>
                <w:szCs w:val="20"/>
              </w:rPr>
            </w:pPr>
            <w:r>
              <w:rPr>
                <w:rFonts w:cstheme="minorHAnsi"/>
                <w:b/>
                <w:sz w:val="18"/>
                <w:szCs w:val="20"/>
              </w:rPr>
              <w:t>TGA indication for MG</w:t>
            </w:r>
          </w:p>
        </w:tc>
        <w:tc>
          <w:tcPr>
            <w:tcW w:w="1112" w:type="dxa"/>
          </w:tcPr>
          <w:p w:rsidR="00544D6F" w:rsidRPr="006618C1" w:rsidRDefault="00155EE1" w:rsidP="00B54354">
            <w:pPr>
              <w:ind w:left="34"/>
              <w:rPr>
                <w:rFonts w:cstheme="minorHAnsi"/>
                <w:b/>
                <w:sz w:val="18"/>
                <w:szCs w:val="20"/>
              </w:rPr>
            </w:pPr>
            <w:r>
              <w:rPr>
                <w:rFonts w:cstheme="minorHAnsi"/>
                <w:b/>
                <w:sz w:val="18"/>
                <w:szCs w:val="20"/>
              </w:rPr>
              <w:t>NBA Funded for MG*</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Intragam</w:t>
            </w:r>
            <w:proofErr w:type="spellEnd"/>
            <w:r w:rsidRPr="006618C1">
              <w:rPr>
                <w:rFonts w:cstheme="minorHAnsi"/>
                <w:sz w:val="18"/>
                <w:szCs w:val="20"/>
              </w:rPr>
              <w:t xml:space="preserve"> 10 – CSL Behring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shd w:val="clear" w:color="auto" w:fill="92D050"/>
          </w:tcPr>
          <w:p w:rsidR="00544D6F" w:rsidRPr="006618C1" w:rsidRDefault="00544D6F" w:rsidP="00B54354">
            <w:pPr>
              <w:ind w:left="34"/>
              <w:jc w:val="center"/>
              <w:rPr>
                <w:rFonts w:cstheme="minorHAnsi"/>
                <w:sz w:val="18"/>
                <w:szCs w:val="20"/>
              </w:rPr>
            </w:pPr>
            <w:r w:rsidRPr="006618C1">
              <w:rPr>
                <w:rFonts w:cstheme="minorHAnsi"/>
                <w:sz w:val="18"/>
                <w:szCs w:val="20"/>
              </w:rPr>
              <w:t>Yes</w:t>
            </w:r>
          </w:p>
        </w:tc>
        <w:tc>
          <w:tcPr>
            <w:tcW w:w="1112" w:type="dxa"/>
          </w:tcPr>
          <w:p w:rsidR="00544D6F" w:rsidRPr="006618C1" w:rsidRDefault="00155EE1" w:rsidP="00155EE1">
            <w:pPr>
              <w:ind w:left="34"/>
              <w:jc w:val="center"/>
              <w:rPr>
                <w:rFonts w:cstheme="minorHAnsi"/>
                <w:sz w:val="18"/>
                <w:szCs w:val="20"/>
              </w:rPr>
            </w:pPr>
            <w:r>
              <w:rPr>
                <w:rFonts w:cstheme="minorHAnsi"/>
                <w:sz w:val="18"/>
                <w:szCs w:val="20"/>
              </w:rPr>
              <w:t xml:space="preserve"> </w:t>
            </w:r>
            <w:r w:rsidR="00544D6F" w:rsidRPr="006618C1">
              <w:rPr>
                <w:rFonts w:cstheme="minorHAnsi"/>
                <w:sz w:val="18"/>
                <w:szCs w:val="20"/>
              </w:rPr>
              <w:t>Yes</w:t>
            </w:r>
            <w:r w:rsidR="00F0386E" w:rsidRPr="006618C1">
              <w:rPr>
                <w:rFonts w:cstheme="minorHAnsi"/>
                <w:sz w:val="18"/>
                <w:szCs w:val="20"/>
              </w:rPr>
              <w:t>*</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Privigen</w:t>
            </w:r>
            <w:proofErr w:type="spellEnd"/>
            <w:r w:rsidRPr="006618C1">
              <w:rPr>
                <w:rFonts w:cstheme="minorHAnsi"/>
                <w:sz w:val="18"/>
                <w:szCs w:val="20"/>
              </w:rPr>
              <w:t xml:space="preserve"> 10% – CSL Behring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shd w:val="clear" w:color="auto" w:fill="92D050"/>
          </w:tcPr>
          <w:p w:rsidR="00544D6F" w:rsidRPr="006618C1" w:rsidRDefault="00544D6F" w:rsidP="00B54354">
            <w:pPr>
              <w:ind w:left="34"/>
              <w:jc w:val="center"/>
              <w:rPr>
                <w:rFonts w:cstheme="minorHAnsi"/>
                <w:sz w:val="18"/>
                <w:szCs w:val="20"/>
              </w:rPr>
            </w:pPr>
            <w:r w:rsidRPr="006618C1">
              <w:rPr>
                <w:rFonts w:cstheme="minorHAnsi"/>
                <w:sz w:val="18"/>
                <w:szCs w:val="20"/>
              </w:rPr>
              <w:t>Yes</w:t>
            </w:r>
          </w:p>
        </w:tc>
        <w:tc>
          <w:tcPr>
            <w:tcW w:w="1112" w:type="dxa"/>
          </w:tcPr>
          <w:p w:rsidR="00F0386E" w:rsidRPr="006618C1" w:rsidRDefault="00155EE1" w:rsidP="00155EE1">
            <w:pPr>
              <w:ind w:left="34"/>
              <w:jc w:val="center"/>
              <w:rPr>
                <w:rFonts w:cstheme="minorHAnsi"/>
                <w:sz w:val="18"/>
                <w:szCs w:val="20"/>
              </w:rPr>
            </w:pPr>
            <w:r>
              <w:rPr>
                <w:rFonts w:cstheme="minorHAnsi"/>
                <w:sz w:val="18"/>
                <w:szCs w:val="20"/>
              </w:rPr>
              <w:t xml:space="preserve"> </w:t>
            </w:r>
            <w:r w:rsidR="00544D6F" w:rsidRPr="006618C1">
              <w:rPr>
                <w:rFonts w:cstheme="minorHAnsi"/>
                <w:sz w:val="18"/>
                <w:szCs w:val="20"/>
              </w:rPr>
              <w:t>Yes</w:t>
            </w:r>
            <w:r w:rsidR="00F0386E" w:rsidRPr="006618C1">
              <w:rPr>
                <w:rFonts w:cstheme="minorHAnsi"/>
                <w:sz w:val="18"/>
                <w:szCs w:val="20"/>
              </w:rPr>
              <w:t>*</w:t>
            </w:r>
          </w:p>
        </w:tc>
      </w:tr>
      <w:tr w:rsidR="00544D6F" w:rsidRPr="006618C1" w:rsidTr="00B54354">
        <w:tc>
          <w:tcPr>
            <w:tcW w:w="4219" w:type="dxa"/>
          </w:tcPr>
          <w:p w:rsidR="00544D6F" w:rsidRPr="006618C1" w:rsidRDefault="00544D6F" w:rsidP="00B54354">
            <w:pPr>
              <w:ind w:left="360"/>
              <w:rPr>
                <w:rFonts w:cstheme="minorHAnsi"/>
                <w:b/>
                <w:sz w:val="18"/>
                <w:szCs w:val="20"/>
              </w:rPr>
            </w:pPr>
            <w:proofErr w:type="spellStart"/>
            <w:r w:rsidRPr="006618C1">
              <w:rPr>
                <w:rFonts w:cstheme="minorHAnsi"/>
                <w:sz w:val="18"/>
                <w:szCs w:val="20"/>
              </w:rPr>
              <w:t>Hizentra</w:t>
            </w:r>
            <w:proofErr w:type="spellEnd"/>
            <w:r w:rsidRPr="006618C1">
              <w:rPr>
                <w:rFonts w:cstheme="minorHAnsi"/>
                <w:sz w:val="18"/>
                <w:szCs w:val="20"/>
              </w:rPr>
              <w:t xml:space="preserve"> – CSL Behring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SC</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155EE1" w:rsidP="00155EE1">
            <w:pPr>
              <w:ind w:left="34"/>
              <w:jc w:val="center"/>
              <w:rPr>
                <w:rFonts w:cstheme="minorHAnsi"/>
                <w:sz w:val="18"/>
                <w:szCs w:val="20"/>
              </w:rPr>
            </w:pPr>
            <w:r>
              <w:rPr>
                <w:rFonts w:cstheme="minorHAnsi"/>
                <w:sz w:val="18"/>
                <w:szCs w:val="20"/>
              </w:rPr>
              <w:t xml:space="preserve">  No*</w:t>
            </w:r>
          </w:p>
        </w:tc>
      </w:tr>
      <w:tr w:rsidR="00544D6F" w:rsidRPr="006618C1" w:rsidTr="00B54354">
        <w:tc>
          <w:tcPr>
            <w:tcW w:w="4219" w:type="dxa"/>
          </w:tcPr>
          <w:p w:rsidR="00544D6F" w:rsidRPr="006618C1" w:rsidRDefault="00544D6F" w:rsidP="00B54354">
            <w:pPr>
              <w:ind w:left="360"/>
              <w:rPr>
                <w:rFonts w:cstheme="minorHAnsi"/>
                <w:b/>
                <w:sz w:val="18"/>
                <w:szCs w:val="20"/>
              </w:rPr>
            </w:pPr>
            <w:proofErr w:type="spellStart"/>
            <w:r w:rsidRPr="006618C1">
              <w:rPr>
                <w:rFonts w:cstheme="minorHAnsi"/>
                <w:sz w:val="18"/>
                <w:szCs w:val="20"/>
              </w:rPr>
              <w:t>Gamunex</w:t>
            </w:r>
            <w:proofErr w:type="spellEnd"/>
            <w:r w:rsidRPr="006618C1">
              <w:rPr>
                <w:rFonts w:cstheme="minorHAnsi"/>
                <w:sz w:val="18"/>
                <w:szCs w:val="20"/>
              </w:rPr>
              <w:t xml:space="preserve"> 10%</w:t>
            </w:r>
            <w:r w:rsidRPr="006618C1">
              <w:rPr>
                <w:rFonts w:cstheme="minorHAnsi"/>
                <w:b/>
                <w:sz w:val="18"/>
                <w:szCs w:val="20"/>
              </w:rPr>
              <w:t xml:space="preserve"> </w:t>
            </w:r>
            <w:r w:rsidRPr="006618C1">
              <w:rPr>
                <w:rFonts w:cstheme="minorHAnsi"/>
                <w:sz w:val="18"/>
                <w:szCs w:val="20"/>
              </w:rPr>
              <w:t xml:space="preserve">– </w:t>
            </w:r>
            <w:proofErr w:type="spellStart"/>
            <w:r w:rsidRPr="006618C1">
              <w:rPr>
                <w:rFonts w:cstheme="minorHAnsi"/>
                <w:sz w:val="18"/>
                <w:szCs w:val="20"/>
              </w:rPr>
              <w:t>Grifols</w:t>
            </w:r>
            <w:proofErr w:type="spellEnd"/>
            <w:r w:rsidRPr="006618C1">
              <w:rPr>
                <w:rFonts w:cstheme="minorHAnsi"/>
                <w:sz w:val="18"/>
                <w:szCs w:val="20"/>
              </w:rPr>
              <w:t xml:space="preserve">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 and SC</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Flebogamma</w:t>
            </w:r>
            <w:proofErr w:type="spellEnd"/>
            <w:r w:rsidRPr="006618C1">
              <w:rPr>
                <w:rFonts w:cstheme="minorHAnsi"/>
                <w:sz w:val="18"/>
                <w:szCs w:val="20"/>
              </w:rPr>
              <w:t xml:space="preserve"> 10% – </w:t>
            </w:r>
            <w:proofErr w:type="spellStart"/>
            <w:r w:rsidRPr="006618C1">
              <w:rPr>
                <w:rFonts w:cstheme="minorHAnsi"/>
                <w:sz w:val="18"/>
                <w:szCs w:val="20"/>
              </w:rPr>
              <w:t>Grifols</w:t>
            </w:r>
            <w:proofErr w:type="spellEnd"/>
            <w:r w:rsidRPr="006618C1">
              <w:rPr>
                <w:rFonts w:cstheme="minorHAnsi"/>
                <w:sz w:val="18"/>
                <w:szCs w:val="20"/>
              </w:rPr>
              <w:t xml:space="preserve">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155EE1" w:rsidP="00155EE1">
            <w:pPr>
              <w:ind w:left="34"/>
              <w:jc w:val="center"/>
              <w:rPr>
                <w:rFonts w:cstheme="minorHAnsi"/>
                <w:sz w:val="18"/>
                <w:szCs w:val="20"/>
              </w:rPr>
            </w:pPr>
            <w:r>
              <w:rPr>
                <w:rFonts w:cstheme="minorHAnsi"/>
                <w:sz w:val="18"/>
                <w:szCs w:val="20"/>
              </w:rPr>
              <w:t xml:space="preserve">  </w:t>
            </w:r>
            <w:r w:rsidR="00544D6F" w:rsidRPr="006618C1">
              <w:rPr>
                <w:rFonts w:cstheme="minorHAnsi"/>
                <w:sz w:val="18"/>
                <w:szCs w:val="20"/>
              </w:rPr>
              <w:t>Yes</w:t>
            </w:r>
            <w:r w:rsidR="00F0386E" w:rsidRPr="006618C1">
              <w:rPr>
                <w:rFonts w:cstheme="minorHAnsi"/>
                <w:sz w:val="18"/>
                <w:szCs w:val="20"/>
              </w:rPr>
              <w:t>*</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Flebogamma</w:t>
            </w:r>
            <w:proofErr w:type="spellEnd"/>
            <w:r w:rsidRPr="006618C1">
              <w:rPr>
                <w:rFonts w:cstheme="minorHAnsi"/>
                <w:sz w:val="18"/>
                <w:szCs w:val="20"/>
              </w:rPr>
              <w:t xml:space="preserve"> 5% – </w:t>
            </w:r>
            <w:proofErr w:type="spellStart"/>
            <w:r w:rsidRPr="006618C1">
              <w:rPr>
                <w:rFonts w:cstheme="minorHAnsi"/>
                <w:sz w:val="18"/>
                <w:szCs w:val="20"/>
              </w:rPr>
              <w:t>Grifols</w:t>
            </w:r>
            <w:proofErr w:type="spellEnd"/>
            <w:r w:rsidRPr="006618C1">
              <w:rPr>
                <w:rFonts w:cstheme="minorHAnsi"/>
                <w:sz w:val="18"/>
                <w:szCs w:val="20"/>
              </w:rPr>
              <w:t xml:space="preserve">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F0386E" w:rsidRPr="006618C1" w:rsidRDefault="00155EE1" w:rsidP="00155EE1">
            <w:pPr>
              <w:ind w:left="34"/>
              <w:jc w:val="center"/>
              <w:rPr>
                <w:rFonts w:cstheme="minorHAnsi"/>
                <w:sz w:val="18"/>
                <w:szCs w:val="20"/>
              </w:rPr>
            </w:pPr>
            <w:r>
              <w:rPr>
                <w:rFonts w:cstheme="minorHAnsi"/>
                <w:sz w:val="18"/>
                <w:szCs w:val="20"/>
              </w:rPr>
              <w:t xml:space="preserve">  </w:t>
            </w:r>
            <w:r w:rsidR="00544D6F" w:rsidRPr="006618C1">
              <w:rPr>
                <w:rFonts w:cstheme="minorHAnsi"/>
                <w:sz w:val="18"/>
                <w:szCs w:val="20"/>
              </w:rPr>
              <w:t>Yes</w:t>
            </w:r>
            <w:r w:rsidR="00F0386E" w:rsidRPr="006618C1">
              <w:rPr>
                <w:rFonts w:cstheme="minorHAnsi"/>
                <w:sz w:val="18"/>
                <w:szCs w:val="20"/>
              </w:rPr>
              <w:t>*</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Intragam</w:t>
            </w:r>
            <w:proofErr w:type="spellEnd"/>
            <w:r w:rsidRPr="006618C1">
              <w:rPr>
                <w:rFonts w:cstheme="minorHAnsi"/>
                <w:sz w:val="18"/>
                <w:szCs w:val="20"/>
              </w:rPr>
              <w:t xml:space="preserve"> P – CSL Behring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155EE1" w:rsidP="00155EE1">
            <w:pPr>
              <w:ind w:left="34"/>
              <w:jc w:val="center"/>
              <w:rPr>
                <w:rFonts w:cstheme="minorHAnsi"/>
                <w:sz w:val="18"/>
                <w:szCs w:val="20"/>
              </w:rPr>
            </w:pPr>
            <w:r>
              <w:rPr>
                <w:rFonts w:cstheme="minorHAnsi"/>
                <w:sz w:val="18"/>
                <w:szCs w:val="20"/>
              </w:rPr>
              <w:t xml:space="preserve">  Yes*</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Panzyga</w:t>
            </w:r>
            <w:proofErr w:type="spellEnd"/>
            <w:r w:rsidRPr="006618C1">
              <w:rPr>
                <w:rFonts w:cstheme="minorHAnsi"/>
                <w:sz w:val="18"/>
                <w:szCs w:val="20"/>
              </w:rPr>
              <w:t xml:space="preserve"> – Octaphama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544D6F">
            <w:pPr>
              <w:ind w:left="360"/>
              <w:rPr>
                <w:rFonts w:cstheme="minorHAnsi"/>
                <w:sz w:val="18"/>
                <w:szCs w:val="20"/>
              </w:rPr>
            </w:pPr>
            <w:proofErr w:type="spellStart"/>
            <w:r w:rsidRPr="006618C1">
              <w:rPr>
                <w:rFonts w:cstheme="minorHAnsi"/>
                <w:sz w:val="18"/>
                <w:szCs w:val="20"/>
              </w:rPr>
              <w:t>Hyqvia</w:t>
            </w:r>
            <w:proofErr w:type="spellEnd"/>
            <w:r w:rsidRPr="006618C1">
              <w:rPr>
                <w:rFonts w:cstheme="minorHAnsi"/>
                <w:sz w:val="18"/>
                <w:szCs w:val="20"/>
              </w:rPr>
              <w:t xml:space="preserve"> – Shire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SC</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Intratect</w:t>
            </w:r>
            <w:proofErr w:type="spellEnd"/>
            <w:r w:rsidRPr="006618C1">
              <w:rPr>
                <w:rFonts w:cstheme="minorHAnsi"/>
                <w:sz w:val="18"/>
                <w:szCs w:val="20"/>
              </w:rPr>
              <w:t xml:space="preserve"> – Pfizer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Intratect</w:t>
            </w:r>
            <w:proofErr w:type="spellEnd"/>
            <w:r w:rsidRPr="006618C1">
              <w:rPr>
                <w:rFonts w:cstheme="minorHAnsi"/>
                <w:sz w:val="18"/>
                <w:szCs w:val="20"/>
              </w:rPr>
              <w:t xml:space="preserve"> 5%  – Pfizer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Evogam</w:t>
            </w:r>
            <w:proofErr w:type="spellEnd"/>
            <w:r w:rsidRPr="006618C1">
              <w:rPr>
                <w:rFonts w:cstheme="minorHAnsi"/>
                <w:sz w:val="18"/>
                <w:szCs w:val="20"/>
              </w:rPr>
              <w:t xml:space="preserve"> 16% – CSL Behring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SC</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Octagam</w:t>
            </w:r>
            <w:proofErr w:type="spellEnd"/>
            <w:r w:rsidRPr="006618C1">
              <w:rPr>
                <w:rFonts w:cstheme="minorHAnsi"/>
                <w:sz w:val="18"/>
                <w:szCs w:val="20"/>
              </w:rPr>
              <w:t xml:space="preserve"> – </w:t>
            </w:r>
            <w:proofErr w:type="spellStart"/>
            <w:r w:rsidRPr="006618C1">
              <w:rPr>
                <w:rFonts w:cstheme="minorHAnsi"/>
                <w:sz w:val="18"/>
                <w:szCs w:val="20"/>
              </w:rPr>
              <w:t>Octapharma</w:t>
            </w:r>
            <w:proofErr w:type="spellEnd"/>
            <w:r w:rsidRPr="006618C1">
              <w:rPr>
                <w:rFonts w:cstheme="minorHAnsi"/>
                <w:sz w:val="18"/>
                <w:szCs w:val="20"/>
              </w:rPr>
              <w:t xml:space="preserve">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Gammanorm</w:t>
            </w:r>
            <w:proofErr w:type="spellEnd"/>
            <w:r w:rsidRPr="006618C1">
              <w:rPr>
                <w:rFonts w:cstheme="minorHAnsi"/>
                <w:sz w:val="18"/>
                <w:szCs w:val="20"/>
              </w:rPr>
              <w:t xml:space="preserve"> – </w:t>
            </w:r>
            <w:proofErr w:type="spellStart"/>
            <w:r w:rsidRPr="006618C1">
              <w:rPr>
                <w:rFonts w:cstheme="minorHAnsi"/>
                <w:sz w:val="18"/>
                <w:szCs w:val="20"/>
              </w:rPr>
              <w:t>Octapharma</w:t>
            </w:r>
            <w:proofErr w:type="spellEnd"/>
            <w:r w:rsidRPr="006618C1">
              <w:rPr>
                <w:rFonts w:cstheme="minorHAnsi"/>
                <w:sz w:val="18"/>
                <w:szCs w:val="20"/>
              </w:rPr>
              <w:t xml:space="preserve">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SC and IM</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Kiovig</w:t>
            </w:r>
            <w:proofErr w:type="spellEnd"/>
            <w:r w:rsidRPr="006618C1">
              <w:rPr>
                <w:rFonts w:cstheme="minorHAnsi"/>
                <w:sz w:val="18"/>
                <w:szCs w:val="20"/>
              </w:rPr>
              <w:t xml:space="preserve"> – Shire Australia P/L </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IV and SC</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proofErr w:type="spellStart"/>
            <w:r w:rsidRPr="006618C1">
              <w:rPr>
                <w:rFonts w:cstheme="minorHAnsi"/>
                <w:sz w:val="18"/>
                <w:szCs w:val="20"/>
              </w:rPr>
              <w:t>Cuvitru</w:t>
            </w:r>
            <w:proofErr w:type="spellEnd"/>
            <w:r w:rsidRPr="006618C1">
              <w:rPr>
                <w:rFonts w:cstheme="minorHAnsi"/>
                <w:sz w:val="18"/>
                <w:szCs w:val="20"/>
              </w:rPr>
              <w:t xml:space="preserve"> – Shire Australia P/L</w:t>
            </w:r>
          </w:p>
        </w:tc>
        <w:tc>
          <w:tcPr>
            <w:tcW w:w="1375" w:type="dxa"/>
          </w:tcPr>
          <w:p w:rsidR="00544D6F" w:rsidRPr="006618C1" w:rsidRDefault="00544D6F" w:rsidP="00B54354">
            <w:pPr>
              <w:ind w:left="34"/>
              <w:jc w:val="center"/>
              <w:rPr>
                <w:rFonts w:cstheme="minorHAnsi"/>
                <w:sz w:val="18"/>
                <w:szCs w:val="20"/>
              </w:rPr>
            </w:pPr>
            <w:r w:rsidRPr="006618C1">
              <w:rPr>
                <w:rFonts w:cstheme="minorHAnsi"/>
                <w:sz w:val="18"/>
                <w:szCs w:val="20"/>
              </w:rPr>
              <w:t>SC</w:t>
            </w:r>
          </w:p>
        </w:tc>
        <w:tc>
          <w:tcPr>
            <w:tcW w:w="1123" w:type="dxa"/>
          </w:tcPr>
          <w:p w:rsidR="00544D6F" w:rsidRPr="006618C1" w:rsidRDefault="00544D6F"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544D6F" w:rsidP="00155EE1">
            <w:pPr>
              <w:ind w:left="34"/>
              <w:jc w:val="center"/>
              <w:rPr>
                <w:rFonts w:cstheme="minorHAnsi"/>
                <w:sz w:val="18"/>
                <w:szCs w:val="20"/>
              </w:rPr>
            </w:pPr>
            <w:r w:rsidRPr="006618C1">
              <w:rPr>
                <w:rFonts w:cstheme="minorHAnsi"/>
                <w:sz w:val="18"/>
                <w:szCs w:val="20"/>
              </w:rPr>
              <w:t>No</w:t>
            </w:r>
          </w:p>
        </w:tc>
      </w:tr>
      <w:tr w:rsidR="00544D6F" w:rsidRPr="006618C1" w:rsidTr="00B54354">
        <w:tc>
          <w:tcPr>
            <w:tcW w:w="4219" w:type="dxa"/>
          </w:tcPr>
          <w:p w:rsidR="00544D6F" w:rsidRPr="006618C1" w:rsidRDefault="00544D6F" w:rsidP="00B54354">
            <w:pPr>
              <w:ind w:left="360"/>
              <w:rPr>
                <w:rFonts w:cstheme="minorHAnsi"/>
                <w:sz w:val="18"/>
                <w:szCs w:val="20"/>
              </w:rPr>
            </w:pPr>
            <w:r w:rsidRPr="006618C1">
              <w:rPr>
                <w:rFonts w:cstheme="minorHAnsi"/>
                <w:sz w:val="18"/>
                <w:szCs w:val="20"/>
              </w:rPr>
              <w:t>CSL Normal Immunoglobulin VF- CSL Behring Australia P/L</w:t>
            </w:r>
          </w:p>
        </w:tc>
        <w:tc>
          <w:tcPr>
            <w:tcW w:w="1375" w:type="dxa"/>
          </w:tcPr>
          <w:p w:rsidR="00544D6F" w:rsidRPr="006618C1" w:rsidRDefault="00F0386E" w:rsidP="00B54354">
            <w:pPr>
              <w:ind w:left="34"/>
              <w:jc w:val="center"/>
              <w:rPr>
                <w:rFonts w:cstheme="minorHAnsi"/>
                <w:sz w:val="18"/>
                <w:szCs w:val="20"/>
              </w:rPr>
            </w:pPr>
            <w:r w:rsidRPr="006618C1">
              <w:rPr>
                <w:rFonts w:cstheme="minorHAnsi"/>
                <w:sz w:val="18"/>
                <w:szCs w:val="20"/>
              </w:rPr>
              <w:t>IM</w:t>
            </w:r>
          </w:p>
        </w:tc>
        <w:tc>
          <w:tcPr>
            <w:tcW w:w="1123" w:type="dxa"/>
          </w:tcPr>
          <w:p w:rsidR="00544D6F" w:rsidRPr="006618C1" w:rsidRDefault="00F0386E" w:rsidP="00B54354">
            <w:pPr>
              <w:ind w:left="34"/>
              <w:jc w:val="center"/>
              <w:rPr>
                <w:rFonts w:cstheme="minorHAnsi"/>
                <w:sz w:val="18"/>
                <w:szCs w:val="20"/>
              </w:rPr>
            </w:pPr>
            <w:r w:rsidRPr="006618C1">
              <w:rPr>
                <w:rFonts w:cstheme="minorHAnsi"/>
                <w:sz w:val="18"/>
                <w:szCs w:val="20"/>
              </w:rPr>
              <w:t>No</w:t>
            </w:r>
          </w:p>
        </w:tc>
        <w:tc>
          <w:tcPr>
            <w:tcW w:w="1112" w:type="dxa"/>
          </w:tcPr>
          <w:p w:rsidR="00544D6F" w:rsidRPr="006618C1" w:rsidRDefault="00F0386E" w:rsidP="00155EE1">
            <w:pPr>
              <w:ind w:left="34"/>
              <w:jc w:val="center"/>
              <w:rPr>
                <w:rFonts w:cstheme="minorHAnsi"/>
                <w:sz w:val="18"/>
                <w:szCs w:val="20"/>
              </w:rPr>
            </w:pPr>
            <w:r w:rsidRPr="006618C1">
              <w:rPr>
                <w:rFonts w:cstheme="minorHAnsi"/>
                <w:sz w:val="18"/>
                <w:szCs w:val="20"/>
              </w:rPr>
              <w:t>No</w:t>
            </w:r>
          </w:p>
        </w:tc>
      </w:tr>
    </w:tbl>
    <w:p w:rsidR="00544D6F" w:rsidRPr="006618C1" w:rsidRDefault="00544D6F" w:rsidP="00544D6F">
      <w:pPr>
        <w:pStyle w:val="ListParagraph"/>
        <w:ind w:left="0"/>
        <w:rPr>
          <w:rFonts w:cstheme="minorHAnsi"/>
          <w:sz w:val="18"/>
          <w:szCs w:val="18"/>
        </w:rPr>
      </w:pPr>
      <w:r w:rsidRPr="006618C1">
        <w:rPr>
          <w:rFonts w:cstheme="minorHAnsi"/>
          <w:sz w:val="18"/>
          <w:szCs w:val="18"/>
        </w:rPr>
        <w:t>*</w:t>
      </w:r>
      <w:proofErr w:type="spellStart"/>
      <w:r w:rsidRPr="006618C1">
        <w:rPr>
          <w:rFonts w:cstheme="minorHAnsi"/>
          <w:sz w:val="18"/>
          <w:szCs w:val="18"/>
        </w:rPr>
        <w:t>Intragam</w:t>
      </w:r>
      <w:proofErr w:type="spellEnd"/>
      <w:r w:rsidRPr="006618C1">
        <w:rPr>
          <w:rFonts w:cstheme="minorHAnsi"/>
          <w:sz w:val="18"/>
          <w:szCs w:val="18"/>
        </w:rPr>
        <w:t xml:space="preserve"> P will be removed from funded access under the National Blood Arrangements once current inventory reserves have expired</w:t>
      </w:r>
    </w:p>
    <w:p w:rsidR="00544D6F" w:rsidRPr="006618C1" w:rsidRDefault="00544D6F" w:rsidP="00544D6F">
      <w:pPr>
        <w:pStyle w:val="ListParagraph"/>
        <w:ind w:left="0"/>
        <w:rPr>
          <w:rFonts w:cstheme="minorHAnsi"/>
          <w:sz w:val="18"/>
          <w:szCs w:val="18"/>
        </w:rPr>
      </w:pPr>
      <w:r w:rsidRPr="006618C1">
        <w:rPr>
          <w:rFonts w:cstheme="minorHAnsi"/>
          <w:sz w:val="18"/>
          <w:szCs w:val="18"/>
        </w:rPr>
        <w:t>IV – intravenous</w:t>
      </w:r>
    </w:p>
    <w:p w:rsidR="00544D6F" w:rsidRPr="006618C1" w:rsidRDefault="00544D6F" w:rsidP="00544D6F">
      <w:pPr>
        <w:pStyle w:val="ListParagraph"/>
        <w:ind w:left="0"/>
        <w:rPr>
          <w:rFonts w:cstheme="minorHAnsi"/>
          <w:sz w:val="18"/>
          <w:szCs w:val="18"/>
        </w:rPr>
      </w:pPr>
      <w:r w:rsidRPr="006618C1">
        <w:rPr>
          <w:rFonts w:cstheme="minorHAnsi"/>
          <w:sz w:val="18"/>
          <w:szCs w:val="18"/>
        </w:rPr>
        <w:t xml:space="preserve">SC – subcutaneous </w:t>
      </w:r>
    </w:p>
    <w:p w:rsidR="00544D6F" w:rsidRPr="006618C1" w:rsidRDefault="00544D6F" w:rsidP="00544D6F">
      <w:pPr>
        <w:pStyle w:val="ListParagraph"/>
        <w:ind w:left="0"/>
        <w:rPr>
          <w:rFonts w:cstheme="minorHAnsi"/>
          <w:sz w:val="18"/>
          <w:szCs w:val="18"/>
        </w:rPr>
      </w:pPr>
      <w:r w:rsidRPr="006618C1">
        <w:rPr>
          <w:rFonts w:cstheme="minorHAnsi"/>
          <w:sz w:val="18"/>
          <w:szCs w:val="18"/>
        </w:rPr>
        <w:t xml:space="preserve">IM – intramuscular </w:t>
      </w:r>
    </w:p>
    <w:p w:rsidR="00544D6F" w:rsidRPr="006618C1" w:rsidRDefault="00544D6F" w:rsidP="00805594">
      <w:pPr>
        <w:pStyle w:val="Caption1"/>
        <w:rPr>
          <w:rFonts w:asciiTheme="minorHAnsi" w:hAnsiTheme="minorHAnsi" w:cstheme="minorHAnsi"/>
        </w:rPr>
      </w:pPr>
    </w:p>
    <w:p w:rsidR="00887301" w:rsidRPr="006618C1" w:rsidRDefault="003E5FE5" w:rsidP="00805594">
      <w:pPr>
        <w:rPr>
          <w:rFonts w:cstheme="minorHAnsi"/>
        </w:rPr>
      </w:pPr>
      <w:r w:rsidRPr="006618C1">
        <w:rPr>
          <w:rFonts w:cstheme="minorHAnsi"/>
        </w:rPr>
        <w:t>Ig therapy delivered by intravenous infusion requires that patients attend hospital for a day procedure to be infused. Depending on the dose, which may be split over several days, they may (or may not) be required to attend hospital on a number of days (usually consecutive) each month. For patients in myasthenic crisis, they are likely to already be inpatients at the time of receiving IVIg.</w:t>
      </w:r>
    </w:p>
    <w:p w:rsidR="00887301" w:rsidRPr="006618C1" w:rsidRDefault="003E5FE5" w:rsidP="00895022">
      <w:pPr>
        <w:spacing w:after="120"/>
        <w:rPr>
          <w:rFonts w:cstheme="minorHAnsi"/>
        </w:rPr>
      </w:pPr>
      <w:r w:rsidRPr="006618C1">
        <w:rPr>
          <w:rFonts w:cstheme="minorHAnsi"/>
        </w:rPr>
        <w:t>Intravenous infusion involves:</w:t>
      </w:r>
    </w:p>
    <w:p w:rsidR="00887301" w:rsidRPr="006618C1" w:rsidRDefault="003E5FE5" w:rsidP="00895022">
      <w:pPr>
        <w:pStyle w:val="ListParagraph"/>
        <w:numPr>
          <w:ilvl w:val="0"/>
          <w:numId w:val="30"/>
        </w:numPr>
        <w:spacing w:after="120"/>
        <w:contextualSpacing w:val="0"/>
        <w:rPr>
          <w:rFonts w:cstheme="minorHAnsi"/>
        </w:rPr>
      </w:pPr>
      <w:r w:rsidRPr="006618C1">
        <w:rPr>
          <w:rFonts w:cstheme="minorHAnsi"/>
        </w:rPr>
        <w:t xml:space="preserve">Identification check to ensure the right patient is receiving the right product at the right dose and at the right time. This check is done by two health professionals – usually one must be a doctor or a registered nurse and the other can be either a doctor, registered nurse or an enrolled nurse. </w:t>
      </w:r>
    </w:p>
    <w:p w:rsidR="00887301" w:rsidRPr="006618C1" w:rsidRDefault="003E5FE5" w:rsidP="00895022">
      <w:pPr>
        <w:pStyle w:val="ListParagraph"/>
        <w:numPr>
          <w:ilvl w:val="0"/>
          <w:numId w:val="30"/>
        </w:numPr>
        <w:spacing w:after="120"/>
        <w:contextualSpacing w:val="0"/>
        <w:rPr>
          <w:rFonts w:cstheme="minorHAnsi"/>
        </w:rPr>
      </w:pPr>
      <w:r w:rsidRPr="006618C1">
        <w:rPr>
          <w:rFonts w:cstheme="minorHAnsi"/>
        </w:rPr>
        <w:t>preparation of equipment (Ig vial/bottle, vented line, aseptic dressing pack, cannula)</w:t>
      </w:r>
    </w:p>
    <w:p w:rsidR="00887301" w:rsidRPr="006618C1" w:rsidRDefault="003E5FE5" w:rsidP="00895022">
      <w:pPr>
        <w:pStyle w:val="ListParagraph"/>
        <w:numPr>
          <w:ilvl w:val="0"/>
          <w:numId w:val="30"/>
        </w:numPr>
        <w:spacing w:after="120"/>
        <w:contextualSpacing w:val="0"/>
        <w:rPr>
          <w:rFonts w:cstheme="minorHAnsi"/>
        </w:rPr>
      </w:pPr>
      <w:r w:rsidRPr="006618C1">
        <w:rPr>
          <w:rFonts w:cstheme="minorHAnsi"/>
        </w:rPr>
        <w:t xml:space="preserve">the procedure is explained to the patient and consent is obtained </w:t>
      </w:r>
    </w:p>
    <w:p w:rsidR="00887301" w:rsidRPr="006618C1" w:rsidRDefault="003E5FE5" w:rsidP="00895022">
      <w:pPr>
        <w:pStyle w:val="ListParagraph"/>
        <w:numPr>
          <w:ilvl w:val="0"/>
          <w:numId w:val="30"/>
        </w:numPr>
        <w:spacing w:after="120"/>
        <w:contextualSpacing w:val="0"/>
        <w:rPr>
          <w:rFonts w:cstheme="minorHAnsi"/>
        </w:rPr>
      </w:pPr>
      <w:r w:rsidRPr="006618C1">
        <w:rPr>
          <w:rFonts w:cstheme="minorHAnsi"/>
        </w:rPr>
        <w:t xml:space="preserve">cannula is inserted using aseptic technique by a credentialed nurse or doctor </w:t>
      </w:r>
    </w:p>
    <w:p w:rsidR="00887301" w:rsidRPr="006618C1" w:rsidRDefault="003E5FE5" w:rsidP="00895022">
      <w:pPr>
        <w:pStyle w:val="ListParagraph"/>
        <w:numPr>
          <w:ilvl w:val="0"/>
          <w:numId w:val="30"/>
        </w:numPr>
        <w:spacing w:after="120"/>
        <w:contextualSpacing w:val="0"/>
        <w:rPr>
          <w:rFonts w:cstheme="minorHAnsi"/>
        </w:rPr>
      </w:pPr>
      <w:r w:rsidRPr="006618C1">
        <w:rPr>
          <w:rFonts w:cstheme="minorHAnsi"/>
        </w:rPr>
        <w:t>the IV line is inserted directly into the Ig vial/bottle and the IV line is primed with Ig product (without dilution) and hung in accordance with the local hospital’s protocol</w:t>
      </w:r>
    </w:p>
    <w:p w:rsidR="00155EE1" w:rsidRPr="0048356F" w:rsidRDefault="003E5FE5" w:rsidP="007870E1">
      <w:pPr>
        <w:pStyle w:val="ListParagraph"/>
        <w:numPr>
          <w:ilvl w:val="0"/>
          <w:numId w:val="30"/>
        </w:numPr>
        <w:spacing w:after="120"/>
        <w:contextualSpacing w:val="0"/>
        <w:rPr>
          <w:rFonts w:cstheme="minorHAnsi"/>
        </w:rPr>
      </w:pPr>
      <w:proofErr w:type="gramStart"/>
      <w:r w:rsidRPr="0048356F">
        <w:rPr>
          <w:rFonts w:cstheme="minorHAnsi"/>
        </w:rPr>
        <w:t>the</w:t>
      </w:r>
      <w:proofErr w:type="gramEnd"/>
      <w:r w:rsidRPr="0048356F">
        <w:rPr>
          <w:rFonts w:cstheme="minorHAnsi"/>
        </w:rPr>
        <w:t xml:space="preserve"> patient is monitored for any reactions and the infusion is slowed or stopped depending on the patient’s response. </w:t>
      </w:r>
      <w:r w:rsidR="00155EE1" w:rsidRPr="0048356F">
        <w:rPr>
          <w:rFonts w:cstheme="minorHAnsi"/>
        </w:rPr>
        <w:br w:type="page"/>
      </w:r>
    </w:p>
    <w:p w:rsidR="00887301" w:rsidRPr="006618C1" w:rsidRDefault="003E5FE5" w:rsidP="00895022">
      <w:pPr>
        <w:spacing w:after="120"/>
        <w:rPr>
          <w:rFonts w:cstheme="minorHAnsi"/>
        </w:rPr>
      </w:pPr>
      <w:r w:rsidRPr="006618C1">
        <w:rPr>
          <w:rFonts w:cstheme="minorHAnsi"/>
        </w:rPr>
        <w:lastRenderedPageBreak/>
        <w:t xml:space="preserve">Subcutaneous administration of Ig </w:t>
      </w:r>
      <w:r w:rsidR="00425CD3" w:rsidRPr="006618C1">
        <w:rPr>
          <w:rFonts w:cstheme="minorHAnsi"/>
        </w:rPr>
        <w:t xml:space="preserve">(SCIg) </w:t>
      </w:r>
      <w:r w:rsidRPr="006618C1">
        <w:rPr>
          <w:rFonts w:cstheme="minorHAnsi"/>
        </w:rPr>
        <w:t xml:space="preserve">means that the patient themselves or their </w:t>
      </w:r>
      <w:proofErr w:type="spellStart"/>
      <w:r w:rsidRPr="006618C1">
        <w:rPr>
          <w:rFonts w:cstheme="minorHAnsi"/>
        </w:rPr>
        <w:t>carer</w:t>
      </w:r>
      <w:proofErr w:type="spellEnd"/>
      <w:r w:rsidRPr="006618C1">
        <w:rPr>
          <w:rFonts w:cstheme="minorHAnsi"/>
        </w:rPr>
        <w:t xml:space="preserve"> can administer the treatment at home. The patient or </w:t>
      </w:r>
      <w:proofErr w:type="spellStart"/>
      <w:r w:rsidRPr="006618C1">
        <w:rPr>
          <w:rFonts w:cstheme="minorHAnsi"/>
        </w:rPr>
        <w:t>carer</w:t>
      </w:r>
      <w:proofErr w:type="spellEnd"/>
      <w:r w:rsidRPr="006618C1">
        <w:rPr>
          <w:rFonts w:cstheme="minorHAnsi"/>
        </w:rPr>
        <w:t xml:space="preserve"> requires education and training on how to administer the product at home.  They will undertake more frequent subcutaneous infusions (usually twice weekly) at home. This requires:</w:t>
      </w:r>
    </w:p>
    <w:p w:rsidR="00887301" w:rsidRPr="006618C1" w:rsidRDefault="003E5FE5" w:rsidP="00895022">
      <w:pPr>
        <w:pStyle w:val="ListParagraph"/>
        <w:numPr>
          <w:ilvl w:val="0"/>
          <w:numId w:val="31"/>
        </w:numPr>
        <w:spacing w:after="120"/>
        <w:contextualSpacing w:val="0"/>
        <w:rPr>
          <w:rFonts w:cstheme="minorHAnsi"/>
        </w:rPr>
      </w:pPr>
      <w:r w:rsidRPr="006618C1">
        <w:rPr>
          <w:rFonts w:cstheme="minorHAnsi"/>
        </w:rPr>
        <w:t>storing the product in accordance with the manufacturer’s advice</w:t>
      </w:r>
    </w:p>
    <w:p w:rsidR="00887301" w:rsidRPr="006618C1" w:rsidRDefault="003E5FE5" w:rsidP="00895022">
      <w:pPr>
        <w:pStyle w:val="ListParagraph"/>
        <w:numPr>
          <w:ilvl w:val="0"/>
          <w:numId w:val="31"/>
        </w:numPr>
        <w:spacing w:after="120"/>
        <w:contextualSpacing w:val="0"/>
        <w:rPr>
          <w:rFonts w:cstheme="minorHAnsi"/>
        </w:rPr>
      </w:pPr>
      <w:r w:rsidRPr="006618C1">
        <w:rPr>
          <w:rFonts w:cstheme="minorHAnsi"/>
        </w:rPr>
        <w:t>insertion of a butterfly subcutaneous cannula using aseptic techniques into subcutaneous layer just under the skin of the abdomen or thigh;</w:t>
      </w:r>
    </w:p>
    <w:p w:rsidR="00887301" w:rsidRPr="006618C1" w:rsidRDefault="003E5FE5" w:rsidP="00895022">
      <w:pPr>
        <w:pStyle w:val="ListParagraph"/>
        <w:numPr>
          <w:ilvl w:val="0"/>
          <w:numId w:val="31"/>
        </w:numPr>
        <w:spacing w:after="120"/>
        <w:contextualSpacing w:val="0"/>
        <w:rPr>
          <w:rFonts w:cstheme="minorHAnsi"/>
        </w:rPr>
      </w:pPr>
      <w:r w:rsidRPr="006618C1">
        <w:rPr>
          <w:rFonts w:cstheme="minorHAnsi"/>
        </w:rPr>
        <w:t>drawing up the required dose into a syringe</w:t>
      </w:r>
    </w:p>
    <w:p w:rsidR="00887301" w:rsidRPr="006618C1" w:rsidRDefault="003E5FE5" w:rsidP="00895022">
      <w:pPr>
        <w:pStyle w:val="ListParagraph"/>
        <w:numPr>
          <w:ilvl w:val="0"/>
          <w:numId w:val="31"/>
        </w:numPr>
        <w:spacing w:after="120"/>
        <w:contextualSpacing w:val="0"/>
        <w:rPr>
          <w:rFonts w:cstheme="minorHAnsi"/>
        </w:rPr>
      </w:pPr>
      <w:r w:rsidRPr="006618C1">
        <w:rPr>
          <w:rFonts w:cstheme="minorHAnsi"/>
        </w:rPr>
        <w:t>connection of the syringe to the subcutaneous line</w:t>
      </w:r>
    </w:p>
    <w:p w:rsidR="00887301" w:rsidRPr="006618C1" w:rsidRDefault="003E5FE5" w:rsidP="00895022">
      <w:pPr>
        <w:pStyle w:val="ListParagraph"/>
        <w:numPr>
          <w:ilvl w:val="0"/>
          <w:numId w:val="31"/>
        </w:numPr>
        <w:spacing w:after="120"/>
        <w:contextualSpacing w:val="0"/>
        <w:rPr>
          <w:rFonts w:cstheme="minorHAnsi"/>
        </w:rPr>
      </w:pPr>
      <w:proofErr w:type="gramStart"/>
      <w:r w:rsidRPr="006618C1">
        <w:rPr>
          <w:rFonts w:cstheme="minorHAnsi"/>
        </w:rPr>
        <w:t>pushing</w:t>
      </w:r>
      <w:proofErr w:type="gramEnd"/>
      <w:r w:rsidRPr="006618C1">
        <w:rPr>
          <w:rFonts w:cstheme="minorHAnsi"/>
        </w:rPr>
        <w:t xml:space="preserve"> the dose into the abdomen at the required rate which will vary depending on the dose size and the patient’s response. </w:t>
      </w:r>
    </w:p>
    <w:p w:rsidR="00887301" w:rsidRPr="006618C1" w:rsidRDefault="003E5FE5" w:rsidP="00895022">
      <w:pPr>
        <w:spacing w:after="120"/>
        <w:rPr>
          <w:rFonts w:cstheme="minorHAnsi"/>
        </w:rPr>
      </w:pPr>
      <w:r w:rsidRPr="006618C1">
        <w:rPr>
          <w:rFonts w:cstheme="minorHAnsi"/>
        </w:rPr>
        <w:t xml:space="preserve">Neurologists primarily care for patients with MG. If patients live in regional or rural areas, they may have ongoing care provided by a general medicine physician and/or neurologist. </w:t>
      </w:r>
      <w:r w:rsidR="00EC0526">
        <w:t>To be eligible to access IVIg under governance arrangements initially, an AHPRA registered neurologist must diagnose MG in the patient.</w:t>
      </w:r>
      <w:r w:rsidR="00EC0526" w:rsidRPr="006618C1">
        <w:rPr>
          <w:rFonts w:cstheme="minorHAnsi"/>
        </w:rPr>
        <w:t xml:space="preserve"> </w:t>
      </w:r>
      <w:r w:rsidRPr="006618C1">
        <w:rPr>
          <w:rFonts w:cstheme="minorHAnsi"/>
        </w:rPr>
        <w:t xml:space="preserve">The reviewing medical officer must </w:t>
      </w:r>
      <w:r w:rsidR="00BD2E25">
        <w:rPr>
          <w:rFonts w:cstheme="minorHAnsi"/>
        </w:rPr>
        <w:t xml:space="preserve">also </w:t>
      </w:r>
      <w:r w:rsidRPr="006618C1">
        <w:rPr>
          <w:rFonts w:cstheme="minorHAnsi"/>
        </w:rPr>
        <w:t>be an AHPRA registered neurologist</w:t>
      </w:r>
      <w:r w:rsidR="0013607A">
        <w:rPr>
          <w:rFonts w:cstheme="minorHAnsi"/>
        </w:rPr>
        <w:t>.</w:t>
      </w:r>
    </w:p>
    <w:p w:rsidR="00887301" w:rsidRPr="006618C1" w:rsidRDefault="003E5FE5" w:rsidP="001C10BC">
      <w:pPr>
        <w:spacing w:after="120"/>
        <w:rPr>
          <w:rFonts w:cstheme="minorHAnsi"/>
        </w:rPr>
      </w:pPr>
      <w:r w:rsidRPr="006618C1">
        <w:rPr>
          <w:rFonts w:cstheme="minorHAnsi"/>
        </w:rPr>
        <w:t xml:space="preserve">Intravenous administration of Ig requires a treating doctor to determine the dose. The administration of intravenously delivered Ig is undertaken by nursing </w:t>
      </w:r>
      <w:r w:rsidR="00057EBA" w:rsidRPr="006618C1">
        <w:rPr>
          <w:rFonts w:cstheme="minorHAnsi"/>
        </w:rPr>
        <w:t xml:space="preserve">staff and cannot be delegated. </w:t>
      </w:r>
      <w:r w:rsidRPr="006618C1">
        <w:rPr>
          <w:rFonts w:cstheme="minorHAnsi"/>
        </w:rPr>
        <w:t xml:space="preserve">The intravenous infusion is overseen by the hospital medical staff with overarching responsibility held by the treating clinician.  </w:t>
      </w:r>
    </w:p>
    <w:p w:rsidR="00887301" w:rsidRPr="006618C1" w:rsidRDefault="003E5FE5" w:rsidP="001C10BC">
      <w:pPr>
        <w:spacing w:after="120"/>
        <w:rPr>
          <w:rFonts w:cstheme="minorHAnsi"/>
        </w:rPr>
      </w:pPr>
      <w:r w:rsidRPr="006618C1">
        <w:rPr>
          <w:rFonts w:cstheme="minorHAnsi"/>
        </w:rPr>
        <w:t>Normally, an IV infusion of Ig would be delivered by a registered nurse in a hospital in-patient or outpatient setting. Some facilities may allow an enrolled nurse under the supervision of a registered nurse. Local hospital policies will vary. All sites that administer blood or blood products should be accredited under the National Safety and Quality Health Service Standard for Blood Management.</w:t>
      </w:r>
      <w:r w:rsidR="00A45D77" w:rsidRPr="006618C1">
        <w:rPr>
          <w:rStyle w:val="FootnoteReference"/>
          <w:rFonts w:cstheme="minorHAnsi"/>
        </w:rPr>
        <w:footnoteReference w:id="1"/>
      </w:r>
      <w:r w:rsidRPr="006618C1">
        <w:rPr>
          <w:rFonts w:cstheme="minorHAnsi"/>
        </w:rPr>
        <w:t xml:space="preserve"> Patients or their </w:t>
      </w:r>
      <w:proofErr w:type="spellStart"/>
      <w:r w:rsidRPr="006618C1">
        <w:rPr>
          <w:rFonts w:cstheme="minorHAnsi"/>
        </w:rPr>
        <w:t>carers</w:t>
      </w:r>
      <w:proofErr w:type="spellEnd"/>
      <w:r w:rsidRPr="006618C1">
        <w:rPr>
          <w:rFonts w:cstheme="minorHAnsi"/>
        </w:rPr>
        <w:t xml:space="preserve"> can deliver SCIg in an out of hospital setting</w:t>
      </w:r>
      <w:r w:rsidR="00057EBA" w:rsidRPr="006618C1">
        <w:rPr>
          <w:rFonts w:cstheme="minorHAnsi"/>
        </w:rPr>
        <w:t>, where clinically appropriate</w:t>
      </w:r>
      <w:r w:rsidRPr="006618C1">
        <w:rPr>
          <w:rFonts w:cstheme="minorHAnsi"/>
        </w:rPr>
        <w:t xml:space="preserve">. </w:t>
      </w:r>
    </w:p>
    <w:p w:rsidR="00887301" w:rsidRPr="006618C1" w:rsidRDefault="003E5FE5" w:rsidP="00970715">
      <w:pPr>
        <w:pStyle w:val="Heading3"/>
      </w:pPr>
      <w:r w:rsidRPr="006618C1">
        <w:t>Rationale</w:t>
      </w:r>
    </w:p>
    <w:p w:rsidR="00887301" w:rsidRPr="006618C1" w:rsidRDefault="003E5FE5" w:rsidP="00F14DFB">
      <w:pPr>
        <w:spacing w:after="240"/>
        <w:rPr>
          <w:rFonts w:cstheme="minorHAnsi"/>
        </w:rPr>
      </w:pPr>
      <w:r w:rsidRPr="006618C1">
        <w:rPr>
          <w:rFonts w:cstheme="minorHAnsi"/>
        </w:rPr>
        <w:t>SCIg is not currently available for MG under the arrangements described above. The applicant reports that current clinical trials indicate that SCIg may be considered for use in MG in the future. Due to the advanced stage of phase 3 trials, it is anticipated that a Schedule 4 submission is likely to be made in the near future for the use of SCIg in MG. On this basis, SCIg has been included in this assessment</w:t>
      </w:r>
      <w:r w:rsidR="00057EBA" w:rsidRPr="006618C1">
        <w:rPr>
          <w:rFonts w:cstheme="minorHAnsi"/>
        </w:rPr>
        <w:t>, for indication 3</w:t>
      </w:r>
      <w:r w:rsidRPr="006618C1">
        <w:rPr>
          <w:rFonts w:cstheme="minorHAnsi"/>
        </w:rPr>
        <w:t xml:space="preserve">. </w:t>
      </w:r>
      <w:r w:rsidR="00057EBA" w:rsidRPr="006618C1">
        <w:rPr>
          <w:rFonts w:cstheme="minorHAnsi"/>
        </w:rPr>
        <w:t>It would not be used in indications 1 and 2 as these patients are already likely to</w:t>
      </w:r>
      <w:r w:rsidR="00F14DFB" w:rsidRPr="006618C1">
        <w:rPr>
          <w:rFonts w:cstheme="minorHAnsi"/>
        </w:rPr>
        <w:t xml:space="preserve"> be</w:t>
      </w:r>
      <w:r w:rsidR="00057EBA" w:rsidRPr="006618C1">
        <w:rPr>
          <w:rFonts w:cstheme="minorHAnsi"/>
        </w:rPr>
        <w:t xml:space="preserve"> inpatients of hospital given their advanced and serious health states</w:t>
      </w:r>
      <w:r w:rsidR="00F14DFB" w:rsidRPr="006618C1">
        <w:rPr>
          <w:rFonts w:cstheme="minorHAnsi"/>
        </w:rPr>
        <w:t>, and would therefore not be suitable to receive SCIg at home</w:t>
      </w:r>
      <w:r w:rsidR="00057EBA" w:rsidRPr="006618C1">
        <w:rPr>
          <w:rFonts w:cstheme="minorHAnsi"/>
        </w:rPr>
        <w:t xml:space="preserve">. </w:t>
      </w:r>
      <w:r w:rsidRPr="006618C1">
        <w:rPr>
          <w:rFonts w:cstheme="minorHAnsi"/>
        </w:rPr>
        <w:t xml:space="preserve">As there could be differences in response rates between IVIg and SCIg for some of the selected outcomes (adverse events, disability, venous damage), and differences in health service consumption (e.g. outpatient day- admission hospital care v self-care), IVIg and SCIg are noted as intervention subgroups in the PICO. It should also be noted that only those patients receiving maintenance therapy for MG (indication 3) are likely to be considered to receive SCIg should it become available.  </w:t>
      </w:r>
    </w:p>
    <w:p w:rsidR="00155EE1" w:rsidRDefault="00155EE1">
      <w:pPr>
        <w:rPr>
          <w:rFonts w:cstheme="minorHAnsi"/>
          <w:b/>
          <w:bCs/>
          <w:sz w:val="24"/>
          <w:szCs w:val="24"/>
        </w:rPr>
      </w:pPr>
      <w:r>
        <w:rPr>
          <w:rFonts w:cstheme="minorHAnsi"/>
          <w:b/>
          <w:bCs/>
          <w:sz w:val="24"/>
          <w:szCs w:val="24"/>
        </w:rPr>
        <w:br w:type="page"/>
      </w:r>
    </w:p>
    <w:p w:rsidR="00E27227" w:rsidRPr="006618C1" w:rsidRDefault="00E27227" w:rsidP="00155EE1">
      <w:pPr>
        <w:rPr>
          <w:rFonts w:cstheme="minorHAnsi"/>
          <w:b/>
          <w:bCs/>
          <w:sz w:val="24"/>
          <w:szCs w:val="24"/>
        </w:rPr>
      </w:pPr>
    </w:p>
    <w:p w:rsidR="00887301" w:rsidRPr="006618C1" w:rsidRDefault="003E5FE5" w:rsidP="00970715">
      <w:pPr>
        <w:pStyle w:val="Heading1"/>
      </w:pPr>
      <w:r w:rsidRPr="006618C1">
        <w:t>Comparator</w:t>
      </w:r>
    </w:p>
    <w:p w:rsidR="00887301" w:rsidRPr="006618C1" w:rsidRDefault="003E5FE5" w:rsidP="00895022">
      <w:pPr>
        <w:spacing w:after="120"/>
        <w:rPr>
          <w:rFonts w:cstheme="minorHAnsi"/>
        </w:rPr>
      </w:pPr>
      <w:r w:rsidRPr="006618C1">
        <w:rPr>
          <w:rFonts w:cstheme="minorHAnsi"/>
        </w:rPr>
        <w:t xml:space="preserve">The comparator for indications 1 and 2 is plasma exchange. Both Ig and plasma exchange are seen as short term therapies to be used to </w:t>
      </w:r>
      <w:proofErr w:type="spellStart"/>
      <w:r w:rsidRPr="006618C1">
        <w:rPr>
          <w:rFonts w:cstheme="minorHAnsi"/>
        </w:rPr>
        <w:t>stabilise</w:t>
      </w:r>
      <w:proofErr w:type="spellEnd"/>
      <w:r w:rsidRPr="006618C1">
        <w:rPr>
          <w:rFonts w:cstheme="minorHAnsi"/>
        </w:rPr>
        <w:t xml:space="preserve"> a patient whilst waiting for other therapies to become effective. Other than the choice of </w:t>
      </w:r>
      <w:proofErr w:type="spellStart"/>
      <w:r w:rsidRPr="006618C1">
        <w:rPr>
          <w:rFonts w:cstheme="minorHAnsi"/>
        </w:rPr>
        <w:t>stabilising</w:t>
      </w:r>
      <w:proofErr w:type="spellEnd"/>
      <w:r w:rsidRPr="006618C1">
        <w:rPr>
          <w:rFonts w:cstheme="minorHAnsi"/>
        </w:rPr>
        <w:t xml:space="preserve"> therapy, other treatment is expected to be the same for both intervention and comparator.</w:t>
      </w:r>
    </w:p>
    <w:p w:rsidR="00262A25" w:rsidRPr="006618C1" w:rsidRDefault="00262A25" w:rsidP="00895022">
      <w:pPr>
        <w:spacing w:after="120"/>
        <w:rPr>
          <w:rFonts w:cstheme="minorHAnsi"/>
        </w:rPr>
      </w:pPr>
      <w:r w:rsidRPr="006618C1">
        <w:rPr>
          <w:rFonts w:cstheme="minorHAnsi"/>
        </w:rPr>
        <w:t xml:space="preserve">The Ig </w:t>
      </w:r>
      <w:r w:rsidR="002E5123" w:rsidRPr="006618C1">
        <w:rPr>
          <w:rFonts w:cstheme="minorHAnsi"/>
        </w:rPr>
        <w:t xml:space="preserve">Review </w:t>
      </w:r>
      <w:r w:rsidRPr="006618C1">
        <w:rPr>
          <w:rFonts w:cstheme="minorHAnsi"/>
        </w:rPr>
        <w:t>Reference Group noted that the safety and effectiveness of plasma exchange were likely to be different based on how it is delivered (via central or peripheral venous access) and thus these will be considered as subgroups of the comparator in the review.</w:t>
      </w:r>
    </w:p>
    <w:p w:rsidR="00887301" w:rsidRPr="006618C1" w:rsidRDefault="00E27227" w:rsidP="00895022">
      <w:pPr>
        <w:spacing w:after="120"/>
        <w:rPr>
          <w:rFonts w:cstheme="minorHAnsi"/>
        </w:rPr>
      </w:pPr>
      <w:r w:rsidRPr="006618C1">
        <w:rPr>
          <w:rFonts w:cstheme="minorHAnsi"/>
        </w:rPr>
        <w:t>The applicant stated</w:t>
      </w:r>
      <w:r w:rsidR="003E5FE5" w:rsidRPr="006618C1">
        <w:rPr>
          <w:rFonts w:cstheme="minorHAnsi"/>
        </w:rPr>
        <w:t xml:space="preserve"> that plasma exchange is not usually provided on an outpatient basis and cannot be used long term in most places, so it </w:t>
      </w:r>
      <w:r w:rsidRPr="006618C1">
        <w:rPr>
          <w:rFonts w:cstheme="minorHAnsi"/>
        </w:rPr>
        <w:t xml:space="preserve">was </w:t>
      </w:r>
      <w:r w:rsidR="003E5FE5" w:rsidRPr="006618C1">
        <w:rPr>
          <w:rFonts w:cstheme="minorHAnsi"/>
        </w:rPr>
        <w:t xml:space="preserve">not suggested as a comparator for indication 3. However it should be noted that the </w:t>
      </w:r>
      <w:r w:rsidR="003E5FE5" w:rsidRPr="006618C1">
        <w:rPr>
          <w:rFonts w:cstheme="minorHAnsi"/>
          <w:i/>
          <w:iCs/>
        </w:rPr>
        <w:t>Criteria</w:t>
      </w:r>
      <w:r w:rsidR="00E82E6B" w:rsidRPr="006618C1">
        <w:rPr>
          <w:rFonts w:cstheme="minorHAnsi"/>
          <w:i/>
          <w:iCs/>
        </w:rPr>
        <w:t xml:space="preserve"> Version 3</w:t>
      </w:r>
      <w:r w:rsidR="003E5FE5" w:rsidRPr="006618C1">
        <w:rPr>
          <w:rFonts w:cstheme="minorHAnsi"/>
        </w:rPr>
        <w:t xml:space="preserve"> for ongoing use of Ig in this population (from the National Blood Authority) lists plasma exchange as </w:t>
      </w:r>
      <w:r w:rsidR="00A312AF" w:rsidRPr="006618C1">
        <w:rPr>
          <w:rFonts w:cstheme="minorHAnsi"/>
        </w:rPr>
        <w:t>an alternative therapy</w:t>
      </w:r>
      <w:r w:rsidR="003E5FE5" w:rsidRPr="006618C1">
        <w:rPr>
          <w:rFonts w:cstheme="minorHAnsi"/>
        </w:rPr>
        <w:t>.</w:t>
      </w:r>
      <w:r w:rsidR="00F14DFB" w:rsidRPr="006618C1">
        <w:rPr>
          <w:rFonts w:cstheme="minorHAnsi"/>
        </w:rPr>
        <w:t xml:space="preserve"> Expert advice from the Ig </w:t>
      </w:r>
      <w:r w:rsidRPr="006618C1">
        <w:rPr>
          <w:rFonts w:cstheme="minorHAnsi"/>
        </w:rPr>
        <w:t xml:space="preserve">Review </w:t>
      </w:r>
      <w:r w:rsidR="004748AB" w:rsidRPr="006618C1">
        <w:rPr>
          <w:rFonts w:cstheme="minorHAnsi"/>
        </w:rPr>
        <w:t>Reference</w:t>
      </w:r>
      <w:r w:rsidR="00F14DFB" w:rsidRPr="006618C1">
        <w:rPr>
          <w:rFonts w:cstheme="minorHAnsi"/>
        </w:rPr>
        <w:t xml:space="preserve"> Group indicated that plasma exchange should be a comparator in this indication.</w:t>
      </w:r>
      <w:r w:rsidRPr="006618C1">
        <w:rPr>
          <w:rFonts w:cstheme="minorHAnsi"/>
        </w:rPr>
        <w:t xml:space="preserve"> Thymectomy is also a comparator in indication 3.</w:t>
      </w:r>
    </w:p>
    <w:p w:rsidR="00C43643" w:rsidRPr="00155EE1" w:rsidRDefault="003E5FE5" w:rsidP="00155EE1">
      <w:pPr>
        <w:spacing w:after="240"/>
        <w:rPr>
          <w:rFonts w:cstheme="minorHAnsi"/>
        </w:rPr>
      </w:pPr>
      <w:r w:rsidRPr="006618C1">
        <w:rPr>
          <w:rFonts w:cstheme="minorHAnsi"/>
        </w:rPr>
        <w:t xml:space="preserve">For indication 3, patients may or may not be using other treatments at the same time as Ig; these include </w:t>
      </w:r>
      <w:r w:rsidR="00E27227" w:rsidRPr="006618C1">
        <w:rPr>
          <w:rFonts w:cstheme="minorHAnsi"/>
        </w:rPr>
        <w:t xml:space="preserve">drugs in the categories of </w:t>
      </w:r>
      <w:r w:rsidRPr="006618C1">
        <w:rPr>
          <w:rFonts w:cstheme="minorHAnsi"/>
        </w:rPr>
        <w:t xml:space="preserve">corticosteroids, </w:t>
      </w:r>
      <w:r w:rsidR="00E82E6B" w:rsidRPr="006618C1">
        <w:rPr>
          <w:rFonts w:cstheme="minorHAnsi"/>
        </w:rPr>
        <w:t xml:space="preserve">anticholinesterase inhibitors, </w:t>
      </w:r>
      <w:r w:rsidRPr="006618C1">
        <w:rPr>
          <w:rFonts w:cstheme="minorHAnsi"/>
        </w:rPr>
        <w:t xml:space="preserve">immunosuppressants and </w:t>
      </w:r>
      <w:proofErr w:type="spellStart"/>
      <w:r w:rsidRPr="006618C1">
        <w:rPr>
          <w:rFonts w:cstheme="minorHAnsi"/>
        </w:rPr>
        <w:t>immunomodulators</w:t>
      </w:r>
      <w:proofErr w:type="spellEnd"/>
      <w:r w:rsidRPr="006618C1">
        <w:rPr>
          <w:rFonts w:cstheme="minorHAnsi"/>
        </w:rPr>
        <w:t xml:space="preserve">, as listed in Table </w:t>
      </w:r>
      <w:r w:rsidR="00E27227" w:rsidRPr="006618C1">
        <w:rPr>
          <w:rFonts w:cstheme="minorHAnsi"/>
        </w:rPr>
        <w:t>5</w:t>
      </w:r>
      <w:r w:rsidRPr="006618C1">
        <w:rPr>
          <w:rFonts w:cstheme="minorHAnsi"/>
        </w:rPr>
        <w:t xml:space="preserve"> (provided by the applicant). Future comparator therapies are </w:t>
      </w:r>
      <w:proofErr w:type="spellStart"/>
      <w:r w:rsidRPr="006618C1">
        <w:rPr>
          <w:rFonts w:cstheme="minorHAnsi"/>
        </w:rPr>
        <w:t>Eculizamab</w:t>
      </w:r>
      <w:proofErr w:type="spellEnd"/>
      <w:r w:rsidRPr="006618C1">
        <w:rPr>
          <w:rFonts w:cstheme="minorHAnsi"/>
        </w:rPr>
        <w:t xml:space="preserve"> and </w:t>
      </w:r>
      <w:proofErr w:type="spellStart"/>
      <w:r w:rsidRPr="006618C1">
        <w:rPr>
          <w:rFonts w:cstheme="minorHAnsi"/>
        </w:rPr>
        <w:t>FcRn</w:t>
      </w:r>
      <w:proofErr w:type="spellEnd"/>
      <w:r w:rsidRPr="006618C1">
        <w:rPr>
          <w:rFonts w:cstheme="minorHAnsi"/>
        </w:rPr>
        <w:t xml:space="preserve"> inhibitors; these are yet to be approved for use in Australia for this indication. </w:t>
      </w:r>
      <w:r w:rsidR="00A312AF" w:rsidRPr="006618C1">
        <w:rPr>
          <w:rFonts w:cstheme="minorHAnsi"/>
        </w:rPr>
        <w:t>To be eligible for Ig for maintenance therapy, at least two other treatments must have been ineffective, be contraindicated, be unavailable or have caused</w:t>
      </w:r>
      <w:r w:rsidRPr="006618C1">
        <w:rPr>
          <w:rFonts w:cstheme="minorHAnsi"/>
        </w:rPr>
        <w:t xml:space="preserve"> </w:t>
      </w:r>
      <w:r w:rsidR="00A312AF" w:rsidRPr="006618C1">
        <w:rPr>
          <w:rFonts w:cstheme="minorHAnsi"/>
        </w:rPr>
        <w:t xml:space="preserve">intolerable side effects. </w:t>
      </w:r>
      <w:r w:rsidRPr="006618C1">
        <w:rPr>
          <w:rFonts w:cstheme="minorHAnsi"/>
        </w:rPr>
        <w:t xml:space="preserve">Evidence of effectiveness is required for ongoing Ig therapy and other </w:t>
      </w:r>
      <w:r w:rsidR="00262A25" w:rsidRPr="006618C1">
        <w:rPr>
          <w:rFonts w:cstheme="minorHAnsi"/>
        </w:rPr>
        <w:t xml:space="preserve">indicated </w:t>
      </w:r>
      <w:r w:rsidRPr="006618C1">
        <w:rPr>
          <w:rFonts w:cstheme="minorHAnsi"/>
        </w:rPr>
        <w:t xml:space="preserve">treatments should be </w:t>
      </w:r>
      <w:r w:rsidR="002B7C22" w:rsidRPr="006618C1">
        <w:rPr>
          <w:rFonts w:cstheme="minorHAnsi"/>
        </w:rPr>
        <w:t>trialed</w:t>
      </w:r>
      <w:r w:rsidRPr="006618C1">
        <w:rPr>
          <w:rFonts w:cstheme="minorHAnsi"/>
        </w:rPr>
        <w:t xml:space="preserve"> concurrently</w:t>
      </w:r>
      <w:r w:rsidR="00E82E6B" w:rsidRPr="006618C1">
        <w:rPr>
          <w:rFonts w:cstheme="minorHAnsi"/>
        </w:rPr>
        <w:t>.</w:t>
      </w:r>
      <w:r w:rsidRPr="006618C1">
        <w:rPr>
          <w:rFonts w:cstheme="minorHAnsi"/>
        </w:rPr>
        <w:t xml:space="preserve"> It should be noted that the NBA </w:t>
      </w:r>
      <w:r w:rsidRPr="006618C1">
        <w:rPr>
          <w:rFonts w:cstheme="minorHAnsi"/>
          <w:i/>
          <w:iCs/>
        </w:rPr>
        <w:t>Criteria</w:t>
      </w:r>
      <w:r w:rsidR="00E82E6B" w:rsidRPr="006618C1">
        <w:rPr>
          <w:rFonts w:cstheme="minorHAnsi"/>
          <w:i/>
          <w:iCs/>
        </w:rPr>
        <w:t xml:space="preserve"> Version 3</w:t>
      </w:r>
      <w:r w:rsidRPr="006618C1">
        <w:rPr>
          <w:rFonts w:cstheme="minorHAnsi"/>
        </w:rPr>
        <w:t xml:space="preserve"> state that IVIg “should be regarded as a stopgap treatment while using short-term drugs such as </w:t>
      </w:r>
      <w:proofErr w:type="spellStart"/>
      <w:r w:rsidRPr="006618C1">
        <w:rPr>
          <w:rFonts w:cstheme="minorHAnsi"/>
        </w:rPr>
        <w:t>pyridostigmine</w:t>
      </w:r>
      <w:proofErr w:type="spellEnd"/>
      <w:r w:rsidRPr="006618C1">
        <w:rPr>
          <w:rFonts w:cstheme="minorHAnsi"/>
        </w:rPr>
        <w:t xml:space="preserve"> and while introducing effective immunotherapy”.</w:t>
      </w:r>
      <w:r w:rsidR="00262A25" w:rsidRPr="006618C1">
        <w:rPr>
          <w:rFonts w:cstheme="minorHAnsi"/>
        </w:rPr>
        <w:t xml:space="preserve"> </w:t>
      </w:r>
    </w:p>
    <w:p w:rsidR="00887301" w:rsidRPr="006618C1" w:rsidRDefault="003E5FE5" w:rsidP="00155EE1">
      <w:pPr>
        <w:pStyle w:val="Caption1"/>
        <w:spacing w:after="0"/>
        <w:rPr>
          <w:rFonts w:asciiTheme="minorHAnsi" w:hAnsiTheme="minorHAnsi" w:cstheme="minorHAnsi"/>
        </w:rPr>
      </w:pPr>
      <w:r w:rsidRPr="006618C1">
        <w:rPr>
          <w:rFonts w:asciiTheme="minorHAnsi" w:hAnsiTheme="minorHAnsi" w:cstheme="minorHAnsi"/>
          <w:szCs w:val="20"/>
        </w:rPr>
        <w:t xml:space="preserve">Table </w:t>
      </w:r>
      <w:r w:rsidR="00E27227" w:rsidRPr="006618C1">
        <w:rPr>
          <w:rFonts w:asciiTheme="minorHAnsi" w:hAnsiTheme="minorHAnsi" w:cstheme="minorHAnsi"/>
        </w:rPr>
        <w:t>5</w:t>
      </w:r>
      <w:r w:rsidRPr="006618C1">
        <w:rPr>
          <w:rFonts w:asciiTheme="minorHAnsi" w:hAnsiTheme="minorHAnsi" w:cstheme="minorHAnsi"/>
        </w:rPr>
        <w:t xml:space="preserve">: </w:t>
      </w:r>
      <w:r w:rsidR="003E4342" w:rsidRPr="006618C1">
        <w:rPr>
          <w:rFonts w:asciiTheme="minorHAnsi" w:hAnsiTheme="minorHAnsi" w:cstheme="minorHAnsi"/>
        </w:rPr>
        <w:t>Drug c</w:t>
      </w:r>
      <w:r w:rsidRPr="006618C1">
        <w:rPr>
          <w:rFonts w:asciiTheme="minorHAnsi" w:hAnsiTheme="minorHAnsi" w:cstheme="minorHAnsi"/>
        </w:rPr>
        <w:t>omparators for patients in indication 3</w:t>
      </w:r>
    </w:p>
    <w:tbl>
      <w:tblPr>
        <w:tblStyle w:val="TableGrid"/>
        <w:tblW w:w="8860" w:type="dxa"/>
        <w:tblInd w:w="426" w:type="dxa"/>
        <w:tblLook w:val="04A0" w:firstRow="1" w:lastRow="0" w:firstColumn="1" w:lastColumn="0" w:noHBand="0" w:noVBand="1"/>
        <w:tblCaption w:val="Table 5. Drug comparators for patients in indication 3"/>
      </w:tblPr>
      <w:tblGrid>
        <w:gridCol w:w="2165"/>
        <w:gridCol w:w="1780"/>
        <w:gridCol w:w="2332"/>
        <w:gridCol w:w="2583"/>
      </w:tblGrid>
      <w:tr w:rsidR="008B1D74" w:rsidRPr="006618C1" w:rsidTr="00B54354">
        <w:trPr>
          <w:tblHeader/>
        </w:trPr>
        <w:tc>
          <w:tcPr>
            <w:tcW w:w="2165" w:type="dxa"/>
            <w:shd w:val="clear" w:color="auto" w:fill="EEECE1" w:themeFill="background2"/>
          </w:tcPr>
          <w:p w:rsidR="008B1D74" w:rsidRPr="006618C1" w:rsidRDefault="008B1D74" w:rsidP="00B54354">
            <w:pPr>
              <w:rPr>
                <w:rFonts w:cstheme="minorHAnsi"/>
                <w:sz w:val="20"/>
                <w:szCs w:val="20"/>
              </w:rPr>
            </w:pPr>
            <w:r w:rsidRPr="006618C1">
              <w:rPr>
                <w:rFonts w:cstheme="minorHAnsi"/>
                <w:sz w:val="20"/>
                <w:szCs w:val="20"/>
              </w:rPr>
              <w:t>Generic Name</w:t>
            </w:r>
            <w:r w:rsidR="00932893">
              <w:rPr>
                <w:rFonts w:cstheme="minorHAnsi"/>
                <w:sz w:val="20"/>
                <w:szCs w:val="20"/>
              </w:rPr>
              <w:t xml:space="preserve"> (Brand names)</w:t>
            </w:r>
          </w:p>
        </w:tc>
        <w:tc>
          <w:tcPr>
            <w:tcW w:w="1780" w:type="dxa"/>
            <w:shd w:val="clear" w:color="auto" w:fill="EEECE1" w:themeFill="background2"/>
          </w:tcPr>
          <w:p w:rsidR="008B1D74" w:rsidRPr="006618C1" w:rsidRDefault="008B1D74" w:rsidP="00B54354">
            <w:pPr>
              <w:rPr>
                <w:rFonts w:cstheme="minorHAnsi"/>
                <w:sz w:val="20"/>
                <w:szCs w:val="20"/>
              </w:rPr>
            </w:pPr>
            <w:r w:rsidRPr="006618C1">
              <w:rPr>
                <w:rFonts w:cstheme="minorHAnsi"/>
                <w:sz w:val="20"/>
                <w:szCs w:val="20"/>
              </w:rPr>
              <w:t xml:space="preserve">PBS </w:t>
            </w:r>
            <w:proofErr w:type="spellStart"/>
            <w:r w:rsidRPr="006618C1">
              <w:rPr>
                <w:rFonts w:cstheme="minorHAnsi"/>
                <w:sz w:val="20"/>
                <w:szCs w:val="20"/>
              </w:rPr>
              <w:t>subsidised</w:t>
            </w:r>
            <w:proofErr w:type="spellEnd"/>
            <w:r w:rsidRPr="006618C1">
              <w:rPr>
                <w:rFonts w:cstheme="minorHAnsi"/>
                <w:sz w:val="20"/>
                <w:szCs w:val="20"/>
              </w:rPr>
              <w:t xml:space="preserve"> for MG</w:t>
            </w:r>
          </w:p>
        </w:tc>
        <w:tc>
          <w:tcPr>
            <w:tcW w:w="2332" w:type="dxa"/>
            <w:shd w:val="clear" w:color="auto" w:fill="EEECE1" w:themeFill="background2"/>
          </w:tcPr>
          <w:p w:rsidR="008B1D74" w:rsidRPr="006618C1" w:rsidRDefault="008B1D74" w:rsidP="00B54354">
            <w:pPr>
              <w:rPr>
                <w:rFonts w:cstheme="minorHAnsi"/>
                <w:sz w:val="20"/>
                <w:szCs w:val="20"/>
              </w:rPr>
            </w:pPr>
            <w:r w:rsidRPr="006618C1">
              <w:rPr>
                <w:rFonts w:cstheme="minorHAnsi"/>
                <w:sz w:val="20"/>
                <w:szCs w:val="20"/>
              </w:rPr>
              <w:t>PBS unrestricted, restricted or Authority Required.</w:t>
            </w:r>
          </w:p>
        </w:tc>
        <w:tc>
          <w:tcPr>
            <w:tcW w:w="2583" w:type="dxa"/>
            <w:shd w:val="clear" w:color="auto" w:fill="EEECE1" w:themeFill="background2"/>
          </w:tcPr>
          <w:p w:rsidR="008B1D74" w:rsidRPr="006618C1" w:rsidRDefault="008B1D74" w:rsidP="00B54354">
            <w:pPr>
              <w:rPr>
                <w:rFonts w:cstheme="minorHAnsi"/>
                <w:sz w:val="20"/>
                <w:szCs w:val="20"/>
              </w:rPr>
            </w:pPr>
            <w:r w:rsidRPr="006618C1">
              <w:rPr>
                <w:rFonts w:cstheme="minorHAnsi"/>
                <w:sz w:val="20"/>
                <w:szCs w:val="20"/>
              </w:rPr>
              <w:t>PBS item numbers and presentations If available for MG</w:t>
            </w:r>
          </w:p>
          <w:p w:rsidR="008B1D74" w:rsidRPr="006618C1" w:rsidRDefault="008B1D74" w:rsidP="00B54354">
            <w:pPr>
              <w:rPr>
                <w:rFonts w:cstheme="minorHAnsi"/>
                <w:sz w:val="20"/>
                <w:szCs w:val="20"/>
              </w:rPr>
            </w:pPr>
            <w:r w:rsidRPr="006618C1">
              <w:rPr>
                <w:rFonts w:cstheme="minorHAnsi"/>
                <w:sz w:val="20"/>
                <w:szCs w:val="20"/>
              </w:rPr>
              <w:t>See Attachment D for ARTG indications</w:t>
            </w:r>
          </w:p>
        </w:tc>
      </w:tr>
      <w:tr w:rsidR="008B1D74" w:rsidRPr="006618C1" w:rsidTr="00B54354">
        <w:tc>
          <w:tcPr>
            <w:tcW w:w="8860" w:type="dxa"/>
            <w:gridSpan w:val="4"/>
            <w:shd w:val="clear" w:color="auto" w:fill="EEECE1" w:themeFill="background2"/>
          </w:tcPr>
          <w:p w:rsidR="008B1D74" w:rsidRPr="006618C1" w:rsidRDefault="008B1D74" w:rsidP="00B54354">
            <w:pPr>
              <w:rPr>
                <w:rFonts w:cstheme="minorHAnsi"/>
                <w:sz w:val="20"/>
                <w:szCs w:val="20"/>
              </w:rPr>
            </w:pPr>
            <w:r w:rsidRPr="006618C1">
              <w:rPr>
                <w:rFonts w:cstheme="minorHAnsi"/>
                <w:sz w:val="20"/>
                <w:szCs w:val="20"/>
              </w:rPr>
              <w:t>Oral Steroids</w:t>
            </w:r>
          </w:p>
        </w:tc>
      </w:tr>
      <w:tr w:rsidR="008B1D74" w:rsidRPr="006618C1" w:rsidTr="00B54354">
        <w:tc>
          <w:tcPr>
            <w:tcW w:w="2165" w:type="dxa"/>
          </w:tcPr>
          <w:p w:rsidR="008B1D74" w:rsidRPr="006618C1" w:rsidRDefault="008B1D74" w:rsidP="00B54354">
            <w:pPr>
              <w:rPr>
                <w:rFonts w:cstheme="minorHAnsi"/>
                <w:sz w:val="20"/>
                <w:szCs w:val="20"/>
              </w:rPr>
            </w:pPr>
            <w:r w:rsidRPr="006618C1">
              <w:rPr>
                <w:rFonts w:cstheme="minorHAnsi"/>
                <w:sz w:val="20"/>
                <w:szCs w:val="20"/>
              </w:rPr>
              <w:t>Prednisone</w:t>
            </w:r>
          </w:p>
          <w:p w:rsidR="008B1D74" w:rsidRPr="006618C1" w:rsidRDefault="008B1D74" w:rsidP="00932893">
            <w:pPr>
              <w:rPr>
                <w:rFonts w:cstheme="minorHAnsi"/>
                <w:sz w:val="20"/>
                <w:szCs w:val="20"/>
              </w:rPr>
            </w:pPr>
            <w:r w:rsidRPr="006618C1">
              <w:rPr>
                <w:rFonts w:cstheme="minorHAnsi"/>
                <w:sz w:val="20"/>
                <w:szCs w:val="20"/>
              </w:rPr>
              <w:t>(</w:t>
            </w:r>
            <w:proofErr w:type="spellStart"/>
            <w:r w:rsidRPr="006618C1">
              <w:rPr>
                <w:rFonts w:cstheme="minorHAnsi"/>
                <w:sz w:val="20"/>
                <w:szCs w:val="20"/>
              </w:rPr>
              <w:t>Panafcort</w:t>
            </w:r>
            <w:proofErr w:type="spellEnd"/>
            <w:r w:rsidRPr="006618C1">
              <w:rPr>
                <w:rFonts w:cstheme="minorHAnsi"/>
                <w:sz w:val="20"/>
                <w:szCs w:val="20"/>
              </w:rPr>
              <w:t>, Sone)</w:t>
            </w: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Yes</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Unrestricted</w:t>
            </w:r>
          </w:p>
        </w:tc>
        <w:tc>
          <w:tcPr>
            <w:tcW w:w="2583" w:type="dxa"/>
          </w:tcPr>
          <w:p w:rsidR="008B1D74" w:rsidRPr="006618C1" w:rsidRDefault="008B1D74" w:rsidP="00EE2A0C">
            <w:pPr>
              <w:pStyle w:val="ListParagraph"/>
              <w:numPr>
                <w:ilvl w:val="2"/>
                <w:numId w:val="37"/>
              </w:numPr>
              <w:spacing w:after="120"/>
              <w:ind w:left="600" w:right="0"/>
              <w:rPr>
                <w:rFonts w:cstheme="minorHAnsi"/>
                <w:sz w:val="20"/>
                <w:szCs w:val="20"/>
              </w:rPr>
            </w:pPr>
            <w:r w:rsidRPr="006618C1">
              <w:rPr>
                <w:rFonts w:cstheme="minorHAnsi"/>
                <w:sz w:val="20"/>
                <w:szCs w:val="20"/>
              </w:rPr>
              <w:t>25mg tablet, 30) (1936X)</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5mg tablet, 60 (1935W)</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1mg tablet, 100 (1934T)</w:t>
            </w:r>
          </w:p>
        </w:tc>
      </w:tr>
      <w:tr w:rsidR="008B1D74" w:rsidRPr="006618C1" w:rsidTr="00B54354">
        <w:tc>
          <w:tcPr>
            <w:tcW w:w="2165" w:type="dxa"/>
          </w:tcPr>
          <w:p w:rsidR="008B1D74" w:rsidRPr="006618C1" w:rsidRDefault="008B1D74" w:rsidP="00B54354">
            <w:pPr>
              <w:rPr>
                <w:rFonts w:cstheme="minorHAnsi"/>
                <w:sz w:val="20"/>
                <w:szCs w:val="20"/>
              </w:rPr>
            </w:pPr>
            <w:r w:rsidRPr="006618C1">
              <w:rPr>
                <w:rFonts w:cstheme="minorHAnsi"/>
                <w:sz w:val="20"/>
                <w:szCs w:val="20"/>
              </w:rPr>
              <w:t>Prednisolone</w:t>
            </w:r>
          </w:p>
          <w:p w:rsidR="008B1D74" w:rsidRPr="006618C1" w:rsidRDefault="008B1D74" w:rsidP="00932893">
            <w:pPr>
              <w:rPr>
                <w:rFonts w:cstheme="minorHAnsi"/>
                <w:sz w:val="20"/>
                <w:szCs w:val="20"/>
              </w:rPr>
            </w:pPr>
            <w:r w:rsidRPr="006618C1">
              <w:rPr>
                <w:rFonts w:cstheme="minorHAnsi"/>
                <w:sz w:val="20"/>
                <w:szCs w:val="20"/>
              </w:rPr>
              <w:t>(</w:t>
            </w:r>
            <w:proofErr w:type="spellStart"/>
            <w:r w:rsidRPr="006618C1">
              <w:rPr>
                <w:rFonts w:cstheme="minorHAnsi"/>
                <w:sz w:val="20"/>
                <w:szCs w:val="20"/>
              </w:rPr>
              <w:t>Panafcortelone</w:t>
            </w:r>
            <w:proofErr w:type="spellEnd"/>
            <w:r w:rsidRPr="006618C1">
              <w:rPr>
                <w:rFonts w:cstheme="minorHAnsi"/>
                <w:sz w:val="20"/>
                <w:szCs w:val="20"/>
              </w:rPr>
              <w:t xml:space="preserve">, </w:t>
            </w:r>
            <w:proofErr w:type="spellStart"/>
            <w:r w:rsidRPr="006618C1">
              <w:rPr>
                <w:rFonts w:cstheme="minorHAnsi"/>
                <w:sz w:val="20"/>
                <w:szCs w:val="20"/>
              </w:rPr>
              <w:t>Solone</w:t>
            </w:r>
            <w:proofErr w:type="spellEnd"/>
            <w:r w:rsidRPr="006618C1">
              <w:rPr>
                <w:rFonts w:cstheme="minorHAnsi"/>
                <w:sz w:val="20"/>
                <w:szCs w:val="20"/>
              </w:rPr>
              <w:t>)</w:t>
            </w: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Yes</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Unrestricted</w:t>
            </w:r>
          </w:p>
        </w:tc>
        <w:tc>
          <w:tcPr>
            <w:tcW w:w="2583" w:type="dxa"/>
          </w:tcPr>
          <w:p w:rsidR="008B1D74" w:rsidRPr="006618C1" w:rsidRDefault="008B1D74" w:rsidP="00EE2A0C">
            <w:pPr>
              <w:pStyle w:val="ListParagraph"/>
              <w:numPr>
                <w:ilvl w:val="2"/>
                <w:numId w:val="37"/>
              </w:numPr>
              <w:spacing w:after="120"/>
              <w:ind w:left="600" w:right="0"/>
              <w:rPr>
                <w:rFonts w:cstheme="minorHAnsi"/>
                <w:sz w:val="20"/>
                <w:szCs w:val="20"/>
              </w:rPr>
            </w:pPr>
            <w:r w:rsidRPr="006618C1">
              <w:rPr>
                <w:rFonts w:cstheme="minorHAnsi"/>
                <w:sz w:val="20"/>
                <w:szCs w:val="20"/>
              </w:rPr>
              <w:t>25mg tablet, 30) (1916W)</w:t>
            </w:r>
          </w:p>
          <w:p w:rsidR="008B1D74"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5mg tablet, 60 (1917X)</w:t>
            </w:r>
          </w:p>
          <w:p w:rsidR="008B1D74" w:rsidRPr="00932893" w:rsidRDefault="00932893" w:rsidP="00B54354">
            <w:pPr>
              <w:pStyle w:val="ListParagraph"/>
              <w:numPr>
                <w:ilvl w:val="2"/>
                <w:numId w:val="37"/>
              </w:numPr>
              <w:spacing w:before="120" w:after="120"/>
              <w:ind w:left="600" w:right="0"/>
              <w:rPr>
                <w:rFonts w:cstheme="minorHAnsi"/>
                <w:sz w:val="20"/>
                <w:szCs w:val="20"/>
              </w:rPr>
            </w:pPr>
            <w:r w:rsidRPr="00932893">
              <w:rPr>
                <w:rFonts w:cstheme="minorHAnsi"/>
                <w:sz w:val="20"/>
                <w:szCs w:val="20"/>
              </w:rPr>
              <w:t>1mg tablet, 100 (3152X</w:t>
            </w:r>
            <w:r>
              <w:rPr>
                <w:rFonts w:cstheme="minorHAnsi"/>
                <w:sz w:val="20"/>
                <w:szCs w:val="20"/>
              </w:rPr>
              <w:t>)</w:t>
            </w:r>
          </w:p>
        </w:tc>
      </w:tr>
      <w:tr w:rsidR="008B1D74" w:rsidRPr="006618C1" w:rsidTr="00B54354">
        <w:tc>
          <w:tcPr>
            <w:tcW w:w="2165" w:type="dxa"/>
          </w:tcPr>
          <w:p w:rsidR="008B1D74" w:rsidRPr="006618C1" w:rsidRDefault="008B1D74" w:rsidP="00B54354">
            <w:pPr>
              <w:rPr>
                <w:rFonts w:cstheme="minorHAnsi"/>
                <w:sz w:val="20"/>
                <w:szCs w:val="20"/>
              </w:rPr>
            </w:pPr>
            <w:r w:rsidRPr="006618C1">
              <w:rPr>
                <w:rFonts w:cstheme="minorHAnsi"/>
                <w:sz w:val="20"/>
                <w:szCs w:val="20"/>
              </w:rPr>
              <w:lastRenderedPageBreak/>
              <w:t>Dexamethasone</w:t>
            </w:r>
          </w:p>
          <w:p w:rsidR="008B1D74" w:rsidRPr="006618C1" w:rsidRDefault="008B1D74" w:rsidP="00B54354">
            <w:pPr>
              <w:rPr>
                <w:rFonts w:cstheme="minorHAnsi"/>
                <w:sz w:val="20"/>
                <w:szCs w:val="20"/>
              </w:rPr>
            </w:pPr>
            <w:r w:rsidRPr="006618C1">
              <w:rPr>
                <w:rFonts w:cstheme="minorHAnsi"/>
                <w:sz w:val="20"/>
                <w:szCs w:val="20"/>
              </w:rPr>
              <w:t xml:space="preserve">(Dexamethasone Mylan, </w:t>
            </w:r>
            <w:proofErr w:type="spellStart"/>
            <w:r w:rsidRPr="006618C1">
              <w:rPr>
                <w:rFonts w:cstheme="minorHAnsi"/>
                <w:sz w:val="20"/>
                <w:szCs w:val="20"/>
              </w:rPr>
              <w:t>Dexmethsone</w:t>
            </w:r>
            <w:proofErr w:type="spellEnd"/>
            <w:r w:rsidRPr="006618C1">
              <w:rPr>
                <w:rFonts w:cstheme="minorHAnsi"/>
                <w:sz w:val="20"/>
                <w:szCs w:val="20"/>
              </w:rPr>
              <w:t>)</w:t>
            </w:r>
          </w:p>
          <w:p w:rsidR="008B1D74" w:rsidRPr="006618C1" w:rsidRDefault="008B1D74" w:rsidP="00B54354">
            <w:pPr>
              <w:rPr>
                <w:rFonts w:cstheme="minorHAnsi"/>
                <w:sz w:val="20"/>
                <w:szCs w:val="20"/>
              </w:rPr>
            </w:pP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Yes</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Unrestricted</w:t>
            </w:r>
          </w:p>
        </w:tc>
        <w:tc>
          <w:tcPr>
            <w:tcW w:w="2583" w:type="dxa"/>
          </w:tcPr>
          <w:p w:rsidR="008B1D74" w:rsidRPr="006618C1" w:rsidRDefault="008B1D74" w:rsidP="00EE2A0C">
            <w:pPr>
              <w:pStyle w:val="ListParagraph"/>
              <w:numPr>
                <w:ilvl w:val="2"/>
                <w:numId w:val="37"/>
              </w:numPr>
              <w:spacing w:after="120"/>
              <w:ind w:left="600" w:right="0"/>
              <w:rPr>
                <w:rFonts w:cstheme="minorHAnsi"/>
                <w:sz w:val="20"/>
                <w:szCs w:val="20"/>
              </w:rPr>
            </w:pPr>
            <w:r w:rsidRPr="006618C1">
              <w:rPr>
                <w:rFonts w:cstheme="minorHAnsi"/>
                <w:sz w:val="20"/>
                <w:szCs w:val="20"/>
              </w:rPr>
              <w:t>4mg Tablet, 30 (2507Y)</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500 mcg tablet, 30 (1292B)</w:t>
            </w:r>
          </w:p>
        </w:tc>
      </w:tr>
      <w:tr w:rsidR="008B1D74" w:rsidRPr="006618C1" w:rsidTr="00B54354">
        <w:tc>
          <w:tcPr>
            <w:tcW w:w="2165" w:type="dxa"/>
          </w:tcPr>
          <w:p w:rsidR="008B1D74" w:rsidRPr="006618C1" w:rsidRDefault="008B1D74" w:rsidP="00B54354">
            <w:pPr>
              <w:rPr>
                <w:rFonts w:cstheme="minorHAnsi"/>
                <w:sz w:val="20"/>
                <w:szCs w:val="20"/>
              </w:rPr>
            </w:pPr>
            <w:r w:rsidRPr="006618C1">
              <w:rPr>
                <w:rFonts w:cstheme="minorHAnsi"/>
                <w:sz w:val="20"/>
                <w:szCs w:val="20"/>
              </w:rPr>
              <w:t>Methylprednisolone</w:t>
            </w:r>
          </w:p>
          <w:p w:rsidR="008B1D74" w:rsidRPr="006618C1" w:rsidRDefault="008B1D74" w:rsidP="00932893">
            <w:pPr>
              <w:rPr>
                <w:rFonts w:cstheme="minorHAnsi"/>
                <w:sz w:val="20"/>
                <w:szCs w:val="20"/>
              </w:rPr>
            </w:pPr>
            <w:r w:rsidRPr="006618C1">
              <w:rPr>
                <w:rFonts w:cstheme="minorHAnsi"/>
                <w:sz w:val="20"/>
                <w:szCs w:val="20"/>
              </w:rPr>
              <w:t>(</w:t>
            </w:r>
            <w:proofErr w:type="spellStart"/>
            <w:r w:rsidRPr="006618C1">
              <w:rPr>
                <w:rFonts w:cstheme="minorHAnsi"/>
                <w:sz w:val="20"/>
                <w:szCs w:val="20"/>
              </w:rPr>
              <w:t>Solu</w:t>
            </w:r>
            <w:proofErr w:type="spellEnd"/>
            <w:r w:rsidRPr="006618C1">
              <w:rPr>
                <w:rFonts w:cstheme="minorHAnsi"/>
                <w:sz w:val="20"/>
                <w:szCs w:val="20"/>
              </w:rPr>
              <w:t xml:space="preserve">-Medrol, </w:t>
            </w:r>
            <w:proofErr w:type="spellStart"/>
            <w:r w:rsidRPr="006618C1">
              <w:rPr>
                <w:rFonts w:cstheme="minorHAnsi"/>
                <w:sz w:val="20"/>
                <w:szCs w:val="20"/>
              </w:rPr>
              <w:t>Methylpred</w:t>
            </w:r>
            <w:proofErr w:type="spellEnd"/>
            <w:r w:rsidRPr="006618C1">
              <w:rPr>
                <w:rFonts w:cstheme="minorHAnsi"/>
                <w:sz w:val="20"/>
                <w:szCs w:val="20"/>
              </w:rPr>
              <w:t xml:space="preserve">, Methylprednisolone </w:t>
            </w:r>
            <w:proofErr w:type="spellStart"/>
            <w:r w:rsidRPr="006618C1">
              <w:rPr>
                <w:rFonts w:cstheme="minorHAnsi"/>
                <w:sz w:val="20"/>
                <w:szCs w:val="20"/>
              </w:rPr>
              <w:t>Alphapharm</w:t>
            </w:r>
            <w:proofErr w:type="spellEnd"/>
            <w:r w:rsidRPr="006618C1">
              <w:rPr>
                <w:rFonts w:cstheme="minorHAnsi"/>
                <w:sz w:val="20"/>
                <w:szCs w:val="20"/>
              </w:rPr>
              <w:t>)</w:t>
            </w: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Yes</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Unrestricted</w:t>
            </w:r>
          </w:p>
        </w:tc>
        <w:tc>
          <w:tcPr>
            <w:tcW w:w="2583" w:type="dxa"/>
          </w:tcPr>
          <w:p w:rsidR="008B1D74" w:rsidRPr="006618C1" w:rsidRDefault="008B1D74" w:rsidP="00EE2A0C">
            <w:pPr>
              <w:pStyle w:val="ListParagraph"/>
              <w:numPr>
                <w:ilvl w:val="2"/>
                <w:numId w:val="37"/>
              </w:numPr>
              <w:spacing w:after="120"/>
              <w:ind w:left="600" w:right="0"/>
              <w:rPr>
                <w:rFonts w:cstheme="minorHAnsi"/>
                <w:sz w:val="20"/>
                <w:szCs w:val="20"/>
              </w:rPr>
            </w:pPr>
            <w:r w:rsidRPr="006618C1">
              <w:rPr>
                <w:rFonts w:cstheme="minorHAnsi"/>
                <w:sz w:val="20"/>
                <w:szCs w:val="20"/>
              </w:rPr>
              <w:t>40mg/ml injection, 5x1ml vials (1928L)</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40mg injection, 5 vials &amp; inert substance diluent, 5x1ml vials (2981X)</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40mg/ml injection, 5x1ml vials (5148Y)</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40mg powder for injection, 5 (5263B)</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1g powder for injection, 1 (5264C)</w:t>
            </w:r>
          </w:p>
        </w:tc>
      </w:tr>
      <w:tr w:rsidR="008B1D74" w:rsidRPr="006618C1" w:rsidTr="00B54354">
        <w:tc>
          <w:tcPr>
            <w:tcW w:w="8860" w:type="dxa"/>
            <w:gridSpan w:val="4"/>
            <w:shd w:val="clear" w:color="auto" w:fill="EEECE1" w:themeFill="background2"/>
          </w:tcPr>
          <w:p w:rsidR="008B1D74" w:rsidRPr="006618C1" w:rsidRDefault="008B1D74" w:rsidP="0013607A">
            <w:pPr>
              <w:rPr>
                <w:rFonts w:cstheme="minorHAnsi"/>
                <w:sz w:val="20"/>
                <w:szCs w:val="20"/>
              </w:rPr>
            </w:pPr>
            <w:r w:rsidRPr="006618C1">
              <w:rPr>
                <w:rFonts w:cstheme="minorHAnsi"/>
                <w:sz w:val="20"/>
                <w:szCs w:val="20"/>
              </w:rPr>
              <w:t>Immunosuppressant and immunomodulatory drugs</w:t>
            </w:r>
          </w:p>
        </w:tc>
      </w:tr>
      <w:tr w:rsidR="008B1D74" w:rsidRPr="006618C1" w:rsidTr="00B54354">
        <w:tc>
          <w:tcPr>
            <w:tcW w:w="2165" w:type="dxa"/>
          </w:tcPr>
          <w:p w:rsidR="008B1D74" w:rsidRPr="006618C1" w:rsidRDefault="008B1D74" w:rsidP="00B54354">
            <w:pPr>
              <w:rPr>
                <w:rFonts w:cstheme="minorHAnsi"/>
                <w:sz w:val="20"/>
                <w:szCs w:val="20"/>
              </w:rPr>
            </w:pPr>
            <w:r w:rsidRPr="006618C1">
              <w:rPr>
                <w:rFonts w:cstheme="minorHAnsi"/>
                <w:sz w:val="20"/>
                <w:szCs w:val="20"/>
              </w:rPr>
              <w:t xml:space="preserve">Azathioprine </w:t>
            </w:r>
          </w:p>
          <w:p w:rsidR="008B1D74" w:rsidRPr="006618C1" w:rsidRDefault="008B1D74" w:rsidP="00932893">
            <w:pPr>
              <w:rPr>
                <w:rFonts w:cstheme="minorHAnsi"/>
                <w:sz w:val="20"/>
                <w:szCs w:val="20"/>
              </w:rPr>
            </w:pPr>
            <w:r w:rsidRPr="006618C1">
              <w:rPr>
                <w:rFonts w:cstheme="minorHAnsi"/>
                <w:sz w:val="20"/>
                <w:szCs w:val="20"/>
              </w:rPr>
              <w:t>(APO-Azathioprine, Azathioprine GH, Azathioprine Sandoz, Imuran)</w:t>
            </w: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Yes</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Unrestricted</w:t>
            </w:r>
          </w:p>
        </w:tc>
        <w:tc>
          <w:tcPr>
            <w:tcW w:w="2583" w:type="dxa"/>
          </w:tcPr>
          <w:p w:rsidR="008B1D74" w:rsidRPr="006618C1" w:rsidRDefault="008B1D74" w:rsidP="00EE2A0C">
            <w:pPr>
              <w:pStyle w:val="ListParagraph"/>
              <w:numPr>
                <w:ilvl w:val="2"/>
                <w:numId w:val="37"/>
              </w:numPr>
              <w:spacing w:after="120"/>
              <w:ind w:left="600" w:right="0"/>
              <w:rPr>
                <w:rFonts w:cstheme="minorHAnsi"/>
                <w:sz w:val="20"/>
                <w:szCs w:val="20"/>
              </w:rPr>
            </w:pPr>
            <w:r w:rsidRPr="006618C1">
              <w:rPr>
                <w:rFonts w:cstheme="minorHAnsi"/>
                <w:sz w:val="20"/>
                <w:szCs w:val="20"/>
              </w:rPr>
              <w:t>25mg tablet, 200 (2688L)</w:t>
            </w:r>
          </w:p>
        </w:tc>
      </w:tr>
      <w:tr w:rsidR="008B1D74" w:rsidRPr="006618C1" w:rsidTr="00B54354">
        <w:tc>
          <w:tcPr>
            <w:tcW w:w="2165" w:type="dxa"/>
          </w:tcPr>
          <w:p w:rsidR="008B1D74" w:rsidRPr="006618C1" w:rsidRDefault="008B1D74" w:rsidP="00B54354">
            <w:pPr>
              <w:rPr>
                <w:rFonts w:cstheme="minorHAnsi"/>
                <w:sz w:val="20"/>
                <w:szCs w:val="20"/>
              </w:rPr>
            </w:pPr>
            <w:r w:rsidRPr="006618C1">
              <w:rPr>
                <w:rFonts w:cstheme="minorHAnsi"/>
                <w:sz w:val="20"/>
                <w:szCs w:val="20"/>
              </w:rPr>
              <w:t>Cyclophosphamide</w:t>
            </w:r>
          </w:p>
          <w:p w:rsidR="008B1D74" w:rsidRPr="006618C1" w:rsidRDefault="008B1D74" w:rsidP="00B54354">
            <w:pPr>
              <w:rPr>
                <w:rFonts w:cstheme="minorHAnsi"/>
                <w:sz w:val="20"/>
                <w:szCs w:val="20"/>
              </w:rPr>
            </w:pPr>
            <w:r w:rsidRPr="006618C1">
              <w:rPr>
                <w:rFonts w:cstheme="minorHAnsi"/>
                <w:sz w:val="20"/>
                <w:szCs w:val="20"/>
              </w:rPr>
              <w:t>(</w:t>
            </w:r>
            <w:proofErr w:type="spellStart"/>
            <w:r w:rsidRPr="006618C1">
              <w:rPr>
                <w:rFonts w:cstheme="minorHAnsi"/>
                <w:sz w:val="20"/>
                <w:szCs w:val="20"/>
              </w:rPr>
              <w:t>Cyclonex</w:t>
            </w:r>
            <w:proofErr w:type="spellEnd"/>
            <w:r w:rsidRPr="006618C1">
              <w:rPr>
                <w:rFonts w:cstheme="minorHAnsi"/>
                <w:sz w:val="20"/>
                <w:szCs w:val="20"/>
              </w:rPr>
              <w:t xml:space="preserve">, </w:t>
            </w:r>
            <w:proofErr w:type="spellStart"/>
            <w:r w:rsidRPr="006618C1">
              <w:rPr>
                <w:rFonts w:cstheme="minorHAnsi"/>
                <w:sz w:val="20"/>
                <w:szCs w:val="20"/>
              </w:rPr>
              <w:t>Endoxan</w:t>
            </w:r>
            <w:proofErr w:type="spellEnd"/>
            <w:r w:rsidRPr="006618C1">
              <w:rPr>
                <w:rFonts w:cstheme="minorHAnsi"/>
                <w:sz w:val="20"/>
                <w:szCs w:val="20"/>
              </w:rPr>
              <w:t>)</w:t>
            </w: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Yes</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Unrestricted</w:t>
            </w:r>
          </w:p>
        </w:tc>
        <w:tc>
          <w:tcPr>
            <w:tcW w:w="2583" w:type="dxa"/>
          </w:tcPr>
          <w:p w:rsidR="008B1D74" w:rsidRPr="006618C1" w:rsidRDefault="008B1D74" w:rsidP="00EE2A0C">
            <w:pPr>
              <w:pStyle w:val="ListParagraph"/>
              <w:numPr>
                <w:ilvl w:val="2"/>
                <w:numId w:val="37"/>
              </w:numPr>
              <w:spacing w:after="120"/>
              <w:ind w:left="600" w:right="0"/>
              <w:rPr>
                <w:rFonts w:cstheme="minorHAnsi"/>
                <w:sz w:val="20"/>
                <w:szCs w:val="20"/>
              </w:rPr>
            </w:pPr>
            <w:r w:rsidRPr="006618C1">
              <w:rPr>
                <w:rFonts w:cstheme="minorHAnsi"/>
                <w:sz w:val="20"/>
                <w:szCs w:val="20"/>
              </w:rPr>
              <w:t>50mg tablet, 50 (1266P)</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Injection 2,800mg (4327R)</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Injection 2,800mg (7226H)</w:t>
            </w:r>
          </w:p>
        </w:tc>
      </w:tr>
      <w:tr w:rsidR="008B1D74" w:rsidRPr="006618C1" w:rsidTr="00B54354">
        <w:tc>
          <w:tcPr>
            <w:tcW w:w="2165" w:type="dxa"/>
          </w:tcPr>
          <w:p w:rsidR="008B1D74" w:rsidRPr="006618C1" w:rsidRDefault="008B1D74" w:rsidP="00B54354">
            <w:pPr>
              <w:rPr>
                <w:rFonts w:cstheme="minorHAnsi"/>
                <w:sz w:val="20"/>
                <w:szCs w:val="20"/>
              </w:rPr>
            </w:pPr>
            <w:proofErr w:type="spellStart"/>
            <w:r w:rsidRPr="006618C1">
              <w:rPr>
                <w:rFonts w:cstheme="minorHAnsi"/>
                <w:sz w:val="20"/>
                <w:szCs w:val="20"/>
              </w:rPr>
              <w:t>Ciclosporin</w:t>
            </w:r>
            <w:proofErr w:type="spellEnd"/>
          </w:p>
          <w:p w:rsidR="008B1D74" w:rsidRPr="006618C1" w:rsidRDefault="008B1D74" w:rsidP="00B54354">
            <w:pPr>
              <w:rPr>
                <w:rFonts w:cstheme="minorHAnsi"/>
                <w:sz w:val="20"/>
                <w:szCs w:val="20"/>
              </w:rPr>
            </w:pPr>
            <w:r w:rsidRPr="006618C1">
              <w:rPr>
                <w:rFonts w:cstheme="minorHAnsi"/>
                <w:sz w:val="20"/>
                <w:szCs w:val="20"/>
              </w:rPr>
              <w:t>(</w:t>
            </w:r>
            <w:proofErr w:type="spellStart"/>
            <w:r w:rsidRPr="006618C1">
              <w:rPr>
                <w:rFonts w:cstheme="minorHAnsi"/>
                <w:sz w:val="20"/>
                <w:szCs w:val="20"/>
              </w:rPr>
              <w:t>Neoral</w:t>
            </w:r>
            <w:proofErr w:type="spellEnd"/>
            <w:r w:rsidRPr="006618C1">
              <w:rPr>
                <w:rFonts w:cstheme="minorHAnsi"/>
                <w:sz w:val="20"/>
                <w:szCs w:val="20"/>
              </w:rPr>
              <w:t xml:space="preserve">, </w:t>
            </w:r>
            <w:proofErr w:type="spellStart"/>
            <w:r w:rsidRPr="006618C1">
              <w:rPr>
                <w:rFonts w:cstheme="minorHAnsi"/>
                <w:sz w:val="20"/>
                <w:szCs w:val="20"/>
              </w:rPr>
              <w:t>Neoral</w:t>
            </w:r>
            <w:proofErr w:type="spellEnd"/>
            <w:r w:rsidRPr="006618C1">
              <w:rPr>
                <w:rFonts w:cstheme="minorHAnsi"/>
                <w:sz w:val="20"/>
                <w:szCs w:val="20"/>
              </w:rPr>
              <w:t xml:space="preserve"> 25, </w:t>
            </w:r>
            <w:proofErr w:type="spellStart"/>
            <w:r w:rsidRPr="006618C1">
              <w:rPr>
                <w:rFonts w:cstheme="minorHAnsi"/>
                <w:sz w:val="20"/>
                <w:szCs w:val="20"/>
              </w:rPr>
              <w:t>Neoral</w:t>
            </w:r>
            <w:proofErr w:type="spellEnd"/>
            <w:r w:rsidRPr="006618C1">
              <w:rPr>
                <w:rFonts w:cstheme="minorHAnsi"/>
                <w:sz w:val="20"/>
                <w:szCs w:val="20"/>
              </w:rPr>
              <w:t xml:space="preserve"> 50, </w:t>
            </w:r>
            <w:proofErr w:type="spellStart"/>
            <w:r w:rsidRPr="006618C1">
              <w:rPr>
                <w:rFonts w:cstheme="minorHAnsi"/>
                <w:sz w:val="20"/>
                <w:szCs w:val="20"/>
              </w:rPr>
              <w:t>Neoral</w:t>
            </w:r>
            <w:proofErr w:type="spellEnd"/>
            <w:r w:rsidRPr="006618C1">
              <w:rPr>
                <w:rFonts w:cstheme="minorHAnsi"/>
                <w:sz w:val="20"/>
                <w:szCs w:val="20"/>
              </w:rPr>
              <w:t xml:space="preserve"> 100, </w:t>
            </w:r>
            <w:proofErr w:type="spellStart"/>
            <w:r w:rsidRPr="006618C1">
              <w:rPr>
                <w:rFonts w:cstheme="minorHAnsi"/>
                <w:sz w:val="20"/>
                <w:szCs w:val="20"/>
              </w:rPr>
              <w:t>Cyclosporin</w:t>
            </w:r>
            <w:proofErr w:type="spellEnd"/>
            <w:r w:rsidRPr="006618C1">
              <w:rPr>
                <w:rFonts w:cstheme="minorHAnsi"/>
                <w:sz w:val="20"/>
                <w:szCs w:val="20"/>
              </w:rPr>
              <w:t xml:space="preserve"> Sandoz</w:t>
            </w: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Yes</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Unrestricted For General Schedule listings only</w:t>
            </w:r>
          </w:p>
          <w:p w:rsidR="008B1D74" w:rsidRPr="006618C1" w:rsidRDefault="008B1D74" w:rsidP="00B54354">
            <w:pPr>
              <w:ind w:left="240"/>
              <w:rPr>
                <w:rFonts w:cstheme="minorHAnsi"/>
                <w:sz w:val="20"/>
                <w:szCs w:val="20"/>
              </w:rPr>
            </w:pPr>
          </w:p>
          <w:p w:rsidR="008B1D74" w:rsidRPr="006618C1" w:rsidRDefault="008B1D74" w:rsidP="00B54354">
            <w:pPr>
              <w:ind w:left="240"/>
              <w:rPr>
                <w:rFonts w:cstheme="minorHAnsi"/>
                <w:sz w:val="20"/>
                <w:szCs w:val="20"/>
              </w:rPr>
            </w:pPr>
            <w:r w:rsidRPr="006618C1">
              <w:rPr>
                <w:rFonts w:cstheme="minorHAnsi"/>
                <w:sz w:val="20"/>
                <w:szCs w:val="20"/>
              </w:rPr>
              <w:t xml:space="preserve">S100 listings are ‘Authority Required’ and do not include MG. </w:t>
            </w:r>
          </w:p>
        </w:tc>
        <w:tc>
          <w:tcPr>
            <w:tcW w:w="2583" w:type="dxa"/>
          </w:tcPr>
          <w:p w:rsidR="008B1D74" w:rsidRPr="006618C1" w:rsidRDefault="008B1D74" w:rsidP="00EE2A0C">
            <w:pPr>
              <w:pStyle w:val="ListParagraph"/>
              <w:numPr>
                <w:ilvl w:val="2"/>
                <w:numId w:val="37"/>
              </w:numPr>
              <w:spacing w:after="120"/>
              <w:ind w:left="600" w:right="0"/>
              <w:rPr>
                <w:rFonts w:cstheme="minorHAnsi"/>
                <w:sz w:val="20"/>
                <w:szCs w:val="20"/>
              </w:rPr>
            </w:pPr>
            <w:r w:rsidRPr="006618C1">
              <w:rPr>
                <w:rFonts w:cstheme="minorHAnsi"/>
                <w:sz w:val="20"/>
                <w:szCs w:val="20"/>
              </w:rPr>
              <w:t>10MG capsule, 60 (8657P)</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25mg capsule, 30 (8659Q)</w:t>
            </w:r>
          </w:p>
          <w:p w:rsidR="008B1D74" w:rsidRPr="006618C1"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50mg capsule, 30 (8659Q)</w:t>
            </w:r>
          </w:p>
          <w:p w:rsidR="008B1D74" w:rsidRDefault="008B1D74" w:rsidP="008B1D74">
            <w:pPr>
              <w:pStyle w:val="ListParagraph"/>
              <w:numPr>
                <w:ilvl w:val="2"/>
                <w:numId w:val="37"/>
              </w:numPr>
              <w:spacing w:before="120" w:after="120"/>
              <w:ind w:left="600" w:right="0"/>
              <w:rPr>
                <w:rFonts w:cstheme="minorHAnsi"/>
                <w:sz w:val="20"/>
                <w:szCs w:val="20"/>
              </w:rPr>
            </w:pPr>
            <w:r w:rsidRPr="006618C1">
              <w:rPr>
                <w:rFonts w:cstheme="minorHAnsi"/>
                <w:sz w:val="20"/>
                <w:szCs w:val="20"/>
              </w:rPr>
              <w:t>100mg capsule, 30 (8660T)</w:t>
            </w:r>
          </w:p>
          <w:p w:rsidR="00AE0657" w:rsidRPr="0048356F" w:rsidRDefault="008B1D74" w:rsidP="0048356F">
            <w:pPr>
              <w:pStyle w:val="ListParagraph"/>
              <w:numPr>
                <w:ilvl w:val="2"/>
                <w:numId w:val="37"/>
              </w:numPr>
              <w:spacing w:before="120" w:after="120"/>
              <w:ind w:left="600" w:right="0"/>
              <w:rPr>
                <w:rFonts w:cstheme="minorHAnsi"/>
                <w:sz w:val="20"/>
                <w:szCs w:val="20"/>
              </w:rPr>
            </w:pPr>
            <w:r w:rsidRPr="0048356F">
              <w:rPr>
                <w:rFonts w:cstheme="minorHAnsi"/>
                <w:sz w:val="20"/>
                <w:szCs w:val="20"/>
              </w:rPr>
              <w:t>100mg/mL oral liquid, 50mL (8661W)</w:t>
            </w:r>
          </w:p>
        </w:tc>
      </w:tr>
      <w:tr w:rsidR="00AE0657" w:rsidRPr="006618C1" w:rsidTr="00B54354">
        <w:tc>
          <w:tcPr>
            <w:tcW w:w="2165" w:type="dxa"/>
          </w:tcPr>
          <w:p w:rsidR="00AE0657" w:rsidRPr="006618C1" w:rsidRDefault="00AE0657" w:rsidP="00B54354">
            <w:pPr>
              <w:rPr>
                <w:rFonts w:cstheme="minorHAnsi"/>
                <w:sz w:val="20"/>
                <w:szCs w:val="20"/>
              </w:rPr>
            </w:pPr>
            <w:proofErr w:type="spellStart"/>
            <w:r w:rsidRPr="006618C1">
              <w:rPr>
                <w:rFonts w:cstheme="minorHAnsi"/>
                <w:sz w:val="20"/>
                <w:szCs w:val="20"/>
              </w:rPr>
              <w:t>Mycophenolate</w:t>
            </w:r>
            <w:proofErr w:type="spellEnd"/>
            <w:r w:rsidRPr="006618C1">
              <w:rPr>
                <w:rFonts w:cstheme="minorHAnsi"/>
                <w:sz w:val="20"/>
                <w:szCs w:val="20"/>
              </w:rPr>
              <w:t xml:space="preserve"> Sandoz, </w:t>
            </w:r>
            <w:proofErr w:type="spellStart"/>
            <w:r w:rsidRPr="006618C1">
              <w:rPr>
                <w:rFonts w:cstheme="minorHAnsi"/>
                <w:sz w:val="20"/>
                <w:szCs w:val="20"/>
              </w:rPr>
              <w:t>Pharmacor</w:t>
            </w:r>
            <w:proofErr w:type="spellEnd"/>
            <w:r w:rsidRPr="006618C1">
              <w:rPr>
                <w:rFonts w:cstheme="minorHAnsi"/>
                <w:sz w:val="20"/>
                <w:szCs w:val="20"/>
              </w:rPr>
              <w:t xml:space="preserve"> </w:t>
            </w:r>
            <w:proofErr w:type="spellStart"/>
            <w:r w:rsidRPr="006618C1">
              <w:rPr>
                <w:rFonts w:cstheme="minorHAnsi"/>
                <w:sz w:val="20"/>
                <w:szCs w:val="20"/>
              </w:rPr>
              <w:t>Mycophenolate</w:t>
            </w:r>
            <w:proofErr w:type="spellEnd"/>
            <w:r w:rsidRPr="006618C1">
              <w:rPr>
                <w:rFonts w:cstheme="minorHAnsi"/>
                <w:sz w:val="20"/>
                <w:szCs w:val="20"/>
              </w:rPr>
              <w:t xml:space="preserve"> 250,  </w:t>
            </w:r>
            <w:proofErr w:type="spellStart"/>
            <w:r w:rsidRPr="006618C1">
              <w:rPr>
                <w:rFonts w:cstheme="minorHAnsi"/>
                <w:sz w:val="20"/>
                <w:szCs w:val="20"/>
              </w:rPr>
              <w:t>Mycophenolate</w:t>
            </w:r>
            <w:proofErr w:type="spellEnd"/>
            <w:r w:rsidRPr="006618C1">
              <w:rPr>
                <w:rFonts w:cstheme="minorHAnsi"/>
                <w:sz w:val="20"/>
                <w:szCs w:val="20"/>
              </w:rPr>
              <w:t xml:space="preserve"> AN, </w:t>
            </w:r>
            <w:proofErr w:type="spellStart"/>
            <w:r w:rsidRPr="006618C1">
              <w:rPr>
                <w:rFonts w:cstheme="minorHAnsi"/>
                <w:sz w:val="20"/>
                <w:szCs w:val="20"/>
              </w:rPr>
              <w:t>Mycophenolate</w:t>
            </w:r>
            <w:proofErr w:type="spellEnd"/>
            <w:r w:rsidRPr="006618C1">
              <w:rPr>
                <w:rFonts w:cstheme="minorHAnsi"/>
                <w:sz w:val="20"/>
                <w:szCs w:val="20"/>
              </w:rPr>
              <w:t xml:space="preserve"> </w:t>
            </w:r>
            <w:r w:rsidRPr="006618C1">
              <w:rPr>
                <w:rFonts w:cstheme="minorHAnsi"/>
                <w:sz w:val="20"/>
                <w:szCs w:val="20"/>
              </w:rPr>
              <w:lastRenderedPageBreak/>
              <w:t xml:space="preserve">Sandoz, </w:t>
            </w:r>
            <w:proofErr w:type="spellStart"/>
            <w:r w:rsidRPr="006618C1">
              <w:rPr>
                <w:rFonts w:cstheme="minorHAnsi"/>
                <w:sz w:val="20"/>
                <w:szCs w:val="20"/>
              </w:rPr>
              <w:t>Pharmacore</w:t>
            </w:r>
            <w:proofErr w:type="spellEnd"/>
            <w:r w:rsidRPr="006618C1">
              <w:rPr>
                <w:rFonts w:cstheme="minorHAnsi"/>
                <w:sz w:val="20"/>
                <w:szCs w:val="20"/>
              </w:rPr>
              <w:t xml:space="preserve"> </w:t>
            </w:r>
            <w:proofErr w:type="spellStart"/>
            <w:r w:rsidRPr="006618C1">
              <w:rPr>
                <w:rFonts w:cstheme="minorHAnsi"/>
                <w:sz w:val="20"/>
                <w:szCs w:val="20"/>
              </w:rPr>
              <w:t>Mycophenolate</w:t>
            </w:r>
            <w:proofErr w:type="spellEnd"/>
            <w:r w:rsidRPr="006618C1">
              <w:rPr>
                <w:rFonts w:cstheme="minorHAnsi"/>
                <w:sz w:val="20"/>
                <w:szCs w:val="20"/>
              </w:rPr>
              <w:t xml:space="preserve"> 500,</w:t>
            </w:r>
          </w:p>
        </w:tc>
        <w:tc>
          <w:tcPr>
            <w:tcW w:w="1780" w:type="dxa"/>
          </w:tcPr>
          <w:p w:rsidR="00AE0657" w:rsidRPr="006618C1" w:rsidRDefault="00AE0657" w:rsidP="00B54354">
            <w:pPr>
              <w:ind w:left="176"/>
              <w:rPr>
                <w:rFonts w:cstheme="minorHAnsi"/>
                <w:sz w:val="20"/>
                <w:szCs w:val="20"/>
              </w:rPr>
            </w:pPr>
            <w:r>
              <w:rPr>
                <w:rFonts w:cstheme="minorHAnsi"/>
                <w:sz w:val="20"/>
                <w:szCs w:val="20"/>
              </w:rPr>
              <w:lastRenderedPageBreak/>
              <w:t>No</w:t>
            </w:r>
          </w:p>
        </w:tc>
        <w:tc>
          <w:tcPr>
            <w:tcW w:w="2332" w:type="dxa"/>
          </w:tcPr>
          <w:p w:rsidR="00AE0657" w:rsidRPr="006618C1" w:rsidRDefault="00AE0657" w:rsidP="00B54354">
            <w:pPr>
              <w:ind w:left="240"/>
              <w:rPr>
                <w:rFonts w:cstheme="minorHAnsi"/>
                <w:sz w:val="20"/>
                <w:szCs w:val="20"/>
              </w:rPr>
            </w:pPr>
            <w:r w:rsidRPr="006618C1">
              <w:rPr>
                <w:rFonts w:cstheme="minorHAnsi"/>
                <w:sz w:val="20"/>
                <w:szCs w:val="20"/>
              </w:rPr>
              <w:t>Authority required in S100 and MG not included.</w:t>
            </w:r>
          </w:p>
        </w:tc>
        <w:tc>
          <w:tcPr>
            <w:tcW w:w="2583" w:type="dxa"/>
          </w:tcPr>
          <w:p w:rsidR="00AE0657" w:rsidRPr="006618C1" w:rsidRDefault="00AE0657" w:rsidP="00EE2A0C">
            <w:pPr>
              <w:pStyle w:val="ListParagraph"/>
              <w:numPr>
                <w:ilvl w:val="2"/>
                <w:numId w:val="37"/>
              </w:numPr>
              <w:spacing w:after="120"/>
              <w:ind w:left="600" w:right="0"/>
              <w:rPr>
                <w:rFonts w:cstheme="minorHAnsi"/>
                <w:sz w:val="20"/>
                <w:szCs w:val="20"/>
              </w:rPr>
            </w:pPr>
            <w:r w:rsidRPr="006618C1">
              <w:rPr>
                <w:rFonts w:cstheme="minorHAnsi"/>
                <w:sz w:val="20"/>
                <w:szCs w:val="20"/>
              </w:rPr>
              <w:t>360mg enteric tablet, 120 (2150E)</w:t>
            </w:r>
          </w:p>
          <w:p w:rsidR="00AE0657" w:rsidRPr="006618C1" w:rsidRDefault="00AE0657" w:rsidP="00AE0657">
            <w:pPr>
              <w:pStyle w:val="ListParagraph"/>
              <w:numPr>
                <w:ilvl w:val="2"/>
                <w:numId w:val="37"/>
              </w:numPr>
              <w:spacing w:before="120" w:after="120"/>
              <w:ind w:left="600" w:right="0"/>
              <w:rPr>
                <w:rFonts w:cstheme="minorHAnsi"/>
                <w:sz w:val="20"/>
                <w:szCs w:val="20"/>
              </w:rPr>
            </w:pPr>
            <w:r w:rsidRPr="006618C1">
              <w:rPr>
                <w:rFonts w:cstheme="minorHAnsi"/>
                <w:sz w:val="20"/>
                <w:szCs w:val="20"/>
              </w:rPr>
              <w:t>250mg capsule, 100 (8649F)</w:t>
            </w:r>
          </w:p>
          <w:p w:rsidR="00AE0657" w:rsidRPr="006618C1" w:rsidRDefault="00AE0657" w:rsidP="00AE0657">
            <w:pPr>
              <w:pStyle w:val="ListParagraph"/>
              <w:numPr>
                <w:ilvl w:val="2"/>
                <w:numId w:val="37"/>
              </w:numPr>
              <w:spacing w:before="120" w:after="120"/>
              <w:ind w:left="600" w:right="0"/>
              <w:rPr>
                <w:rFonts w:cstheme="minorHAnsi"/>
                <w:sz w:val="20"/>
                <w:szCs w:val="20"/>
              </w:rPr>
            </w:pPr>
            <w:r w:rsidRPr="006618C1">
              <w:rPr>
                <w:rFonts w:cstheme="minorHAnsi"/>
                <w:sz w:val="20"/>
                <w:szCs w:val="20"/>
              </w:rPr>
              <w:t>500mg tablet, 50 (8650G)</w:t>
            </w:r>
          </w:p>
          <w:p w:rsidR="00AE0657" w:rsidRPr="00AE0657" w:rsidRDefault="00AE0657" w:rsidP="00AE0657">
            <w:pPr>
              <w:pStyle w:val="ListParagraph"/>
              <w:numPr>
                <w:ilvl w:val="2"/>
                <w:numId w:val="37"/>
              </w:numPr>
              <w:spacing w:before="120" w:after="120"/>
              <w:ind w:left="600" w:right="0"/>
              <w:rPr>
                <w:rFonts w:cstheme="minorHAnsi"/>
                <w:sz w:val="20"/>
                <w:szCs w:val="20"/>
              </w:rPr>
            </w:pPr>
            <w:r w:rsidRPr="006618C1">
              <w:rPr>
                <w:rFonts w:cstheme="minorHAnsi"/>
                <w:sz w:val="20"/>
                <w:szCs w:val="20"/>
              </w:rPr>
              <w:lastRenderedPageBreak/>
              <w:t>1g/5mL powder for oral liquid, 165 mL (8651H</w:t>
            </w:r>
          </w:p>
        </w:tc>
      </w:tr>
      <w:tr w:rsidR="005F7865" w:rsidRPr="006618C1" w:rsidTr="00B54354">
        <w:tc>
          <w:tcPr>
            <w:tcW w:w="2165" w:type="dxa"/>
          </w:tcPr>
          <w:p w:rsidR="005F7865" w:rsidRDefault="005F7865" w:rsidP="00B54354">
            <w:pPr>
              <w:rPr>
                <w:rFonts w:cstheme="minorHAnsi"/>
                <w:sz w:val="20"/>
                <w:szCs w:val="20"/>
              </w:rPr>
            </w:pPr>
            <w:r>
              <w:rPr>
                <w:rFonts w:cstheme="minorHAnsi"/>
                <w:sz w:val="20"/>
                <w:szCs w:val="20"/>
              </w:rPr>
              <w:lastRenderedPageBreak/>
              <w:t>Methotrexate</w:t>
            </w:r>
          </w:p>
          <w:p w:rsidR="00932893" w:rsidRPr="006618C1" w:rsidRDefault="00932893" w:rsidP="00B54354">
            <w:pPr>
              <w:rPr>
                <w:rFonts w:cstheme="minorHAnsi"/>
                <w:sz w:val="20"/>
                <w:szCs w:val="20"/>
              </w:rPr>
            </w:pPr>
            <w:r>
              <w:rPr>
                <w:rFonts w:cstheme="minorHAnsi"/>
                <w:sz w:val="20"/>
                <w:szCs w:val="20"/>
              </w:rPr>
              <w:t>(</w:t>
            </w:r>
            <w:proofErr w:type="spellStart"/>
            <w:r>
              <w:rPr>
                <w:rFonts w:cstheme="minorHAnsi"/>
                <w:sz w:val="20"/>
                <w:szCs w:val="20"/>
              </w:rPr>
              <w:t>Methoblastin</w:t>
            </w:r>
            <w:proofErr w:type="spellEnd"/>
            <w:r>
              <w:rPr>
                <w:rFonts w:cstheme="minorHAnsi"/>
                <w:sz w:val="20"/>
                <w:szCs w:val="20"/>
              </w:rPr>
              <w:t xml:space="preserve"> </w:t>
            </w:r>
          </w:p>
        </w:tc>
        <w:tc>
          <w:tcPr>
            <w:tcW w:w="1780" w:type="dxa"/>
          </w:tcPr>
          <w:p w:rsidR="005F7865" w:rsidRPr="006618C1" w:rsidRDefault="00932893" w:rsidP="00155EE1">
            <w:pPr>
              <w:ind w:left="176"/>
              <w:rPr>
                <w:rFonts w:cstheme="minorHAnsi"/>
                <w:sz w:val="20"/>
                <w:szCs w:val="20"/>
              </w:rPr>
            </w:pPr>
            <w:r>
              <w:rPr>
                <w:rFonts w:cstheme="minorHAnsi"/>
                <w:sz w:val="20"/>
                <w:szCs w:val="20"/>
              </w:rPr>
              <w:t>Yes</w:t>
            </w:r>
          </w:p>
        </w:tc>
        <w:tc>
          <w:tcPr>
            <w:tcW w:w="2332" w:type="dxa"/>
          </w:tcPr>
          <w:p w:rsidR="005F7865" w:rsidRPr="006618C1" w:rsidRDefault="00932893" w:rsidP="00B54354">
            <w:pPr>
              <w:ind w:left="240"/>
              <w:rPr>
                <w:rFonts w:cstheme="minorHAnsi"/>
                <w:sz w:val="20"/>
                <w:szCs w:val="20"/>
              </w:rPr>
            </w:pPr>
            <w:r>
              <w:rPr>
                <w:rFonts w:cstheme="minorHAnsi"/>
                <w:sz w:val="20"/>
                <w:szCs w:val="20"/>
              </w:rPr>
              <w:t>Unrestricted in General Schedule</w:t>
            </w:r>
          </w:p>
        </w:tc>
        <w:tc>
          <w:tcPr>
            <w:tcW w:w="2583" w:type="dxa"/>
          </w:tcPr>
          <w:p w:rsidR="005F7865" w:rsidRDefault="00932893" w:rsidP="00EE2A0C">
            <w:pPr>
              <w:pStyle w:val="ListParagraph"/>
              <w:numPr>
                <w:ilvl w:val="2"/>
                <w:numId w:val="37"/>
              </w:numPr>
              <w:spacing w:after="120"/>
              <w:ind w:left="600" w:right="0"/>
              <w:rPr>
                <w:rFonts w:cstheme="minorHAnsi"/>
                <w:sz w:val="20"/>
                <w:szCs w:val="20"/>
              </w:rPr>
            </w:pPr>
            <w:r>
              <w:rPr>
                <w:rFonts w:cstheme="minorHAnsi"/>
                <w:sz w:val="20"/>
                <w:szCs w:val="20"/>
              </w:rPr>
              <w:t>2.5mg tablet, 30 (1622J)</w:t>
            </w:r>
          </w:p>
          <w:p w:rsidR="00932893" w:rsidRPr="006618C1" w:rsidRDefault="00932893" w:rsidP="008B1D74">
            <w:pPr>
              <w:pStyle w:val="ListParagraph"/>
              <w:numPr>
                <w:ilvl w:val="2"/>
                <w:numId w:val="37"/>
              </w:numPr>
              <w:spacing w:before="120" w:after="120"/>
              <w:ind w:left="600" w:right="0"/>
              <w:rPr>
                <w:rFonts w:cstheme="minorHAnsi"/>
                <w:sz w:val="20"/>
                <w:szCs w:val="20"/>
              </w:rPr>
            </w:pPr>
            <w:r>
              <w:rPr>
                <w:rFonts w:cstheme="minorHAnsi"/>
                <w:sz w:val="20"/>
                <w:szCs w:val="20"/>
              </w:rPr>
              <w:t>10mg tablet, 15 (2272N)</w:t>
            </w:r>
          </w:p>
        </w:tc>
      </w:tr>
      <w:tr w:rsidR="008B1D74" w:rsidRPr="006618C1" w:rsidTr="00B54354">
        <w:tc>
          <w:tcPr>
            <w:tcW w:w="2165" w:type="dxa"/>
          </w:tcPr>
          <w:p w:rsidR="008B1D74" w:rsidRPr="006618C1" w:rsidRDefault="008B1D74" w:rsidP="00B54354">
            <w:pPr>
              <w:rPr>
                <w:rFonts w:cstheme="minorHAnsi"/>
                <w:sz w:val="20"/>
                <w:szCs w:val="20"/>
              </w:rPr>
            </w:pPr>
            <w:r w:rsidRPr="006618C1">
              <w:rPr>
                <w:rFonts w:cstheme="minorHAnsi"/>
                <w:sz w:val="20"/>
                <w:szCs w:val="20"/>
              </w:rPr>
              <w:t>Rituximab</w:t>
            </w:r>
          </w:p>
          <w:p w:rsidR="008B1D74" w:rsidRPr="006618C1" w:rsidRDefault="008B1D74" w:rsidP="00B54354">
            <w:pPr>
              <w:rPr>
                <w:rFonts w:cstheme="minorHAnsi"/>
                <w:sz w:val="20"/>
                <w:szCs w:val="20"/>
              </w:rPr>
            </w:pPr>
            <w:r w:rsidRPr="006618C1">
              <w:rPr>
                <w:rFonts w:cstheme="minorHAnsi"/>
                <w:sz w:val="20"/>
                <w:szCs w:val="20"/>
              </w:rPr>
              <w:t>(</w:t>
            </w:r>
            <w:proofErr w:type="spellStart"/>
            <w:r w:rsidRPr="006618C1">
              <w:rPr>
                <w:rFonts w:cstheme="minorHAnsi"/>
                <w:sz w:val="20"/>
                <w:szCs w:val="20"/>
              </w:rPr>
              <w:t>Mabthera</w:t>
            </w:r>
            <w:proofErr w:type="spellEnd"/>
            <w:r w:rsidRPr="006618C1">
              <w:rPr>
                <w:rFonts w:cstheme="minorHAnsi"/>
                <w:sz w:val="20"/>
                <w:szCs w:val="20"/>
              </w:rPr>
              <w:t xml:space="preserve">) </w:t>
            </w: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No</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Chemotherapy Items, General Schedule and S100 listings are ‘Authority Required’ and MG not included</w:t>
            </w:r>
          </w:p>
        </w:tc>
        <w:tc>
          <w:tcPr>
            <w:tcW w:w="2583" w:type="dxa"/>
          </w:tcPr>
          <w:p w:rsidR="008B1D74" w:rsidRPr="006618C1" w:rsidRDefault="008B1D74" w:rsidP="00B54354">
            <w:pPr>
              <w:pStyle w:val="ListParagraph"/>
              <w:ind w:left="527"/>
              <w:rPr>
                <w:rFonts w:cstheme="minorHAnsi"/>
                <w:sz w:val="20"/>
                <w:szCs w:val="20"/>
              </w:rPr>
            </w:pPr>
            <w:r w:rsidRPr="006618C1">
              <w:rPr>
                <w:rFonts w:cstheme="minorHAnsi"/>
                <w:sz w:val="20"/>
                <w:szCs w:val="20"/>
              </w:rPr>
              <w:t>N/A</w:t>
            </w:r>
          </w:p>
        </w:tc>
      </w:tr>
      <w:tr w:rsidR="008B1D74" w:rsidRPr="006618C1" w:rsidTr="00B54354">
        <w:tc>
          <w:tcPr>
            <w:tcW w:w="8860" w:type="dxa"/>
            <w:gridSpan w:val="4"/>
            <w:shd w:val="clear" w:color="auto" w:fill="EEECE1" w:themeFill="background2"/>
          </w:tcPr>
          <w:p w:rsidR="008B1D74" w:rsidRPr="006618C1" w:rsidRDefault="008B1D74" w:rsidP="003E5566">
            <w:pPr>
              <w:rPr>
                <w:rFonts w:cstheme="minorHAnsi"/>
                <w:sz w:val="20"/>
                <w:szCs w:val="20"/>
              </w:rPr>
            </w:pPr>
            <w:r w:rsidRPr="006618C1">
              <w:rPr>
                <w:rFonts w:cstheme="minorHAnsi"/>
                <w:sz w:val="20"/>
                <w:szCs w:val="20"/>
              </w:rPr>
              <w:t>Other drugs</w:t>
            </w:r>
          </w:p>
        </w:tc>
      </w:tr>
      <w:tr w:rsidR="008B1D74" w:rsidRPr="006618C1" w:rsidTr="00B54354">
        <w:tc>
          <w:tcPr>
            <w:tcW w:w="2165" w:type="dxa"/>
          </w:tcPr>
          <w:p w:rsidR="008B1D74" w:rsidRPr="006618C1" w:rsidRDefault="008B1D74" w:rsidP="00B54354">
            <w:pPr>
              <w:rPr>
                <w:rFonts w:cstheme="minorHAnsi"/>
                <w:sz w:val="20"/>
                <w:szCs w:val="20"/>
              </w:rPr>
            </w:pPr>
            <w:proofErr w:type="spellStart"/>
            <w:r w:rsidRPr="006618C1">
              <w:rPr>
                <w:rFonts w:cstheme="minorHAnsi"/>
                <w:sz w:val="20"/>
                <w:szCs w:val="20"/>
              </w:rPr>
              <w:t>Pyridostigmine</w:t>
            </w:r>
            <w:proofErr w:type="spellEnd"/>
          </w:p>
          <w:p w:rsidR="008B1D74" w:rsidRPr="006618C1" w:rsidRDefault="008B1D74" w:rsidP="00B54354">
            <w:pPr>
              <w:rPr>
                <w:rFonts w:cstheme="minorHAnsi"/>
                <w:sz w:val="20"/>
                <w:szCs w:val="20"/>
              </w:rPr>
            </w:pPr>
            <w:r w:rsidRPr="006618C1">
              <w:rPr>
                <w:rFonts w:cstheme="minorHAnsi"/>
                <w:sz w:val="20"/>
                <w:szCs w:val="20"/>
              </w:rPr>
              <w:t>(</w:t>
            </w:r>
            <w:proofErr w:type="spellStart"/>
            <w:r w:rsidRPr="006618C1">
              <w:rPr>
                <w:rFonts w:cstheme="minorHAnsi"/>
                <w:sz w:val="20"/>
                <w:szCs w:val="20"/>
              </w:rPr>
              <w:t>Mestinon</w:t>
            </w:r>
            <w:proofErr w:type="spellEnd"/>
            <w:r w:rsidRPr="006618C1">
              <w:rPr>
                <w:rFonts w:cstheme="minorHAnsi"/>
                <w:sz w:val="20"/>
                <w:szCs w:val="20"/>
              </w:rPr>
              <w:t xml:space="preserve"> Timespan, </w:t>
            </w:r>
            <w:proofErr w:type="spellStart"/>
            <w:r w:rsidRPr="006618C1">
              <w:rPr>
                <w:rFonts w:cstheme="minorHAnsi"/>
                <w:sz w:val="20"/>
                <w:szCs w:val="20"/>
              </w:rPr>
              <w:t>Mestinon</w:t>
            </w:r>
            <w:proofErr w:type="spellEnd"/>
            <w:r w:rsidRPr="006618C1">
              <w:rPr>
                <w:rFonts w:cstheme="minorHAnsi"/>
                <w:sz w:val="20"/>
                <w:szCs w:val="20"/>
              </w:rPr>
              <w:t>)</w:t>
            </w:r>
          </w:p>
        </w:tc>
        <w:tc>
          <w:tcPr>
            <w:tcW w:w="1780" w:type="dxa"/>
          </w:tcPr>
          <w:p w:rsidR="008B1D74" w:rsidRPr="006618C1" w:rsidRDefault="008B1D74" w:rsidP="00B54354">
            <w:pPr>
              <w:ind w:left="176"/>
              <w:rPr>
                <w:rFonts w:cstheme="minorHAnsi"/>
                <w:sz w:val="20"/>
                <w:szCs w:val="20"/>
              </w:rPr>
            </w:pPr>
            <w:r w:rsidRPr="006618C1">
              <w:rPr>
                <w:rFonts w:cstheme="minorHAnsi"/>
                <w:sz w:val="20"/>
                <w:szCs w:val="20"/>
              </w:rPr>
              <w:t>Yes</w:t>
            </w:r>
          </w:p>
        </w:tc>
        <w:tc>
          <w:tcPr>
            <w:tcW w:w="2332" w:type="dxa"/>
          </w:tcPr>
          <w:p w:rsidR="008B1D74" w:rsidRPr="006618C1" w:rsidRDefault="008B1D74" w:rsidP="00B54354">
            <w:pPr>
              <w:ind w:left="240"/>
              <w:rPr>
                <w:rFonts w:cstheme="minorHAnsi"/>
                <w:sz w:val="20"/>
                <w:szCs w:val="20"/>
              </w:rPr>
            </w:pPr>
            <w:r w:rsidRPr="006618C1">
              <w:rPr>
                <w:rFonts w:cstheme="minorHAnsi"/>
                <w:sz w:val="20"/>
                <w:szCs w:val="20"/>
              </w:rPr>
              <w:t>Unrestricted in General Schedule</w:t>
            </w:r>
          </w:p>
        </w:tc>
        <w:tc>
          <w:tcPr>
            <w:tcW w:w="2583" w:type="dxa"/>
          </w:tcPr>
          <w:p w:rsidR="008B1D74" w:rsidRPr="006618C1" w:rsidRDefault="008B1D74" w:rsidP="00EE2A0C">
            <w:pPr>
              <w:pStyle w:val="ListParagraph"/>
              <w:numPr>
                <w:ilvl w:val="0"/>
                <w:numId w:val="38"/>
              </w:numPr>
              <w:spacing w:after="120"/>
              <w:ind w:left="527" w:right="0" w:hanging="284"/>
              <w:rPr>
                <w:rFonts w:cstheme="minorHAnsi"/>
                <w:sz w:val="20"/>
                <w:szCs w:val="20"/>
              </w:rPr>
            </w:pPr>
            <w:r w:rsidRPr="006618C1">
              <w:rPr>
                <w:rFonts w:cstheme="minorHAnsi"/>
                <w:sz w:val="20"/>
                <w:szCs w:val="20"/>
              </w:rPr>
              <w:t>180mg modified release tablet, 50 (2608G)</w:t>
            </w:r>
          </w:p>
          <w:p w:rsidR="008B1D74" w:rsidRPr="006618C1" w:rsidRDefault="008B1D74" w:rsidP="008B1D74">
            <w:pPr>
              <w:pStyle w:val="ListParagraph"/>
              <w:numPr>
                <w:ilvl w:val="0"/>
                <w:numId w:val="38"/>
              </w:numPr>
              <w:spacing w:before="120" w:after="120"/>
              <w:ind w:left="527" w:right="0" w:hanging="284"/>
              <w:rPr>
                <w:rFonts w:cstheme="minorHAnsi"/>
                <w:sz w:val="20"/>
                <w:szCs w:val="20"/>
              </w:rPr>
            </w:pPr>
            <w:r w:rsidRPr="006618C1">
              <w:rPr>
                <w:rFonts w:cstheme="minorHAnsi"/>
                <w:sz w:val="20"/>
                <w:szCs w:val="20"/>
              </w:rPr>
              <w:t>10mg tablet, 50 (2724J)</w:t>
            </w:r>
          </w:p>
        </w:tc>
      </w:tr>
    </w:tbl>
    <w:p w:rsidR="00887301" w:rsidRPr="006618C1" w:rsidRDefault="00887301">
      <w:pPr>
        <w:widowControl w:val="0"/>
        <w:autoSpaceDE w:val="0"/>
        <w:autoSpaceDN w:val="0"/>
        <w:adjustRightInd w:val="0"/>
        <w:rPr>
          <w:rFonts w:cstheme="minorHAnsi"/>
          <w:sz w:val="24"/>
          <w:szCs w:val="24"/>
        </w:rPr>
      </w:pPr>
    </w:p>
    <w:p w:rsidR="00887301" w:rsidRPr="006618C1" w:rsidRDefault="003E5FE5" w:rsidP="00970715">
      <w:pPr>
        <w:pStyle w:val="Heading3"/>
      </w:pPr>
      <w:r w:rsidRPr="006618C1">
        <w:t>Rationale</w:t>
      </w:r>
    </w:p>
    <w:p w:rsidR="00887301" w:rsidRPr="006618C1" w:rsidRDefault="008B1D74" w:rsidP="00DC2517">
      <w:pPr>
        <w:spacing w:after="120"/>
        <w:rPr>
          <w:rFonts w:cstheme="minorHAnsi"/>
        </w:rPr>
      </w:pPr>
      <w:r w:rsidRPr="006618C1">
        <w:rPr>
          <w:rFonts w:cstheme="minorHAnsi"/>
        </w:rPr>
        <w:t xml:space="preserve">These are the comparators as per the </w:t>
      </w:r>
      <w:r w:rsidRPr="006618C1">
        <w:rPr>
          <w:rFonts w:cstheme="minorHAnsi"/>
          <w:i/>
        </w:rPr>
        <w:t>Criteria, Version 3</w:t>
      </w:r>
      <w:r w:rsidRPr="006618C1">
        <w:rPr>
          <w:rFonts w:cstheme="minorHAnsi"/>
        </w:rPr>
        <w:t xml:space="preserve"> (National Blood Authority, 2018)</w:t>
      </w:r>
      <w:r w:rsidR="003E5FE5" w:rsidRPr="006618C1">
        <w:rPr>
          <w:rFonts w:cstheme="minorHAnsi"/>
        </w:rPr>
        <w:t>.</w:t>
      </w:r>
      <w:r w:rsidRPr="006618C1">
        <w:rPr>
          <w:rFonts w:cstheme="minorHAnsi"/>
        </w:rPr>
        <w:t xml:space="preserve"> In the absence of Ig, patients would be </w:t>
      </w:r>
      <w:proofErr w:type="spellStart"/>
      <w:r w:rsidRPr="006618C1">
        <w:rPr>
          <w:rFonts w:cstheme="minorHAnsi"/>
        </w:rPr>
        <w:t>trialled</w:t>
      </w:r>
      <w:proofErr w:type="spellEnd"/>
      <w:r w:rsidRPr="006618C1">
        <w:rPr>
          <w:rFonts w:cstheme="minorHAnsi"/>
        </w:rPr>
        <w:t xml:space="preserve"> on one or more of these treatments, where clinically appropriate. </w:t>
      </w:r>
    </w:p>
    <w:p w:rsidR="00887301" w:rsidRPr="006618C1" w:rsidRDefault="003E5FE5" w:rsidP="00970715">
      <w:pPr>
        <w:pStyle w:val="Heading1"/>
      </w:pPr>
      <w:r w:rsidRPr="006618C1">
        <w:t>Outcomes</w:t>
      </w:r>
    </w:p>
    <w:p w:rsidR="00356909" w:rsidRPr="003A6E41" w:rsidRDefault="00356909" w:rsidP="00356909">
      <w:pPr>
        <w:pStyle w:val="Tablecontents"/>
        <w:spacing w:line="276" w:lineRule="auto"/>
        <w:rPr>
          <w:rFonts w:asciiTheme="minorHAnsi" w:hAnsiTheme="minorHAnsi" w:cstheme="minorHAnsi"/>
          <w:b/>
          <w:bCs/>
          <w:i/>
          <w:iCs/>
          <w:sz w:val="20"/>
          <w:szCs w:val="20"/>
        </w:rPr>
      </w:pPr>
      <w:r w:rsidRPr="003A6E41">
        <w:rPr>
          <w:rFonts w:asciiTheme="minorHAnsi" w:hAnsiTheme="minorHAnsi" w:cstheme="minorHAnsi"/>
          <w:b/>
          <w:bCs/>
          <w:i/>
          <w:iCs/>
          <w:sz w:val="20"/>
          <w:szCs w:val="20"/>
        </w:rPr>
        <w:t>The outcomes listed are those identified in the development of the PICO. Additional or more specific outcomes identified during the evaluation process that are considered relevant to the intervention or comparator treatment may be addressed in the evaluation report (Contracted Assessment). Broadly the outcomes identified pre assessment and considered in scope are:</w:t>
      </w:r>
    </w:p>
    <w:p w:rsidR="00356909" w:rsidRPr="003A6E41" w:rsidRDefault="00356909"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Safety Outcomes:</w:t>
      </w:r>
    </w:p>
    <w:p w:rsidR="00356909" w:rsidRPr="003A6E41" w:rsidRDefault="00356909" w:rsidP="00EE2A0C">
      <w:pPr>
        <w:pStyle w:val="Tablecontents"/>
        <w:numPr>
          <w:ilvl w:val="1"/>
          <w:numId w:val="39"/>
        </w:numPr>
        <w:spacing w:line="276" w:lineRule="auto"/>
        <w:ind w:left="851" w:hanging="284"/>
        <w:rPr>
          <w:rFonts w:asciiTheme="minorHAnsi" w:hAnsiTheme="minorHAnsi" w:cstheme="minorHAnsi"/>
          <w:i/>
          <w:iCs/>
          <w:sz w:val="20"/>
          <w:szCs w:val="20"/>
        </w:rPr>
      </w:pPr>
      <w:r w:rsidRPr="003A6E41">
        <w:rPr>
          <w:rFonts w:asciiTheme="minorHAnsi" w:hAnsiTheme="minorHAnsi" w:cstheme="minorHAnsi"/>
          <w:sz w:val="20"/>
          <w:szCs w:val="20"/>
        </w:rPr>
        <w:t>Adverse events including development of disease or side effects (e.g. infections, diabetes, hypertension, cardiovascular disease)</w:t>
      </w:r>
    </w:p>
    <w:p w:rsidR="00356909" w:rsidRPr="003A6E41" w:rsidRDefault="00356909"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Clinical effectiveness outcomes:</w:t>
      </w:r>
    </w:p>
    <w:p w:rsidR="00356909" w:rsidRPr="00EE2A0C" w:rsidRDefault="00356909" w:rsidP="00EE2A0C">
      <w:pPr>
        <w:pStyle w:val="Tablecontents"/>
        <w:numPr>
          <w:ilvl w:val="1"/>
          <w:numId w:val="39"/>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Change in disability</w:t>
      </w:r>
      <w:r w:rsidR="00A13293">
        <w:rPr>
          <w:rFonts w:asciiTheme="minorHAnsi" w:hAnsiTheme="minorHAnsi" w:cstheme="minorHAnsi"/>
          <w:sz w:val="20"/>
          <w:szCs w:val="20"/>
        </w:rPr>
        <w:t xml:space="preserve"> and muscle strength</w:t>
      </w:r>
      <w:r w:rsidRPr="003A6E41">
        <w:rPr>
          <w:rFonts w:asciiTheme="minorHAnsi" w:hAnsiTheme="minorHAnsi" w:cstheme="minorHAnsi"/>
          <w:sz w:val="20"/>
          <w:szCs w:val="20"/>
        </w:rPr>
        <w:t xml:space="preserve">: (e.g. </w:t>
      </w:r>
      <w:r w:rsidR="00A13293">
        <w:rPr>
          <w:rFonts w:asciiTheme="minorHAnsi" w:hAnsiTheme="minorHAnsi" w:cstheme="minorHAnsi"/>
          <w:sz w:val="20"/>
          <w:szCs w:val="20"/>
        </w:rPr>
        <w:t>Myasthenia Gravis Composite [MGC] score</w:t>
      </w:r>
      <w:r w:rsidRPr="003A6E41">
        <w:rPr>
          <w:rFonts w:asciiTheme="minorHAnsi" w:hAnsiTheme="minorHAnsi" w:cstheme="minorHAnsi"/>
          <w:sz w:val="20"/>
          <w:szCs w:val="20"/>
        </w:rPr>
        <w:t>)</w:t>
      </w:r>
    </w:p>
    <w:p w:rsidR="00356909" w:rsidRPr="00EE2A0C" w:rsidRDefault="00356909" w:rsidP="00EE2A0C">
      <w:pPr>
        <w:pStyle w:val="Tablecontents"/>
        <w:numPr>
          <w:ilvl w:val="1"/>
          <w:numId w:val="39"/>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Change in quality of life</w:t>
      </w:r>
    </w:p>
    <w:p w:rsidR="00356909" w:rsidRPr="00EE2A0C" w:rsidRDefault="00356909" w:rsidP="00EE2A0C">
      <w:pPr>
        <w:pStyle w:val="Tablecontents"/>
        <w:numPr>
          <w:ilvl w:val="1"/>
          <w:numId w:val="39"/>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 xml:space="preserve">Mortality </w:t>
      </w:r>
    </w:p>
    <w:p w:rsidR="00356909" w:rsidRPr="003A6E41" w:rsidRDefault="00356909" w:rsidP="0035690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Healthcare system resources utilisation</w:t>
      </w:r>
    </w:p>
    <w:p w:rsidR="00356909" w:rsidRPr="003A6E41" w:rsidRDefault="00356909" w:rsidP="00356909">
      <w:pPr>
        <w:pStyle w:val="Tablecontents"/>
        <w:numPr>
          <w:ilvl w:val="0"/>
          <w:numId w:val="39"/>
        </w:numPr>
        <w:spacing w:line="276" w:lineRule="auto"/>
        <w:ind w:left="420"/>
        <w:rPr>
          <w:rFonts w:asciiTheme="minorHAnsi" w:hAnsiTheme="minorHAnsi" w:cstheme="minorHAnsi"/>
          <w:sz w:val="20"/>
          <w:szCs w:val="20"/>
        </w:rPr>
      </w:pPr>
      <w:r w:rsidRPr="003A6E41">
        <w:rPr>
          <w:rFonts w:asciiTheme="minorHAnsi" w:hAnsiTheme="minorHAnsi" w:cstheme="minorHAnsi"/>
          <w:sz w:val="20"/>
          <w:szCs w:val="20"/>
        </w:rPr>
        <w:t xml:space="preserve">Changes in health system resource utilisation associated with the intervention </w:t>
      </w:r>
    </w:p>
    <w:p w:rsidR="00356909" w:rsidRPr="003A6E41"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 xml:space="preserve">Ig products, </w:t>
      </w:r>
    </w:p>
    <w:p w:rsidR="00356909" w:rsidRPr="003A6E41"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Infusion equipment ,</w:t>
      </w:r>
    </w:p>
    <w:p w:rsidR="00356909" w:rsidRPr="003A6E41"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lastRenderedPageBreak/>
        <w:t xml:space="preserve">Administrative and clinician time (e.g. resources associated with requesting, and </w:t>
      </w:r>
      <w:proofErr w:type="spellStart"/>
      <w:r w:rsidRPr="003A6E41">
        <w:rPr>
          <w:rFonts w:asciiTheme="minorHAnsi" w:hAnsiTheme="minorHAnsi" w:cstheme="minorHAnsi"/>
          <w:sz w:val="20"/>
          <w:szCs w:val="20"/>
        </w:rPr>
        <w:t>authorising</w:t>
      </w:r>
      <w:proofErr w:type="spellEnd"/>
      <w:r w:rsidRPr="003A6E41">
        <w:rPr>
          <w:rFonts w:asciiTheme="minorHAnsi" w:hAnsiTheme="minorHAnsi" w:cstheme="minorHAnsi"/>
          <w:sz w:val="20"/>
          <w:szCs w:val="20"/>
        </w:rPr>
        <w:t xml:space="preserve">, access to Ig), </w:t>
      </w:r>
    </w:p>
    <w:p w:rsidR="00356909" w:rsidRPr="003A6E41"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Nursing time (for initiation and monitoring if IVIg)</w:t>
      </w:r>
    </w:p>
    <w:p w:rsidR="00356909" w:rsidRPr="003A6E41"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Hospitalisation (including use of hospital resources)</w:t>
      </w:r>
    </w:p>
    <w:p w:rsidR="00356909" w:rsidRPr="003A6E41"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 xml:space="preserve">Medication to treat of adverse events (e.g. analgesia or antihistamines)  </w:t>
      </w:r>
    </w:p>
    <w:p w:rsidR="00356909" w:rsidRPr="003A6E41"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 xml:space="preserve">Training of patient or </w:t>
      </w:r>
      <w:proofErr w:type="spellStart"/>
      <w:r w:rsidRPr="003A6E41">
        <w:rPr>
          <w:rFonts w:asciiTheme="minorHAnsi" w:hAnsiTheme="minorHAnsi" w:cstheme="minorHAnsi"/>
          <w:sz w:val="20"/>
          <w:szCs w:val="20"/>
        </w:rPr>
        <w:t>carer</w:t>
      </w:r>
      <w:proofErr w:type="spellEnd"/>
      <w:r w:rsidRPr="003A6E41">
        <w:rPr>
          <w:rFonts w:asciiTheme="minorHAnsi" w:hAnsiTheme="minorHAnsi" w:cstheme="minorHAnsi"/>
          <w:sz w:val="20"/>
          <w:szCs w:val="20"/>
        </w:rPr>
        <w:t xml:space="preserve"> to provide infusions (SCIg only), </w:t>
      </w:r>
    </w:p>
    <w:p w:rsidR="00356909"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Product dispensing and disposal of  any unused product</w:t>
      </w:r>
    </w:p>
    <w:p w:rsidR="00356909" w:rsidRPr="003A6E41" w:rsidRDefault="00356909" w:rsidP="0048356F">
      <w:pPr>
        <w:pStyle w:val="Tablecontents"/>
        <w:numPr>
          <w:ilvl w:val="0"/>
          <w:numId w:val="41"/>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Follow-up and/or monitoring visits, including regular neurology visits</w:t>
      </w:r>
    </w:p>
    <w:p w:rsidR="00356909" w:rsidRPr="003A6E41" w:rsidRDefault="00356909" w:rsidP="00356909">
      <w:pPr>
        <w:pStyle w:val="Tablecontents"/>
        <w:numPr>
          <w:ilvl w:val="0"/>
          <w:numId w:val="39"/>
        </w:numPr>
        <w:spacing w:line="276" w:lineRule="auto"/>
        <w:ind w:left="463" w:hanging="463"/>
        <w:rPr>
          <w:rFonts w:asciiTheme="minorHAnsi" w:hAnsiTheme="minorHAnsi" w:cstheme="minorHAnsi"/>
          <w:sz w:val="20"/>
          <w:szCs w:val="20"/>
        </w:rPr>
      </w:pPr>
      <w:r w:rsidRPr="003A6E41">
        <w:rPr>
          <w:rFonts w:asciiTheme="minorHAnsi" w:hAnsiTheme="minorHAnsi" w:cstheme="minorHAnsi"/>
          <w:sz w:val="20"/>
          <w:szCs w:val="20"/>
        </w:rPr>
        <w:t>Change in health system resource utilisation associated with the comparators</w:t>
      </w:r>
    </w:p>
    <w:p w:rsidR="00356909" w:rsidRPr="003A6E41" w:rsidRDefault="00356909" w:rsidP="0048356F">
      <w:pPr>
        <w:pStyle w:val="Tablecontents"/>
        <w:numPr>
          <w:ilvl w:val="0"/>
          <w:numId w:val="42"/>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 xml:space="preserve">Comparator products </w:t>
      </w:r>
    </w:p>
    <w:p w:rsidR="00356909" w:rsidRPr="003A6E41" w:rsidRDefault="00356909" w:rsidP="0048356F">
      <w:pPr>
        <w:pStyle w:val="Tablecontents"/>
        <w:numPr>
          <w:ilvl w:val="0"/>
          <w:numId w:val="42"/>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Resources to deliver the comparator (eg hospital and staff time for IV steroids and plasma exchange, dispensing for oral treatments)</w:t>
      </w:r>
    </w:p>
    <w:p w:rsidR="00356909" w:rsidRPr="003A6E41" w:rsidRDefault="00356909" w:rsidP="0048356F">
      <w:pPr>
        <w:pStyle w:val="Tablecontents"/>
        <w:numPr>
          <w:ilvl w:val="0"/>
          <w:numId w:val="42"/>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Hospitalisation</w:t>
      </w:r>
    </w:p>
    <w:p w:rsidR="00356909" w:rsidRPr="003A6E41" w:rsidRDefault="00ED00BE" w:rsidP="0048356F">
      <w:pPr>
        <w:pStyle w:val="Tablecontents"/>
        <w:numPr>
          <w:ilvl w:val="0"/>
          <w:numId w:val="42"/>
        </w:numPr>
        <w:spacing w:line="276" w:lineRule="auto"/>
        <w:ind w:left="851" w:hanging="284"/>
        <w:rPr>
          <w:rFonts w:asciiTheme="minorHAnsi" w:hAnsiTheme="minorHAnsi" w:cstheme="minorHAnsi"/>
          <w:sz w:val="20"/>
          <w:szCs w:val="20"/>
        </w:rPr>
      </w:pPr>
      <w:r>
        <w:rPr>
          <w:rFonts w:asciiTheme="minorHAnsi" w:hAnsiTheme="minorHAnsi" w:cstheme="minorHAnsi"/>
          <w:sz w:val="20"/>
          <w:szCs w:val="20"/>
        </w:rPr>
        <w:t>Management</w:t>
      </w:r>
      <w:r w:rsidRPr="003A6E41">
        <w:rPr>
          <w:rFonts w:asciiTheme="minorHAnsi" w:hAnsiTheme="minorHAnsi" w:cstheme="minorHAnsi"/>
          <w:sz w:val="20"/>
          <w:szCs w:val="20"/>
        </w:rPr>
        <w:t xml:space="preserve"> </w:t>
      </w:r>
      <w:r w:rsidR="00356909" w:rsidRPr="003A6E41">
        <w:rPr>
          <w:rFonts w:asciiTheme="minorHAnsi" w:hAnsiTheme="minorHAnsi" w:cstheme="minorHAnsi"/>
          <w:sz w:val="20"/>
          <w:szCs w:val="20"/>
        </w:rPr>
        <w:t>of adverse events</w:t>
      </w:r>
    </w:p>
    <w:p w:rsidR="00356909" w:rsidRDefault="00356909" w:rsidP="0048356F">
      <w:pPr>
        <w:pStyle w:val="Tablecontents"/>
        <w:numPr>
          <w:ilvl w:val="0"/>
          <w:numId w:val="42"/>
        </w:numPr>
        <w:spacing w:line="276" w:lineRule="auto"/>
        <w:ind w:left="851" w:hanging="284"/>
        <w:rPr>
          <w:rFonts w:asciiTheme="minorHAnsi" w:hAnsiTheme="minorHAnsi" w:cstheme="minorHAnsi"/>
          <w:sz w:val="20"/>
          <w:szCs w:val="20"/>
        </w:rPr>
      </w:pPr>
      <w:r w:rsidRPr="003A6E41">
        <w:rPr>
          <w:rFonts w:asciiTheme="minorHAnsi" w:hAnsiTheme="minorHAnsi" w:cstheme="minorHAnsi"/>
          <w:sz w:val="20"/>
          <w:szCs w:val="20"/>
        </w:rPr>
        <w:t>Follow-up and/or monitoring visits, including regular neurology visits</w:t>
      </w:r>
    </w:p>
    <w:p w:rsidR="00AE0657" w:rsidRPr="003A6E41" w:rsidRDefault="00AE0657" w:rsidP="00AE0657">
      <w:pPr>
        <w:pStyle w:val="Tablecontents"/>
        <w:spacing w:line="276" w:lineRule="auto"/>
        <w:ind w:left="1080"/>
        <w:rPr>
          <w:rFonts w:asciiTheme="minorHAnsi" w:hAnsiTheme="minorHAnsi" w:cstheme="minorHAnsi"/>
          <w:sz w:val="20"/>
          <w:szCs w:val="20"/>
        </w:rPr>
      </w:pPr>
    </w:p>
    <w:p w:rsidR="00887301" w:rsidRPr="00970715" w:rsidRDefault="003E5FE5">
      <w:pPr>
        <w:widowControl w:val="0"/>
        <w:autoSpaceDE w:val="0"/>
        <w:autoSpaceDN w:val="0"/>
        <w:adjustRightInd w:val="0"/>
        <w:spacing w:after="240"/>
        <w:jc w:val="both"/>
        <w:rPr>
          <w:rFonts w:cstheme="minorHAnsi"/>
          <w:b/>
          <w:bCs/>
          <w:i/>
          <w:iCs/>
          <w:color w:val="548DD4"/>
          <w:sz w:val="26"/>
          <w:szCs w:val="26"/>
          <w:u w:val="single"/>
        </w:rPr>
      </w:pPr>
      <w:r w:rsidRPr="00970715">
        <w:rPr>
          <w:rFonts w:cstheme="minorHAnsi"/>
          <w:b/>
          <w:bCs/>
          <w:i/>
          <w:iCs/>
          <w:color w:val="548DD4"/>
          <w:sz w:val="26"/>
          <w:szCs w:val="26"/>
          <w:u w:val="single"/>
        </w:rPr>
        <w:t>Current clinical management algorithm for identified population</w:t>
      </w:r>
    </w:p>
    <w:p w:rsidR="00887301" w:rsidRPr="006618C1" w:rsidRDefault="003E5FE5" w:rsidP="004A5EF5">
      <w:pPr>
        <w:spacing w:after="120"/>
        <w:rPr>
          <w:rFonts w:cstheme="minorHAnsi"/>
        </w:rPr>
      </w:pPr>
      <w:r w:rsidRPr="006618C1">
        <w:rPr>
          <w:rFonts w:cstheme="minorHAnsi"/>
        </w:rPr>
        <w:t>The clinical management algorithms are provided below</w:t>
      </w:r>
      <w:r w:rsidR="00CB27A2" w:rsidRPr="006618C1">
        <w:rPr>
          <w:rFonts w:cstheme="minorHAnsi"/>
        </w:rPr>
        <w:t xml:space="preserve"> in Figures 3 through 5</w:t>
      </w:r>
      <w:r w:rsidRPr="006618C1">
        <w:rPr>
          <w:rFonts w:cstheme="minorHAnsi"/>
        </w:rPr>
        <w:t xml:space="preserve">. Note that only patients eligible for Ig treatment are included in the assessment, so prior steps in the clinical algorithm (diagnosis </w:t>
      </w:r>
      <w:proofErr w:type="spellStart"/>
      <w:r w:rsidRPr="006618C1">
        <w:rPr>
          <w:rFonts w:cstheme="minorHAnsi"/>
        </w:rPr>
        <w:t>etc</w:t>
      </w:r>
      <w:proofErr w:type="spellEnd"/>
      <w:r w:rsidRPr="006618C1">
        <w:rPr>
          <w:rFonts w:cstheme="minorHAnsi"/>
        </w:rPr>
        <w:t>) are not included.</w:t>
      </w:r>
      <w:r w:rsidR="001C10BC" w:rsidRPr="006618C1">
        <w:rPr>
          <w:rFonts w:cstheme="minorHAnsi"/>
        </w:rPr>
        <w:t xml:space="preserve"> The criteria referred to are shown in Figures 1 and 2 of this PICO confirmation.</w:t>
      </w:r>
    </w:p>
    <w:p w:rsidR="00887301" w:rsidRPr="006618C1" w:rsidRDefault="003E5FE5" w:rsidP="004A5EF5">
      <w:pPr>
        <w:rPr>
          <w:rFonts w:cstheme="minorHAnsi"/>
        </w:rPr>
      </w:pPr>
      <w:r w:rsidRPr="006618C1">
        <w:rPr>
          <w:rFonts w:cstheme="minorHAnsi"/>
        </w:rPr>
        <w:t xml:space="preserve">For indications 1 and 2, Ig or plasma exchange therapy is short term, </w:t>
      </w:r>
      <w:r w:rsidR="004A5EF5" w:rsidRPr="006618C1">
        <w:rPr>
          <w:rFonts w:cstheme="minorHAnsi"/>
        </w:rPr>
        <w:t xml:space="preserve">to </w:t>
      </w:r>
      <w:proofErr w:type="spellStart"/>
      <w:r w:rsidR="004A5EF5" w:rsidRPr="006618C1">
        <w:rPr>
          <w:rFonts w:cstheme="minorHAnsi"/>
        </w:rPr>
        <w:t>stabilise</w:t>
      </w:r>
      <w:proofErr w:type="spellEnd"/>
      <w:r w:rsidR="004A5EF5" w:rsidRPr="006618C1">
        <w:rPr>
          <w:rFonts w:cstheme="minorHAnsi"/>
        </w:rPr>
        <w:t xml:space="preserve"> patients </w:t>
      </w:r>
      <w:r w:rsidR="001C10BC" w:rsidRPr="006618C1">
        <w:rPr>
          <w:rFonts w:cstheme="minorHAnsi"/>
        </w:rPr>
        <w:t xml:space="preserve">whilst either other treatments take effect or for surgery. The choice between these is shown on one algorithm (as currently happens in clinical practice). </w:t>
      </w:r>
      <w:r w:rsidR="00127A2A" w:rsidRPr="006618C1">
        <w:rPr>
          <w:rFonts w:cstheme="minorHAnsi"/>
        </w:rPr>
        <w:t xml:space="preserve">It should be noted that should a patient not respond to their therapy, other therapy will be required to </w:t>
      </w:r>
      <w:proofErr w:type="spellStart"/>
      <w:r w:rsidR="00127A2A" w:rsidRPr="006618C1">
        <w:rPr>
          <w:rFonts w:cstheme="minorHAnsi"/>
        </w:rPr>
        <w:t>stabilise</w:t>
      </w:r>
      <w:proofErr w:type="spellEnd"/>
      <w:r w:rsidR="00127A2A" w:rsidRPr="006618C1">
        <w:rPr>
          <w:rFonts w:cstheme="minorHAnsi"/>
        </w:rPr>
        <w:t xml:space="preserve"> the patient, and this may mean that non-responders to Ig then have plasma exchange, and non-responders to plasma exchange may have Ig. It should also be noted that a patient who </w:t>
      </w:r>
      <w:proofErr w:type="spellStart"/>
      <w:r w:rsidR="00127A2A" w:rsidRPr="006618C1">
        <w:rPr>
          <w:rFonts w:cstheme="minorHAnsi"/>
        </w:rPr>
        <w:t>stabilises</w:t>
      </w:r>
      <w:proofErr w:type="spellEnd"/>
      <w:r w:rsidR="00127A2A" w:rsidRPr="006618C1">
        <w:rPr>
          <w:rFonts w:cstheme="minorHAnsi"/>
        </w:rPr>
        <w:t xml:space="preserve"> with the therapy given may then proceed to be eligible for Ig therapy in one of the other indications.</w:t>
      </w:r>
    </w:p>
    <w:p w:rsidR="001257BC" w:rsidRPr="006618C1" w:rsidRDefault="001257BC" w:rsidP="004A5EF5">
      <w:pPr>
        <w:rPr>
          <w:rFonts w:cstheme="minorHAnsi"/>
        </w:rPr>
      </w:pPr>
    </w:p>
    <w:p w:rsidR="00887301" w:rsidRPr="006618C1" w:rsidRDefault="00127A2A">
      <w:pPr>
        <w:widowControl w:val="0"/>
        <w:autoSpaceDE w:val="0"/>
        <w:autoSpaceDN w:val="0"/>
        <w:adjustRightInd w:val="0"/>
        <w:rPr>
          <w:rFonts w:cstheme="minorHAnsi"/>
          <w:sz w:val="24"/>
          <w:szCs w:val="24"/>
        </w:rPr>
      </w:pPr>
      <w:r w:rsidRPr="006618C1">
        <w:rPr>
          <w:rFonts w:cstheme="minorHAnsi"/>
          <w:noProof/>
          <w:sz w:val="24"/>
          <w:szCs w:val="24"/>
          <w:lang w:val="en-AU" w:eastAsia="en-AU"/>
        </w:rPr>
        <w:lastRenderedPageBreak/>
        <w:drawing>
          <wp:inline distT="0" distB="0" distL="0" distR="0" wp14:anchorId="3284D218" wp14:editId="2C7CBA29">
            <wp:extent cx="5943600" cy="4286250"/>
            <wp:effectExtent l="0" t="0" r="0" b="0"/>
            <wp:docPr id="2" name="Picture 2" title="Figure 3. Clinical algorithm for indic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 1.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286250"/>
                    </a:xfrm>
                    <a:prstGeom prst="rect">
                      <a:avLst/>
                    </a:prstGeom>
                  </pic:spPr>
                </pic:pic>
              </a:graphicData>
            </a:graphic>
          </wp:inline>
        </w:drawing>
      </w:r>
    </w:p>
    <w:p w:rsidR="00887301" w:rsidRPr="006618C1" w:rsidRDefault="001C10BC" w:rsidP="001C10BC">
      <w:pPr>
        <w:pStyle w:val="Caption1"/>
        <w:rPr>
          <w:rFonts w:asciiTheme="minorHAnsi" w:hAnsiTheme="minorHAnsi" w:cstheme="minorHAnsi"/>
        </w:rPr>
      </w:pPr>
      <w:r w:rsidRPr="006618C1">
        <w:rPr>
          <w:rFonts w:asciiTheme="minorHAnsi" w:hAnsiTheme="minorHAnsi" w:cstheme="minorHAnsi"/>
        </w:rPr>
        <w:t xml:space="preserve">Figure 3: </w:t>
      </w:r>
      <w:r w:rsidR="001257BC" w:rsidRPr="006618C1">
        <w:rPr>
          <w:rFonts w:asciiTheme="minorHAnsi" w:hAnsiTheme="minorHAnsi" w:cstheme="minorHAnsi"/>
        </w:rPr>
        <w:tab/>
      </w:r>
      <w:r w:rsidRPr="006618C1">
        <w:rPr>
          <w:rFonts w:asciiTheme="minorHAnsi" w:hAnsiTheme="minorHAnsi" w:cstheme="minorHAnsi"/>
        </w:rPr>
        <w:t>Clinical algorithm for indication</w:t>
      </w:r>
      <w:r w:rsidR="001257BC" w:rsidRPr="006618C1">
        <w:rPr>
          <w:rFonts w:asciiTheme="minorHAnsi" w:hAnsiTheme="minorHAnsi" w:cstheme="minorHAnsi"/>
        </w:rPr>
        <w:t xml:space="preserve"> 1</w:t>
      </w:r>
    </w:p>
    <w:p w:rsidR="001257BC" w:rsidRPr="006618C1" w:rsidRDefault="00127A2A" w:rsidP="00127A2A">
      <w:pPr>
        <w:rPr>
          <w:rFonts w:cstheme="minorHAnsi"/>
          <w:sz w:val="18"/>
          <w:szCs w:val="18"/>
        </w:rPr>
      </w:pPr>
      <w:r w:rsidRPr="006618C1">
        <w:rPr>
          <w:rFonts w:cstheme="minorHAnsi"/>
          <w:sz w:val="18"/>
          <w:szCs w:val="18"/>
        </w:rPr>
        <w:t>*other therapy includes corticosteroids, anticholinesterase inhibitor, and immunotherapy; patients would not receive IVIg and plasma exchange concurrently</w:t>
      </w:r>
    </w:p>
    <w:p w:rsidR="00E27227" w:rsidRPr="006618C1" w:rsidRDefault="00E27227" w:rsidP="00127A2A">
      <w:pPr>
        <w:rPr>
          <w:rFonts w:cstheme="minorHAnsi"/>
          <w:sz w:val="20"/>
          <w:szCs w:val="20"/>
        </w:rPr>
      </w:pPr>
    </w:p>
    <w:p w:rsidR="00E27227" w:rsidRPr="006618C1" w:rsidRDefault="00E27227" w:rsidP="00127A2A">
      <w:pPr>
        <w:rPr>
          <w:rFonts w:cstheme="minorHAnsi"/>
          <w:sz w:val="20"/>
          <w:szCs w:val="20"/>
        </w:rPr>
      </w:pPr>
    </w:p>
    <w:p w:rsidR="00E27227" w:rsidRPr="006618C1" w:rsidRDefault="00E27227" w:rsidP="00127A2A">
      <w:pPr>
        <w:rPr>
          <w:rFonts w:cstheme="minorHAnsi"/>
          <w:sz w:val="20"/>
          <w:szCs w:val="20"/>
        </w:rPr>
      </w:pPr>
    </w:p>
    <w:p w:rsidR="001257BC" w:rsidRPr="006618C1" w:rsidRDefault="00E27227" w:rsidP="001C10BC">
      <w:pPr>
        <w:pStyle w:val="Caption1"/>
        <w:rPr>
          <w:rFonts w:asciiTheme="minorHAnsi" w:hAnsiTheme="minorHAnsi" w:cstheme="minorHAnsi"/>
        </w:rPr>
      </w:pPr>
      <w:r w:rsidRPr="006618C1">
        <w:rPr>
          <w:rFonts w:asciiTheme="minorHAnsi" w:hAnsiTheme="minorHAnsi" w:cstheme="minorHAnsi"/>
          <w:noProof/>
          <w:lang w:val="en-AU" w:eastAsia="en-AU"/>
        </w:rPr>
        <w:lastRenderedPageBreak/>
        <w:drawing>
          <wp:inline distT="0" distB="0" distL="0" distR="0" wp14:anchorId="030C0506" wp14:editId="5DDF5051">
            <wp:extent cx="5943600" cy="4057650"/>
            <wp:effectExtent l="0" t="0" r="0" b="0"/>
            <wp:docPr id="4" name="Picture 4" title="Figure Figure 4. Clinical algorithm for indic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057650"/>
                    </a:xfrm>
                    <a:prstGeom prst="rect">
                      <a:avLst/>
                    </a:prstGeom>
                  </pic:spPr>
                </pic:pic>
              </a:graphicData>
            </a:graphic>
          </wp:inline>
        </w:drawing>
      </w:r>
    </w:p>
    <w:p w:rsidR="00127A2A" w:rsidRPr="006618C1" w:rsidRDefault="001257BC" w:rsidP="001257BC">
      <w:pPr>
        <w:pStyle w:val="Caption1"/>
        <w:rPr>
          <w:rFonts w:asciiTheme="minorHAnsi" w:hAnsiTheme="minorHAnsi" w:cstheme="minorHAnsi"/>
        </w:rPr>
      </w:pPr>
      <w:r w:rsidRPr="006618C1">
        <w:rPr>
          <w:rFonts w:asciiTheme="minorHAnsi" w:hAnsiTheme="minorHAnsi" w:cstheme="minorHAnsi"/>
        </w:rPr>
        <w:t xml:space="preserve">Figure 4: </w:t>
      </w:r>
      <w:r w:rsidRPr="006618C1">
        <w:rPr>
          <w:rFonts w:asciiTheme="minorHAnsi" w:hAnsiTheme="minorHAnsi" w:cstheme="minorHAnsi"/>
        </w:rPr>
        <w:tab/>
        <w:t>Clinical algorithm for indication 2</w:t>
      </w:r>
    </w:p>
    <w:p w:rsidR="00887301" w:rsidRPr="006618C1" w:rsidRDefault="003E5FE5" w:rsidP="001257BC">
      <w:pPr>
        <w:pStyle w:val="Caption1"/>
        <w:rPr>
          <w:rFonts w:asciiTheme="minorHAnsi" w:hAnsiTheme="minorHAnsi" w:cstheme="minorHAnsi"/>
        </w:rPr>
      </w:pPr>
      <w:r w:rsidRPr="006618C1">
        <w:rPr>
          <w:rFonts w:asciiTheme="minorHAnsi" w:hAnsiTheme="minorHAnsi" w:cstheme="minorHAnsi"/>
        </w:rPr>
        <w:br w:type="page"/>
      </w:r>
    </w:p>
    <w:p w:rsidR="001257BC" w:rsidRPr="006618C1" w:rsidRDefault="001257BC" w:rsidP="001257BC">
      <w:pPr>
        <w:pStyle w:val="Caption1"/>
        <w:rPr>
          <w:rFonts w:asciiTheme="minorHAnsi" w:hAnsiTheme="minorHAnsi" w:cstheme="minorHAnsi"/>
        </w:rPr>
      </w:pPr>
    </w:p>
    <w:p w:rsidR="001257BC" w:rsidRPr="006618C1" w:rsidRDefault="00E27227" w:rsidP="001257BC">
      <w:pPr>
        <w:pStyle w:val="Caption1"/>
        <w:rPr>
          <w:rFonts w:asciiTheme="minorHAnsi" w:hAnsiTheme="minorHAnsi" w:cstheme="minorHAnsi"/>
        </w:rPr>
      </w:pPr>
      <w:r w:rsidRPr="006618C1">
        <w:rPr>
          <w:rFonts w:asciiTheme="minorHAnsi" w:hAnsiTheme="minorHAnsi" w:cstheme="minorHAnsi"/>
          <w:noProof/>
          <w:lang w:val="en-AU" w:eastAsia="en-AU"/>
        </w:rPr>
        <w:drawing>
          <wp:inline distT="0" distB="0" distL="0" distR="0" wp14:anchorId="2A00BB34" wp14:editId="3F58FA68">
            <wp:extent cx="5943600" cy="4133850"/>
            <wp:effectExtent l="0" t="0" r="0" b="0"/>
            <wp:docPr id="5" name="Picture 5" title="Figure 5. Clinical algorithm for indic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3.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133850"/>
                    </a:xfrm>
                    <a:prstGeom prst="rect">
                      <a:avLst/>
                    </a:prstGeom>
                  </pic:spPr>
                </pic:pic>
              </a:graphicData>
            </a:graphic>
          </wp:inline>
        </w:drawing>
      </w:r>
    </w:p>
    <w:p w:rsidR="001257BC" w:rsidRPr="006618C1" w:rsidRDefault="001257BC" w:rsidP="001257BC">
      <w:pPr>
        <w:pStyle w:val="Caption1"/>
        <w:rPr>
          <w:rFonts w:asciiTheme="minorHAnsi" w:hAnsiTheme="minorHAnsi" w:cstheme="minorHAnsi"/>
        </w:rPr>
      </w:pPr>
      <w:r w:rsidRPr="006618C1">
        <w:rPr>
          <w:rFonts w:asciiTheme="minorHAnsi" w:hAnsiTheme="minorHAnsi" w:cstheme="minorHAnsi"/>
        </w:rPr>
        <w:t xml:space="preserve">Figure 5: </w:t>
      </w:r>
      <w:r w:rsidRPr="006618C1">
        <w:rPr>
          <w:rFonts w:asciiTheme="minorHAnsi" w:hAnsiTheme="minorHAnsi" w:cstheme="minorHAnsi"/>
        </w:rPr>
        <w:tab/>
        <w:t>Clinical algorithm for indication 3</w:t>
      </w:r>
    </w:p>
    <w:p w:rsidR="00887301" w:rsidRPr="00970715" w:rsidRDefault="003E5FE5">
      <w:pPr>
        <w:widowControl w:val="0"/>
        <w:autoSpaceDE w:val="0"/>
        <w:autoSpaceDN w:val="0"/>
        <w:adjustRightInd w:val="0"/>
        <w:spacing w:after="240"/>
        <w:jc w:val="both"/>
        <w:rPr>
          <w:rFonts w:cstheme="minorHAnsi"/>
          <w:b/>
          <w:bCs/>
          <w:i/>
          <w:iCs/>
          <w:color w:val="548DD4"/>
          <w:sz w:val="26"/>
          <w:szCs w:val="26"/>
          <w:u w:val="single"/>
        </w:rPr>
      </w:pPr>
      <w:r w:rsidRPr="00970715">
        <w:rPr>
          <w:rFonts w:cstheme="minorHAnsi"/>
          <w:b/>
          <w:bCs/>
          <w:i/>
          <w:iCs/>
          <w:color w:val="548DD4"/>
          <w:sz w:val="26"/>
          <w:szCs w:val="26"/>
          <w:u w:val="single"/>
        </w:rPr>
        <w:t>Proposed economic evaluation</w:t>
      </w:r>
    </w:p>
    <w:p w:rsidR="00887301" w:rsidRPr="006618C1" w:rsidRDefault="003E5FE5" w:rsidP="00CB27A2">
      <w:pPr>
        <w:spacing w:after="120"/>
        <w:rPr>
          <w:rFonts w:cstheme="minorHAnsi"/>
        </w:rPr>
      </w:pPr>
      <w:r w:rsidRPr="006618C1">
        <w:rPr>
          <w:rFonts w:cstheme="minorHAnsi"/>
        </w:rPr>
        <w:t xml:space="preserve">A </w:t>
      </w:r>
      <w:r w:rsidRPr="00FF2B91">
        <w:rPr>
          <w:rFonts w:cstheme="minorHAnsi"/>
          <w:b/>
        </w:rPr>
        <w:t>non-inferiority</w:t>
      </w:r>
      <w:r w:rsidRPr="006618C1">
        <w:rPr>
          <w:rFonts w:cstheme="minorHAnsi"/>
        </w:rPr>
        <w:t xml:space="preserve"> claim is proposed in the application</w:t>
      </w:r>
      <w:r w:rsidR="00ED00BE">
        <w:t xml:space="preserve">. </w:t>
      </w:r>
      <w:r w:rsidR="004B3E20">
        <w:t>The basis of this claim is two small, short-term clinical trials which compared Ig to prednisolone and plasma exchange</w:t>
      </w:r>
      <w:r w:rsidR="00ED00BE">
        <w:t>. A non-inferiority claim</w:t>
      </w:r>
      <w:r w:rsidRPr="006618C1">
        <w:rPr>
          <w:rFonts w:cstheme="minorHAnsi"/>
        </w:rPr>
        <w:t xml:space="preserve"> </w:t>
      </w:r>
      <w:r w:rsidR="00ED00BE">
        <w:rPr>
          <w:rFonts w:cstheme="minorHAnsi"/>
        </w:rPr>
        <w:t xml:space="preserve">is likely to </w:t>
      </w:r>
      <w:r w:rsidRPr="006618C1">
        <w:rPr>
          <w:rFonts w:cstheme="minorHAnsi"/>
        </w:rPr>
        <w:t xml:space="preserve">be appropriate for indications 1 and 2 (where Ig is intended to be used for a limited time frame to </w:t>
      </w:r>
      <w:r w:rsidR="00ED00BE">
        <w:rPr>
          <w:rFonts w:cstheme="minorHAnsi"/>
        </w:rPr>
        <w:t>manage</w:t>
      </w:r>
      <w:r w:rsidR="00ED00BE" w:rsidRPr="006618C1">
        <w:rPr>
          <w:rFonts w:cstheme="minorHAnsi"/>
        </w:rPr>
        <w:t xml:space="preserve"> </w:t>
      </w:r>
      <w:r w:rsidRPr="006618C1">
        <w:rPr>
          <w:rFonts w:cstheme="minorHAnsi"/>
        </w:rPr>
        <w:t xml:space="preserve">a patient through </w:t>
      </w:r>
      <w:r w:rsidR="00ED00BE">
        <w:rPr>
          <w:rFonts w:cstheme="minorHAnsi"/>
        </w:rPr>
        <w:t xml:space="preserve">a </w:t>
      </w:r>
      <w:r w:rsidRPr="006618C1">
        <w:rPr>
          <w:rFonts w:cstheme="minorHAnsi"/>
        </w:rPr>
        <w:t xml:space="preserve">crisis or surgery, and has a direct comparator in plasma exchange). </w:t>
      </w:r>
    </w:p>
    <w:p w:rsidR="00887301" w:rsidRPr="006618C1" w:rsidRDefault="003E5FE5" w:rsidP="00CB27A2">
      <w:pPr>
        <w:spacing w:after="120"/>
        <w:rPr>
          <w:rFonts w:cstheme="minorHAnsi"/>
        </w:rPr>
      </w:pPr>
      <w:r w:rsidRPr="006618C1">
        <w:rPr>
          <w:rFonts w:cstheme="minorHAnsi"/>
        </w:rPr>
        <w:t>However in indication 3, where Ig may be used as an adjunct therapy to immunotherapy, there would need to be an additional benefit from the Ig therapy to justify its use</w:t>
      </w:r>
      <w:r w:rsidR="00ED00BE">
        <w:rPr>
          <w:rFonts w:cstheme="minorHAnsi"/>
        </w:rPr>
        <w:t xml:space="preserve"> (i.e., a </w:t>
      </w:r>
      <w:r w:rsidR="00ED00BE" w:rsidRPr="00ED00BE">
        <w:rPr>
          <w:rFonts w:cstheme="minorHAnsi"/>
          <w:b/>
        </w:rPr>
        <w:t>superiority</w:t>
      </w:r>
      <w:r w:rsidR="00ED00BE">
        <w:rPr>
          <w:rFonts w:cstheme="minorHAnsi"/>
        </w:rPr>
        <w:t xml:space="preserve"> claim)</w:t>
      </w:r>
      <w:r w:rsidRPr="006618C1">
        <w:rPr>
          <w:rFonts w:cstheme="minorHAnsi"/>
        </w:rPr>
        <w:t>. This may not apply in all cases where the comparator may be no other treatment.</w:t>
      </w:r>
      <w:r w:rsidR="00ED00BE">
        <w:rPr>
          <w:rFonts w:cstheme="minorHAnsi"/>
        </w:rPr>
        <w:t xml:space="preserve"> </w:t>
      </w:r>
    </w:p>
    <w:p w:rsidR="00887301" w:rsidRPr="006618C1" w:rsidRDefault="003E5FE5" w:rsidP="00CB27A2">
      <w:pPr>
        <w:spacing w:after="120"/>
        <w:rPr>
          <w:rFonts w:cstheme="minorHAnsi"/>
        </w:rPr>
      </w:pPr>
      <w:r w:rsidRPr="006618C1">
        <w:rPr>
          <w:rFonts w:cstheme="minorHAnsi"/>
        </w:rPr>
        <w:t xml:space="preserve">Resources that should be considered for inclusion in the analysis would be drug costs, IV infusion administration (outpatient setting), health resource use (number of specialist visits, hospital days, ICU admission) and cost of managing adverse events such as severe infusion reactions. Drug costs should include dispensing fees and wastage where applicable.  </w:t>
      </w:r>
    </w:p>
    <w:p w:rsidR="00887301" w:rsidRPr="006618C1" w:rsidRDefault="00CB27A2" w:rsidP="001257BC">
      <w:pPr>
        <w:rPr>
          <w:rFonts w:cstheme="minorHAnsi"/>
        </w:rPr>
      </w:pPr>
      <w:r w:rsidRPr="006618C1">
        <w:rPr>
          <w:rFonts w:cstheme="minorHAnsi"/>
        </w:rPr>
        <w:t xml:space="preserve">Table </w:t>
      </w:r>
      <w:r w:rsidR="00400D8F" w:rsidRPr="006618C1">
        <w:rPr>
          <w:rFonts w:cstheme="minorHAnsi"/>
        </w:rPr>
        <w:t>6</w:t>
      </w:r>
      <w:r w:rsidRPr="006618C1">
        <w:rPr>
          <w:rFonts w:cstheme="minorHAnsi"/>
        </w:rPr>
        <w:t xml:space="preserve"> </w:t>
      </w:r>
      <w:r w:rsidR="003E5FE5" w:rsidRPr="006618C1">
        <w:rPr>
          <w:rFonts w:cstheme="minorHAnsi"/>
        </w:rPr>
        <w:t xml:space="preserve">can guide the requirements for economic evaluation based on the findings of the clinical review. </w:t>
      </w:r>
    </w:p>
    <w:p w:rsidR="00356909" w:rsidRDefault="00356909">
      <w:pPr>
        <w:rPr>
          <w:rFonts w:cstheme="minorHAnsi"/>
        </w:rPr>
      </w:pPr>
      <w:r>
        <w:rPr>
          <w:rFonts w:cstheme="minorHAnsi"/>
        </w:rPr>
        <w:br w:type="page"/>
      </w:r>
    </w:p>
    <w:p w:rsidR="001257BC" w:rsidRPr="006618C1" w:rsidRDefault="001257BC" w:rsidP="001257BC">
      <w:pPr>
        <w:rPr>
          <w:rFonts w:cstheme="minorHAnsi"/>
        </w:rPr>
      </w:pPr>
    </w:p>
    <w:p w:rsidR="001257BC" w:rsidRPr="006618C1" w:rsidRDefault="00895022" w:rsidP="00895022">
      <w:pPr>
        <w:pStyle w:val="Caption1"/>
        <w:rPr>
          <w:rFonts w:asciiTheme="minorHAnsi" w:hAnsiTheme="minorHAnsi" w:cstheme="minorHAnsi"/>
        </w:rPr>
      </w:pPr>
      <w:r w:rsidRPr="006618C1">
        <w:rPr>
          <w:rFonts w:asciiTheme="minorHAnsi" w:hAnsiTheme="minorHAnsi" w:cstheme="minorHAnsi"/>
          <w:szCs w:val="20"/>
        </w:rPr>
        <w:t xml:space="preserve">Table </w:t>
      </w:r>
      <w:r w:rsidR="00400D8F" w:rsidRPr="006618C1">
        <w:rPr>
          <w:rFonts w:asciiTheme="minorHAnsi" w:hAnsiTheme="minorHAnsi" w:cstheme="minorHAnsi"/>
        </w:rPr>
        <w:t>6</w:t>
      </w:r>
      <w:r w:rsidR="006618C1">
        <w:rPr>
          <w:rFonts w:asciiTheme="minorHAnsi" w:hAnsiTheme="minorHAnsi" w:cstheme="minorHAnsi"/>
        </w:rPr>
        <w:t xml:space="preserve">: </w:t>
      </w:r>
      <w:r w:rsidRPr="006618C1">
        <w:rPr>
          <w:rFonts w:asciiTheme="minorHAnsi" w:hAnsiTheme="minorHAnsi" w:cstheme="minorHAnsi"/>
        </w:rPr>
        <w:t>Decision algorithm for undertaking an economic evaluation in the setting of the Ig Review</w:t>
      </w:r>
      <w:r w:rsidR="008B1D74" w:rsidRPr="006618C1">
        <w:rPr>
          <w:rFonts w:asciiTheme="minorHAnsi" w:hAnsiTheme="minorHAnsi" w:cstheme="minorHAnsi"/>
          <w:color w:val="1F497D"/>
          <w:sz w:val="22"/>
        </w:rPr>
        <w:t xml:space="preserve"> </w:t>
      </w:r>
      <w:r w:rsidR="008B1D74" w:rsidRPr="006618C1">
        <w:rPr>
          <w:rFonts w:asciiTheme="minorHAnsi" w:hAnsiTheme="minorHAnsi" w:cstheme="minorHAnsi"/>
        </w:rPr>
        <w:t>(Schubert, C and Merlin T, Adelaide Health Technology Assessment, 2018). </w:t>
      </w:r>
    </w:p>
    <w:tbl>
      <w:tblPr>
        <w:tblStyle w:val="TableGrid"/>
        <w:tblW w:w="0" w:type="auto"/>
        <w:tblLook w:val="04A0" w:firstRow="1" w:lastRow="0" w:firstColumn="1" w:lastColumn="0" w:noHBand="0" w:noVBand="1"/>
        <w:tblCaption w:val="Table 6: Decision algorithm for undertaking an economic evaluation in the setting of the Ig Review (Schubert, C and Merlin T, Adelaide Health Technology Assessment, 2018). "/>
      </w:tblPr>
      <w:tblGrid>
        <w:gridCol w:w="1801"/>
        <w:gridCol w:w="1280"/>
        <w:gridCol w:w="1280"/>
        <w:gridCol w:w="1120"/>
        <w:gridCol w:w="1260"/>
        <w:gridCol w:w="1350"/>
      </w:tblGrid>
      <w:tr w:rsidR="001257BC" w:rsidRPr="006618C1" w:rsidTr="00B001D9">
        <w:trPr>
          <w:tblHeader/>
        </w:trPr>
        <w:tc>
          <w:tcPr>
            <w:tcW w:w="1801" w:type="dxa"/>
            <w:vMerge w:val="restart"/>
            <w:shd w:val="clear" w:color="auto" w:fill="8DB3E2" w:themeFill="text2" w:themeFillTint="66"/>
            <w:vAlign w:val="center"/>
          </w:tcPr>
          <w:p w:rsidR="001257BC" w:rsidRPr="006618C1" w:rsidRDefault="001257BC" w:rsidP="00895022">
            <w:pPr>
              <w:pStyle w:val="Caption1"/>
              <w:rPr>
                <w:rFonts w:asciiTheme="minorHAnsi" w:hAnsiTheme="minorHAnsi" w:cstheme="minorHAnsi"/>
                <w:sz w:val="24"/>
                <w:szCs w:val="24"/>
              </w:rPr>
            </w:pPr>
            <w:r w:rsidRPr="006618C1">
              <w:rPr>
                <w:rFonts w:asciiTheme="minorHAnsi" w:hAnsiTheme="minorHAnsi" w:cstheme="minorHAnsi"/>
                <w:sz w:val="24"/>
                <w:szCs w:val="24"/>
              </w:rPr>
              <w:t>Comparative safety of Ig</w:t>
            </w:r>
          </w:p>
        </w:tc>
        <w:tc>
          <w:tcPr>
            <w:tcW w:w="6137" w:type="dxa"/>
            <w:gridSpan w:val="5"/>
            <w:shd w:val="clear" w:color="auto" w:fill="8DB3E2" w:themeFill="text2" w:themeFillTint="66"/>
          </w:tcPr>
          <w:p w:rsidR="001257BC" w:rsidRPr="006618C1" w:rsidRDefault="001257BC" w:rsidP="00895022">
            <w:pPr>
              <w:pStyle w:val="Caption1"/>
              <w:jc w:val="center"/>
              <w:rPr>
                <w:rFonts w:asciiTheme="minorHAnsi" w:hAnsiTheme="minorHAnsi" w:cstheme="minorHAnsi"/>
                <w:sz w:val="24"/>
                <w:szCs w:val="24"/>
              </w:rPr>
            </w:pPr>
            <w:r w:rsidRPr="006618C1">
              <w:rPr>
                <w:rFonts w:asciiTheme="minorHAnsi" w:hAnsiTheme="minorHAnsi" w:cstheme="minorHAnsi"/>
                <w:sz w:val="24"/>
                <w:szCs w:val="24"/>
              </w:rPr>
              <w:t>Comparative effectiveness of Ig</w:t>
            </w:r>
          </w:p>
        </w:tc>
      </w:tr>
      <w:tr w:rsidR="0071464C" w:rsidRPr="006618C1" w:rsidTr="00B001D9">
        <w:trPr>
          <w:tblHeader/>
        </w:trPr>
        <w:tc>
          <w:tcPr>
            <w:tcW w:w="1801" w:type="dxa"/>
            <w:vMerge/>
            <w:shd w:val="clear" w:color="auto" w:fill="8DB3E2" w:themeFill="text2" w:themeFillTint="66"/>
          </w:tcPr>
          <w:p w:rsidR="0071464C" w:rsidRPr="006618C1" w:rsidRDefault="0071464C" w:rsidP="001257BC">
            <w:pPr>
              <w:pStyle w:val="Caption1"/>
              <w:rPr>
                <w:rFonts w:asciiTheme="minorHAnsi" w:hAnsiTheme="minorHAnsi" w:cstheme="minorHAnsi"/>
                <w:szCs w:val="20"/>
              </w:rPr>
            </w:pPr>
          </w:p>
        </w:tc>
        <w:tc>
          <w:tcPr>
            <w:tcW w:w="2410" w:type="dxa"/>
            <w:gridSpan w:val="2"/>
            <w:shd w:val="clear" w:color="auto" w:fill="808080" w:themeFill="background1" w:themeFillShade="80"/>
            <w:vAlign w:val="center"/>
          </w:tcPr>
          <w:p w:rsidR="0071464C" w:rsidRPr="006618C1" w:rsidRDefault="0071464C" w:rsidP="00895022">
            <w:pPr>
              <w:pStyle w:val="Caption1"/>
              <w:jc w:val="center"/>
              <w:rPr>
                <w:rFonts w:asciiTheme="minorHAnsi" w:hAnsiTheme="minorHAnsi" w:cstheme="minorHAnsi"/>
                <w:szCs w:val="20"/>
              </w:rPr>
            </w:pPr>
            <w:r w:rsidRPr="006618C1">
              <w:rPr>
                <w:rFonts w:asciiTheme="minorHAnsi" w:hAnsiTheme="minorHAnsi" w:cstheme="minorHAnsi"/>
                <w:szCs w:val="20"/>
              </w:rPr>
              <w:t>Inferior</w:t>
            </w:r>
          </w:p>
        </w:tc>
        <w:tc>
          <w:tcPr>
            <w:tcW w:w="1117" w:type="dxa"/>
            <w:vMerge w:val="restart"/>
            <w:shd w:val="clear" w:color="auto" w:fill="808080" w:themeFill="background1" w:themeFillShade="80"/>
          </w:tcPr>
          <w:p w:rsidR="0071464C" w:rsidRPr="006618C1" w:rsidRDefault="0071464C" w:rsidP="001257BC">
            <w:pPr>
              <w:pStyle w:val="Caption1"/>
              <w:rPr>
                <w:rFonts w:asciiTheme="minorHAnsi" w:hAnsiTheme="minorHAnsi" w:cstheme="minorHAnsi"/>
                <w:szCs w:val="20"/>
              </w:rPr>
            </w:pPr>
            <w:r w:rsidRPr="006618C1">
              <w:rPr>
                <w:rFonts w:asciiTheme="minorHAnsi" w:hAnsiTheme="minorHAnsi" w:cstheme="minorHAnsi"/>
                <w:szCs w:val="20"/>
              </w:rPr>
              <w:t>Uncertain</w:t>
            </w:r>
          </w:p>
        </w:tc>
        <w:tc>
          <w:tcPr>
            <w:tcW w:w="1260" w:type="dxa"/>
            <w:vMerge w:val="restart"/>
            <w:shd w:val="clear" w:color="auto" w:fill="808080" w:themeFill="background1" w:themeFillShade="80"/>
          </w:tcPr>
          <w:p w:rsidR="0071464C" w:rsidRPr="006618C1" w:rsidRDefault="0071464C" w:rsidP="001257BC">
            <w:pPr>
              <w:pStyle w:val="Caption1"/>
              <w:rPr>
                <w:rFonts w:asciiTheme="minorHAnsi" w:hAnsiTheme="minorHAnsi" w:cstheme="minorHAnsi"/>
                <w:szCs w:val="20"/>
              </w:rPr>
            </w:pPr>
            <w:r w:rsidRPr="006618C1">
              <w:rPr>
                <w:rFonts w:asciiTheme="minorHAnsi" w:hAnsiTheme="minorHAnsi" w:cstheme="minorHAnsi"/>
                <w:szCs w:val="20"/>
              </w:rPr>
              <w:t>Non-inferior</w:t>
            </w:r>
          </w:p>
        </w:tc>
        <w:tc>
          <w:tcPr>
            <w:tcW w:w="1350" w:type="dxa"/>
            <w:vMerge w:val="restart"/>
            <w:shd w:val="clear" w:color="auto" w:fill="808080" w:themeFill="background1" w:themeFillShade="80"/>
          </w:tcPr>
          <w:p w:rsidR="0071464C" w:rsidRPr="006618C1" w:rsidRDefault="0071464C" w:rsidP="001257BC">
            <w:pPr>
              <w:pStyle w:val="Caption1"/>
              <w:rPr>
                <w:rFonts w:asciiTheme="minorHAnsi" w:hAnsiTheme="minorHAnsi" w:cstheme="minorHAnsi"/>
                <w:szCs w:val="20"/>
              </w:rPr>
            </w:pPr>
            <w:r w:rsidRPr="006618C1">
              <w:rPr>
                <w:rFonts w:asciiTheme="minorHAnsi" w:hAnsiTheme="minorHAnsi" w:cstheme="minorHAnsi"/>
                <w:szCs w:val="20"/>
              </w:rPr>
              <w:t>Superior</w:t>
            </w:r>
          </w:p>
        </w:tc>
      </w:tr>
      <w:tr w:rsidR="0071464C" w:rsidRPr="006618C1" w:rsidTr="00B001D9">
        <w:trPr>
          <w:tblHeader/>
        </w:trPr>
        <w:tc>
          <w:tcPr>
            <w:tcW w:w="1801" w:type="dxa"/>
            <w:vMerge/>
            <w:shd w:val="clear" w:color="auto" w:fill="8DB3E2" w:themeFill="text2" w:themeFillTint="66"/>
          </w:tcPr>
          <w:p w:rsidR="0071464C" w:rsidRPr="006618C1" w:rsidRDefault="0071464C" w:rsidP="001257BC">
            <w:pPr>
              <w:pStyle w:val="Caption1"/>
              <w:rPr>
                <w:rFonts w:asciiTheme="minorHAnsi" w:hAnsiTheme="minorHAnsi" w:cstheme="minorHAnsi"/>
                <w:szCs w:val="20"/>
              </w:rPr>
            </w:pPr>
          </w:p>
        </w:tc>
        <w:tc>
          <w:tcPr>
            <w:tcW w:w="1205" w:type="dxa"/>
            <w:shd w:val="clear" w:color="auto" w:fill="808080" w:themeFill="background1" w:themeFillShade="80"/>
          </w:tcPr>
          <w:p w:rsidR="0071464C" w:rsidRPr="006618C1" w:rsidRDefault="0071464C" w:rsidP="001257BC">
            <w:pPr>
              <w:pStyle w:val="Caption1"/>
              <w:rPr>
                <w:rFonts w:asciiTheme="minorHAnsi" w:hAnsiTheme="minorHAnsi" w:cstheme="minorHAnsi"/>
                <w:szCs w:val="20"/>
              </w:rPr>
            </w:pPr>
            <w:r w:rsidRPr="006618C1">
              <w:rPr>
                <w:rFonts w:asciiTheme="minorHAnsi" w:hAnsiTheme="minorHAnsi" w:cstheme="minorHAnsi"/>
                <w:szCs w:val="20"/>
              </w:rPr>
              <w:t>No active comparator</w:t>
            </w:r>
          </w:p>
        </w:tc>
        <w:tc>
          <w:tcPr>
            <w:tcW w:w="1205" w:type="dxa"/>
            <w:shd w:val="clear" w:color="auto" w:fill="808080" w:themeFill="background1" w:themeFillShade="80"/>
          </w:tcPr>
          <w:p w:rsidR="0071464C" w:rsidRPr="006618C1" w:rsidRDefault="0071464C" w:rsidP="001257BC">
            <w:pPr>
              <w:pStyle w:val="Caption1"/>
              <w:rPr>
                <w:rFonts w:asciiTheme="minorHAnsi" w:hAnsiTheme="minorHAnsi" w:cstheme="minorHAnsi"/>
                <w:szCs w:val="20"/>
              </w:rPr>
            </w:pPr>
            <w:r w:rsidRPr="006618C1">
              <w:rPr>
                <w:rFonts w:asciiTheme="minorHAnsi" w:hAnsiTheme="minorHAnsi" w:cstheme="minorHAnsi"/>
                <w:szCs w:val="20"/>
              </w:rPr>
              <w:t>Active comparator</w:t>
            </w:r>
          </w:p>
        </w:tc>
        <w:tc>
          <w:tcPr>
            <w:tcW w:w="1117" w:type="dxa"/>
            <w:vMerge/>
          </w:tcPr>
          <w:p w:rsidR="0071464C" w:rsidRPr="006618C1" w:rsidRDefault="0071464C" w:rsidP="001257BC">
            <w:pPr>
              <w:pStyle w:val="Caption1"/>
              <w:rPr>
                <w:rFonts w:asciiTheme="minorHAnsi" w:hAnsiTheme="minorHAnsi" w:cstheme="minorHAnsi"/>
                <w:szCs w:val="20"/>
              </w:rPr>
            </w:pPr>
          </w:p>
        </w:tc>
        <w:tc>
          <w:tcPr>
            <w:tcW w:w="1260" w:type="dxa"/>
            <w:vMerge/>
          </w:tcPr>
          <w:p w:rsidR="0071464C" w:rsidRPr="006618C1" w:rsidRDefault="0071464C" w:rsidP="001257BC">
            <w:pPr>
              <w:pStyle w:val="Caption1"/>
              <w:rPr>
                <w:rFonts w:asciiTheme="minorHAnsi" w:hAnsiTheme="minorHAnsi" w:cstheme="minorHAnsi"/>
                <w:szCs w:val="20"/>
              </w:rPr>
            </w:pPr>
          </w:p>
        </w:tc>
        <w:tc>
          <w:tcPr>
            <w:tcW w:w="1350" w:type="dxa"/>
            <w:vMerge/>
          </w:tcPr>
          <w:p w:rsidR="0071464C" w:rsidRPr="006618C1" w:rsidRDefault="0071464C" w:rsidP="001257BC">
            <w:pPr>
              <w:pStyle w:val="Caption1"/>
              <w:rPr>
                <w:rFonts w:asciiTheme="minorHAnsi" w:hAnsiTheme="minorHAnsi" w:cstheme="minorHAnsi"/>
                <w:szCs w:val="20"/>
              </w:rPr>
            </w:pPr>
          </w:p>
        </w:tc>
      </w:tr>
      <w:tr w:rsidR="001257BC" w:rsidRPr="006618C1" w:rsidTr="00895022">
        <w:tc>
          <w:tcPr>
            <w:tcW w:w="1801" w:type="dxa"/>
            <w:shd w:val="clear" w:color="auto" w:fill="D9D9D9" w:themeFill="background1" w:themeFillShade="D9"/>
          </w:tcPr>
          <w:p w:rsidR="001257BC" w:rsidRPr="006618C1" w:rsidRDefault="001257BC" w:rsidP="001257BC">
            <w:pPr>
              <w:pStyle w:val="Caption1"/>
              <w:rPr>
                <w:rFonts w:asciiTheme="minorHAnsi" w:hAnsiTheme="minorHAnsi" w:cstheme="minorHAnsi"/>
                <w:szCs w:val="20"/>
              </w:rPr>
            </w:pPr>
            <w:r w:rsidRPr="006618C1">
              <w:rPr>
                <w:rFonts w:asciiTheme="minorHAnsi" w:hAnsiTheme="minorHAnsi" w:cstheme="minorHAnsi"/>
                <w:szCs w:val="20"/>
              </w:rPr>
              <w:t>Inferior</w:t>
            </w:r>
          </w:p>
        </w:tc>
        <w:tc>
          <w:tcPr>
            <w:tcW w:w="1205"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i/>
                <w:sz w:val="24"/>
                <w:szCs w:val="24"/>
              </w:rPr>
            </w:pPr>
            <w:r w:rsidRPr="006618C1">
              <w:rPr>
                <w:rFonts w:asciiTheme="minorHAnsi" w:hAnsiTheme="minorHAnsi" w:cstheme="minorHAnsi"/>
                <w:i/>
                <w:sz w:val="24"/>
                <w:szCs w:val="24"/>
              </w:rPr>
              <w:t>x</w:t>
            </w:r>
          </w:p>
        </w:tc>
        <w:tc>
          <w:tcPr>
            <w:tcW w:w="1205"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p>
        </w:tc>
        <w:tc>
          <w:tcPr>
            <w:tcW w:w="1117"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w:t>
            </w:r>
          </w:p>
        </w:tc>
        <w:tc>
          <w:tcPr>
            <w:tcW w:w="1260"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r w:rsidRPr="006618C1">
              <w:rPr>
                <w:rFonts w:asciiTheme="minorHAnsi" w:hAnsiTheme="minorHAnsi" w:cstheme="minorHAnsi"/>
                <w:szCs w:val="20"/>
                <w:vertAlign w:val="superscript"/>
              </w:rPr>
              <w:t>b</w:t>
            </w:r>
          </w:p>
        </w:tc>
        <w:tc>
          <w:tcPr>
            <w:tcW w:w="1350"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r w:rsidRPr="006618C1">
              <w:rPr>
                <w:rFonts w:asciiTheme="minorHAnsi" w:hAnsiTheme="minorHAnsi" w:cstheme="minorHAnsi"/>
                <w:szCs w:val="20"/>
                <w:vertAlign w:val="superscript"/>
              </w:rPr>
              <w:t>a</w:t>
            </w:r>
          </w:p>
        </w:tc>
      </w:tr>
      <w:tr w:rsidR="001257BC" w:rsidRPr="006618C1" w:rsidTr="00895022">
        <w:tc>
          <w:tcPr>
            <w:tcW w:w="1801" w:type="dxa"/>
            <w:shd w:val="clear" w:color="auto" w:fill="A6A6A6" w:themeFill="background1" w:themeFillShade="A6"/>
          </w:tcPr>
          <w:p w:rsidR="001257BC" w:rsidRPr="006618C1" w:rsidRDefault="001257BC" w:rsidP="001257BC">
            <w:pPr>
              <w:pStyle w:val="Caption1"/>
              <w:rPr>
                <w:rFonts w:asciiTheme="minorHAnsi" w:hAnsiTheme="minorHAnsi" w:cstheme="minorHAnsi"/>
                <w:szCs w:val="20"/>
              </w:rPr>
            </w:pPr>
            <w:r w:rsidRPr="006618C1">
              <w:rPr>
                <w:rFonts w:asciiTheme="minorHAnsi" w:hAnsiTheme="minorHAnsi" w:cstheme="minorHAnsi"/>
                <w:szCs w:val="20"/>
              </w:rPr>
              <w:t>Uncertain</w:t>
            </w:r>
          </w:p>
        </w:tc>
        <w:tc>
          <w:tcPr>
            <w:tcW w:w="1205"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i/>
                <w:sz w:val="24"/>
                <w:szCs w:val="24"/>
              </w:rPr>
              <w:t>x</w:t>
            </w:r>
          </w:p>
        </w:tc>
        <w:tc>
          <w:tcPr>
            <w:tcW w:w="1205"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r w:rsidRPr="006618C1">
              <w:rPr>
                <w:rFonts w:asciiTheme="minorHAnsi" w:hAnsiTheme="minorHAnsi" w:cstheme="minorHAnsi"/>
                <w:szCs w:val="20"/>
                <w:vertAlign w:val="superscript"/>
              </w:rPr>
              <w:t>a</w:t>
            </w:r>
          </w:p>
        </w:tc>
        <w:tc>
          <w:tcPr>
            <w:tcW w:w="1117"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w:t>
            </w:r>
            <w:bookmarkStart w:id="0" w:name="_GoBack"/>
            <w:bookmarkEnd w:id="0"/>
          </w:p>
        </w:tc>
        <w:tc>
          <w:tcPr>
            <w:tcW w:w="1260"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w:t>
            </w:r>
          </w:p>
        </w:tc>
        <w:tc>
          <w:tcPr>
            <w:tcW w:w="1350"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r w:rsidRPr="006618C1">
              <w:rPr>
                <w:rFonts w:asciiTheme="minorHAnsi" w:hAnsiTheme="minorHAnsi" w:cstheme="minorHAnsi"/>
                <w:szCs w:val="20"/>
                <w:vertAlign w:val="superscript"/>
              </w:rPr>
              <w:t>a</w:t>
            </w:r>
          </w:p>
        </w:tc>
      </w:tr>
      <w:tr w:rsidR="001257BC" w:rsidRPr="006618C1" w:rsidTr="00895022">
        <w:tc>
          <w:tcPr>
            <w:tcW w:w="1801" w:type="dxa"/>
            <w:shd w:val="clear" w:color="auto" w:fill="D9D9D9" w:themeFill="background1" w:themeFillShade="D9"/>
          </w:tcPr>
          <w:p w:rsidR="001257BC" w:rsidRPr="006618C1" w:rsidRDefault="001257BC" w:rsidP="001257BC">
            <w:pPr>
              <w:pStyle w:val="Caption1"/>
              <w:rPr>
                <w:rFonts w:asciiTheme="minorHAnsi" w:hAnsiTheme="minorHAnsi" w:cstheme="minorHAnsi"/>
                <w:szCs w:val="20"/>
              </w:rPr>
            </w:pPr>
            <w:r w:rsidRPr="006618C1">
              <w:rPr>
                <w:rFonts w:asciiTheme="minorHAnsi" w:hAnsiTheme="minorHAnsi" w:cstheme="minorHAnsi"/>
                <w:szCs w:val="20"/>
              </w:rPr>
              <w:t>Non-inferior</w:t>
            </w:r>
          </w:p>
        </w:tc>
        <w:tc>
          <w:tcPr>
            <w:tcW w:w="1205"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i/>
                <w:sz w:val="24"/>
                <w:szCs w:val="24"/>
              </w:rPr>
              <w:t>x</w:t>
            </w:r>
            <w:r w:rsidRPr="006618C1">
              <w:rPr>
                <w:rFonts w:asciiTheme="minorHAnsi" w:hAnsiTheme="minorHAnsi" w:cstheme="minorHAnsi"/>
                <w:i/>
                <w:sz w:val="24"/>
                <w:szCs w:val="24"/>
                <w:vertAlign w:val="superscript"/>
              </w:rPr>
              <w:t>c</w:t>
            </w:r>
          </w:p>
        </w:tc>
        <w:tc>
          <w:tcPr>
            <w:tcW w:w="1205"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p>
        </w:tc>
        <w:tc>
          <w:tcPr>
            <w:tcW w:w="1117"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w:t>
            </w:r>
          </w:p>
        </w:tc>
        <w:tc>
          <w:tcPr>
            <w:tcW w:w="1260"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w:t>
            </w:r>
          </w:p>
        </w:tc>
        <w:tc>
          <w:tcPr>
            <w:tcW w:w="1350" w:type="dxa"/>
            <w:shd w:val="clear" w:color="auto" w:fill="D9D9D9" w:themeFill="background1" w:themeFillShade="D9"/>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p>
        </w:tc>
      </w:tr>
      <w:tr w:rsidR="001257BC" w:rsidRPr="006618C1" w:rsidTr="00895022">
        <w:tc>
          <w:tcPr>
            <w:tcW w:w="1801" w:type="dxa"/>
            <w:shd w:val="clear" w:color="auto" w:fill="A6A6A6" w:themeFill="background1" w:themeFillShade="A6"/>
          </w:tcPr>
          <w:p w:rsidR="001257BC" w:rsidRPr="006618C1" w:rsidRDefault="001257BC" w:rsidP="001257BC">
            <w:pPr>
              <w:pStyle w:val="Caption1"/>
              <w:rPr>
                <w:rFonts w:asciiTheme="minorHAnsi" w:hAnsiTheme="minorHAnsi" w:cstheme="minorHAnsi"/>
                <w:szCs w:val="20"/>
              </w:rPr>
            </w:pPr>
            <w:r w:rsidRPr="006618C1">
              <w:rPr>
                <w:rFonts w:asciiTheme="minorHAnsi" w:hAnsiTheme="minorHAnsi" w:cstheme="minorHAnsi"/>
                <w:szCs w:val="20"/>
              </w:rPr>
              <w:t>Superior</w:t>
            </w:r>
          </w:p>
        </w:tc>
        <w:tc>
          <w:tcPr>
            <w:tcW w:w="1205"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i/>
                <w:sz w:val="24"/>
                <w:szCs w:val="24"/>
              </w:rPr>
              <w:t>x</w:t>
            </w:r>
            <w:r w:rsidRPr="006618C1">
              <w:rPr>
                <w:rFonts w:asciiTheme="minorHAnsi" w:hAnsiTheme="minorHAnsi" w:cstheme="minorHAnsi"/>
                <w:i/>
                <w:sz w:val="24"/>
                <w:szCs w:val="24"/>
                <w:vertAlign w:val="superscript"/>
              </w:rPr>
              <w:t>c</w:t>
            </w:r>
          </w:p>
        </w:tc>
        <w:tc>
          <w:tcPr>
            <w:tcW w:w="1205"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r w:rsidRPr="006618C1">
              <w:rPr>
                <w:rFonts w:asciiTheme="minorHAnsi" w:hAnsiTheme="minorHAnsi" w:cstheme="minorHAnsi"/>
                <w:szCs w:val="20"/>
                <w:vertAlign w:val="superscript"/>
              </w:rPr>
              <w:t>a</w:t>
            </w:r>
          </w:p>
        </w:tc>
        <w:tc>
          <w:tcPr>
            <w:tcW w:w="1117"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w:t>
            </w:r>
          </w:p>
        </w:tc>
        <w:tc>
          <w:tcPr>
            <w:tcW w:w="1260"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r w:rsidRPr="006618C1">
              <w:rPr>
                <w:rFonts w:asciiTheme="minorHAnsi" w:hAnsiTheme="minorHAnsi" w:cstheme="minorHAnsi"/>
                <w:szCs w:val="20"/>
                <w:vertAlign w:val="superscript"/>
              </w:rPr>
              <w:t>b</w:t>
            </w:r>
          </w:p>
        </w:tc>
        <w:tc>
          <w:tcPr>
            <w:tcW w:w="1350" w:type="dxa"/>
            <w:shd w:val="clear" w:color="auto" w:fill="A6A6A6" w:themeFill="background1" w:themeFillShade="A6"/>
          </w:tcPr>
          <w:p w:rsidR="001257BC" w:rsidRPr="006618C1" w:rsidRDefault="0071464C" w:rsidP="00127A2A">
            <w:pPr>
              <w:pStyle w:val="Caption1"/>
              <w:jc w:val="center"/>
              <w:rPr>
                <w:rFonts w:asciiTheme="minorHAnsi" w:hAnsiTheme="minorHAnsi" w:cstheme="minorHAnsi"/>
                <w:szCs w:val="20"/>
              </w:rPr>
            </w:pPr>
            <w:r w:rsidRPr="006618C1">
              <w:rPr>
                <w:rFonts w:asciiTheme="minorHAnsi" w:hAnsiTheme="minorHAnsi" w:cstheme="minorHAnsi"/>
                <w:szCs w:val="20"/>
              </w:rPr>
              <w:t>F</w:t>
            </w:r>
          </w:p>
        </w:tc>
      </w:tr>
    </w:tbl>
    <w:p w:rsidR="00887301" w:rsidRPr="006618C1" w:rsidRDefault="00895022" w:rsidP="00895022">
      <w:pPr>
        <w:widowControl w:val="0"/>
        <w:autoSpaceDE w:val="0"/>
        <w:autoSpaceDN w:val="0"/>
        <w:adjustRightInd w:val="0"/>
        <w:spacing w:before="240" w:after="120"/>
        <w:jc w:val="both"/>
        <w:rPr>
          <w:rFonts w:cstheme="minorHAnsi"/>
          <w:sz w:val="20"/>
          <w:szCs w:val="20"/>
        </w:rPr>
      </w:pPr>
      <w:r w:rsidRPr="006618C1">
        <w:rPr>
          <w:rFonts w:cstheme="minorHAnsi"/>
          <w:i/>
          <w:sz w:val="24"/>
          <w:szCs w:val="24"/>
        </w:rPr>
        <w:t>x</w:t>
      </w:r>
      <w:r w:rsidRPr="006618C1">
        <w:rPr>
          <w:rFonts w:cstheme="minorHAnsi"/>
          <w:sz w:val="20"/>
          <w:szCs w:val="20"/>
        </w:rPr>
        <w:t xml:space="preserve"> </w:t>
      </w:r>
      <w:r w:rsidR="003E5FE5" w:rsidRPr="006618C1">
        <w:rPr>
          <w:rFonts w:cstheme="minorHAnsi"/>
          <w:sz w:val="20"/>
          <w:szCs w:val="20"/>
        </w:rPr>
        <w:t>= health forgone (at cost). An economic evaluation is not warranted and continued use of Ig should not occur in this circumstance unless there are other supportive factors.</w:t>
      </w:r>
    </w:p>
    <w:p w:rsidR="00887301" w:rsidRPr="006618C1" w:rsidRDefault="00895022" w:rsidP="00895022">
      <w:pPr>
        <w:widowControl w:val="0"/>
        <w:autoSpaceDE w:val="0"/>
        <w:autoSpaceDN w:val="0"/>
        <w:adjustRightInd w:val="0"/>
        <w:spacing w:after="120"/>
        <w:jc w:val="both"/>
        <w:rPr>
          <w:rFonts w:cstheme="minorHAnsi"/>
          <w:sz w:val="20"/>
          <w:szCs w:val="20"/>
        </w:rPr>
      </w:pPr>
      <w:r w:rsidRPr="006618C1">
        <w:rPr>
          <w:rFonts w:cstheme="minorHAnsi"/>
          <w:sz w:val="20"/>
          <w:szCs w:val="20"/>
        </w:rPr>
        <w:t>F</w:t>
      </w:r>
      <w:r w:rsidR="003E5FE5" w:rsidRPr="006618C1">
        <w:rPr>
          <w:rFonts w:cstheme="minorHAnsi"/>
          <w:sz w:val="20"/>
          <w:szCs w:val="20"/>
        </w:rPr>
        <w:t xml:space="preserve"> = undertake a full economic evaluation. These may take the form of cost-utility analyses (preferred if adequate data are available) or cost effectiveness analyses in terms of clinically relevant outcome(s). </w:t>
      </w:r>
    </w:p>
    <w:p w:rsidR="00887301" w:rsidRPr="006618C1" w:rsidRDefault="003E5FE5" w:rsidP="00895022">
      <w:pPr>
        <w:widowControl w:val="0"/>
        <w:autoSpaceDE w:val="0"/>
        <w:autoSpaceDN w:val="0"/>
        <w:adjustRightInd w:val="0"/>
        <w:spacing w:after="120"/>
        <w:jc w:val="both"/>
        <w:rPr>
          <w:rFonts w:cstheme="minorHAnsi"/>
          <w:sz w:val="20"/>
          <w:szCs w:val="20"/>
        </w:rPr>
      </w:pPr>
      <w:r w:rsidRPr="006618C1">
        <w:rPr>
          <w:rFonts w:cstheme="minorHAnsi"/>
          <w:sz w:val="20"/>
          <w:szCs w:val="20"/>
        </w:rPr>
        <w:t>? = high levels of uncertainty will occur in an economic evaluation (if it is feasible to construct one). A cost analysis (partial economic evaluation) could be performed.</w:t>
      </w:r>
    </w:p>
    <w:p w:rsidR="00887301" w:rsidRPr="006618C1" w:rsidRDefault="003E5FE5" w:rsidP="00895022">
      <w:pPr>
        <w:widowControl w:val="0"/>
        <w:autoSpaceDE w:val="0"/>
        <w:autoSpaceDN w:val="0"/>
        <w:adjustRightInd w:val="0"/>
        <w:spacing w:after="120"/>
        <w:jc w:val="both"/>
        <w:rPr>
          <w:rFonts w:cstheme="minorHAnsi"/>
          <w:sz w:val="20"/>
          <w:szCs w:val="20"/>
        </w:rPr>
      </w:pPr>
      <w:r w:rsidRPr="006618C1">
        <w:rPr>
          <w:rFonts w:cstheme="minorHAnsi"/>
          <w:sz w:val="20"/>
          <w:szCs w:val="20"/>
        </w:rPr>
        <w:t xml:space="preserve">$ = cost </w:t>
      </w:r>
      <w:proofErr w:type="spellStart"/>
      <w:r w:rsidRPr="006618C1">
        <w:rPr>
          <w:rFonts w:cstheme="minorHAnsi"/>
          <w:sz w:val="20"/>
          <w:szCs w:val="20"/>
        </w:rPr>
        <w:t>minimisation</w:t>
      </w:r>
      <w:proofErr w:type="spellEnd"/>
      <w:r w:rsidRPr="006618C1">
        <w:rPr>
          <w:rFonts w:cstheme="minorHAnsi"/>
          <w:sz w:val="20"/>
          <w:szCs w:val="20"/>
        </w:rPr>
        <w:t xml:space="preserve"> analysis (partial economic evaluation that explicitly assumes no significant differences in health outcomes, associated with either effectiveness or safety, and analyses cost-differences only). </w:t>
      </w:r>
    </w:p>
    <w:p w:rsidR="00887301" w:rsidRPr="006618C1" w:rsidRDefault="003E5FE5" w:rsidP="00895022">
      <w:pPr>
        <w:widowControl w:val="0"/>
        <w:autoSpaceDE w:val="0"/>
        <w:autoSpaceDN w:val="0"/>
        <w:adjustRightInd w:val="0"/>
        <w:spacing w:after="120"/>
        <w:jc w:val="both"/>
        <w:rPr>
          <w:rFonts w:cstheme="minorHAnsi"/>
          <w:sz w:val="20"/>
          <w:szCs w:val="20"/>
        </w:rPr>
      </w:pPr>
      <w:r w:rsidRPr="006618C1">
        <w:rPr>
          <w:rFonts w:cstheme="minorHAnsi"/>
          <w:sz w:val="20"/>
          <w:szCs w:val="20"/>
          <w:vertAlign w:val="superscript"/>
        </w:rPr>
        <w:t>a</w:t>
      </w:r>
      <w:r w:rsidRPr="006618C1">
        <w:rPr>
          <w:rFonts w:cstheme="minorHAnsi"/>
          <w:sz w:val="20"/>
          <w:szCs w:val="20"/>
        </w:rPr>
        <w:t xml:space="preserve"> where the conclusions with respect to effectiveness and safety are not congruent, then analyses identifying all relevant health consequences (i.e. effectiveness and safety outcomes in opposing directions of benefit) need to be presented. If a CUA is presented, this should capture effectiveness and safety collectively. If a CUA is not possible, then a single CEA may not capture all health consequences adequately and so a CCA is likely to be required. Where possible, the CCA should be quantitative, but in the absence of adequate data, a minimum qualitative identification of consequences should be presented.</w:t>
      </w:r>
    </w:p>
    <w:p w:rsidR="00887301" w:rsidRPr="006618C1" w:rsidRDefault="003E5FE5" w:rsidP="00895022">
      <w:pPr>
        <w:widowControl w:val="0"/>
        <w:autoSpaceDE w:val="0"/>
        <w:autoSpaceDN w:val="0"/>
        <w:adjustRightInd w:val="0"/>
        <w:spacing w:after="120"/>
        <w:jc w:val="both"/>
        <w:rPr>
          <w:rFonts w:cstheme="minorHAnsi"/>
          <w:sz w:val="20"/>
          <w:szCs w:val="20"/>
        </w:rPr>
      </w:pPr>
      <w:r w:rsidRPr="006618C1">
        <w:rPr>
          <w:rFonts w:cstheme="minorHAnsi"/>
          <w:sz w:val="20"/>
          <w:szCs w:val="20"/>
          <w:vertAlign w:val="superscript"/>
        </w:rPr>
        <w:t>b</w:t>
      </w:r>
      <w:r w:rsidRPr="006618C1">
        <w:rPr>
          <w:rFonts w:cstheme="minorHAnsi"/>
          <w:sz w:val="20"/>
          <w:szCs w:val="20"/>
        </w:rPr>
        <w:t xml:space="preserve"> where effectiveness is assessed as non-inferior but safety differences exist, and in the absence of a CUA being possible, the outcomes component of the analysis should include a clinically relevant outcome which reflects the safety differences between Ig and the comparator.</w:t>
      </w:r>
    </w:p>
    <w:p w:rsidR="00887301" w:rsidRPr="006618C1" w:rsidRDefault="003E5FE5" w:rsidP="00895022">
      <w:pPr>
        <w:widowControl w:val="0"/>
        <w:autoSpaceDE w:val="0"/>
        <w:autoSpaceDN w:val="0"/>
        <w:adjustRightInd w:val="0"/>
        <w:jc w:val="both"/>
        <w:rPr>
          <w:rFonts w:cstheme="minorHAnsi"/>
          <w:sz w:val="20"/>
          <w:szCs w:val="20"/>
        </w:rPr>
      </w:pPr>
      <w:r w:rsidRPr="006618C1">
        <w:rPr>
          <w:rFonts w:cstheme="minorHAnsi"/>
          <w:sz w:val="18"/>
          <w:szCs w:val="18"/>
          <w:vertAlign w:val="superscript"/>
        </w:rPr>
        <w:t>c</w:t>
      </w:r>
      <w:r w:rsidRPr="006618C1">
        <w:rPr>
          <w:rFonts w:cstheme="minorHAnsi"/>
          <w:sz w:val="18"/>
          <w:szCs w:val="18"/>
        </w:rPr>
        <w:t xml:space="preserve"> </w:t>
      </w:r>
      <w:r w:rsidRPr="006618C1">
        <w:rPr>
          <w:rFonts w:cstheme="minorHAnsi"/>
          <w:sz w:val="20"/>
          <w:szCs w:val="20"/>
        </w:rPr>
        <w:t>The small but unavoidable potential risks associated with administering a blood product means that a conclusion of non-inferior or superior Ig safety relative to no active comparator, should never arise.</w:t>
      </w:r>
    </w:p>
    <w:p w:rsidR="00895022" w:rsidRPr="006618C1" w:rsidRDefault="00895022" w:rsidP="00895022">
      <w:pPr>
        <w:widowControl w:val="0"/>
        <w:autoSpaceDE w:val="0"/>
        <w:autoSpaceDN w:val="0"/>
        <w:adjustRightInd w:val="0"/>
        <w:rPr>
          <w:rFonts w:cstheme="minorHAnsi"/>
          <w:sz w:val="20"/>
          <w:szCs w:val="20"/>
        </w:rPr>
      </w:pPr>
    </w:p>
    <w:p w:rsidR="00887301" w:rsidRPr="006618C1" w:rsidRDefault="00887301">
      <w:pPr>
        <w:widowControl w:val="0"/>
        <w:autoSpaceDE w:val="0"/>
        <w:autoSpaceDN w:val="0"/>
        <w:adjustRightInd w:val="0"/>
        <w:rPr>
          <w:rFonts w:cstheme="minorHAnsi"/>
          <w:sz w:val="24"/>
          <w:szCs w:val="24"/>
        </w:rPr>
      </w:pPr>
    </w:p>
    <w:p w:rsidR="00887301" w:rsidRPr="006618C1" w:rsidRDefault="003E5FE5">
      <w:pPr>
        <w:widowControl w:val="0"/>
        <w:autoSpaceDE w:val="0"/>
        <w:autoSpaceDN w:val="0"/>
        <w:adjustRightInd w:val="0"/>
        <w:rPr>
          <w:rFonts w:cstheme="minorHAnsi"/>
          <w:sz w:val="24"/>
          <w:szCs w:val="24"/>
        </w:rPr>
      </w:pPr>
      <w:r w:rsidRPr="006618C1">
        <w:rPr>
          <w:rFonts w:cstheme="minorHAnsi"/>
          <w:sz w:val="24"/>
          <w:szCs w:val="24"/>
        </w:rPr>
        <w:br w:type="page"/>
      </w:r>
    </w:p>
    <w:p w:rsidR="00887301" w:rsidRPr="006618C1" w:rsidRDefault="003E5FE5" w:rsidP="00895022">
      <w:pPr>
        <w:widowControl w:val="0"/>
        <w:autoSpaceDE w:val="0"/>
        <w:autoSpaceDN w:val="0"/>
        <w:adjustRightInd w:val="0"/>
        <w:spacing w:after="240"/>
        <w:rPr>
          <w:rFonts w:cstheme="minorHAnsi"/>
          <w:b/>
          <w:bCs/>
          <w:color w:val="365F91"/>
          <w:sz w:val="28"/>
          <w:szCs w:val="28"/>
        </w:rPr>
      </w:pPr>
      <w:r w:rsidRPr="006618C1">
        <w:rPr>
          <w:rFonts w:cstheme="minorHAnsi"/>
          <w:b/>
          <w:bCs/>
          <w:color w:val="365F91"/>
          <w:sz w:val="28"/>
          <w:szCs w:val="28"/>
        </w:rPr>
        <w:lastRenderedPageBreak/>
        <w:t xml:space="preserve">Appendix A </w:t>
      </w:r>
      <w:r w:rsidRPr="006618C1">
        <w:rPr>
          <w:rFonts w:cstheme="minorHAnsi"/>
          <w:b/>
          <w:bCs/>
          <w:color w:val="365F91"/>
          <w:sz w:val="28"/>
          <w:szCs w:val="28"/>
        </w:rPr>
        <w:tab/>
        <w:t>The Myasthenia Gravis Composite score</w:t>
      </w: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Ptosis, upward gaze (physician examination)</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&gt; 45 seconds</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1 = 11 - 45 seconds</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2 = 1 - 10 seconds</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3 = immediate</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Double vision on lateral gaze, left or right (physician examination)</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&gt; 45 seconds</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1 = 11 - 45 seconds</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3 = 1 - 10 seconds</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4 = immediate</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Eye closure (physician examination)</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Normal</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Mild weakness (can be forced open with effort)</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1 = Moderate weakness (can be forced open easily)</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2 = Severe weakness (unable to keep eyes closed)</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Talking (patient history)</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Normal</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2 = Intermittent slurring or nasal speech</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4 = Constant slurring or nasal but can be understood</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6 = Difficult to understand speech</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Chewing (patient history)</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Normal</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2 = Fatigue with solid food</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4 = Fatigue with soft food</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6 = Gastric tube</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Swallowing (patient history)</w:t>
      </w:r>
    </w:p>
    <w:p w:rsidR="00887301" w:rsidRPr="006618C1" w:rsidRDefault="003E5FE5" w:rsidP="0048356F">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Normal</w:t>
      </w:r>
    </w:p>
    <w:p w:rsidR="00887301" w:rsidRPr="006618C1" w:rsidRDefault="003E5FE5" w:rsidP="0048356F">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2 = Rare episode of choking or trouble swallowing</w:t>
      </w:r>
    </w:p>
    <w:p w:rsidR="00887301" w:rsidRPr="006618C1" w:rsidRDefault="003E5FE5" w:rsidP="0048356F">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5 = Frequent trouble swallowing, eg. necessitating changes in diet</w:t>
      </w:r>
    </w:p>
    <w:p w:rsidR="00887301" w:rsidRDefault="003E5FE5" w:rsidP="0048356F">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6 = Gastric tube</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Breathing (thought to be caused by MG)</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Normal</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2 = Shortness of breath with exertion</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4 = Shortness of breath at rest</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9 = Ventilator dependence</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Neck flexion or extension (weakest, physician examination)</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Normal</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1 = Mild weakness</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3* = Moderate weakness (ie</w:t>
      </w:r>
      <w:proofErr w:type="gramStart"/>
      <w:r w:rsidRPr="006618C1">
        <w:rPr>
          <w:rFonts w:cstheme="minorHAnsi"/>
          <w:sz w:val="20"/>
          <w:szCs w:val="20"/>
        </w:rPr>
        <w:t>.~</w:t>
      </w:r>
      <w:proofErr w:type="gramEnd"/>
      <w:r w:rsidRPr="006618C1">
        <w:rPr>
          <w:rFonts w:cstheme="minorHAnsi"/>
          <w:sz w:val="20"/>
          <w:szCs w:val="20"/>
        </w:rPr>
        <w:t>50% weak, ±15%)</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4 = Severe weakness</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Shoulder abduction (physician examination)</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Normal</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2 = Mild weakness</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4* = Moderate weakness (ie</w:t>
      </w:r>
      <w:proofErr w:type="gramStart"/>
      <w:r w:rsidRPr="006618C1">
        <w:rPr>
          <w:rFonts w:cstheme="minorHAnsi"/>
          <w:sz w:val="20"/>
          <w:szCs w:val="20"/>
        </w:rPr>
        <w:t>.~</w:t>
      </w:r>
      <w:proofErr w:type="gramEnd"/>
      <w:r w:rsidRPr="006618C1">
        <w:rPr>
          <w:rFonts w:cstheme="minorHAnsi"/>
          <w:sz w:val="20"/>
          <w:szCs w:val="20"/>
        </w:rPr>
        <w:t xml:space="preserve">50% weak, ±15%) </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5 = Severe weakness</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b/>
          <w:bCs/>
          <w:sz w:val="20"/>
          <w:szCs w:val="20"/>
        </w:rPr>
      </w:pPr>
      <w:r w:rsidRPr="006618C1">
        <w:rPr>
          <w:rFonts w:cstheme="minorHAnsi"/>
          <w:b/>
          <w:bCs/>
          <w:sz w:val="20"/>
          <w:szCs w:val="20"/>
        </w:rPr>
        <w:t>Hip flexion (physician examination)</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0 = Normal</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2 = Mild weakness</w:t>
      </w:r>
    </w:p>
    <w:p w:rsidR="00887301" w:rsidRPr="006618C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4* = Moderate weakness (ie</w:t>
      </w:r>
      <w:proofErr w:type="gramStart"/>
      <w:r w:rsidRPr="006618C1">
        <w:rPr>
          <w:rFonts w:cstheme="minorHAnsi"/>
          <w:sz w:val="20"/>
          <w:szCs w:val="20"/>
        </w:rPr>
        <w:t>.~</w:t>
      </w:r>
      <w:proofErr w:type="gramEnd"/>
      <w:r w:rsidRPr="006618C1">
        <w:rPr>
          <w:rFonts w:cstheme="minorHAnsi"/>
          <w:sz w:val="20"/>
          <w:szCs w:val="20"/>
        </w:rPr>
        <w:t xml:space="preserve">50% weak, ±15%) </w:t>
      </w:r>
    </w:p>
    <w:p w:rsidR="00887301" w:rsidRDefault="003E5FE5" w:rsidP="00EE2A0C">
      <w:pPr>
        <w:widowControl w:val="0"/>
        <w:numPr>
          <w:ilvl w:val="0"/>
          <w:numId w:val="20"/>
        </w:numPr>
        <w:autoSpaceDE w:val="0"/>
        <w:autoSpaceDN w:val="0"/>
        <w:adjustRightInd w:val="0"/>
        <w:ind w:left="360"/>
        <w:rPr>
          <w:rFonts w:cstheme="minorHAnsi"/>
          <w:sz w:val="20"/>
          <w:szCs w:val="20"/>
        </w:rPr>
      </w:pPr>
      <w:r w:rsidRPr="006618C1">
        <w:rPr>
          <w:rFonts w:cstheme="minorHAnsi"/>
          <w:sz w:val="20"/>
          <w:szCs w:val="20"/>
        </w:rPr>
        <w:t>5 = Severe weakness</w:t>
      </w:r>
    </w:p>
    <w:p w:rsidR="0048356F" w:rsidRPr="006618C1" w:rsidRDefault="0048356F" w:rsidP="0048356F">
      <w:pPr>
        <w:widowControl w:val="0"/>
        <w:autoSpaceDE w:val="0"/>
        <w:autoSpaceDN w:val="0"/>
        <w:adjustRightInd w:val="0"/>
        <w:ind w:left="360"/>
        <w:rPr>
          <w:rFonts w:cstheme="minorHAnsi"/>
          <w:sz w:val="20"/>
          <w:szCs w:val="20"/>
        </w:rPr>
      </w:pPr>
    </w:p>
    <w:p w:rsidR="00887301" w:rsidRPr="006618C1" w:rsidRDefault="003E5FE5">
      <w:pPr>
        <w:widowControl w:val="0"/>
        <w:autoSpaceDE w:val="0"/>
        <w:autoSpaceDN w:val="0"/>
        <w:adjustRightInd w:val="0"/>
        <w:spacing w:after="240"/>
        <w:rPr>
          <w:rFonts w:cstheme="minorHAnsi"/>
          <w:sz w:val="20"/>
          <w:szCs w:val="20"/>
        </w:rPr>
      </w:pPr>
      <w:r w:rsidRPr="006618C1">
        <w:rPr>
          <w:rFonts w:cstheme="minorHAnsi"/>
          <w:sz w:val="20"/>
          <w:szCs w:val="20"/>
        </w:rPr>
        <w:t xml:space="preserve">Total score (maximum possible score 50) </w:t>
      </w:r>
    </w:p>
    <w:p w:rsidR="00887301" w:rsidRPr="006618C1" w:rsidRDefault="003E5FE5">
      <w:pPr>
        <w:widowControl w:val="0"/>
        <w:autoSpaceDE w:val="0"/>
        <w:autoSpaceDN w:val="0"/>
        <w:adjustRightInd w:val="0"/>
        <w:spacing w:after="240"/>
        <w:rPr>
          <w:rFonts w:cstheme="minorHAnsi"/>
          <w:sz w:val="20"/>
          <w:szCs w:val="20"/>
        </w:rPr>
      </w:pPr>
      <w:r w:rsidRPr="006618C1">
        <w:rPr>
          <w:rFonts w:cstheme="minorHAnsi"/>
          <w:sz w:val="20"/>
          <w:szCs w:val="20"/>
        </w:rPr>
        <w:t xml:space="preserve">*Moderate weakness for neck and limb items should be construed as weakness that equals roughly 50% plus or minus 15% of expected normal strength. Any weakness milder than that would be mild and any weakness more severe than that would be classified as severe. </w:t>
      </w:r>
    </w:p>
    <w:p w:rsidR="00887301" w:rsidRPr="006618C1" w:rsidRDefault="003E5FE5">
      <w:pPr>
        <w:widowControl w:val="0"/>
        <w:autoSpaceDE w:val="0"/>
        <w:autoSpaceDN w:val="0"/>
        <w:adjustRightInd w:val="0"/>
        <w:spacing w:after="240"/>
        <w:rPr>
          <w:rFonts w:cstheme="minorHAnsi"/>
          <w:sz w:val="20"/>
          <w:szCs w:val="20"/>
        </w:rPr>
      </w:pPr>
      <w:r w:rsidRPr="006618C1">
        <w:rPr>
          <w:rFonts w:cstheme="minorHAnsi"/>
          <w:sz w:val="20"/>
          <w:szCs w:val="20"/>
        </w:rPr>
        <w:t xml:space="preserve">The Myasthenia Gravis Composite score replicated from </w:t>
      </w:r>
      <w:hyperlink r:id="rId17" w:history="1">
        <w:r w:rsidRPr="006618C1">
          <w:rPr>
            <w:rFonts w:cstheme="minorHAnsi"/>
            <w:color w:val="0000FF"/>
            <w:sz w:val="20"/>
            <w:szCs w:val="20"/>
            <w:u w:val="single"/>
          </w:rPr>
          <w:t xml:space="preserve">Burns TM, Conaway M, </w:t>
        </w:r>
        <w:proofErr w:type="gramStart"/>
        <w:r w:rsidRPr="006618C1">
          <w:rPr>
            <w:rFonts w:cstheme="minorHAnsi"/>
            <w:color w:val="0000FF"/>
            <w:sz w:val="20"/>
            <w:szCs w:val="20"/>
            <w:u w:val="single"/>
          </w:rPr>
          <w:t>Sanders</w:t>
        </w:r>
        <w:proofErr w:type="gramEnd"/>
        <w:r w:rsidRPr="006618C1">
          <w:rPr>
            <w:rFonts w:cstheme="minorHAnsi"/>
            <w:color w:val="0000FF"/>
            <w:sz w:val="20"/>
            <w:szCs w:val="20"/>
            <w:u w:val="single"/>
          </w:rPr>
          <w:t xml:space="preserve"> DB. The MG composite: a valid and reliable outcome measure for myasthenia gravis. Neurology 2010 May 4; 74(18): 1434–40 Opens new window </w:t>
        </w:r>
      </w:hyperlink>
      <w:r w:rsidRPr="006618C1">
        <w:rPr>
          <w:rFonts w:cstheme="minorHAnsi"/>
          <w:sz w:val="20"/>
          <w:szCs w:val="20"/>
        </w:rPr>
        <w:t xml:space="preserve">with permission from </w:t>
      </w:r>
      <w:proofErr w:type="spellStart"/>
      <w:r w:rsidRPr="006618C1">
        <w:rPr>
          <w:rFonts w:cstheme="minorHAnsi"/>
          <w:sz w:val="20"/>
          <w:szCs w:val="20"/>
        </w:rPr>
        <w:t>T.M.Burns</w:t>
      </w:r>
      <w:proofErr w:type="spellEnd"/>
      <w:r w:rsidRPr="006618C1">
        <w:rPr>
          <w:rFonts w:cstheme="minorHAnsi"/>
          <w:sz w:val="20"/>
          <w:szCs w:val="20"/>
        </w:rPr>
        <w:t xml:space="preserve">, and located on the Ig governance website of </w:t>
      </w:r>
      <w:proofErr w:type="spellStart"/>
      <w:r w:rsidRPr="006618C1">
        <w:rPr>
          <w:rFonts w:cstheme="minorHAnsi"/>
          <w:sz w:val="20"/>
          <w:szCs w:val="20"/>
        </w:rPr>
        <w:t>BloodStar</w:t>
      </w:r>
      <w:proofErr w:type="spellEnd"/>
      <w:r w:rsidRPr="006618C1">
        <w:rPr>
          <w:rFonts w:cstheme="minorHAnsi"/>
          <w:sz w:val="20"/>
          <w:szCs w:val="20"/>
        </w:rPr>
        <w:t xml:space="preserve"> (National Blood Authority 2018)</w:t>
      </w:r>
    </w:p>
    <w:p w:rsidR="00887301" w:rsidRPr="006618C1" w:rsidRDefault="003E5FE5">
      <w:pPr>
        <w:widowControl w:val="0"/>
        <w:autoSpaceDE w:val="0"/>
        <w:autoSpaceDN w:val="0"/>
        <w:adjustRightInd w:val="0"/>
        <w:rPr>
          <w:rFonts w:cstheme="minorHAnsi"/>
          <w:sz w:val="24"/>
          <w:szCs w:val="24"/>
          <w:u w:val="single"/>
        </w:rPr>
      </w:pPr>
      <w:r w:rsidRPr="006618C1">
        <w:rPr>
          <w:rFonts w:cstheme="minorHAnsi"/>
          <w:sz w:val="24"/>
          <w:szCs w:val="24"/>
          <w:u w:val="single"/>
        </w:rPr>
        <w:t>References</w:t>
      </w:r>
    </w:p>
    <w:p w:rsidR="00887301" w:rsidRPr="006618C1" w:rsidRDefault="00887301">
      <w:pPr>
        <w:widowControl w:val="0"/>
        <w:autoSpaceDE w:val="0"/>
        <w:autoSpaceDN w:val="0"/>
        <w:adjustRightInd w:val="0"/>
        <w:rPr>
          <w:rFonts w:cstheme="minorHAnsi"/>
          <w:sz w:val="24"/>
          <w:szCs w:val="24"/>
        </w:rPr>
      </w:pPr>
    </w:p>
    <w:p w:rsidR="00887301" w:rsidRPr="006618C1" w:rsidRDefault="003E5FE5" w:rsidP="00895022">
      <w:pPr>
        <w:spacing w:after="240"/>
        <w:rPr>
          <w:rFonts w:cstheme="minorHAnsi"/>
        </w:rPr>
      </w:pPr>
      <w:r w:rsidRPr="006618C1">
        <w:rPr>
          <w:rFonts w:cstheme="minorHAnsi"/>
        </w:rPr>
        <w:t xml:space="preserve">Muscular Dystrophy Foundation Australia 2012, </w:t>
      </w:r>
      <w:r w:rsidRPr="006618C1">
        <w:rPr>
          <w:rFonts w:cstheme="minorHAnsi"/>
          <w:i/>
          <w:iCs/>
        </w:rPr>
        <w:t>Facts about Myasthenia Gravis</w:t>
      </w:r>
      <w:r w:rsidRPr="006618C1">
        <w:rPr>
          <w:rFonts w:cstheme="minorHAnsi"/>
        </w:rPr>
        <w:t>, viewed Jan 17 2019, &lt;</w:t>
      </w:r>
      <w:hyperlink r:id="rId18" w:history="1">
        <w:r w:rsidRPr="006618C1">
          <w:rPr>
            <w:rFonts w:cstheme="minorHAnsi"/>
          </w:rPr>
          <w:t>http://mdaustralia.org.au/wp-content/uploads/2012/07/011_myasthenia-gravis-2012.pdf</w:t>
        </w:r>
      </w:hyperlink>
      <w:r w:rsidRPr="006618C1">
        <w:rPr>
          <w:rFonts w:cstheme="minorHAnsi"/>
        </w:rPr>
        <w:t>&gt;.</w:t>
      </w:r>
    </w:p>
    <w:p w:rsidR="00887301" w:rsidRPr="006618C1" w:rsidRDefault="003E5FE5" w:rsidP="003A155E">
      <w:pPr>
        <w:spacing w:after="240"/>
        <w:ind w:right="85"/>
        <w:rPr>
          <w:rFonts w:cstheme="minorHAnsi"/>
          <w:sz w:val="24"/>
          <w:szCs w:val="24"/>
        </w:rPr>
      </w:pPr>
      <w:r w:rsidRPr="006618C1">
        <w:rPr>
          <w:rFonts w:cstheme="minorHAnsi"/>
          <w:sz w:val="24"/>
          <w:szCs w:val="24"/>
        </w:rPr>
        <w:t xml:space="preserve">National Blood Authority 2018, </w:t>
      </w:r>
      <w:r w:rsidRPr="006618C1">
        <w:rPr>
          <w:rFonts w:cstheme="minorHAnsi"/>
          <w:i/>
          <w:iCs/>
          <w:sz w:val="24"/>
          <w:szCs w:val="24"/>
        </w:rPr>
        <w:t>Criteria for the clinical use of immunoglobulin in Australia v3.0.1</w:t>
      </w:r>
      <w:r w:rsidRPr="006618C1">
        <w:rPr>
          <w:rFonts w:cstheme="minorHAnsi"/>
          <w:sz w:val="24"/>
          <w:szCs w:val="24"/>
        </w:rPr>
        <w:t>, National Blood Authority, viewed 16 Jan 2018, &lt;</w:t>
      </w:r>
      <w:hyperlink r:id="rId19" w:history="1">
        <w:r w:rsidRPr="006618C1">
          <w:rPr>
            <w:rFonts w:cstheme="minorHAnsi"/>
            <w:sz w:val="24"/>
            <w:szCs w:val="24"/>
          </w:rPr>
          <w:t>https://www.criteria.blood.gov.au/MedicalCondition/View/2549</w:t>
        </w:r>
      </w:hyperlink>
      <w:r w:rsidRPr="006618C1">
        <w:rPr>
          <w:rFonts w:cstheme="minorHAnsi"/>
          <w:sz w:val="24"/>
          <w:szCs w:val="24"/>
        </w:rPr>
        <w:t>&gt;.</w:t>
      </w:r>
    </w:p>
    <w:p w:rsidR="003A155E" w:rsidRPr="006618C1" w:rsidRDefault="003A155E">
      <w:pPr>
        <w:widowControl w:val="0"/>
        <w:autoSpaceDE w:val="0"/>
        <w:autoSpaceDN w:val="0"/>
        <w:adjustRightInd w:val="0"/>
        <w:spacing w:after="240"/>
        <w:rPr>
          <w:rFonts w:cstheme="minorHAnsi"/>
          <w:sz w:val="24"/>
          <w:szCs w:val="24"/>
        </w:rPr>
      </w:pPr>
      <w:r w:rsidRPr="006618C1">
        <w:rPr>
          <w:rFonts w:cstheme="minorHAnsi"/>
          <w:sz w:val="24"/>
          <w:szCs w:val="24"/>
        </w:rPr>
        <w:t xml:space="preserve">National Blood Authority 2016. </w:t>
      </w:r>
      <w:r w:rsidRPr="006618C1">
        <w:rPr>
          <w:rFonts w:cstheme="minorHAnsi"/>
          <w:i/>
          <w:sz w:val="24"/>
          <w:szCs w:val="24"/>
        </w:rPr>
        <w:t>Report on the Issue and Use of IVIg 2015-16,</w:t>
      </w:r>
      <w:r w:rsidRPr="006618C1">
        <w:rPr>
          <w:rFonts w:cstheme="minorHAnsi"/>
          <w:sz w:val="24"/>
          <w:szCs w:val="24"/>
        </w:rPr>
        <w:t xml:space="preserve"> viewed Jan 20 2019, https://www.blood.gov.au/data-analysis-reporting</w:t>
      </w:r>
    </w:p>
    <w:p w:rsidR="00887301" w:rsidRPr="006618C1" w:rsidRDefault="00887301">
      <w:pPr>
        <w:widowControl w:val="0"/>
        <w:autoSpaceDE w:val="0"/>
        <w:autoSpaceDN w:val="0"/>
        <w:adjustRightInd w:val="0"/>
        <w:spacing w:after="240"/>
        <w:rPr>
          <w:rFonts w:cstheme="minorHAnsi"/>
          <w:sz w:val="24"/>
          <w:szCs w:val="24"/>
        </w:rPr>
      </w:pPr>
    </w:p>
    <w:sectPr w:rsidR="00887301" w:rsidRPr="006618C1" w:rsidSect="0048356F">
      <w:footerReference w:type="default" r:id="rId20"/>
      <w:pgSz w:w="12240" w:h="15840"/>
      <w:pgMar w:top="1440" w:right="1440" w:bottom="1440" w:left="144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677A9" w16cid:durableId="202A6B34"/>
  <w16cid:commentId w16cid:paraId="32FC87B2" w16cid:durableId="202A6B60"/>
  <w16cid:commentId w16cid:paraId="7A115C26" w16cid:durableId="202A6BAF"/>
  <w16cid:commentId w16cid:paraId="3D9243D6" w16cid:durableId="202A6B35"/>
  <w16cid:commentId w16cid:paraId="37981AD9" w16cid:durableId="202A6BF9"/>
  <w16cid:commentId w16cid:paraId="2D11F7F7" w16cid:durableId="202A6B36"/>
  <w16cid:commentId w16cid:paraId="76882DF7" w16cid:durableId="202A6B37"/>
  <w16cid:commentId w16cid:paraId="2CC52F31" w16cid:durableId="202A6E83"/>
  <w16cid:commentId w16cid:paraId="712F89DD" w16cid:durableId="202A6B38"/>
  <w16cid:commentId w16cid:paraId="335C74ED" w16cid:durableId="202A6B39"/>
  <w16cid:commentId w16cid:paraId="17C01437" w16cid:durableId="202A6F02"/>
  <w16cid:commentId w16cid:paraId="4F534A2C" w16cid:durableId="202A70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02" w:rsidRDefault="00C43A02">
      <w:r>
        <w:separator/>
      </w:r>
    </w:p>
  </w:endnote>
  <w:endnote w:type="continuationSeparator" w:id="0">
    <w:p w:rsidR="00C43A02" w:rsidRDefault="00C4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48356F" w:rsidRDefault="00C43A02" w:rsidP="00C43A0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726C0" w:rsidRPr="004726C0">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p>
      <w:p w:rsidR="00C43A02" w:rsidRDefault="00C43A02" w:rsidP="00EE2A0C">
        <w:pPr>
          <w:pStyle w:val="Footer"/>
          <w:pBdr>
            <w:top w:val="single" w:sz="4" w:space="1" w:color="D9D9D9" w:themeColor="background1" w:themeShade="D9"/>
          </w:pBdr>
          <w:jc w:val="center"/>
          <w:rPr>
            <w:color w:val="808080" w:themeColor="background1" w:themeShade="80"/>
            <w:spacing w:val="60"/>
            <w:sz w:val="18"/>
            <w:szCs w:val="18"/>
          </w:rPr>
        </w:pPr>
        <w:r>
          <w:rPr>
            <w:color w:val="808080" w:themeColor="background1" w:themeShade="80"/>
            <w:spacing w:val="60"/>
            <w:sz w:val="18"/>
            <w:szCs w:val="18"/>
          </w:rPr>
          <w:t>PICO Confirmation</w:t>
        </w:r>
      </w:p>
      <w:p w:rsidR="00C43A02" w:rsidRPr="00CF2DFA" w:rsidRDefault="00C43A02" w:rsidP="00EE2A0C">
        <w:pPr>
          <w:pStyle w:val="Footer"/>
          <w:pBdr>
            <w:top w:val="single" w:sz="4" w:space="1" w:color="D9D9D9" w:themeColor="background1" w:themeShade="D9"/>
          </w:pBdr>
          <w:ind w:left="2410" w:hanging="2410"/>
          <w:jc w:val="center"/>
          <w:rPr>
            <w:b/>
            <w:bCs/>
            <w:sz w:val="18"/>
            <w:szCs w:val="18"/>
          </w:rPr>
        </w:pPr>
        <w:r>
          <w:rPr>
            <w:color w:val="808080" w:themeColor="background1" w:themeShade="80"/>
            <w:spacing w:val="60"/>
            <w:sz w:val="18"/>
            <w:szCs w:val="18"/>
          </w:rPr>
          <w:t>Application 1566: Myasthenia Gravis</w:t>
        </w:r>
      </w:p>
    </w:sdtContent>
  </w:sdt>
  <w:p w:rsidR="00C43A02" w:rsidRPr="001E28C0" w:rsidRDefault="00C43A02" w:rsidP="003416C5">
    <w:pPr>
      <w:widowControl w:val="0"/>
      <w:autoSpaceDE w:val="0"/>
      <w:autoSpaceDN w:val="0"/>
      <w:adjustRightInd w:val="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02" w:rsidRDefault="00C43A02">
      <w:r>
        <w:separator/>
      </w:r>
    </w:p>
  </w:footnote>
  <w:footnote w:type="continuationSeparator" w:id="0">
    <w:p w:rsidR="00C43A02" w:rsidRDefault="00C43A02">
      <w:r>
        <w:continuationSeparator/>
      </w:r>
    </w:p>
  </w:footnote>
  <w:footnote w:id="1">
    <w:p w:rsidR="00C43A02" w:rsidRPr="00A45D77" w:rsidRDefault="00C43A02">
      <w:pPr>
        <w:pStyle w:val="FootnoteText"/>
        <w:rPr>
          <w:sz w:val="16"/>
          <w:szCs w:val="16"/>
        </w:rPr>
      </w:pPr>
      <w:r w:rsidRPr="00A45D77">
        <w:rPr>
          <w:rStyle w:val="FootnoteReference"/>
          <w:sz w:val="16"/>
          <w:szCs w:val="16"/>
        </w:rPr>
        <w:footnoteRef/>
      </w:r>
      <w:r w:rsidRPr="00A45D77">
        <w:rPr>
          <w:sz w:val="16"/>
          <w:szCs w:val="16"/>
        </w:rPr>
        <w:t xml:space="preserve"> </w:t>
      </w:r>
      <w:r w:rsidRPr="00A45D77">
        <w:rPr>
          <w:color w:val="000000"/>
          <w:sz w:val="16"/>
          <w:szCs w:val="16"/>
        </w:rPr>
        <w:t>http://nationalstandards.safetyandquality.gov.au/7.-blood-management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0000004"/>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00000006"/>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41BADCC4"/>
    <w:lvl w:ilvl="0">
      <w:start w:val="1"/>
      <w:numFmt w:val="bullet"/>
      <w:lvlText w:val="·"/>
      <w:lvlJc w:val="left"/>
      <w:rPr>
        <w:rFonts w:ascii="Symbol" w:hAnsi="Symbol" w:cs="Symbo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00000008"/>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00000009"/>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B"/>
    <w:multiLevelType w:val="multilevel"/>
    <w:tmpl w:val="0000000B"/>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C"/>
    <w:multiLevelType w:val="multilevel"/>
    <w:tmpl w:val="0000000C"/>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0000000E"/>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F"/>
    <w:multiLevelType w:val="multilevel"/>
    <w:tmpl w:val="0000000F"/>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multilevel"/>
    <w:tmpl w:val="00000010"/>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1"/>
    <w:multiLevelType w:val="multilevel"/>
    <w:tmpl w:val="00000011"/>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2"/>
    <w:multiLevelType w:val="multilevel"/>
    <w:tmpl w:val="00000012"/>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3"/>
    <w:multiLevelType w:val="multilevel"/>
    <w:tmpl w:val="00000013"/>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4"/>
    <w:multiLevelType w:val="multilevel"/>
    <w:tmpl w:val="00000014"/>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5"/>
    <w:multiLevelType w:val="multilevel"/>
    <w:tmpl w:val="00000015"/>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6"/>
    <w:multiLevelType w:val="multilevel"/>
    <w:tmpl w:val="00000016"/>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7"/>
    <w:multiLevelType w:val="multilevel"/>
    <w:tmpl w:val="00000017"/>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8"/>
    <w:multiLevelType w:val="multilevel"/>
    <w:tmpl w:val="00000018"/>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9"/>
    <w:multiLevelType w:val="multilevel"/>
    <w:tmpl w:val="00000019"/>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1A"/>
    <w:multiLevelType w:val="multilevel"/>
    <w:tmpl w:val="0000001A"/>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B"/>
    <w:multiLevelType w:val="multilevel"/>
    <w:tmpl w:val="0000001B"/>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C"/>
    <w:multiLevelType w:val="multilevel"/>
    <w:tmpl w:val="0000001C"/>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37A2060"/>
    <w:multiLevelType w:val="multilevel"/>
    <w:tmpl w:val="41BADCC4"/>
    <w:lvl w:ilvl="0">
      <w:start w:val="1"/>
      <w:numFmt w:val="bullet"/>
      <w:lvlText w:val="·"/>
      <w:lvlJc w:val="left"/>
      <w:rPr>
        <w:rFonts w:ascii="Symbol" w:hAnsi="Symbol" w:cs="Symbo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9F5336C"/>
    <w:multiLevelType w:val="hybridMultilevel"/>
    <w:tmpl w:val="EEC2091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0B9E663C"/>
    <w:multiLevelType w:val="multilevel"/>
    <w:tmpl w:val="41BADCC4"/>
    <w:lvl w:ilvl="0">
      <w:start w:val="1"/>
      <w:numFmt w:val="bullet"/>
      <w:lvlText w:val="·"/>
      <w:lvlJc w:val="left"/>
      <w:rPr>
        <w:rFonts w:ascii="Symbol" w:hAnsi="Symbol" w:cs="Symbo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112D9C"/>
    <w:multiLevelType w:val="hybridMultilevel"/>
    <w:tmpl w:val="DC34675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C02467"/>
    <w:multiLevelType w:val="multilevel"/>
    <w:tmpl w:val="41BADCC4"/>
    <w:lvl w:ilvl="0">
      <w:start w:val="1"/>
      <w:numFmt w:val="bullet"/>
      <w:lvlText w:val="·"/>
      <w:lvlJc w:val="left"/>
      <w:rPr>
        <w:rFonts w:ascii="Symbol" w:hAnsi="Symbol" w:cs="Symbo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6B76C7"/>
    <w:multiLevelType w:val="hybridMultilevel"/>
    <w:tmpl w:val="8C10B1F6"/>
    <w:lvl w:ilvl="0" w:tplc="0C090001">
      <w:start w:val="1"/>
      <w:numFmt w:val="bullet"/>
      <w:lvlText w:val=""/>
      <w:lvlJc w:val="left"/>
      <w:pPr>
        <w:ind w:left="780" w:hanging="42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D303394"/>
    <w:multiLevelType w:val="hybridMultilevel"/>
    <w:tmpl w:val="D154F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EC3EA5"/>
    <w:multiLevelType w:val="hybridMultilevel"/>
    <w:tmpl w:val="DD3CCB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9906A19"/>
    <w:multiLevelType w:val="multilevel"/>
    <w:tmpl w:val="00000000"/>
    <w:lvl w:ilvl="0">
      <w:start w:val="1"/>
      <w:numFmt w:val="bullet"/>
      <w:lvlText w:val="·"/>
      <w:lvlJc w:val="left"/>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9F6315"/>
    <w:multiLevelType w:val="hybridMultilevel"/>
    <w:tmpl w:val="C1BCE0F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4EDA4573"/>
    <w:multiLevelType w:val="hybridMultilevel"/>
    <w:tmpl w:val="862CA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997605"/>
    <w:multiLevelType w:val="hybridMultilevel"/>
    <w:tmpl w:val="0392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C136B0"/>
    <w:multiLevelType w:val="hybridMultilevel"/>
    <w:tmpl w:val="960816FE"/>
    <w:lvl w:ilvl="0" w:tplc="0C090005">
      <w:start w:val="1"/>
      <w:numFmt w:val="bullet"/>
      <w:lvlText w:val=""/>
      <w:lvlJc w:val="left"/>
      <w:pPr>
        <w:ind w:left="1185" w:hanging="360"/>
      </w:pPr>
      <w:rPr>
        <w:rFonts w:ascii="Wingdings" w:hAnsi="Wingdings" w:hint="default"/>
      </w:rPr>
    </w:lvl>
    <w:lvl w:ilvl="1" w:tplc="0C090003">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39" w15:restartNumberingAfterBreak="0">
    <w:nsid w:val="563F67EC"/>
    <w:multiLevelType w:val="hybridMultilevel"/>
    <w:tmpl w:val="0AD0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FA3DB2"/>
    <w:multiLevelType w:val="hybridMultilevel"/>
    <w:tmpl w:val="140A3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5D44758"/>
    <w:multiLevelType w:val="multilevel"/>
    <w:tmpl w:val="41BADCC4"/>
    <w:lvl w:ilvl="0">
      <w:start w:val="1"/>
      <w:numFmt w:val="bullet"/>
      <w:lvlText w:val="·"/>
      <w:lvlJc w:val="left"/>
      <w:rPr>
        <w:rFonts w:ascii="Symbol" w:hAnsi="Symbol" w:cs="Symbo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0B1E1F"/>
    <w:multiLevelType w:val="hybridMultilevel"/>
    <w:tmpl w:val="7DC465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2D213B"/>
    <w:multiLevelType w:val="hybridMultilevel"/>
    <w:tmpl w:val="616CF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2C5C82"/>
    <w:multiLevelType w:val="hybridMultilevel"/>
    <w:tmpl w:val="151658B0"/>
    <w:lvl w:ilvl="0" w:tplc="0C090003">
      <w:start w:val="1"/>
      <w:numFmt w:val="bullet"/>
      <w:lvlText w:val="o"/>
      <w:lvlJc w:val="left"/>
      <w:pPr>
        <w:ind w:left="1071" w:hanging="360"/>
      </w:pPr>
      <w:rPr>
        <w:rFonts w:ascii="Courier New" w:hAnsi="Courier New" w:cs="Courier New" w:hint="default"/>
      </w:rPr>
    </w:lvl>
    <w:lvl w:ilvl="1" w:tplc="0C090003">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45" w15:restartNumberingAfterBreak="0">
    <w:nsid w:val="7276702A"/>
    <w:multiLevelType w:val="hybridMultilevel"/>
    <w:tmpl w:val="276CDB68"/>
    <w:lvl w:ilvl="0" w:tplc="0C090003">
      <w:start w:val="1"/>
      <w:numFmt w:val="bullet"/>
      <w:lvlText w:val="o"/>
      <w:lvlJc w:val="left"/>
      <w:pPr>
        <w:ind w:left="914" w:hanging="360"/>
      </w:pPr>
      <w:rPr>
        <w:rFonts w:ascii="Courier New" w:hAnsi="Courier New" w:cs="Courier New" w:hint="default"/>
      </w:rPr>
    </w:lvl>
    <w:lvl w:ilvl="1" w:tplc="0C090003" w:tentative="1">
      <w:start w:val="1"/>
      <w:numFmt w:val="bullet"/>
      <w:lvlText w:val="o"/>
      <w:lvlJc w:val="left"/>
      <w:pPr>
        <w:ind w:left="1634" w:hanging="360"/>
      </w:pPr>
      <w:rPr>
        <w:rFonts w:ascii="Courier New" w:hAnsi="Courier New" w:cs="Courier New" w:hint="default"/>
      </w:rPr>
    </w:lvl>
    <w:lvl w:ilvl="2" w:tplc="0C090005" w:tentative="1">
      <w:start w:val="1"/>
      <w:numFmt w:val="bullet"/>
      <w:lvlText w:val=""/>
      <w:lvlJc w:val="left"/>
      <w:pPr>
        <w:ind w:left="2354" w:hanging="360"/>
      </w:pPr>
      <w:rPr>
        <w:rFonts w:ascii="Wingdings" w:hAnsi="Wingdings" w:hint="default"/>
      </w:rPr>
    </w:lvl>
    <w:lvl w:ilvl="3" w:tplc="0C090001" w:tentative="1">
      <w:start w:val="1"/>
      <w:numFmt w:val="bullet"/>
      <w:lvlText w:val=""/>
      <w:lvlJc w:val="left"/>
      <w:pPr>
        <w:ind w:left="3074" w:hanging="360"/>
      </w:pPr>
      <w:rPr>
        <w:rFonts w:ascii="Symbol" w:hAnsi="Symbol" w:hint="default"/>
      </w:rPr>
    </w:lvl>
    <w:lvl w:ilvl="4" w:tplc="0C090003" w:tentative="1">
      <w:start w:val="1"/>
      <w:numFmt w:val="bullet"/>
      <w:lvlText w:val="o"/>
      <w:lvlJc w:val="left"/>
      <w:pPr>
        <w:ind w:left="3794" w:hanging="360"/>
      </w:pPr>
      <w:rPr>
        <w:rFonts w:ascii="Courier New" w:hAnsi="Courier New" w:cs="Courier New" w:hint="default"/>
      </w:rPr>
    </w:lvl>
    <w:lvl w:ilvl="5" w:tplc="0C090005" w:tentative="1">
      <w:start w:val="1"/>
      <w:numFmt w:val="bullet"/>
      <w:lvlText w:val=""/>
      <w:lvlJc w:val="left"/>
      <w:pPr>
        <w:ind w:left="4514" w:hanging="360"/>
      </w:pPr>
      <w:rPr>
        <w:rFonts w:ascii="Wingdings" w:hAnsi="Wingdings" w:hint="default"/>
      </w:rPr>
    </w:lvl>
    <w:lvl w:ilvl="6" w:tplc="0C090001" w:tentative="1">
      <w:start w:val="1"/>
      <w:numFmt w:val="bullet"/>
      <w:lvlText w:val=""/>
      <w:lvlJc w:val="left"/>
      <w:pPr>
        <w:ind w:left="5234" w:hanging="360"/>
      </w:pPr>
      <w:rPr>
        <w:rFonts w:ascii="Symbol" w:hAnsi="Symbol" w:hint="default"/>
      </w:rPr>
    </w:lvl>
    <w:lvl w:ilvl="7" w:tplc="0C090003" w:tentative="1">
      <w:start w:val="1"/>
      <w:numFmt w:val="bullet"/>
      <w:lvlText w:val="o"/>
      <w:lvlJc w:val="left"/>
      <w:pPr>
        <w:ind w:left="5954" w:hanging="360"/>
      </w:pPr>
      <w:rPr>
        <w:rFonts w:ascii="Courier New" w:hAnsi="Courier New" w:cs="Courier New" w:hint="default"/>
      </w:rPr>
    </w:lvl>
    <w:lvl w:ilvl="8" w:tplc="0C090005" w:tentative="1">
      <w:start w:val="1"/>
      <w:numFmt w:val="bullet"/>
      <w:lvlText w:val=""/>
      <w:lvlJc w:val="left"/>
      <w:pPr>
        <w:ind w:left="6674" w:hanging="360"/>
      </w:pPr>
      <w:rPr>
        <w:rFonts w:ascii="Wingdings" w:hAnsi="Wingdings" w:hint="default"/>
      </w:rPr>
    </w:lvl>
  </w:abstractNum>
  <w:abstractNum w:abstractNumId="46" w15:restartNumberingAfterBreak="0">
    <w:nsid w:val="77392585"/>
    <w:multiLevelType w:val="hybridMultilevel"/>
    <w:tmpl w:val="3A90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9E6EDB"/>
    <w:multiLevelType w:val="multilevel"/>
    <w:tmpl w:val="41BADCC4"/>
    <w:lvl w:ilvl="0">
      <w:start w:val="1"/>
      <w:numFmt w:val="bullet"/>
      <w:lvlText w:val="·"/>
      <w:lvlJc w:val="left"/>
      <w:rPr>
        <w:rFonts w:ascii="Symbol" w:hAnsi="Symbol" w:cs="Symbo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4"/>
  </w:num>
  <w:num w:numId="12">
    <w:abstractNumId w:val="9"/>
  </w:num>
  <w:num w:numId="13">
    <w:abstractNumId w:val="10"/>
  </w:num>
  <w:num w:numId="14">
    <w:abstractNumId w:val="34"/>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37"/>
  </w:num>
  <w:num w:numId="31">
    <w:abstractNumId w:val="39"/>
  </w:num>
  <w:num w:numId="32">
    <w:abstractNumId w:val="47"/>
  </w:num>
  <w:num w:numId="33">
    <w:abstractNumId w:val="26"/>
  </w:num>
  <w:num w:numId="34">
    <w:abstractNumId w:val="30"/>
  </w:num>
  <w:num w:numId="35">
    <w:abstractNumId w:val="41"/>
  </w:num>
  <w:num w:numId="36">
    <w:abstractNumId w:val="28"/>
  </w:num>
  <w:num w:numId="37">
    <w:abstractNumId w:val="35"/>
  </w:num>
  <w:num w:numId="38">
    <w:abstractNumId w:val="38"/>
  </w:num>
  <w:num w:numId="39">
    <w:abstractNumId w:val="31"/>
  </w:num>
  <w:num w:numId="40">
    <w:abstractNumId w:val="44"/>
  </w:num>
  <w:num w:numId="41">
    <w:abstractNumId w:val="33"/>
  </w:num>
  <w:num w:numId="42">
    <w:abstractNumId w:val="27"/>
  </w:num>
  <w:num w:numId="43">
    <w:abstractNumId w:val="42"/>
  </w:num>
  <w:num w:numId="44">
    <w:abstractNumId w:val="43"/>
  </w:num>
  <w:num w:numId="45">
    <w:abstractNumId w:val="40"/>
  </w:num>
  <w:num w:numId="46">
    <w:abstractNumId w:val="46"/>
  </w:num>
  <w:num w:numId="47">
    <w:abstractNumId w:val="36"/>
  </w:num>
  <w:num w:numId="48">
    <w:abstractNumId w:val="45"/>
  </w:num>
  <w:num w:numId="49">
    <w:abstractNumId w:val="3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B6"/>
    <w:rsid w:val="0002674E"/>
    <w:rsid w:val="00057EBA"/>
    <w:rsid w:val="00087AD8"/>
    <w:rsid w:val="000A222C"/>
    <w:rsid w:val="000C2D9D"/>
    <w:rsid w:val="00105B47"/>
    <w:rsid w:val="00106D6C"/>
    <w:rsid w:val="001257BC"/>
    <w:rsid w:val="00127A2A"/>
    <w:rsid w:val="0013607A"/>
    <w:rsid w:val="00155EE1"/>
    <w:rsid w:val="00156ACE"/>
    <w:rsid w:val="00160FF7"/>
    <w:rsid w:val="001934E9"/>
    <w:rsid w:val="00194185"/>
    <w:rsid w:val="00194E39"/>
    <w:rsid w:val="001C10BC"/>
    <w:rsid w:val="001E28C0"/>
    <w:rsid w:val="001E347B"/>
    <w:rsid w:val="001F2AE2"/>
    <w:rsid w:val="00207531"/>
    <w:rsid w:val="002262BD"/>
    <w:rsid w:val="00226E4B"/>
    <w:rsid w:val="00257138"/>
    <w:rsid w:val="00262A25"/>
    <w:rsid w:val="002B7C22"/>
    <w:rsid w:val="002E5123"/>
    <w:rsid w:val="003044BC"/>
    <w:rsid w:val="00337856"/>
    <w:rsid w:val="003416C5"/>
    <w:rsid w:val="00344FB0"/>
    <w:rsid w:val="00352C42"/>
    <w:rsid w:val="00356909"/>
    <w:rsid w:val="00387FBB"/>
    <w:rsid w:val="003970FC"/>
    <w:rsid w:val="003A155E"/>
    <w:rsid w:val="003A18CD"/>
    <w:rsid w:val="003A6400"/>
    <w:rsid w:val="003B38AE"/>
    <w:rsid w:val="003E4342"/>
    <w:rsid w:val="003E5566"/>
    <w:rsid w:val="003E5FE5"/>
    <w:rsid w:val="00400D8F"/>
    <w:rsid w:val="00402D39"/>
    <w:rsid w:val="004038B6"/>
    <w:rsid w:val="00425CD3"/>
    <w:rsid w:val="0047096E"/>
    <w:rsid w:val="004726C0"/>
    <w:rsid w:val="004748AB"/>
    <w:rsid w:val="0048356F"/>
    <w:rsid w:val="004A5EF5"/>
    <w:rsid w:val="004B3E20"/>
    <w:rsid w:val="00544D6F"/>
    <w:rsid w:val="00553C9F"/>
    <w:rsid w:val="005640B4"/>
    <w:rsid w:val="00581203"/>
    <w:rsid w:val="005A2C3F"/>
    <w:rsid w:val="005D1FC8"/>
    <w:rsid w:val="005E0258"/>
    <w:rsid w:val="005F38C8"/>
    <w:rsid w:val="005F7865"/>
    <w:rsid w:val="0061440C"/>
    <w:rsid w:val="00635E73"/>
    <w:rsid w:val="006515DA"/>
    <w:rsid w:val="006527BD"/>
    <w:rsid w:val="006618C1"/>
    <w:rsid w:val="006B0E59"/>
    <w:rsid w:val="006B44F3"/>
    <w:rsid w:val="006D21CD"/>
    <w:rsid w:val="0070654B"/>
    <w:rsid w:val="0071464C"/>
    <w:rsid w:val="007319B3"/>
    <w:rsid w:val="00805594"/>
    <w:rsid w:val="00846450"/>
    <w:rsid w:val="008630D7"/>
    <w:rsid w:val="00887301"/>
    <w:rsid w:val="00895022"/>
    <w:rsid w:val="008A4416"/>
    <w:rsid w:val="008B1D74"/>
    <w:rsid w:val="008B7B39"/>
    <w:rsid w:val="008D6512"/>
    <w:rsid w:val="008D7773"/>
    <w:rsid w:val="00914606"/>
    <w:rsid w:val="00924802"/>
    <w:rsid w:val="0092692F"/>
    <w:rsid w:val="00932893"/>
    <w:rsid w:val="00970715"/>
    <w:rsid w:val="009E2E46"/>
    <w:rsid w:val="00A13293"/>
    <w:rsid w:val="00A13C2F"/>
    <w:rsid w:val="00A21165"/>
    <w:rsid w:val="00A312AF"/>
    <w:rsid w:val="00A4150B"/>
    <w:rsid w:val="00A45D77"/>
    <w:rsid w:val="00A571E4"/>
    <w:rsid w:val="00A837B7"/>
    <w:rsid w:val="00AC1DCE"/>
    <w:rsid w:val="00AE0657"/>
    <w:rsid w:val="00B001D9"/>
    <w:rsid w:val="00B54354"/>
    <w:rsid w:val="00B5688B"/>
    <w:rsid w:val="00B62370"/>
    <w:rsid w:val="00BB43CC"/>
    <w:rsid w:val="00BB7C1C"/>
    <w:rsid w:val="00BC75B6"/>
    <w:rsid w:val="00BD2E25"/>
    <w:rsid w:val="00BE444A"/>
    <w:rsid w:val="00C13612"/>
    <w:rsid w:val="00C1627A"/>
    <w:rsid w:val="00C43643"/>
    <w:rsid w:val="00C43A02"/>
    <w:rsid w:val="00C45DC3"/>
    <w:rsid w:val="00C95AEF"/>
    <w:rsid w:val="00C97BEB"/>
    <w:rsid w:val="00CB27A2"/>
    <w:rsid w:val="00CB2B4B"/>
    <w:rsid w:val="00CB5E37"/>
    <w:rsid w:val="00D34C35"/>
    <w:rsid w:val="00D50544"/>
    <w:rsid w:val="00D55D90"/>
    <w:rsid w:val="00D73510"/>
    <w:rsid w:val="00D969AA"/>
    <w:rsid w:val="00DC2517"/>
    <w:rsid w:val="00DD0BAD"/>
    <w:rsid w:val="00DD78BB"/>
    <w:rsid w:val="00DE3BEE"/>
    <w:rsid w:val="00E27227"/>
    <w:rsid w:val="00E46741"/>
    <w:rsid w:val="00E7225A"/>
    <w:rsid w:val="00E82E6B"/>
    <w:rsid w:val="00EC0526"/>
    <w:rsid w:val="00EC63C6"/>
    <w:rsid w:val="00ED00BE"/>
    <w:rsid w:val="00EE27DD"/>
    <w:rsid w:val="00EE2A0C"/>
    <w:rsid w:val="00F0386E"/>
    <w:rsid w:val="00F14DFB"/>
    <w:rsid w:val="00FD4E33"/>
    <w:rsid w:val="00FF2B91"/>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F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Narrow" w:hAnsiTheme="minorHAnsi" w:cstheme="minorBidi"/>
        <w:sz w:val="22"/>
        <w:szCs w:val="22"/>
        <w:lang w:val="en-US" w:eastAsia="en-US" w:bidi="ar-SA"/>
      </w:rPr>
    </w:rPrDefault>
    <w:pPrDefault>
      <w:pPr>
        <w:ind w:righ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970715"/>
    <w:pPr>
      <w:jc w:val="both"/>
      <w:outlineLvl w:val="0"/>
    </w:pPr>
    <w:rPr>
      <w:b w:val="0"/>
      <w:bCs/>
      <w:i/>
      <w:color w:val="548DD4"/>
    </w:rPr>
  </w:style>
  <w:style w:type="paragraph" w:styleId="Heading2">
    <w:name w:val="heading 2"/>
    <w:basedOn w:val="Normal"/>
    <w:next w:val="Normal"/>
    <w:link w:val="Heading2Char"/>
    <w:uiPriority w:val="9"/>
    <w:qFormat/>
    <w:rsid w:val="00970715"/>
    <w:pPr>
      <w:spacing w:after="200" w:line="276" w:lineRule="auto"/>
      <w:ind w:right="0"/>
      <w:outlineLvl w:val="1"/>
    </w:pPr>
    <w:rPr>
      <w:rFonts w:ascii="Calibri" w:eastAsia="Calibri" w:hAnsi="Calibri" w:cs="Times New Roman"/>
      <w:b/>
      <w:sz w:val="26"/>
      <w:lang w:val="en-AU"/>
    </w:rPr>
  </w:style>
  <w:style w:type="paragraph" w:styleId="Heading3">
    <w:name w:val="heading 3"/>
    <w:basedOn w:val="Normal"/>
    <w:next w:val="Normal"/>
    <w:link w:val="Heading3Char"/>
    <w:uiPriority w:val="9"/>
    <w:unhideWhenUsed/>
    <w:qFormat/>
    <w:rsid w:val="00970715"/>
    <w:pPr>
      <w:keepNext/>
      <w:spacing w:after="120" w:line="276" w:lineRule="auto"/>
      <w:ind w:right="0"/>
      <w:outlineLvl w:val="2"/>
    </w:pPr>
    <w:rPr>
      <w:rFonts w:ascii="Calibri" w:eastAsia="Calibri" w:hAnsi="Calibri" w:cs="Times New Roman"/>
      <w:i/>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ACE"/>
    <w:rPr>
      <w:rFonts w:ascii="Tahoma" w:hAnsi="Tahoma" w:cs="Tahoma"/>
      <w:sz w:val="16"/>
      <w:szCs w:val="16"/>
    </w:rPr>
  </w:style>
  <w:style w:type="character" w:customStyle="1" w:styleId="BalloonTextChar">
    <w:name w:val="Balloon Text Char"/>
    <w:basedOn w:val="DefaultParagraphFont"/>
    <w:link w:val="BalloonText"/>
    <w:uiPriority w:val="99"/>
    <w:semiHidden/>
    <w:rsid w:val="00156ACE"/>
    <w:rPr>
      <w:rFonts w:ascii="Tahoma" w:eastAsiaTheme="minorEastAsia" w:hAnsi="Tahoma" w:cs="Tahoma"/>
      <w:sz w:val="16"/>
      <w:szCs w:val="16"/>
    </w:rPr>
  </w:style>
  <w:style w:type="paragraph" w:customStyle="1" w:styleId="Caption1">
    <w:name w:val="Caption1"/>
    <w:basedOn w:val="Normal"/>
    <w:link w:val="captionChar"/>
    <w:qFormat/>
    <w:rsid w:val="00805594"/>
    <w:pPr>
      <w:widowControl w:val="0"/>
      <w:autoSpaceDE w:val="0"/>
      <w:autoSpaceDN w:val="0"/>
      <w:adjustRightInd w:val="0"/>
      <w:spacing w:after="240"/>
    </w:pPr>
    <w:rPr>
      <w:rFonts w:ascii="Arial Narrow" w:hAnsi="Arial Narrow" w:cs="Arial"/>
      <w:b/>
      <w:bCs/>
      <w:sz w:val="20"/>
    </w:rPr>
  </w:style>
  <w:style w:type="paragraph" w:styleId="ListParagraph">
    <w:name w:val="List Paragraph"/>
    <w:basedOn w:val="Normal"/>
    <w:link w:val="ListParagraphChar"/>
    <w:uiPriority w:val="34"/>
    <w:qFormat/>
    <w:rsid w:val="00805594"/>
    <w:pPr>
      <w:ind w:left="720"/>
      <w:contextualSpacing/>
    </w:pPr>
  </w:style>
  <w:style w:type="character" w:customStyle="1" w:styleId="captionChar">
    <w:name w:val="caption Char"/>
    <w:basedOn w:val="DefaultParagraphFont"/>
    <w:link w:val="Caption1"/>
    <w:rsid w:val="00805594"/>
    <w:rPr>
      <w:rFonts w:ascii="Arial Narrow" w:hAnsi="Arial Narrow" w:cs="Arial"/>
      <w:b/>
      <w:bCs/>
      <w:sz w:val="20"/>
    </w:rPr>
  </w:style>
  <w:style w:type="paragraph" w:customStyle="1" w:styleId="tabletext">
    <w:name w:val="table text"/>
    <w:basedOn w:val="Normal"/>
    <w:link w:val="tabletextChar"/>
    <w:qFormat/>
    <w:rsid w:val="00A45D77"/>
    <w:pPr>
      <w:spacing w:before="120" w:after="120"/>
    </w:pPr>
    <w:rPr>
      <w:rFonts w:ascii="Arial Narrow" w:hAnsi="Arial Narrow"/>
      <w:sz w:val="18"/>
      <w:szCs w:val="18"/>
    </w:rPr>
  </w:style>
  <w:style w:type="paragraph" w:styleId="FootnoteText">
    <w:name w:val="footnote text"/>
    <w:basedOn w:val="Normal"/>
    <w:link w:val="FootnoteTextChar"/>
    <w:uiPriority w:val="99"/>
    <w:semiHidden/>
    <w:unhideWhenUsed/>
    <w:rsid w:val="00A45D77"/>
    <w:rPr>
      <w:sz w:val="20"/>
      <w:szCs w:val="20"/>
    </w:rPr>
  </w:style>
  <w:style w:type="character" w:customStyle="1" w:styleId="tabletextChar">
    <w:name w:val="table text Char"/>
    <w:basedOn w:val="DefaultParagraphFont"/>
    <w:link w:val="tabletext"/>
    <w:rsid w:val="00A45D77"/>
    <w:rPr>
      <w:rFonts w:ascii="Arial Narrow" w:hAnsi="Arial Narrow"/>
      <w:sz w:val="18"/>
      <w:szCs w:val="18"/>
    </w:rPr>
  </w:style>
  <w:style w:type="character" w:customStyle="1" w:styleId="FootnoteTextChar">
    <w:name w:val="Footnote Text Char"/>
    <w:basedOn w:val="DefaultParagraphFont"/>
    <w:link w:val="FootnoteText"/>
    <w:uiPriority w:val="99"/>
    <w:semiHidden/>
    <w:rsid w:val="00A45D77"/>
    <w:rPr>
      <w:rFonts w:eastAsiaTheme="minorEastAsia"/>
      <w:sz w:val="20"/>
      <w:szCs w:val="20"/>
    </w:rPr>
  </w:style>
  <w:style w:type="character" w:styleId="FootnoteReference">
    <w:name w:val="footnote reference"/>
    <w:basedOn w:val="DefaultParagraphFont"/>
    <w:uiPriority w:val="99"/>
    <w:semiHidden/>
    <w:unhideWhenUsed/>
    <w:rsid w:val="00A45D77"/>
    <w:rPr>
      <w:vertAlign w:val="superscript"/>
    </w:rPr>
  </w:style>
  <w:style w:type="table" w:styleId="TableGrid">
    <w:name w:val="Table Grid"/>
    <w:basedOn w:val="TableNormal"/>
    <w:uiPriority w:val="59"/>
    <w:rsid w:val="001257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A18CD"/>
    <w:pPr>
      <w:tabs>
        <w:tab w:val="center" w:pos="4680"/>
        <w:tab w:val="right" w:pos="9360"/>
      </w:tabs>
    </w:pPr>
  </w:style>
  <w:style w:type="character" w:customStyle="1" w:styleId="HeaderChar">
    <w:name w:val="Header Char"/>
    <w:basedOn w:val="DefaultParagraphFont"/>
    <w:link w:val="Header"/>
    <w:uiPriority w:val="99"/>
    <w:rsid w:val="003A18CD"/>
  </w:style>
  <w:style w:type="paragraph" w:styleId="Footer">
    <w:name w:val="footer"/>
    <w:basedOn w:val="Normal"/>
    <w:link w:val="FooterChar"/>
    <w:uiPriority w:val="99"/>
    <w:unhideWhenUsed/>
    <w:rsid w:val="003A18CD"/>
    <w:pPr>
      <w:tabs>
        <w:tab w:val="center" w:pos="4680"/>
        <w:tab w:val="right" w:pos="9360"/>
      </w:tabs>
    </w:pPr>
  </w:style>
  <w:style w:type="character" w:customStyle="1" w:styleId="FooterChar">
    <w:name w:val="Footer Char"/>
    <w:basedOn w:val="DefaultParagraphFont"/>
    <w:link w:val="Footer"/>
    <w:uiPriority w:val="99"/>
    <w:rsid w:val="003A18CD"/>
  </w:style>
  <w:style w:type="character" w:customStyle="1" w:styleId="ListParagraphChar">
    <w:name w:val="List Paragraph Char"/>
    <w:link w:val="ListParagraph"/>
    <w:uiPriority w:val="34"/>
    <w:rsid w:val="00544D6F"/>
  </w:style>
  <w:style w:type="character" w:styleId="CommentReference">
    <w:name w:val="annotation reference"/>
    <w:basedOn w:val="DefaultParagraphFont"/>
    <w:uiPriority w:val="99"/>
    <w:semiHidden/>
    <w:unhideWhenUsed/>
    <w:rsid w:val="003E5566"/>
    <w:rPr>
      <w:sz w:val="16"/>
      <w:szCs w:val="16"/>
    </w:rPr>
  </w:style>
  <w:style w:type="paragraph" w:styleId="CommentText">
    <w:name w:val="annotation text"/>
    <w:basedOn w:val="Normal"/>
    <w:link w:val="CommentTextChar"/>
    <w:uiPriority w:val="99"/>
    <w:unhideWhenUsed/>
    <w:rsid w:val="003E5566"/>
    <w:rPr>
      <w:sz w:val="20"/>
      <w:szCs w:val="20"/>
    </w:rPr>
  </w:style>
  <w:style w:type="character" w:customStyle="1" w:styleId="CommentTextChar">
    <w:name w:val="Comment Text Char"/>
    <w:basedOn w:val="DefaultParagraphFont"/>
    <w:link w:val="CommentText"/>
    <w:uiPriority w:val="99"/>
    <w:rsid w:val="003E5566"/>
    <w:rPr>
      <w:sz w:val="20"/>
      <w:szCs w:val="20"/>
    </w:rPr>
  </w:style>
  <w:style w:type="paragraph" w:styleId="CommentSubject">
    <w:name w:val="annotation subject"/>
    <w:basedOn w:val="CommentText"/>
    <w:next w:val="CommentText"/>
    <w:link w:val="CommentSubjectChar"/>
    <w:uiPriority w:val="99"/>
    <w:semiHidden/>
    <w:unhideWhenUsed/>
    <w:rsid w:val="003E5566"/>
    <w:rPr>
      <w:b/>
      <w:bCs/>
    </w:rPr>
  </w:style>
  <w:style w:type="character" w:customStyle="1" w:styleId="CommentSubjectChar">
    <w:name w:val="Comment Subject Char"/>
    <w:basedOn w:val="CommentTextChar"/>
    <w:link w:val="CommentSubject"/>
    <w:uiPriority w:val="99"/>
    <w:semiHidden/>
    <w:rsid w:val="003E5566"/>
    <w:rPr>
      <w:b/>
      <w:bCs/>
      <w:sz w:val="20"/>
      <w:szCs w:val="20"/>
    </w:rPr>
  </w:style>
  <w:style w:type="character" w:customStyle="1" w:styleId="TablecontentsChar">
    <w:name w:val="Table contents Char"/>
    <w:basedOn w:val="DefaultParagraphFont"/>
    <w:link w:val="Tablecontents"/>
    <w:locked/>
    <w:rsid w:val="00BB7C1C"/>
    <w:rPr>
      <w:rFonts w:ascii="Arial Narrow" w:hAnsi="Arial Narrow"/>
    </w:rPr>
  </w:style>
  <w:style w:type="paragraph" w:customStyle="1" w:styleId="Tablecontents">
    <w:name w:val="Table contents"/>
    <w:basedOn w:val="Normal"/>
    <w:link w:val="TablecontentsChar"/>
    <w:qFormat/>
    <w:rsid w:val="00BB7C1C"/>
    <w:pPr>
      <w:spacing w:before="60" w:after="60"/>
      <w:ind w:right="0"/>
      <w:contextualSpacing/>
    </w:pPr>
    <w:rPr>
      <w:rFonts w:ascii="Arial Narrow" w:hAnsi="Arial Narrow"/>
    </w:rPr>
  </w:style>
  <w:style w:type="table" w:customStyle="1" w:styleId="TableGrid1">
    <w:name w:val="Table Grid1"/>
    <w:basedOn w:val="TableNormal"/>
    <w:next w:val="TableGrid"/>
    <w:uiPriority w:val="59"/>
    <w:rsid w:val="00356909"/>
    <w:pPr>
      <w:spacing w:after="240"/>
      <w:ind w:left="720" w:right="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356909"/>
    <w:pPr>
      <w:spacing w:after="240"/>
      <w:ind w:left="720" w:right="0"/>
      <w:jc w:val="right"/>
    </w:pPr>
    <w:rPr>
      <w:rFonts w:ascii="Arial" w:eastAsia="Times New Roman" w:hAnsi="Arial" w:cs="Times New Roman"/>
      <w:b/>
      <w:color w:val="000000"/>
      <w:sz w:val="40"/>
      <w:szCs w:val="20"/>
      <w:lang w:val="en-AU" w:eastAsia="en-AU"/>
    </w:rPr>
  </w:style>
  <w:style w:type="character" w:customStyle="1" w:styleId="Heading1Char">
    <w:name w:val="Heading 1 Char"/>
    <w:basedOn w:val="DefaultParagraphFont"/>
    <w:link w:val="Heading1"/>
    <w:uiPriority w:val="9"/>
    <w:rsid w:val="00970715"/>
    <w:rPr>
      <w:rFonts w:ascii="Calibri" w:eastAsia="Calibri" w:hAnsi="Calibri" w:cs="Times New Roman"/>
      <w:b/>
      <w:bCs/>
      <w:i/>
      <w:color w:val="548DD4"/>
      <w:sz w:val="26"/>
      <w:lang w:val="en-AU"/>
    </w:rPr>
  </w:style>
  <w:style w:type="character" w:customStyle="1" w:styleId="Heading2Char">
    <w:name w:val="Heading 2 Char"/>
    <w:basedOn w:val="DefaultParagraphFont"/>
    <w:link w:val="Heading2"/>
    <w:uiPriority w:val="9"/>
    <w:rsid w:val="00970715"/>
    <w:rPr>
      <w:rFonts w:ascii="Calibri" w:eastAsia="Calibri" w:hAnsi="Calibri" w:cs="Times New Roman"/>
      <w:b/>
      <w:sz w:val="26"/>
      <w:lang w:val="en-AU"/>
    </w:rPr>
  </w:style>
  <w:style w:type="character" w:customStyle="1" w:styleId="Heading3Char">
    <w:name w:val="Heading 3 Char"/>
    <w:basedOn w:val="DefaultParagraphFont"/>
    <w:link w:val="Heading3"/>
    <w:uiPriority w:val="9"/>
    <w:rsid w:val="00970715"/>
    <w:rPr>
      <w:rFonts w:ascii="Calibri" w:eastAsia="Calibri" w:hAnsi="Calibri" w:cs="Times New Roman"/>
      <w:i/>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79">
      <w:bodyDiv w:val="1"/>
      <w:marLeft w:val="0"/>
      <w:marRight w:val="0"/>
      <w:marTop w:val="0"/>
      <w:marBottom w:val="0"/>
      <w:divBdr>
        <w:top w:val="none" w:sz="0" w:space="0" w:color="auto"/>
        <w:left w:val="none" w:sz="0" w:space="0" w:color="auto"/>
        <w:bottom w:val="none" w:sz="0" w:space="0" w:color="auto"/>
        <w:right w:val="none" w:sz="0" w:space="0" w:color="auto"/>
      </w:divBdr>
    </w:div>
    <w:div w:id="94177301">
      <w:bodyDiv w:val="1"/>
      <w:marLeft w:val="0"/>
      <w:marRight w:val="0"/>
      <w:marTop w:val="0"/>
      <w:marBottom w:val="0"/>
      <w:divBdr>
        <w:top w:val="none" w:sz="0" w:space="0" w:color="auto"/>
        <w:left w:val="none" w:sz="0" w:space="0" w:color="auto"/>
        <w:bottom w:val="none" w:sz="0" w:space="0" w:color="auto"/>
        <w:right w:val="none" w:sz="0" w:space="0" w:color="auto"/>
      </w:divBdr>
    </w:div>
    <w:div w:id="98719353">
      <w:bodyDiv w:val="1"/>
      <w:marLeft w:val="0"/>
      <w:marRight w:val="0"/>
      <w:marTop w:val="0"/>
      <w:marBottom w:val="0"/>
      <w:divBdr>
        <w:top w:val="none" w:sz="0" w:space="0" w:color="auto"/>
        <w:left w:val="none" w:sz="0" w:space="0" w:color="auto"/>
        <w:bottom w:val="none" w:sz="0" w:space="0" w:color="auto"/>
        <w:right w:val="none" w:sz="0" w:space="0" w:color="auto"/>
      </w:divBdr>
    </w:div>
    <w:div w:id="169026278">
      <w:bodyDiv w:val="1"/>
      <w:marLeft w:val="0"/>
      <w:marRight w:val="0"/>
      <w:marTop w:val="0"/>
      <w:marBottom w:val="0"/>
      <w:divBdr>
        <w:top w:val="none" w:sz="0" w:space="0" w:color="auto"/>
        <w:left w:val="none" w:sz="0" w:space="0" w:color="auto"/>
        <w:bottom w:val="none" w:sz="0" w:space="0" w:color="auto"/>
        <w:right w:val="none" w:sz="0" w:space="0" w:color="auto"/>
      </w:divBdr>
    </w:div>
    <w:div w:id="254367399">
      <w:bodyDiv w:val="1"/>
      <w:marLeft w:val="0"/>
      <w:marRight w:val="0"/>
      <w:marTop w:val="0"/>
      <w:marBottom w:val="0"/>
      <w:divBdr>
        <w:top w:val="none" w:sz="0" w:space="0" w:color="auto"/>
        <w:left w:val="none" w:sz="0" w:space="0" w:color="auto"/>
        <w:bottom w:val="none" w:sz="0" w:space="0" w:color="auto"/>
        <w:right w:val="none" w:sz="0" w:space="0" w:color="auto"/>
      </w:divBdr>
    </w:div>
    <w:div w:id="336420323">
      <w:bodyDiv w:val="1"/>
      <w:marLeft w:val="0"/>
      <w:marRight w:val="0"/>
      <w:marTop w:val="0"/>
      <w:marBottom w:val="0"/>
      <w:divBdr>
        <w:top w:val="none" w:sz="0" w:space="0" w:color="auto"/>
        <w:left w:val="none" w:sz="0" w:space="0" w:color="auto"/>
        <w:bottom w:val="none" w:sz="0" w:space="0" w:color="auto"/>
        <w:right w:val="none" w:sz="0" w:space="0" w:color="auto"/>
      </w:divBdr>
    </w:div>
    <w:div w:id="410859657">
      <w:bodyDiv w:val="1"/>
      <w:marLeft w:val="0"/>
      <w:marRight w:val="0"/>
      <w:marTop w:val="0"/>
      <w:marBottom w:val="0"/>
      <w:divBdr>
        <w:top w:val="none" w:sz="0" w:space="0" w:color="auto"/>
        <w:left w:val="none" w:sz="0" w:space="0" w:color="auto"/>
        <w:bottom w:val="none" w:sz="0" w:space="0" w:color="auto"/>
        <w:right w:val="none" w:sz="0" w:space="0" w:color="auto"/>
      </w:divBdr>
    </w:div>
    <w:div w:id="611789529">
      <w:bodyDiv w:val="1"/>
      <w:marLeft w:val="0"/>
      <w:marRight w:val="0"/>
      <w:marTop w:val="0"/>
      <w:marBottom w:val="0"/>
      <w:divBdr>
        <w:top w:val="none" w:sz="0" w:space="0" w:color="auto"/>
        <w:left w:val="none" w:sz="0" w:space="0" w:color="auto"/>
        <w:bottom w:val="none" w:sz="0" w:space="0" w:color="auto"/>
        <w:right w:val="none" w:sz="0" w:space="0" w:color="auto"/>
      </w:divBdr>
    </w:div>
    <w:div w:id="1206603898">
      <w:bodyDiv w:val="1"/>
      <w:marLeft w:val="0"/>
      <w:marRight w:val="0"/>
      <w:marTop w:val="0"/>
      <w:marBottom w:val="0"/>
      <w:divBdr>
        <w:top w:val="none" w:sz="0" w:space="0" w:color="auto"/>
        <w:left w:val="none" w:sz="0" w:space="0" w:color="auto"/>
        <w:bottom w:val="none" w:sz="0" w:space="0" w:color="auto"/>
        <w:right w:val="none" w:sz="0" w:space="0" w:color="auto"/>
      </w:divBdr>
    </w:div>
    <w:div w:id="16772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iteria.blood.gov.au/NeurologicalScales" TargetMode="External"/><Relationship Id="rId18" Type="http://schemas.openxmlformats.org/officeDocument/2006/relationships/hyperlink" Target="http://mdaustralia.org.au/wp-content/uploads/2012/07/011_myasthenia-gravis-2012.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riteria.blood.gov.au/NeurologicalScales" TargetMode="External"/><Relationship Id="rId17" Type="http://schemas.openxmlformats.org/officeDocument/2006/relationships/hyperlink" Target="https://www.ncbi.nlm.nih.gov/pmc/articles/PMC3462556/"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teria.blood.gov.au/NeurologicalScales"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msac.gov.au/" TargetMode="External"/><Relationship Id="rId19" Type="http://schemas.openxmlformats.org/officeDocument/2006/relationships/hyperlink" Target="https://www.criteria.blood.gov.au/MedicalCondition/View/2549"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36EE-508A-4F0D-A7BC-D1254842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5541</Words>
  <Characters>31224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2019-05-30T00:14:00Z</dcterms:created>
  <dcterms:modified xsi:type="dcterms:W3CDTF">2019-05-30T00:15:00Z</dcterms:modified>
</cp:coreProperties>
</file>