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211983">
        <w:rPr>
          <w:rFonts w:ascii="Arial" w:hAnsi="Arial" w:cs="Arial"/>
          <w:b/>
          <w:sz w:val="52"/>
          <w:szCs w:val="52"/>
        </w:rPr>
        <w:t xml:space="preserve">1506 – </w:t>
      </w:r>
      <w:r w:rsidR="00211983" w:rsidRPr="00211983">
        <w:rPr>
          <w:rFonts w:ascii="Arial" w:hAnsi="Arial" w:cs="Arial"/>
          <w:b/>
          <w:sz w:val="52"/>
          <w:szCs w:val="52"/>
        </w:rPr>
        <w:t>Programmed cell death ligand 1 (PD-L1) testing to determine PBS access to durvalumab or durvalumab/tremelimumab as 1st line therapy for patients with unresectable Stage IV urothelial cancer</w:t>
      </w:r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  <w:bookmarkStart w:id="0" w:name="_GoBack"/>
      <w:bookmarkEnd w:id="0"/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lastRenderedPageBreak/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E50F6">
        <w:rPr>
          <w:b w:val="0"/>
        </w:rPr>
      </w:r>
      <w:r w:rsidR="00EE50F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EE50F6" w:rsidRPr="00EE50F6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11983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E50F6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750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2017-03-23T00:20:00Z</dcterms:created>
  <dcterms:modified xsi:type="dcterms:W3CDTF">2017-10-03T23:50:00Z</dcterms:modified>
</cp:coreProperties>
</file>