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0230"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0B106DBA" wp14:editId="104E356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B26D2D6"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4B734F0E" w14:textId="77777777" w:rsidR="00BC1364" w:rsidRPr="00F715D1" w:rsidRDefault="00BC1364" w:rsidP="00F715D1">
      <w:pPr>
        <w:pStyle w:val="Subtitle"/>
      </w:pPr>
      <w:r w:rsidRPr="00F715D1">
        <w:t xml:space="preserve">Application No. </w:t>
      </w:r>
      <w:r w:rsidR="000A678B" w:rsidRPr="000A678B">
        <w:t>1476 – Genetic testing for childhood syndromes</w:t>
      </w:r>
    </w:p>
    <w:p w14:paraId="21ACBAE8" w14:textId="77777777" w:rsidR="00BC1364" w:rsidRPr="00F715D1" w:rsidRDefault="00B35595" w:rsidP="0024002F">
      <w:pPr>
        <w:tabs>
          <w:tab w:val="left" w:pos="3686"/>
        </w:tabs>
        <w:spacing w:before="360"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0A678B" w:rsidRPr="000A678B">
        <w:rPr>
          <w:rFonts w:ascii="Arial" w:hAnsi="Arial" w:cs="Arial"/>
          <w:b/>
          <w:szCs w:val="24"/>
        </w:rPr>
        <w:t>Murdoch Children’s Research Institute</w:t>
      </w:r>
    </w:p>
    <w:p w14:paraId="7A8B228E" w14:textId="77777777" w:rsidR="00D32D5E" w:rsidRDefault="00BC1364" w:rsidP="00D32D5E">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D32D5E">
        <w:rPr>
          <w:rFonts w:ascii="Arial" w:hAnsi="Arial" w:cs="Arial"/>
          <w:b/>
          <w:szCs w:val="24"/>
        </w:rPr>
        <w:t>MSAC 74</w:t>
      </w:r>
      <w:r w:rsidR="00D32D5E" w:rsidRPr="00D32D5E">
        <w:rPr>
          <w:rFonts w:ascii="Arial" w:hAnsi="Arial" w:cs="Arial"/>
          <w:b/>
          <w:szCs w:val="24"/>
          <w:vertAlign w:val="superscript"/>
        </w:rPr>
        <w:t>th</w:t>
      </w:r>
      <w:r w:rsidR="00D32D5E">
        <w:rPr>
          <w:rFonts w:ascii="Arial" w:hAnsi="Arial" w:cs="Arial"/>
          <w:b/>
          <w:szCs w:val="24"/>
        </w:rPr>
        <w:t xml:space="preserve"> Meeting, 22-23 November 2018</w:t>
      </w:r>
    </w:p>
    <w:p w14:paraId="46B99E57" w14:textId="77777777" w:rsidR="00BC1364" w:rsidRPr="00F715D1" w:rsidRDefault="00D32D5E" w:rsidP="00D64355">
      <w:pPr>
        <w:tabs>
          <w:tab w:val="left" w:pos="3686"/>
        </w:tabs>
        <w:spacing w:after="240"/>
        <w:rPr>
          <w:rFonts w:ascii="Arial" w:hAnsi="Arial" w:cs="Arial"/>
          <w:b/>
          <w:szCs w:val="24"/>
        </w:rPr>
      </w:pPr>
      <w:r>
        <w:rPr>
          <w:rFonts w:ascii="Arial" w:hAnsi="Arial" w:cs="Arial"/>
          <w:b/>
          <w:szCs w:val="24"/>
        </w:rPr>
        <w:tab/>
      </w:r>
      <w:r w:rsidR="00C67DD2" w:rsidRPr="00F715D1">
        <w:rPr>
          <w:rFonts w:ascii="Arial" w:hAnsi="Arial" w:cs="Arial"/>
          <w:b/>
          <w:szCs w:val="24"/>
        </w:rPr>
        <w:t xml:space="preserve">MSAC </w:t>
      </w:r>
      <w:r w:rsidR="00B11E47">
        <w:rPr>
          <w:rFonts w:ascii="Arial" w:hAnsi="Arial" w:cs="Arial"/>
          <w:b/>
          <w:szCs w:val="24"/>
        </w:rPr>
        <w:t>73</w:t>
      </w:r>
      <w:r w:rsidR="00B11E47" w:rsidRPr="00B11E47">
        <w:rPr>
          <w:rFonts w:ascii="Arial" w:hAnsi="Arial" w:cs="Arial"/>
          <w:b/>
          <w:szCs w:val="24"/>
          <w:vertAlign w:val="superscript"/>
        </w:rPr>
        <w:t>rd</w:t>
      </w:r>
      <w:r w:rsidR="00B11E47">
        <w:rPr>
          <w:rFonts w:ascii="Arial" w:hAnsi="Arial" w:cs="Arial"/>
          <w:b/>
          <w:szCs w:val="24"/>
        </w:rPr>
        <w:t xml:space="preserve"> </w:t>
      </w:r>
      <w:r w:rsidR="00BC1364" w:rsidRPr="00F715D1">
        <w:rPr>
          <w:rFonts w:ascii="Arial" w:hAnsi="Arial" w:cs="Arial"/>
          <w:b/>
          <w:szCs w:val="24"/>
        </w:rPr>
        <w:t xml:space="preserve">Meeting, </w:t>
      </w:r>
      <w:r w:rsidR="00B11E47">
        <w:rPr>
          <w:rFonts w:ascii="Arial" w:hAnsi="Arial" w:cs="Arial"/>
          <w:b/>
          <w:szCs w:val="24"/>
        </w:rPr>
        <w:t>26-27 July 2018</w:t>
      </w:r>
    </w:p>
    <w:p w14:paraId="59FC5A14"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41188F60" w14:textId="77777777" w:rsidR="003D7F29" w:rsidRPr="00F715D1" w:rsidRDefault="003D7F29" w:rsidP="00501ED9">
      <w:pPr>
        <w:pStyle w:val="Heading1"/>
      </w:pPr>
      <w:r w:rsidRPr="00F715D1">
        <w:t>Purpose of application</w:t>
      </w:r>
    </w:p>
    <w:p w14:paraId="6641351B" w14:textId="77777777" w:rsidR="00B11E47" w:rsidRDefault="00B11E47" w:rsidP="00B11E47">
      <w:pPr>
        <w:tabs>
          <w:tab w:val="left" w:pos="720"/>
          <w:tab w:val="left" w:pos="1140"/>
        </w:tabs>
      </w:pPr>
      <w:r>
        <w:rPr>
          <w:szCs w:val="24"/>
        </w:rPr>
        <w:t>An</w:t>
      </w:r>
      <w:r w:rsidRPr="00F203BC">
        <w:rPr>
          <w:szCs w:val="24"/>
        </w:rPr>
        <w:t xml:space="preserve"> application </w:t>
      </w:r>
      <w:r w:rsidR="00333FD7">
        <w:t>requesting Medicare Benefit Schedule</w:t>
      </w:r>
      <w:r w:rsidRPr="00C34F01">
        <w:t xml:space="preserve"> </w:t>
      </w:r>
      <w:r w:rsidR="00333FD7">
        <w:t>(</w:t>
      </w:r>
      <w:r>
        <w:t>MBS</w:t>
      </w:r>
      <w:r w:rsidR="00333FD7">
        <w:t>) listing</w:t>
      </w:r>
      <w:r w:rsidRPr="00C34F01">
        <w:t xml:space="preserve"> for next generation whole exome </w:t>
      </w:r>
      <w:r>
        <w:t>analysis</w:t>
      </w:r>
      <w:r w:rsidRPr="00C34F01">
        <w:t xml:space="preserve"> (WEA) </w:t>
      </w:r>
      <w:r w:rsidR="00F23318">
        <w:t xml:space="preserve">for childhood syndromes </w:t>
      </w:r>
      <w:r w:rsidRPr="00C34F01">
        <w:t xml:space="preserve">in affected individuals, with targeted cascade testing </w:t>
      </w:r>
      <w:r w:rsidR="00F23318">
        <w:t>o</w:t>
      </w:r>
      <w:r w:rsidRPr="00C34F01">
        <w:t>f relatives</w:t>
      </w:r>
      <w:r w:rsidR="00F23318">
        <w:t>,</w:t>
      </w:r>
      <w:r w:rsidR="00333FD7">
        <w:t xml:space="preserve"> was received </w:t>
      </w:r>
      <w:r w:rsidR="00333FD7">
        <w:rPr>
          <w:szCs w:val="24"/>
        </w:rPr>
        <w:t xml:space="preserve">from the </w:t>
      </w:r>
      <w:r w:rsidR="00333FD7" w:rsidRPr="00A06F59">
        <w:rPr>
          <w:szCs w:val="24"/>
          <w:lang w:val="en-US"/>
        </w:rPr>
        <w:t>Murdoch Children’s Research Institute</w:t>
      </w:r>
      <w:r w:rsidR="00333FD7" w:rsidRPr="00F203BC">
        <w:rPr>
          <w:szCs w:val="24"/>
        </w:rPr>
        <w:t xml:space="preserve"> by the Department</w:t>
      </w:r>
      <w:r w:rsidR="00333FD7">
        <w:rPr>
          <w:szCs w:val="24"/>
        </w:rPr>
        <w:t xml:space="preserve"> of Health</w:t>
      </w:r>
      <w:r w:rsidRPr="00C34F01">
        <w:t>.</w:t>
      </w:r>
    </w:p>
    <w:p w14:paraId="6E9F47D7" w14:textId="77777777" w:rsidR="00446B3E" w:rsidRDefault="00446B3E" w:rsidP="00446B3E">
      <w:pPr>
        <w:pStyle w:val="Heading1"/>
      </w:pPr>
      <w:r w:rsidRPr="00F715D1">
        <w:t>MSAC’s advice to the Minister</w:t>
      </w:r>
      <w:r>
        <w:t xml:space="preserve"> – November 2018 consideration</w:t>
      </w:r>
    </w:p>
    <w:p w14:paraId="1805B0DA" w14:textId="3D9DBACF" w:rsidR="00B03F88" w:rsidRDefault="00446B3E" w:rsidP="003D15F0">
      <w:pPr>
        <w:spacing w:after="240"/>
        <w:rPr>
          <w:szCs w:val="24"/>
        </w:rPr>
      </w:pPr>
      <w:r w:rsidRPr="00083E53">
        <w:t xml:space="preserve">After considering the strength of the available evidence in relation to comparative safety, clinical effectiveness and cost effectiveness, </w:t>
      </w:r>
      <w:r>
        <w:rPr>
          <w:szCs w:val="24"/>
        </w:rPr>
        <w:t xml:space="preserve">MSAC supported </w:t>
      </w:r>
      <w:r w:rsidRPr="006649B1">
        <w:rPr>
          <w:szCs w:val="24"/>
        </w:rPr>
        <w:t>MBS</w:t>
      </w:r>
      <w:r>
        <w:rPr>
          <w:szCs w:val="24"/>
        </w:rPr>
        <w:t xml:space="preserve"> listing of next-generation </w:t>
      </w:r>
      <w:r w:rsidRPr="006649B1">
        <w:rPr>
          <w:szCs w:val="24"/>
        </w:rPr>
        <w:t>whole exome analysis (WEA) for childhood syndromes in affe</w:t>
      </w:r>
      <w:r>
        <w:rPr>
          <w:szCs w:val="24"/>
        </w:rPr>
        <w:t xml:space="preserve">cted individuals, with limited reanalysis, and targeted </w:t>
      </w:r>
      <w:r w:rsidRPr="006649B1">
        <w:rPr>
          <w:szCs w:val="24"/>
        </w:rPr>
        <w:t>cascade testing of relatives</w:t>
      </w:r>
      <w:r>
        <w:rPr>
          <w:szCs w:val="24"/>
        </w:rPr>
        <w:t xml:space="preserve"> of patients with a genetic diagnosis. MSAC advised in each case that testing should be once in a lifetime and that there should be post-implementation monitoring, particularly looking at the diagnostic yield for laboratories and requesters, who the requesters are, and the out-of-pocket costs for patients.</w:t>
      </w:r>
    </w:p>
    <w:p w14:paraId="2D5E569D" w14:textId="01515DF5" w:rsidR="00446B3E" w:rsidRDefault="00446B3E" w:rsidP="00B03F88">
      <w:pPr>
        <w:pStyle w:val="NormalBeforeBullet"/>
        <w:keepNext w:val="0"/>
        <w:rPr>
          <w:szCs w:val="24"/>
        </w:rPr>
      </w:pPr>
      <w:r>
        <w:rPr>
          <w:szCs w:val="24"/>
        </w:rPr>
        <w:t xml:space="preserve">MSAC </w:t>
      </w:r>
      <w:r w:rsidR="00B03F88">
        <w:rPr>
          <w:szCs w:val="24"/>
        </w:rPr>
        <w:t xml:space="preserve">also </w:t>
      </w:r>
      <w:r>
        <w:rPr>
          <w:szCs w:val="24"/>
        </w:rPr>
        <w:t>advised that the utilisation estimates needed further</w:t>
      </w:r>
      <w:r w:rsidR="006309B2">
        <w:rPr>
          <w:szCs w:val="24"/>
        </w:rPr>
        <w:t xml:space="preserve"> refinement</w:t>
      </w:r>
      <w:r w:rsidR="00E76076">
        <w:rPr>
          <w:szCs w:val="24"/>
        </w:rPr>
        <w:t xml:space="preserve"> </w:t>
      </w:r>
      <w:r>
        <w:rPr>
          <w:szCs w:val="24"/>
        </w:rPr>
        <w:t>and the proposed item descriptors needed further crafting, and requested that these be provided to the MSAC Executive for review.</w:t>
      </w:r>
    </w:p>
    <w:p w14:paraId="172DA073" w14:textId="77777777" w:rsidR="00446B3E" w:rsidRPr="00F715D1" w:rsidRDefault="00446B3E" w:rsidP="00446B3E">
      <w:pPr>
        <w:pStyle w:val="Heading1"/>
        <w:numPr>
          <w:ilvl w:val="0"/>
          <w:numId w:val="0"/>
        </w:numPr>
        <w:ind w:left="720" w:hanging="720"/>
      </w:pPr>
      <w:r>
        <w:t>Summary</w:t>
      </w:r>
      <w:r w:rsidR="00401DEB">
        <w:t xml:space="preserve"> </w:t>
      </w:r>
      <w:r w:rsidRPr="00F715D1">
        <w:t xml:space="preserve">of consideration </w:t>
      </w:r>
      <w:r>
        <w:t>and rationale for MSAC’s advice – November 2018</w:t>
      </w:r>
    </w:p>
    <w:p w14:paraId="4C712655" w14:textId="3F0FB8DB" w:rsidR="00B13648" w:rsidRDefault="00C372C3" w:rsidP="00446B3E">
      <w:pPr>
        <w:spacing w:after="240"/>
      </w:pPr>
      <w:r>
        <w:t>Following its decision not to support Application 1476 at its 73</w:t>
      </w:r>
      <w:r w:rsidRPr="00136B26">
        <w:rPr>
          <w:vertAlign w:val="superscript"/>
        </w:rPr>
        <w:t>rd</w:t>
      </w:r>
      <w:r>
        <w:t xml:space="preserve"> meeting, MSAC proposed that a stakeholder meeting be arranged to attempt to address a number of issues that it had identified with the application. In its re-consideration at its 74</w:t>
      </w:r>
      <w:r w:rsidRPr="00136B26">
        <w:rPr>
          <w:vertAlign w:val="superscript"/>
        </w:rPr>
        <w:t>th</w:t>
      </w:r>
      <w:r>
        <w:t xml:space="preserve"> meeting, MSAC noted the outcomes </w:t>
      </w:r>
      <w:r w:rsidR="00801235">
        <w:t xml:space="preserve">of </w:t>
      </w:r>
      <w:r w:rsidR="00446B3E">
        <w:t>the stakeholder meeting held in October 2018 to discuss issues in the application, and to forge a framework to guide consideration of other similar genetic testing applications in the future.</w:t>
      </w:r>
    </w:p>
    <w:p w14:paraId="2BD85A74" w14:textId="77777777" w:rsidR="00446B3E" w:rsidRDefault="00801235" w:rsidP="00446B3E">
      <w:pPr>
        <w:spacing w:after="240"/>
      </w:pPr>
      <w:r>
        <w:t xml:space="preserve">MSAC </w:t>
      </w:r>
      <w:r w:rsidR="00B13648">
        <w:t xml:space="preserve">also </w:t>
      </w:r>
      <w:r>
        <w:t xml:space="preserve">agreed with the intended thrust </w:t>
      </w:r>
      <w:r w:rsidR="00B13648">
        <w:t xml:space="preserve">of the stakeholder meeting </w:t>
      </w:r>
      <w:r>
        <w:t xml:space="preserve">to move requesting of these genetic tests beyond the domain of clinical geneticists, noting reliance on the Royal </w:t>
      </w:r>
      <w:r>
        <w:lastRenderedPageBreak/>
        <w:t>Australasian College of Physicians on addressing issues to do with credentialing and informed consent.</w:t>
      </w:r>
    </w:p>
    <w:p w14:paraId="2612EA3C" w14:textId="5174EA30" w:rsidR="00446B3E" w:rsidRDefault="00C372C3" w:rsidP="00446B3E">
      <w:pPr>
        <w:spacing w:after="240"/>
      </w:pPr>
      <w:r>
        <w:t xml:space="preserve">MSAC acknowledged </w:t>
      </w:r>
      <w:r w:rsidR="00446B3E">
        <w:t xml:space="preserve">the high clinical need for WEA, </w:t>
      </w:r>
      <w:r w:rsidR="00B13648">
        <w:t xml:space="preserve">and the clear </w:t>
      </w:r>
      <w:r w:rsidR="00446B3E" w:rsidRPr="002323A5">
        <w:t xml:space="preserve">potential </w:t>
      </w:r>
      <w:r w:rsidR="00B13648">
        <w:t xml:space="preserve">of WEA </w:t>
      </w:r>
      <w:r w:rsidR="00446B3E" w:rsidRPr="002323A5">
        <w:t xml:space="preserve">to benefit children </w:t>
      </w:r>
      <w:r w:rsidR="00666EE4" w:rsidRPr="00C372C3">
        <w:t xml:space="preserve">by increasing </w:t>
      </w:r>
      <w:r w:rsidR="00B13648" w:rsidRPr="00C372C3">
        <w:t>diagnos</w:t>
      </w:r>
      <w:r w:rsidR="00666EE4" w:rsidRPr="00C372C3">
        <w:t>is of</w:t>
      </w:r>
      <w:r w:rsidR="00B13648" w:rsidRPr="00C372C3">
        <w:t xml:space="preserve"> mon</w:t>
      </w:r>
      <w:r w:rsidRPr="00C372C3">
        <w:t>o</w:t>
      </w:r>
      <w:r w:rsidR="00446B3E" w:rsidRPr="00C372C3">
        <w:t xml:space="preserve">genic </w:t>
      </w:r>
      <w:r w:rsidR="00B13648" w:rsidRPr="00C372C3">
        <w:t>conditions</w:t>
      </w:r>
      <w:r w:rsidR="00666EE4" w:rsidRPr="00C372C3">
        <w:t xml:space="preserve"> and reducing the time to obtain a diagnosis</w:t>
      </w:r>
      <w:r w:rsidR="00446B3E">
        <w:t>. Potential cost-</w:t>
      </w:r>
      <w:r w:rsidR="00B13648">
        <w:t>offsets</w:t>
      </w:r>
      <w:r w:rsidR="00446B3E">
        <w:t xml:space="preserve"> include avoiding a </w:t>
      </w:r>
      <w:r w:rsidR="000A768F">
        <w:t>‘</w:t>
      </w:r>
      <w:r w:rsidR="00446B3E">
        <w:t>diagnostic odyssey</w:t>
      </w:r>
      <w:r w:rsidR="000A768F">
        <w:t>’</w:t>
      </w:r>
      <w:r w:rsidR="00446B3E">
        <w:t xml:space="preserve"> and avoiding unnecessary treatments as a result of a </w:t>
      </w:r>
      <w:r w:rsidR="00B13648">
        <w:t xml:space="preserve">genetic </w:t>
      </w:r>
      <w:r w:rsidR="00446B3E">
        <w:t xml:space="preserve">diagnosis. However, the </w:t>
      </w:r>
      <w:r w:rsidR="00B13648">
        <w:t xml:space="preserve">item </w:t>
      </w:r>
      <w:r w:rsidR="00446B3E">
        <w:t>descriptors require further crafting</w:t>
      </w:r>
      <w:r w:rsidR="00FD0C8D">
        <w:t>, and the projected utilisation estimates require further review</w:t>
      </w:r>
      <w:r w:rsidR="00446B3E">
        <w:t>.</w:t>
      </w:r>
      <w:r w:rsidR="00FD0C8D">
        <w:t xml:space="preserve"> In regards the utilisation estimates, MSAC considered that not all eligible WEA testing would necessarily be billed to the MBS, but more testing by WEA is likely to increase prevalence estimates, and these prevalence estimates need to be multiplied by the number needed to test for each genetic diagnosis.</w:t>
      </w:r>
    </w:p>
    <w:p w14:paraId="3EB0CE52" w14:textId="77777777" w:rsidR="00446B3E" w:rsidRDefault="00446B3E" w:rsidP="00446B3E">
      <w:pPr>
        <w:spacing w:after="240"/>
      </w:pPr>
      <w:r>
        <w:t xml:space="preserve">MSAC was concerned that laboratories would use a lower-cost alternative to WEA for </w:t>
      </w:r>
      <w:r w:rsidR="00B9190E">
        <w:t>support</w:t>
      </w:r>
      <w:r w:rsidR="009223EC">
        <w:t xml:space="preserve">ed </w:t>
      </w:r>
      <w:r>
        <w:t>item AAAAA (see below), but accepted that laboratories have diagnostic yield targets and would thus be unlikely to use inferior technology.</w:t>
      </w:r>
    </w:p>
    <w:p w14:paraId="1FE8076B" w14:textId="719C6CB9" w:rsidR="00446B3E" w:rsidRDefault="00446B3E" w:rsidP="00446B3E">
      <w:pPr>
        <w:spacing w:after="240"/>
      </w:pPr>
      <w:r>
        <w:t xml:space="preserve">MSAC </w:t>
      </w:r>
      <w:r w:rsidR="009223EC">
        <w:t xml:space="preserve">advised </w:t>
      </w:r>
      <w:r>
        <w:t>that</w:t>
      </w:r>
      <w:r w:rsidR="009223EC">
        <w:t xml:space="preserve">, for all </w:t>
      </w:r>
      <w:r w:rsidR="00B9190E">
        <w:t>support</w:t>
      </w:r>
      <w:r w:rsidR="009223EC">
        <w:t>ed items,</w:t>
      </w:r>
      <w:r>
        <w:t xml:space="preserve"> the  the test </w:t>
      </w:r>
      <w:r w:rsidR="003B14A4">
        <w:t xml:space="preserve">requester </w:t>
      </w:r>
      <w:r>
        <w:t xml:space="preserve">should </w:t>
      </w:r>
      <w:r w:rsidR="009223EC">
        <w:t xml:space="preserve">either be </w:t>
      </w:r>
      <w:r>
        <w:t xml:space="preserve">a clinical geneticist </w:t>
      </w:r>
      <w:r w:rsidR="009223EC">
        <w:t>or a specialist paediatrican following consultation with a clinical geneticist</w:t>
      </w:r>
      <w:r>
        <w:t xml:space="preserve">, except for </w:t>
      </w:r>
      <w:r w:rsidR="00B9190E">
        <w:t>support</w:t>
      </w:r>
      <w:r w:rsidR="009223EC">
        <w:t xml:space="preserve">ed </w:t>
      </w:r>
      <w:r>
        <w:t xml:space="preserve">item CCCC2, as this item </w:t>
      </w:r>
      <w:r w:rsidR="009223EC">
        <w:t xml:space="preserve">relates </w:t>
      </w:r>
      <w:r>
        <w:t>to family planning where other specialists would be more likely to request the test.</w:t>
      </w:r>
    </w:p>
    <w:p w14:paraId="23714F5E" w14:textId="43B1BF85" w:rsidR="00446B3E" w:rsidRDefault="00446B3E" w:rsidP="00446B3E">
      <w:pPr>
        <w:spacing w:after="240"/>
      </w:pPr>
      <w:r>
        <w:t xml:space="preserve">MSAC discussed the </w:t>
      </w:r>
      <w:r w:rsidR="009223EC">
        <w:t xml:space="preserve">possible </w:t>
      </w:r>
      <w:r>
        <w:t xml:space="preserve">utilisation of trio testing in </w:t>
      </w:r>
      <w:r w:rsidR="009223EC">
        <w:t xml:space="preserve"> </w:t>
      </w:r>
      <w:r>
        <w:t xml:space="preserve">item AAAAA and its associated costs. MSAC was concerned that the fee of $2400 would not cover the costs of trio testing for all laboratories. MSAC acknowledged that MBS items should not </w:t>
      </w:r>
      <w:r w:rsidR="00401DEB">
        <w:t xml:space="preserve">create a perverse incentive </w:t>
      </w:r>
      <w:r>
        <w:t>for trio testing</w:t>
      </w:r>
      <w:r w:rsidR="00401DEB">
        <w:t xml:space="preserve"> where this w</w:t>
      </w:r>
      <w:r w:rsidR="001C0833">
        <w:t xml:space="preserve">ould not be </w:t>
      </w:r>
      <w:r w:rsidR="00401DEB">
        <w:t>necessary</w:t>
      </w:r>
      <w:r>
        <w:t xml:space="preserve">. MSAC was also concerned that trio costing could result in large out-of-pocket expenses for patients’ families. MSAC accepted that trio testing should be </w:t>
      </w:r>
      <w:r w:rsidR="009223EC">
        <w:t>excluded</w:t>
      </w:r>
      <w:r>
        <w:t xml:space="preserve"> from item AAAAA. The rationale for excluding trio testing </w:t>
      </w:r>
      <w:r w:rsidR="00207E1C">
        <w:t>in th</w:t>
      </w:r>
      <w:r w:rsidR="001C0833">
        <w:t>is</w:t>
      </w:r>
      <w:r w:rsidR="00207E1C">
        <w:t xml:space="preserve"> item </w:t>
      </w:r>
      <w:r w:rsidR="001C0833">
        <w:t xml:space="preserve">AAAAA </w:t>
      </w:r>
      <w:r>
        <w:t xml:space="preserve">is that, at this time, </w:t>
      </w:r>
      <w:r w:rsidRPr="00551075">
        <w:t>MSAC consider</w:t>
      </w:r>
      <w:r>
        <w:t>ed</w:t>
      </w:r>
      <w:r w:rsidRPr="00551075">
        <w:t xml:space="preserve"> that</w:t>
      </w:r>
      <w:r w:rsidR="00401DEB">
        <w:t xml:space="preserve"> the decision to request </w:t>
      </w:r>
      <w:r w:rsidRPr="00551075">
        <w:t xml:space="preserve">trio testing </w:t>
      </w:r>
      <w:r w:rsidR="00401DEB">
        <w:t xml:space="preserve">should be </w:t>
      </w:r>
      <w:r w:rsidR="00207E1C">
        <w:t xml:space="preserve">made by a sub-specialised clinical geneticist, in consultation with the laboratory. These services are typically located in public hospitals. </w:t>
      </w:r>
      <w:r w:rsidRPr="00551075">
        <w:t>T</w:t>
      </w:r>
      <w:r>
        <w:t>his also avoids the potential to claim both item</w:t>
      </w:r>
      <w:r w:rsidRPr="00551075">
        <w:t xml:space="preserve"> AAAAA and item CCCC3</w:t>
      </w:r>
      <w:r w:rsidR="009223EC">
        <w:t>, which is intended when needed for segregation purposes</w:t>
      </w:r>
      <w:r w:rsidRPr="00551075">
        <w:t>.</w:t>
      </w:r>
    </w:p>
    <w:p w14:paraId="4CFE852A" w14:textId="77777777" w:rsidR="00446B3E" w:rsidRDefault="00446B3E" w:rsidP="00446B3E">
      <w:pPr>
        <w:spacing w:after="240"/>
      </w:pPr>
      <w:r>
        <w:t xml:space="preserve">MSAC considered the possibility of automated analysis to keep </w:t>
      </w:r>
      <w:r w:rsidR="009223EC">
        <w:t xml:space="preserve">testing </w:t>
      </w:r>
      <w:r>
        <w:t>costs down, but current trials of automated analysis are for carrier testing for prospective parents for low-risk conditions, which would not be sui</w:t>
      </w:r>
      <w:r w:rsidR="009223EC">
        <w:t>table for high-risk conditions.</w:t>
      </w:r>
    </w:p>
    <w:p w14:paraId="5B47890D" w14:textId="38D66D4A" w:rsidR="00446B3E" w:rsidRDefault="00446B3E" w:rsidP="00446B3E">
      <w:pPr>
        <w:spacing w:after="240"/>
      </w:pPr>
      <w:r>
        <w:t xml:space="preserve">MSAC accepted that the sequencing technology is evolving rapidly, with </w:t>
      </w:r>
      <w:r w:rsidR="00207E1C">
        <w:t xml:space="preserve">substantive changes </w:t>
      </w:r>
      <w:r>
        <w:t xml:space="preserve">estimated to be every five years. MSAC </w:t>
      </w:r>
      <w:r w:rsidR="00AB4F54">
        <w:t>advised</w:t>
      </w:r>
      <w:r>
        <w:t xml:space="preserve"> that testing </w:t>
      </w:r>
      <w:r w:rsidR="009223EC">
        <w:t xml:space="preserve">according to item AAAAA </w:t>
      </w:r>
      <w:r>
        <w:t>be done once per patient in a lifetime, with a review of this decision in five years.</w:t>
      </w:r>
    </w:p>
    <w:p w14:paraId="6261AE08" w14:textId="3E122292" w:rsidR="00446B3E" w:rsidRDefault="00446B3E" w:rsidP="00446B3E">
      <w:pPr>
        <w:spacing w:after="240"/>
      </w:pPr>
      <w:r>
        <w:t xml:space="preserve">MSAC </w:t>
      </w:r>
      <w:r w:rsidR="00AB4F54">
        <w:t xml:space="preserve">considered </w:t>
      </w:r>
      <w:r>
        <w:t xml:space="preserve">that expanding the population </w:t>
      </w:r>
      <w:r w:rsidR="009223EC">
        <w:t xml:space="preserve">as proposed by the stakeholder meeting and the applicant </w:t>
      </w:r>
      <w:r>
        <w:t>would result in more people being test</w:t>
      </w:r>
      <w:r w:rsidR="00C372C3">
        <w:t>ed</w:t>
      </w:r>
      <w:r>
        <w:t xml:space="preserve"> and diagnosed, </w:t>
      </w:r>
      <w:r w:rsidR="009223EC">
        <w:t xml:space="preserve">but with overall reduced diagnostic yield per test conducted, </w:t>
      </w:r>
      <w:r>
        <w:t xml:space="preserve">which changes the value proposition. </w:t>
      </w:r>
      <w:r w:rsidR="00FF57EB">
        <w:t>MSAC</w:t>
      </w:r>
      <w:r w:rsidR="006058F8" w:rsidRPr="006058F8">
        <w:t xml:space="preserve"> </w:t>
      </w:r>
      <w:r w:rsidR="006058F8">
        <w:t xml:space="preserve">acknowledged that avoiding the </w:t>
      </w:r>
      <w:r w:rsidR="000A768F">
        <w:t>‘</w:t>
      </w:r>
      <w:r w:rsidR="006058F8">
        <w:t>diagnostic odyssey</w:t>
      </w:r>
      <w:r w:rsidR="000A768F">
        <w:t>’</w:t>
      </w:r>
      <w:r w:rsidR="006058F8">
        <w:t xml:space="preserve"> is also part of the value proposition</w:t>
      </w:r>
      <w:r w:rsidR="00092CCA">
        <w:t>.</w:t>
      </w:r>
      <w:r w:rsidR="006058F8">
        <w:t xml:space="preserve"> </w:t>
      </w:r>
      <w:r w:rsidR="00FF57EB">
        <w:t>H</w:t>
      </w:r>
      <w:r w:rsidR="009223EC">
        <w:t>owever, m</w:t>
      </w:r>
      <w:r>
        <w:t xml:space="preserve">ore diagnoses could result in cost offsets by avoiding later unnecessary </w:t>
      </w:r>
      <w:r w:rsidR="009223EC">
        <w:t xml:space="preserve">investigations and </w:t>
      </w:r>
      <w:r>
        <w:t xml:space="preserve">treatments, which can be harmful for some patients. MSAC also </w:t>
      </w:r>
      <w:r w:rsidR="00AB4F54">
        <w:t xml:space="preserve">considered </w:t>
      </w:r>
      <w:r>
        <w:t xml:space="preserve">that, currently, it is difficult to quantify other issues, such as </w:t>
      </w:r>
      <w:r w:rsidR="00B611D3">
        <w:t xml:space="preserve">likely improved </w:t>
      </w:r>
      <w:r w:rsidR="00270D7E">
        <w:t xml:space="preserve">and more timely </w:t>
      </w:r>
      <w:r>
        <w:t xml:space="preserve">access to </w:t>
      </w:r>
      <w:r w:rsidR="00B611D3">
        <w:t xml:space="preserve">funding via </w:t>
      </w:r>
      <w:r>
        <w:t xml:space="preserve">the National Disability Insurance Scheme for those who are found to have </w:t>
      </w:r>
      <w:r w:rsidR="00B611D3">
        <w:t xml:space="preserve">a </w:t>
      </w:r>
      <w:r w:rsidR="009223EC">
        <w:t xml:space="preserve">curated </w:t>
      </w:r>
      <w:r>
        <w:t>germline variant</w:t>
      </w:r>
      <w:r w:rsidR="00B611D3">
        <w:t xml:space="preserve"> diagnosing a genetically mediated </w:t>
      </w:r>
      <w:r>
        <w:t xml:space="preserve">condition. </w:t>
      </w:r>
    </w:p>
    <w:p w14:paraId="585E61D7" w14:textId="7EFDB298" w:rsidR="00446B3E" w:rsidRPr="00C566D4" w:rsidRDefault="00446B3E" w:rsidP="00446B3E">
      <w:pPr>
        <w:spacing w:after="240"/>
      </w:pPr>
      <w:r w:rsidRPr="00C566D4">
        <w:lastRenderedPageBreak/>
        <w:t xml:space="preserve">MSAC </w:t>
      </w:r>
      <w:r>
        <w:t xml:space="preserve">noted some issues regarding equity of access, and </w:t>
      </w:r>
      <w:r w:rsidRPr="00C566D4">
        <w:t>acknowledge</w:t>
      </w:r>
      <w:r>
        <w:t>d</w:t>
      </w:r>
      <w:r w:rsidRPr="00C566D4">
        <w:t xml:space="preserve"> that the clinical referral pathway needed to move away from clinical geneticists being the only </w:t>
      </w:r>
      <w:r>
        <w:t>professionals requesting the test</w:t>
      </w:r>
      <w:r w:rsidR="00270D7E">
        <w:t xml:space="preserve"> </w:t>
      </w:r>
      <w:r w:rsidR="00270D7E" w:rsidRPr="00C372C3">
        <w:t>to ensure equitable access for potentially eligible patients</w:t>
      </w:r>
      <w:r w:rsidR="001C0833">
        <w:t>.</w:t>
      </w:r>
    </w:p>
    <w:p w14:paraId="37DC5564" w14:textId="77777777" w:rsidR="00446B3E" w:rsidRDefault="00446B3E" w:rsidP="00446B3E">
      <w:pPr>
        <w:spacing w:after="240"/>
      </w:pPr>
      <w:r w:rsidRPr="00C566D4">
        <w:t>MSAC noted that re</w:t>
      </w:r>
      <w:r>
        <w:t>queste</w:t>
      </w:r>
      <w:r w:rsidRPr="00C566D4">
        <w:t xml:space="preserve">rs and laboratories both contribute to </w:t>
      </w:r>
      <w:r w:rsidR="00B611D3">
        <w:t xml:space="preserve">improving </w:t>
      </w:r>
      <w:r w:rsidRPr="00C566D4">
        <w:t>the diagnostic yield. MSAC</w:t>
      </w:r>
      <w:r w:rsidRPr="0073520F">
        <w:t xml:space="preserve"> </w:t>
      </w:r>
      <w:r>
        <w:t xml:space="preserve">also </w:t>
      </w:r>
      <w:r w:rsidRPr="0073520F">
        <w:t xml:space="preserve">noted that the economic model is </w:t>
      </w:r>
      <w:r w:rsidR="00B611D3">
        <w:t xml:space="preserve">relatively </w:t>
      </w:r>
      <w:r w:rsidRPr="0073520F">
        <w:t xml:space="preserve">insensitive to diagnostic yield (ICERs increase from $5000/QALY for a 50% diagnostic yield </w:t>
      </w:r>
      <w:r>
        <w:t>to</w:t>
      </w:r>
      <w:r w:rsidRPr="0073520F">
        <w:t xml:space="preserve"> $9000/QALY for a 30% diagnostic yield).</w:t>
      </w:r>
    </w:p>
    <w:p w14:paraId="1AC4A077" w14:textId="77777777" w:rsidR="00446B3E" w:rsidRPr="00A00649" w:rsidRDefault="00446B3E" w:rsidP="00446B3E">
      <w:pPr>
        <w:pStyle w:val="NormalBeforeBullet"/>
      </w:pPr>
      <w:r w:rsidRPr="00A00649">
        <w:t>MSAC accepted that more data would become available thro</w:t>
      </w:r>
      <w:r>
        <w:t xml:space="preserve">ugh </w:t>
      </w:r>
      <w:r w:rsidR="00FD0C8D">
        <w:t xml:space="preserve">appropriate data collection of </w:t>
      </w:r>
      <w:r>
        <w:t>post-implementation testing</w:t>
      </w:r>
      <w:r w:rsidRPr="00A00649">
        <w:t>, especially for:</w:t>
      </w:r>
    </w:p>
    <w:p w14:paraId="044CC57C" w14:textId="77777777" w:rsidR="00446B3E" w:rsidRDefault="00446B3E" w:rsidP="00446B3E">
      <w:pPr>
        <w:pStyle w:val="Bullet"/>
        <w:ind w:left="720"/>
      </w:pPr>
      <w:r>
        <w:t xml:space="preserve">cost savings and cost offsets as a result of more </w:t>
      </w:r>
      <w:r w:rsidR="00B611D3">
        <w:t xml:space="preserve">genetic </w:t>
      </w:r>
      <w:r>
        <w:t>diagnoses</w:t>
      </w:r>
    </w:p>
    <w:p w14:paraId="1040C7C5" w14:textId="77777777" w:rsidR="00446B3E" w:rsidRDefault="00446B3E" w:rsidP="00446B3E">
      <w:pPr>
        <w:pStyle w:val="Bullet"/>
        <w:ind w:left="720"/>
      </w:pPr>
      <w:r>
        <w:t>utilisation of trio testing</w:t>
      </w:r>
    </w:p>
    <w:p w14:paraId="203C7A01" w14:textId="77777777" w:rsidR="00446B3E" w:rsidRDefault="00446B3E" w:rsidP="00446B3E">
      <w:pPr>
        <w:pStyle w:val="Bullet"/>
        <w:ind w:left="720"/>
      </w:pPr>
      <w:r>
        <w:t xml:space="preserve">diagnostic yield </w:t>
      </w:r>
      <w:r w:rsidR="00B611D3">
        <w:t xml:space="preserve">patterns </w:t>
      </w:r>
      <w:r>
        <w:t xml:space="preserve">for </w:t>
      </w:r>
      <w:r w:rsidR="00B611D3">
        <w:t xml:space="preserve">both </w:t>
      </w:r>
      <w:r>
        <w:t>referrers and laboratories</w:t>
      </w:r>
      <w:r w:rsidR="00FD0C8D">
        <w:t>, including by linking AAAAA testing for probands with consequent CCCC2 cascade testing of family members</w:t>
      </w:r>
    </w:p>
    <w:p w14:paraId="4B213CFF" w14:textId="77777777" w:rsidR="00446B3E" w:rsidRPr="00A00649" w:rsidRDefault="00446B3E" w:rsidP="00446B3E">
      <w:pPr>
        <w:pStyle w:val="BulletLast"/>
        <w:ind w:left="714" w:hanging="357"/>
      </w:pPr>
      <w:r>
        <w:t>referral patterns moving away from clinical geneticists only</w:t>
      </w:r>
      <w:r w:rsidR="00FD0C8D">
        <w:t xml:space="preserve"> to include paediatric specialists</w:t>
      </w:r>
      <w:r>
        <w:t>.</w:t>
      </w:r>
    </w:p>
    <w:p w14:paraId="2483DD69" w14:textId="77777777" w:rsidR="00446B3E" w:rsidRPr="003D15F0" w:rsidRDefault="00446B3E" w:rsidP="003D15F0">
      <w:pPr>
        <w:pStyle w:val="Heading3"/>
      </w:pPr>
      <w:r w:rsidRPr="003D15F0">
        <w:t>Item descriptors</w:t>
      </w:r>
    </w:p>
    <w:p w14:paraId="71D1C2F5" w14:textId="77777777" w:rsidR="00446B3E" w:rsidRDefault="00446B3E" w:rsidP="002F7E28">
      <w:pPr>
        <w:spacing w:after="240"/>
      </w:pPr>
      <w:r>
        <w:t xml:space="preserve">MSAC </w:t>
      </w:r>
      <w:r w:rsidR="00980775">
        <w:t xml:space="preserve">advised that </w:t>
      </w:r>
      <w:r>
        <w:t>the following item descriptors</w:t>
      </w:r>
      <w:r w:rsidR="00B611D3">
        <w:t xml:space="preserve"> </w:t>
      </w:r>
      <w:r w:rsidR="00FE3680">
        <w:t xml:space="preserve">for AAAAA, BBBB1 and BBBB2 </w:t>
      </w:r>
      <w:r w:rsidR="00980775">
        <w:t xml:space="preserve">would form </w:t>
      </w:r>
      <w:r w:rsidR="00B611D3">
        <w:t>a suitable basis for further consultation with re-crafted item descriptors to be reviewed by the MSAC Executive</w:t>
      </w:r>
      <w:r w:rsidR="0030727D">
        <w:t xml:space="preserve">. Further policy advice was also sought regarding a time-limited </w:t>
      </w:r>
      <w:r w:rsidR="004C646E">
        <w:t xml:space="preserve">MBS </w:t>
      </w:r>
      <w:r w:rsidR="0030727D">
        <w:t xml:space="preserve">item for WEA of individuals who would be suitable for WEA when AAAAA is </w:t>
      </w:r>
      <w:r w:rsidR="004C646E">
        <w:t xml:space="preserve">first </w:t>
      </w:r>
      <w:r w:rsidR="0030727D">
        <w:t>implemented</w:t>
      </w:r>
      <w:r w:rsidR="004C646E">
        <w:t>,</w:t>
      </w:r>
      <w:r w:rsidR="0030727D">
        <w:t xml:space="preserve"> </w:t>
      </w:r>
      <w:r w:rsidR="004C646E">
        <w:t xml:space="preserve">but who would already be older than </w:t>
      </w:r>
      <w:r w:rsidR="0030727D">
        <w:t xml:space="preserve">the upper age limit. This could be modelled on AAAAA but omitting the upper age limit, and would require an adequate communication plan </w:t>
      </w:r>
      <w:r w:rsidR="004C646E">
        <w:t xml:space="preserve">to the defined requestor population in order </w:t>
      </w:r>
      <w:r w:rsidR="0030727D">
        <w:t>to achieve its objective</w:t>
      </w:r>
      <w:r w:rsidR="00B611D3">
        <w:t>.</w:t>
      </w:r>
    </w:p>
    <w:tbl>
      <w:tblPr>
        <w:tblStyle w:val="TableGrid"/>
        <w:tblW w:w="0" w:type="auto"/>
        <w:tblLook w:val="04A0" w:firstRow="1" w:lastRow="0" w:firstColumn="1" w:lastColumn="0" w:noHBand="0" w:noVBand="1"/>
        <w:tblDescription w:val="Proposed MBS item descriptor"/>
      </w:tblPr>
      <w:tblGrid>
        <w:gridCol w:w="9016"/>
      </w:tblGrid>
      <w:tr w:rsidR="00446B3E" w14:paraId="2FF2B51E" w14:textId="77777777" w:rsidTr="003D15F0">
        <w:trPr>
          <w:tblHeader/>
        </w:trPr>
        <w:tc>
          <w:tcPr>
            <w:tcW w:w="9016" w:type="dxa"/>
          </w:tcPr>
          <w:p w14:paraId="17312B97" w14:textId="77777777" w:rsidR="00446B3E" w:rsidRDefault="00B611D3" w:rsidP="00B03F88">
            <w:r>
              <w:t>MBS item number: AAAAA</w:t>
            </w:r>
          </w:p>
          <w:p w14:paraId="5461F9A0" w14:textId="77777777" w:rsidR="00446B3E" w:rsidRDefault="00446B3E" w:rsidP="00B03F88">
            <w:r w:rsidRPr="00551075">
              <w:t xml:space="preserve">Characterisation of germline variants known to cause monogenic disorders, as requested by </w:t>
            </w:r>
            <w:r w:rsidRPr="00E92296">
              <w:rPr>
                <w:u w:val="single"/>
              </w:rPr>
              <w:t>a clinical geneticist or a consultant physician practising as a specialist paediatrician, following consultation with a clinical geneticist</w:t>
            </w:r>
            <w:r w:rsidRPr="00551075">
              <w:t>, following non-informative microarray testing for copy number alteration, in a patient aged ten years or younger with a strong suspicion of a monogenic condition based on the presence of any one of the two following clinical criteria</w:t>
            </w:r>
            <w:r w:rsidR="00F87A18">
              <w:t>:</w:t>
            </w:r>
          </w:p>
          <w:p w14:paraId="4DB24AB0" w14:textId="77777777" w:rsidR="00446B3E" w:rsidRDefault="00446B3E" w:rsidP="00B03F88">
            <w:r>
              <w:t>1. dysmorphic facial appearance and one or more major structura</w:t>
            </w:r>
            <w:r w:rsidR="00B611D3">
              <w:t>l congenital anomalies; or</w:t>
            </w:r>
          </w:p>
          <w:p w14:paraId="4BE81A6D" w14:textId="77777777" w:rsidR="00446B3E" w:rsidRDefault="00446B3E" w:rsidP="00B03F88">
            <w:r>
              <w:t>2. intellectual disability or global developmental delay of at least moderate severity</w:t>
            </w:r>
            <w:r w:rsidR="00B611D3">
              <w:t>, according to DSM-5 criteria.</w:t>
            </w:r>
          </w:p>
          <w:p w14:paraId="224AB54B" w14:textId="77777777" w:rsidR="00446B3E" w:rsidRPr="00551075" w:rsidRDefault="00446B3E" w:rsidP="00B03F88">
            <w:pPr>
              <w:rPr>
                <w:strike/>
              </w:rPr>
            </w:pPr>
            <w:r w:rsidRPr="00551075">
              <w:rPr>
                <w:strike/>
              </w:rPr>
              <w:t>Analysis may include trio-based sequencing (patient</w:t>
            </w:r>
            <w:r w:rsidR="00B611D3">
              <w:rPr>
                <w:strike/>
              </w:rPr>
              <w:t xml:space="preserve"> and their biological parents).</w:t>
            </w:r>
          </w:p>
          <w:p w14:paraId="2719D517" w14:textId="77777777" w:rsidR="00446B3E" w:rsidRPr="00551075" w:rsidRDefault="00446B3E" w:rsidP="00B03F88">
            <w:r w:rsidRPr="00551075">
              <w:t>Performed no more than on</w:t>
            </w:r>
            <w:r w:rsidR="00B611D3">
              <w:t>ce per patient.</w:t>
            </w:r>
          </w:p>
          <w:p w14:paraId="25109AD7" w14:textId="77777777" w:rsidR="00446B3E" w:rsidRDefault="00B611D3" w:rsidP="00B03F88">
            <w:r>
              <w:t>MBS Fee: $2,400.00</w:t>
            </w:r>
          </w:p>
          <w:p w14:paraId="0910E886" w14:textId="77777777" w:rsidR="00446B3E" w:rsidRDefault="00446B3E" w:rsidP="00B03F88">
            <w:r>
              <w:t xml:space="preserve">Benefit: </w:t>
            </w:r>
            <w:r w:rsidR="00B611D3">
              <w:t>75% = $1,800.00 85% = $2,040.00</w:t>
            </w:r>
          </w:p>
          <w:p w14:paraId="68B51BEB" w14:textId="77777777" w:rsidR="00446B3E" w:rsidRDefault="00B611D3" w:rsidP="00B03F88">
            <w:r>
              <w:t>Notes:</w:t>
            </w:r>
          </w:p>
          <w:p w14:paraId="06FCEBE7" w14:textId="77777777" w:rsidR="00446B3E" w:rsidRPr="00F87A18" w:rsidRDefault="00446B3E" w:rsidP="00446B3E">
            <w:pPr>
              <w:pStyle w:val="BulletLast"/>
              <w:ind w:left="720"/>
              <w:rPr>
                <w:sz w:val="24"/>
                <w:szCs w:val="24"/>
                <w:u w:val="single"/>
              </w:rPr>
            </w:pPr>
            <w:r w:rsidRPr="00F87A18">
              <w:rPr>
                <w:sz w:val="24"/>
                <w:szCs w:val="24"/>
                <w:u w:val="single"/>
              </w:rPr>
              <w:t>Trio testing is not encompassed within this item.</w:t>
            </w:r>
          </w:p>
        </w:tc>
      </w:tr>
    </w:tbl>
    <w:p w14:paraId="172BE013" w14:textId="275FC2C7" w:rsidR="00092CCA" w:rsidRDefault="00092CCA">
      <w:r>
        <w:br w:type="page"/>
      </w:r>
    </w:p>
    <w:tbl>
      <w:tblPr>
        <w:tblStyle w:val="TableGrid"/>
        <w:tblW w:w="0" w:type="auto"/>
        <w:tblLook w:val="04A0" w:firstRow="1" w:lastRow="0" w:firstColumn="1" w:lastColumn="0" w:noHBand="0" w:noVBand="1"/>
        <w:tblDescription w:val="proposed MBS item descriptor"/>
      </w:tblPr>
      <w:tblGrid>
        <w:gridCol w:w="9016"/>
      </w:tblGrid>
      <w:tr w:rsidR="00446B3E" w14:paraId="677A7948" w14:textId="77777777" w:rsidTr="003D15F0">
        <w:trPr>
          <w:tblHeader/>
        </w:trPr>
        <w:tc>
          <w:tcPr>
            <w:tcW w:w="9016" w:type="dxa"/>
          </w:tcPr>
          <w:p w14:paraId="5F4AAC49" w14:textId="77777777" w:rsidR="00446B3E" w:rsidRDefault="00B611D3" w:rsidP="00B03F88">
            <w:r>
              <w:lastRenderedPageBreak/>
              <w:t>MBS item number: BBBB1</w:t>
            </w:r>
          </w:p>
          <w:p w14:paraId="4EC05259" w14:textId="77777777" w:rsidR="00446B3E" w:rsidRPr="00551075" w:rsidRDefault="00446B3E" w:rsidP="00B03F88">
            <w:r w:rsidRPr="00551075">
              <w:t>Re-analysis of whole exome data obtained as described under item AAAAA, a</w:t>
            </w:r>
            <w:r w:rsidR="00F87A18">
              <w:t>f</w:t>
            </w:r>
            <w:r w:rsidRPr="00551075">
              <w:t>t</w:t>
            </w:r>
            <w:r w:rsidR="00F87A18">
              <w:t>er</w:t>
            </w:r>
            <w:r w:rsidRPr="00551075">
              <w:t xml:space="preserve"> an interval of not less than 18 months, for characterisation of previously unreported germline gene variants related to the clinical phenotype, in a patient </w:t>
            </w:r>
            <w:r w:rsidR="00F87A18">
              <w:t>aged fifteen</w:t>
            </w:r>
            <w:r w:rsidRPr="00551075">
              <w:t xml:space="preserve"> years or younger with a strong suspicion of a monogenic syndrome, where re-analysis identifies new variants requiring curation, as requested by </w:t>
            </w:r>
            <w:r w:rsidRPr="00E92296">
              <w:rPr>
                <w:u w:val="single"/>
              </w:rPr>
              <w:t>a clinical geneticist or a consultant physician practising as a specialist paediatrician, following consultation with a clinical geneticist</w:t>
            </w:r>
            <w:r>
              <w:rPr>
                <w:u w:val="single"/>
              </w:rPr>
              <w:t>.</w:t>
            </w:r>
          </w:p>
          <w:p w14:paraId="4323F467" w14:textId="77777777" w:rsidR="00446B3E" w:rsidRDefault="00B9190E" w:rsidP="00B03F88">
            <w:r w:rsidRPr="00551075">
              <w:t>Performed no more than on</w:t>
            </w:r>
            <w:r>
              <w:t>ce per patient.</w:t>
            </w:r>
          </w:p>
          <w:p w14:paraId="5563E59D" w14:textId="77777777" w:rsidR="00B611D3" w:rsidRPr="00551075" w:rsidRDefault="00B611D3" w:rsidP="00B03F88">
            <w:r>
              <w:t>Not to be performed in association with BBBB2.</w:t>
            </w:r>
          </w:p>
          <w:p w14:paraId="746C9BD6" w14:textId="77777777" w:rsidR="00446B3E" w:rsidRPr="00551075" w:rsidRDefault="00B611D3" w:rsidP="00B03F88">
            <w:r>
              <w:t>MBS Fee: $650.00</w:t>
            </w:r>
          </w:p>
          <w:p w14:paraId="05A35EDA" w14:textId="77777777" w:rsidR="00446B3E" w:rsidRPr="00551075" w:rsidRDefault="00446B3E" w:rsidP="00B03F88">
            <w:r w:rsidRPr="00551075">
              <w:t>Benefit: 75% = $487.50 8</w:t>
            </w:r>
            <w:r w:rsidR="00B611D3">
              <w:t>5% = $552.50</w:t>
            </w:r>
          </w:p>
        </w:tc>
      </w:tr>
      <w:tr w:rsidR="00446B3E" w14:paraId="769F8E34" w14:textId="77777777" w:rsidTr="00B03F88">
        <w:tc>
          <w:tcPr>
            <w:tcW w:w="9016" w:type="dxa"/>
          </w:tcPr>
          <w:p w14:paraId="608B9FD0" w14:textId="77777777" w:rsidR="00446B3E" w:rsidRPr="00551075" w:rsidRDefault="00B611D3" w:rsidP="00B03F88">
            <w:r>
              <w:t>MBS item number: BBBB2</w:t>
            </w:r>
          </w:p>
          <w:p w14:paraId="677ED48A" w14:textId="77777777" w:rsidR="00446B3E" w:rsidRPr="00551075" w:rsidRDefault="00446B3E" w:rsidP="00B03F88">
            <w:r w:rsidRPr="00551075">
              <w:t>Re-analysis of whole exome data obtained as described under item AAAAA, a</w:t>
            </w:r>
            <w:r w:rsidR="00F87A18">
              <w:t>f</w:t>
            </w:r>
            <w:r w:rsidRPr="00551075">
              <w:t>t</w:t>
            </w:r>
            <w:r w:rsidR="00F87A18">
              <w:t>er</w:t>
            </w:r>
            <w:r w:rsidRPr="00551075">
              <w:t xml:space="preserve"> an interval of not less than 18 months, for characterisation of previously unreported germline gene variants related to the clinical phenotype, in a patient </w:t>
            </w:r>
            <w:r w:rsidR="00F87A18">
              <w:t xml:space="preserve">aged fifteen </w:t>
            </w:r>
            <w:r w:rsidRPr="00551075">
              <w:t xml:space="preserve">years or younger with a strong suspicion of a monogenic syndrome, where the re-analysis obtained as described under item BBBB1 provides no new information or the re-analysis is limited to one or more previously identified variants of uncertain significance, as requested by </w:t>
            </w:r>
            <w:r w:rsidRPr="00E92296">
              <w:rPr>
                <w:u w:val="single"/>
              </w:rPr>
              <w:t>a clinical geneticist or a consultant physician practising as a specialist paediatrician, following consultation with a clinical geneticist</w:t>
            </w:r>
            <w:r w:rsidR="00B611D3">
              <w:t>.</w:t>
            </w:r>
          </w:p>
          <w:p w14:paraId="07AC9425" w14:textId="77777777" w:rsidR="00B611D3" w:rsidRDefault="00B9190E" w:rsidP="00B611D3">
            <w:r w:rsidRPr="00551075">
              <w:t>Performed no more than on</w:t>
            </w:r>
            <w:r>
              <w:t>ce per patient.</w:t>
            </w:r>
          </w:p>
          <w:p w14:paraId="02BBF309" w14:textId="77777777" w:rsidR="00446B3E" w:rsidRPr="00551075" w:rsidRDefault="00B611D3" w:rsidP="00B611D3">
            <w:r>
              <w:t>Not to be performed in association with BBBB1.</w:t>
            </w:r>
          </w:p>
          <w:p w14:paraId="7F675E75" w14:textId="77777777" w:rsidR="00446B3E" w:rsidRPr="00551075" w:rsidRDefault="00B611D3" w:rsidP="00B03F88">
            <w:r>
              <w:t>MBS Fee: $350.00</w:t>
            </w:r>
          </w:p>
          <w:p w14:paraId="3B9FA591" w14:textId="77777777" w:rsidR="00446B3E" w:rsidRPr="00551075" w:rsidRDefault="00446B3E" w:rsidP="00B03F88">
            <w:r w:rsidRPr="00551075">
              <w:t>Benefit: 75% = $262.50 85% = $297.50</w:t>
            </w:r>
          </w:p>
        </w:tc>
      </w:tr>
    </w:tbl>
    <w:p w14:paraId="621F5B9F" w14:textId="77777777" w:rsidR="00446B3E" w:rsidRDefault="00446B3E" w:rsidP="002F7E28">
      <w:pPr>
        <w:pStyle w:val="NormalBeforeBullet"/>
        <w:spacing w:before="240"/>
      </w:pPr>
      <w:r>
        <w:t>MSAC was concerned about item CCCCC being a combination of tests. Although they are all ‘cascade testing’, the purpose of the test differs. MSAC considered that there should be three items for cascade testing:</w:t>
      </w:r>
    </w:p>
    <w:p w14:paraId="680AD0FB" w14:textId="77777777" w:rsidR="00446B3E" w:rsidRDefault="00446B3E" w:rsidP="00446B3E">
      <w:pPr>
        <w:pStyle w:val="Bullet"/>
        <w:ind w:left="720"/>
      </w:pPr>
      <w:r>
        <w:t>CCCC1 for sibling testing</w:t>
      </w:r>
      <w:r w:rsidR="00FE3680">
        <w:t xml:space="preserve"> (which should have a narrower definition of suitable requesters consistent with item AAAAA)</w:t>
      </w:r>
    </w:p>
    <w:p w14:paraId="02000E72" w14:textId="77777777" w:rsidR="00446B3E" w:rsidRDefault="00446B3E" w:rsidP="00446B3E">
      <w:pPr>
        <w:pStyle w:val="Bullet"/>
        <w:ind w:left="720"/>
      </w:pPr>
      <w:r>
        <w:t>CCCC2 for reproductive decision-making</w:t>
      </w:r>
      <w:r w:rsidR="00FE3680">
        <w:t xml:space="preserve"> (which should have a broader definition of suitable requesters consistent with MBS item descriptors for cascade testing in other contexts)</w:t>
      </w:r>
    </w:p>
    <w:p w14:paraId="5736D60C" w14:textId="77777777" w:rsidR="00446B3E" w:rsidRDefault="00446B3E" w:rsidP="002F7E28">
      <w:pPr>
        <w:pStyle w:val="BulletLast"/>
        <w:ind w:left="714" w:hanging="357"/>
      </w:pPr>
      <w:r>
        <w:t>CCCC3 for segregation studies</w:t>
      </w:r>
      <w:r w:rsidR="00FE3680">
        <w:t xml:space="preserve"> (which should have a narrower definition of suitable requesters consistent with item AAAAA)</w:t>
      </w:r>
      <w:r>
        <w:t>.</w:t>
      </w:r>
    </w:p>
    <w:p w14:paraId="0FF1A13A" w14:textId="6379C041" w:rsidR="00092CCA" w:rsidRDefault="00446B3E" w:rsidP="003D15F0">
      <w:pPr>
        <w:spacing w:after="240"/>
      </w:pPr>
      <w:r>
        <w:t>For proposed item</w:t>
      </w:r>
      <w:r w:rsidR="00F87A18">
        <w:t>s</w:t>
      </w:r>
      <w:r>
        <w:t xml:space="preserve"> CCCC1, CCCC2 and CCCC3, MSAC a</w:t>
      </w:r>
      <w:r w:rsidR="00FE3680">
        <w:t xml:space="preserve">dvised that </w:t>
      </w:r>
      <w:r>
        <w:t>the following item descriptors</w:t>
      </w:r>
      <w:r w:rsidR="00B9190E">
        <w:t xml:space="preserve"> </w:t>
      </w:r>
      <w:r w:rsidR="00FE3680">
        <w:t xml:space="preserve">would form a </w:t>
      </w:r>
      <w:r w:rsidR="00B9190E">
        <w:t>suitable basis for further consultation with re-crafted item descriptors to be reviewed by the MSAC Executive</w:t>
      </w:r>
      <w:r>
        <w:t>:</w:t>
      </w:r>
      <w:r w:rsidR="00092CCA">
        <w:br w:type="page"/>
      </w:r>
    </w:p>
    <w:tbl>
      <w:tblPr>
        <w:tblStyle w:val="TableGrid"/>
        <w:tblW w:w="0" w:type="auto"/>
        <w:tblLook w:val="04A0" w:firstRow="1" w:lastRow="0" w:firstColumn="1" w:lastColumn="0" w:noHBand="0" w:noVBand="1"/>
        <w:tblDescription w:val="Proposed MBS item descriptor"/>
      </w:tblPr>
      <w:tblGrid>
        <w:gridCol w:w="9016"/>
      </w:tblGrid>
      <w:tr w:rsidR="00446B3E" w14:paraId="1CBE5AFB" w14:textId="77777777" w:rsidTr="003D15F0">
        <w:trPr>
          <w:tblHeader/>
        </w:trPr>
        <w:tc>
          <w:tcPr>
            <w:tcW w:w="9016" w:type="dxa"/>
          </w:tcPr>
          <w:p w14:paraId="3E1F29CB" w14:textId="77777777" w:rsidR="00446B3E" w:rsidRDefault="00B9190E" w:rsidP="00B03F88">
            <w:r>
              <w:lastRenderedPageBreak/>
              <w:t>MBS item number: CCCC1</w:t>
            </w:r>
          </w:p>
          <w:p w14:paraId="4C933693" w14:textId="77777777" w:rsidR="00446B3E" w:rsidRDefault="00446B3E" w:rsidP="00B03F88">
            <w:r w:rsidRPr="00FD49D1">
              <w:t xml:space="preserve">Detection of a single gene variant for diagnostic purposes, in a sibling of a patient with a known monogenic condition where previous genetic testing performed in accordance with the conditions specified under item AAAAA, BBBB1, or BBBB2 has identified the causative variant and where the results of the previous proband testing is made available to the laboratory, </w:t>
            </w:r>
            <w:r w:rsidRPr="00551075">
              <w:t xml:space="preserve">as requested by </w:t>
            </w:r>
            <w:r w:rsidRPr="00E92296">
              <w:rPr>
                <w:u w:val="single"/>
              </w:rPr>
              <w:t>a clinical geneticist or a consultant physician practising as a specialist paediatrician, following consultation with a clinical geneticist</w:t>
            </w:r>
            <w:r w:rsidRPr="00FD49D1">
              <w:t>.</w:t>
            </w:r>
          </w:p>
          <w:p w14:paraId="46A17979" w14:textId="77777777" w:rsidR="00446B3E" w:rsidRDefault="00446B3E" w:rsidP="00B03F88">
            <w:r w:rsidRPr="00FD49D1">
              <w:t>Not performed in association with item CCCC2</w:t>
            </w:r>
            <w:r w:rsidR="00B9190E">
              <w:t xml:space="preserve"> or CCCC3</w:t>
            </w:r>
            <w:r>
              <w:t>.</w:t>
            </w:r>
          </w:p>
          <w:p w14:paraId="3BBDE927" w14:textId="77777777" w:rsidR="00446B3E" w:rsidRDefault="00446B3E" w:rsidP="00B03F88">
            <w:r w:rsidRPr="00FD49D1">
              <w:t>Performed no more than once per variant per patient</w:t>
            </w:r>
            <w:r>
              <w:t>.</w:t>
            </w:r>
          </w:p>
          <w:p w14:paraId="7FA660F8" w14:textId="77777777" w:rsidR="00446B3E" w:rsidRDefault="00B9190E" w:rsidP="00B03F88">
            <w:r>
              <w:t>MBS Fee: $400.00</w:t>
            </w:r>
          </w:p>
          <w:p w14:paraId="2CE30833" w14:textId="77777777" w:rsidR="00446B3E" w:rsidRDefault="00446B3E" w:rsidP="00B03F88">
            <w:r>
              <w:t>Benefit: 75% = $300.00 85% = $340.00</w:t>
            </w:r>
          </w:p>
        </w:tc>
      </w:tr>
      <w:tr w:rsidR="00446B3E" w14:paraId="111D52B3" w14:textId="77777777" w:rsidTr="00B03F88">
        <w:tc>
          <w:tcPr>
            <w:tcW w:w="9016" w:type="dxa"/>
          </w:tcPr>
          <w:p w14:paraId="4DB5097A" w14:textId="77777777" w:rsidR="00446B3E" w:rsidRDefault="00B9190E" w:rsidP="00B03F88">
            <w:r>
              <w:t>MBS item number: CCCC2</w:t>
            </w:r>
          </w:p>
          <w:p w14:paraId="3539734C" w14:textId="77777777" w:rsidR="00446B3E" w:rsidRDefault="00446B3E" w:rsidP="00B03F88">
            <w:r w:rsidRPr="00FD49D1">
              <w:t>Detection of a single gene variant, for the purpose of reproductive decision making, in a first-degree relative of a patient with a known monogenic condition where previous genetic testing performed in accordance with the conditions specified under item AAAAA</w:t>
            </w:r>
            <w:r w:rsidR="00B9190E">
              <w:t>, BBBB1</w:t>
            </w:r>
            <w:r w:rsidRPr="00FD49D1">
              <w:t xml:space="preserve"> or BBBB</w:t>
            </w:r>
            <w:r w:rsidR="00B9190E">
              <w:t>2</w:t>
            </w:r>
            <w:r w:rsidRPr="00FD49D1">
              <w:t xml:space="preserve"> has identified the causative variant and where the results of the previous proband testing is made available to the laboratory, requested by a consultant physician or specialist.</w:t>
            </w:r>
          </w:p>
          <w:p w14:paraId="78090C9D" w14:textId="77777777" w:rsidR="00446B3E" w:rsidRDefault="00446B3E" w:rsidP="00B03F88">
            <w:r w:rsidRPr="00FD49D1">
              <w:t>Not performed in association with item CCCC</w:t>
            </w:r>
            <w:r>
              <w:t>1</w:t>
            </w:r>
            <w:r w:rsidR="00B9190E">
              <w:t xml:space="preserve"> or CCCC3</w:t>
            </w:r>
            <w:r>
              <w:t>.</w:t>
            </w:r>
          </w:p>
          <w:p w14:paraId="0E35D35B" w14:textId="77777777" w:rsidR="00446B3E" w:rsidRDefault="00446B3E" w:rsidP="00B03F88">
            <w:r w:rsidRPr="00FD49D1">
              <w:t>Performed no more than once per variant per patient</w:t>
            </w:r>
            <w:r>
              <w:t>.</w:t>
            </w:r>
          </w:p>
          <w:p w14:paraId="41FA0853" w14:textId="77777777" w:rsidR="00446B3E" w:rsidRDefault="00B9190E" w:rsidP="00B03F88">
            <w:r>
              <w:t>MBS Fee: $400.00</w:t>
            </w:r>
          </w:p>
          <w:p w14:paraId="301E2FD2" w14:textId="77777777" w:rsidR="00446B3E" w:rsidRDefault="00446B3E" w:rsidP="00B03F88">
            <w:r>
              <w:t>Benefit: 75% = $300.00 85% = $340.00</w:t>
            </w:r>
          </w:p>
        </w:tc>
      </w:tr>
      <w:tr w:rsidR="00446B3E" w14:paraId="0BFE7D08" w14:textId="77777777" w:rsidTr="00B03F88">
        <w:tc>
          <w:tcPr>
            <w:tcW w:w="9016" w:type="dxa"/>
          </w:tcPr>
          <w:p w14:paraId="2CFA547A" w14:textId="77777777" w:rsidR="00446B3E" w:rsidRDefault="002F7E28" w:rsidP="00B03F88">
            <w:r>
              <w:t>MBS item number: CCCC3</w:t>
            </w:r>
          </w:p>
          <w:p w14:paraId="1A878FAF" w14:textId="77777777" w:rsidR="00446B3E" w:rsidRDefault="00446B3E" w:rsidP="00B03F88">
            <w:r w:rsidRPr="00FD49D1">
              <w:t xml:space="preserve">Detection of a single gene variant for segregation purposes, in a parent of a patient with a suspected monogenic condition </w:t>
            </w:r>
            <w:r w:rsidRPr="00FD49D1">
              <w:rPr>
                <w:u w:val="single"/>
              </w:rPr>
              <w:t xml:space="preserve">or </w:t>
            </w:r>
            <w:r>
              <w:rPr>
                <w:u w:val="single"/>
              </w:rPr>
              <w:t xml:space="preserve">in </w:t>
            </w:r>
            <w:r w:rsidRPr="00FD49D1">
              <w:rPr>
                <w:u w:val="single"/>
              </w:rPr>
              <w:t>a sibling of a patient with a known phenotype</w:t>
            </w:r>
            <w:r>
              <w:t>,</w:t>
            </w:r>
            <w:r w:rsidRPr="00FD49D1">
              <w:t xml:space="preserve"> where previous genetic testing performed in accordance with conditions specified under item AAAAA</w:t>
            </w:r>
            <w:r w:rsidR="00B9190E">
              <w:t>, BBBB1</w:t>
            </w:r>
            <w:r w:rsidR="00B9190E" w:rsidRPr="00FD49D1">
              <w:t xml:space="preserve"> or BBBB</w:t>
            </w:r>
            <w:r w:rsidR="00B9190E">
              <w:t>2</w:t>
            </w:r>
            <w:r w:rsidRPr="00FD49D1">
              <w:t xml:space="preserve"> has identified a potentially causative variant and where the results of the previous proband testing is made available to the laboratory, </w:t>
            </w:r>
            <w:r w:rsidRPr="00551075">
              <w:t xml:space="preserve">as requested by </w:t>
            </w:r>
            <w:r w:rsidRPr="00E92296">
              <w:rPr>
                <w:u w:val="single"/>
              </w:rPr>
              <w:t>a clinical geneticist or a consultant physician practising as a specialist paediatrician, following consultation with a clinical geneticist</w:t>
            </w:r>
            <w:r w:rsidRPr="00FD49D1">
              <w:t>.</w:t>
            </w:r>
          </w:p>
          <w:p w14:paraId="5D9FEB5D" w14:textId="77777777" w:rsidR="00446B3E" w:rsidRDefault="00446B3E" w:rsidP="00B03F88">
            <w:r w:rsidRPr="00FD49D1">
              <w:t>Not performed in association with item</w:t>
            </w:r>
            <w:r>
              <w:t>s</w:t>
            </w:r>
            <w:r w:rsidRPr="00FD49D1">
              <w:t xml:space="preserve"> CCCC</w:t>
            </w:r>
            <w:r>
              <w:t>1 or CCCC2.</w:t>
            </w:r>
          </w:p>
          <w:p w14:paraId="5B1530DD" w14:textId="77777777" w:rsidR="00446B3E" w:rsidRDefault="00446B3E" w:rsidP="00B03F88">
            <w:r w:rsidRPr="00FD49D1">
              <w:t>Performed no more than once per parent per variant</w:t>
            </w:r>
            <w:r>
              <w:t>.</w:t>
            </w:r>
          </w:p>
          <w:p w14:paraId="57008592" w14:textId="77777777" w:rsidR="00446B3E" w:rsidRDefault="00B9190E" w:rsidP="00B03F88">
            <w:r>
              <w:t>MBS Fee: $400.00</w:t>
            </w:r>
          </w:p>
          <w:p w14:paraId="4A111279" w14:textId="77777777" w:rsidR="00446B3E" w:rsidRDefault="00446B3E" w:rsidP="00B03F88">
            <w:r>
              <w:t>Benefit: 75% = $300.00 85% = $340.00</w:t>
            </w:r>
          </w:p>
        </w:tc>
      </w:tr>
    </w:tbl>
    <w:p w14:paraId="3D0F63EA" w14:textId="77777777" w:rsidR="00086CD0" w:rsidRDefault="00086CD0">
      <w:pPr>
        <w:rPr>
          <w:rFonts w:ascii="Arial" w:hAnsi="Arial"/>
          <w:b/>
          <w:bCs/>
          <w:szCs w:val="28"/>
        </w:rPr>
      </w:pPr>
      <w:r>
        <w:br w:type="page"/>
      </w:r>
    </w:p>
    <w:p w14:paraId="1278D0D7" w14:textId="77777777" w:rsidR="00E977EE" w:rsidRPr="00F715D1" w:rsidRDefault="00E977EE" w:rsidP="00F715D1">
      <w:pPr>
        <w:pStyle w:val="Heading1"/>
      </w:pPr>
      <w:r w:rsidRPr="00F715D1">
        <w:lastRenderedPageBreak/>
        <w:t>MSAC’s advice to the Minister</w:t>
      </w:r>
      <w:r w:rsidR="00446B3E">
        <w:t xml:space="preserve"> – July 2018 consideration</w:t>
      </w:r>
    </w:p>
    <w:p w14:paraId="3FF090DC" w14:textId="77777777" w:rsidR="00333FD7" w:rsidRDefault="00333FD7" w:rsidP="00333FD7">
      <w:r w:rsidRPr="00CA5587">
        <w:t xml:space="preserve">After considering the strength of the available evidence in relation to comparative safety, clinical effectiveness </w:t>
      </w:r>
      <w:r w:rsidRPr="009B1A8E">
        <w:t>and</w:t>
      </w:r>
      <w:r w:rsidRPr="00CA5587">
        <w:t xml:space="preserve"> cost effectiveness, MSAC did not support</w:t>
      </w:r>
      <w:r>
        <w:t xml:space="preserve"> MBS</w:t>
      </w:r>
      <w:r w:rsidRPr="00CA5587">
        <w:t xml:space="preserve"> funding of</w:t>
      </w:r>
      <w:r>
        <w:t xml:space="preserve"> WEA</w:t>
      </w:r>
      <w:r w:rsidR="00F23318">
        <w:t>-based</w:t>
      </w:r>
      <w:r>
        <w:t xml:space="preserve"> genetic t</w:t>
      </w:r>
      <w:r w:rsidRPr="00840A98">
        <w:t>esting for childhood syndromes</w:t>
      </w:r>
      <w:r>
        <w:rPr>
          <w:color w:val="000000"/>
        </w:rPr>
        <w:t xml:space="preserve"> in affected individuals or </w:t>
      </w:r>
      <w:r w:rsidR="00F23318">
        <w:rPr>
          <w:color w:val="000000"/>
        </w:rPr>
        <w:t>of associated reinterrogation analysis or of cascade testing</w:t>
      </w:r>
      <w:r w:rsidRPr="00295670">
        <w:t>.</w:t>
      </w:r>
    </w:p>
    <w:p w14:paraId="0AF23013" w14:textId="77777777" w:rsidR="00333FD7" w:rsidRPr="00335A16" w:rsidRDefault="00333FD7" w:rsidP="00333FD7">
      <w:pPr>
        <w:spacing w:before="240"/>
      </w:pPr>
      <w:r w:rsidRPr="00295670">
        <w:rPr>
          <w:color w:val="000000"/>
        </w:rPr>
        <w:t xml:space="preserve">MSAC acknowledged the high clinical need for testing to diagnose childhood syndromes and the </w:t>
      </w:r>
      <w:r>
        <w:rPr>
          <w:color w:val="000000"/>
        </w:rPr>
        <w:t xml:space="preserve">potential </w:t>
      </w:r>
      <w:r w:rsidRPr="00295670">
        <w:rPr>
          <w:color w:val="000000"/>
        </w:rPr>
        <w:t xml:space="preserve">benefits this </w:t>
      </w:r>
      <w:r>
        <w:rPr>
          <w:color w:val="000000"/>
        </w:rPr>
        <w:t>could have</w:t>
      </w:r>
      <w:r w:rsidRPr="00295670">
        <w:rPr>
          <w:color w:val="000000"/>
        </w:rPr>
        <w:t xml:space="preserve"> </w:t>
      </w:r>
      <w:r>
        <w:rPr>
          <w:color w:val="000000"/>
        </w:rPr>
        <w:t>for</w:t>
      </w:r>
      <w:r w:rsidRPr="00295670">
        <w:rPr>
          <w:color w:val="000000"/>
        </w:rPr>
        <w:t xml:space="preserve"> patients and their families. </w:t>
      </w:r>
      <w:r>
        <w:rPr>
          <w:color w:val="000000"/>
        </w:rPr>
        <w:t xml:space="preserve">However, </w:t>
      </w:r>
      <w:r w:rsidRPr="00335A16">
        <w:t>MSAC had several major concerns with this application regarding:</w:t>
      </w:r>
    </w:p>
    <w:p w14:paraId="082B0ED0" w14:textId="77777777" w:rsidR="00333FD7" w:rsidRPr="00335A16" w:rsidRDefault="00333FD7" w:rsidP="00333FD7">
      <w:pPr>
        <w:pStyle w:val="ListParagraph"/>
        <w:numPr>
          <w:ilvl w:val="0"/>
          <w:numId w:val="30"/>
        </w:numPr>
        <w:spacing w:after="160"/>
      </w:pPr>
      <w:r w:rsidRPr="00335A16">
        <w:t xml:space="preserve">the breadth and heterogeneity of </w:t>
      </w:r>
      <w:r>
        <w:t>the syndromes</w:t>
      </w:r>
      <w:r w:rsidRPr="00335A16">
        <w:t xml:space="preserve"> included</w:t>
      </w:r>
    </w:p>
    <w:p w14:paraId="76E40718" w14:textId="77777777" w:rsidR="00333FD7" w:rsidRPr="00335A16" w:rsidRDefault="00333FD7" w:rsidP="00333FD7">
      <w:pPr>
        <w:pStyle w:val="ListParagraph"/>
        <w:numPr>
          <w:ilvl w:val="0"/>
          <w:numId w:val="30"/>
        </w:numPr>
        <w:spacing w:after="160"/>
      </w:pPr>
      <w:r>
        <w:t xml:space="preserve">a </w:t>
      </w:r>
      <w:r w:rsidRPr="00335A16">
        <w:t xml:space="preserve">lack of confidence in the </w:t>
      </w:r>
      <w:r>
        <w:t xml:space="preserve">limited </w:t>
      </w:r>
      <w:r w:rsidRPr="00335A16">
        <w:t xml:space="preserve">data provided for effects of changes in </w:t>
      </w:r>
      <w:r>
        <w:t xml:space="preserve">clinical </w:t>
      </w:r>
      <w:r w:rsidRPr="00335A16">
        <w:t xml:space="preserve">management </w:t>
      </w:r>
      <w:r>
        <w:t xml:space="preserve">(including other investigations, treatments and future family planning options) </w:t>
      </w:r>
      <w:r w:rsidRPr="00335A16">
        <w:t xml:space="preserve">and </w:t>
      </w:r>
      <w:r>
        <w:t xml:space="preserve">thus </w:t>
      </w:r>
      <w:r w:rsidRPr="00335A16">
        <w:t>improvement in health outcomes</w:t>
      </w:r>
      <w:r>
        <w:t xml:space="preserve"> overall</w:t>
      </w:r>
    </w:p>
    <w:p w14:paraId="24F11324" w14:textId="77777777" w:rsidR="00333FD7" w:rsidRPr="00335A16" w:rsidRDefault="00333FD7" w:rsidP="00333FD7">
      <w:pPr>
        <w:pStyle w:val="ListParagraph"/>
        <w:numPr>
          <w:ilvl w:val="0"/>
          <w:numId w:val="30"/>
        </w:numPr>
        <w:spacing w:after="160"/>
      </w:pPr>
      <w:r>
        <w:t xml:space="preserve">determining </w:t>
      </w:r>
      <w:r w:rsidRPr="00335A16">
        <w:t>the best type of technology to perform the test</w:t>
      </w:r>
    </w:p>
    <w:p w14:paraId="4F780373" w14:textId="77777777" w:rsidR="00333FD7" w:rsidRPr="00295670" w:rsidRDefault="00333FD7" w:rsidP="00333FD7">
      <w:pPr>
        <w:pStyle w:val="ListParagraph"/>
        <w:numPr>
          <w:ilvl w:val="0"/>
          <w:numId w:val="30"/>
        </w:numPr>
        <w:spacing w:after="160"/>
      </w:pPr>
      <w:r w:rsidRPr="00335A16">
        <w:t>implementation issues such as equity of access</w:t>
      </w:r>
      <w:r>
        <w:t>, ethics of consent,</w:t>
      </w:r>
      <w:r w:rsidRPr="00335A16">
        <w:t xml:space="preserve"> </w:t>
      </w:r>
      <w:r>
        <w:t xml:space="preserve">specialised </w:t>
      </w:r>
      <w:r w:rsidRPr="00335A16">
        <w:t>workforce</w:t>
      </w:r>
      <w:r>
        <w:t xml:space="preserve"> availability, and ability to limit to the proposed target population.</w:t>
      </w:r>
    </w:p>
    <w:p w14:paraId="4A293588" w14:textId="77777777" w:rsidR="00864695" w:rsidRPr="009A3D5C" w:rsidRDefault="00333FD7" w:rsidP="009A3D5C">
      <w:pPr>
        <w:pStyle w:val="Default"/>
        <w:spacing w:after="240"/>
        <w:rPr>
          <w:b/>
          <w:i/>
          <w:color w:val="auto"/>
        </w:rPr>
      </w:pPr>
      <w:r w:rsidRPr="00335A16">
        <w:t>MSAC considered that</w:t>
      </w:r>
      <w:r>
        <w:t>, given the current geographical inequity of access to the test options,</w:t>
      </w:r>
      <w:r w:rsidRPr="00335A16">
        <w:t xml:space="preserve"> a stakeholder meeting </w:t>
      </w:r>
      <w:r>
        <w:t xml:space="preserve">involving consumers, requesters and providers </w:t>
      </w:r>
      <w:r w:rsidRPr="00335A16">
        <w:t xml:space="preserve">to </w:t>
      </w:r>
      <w:r>
        <w:t xml:space="preserve">further </w:t>
      </w:r>
      <w:r w:rsidRPr="00335A16">
        <w:t>discuss the</w:t>
      </w:r>
      <w:r>
        <w:t>se</w:t>
      </w:r>
      <w:r w:rsidRPr="00335A16">
        <w:t xml:space="preserve"> issues would assist to inform </w:t>
      </w:r>
      <w:r>
        <w:t xml:space="preserve">its reconsideration of </w:t>
      </w:r>
      <w:r w:rsidRPr="00335A16">
        <w:t>this application</w:t>
      </w:r>
      <w:r>
        <w:t>.</w:t>
      </w:r>
    </w:p>
    <w:p w14:paraId="29F78BAF" w14:textId="77777777" w:rsidR="00550354" w:rsidRPr="00F715D1" w:rsidRDefault="009A3D5C" w:rsidP="00446B3E">
      <w:pPr>
        <w:pStyle w:val="Heading1"/>
        <w:numPr>
          <w:ilvl w:val="0"/>
          <w:numId w:val="0"/>
        </w:numPr>
        <w:ind w:left="720" w:hanging="720"/>
      </w:pPr>
      <w:r>
        <w:t>Summary</w:t>
      </w:r>
      <w:r w:rsidR="008865CA">
        <w:t xml:space="preserve"> </w:t>
      </w:r>
      <w:r w:rsidR="00550354" w:rsidRPr="00F715D1">
        <w:t xml:space="preserve">of consideration </w:t>
      </w:r>
      <w:r w:rsidR="0008217D">
        <w:t>and rationale for MSAC’s advice</w:t>
      </w:r>
      <w:r w:rsidR="00446B3E">
        <w:t xml:space="preserve"> – July 2018</w:t>
      </w:r>
    </w:p>
    <w:p w14:paraId="18B673EC" w14:textId="77777777" w:rsidR="00852CD0" w:rsidRDefault="00852CD0" w:rsidP="00852CD0">
      <w:r>
        <w:t xml:space="preserve">MSAC noted that this application is </w:t>
      </w:r>
      <w:r w:rsidRPr="00492015">
        <w:t xml:space="preserve">for </w:t>
      </w:r>
      <w:r w:rsidR="00F23318">
        <w:t xml:space="preserve">testing </w:t>
      </w:r>
      <w:r>
        <w:t>for three populations:</w:t>
      </w:r>
    </w:p>
    <w:p w14:paraId="2A89D2D1" w14:textId="77777777" w:rsidR="00852CD0" w:rsidRDefault="00852CD0" w:rsidP="00852CD0">
      <w:pPr>
        <w:pStyle w:val="ListParagraph"/>
        <w:numPr>
          <w:ilvl w:val="0"/>
          <w:numId w:val="31"/>
        </w:numPr>
        <w:spacing w:after="160" w:line="259" w:lineRule="auto"/>
      </w:pPr>
      <w:r>
        <w:t xml:space="preserve">Population 1 – initial testing </w:t>
      </w:r>
      <w:r w:rsidR="00F23318">
        <w:t xml:space="preserve">using </w:t>
      </w:r>
      <w:r w:rsidR="00F23318" w:rsidRPr="00492015">
        <w:t>next</w:t>
      </w:r>
      <w:r w:rsidR="00F23318">
        <w:t>-</w:t>
      </w:r>
      <w:r w:rsidR="00F23318" w:rsidRPr="00492015">
        <w:t xml:space="preserve">generation WEA </w:t>
      </w:r>
      <w:r>
        <w:t xml:space="preserve">for </w:t>
      </w:r>
      <w:r w:rsidR="00F23318">
        <w:t xml:space="preserve">the </w:t>
      </w:r>
      <w:r>
        <w:t>diagnosis of childhood syndromes (</w:t>
      </w:r>
      <w:r w:rsidR="00F23318">
        <w:t xml:space="preserve">to detect </w:t>
      </w:r>
      <w:r>
        <w:t>proband</w:t>
      </w:r>
      <w:r w:rsidR="00F23318">
        <w:t>s in</w:t>
      </w:r>
      <w:r>
        <w:t xml:space="preserve"> children 0–18 years of age)</w:t>
      </w:r>
    </w:p>
    <w:p w14:paraId="04696A9B" w14:textId="77777777" w:rsidR="00852CD0" w:rsidRPr="00A64F0B" w:rsidRDefault="00852CD0" w:rsidP="00852CD0">
      <w:pPr>
        <w:pStyle w:val="ListParagraph"/>
        <w:numPr>
          <w:ilvl w:val="0"/>
          <w:numId w:val="31"/>
        </w:numPr>
        <w:spacing w:after="160" w:line="259" w:lineRule="auto"/>
      </w:pPr>
      <w:r>
        <w:t xml:space="preserve">Population 2 – reinterrogation analysis for patients who did not have a definitive </w:t>
      </w:r>
      <w:r w:rsidR="00610659">
        <w:t xml:space="preserve">molecular </w:t>
      </w:r>
      <w:r>
        <w:t xml:space="preserve">diagnosis at initial </w:t>
      </w:r>
      <w:r w:rsidR="004C5A49">
        <w:t xml:space="preserve">WES </w:t>
      </w:r>
      <w:r w:rsidRPr="00A64F0B">
        <w:t>testing (reanalysing bioinformatics</w:t>
      </w:r>
      <w:r>
        <w:t>,</w:t>
      </w:r>
      <w:r w:rsidRPr="00A64F0B">
        <w:t xml:space="preserve"> not retesting)</w:t>
      </w:r>
    </w:p>
    <w:p w14:paraId="5B2B6525" w14:textId="77777777" w:rsidR="00852CD0" w:rsidRPr="00A64F0B" w:rsidRDefault="00852CD0" w:rsidP="00852CD0">
      <w:pPr>
        <w:pStyle w:val="ListParagraph"/>
        <w:numPr>
          <w:ilvl w:val="0"/>
          <w:numId w:val="31"/>
        </w:numPr>
        <w:spacing w:after="160" w:line="259" w:lineRule="auto"/>
      </w:pPr>
      <w:r>
        <w:t xml:space="preserve">Population 3 – </w:t>
      </w:r>
      <w:r w:rsidRPr="00492015">
        <w:t xml:space="preserve">cascade </w:t>
      </w:r>
      <w:r w:rsidR="00F23318">
        <w:t xml:space="preserve">single gene </w:t>
      </w:r>
      <w:r w:rsidRPr="00492015">
        <w:t xml:space="preserve">testing </w:t>
      </w:r>
      <w:r w:rsidR="00F23318">
        <w:t>o</w:t>
      </w:r>
      <w:r w:rsidRPr="00492015">
        <w:t xml:space="preserve">f </w:t>
      </w:r>
      <w:r>
        <w:t xml:space="preserve">first-degree </w:t>
      </w:r>
      <w:r w:rsidRPr="00492015">
        <w:t>relatives</w:t>
      </w:r>
      <w:r>
        <w:t xml:space="preserve"> of </w:t>
      </w:r>
      <w:r w:rsidR="00F23318">
        <w:t xml:space="preserve">those </w:t>
      </w:r>
      <w:r>
        <w:t xml:space="preserve">affected </w:t>
      </w:r>
      <w:r w:rsidRPr="00A64F0B">
        <w:t>individuals</w:t>
      </w:r>
      <w:r w:rsidR="00F23318">
        <w:t xml:space="preserve"> who are confirmed as having a monogenic childhood syndrome</w:t>
      </w:r>
      <w:r w:rsidRPr="00A64F0B">
        <w:t>.</w:t>
      </w:r>
    </w:p>
    <w:p w14:paraId="2AD4160F" w14:textId="77777777" w:rsidR="00852CD0" w:rsidRDefault="00852CD0" w:rsidP="00852CD0">
      <w:r>
        <w:t>MSAC acknowledged that childhood genetic syndromes include a clinically and genetically heterogeneous group of disorders, many of which have a high clinical need. Patients and their families desire diagnosis to inform clinical management, pro</w:t>
      </w:r>
      <w:r w:rsidR="00F23318">
        <w:t>gnosis and genetic counselling.</w:t>
      </w:r>
    </w:p>
    <w:p w14:paraId="255EFA38" w14:textId="77777777" w:rsidR="00852CD0" w:rsidRDefault="00852CD0" w:rsidP="00852CD0">
      <w:pPr>
        <w:spacing w:before="240"/>
      </w:pPr>
      <w:r>
        <w:t>MSAC noted that this application is limited to monogenic conditions, which typically have their onset in infancy or early childhood. Individual syndromes usually have a constellation of features including dysmorphi</w:t>
      </w:r>
      <w:r w:rsidR="000D08B4">
        <w:t>c facial appearance</w:t>
      </w:r>
      <w:r>
        <w:t>, single or multiple congenital anomalies, and variable degrees of intellectual disability. MSAC noted that children must exhibit at least two of these features to be eligible for WEA</w:t>
      </w:r>
      <w:r w:rsidR="00F23318">
        <w:t xml:space="preserve"> as proposed</w:t>
      </w:r>
      <w:r>
        <w:t xml:space="preserve">. MSAC noted that there is an increasing number of monogenic syndromes that do not satisfy these criteria (e.g. immune </w:t>
      </w:r>
      <w:r w:rsidR="002570D6">
        <w:t>disorders</w:t>
      </w:r>
      <w:r w:rsidR="00F23318">
        <w:t>).</w:t>
      </w:r>
    </w:p>
    <w:p w14:paraId="47B1F5BC" w14:textId="77777777" w:rsidR="008C36FA" w:rsidRDefault="008C36FA" w:rsidP="008C36FA">
      <w:pPr>
        <w:spacing w:before="240"/>
      </w:pPr>
      <w:r>
        <w:t xml:space="preserve">MSAC noted that WEA is a new and </w:t>
      </w:r>
      <w:r w:rsidR="002570D6">
        <w:t xml:space="preserve">rapidly </w:t>
      </w:r>
      <w:r>
        <w:t>evolving technology</w:t>
      </w:r>
      <w:r w:rsidR="002570D6">
        <w:t>.</w:t>
      </w:r>
      <w:r>
        <w:t xml:space="preserve"> There are more than 15,000 entries in </w:t>
      </w:r>
      <w:r w:rsidRPr="00090E4A">
        <w:t xml:space="preserve">OMIM </w:t>
      </w:r>
      <w:r>
        <w:t>(</w:t>
      </w:r>
      <w:r w:rsidRPr="00090E4A">
        <w:t>a full term list of all genetic conditions and phenotypes</w:t>
      </w:r>
      <w:r>
        <w:t>)</w:t>
      </w:r>
      <w:r w:rsidRPr="00090E4A">
        <w:t xml:space="preserve"> </w:t>
      </w:r>
      <w:r>
        <w:t>with a</w:t>
      </w:r>
      <w:r w:rsidRPr="00090E4A">
        <w:t xml:space="preserve">pproximately 50 new entries </w:t>
      </w:r>
      <w:r>
        <w:t xml:space="preserve">being </w:t>
      </w:r>
      <w:r w:rsidRPr="00090E4A">
        <w:t xml:space="preserve">added </w:t>
      </w:r>
      <w:r>
        <w:t>each month</w:t>
      </w:r>
      <w:r w:rsidRPr="00090E4A">
        <w:t>.</w:t>
      </w:r>
      <w:r>
        <w:t xml:space="preserve"> WEA is therefore potentially applicable to many </w:t>
      </w:r>
      <w:r w:rsidR="00730054">
        <w:t xml:space="preserve">other medical </w:t>
      </w:r>
      <w:r>
        <w:t xml:space="preserve">conditions. </w:t>
      </w:r>
      <w:r w:rsidR="006F16A1">
        <w:t xml:space="preserve">MSAC considered that, because WEA technology has uses beyond the </w:t>
      </w:r>
      <w:r w:rsidR="00730054">
        <w:t>proposed</w:t>
      </w:r>
      <w:r w:rsidR="006F16A1">
        <w:t xml:space="preserve"> set of conditions, there </w:t>
      </w:r>
      <w:r w:rsidR="006F16A1" w:rsidRPr="00696E44">
        <w:t xml:space="preserve">is </w:t>
      </w:r>
      <w:r w:rsidR="006F16A1">
        <w:t xml:space="preserve">a high </w:t>
      </w:r>
      <w:r w:rsidR="006F16A1" w:rsidRPr="00696E44">
        <w:t xml:space="preserve">potential for </w:t>
      </w:r>
      <w:r w:rsidR="002570D6">
        <w:t>use outside the intended patient group</w:t>
      </w:r>
      <w:r w:rsidR="006F16A1" w:rsidRPr="00696E44">
        <w:t>.</w:t>
      </w:r>
      <w:r w:rsidR="006F16A1">
        <w:t xml:space="preserve"> MSAC acknowledged that current restrictions on eligibility and referral by a multidisciplinary panel probably limit this risk, but if the scope of testing is broadened, leakage could potentially be extremely large.</w:t>
      </w:r>
    </w:p>
    <w:p w14:paraId="112CFA67" w14:textId="77777777" w:rsidR="00852CD0" w:rsidRDefault="00920EF2" w:rsidP="00852CD0">
      <w:pPr>
        <w:spacing w:before="240"/>
      </w:pPr>
      <w:r>
        <w:lastRenderedPageBreak/>
        <w:t xml:space="preserve">In this context, </w:t>
      </w:r>
      <w:r w:rsidR="00852CD0">
        <w:t xml:space="preserve">MSAC noted potential ethical dilemmas </w:t>
      </w:r>
      <w:r>
        <w:t xml:space="preserve">affecting implementation of MBS funding </w:t>
      </w:r>
      <w:r w:rsidR="00852CD0">
        <w:t xml:space="preserve">arising from whole </w:t>
      </w:r>
      <w:r w:rsidR="00730054">
        <w:t xml:space="preserve">exome or whole </w:t>
      </w:r>
      <w:r w:rsidR="00852CD0">
        <w:t xml:space="preserve">genome sequencing more broadly, including </w:t>
      </w:r>
      <w:r w:rsidR="000D08B4">
        <w:t>the possibility of reporting</w:t>
      </w:r>
      <w:r w:rsidR="00852CD0">
        <w:t xml:space="preserve"> ‘off-target’ mutations </w:t>
      </w:r>
      <w:r w:rsidR="000D08B4">
        <w:t>and variants of unknown significance</w:t>
      </w:r>
      <w:r w:rsidR="00F472F4">
        <w:t xml:space="preserve">, both on initial WES testing and on re-interrogation. These </w:t>
      </w:r>
      <w:r w:rsidR="00852CD0">
        <w:t xml:space="preserve">would require </w:t>
      </w:r>
      <w:r w:rsidR="0012300D">
        <w:t xml:space="preserve">management via informed consent and recourse to subsequent </w:t>
      </w:r>
      <w:r w:rsidR="00852CD0">
        <w:t xml:space="preserve">genetic counselling (with associated cost and </w:t>
      </w:r>
      <w:r w:rsidR="000D08B4">
        <w:t xml:space="preserve">likely </w:t>
      </w:r>
      <w:r w:rsidR="00852CD0">
        <w:t>need for follow-up)</w:t>
      </w:r>
      <w:r w:rsidR="002570D6">
        <w:t>. These analyses may identify</w:t>
      </w:r>
      <w:r w:rsidR="00852CD0">
        <w:t xml:space="preserve"> disorders that have no prevention or treatment, non-paternity, consanguinity or incest. There are also possible forensic uses of </w:t>
      </w:r>
      <w:r w:rsidR="000D08B4">
        <w:t xml:space="preserve">sequencing </w:t>
      </w:r>
      <w:r w:rsidR="00852CD0">
        <w:t>data, and issues around data storage and privacy.</w:t>
      </w:r>
      <w:r w:rsidR="008B22C9">
        <w:t xml:space="preserve"> Consideration should be given to prospectively limiting all WEA reporting to the set of agreed, but evolving, monogenic childhood syndromes clearly curated from the full OMIM to minimise the likelihood of incidental findings that would add to the </w:t>
      </w:r>
      <w:r w:rsidR="002570D6">
        <w:t xml:space="preserve">patient and </w:t>
      </w:r>
      <w:r w:rsidR="008B22C9">
        <w:t>family’s concerns</w:t>
      </w:r>
      <w:r w:rsidR="002570D6">
        <w:t>.</w:t>
      </w:r>
    </w:p>
    <w:p w14:paraId="058EF160" w14:textId="77777777" w:rsidR="00852CD0" w:rsidRDefault="00852CD0" w:rsidP="006F16A1">
      <w:pPr>
        <w:spacing w:before="240"/>
      </w:pPr>
      <w:r>
        <w:t>MSAC noted that four laboratories in Australia are currently authorised to perform WEA (</w:t>
      </w:r>
      <w:r w:rsidR="00730054">
        <w:t xml:space="preserve">including </w:t>
      </w:r>
      <w:r>
        <w:t>initial testing and bioinformatics reanalysis). MSAC noted that limited access to this technology creates equity issues. MSAC noted that testing includes multidisciplinary review of results led by a clinical geneticist attached to the testing laboratory</w:t>
      </w:r>
      <w:r w:rsidR="002570D6">
        <w:t xml:space="preserve">. The </w:t>
      </w:r>
      <w:r w:rsidR="002E3D87">
        <w:t xml:space="preserve">Committee expected </w:t>
      </w:r>
      <w:r w:rsidR="002570D6">
        <w:t xml:space="preserve">that this barrier would serve as a </w:t>
      </w:r>
      <w:r w:rsidR="002E3D87">
        <w:t>system constraint limiting access and equity</w:t>
      </w:r>
      <w:r>
        <w:t xml:space="preserve">. MSAC </w:t>
      </w:r>
      <w:r w:rsidR="002570D6">
        <w:t>noted</w:t>
      </w:r>
      <w:r w:rsidR="00730054">
        <w:t xml:space="preserve"> </w:t>
      </w:r>
      <w:r>
        <w:t xml:space="preserve">that there may be a risk that care of patients would be </w:t>
      </w:r>
      <w:r w:rsidR="002570D6">
        <w:t xml:space="preserve">permanently </w:t>
      </w:r>
      <w:r>
        <w:t xml:space="preserve">transferred from the original referring provider </w:t>
      </w:r>
      <w:r w:rsidR="002570D6">
        <w:t xml:space="preserve">and care setting </w:t>
      </w:r>
      <w:r>
        <w:t xml:space="preserve">to </w:t>
      </w:r>
      <w:r w:rsidR="002570D6">
        <w:t>a</w:t>
      </w:r>
      <w:r w:rsidR="002753C6">
        <w:t xml:space="preserve"> quaternary</w:t>
      </w:r>
      <w:r w:rsidR="002570D6">
        <w:t xml:space="preserve"> </w:t>
      </w:r>
      <w:r>
        <w:t>inst</w:t>
      </w:r>
      <w:r w:rsidR="00730054">
        <w:t xml:space="preserve">itution that </w:t>
      </w:r>
      <w:r w:rsidR="002570D6">
        <w:t xml:space="preserve">provides access to </w:t>
      </w:r>
      <w:r w:rsidR="00730054">
        <w:t>the test.</w:t>
      </w:r>
    </w:p>
    <w:p w14:paraId="57CEACF1" w14:textId="77777777" w:rsidR="00852CD0" w:rsidRDefault="00852CD0" w:rsidP="00E57F95">
      <w:pPr>
        <w:spacing w:before="240"/>
      </w:pPr>
      <w:r>
        <w:t xml:space="preserve">MSAC considered the </w:t>
      </w:r>
      <w:r w:rsidR="00730054">
        <w:t xml:space="preserve">identified </w:t>
      </w:r>
      <w:r>
        <w:t>comparators for each population to be appropriate.</w:t>
      </w:r>
    </w:p>
    <w:p w14:paraId="2ECD74D1" w14:textId="77777777" w:rsidR="00852CD0" w:rsidRPr="00D16868" w:rsidRDefault="00852CD0" w:rsidP="006F16A1">
      <w:pPr>
        <w:spacing w:before="240"/>
      </w:pPr>
      <w:r w:rsidRPr="008063D2">
        <w:t>MSAC noted feedback from the Royal College of Pathologists of Australasia (RCPA)</w:t>
      </w:r>
      <w:r w:rsidRPr="00D16868">
        <w:t xml:space="preserve"> suggesting that gene panels should be included in the comparator. MSAC </w:t>
      </w:r>
      <w:r w:rsidR="00957069">
        <w:t xml:space="preserve">accepted </w:t>
      </w:r>
      <w:r w:rsidRPr="00D16868">
        <w:t>that gene panels should be included in the clinical pathway</w:t>
      </w:r>
      <w:r w:rsidR="00957069">
        <w:t xml:space="preserve"> as a triage test before WES</w:t>
      </w:r>
      <w:r w:rsidRPr="00D16868">
        <w:t xml:space="preserve">. Although </w:t>
      </w:r>
      <w:r w:rsidR="00D14733" w:rsidRPr="00766463">
        <w:t>whole exome sequencing</w:t>
      </w:r>
      <w:r w:rsidR="00D14733" w:rsidRPr="00D16868">
        <w:t xml:space="preserve"> </w:t>
      </w:r>
      <w:r w:rsidR="00D14733">
        <w:t>(</w:t>
      </w:r>
      <w:r w:rsidRPr="00D16868">
        <w:t>WES</w:t>
      </w:r>
      <w:r w:rsidR="00D14733">
        <w:t>)</w:t>
      </w:r>
      <w:r w:rsidRPr="00D16868">
        <w:t xml:space="preserve"> fits into the clinical algorithm, it </w:t>
      </w:r>
      <w:r w:rsidR="000D08B4">
        <w:t>would</w:t>
      </w:r>
      <w:r w:rsidRPr="00D16868">
        <w:t xml:space="preserve"> occur downstream from </w:t>
      </w:r>
      <w:r w:rsidR="00957069">
        <w:t xml:space="preserve">these </w:t>
      </w:r>
      <w:r w:rsidRPr="00D16868">
        <w:t>initial investigations in other centres.</w:t>
      </w:r>
      <w:r w:rsidR="001B6101">
        <w:t xml:space="preserve"> MSAC acknowledged</w:t>
      </w:r>
      <w:r w:rsidR="001B6101" w:rsidRPr="00092106">
        <w:t xml:space="preserve"> </w:t>
      </w:r>
      <w:r w:rsidR="001B6101">
        <w:t xml:space="preserve">advice from the applicant </w:t>
      </w:r>
      <w:r w:rsidR="001B6101" w:rsidRPr="00092106">
        <w:t>that</w:t>
      </w:r>
      <w:r w:rsidR="001B6101">
        <w:t>,</w:t>
      </w:r>
      <w:r w:rsidR="001B6101" w:rsidRPr="00092106">
        <w:t xml:space="preserve"> where a </w:t>
      </w:r>
      <w:r w:rsidR="00610659">
        <w:t xml:space="preserve">molecular </w:t>
      </w:r>
      <w:r w:rsidR="001B6101" w:rsidRPr="00092106">
        <w:t xml:space="preserve">diagnosis is found via </w:t>
      </w:r>
      <w:r w:rsidR="00613E0D">
        <w:t>chromosomal microarray (</w:t>
      </w:r>
      <w:r w:rsidR="001B6101" w:rsidRPr="00092106">
        <w:t>CMA</w:t>
      </w:r>
      <w:r w:rsidR="00613E0D">
        <w:t>)</w:t>
      </w:r>
      <w:r w:rsidR="001B6101" w:rsidRPr="00092106">
        <w:t>, there is likely to be no further utility in carrying out WEA</w:t>
      </w:r>
      <w:r w:rsidR="001B6101">
        <w:t xml:space="preserve">, and </w:t>
      </w:r>
      <w:r w:rsidR="001B6101" w:rsidRPr="00092106">
        <w:t>that secondary confirmation of WES results is not required.</w:t>
      </w:r>
    </w:p>
    <w:p w14:paraId="1B07328C" w14:textId="77777777" w:rsidR="00852CD0" w:rsidRDefault="00852CD0" w:rsidP="00AC4727">
      <w:pPr>
        <w:spacing w:before="240"/>
      </w:pPr>
      <w:r>
        <w:t xml:space="preserve">MSAC </w:t>
      </w:r>
      <w:r w:rsidRPr="00BA1A3D">
        <w:t xml:space="preserve">noted that the </w:t>
      </w:r>
      <w:r w:rsidR="002D6BC9">
        <w:t xml:space="preserve">primary </w:t>
      </w:r>
      <w:r w:rsidR="00303964">
        <w:t xml:space="preserve">Australian </w:t>
      </w:r>
      <w:r w:rsidRPr="00BA1A3D">
        <w:t>evidence</w:t>
      </w:r>
      <w:r w:rsidR="00FE7B20">
        <w:t xml:space="preserve"> for clinical utility in P</w:t>
      </w:r>
      <w:r>
        <w:t>opulation 1 (initial testing) was derived from two studies</w:t>
      </w:r>
      <w:r w:rsidRPr="00BA1A3D">
        <w:t xml:space="preserve"> </w:t>
      </w:r>
      <w:r w:rsidR="00CA0E31">
        <w:t xml:space="preserve">from a single centre </w:t>
      </w:r>
      <w:r w:rsidRPr="00BA1A3D">
        <w:t>involv</w:t>
      </w:r>
      <w:r>
        <w:t>ing</w:t>
      </w:r>
      <w:r w:rsidRPr="00BA1A3D">
        <w:t xml:space="preserve"> small numbers of patients </w:t>
      </w:r>
      <w:r>
        <w:t xml:space="preserve">(Stark 2016, </w:t>
      </w:r>
      <w:r w:rsidR="00303964">
        <w:t xml:space="preserve">46 patients and </w:t>
      </w:r>
      <w:r>
        <w:t>Tan 2017</w:t>
      </w:r>
      <w:r w:rsidR="00303964">
        <w:t>, 23 patients</w:t>
      </w:r>
      <w:r>
        <w:t>). MSAC noted that, in the Tan study, the popula</w:t>
      </w:r>
      <w:r w:rsidR="00AC4727">
        <w:t>tion was described as 2–18 year</w:t>
      </w:r>
      <w:r>
        <w:t xml:space="preserve">s but the oldest patient was </w:t>
      </w:r>
      <w:r w:rsidR="00AC4727">
        <w:t xml:space="preserve">only </w:t>
      </w:r>
      <w:r>
        <w:t xml:space="preserve">10 years of age. MSAC therefore queried the applicability of </w:t>
      </w:r>
      <w:r w:rsidR="002D6BC9">
        <w:t xml:space="preserve">these </w:t>
      </w:r>
      <w:r>
        <w:t>results to the broader target population (0–18 years), the vast majority of</w:t>
      </w:r>
      <w:r w:rsidR="00957069">
        <w:t xml:space="preserve"> whom are under 2 years of age.</w:t>
      </w:r>
    </w:p>
    <w:p w14:paraId="7E2AD64F" w14:textId="77777777" w:rsidR="00852CD0" w:rsidRDefault="00852CD0" w:rsidP="00AC4727">
      <w:pPr>
        <w:spacing w:before="240"/>
      </w:pPr>
      <w:r>
        <w:t xml:space="preserve">MSAC noted that between </w:t>
      </w:r>
      <w:r w:rsidR="00613E0D">
        <w:t xml:space="preserve">26% and 33% </w:t>
      </w:r>
      <w:r w:rsidR="00B57C9E">
        <w:t xml:space="preserve">of </w:t>
      </w:r>
      <w:r>
        <w:t xml:space="preserve">patients with a </w:t>
      </w:r>
      <w:r w:rsidR="00610659">
        <w:t xml:space="preserve">molecular </w:t>
      </w:r>
      <w:r>
        <w:t xml:space="preserve">diagnosis will have a change in clinical management </w:t>
      </w:r>
      <w:r w:rsidR="006D2CCB">
        <w:t>a</w:t>
      </w:r>
      <w:r w:rsidR="00613E0D">
        <w:t>ccording to</w:t>
      </w:r>
      <w:r w:rsidR="006D2CCB">
        <w:t xml:space="preserve"> the three Australian reports </w:t>
      </w:r>
      <w:r w:rsidR="00613E0D">
        <w:t xml:space="preserve">with sample sizes ranging between 23 and 48. However there was </w:t>
      </w:r>
      <w:r>
        <w:t xml:space="preserve">high heterogeneity </w:t>
      </w:r>
      <w:r w:rsidR="00613E0D">
        <w:t xml:space="preserve">in the proportions of actionable diagnoses in the Clark 2018 meta-analysis for WES (18%; 95% CI: 13% to 24%; </w:t>
      </w:r>
      <w:r w:rsidR="00613E0D" w:rsidRPr="00B355C2">
        <w:rPr>
          <w:i/>
        </w:rPr>
        <w:t>I</w:t>
      </w:r>
      <w:r w:rsidR="00613E0D" w:rsidRPr="00B355C2">
        <w:rPr>
          <w:i/>
          <w:vertAlign w:val="superscript"/>
        </w:rPr>
        <w:t>2</w:t>
      </w:r>
      <w:r w:rsidR="00613E0D">
        <w:t xml:space="preserve">: 77%) compared with CMA (6%; 95% CI: 5% to 7%; </w:t>
      </w:r>
      <w:r w:rsidR="00613E0D" w:rsidRPr="00B355C2">
        <w:rPr>
          <w:i/>
        </w:rPr>
        <w:t>I</w:t>
      </w:r>
      <w:r w:rsidR="00613E0D" w:rsidRPr="00B355C2">
        <w:rPr>
          <w:i/>
          <w:vertAlign w:val="superscript"/>
        </w:rPr>
        <w:t>2</w:t>
      </w:r>
      <w:r w:rsidR="00613E0D">
        <w:t>: 42</w:t>
      </w:r>
      <w:r>
        <w:t xml:space="preserve">). </w:t>
      </w:r>
      <w:r w:rsidR="00613E0D">
        <w:t>Further</w:t>
      </w:r>
      <w:r>
        <w:t xml:space="preserve">, it was not clear whether </w:t>
      </w:r>
      <w:r w:rsidR="00006E82">
        <w:t xml:space="preserve">identification of actionable diagnoses resulted in </w:t>
      </w:r>
      <w:r>
        <w:t xml:space="preserve">changes in management. </w:t>
      </w:r>
      <w:r w:rsidRPr="0052196D">
        <w:t>MSAC noted there was only anecdotal evidence for this</w:t>
      </w:r>
      <w:r w:rsidR="00957069">
        <w:t>.</w:t>
      </w:r>
      <w:r w:rsidR="00006E82">
        <w:t xml:space="preserve"> It was less clear </w:t>
      </w:r>
      <w:r w:rsidR="00FA537E">
        <w:t xml:space="preserve">but critical </w:t>
      </w:r>
      <w:r w:rsidR="00006E82">
        <w:t>whether any changes in management led to improved health outcomes for patients. MSAC noted that there was no evidence for this, and no discussion about any consequences of managing false positive diagnoses.</w:t>
      </w:r>
    </w:p>
    <w:p w14:paraId="4C6C9068" w14:textId="77777777" w:rsidR="00852CD0" w:rsidRDefault="00852CD0" w:rsidP="00AC4727">
      <w:pPr>
        <w:spacing w:before="240"/>
      </w:pPr>
      <w:r>
        <w:t>MSAC noted that time to definitive diagnosis was not an endpoint in the Australian studies. MSAC noted evidence from a randomised control trial (NSIGHT1</w:t>
      </w:r>
      <w:r w:rsidR="000A3BE7">
        <w:t xml:space="preserve">; </w:t>
      </w:r>
      <w:r w:rsidR="000A3BE7">
        <w:rPr>
          <w:rStyle w:val="BodyChar"/>
          <w:rFonts w:ascii="Times New Roman" w:hAnsi="Times New Roman" w:cs="Times New Roman"/>
        </w:rPr>
        <w:t xml:space="preserve">Petrikin </w:t>
      </w:r>
      <w:r w:rsidR="000A3BE7" w:rsidRPr="00981880">
        <w:rPr>
          <w:rStyle w:val="BodyChar"/>
          <w:rFonts w:ascii="Times New Roman" w:hAnsi="Times New Roman" w:cs="Times New Roman"/>
        </w:rPr>
        <w:t>2018</w:t>
      </w:r>
      <w:r>
        <w:t xml:space="preserve">), in which time to diagnosis was a secondary objective, showing that use of rapid whole genome </w:t>
      </w:r>
      <w:r>
        <w:lastRenderedPageBreak/>
        <w:t>sequencing (rWGS) in addition to standard testing reduced the median time to diagnosis to 13 days, compared to 107 days for standard testing alone.</w:t>
      </w:r>
      <w:r w:rsidR="000A3BE7">
        <w:t xml:space="preserve"> MSAC considered that the applicability of this result to use of WES in Australia was not clear.</w:t>
      </w:r>
    </w:p>
    <w:p w14:paraId="7BECBB6C" w14:textId="77777777" w:rsidR="00852CD0" w:rsidRDefault="00852CD0" w:rsidP="00AC4727">
      <w:pPr>
        <w:spacing w:before="240"/>
      </w:pPr>
      <w:r>
        <w:t>MSAC noted that</w:t>
      </w:r>
      <w:r w:rsidR="00C93DE1">
        <w:t>, in an Australian study of 73 patients for whom follow-up data were available,</w:t>
      </w:r>
      <w:r>
        <w:t xml:space="preserve"> there were no significant differences in </w:t>
      </w:r>
      <w:r w:rsidR="00C93DE1">
        <w:t xml:space="preserve">mean number of </w:t>
      </w:r>
      <w:r>
        <w:t>hospital admissions</w:t>
      </w:r>
      <w:r w:rsidR="00C93DE1">
        <w:t>, median</w:t>
      </w:r>
      <w:r w:rsidR="00C93DE1" w:rsidRPr="00C93DE1">
        <w:t xml:space="preserve"> </w:t>
      </w:r>
      <w:r w:rsidR="00C93DE1">
        <w:t>days of inpatient care, or mean number of outpatient appointments, either</w:t>
      </w:r>
      <w:r>
        <w:t xml:space="preserve"> before and after </w:t>
      </w:r>
      <w:r w:rsidR="00C93DE1">
        <w:t xml:space="preserve">the introduction of WES, or with or without </w:t>
      </w:r>
      <w:r w:rsidR="00303964">
        <w:t xml:space="preserve">a </w:t>
      </w:r>
      <w:r w:rsidR="00610659">
        <w:t xml:space="preserve">molecular </w:t>
      </w:r>
      <w:r>
        <w:t>diagnosis</w:t>
      </w:r>
      <w:r w:rsidR="00C93DE1">
        <w:t xml:space="preserve"> (Stark, 2018)</w:t>
      </w:r>
      <w:r>
        <w:t>.</w:t>
      </w:r>
    </w:p>
    <w:p w14:paraId="43DF0FAD" w14:textId="77777777" w:rsidR="00852CD0" w:rsidRDefault="00852CD0" w:rsidP="00AC4727">
      <w:pPr>
        <w:spacing w:before="240"/>
      </w:pPr>
      <w:r>
        <w:t xml:space="preserve">MSAC noted that the </w:t>
      </w:r>
      <w:r w:rsidR="00FA537E">
        <w:t xml:space="preserve">proposed </w:t>
      </w:r>
      <w:r>
        <w:t xml:space="preserve">main benefit of </w:t>
      </w:r>
      <w:r w:rsidR="00B7051C">
        <w:t xml:space="preserve">a </w:t>
      </w:r>
      <w:r w:rsidR="00610659">
        <w:t xml:space="preserve">molecular </w:t>
      </w:r>
      <w:r>
        <w:t xml:space="preserve">diagnosis for many patients is the cessation of further diagnostic investigations and </w:t>
      </w:r>
      <w:r w:rsidR="00957069">
        <w:t xml:space="preserve">diagnostic </w:t>
      </w:r>
      <w:r>
        <w:t xml:space="preserve">procedures (the ‘diagnostic odyssey’). This is the main influence </w:t>
      </w:r>
      <w:r w:rsidR="00225E31">
        <w:t xml:space="preserve">of WES </w:t>
      </w:r>
      <w:r>
        <w:t>on quality of life (QoL) for patients and their families. MSAC noted that no QoL data were presented</w:t>
      </w:r>
      <w:r w:rsidR="00C93DE1">
        <w:t xml:space="preserve"> to quantify this influence</w:t>
      </w:r>
      <w:r>
        <w:t>.</w:t>
      </w:r>
    </w:p>
    <w:p w14:paraId="5F6939FC" w14:textId="77777777" w:rsidR="00852CD0" w:rsidRDefault="00B7051C" w:rsidP="00AC4727">
      <w:pPr>
        <w:spacing w:before="240"/>
      </w:pPr>
      <w:r>
        <w:t xml:space="preserve">In this context, MSAC noted the wide heterogeneity </w:t>
      </w:r>
      <w:r w:rsidR="00FB13E1">
        <w:t xml:space="preserve">reported by </w:t>
      </w:r>
      <w:r>
        <w:t>the Clark 2018 meta-analysis of diagnostic yield</w:t>
      </w:r>
      <w:r w:rsidR="00FB13E1">
        <w:t xml:space="preserve"> </w:t>
      </w:r>
      <w:r w:rsidR="00BD4FA9" w:rsidRPr="00766463">
        <w:t>in children (aged 0–18 years)</w:t>
      </w:r>
      <w:r w:rsidR="00BD4FA9">
        <w:t xml:space="preserve">. The </w:t>
      </w:r>
      <w:r w:rsidR="00FB13E1">
        <w:t xml:space="preserve">overall </w:t>
      </w:r>
      <w:r w:rsidR="00BD4FA9">
        <w:t xml:space="preserve">results </w:t>
      </w:r>
      <w:r w:rsidR="00B355C2">
        <w:t xml:space="preserve">for WES across 32 studies </w:t>
      </w:r>
      <w:r w:rsidR="00BD4FA9">
        <w:t>(</w:t>
      </w:r>
      <w:r w:rsidR="00FB13E1">
        <w:t>35%; 95% CI: 31% to 39%</w:t>
      </w:r>
      <w:r w:rsidR="00436662">
        <w:t xml:space="preserve">; </w:t>
      </w:r>
      <w:r w:rsidR="00436662" w:rsidRPr="00B355C2">
        <w:rPr>
          <w:i/>
        </w:rPr>
        <w:t>I</w:t>
      </w:r>
      <w:r w:rsidR="00B355C2" w:rsidRPr="00B355C2">
        <w:rPr>
          <w:i/>
          <w:vertAlign w:val="superscript"/>
        </w:rPr>
        <w:t>2</w:t>
      </w:r>
      <w:r w:rsidR="00B355C2">
        <w:t>: 85%</w:t>
      </w:r>
      <w:r w:rsidR="00FB13E1">
        <w:t>)</w:t>
      </w:r>
      <w:r w:rsidR="00BD4FA9">
        <w:t xml:space="preserve"> were less favourable than</w:t>
      </w:r>
      <w:r>
        <w:t xml:space="preserve"> the </w:t>
      </w:r>
      <w:r w:rsidR="00BD4FA9">
        <w:t>reported yields</w:t>
      </w:r>
      <w:r>
        <w:t xml:space="preserve"> for the two Australian studies </w:t>
      </w:r>
      <w:r w:rsidR="007C320B">
        <w:t>(</w:t>
      </w:r>
      <w:r w:rsidR="005913F7">
        <w:t>57</w:t>
      </w:r>
      <w:r w:rsidR="00FB13E1">
        <w:t xml:space="preserve">%; 95% CI: 46% to 68% for </w:t>
      </w:r>
      <w:r w:rsidR="0012300D">
        <w:t xml:space="preserve">80 patients in </w:t>
      </w:r>
      <w:r w:rsidR="00FB13E1">
        <w:t xml:space="preserve">Stark 2016 and 52%; 95% CI: 37% to 68% for </w:t>
      </w:r>
      <w:r w:rsidR="0012300D">
        <w:t xml:space="preserve">44 patients in </w:t>
      </w:r>
      <w:r w:rsidR="00FB13E1">
        <w:t>Tan 2017)</w:t>
      </w:r>
      <w:r w:rsidR="00B355C2">
        <w:t>.</w:t>
      </w:r>
      <w:r>
        <w:t xml:space="preserve"> </w:t>
      </w:r>
      <w:r w:rsidR="00852CD0" w:rsidRPr="00766463">
        <w:t xml:space="preserve">MSAC noted </w:t>
      </w:r>
      <w:r w:rsidR="00BD4FA9">
        <w:t xml:space="preserve">that this </w:t>
      </w:r>
      <w:r w:rsidR="00852CD0" w:rsidRPr="00766463">
        <w:t xml:space="preserve">meta-analysis </w:t>
      </w:r>
      <w:r w:rsidR="00BD4FA9">
        <w:t xml:space="preserve">also compared WES </w:t>
      </w:r>
      <w:r w:rsidR="00852CD0" w:rsidRPr="00766463">
        <w:t xml:space="preserve">diagnostic </w:t>
      </w:r>
      <w:r>
        <w:t>yield</w:t>
      </w:r>
      <w:r w:rsidR="00083868">
        <w:t xml:space="preserve"> with that </w:t>
      </w:r>
      <w:r w:rsidR="00852CD0" w:rsidRPr="00766463">
        <w:t>for whole genome sequencing (WGS) and CMA. MSAC noted that</w:t>
      </w:r>
      <w:r w:rsidR="00B355C2">
        <w:t>,</w:t>
      </w:r>
      <w:r w:rsidR="00B355C2" w:rsidRPr="00B355C2">
        <w:t xml:space="preserve"> </w:t>
      </w:r>
      <w:r w:rsidR="00B355C2">
        <w:t>across seven studies,</w:t>
      </w:r>
      <w:r w:rsidR="00852CD0" w:rsidRPr="00766463">
        <w:t xml:space="preserve"> WGS </w:t>
      </w:r>
      <w:r w:rsidR="00BD4FA9">
        <w:t>(41%; 95% CI: 34% to 48%</w:t>
      </w:r>
      <w:r w:rsidR="00B355C2">
        <w:t xml:space="preserve">; </w:t>
      </w:r>
      <w:r w:rsidR="00B355C2" w:rsidRPr="00B355C2">
        <w:rPr>
          <w:i/>
        </w:rPr>
        <w:t>I</w:t>
      </w:r>
      <w:r w:rsidR="00B355C2" w:rsidRPr="00B355C2">
        <w:rPr>
          <w:i/>
          <w:vertAlign w:val="superscript"/>
        </w:rPr>
        <w:t>2</w:t>
      </w:r>
      <w:r w:rsidR="00B355C2">
        <w:t>: 44%</w:t>
      </w:r>
      <w:r w:rsidR="00BD4FA9">
        <w:t xml:space="preserve">) </w:t>
      </w:r>
      <w:r w:rsidR="00852CD0">
        <w:t xml:space="preserve">appeared to </w:t>
      </w:r>
      <w:r w:rsidR="00852CD0" w:rsidRPr="00766463">
        <w:t>ha</w:t>
      </w:r>
      <w:r w:rsidR="00852CD0">
        <w:t>ve</w:t>
      </w:r>
      <w:r w:rsidR="00852CD0" w:rsidRPr="00766463">
        <w:t xml:space="preserve"> a higher diagnostic yield than WES, and both were superior to CMA</w:t>
      </w:r>
      <w:r w:rsidR="00BD4FA9">
        <w:t xml:space="preserve"> </w:t>
      </w:r>
      <w:r w:rsidR="00B355C2">
        <w:t xml:space="preserve">across thirteen studies </w:t>
      </w:r>
      <w:r w:rsidR="00BD4FA9">
        <w:t>(10%; 95</w:t>
      </w:r>
      <w:r w:rsidR="00CB6866">
        <w:t>%</w:t>
      </w:r>
      <w:r w:rsidR="00BD4FA9">
        <w:t xml:space="preserve"> </w:t>
      </w:r>
      <w:r w:rsidR="00CB6866">
        <w:t>CI: 8% to 12%</w:t>
      </w:r>
      <w:r w:rsidR="00B355C2">
        <w:t xml:space="preserve">; </w:t>
      </w:r>
      <w:r w:rsidR="00B355C2" w:rsidRPr="00B355C2">
        <w:rPr>
          <w:i/>
        </w:rPr>
        <w:t>I</w:t>
      </w:r>
      <w:r w:rsidR="00B355C2" w:rsidRPr="00B355C2">
        <w:rPr>
          <w:i/>
          <w:vertAlign w:val="superscript"/>
        </w:rPr>
        <w:t>2</w:t>
      </w:r>
      <w:r w:rsidR="00B355C2">
        <w:t>: 81%</w:t>
      </w:r>
      <w:r w:rsidR="00CB6866">
        <w:t>).</w:t>
      </w:r>
      <w:r w:rsidR="00852CD0">
        <w:t xml:space="preserve"> MSAC </w:t>
      </w:r>
      <w:r w:rsidR="00CB6866">
        <w:t xml:space="preserve">also </w:t>
      </w:r>
      <w:r w:rsidR="00852CD0">
        <w:t xml:space="preserve">noted </w:t>
      </w:r>
      <w:r w:rsidR="00CB6866">
        <w:t xml:space="preserve">that, when combining WES and WGS studies, the pooled yields from </w:t>
      </w:r>
      <w:r w:rsidR="00B355C2">
        <w:t xml:space="preserve">nineteen </w:t>
      </w:r>
      <w:r w:rsidR="00CB6866">
        <w:t>hospital-based studies (41%; 95% CI: 38% to 45%</w:t>
      </w:r>
      <w:r w:rsidR="00B355C2">
        <w:t xml:space="preserve">; </w:t>
      </w:r>
      <w:r w:rsidR="00B355C2" w:rsidRPr="00B355C2">
        <w:rPr>
          <w:i/>
        </w:rPr>
        <w:t>I</w:t>
      </w:r>
      <w:r w:rsidR="00B355C2" w:rsidRPr="00B355C2">
        <w:rPr>
          <w:i/>
          <w:vertAlign w:val="superscript"/>
        </w:rPr>
        <w:t>2</w:t>
      </w:r>
      <w:r w:rsidR="00B355C2">
        <w:t>: 50%</w:t>
      </w:r>
      <w:r w:rsidR="00CB6866">
        <w:t xml:space="preserve">), which included the two Australian studies, also mostly generated higher yields than across the </w:t>
      </w:r>
      <w:r w:rsidR="00B355C2">
        <w:t xml:space="preserve">eleven </w:t>
      </w:r>
      <w:r w:rsidR="00CB6866">
        <w:t>studies from reference laboratories (28%; 95% CI: 24% to 32%</w:t>
      </w:r>
      <w:r w:rsidR="00B355C2">
        <w:t xml:space="preserve">; </w:t>
      </w:r>
      <w:r w:rsidR="00B355C2" w:rsidRPr="00B355C2">
        <w:rPr>
          <w:i/>
        </w:rPr>
        <w:t>I</w:t>
      </w:r>
      <w:r w:rsidR="00B355C2" w:rsidRPr="00B355C2">
        <w:rPr>
          <w:i/>
          <w:vertAlign w:val="superscript"/>
        </w:rPr>
        <w:t>2</w:t>
      </w:r>
      <w:r w:rsidR="00B355C2">
        <w:t>: 81%</w:t>
      </w:r>
      <w:r w:rsidR="00CB6866">
        <w:t>)</w:t>
      </w:r>
      <w:r w:rsidR="00852CD0" w:rsidRPr="00766463">
        <w:t>.</w:t>
      </w:r>
      <w:r w:rsidR="00006E82">
        <w:t xml:space="preserve"> MSAC considered there may be publication bias and possible trends in diagnostic yi</w:t>
      </w:r>
      <w:r w:rsidR="009A2BE2">
        <w:t>el</w:t>
      </w:r>
      <w:r w:rsidR="00006E82">
        <w:t>d over time, but substantial unexplained heterogeneity in diagnostic yield overall</w:t>
      </w:r>
      <w:r w:rsidR="00082703">
        <w:t>.</w:t>
      </w:r>
    </w:p>
    <w:p w14:paraId="62E26617" w14:textId="77777777" w:rsidR="00852CD0" w:rsidRDefault="00852CD0" w:rsidP="00D14733">
      <w:pPr>
        <w:spacing w:before="240"/>
      </w:pPr>
      <w:r>
        <w:t xml:space="preserve">MSAC noted that improved diagnostic certainty in </w:t>
      </w:r>
      <w:r w:rsidR="00957069">
        <w:t>a</w:t>
      </w:r>
      <w:r>
        <w:t xml:space="preserve"> proband could serve to restore reproductive confidence for the child’s parents. </w:t>
      </w:r>
      <w:r w:rsidR="00225E31">
        <w:t>The</w:t>
      </w:r>
      <w:r>
        <w:t xml:space="preserve"> study by Stark (2018) </w:t>
      </w:r>
      <w:r w:rsidR="00225E31">
        <w:t xml:space="preserve">reported </w:t>
      </w:r>
      <w:r>
        <w:t xml:space="preserve">that </w:t>
      </w:r>
      <w:r w:rsidR="00225E31">
        <w:t xml:space="preserve">fourteen </w:t>
      </w:r>
      <w:r>
        <w:t xml:space="preserve">couples </w:t>
      </w:r>
      <w:r w:rsidRPr="00F908A6">
        <w:t xml:space="preserve">with diagnosed children </w:t>
      </w:r>
      <w:r w:rsidR="00225E31">
        <w:t xml:space="preserve">and two couples with undiagnosed children sought </w:t>
      </w:r>
      <w:r w:rsidRPr="00F908A6">
        <w:t xml:space="preserve">advice from reproductive genetic services. Early identification of couples at high or low risk </w:t>
      </w:r>
      <w:r w:rsidR="00225E31">
        <w:t xml:space="preserve">would </w:t>
      </w:r>
      <w:r w:rsidRPr="00F908A6">
        <w:t xml:space="preserve">allow them to make decisions about accessing reproductive technologies and testing, including prenatal/preimplantation genetic </w:t>
      </w:r>
      <w:r>
        <w:t>diagnosis.</w:t>
      </w:r>
    </w:p>
    <w:p w14:paraId="22736FA0" w14:textId="77777777" w:rsidR="00852CD0" w:rsidRDefault="00852CD0" w:rsidP="00D14733">
      <w:pPr>
        <w:spacing w:before="240"/>
      </w:pPr>
      <w:r w:rsidRPr="00D04655">
        <w:rPr>
          <w:color w:val="000000"/>
        </w:rPr>
        <w:t>MSAC considered that</w:t>
      </w:r>
      <w:r>
        <w:rPr>
          <w:color w:val="000000"/>
        </w:rPr>
        <w:t>,</w:t>
      </w:r>
      <w:r w:rsidRPr="00D04655">
        <w:rPr>
          <w:color w:val="000000"/>
        </w:rPr>
        <w:t xml:space="preserve"> although reinterrogation analysis </w:t>
      </w:r>
      <w:r w:rsidR="00B57C9E">
        <w:rPr>
          <w:color w:val="000000"/>
        </w:rPr>
        <w:t>in P</w:t>
      </w:r>
      <w:r w:rsidR="00B7051C">
        <w:rPr>
          <w:color w:val="000000"/>
        </w:rPr>
        <w:t xml:space="preserve">opulation 2 </w:t>
      </w:r>
      <w:r>
        <w:rPr>
          <w:color w:val="000000"/>
        </w:rPr>
        <w:t xml:space="preserve">seemed to </w:t>
      </w:r>
      <w:r w:rsidRPr="00D04655">
        <w:rPr>
          <w:color w:val="000000"/>
        </w:rPr>
        <w:t xml:space="preserve">reduce the time to diagnosis, this was based </w:t>
      </w:r>
      <w:r>
        <w:rPr>
          <w:color w:val="000000"/>
        </w:rPr>
        <w:t>on studies with</w:t>
      </w:r>
      <w:r w:rsidRPr="00D04655">
        <w:rPr>
          <w:color w:val="000000"/>
        </w:rPr>
        <w:t xml:space="preserve"> small numbers</w:t>
      </w:r>
      <w:r>
        <w:rPr>
          <w:color w:val="000000"/>
        </w:rPr>
        <w:t>,</w:t>
      </w:r>
      <w:r w:rsidRPr="00D04655">
        <w:rPr>
          <w:color w:val="000000"/>
        </w:rPr>
        <w:t xml:space="preserve"> and no cost or utility information</w:t>
      </w:r>
      <w:r w:rsidR="004C693C">
        <w:rPr>
          <w:color w:val="000000"/>
        </w:rPr>
        <w:t xml:space="preserve"> was provided for this service</w:t>
      </w:r>
      <w:r w:rsidRPr="00D04655">
        <w:rPr>
          <w:color w:val="000000"/>
        </w:rPr>
        <w:t xml:space="preserve">. </w:t>
      </w:r>
      <w:r>
        <w:t xml:space="preserve">MSAC noted that the clinical evidence for this population was derived from two studies (Stark </w:t>
      </w:r>
      <w:r w:rsidRPr="008C62F9">
        <w:t>2018</w:t>
      </w:r>
      <w:r>
        <w:t>,</w:t>
      </w:r>
      <w:r w:rsidRPr="008C62F9">
        <w:t xml:space="preserve"> Nambot 2017). MSAC noted that the diagnostic yield of WES data reanalysis </w:t>
      </w:r>
      <w:r w:rsidR="004C693C">
        <w:t xml:space="preserve">for 29 infants aged 0-2 years </w:t>
      </w:r>
      <w:r w:rsidRPr="008C62F9">
        <w:t xml:space="preserve">was </w:t>
      </w:r>
      <w:r w:rsidR="004C693C">
        <w:t>4 (</w:t>
      </w:r>
      <w:r w:rsidRPr="008C62F9">
        <w:t>1</w:t>
      </w:r>
      <w:r w:rsidR="00486832">
        <w:t>4</w:t>
      </w:r>
      <w:r w:rsidRPr="008C62F9">
        <w:t>%</w:t>
      </w:r>
      <w:r w:rsidR="004C693C">
        <w:t>) further diagnoses</w:t>
      </w:r>
      <w:r w:rsidRPr="008C62F9">
        <w:t xml:space="preserve"> (Stark</w:t>
      </w:r>
      <w:r w:rsidR="004C693C">
        <w:t xml:space="preserve"> 2018</w:t>
      </w:r>
      <w:r w:rsidRPr="008C62F9">
        <w:t xml:space="preserve">). The Nambot </w:t>
      </w:r>
      <w:r w:rsidR="004C693C">
        <w:t xml:space="preserve">2017 </w:t>
      </w:r>
      <w:r w:rsidRPr="008C62F9">
        <w:t xml:space="preserve">study showed a cumulative diagnostic yield </w:t>
      </w:r>
      <w:r w:rsidR="004C693C">
        <w:t xml:space="preserve">across 416 patients </w:t>
      </w:r>
      <w:r w:rsidRPr="008C62F9">
        <w:t xml:space="preserve">of </w:t>
      </w:r>
      <w:r w:rsidR="004C693C">
        <w:t>128 (</w:t>
      </w:r>
      <w:r w:rsidRPr="008C62F9">
        <w:t>3</w:t>
      </w:r>
      <w:r w:rsidR="00486832">
        <w:t>1</w:t>
      </w:r>
      <w:r w:rsidRPr="008C62F9">
        <w:t>%</w:t>
      </w:r>
      <w:r w:rsidR="004C693C">
        <w:t>)</w:t>
      </w:r>
      <w:r w:rsidRPr="008C62F9">
        <w:t xml:space="preserve"> after two reanalyses</w:t>
      </w:r>
      <w:r w:rsidR="004C693C">
        <w:t xml:space="preserve"> over three years</w:t>
      </w:r>
      <w:r w:rsidRPr="008C62F9">
        <w:t>.</w:t>
      </w:r>
      <w:r w:rsidRPr="002A3CF9">
        <w:rPr>
          <w:color w:val="000000"/>
        </w:rPr>
        <w:t xml:space="preserve"> </w:t>
      </w:r>
      <w:r w:rsidRPr="00D04655">
        <w:rPr>
          <w:color w:val="000000"/>
        </w:rPr>
        <w:t xml:space="preserve">MSAC </w:t>
      </w:r>
      <w:r>
        <w:rPr>
          <w:color w:val="000000"/>
        </w:rPr>
        <w:t>queried whether</w:t>
      </w:r>
      <w:r w:rsidRPr="00D04655">
        <w:rPr>
          <w:color w:val="000000"/>
        </w:rPr>
        <w:t xml:space="preserve"> the additional benefit of reanalysis </w:t>
      </w:r>
      <w:r>
        <w:rPr>
          <w:color w:val="000000"/>
        </w:rPr>
        <w:t xml:space="preserve">would </w:t>
      </w:r>
      <w:r w:rsidRPr="00D04655">
        <w:rPr>
          <w:color w:val="000000"/>
        </w:rPr>
        <w:t>narrow over time</w:t>
      </w:r>
      <w:r>
        <w:rPr>
          <w:color w:val="000000"/>
        </w:rPr>
        <w:t xml:space="preserve"> – as initial testing improves, the incremental diagnostic </w:t>
      </w:r>
      <w:r w:rsidR="00B7051C">
        <w:rPr>
          <w:color w:val="000000"/>
        </w:rPr>
        <w:t>yield</w:t>
      </w:r>
      <w:r>
        <w:rPr>
          <w:color w:val="000000"/>
        </w:rPr>
        <w:t xml:space="preserve"> of reinterrogation may plateau or decrease</w:t>
      </w:r>
      <w:r w:rsidRPr="00D04655">
        <w:rPr>
          <w:color w:val="000000"/>
        </w:rPr>
        <w:t xml:space="preserve">. </w:t>
      </w:r>
      <w:r>
        <w:rPr>
          <w:color w:val="000000"/>
        </w:rPr>
        <w:t xml:space="preserve">MSAC </w:t>
      </w:r>
      <w:r w:rsidR="00D14733">
        <w:rPr>
          <w:color w:val="000000"/>
        </w:rPr>
        <w:t xml:space="preserve">also </w:t>
      </w:r>
      <w:r>
        <w:rPr>
          <w:color w:val="000000"/>
        </w:rPr>
        <w:t xml:space="preserve">queried the optimal reanalysis interval and </w:t>
      </w:r>
      <w:r w:rsidR="00303964">
        <w:rPr>
          <w:color w:val="000000"/>
        </w:rPr>
        <w:t xml:space="preserve">overall </w:t>
      </w:r>
      <w:r w:rsidRPr="00D04655">
        <w:rPr>
          <w:color w:val="000000"/>
        </w:rPr>
        <w:t>number of repeats</w:t>
      </w:r>
      <w:r>
        <w:rPr>
          <w:color w:val="000000"/>
        </w:rPr>
        <w:t xml:space="preserve">. </w:t>
      </w:r>
      <w:r>
        <w:t xml:space="preserve">MSAC </w:t>
      </w:r>
      <w:r w:rsidR="00D14733">
        <w:t>noted</w:t>
      </w:r>
      <w:r w:rsidRPr="00092106">
        <w:t xml:space="preserve"> </w:t>
      </w:r>
      <w:r>
        <w:t xml:space="preserve">advice from the applicant that the rate </w:t>
      </w:r>
      <w:r w:rsidRPr="00092106">
        <w:t>of incidental findings during reanalysis of the initial sequence is lower than the initial analysis itself.</w:t>
      </w:r>
    </w:p>
    <w:p w14:paraId="418E1CD9" w14:textId="77777777" w:rsidR="00852CD0" w:rsidRDefault="00852CD0" w:rsidP="00D14733">
      <w:pPr>
        <w:spacing w:before="240"/>
        <w:rPr>
          <w:color w:val="000000"/>
        </w:rPr>
      </w:pPr>
      <w:r w:rsidRPr="00D04655">
        <w:rPr>
          <w:color w:val="000000"/>
        </w:rPr>
        <w:t xml:space="preserve">MSAC noted that cascade testing </w:t>
      </w:r>
      <w:r w:rsidR="00FE7B20">
        <w:rPr>
          <w:color w:val="000000"/>
        </w:rPr>
        <w:t>in P</w:t>
      </w:r>
      <w:r w:rsidR="00B7051C">
        <w:rPr>
          <w:color w:val="000000"/>
        </w:rPr>
        <w:t xml:space="preserve">opulation 3 </w:t>
      </w:r>
      <w:r w:rsidRPr="00D04655">
        <w:rPr>
          <w:color w:val="000000"/>
        </w:rPr>
        <w:t>is directed by detectio</w:t>
      </w:r>
      <w:r w:rsidR="00D14733">
        <w:rPr>
          <w:color w:val="000000"/>
        </w:rPr>
        <w:t xml:space="preserve">n of a mutation in </w:t>
      </w:r>
      <w:r w:rsidR="00852827">
        <w:rPr>
          <w:color w:val="000000"/>
        </w:rPr>
        <w:t>a</w:t>
      </w:r>
      <w:r w:rsidR="00D14733">
        <w:rPr>
          <w:color w:val="000000"/>
        </w:rPr>
        <w:t xml:space="preserve"> proband</w:t>
      </w:r>
      <w:r w:rsidR="00FE7B20">
        <w:rPr>
          <w:color w:val="000000"/>
        </w:rPr>
        <w:t xml:space="preserve"> identified in P</w:t>
      </w:r>
      <w:r w:rsidR="00303964">
        <w:rPr>
          <w:color w:val="000000"/>
        </w:rPr>
        <w:t>opulations 1 or 2</w:t>
      </w:r>
      <w:r w:rsidR="00D14733">
        <w:rPr>
          <w:color w:val="000000"/>
        </w:rPr>
        <w:t xml:space="preserve">. </w:t>
      </w:r>
      <w:r>
        <w:t xml:space="preserve">MSAC noted clinical evidence for this population was derived from </w:t>
      </w:r>
      <w:r w:rsidR="00B7051C">
        <w:t xml:space="preserve">one </w:t>
      </w:r>
      <w:r>
        <w:t>follow-up study</w:t>
      </w:r>
      <w:r w:rsidR="00B7051C">
        <w:t xml:space="preserve"> (Stark 2018)</w:t>
      </w:r>
      <w:r>
        <w:t xml:space="preserve">. </w:t>
      </w:r>
      <w:r w:rsidRPr="00140C63">
        <w:t xml:space="preserve">Of the 88 eligible first-degree relatives </w:t>
      </w:r>
      <w:r w:rsidRPr="00140C63">
        <w:lastRenderedPageBreak/>
        <w:t>of infants</w:t>
      </w:r>
      <w:r w:rsidR="00303964">
        <w:t xml:space="preserve"> aged 0-2 years</w:t>
      </w:r>
      <w:r w:rsidRPr="00140C63">
        <w:t xml:space="preserve"> diagnosed by WES (infants in </w:t>
      </w:r>
      <w:r w:rsidR="00225E31">
        <w:t xml:space="preserve">the </w:t>
      </w:r>
      <w:r w:rsidRPr="00140C63">
        <w:t>Stark 2016 study), 79 underwent cascade testing</w:t>
      </w:r>
      <w:r>
        <w:t>,</w:t>
      </w:r>
      <w:r w:rsidRPr="00140C63">
        <w:t xml:space="preserve"> </w:t>
      </w:r>
      <w:r>
        <w:t>o</w:t>
      </w:r>
      <w:r w:rsidRPr="00140C63">
        <w:t>f</w:t>
      </w:r>
      <w:r>
        <w:t xml:space="preserve"> whom</w:t>
      </w:r>
      <w:r w:rsidRPr="00140C63">
        <w:t xml:space="preserve"> 12 received a molecular diagnosis (compared </w:t>
      </w:r>
      <w:r>
        <w:t>with</w:t>
      </w:r>
      <w:r w:rsidRPr="00140C63">
        <w:t xml:space="preserve"> 5 diagnosed by standard testing</w:t>
      </w:r>
      <w:r>
        <w:t xml:space="preserve">), a </w:t>
      </w:r>
      <w:r w:rsidRPr="00140C63">
        <w:t xml:space="preserve">diagnostic yield of 15%. </w:t>
      </w:r>
      <w:r>
        <w:t>O</w:t>
      </w:r>
      <w:r w:rsidRPr="00140C63">
        <w:t>f the 12</w:t>
      </w:r>
      <w:r w:rsidR="00D14733">
        <w:t> </w:t>
      </w:r>
      <w:r>
        <w:t xml:space="preserve">diagnosed, 3 </w:t>
      </w:r>
      <w:r w:rsidR="00C93DE1">
        <w:t xml:space="preserve">(25%) </w:t>
      </w:r>
      <w:r>
        <w:t xml:space="preserve">had a change in management. However, MSAC noted the low confidence in this data due to the small numbers in this study. </w:t>
      </w:r>
      <w:r w:rsidRPr="00D04655">
        <w:rPr>
          <w:color w:val="000000"/>
        </w:rPr>
        <w:t xml:space="preserve">MSAC acknowledged that </w:t>
      </w:r>
      <w:r w:rsidR="00DA2BC6">
        <w:rPr>
          <w:color w:val="000000"/>
        </w:rPr>
        <w:t xml:space="preserve">a molecular </w:t>
      </w:r>
      <w:r w:rsidRPr="00D04655">
        <w:rPr>
          <w:color w:val="000000"/>
        </w:rPr>
        <w:t>diagnosis appears to influence genetic counselling in future pregnancies.</w:t>
      </w:r>
    </w:p>
    <w:p w14:paraId="03F594DE" w14:textId="77777777" w:rsidR="00852CD0" w:rsidRDefault="00852CD0" w:rsidP="00D14733">
      <w:pPr>
        <w:spacing w:before="240"/>
      </w:pPr>
      <w:r>
        <w:t>MSAC noted feedback from G</w:t>
      </w:r>
      <w:r w:rsidRPr="009B0100">
        <w:t xml:space="preserve">enetics and </w:t>
      </w:r>
      <w:r>
        <w:t>R</w:t>
      </w:r>
      <w:r w:rsidRPr="009B0100">
        <w:t xml:space="preserve">are </w:t>
      </w:r>
      <w:r>
        <w:t>D</w:t>
      </w:r>
      <w:r w:rsidRPr="009B0100">
        <w:t xml:space="preserve">iseases </w:t>
      </w:r>
      <w:r>
        <w:t>N</w:t>
      </w:r>
      <w:r w:rsidRPr="009B0100">
        <w:t xml:space="preserve">etwork </w:t>
      </w:r>
      <w:r>
        <w:t xml:space="preserve">(GARDN) and </w:t>
      </w:r>
      <w:r w:rsidRPr="00B364D4">
        <w:t xml:space="preserve">Predisposition Genetic Testing Working Group </w:t>
      </w:r>
      <w:r>
        <w:t>(PGTWG) expressing concern about the potential impact of increasing numbers of diagnoses on the clinical genetics workforce capacity.</w:t>
      </w:r>
    </w:p>
    <w:p w14:paraId="7F5CA890" w14:textId="77777777" w:rsidR="00852CD0" w:rsidRDefault="00852CD0" w:rsidP="00D14733">
      <w:pPr>
        <w:spacing w:before="240"/>
      </w:pPr>
      <w:r>
        <w:t xml:space="preserve">MSAC </w:t>
      </w:r>
      <w:r w:rsidR="00D14733">
        <w:t>considered there were</w:t>
      </w:r>
      <w:r>
        <w:t xml:space="preserve"> a number of issues with the economic model:</w:t>
      </w:r>
    </w:p>
    <w:p w14:paraId="20BBAB0E" w14:textId="77777777" w:rsidR="00852CD0" w:rsidRDefault="00852CD0" w:rsidP="00D14733">
      <w:pPr>
        <w:pStyle w:val="ListParagraph"/>
        <w:numPr>
          <w:ilvl w:val="0"/>
          <w:numId w:val="32"/>
        </w:numPr>
        <w:spacing w:after="160"/>
      </w:pPr>
      <w:r>
        <w:t>no patient-reported outcomes were included</w:t>
      </w:r>
    </w:p>
    <w:p w14:paraId="5A9DEC9C" w14:textId="77777777" w:rsidR="00852CD0" w:rsidRDefault="00852CD0" w:rsidP="00D14733">
      <w:pPr>
        <w:pStyle w:val="ListParagraph"/>
        <w:numPr>
          <w:ilvl w:val="0"/>
          <w:numId w:val="32"/>
        </w:numPr>
        <w:spacing w:after="160"/>
      </w:pPr>
      <w:r>
        <w:t xml:space="preserve">the utility gain from SoC </w:t>
      </w:r>
      <w:r w:rsidR="00DF2D4A">
        <w:t xml:space="preserve">diagnoses </w:t>
      </w:r>
      <w:r>
        <w:t>was assumed to be zero</w:t>
      </w:r>
      <w:r w:rsidR="00DF2D4A">
        <w:t xml:space="preserve"> for all patients, whereas a utility gain was assigned to a proportion of patients with WES-based diagnoses</w:t>
      </w:r>
    </w:p>
    <w:p w14:paraId="778B032C" w14:textId="77777777" w:rsidR="00852CD0" w:rsidRDefault="00852CD0" w:rsidP="00D14733">
      <w:pPr>
        <w:pStyle w:val="ListParagraph"/>
        <w:numPr>
          <w:ilvl w:val="0"/>
          <w:numId w:val="32"/>
        </w:numPr>
        <w:spacing w:after="160"/>
      </w:pPr>
      <w:r>
        <w:t>costs of counselling and three-person review of results were not included</w:t>
      </w:r>
    </w:p>
    <w:p w14:paraId="2B059B68" w14:textId="77777777" w:rsidR="00852CD0" w:rsidRDefault="00852CD0" w:rsidP="00D14733">
      <w:pPr>
        <w:pStyle w:val="ListParagraph"/>
        <w:numPr>
          <w:ilvl w:val="0"/>
          <w:numId w:val="32"/>
        </w:numPr>
        <w:spacing w:after="160"/>
      </w:pPr>
      <w:r>
        <w:t xml:space="preserve">disutility associated with these conditions may have been underestimated </w:t>
      </w:r>
    </w:p>
    <w:p w14:paraId="1127B854" w14:textId="77777777" w:rsidR="002B2C74" w:rsidRDefault="00852CD0" w:rsidP="00D14733">
      <w:pPr>
        <w:pStyle w:val="ListParagraph"/>
        <w:numPr>
          <w:ilvl w:val="0"/>
          <w:numId w:val="32"/>
        </w:numPr>
        <w:spacing w:after="160"/>
      </w:pPr>
      <w:r>
        <w:t>costs of extra treatment associated wi</w:t>
      </w:r>
      <w:r w:rsidR="00852827">
        <w:t>th diagnosis were not included</w:t>
      </w:r>
    </w:p>
    <w:p w14:paraId="3BD7364C" w14:textId="77777777" w:rsidR="00852CD0" w:rsidRPr="009B1A8E" w:rsidRDefault="002B2C74" w:rsidP="00864695">
      <w:pPr>
        <w:pStyle w:val="ListParagraph"/>
        <w:numPr>
          <w:ilvl w:val="0"/>
          <w:numId w:val="32"/>
        </w:numPr>
        <w:spacing w:after="160"/>
      </w:pPr>
      <w:r>
        <w:t xml:space="preserve">the costs and timing </w:t>
      </w:r>
      <w:r w:rsidR="00C06487">
        <w:t xml:space="preserve">and proportions of patients requiring </w:t>
      </w:r>
      <w:r>
        <w:t>reinterrogation was not clear</w:t>
      </w:r>
      <w:r w:rsidR="00C06487">
        <w:t xml:space="preserve"> </w:t>
      </w:r>
      <w:r w:rsidR="00986E7B">
        <w:t xml:space="preserve">enough </w:t>
      </w:r>
      <w:r w:rsidR="00C06487">
        <w:t xml:space="preserve">to be assured that Population 1 </w:t>
      </w:r>
      <w:r w:rsidR="00986E7B">
        <w:t>correctly</w:t>
      </w:r>
      <w:r w:rsidR="00C06487">
        <w:t xml:space="preserve"> included Population 2</w:t>
      </w:r>
      <w:r w:rsidR="00852827">
        <w:t>.</w:t>
      </w:r>
    </w:p>
    <w:p w14:paraId="4A4ADBE6" w14:textId="77777777" w:rsidR="00570BB4" w:rsidRDefault="00570BB4" w:rsidP="00D14733">
      <w:pPr>
        <w:spacing w:before="240"/>
      </w:pPr>
      <w:r>
        <w:t>MSAC summarised the following additional issues</w:t>
      </w:r>
      <w:r w:rsidR="00BB6624">
        <w:t xml:space="preserve">, suggesting that the model was biased </w:t>
      </w:r>
      <w:r w:rsidR="002753C6">
        <w:t xml:space="preserve">in </w:t>
      </w:r>
      <w:r w:rsidR="00BB6624">
        <w:t>favour of the requested listings</w:t>
      </w:r>
      <w:r>
        <w:t>:</w:t>
      </w:r>
    </w:p>
    <w:p w14:paraId="34E2DBAD" w14:textId="77777777" w:rsidR="00570BB4" w:rsidRDefault="00570BB4" w:rsidP="00570BB4">
      <w:pPr>
        <w:pStyle w:val="ListParagraph"/>
        <w:numPr>
          <w:ilvl w:val="0"/>
          <w:numId w:val="35"/>
        </w:numPr>
        <w:ind w:left="714" w:hanging="357"/>
      </w:pPr>
      <w:r>
        <w:t>the analysis was based on single-centre Australian data, with 30 of the referred cohort considered ineligible and a further nine who</w:t>
      </w:r>
      <w:r w:rsidR="00B57C9E">
        <w:t>se</w:t>
      </w:r>
      <w:r>
        <w:t xml:space="preserve"> families declined to give consent, leaving an initial sample size of 80</w:t>
      </w:r>
      <w:r w:rsidR="00BB6624">
        <w:t xml:space="preserve"> children, of whom 46 received a WES-based molecular diagnosis, of whom fifteen had a change in clinical management, eleven of whom would not have had a diagnosis with SoC</w:t>
      </w:r>
    </w:p>
    <w:p w14:paraId="7E123C82" w14:textId="77777777" w:rsidR="00BB6624" w:rsidRDefault="00BB6624" w:rsidP="00570BB4">
      <w:pPr>
        <w:pStyle w:val="ListParagraph"/>
        <w:numPr>
          <w:ilvl w:val="0"/>
          <w:numId w:val="35"/>
        </w:numPr>
        <w:ind w:left="714" w:hanging="357"/>
      </w:pPr>
      <w:r>
        <w:t>the risk of bias was high from the non-comparative, non-blinded case series</w:t>
      </w:r>
    </w:p>
    <w:p w14:paraId="1CA83E11" w14:textId="77777777" w:rsidR="00BB6624" w:rsidRDefault="00BB6624" w:rsidP="00570BB4">
      <w:pPr>
        <w:pStyle w:val="ListParagraph"/>
        <w:numPr>
          <w:ilvl w:val="0"/>
          <w:numId w:val="35"/>
        </w:numPr>
        <w:ind w:left="714" w:hanging="357"/>
      </w:pPr>
      <w:r>
        <w:t>the imprecise results relied on were inconsistent with other sources of evidence, which had a risk of publication bias</w:t>
      </w:r>
    </w:p>
    <w:p w14:paraId="7D61C8F2" w14:textId="77777777" w:rsidR="00BB6624" w:rsidRDefault="00BB6624" w:rsidP="00570BB4">
      <w:pPr>
        <w:pStyle w:val="ListParagraph"/>
        <w:numPr>
          <w:ilvl w:val="0"/>
          <w:numId w:val="35"/>
        </w:numPr>
        <w:ind w:left="714" w:hanging="357"/>
      </w:pPr>
      <w:r>
        <w:t>there was limited transferability to older children and to a non-quaternary hospital setting</w:t>
      </w:r>
      <w:r w:rsidR="00112A19">
        <w:t>, noting that the test may be requested most by general paediatricians</w:t>
      </w:r>
    </w:p>
    <w:p w14:paraId="2B66E3A7" w14:textId="77777777" w:rsidR="00BB6624" w:rsidRDefault="00BB6624" w:rsidP="00570BB4">
      <w:pPr>
        <w:pStyle w:val="ListParagraph"/>
        <w:numPr>
          <w:ilvl w:val="0"/>
          <w:numId w:val="35"/>
        </w:numPr>
        <w:ind w:left="714" w:hanging="357"/>
      </w:pPr>
      <w:r>
        <w:t>overall, there was low confidence in the effects of the changes in management to improve health outcomes, noting few of the diagnosed c</w:t>
      </w:r>
      <w:r w:rsidR="00DF2D4A">
        <w:t>hildhood syndromes</w:t>
      </w:r>
      <w:r>
        <w:t xml:space="preserve"> have existing effective treatments.</w:t>
      </w:r>
    </w:p>
    <w:p w14:paraId="25383B56" w14:textId="77777777" w:rsidR="00852CD0" w:rsidRDefault="00852CD0" w:rsidP="00D14733">
      <w:pPr>
        <w:spacing w:before="240"/>
      </w:pPr>
      <w:r>
        <w:t>MSAC noted that cost-effectiveness and cost-utili</w:t>
      </w:r>
      <w:r w:rsidR="00FE7B20">
        <w:t>ty analyses were performed for P</w:t>
      </w:r>
      <w:r>
        <w:t>opulations 1 and 3 combined</w:t>
      </w:r>
      <w:r w:rsidR="00D14733">
        <w:t>,</w:t>
      </w:r>
      <w:r>
        <w:t xml:space="preserve"> </w:t>
      </w:r>
      <w:r w:rsidR="00FE7B20">
        <w:t>rather than P</w:t>
      </w:r>
      <w:r w:rsidR="002B2C74">
        <w:t>opulation 3 being assessed as an in</w:t>
      </w:r>
      <w:r w:rsidR="00FE7B20">
        <w:t>crement over Population 1 (and P</w:t>
      </w:r>
      <w:r w:rsidR="002B2C74">
        <w:t xml:space="preserve">opulation 2), </w:t>
      </w:r>
      <w:r>
        <w:t xml:space="preserve">with an ICER of $7254 per quality adjusted life year (QALY) gained. MSAC noted that the key drivers of the economic model were </w:t>
      </w:r>
      <w:r w:rsidR="00A94CAC">
        <w:t xml:space="preserve">reported to be </w:t>
      </w:r>
      <w:r>
        <w:t>the time ho</w:t>
      </w:r>
      <w:r w:rsidR="00D14733">
        <w:t>rizon, the cost of standard care</w:t>
      </w:r>
      <w:r>
        <w:t>, the cost of WEA, the number of first-degree relatives being tested</w:t>
      </w:r>
      <w:r w:rsidR="00A94CAC">
        <w:t xml:space="preserve"> per proband</w:t>
      </w:r>
      <w:r>
        <w:t>, and the effect of changes in clinical management</w:t>
      </w:r>
      <w:r w:rsidR="00A94CAC">
        <w:t xml:space="preserve"> on health-related quality of life</w:t>
      </w:r>
      <w:r>
        <w:t xml:space="preserve">. MSAC queried the </w:t>
      </w:r>
      <w:r w:rsidR="00DF2D4A">
        <w:t xml:space="preserve">implausible </w:t>
      </w:r>
      <w:r>
        <w:t>insensitivity of the ICER to the major drivers of cost</w:t>
      </w:r>
      <w:r w:rsidR="00E214D0">
        <w:t>,</w:t>
      </w:r>
      <w:r>
        <w:t xml:space="preserve"> change in clinical management</w:t>
      </w:r>
      <w:r w:rsidR="00006E82">
        <w:t>, time to diagnosis with standard care,</w:t>
      </w:r>
      <w:r w:rsidR="00E214D0">
        <w:t xml:space="preserve"> and incremental diagnostic yield</w:t>
      </w:r>
      <w:r>
        <w:t xml:space="preserve">, which suggested that model inputs may have been incorrectly specified or not included. </w:t>
      </w:r>
      <w:r w:rsidRPr="00803DF0">
        <w:t>MSAC noted that the applicant is working on a within-trial ICER including a 20-year prediction</w:t>
      </w:r>
      <w:r>
        <w:t>, but</w:t>
      </w:r>
      <w:r w:rsidRPr="00803DF0">
        <w:t xml:space="preserve"> this was not available at the time of MSAC consideration</w:t>
      </w:r>
      <w:r>
        <w:t>.</w:t>
      </w:r>
    </w:p>
    <w:p w14:paraId="79491886" w14:textId="77777777" w:rsidR="00D14733" w:rsidRDefault="00852827" w:rsidP="00D14733">
      <w:pPr>
        <w:spacing w:before="240"/>
      </w:pPr>
      <w:r w:rsidRPr="009F3918">
        <w:t>MSAC considered that the conservative assumptions re</w:t>
      </w:r>
      <w:r>
        <w:t>garding</w:t>
      </w:r>
      <w:r w:rsidRPr="009F3918">
        <w:t xml:space="preserve"> usage could create substantial financial risk.</w:t>
      </w:r>
      <w:r>
        <w:t xml:space="preserve"> </w:t>
      </w:r>
      <w:r w:rsidR="00D14733">
        <w:t xml:space="preserve">MSAC </w:t>
      </w:r>
      <w:r>
        <w:t xml:space="preserve">further considered </w:t>
      </w:r>
      <w:r w:rsidR="00D14733">
        <w:t xml:space="preserve">that, due to the heterogeneity of </w:t>
      </w:r>
      <w:r w:rsidR="005E1BE3">
        <w:t xml:space="preserve">clinical and </w:t>
      </w:r>
      <w:r w:rsidR="00D14733">
        <w:t xml:space="preserve">genetic </w:t>
      </w:r>
      <w:r w:rsidR="00D14733">
        <w:lastRenderedPageBreak/>
        <w:t xml:space="preserve">conditions, </w:t>
      </w:r>
      <w:r w:rsidR="002E3D87">
        <w:t>including those detectable through WES but outside the intent of the application,</w:t>
      </w:r>
      <w:r w:rsidR="00D14733">
        <w:t xml:space="preserve"> </w:t>
      </w:r>
      <w:r w:rsidR="002E3D87">
        <w:t>patient</w:t>
      </w:r>
      <w:r w:rsidR="00082703">
        <w:t xml:space="preserve"> number</w:t>
      </w:r>
      <w:r w:rsidR="002E3D87">
        <w:t xml:space="preserve">s eligible for testing </w:t>
      </w:r>
      <w:r w:rsidR="00D14733">
        <w:t>are highly uncertain. The population estimates in the application were based on data from a single centre, and it is not clear how patient numbers</w:t>
      </w:r>
      <w:r w:rsidR="003B5330">
        <w:t xml:space="preserve"> will change in the future</w:t>
      </w:r>
      <w:r w:rsidR="00D14733">
        <w:t>. MSAC noted that there may be cost savings resulting from reduced testing in patients who receive a diagnosis with WEA, compared with standard of care</w:t>
      </w:r>
      <w:r w:rsidR="00986E7B">
        <w:t>, but such savings would be outweighed if usage of WES testing extended beyond the intended population</w:t>
      </w:r>
      <w:r w:rsidR="00D14733">
        <w:t>.</w:t>
      </w:r>
    </w:p>
    <w:p w14:paraId="043EB50F" w14:textId="77777777" w:rsidR="00D14733" w:rsidRDefault="00D14733" w:rsidP="00D14733">
      <w:pPr>
        <w:spacing w:before="240"/>
      </w:pPr>
      <w:r>
        <w:t xml:space="preserve">MSAC noted the proposed fees were </w:t>
      </w:r>
      <w:r w:rsidR="00634F9C">
        <w:t xml:space="preserve">high and not clearly justified at </w:t>
      </w:r>
      <w:r>
        <w:t xml:space="preserve">$2400 for initial testing and $400 for cascade testing. MSAC </w:t>
      </w:r>
      <w:r w:rsidR="00803AAC">
        <w:t>considered that the</w:t>
      </w:r>
      <w:r>
        <w:t xml:space="preserve"> out-of-pockets costs </w:t>
      </w:r>
      <w:r w:rsidR="00A94CAC">
        <w:t xml:space="preserve">would still be high </w:t>
      </w:r>
      <w:r w:rsidR="00803AAC">
        <w:t>even with MBS listing</w:t>
      </w:r>
      <w:r w:rsidR="00A94CAC">
        <w:t xml:space="preserve"> assum</w:t>
      </w:r>
      <w:r w:rsidR="00986E7B">
        <w:t>ing</w:t>
      </w:r>
      <w:r w:rsidR="00A94CAC">
        <w:t xml:space="preserve"> that the service would not be bulk billed</w:t>
      </w:r>
      <w:r>
        <w:t xml:space="preserve">. MSAC </w:t>
      </w:r>
      <w:r w:rsidR="00A94CAC">
        <w:t xml:space="preserve">also </w:t>
      </w:r>
      <w:r>
        <w:t xml:space="preserve">noted that </w:t>
      </w:r>
      <w:r w:rsidR="00A94CAC">
        <w:t xml:space="preserve">the </w:t>
      </w:r>
      <w:r>
        <w:t>re</w:t>
      </w:r>
      <w:r w:rsidR="00A94CAC">
        <w:t xml:space="preserve">interrogation </w:t>
      </w:r>
      <w:r>
        <w:t xml:space="preserve">analysis </w:t>
      </w:r>
      <w:r w:rsidR="000C69FB">
        <w:t>was proposed to</w:t>
      </w:r>
      <w:r>
        <w:t xml:space="preserve"> include</w:t>
      </w:r>
      <w:r w:rsidR="000C69FB">
        <w:t xml:space="preserve"> the</w:t>
      </w:r>
      <w:r>
        <w:t xml:space="preserve"> costs for pathology and other services, </w:t>
      </w:r>
      <w:r w:rsidR="000C69FB">
        <w:t>but</w:t>
      </w:r>
      <w:r>
        <w:t xml:space="preserve"> queried what the real </w:t>
      </w:r>
      <w:r w:rsidR="00A94CAC">
        <w:t xml:space="preserve">reinterrogation </w:t>
      </w:r>
      <w:r>
        <w:t xml:space="preserve">analysis costs </w:t>
      </w:r>
      <w:r w:rsidR="00A94CAC">
        <w:t>following an earlier</w:t>
      </w:r>
      <w:r>
        <w:t xml:space="preserve"> negative test would be given automation and likely pre-loaded data.</w:t>
      </w:r>
      <w:r w:rsidR="00852827" w:rsidRPr="00852827">
        <w:t xml:space="preserve"> </w:t>
      </w:r>
      <w:r w:rsidR="00852827">
        <w:t>MSAC noted there was a wide variation in WEA costs between studies</w:t>
      </w:r>
      <w:r w:rsidR="0008731B">
        <w:t>,</w:t>
      </w:r>
      <w:r w:rsidR="00852827">
        <w:t xml:space="preserve"> but no clear drop over time (Schwarze 2018).</w:t>
      </w:r>
    </w:p>
    <w:p w14:paraId="74B4B4F9" w14:textId="77777777" w:rsidR="00AC4727" w:rsidRDefault="004C5A49" w:rsidP="00AC4727">
      <w:pPr>
        <w:spacing w:before="240"/>
        <w:rPr>
          <w:color w:val="000000"/>
        </w:rPr>
      </w:pPr>
      <w:r>
        <w:rPr>
          <w:color w:val="000000"/>
        </w:rPr>
        <w:t xml:space="preserve">In its deliberations, MSAC agreed with the applicant’s approach to combine the childhood syndromes </w:t>
      </w:r>
      <w:r w:rsidR="002753C6">
        <w:rPr>
          <w:color w:val="000000"/>
        </w:rPr>
        <w:t>rather than undertake</w:t>
      </w:r>
      <w:r>
        <w:rPr>
          <w:color w:val="000000"/>
        </w:rPr>
        <w:t xml:space="preserve"> a disease by disease </w:t>
      </w:r>
      <w:r w:rsidR="00F61334">
        <w:rPr>
          <w:color w:val="000000"/>
        </w:rPr>
        <w:t xml:space="preserve">approach. </w:t>
      </w:r>
      <w:r w:rsidR="00AC4727" w:rsidRPr="00D04655">
        <w:rPr>
          <w:color w:val="000000"/>
        </w:rPr>
        <w:t>MSAC acknowledged the high</w:t>
      </w:r>
      <w:r w:rsidR="00920EF2">
        <w:rPr>
          <w:color w:val="000000"/>
        </w:rPr>
        <w:t>, but non-urgent</w:t>
      </w:r>
      <w:r w:rsidR="00AC4727" w:rsidRPr="00D04655">
        <w:rPr>
          <w:color w:val="000000"/>
        </w:rPr>
        <w:t xml:space="preserve"> clinical need for testing to diagnose childhood syndromes</w:t>
      </w:r>
      <w:r w:rsidR="00DB747D">
        <w:rPr>
          <w:color w:val="000000"/>
        </w:rPr>
        <w:t xml:space="preserve">, and the inequity of access to WES-based testing currently across </w:t>
      </w:r>
      <w:r w:rsidR="00920EF2">
        <w:rPr>
          <w:color w:val="000000"/>
        </w:rPr>
        <w:t xml:space="preserve">states in </w:t>
      </w:r>
      <w:r w:rsidR="00DB747D">
        <w:rPr>
          <w:color w:val="000000"/>
        </w:rPr>
        <w:t>Australia</w:t>
      </w:r>
      <w:r w:rsidR="008B22C9">
        <w:rPr>
          <w:color w:val="000000"/>
        </w:rPr>
        <w:t xml:space="preserve"> with varying controls on access</w:t>
      </w:r>
      <w:r w:rsidR="00AC4727" w:rsidRPr="00D04655">
        <w:rPr>
          <w:color w:val="000000"/>
        </w:rPr>
        <w:t>. MSAC also acknowledged that</w:t>
      </w:r>
      <w:r w:rsidR="00112A19">
        <w:rPr>
          <w:color w:val="000000"/>
        </w:rPr>
        <w:t>,</w:t>
      </w:r>
      <w:r w:rsidR="00112A19" w:rsidRPr="00112A19">
        <w:t xml:space="preserve"> </w:t>
      </w:r>
      <w:r w:rsidR="00112A19" w:rsidRPr="00FB695A">
        <w:t xml:space="preserve">compared with </w:t>
      </w:r>
      <w:r w:rsidR="00112A19">
        <w:t>standard of care (</w:t>
      </w:r>
      <w:r w:rsidR="00112A19" w:rsidRPr="00FB695A">
        <w:t>SoC</w:t>
      </w:r>
      <w:r w:rsidR="00112A19">
        <w:t>),</w:t>
      </w:r>
      <w:r w:rsidR="00AC4727" w:rsidRPr="00D04655">
        <w:rPr>
          <w:color w:val="000000"/>
        </w:rPr>
        <w:t xml:space="preserve"> use of WEA </w:t>
      </w:r>
      <w:r w:rsidR="00DF2D4A">
        <w:rPr>
          <w:color w:val="000000"/>
        </w:rPr>
        <w:t xml:space="preserve">improved diagnostic yield, </w:t>
      </w:r>
      <w:r w:rsidR="00AC4727">
        <w:rPr>
          <w:color w:val="000000"/>
        </w:rPr>
        <w:t>appeared to shorten the time to diagnosis</w:t>
      </w:r>
      <w:r w:rsidR="00DF2D4A">
        <w:rPr>
          <w:color w:val="000000"/>
        </w:rPr>
        <w:t xml:space="preserve"> </w:t>
      </w:r>
      <w:r w:rsidR="002753C6">
        <w:rPr>
          <w:color w:val="000000"/>
        </w:rPr>
        <w:t xml:space="preserve">(although </w:t>
      </w:r>
      <w:r w:rsidR="003B5330">
        <w:rPr>
          <w:color w:val="000000"/>
        </w:rPr>
        <w:t xml:space="preserve">the </w:t>
      </w:r>
      <w:r w:rsidR="002753C6">
        <w:rPr>
          <w:color w:val="000000"/>
        </w:rPr>
        <w:t xml:space="preserve">amount was </w:t>
      </w:r>
      <w:r w:rsidR="00DF2D4A">
        <w:rPr>
          <w:color w:val="000000"/>
        </w:rPr>
        <w:t>not quantified</w:t>
      </w:r>
      <w:r w:rsidR="002753C6">
        <w:rPr>
          <w:color w:val="000000"/>
        </w:rPr>
        <w:t>) and</w:t>
      </w:r>
      <w:r w:rsidR="002753C6" w:rsidRPr="00D04655">
        <w:rPr>
          <w:color w:val="000000"/>
        </w:rPr>
        <w:t xml:space="preserve"> </w:t>
      </w:r>
      <w:r w:rsidR="00AC4727" w:rsidRPr="00D04655">
        <w:rPr>
          <w:color w:val="000000"/>
        </w:rPr>
        <w:t>lead to changes in patient management</w:t>
      </w:r>
      <w:r w:rsidR="00DF2D4A">
        <w:rPr>
          <w:color w:val="000000"/>
        </w:rPr>
        <w:t xml:space="preserve"> in perhaps 5% more children in relative terms</w:t>
      </w:r>
      <w:r w:rsidR="002753C6">
        <w:rPr>
          <w:color w:val="000000"/>
        </w:rPr>
        <w:t xml:space="preserve">. As a consequence of these effects the patient may have access to interventions which provide </w:t>
      </w:r>
      <w:r w:rsidR="00DF2D4A">
        <w:rPr>
          <w:color w:val="000000"/>
        </w:rPr>
        <w:t>better care</w:t>
      </w:r>
      <w:r w:rsidR="002753C6">
        <w:rPr>
          <w:color w:val="000000"/>
        </w:rPr>
        <w:t xml:space="preserve"> and this may translate into </w:t>
      </w:r>
      <w:r w:rsidR="00AC4727" w:rsidRPr="00FB695A">
        <w:t>patient and family</w:t>
      </w:r>
      <w:r w:rsidR="00082703">
        <w:t xml:space="preserve"> </w:t>
      </w:r>
      <w:r w:rsidR="00AC4727" w:rsidRPr="00FB695A">
        <w:t>relevant benefits</w:t>
      </w:r>
      <w:r w:rsidR="00AC4727">
        <w:t xml:space="preserve">. </w:t>
      </w:r>
      <w:r w:rsidR="00C5687B">
        <w:t xml:space="preserve">MSAC noted </w:t>
      </w:r>
      <w:r w:rsidR="00112A19">
        <w:t>there may also be psychological harm through the identification of variations of unknown significance and the possibility of overdiagnosis and overtreatment</w:t>
      </w:r>
      <w:r w:rsidR="00AC4727">
        <w:rPr>
          <w:color w:val="000000"/>
        </w:rPr>
        <w:t xml:space="preserve">. </w:t>
      </w:r>
      <w:r w:rsidR="00112A19">
        <w:rPr>
          <w:color w:val="000000"/>
        </w:rPr>
        <w:t>In addition</w:t>
      </w:r>
      <w:r w:rsidR="00AC4727">
        <w:rPr>
          <w:color w:val="000000"/>
        </w:rPr>
        <w:t xml:space="preserve">, </w:t>
      </w:r>
      <w:r w:rsidR="00112A19">
        <w:rPr>
          <w:color w:val="000000"/>
        </w:rPr>
        <w:t xml:space="preserve">the main </w:t>
      </w:r>
      <w:r w:rsidR="00AC4727" w:rsidRPr="00D04655">
        <w:rPr>
          <w:color w:val="000000"/>
        </w:rPr>
        <w:t xml:space="preserve">evidence </w:t>
      </w:r>
      <w:r w:rsidR="00112A19">
        <w:rPr>
          <w:color w:val="000000"/>
        </w:rPr>
        <w:t xml:space="preserve">relied on </w:t>
      </w:r>
      <w:r w:rsidR="00112A19" w:rsidRPr="00D04655">
        <w:rPr>
          <w:color w:val="000000"/>
        </w:rPr>
        <w:t xml:space="preserve">utility and change data </w:t>
      </w:r>
      <w:r w:rsidR="00112A19">
        <w:rPr>
          <w:color w:val="000000"/>
        </w:rPr>
        <w:t>in the context of wide genetic and clinical heterogeneity</w:t>
      </w:r>
      <w:r w:rsidR="00112A19" w:rsidRPr="00D04655">
        <w:rPr>
          <w:color w:val="000000"/>
        </w:rPr>
        <w:t xml:space="preserve"> </w:t>
      </w:r>
      <w:r w:rsidR="00AC4727" w:rsidRPr="00D04655">
        <w:rPr>
          <w:color w:val="000000"/>
        </w:rPr>
        <w:t xml:space="preserve">was derived from limited Australian data from a </w:t>
      </w:r>
      <w:r w:rsidR="00112A19">
        <w:rPr>
          <w:color w:val="000000"/>
        </w:rPr>
        <w:t xml:space="preserve">small </w:t>
      </w:r>
      <w:r w:rsidR="00AC4727" w:rsidRPr="00D04655">
        <w:rPr>
          <w:color w:val="000000"/>
        </w:rPr>
        <w:t>single</w:t>
      </w:r>
      <w:r w:rsidR="00112A19">
        <w:rPr>
          <w:color w:val="000000"/>
        </w:rPr>
        <w:t>-</w:t>
      </w:r>
      <w:r w:rsidR="00AC4727" w:rsidRPr="00D04655">
        <w:rPr>
          <w:color w:val="000000"/>
        </w:rPr>
        <w:t>centre</w:t>
      </w:r>
      <w:r w:rsidR="00112A19">
        <w:rPr>
          <w:color w:val="000000"/>
        </w:rPr>
        <w:t xml:space="preserve"> study</w:t>
      </w:r>
      <w:r w:rsidR="00AC4727" w:rsidRPr="00D04655">
        <w:rPr>
          <w:color w:val="000000"/>
        </w:rPr>
        <w:t xml:space="preserve">, with limited comparisons. MSAC also expressed concern regarding implementation issues due to </w:t>
      </w:r>
      <w:r w:rsidR="00AC4727">
        <w:rPr>
          <w:color w:val="000000"/>
        </w:rPr>
        <w:t>the</w:t>
      </w:r>
      <w:r w:rsidR="00AC4727" w:rsidRPr="00D04655">
        <w:rPr>
          <w:color w:val="000000"/>
        </w:rPr>
        <w:t xml:space="preserve"> high likelihood of leakage.</w:t>
      </w:r>
    </w:p>
    <w:p w14:paraId="538F9AF5" w14:textId="77777777" w:rsidR="00852CD0" w:rsidRDefault="00852CD0" w:rsidP="00AC4727">
      <w:pPr>
        <w:spacing w:before="240"/>
      </w:pPr>
      <w:r>
        <w:t xml:space="preserve">MSAC noted that it is not possible to know whether an effective therapy is available for an individual patient until after </w:t>
      </w:r>
      <w:r w:rsidRPr="00B82EAA">
        <w:t>a diagnosis</w:t>
      </w:r>
      <w:r>
        <w:t xml:space="preserve"> is made</w:t>
      </w:r>
      <w:r w:rsidRPr="00B82EAA">
        <w:t xml:space="preserve">. </w:t>
      </w:r>
      <w:r>
        <w:t xml:space="preserve">MSAC noted that </w:t>
      </w:r>
      <w:r w:rsidR="00920EF2">
        <w:t xml:space="preserve">anecdotal </w:t>
      </w:r>
      <w:r>
        <w:t xml:space="preserve">benefits to patients – such as </w:t>
      </w:r>
      <w:r w:rsidRPr="00B82EAA">
        <w:t>withdrawal of patients from intensive care</w:t>
      </w:r>
      <w:r>
        <w:t>,</w:t>
      </w:r>
      <w:r w:rsidRPr="00B82EAA">
        <w:t xml:space="preserve"> reproductive certainty and planning for families with one affected child</w:t>
      </w:r>
      <w:r>
        <w:t xml:space="preserve"> – are difficult to quantify, which may account for them not being included in the submission.</w:t>
      </w:r>
      <w:r w:rsidRPr="00004D0F">
        <w:t xml:space="preserve"> </w:t>
      </w:r>
      <w:r>
        <w:t>MSAC also acknowledged the ethical difficulty of placing a utility value on a child with a genetic condition not being born.</w:t>
      </w:r>
    </w:p>
    <w:p w14:paraId="4738956D" w14:textId="77777777" w:rsidR="00852CD0" w:rsidRDefault="00852CD0" w:rsidP="00084C54">
      <w:pPr>
        <w:spacing w:before="240"/>
      </w:pPr>
      <w:r>
        <w:t xml:space="preserve">MSAC </w:t>
      </w:r>
      <w:r w:rsidR="00D14733">
        <w:t xml:space="preserve">further </w:t>
      </w:r>
      <w:r>
        <w:t xml:space="preserve">acknowledged the difficulty in quantifying therapeutic consequences and health outcomes arising from diagnosis of genetic </w:t>
      </w:r>
      <w:r w:rsidRPr="000E50EA">
        <w:t xml:space="preserve">syndromes. Because </w:t>
      </w:r>
      <w:r w:rsidR="007F044D">
        <w:t xml:space="preserve">most </w:t>
      </w:r>
      <w:r w:rsidRPr="000E50EA">
        <w:t>genetic syndromes are not treated directly, the health outcomes gained are psychological wellbeing or avoidance of further tests or procedures.</w:t>
      </w:r>
      <w:r>
        <w:t xml:space="preserve"> MSAC considered that it would be desirable for the societal value placed on the ‘value of knowing’ to be captured in the future assessments of genetic testing technologies. MSAC acknowledged that there are also other costs to families of having a child with a genetic condition, such as the expense of early listing on the National Disability Insurance Scheme, and childcare and education expenses, which affect out-of-pocket costs and potenti</w:t>
      </w:r>
      <w:r w:rsidR="00852827">
        <w:t>ally wider health system costs.</w:t>
      </w:r>
    </w:p>
    <w:p w14:paraId="60C94A11" w14:textId="769F2883" w:rsidR="00852CD0" w:rsidRDefault="00852CD0" w:rsidP="00D14733">
      <w:pPr>
        <w:spacing w:before="240"/>
      </w:pPr>
      <w:r>
        <w:t>Overall, MSA</w:t>
      </w:r>
      <w:r w:rsidR="00FE7B20">
        <w:t>C emphasised the importance of P</w:t>
      </w:r>
      <w:r>
        <w:t xml:space="preserve">opulation 1 (proband – for diagnosis and the </w:t>
      </w:r>
      <w:r w:rsidR="000A768F">
        <w:t>‘</w:t>
      </w:r>
      <w:r>
        <w:t>value of knowing</w:t>
      </w:r>
      <w:r w:rsidR="000A768F">
        <w:t>’, and likely reducing the ‘diagnostic odyssey’</w:t>
      </w:r>
      <w:r w:rsidR="00FE7B20">
        <w:t>), then P</w:t>
      </w:r>
      <w:r>
        <w:t xml:space="preserve">opulation 3 (family </w:t>
      </w:r>
      <w:r>
        <w:lastRenderedPageBreak/>
        <w:t>members – for informing family planning</w:t>
      </w:r>
      <w:r w:rsidR="00084C54">
        <w:t>, but may need to limit this to first-degree relatives</w:t>
      </w:r>
      <w:r w:rsidR="00FE7B20">
        <w:t>), over P</w:t>
      </w:r>
      <w:r>
        <w:t>opulation 2 (reinterrogation of proband data).</w:t>
      </w:r>
    </w:p>
    <w:p w14:paraId="252B555B" w14:textId="481AA37D" w:rsidR="00084C54" w:rsidRDefault="00084C54" w:rsidP="00084C54">
      <w:pPr>
        <w:pStyle w:val="Default"/>
        <w:spacing w:before="240"/>
      </w:pPr>
      <w:r w:rsidRPr="00335A16">
        <w:t>MSAC considered that</w:t>
      </w:r>
      <w:r>
        <w:t xml:space="preserve">, to ensure momentum is maintained with </w:t>
      </w:r>
      <w:r w:rsidR="00CA2E39">
        <w:t xml:space="preserve">the evidence-based approach of </w:t>
      </w:r>
      <w:r>
        <w:t>this application,</w:t>
      </w:r>
      <w:r w:rsidRPr="00335A16">
        <w:t xml:space="preserve"> a meeting </w:t>
      </w:r>
      <w:r w:rsidR="00CA2E39">
        <w:t xml:space="preserve">should be held </w:t>
      </w:r>
      <w:r>
        <w:t xml:space="preserve">involving </w:t>
      </w:r>
      <w:r w:rsidR="00CA2E39">
        <w:t xml:space="preserve">stakeholders in addition to the applicant, including </w:t>
      </w:r>
      <w:r>
        <w:t xml:space="preserve">consumers, requesters </w:t>
      </w:r>
      <w:r w:rsidR="00CA2E39">
        <w:t xml:space="preserve">(such as the Royal Australian College of Physicians and neurologists) </w:t>
      </w:r>
      <w:r>
        <w:t xml:space="preserve">and </w:t>
      </w:r>
      <w:r w:rsidR="00CA2E39">
        <w:t xml:space="preserve">pathology </w:t>
      </w:r>
      <w:r>
        <w:t xml:space="preserve">providers </w:t>
      </w:r>
      <w:r w:rsidRPr="00335A16">
        <w:t xml:space="preserve">to inform </w:t>
      </w:r>
      <w:r>
        <w:t xml:space="preserve">and assist </w:t>
      </w:r>
      <w:r w:rsidR="00CA2E39">
        <w:t>MSAC’</w:t>
      </w:r>
      <w:r>
        <w:t>s reconsideration of an expected re-</w:t>
      </w:r>
      <w:r w:rsidRPr="00335A16">
        <w:t>application</w:t>
      </w:r>
      <w:r>
        <w:t xml:space="preserve">. The stakeholder meeting should further </w:t>
      </w:r>
      <w:r w:rsidRPr="00335A16">
        <w:t>discuss the</w:t>
      </w:r>
      <w:r>
        <w:t xml:space="preserve"> reasons for not supporting this initial application and examine the basis to provide a broader assessment of the clinical utility value of the requested testing beyond an improvement in health</w:t>
      </w:r>
      <w:r w:rsidR="000A768F">
        <w:t xml:space="preserve"> outcomes, to also include the ‘</w:t>
      </w:r>
      <w:r>
        <w:t>value of knowing</w:t>
      </w:r>
      <w:r w:rsidR="000A768F">
        <w:t>’</w:t>
      </w:r>
      <w:r>
        <w:t xml:space="preserve">, reducing resources provided and time </w:t>
      </w:r>
      <w:r w:rsidR="000A768F">
        <w:t>taken in the ‘</w:t>
      </w:r>
      <w:r>
        <w:t>diagnostic odyssey</w:t>
      </w:r>
      <w:r w:rsidR="000A768F">
        <w:t>’</w:t>
      </w:r>
      <w:r>
        <w:t>, and the value of avoiding future children with monogenic childhood syndromes through improved family planning options.</w:t>
      </w:r>
    </w:p>
    <w:p w14:paraId="0A763C1C" w14:textId="77777777" w:rsidR="00BC1364" w:rsidRPr="00F715D1" w:rsidRDefault="00BC1364" w:rsidP="00084C54">
      <w:pPr>
        <w:pStyle w:val="Heading1"/>
      </w:pPr>
      <w:r w:rsidRPr="00F715D1">
        <w:t>Background</w:t>
      </w:r>
    </w:p>
    <w:p w14:paraId="74ECAC8D" w14:textId="77777777" w:rsidR="001C2E4E" w:rsidRPr="008423CB" w:rsidRDefault="00086CD0" w:rsidP="001C2E4E">
      <w:pPr>
        <w:tabs>
          <w:tab w:val="left" w:pos="720"/>
          <w:tab w:val="left" w:pos="1140"/>
        </w:tabs>
      </w:pPr>
      <w:r>
        <w:t xml:space="preserve">Application 1476 was consider by MSAC at its July 2018 meeting. </w:t>
      </w:r>
      <w:r w:rsidRPr="00CA5587">
        <w:t>MSAC did not support</w:t>
      </w:r>
      <w:r>
        <w:t xml:space="preserve"> MBS</w:t>
      </w:r>
      <w:r w:rsidRPr="00CA5587">
        <w:t xml:space="preserve"> funding of</w:t>
      </w:r>
      <w:r>
        <w:t xml:space="preserve"> WEA-based genetic t</w:t>
      </w:r>
      <w:r w:rsidRPr="00840A98">
        <w:t>esting for childhood syndromes</w:t>
      </w:r>
      <w:r>
        <w:rPr>
          <w:color w:val="000000"/>
        </w:rPr>
        <w:t xml:space="preserve"> in affected individuals or of associated reinterrogation analysis or of cascade testing and considered that a </w:t>
      </w:r>
      <w:r w:rsidRPr="00335A16">
        <w:t xml:space="preserve">stakeholder meeting would assist to inform </w:t>
      </w:r>
      <w:r>
        <w:t xml:space="preserve">its reconsideration of </w:t>
      </w:r>
      <w:r w:rsidRPr="00335A16">
        <w:t>this application</w:t>
      </w:r>
      <w:r w:rsidRPr="00295670">
        <w:t>.</w:t>
      </w:r>
    </w:p>
    <w:p w14:paraId="36A487C6" w14:textId="77777777" w:rsidR="00BC1364" w:rsidRPr="00F715D1" w:rsidRDefault="00BC1364" w:rsidP="00F715D1">
      <w:pPr>
        <w:pStyle w:val="Heading1"/>
      </w:pPr>
      <w:r w:rsidRPr="00F715D1">
        <w:t>Prerequisites to implementation of any funding advice</w:t>
      </w:r>
    </w:p>
    <w:p w14:paraId="60F975CB" w14:textId="77777777" w:rsidR="001C2E4E" w:rsidRDefault="00CE0DF8" w:rsidP="001C2E4E">
      <w:pPr>
        <w:tabs>
          <w:tab w:val="left" w:pos="720"/>
        </w:tabs>
        <w:spacing w:before="120"/>
        <w:rPr>
          <w:szCs w:val="24"/>
        </w:rPr>
      </w:pPr>
      <w:r>
        <w:rPr>
          <w:szCs w:val="24"/>
        </w:rPr>
        <w:t>G</w:t>
      </w:r>
      <w:r w:rsidR="001C2E4E">
        <w:rPr>
          <w:szCs w:val="24"/>
        </w:rPr>
        <w:t>enetic t</w:t>
      </w:r>
      <w:r w:rsidR="001C2E4E" w:rsidRPr="00ED4651">
        <w:rPr>
          <w:szCs w:val="24"/>
        </w:rPr>
        <w:t xml:space="preserve">esting must be performed in laboratories that have received </w:t>
      </w:r>
      <w:r w:rsidR="00730054">
        <w:rPr>
          <w:szCs w:val="24"/>
        </w:rPr>
        <w:t xml:space="preserve">relevant </w:t>
      </w:r>
      <w:r w:rsidR="001C2E4E" w:rsidRPr="00ED4651">
        <w:rPr>
          <w:szCs w:val="24"/>
        </w:rPr>
        <w:t>National Association of Testing Authorities (NATA) accreditation.</w:t>
      </w:r>
    </w:p>
    <w:p w14:paraId="5D28D5CB" w14:textId="77777777" w:rsidR="00BC1364" w:rsidRPr="00F715D1" w:rsidRDefault="00BC1364" w:rsidP="00F715D1">
      <w:pPr>
        <w:pStyle w:val="Heading1"/>
      </w:pPr>
      <w:r w:rsidRPr="00F715D1">
        <w:t>Proposal for public funding</w:t>
      </w:r>
    </w:p>
    <w:p w14:paraId="029EBFEA" w14:textId="77777777" w:rsidR="001C2E4E" w:rsidRPr="00ED4651" w:rsidRDefault="001C2E4E" w:rsidP="001C2E4E">
      <w:pPr>
        <w:pStyle w:val="Body"/>
        <w:rPr>
          <w:rFonts w:ascii="Times New Roman" w:hAnsi="Times New Roman" w:cs="Times New Roman"/>
        </w:rPr>
      </w:pPr>
      <w:r w:rsidRPr="00ED4651">
        <w:rPr>
          <w:rFonts w:ascii="Times New Roman" w:hAnsi="Times New Roman" w:cs="Times New Roman"/>
        </w:rPr>
        <w:t>The proposed item descriptor(s) for public funding is summarised in Table 1.</w:t>
      </w:r>
    </w:p>
    <w:p w14:paraId="1F352E74" w14:textId="77777777" w:rsidR="001C2E4E" w:rsidRPr="001964D2" w:rsidRDefault="001C2E4E" w:rsidP="001964D2">
      <w:pPr>
        <w:rPr>
          <w:rFonts w:ascii="Arial Narrow" w:hAnsi="Arial Narrow"/>
          <w:b/>
          <w:sz w:val="20"/>
        </w:rPr>
      </w:pPr>
      <w:bookmarkStart w:id="0" w:name="_Ref512521412"/>
      <w:bookmarkStart w:id="1" w:name="_Toc513290989"/>
      <w:r w:rsidRPr="001964D2">
        <w:rPr>
          <w:rFonts w:ascii="Arial Narrow" w:hAnsi="Arial Narrow"/>
          <w:b/>
          <w:sz w:val="20"/>
        </w:rPr>
        <w:t xml:space="preserve">Table </w:t>
      </w:r>
      <w:bookmarkEnd w:id="0"/>
      <w:r w:rsidRPr="001964D2">
        <w:rPr>
          <w:rFonts w:ascii="Arial Narrow" w:hAnsi="Arial Narrow"/>
          <w:b/>
          <w:sz w:val="20"/>
        </w:rPr>
        <w:t>1</w:t>
      </w:r>
      <w:r w:rsidRPr="001964D2">
        <w:rPr>
          <w:rFonts w:ascii="Arial Narrow" w:hAnsi="Arial Narrow"/>
          <w:b/>
          <w:sz w:val="20"/>
        </w:rPr>
        <w:tab/>
        <w:t xml:space="preserve">Proposed </w:t>
      </w:r>
      <w:bookmarkStart w:id="2" w:name="_Hlk512941685"/>
      <w:r w:rsidRPr="001964D2">
        <w:rPr>
          <w:rFonts w:ascii="Arial Narrow" w:hAnsi="Arial Narrow"/>
          <w:b/>
          <w:sz w:val="20"/>
        </w:rPr>
        <w:t xml:space="preserve">Medicare Benefit Scheme </w:t>
      </w:r>
      <w:bookmarkEnd w:id="2"/>
      <w:r w:rsidRPr="001964D2">
        <w:rPr>
          <w:rFonts w:ascii="Arial Narrow" w:hAnsi="Arial Narrow"/>
          <w:b/>
          <w:sz w:val="20"/>
        </w:rPr>
        <w:t>(MBS) item descriptors</w:t>
      </w:r>
      <w:bookmarkEnd w:id="1"/>
    </w:p>
    <w:tbl>
      <w:tblPr>
        <w:tblStyle w:val="TableGrid"/>
        <w:tblW w:w="0" w:type="auto"/>
        <w:tblLook w:val="04A0" w:firstRow="1" w:lastRow="0" w:firstColumn="1" w:lastColumn="0" w:noHBand="0" w:noVBand="1"/>
        <w:tblDescription w:val="Proposed MBS item descriptors"/>
      </w:tblPr>
      <w:tblGrid>
        <w:gridCol w:w="9016"/>
      </w:tblGrid>
      <w:tr w:rsidR="001C2E4E" w:rsidRPr="00F96A7F" w14:paraId="05CFA812" w14:textId="77777777" w:rsidTr="00664DB5">
        <w:trPr>
          <w:cantSplit/>
          <w:tblHeader/>
        </w:trPr>
        <w:tc>
          <w:tcPr>
            <w:tcW w:w="9016" w:type="dxa"/>
          </w:tcPr>
          <w:p w14:paraId="5643E5B1" w14:textId="77777777" w:rsidR="001C2E4E" w:rsidRPr="00F96A7F" w:rsidRDefault="001C2E4E" w:rsidP="00664DB5">
            <w:pPr>
              <w:pStyle w:val="Tableheading"/>
              <w:rPr>
                <w:lang w:val="en-GB"/>
              </w:rPr>
            </w:pPr>
            <w:r w:rsidRPr="00F96A7F">
              <w:t>Genetics – Pathology Services Table</w:t>
            </w:r>
          </w:p>
        </w:tc>
      </w:tr>
      <w:tr w:rsidR="001C2E4E" w:rsidRPr="00F96A7F" w14:paraId="4F2DDAC9" w14:textId="77777777" w:rsidTr="00664DB5">
        <w:trPr>
          <w:cantSplit/>
          <w:tblHeader/>
        </w:trPr>
        <w:tc>
          <w:tcPr>
            <w:tcW w:w="9016" w:type="dxa"/>
          </w:tcPr>
          <w:p w14:paraId="0A6F7C2E" w14:textId="77777777" w:rsidR="001C2E4E" w:rsidRPr="009A3D5C" w:rsidRDefault="001C2E4E" w:rsidP="009A3D5C">
            <w:pPr>
              <w:pStyle w:val="Tabletext"/>
              <w:spacing w:after="240"/>
              <w:rPr>
                <w:b/>
                <w:lang w:val="en-GB"/>
              </w:rPr>
            </w:pPr>
            <w:r w:rsidRPr="00F96A7F">
              <w:t>MBS item number: AAAAA</w:t>
            </w:r>
          </w:p>
          <w:p w14:paraId="71FBA8AE" w14:textId="77777777" w:rsidR="001C2E4E" w:rsidRPr="00F96A7F" w:rsidRDefault="001C2E4E" w:rsidP="00664DB5">
            <w:pPr>
              <w:pStyle w:val="Tabletext"/>
            </w:pPr>
            <w:r w:rsidRPr="00F96A7F">
              <w:t>Characterisation of germline variants via whole exome analysis, from a phenotypically driven gene list where analysis is limited to variants in genes currently known to cause monogenic disorders, requested by a clinical geneticist following multidisciplinary review and non-informative microarray testing for copy number alteration, in a patient (&lt;18 years old) with a strong suspicion of a monogenic syndrome based on the following criteria:</w:t>
            </w:r>
          </w:p>
          <w:p w14:paraId="5E830F59" w14:textId="77777777" w:rsidR="001C2E4E" w:rsidRPr="00F96A7F" w:rsidRDefault="001C2E4E" w:rsidP="00664DB5">
            <w:pPr>
              <w:pStyle w:val="Tabletext"/>
            </w:pPr>
            <w:r w:rsidRPr="00F96A7F">
              <w:t>Onset of clinical features prenatally, in infancy or childhood, and a minimum of two of the following features:</w:t>
            </w:r>
          </w:p>
          <w:p w14:paraId="64F0B826" w14:textId="77777777" w:rsidR="001C2E4E" w:rsidRPr="00C32AE9" w:rsidRDefault="001C2E4E" w:rsidP="00664DB5">
            <w:pPr>
              <w:pStyle w:val="Tabletextindent"/>
              <w:rPr>
                <w:rFonts w:ascii="Arial Narrow" w:hAnsi="Arial Narrow"/>
                <w:b/>
                <w:sz w:val="20"/>
                <w:szCs w:val="20"/>
                <w:lang w:val="en-GB"/>
              </w:rPr>
            </w:pPr>
            <w:r w:rsidRPr="00C32AE9">
              <w:rPr>
                <w:rFonts w:ascii="Arial Narrow" w:hAnsi="Arial Narrow"/>
                <w:sz w:val="20"/>
                <w:szCs w:val="20"/>
              </w:rPr>
              <w:t>Dysmorphic facial appearance, and/or</w:t>
            </w:r>
          </w:p>
          <w:p w14:paraId="01D57C73" w14:textId="77777777" w:rsidR="001C2E4E" w:rsidRPr="00C32AE9" w:rsidRDefault="001C2E4E" w:rsidP="00664DB5">
            <w:pPr>
              <w:pStyle w:val="Tabletextindent"/>
              <w:rPr>
                <w:rFonts w:ascii="Arial Narrow" w:hAnsi="Arial Narrow"/>
                <w:b/>
                <w:sz w:val="20"/>
                <w:szCs w:val="20"/>
                <w:lang w:val="en-GB"/>
              </w:rPr>
            </w:pPr>
            <w:r w:rsidRPr="00C32AE9">
              <w:rPr>
                <w:rFonts w:ascii="Arial Narrow" w:hAnsi="Arial Narrow"/>
                <w:sz w:val="20"/>
                <w:szCs w:val="20"/>
              </w:rPr>
              <w:t>Single or multiple congenital anomalies, and/or</w:t>
            </w:r>
          </w:p>
          <w:p w14:paraId="7613F7CE" w14:textId="77777777" w:rsidR="001C2E4E" w:rsidRPr="009A3D5C" w:rsidRDefault="001C2E4E" w:rsidP="009A3D5C">
            <w:pPr>
              <w:pStyle w:val="Tabletextindent"/>
              <w:spacing w:after="240"/>
              <w:rPr>
                <w:rFonts w:ascii="Arial Narrow" w:hAnsi="Arial Narrow"/>
                <w:b/>
                <w:sz w:val="20"/>
                <w:szCs w:val="20"/>
                <w:lang w:val="en-GB"/>
              </w:rPr>
            </w:pPr>
            <w:r w:rsidRPr="00C32AE9">
              <w:rPr>
                <w:rFonts w:ascii="Arial Narrow" w:hAnsi="Arial Narrow"/>
                <w:sz w:val="20"/>
                <w:szCs w:val="20"/>
              </w:rPr>
              <w:t>Intellectual disability.</w:t>
            </w:r>
          </w:p>
          <w:p w14:paraId="7716843C" w14:textId="77777777" w:rsidR="001C2E4E" w:rsidRPr="00F96A7F" w:rsidRDefault="001C2E4E" w:rsidP="00664DB5">
            <w:pPr>
              <w:pStyle w:val="Tabletext"/>
            </w:pPr>
            <w:r w:rsidRPr="00F96A7F">
              <w:t>MBS Fee: $2,400.00</w:t>
            </w:r>
          </w:p>
          <w:p w14:paraId="35DBE004" w14:textId="77777777" w:rsidR="001C2E4E" w:rsidRPr="00F96A7F" w:rsidRDefault="001C2E4E" w:rsidP="00664DB5">
            <w:pPr>
              <w:pStyle w:val="Tabletext"/>
            </w:pPr>
            <w:r w:rsidRPr="00F96A7F">
              <w:t>Benefit: 75% = $1,800.00 85% = $2,040.00</w:t>
            </w:r>
          </w:p>
        </w:tc>
      </w:tr>
      <w:tr w:rsidR="001C2E4E" w:rsidRPr="00F96A7F" w14:paraId="05442ED5" w14:textId="77777777" w:rsidTr="00664DB5">
        <w:trPr>
          <w:cantSplit/>
          <w:tblHeader/>
        </w:trPr>
        <w:tc>
          <w:tcPr>
            <w:tcW w:w="9016" w:type="dxa"/>
          </w:tcPr>
          <w:p w14:paraId="2D2F28FD" w14:textId="77777777" w:rsidR="001C2E4E" w:rsidRPr="00F96A7F" w:rsidRDefault="001C2E4E" w:rsidP="00664DB5">
            <w:pPr>
              <w:pStyle w:val="Tableheading"/>
            </w:pPr>
            <w:r w:rsidRPr="00F96A7F">
              <w:t>Genetics – Pathology Services Table</w:t>
            </w:r>
          </w:p>
        </w:tc>
      </w:tr>
      <w:tr w:rsidR="001C2E4E" w:rsidRPr="00F96A7F" w14:paraId="778633DE" w14:textId="77777777" w:rsidTr="00664DB5">
        <w:trPr>
          <w:cantSplit/>
          <w:tblHeader/>
        </w:trPr>
        <w:tc>
          <w:tcPr>
            <w:tcW w:w="9016" w:type="dxa"/>
          </w:tcPr>
          <w:p w14:paraId="23C54858" w14:textId="77777777" w:rsidR="001C2E4E" w:rsidRPr="00F96A7F" w:rsidRDefault="009A3D5C" w:rsidP="009A3D5C">
            <w:pPr>
              <w:pStyle w:val="Tabletext"/>
              <w:spacing w:after="240"/>
            </w:pPr>
            <w:r>
              <w:t>MBS item number: BBBB1</w:t>
            </w:r>
          </w:p>
          <w:p w14:paraId="62751CD3" w14:textId="77777777" w:rsidR="001C2E4E" w:rsidRPr="009A3D5C" w:rsidRDefault="001C2E4E" w:rsidP="009A3D5C">
            <w:pPr>
              <w:pStyle w:val="Tabletext"/>
              <w:spacing w:after="240"/>
              <w:rPr>
                <w:b/>
                <w:lang w:val="en-GB"/>
              </w:rPr>
            </w:pPr>
            <w:r w:rsidRPr="00F96A7F">
              <w:t>Re-analysis of whole exome data obtained under item AAAAA, at an interval of not less than 18 months, for characterisation of new germline gene variants related to the clinical phenotype, in a patient (&lt;18 years old) with a strong suspicion of a monogenic syndrome, where re-analysis identifies new variants requiring curation.</w:t>
            </w:r>
          </w:p>
          <w:p w14:paraId="41DFC815" w14:textId="77777777" w:rsidR="001C2E4E" w:rsidRPr="00F96A7F" w:rsidRDefault="001C2E4E" w:rsidP="00664DB5">
            <w:pPr>
              <w:pStyle w:val="Tabletext"/>
            </w:pPr>
            <w:r w:rsidRPr="00F96A7F">
              <w:t>MBS Fee: $650.00</w:t>
            </w:r>
          </w:p>
          <w:p w14:paraId="410BAA04" w14:textId="77777777" w:rsidR="001C2E4E" w:rsidRPr="00F96A7F" w:rsidRDefault="001C2E4E" w:rsidP="00664DB5">
            <w:pPr>
              <w:pStyle w:val="Tabletext"/>
            </w:pPr>
            <w:r w:rsidRPr="00F96A7F">
              <w:t>Benefit: 75% = $487.50 85% = $552.50</w:t>
            </w:r>
          </w:p>
        </w:tc>
      </w:tr>
      <w:tr w:rsidR="001C2E4E" w:rsidRPr="00F96A7F" w14:paraId="69B4224F" w14:textId="77777777" w:rsidTr="00664DB5">
        <w:trPr>
          <w:cantSplit/>
          <w:tblHeader/>
        </w:trPr>
        <w:tc>
          <w:tcPr>
            <w:tcW w:w="9016" w:type="dxa"/>
          </w:tcPr>
          <w:p w14:paraId="7280B25F" w14:textId="77777777" w:rsidR="001C2E4E" w:rsidRPr="00F96A7F" w:rsidRDefault="009A3D5C" w:rsidP="009A3D5C">
            <w:pPr>
              <w:pStyle w:val="Tabletext"/>
              <w:spacing w:after="240"/>
            </w:pPr>
            <w:r>
              <w:lastRenderedPageBreak/>
              <w:t>MBS item number: BBBB2</w:t>
            </w:r>
          </w:p>
          <w:p w14:paraId="4E47E7EA" w14:textId="77777777" w:rsidR="001C2E4E" w:rsidRPr="009A3D5C" w:rsidRDefault="001C2E4E" w:rsidP="009A3D5C">
            <w:pPr>
              <w:pStyle w:val="Tabletext"/>
              <w:spacing w:after="240"/>
              <w:rPr>
                <w:b/>
                <w:lang w:val="en-GB"/>
              </w:rPr>
            </w:pPr>
            <w:r w:rsidRPr="00F96A7F">
              <w:t>Re-analysis of whole exome data obtained under item AAAAA, at an interval of not less than 18 months, for characterisation of new germline gene variants related to the clinical phenotype, in a patient (&lt;18 years old) with a strong suspicion of a monogenic syndrome, where the re-analysis is negative.</w:t>
            </w:r>
          </w:p>
          <w:p w14:paraId="3798CA29" w14:textId="77777777" w:rsidR="001C2E4E" w:rsidRPr="00F96A7F" w:rsidRDefault="001C2E4E" w:rsidP="00664DB5">
            <w:pPr>
              <w:pStyle w:val="Tabletext"/>
            </w:pPr>
            <w:r w:rsidRPr="00F96A7F">
              <w:t>MBS Fee: $350.00</w:t>
            </w:r>
          </w:p>
          <w:p w14:paraId="7B904BAD" w14:textId="77777777" w:rsidR="001C2E4E" w:rsidRPr="00F96A7F" w:rsidRDefault="001C2E4E" w:rsidP="00664DB5">
            <w:pPr>
              <w:pStyle w:val="Tabletext"/>
            </w:pPr>
            <w:r w:rsidRPr="00F96A7F">
              <w:t>Benefit: 75% = $262.50 85% = $297.50</w:t>
            </w:r>
          </w:p>
        </w:tc>
      </w:tr>
      <w:tr w:rsidR="001C2E4E" w:rsidRPr="00F96A7F" w14:paraId="77C4D62A" w14:textId="77777777" w:rsidTr="00664DB5">
        <w:trPr>
          <w:cantSplit/>
          <w:tblHeader/>
        </w:trPr>
        <w:tc>
          <w:tcPr>
            <w:tcW w:w="9016" w:type="dxa"/>
          </w:tcPr>
          <w:p w14:paraId="3E951148" w14:textId="77777777" w:rsidR="001C2E4E" w:rsidRPr="00F96A7F" w:rsidRDefault="001C2E4E" w:rsidP="00664DB5">
            <w:pPr>
              <w:pStyle w:val="Tableheading"/>
            </w:pPr>
            <w:r w:rsidRPr="00F96A7F">
              <w:t>Genetics – Pathology Services Table</w:t>
            </w:r>
          </w:p>
        </w:tc>
      </w:tr>
      <w:tr w:rsidR="001C2E4E" w:rsidRPr="00F96A7F" w14:paraId="1B3B0DD4" w14:textId="77777777" w:rsidTr="00664DB5">
        <w:trPr>
          <w:cantSplit/>
          <w:tblHeader/>
        </w:trPr>
        <w:tc>
          <w:tcPr>
            <w:tcW w:w="9016" w:type="dxa"/>
          </w:tcPr>
          <w:p w14:paraId="5558EF62" w14:textId="77777777" w:rsidR="001C2E4E" w:rsidRPr="009A3D5C" w:rsidRDefault="001C2E4E" w:rsidP="009A3D5C">
            <w:pPr>
              <w:pStyle w:val="Tabletext"/>
              <w:spacing w:after="240"/>
              <w:rPr>
                <w:b/>
                <w:lang w:val="en-GB"/>
              </w:rPr>
            </w:pPr>
            <w:r w:rsidRPr="00F96A7F">
              <w:t>MBS item number: CCCCC</w:t>
            </w:r>
          </w:p>
          <w:p w14:paraId="4FE4729E" w14:textId="77777777" w:rsidR="001C2E4E" w:rsidRPr="00F96A7F" w:rsidRDefault="001C2E4E" w:rsidP="009A3D5C">
            <w:pPr>
              <w:pStyle w:val="Tabletext"/>
              <w:spacing w:after="240"/>
              <w:rPr>
                <w:bCs/>
              </w:rPr>
            </w:pPr>
            <w:r w:rsidRPr="00F96A7F">
              <w:rPr>
                <w:bCs/>
              </w:rPr>
              <w:t>Request by a specialist for the detection of a single gene variant, in a first</w:t>
            </w:r>
            <w:r>
              <w:rPr>
                <w:bCs/>
              </w:rPr>
              <w:t>-</w:t>
            </w:r>
            <w:r w:rsidRPr="00F96A7F">
              <w:rPr>
                <w:bCs/>
              </w:rPr>
              <w:t>degree relative of a patient with a known monogenic syndrome where previous genetic testing performed under item AAAAA or BBBB1 has id</w:t>
            </w:r>
            <w:r w:rsidR="009A3D5C">
              <w:rPr>
                <w:bCs/>
              </w:rPr>
              <w:t>entified the causative variant.</w:t>
            </w:r>
          </w:p>
          <w:p w14:paraId="0A0E0672" w14:textId="77777777" w:rsidR="001C2E4E" w:rsidRPr="00F96A7F" w:rsidRDefault="001C2E4E" w:rsidP="00664DB5">
            <w:pPr>
              <w:pStyle w:val="Tabletext"/>
            </w:pPr>
            <w:r w:rsidRPr="00F96A7F">
              <w:t>MBS Fee: $400.00</w:t>
            </w:r>
          </w:p>
          <w:p w14:paraId="5719FE3B" w14:textId="77777777" w:rsidR="001C2E4E" w:rsidRPr="00F96A7F" w:rsidRDefault="001C2E4E" w:rsidP="00664DB5">
            <w:pPr>
              <w:pStyle w:val="Tabletext"/>
              <w:rPr>
                <w:szCs w:val="22"/>
              </w:rPr>
            </w:pPr>
            <w:r w:rsidRPr="00F96A7F">
              <w:t>Benefit: 75% = $300.00 85% = $340.00</w:t>
            </w:r>
          </w:p>
        </w:tc>
      </w:tr>
    </w:tbl>
    <w:p w14:paraId="438E432D"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43B3E1ED" w14:textId="77777777" w:rsidR="001C2E4E" w:rsidRPr="00DF454E" w:rsidRDefault="001C2E4E" w:rsidP="009A3D5C">
      <w:pPr>
        <w:spacing w:after="240"/>
        <w:rPr>
          <w:szCs w:val="24"/>
        </w:rPr>
      </w:pPr>
      <w:r w:rsidRPr="00DF454E">
        <w:rPr>
          <w:szCs w:val="24"/>
        </w:rPr>
        <w:t xml:space="preserve">Targeted consultation was undertaken, with three responses received from </w:t>
      </w:r>
      <w:r w:rsidR="00CE0DF8">
        <w:rPr>
          <w:szCs w:val="24"/>
        </w:rPr>
        <w:t>professional organisations</w:t>
      </w:r>
      <w:r w:rsidRPr="00DF454E">
        <w:rPr>
          <w:szCs w:val="24"/>
        </w:rPr>
        <w:t>.</w:t>
      </w:r>
    </w:p>
    <w:p w14:paraId="66EF0CFF" w14:textId="5813F314" w:rsidR="00730054" w:rsidRDefault="0097564C" w:rsidP="0097564C">
      <w:pPr>
        <w:rPr>
          <w:szCs w:val="24"/>
        </w:rPr>
      </w:pPr>
      <w:r w:rsidRPr="00DF454E">
        <w:rPr>
          <w:szCs w:val="24"/>
        </w:rPr>
        <w:t>Overall</w:t>
      </w:r>
      <w:r w:rsidR="00CE0DF8">
        <w:rPr>
          <w:szCs w:val="24"/>
        </w:rPr>
        <w:t>,</w:t>
      </w:r>
      <w:r w:rsidRPr="00DF454E">
        <w:rPr>
          <w:szCs w:val="24"/>
        </w:rPr>
        <w:t xml:space="preserve"> the responses were supportive of </w:t>
      </w:r>
      <w:r w:rsidR="00730054">
        <w:rPr>
          <w:szCs w:val="24"/>
        </w:rPr>
        <w:t>g</w:t>
      </w:r>
      <w:r w:rsidRPr="00DF454E">
        <w:rPr>
          <w:szCs w:val="24"/>
        </w:rPr>
        <w:t>enetic testing for childhood syndromes</w:t>
      </w:r>
      <w:r w:rsidR="00CE0DF8">
        <w:rPr>
          <w:szCs w:val="24"/>
        </w:rPr>
        <w:t>. H</w:t>
      </w:r>
      <w:r w:rsidRPr="00DF454E">
        <w:rPr>
          <w:szCs w:val="24"/>
        </w:rPr>
        <w:t>owever</w:t>
      </w:r>
      <w:r w:rsidR="00CE0DF8">
        <w:rPr>
          <w:szCs w:val="24"/>
        </w:rPr>
        <w:t>, one respondent</w:t>
      </w:r>
      <w:r w:rsidRPr="00DF454E">
        <w:rPr>
          <w:szCs w:val="24"/>
        </w:rPr>
        <w:t xml:space="preserve"> </w:t>
      </w:r>
      <w:r w:rsidR="00DF454E">
        <w:rPr>
          <w:szCs w:val="24"/>
        </w:rPr>
        <w:t>did not agree</w:t>
      </w:r>
      <w:r w:rsidRPr="00DF454E">
        <w:rPr>
          <w:szCs w:val="24"/>
        </w:rPr>
        <w:t xml:space="preserve"> with the proposed popul</w:t>
      </w:r>
      <w:r w:rsidR="00CE0DF8">
        <w:rPr>
          <w:szCs w:val="24"/>
        </w:rPr>
        <w:t xml:space="preserve">ation and MBS item descriptor. They also </w:t>
      </w:r>
      <w:r w:rsidRPr="00DF454E">
        <w:rPr>
          <w:szCs w:val="24"/>
        </w:rPr>
        <w:t>indicated that</w:t>
      </w:r>
      <w:r w:rsidR="00DF454E" w:rsidRPr="00DF454E">
        <w:rPr>
          <w:szCs w:val="24"/>
        </w:rPr>
        <w:t>,</w:t>
      </w:r>
      <w:r w:rsidRPr="00DF454E">
        <w:rPr>
          <w:szCs w:val="24"/>
        </w:rPr>
        <w:t xml:space="preserve"> </w:t>
      </w:r>
      <w:r w:rsidR="00DF454E">
        <w:rPr>
          <w:szCs w:val="24"/>
        </w:rPr>
        <w:t>t</w:t>
      </w:r>
      <w:r w:rsidRPr="00DF454E">
        <w:rPr>
          <w:szCs w:val="24"/>
        </w:rPr>
        <w:t>argeted gene panels may be more appropriate and cost effective whilst delivering better coverage of included genes, particularly if clinical assessment suggests a phenot</w:t>
      </w:r>
      <w:r w:rsidR="000A768F">
        <w:rPr>
          <w:szCs w:val="24"/>
        </w:rPr>
        <w:t>ype (e.g.”</w:t>
      </w:r>
      <w:r w:rsidR="00730054">
        <w:rPr>
          <w:szCs w:val="24"/>
        </w:rPr>
        <w:t>ciliopathy panel”).</w:t>
      </w:r>
    </w:p>
    <w:p w14:paraId="7BD292E9" w14:textId="77777777" w:rsidR="00BC1364" w:rsidRPr="00F715D1" w:rsidRDefault="00BC1364" w:rsidP="00F715D1">
      <w:pPr>
        <w:pStyle w:val="Heading1"/>
      </w:pPr>
      <w:r w:rsidRPr="00F715D1">
        <w:t>Proposed intervention’s place in clinical management</w:t>
      </w:r>
    </w:p>
    <w:p w14:paraId="585AF3A6" w14:textId="77777777" w:rsidR="00CE0DF8" w:rsidRDefault="00CE0DF8" w:rsidP="00CE0DF8">
      <w:pPr>
        <w:pStyle w:val="Body"/>
        <w:spacing w:after="240" w:line="240" w:lineRule="auto"/>
        <w:rPr>
          <w:rFonts w:ascii="Times New Roman" w:hAnsi="Times New Roman" w:cs="Times New Roman"/>
        </w:rPr>
      </w:pPr>
      <w:r w:rsidRPr="000D5773">
        <w:rPr>
          <w:rFonts w:ascii="Times New Roman" w:hAnsi="Times New Roman" w:cs="Times New Roman"/>
        </w:rPr>
        <w:t>The proposed intervention is genetic testing of all genes known to cause Mendelian diseases in humans.</w:t>
      </w:r>
      <w:r w:rsidRPr="000C3E32">
        <w:t xml:space="preserve"> </w:t>
      </w:r>
      <w:r w:rsidRPr="000C3E32">
        <w:rPr>
          <w:rFonts w:ascii="Times New Roman" w:hAnsi="Times New Roman" w:cs="Times New Roman"/>
        </w:rPr>
        <w:t xml:space="preserve">In practice, for each individual patient, a clinician with appropriate expertise may propose a selection of genes for prioritised analysis based on the patient’s phenotype. If a </w:t>
      </w:r>
      <w:r w:rsidR="006011DB">
        <w:rPr>
          <w:rFonts w:ascii="Times New Roman" w:hAnsi="Times New Roman" w:cs="Times New Roman"/>
        </w:rPr>
        <w:t xml:space="preserve">molecular </w:t>
      </w:r>
      <w:r w:rsidRPr="000C3E32">
        <w:rPr>
          <w:rFonts w:ascii="Times New Roman" w:hAnsi="Times New Roman" w:cs="Times New Roman"/>
        </w:rPr>
        <w:t xml:space="preserve">diagnosis cannot be made from this initial list, investigation expands to all other genes known to cause genetic conditions (often referred to as the ‘mendeliome’), with a </w:t>
      </w:r>
      <w:r w:rsidR="006011DB">
        <w:rPr>
          <w:rFonts w:ascii="Times New Roman" w:hAnsi="Times New Roman" w:cs="Times New Roman"/>
        </w:rPr>
        <w:t xml:space="preserve">molecular </w:t>
      </w:r>
      <w:r w:rsidRPr="000C3E32">
        <w:rPr>
          <w:rFonts w:ascii="Times New Roman" w:hAnsi="Times New Roman" w:cs="Times New Roman"/>
        </w:rPr>
        <w:t>diagnosis only made where there is sufficient evidence that a variant/s is/are linked to the individual’s phenotype.</w:t>
      </w:r>
    </w:p>
    <w:p w14:paraId="3441FCA6" w14:textId="77777777" w:rsidR="00CE0DF8" w:rsidRPr="000C3E32" w:rsidRDefault="00CE0DF8" w:rsidP="009A3D5C">
      <w:pPr>
        <w:tabs>
          <w:tab w:val="left" w:pos="720"/>
          <w:tab w:val="left" w:pos="1140"/>
        </w:tabs>
        <w:spacing w:after="240"/>
        <w:rPr>
          <w:szCs w:val="24"/>
        </w:rPr>
      </w:pPr>
      <w:r w:rsidRPr="000C3E32">
        <w:rPr>
          <w:szCs w:val="24"/>
        </w:rPr>
        <w:t xml:space="preserve">Monogenic </w:t>
      </w:r>
      <w:r w:rsidR="00451033">
        <w:rPr>
          <w:szCs w:val="24"/>
        </w:rPr>
        <w:t xml:space="preserve">childhood </w:t>
      </w:r>
      <w:r w:rsidRPr="000C3E32">
        <w:rPr>
          <w:szCs w:val="24"/>
        </w:rPr>
        <w:t>syndromes are a clinically and genetically heterogeneous group of disorders, typically with onset during infancy or early childhood. Individual syndromes usually have a constellation of features including, but not limited to, facial dysmorphism, congenital malformations, single or multi-organ functional anomalies, and variable degrees of intellectual disability.</w:t>
      </w:r>
    </w:p>
    <w:p w14:paraId="628641DF" w14:textId="77777777" w:rsidR="00CE0DF8" w:rsidRDefault="00CE0DF8" w:rsidP="00CE0DF8">
      <w:pPr>
        <w:tabs>
          <w:tab w:val="left" w:pos="720"/>
          <w:tab w:val="left" w:pos="1140"/>
        </w:tabs>
        <w:rPr>
          <w:szCs w:val="24"/>
        </w:rPr>
      </w:pPr>
      <w:r w:rsidRPr="000C3E32">
        <w:rPr>
          <w:szCs w:val="24"/>
        </w:rPr>
        <w:t>Each genetic syndrome will have specific clinical features, depending on which organ systems are affected by the abnormal genes. The most commonly observed phenotypes are categorised as neurodevelopmental, musculoskeletal, ophthalmologic, and cardiovascular.</w:t>
      </w:r>
    </w:p>
    <w:p w14:paraId="5399F27C" w14:textId="77777777" w:rsidR="000C5D80" w:rsidRPr="009A3D5C" w:rsidRDefault="000C5D80" w:rsidP="009A3D5C">
      <w:pPr>
        <w:spacing w:before="240"/>
        <w:rPr>
          <w:szCs w:val="24"/>
        </w:rPr>
      </w:pPr>
      <w:r w:rsidRPr="00BF17D0">
        <w:rPr>
          <w:szCs w:val="24"/>
        </w:rPr>
        <w:t>With the introduction of diagnostic whole exome analysis</w:t>
      </w:r>
      <w:r w:rsidR="006011DB">
        <w:rPr>
          <w:szCs w:val="24"/>
        </w:rPr>
        <w:t>,</w:t>
      </w:r>
      <w:r w:rsidRPr="00BF17D0">
        <w:rPr>
          <w:szCs w:val="24"/>
        </w:rPr>
        <w:t xml:space="preserve"> a molecular diagnosis m</w:t>
      </w:r>
      <w:r w:rsidR="00451033">
        <w:rPr>
          <w:szCs w:val="24"/>
        </w:rPr>
        <w:t>ay be made for these patients.</w:t>
      </w:r>
    </w:p>
    <w:p w14:paraId="53F85D28" w14:textId="77777777" w:rsidR="00DB1234" w:rsidRDefault="00DB1234" w:rsidP="00DB1234">
      <w:r>
        <w:rPr>
          <w:noProof/>
        </w:rPr>
        <w:lastRenderedPageBreak/>
        <w:drawing>
          <wp:inline distT="0" distB="0" distL="0" distR="0" wp14:anchorId="2363E9DE" wp14:editId="4B0FB2A1">
            <wp:extent cx="5731510" cy="6434477"/>
            <wp:effectExtent l="0" t="0" r="2540" b="4445"/>
            <wp:docPr id="1" name="Picture 1" descr="Flow chart of the clinical management pathways showing the traditional pathway and the pathway with WEA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6434477"/>
                    </a:xfrm>
                    <a:prstGeom prst="rect">
                      <a:avLst/>
                    </a:prstGeom>
                  </pic:spPr>
                </pic:pic>
              </a:graphicData>
            </a:graphic>
          </wp:inline>
        </w:drawing>
      </w:r>
    </w:p>
    <w:p w14:paraId="7A1AA6C3" w14:textId="77777777" w:rsidR="00BC1364" w:rsidRPr="00F715D1" w:rsidRDefault="00451033" w:rsidP="00F715D1">
      <w:pPr>
        <w:pStyle w:val="Heading1"/>
      </w:pPr>
      <w:r>
        <w:t>Comparator</w:t>
      </w:r>
    </w:p>
    <w:p w14:paraId="6B7C81DF" w14:textId="77777777" w:rsidR="000C5D80" w:rsidRDefault="000C5D80" w:rsidP="005C192F">
      <w:pPr>
        <w:pStyle w:val="Body"/>
        <w:spacing w:line="240" w:lineRule="auto"/>
        <w:rPr>
          <w:rFonts w:ascii="Times New Roman" w:hAnsi="Times New Roman" w:cs="Times New Roman"/>
        </w:rPr>
      </w:pPr>
      <w:r>
        <w:rPr>
          <w:rFonts w:ascii="Times New Roman" w:hAnsi="Times New Roman" w:cs="Times New Roman"/>
        </w:rPr>
        <w:t>The genetic test targets three different patient populations. The comparators for each population are:</w:t>
      </w:r>
    </w:p>
    <w:p w14:paraId="228F2BBE" w14:textId="6C17E22F" w:rsidR="000C5D80" w:rsidRPr="005C192F" w:rsidRDefault="000C5D80" w:rsidP="005C192F">
      <w:pPr>
        <w:pStyle w:val="Tabletext"/>
        <w:numPr>
          <w:ilvl w:val="0"/>
          <w:numId w:val="33"/>
        </w:numPr>
        <w:ind w:left="567" w:hanging="283"/>
        <w:rPr>
          <w:rFonts w:ascii="Times New Roman" w:hAnsi="Times New Roman"/>
          <w:sz w:val="24"/>
        </w:rPr>
      </w:pPr>
      <w:r w:rsidRPr="005C192F">
        <w:rPr>
          <w:rFonts w:ascii="Times New Roman" w:hAnsi="Times New Roman"/>
          <w:sz w:val="24"/>
        </w:rPr>
        <w:t>Population 1 (≤ 2 years of age with suspected monogenic syndromic genetic disorders):</w:t>
      </w:r>
      <w:r w:rsidR="005C192F">
        <w:rPr>
          <w:rFonts w:ascii="Times New Roman" w:hAnsi="Times New Roman"/>
          <w:sz w:val="24"/>
        </w:rPr>
        <w:t xml:space="preserve"> </w:t>
      </w:r>
      <w:r w:rsidR="00730054" w:rsidRPr="00730054">
        <w:rPr>
          <w:rFonts w:ascii="Times New Roman" w:hAnsi="Times New Roman"/>
          <w:sz w:val="24"/>
        </w:rPr>
        <w:t>standard of care (</w:t>
      </w:r>
      <w:r w:rsidRPr="005C192F">
        <w:rPr>
          <w:rFonts w:ascii="Times New Roman" w:hAnsi="Times New Roman"/>
          <w:sz w:val="24"/>
        </w:rPr>
        <w:t>SoC</w:t>
      </w:r>
      <w:r w:rsidR="00730054">
        <w:rPr>
          <w:rFonts w:ascii="Times New Roman" w:hAnsi="Times New Roman"/>
          <w:sz w:val="24"/>
        </w:rPr>
        <w:t>)</w:t>
      </w:r>
      <w:r w:rsidRPr="005C192F">
        <w:rPr>
          <w:rFonts w:ascii="Times New Roman" w:hAnsi="Times New Roman"/>
          <w:sz w:val="24"/>
        </w:rPr>
        <w:t xml:space="preserve"> </w:t>
      </w:r>
      <w:r w:rsidR="000A768F">
        <w:rPr>
          <w:rFonts w:ascii="Times New Roman" w:hAnsi="Times New Roman"/>
          <w:sz w:val="24"/>
        </w:rPr>
        <w:t>‘</w:t>
      </w:r>
      <w:r w:rsidRPr="005C192F">
        <w:rPr>
          <w:rFonts w:ascii="Times New Roman" w:hAnsi="Times New Roman"/>
          <w:sz w:val="24"/>
        </w:rPr>
        <w:t>diagnostic odyssey</w:t>
      </w:r>
      <w:r w:rsidR="000A768F">
        <w:rPr>
          <w:rFonts w:ascii="Times New Roman" w:hAnsi="Times New Roman"/>
          <w:sz w:val="24"/>
        </w:rPr>
        <w:t>’</w:t>
      </w:r>
    </w:p>
    <w:p w14:paraId="698DE8DE" w14:textId="77777777" w:rsidR="000C5D80" w:rsidRPr="005C192F" w:rsidRDefault="000C5D80" w:rsidP="005C192F">
      <w:pPr>
        <w:pStyle w:val="Tabletext"/>
        <w:numPr>
          <w:ilvl w:val="0"/>
          <w:numId w:val="33"/>
        </w:numPr>
        <w:ind w:left="567" w:hanging="283"/>
        <w:rPr>
          <w:rFonts w:ascii="Times New Roman" w:hAnsi="Times New Roman"/>
          <w:sz w:val="24"/>
        </w:rPr>
      </w:pPr>
      <w:r w:rsidRPr="005C192F">
        <w:rPr>
          <w:rFonts w:ascii="Times New Roman" w:hAnsi="Times New Roman"/>
          <w:sz w:val="24"/>
        </w:rPr>
        <w:t>Population 2 (test</w:t>
      </w:r>
      <w:r w:rsidR="00082703">
        <w:rPr>
          <w:rFonts w:ascii="Times New Roman" w:hAnsi="Times New Roman"/>
          <w:sz w:val="24"/>
        </w:rPr>
        <w:t>-negative</w:t>
      </w:r>
      <w:r w:rsidRPr="005C192F">
        <w:rPr>
          <w:rFonts w:ascii="Times New Roman" w:hAnsi="Times New Roman"/>
          <w:sz w:val="24"/>
        </w:rPr>
        <w:t xml:space="preserve"> patients from Population 1):</w:t>
      </w:r>
      <w:r w:rsidR="005C192F">
        <w:rPr>
          <w:rFonts w:ascii="Times New Roman" w:hAnsi="Times New Roman"/>
          <w:sz w:val="24"/>
        </w:rPr>
        <w:t xml:space="preserve"> </w:t>
      </w:r>
      <w:r w:rsidR="00730054" w:rsidRPr="005C192F">
        <w:rPr>
          <w:rFonts w:ascii="Times New Roman" w:hAnsi="Times New Roman"/>
          <w:sz w:val="24"/>
        </w:rPr>
        <w:t>n</w:t>
      </w:r>
      <w:r w:rsidRPr="005C192F">
        <w:rPr>
          <w:rFonts w:ascii="Times New Roman" w:hAnsi="Times New Roman"/>
          <w:sz w:val="24"/>
        </w:rPr>
        <w:t>o re-analysis and standard care</w:t>
      </w:r>
    </w:p>
    <w:p w14:paraId="042B8C7B" w14:textId="77777777" w:rsidR="000C5D80" w:rsidRPr="005C192F" w:rsidRDefault="000C5D80" w:rsidP="005C192F">
      <w:pPr>
        <w:pStyle w:val="Tabletext"/>
        <w:numPr>
          <w:ilvl w:val="0"/>
          <w:numId w:val="33"/>
        </w:numPr>
        <w:ind w:left="567" w:hanging="283"/>
        <w:rPr>
          <w:rFonts w:ascii="Times New Roman" w:hAnsi="Times New Roman"/>
          <w:sz w:val="24"/>
        </w:rPr>
      </w:pPr>
      <w:r w:rsidRPr="005C192F">
        <w:rPr>
          <w:rFonts w:ascii="Times New Roman" w:hAnsi="Times New Roman"/>
          <w:sz w:val="24"/>
        </w:rPr>
        <w:t>Population 3 (first-degree relatives):</w:t>
      </w:r>
      <w:r w:rsidR="005C192F" w:rsidRPr="005C192F">
        <w:rPr>
          <w:rFonts w:ascii="Times New Roman" w:hAnsi="Times New Roman"/>
          <w:sz w:val="24"/>
        </w:rPr>
        <w:t xml:space="preserve"> </w:t>
      </w:r>
      <w:r w:rsidR="00730054" w:rsidRPr="005C192F">
        <w:rPr>
          <w:rFonts w:ascii="Times New Roman" w:hAnsi="Times New Roman"/>
          <w:sz w:val="24"/>
        </w:rPr>
        <w:t>c</w:t>
      </w:r>
      <w:r w:rsidRPr="005C192F">
        <w:rPr>
          <w:rFonts w:ascii="Times New Roman" w:hAnsi="Times New Roman"/>
          <w:sz w:val="24"/>
        </w:rPr>
        <w:t>ascade testing in families after diagnosis by standard/current methods</w:t>
      </w:r>
      <w:r w:rsidR="000D08B4">
        <w:rPr>
          <w:rFonts w:ascii="Times New Roman" w:hAnsi="Times New Roman"/>
          <w:sz w:val="24"/>
        </w:rPr>
        <w:t>.</w:t>
      </w:r>
    </w:p>
    <w:p w14:paraId="15B8F984" w14:textId="77777777" w:rsidR="00BC1364" w:rsidRPr="00F715D1" w:rsidRDefault="00BC1364" w:rsidP="00F715D1">
      <w:pPr>
        <w:pStyle w:val="Heading1"/>
      </w:pPr>
      <w:r w:rsidRPr="00F715D1">
        <w:t>Comparative safety</w:t>
      </w:r>
    </w:p>
    <w:p w14:paraId="74490495" w14:textId="77777777" w:rsidR="000C5D80" w:rsidRDefault="00846C33" w:rsidP="000C5D80">
      <w:pPr>
        <w:tabs>
          <w:tab w:val="left" w:pos="720"/>
          <w:tab w:val="left" w:pos="1140"/>
        </w:tabs>
      </w:pPr>
      <w:r>
        <w:t>See comparative effectiveness section.</w:t>
      </w:r>
    </w:p>
    <w:p w14:paraId="3041BAD8" w14:textId="77777777" w:rsidR="00BC1364" w:rsidRPr="00F715D1" w:rsidRDefault="00BC1364" w:rsidP="00F715D1">
      <w:pPr>
        <w:pStyle w:val="Heading1"/>
      </w:pPr>
      <w:r w:rsidRPr="00F715D1">
        <w:lastRenderedPageBreak/>
        <w:t>Comparative effectiveness</w:t>
      </w:r>
    </w:p>
    <w:p w14:paraId="64A9CDE7" w14:textId="77777777" w:rsidR="00846C33" w:rsidRDefault="00846C33" w:rsidP="00501ED9">
      <w:pPr>
        <w:pStyle w:val="Heading2"/>
        <w:spacing w:before="0"/>
      </w:pPr>
      <w:r w:rsidRPr="00501ED9">
        <w:t>Key</w:t>
      </w:r>
      <w:r w:rsidR="00645461">
        <w:t xml:space="preserve"> analytical performance results</w:t>
      </w:r>
    </w:p>
    <w:p w14:paraId="614D0429" w14:textId="77777777" w:rsidR="00846C33" w:rsidRPr="00501ED9" w:rsidRDefault="00846C33" w:rsidP="00501ED9">
      <w:pPr>
        <w:pStyle w:val="Body"/>
        <w:spacing w:before="120" w:after="240" w:line="240" w:lineRule="auto"/>
        <w:rPr>
          <w:rFonts w:ascii="Times New Roman" w:hAnsi="Times New Roman" w:cs="Times New Roman"/>
        </w:rPr>
      </w:pPr>
      <w:r w:rsidRPr="00501ED9">
        <w:rPr>
          <w:rFonts w:ascii="Times New Roman" w:hAnsi="Times New Roman" w:cs="Times New Roman"/>
        </w:rPr>
        <w:t>Whole exome analysis (WEA) has a superior diagnostic yield to SoC</w:t>
      </w:r>
      <w:r w:rsidR="00730054">
        <w:rPr>
          <w:rFonts w:ascii="Times New Roman" w:hAnsi="Times New Roman" w:cs="Times New Roman"/>
        </w:rPr>
        <w:t>.</w:t>
      </w:r>
    </w:p>
    <w:p w14:paraId="62A592A7" w14:textId="77777777" w:rsidR="00846C33" w:rsidRPr="00501ED9" w:rsidRDefault="00846C33" w:rsidP="003D15F0">
      <w:pPr>
        <w:pStyle w:val="Heading3"/>
        <w:rPr>
          <w:rStyle w:val="Emphasis"/>
          <w:rFonts w:ascii="Times New Roman" w:eastAsiaTheme="majorEastAsia" w:hAnsi="Times New Roman" w:cstheme="majorBidi"/>
          <w:i/>
          <w:szCs w:val="26"/>
        </w:rPr>
      </w:pPr>
      <w:r w:rsidRPr="00501ED9">
        <w:rPr>
          <w:rStyle w:val="Emphasis"/>
          <w:rFonts w:ascii="Times New Roman" w:eastAsiaTheme="majorEastAsia" w:hAnsi="Times New Roman" w:cstheme="majorBidi"/>
          <w:i/>
          <w:szCs w:val="26"/>
        </w:rPr>
        <w:t>Population 1: Initial testing for the diagnosis of childhood syndromes</w:t>
      </w:r>
    </w:p>
    <w:p w14:paraId="04F7F0E1" w14:textId="77777777" w:rsidR="00846C33" w:rsidRPr="00501ED9" w:rsidRDefault="00846C33" w:rsidP="00501ED9">
      <w:pPr>
        <w:pStyle w:val="Body"/>
        <w:spacing w:after="240" w:line="240" w:lineRule="auto"/>
        <w:rPr>
          <w:rFonts w:ascii="Times New Roman" w:hAnsi="Times New Roman" w:cs="Times New Roman"/>
        </w:rPr>
      </w:pPr>
      <w:r w:rsidRPr="00501ED9">
        <w:rPr>
          <w:rFonts w:ascii="Times New Roman" w:hAnsi="Times New Roman" w:cs="Times New Roman"/>
        </w:rPr>
        <w:t xml:space="preserve">Pooled diagnostic </w:t>
      </w:r>
      <w:r w:rsidR="002D6BC9">
        <w:rPr>
          <w:rFonts w:ascii="Times New Roman" w:hAnsi="Times New Roman" w:cs="Times New Roman"/>
        </w:rPr>
        <w:t>yield</w:t>
      </w:r>
      <w:r w:rsidRPr="00501ED9">
        <w:rPr>
          <w:rFonts w:ascii="Times New Roman" w:hAnsi="Times New Roman" w:cs="Times New Roman"/>
        </w:rPr>
        <w:t xml:space="preserve"> for whole genome sequencing (WGS), whole exome sequencing (WES) and chromosomal microarray (CMA) in children (aged 0–18 years) with any suspected genetic disease (</w:t>
      </w:r>
      <w:r w:rsidR="00981880">
        <w:rPr>
          <w:rFonts w:ascii="Times New Roman" w:hAnsi="Times New Roman" w:cs="Times New Roman"/>
        </w:rPr>
        <w:t>Table 2</w:t>
      </w:r>
      <w:r w:rsidRPr="00501ED9">
        <w:rPr>
          <w:rFonts w:ascii="Times New Roman" w:hAnsi="Times New Roman" w:cs="Times New Roman"/>
        </w:rPr>
        <w:t xml:space="preserve">) were reported in a systematic literature review and meta-analysis (Clark </w:t>
      </w:r>
      <w:r w:rsidRPr="00501ED9">
        <w:rPr>
          <w:rFonts w:ascii="Times New Roman" w:hAnsi="Times New Roman" w:cs="Times New Roman"/>
          <w:i/>
        </w:rPr>
        <w:t>et al</w:t>
      </w:r>
      <w:r w:rsidRPr="00501ED9">
        <w:rPr>
          <w:rFonts w:ascii="Times New Roman" w:hAnsi="Times New Roman" w:cs="Times New Roman"/>
        </w:rPr>
        <w:t xml:space="preserve"> (2018)). WGS has a higher diagnostic yield than WES,</w:t>
      </w:r>
      <w:r w:rsidR="00451033">
        <w:rPr>
          <w:rFonts w:ascii="Times New Roman" w:hAnsi="Times New Roman" w:cs="Times New Roman"/>
        </w:rPr>
        <w:t xml:space="preserve"> and both were superior to CMA.</w:t>
      </w:r>
    </w:p>
    <w:p w14:paraId="36E0A3E8" w14:textId="77777777" w:rsidR="00846C33" w:rsidRPr="001964D2" w:rsidRDefault="00846C33" w:rsidP="001964D2">
      <w:pPr>
        <w:rPr>
          <w:rFonts w:ascii="Arial Narrow" w:hAnsi="Arial Narrow"/>
          <w:b/>
          <w:sz w:val="20"/>
        </w:rPr>
      </w:pPr>
      <w:bookmarkStart w:id="3" w:name="_Ref512581030"/>
      <w:bookmarkStart w:id="4" w:name="_Toc513290985"/>
      <w:r w:rsidRPr="001964D2">
        <w:rPr>
          <w:rFonts w:ascii="Arial Narrow" w:hAnsi="Arial Narrow"/>
          <w:b/>
          <w:sz w:val="20"/>
        </w:rPr>
        <w:t xml:space="preserve">Table </w:t>
      </w:r>
      <w:bookmarkEnd w:id="3"/>
      <w:r w:rsidR="00981880" w:rsidRPr="001964D2">
        <w:rPr>
          <w:rFonts w:ascii="Arial Narrow" w:hAnsi="Arial Narrow"/>
          <w:b/>
          <w:sz w:val="20"/>
        </w:rPr>
        <w:t>2</w:t>
      </w:r>
      <w:r w:rsidRPr="001964D2">
        <w:rPr>
          <w:rFonts w:ascii="Arial Narrow" w:hAnsi="Arial Narrow"/>
          <w:b/>
          <w:sz w:val="20"/>
        </w:rPr>
        <w:tab/>
        <w:t xml:space="preserve">Pooled diagnostic </w:t>
      </w:r>
      <w:r w:rsidR="002D6BC9" w:rsidRPr="001964D2">
        <w:rPr>
          <w:rFonts w:ascii="Arial Narrow" w:hAnsi="Arial Narrow"/>
          <w:b/>
          <w:sz w:val="20"/>
        </w:rPr>
        <w:t>yield</w:t>
      </w:r>
      <w:r w:rsidRPr="001964D2">
        <w:rPr>
          <w:rFonts w:ascii="Arial Narrow" w:hAnsi="Arial Narrow"/>
          <w:b/>
          <w:sz w:val="20"/>
        </w:rPr>
        <w:t xml:space="preserve"> of WGS, WES and CMA</w:t>
      </w:r>
      <w:bookmarkEnd w:id="4"/>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pooled diagnostic yeield of WGS, WES and CMA"/>
      </w:tblPr>
      <w:tblGrid>
        <w:gridCol w:w="2259"/>
        <w:gridCol w:w="2259"/>
        <w:gridCol w:w="2260"/>
        <w:gridCol w:w="2260"/>
      </w:tblGrid>
      <w:tr w:rsidR="00846C33" w:rsidRPr="00501ED9" w14:paraId="62005C11" w14:textId="77777777" w:rsidTr="007052AA">
        <w:trPr>
          <w:tblHeader/>
        </w:trPr>
        <w:tc>
          <w:tcPr>
            <w:tcW w:w="2259" w:type="dxa"/>
          </w:tcPr>
          <w:p w14:paraId="62FCCFA6" w14:textId="77777777" w:rsidR="00846C33" w:rsidRPr="00501ED9" w:rsidRDefault="00846C33" w:rsidP="0008217D">
            <w:pPr>
              <w:pStyle w:val="Tableheading"/>
              <w:rPr>
                <w:rFonts w:ascii="Arial Narrow" w:hAnsi="Arial Narrow"/>
                <w:szCs w:val="20"/>
              </w:rPr>
            </w:pPr>
            <w:r w:rsidRPr="00501ED9">
              <w:rPr>
                <w:rFonts w:ascii="Arial Narrow" w:hAnsi="Arial Narrow"/>
                <w:szCs w:val="20"/>
              </w:rPr>
              <w:t>Genetic test</w:t>
            </w:r>
          </w:p>
        </w:tc>
        <w:tc>
          <w:tcPr>
            <w:tcW w:w="2259" w:type="dxa"/>
          </w:tcPr>
          <w:p w14:paraId="17B70161" w14:textId="77777777" w:rsidR="00846C33" w:rsidRPr="00501ED9" w:rsidRDefault="00846C33" w:rsidP="002D6BC9">
            <w:pPr>
              <w:pStyle w:val="Tableheading"/>
              <w:jc w:val="center"/>
              <w:rPr>
                <w:rFonts w:ascii="Arial Narrow" w:hAnsi="Arial Narrow"/>
                <w:szCs w:val="20"/>
              </w:rPr>
            </w:pPr>
            <w:r w:rsidRPr="00501ED9">
              <w:rPr>
                <w:rFonts w:ascii="Arial Narrow" w:hAnsi="Arial Narrow"/>
                <w:szCs w:val="20"/>
              </w:rPr>
              <w:t xml:space="preserve">Diagnostic </w:t>
            </w:r>
            <w:r w:rsidR="002D6BC9">
              <w:rPr>
                <w:rFonts w:ascii="Arial Narrow" w:hAnsi="Arial Narrow"/>
                <w:szCs w:val="20"/>
              </w:rPr>
              <w:t>yield</w:t>
            </w:r>
          </w:p>
        </w:tc>
        <w:tc>
          <w:tcPr>
            <w:tcW w:w="2260" w:type="dxa"/>
          </w:tcPr>
          <w:p w14:paraId="62BC9332"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95% CI</w:t>
            </w:r>
          </w:p>
        </w:tc>
        <w:tc>
          <w:tcPr>
            <w:tcW w:w="2260" w:type="dxa"/>
          </w:tcPr>
          <w:p w14:paraId="7767BE67" w14:textId="77777777" w:rsidR="00846C33" w:rsidRPr="00501ED9" w:rsidRDefault="00846C33" w:rsidP="0008217D">
            <w:pPr>
              <w:pStyle w:val="Tableheading"/>
              <w:jc w:val="center"/>
              <w:rPr>
                <w:rFonts w:ascii="Arial Narrow" w:hAnsi="Arial Narrow"/>
                <w:szCs w:val="20"/>
              </w:rPr>
            </w:pPr>
            <w:r w:rsidRPr="00501ED9">
              <w:rPr>
                <w:rFonts w:ascii="Arial Narrow" w:hAnsi="Arial Narrow"/>
                <w:i/>
                <w:szCs w:val="20"/>
              </w:rPr>
              <w:t>Heterogeneity (I</w:t>
            </w:r>
            <w:r w:rsidRPr="00501ED9">
              <w:rPr>
                <w:rFonts w:ascii="Arial Narrow" w:hAnsi="Arial Narrow"/>
                <w:szCs w:val="20"/>
                <w:vertAlign w:val="superscript"/>
              </w:rPr>
              <w:t>2</w:t>
            </w:r>
            <w:r w:rsidRPr="00501ED9">
              <w:rPr>
                <w:rFonts w:ascii="Arial Narrow" w:hAnsi="Arial Narrow"/>
                <w:szCs w:val="20"/>
              </w:rPr>
              <w:t>)</w:t>
            </w:r>
          </w:p>
        </w:tc>
      </w:tr>
      <w:tr w:rsidR="00846C33" w:rsidRPr="00501ED9" w14:paraId="5C462CD8" w14:textId="77777777" w:rsidTr="0008217D">
        <w:tc>
          <w:tcPr>
            <w:tcW w:w="2259" w:type="dxa"/>
          </w:tcPr>
          <w:p w14:paraId="42D8F2AF" w14:textId="77777777" w:rsidR="00846C33" w:rsidRPr="00501ED9" w:rsidRDefault="00846C33" w:rsidP="0008217D">
            <w:pPr>
              <w:pStyle w:val="Tabletext"/>
              <w:rPr>
                <w:szCs w:val="20"/>
              </w:rPr>
            </w:pPr>
            <w:r w:rsidRPr="00501ED9">
              <w:rPr>
                <w:szCs w:val="20"/>
              </w:rPr>
              <w:t>WGS</w:t>
            </w:r>
          </w:p>
        </w:tc>
        <w:tc>
          <w:tcPr>
            <w:tcW w:w="2259" w:type="dxa"/>
          </w:tcPr>
          <w:p w14:paraId="17E2FCBE" w14:textId="77777777" w:rsidR="00846C33" w:rsidRPr="00501ED9" w:rsidRDefault="00846C33" w:rsidP="0008217D">
            <w:pPr>
              <w:pStyle w:val="Tabletext"/>
              <w:jc w:val="center"/>
              <w:rPr>
                <w:szCs w:val="20"/>
              </w:rPr>
            </w:pPr>
            <w:r w:rsidRPr="00501ED9">
              <w:rPr>
                <w:szCs w:val="20"/>
              </w:rPr>
              <w:t>41%</w:t>
            </w:r>
          </w:p>
        </w:tc>
        <w:tc>
          <w:tcPr>
            <w:tcW w:w="2260" w:type="dxa"/>
          </w:tcPr>
          <w:p w14:paraId="7A06BE57" w14:textId="77777777" w:rsidR="00846C33" w:rsidRPr="00501ED9" w:rsidRDefault="00846C33" w:rsidP="0008217D">
            <w:pPr>
              <w:pStyle w:val="Tabletext"/>
              <w:jc w:val="center"/>
              <w:rPr>
                <w:szCs w:val="20"/>
              </w:rPr>
            </w:pPr>
            <w:r w:rsidRPr="00501ED9">
              <w:rPr>
                <w:szCs w:val="20"/>
              </w:rPr>
              <w:t>34–48%</w:t>
            </w:r>
          </w:p>
        </w:tc>
        <w:tc>
          <w:tcPr>
            <w:tcW w:w="2260" w:type="dxa"/>
          </w:tcPr>
          <w:p w14:paraId="6FC10E15" w14:textId="77777777" w:rsidR="00846C33" w:rsidRPr="00501ED9" w:rsidRDefault="00846C33" w:rsidP="0008217D">
            <w:pPr>
              <w:pStyle w:val="Tabletext"/>
              <w:jc w:val="center"/>
              <w:rPr>
                <w:szCs w:val="20"/>
              </w:rPr>
            </w:pPr>
            <w:r w:rsidRPr="00501ED9">
              <w:rPr>
                <w:szCs w:val="20"/>
              </w:rPr>
              <w:t>44%</w:t>
            </w:r>
          </w:p>
        </w:tc>
      </w:tr>
      <w:tr w:rsidR="00846C33" w:rsidRPr="00501ED9" w14:paraId="14D45748" w14:textId="77777777" w:rsidTr="0008217D">
        <w:tc>
          <w:tcPr>
            <w:tcW w:w="2259" w:type="dxa"/>
          </w:tcPr>
          <w:p w14:paraId="0B3345FF" w14:textId="77777777" w:rsidR="00846C33" w:rsidRPr="00501ED9" w:rsidRDefault="00846C33" w:rsidP="0008217D">
            <w:pPr>
              <w:pStyle w:val="Tabletext"/>
              <w:rPr>
                <w:szCs w:val="20"/>
              </w:rPr>
            </w:pPr>
            <w:r w:rsidRPr="00501ED9">
              <w:rPr>
                <w:szCs w:val="20"/>
              </w:rPr>
              <w:t>WES</w:t>
            </w:r>
          </w:p>
        </w:tc>
        <w:tc>
          <w:tcPr>
            <w:tcW w:w="2259" w:type="dxa"/>
          </w:tcPr>
          <w:p w14:paraId="4910EDDA" w14:textId="77777777" w:rsidR="00846C33" w:rsidRPr="00501ED9" w:rsidRDefault="00846C33" w:rsidP="0008217D">
            <w:pPr>
              <w:pStyle w:val="Tabletext"/>
              <w:jc w:val="center"/>
              <w:rPr>
                <w:szCs w:val="20"/>
              </w:rPr>
            </w:pPr>
            <w:r w:rsidRPr="00501ED9">
              <w:rPr>
                <w:szCs w:val="20"/>
              </w:rPr>
              <w:t>35%</w:t>
            </w:r>
          </w:p>
        </w:tc>
        <w:tc>
          <w:tcPr>
            <w:tcW w:w="2260" w:type="dxa"/>
          </w:tcPr>
          <w:p w14:paraId="29819019" w14:textId="77777777" w:rsidR="00846C33" w:rsidRPr="00501ED9" w:rsidRDefault="00846C33" w:rsidP="0008217D">
            <w:pPr>
              <w:pStyle w:val="Tabletext"/>
              <w:jc w:val="center"/>
              <w:rPr>
                <w:szCs w:val="20"/>
              </w:rPr>
            </w:pPr>
            <w:r w:rsidRPr="00501ED9">
              <w:rPr>
                <w:szCs w:val="20"/>
              </w:rPr>
              <w:t>31–39%</w:t>
            </w:r>
          </w:p>
        </w:tc>
        <w:tc>
          <w:tcPr>
            <w:tcW w:w="2260" w:type="dxa"/>
          </w:tcPr>
          <w:p w14:paraId="6A81E8FE" w14:textId="77777777" w:rsidR="00846C33" w:rsidRPr="00501ED9" w:rsidRDefault="00846C33" w:rsidP="0008217D">
            <w:pPr>
              <w:pStyle w:val="Tabletext"/>
              <w:jc w:val="center"/>
              <w:rPr>
                <w:szCs w:val="20"/>
              </w:rPr>
            </w:pPr>
            <w:r w:rsidRPr="00501ED9">
              <w:rPr>
                <w:szCs w:val="20"/>
              </w:rPr>
              <w:t>85%</w:t>
            </w:r>
          </w:p>
        </w:tc>
      </w:tr>
      <w:tr w:rsidR="00846C33" w:rsidRPr="00501ED9" w14:paraId="2D734773" w14:textId="77777777" w:rsidTr="0008217D">
        <w:tc>
          <w:tcPr>
            <w:tcW w:w="2259" w:type="dxa"/>
          </w:tcPr>
          <w:p w14:paraId="31251410" w14:textId="77777777" w:rsidR="00846C33" w:rsidRPr="00501ED9" w:rsidRDefault="00846C33" w:rsidP="0008217D">
            <w:pPr>
              <w:pStyle w:val="Tabletext"/>
              <w:rPr>
                <w:szCs w:val="20"/>
              </w:rPr>
            </w:pPr>
            <w:r w:rsidRPr="00501ED9">
              <w:rPr>
                <w:szCs w:val="20"/>
              </w:rPr>
              <w:t>CMA</w:t>
            </w:r>
          </w:p>
        </w:tc>
        <w:tc>
          <w:tcPr>
            <w:tcW w:w="2259" w:type="dxa"/>
          </w:tcPr>
          <w:p w14:paraId="767F7869" w14:textId="77777777" w:rsidR="00846C33" w:rsidRPr="00501ED9" w:rsidRDefault="00846C33" w:rsidP="0008217D">
            <w:pPr>
              <w:pStyle w:val="Tabletext"/>
              <w:jc w:val="center"/>
              <w:rPr>
                <w:szCs w:val="20"/>
              </w:rPr>
            </w:pPr>
            <w:r w:rsidRPr="00501ED9">
              <w:rPr>
                <w:szCs w:val="20"/>
              </w:rPr>
              <w:t>10%</w:t>
            </w:r>
          </w:p>
        </w:tc>
        <w:tc>
          <w:tcPr>
            <w:tcW w:w="2260" w:type="dxa"/>
          </w:tcPr>
          <w:p w14:paraId="133B42BE" w14:textId="77777777" w:rsidR="00846C33" w:rsidRPr="00501ED9" w:rsidRDefault="00846C33" w:rsidP="0008217D">
            <w:pPr>
              <w:pStyle w:val="Tabletext"/>
              <w:jc w:val="center"/>
              <w:rPr>
                <w:szCs w:val="20"/>
              </w:rPr>
            </w:pPr>
            <w:r w:rsidRPr="00501ED9">
              <w:rPr>
                <w:szCs w:val="20"/>
              </w:rPr>
              <w:t>8–12%</w:t>
            </w:r>
          </w:p>
        </w:tc>
        <w:tc>
          <w:tcPr>
            <w:tcW w:w="2260" w:type="dxa"/>
          </w:tcPr>
          <w:p w14:paraId="637C2A65" w14:textId="77777777" w:rsidR="00846C33" w:rsidRPr="00501ED9" w:rsidRDefault="00846C33" w:rsidP="0008217D">
            <w:pPr>
              <w:pStyle w:val="Tabletext"/>
              <w:jc w:val="center"/>
              <w:rPr>
                <w:szCs w:val="20"/>
              </w:rPr>
            </w:pPr>
            <w:r w:rsidRPr="00501ED9">
              <w:rPr>
                <w:szCs w:val="20"/>
              </w:rPr>
              <w:t>81%</w:t>
            </w:r>
          </w:p>
        </w:tc>
      </w:tr>
    </w:tbl>
    <w:p w14:paraId="3A88C9B0" w14:textId="77777777" w:rsidR="00846C33" w:rsidRPr="00501ED9" w:rsidRDefault="00846C33" w:rsidP="00645461">
      <w:pPr>
        <w:pStyle w:val="Tablenote"/>
        <w:rPr>
          <w:rFonts w:ascii="Arial Narrow" w:hAnsi="Arial Narrow"/>
          <w:sz w:val="20"/>
          <w:szCs w:val="20"/>
        </w:rPr>
      </w:pPr>
      <w:r w:rsidRPr="00501ED9">
        <w:rPr>
          <w:rFonts w:ascii="Arial Narrow" w:hAnsi="Arial Narrow"/>
          <w:sz w:val="20"/>
          <w:szCs w:val="20"/>
        </w:rPr>
        <w:t>Abbreviations: CI, confidence interval; CMA, chromosomal microarray; WES, whole exome sequencing; WGS, whole genome sequencing</w:t>
      </w:r>
    </w:p>
    <w:p w14:paraId="2CAE46A5" w14:textId="77777777" w:rsidR="00846C33" w:rsidRPr="00501ED9" w:rsidRDefault="00846C33" w:rsidP="00645461">
      <w:pPr>
        <w:pStyle w:val="Tablenote"/>
        <w:spacing w:after="240"/>
        <w:rPr>
          <w:rFonts w:ascii="Arial Narrow" w:hAnsi="Arial Narrow"/>
          <w:sz w:val="20"/>
          <w:szCs w:val="20"/>
        </w:rPr>
      </w:pPr>
      <w:r w:rsidRPr="00501ED9">
        <w:rPr>
          <w:rFonts w:ascii="Arial Narrow" w:hAnsi="Arial Narrow"/>
          <w:sz w:val="20"/>
          <w:szCs w:val="20"/>
        </w:rPr>
        <w:t>Source: Clark et al (2018)</w:t>
      </w:r>
    </w:p>
    <w:p w14:paraId="34D8FC63" w14:textId="77777777" w:rsidR="00846C33" w:rsidRPr="00501ED9" w:rsidRDefault="00846C33" w:rsidP="00501ED9">
      <w:pPr>
        <w:pStyle w:val="Body"/>
        <w:spacing w:after="240" w:line="240" w:lineRule="auto"/>
        <w:rPr>
          <w:rFonts w:ascii="Times New Roman" w:hAnsi="Times New Roman" w:cs="Times New Roman"/>
        </w:rPr>
      </w:pPr>
      <w:r w:rsidRPr="00501ED9">
        <w:rPr>
          <w:rFonts w:ascii="Times New Roman" w:hAnsi="Times New Roman" w:cs="Times New Roman"/>
        </w:rPr>
        <w:t xml:space="preserve">The diagnostic </w:t>
      </w:r>
      <w:r w:rsidR="002D6BC9">
        <w:rPr>
          <w:rFonts w:ascii="Times New Roman" w:hAnsi="Times New Roman" w:cs="Times New Roman"/>
        </w:rPr>
        <w:t>yield</w:t>
      </w:r>
      <w:r w:rsidRPr="00501ED9">
        <w:rPr>
          <w:rFonts w:ascii="Times New Roman" w:hAnsi="Times New Roman" w:cs="Times New Roman"/>
        </w:rPr>
        <w:t xml:space="preserve"> of WES in infants (aged 0–2 years) and children (aged 2–18 years) who are suspected of having a monogenic disorder (</w:t>
      </w:r>
      <w:r w:rsidR="00981880">
        <w:rPr>
          <w:rFonts w:ascii="Times New Roman" w:hAnsi="Times New Roman" w:cs="Times New Roman"/>
        </w:rPr>
        <w:t>Table 3</w:t>
      </w:r>
      <w:r w:rsidRPr="00501ED9">
        <w:rPr>
          <w:rFonts w:ascii="Times New Roman" w:hAnsi="Times New Roman" w:cs="Times New Roman"/>
        </w:rPr>
        <w:t xml:space="preserve">) were reported in two Australian prospective studies (Stark </w:t>
      </w:r>
      <w:r w:rsidRPr="00501ED9">
        <w:rPr>
          <w:rFonts w:ascii="Times New Roman" w:hAnsi="Times New Roman" w:cs="Times New Roman"/>
          <w:i/>
        </w:rPr>
        <w:t>et al</w:t>
      </w:r>
      <w:r w:rsidRPr="00501ED9">
        <w:rPr>
          <w:rFonts w:ascii="Times New Roman" w:hAnsi="Times New Roman" w:cs="Times New Roman"/>
        </w:rPr>
        <w:t xml:space="preserve"> (2016) and Tan </w:t>
      </w:r>
      <w:r w:rsidRPr="00501ED9">
        <w:rPr>
          <w:rFonts w:ascii="Times New Roman" w:hAnsi="Times New Roman" w:cs="Times New Roman"/>
          <w:i/>
        </w:rPr>
        <w:t>et al</w:t>
      </w:r>
      <w:r w:rsidRPr="00501ED9">
        <w:rPr>
          <w:rFonts w:ascii="Times New Roman" w:hAnsi="Times New Roman" w:cs="Times New Roman"/>
        </w:rPr>
        <w:t xml:space="preserve"> (2017)).</w:t>
      </w:r>
    </w:p>
    <w:p w14:paraId="035730A5" w14:textId="77777777" w:rsidR="00846C33" w:rsidRPr="007052AA" w:rsidRDefault="00846C33" w:rsidP="007052AA">
      <w:pPr>
        <w:rPr>
          <w:rFonts w:ascii="Arial Narrow" w:hAnsi="Arial Narrow"/>
          <w:b/>
          <w:sz w:val="20"/>
        </w:rPr>
      </w:pPr>
      <w:bookmarkStart w:id="5" w:name="_Ref512581716"/>
      <w:bookmarkStart w:id="6" w:name="_Toc513290986"/>
      <w:r w:rsidRPr="007052AA">
        <w:rPr>
          <w:rFonts w:ascii="Arial Narrow" w:hAnsi="Arial Narrow"/>
          <w:b/>
          <w:sz w:val="20"/>
        </w:rPr>
        <w:t xml:space="preserve">Table </w:t>
      </w:r>
      <w:bookmarkEnd w:id="5"/>
      <w:r w:rsidR="00981880" w:rsidRPr="007052AA">
        <w:rPr>
          <w:rFonts w:ascii="Arial Narrow" w:hAnsi="Arial Narrow"/>
          <w:b/>
          <w:sz w:val="20"/>
        </w:rPr>
        <w:t>3</w:t>
      </w:r>
      <w:r w:rsidRPr="007052AA">
        <w:rPr>
          <w:rFonts w:ascii="Arial Narrow" w:hAnsi="Arial Narrow"/>
          <w:b/>
          <w:sz w:val="20"/>
        </w:rPr>
        <w:tab/>
        <w:t>Diagnostic yield of WES compared to standard diagnostic pathway in Australian paediatric populations</w:t>
      </w:r>
      <w:bookmarkEnd w:id="6"/>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results for diagnostic yield of WES compared to standard diagnostic pathway in Australian children population, infants aged 02- years and children aged 2-18 years"/>
      </w:tblPr>
      <w:tblGrid>
        <w:gridCol w:w="1475"/>
        <w:gridCol w:w="2095"/>
        <w:gridCol w:w="1247"/>
        <w:gridCol w:w="1338"/>
        <w:gridCol w:w="1676"/>
        <w:gridCol w:w="951"/>
      </w:tblGrid>
      <w:tr w:rsidR="00846C33" w:rsidRPr="00501ED9" w14:paraId="06A7B54D" w14:textId="77777777" w:rsidTr="007052AA">
        <w:trPr>
          <w:tblHeader/>
        </w:trPr>
        <w:tc>
          <w:tcPr>
            <w:tcW w:w="0" w:type="auto"/>
          </w:tcPr>
          <w:p w14:paraId="42F1D2C7" w14:textId="77777777" w:rsidR="00846C33" w:rsidRPr="00501ED9" w:rsidRDefault="00846C33" w:rsidP="0008217D">
            <w:pPr>
              <w:pStyle w:val="Tableheading"/>
              <w:rPr>
                <w:rFonts w:ascii="Arial Narrow" w:hAnsi="Arial Narrow"/>
                <w:szCs w:val="20"/>
              </w:rPr>
            </w:pPr>
            <w:r w:rsidRPr="00501ED9">
              <w:rPr>
                <w:rFonts w:ascii="Arial Narrow" w:hAnsi="Arial Narrow"/>
                <w:szCs w:val="20"/>
              </w:rPr>
              <w:t>Study</w:t>
            </w:r>
          </w:p>
        </w:tc>
        <w:tc>
          <w:tcPr>
            <w:tcW w:w="0" w:type="auto"/>
          </w:tcPr>
          <w:p w14:paraId="522FF5E8" w14:textId="77777777" w:rsidR="00846C33" w:rsidRPr="00501ED9" w:rsidRDefault="00846C33" w:rsidP="0008217D">
            <w:pPr>
              <w:pStyle w:val="Tableheading"/>
              <w:rPr>
                <w:rFonts w:ascii="Arial Narrow" w:hAnsi="Arial Narrow"/>
                <w:szCs w:val="20"/>
              </w:rPr>
            </w:pPr>
            <w:r w:rsidRPr="00501ED9">
              <w:rPr>
                <w:rFonts w:ascii="Arial Narrow" w:hAnsi="Arial Narrow"/>
                <w:szCs w:val="20"/>
              </w:rPr>
              <w:t>Population</w:t>
            </w:r>
          </w:p>
        </w:tc>
        <w:tc>
          <w:tcPr>
            <w:tcW w:w="0" w:type="auto"/>
          </w:tcPr>
          <w:p w14:paraId="14F9A86A"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WES</w:t>
            </w:r>
          </w:p>
          <w:p w14:paraId="48BEA9E6"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n/N (%)</w:t>
            </w:r>
          </w:p>
        </w:tc>
        <w:tc>
          <w:tcPr>
            <w:tcW w:w="0" w:type="auto"/>
          </w:tcPr>
          <w:p w14:paraId="5588A9A8"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Standard care</w:t>
            </w:r>
          </w:p>
          <w:p w14:paraId="76E16858"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n/N (%)</w:t>
            </w:r>
          </w:p>
        </w:tc>
        <w:tc>
          <w:tcPr>
            <w:tcW w:w="0" w:type="auto"/>
          </w:tcPr>
          <w:p w14:paraId="406D01C3"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RR [95% CI]</w:t>
            </w:r>
          </w:p>
        </w:tc>
        <w:tc>
          <w:tcPr>
            <w:tcW w:w="0" w:type="auto"/>
          </w:tcPr>
          <w:p w14:paraId="30E9712E"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P-value</w:t>
            </w:r>
          </w:p>
        </w:tc>
      </w:tr>
      <w:tr w:rsidR="00846C33" w:rsidRPr="00501ED9" w14:paraId="73D4C4CF" w14:textId="77777777" w:rsidTr="0008217D">
        <w:tc>
          <w:tcPr>
            <w:tcW w:w="0" w:type="auto"/>
          </w:tcPr>
          <w:p w14:paraId="6AE2F84D" w14:textId="77777777" w:rsidR="00846C33" w:rsidRPr="00501ED9" w:rsidRDefault="00846C33" w:rsidP="0008217D">
            <w:pPr>
              <w:pStyle w:val="Tabletext"/>
              <w:rPr>
                <w:szCs w:val="20"/>
              </w:rPr>
            </w:pPr>
            <w:r w:rsidRPr="00501ED9">
              <w:rPr>
                <w:szCs w:val="20"/>
              </w:rPr>
              <w:t xml:space="preserve">Stark </w:t>
            </w:r>
            <w:r w:rsidRPr="00501ED9">
              <w:rPr>
                <w:i/>
                <w:szCs w:val="20"/>
              </w:rPr>
              <w:t>et al</w:t>
            </w:r>
            <w:r w:rsidRPr="00501ED9">
              <w:rPr>
                <w:szCs w:val="20"/>
              </w:rPr>
              <w:t xml:space="preserve"> (2016)</w:t>
            </w:r>
          </w:p>
        </w:tc>
        <w:tc>
          <w:tcPr>
            <w:tcW w:w="0" w:type="auto"/>
          </w:tcPr>
          <w:p w14:paraId="205C9E0E" w14:textId="77777777" w:rsidR="00846C33" w:rsidRPr="00501ED9" w:rsidRDefault="00846C33" w:rsidP="0008217D">
            <w:pPr>
              <w:pStyle w:val="Tabletext"/>
              <w:rPr>
                <w:szCs w:val="20"/>
              </w:rPr>
            </w:pPr>
            <w:r w:rsidRPr="00501ED9">
              <w:rPr>
                <w:szCs w:val="20"/>
              </w:rPr>
              <w:t>Infants aged 0–2 years</w:t>
            </w:r>
          </w:p>
        </w:tc>
        <w:tc>
          <w:tcPr>
            <w:tcW w:w="0" w:type="auto"/>
          </w:tcPr>
          <w:p w14:paraId="1C285123" w14:textId="77777777" w:rsidR="00846C33" w:rsidRPr="00501ED9" w:rsidRDefault="00846C33" w:rsidP="0008217D">
            <w:pPr>
              <w:pStyle w:val="Tabletext"/>
              <w:jc w:val="center"/>
              <w:rPr>
                <w:szCs w:val="20"/>
              </w:rPr>
            </w:pPr>
            <w:r w:rsidRPr="00501ED9">
              <w:rPr>
                <w:szCs w:val="20"/>
              </w:rPr>
              <w:t>46/80 (57.5%)</w:t>
            </w:r>
          </w:p>
        </w:tc>
        <w:tc>
          <w:tcPr>
            <w:tcW w:w="0" w:type="auto"/>
          </w:tcPr>
          <w:p w14:paraId="51BD5B38" w14:textId="77777777" w:rsidR="00846C33" w:rsidRPr="00501ED9" w:rsidRDefault="00846C33" w:rsidP="0008217D">
            <w:pPr>
              <w:pStyle w:val="Tabletext"/>
              <w:jc w:val="center"/>
              <w:rPr>
                <w:szCs w:val="20"/>
              </w:rPr>
            </w:pPr>
            <w:r w:rsidRPr="00501ED9">
              <w:rPr>
                <w:szCs w:val="20"/>
              </w:rPr>
              <w:t>11/80 (13.75%)</w:t>
            </w:r>
          </w:p>
        </w:tc>
        <w:tc>
          <w:tcPr>
            <w:tcW w:w="0" w:type="auto"/>
          </w:tcPr>
          <w:p w14:paraId="68615353" w14:textId="77777777" w:rsidR="00846C33" w:rsidRPr="00501ED9" w:rsidRDefault="00846C33" w:rsidP="0008217D">
            <w:pPr>
              <w:pStyle w:val="Tabletext"/>
              <w:jc w:val="center"/>
              <w:rPr>
                <w:szCs w:val="20"/>
              </w:rPr>
            </w:pPr>
            <w:r w:rsidRPr="00501ED9">
              <w:rPr>
                <w:szCs w:val="20"/>
              </w:rPr>
              <w:t>4.18 [2.34, 7.47]</w:t>
            </w:r>
          </w:p>
        </w:tc>
        <w:tc>
          <w:tcPr>
            <w:tcW w:w="0" w:type="auto"/>
          </w:tcPr>
          <w:p w14:paraId="78C68B23" w14:textId="77777777" w:rsidR="00846C33" w:rsidRPr="00501ED9" w:rsidRDefault="00846C33" w:rsidP="0008217D">
            <w:pPr>
              <w:pStyle w:val="Tabletext"/>
              <w:jc w:val="center"/>
              <w:rPr>
                <w:szCs w:val="20"/>
              </w:rPr>
            </w:pPr>
            <w:r w:rsidRPr="00501ED9">
              <w:rPr>
                <w:szCs w:val="20"/>
              </w:rPr>
              <w:t>&lt; 0.00001</w:t>
            </w:r>
          </w:p>
        </w:tc>
      </w:tr>
      <w:tr w:rsidR="00846C33" w:rsidRPr="00501ED9" w14:paraId="44E2D88F" w14:textId="77777777" w:rsidTr="0008217D">
        <w:tc>
          <w:tcPr>
            <w:tcW w:w="0" w:type="auto"/>
          </w:tcPr>
          <w:p w14:paraId="448F2638" w14:textId="77777777" w:rsidR="00846C33" w:rsidRPr="00501ED9" w:rsidRDefault="00846C33" w:rsidP="0008217D">
            <w:pPr>
              <w:pStyle w:val="Tabletext"/>
              <w:rPr>
                <w:szCs w:val="20"/>
              </w:rPr>
            </w:pPr>
            <w:r w:rsidRPr="00501ED9">
              <w:rPr>
                <w:szCs w:val="20"/>
              </w:rPr>
              <w:t xml:space="preserve">Tan </w:t>
            </w:r>
            <w:r w:rsidRPr="00501ED9">
              <w:rPr>
                <w:i/>
                <w:szCs w:val="20"/>
              </w:rPr>
              <w:t>et al</w:t>
            </w:r>
            <w:r w:rsidRPr="00501ED9">
              <w:rPr>
                <w:szCs w:val="20"/>
              </w:rPr>
              <w:t xml:space="preserve"> (2017)</w:t>
            </w:r>
          </w:p>
        </w:tc>
        <w:tc>
          <w:tcPr>
            <w:tcW w:w="0" w:type="auto"/>
          </w:tcPr>
          <w:p w14:paraId="42BA1746" w14:textId="77777777" w:rsidR="00846C33" w:rsidRPr="00501ED9" w:rsidRDefault="00846C33" w:rsidP="0008217D">
            <w:pPr>
              <w:pStyle w:val="Tabletext"/>
              <w:rPr>
                <w:szCs w:val="20"/>
              </w:rPr>
            </w:pPr>
            <w:r w:rsidRPr="00501ED9">
              <w:rPr>
                <w:szCs w:val="20"/>
              </w:rPr>
              <w:t>Children aged 2–18 years</w:t>
            </w:r>
          </w:p>
        </w:tc>
        <w:tc>
          <w:tcPr>
            <w:tcW w:w="0" w:type="auto"/>
          </w:tcPr>
          <w:p w14:paraId="781BA59A" w14:textId="77777777" w:rsidR="00846C33" w:rsidRPr="00501ED9" w:rsidRDefault="00846C33" w:rsidP="0008217D">
            <w:pPr>
              <w:pStyle w:val="Tabletext"/>
              <w:jc w:val="center"/>
              <w:rPr>
                <w:szCs w:val="20"/>
              </w:rPr>
            </w:pPr>
            <w:r w:rsidRPr="00501ED9">
              <w:rPr>
                <w:szCs w:val="20"/>
              </w:rPr>
              <w:t>23/44 (52%)</w:t>
            </w:r>
          </w:p>
        </w:tc>
        <w:tc>
          <w:tcPr>
            <w:tcW w:w="0" w:type="auto"/>
          </w:tcPr>
          <w:p w14:paraId="57AD0898" w14:textId="77777777" w:rsidR="00846C33" w:rsidRPr="00501ED9" w:rsidRDefault="00846C33" w:rsidP="0008217D">
            <w:pPr>
              <w:pStyle w:val="Tabletext"/>
              <w:jc w:val="center"/>
              <w:rPr>
                <w:szCs w:val="20"/>
              </w:rPr>
            </w:pPr>
            <w:r w:rsidRPr="00501ED9">
              <w:rPr>
                <w:szCs w:val="20"/>
              </w:rPr>
              <w:t>0/44 (0%)</w:t>
            </w:r>
          </w:p>
        </w:tc>
        <w:tc>
          <w:tcPr>
            <w:tcW w:w="0" w:type="auto"/>
          </w:tcPr>
          <w:p w14:paraId="242F8E9B" w14:textId="77777777" w:rsidR="00846C33" w:rsidRPr="00501ED9" w:rsidRDefault="00846C33" w:rsidP="0008217D">
            <w:pPr>
              <w:pStyle w:val="Tabletext"/>
              <w:jc w:val="center"/>
              <w:rPr>
                <w:szCs w:val="20"/>
              </w:rPr>
            </w:pPr>
            <w:r w:rsidRPr="00501ED9">
              <w:rPr>
                <w:szCs w:val="20"/>
              </w:rPr>
              <w:t>47.00 [2.94, 750.43]</w:t>
            </w:r>
          </w:p>
        </w:tc>
        <w:tc>
          <w:tcPr>
            <w:tcW w:w="0" w:type="auto"/>
          </w:tcPr>
          <w:p w14:paraId="4F7E8C8D" w14:textId="77777777" w:rsidR="00846C33" w:rsidRPr="00501ED9" w:rsidRDefault="00846C33" w:rsidP="0008217D">
            <w:pPr>
              <w:pStyle w:val="Tabletext"/>
              <w:jc w:val="center"/>
              <w:rPr>
                <w:szCs w:val="20"/>
              </w:rPr>
            </w:pPr>
            <w:r w:rsidRPr="00501ED9">
              <w:rPr>
                <w:szCs w:val="20"/>
              </w:rPr>
              <w:t>0.006</w:t>
            </w:r>
          </w:p>
        </w:tc>
      </w:tr>
    </w:tbl>
    <w:p w14:paraId="4D9ACFE6" w14:textId="77777777" w:rsidR="00846C33" w:rsidRPr="00501ED9" w:rsidRDefault="00846C33" w:rsidP="00645461">
      <w:pPr>
        <w:pStyle w:val="Tablenote"/>
        <w:rPr>
          <w:rFonts w:ascii="Arial Narrow" w:hAnsi="Arial Narrow"/>
          <w:sz w:val="20"/>
          <w:szCs w:val="20"/>
        </w:rPr>
      </w:pPr>
      <w:r w:rsidRPr="00501ED9">
        <w:rPr>
          <w:rFonts w:ascii="Arial Narrow" w:hAnsi="Arial Narrow"/>
          <w:sz w:val="20"/>
          <w:szCs w:val="20"/>
        </w:rPr>
        <w:t>Abbreviations: NR, not reported; WES, whole exome sequencing</w:t>
      </w:r>
    </w:p>
    <w:p w14:paraId="47267E40" w14:textId="77777777" w:rsidR="00846C33" w:rsidRPr="00501ED9" w:rsidRDefault="00846C33" w:rsidP="00645461">
      <w:pPr>
        <w:pStyle w:val="Tablenote"/>
        <w:spacing w:after="240"/>
        <w:rPr>
          <w:rFonts w:ascii="Arial Narrow" w:hAnsi="Arial Narrow"/>
          <w:sz w:val="20"/>
          <w:szCs w:val="20"/>
          <w:vertAlign w:val="superscript"/>
        </w:rPr>
      </w:pPr>
      <w:r w:rsidRPr="00501ED9">
        <w:rPr>
          <w:rFonts w:ascii="Arial Narrow" w:hAnsi="Arial Narrow"/>
          <w:sz w:val="20"/>
          <w:szCs w:val="20"/>
        </w:rPr>
        <w:t>Source: Stark et al (2016), Tan et al (2017), Stark et al (2017)</w:t>
      </w:r>
    </w:p>
    <w:p w14:paraId="2AC632F8" w14:textId="77777777" w:rsidR="00846C33" w:rsidRPr="007052AA" w:rsidRDefault="00846C33" w:rsidP="007052AA">
      <w:pPr>
        <w:spacing w:after="120"/>
        <w:rPr>
          <w:rFonts w:eastAsiaTheme="majorEastAsia"/>
          <w:i/>
        </w:rPr>
      </w:pPr>
      <w:r w:rsidRPr="007052AA">
        <w:rPr>
          <w:rFonts w:eastAsiaTheme="majorEastAsia"/>
          <w:i/>
        </w:rPr>
        <w:t xml:space="preserve">Population 2: Re-interrogation analysis for patients who did not have a definite </w:t>
      </w:r>
      <w:r w:rsidR="0008731B" w:rsidRPr="007052AA">
        <w:rPr>
          <w:rFonts w:eastAsiaTheme="majorEastAsia"/>
          <w:i/>
        </w:rPr>
        <w:t xml:space="preserve">molecular </w:t>
      </w:r>
      <w:r w:rsidRPr="007052AA">
        <w:rPr>
          <w:rFonts w:eastAsiaTheme="majorEastAsia"/>
          <w:i/>
        </w:rPr>
        <w:t xml:space="preserve">diagnosis at initial </w:t>
      </w:r>
      <w:r w:rsidR="004C5A49" w:rsidRPr="007052AA">
        <w:rPr>
          <w:rFonts w:eastAsiaTheme="majorEastAsia"/>
          <w:i/>
        </w:rPr>
        <w:t xml:space="preserve">WES </w:t>
      </w:r>
      <w:r w:rsidRPr="007052AA">
        <w:rPr>
          <w:rFonts w:eastAsiaTheme="majorEastAsia"/>
          <w:i/>
        </w:rPr>
        <w:t>testing</w:t>
      </w:r>
    </w:p>
    <w:p w14:paraId="109E2625" w14:textId="77777777" w:rsidR="00846C33" w:rsidRPr="00501ED9" w:rsidRDefault="00846C33" w:rsidP="00501ED9">
      <w:pPr>
        <w:pStyle w:val="Body"/>
        <w:spacing w:after="240" w:line="240" w:lineRule="auto"/>
        <w:rPr>
          <w:rFonts w:ascii="Times New Roman" w:hAnsi="Times New Roman" w:cs="Times New Roman"/>
        </w:rPr>
      </w:pPr>
      <w:r w:rsidRPr="00501ED9">
        <w:rPr>
          <w:rFonts w:ascii="Times New Roman" w:hAnsi="Times New Roman" w:cs="Times New Roman"/>
        </w:rPr>
        <w:t>The diagnostic yield of WES data re-analysis was 1</w:t>
      </w:r>
      <w:r w:rsidR="00486832">
        <w:rPr>
          <w:rFonts w:ascii="Times New Roman" w:hAnsi="Times New Roman" w:cs="Times New Roman"/>
        </w:rPr>
        <w:t>4</w:t>
      </w:r>
      <w:r w:rsidRPr="00501ED9">
        <w:rPr>
          <w:rFonts w:ascii="Times New Roman" w:hAnsi="Times New Roman" w:cs="Times New Roman"/>
        </w:rPr>
        <w:t xml:space="preserve">% in a follow-up study (Stark </w:t>
      </w:r>
      <w:r w:rsidRPr="00501ED9">
        <w:rPr>
          <w:rFonts w:ascii="Times New Roman" w:hAnsi="Times New Roman" w:cs="Times New Roman"/>
          <w:i/>
        </w:rPr>
        <w:t>et al</w:t>
      </w:r>
      <w:r w:rsidRPr="00501ED9">
        <w:rPr>
          <w:rFonts w:ascii="Times New Roman" w:hAnsi="Times New Roman" w:cs="Times New Roman"/>
        </w:rPr>
        <w:t xml:space="preserve"> (2018)) investigating the longer-term clinical impacts and cost-effectiveness of WES in infants aged 0–2 years with suspected monogenic disorders.</w:t>
      </w:r>
    </w:p>
    <w:p w14:paraId="1E2A08F3" w14:textId="77777777" w:rsidR="00846C33" w:rsidRPr="00501ED9" w:rsidRDefault="00846C33" w:rsidP="003D15F0">
      <w:pPr>
        <w:pStyle w:val="Heading3"/>
        <w:rPr>
          <w:rStyle w:val="Emphasis"/>
          <w:rFonts w:ascii="Times New Roman" w:eastAsiaTheme="majorEastAsia" w:hAnsi="Times New Roman"/>
          <w:i/>
        </w:rPr>
      </w:pPr>
      <w:r w:rsidRPr="00501ED9">
        <w:rPr>
          <w:rStyle w:val="Emphasis"/>
          <w:rFonts w:ascii="Times New Roman" w:eastAsiaTheme="majorEastAsia" w:hAnsi="Times New Roman"/>
          <w:i/>
        </w:rPr>
        <w:t xml:space="preserve">Population 3: Cascade testing </w:t>
      </w:r>
      <w:r w:rsidR="000569BD">
        <w:rPr>
          <w:rStyle w:val="Emphasis"/>
          <w:rFonts w:ascii="Times New Roman" w:eastAsiaTheme="majorEastAsia" w:hAnsi="Times New Roman"/>
          <w:i/>
        </w:rPr>
        <w:t>o</w:t>
      </w:r>
      <w:r w:rsidRPr="00501ED9">
        <w:rPr>
          <w:rStyle w:val="Emphasis"/>
          <w:rFonts w:ascii="Times New Roman" w:eastAsiaTheme="majorEastAsia" w:hAnsi="Times New Roman"/>
          <w:i/>
        </w:rPr>
        <w:t>f first-degree family members</w:t>
      </w:r>
    </w:p>
    <w:p w14:paraId="4DA60BE6" w14:textId="77777777" w:rsidR="00846C33" w:rsidRPr="00501ED9" w:rsidRDefault="00846C33" w:rsidP="00501ED9">
      <w:pPr>
        <w:pStyle w:val="Body"/>
        <w:spacing w:line="240" w:lineRule="auto"/>
        <w:rPr>
          <w:rFonts w:ascii="Times New Roman" w:hAnsi="Times New Roman" w:cs="Times New Roman"/>
        </w:rPr>
      </w:pPr>
      <w:r w:rsidRPr="00501ED9">
        <w:rPr>
          <w:rFonts w:ascii="Times New Roman" w:hAnsi="Times New Roman" w:cs="Times New Roman"/>
        </w:rPr>
        <w:t xml:space="preserve">The diagnostic yield of cascade testing was 15% in the follow-up study (Stark </w:t>
      </w:r>
      <w:r w:rsidRPr="00501ED9">
        <w:rPr>
          <w:rFonts w:ascii="Times New Roman" w:hAnsi="Times New Roman" w:cs="Times New Roman"/>
          <w:i/>
        </w:rPr>
        <w:t>et al</w:t>
      </w:r>
      <w:r w:rsidRPr="00501ED9">
        <w:rPr>
          <w:rFonts w:ascii="Times New Roman" w:hAnsi="Times New Roman" w:cs="Times New Roman"/>
        </w:rPr>
        <w:t xml:space="preserve"> (2018)). Of the 88 eligible first-degree relatives of infants diagnosed by WES, 79 (9</w:t>
      </w:r>
      <w:r w:rsidR="00486832">
        <w:rPr>
          <w:rFonts w:ascii="Times New Roman" w:hAnsi="Times New Roman" w:cs="Times New Roman"/>
        </w:rPr>
        <w:t>0</w:t>
      </w:r>
      <w:r w:rsidRPr="00501ED9">
        <w:rPr>
          <w:rFonts w:ascii="Times New Roman" w:hAnsi="Times New Roman" w:cs="Times New Roman"/>
        </w:rPr>
        <w:t>%) underwent cascade testing. Of those 79 relatives, twelve received a molecular diagnosis.</w:t>
      </w:r>
    </w:p>
    <w:p w14:paraId="7623442D" w14:textId="77777777" w:rsidR="00846C33" w:rsidRPr="00B95CD4" w:rsidRDefault="00645461" w:rsidP="00501ED9">
      <w:pPr>
        <w:pStyle w:val="Heading2"/>
        <w:spacing w:after="120"/>
      </w:pPr>
      <w:r>
        <w:t>Key clinical validity results</w:t>
      </w:r>
    </w:p>
    <w:p w14:paraId="41FB7972" w14:textId="77777777" w:rsidR="00846C33" w:rsidRPr="00501ED9" w:rsidRDefault="00846C33" w:rsidP="00645461">
      <w:pPr>
        <w:pStyle w:val="Body"/>
        <w:spacing w:line="240" w:lineRule="auto"/>
        <w:rPr>
          <w:rFonts w:ascii="Times New Roman" w:hAnsi="Times New Roman" w:cs="Times New Roman"/>
        </w:rPr>
      </w:pPr>
      <w:r w:rsidRPr="00501ED9">
        <w:rPr>
          <w:rFonts w:ascii="Times New Roman" w:hAnsi="Times New Roman" w:cs="Times New Roman"/>
        </w:rPr>
        <w:t>Clinical validity is difficult to define in this patient group due to the multitude of conditions being tested.</w:t>
      </w:r>
    </w:p>
    <w:p w14:paraId="676ED112" w14:textId="77777777" w:rsidR="00846C33" w:rsidRPr="00501ED9" w:rsidRDefault="00846C33" w:rsidP="00501ED9">
      <w:pPr>
        <w:pStyle w:val="Heading2"/>
        <w:spacing w:before="0" w:after="120"/>
      </w:pPr>
      <w:r w:rsidRPr="00501ED9">
        <w:t>Ke</w:t>
      </w:r>
      <w:r w:rsidR="00645461">
        <w:t>y clinical utility consequences</w:t>
      </w:r>
    </w:p>
    <w:p w14:paraId="21578465" w14:textId="0D2AD07D" w:rsidR="00451033" w:rsidRPr="00501ED9" w:rsidRDefault="00846C33" w:rsidP="00451033">
      <w:pPr>
        <w:pStyle w:val="Body"/>
        <w:spacing w:line="240" w:lineRule="auto"/>
        <w:rPr>
          <w:rFonts w:ascii="Times New Roman" w:hAnsi="Times New Roman" w:cs="Times New Roman"/>
        </w:rPr>
      </w:pPr>
      <w:r w:rsidRPr="00451033">
        <w:rPr>
          <w:rFonts w:ascii="Times New Roman" w:hAnsi="Times New Roman" w:cs="Times New Roman"/>
        </w:rPr>
        <w:t>Overall, WEA appeared to alter clinical management, shorten the time to diagnosis and provide patient and family-relevant benefits compared with SoC.</w:t>
      </w:r>
      <w:r w:rsidR="00451033" w:rsidRPr="00501ED9">
        <w:rPr>
          <w:rFonts w:ascii="Times New Roman" w:hAnsi="Times New Roman" w:cs="Times New Roman"/>
        </w:rPr>
        <w:t xml:space="preserve"> One key benefit for many patients is the cessation of further diagnostic investigations and procedures (i.e., ending the </w:t>
      </w:r>
      <w:r w:rsidR="000A768F">
        <w:rPr>
          <w:rFonts w:ascii="Times New Roman" w:hAnsi="Times New Roman" w:cs="Times New Roman"/>
        </w:rPr>
        <w:lastRenderedPageBreak/>
        <w:t>‘</w:t>
      </w:r>
      <w:r w:rsidR="00451033" w:rsidRPr="00501ED9">
        <w:rPr>
          <w:rFonts w:ascii="Times New Roman" w:hAnsi="Times New Roman" w:cs="Times New Roman"/>
        </w:rPr>
        <w:t>diagnostic odyssey</w:t>
      </w:r>
      <w:r w:rsidR="000A768F">
        <w:rPr>
          <w:rFonts w:ascii="Times New Roman" w:hAnsi="Times New Roman" w:cs="Times New Roman"/>
        </w:rPr>
        <w:t>’</w:t>
      </w:r>
      <w:r w:rsidR="00451033" w:rsidRPr="00501ED9">
        <w:rPr>
          <w:rFonts w:ascii="Times New Roman" w:hAnsi="Times New Roman" w:cs="Times New Roman"/>
        </w:rPr>
        <w:t>). Improved health outcomes as a consequence of diagnosis and changes in clinical management are also important.</w:t>
      </w:r>
    </w:p>
    <w:p w14:paraId="357EDCE6" w14:textId="77777777" w:rsidR="00451033" w:rsidRPr="00501ED9" w:rsidRDefault="00451033" w:rsidP="00451033">
      <w:pPr>
        <w:pStyle w:val="Body"/>
        <w:spacing w:line="240" w:lineRule="auto"/>
        <w:rPr>
          <w:rFonts w:ascii="Times New Roman" w:hAnsi="Times New Roman" w:cs="Times New Roman"/>
        </w:rPr>
      </w:pPr>
      <w:r w:rsidRPr="00501ED9">
        <w:rPr>
          <w:rFonts w:ascii="Times New Roman" w:hAnsi="Times New Roman" w:cs="Times New Roman"/>
        </w:rPr>
        <w:t>In a clinically ascertained cohort of 80 infants aged 0–2 years undergoing genomic testing</w:t>
      </w:r>
      <w:r w:rsidR="0008731B">
        <w:rPr>
          <w:rFonts w:ascii="Times New Roman" w:hAnsi="Times New Roman" w:cs="Times New Roman"/>
        </w:rPr>
        <w:t xml:space="preserve"> (Stark 2016)</w:t>
      </w:r>
      <w:r w:rsidRPr="00501ED9">
        <w:rPr>
          <w:rFonts w:ascii="Times New Roman" w:hAnsi="Times New Roman" w:cs="Times New Roman"/>
        </w:rPr>
        <w:t xml:space="preserve">, the following </w:t>
      </w:r>
      <w:r w:rsidR="000A3BE7">
        <w:rPr>
          <w:rFonts w:ascii="Times New Roman" w:hAnsi="Times New Roman" w:cs="Times New Roman"/>
        </w:rPr>
        <w:t xml:space="preserve">anecdotal </w:t>
      </w:r>
      <w:r w:rsidRPr="00501ED9">
        <w:rPr>
          <w:rFonts w:ascii="Times New Roman" w:hAnsi="Times New Roman" w:cs="Times New Roman"/>
        </w:rPr>
        <w:t>outcomes have been observed:</w:t>
      </w:r>
    </w:p>
    <w:p w14:paraId="5EED44F6" w14:textId="77777777" w:rsidR="00451033" w:rsidRPr="00501ED9" w:rsidRDefault="00451033" w:rsidP="00451033">
      <w:pPr>
        <w:pStyle w:val="Bullet12"/>
        <w:tabs>
          <w:tab w:val="clear" w:pos="360"/>
        </w:tabs>
        <w:spacing w:line="240" w:lineRule="auto"/>
        <w:rPr>
          <w:rFonts w:ascii="Times New Roman" w:hAnsi="Times New Roman" w:cs="Times New Roman"/>
        </w:rPr>
      </w:pPr>
      <w:r w:rsidRPr="00501ED9">
        <w:rPr>
          <w:rStyle w:val="Emphasis"/>
          <w:rFonts w:ascii="Times New Roman" w:eastAsiaTheme="minorHAnsi" w:hAnsi="Times New Roman"/>
        </w:rPr>
        <w:t>preventing further disease progression and worsening disability</w:t>
      </w:r>
      <w:r w:rsidRPr="00501ED9">
        <w:rPr>
          <w:rFonts w:ascii="Times New Roman" w:hAnsi="Times New Roman" w:cs="Times New Roman"/>
        </w:rPr>
        <w:t xml:space="preserve"> in a child with thiamine transporter dysfunction syndrome who was treated because of the correct diagnosis being made, and the patient did not deteriorate further.</w:t>
      </w:r>
    </w:p>
    <w:p w14:paraId="4F7B704D" w14:textId="77777777" w:rsidR="00451033" w:rsidRPr="00501ED9" w:rsidRDefault="00451033" w:rsidP="00451033">
      <w:pPr>
        <w:pStyle w:val="Bullet12"/>
        <w:tabs>
          <w:tab w:val="clear" w:pos="360"/>
        </w:tabs>
        <w:spacing w:line="240" w:lineRule="auto"/>
        <w:rPr>
          <w:rFonts w:ascii="Times New Roman" w:hAnsi="Times New Roman" w:cs="Times New Roman"/>
        </w:rPr>
      </w:pPr>
      <w:r w:rsidRPr="00501ED9">
        <w:rPr>
          <w:rStyle w:val="Emphasis"/>
          <w:rFonts w:ascii="Times New Roman" w:eastAsiaTheme="minorHAnsi" w:hAnsi="Times New Roman"/>
        </w:rPr>
        <w:t>improved management of known disease complications</w:t>
      </w:r>
      <w:r w:rsidRPr="00501ED9">
        <w:rPr>
          <w:rFonts w:ascii="Times New Roman" w:hAnsi="Times New Roman" w:cs="Times New Roman"/>
          <w:b/>
        </w:rPr>
        <w:t xml:space="preserve"> </w:t>
      </w:r>
      <w:r w:rsidRPr="00501ED9">
        <w:rPr>
          <w:rFonts w:ascii="Times New Roman" w:hAnsi="Times New Roman" w:cs="Times New Roman"/>
        </w:rPr>
        <w:t xml:space="preserve">in a child with </w:t>
      </w:r>
      <w:r w:rsidRPr="00501ED9">
        <w:rPr>
          <w:rFonts w:ascii="Times New Roman" w:hAnsi="Times New Roman" w:cs="Times New Roman"/>
          <w:i/>
        </w:rPr>
        <w:t>RMND1</w:t>
      </w:r>
      <w:r w:rsidRPr="00501ED9">
        <w:rPr>
          <w:rFonts w:ascii="Times New Roman" w:hAnsi="Times New Roman" w:cs="Times New Roman"/>
        </w:rPr>
        <w:t>-related mitochondrial disease who was treated for life-threatening hyperkalaemia because of the correct diagnosis being made.</w:t>
      </w:r>
    </w:p>
    <w:p w14:paraId="4D901922" w14:textId="77777777" w:rsidR="00451033" w:rsidRPr="00501ED9" w:rsidRDefault="00451033" w:rsidP="00451033">
      <w:pPr>
        <w:pStyle w:val="Bullet12"/>
        <w:tabs>
          <w:tab w:val="clear" w:pos="360"/>
        </w:tabs>
        <w:spacing w:line="240" w:lineRule="auto"/>
        <w:rPr>
          <w:rFonts w:ascii="Times New Roman" w:hAnsi="Times New Roman" w:cs="Times New Roman"/>
        </w:rPr>
      </w:pPr>
      <w:r w:rsidRPr="00501ED9">
        <w:rPr>
          <w:rStyle w:val="Emphasis"/>
          <w:rFonts w:ascii="Times New Roman" w:eastAsiaTheme="minorHAnsi" w:hAnsi="Times New Roman"/>
        </w:rPr>
        <w:t>reduced number of hospital admissions</w:t>
      </w:r>
      <w:r w:rsidRPr="00501ED9">
        <w:rPr>
          <w:rFonts w:ascii="Times New Roman" w:hAnsi="Times New Roman" w:cs="Times New Roman"/>
        </w:rPr>
        <w:t xml:space="preserve"> in two children who were started on the correct treatment for their condition, one with alternating hemiplegia of childhood and the other with Hz/Hc syndrome.</w:t>
      </w:r>
    </w:p>
    <w:p w14:paraId="2C20FB0E" w14:textId="77777777" w:rsidR="00451033" w:rsidRPr="00501ED9" w:rsidRDefault="00451033" w:rsidP="00451033">
      <w:pPr>
        <w:pStyle w:val="Body"/>
        <w:spacing w:after="240" w:line="240" w:lineRule="auto"/>
        <w:rPr>
          <w:rFonts w:ascii="Times New Roman" w:hAnsi="Times New Roman" w:cs="Times New Roman"/>
        </w:rPr>
      </w:pPr>
      <w:r w:rsidRPr="00501ED9">
        <w:rPr>
          <w:rFonts w:ascii="Times New Roman" w:hAnsi="Times New Roman" w:cs="Times New Roman"/>
        </w:rPr>
        <w:t xml:space="preserve">Given the above, the clinical events to determine clinical </w:t>
      </w:r>
      <w:r>
        <w:rPr>
          <w:rFonts w:ascii="Times New Roman" w:hAnsi="Times New Roman" w:cs="Times New Roman"/>
        </w:rPr>
        <w:t>utility</w:t>
      </w:r>
      <w:r w:rsidRPr="00501ED9">
        <w:rPr>
          <w:rFonts w:ascii="Times New Roman" w:hAnsi="Times New Roman" w:cs="Times New Roman"/>
        </w:rPr>
        <w:t xml:space="preserve"> in an affected individual have been defined as: change in clinical management, time to definitive diagnosis, health resource change, and quality of life.</w:t>
      </w:r>
    </w:p>
    <w:p w14:paraId="084C096D" w14:textId="77777777" w:rsidR="00846C33" w:rsidRPr="003D15F0" w:rsidRDefault="00846C33" w:rsidP="003D15F0">
      <w:pPr>
        <w:pStyle w:val="Heading3"/>
        <w:rPr>
          <w:rStyle w:val="Emphasis"/>
          <w:rFonts w:ascii="Times New Roman" w:eastAsiaTheme="minorHAnsi" w:hAnsi="Times New Roman" w:cstheme="minorBidi"/>
        </w:rPr>
      </w:pPr>
      <w:r w:rsidRPr="003D15F0">
        <w:rPr>
          <w:rStyle w:val="Emphasis"/>
          <w:rFonts w:ascii="Times New Roman" w:eastAsiaTheme="minorHAnsi" w:hAnsi="Times New Roman" w:cstheme="minorBidi"/>
        </w:rPr>
        <w:t>Population 1: Initial testing for the diagnosis of childhood syndromes</w:t>
      </w:r>
    </w:p>
    <w:p w14:paraId="68125D0F" w14:textId="77777777" w:rsidR="00846C33" w:rsidRPr="00981880" w:rsidRDefault="00846C33" w:rsidP="00981880">
      <w:pPr>
        <w:pStyle w:val="Body"/>
        <w:spacing w:after="0" w:line="240" w:lineRule="auto"/>
        <w:rPr>
          <w:rFonts w:ascii="Times New Roman" w:hAnsi="Times New Roman" w:cs="Times New Roman"/>
        </w:rPr>
      </w:pPr>
      <w:r w:rsidRPr="00981880">
        <w:rPr>
          <w:rFonts w:ascii="Times New Roman" w:hAnsi="Times New Roman" w:cs="Times New Roman"/>
          <w:u w:val="single"/>
        </w:rPr>
        <w:t>Change in management</w:t>
      </w:r>
      <w:r w:rsidRPr="00645461">
        <w:rPr>
          <w:rFonts w:ascii="Times New Roman" w:hAnsi="Times New Roman" w:cs="Times New Roman"/>
        </w:rPr>
        <w:t>:</w:t>
      </w:r>
      <w:r w:rsidRPr="00981880">
        <w:rPr>
          <w:rFonts w:ascii="Times New Roman" w:hAnsi="Times New Roman" w:cs="Times New Roman"/>
        </w:rPr>
        <w:t xml:space="preserve"> Studies report that clinical management was changed in 18–33% of patients who received a molecular diagnosis by WEA (</w:t>
      </w:r>
      <w:r w:rsidR="00981880">
        <w:rPr>
          <w:rFonts w:ascii="Times New Roman" w:hAnsi="Times New Roman" w:cs="Times New Roman"/>
        </w:rPr>
        <w:t>Table 4</w:t>
      </w:r>
      <w:r w:rsidRPr="00981880">
        <w:rPr>
          <w:rFonts w:ascii="Times New Roman" w:hAnsi="Times New Roman" w:cs="Times New Roman"/>
        </w:rPr>
        <w:t>). Management changes included initiation of additional treatments or surveillance, cessation of treatment or surveillance, or modification to existing treatment regimens.</w:t>
      </w:r>
    </w:p>
    <w:p w14:paraId="2388E6B6" w14:textId="77777777" w:rsidR="00846C33" w:rsidRPr="001964D2" w:rsidRDefault="00846C33" w:rsidP="001964D2">
      <w:pPr>
        <w:spacing w:before="240"/>
        <w:rPr>
          <w:rFonts w:ascii="Arial Narrow" w:hAnsi="Arial Narrow"/>
          <w:b/>
          <w:sz w:val="20"/>
        </w:rPr>
      </w:pPr>
      <w:bookmarkStart w:id="7" w:name="_Ref512582802"/>
      <w:bookmarkStart w:id="8" w:name="_Toc513290987"/>
      <w:r w:rsidRPr="001964D2">
        <w:rPr>
          <w:rFonts w:ascii="Arial Narrow" w:hAnsi="Arial Narrow"/>
          <w:b/>
          <w:sz w:val="20"/>
        </w:rPr>
        <w:t xml:space="preserve">Table </w:t>
      </w:r>
      <w:bookmarkEnd w:id="7"/>
      <w:r w:rsidR="00981880" w:rsidRPr="001964D2">
        <w:rPr>
          <w:rFonts w:ascii="Arial Narrow" w:hAnsi="Arial Narrow"/>
          <w:b/>
          <w:sz w:val="20"/>
        </w:rPr>
        <w:t>4</w:t>
      </w:r>
      <w:r w:rsidRPr="001964D2">
        <w:rPr>
          <w:rFonts w:ascii="Arial Narrow" w:hAnsi="Arial Narrow"/>
          <w:b/>
          <w:sz w:val="20"/>
        </w:rPr>
        <w:tab/>
        <w:t xml:space="preserve">Summary of change in management after </w:t>
      </w:r>
      <w:r w:rsidR="0008731B" w:rsidRPr="001964D2">
        <w:rPr>
          <w:rFonts w:ascii="Arial Narrow" w:hAnsi="Arial Narrow"/>
          <w:b/>
          <w:sz w:val="20"/>
        </w:rPr>
        <w:t xml:space="preserve">molecular </w:t>
      </w:r>
      <w:r w:rsidRPr="001964D2">
        <w:rPr>
          <w:rFonts w:ascii="Arial Narrow" w:hAnsi="Arial Narrow"/>
          <w:b/>
          <w:sz w:val="20"/>
        </w:rPr>
        <w:t xml:space="preserve">diagnosis by </w:t>
      </w:r>
      <w:r w:rsidR="00645461" w:rsidRPr="001964D2">
        <w:rPr>
          <w:rFonts w:ascii="Arial Narrow" w:hAnsi="Arial Narrow"/>
          <w:b/>
          <w:sz w:val="20"/>
        </w:rPr>
        <w:t>whole exome analysis</w:t>
      </w:r>
      <w:bookmarkEnd w:id="8"/>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change in managment results after molecular diagnosis by WEA"/>
      </w:tblPr>
      <w:tblGrid>
        <w:gridCol w:w="1696"/>
        <w:gridCol w:w="4111"/>
        <w:gridCol w:w="3231"/>
      </w:tblGrid>
      <w:tr w:rsidR="00846C33" w:rsidRPr="00981880" w14:paraId="112416DE" w14:textId="77777777" w:rsidTr="007052AA">
        <w:trPr>
          <w:tblHeader/>
        </w:trPr>
        <w:tc>
          <w:tcPr>
            <w:tcW w:w="1696" w:type="dxa"/>
          </w:tcPr>
          <w:p w14:paraId="56079AEC"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Study</w:t>
            </w:r>
          </w:p>
        </w:tc>
        <w:tc>
          <w:tcPr>
            <w:tcW w:w="4111" w:type="dxa"/>
          </w:tcPr>
          <w:p w14:paraId="7CCF4285"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Patient population</w:t>
            </w:r>
          </w:p>
        </w:tc>
        <w:tc>
          <w:tcPr>
            <w:tcW w:w="3231" w:type="dxa"/>
          </w:tcPr>
          <w:p w14:paraId="3637F302" w14:textId="77777777" w:rsidR="00846C33" w:rsidRPr="00981880" w:rsidRDefault="00846C33" w:rsidP="0008217D">
            <w:pPr>
              <w:pStyle w:val="Tableheading"/>
              <w:jc w:val="center"/>
              <w:rPr>
                <w:rFonts w:ascii="Arial Narrow" w:hAnsi="Arial Narrow"/>
                <w:szCs w:val="20"/>
              </w:rPr>
            </w:pPr>
            <w:r w:rsidRPr="00981880">
              <w:rPr>
                <w:rFonts w:ascii="Arial Narrow" w:hAnsi="Arial Narrow"/>
                <w:szCs w:val="20"/>
              </w:rPr>
              <w:t>Change in management</w:t>
            </w:r>
          </w:p>
          <w:p w14:paraId="1B7275F6" w14:textId="77777777" w:rsidR="00846C33" w:rsidRPr="00981880" w:rsidRDefault="00846C33" w:rsidP="0008217D">
            <w:pPr>
              <w:pStyle w:val="Tableheading"/>
              <w:jc w:val="center"/>
              <w:rPr>
                <w:rFonts w:ascii="Arial Narrow" w:hAnsi="Arial Narrow"/>
                <w:szCs w:val="20"/>
              </w:rPr>
            </w:pPr>
            <w:r w:rsidRPr="00981880">
              <w:rPr>
                <w:rFonts w:ascii="Arial Narrow" w:hAnsi="Arial Narrow"/>
                <w:szCs w:val="20"/>
              </w:rPr>
              <w:t>n/N (%)</w:t>
            </w:r>
          </w:p>
        </w:tc>
      </w:tr>
      <w:tr w:rsidR="00846C33" w:rsidRPr="00981880" w14:paraId="450D25C4" w14:textId="77777777" w:rsidTr="0008217D">
        <w:tc>
          <w:tcPr>
            <w:tcW w:w="1696" w:type="dxa"/>
          </w:tcPr>
          <w:p w14:paraId="308DF47A" w14:textId="77777777" w:rsidR="00846C33" w:rsidRPr="00981880" w:rsidRDefault="00846C33" w:rsidP="0008217D">
            <w:pPr>
              <w:pStyle w:val="Tabletext"/>
              <w:rPr>
                <w:szCs w:val="20"/>
              </w:rPr>
            </w:pPr>
            <w:r w:rsidRPr="00981880">
              <w:rPr>
                <w:szCs w:val="20"/>
              </w:rPr>
              <w:t xml:space="preserve">Stark </w:t>
            </w:r>
            <w:r w:rsidRPr="00981880">
              <w:rPr>
                <w:i/>
                <w:szCs w:val="20"/>
              </w:rPr>
              <w:t>et al</w:t>
            </w:r>
            <w:r w:rsidRPr="00981880">
              <w:rPr>
                <w:szCs w:val="20"/>
              </w:rPr>
              <w:t xml:space="preserve"> (2016)</w:t>
            </w:r>
          </w:p>
        </w:tc>
        <w:tc>
          <w:tcPr>
            <w:tcW w:w="4111" w:type="dxa"/>
          </w:tcPr>
          <w:p w14:paraId="50E8BE24" w14:textId="77777777" w:rsidR="00846C33" w:rsidRPr="00981880" w:rsidRDefault="00846C33" w:rsidP="0008217D">
            <w:pPr>
              <w:pStyle w:val="Tabletext"/>
              <w:rPr>
                <w:szCs w:val="20"/>
              </w:rPr>
            </w:pPr>
            <w:r w:rsidRPr="00981880">
              <w:rPr>
                <w:szCs w:val="20"/>
              </w:rPr>
              <w:t>Infants aged 0–2 years</w:t>
            </w:r>
          </w:p>
        </w:tc>
        <w:tc>
          <w:tcPr>
            <w:tcW w:w="3231" w:type="dxa"/>
          </w:tcPr>
          <w:p w14:paraId="0BD35268" w14:textId="77777777" w:rsidR="00846C33" w:rsidRPr="00981880" w:rsidRDefault="00846C33" w:rsidP="0008217D">
            <w:pPr>
              <w:pStyle w:val="Tabletext"/>
              <w:jc w:val="center"/>
              <w:rPr>
                <w:szCs w:val="20"/>
              </w:rPr>
            </w:pPr>
            <w:r w:rsidRPr="00981880">
              <w:rPr>
                <w:szCs w:val="20"/>
              </w:rPr>
              <w:t>15/46 (32.6%)</w:t>
            </w:r>
          </w:p>
        </w:tc>
      </w:tr>
      <w:tr w:rsidR="00846C33" w:rsidRPr="00981880" w14:paraId="613061B9" w14:textId="77777777" w:rsidTr="0008217D">
        <w:tc>
          <w:tcPr>
            <w:tcW w:w="1696" w:type="dxa"/>
          </w:tcPr>
          <w:p w14:paraId="246E9CB5" w14:textId="77777777" w:rsidR="00846C33" w:rsidRPr="00981880" w:rsidRDefault="00846C33" w:rsidP="0008217D">
            <w:pPr>
              <w:pStyle w:val="Tabletext"/>
              <w:rPr>
                <w:szCs w:val="20"/>
              </w:rPr>
            </w:pPr>
            <w:r w:rsidRPr="00981880">
              <w:rPr>
                <w:szCs w:val="20"/>
              </w:rPr>
              <w:t xml:space="preserve">Tan </w:t>
            </w:r>
            <w:r w:rsidRPr="00981880">
              <w:rPr>
                <w:i/>
                <w:szCs w:val="20"/>
              </w:rPr>
              <w:t>et al</w:t>
            </w:r>
            <w:r w:rsidRPr="00981880">
              <w:rPr>
                <w:szCs w:val="20"/>
              </w:rPr>
              <w:t xml:space="preserve"> (2017)</w:t>
            </w:r>
          </w:p>
        </w:tc>
        <w:tc>
          <w:tcPr>
            <w:tcW w:w="4111" w:type="dxa"/>
          </w:tcPr>
          <w:p w14:paraId="427E90B0" w14:textId="77777777" w:rsidR="00846C33" w:rsidRPr="00981880" w:rsidRDefault="00846C33" w:rsidP="0008217D">
            <w:pPr>
              <w:pStyle w:val="Tabletext"/>
              <w:rPr>
                <w:szCs w:val="20"/>
              </w:rPr>
            </w:pPr>
            <w:r w:rsidRPr="00981880">
              <w:rPr>
                <w:szCs w:val="20"/>
              </w:rPr>
              <w:t>Children aged 2–18 years</w:t>
            </w:r>
          </w:p>
        </w:tc>
        <w:tc>
          <w:tcPr>
            <w:tcW w:w="3231" w:type="dxa"/>
          </w:tcPr>
          <w:p w14:paraId="0C818DFA" w14:textId="77777777" w:rsidR="00846C33" w:rsidRPr="00981880" w:rsidRDefault="00846C33" w:rsidP="0008217D">
            <w:pPr>
              <w:pStyle w:val="Tabletext"/>
              <w:jc w:val="center"/>
              <w:rPr>
                <w:szCs w:val="20"/>
              </w:rPr>
            </w:pPr>
            <w:r w:rsidRPr="00981880">
              <w:rPr>
                <w:szCs w:val="20"/>
              </w:rPr>
              <w:t>6/23 (26%)</w:t>
            </w:r>
            <w:r w:rsidRPr="00981880">
              <w:rPr>
                <w:szCs w:val="20"/>
                <w:vertAlign w:val="superscript"/>
              </w:rPr>
              <w:t>a</w:t>
            </w:r>
          </w:p>
        </w:tc>
      </w:tr>
      <w:tr w:rsidR="00846C33" w:rsidRPr="00981880" w14:paraId="15174900" w14:textId="77777777" w:rsidTr="0008217D">
        <w:tc>
          <w:tcPr>
            <w:tcW w:w="1696" w:type="dxa"/>
          </w:tcPr>
          <w:p w14:paraId="1821CF00" w14:textId="77777777" w:rsidR="00846C33" w:rsidRPr="00981880" w:rsidRDefault="00846C33" w:rsidP="0008217D">
            <w:pPr>
              <w:pStyle w:val="Tabletext"/>
              <w:rPr>
                <w:szCs w:val="20"/>
              </w:rPr>
            </w:pPr>
            <w:r w:rsidRPr="00981880">
              <w:rPr>
                <w:szCs w:val="20"/>
              </w:rPr>
              <w:t xml:space="preserve">Stark </w:t>
            </w:r>
            <w:r w:rsidRPr="00981880">
              <w:rPr>
                <w:i/>
                <w:szCs w:val="20"/>
              </w:rPr>
              <w:t>et al</w:t>
            </w:r>
            <w:r w:rsidRPr="00981880">
              <w:rPr>
                <w:szCs w:val="20"/>
              </w:rPr>
              <w:t xml:space="preserve"> (2018)</w:t>
            </w:r>
          </w:p>
        </w:tc>
        <w:tc>
          <w:tcPr>
            <w:tcW w:w="4111" w:type="dxa"/>
          </w:tcPr>
          <w:p w14:paraId="640EEFD7" w14:textId="77777777" w:rsidR="00846C33" w:rsidRPr="00981880" w:rsidRDefault="00846C33" w:rsidP="0008217D">
            <w:pPr>
              <w:pStyle w:val="Tabletext"/>
              <w:rPr>
                <w:szCs w:val="20"/>
              </w:rPr>
            </w:pPr>
            <w:r w:rsidRPr="00981880">
              <w:rPr>
                <w:szCs w:val="20"/>
              </w:rPr>
              <w:t xml:space="preserve">Follow-up study with infants from Stark </w:t>
            </w:r>
            <w:r w:rsidRPr="00981880">
              <w:rPr>
                <w:i/>
                <w:szCs w:val="20"/>
              </w:rPr>
              <w:t>et al</w:t>
            </w:r>
            <w:r w:rsidRPr="00981880">
              <w:rPr>
                <w:szCs w:val="20"/>
              </w:rPr>
              <w:t xml:space="preserve"> (2016)</w:t>
            </w:r>
          </w:p>
        </w:tc>
        <w:tc>
          <w:tcPr>
            <w:tcW w:w="3231" w:type="dxa"/>
          </w:tcPr>
          <w:p w14:paraId="2C13F7D4" w14:textId="77777777" w:rsidR="00846C33" w:rsidRPr="00981880" w:rsidRDefault="00846C33" w:rsidP="0008217D">
            <w:pPr>
              <w:pStyle w:val="Tabletext"/>
              <w:jc w:val="center"/>
              <w:rPr>
                <w:szCs w:val="20"/>
                <w:vertAlign w:val="superscript"/>
              </w:rPr>
            </w:pPr>
            <w:r w:rsidRPr="00981880">
              <w:rPr>
                <w:szCs w:val="20"/>
              </w:rPr>
              <w:t>16/48 (33%)</w:t>
            </w:r>
            <w:r w:rsidRPr="00981880">
              <w:rPr>
                <w:szCs w:val="20"/>
                <w:vertAlign w:val="superscript"/>
              </w:rPr>
              <w:t>b</w:t>
            </w:r>
          </w:p>
        </w:tc>
      </w:tr>
      <w:tr w:rsidR="00846C33" w:rsidRPr="00981880" w14:paraId="15F02AF4" w14:textId="77777777" w:rsidTr="0008217D">
        <w:tc>
          <w:tcPr>
            <w:tcW w:w="1696" w:type="dxa"/>
          </w:tcPr>
          <w:p w14:paraId="39583554" w14:textId="77777777" w:rsidR="00846C33" w:rsidRPr="00981880" w:rsidRDefault="00846C33" w:rsidP="0008217D">
            <w:pPr>
              <w:pStyle w:val="Tabletext"/>
              <w:rPr>
                <w:szCs w:val="20"/>
                <w:vertAlign w:val="superscript"/>
              </w:rPr>
            </w:pPr>
            <w:r w:rsidRPr="00981880">
              <w:rPr>
                <w:szCs w:val="20"/>
              </w:rPr>
              <w:t xml:space="preserve">Clark </w:t>
            </w:r>
            <w:r w:rsidRPr="00981880">
              <w:rPr>
                <w:i/>
                <w:szCs w:val="20"/>
              </w:rPr>
              <w:t>et al</w:t>
            </w:r>
            <w:r w:rsidRPr="00981880">
              <w:rPr>
                <w:szCs w:val="20"/>
              </w:rPr>
              <w:t xml:space="preserve"> (2018)</w:t>
            </w:r>
            <w:r w:rsidRPr="00981880">
              <w:rPr>
                <w:rFonts w:cstheme="minorHAnsi"/>
                <w:szCs w:val="20"/>
                <w:vertAlign w:val="superscript"/>
              </w:rPr>
              <w:t>c</w:t>
            </w:r>
          </w:p>
        </w:tc>
        <w:tc>
          <w:tcPr>
            <w:tcW w:w="4111" w:type="dxa"/>
          </w:tcPr>
          <w:p w14:paraId="0802B76D" w14:textId="77777777" w:rsidR="00846C33" w:rsidRPr="00981880" w:rsidRDefault="00846C33" w:rsidP="0008217D">
            <w:pPr>
              <w:pStyle w:val="Tabletext"/>
              <w:rPr>
                <w:szCs w:val="20"/>
              </w:rPr>
            </w:pPr>
            <w:r w:rsidRPr="00981880">
              <w:rPr>
                <w:szCs w:val="20"/>
              </w:rPr>
              <w:t>Children aged &lt;18 years</w:t>
            </w:r>
          </w:p>
        </w:tc>
        <w:tc>
          <w:tcPr>
            <w:tcW w:w="3231" w:type="dxa"/>
          </w:tcPr>
          <w:p w14:paraId="6B439741" w14:textId="77777777" w:rsidR="00846C33" w:rsidRPr="00981880" w:rsidRDefault="00846C33" w:rsidP="0008217D">
            <w:pPr>
              <w:pStyle w:val="Tabletext"/>
              <w:jc w:val="center"/>
              <w:rPr>
                <w:szCs w:val="20"/>
              </w:rPr>
            </w:pPr>
            <w:r w:rsidRPr="00981880">
              <w:rPr>
                <w:szCs w:val="20"/>
              </w:rPr>
              <w:t>WGS</w:t>
            </w:r>
            <w:r w:rsidRPr="00981880">
              <w:rPr>
                <w:rFonts w:cstheme="minorHAnsi"/>
                <w:szCs w:val="20"/>
                <w:vertAlign w:val="superscript"/>
              </w:rPr>
              <w:t>d</w:t>
            </w:r>
            <w:r w:rsidRPr="00981880">
              <w:rPr>
                <w:szCs w:val="20"/>
              </w:rPr>
              <w:t>: 27% (95% CI</w:t>
            </w:r>
            <w:r w:rsidR="00474D22">
              <w:rPr>
                <w:szCs w:val="20"/>
              </w:rPr>
              <w:t>:</w:t>
            </w:r>
            <w:r w:rsidRPr="00981880">
              <w:rPr>
                <w:szCs w:val="20"/>
              </w:rPr>
              <w:t xml:space="preserve"> 17–40%; </w:t>
            </w:r>
            <w:r w:rsidRPr="00981880">
              <w:rPr>
                <w:i/>
                <w:szCs w:val="20"/>
              </w:rPr>
              <w:t>I</w:t>
            </w:r>
            <w:r w:rsidRPr="00981880">
              <w:rPr>
                <w:szCs w:val="20"/>
                <w:vertAlign w:val="superscript"/>
              </w:rPr>
              <w:t>2</w:t>
            </w:r>
            <w:r w:rsidRPr="00981880">
              <w:rPr>
                <w:szCs w:val="20"/>
              </w:rPr>
              <w:t>=54%)</w:t>
            </w:r>
          </w:p>
          <w:p w14:paraId="1B0E7D78" w14:textId="77777777" w:rsidR="00846C33" w:rsidRPr="00981880" w:rsidRDefault="00846C33" w:rsidP="0008217D">
            <w:pPr>
              <w:pStyle w:val="Tabletext"/>
              <w:jc w:val="center"/>
              <w:rPr>
                <w:szCs w:val="20"/>
              </w:rPr>
            </w:pPr>
            <w:r w:rsidRPr="00981880">
              <w:rPr>
                <w:szCs w:val="20"/>
              </w:rPr>
              <w:t>WES</w:t>
            </w:r>
            <w:r w:rsidRPr="00981880">
              <w:rPr>
                <w:rFonts w:cstheme="minorHAnsi"/>
                <w:szCs w:val="20"/>
                <w:vertAlign w:val="superscript"/>
              </w:rPr>
              <w:t>e</w:t>
            </w:r>
            <w:r w:rsidRPr="00981880">
              <w:rPr>
                <w:szCs w:val="20"/>
              </w:rPr>
              <w:t>: 18% (95% CI</w:t>
            </w:r>
            <w:r w:rsidR="00474D22">
              <w:rPr>
                <w:szCs w:val="20"/>
              </w:rPr>
              <w:t>:</w:t>
            </w:r>
            <w:r w:rsidRPr="00981880">
              <w:rPr>
                <w:szCs w:val="20"/>
              </w:rPr>
              <w:t xml:space="preserve"> 13–24%; </w:t>
            </w:r>
            <w:r w:rsidRPr="00981880">
              <w:rPr>
                <w:i/>
                <w:szCs w:val="20"/>
              </w:rPr>
              <w:t>I</w:t>
            </w:r>
            <w:r w:rsidRPr="00981880">
              <w:rPr>
                <w:szCs w:val="20"/>
                <w:vertAlign w:val="superscript"/>
              </w:rPr>
              <w:t>2</w:t>
            </w:r>
            <w:r w:rsidRPr="00981880">
              <w:rPr>
                <w:szCs w:val="20"/>
              </w:rPr>
              <w:t>=77%)</w:t>
            </w:r>
          </w:p>
        </w:tc>
      </w:tr>
    </w:tbl>
    <w:p w14:paraId="39AC9B9F" w14:textId="77777777" w:rsidR="00846C33" w:rsidRPr="00981880" w:rsidRDefault="00846C33" w:rsidP="00846C33">
      <w:pPr>
        <w:pStyle w:val="Tablenote"/>
        <w:rPr>
          <w:rFonts w:ascii="Arial Narrow" w:hAnsi="Arial Narrow"/>
          <w:sz w:val="20"/>
          <w:szCs w:val="20"/>
        </w:rPr>
      </w:pPr>
      <w:r w:rsidRPr="00981880">
        <w:rPr>
          <w:rFonts w:ascii="Arial Narrow" w:hAnsi="Arial Narrow"/>
          <w:sz w:val="20"/>
          <w:szCs w:val="20"/>
        </w:rPr>
        <w:t>Abbreviations: WES, whole exome sequencing; WGS, whole genome sequencing</w:t>
      </w:r>
    </w:p>
    <w:p w14:paraId="2DDAF975" w14:textId="77777777" w:rsidR="00846C33" w:rsidRPr="00981880" w:rsidRDefault="00846C33" w:rsidP="00846C33">
      <w:pPr>
        <w:pStyle w:val="Tablenote"/>
        <w:rPr>
          <w:rFonts w:ascii="Arial Narrow" w:hAnsi="Arial Narrow"/>
          <w:sz w:val="20"/>
          <w:szCs w:val="20"/>
        </w:rPr>
      </w:pPr>
      <w:r w:rsidRPr="00981880">
        <w:rPr>
          <w:rFonts w:ascii="Arial Narrow" w:hAnsi="Arial Narrow"/>
          <w:sz w:val="20"/>
          <w:szCs w:val="20"/>
          <w:vertAlign w:val="superscript"/>
        </w:rPr>
        <w:t xml:space="preserve">a </w:t>
      </w:r>
      <w:r w:rsidRPr="00981880">
        <w:rPr>
          <w:rFonts w:ascii="Arial Narrow" w:hAnsi="Arial Narrow"/>
          <w:sz w:val="20"/>
          <w:szCs w:val="20"/>
        </w:rPr>
        <w:t>One infant also had additional diagnostic investigation cancelled and the parents of another had preimplantation genetics planned.</w:t>
      </w:r>
    </w:p>
    <w:p w14:paraId="44A0B70D" w14:textId="77777777" w:rsidR="00846C33" w:rsidRPr="00981880" w:rsidRDefault="00846C33" w:rsidP="00846C33">
      <w:pPr>
        <w:pStyle w:val="Tablenote"/>
        <w:rPr>
          <w:rFonts w:ascii="Arial Narrow" w:hAnsi="Arial Narrow"/>
          <w:sz w:val="20"/>
          <w:szCs w:val="20"/>
        </w:rPr>
      </w:pPr>
      <w:r w:rsidRPr="00981880">
        <w:rPr>
          <w:rFonts w:ascii="Arial Narrow" w:hAnsi="Arial Narrow"/>
          <w:sz w:val="20"/>
          <w:szCs w:val="20"/>
          <w:vertAlign w:val="superscript"/>
        </w:rPr>
        <w:t>b</w:t>
      </w:r>
      <w:r w:rsidRPr="00981880">
        <w:rPr>
          <w:rFonts w:ascii="Arial Narrow" w:hAnsi="Arial Narrow"/>
          <w:sz w:val="20"/>
          <w:szCs w:val="20"/>
        </w:rPr>
        <w:t xml:space="preserve"> Includes 44 infants who received a </w:t>
      </w:r>
      <w:r w:rsidR="0008731B">
        <w:rPr>
          <w:rFonts w:ascii="Arial Narrow" w:hAnsi="Arial Narrow"/>
          <w:sz w:val="20"/>
          <w:szCs w:val="20"/>
        </w:rPr>
        <w:t xml:space="preserve">molecular </w:t>
      </w:r>
      <w:r w:rsidRPr="00981880">
        <w:rPr>
          <w:rFonts w:ascii="Arial Narrow" w:hAnsi="Arial Narrow"/>
          <w:sz w:val="20"/>
          <w:szCs w:val="20"/>
        </w:rPr>
        <w:t xml:space="preserve">diagnosis after initial WES and 4 infants who received </w:t>
      </w:r>
      <w:r w:rsidR="0008731B">
        <w:rPr>
          <w:rFonts w:ascii="Arial Narrow" w:hAnsi="Arial Narrow"/>
          <w:sz w:val="20"/>
          <w:szCs w:val="20"/>
        </w:rPr>
        <w:t xml:space="preserve">a molecular </w:t>
      </w:r>
      <w:r w:rsidRPr="00981880">
        <w:rPr>
          <w:rFonts w:ascii="Arial Narrow" w:hAnsi="Arial Narrow"/>
          <w:sz w:val="20"/>
          <w:szCs w:val="20"/>
        </w:rPr>
        <w:t>diagnos</w:t>
      </w:r>
      <w:r w:rsidR="0008731B">
        <w:rPr>
          <w:rFonts w:ascii="Arial Narrow" w:hAnsi="Arial Narrow"/>
          <w:sz w:val="20"/>
          <w:szCs w:val="20"/>
        </w:rPr>
        <w:t>i</w:t>
      </w:r>
      <w:r w:rsidRPr="00981880">
        <w:rPr>
          <w:rFonts w:ascii="Arial Narrow" w:hAnsi="Arial Narrow"/>
          <w:sz w:val="20"/>
          <w:szCs w:val="20"/>
        </w:rPr>
        <w:t>s after re-analysis of WES data.</w:t>
      </w:r>
    </w:p>
    <w:p w14:paraId="649B3461" w14:textId="77777777" w:rsidR="00846C33" w:rsidRPr="00981880" w:rsidRDefault="00846C33" w:rsidP="00846C33">
      <w:pPr>
        <w:pStyle w:val="Tablenote"/>
        <w:rPr>
          <w:rFonts w:ascii="Arial Narrow" w:hAnsi="Arial Narrow"/>
          <w:sz w:val="20"/>
          <w:szCs w:val="20"/>
        </w:rPr>
      </w:pPr>
      <w:r w:rsidRPr="00981880">
        <w:rPr>
          <w:rFonts w:ascii="Arial Narrow" w:hAnsi="Arial Narrow" w:cstheme="minorHAnsi"/>
          <w:sz w:val="20"/>
          <w:szCs w:val="20"/>
          <w:vertAlign w:val="superscript"/>
        </w:rPr>
        <w:t>c</w:t>
      </w:r>
      <w:r w:rsidRPr="00981880">
        <w:rPr>
          <w:rFonts w:ascii="Arial Narrow" w:hAnsi="Arial Narrow"/>
          <w:sz w:val="20"/>
          <w:szCs w:val="20"/>
        </w:rPr>
        <w:t xml:space="preserve"> Meta-analysis of 36 studies including 20,068 children (WGS, WES, and CMA).</w:t>
      </w:r>
    </w:p>
    <w:p w14:paraId="31355218" w14:textId="77777777" w:rsidR="00846C33" w:rsidRPr="00981880" w:rsidRDefault="00846C33" w:rsidP="00846C33">
      <w:pPr>
        <w:pStyle w:val="Tablenote"/>
        <w:rPr>
          <w:rFonts w:ascii="Arial Narrow" w:hAnsi="Arial Narrow" w:cstheme="minorHAnsi"/>
          <w:sz w:val="20"/>
          <w:szCs w:val="20"/>
        </w:rPr>
      </w:pPr>
      <w:r w:rsidRPr="00981880">
        <w:rPr>
          <w:rFonts w:ascii="Arial Narrow" w:hAnsi="Arial Narrow" w:cstheme="minorHAnsi"/>
          <w:sz w:val="20"/>
          <w:szCs w:val="20"/>
          <w:vertAlign w:val="superscript"/>
        </w:rPr>
        <w:t>d</w:t>
      </w:r>
      <w:r w:rsidRPr="00981880">
        <w:rPr>
          <w:rFonts w:ascii="Arial Narrow" w:hAnsi="Arial Narrow" w:cstheme="minorHAnsi"/>
          <w:sz w:val="20"/>
          <w:szCs w:val="20"/>
        </w:rPr>
        <w:t xml:space="preserve"> Meta-analysis of 26 studies including 9,014 children (WES only).</w:t>
      </w:r>
    </w:p>
    <w:p w14:paraId="659B28ED" w14:textId="77777777" w:rsidR="00846C33" w:rsidRPr="00981880" w:rsidRDefault="00846C33" w:rsidP="00981880">
      <w:pPr>
        <w:pStyle w:val="Tablenote"/>
        <w:spacing w:before="0" w:after="240"/>
        <w:rPr>
          <w:rFonts w:ascii="Arial Narrow" w:hAnsi="Arial Narrow"/>
          <w:sz w:val="20"/>
          <w:szCs w:val="20"/>
        </w:rPr>
      </w:pPr>
      <w:r w:rsidRPr="00981880">
        <w:rPr>
          <w:rFonts w:ascii="Arial Narrow" w:hAnsi="Arial Narrow" w:cstheme="minorHAnsi"/>
          <w:sz w:val="20"/>
          <w:szCs w:val="20"/>
          <w:vertAlign w:val="superscript"/>
        </w:rPr>
        <w:t>e</w:t>
      </w:r>
      <w:r w:rsidRPr="00981880">
        <w:rPr>
          <w:rFonts w:ascii="Arial Narrow" w:hAnsi="Arial Narrow"/>
          <w:sz w:val="20"/>
          <w:szCs w:val="20"/>
        </w:rPr>
        <w:t xml:space="preserve"> Meta-analysis of 7 studies including 374 children (WGS only).</w:t>
      </w:r>
    </w:p>
    <w:p w14:paraId="0C7DED82" w14:textId="5A5D4F6D" w:rsidR="00083868" w:rsidRPr="009A3D5C" w:rsidRDefault="00846C33" w:rsidP="009A3D5C">
      <w:pPr>
        <w:pStyle w:val="Body"/>
        <w:spacing w:line="240" w:lineRule="auto"/>
        <w:rPr>
          <w:rFonts w:ascii="Times New Roman" w:hAnsi="Times New Roman" w:cs="Times New Roman"/>
        </w:rPr>
      </w:pPr>
      <w:r w:rsidRPr="00981880">
        <w:rPr>
          <w:rStyle w:val="BodyChar"/>
          <w:rFonts w:ascii="Times New Roman" w:hAnsi="Times New Roman" w:cs="Times New Roman"/>
          <w:u w:val="single"/>
        </w:rPr>
        <w:t>Time to definitive diagnosis</w:t>
      </w:r>
      <w:r w:rsidRPr="00645461">
        <w:rPr>
          <w:rStyle w:val="BodyChar"/>
          <w:rFonts w:ascii="Times New Roman" w:hAnsi="Times New Roman" w:cs="Times New Roman"/>
        </w:rPr>
        <w:t>:</w:t>
      </w:r>
      <w:r w:rsidRPr="00981880">
        <w:rPr>
          <w:rStyle w:val="BodyChar"/>
          <w:rFonts w:ascii="Times New Roman" w:hAnsi="Times New Roman" w:cs="Times New Roman"/>
        </w:rPr>
        <w:t xml:space="preserve"> Time to definitive diagnosis was not reported in the </w:t>
      </w:r>
      <w:r w:rsidR="00610659">
        <w:rPr>
          <w:rStyle w:val="BodyChar"/>
          <w:rFonts w:ascii="Times New Roman" w:hAnsi="Times New Roman" w:cs="Times New Roman"/>
        </w:rPr>
        <w:t xml:space="preserve">two </w:t>
      </w:r>
      <w:r w:rsidRPr="00981880">
        <w:rPr>
          <w:rStyle w:val="BodyChar"/>
          <w:rFonts w:ascii="Times New Roman" w:hAnsi="Times New Roman" w:cs="Times New Roman"/>
        </w:rPr>
        <w:t xml:space="preserve">Australian studies identified. </w:t>
      </w:r>
      <w:r w:rsidR="007F044D">
        <w:rPr>
          <w:rStyle w:val="BodyChar"/>
          <w:rFonts w:ascii="Times New Roman" w:hAnsi="Times New Roman" w:cs="Times New Roman"/>
        </w:rPr>
        <w:t>However, t</w:t>
      </w:r>
      <w:r w:rsidRPr="00981880">
        <w:rPr>
          <w:rStyle w:val="BodyChar"/>
          <w:rFonts w:ascii="Times New Roman" w:hAnsi="Times New Roman" w:cs="Times New Roman"/>
        </w:rPr>
        <w:t>he median time to report in these studies ranged from 134</w:t>
      </w:r>
      <w:r w:rsidR="007F044D">
        <w:rPr>
          <w:rStyle w:val="BodyChar"/>
          <w:rFonts w:ascii="Times New Roman" w:hAnsi="Times New Roman" w:cs="Times New Roman"/>
        </w:rPr>
        <w:t xml:space="preserve"> to </w:t>
      </w:r>
      <w:r w:rsidR="00610659">
        <w:rPr>
          <w:rStyle w:val="BodyChar"/>
          <w:rFonts w:ascii="Times New Roman" w:hAnsi="Times New Roman" w:cs="Times New Roman"/>
        </w:rPr>
        <w:t>181</w:t>
      </w:r>
      <w:r w:rsidRPr="00981880">
        <w:rPr>
          <w:rStyle w:val="BodyChar"/>
          <w:rFonts w:ascii="Times New Roman" w:hAnsi="Times New Roman" w:cs="Times New Roman"/>
        </w:rPr>
        <w:t xml:space="preserve"> days (</w:t>
      </w:r>
      <w:r w:rsidR="00981880">
        <w:rPr>
          <w:rStyle w:val="BodyChar"/>
          <w:rFonts w:ascii="Times New Roman" w:hAnsi="Times New Roman" w:cs="Times New Roman"/>
        </w:rPr>
        <w:t>Table 5</w:t>
      </w:r>
      <w:r w:rsidR="003F7A6A">
        <w:rPr>
          <w:rStyle w:val="BodyChar"/>
          <w:rFonts w:ascii="Times New Roman" w:hAnsi="Times New Roman" w:cs="Times New Roman"/>
        </w:rPr>
        <w:t>).</w:t>
      </w:r>
      <w:bookmarkStart w:id="9" w:name="_Ref512583822"/>
      <w:bookmarkStart w:id="10" w:name="_Toc513290988"/>
    </w:p>
    <w:p w14:paraId="560D4CCC" w14:textId="77777777" w:rsidR="00846C33" w:rsidRPr="001964D2" w:rsidRDefault="00846C33" w:rsidP="001964D2">
      <w:pPr>
        <w:rPr>
          <w:rFonts w:ascii="Arial Narrow" w:hAnsi="Arial Narrow"/>
          <w:b/>
          <w:sz w:val="20"/>
        </w:rPr>
      </w:pPr>
      <w:r w:rsidRPr="001964D2">
        <w:rPr>
          <w:rFonts w:ascii="Arial Narrow" w:hAnsi="Arial Narrow"/>
          <w:b/>
          <w:sz w:val="20"/>
        </w:rPr>
        <w:t xml:space="preserve">Table </w:t>
      </w:r>
      <w:bookmarkEnd w:id="9"/>
      <w:r w:rsidR="00981880" w:rsidRPr="001964D2">
        <w:rPr>
          <w:rFonts w:ascii="Arial Narrow" w:hAnsi="Arial Narrow"/>
          <w:b/>
          <w:sz w:val="20"/>
        </w:rPr>
        <w:t>5</w:t>
      </w:r>
      <w:r w:rsidRPr="001964D2">
        <w:rPr>
          <w:rFonts w:ascii="Arial Narrow" w:hAnsi="Arial Narrow"/>
          <w:b/>
          <w:sz w:val="20"/>
        </w:rPr>
        <w:tab/>
        <w:t>Mean duration of follow-up and average age at enrolment in Australian studies</w:t>
      </w:r>
      <w:bookmarkEnd w:id="10"/>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mean duration of follow-up and average age at enrolment in the Australian studies, Stark et al 2016 and 2018, and Tan et al 2017"/>
      </w:tblPr>
      <w:tblGrid>
        <w:gridCol w:w="1555"/>
        <w:gridCol w:w="2126"/>
        <w:gridCol w:w="2607"/>
        <w:gridCol w:w="2750"/>
      </w:tblGrid>
      <w:tr w:rsidR="00846C33" w:rsidRPr="00981880" w14:paraId="73D16349" w14:textId="77777777" w:rsidTr="007052AA">
        <w:trPr>
          <w:tblHeader/>
        </w:trPr>
        <w:tc>
          <w:tcPr>
            <w:tcW w:w="1555" w:type="dxa"/>
          </w:tcPr>
          <w:p w14:paraId="57480D44"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Study</w:t>
            </w:r>
          </w:p>
        </w:tc>
        <w:tc>
          <w:tcPr>
            <w:tcW w:w="2126" w:type="dxa"/>
          </w:tcPr>
          <w:p w14:paraId="0231DDC5"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Patient population</w:t>
            </w:r>
          </w:p>
        </w:tc>
        <w:tc>
          <w:tcPr>
            <w:tcW w:w="2607" w:type="dxa"/>
          </w:tcPr>
          <w:p w14:paraId="4E158FE7"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Mean age at enrolment (range)</w:t>
            </w:r>
          </w:p>
        </w:tc>
        <w:tc>
          <w:tcPr>
            <w:tcW w:w="2750" w:type="dxa"/>
          </w:tcPr>
          <w:p w14:paraId="2C3E79BF" w14:textId="77777777" w:rsidR="00846C33" w:rsidRPr="00981880" w:rsidRDefault="00846C33" w:rsidP="00474D22">
            <w:pPr>
              <w:pStyle w:val="Tableheading"/>
              <w:jc w:val="center"/>
              <w:rPr>
                <w:rFonts w:ascii="Arial Narrow" w:hAnsi="Arial Narrow"/>
                <w:szCs w:val="20"/>
              </w:rPr>
            </w:pPr>
            <w:r w:rsidRPr="00981880">
              <w:rPr>
                <w:rFonts w:ascii="Arial Narrow" w:hAnsi="Arial Narrow"/>
                <w:szCs w:val="20"/>
              </w:rPr>
              <w:t xml:space="preserve">Median time to report or median </w:t>
            </w:r>
            <w:r w:rsidR="00474D22">
              <w:rPr>
                <w:rFonts w:ascii="Arial Narrow" w:hAnsi="Arial Narrow"/>
                <w:szCs w:val="20"/>
              </w:rPr>
              <w:t xml:space="preserve">post-report </w:t>
            </w:r>
            <w:r w:rsidRPr="00981880">
              <w:rPr>
                <w:rFonts w:ascii="Arial Narrow" w:hAnsi="Arial Narrow"/>
                <w:szCs w:val="20"/>
              </w:rPr>
              <w:t>follow-up (range)</w:t>
            </w:r>
          </w:p>
        </w:tc>
      </w:tr>
      <w:tr w:rsidR="00846C33" w:rsidRPr="00981880" w14:paraId="3E4B705C" w14:textId="77777777" w:rsidTr="0008217D">
        <w:tc>
          <w:tcPr>
            <w:tcW w:w="1555" w:type="dxa"/>
          </w:tcPr>
          <w:p w14:paraId="42DACBA0" w14:textId="77777777" w:rsidR="00846C33" w:rsidRPr="00981880" w:rsidRDefault="00846C33" w:rsidP="0008217D">
            <w:pPr>
              <w:pStyle w:val="Tabletext"/>
              <w:rPr>
                <w:szCs w:val="20"/>
              </w:rPr>
            </w:pPr>
            <w:r w:rsidRPr="00981880">
              <w:rPr>
                <w:szCs w:val="20"/>
              </w:rPr>
              <w:t xml:space="preserve">Stark </w:t>
            </w:r>
            <w:r w:rsidRPr="00981880">
              <w:rPr>
                <w:i/>
                <w:szCs w:val="20"/>
              </w:rPr>
              <w:t>et al</w:t>
            </w:r>
            <w:r w:rsidRPr="00981880">
              <w:rPr>
                <w:szCs w:val="20"/>
              </w:rPr>
              <w:t xml:space="preserve"> (2016)</w:t>
            </w:r>
          </w:p>
        </w:tc>
        <w:tc>
          <w:tcPr>
            <w:tcW w:w="2126" w:type="dxa"/>
          </w:tcPr>
          <w:p w14:paraId="5EC28660" w14:textId="77777777" w:rsidR="00846C33" w:rsidRPr="00981880" w:rsidRDefault="00846C33" w:rsidP="0008217D">
            <w:pPr>
              <w:pStyle w:val="Tabletext"/>
              <w:rPr>
                <w:szCs w:val="20"/>
              </w:rPr>
            </w:pPr>
            <w:r w:rsidRPr="00981880">
              <w:rPr>
                <w:szCs w:val="20"/>
              </w:rPr>
              <w:t>Infants aged 0–2 years</w:t>
            </w:r>
          </w:p>
        </w:tc>
        <w:tc>
          <w:tcPr>
            <w:tcW w:w="2607" w:type="dxa"/>
          </w:tcPr>
          <w:p w14:paraId="67A9F521" w14:textId="77777777" w:rsidR="00846C33" w:rsidRPr="00981880" w:rsidRDefault="00846C33" w:rsidP="0008217D">
            <w:pPr>
              <w:pStyle w:val="Tabletext"/>
              <w:rPr>
                <w:szCs w:val="20"/>
              </w:rPr>
            </w:pPr>
            <w:r w:rsidRPr="00981880">
              <w:rPr>
                <w:szCs w:val="20"/>
              </w:rPr>
              <w:t>8 months (1 week–34 months)</w:t>
            </w:r>
          </w:p>
        </w:tc>
        <w:tc>
          <w:tcPr>
            <w:tcW w:w="2750" w:type="dxa"/>
          </w:tcPr>
          <w:p w14:paraId="7E2DCE2C" w14:textId="77777777" w:rsidR="00846C33" w:rsidRPr="00981880" w:rsidRDefault="00846C33" w:rsidP="00645461">
            <w:pPr>
              <w:pStyle w:val="Tabletext"/>
              <w:jc w:val="center"/>
              <w:rPr>
                <w:szCs w:val="20"/>
              </w:rPr>
            </w:pPr>
            <w:r w:rsidRPr="00981880">
              <w:rPr>
                <w:szCs w:val="20"/>
              </w:rPr>
              <w:t>134 days</w:t>
            </w:r>
            <w:r w:rsidR="00610659">
              <w:rPr>
                <w:szCs w:val="20"/>
              </w:rPr>
              <w:t xml:space="preserve"> to report</w:t>
            </w:r>
            <w:r w:rsidRPr="00981880">
              <w:rPr>
                <w:szCs w:val="20"/>
              </w:rPr>
              <w:t xml:space="preserve"> (83–278 days)</w:t>
            </w:r>
          </w:p>
        </w:tc>
      </w:tr>
      <w:tr w:rsidR="00846C33" w:rsidRPr="00981880" w14:paraId="12DE9FAA" w14:textId="77777777" w:rsidTr="0008217D">
        <w:tc>
          <w:tcPr>
            <w:tcW w:w="1555" w:type="dxa"/>
          </w:tcPr>
          <w:p w14:paraId="6F22555B" w14:textId="77777777" w:rsidR="00846C33" w:rsidRPr="00981880" w:rsidRDefault="00846C33" w:rsidP="0008217D">
            <w:pPr>
              <w:pStyle w:val="Tabletext"/>
              <w:rPr>
                <w:szCs w:val="20"/>
              </w:rPr>
            </w:pPr>
            <w:r w:rsidRPr="00981880">
              <w:rPr>
                <w:szCs w:val="20"/>
              </w:rPr>
              <w:t xml:space="preserve">Tan </w:t>
            </w:r>
            <w:r w:rsidRPr="00981880">
              <w:rPr>
                <w:i/>
                <w:szCs w:val="20"/>
              </w:rPr>
              <w:t>et al</w:t>
            </w:r>
            <w:r w:rsidRPr="00981880">
              <w:rPr>
                <w:szCs w:val="20"/>
              </w:rPr>
              <w:t xml:space="preserve"> (2017)</w:t>
            </w:r>
          </w:p>
        </w:tc>
        <w:tc>
          <w:tcPr>
            <w:tcW w:w="2126" w:type="dxa"/>
          </w:tcPr>
          <w:p w14:paraId="13317F65" w14:textId="77777777" w:rsidR="00846C33" w:rsidRPr="00981880" w:rsidRDefault="00846C33" w:rsidP="0008217D">
            <w:pPr>
              <w:pStyle w:val="Tabletext"/>
              <w:rPr>
                <w:szCs w:val="20"/>
              </w:rPr>
            </w:pPr>
            <w:r w:rsidRPr="00981880">
              <w:rPr>
                <w:szCs w:val="20"/>
              </w:rPr>
              <w:t>Children aged 2–18 years</w:t>
            </w:r>
          </w:p>
        </w:tc>
        <w:tc>
          <w:tcPr>
            <w:tcW w:w="2607" w:type="dxa"/>
          </w:tcPr>
          <w:p w14:paraId="6CF0F891" w14:textId="77777777" w:rsidR="00846C33" w:rsidRPr="00981880" w:rsidRDefault="00846C33" w:rsidP="0008217D">
            <w:pPr>
              <w:pStyle w:val="Tabletext"/>
              <w:rPr>
                <w:szCs w:val="20"/>
              </w:rPr>
            </w:pPr>
            <w:r w:rsidRPr="00981880">
              <w:rPr>
                <w:szCs w:val="20"/>
              </w:rPr>
              <w:t>28 months (0–121 months)</w:t>
            </w:r>
          </w:p>
        </w:tc>
        <w:tc>
          <w:tcPr>
            <w:tcW w:w="2750" w:type="dxa"/>
          </w:tcPr>
          <w:p w14:paraId="737CB953" w14:textId="77777777" w:rsidR="00846C33" w:rsidRPr="00981880" w:rsidRDefault="00846C33" w:rsidP="00645461">
            <w:pPr>
              <w:pStyle w:val="Tabletext"/>
              <w:jc w:val="center"/>
              <w:rPr>
                <w:szCs w:val="20"/>
              </w:rPr>
            </w:pPr>
            <w:r w:rsidRPr="00981880">
              <w:rPr>
                <w:szCs w:val="20"/>
              </w:rPr>
              <w:t xml:space="preserve">181 days </w:t>
            </w:r>
            <w:r w:rsidR="00610659">
              <w:rPr>
                <w:szCs w:val="20"/>
              </w:rPr>
              <w:t xml:space="preserve">to report </w:t>
            </w:r>
            <w:r w:rsidRPr="00981880">
              <w:rPr>
                <w:szCs w:val="20"/>
              </w:rPr>
              <w:t>(40–283 days)</w:t>
            </w:r>
          </w:p>
        </w:tc>
      </w:tr>
      <w:tr w:rsidR="00846C33" w:rsidRPr="00981880" w14:paraId="5FC664AF" w14:textId="77777777" w:rsidTr="0008217D">
        <w:tc>
          <w:tcPr>
            <w:tcW w:w="1555" w:type="dxa"/>
          </w:tcPr>
          <w:p w14:paraId="019FEFA3" w14:textId="77777777" w:rsidR="00846C33" w:rsidRPr="00981880" w:rsidRDefault="00846C33" w:rsidP="0008217D">
            <w:pPr>
              <w:pStyle w:val="Tabletext"/>
              <w:rPr>
                <w:szCs w:val="20"/>
              </w:rPr>
            </w:pPr>
            <w:r w:rsidRPr="00981880">
              <w:rPr>
                <w:szCs w:val="20"/>
              </w:rPr>
              <w:t xml:space="preserve">Stark </w:t>
            </w:r>
            <w:r w:rsidRPr="00981880">
              <w:rPr>
                <w:i/>
                <w:szCs w:val="20"/>
              </w:rPr>
              <w:t>et al</w:t>
            </w:r>
            <w:r w:rsidRPr="00981880">
              <w:rPr>
                <w:szCs w:val="20"/>
              </w:rPr>
              <w:t xml:space="preserve"> (2018)</w:t>
            </w:r>
          </w:p>
        </w:tc>
        <w:tc>
          <w:tcPr>
            <w:tcW w:w="2126" w:type="dxa"/>
          </w:tcPr>
          <w:p w14:paraId="6FB90080" w14:textId="77777777" w:rsidR="00846C33" w:rsidRPr="00981880" w:rsidRDefault="00846C33" w:rsidP="0008217D">
            <w:pPr>
              <w:pStyle w:val="Tabletext"/>
              <w:rPr>
                <w:szCs w:val="20"/>
              </w:rPr>
            </w:pPr>
            <w:r w:rsidRPr="00981880">
              <w:rPr>
                <w:szCs w:val="20"/>
              </w:rPr>
              <w:t>Infants aged 0–2 years</w:t>
            </w:r>
          </w:p>
        </w:tc>
        <w:tc>
          <w:tcPr>
            <w:tcW w:w="2607" w:type="dxa"/>
          </w:tcPr>
          <w:p w14:paraId="275528DC" w14:textId="77777777" w:rsidR="00846C33" w:rsidRPr="00981880" w:rsidRDefault="00846C33" w:rsidP="0008217D">
            <w:pPr>
              <w:pStyle w:val="Tabletext"/>
              <w:rPr>
                <w:szCs w:val="20"/>
              </w:rPr>
            </w:pPr>
            <w:r w:rsidRPr="00981880">
              <w:rPr>
                <w:szCs w:val="20"/>
              </w:rPr>
              <w:t xml:space="preserve">As per Stark </w:t>
            </w:r>
            <w:r w:rsidRPr="00981880">
              <w:rPr>
                <w:i/>
                <w:szCs w:val="20"/>
              </w:rPr>
              <w:t>et al</w:t>
            </w:r>
            <w:r w:rsidRPr="00981880">
              <w:rPr>
                <w:szCs w:val="20"/>
              </w:rPr>
              <w:t xml:space="preserve"> (2016)</w:t>
            </w:r>
          </w:p>
        </w:tc>
        <w:tc>
          <w:tcPr>
            <w:tcW w:w="2750" w:type="dxa"/>
          </w:tcPr>
          <w:p w14:paraId="090D56C4" w14:textId="77777777" w:rsidR="00846C33" w:rsidRPr="00981880" w:rsidRDefault="00846C33" w:rsidP="0008731B">
            <w:pPr>
              <w:pStyle w:val="Tabletext"/>
              <w:jc w:val="center"/>
              <w:rPr>
                <w:szCs w:val="20"/>
              </w:rPr>
            </w:pPr>
            <w:r w:rsidRPr="00981880">
              <w:rPr>
                <w:szCs w:val="20"/>
              </w:rPr>
              <w:t>473 days post-re</w:t>
            </w:r>
            <w:r w:rsidR="0008731B">
              <w:rPr>
                <w:szCs w:val="20"/>
              </w:rPr>
              <w:t>por</w:t>
            </w:r>
            <w:r w:rsidRPr="00981880">
              <w:rPr>
                <w:szCs w:val="20"/>
              </w:rPr>
              <w:t>t follow-up (IQR 411–650 days)</w:t>
            </w:r>
          </w:p>
        </w:tc>
      </w:tr>
    </w:tbl>
    <w:p w14:paraId="5911725A" w14:textId="77777777" w:rsidR="00846C33" w:rsidRPr="00981880" w:rsidRDefault="00846C33" w:rsidP="00981880">
      <w:pPr>
        <w:pStyle w:val="Tablenote"/>
        <w:spacing w:before="0" w:after="240"/>
        <w:rPr>
          <w:rFonts w:ascii="Arial Narrow" w:hAnsi="Arial Narrow"/>
          <w:sz w:val="20"/>
          <w:szCs w:val="20"/>
        </w:rPr>
      </w:pPr>
      <w:r w:rsidRPr="00981880">
        <w:rPr>
          <w:rFonts w:ascii="Arial Narrow" w:hAnsi="Arial Narrow"/>
          <w:sz w:val="20"/>
          <w:szCs w:val="20"/>
        </w:rPr>
        <w:t>Abbreviations: IQR, interquartile range</w:t>
      </w:r>
    </w:p>
    <w:p w14:paraId="0D5CCC4D" w14:textId="77777777" w:rsidR="003F7A6A" w:rsidRPr="00981880" w:rsidRDefault="003F7A6A" w:rsidP="003F7A6A">
      <w:pPr>
        <w:pStyle w:val="Body"/>
        <w:spacing w:after="240" w:line="240" w:lineRule="auto"/>
        <w:rPr>
          <w:rStyle w:val="BodyChar"/>
          <w:rFonts w:ascii="Times New Roman" w:hAnsi="Times New Roman" w:cs="Times New Roman"/>
        </w:rPr>
      </w:pPr>
      <w:r w:rsidRPr="00981880">
        <w:rPr>
          <w:rStyle w:val="BodyChar"/>
          <w:rFonts w:ascii="Times New Roman" w:hAnsi="Times New Roman" w:cs="Times New Roman"/>
        </w:rPr>
        <w:lastRenderedPageBreak/>
        <w:t xml:space="preserve">One randomised controlled trial (RCT) (Petrikin </w:t>
      </w:r>
      <w:r w:rsidRPr="00981880">
        <w:rPr>
          <w:rStyle w:val="BodyChar"/>
          <w:rFonts w:ascii="Times New Roman" w:hAnsi="Times New Roman" w:cs="Times New Roman"/>
          <w:i/>
        </w:rPr>
        <w:t>et al</w:t>
      </w:r>
      <w:r w:rsidRPr="00981880">
        <w:rPr>
          <w:rStyle w:val="BodyChar"/>
          <w:rFonts w:ascii="Times New Roman" w:hAnsi="Times New Roman" w:cs="Times New Roman"/>
        </w:rPr>
        <w:t xml:space="preserve"> (2018)) focussing solely on rapid WGS (rWGS) + standard testing versus standard testing alone showed that the median time to diagnosis in the rWGS + standard testing group was 13 days (range 1–84 days), while the median time to diagnosis in the standard testing alone group was 107 days (range 21–429 days). As expected, the time to diagnosis using rapid sequencing would be </w:t>
      </w:r>
      <w:r w:rsidRPr="00981880">
        <w:rPr>
          <w:rFonts w:ascii="Times New Roman" w:hAnsi="Times New Roman" w:cs="Times New Roman"/>
        </w:rPr>
        <w:t>significantly below that expected by standard WEA or even standard WGS.</w:t>
      </w:r>
    </w:p>
    <w:p w14:paraId="3C166523" w14:textId="77777777" w:rsidR="00846C33" w:rsidRPr="00981880" w:rsidRDefault="00846C33" w:rsidP="00981880">
      <w:pPr>
        <w:pStyle w:val="Body"/>
        <w:spacing w:line="240" w:lineRule="auto"/>
        <w:rPr>
          <w:rStyle w:val="BodyChar"/>
          <w:rFonts w:ascii="Times New Roman" w:hAnsi="Times New Roman" w:cs="Times New Roman"/>
        </w:rPr>
      </w:pPr>
      <w:r w:rsidRPr="00981880">
        <w:rPr>
          <w:rFonts w:ascii="Times New Roman" w:hAnsi="Times New Roman" w:cs="Times New Roman"/>
          <w:u w:val="single"/>
        </w:rPr>
        <w:t>Health resource changes</w:t>
      </w:r>
      <w:r w:rsidRPr="00645461">
        <w:rPr>
          <w:rFonts w:ascii="Times New Roman" w:hAnsi="Times New Roman" w:cs="Times New Roman"/>
        </w:rPr>
        <w:t>:</w:t>
      </w:r>
      <w:r w:rsidRPr="00981880">
        <w:rPr>
          <w:rFonts w:ascii="Times New Roman" w:hAnsi="Times New Roman" w:cs="Times New Roman"/>
        </w:rPr>
        <w:t xml:space="preserve"> An Australian longer-term follow-up study (Stark </w:t>
      </w:r>
      <w:r w:rsidRPr="00981880">
        <w:rPr>
          <w:rFonts w:ascii="Times New Roman" w:hAnsi="Times New Roman" w:cs="Times New Roman"/>
          <w:i/>
        </w:rPr>
        <w:t>et al</w:t>
      </w:r>
      <w:r w:rsidRPr="00981880">
        <w:rPr>
          <w:rFonts w:ascii="Times New Roman" w:hAnsi="Times New Roman" w:cs="Times New Roman"/>
        </w:rPr>
        <w:t xml:space="preserve"> (2018)) showed no difference in utilisation of tertiary paediatr</w:t>
      </w:r>
      <w:r w:rsidR="00645461">
        <w:rPr>
          <w:rFonts w:ascii="Times New Roman" w:hAnsi="Times New Roman" w:cs="Times New Roman"/>
        </w:rPr>
        <w:t>ic</w:t>
      </w:r>
      <w:r w:rsidRPr="00981880">
        <w:rPr>
          <w:rFonts w:ascii="Times New Roman" w:hAnsi="Times New Roman" w:cs="Times New Roman"/>
        </w:rPr>
        <w:t xml:space="preserve"> hospital services pre- or post-result comparing those patients who received a </w:t>
      </w:r>
      <w:r w:rsidR="0008731B">
        <w:rPr>
          <w:rFonts w:ascii="Times New Roman" w:hAnsi="Times New Roman" w:cs="Times New Roman"/>
        </w:rPr>
        <w:t xml:space="preserve">molecular </w:t>
      </w:r>
      <w:r w:rsidRPr="00981880">
        <w:rPr>
          <w:rFonts w:ascii="Times New Roman" w:hAnsi="Times New Roman" w:cs="Times New Roman"/>
        </w:rPr>
        <w:t>diagnosis and those who did not. Further analysis showed that among patients who received a diagnosis, WEA did not result in any significant difference in the utilisation of tertiary paediatric hospital services pre- or post-result. Whereas in</w:t>
      </w:r>
      <w:r w:rsidRPr="00981880">
        <w:rPr>
          <w:rStyle w:val="BodyChar"/>
          <w:rFonts w:ascii="Times New Roman" w:hAnsi="Times New Roman" w:cs="Times New Roman"/>
        </w:rPr>
        <w:t xml:space="preserve"> patients who </w:t>
      </w:r>
      <w:r w:rsidR="00CE729A">
        <w:rPr>
          <w:rStyle w:val="BodyChar"/>
          <w:rFonts w:ascii="Times New Roman" w:hAnsi="Times New Roman" w:cs="Times New Roman"/>
        </w:rPr>
        <w:t xml:space="preserve">remained </w:t>
      </w:r>
      <w:r w:rsidRPr="00981880">
        <w:rPr>
          <w:rStyle w:val="BodyChar"/>
          <w:rFonts w:ascii="Times New Roman" w:hAnsi="Times New Roman" w:cs="Times New Roman"/>
        </w:rPr>
        <w:t xml:space="preserve">undiagnosed, WEA resulted in a significant </w:t>
      </w:r>
      <w:r w:rsidR="00CE729A">
        <w:rPr>
          <w:rStyle w:val="BodyChar"/>
          <w:rFonts w:ascii="Times New Roman" w:hAnsi="Times New Roman" w:cs="Times New Roman"/>
        </w:rPr>
        <w:t>increase</w:t>
      </w:r>
      <w:r w:rsidRPr="00981880">
        <w:rPr>
          <w:rStyle w:val="BodyChar"/>
          <w:rFonts w:ascii="Times New Roman" w:hAnsi="Times New Roman" w:cs="Times New Roman"/>
        </w:rPr>
        <w:t xml:space="preserve"> in the clinical trajectory (</w:t>
      </w:r>
      <w:r w:rsidR="00CE729A">
        <w:rPr>
          <w:rStyle w:val="BodyChar"/>
          <w:rFonts w:ascii="Times New Roman" w:hAnsi="Times New Roman" w:cs="Times New Roman"/>
        </w:rPr>
        <w:t>mean difference of</w:t>
      </w:r>
      <w:r w:rsidRPr="00981880">
        <w:rPr>
          <w:rStyle w:val="BodyChar"/>
          <w:rFonts w:ascii="Times New Roman" w:hAnsi="Times New Roman" w:cs="Times New Roman"/>
        </w:rPr>
        <w:t xml:space="preserve"> 142</w:t>
      </w:r>
      <w:r w:rsidR="00CE729A">
        <w:rPr>
          <w:rStyle w:val="BodyChar"/>
          <w:rFonts w:ascii="Times New Roman" w:hAnsi="Times New Roman" w:cs="Times New Roman"/>
        </w:rPr>
        <w:t xml:space="preserve"> days</w:t>
      </w:r>
      <w:r w:rsidRPr="00981880">
        <w:rPr>
          <w:rStyle w:val="BodyChar"/>
          <w:rFonts w:ascii="Times New Roman" w:hAnsi="Times New Roman" w:cs="Times New Roman"/>
        </w:rPr>
        <w:t>; 95% CI</w:t>
      </w:r>
      <w:r w:rsidR="00474D22">
        <w:rPr>
          <w:rStyle w:val="BodyChar"/>
          <w:rFonts w:ascii="Times New Roman" w:hAnsi="Times New Roman" w:cs="Times New Roman"/>
        </w:rPr>
        <w:t>:</w:t>
      </w:r>
      <w:r w:rsidRPr="00981880">
        <w:rPr>
          <w:rStyle w:val="BodyChar"/>
          <w:rFonts w:ascii="Times New Roman" w:hAnsi="Times New Roman" w:cs="Times New Roman"/>
        </w:rPr>
        <w:t xml:space="preserve"> 57.63</w:t>
      </w:r>
      <w:r w:rsidR="00CE729A">
        <w:rPr>
          <w:rStyle w:val="BodyChar"/>
          <w:rFonts w:ascii="Times New Roman" w:hAnsi="Times New Roman" w:cs="Times New Roman"/>
        </w:rPr>
        <w:t xml:space="preserve"> days to </w:t>
      </w:r>
      <w:r w:rsidRPr="00981880">
        <w:rPr>
          <w:rStyle w:val="BodyChar"/>
          <w:rFonts w:ascii="Times New Roman" w:hAnsi="Times New Roman" w:cs="Times New Roman"/>
        </w:rPr>
        <w:t>226.37</w:t>
      </w:r>
      <w:r w:rsidR="00CE729A">
        <w:rPr>
          <w:rStyle w:val="BodyChar"/>
          <w:rFonts w:ascii="Times New Roman" w:hAnsi="Times New Roman" w:cs="Times New Roman"/>
        </w:rPr>
        <w:t xml:space="preserve"> days</w:t>
      </w:r>
      <w:r w:rsidRPr="00981880">
        <w:rPr>
          <w:rStyle w:val="BodyChar"/>
          <w:rFonts w:ascii="Times New Roman" w:hAnsi="Times New Roman" w:cs="Times New Roman"/>
        </w:rPr>
        <w:t>; p=0.001). Other measures of utilisation of tertiary paediatric hospital services (i.e. hospital admission, days as an inpatient, and outpatient appointments) were not significantly different in undiagnosed patients pre- or post-result.</w:t>
      </w:r>
    </w:p>
    <w:p w14:paraId="4232CE46"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Quality of life</w:t>
      </w:r>
      <w:r w:rsidRPr="00645461">
        <w:rPr>
          <w:rFonts w:ascii="Times New Roman" w:hAnsi="Times New Roman" w:cs="Times New Roman"/>
        </w:rPr>
        <w:t>:</w:t>
      </w:r>
      <w:r w:rsidRPr="00981880">
        <w:rPr>
          <w:rFonts w:ascii="Times New Roman" w:hAnsi="Times New Roman" w:cs="Times New Roman"/>
        </w:rPr>
        <w:t xml:space="preserve"> No data available </w:t>
      </w:r>
      <w:r w:rsidR="00645461">
        <w:rPr>
          <w:rFonts w:ascii="Times New Roman" w:hAnsi="Times New Roman" w:cs="Times New Roman"/>
        </w:rPr>
        <w:t>for this population (0-18 yrs).</w:t>
      </w:r>
    </w:p>
    <w:p w14:paraId="3220361D" w14:textId="77777777" w:rsidR="00846C33" w:rsidRPr="003D15F0" w:rsidRDefault="00846C33" w:rsidP="003D15F0">
      <w:pPr>
        <w:pStyle w:val="Heading3"/>
        <w:rPr>
          <w:rStyle w:val="Emphasis"/>
          <w:rFonts w:ascii="Times New Roman" w:eastAsiaTheme="minorHAnsi" w:hAnsi="Times New Roman"/>
          <w:i/>
        </w:rPr>
      </w:pPr>
      <w:r w:rsidRPr="003D15F0">
        <w:rPr>
          <w:rStyle w:val="Emphasis"/>
          <w:rFonts w:ascii="Times New Roman" w:eastAsiaTheme="minorHAnsi" w:hAnsi="Times New Roman"/>
          <w:i/>
        </w:rPr>
        <w:t xml:space="preserve">Population 2: Re-interrogation analysis for patients who did not have a definite </w:t>
      </w:r>
      <w:r w:rsidR="00CE729A" w:rsidRPr="003D15F0">
        <w:rPr>
          <w:rStyle w:val="Emphasis"/>
          <w:rFonts w:ascii="Times New Roman" w:eastAsiaTheme="minorHAnsi" w:hAnsi="Times New Roman"/>
          <w:i/>
        </w:rPr>
        <w:t xml:space="preserve">molecular </w:t>
      </w:r>
      <w:r w:rsidRPr="003D15F0">
        <w:rPr>
          <w:rStyle w:val="Emphasis"/>
          <w:rFonts w:ascii="Times New Roman" w:eastAsiaTheme="minorHAnsi" w:hAnsi="Times New Roman"/>
          <w:i/>
        </w:rPr>
        <w:t xml:space="preserve">diagnosis at initial </w:t>
      </w:r>
      <w:r w:rsidR="004C5A49" w:rsidRPr="003D15F0">
        <w:rPr>
          <w:rStyle w:val="Emphasis"/>
          <w:rFonts w:ascii="Times New Roman" w:eastAsiaTheme="minorHAnsi" w:hAnsi="Times New Roman"/>
          <w:i/>
        </w:rPr>
        <w:t xml:space="preserve">WES </w:t>
      </w:r>
      <w:r w:rsidRPr="003D15F0">
        <w:rPr>
          <w:rStyle w:val="Emphasis"/>
          <w:rFonts w:ascii="Times New Roman" w:eastAsiaTheme="minorHAnsi" w:hAnsi="Times New Roman"/>
          <w:i/>
        </w:rPr>
        <w:t>testing</w:t>
      </w:r>
    </w:p>
    <w:p w14:paraId="18C8B27B"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Time to diagnosis</w:t>
      </w:r>
      <w:r w:rsidRPr="00645461">
        <w:rPr>
          <w:rFonts w:ascii="Times New Roman" w:hAnsi="Times New Roman" w:cs="Times New Roman"/>
        </w:rPr>
        <w:t>:</w:t>
      </w:r>
      <w:r w:rsidRPr="00981880">
        <w:rPr>
          <w:rFonts w:ascii="Times New Roman" w:hAnsi="Times New Roman" w:cs="Times New Roman"/>
        </w:rPr>
        <w:t xml:space="preserve"> One RCT comparing</w:t>
      </w:r>
      <w:r w:rsidRPr="00981880">
        <w:rPr>
          <w:rStyle w:val="BodyChar"/>
          <w:rFonts w:ascii="Times New Roman" w:hAnsi="Times New Roman" w:cs="Times New Roman"/>
        </w:rPr>
        <w:t xml:space="preserve"> rWGS + standard testing versus standard testing alone</w:t>
      </w:r>
      <w:r w:rsidRPr="00981880">
        <w:rPr>
          <w:rFonts w:ascii="Times New Roman" w:hAnsi="Times New Roman" w:cs="Times New Roman"/>
        </w:rPr>
        <w:t xml:space="preserve"> reported median time to diagnosis as 54.73 months in the first year, which was reduced by 9 months to 46.65 months in the third year (Nambot </w:t>
      </w:r>
      <w:r w:rsidRPr="00981880">
        <w:rPr>
          <w:rFonts w:ascii="Times New Roman" w:hAnsi="Times New Roman" w:cs="Times New Roman"/>
          <w:i/>
        </w:rPr>
        <w:t>et al</w:t>
      </w:r>
      <w:r w:rsidRPr="00981880">
        <w:rPr>
          <w:rFonts w:ascii="Times New Roman" w:hAnsi="Times New Roman" w:cs="Times New Roman"/>
        </w:rPr>
        <w:t xml:space="preserve"> (2017)).</w:t>
      </w:r>
    </w:p>
    <w:p w14:paraId="6673D825"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rPr>
        <w:t>Data for change in management, health resource changes, and quality of life were not available for this population. However, there is no reason to consider the outcomes would be sufficiently d</w:t>
      </w:r>
      <w:r w:rsidR="00FE7B20">
        <w:rPr>
          <w:rFonts w:ascii="Times New Roman" w:hAnsi="Times New Roman" w:cs="Times New Roman"/>
        </w:rPr>
        <w:t>ifferent from that observed in P</w:t>
      </w:r>
      <w:r w:rsidR="00645461">
        <w:rPr>
          <w:rFonts w:ascii="Times New Roman" w:hAnsi="Times New Roman" w:cs="Times New Roman"/>
        </w:rPr>
        <w:t>opulation 1 (initial testing).</w:t>
      </w:r>
    </w:p>
    <w:p w14:paraId="0537FDE1" w14:textId="77777777" w:rsidR="00846C33" w:rsidRPr="00981880" w:rsidRDefault="00846C33" w:rsidP="003D15F0">
      <w:pPr>
        <w:pStyle w:val="Heading3"/>
      </w:pPr>
      <w:r w:rsidRPr="00981880">
        <w:t>Population 3: Cascade testing of first-degree family members</w:t>
      </w:r>
    </w:p>
    <w:p w14:paraId="50134C92"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Change in management</w:t>
      </w:r>
      <w:r w:rsidRPr="00645461">
        <w:rPr>
          <w:rFonts w:ascii="Times New Roman" w:hAnsi="Times New Roman" w:cs="Times New Roman"/>
        </w:rPr>
        <w:t>:</w:t>
      </w:r>
      <w:r w:rsidRPr="00981880">
        <w:rPr>
          <w:rFonts w:ascii="Times New Roman" w:hAnsi="Times New Roman" w:cs="Times New Roman"/>
        </w:rPr>
        <w:t xml:space="preserve"> In an Australian study investigating the longer-term impacts of WEA in infants aged 0–2 years (Stark </w:t>
      </w:r>
      <w:r w:rsidRPr="00981880">
        <w:rPr>
          <w:rFonts w:ascii="Times New Roman" w:hAnsi="Times New Roman" w:cs="Times New Roman"/>
          <w:i/>
        </w:rPr>
        <w:t>et al</w:t>
      </w:r>
      <w:r w:rsidRPr="00981880">
        <w:rPr>
          <w:rFonts w:ascii="Times New Roman" w:hAnsi="Times New Roman" w:cs="Times New Roman"/>
        </w:rPr>
        <w:t xml:space="preserve"> (2018)), three out of twelve (25%) first-degree relatives who received a </w:t>
      </w:r>
      <w:r w:rsidR="00CE729A">
        <w:rPr>
          <w:rFonts w:ascii="Times New Roman" w:hAnsi="Times New Roman" w:cs="Times New Roman"/>
        </w:rPr>
        <w:t xml:space="preserve">molecular </w:t>
      </w:r>
      <w:r w:rsidRPr="00981880">
        <w:rPr>
          <w:rFonts w:ascii="Times New Roman" w:hAnsi="Times New Roman" w:cs="Times New Roman"/>
        </w:rPr>
        <w:t>diagnosis had a change in management.</w:t>
      </w:r>
    </w:p>
    <w:p w14:paraId="0F6D60D9"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Restoration of reproductive confidence</w:t>
      </w:r>
      <w:r w:rsidRPr="00645461">
        <w:rPr>
          <w:rFonts w:ascii="Times New Roman" w:hAnsi="Times New Roman" w:cs="Times New Roman"/>
        </w:rPr>
        <w:t>:</w:t>
      </w:r>
      <w:r w:rsidRPr="00981880">
        <w:rPr>
          <w:rFonts w:ascii="Times New Roman" w:hAnsi="Times New Roman" w:cs="Times New Roman"/>
        </w:rPr>
        <w:t xml:space="preserve"> In an Australian study investigating the impacts of WEA in infants aged 0–2 years, 28 couples out of 41 families tested (68.3%) were identified as being at high risk of recurrence in future pregnancies following </w:t>
      </w:r>
      <w:r w:rsidR="00CE729A">
        <w:rPr>
          <w:rFonts w:ascii="Times New Roman" w:hAnsi="Times New Roman" w:cs="Times New Roman"/>
        </w:rPr>
        <w:t xml:space="preserve">molecular </w:t>
      </w:r>
      <w:r w:rsidRPr="00981880">
        <w:rPr>
          <w:rFonts w:ascii="Times New Roman" w:hAnsi="Times New Roman" w:cs="Times New Roman"/>
        </w:rPr>
        <w:t xml:space="preserve">diagnosis of their child (Stark </w:t>
      </w:r>
      <w:r w:rsidRPr="00981880">
        <w:rPr>
          <w:rFonts w:ascii="Times New Roman" w:hAnsi="Times New Roman" w:cs="Times New Roman"/>
          <w:i/>
        </w:rPr>
        <w:t>et al</w:t>
      </w:r>
      <w:r w:rsidRPr="00981880">
        <w:rPr>
          <w:rFonts w:ascii="Times New Roman" w:hAnsi="Times New Roman" w:cs="Times New Roman"/>
        </w:rPr>
        <w:t xml:space="preserve"> (2016)). By comparison, standard diagnostic investigations would have identified 46% (13/28) of these couples (RR 2.15; 95% CI</w:t>
      </w:r>
      <w:r w:rsidR="00474D22">
        <w:rPr>
          <w:rFonts w:ascii="Times New Roman" w:hAnsi="Times New Roman" w:cs="Times New Roman"/>
        </w:rPr>
        <w:t>:</w:t>
      </w:r>
      <w:r w:rsidRPr="00981880">
        <w:rPr>
          <w:rFonts w:ascii="Times New Roman" w:hAnsi="Times New Roman" w:cs="Times New Roman"/>
        </w:rPr>
        <w:t xml:space="preserve"> 1.31, 3.53; p=0.002). In Stark </w:t>
      </w:r>
      <w:r w:rsidRPr="00981880">
        <w:rPr>
          <w:rFonts w:ascii="Times New Roman" w:hAnsi="Times New Roman" w:cs="Times New Roman"/>
          <w:i/>
        </w:rPr>
        <w:t>et al</w:t>
      </w:r>
      <w:r w:rsidRPr="00981880">
        <w:rPr>
          <w:rFonts w:ascii="Times New Roman" w:hAnsi="Times New Roman" w:cs="Times New Roman"/>
        </w:rPr>
        <w:t xml:space="preserve"> (2018), two couples with undiagnosed children and 14 couples with diagnosed children sought advice from reproductive genetic services. Importantly, 9 couples with diagnosed children had an ongoing pregnancy compared with just one couple with a child who had remained undiagnosed.</w:t>
      </w:r>
    </w:p>
    <w:p w14:paraId="72291635"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Health resource costs</w:t>
      </w:r>
      <w:r w:rsidRPr="00645461">
        <w:rPr>
          <w:rFonts w:ascii="Times New Roman" w:hAnsi="Times New Roman" w:cs="Times New Roman"/>
        </w:rPr>
        <w:t>:</w:t>
      </w:r>
      <w:r w:rsidRPr="00981880">
        <w:rPr>
          <w:rFonts w:ascii="Times New Roman" w:hAnsi="Times New Roman" w:cs="Times New Roman"/>
        </w:rPr>
        <w:t xml:space="preserve"> The costs associated with change in management of first-degree relatives who received a molecular diagnosis through cascade testing depends on the diagnosis itself.</w:t>
      </w:r>
    </w:p>
    <w:p w14:paraId="2D45E3FE" w14:textId="77777777" w:rsidR="00BC1364" w:rsidRPr="00F715D1" w:rsidRDefault="00BC1364" w:rsidP="00F715D1">
      <w:pPr>
        <w:pStyle w:val="Heading1"/>
      </w:pPr>
      <w:r w:rsidRPr="00F715D1">
        <w:t>Economic evaluation</w:t>
      </w:r>
    </w:p>
    <w:p w14:paraId="6D48611C" w14:textId="77777777" w:rsidR="000C5D80" w:rsidRDefault="00981880" w:rsidP="00E3780D">
      <w:pPr>
        <w:pStyle w:val="Body"/>
        <w:spacing w:after="240" w:line="240" w:lineRule="auto"/>
        <w:rPr>
          <w:rFonts w:ascii="Times New Roman" w:hAnsi="Times New Roman" w:cs="Times New Roman"/>
        </w:rPr>
      </w:pPr>
      <w:r>
        <w:rPr>
          <w:rFonts w:ascii="Times New Roman" w:hAnsi="Times New Roman" w:cs="Times New Roman"/>
        </w:rPr>
        <w:t xml:space="preserve">A </w:t>
      </w:r>
      <w:r w:rsidR="000C5D80" w:rsidRPr="003E54AB">
        <w:rPr>
          <w:rFonts w:ascii="Times New Roman" w:hAnsi="Times New Roman" w:cs="Times New Roman"/>
        </w:rPr>
        <w:t xml:space="preserve">series of cost-utility analyses </w:t>
      </w:r>
      <w:r>
        <w:rPr>
          <w:rFonts w:ascii="Times New Roman" w:hAnsi="Times New Roman" w:cs="Times New Roman"/>
        </w:rPr>
        <w:t xml:space="preserve">was presented </w:t>
      </w:r>
      <w:r w:rsidR="000C5D80" w:rsidRPr="003E54AB">
        <w:rPr>
          <w:rFonts w:ascii="Times New Roman" w:hAnsi="Times New Roman" w:cs="Times New Roman"/>
        </w:rPr>
        <w:t>reporting the cost per additional quality-adjusted life year (QALY) generated by the introduction of WEA testing.</w:t>
      </w:r>
      <w:r w:rsidR="000C5D80">
        <w:rPr>
          <w:rFonts w:ascii="Times New Roman" w:hAnsi="Times New Roman" w:cs="Times New Roman"/>
        </w:rPr>
        <w:t xml:space="preserve"> </w:t>
      </w:r>
      <w:r w:rsidR="000C5D80" w:rsidRPr="003E54AB">
        <w:rPr>
          <w:rFonts w:ascii="Times New Roman" w:hAnsi="Times New Roman" w:cs="Times New Roman"/>
        </w:rPr>
        <w:t xml:space="preserve">The data from Stark </w:t>
      </w:r>
      <w:r w:rsidR="000C5D80" w:rsidRPr="003E54AB">
        <w:rPr>
          <w:rFonts w:ascii="Times New Roman" w:hAnsi="Times New Roman" w:cs="Times New Roman"/>
          <w:i/>
        </w:rPr>
        <w:t xml:space="preserve">et al </w:t>
      </w:r>
      <w:r w:rsidR="000C5D80" w:rsidRPr="003E54AB">
        <w:rPr>
          <w:rFonts w:ascii="Times New Roman" w:hAnsi="Times New Roman" w:cs="Times New Roman"/>
        </w:rPr>
        <w:t xml:space="preserve">(2016), Stark </w:t>
      </w:r>
      <w:r w:rsidR="000C5D80" w:rsidRPr="003E54AB">
        <w:rPr>
          <w:rFonts w:ascii="Times New Roman" w:hAnsi="Times New Roman" w:cs="Times New Roman"/>
          <w:i/>
        </w:rPr>
        <w:t xml:space="preserve">et al </w:t>
      </w:r>
      <w:r w:rsidR="000C5D80" w:rsidRPr="003E54AB">
        <w:rPr>
          <w:rFonts w:ascii="Times New Roman" w:hAnsi="Times New Roman" w:cs="Times New Roman"/>
        </w:rPr>
        <w:t xml:space="preserve">(2017) and Stark </w:t>
      </w:r>
      <w:r w:rsidR="000C5D80" w:rsidRPr="003E54AB">
        <w:rPr>
          <w:rFonts w:ascii="Times New Roman" w:hAnsi="Times New Roman" w:cs="Times New Roman"/>
          <w:i/>
        </w:rPr>
        <w:t>et al</w:t>
      </w:r>
      <w:r w:rsidR="000C5D80" w:rsidRPr="003E54AB">
        <w:rPr>
          <w:rFonts w:ascii="Times New Roman" w:hAnsi="Times New Roman" w:cs="Times New Roman"/>
        </w:rPr>
        <w:t xml:space="preserve"> (2018) publications were used to </w:t>
      </w:r>
      <w:r w:rsidR="000C5D80" w:rsidRPr="003E54AB">
        <w:rPr>
          <w:rFonts w:ascii="Times New Roman" w:hAnsi="Times New Roman" w:cs="Times New Roman"/>
        </w:rPr>
        <w:lastRenderedPageBreak/>
        <w:t>construct a Markov model that compared WEA with SoC in the proband population and first-degree relatives that may be affected by these results through cascade testi</w:t>
      </w:r>
      <w:r w:rsidR="00645461">
        <w:rPr>
          <w:rFonts w:ascii="Times New Roman" w:hAnsi="Times New Roman" w:cs="Times New Roman"/>
        </w:rPr>
        <w:t>ng (i.e. siblings and parents).</w:t>
      </w:r>
    </w:p>
    <w:p w14:paraId="0CC26736" w14:textId="77777777" w:rsidR="000C5D80" w:rsidRPr="003E54AB" w:rsidRDefault="00E3780D" w:rsidP="00981880">
      <w:pPr>
        <w:pStyle w:val="Body"/>
        <w:spacing w:line="240" w:lineRule="auto"/>
        <w:rPr>
          <w:rFonts w:ascii="Times New Roman" w:hAnsi="Times New Roman" w:cs="Times New Roman"/>
        </w:rPr>
      </w:pPr>
      <w:r>
        <w:rPr>
          <w:rFonts w:ascii="Times New Roman" w:hAnsi="Times New Roman" w:cs="Times New Roman"/>
        </w:rPr>
        <w:t>Table 6</w:t>
      </w:r>
      <w:r w:rsidR="000C5D80" w:rsidRPr="003E54AB">
        <w:rPr>
          <w:rFonts w:ascii="Times New Roman" w:hAnsi="Times New Roman" w:cs="Times New Roman"/>
        </w:rPr>
        <w:t xml:space="preserve"> presents the base case incremental cost-effectiveness ratio (cost per QALY gained) for WEA versus SoC.</w:t>
      </w:r>
    </w:p>
    <w:p w14:paraId="18FE35CC" w14:textId="77777777" w:rsidR="000C5D80" w:rsidRPr="001964D2" w:rsidRDefault="000C5D80" w:rsidP="001964D2">
      <w:pPr>
        <w:rPr>
          <w:rFonts w:ascii="Arial Narrow" w:hAnsi="Arial Narrow"/>
          <w:b/>
          <w:sz w:val="20"/>
        </w:rPr>
      </w:pPr>
      <w:bookmarkStart w:id="11" w:name="_Ref512501448"/>
      <w:bookmarkStart w:id="12" w:name="_Toc513290990"/>
      <w:r w:rsidRPr="001964D2">
        <w:rPr>
          <w:rFonts w:ascii="Arial Narrow" w:hAnsi="Arial Narrow"/>
          <w:b/>
          <w:sz w:val="20"/>
        </w:rPr>
        <w:t xml:space="preserve">Table </w:t>
      </w:r>
      <w:bookmarkEnd w:id="11"/>
      <w:r w:rsidR="00E3780D" w:rsidRPr="001964D2">
        <w:rPr>
          <w:rFonts w:ascii="Arial Narrow" w:hAnsi="Arial Narrow"/>
          <w:b/>
          <w:sz w:val="20"/>
        </w:rPr>
        <w:t>6</w:t>
      </w:r>
      <w:r w:rsidRPr="001964D2">
        <w:rPr>
          <w:rFonts w:ascii="Arial Narrow" w:hAnsi="Arial Narrow"/>
          <w:b/>
          <w:sz w:val="20"/>
        </w:rPr>
        <w:tab/>
        <w:t>Base case incremental cost-utility ratio – with cascade testing (discounted)</w:t>
      </w:r>
      <w:bookmarkEnd w:id="12"/>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ummary of the base case economic analysis results including cascade testing"/>
      </w:tblPr>
      <w:tblGrid>
        <w:gridCol w:w="1129"/>
        <w:gridCol w:w="1520"/>
        <w:gridCol w:w="1520"/>
        <w:gridCol w:w="1623"/>
        <w:gridCol w:w="1623"/>
        <w:gridCol w:w="1623"/>
      </w:tblGrid>
      <w:tr w:rsidR="000C5D80" w14:paraId="17DE290E" w14:textId="77777777" w:rsidTr="007052AA">
        <w:trPr>
          <w:trHeight w:val="300"/>
          <w:tblHeader/>
        </w:trPr>
        <w:tc>
          <w:tcPr>
            <w:tcW w:w="1129" w:type="dxa"/>
            <w:noWrap/>
            <w:hideMark/>
          </w:tcPr>
          <w:p w14:paraId="6B6288E8" w14:textId="77777777" w:rsidR="000C5D80" w:rsidRDefault="000C5D80" w:rsidP="00664DB5">
            <w:pPr>
              <w:pStyle w:val="Tableheading"/>
            </w:pPr>
            <w:r>
              <w:t>Strategy</w:t>
            </w:r>
          </w:p>
        </w:tc>
        <w:tc>
          <w:tcPr>
            <w:tcW w:w="1520" w:type="dxa"/>
            <w:noWrap/>
            <w:hideMark/>
          </w:tcPr>
          <w:p w14:paraId="3E2B1628" w14:textId="77777777" w:rsidR="000C5D80" w:rsidRDefault="000C5D80" w:rsidP="00664DB5">
            <w:pPr>
              <w:pStyle w:val="Tableheading"/>
              <w:jc w:val="center"/>
            </w:pPr>
            <w:r>
              <w:t>Cost</w:t>
            </w:r>
          </w:p>
        </w:tc>
        <w:tc>
          <w:tcPr>
            <w:tcW w:w="1520" w:type="dxa"/>
            <w:noWrap/>
            <w:hideMark/>
          </w:tcPr>
          <w:p w14:paraId="15FDC956" w14:textId="77777777" w:rsidR="000C5D80" w:rsidRDefault="000C5D80" w:rsidP="000569BD">
            <w:pPr>
              <w:pStyle w:val="Tableheading"/>
              <w:jc w:val="center"/>
            </w:pPr>
            <w:r>
              <w:t xml:space="preserve">Incremental </w:t>
            </w:r>
            <w:r w:rsidR="000569BD">
              <w:t>c</w:t>
            </w:r>
            <w:r>
              <w:t>ost</w:t>
            </w:r>
          </w:p>
        </w:tc>
        <w:tc>
          <w:tcPr>
            <w:tcW w:w="1623" w:type="dxa"/>
            <w:noWrap/>
            <w:hideMark/>
          </w:tcPr>
          <w:p w14:paraId="4421A2B0" w14:textId="77777777" w:rsidR="000C5D80" w:rsidRDefault="000C5D80" w:rsidP="00664DB5">
            <w:pPr>
              <w:pStyle w:val="Tableheading"/>
              <w:jc w:val="center"/>
            </w:pPr>
            <w:r>
              <w:t>Effect (QALYs)</w:t>
            </w:r>
          </w:p>
        </w:tc>
        <w:tc>
          <w:tcPr>
            <w:tcW w:w="1623" w:type="dxa"/>
            <w:noWrap/>
            <w:hideMark/>
          </w:tcPr>
          <w:p w14:paraId="596B077D" w14:textId="77777777" w:rsidR="000C5D80" w:rsidRDefault="000C5D80" w:rsidP="00664DB5">
            <w:pPr>
              <w:pStyle w:val="Tableheading"/>
              <w:jc w:val="center"/>
            </w:pPr>
            <w:r>
              <w:t xml:space="preserve">Incremental effect </w:t>
            </w:r>
            <w:r>
              <w:br/>
              <w:t>(QALYs gained)</w:t>
            </w:r>
          </w:p>
        </w:tc>
        <w:tc>
          <w:tcPr>
            <w:tcW w:w="1623" w:type="dxa"/>
            <w:noWrap/>
            <w:hideMark/>
          </w:tcPr>
          <w:p w14:paraId="7A0B202C" w14:textId="77777777" w:rsidR="000C5D80" w:rsidRDefault="000C5D80" w:rsidP="00664DB5">
            <w:pPr>
              <w:pStyle w:val="Tableheading"/>
              <w:jc w:val="center"/>
            </w:pPr>
            <w:r>
              <w:t xml:space="preserve">ICER </w:t>
            </w:r>
            <w:r>
              <w:br/>
              <w:t>(cost per additional QALY)</w:t>
            </w:r>
          </w:p>
        </w:tc>
      </w:tr>
      <w:tr w:rsidR="000C5D80" w14:paraId="6E89F70C" w14:textId="77777777" w:rsidTr="00664DB5">
        <w:trPr>
          <w:trHeight w:val="300"/>
        </w:trPr>
        <w:tc>
          <w:tcPr>
            <w:tcW w:w="1129" w:type="dxa"/>
            <w:noWrap/>
          </w:tcPr>
          <w:p w14:paraId="40D9B54F" w14:textId="77777777" w:rsidR="000C5D80" w:rsidRPr="00D7428F" w:rsidRDefault="000C5D80" w:rsidP="00664DB5">
            <w:pPr>
              <w:pStyle w:val="Tabletext"/>
            </w:pPr>
            <w:r w:rsidRPr="00D7428F">
              <w:t>SoC</w:t>
            </w:r>
          </w:p>
        </w:tc>
        <w:tc>
          <w:tcPr>
            <w:tcW w:w="1520" w:type="dxa"/>
            <w:noWrap/>
          </w:tcPr>
          <w:p w14:paraId="7B0D6C84" w14:textId="77777777" w:rsidR="000C5D80" w:rsidRPr="00D7428F" w:rsidRDefault="000C5D80" w:rsidP="00664DB5">
            <w:pPr>
              <w:pStyle w:val="Tabletext"/>
              <w:jc w:val="center"/>
            </w:pPr>
            <w:r w:rsidRPr="00D7428F">
              <w:t>$11,175.91</w:t>
            </w:r>
          </w:p>
        </w:tc>
        <w:tc>
          <w:tcPr>
            <w:tcW w:w="1520" w:type="dxa"/>
            <w:noWrap/>
          </w:tcPr>
          <w:p w14:paraId="4D08F578" w14:textId="77777777" w:rsidR="000C5D80" w:rsidRPr="00D7428F" w:rsidRDefault="000C5D80" w:rsidP="00664DB5">
            <w:pPr>
              <w:pStyle w:val="Tabletext"/>
              <w:jc w:val="center"/>
            </w:pPr>
            <w:r w:rsidRPr="00D7428F">
              <w:t>-</w:t>
            </w:r>
          </w:p>
        </w:tc>
        <w:tc>
          <w:tcPr>
            <w:tcW w:w="1623" w:type="dxa"/>
            <w:noWrap/>
          </w:tcPr>
          <w:p w14:paraId="6BBDDDA0" w14:textId="77777777" w:rsidR="000C5D80" w:rsidRPr="00D7428F" w:rsidRDefault="000C5D80" w:rsidP="00664DB5">
            <w:pPr>
              <w:pStyle w:val="Tabletext"/>
              <w:jc w:val="center"/>
            </w:pPr>
            <w:r w:rsidRPr="00D7428F">
              <w:t>6.330</w:t>
            </w:r>
          </w:p>
        </w:tc>
        <w:tc>
          <w:tcPr>
            <w:tcW w:w="1623" w:type="dxa"/>
            <w:noWrap/>
          </w:tcPr>
          <w:p w14:paraId="6DEC2594" w14:textId="77777777" w:rsidR="000C5D80" w:rsidRPr="00D7428F" w:rsidRDefault="000C5D80" w:rsidP="00664DB5">
            <w:pPr>
              <w:pStyle w:val="Tabletext"/>
              <w:jc w:val="center"/>
            </w:pPr>
            <w:r w:rsidRPr="00D7428F">
              <w:t>-</w:t>
            </w:r>
          </w:p>
        </w:tc>
        <w:tc>
          <w:tcPr>
            <w:tcW w:w="1623" w:type="dxa"/>
            <w:noWrap/>
          </w:tcPr>
          <w:p w14:paraId="176A92AF" w14:textId="77777777" w:rsidR="000C5D80" w:rsidRPr="00D7428F" w:rsidRDefault="000C5D80" w:rsidP="00664DB5">
            <w:pPr>
              <w:pStyle w:val="Tabletext"/>
              <w:jc w:val="center"/>
            </w:pPr>
            <w:r w:rsidRPr="00D7428F">
              <w:t>-</w:t>
            </w:r>
          </w:p>
        </w:tc>
      </w:tr>
      <w:tr w:rsidR="000C5D80" w14:paraId="2ACAFA49" w14:textId="77777777" w:rsidTr="00664DB5">
        <w:trPr>
          <w:trHeight w:val="300"/>
        </w:trPr>
        <w:tc>
          <w:tcPr>
            <w:tcW w:w="1129" w:type="dxa"/>
            <w:noWrap/>
          </w:tcPr>
          <w:p w14:paraId="3DD77F65" w14:textId="77777777" w:rsidR="000C5D80" w:rsidRPr="00D7428F" w:rsidRDefault="000C5D80" w:rsidP="00664DB5">
            <w:pPr>
              <w:pStyle w:val="Tabletext"/>
            </w:pPr>
            <w:r w:rsidRPr="00D7428F">
              <w:t>WE</w:t>
            </w:r>
            <w:r>
              <w:t>A</w:t>
            </w:r>
          </w:p>
        </w:tc>
        <w:tc>
          <w:tcPr>
            <w:tcW w:w="1520" w:type="dxa"/>
            <w:noWrap/>
          </w:tcPr>
          <w:p w14:paraId="0F3F1F3C" w14:textId="77777777" w:rsidR="000C5D80" w:rsidRPr="00D7428F" w:rsidRDefault="000C5D80" w:rsidP="00664DB5">
            <w:pPr>
              <w:pStyle w:val="Tabletext"/>
              <w:jc w:val="center"/>
            </w:pPr>
            <w:r w:rsidRPr="00D7428F">
              <w:t>$12,495.24</w:t>
            </w:r>
          </w:p>
        </w:tc>
        <w:tc>
          <w:tcPr>
            <w:tcW w:w="1520" w:type="dxa"/>
            <w:noWrap/>
          </w:tcPr>
          <w:p w14:paraId="039DF699" w14:textId="77777777" w:rsidR="000C5D80" w:rsidRPr="00D7428F" w:rsidRDefault="000C5D80" w:rsidP="00664DB5">
            <w:pPr>
              <w:pStyle w:val="Tabletext"/>
              <w:jc w:val="center"/>
            </w:pPr>
            <w:r w:rsidRPr="00D7428F">
              <w:t>$1319.33</w:t>
            </w:r>
          </w:p>
        </w:tc>
        <w:tc>
          <w:tcPr>
            <w:tcW w:w="1623" w:type="dxa"/>
            <w:noWrap/>
          </w:tcPr>
          <w:p w14:paraId="5E0A0F17" w14:textId="77777777" w:rsidR="000C5D80" w:rsidRPr="00D7428F" w:rsidRDefault="000C5D80" w:rsidP="00664DB5">
            <w:pPr>
              <w:pStyle w:val="Tabletext"/>
              <w:jc w:val="center"/>
            </w:pPr>
            <w:r w:rsidRPr="00D7428F">
              <w:t>6.512</w:t>
            </w:r>
          </w:p>
        </w:tc>
        <w:tc>
          <w:tcPr>
            <w:tcW w:w="1623" w:type="dxa"/>
            <w:noWrap/>
          </w:tcPr>
          <w:p w14:paraId="42F1D872" w14:textId="77777777" w:rsidR="000C5D80" w:rsidRPr="00D7428F" w:rsidRDefault="000C5D80" w:rsidP="00664DB5">
            <w:pPr>
              <w:pStyle w:val="Tabletext"/>
              <w:jc w:val="center"/>
            </w:pPr>
            <w:r w:rsidRPr="00D7428F">
              <w:t>0.182</w:t>
            </w:r>
          </w:p>
        </w:tc>
        <w:tc>
          <w:tcPr>
            <w:tcW w:w="1623" w:type="dxa"/>
            <w:noWrap/>
          </w:tcPr>
          <w:p w14:paraId="53096741" w14:textId="77777777" w:rsidR="000C5D80" w:rsidRPr="00D7428F" w:rsidRDefault="000C5D80" w:rsidP="00664DB5">
            <w:pPr>
              <w:pStyle w:val="Tabletext"/>
              <w:jc w:val="center"/>
            </w:pPr>
            <w:r w:rsidRPr="00D7428F">
              <w:t>$7254.62</w:t>
            </w:r>
          </w:p>
        </w:tc>
      </w:tr>
    </w:tbl>
    <w:p w14:paraId="47F09BE9" w14:textId="77777777" w:rsidR="000C5D80" w:rsidRDefault="000C5D80" w:rsidP="000C5D80">
      <w:pPr>
        <w:pStyle w:val="Tablenote"/>
      </w:pPr>
      <w:r>
        <w:t>Abbreviations:</w:t>
      </w:r>
      <w:r w:rsidRPr="00C3075D">
        <w:t xml:space="preserve"> </w:t>
      </w:r>
      <w:r>
        <w:t>ICER, incremental cost-effective ratio; QALY, quality-adjusted life year; SoC, standard of care; WEA, whole exome analysis</w:t>
      </w:r>
    </w:p>
    <w:p w14:paraId="749A07DE" w14:textId="77777777" w:rsidR="000C5D80" w:rsidRDefault="000569BD" w:rsidP="00E3780D">
      <w:pPr>
        <w:pStyle w:val="Body"/>
        <w:spacing w:line="240" w:lineRule="auto"/>
        <w:rPr>
          <w:rFonts w:ascii="Times New Roman" w:hAnsi="Times New Roman" w:cs="Times New Roman"/>
        </w:rPr>
      </w:pPr>
      <w:r>
        <w:rPr>
          <w:rFonts w:ascii="Times New Roman" w:hAnsi="Times New Roman" w:cs="Times New Roman"/>
        </w:rPr>
        <w:t>R</w:t>
      </w:r>
      <w:r w:rsidRPr="003E54AB">
        <w:rPr>
          <w:rFonts w:ascii="Times New Roman" w:hAnsi="Times New Roman" w:cs="Times New Roman"/>
        </w:rPr>
        <w:t xml:space="preserve">anking by order of effect on the ICER, </w:t>
      </w:r>
      <w:r>
        <w:rPr>
          <w:rFonts w:ascii="Times New Roman" w:hAnsi="Times New Roman" w:cs="Times New Roman"/>
        </w:rPr>
        <w:t>the model is most sensitive to</w:t>
      </w:r>
      <w:r w:rsidR="000C5D80" w:rsidRPr="003E54AB">
        <w:rPr>
          <w:rFonts w:ascii="Times New Roman" w:hAnsi="Times New Roman" w:cs="Times New Roman"/>
        </w:rPr>
        <w:t xml:space="preserve"> halving the modelled time horizon, decreasing the cost of SoC by 20%, increasing the cost of WEA by 20%, increasing the number of first-degree relatives per test positive </w:t>
      </w:r>
      <w:r>
        <w:rPr>
          <w:rFonts w:ascii="Times New Roman" w:hAnsi="Times New Roman" w:cs="Times New Roman"/>
        </w:rPr>
        <w:t>affected individual (p</w:t>
      </w:r>
      <w:r w:rsidR="000C5D80" w:rsidRPr="003E54AB">
        <w:rPr>
          <w:rFonts w:ascii="Times New Roman" w:hAnsi="Times New Roman" w:cs="Times New Roman"/>
        </w:rPr>
        <w:t>roband</w:t>
      </w:r>
      <w:r>
        <w:rPr>
          <w:rFonts w:ascii="Times New Roman" w:hAnsi="Times New Roman" w:cs="Times New Roman"/>
        </w:rPr>
        <w:t>)</w:t>
      </w:r>
      <w:r w:rsidR="000C5D80" w:rsidRPr="003E54AB">
        <w:rPr>
          <w:rFonts w:ascii="Times New Roman" w:hAnsi="Times New Roman" w:cs="Times New Roman"/>
        </w:rPr>
        <w:t xml:space="preserve"> by 1.0 and decreasing the change in clinical management effect on</w:t>
      </w:r>
      <w:r>
        <w:rPr>
          <w:rFonts w:ascii="Times New Roman" w:hAnsi="Times New Roman" w:cs="Times New Roman"/>
        </w:rPr>
        <w:t xml:space="preserve"> preference-based health-related quality of life by 20%</w:t>
      </w:r>
      <w:r w:rsidR="000C5D80">
        <w:rPr>
          <w:rFonts w:ascii="Times New Roman" w:hAnsi="Times New Roman" w:cs="Times New Roman"/>
        </w:rPr>
        <w:t>.</w:t>
      </w:r>
    </w:p>
    <w:p w14:paraId="542CC1C3" w14:textId="77777777" w:rsidR="00BC1364" w:rsidRPr="00F715D1" w:rsidRDefault="00BC1364" w:rsidP="00F715D1">
      <w:pPr>
        <w:pStyle w:val="Heading1"/>
      </w:pPr>
      <w:r w:rsidRPr="00F715D1">
        <w:t>Financial/budgetary impacts</w:t>
      </w:r>
    </w:p>
    <w:p w14:paraId="54124841" w14:textId="3A0ABD3F" w:rsidR="000C5D80" w:rsidRDefault="000C5D80" w:rsidP="009A3D5C">
      <w:pPr>
        <w:tabs>
          <w:tab w:val="left" w:pos="720"/>
          <w:tab w:val="left" w:pos="1140"/>
        </w:tabs>
        <w:spacing w:after="240"/>
      </w:pPr>
      <w:r>
        <w:t xml:space="preserve">Implementing WEA early in the diagnostic pathway is expected to result in cost savings to the MBS due to the reduction in the </w:t>
      </w:r>
      <w:r w:rsidR="000A768F">
        <w:t>‘</w:t>
      </w:r>
      <w:r>
        <w:t>diagnostic odyssey</w:t>
      </w:r>
      <w:r w:rsidR="000A768F">
        <w:t>’</w:t>
      </w:r>
      <w:r>
        <w:t xml:space="preserve">; however, the exact value of cost savings is difficult to quantify. Therefore, the costs to the MBS associated with the proposed listings are the upper limits expected for initial WEA for diagnosis (Population 1), re-analyses of whole exome data (Population 2), and cascade testing </w:t>
      </w:r>
      <w:r w:rsidR="000569BD">
        <w:t>o</w:t>
      </w:r>
      <w:r>
        <w:t>f first-degree</w:t>
      </w:r>
      <w:r w:rsidR="009A3D5C">
        <w:t xml:space="preserve"> family members (Population 3).</w:t>
      </w:r>
    </w:p>
    <w:p w14:paraId="5C6ACD76" w14:textId="00846022" w:rsidR="000C5D80" w:rsidRDefault="000C5D80" w:rsidP="009A3D5C">
      <w:pPr>
        <w:tabs>
          <w:tab w:val="left" w:pos="720"/>
          <w:tab w:val="left" w:pos="1140"/>
        </w:tabs>
        <w:spacing w:after="240"/>
      </w:pPr>
      <w:r w:rsidRPr="00E6099A">
        <w:t>The upper limit of the total costs to the MBS for the three proposed populations projected during 2019–2023 are presented in</w:t>
      </w:r>
      <w:r w:rsidR="00D930D3">
        <w:t xml:space="preserve"> Table 7</w:t>
      </w:r>
      <w:r w:rsidRPr="00E6099A">
        <w:t xml:space="preserve">, </w:t>
      </w:r>
      <w:r w:rsidR="00882D23">
        <w:t>Table 8 and Table 9</w:t>
      </w:r>
      <w:bookmarkStart w:id="13" w:name="_GoBack"/>
      <w:bookmarkEnd w:id="13"/>
      <w:r w:rsidRPr="00E6099A">
        <w:t>, respectively</w:t>
      </w:r>
      <w:r w:rsidR="00864695">
        <w:t>.</w:t>
      </w:r>
    </w:p>
    <w:p w14:paraId="08591EA2" w14:textId="77777777" w:rsidR="000C5D80" w:rsidRPr="001964D2" w:rsidRDefault="000C5D80" w:rsidP="001964D2">
      <w:pPr>
        <w:rPr>
          <w:rFonts w:ascii="Arial Narrow" w:hAnsi="Arial Narrow"/>
          <w:b/>
          <w:sz w:val="20"/>
        </w:rPr>
      </w:pPr>
      <w:bookmarkStart w:id="14" w:name="_Ref512521042"/>
      <w:bookmarkStart w:id="15" w:name="_Toc513290993"/>
      <w:r w:rsidRPr="001964D2">
        <w:rPr>
          <w:rFonts w:ascii="Arial Narrow" w:hAnsi="Arial Narrow"/>
          <w:b/>
          <w:sz w:val="20"/>
        </w:rPr>
        <w:t xml:space="preserve">Table </w:t>
      </w:r>
      <w:bookmarkEnd w:id="14"/>
      <w:r w:rsidR="00E3780D" w:rsidRPr="001964D2">
        <w:rPr>
          <w:rFonts w:ascii="Arial Narrow" w:hAnsi="Arial Narrow"/>
          <w:b/>
          <w:sz w:val="20"/>
        </w:rPr>
        <w:t>7</w:t>
      </w:r>
      <w:r w:rsidRPr="001964D2">
        <w:rPr>
          <w:rFonts w:ascii="Arial Narrow" w:hAnsi="Arial Narrow"/>
          <w:b/>
          <w:sz w:val="20"/>
        </w:rPr>
        <w:tab/>
        <w:t>Projected cost of initial WEA (Population 1), 2019–2023</w:t>
      </w:r>
      <w:bookmarkEnd w:id="15"/>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estimated cost of initial WEA for Population 1 from 2019 to 2023"/>
      </w:tblPr>
      <w:tblGrid>
        <w:gridCol w:w="2935"/>
        <w:gridCol w:w="1217"/>
        <w:gridCol w:w="1216"/>
        <w:gridCol w:w="1216"/>
        <w:gridCol w:w="1216"/>
        <w:gridCol w:w="1216"/>
      </w:tblGrid>
      <w:tr w:rsidR="000C5D80" w14:paraId="05E6E893" w14:textId="77777777" w:rsidTr="007052AA">
        <w:trPr>
          <w:tblHeader/>
        </w:trPr>
        <w:tc>
          <w:tcPr>
            <w:tcW w:w="2935" w:type="dxa"/>
          </w:tcPr>
          <w:p w14:paraId="5DF8DC81" w14:textId="77777777" w:rsidR="000C5D80" w:rsidRDefault="000C5D80" w:rsidP="00664DB5">
            <w:pPr>
              <w:pStyle w:val="Tableheading"/>
            </w:pPr>
          </w:p>
        </w:tc>
        <w:tc>
          <w:tcPr>
            <w:tcW w:w="1217" w:type="dxa"/>
            <w:tcBorders>
              <w:bottom w:val="single" w:sz="4" w:space="0" w:color="auto"/>
            </w:tcBorders>
          </w:tcPr>
          <w:p w14:paraId="2F302EC9" w14:textId="77777777" w:rsidR="000C5D80" w:rsidRDefault="000C5D80" w:rsidP="00664DB5">
            <w:pPr>
              <w:pStyle w:val="Tableheading"/>
              <w:jc w:val="center"/>
            </w:pPr>
            <w:r>
              <w:t>2019</w:t>
            </w:r>
          </w:p>
        </w:tc>
        <w:tc>
          <w:tcPr>
            <w:tcW w:w="1216" w:type="dxa"/>
            <w:tcBorders>
              <w:bottom w:val="single" w:sz="4" w:space="0" w:color="auto"/>
            </w:tcBorders>
          </w:tcPr>
          <w:p w14:paraId="667F9A67" w14:textId="77777777" w:rsidR="000C5D80" w:rsidRDefault="000C5D80" w:rsidP="00664DB5">
            <w:pPr>
              <w:pStyle w:val="Tableheading"/>
              <w:jc w:val="center"/>
            </w:pPr>
            <w:r>
              <w:t>2020</w:t>
            </w:r>
          </w:p>
        </w:tc>
        <w:tc>
          <w:tcPr>
            <w:tcW w:w="1216" w:type="dxa"/>
            <w:tcBorders>
              <w:bottom w:val="single" w:sz="4" w:space="0" w:color="auto"/>
            </w:tcBorders>
          </w:tcPr>
          <w:p w14:paraId="485342E6" w14:textId="77777777" w:rsidR="000C5D80" w:rsidRDefault="000C5D80" w:rsidP="00664DB5">
            <w:pPr>
              <w:pStyle w:val="Tableheading"/>
              <w:jc w:val="center"/>
            </w:pPr>
            <w:r>
              <w:t>2021</w:t>
            </w:r>
          </w:p>
        </w:tc>
        <w:tc>
          <w:tcPr>
            <w:tcW w:w="1216" w:type="dxa"/>
            <w:tcBorders>
              <w:bottom w:val="single" w:sz="4" w:space="0" w:color="auto"/>
            </w:tcBorders>
          </w:tcPr>
          <w:p w14:paraId="3D3A5775" w14:textId="77777777" w:rsidR="000C5D80" w:rsidRDefault="000C5D80" w:rsidP="00664DB5">
            <w:pPr>
              <w:pStyle w:val="Tableheading"/>
              <w:jc w:val="center"/>
            </w:pPr>
            <w:r>
              <w:t>2022</w:t>
            </w:r>
          </w:p>
        </w:tc>
        <w:tc>
          <w:tcPr>
            <w:tcW w:w="1216" w:type="dxa"/>
            <w:tcBorders>
              <w:bottom w:val="single" w:sz="4" w:space="0" w:color="auto"/>
            </w:tcBorders>
          </w:tcPr>
          <w:p w14:paraId="0239FE8C" w14:textId="77777777" w:rsidR="000C5D80" w:rsidRDefault="000C5D80" w:rsidP="00664DB5">
            <w:pPr>
              <w:pStyle w:val="Tableheading"/>
              <w:jc w:val="center"/>
            </w:pPr>
            <w:r>
              <w:t>2023</w:t>
            </w:r>
          </w:p>
        </w:tc>
      </w:tr>
      <w:tr w:rsidR="000C5D80" w14:paraId="7DAAB378" w14:textId="77777777" w:rsidTr="00664DB5">
        <w:tc>
          <w:tcPr>
            <w:tcW w:w="2935" w:type="dxa"/>
          </w:tcPr>
          <w:p w14:paraId="06750D39" w14:textId="77777777" w:rsidR="000C5D80" w:rsidRDefault="000C5D80" w:rsidP="00664DB5">
            <w:pPr>
              <w:pStyle w:val="Tabletext"/>
            </w:pPr>
            <w:r w:rsidRPr="000B2C00">
              <w:t>Number of patients</w:t>
            </w:r>
          </w:p>
        </w:tc>
        <w:tc>
          <w:tcPr>
            <w:tcW w:w="1217" w:type="dxa"/>
          </w:tcPr>
          <w:p w14:paraId="5389088E" w14:textId="77777777" w:rsidR="000C5D80" w:rsidRDefault="000C5D80" w:rsidP="00664DB5">
            <w:pPr>
              <w:pStyle w:val="Tabletext"/>
              <w:jc w:val="center"/>
            </w:pPr>
            <w:r w:rsidRPr="00015474">
              <w:t xml:space="preserve"> 3,406 </w:t>
            </w:r>
          </w:p>
        </w:tc>
        <w:tc>
          <w:tcPr>
            <w:tcW w:w="1216" w:type="dxa"/>
          </w:tcPr>
          <w:p w14:paraId="4B1A1DC2" w14:textId="77777777" w:rsidR="000C5D80" w:rsidRDefault="000C5D80" w:rsidP="00664DB5">
            <w:pPr>
              <w:pStyle w:val="Tabletext"/>
              <w:jc w:val="center"/>
            </w:pPr>
            <w:r w:rsidRPr="00015474">
              <w:t xml:space="preserve"> 3,454 </w:t>
            </w:r>
          </w:p>
        </w:tc>
        <w:tc>
          <w:tcPr>
            <w:tcW w:w="1216" w:type="dxa"/>
          </w:tcPr>
          <w:p w14:paraId="43F47D2F" w14:textId="77777777" w:rsidR="000C5D80" w:rsidRDefault="000C5D80" w:rsidP="00664DB5">
            <w:pPr>
              <w:pStyle w:val="Tabletext"/>
              <w:jc w:val="center"/>
            </w:pPr>
            <w:r w:rsidRPr="00015474">
              <w:t xml:space="preserve"> 3,503 </w:t>
            </w:r>
          </w:p>
        </w:tc>
        <w:tc>
          <w:tcPr>
            <w:tcW w:w="1216" w:type="dxa"/>
          </w:tcPr>
          <w:p w14:paraId="15734885" w14:textId="77777777" w:rsidR="000C5D80" w:rsidRDefault="000C5D80" w:rsidP="00664DB5">
            <w:pPr>
              <w:pStyle w:val="Tabletext"/>
              <w:jc w:val="center"/>
            </w:pPr>
            <w:r w:rsidRPr="00015474">
              <w:t xml:space="preserve"> 2,753 </w:t>
            </w:r>
          </w:p>
        </w:tc>
        <w:tc>
          <w:tcPr>
            <w:tcW w:w="1216" w:type="dxa"/>
          </w:tcPr>
          <w:p w14:paraId="02B1E4FF" w14:textId="77777777" w:rsidR="000C5D80" w:rsidRDefault="000C5D80" w:rsidP="00664DB5">
            <w:pPr>
              <w:pStyle w:val="Tabletext"/>
              <w:jc w:val="center"/>
            </w:pPr>
            <w:r w:rsidRPr="00015474">
              <w:t xml:space="preserve"> 2,803 </w:t>
            </w:r>
          </w:p>
        </w:tc>
      </w:tr>
      <w:tr w:rsidR="000C5D80" w14:paraId="73BC96B9" w14:textId="77777777" w:rsidTr="00664DB5">
        <w:tc>
          <w:tcPr>
            <w:tcW w:w="2935" w:type="dxa"/>
          </w:tcPr>
          <w:p w14:paraId="18B40294" w14:textId="77777777" w:rsidR="000C5D80" w:rsidRDefault="000C5D80" w:rsidP="00664DB5">
            <w:pPr>
              <w:pStyle w:val="Tabletext"/>
            </w:pPr>
            <w:r w:rsidRPr="000B2C00">
              <w:t>Cost of WEA per patient</w:t>
            </w:r>
          </w:p>
        </w:tc>
        <w:tc>
          <w:tcPr>
            <w:tcW w:w="1217" w:type="dxa"/>
          </w:tcPr>
          <w:p w14:paraId="4CD3953F" w14:textId="77777777" w:rsidR="000C5D80" w:rsidRDefault="000C5D80" w:rsidP="00664DB5">
            <w:pPr>
              <w:pStyle w:val="Tabletext"/>
              <w:jc w:val="center"/>
            </w:pPr>
            <w:r w:rsidRPr="00015474">
              <w:t xml:space="preserve"> $2,400 </w:t>
            </w:r>
          </w:p>
        </w:tc>
        <w:tc>
          <w:tcPr>
            <w:tcW w:w="1216" w:type="dxa"/>
          </w:tcPr>
          <w:p w14:paraId="6C11758A" w14:textId="77777777" w:rsidR="000C5D80" w:rsidRDefault="000C5D80" w:rsidP="00664DB5">
            <w:pPr>
              <w:pStyle w:val="Tabletext"/>
              <w:jc w:val="center"/>
            </w:pPr>
            <w:r w:rsidRPr="00015474">
              <w:t xml:space="preserve"> $2,400 </w:t>
            </w:r>
          </w:p>
        </w:tc>
        <w:tc>
          <w:tcPr>
            <w:tcW w:w="1216" w:type="dxa"/>
          </w:tcPr>
          <w:p w14:paraId="74D71F4C" w14:textId="77777777" w:rsidR="000C5D80" w:rsidRDefault="000C5D80" w:rsidP="00664DB5">
            <w:pPr>
              <w:pStyle w:val="Tabletext"/>
              <w:jc w:val="center"/>
            </w:pPr>
            <w:r w:rsidRPr="00015474">
              <w:t xml:space="preserve"> $2,400 </w:t>
            </w:r>
          </w:p>
        </w:tc>
        <w:tc>
          <w:tcPr>
            <w:tcW w:w="1216" w:type="dxa"/>
          </w:tcPr>
          <w:p w14:paraId="7BD8A3A9" w14:textId="77777777" w:rsidR="000C5D80" w:rsidRDefault="000C5D80" w:rsidP="00664DB5">
            <w:pPr>
              <w:pStyle w:val="Tabletext"/>
              <w:jc w:val="center"/>
            </w:pPr>
            <w:r w:rsidRPr="00015474">
              <w:t xml:space="preserve"> $2,400 </w:t>
            </w:r>
          </w:p>
        </w:tc>
        <w:tc>
          <w:tcPr>
            <w:tcW w:w="1216" w:type="dxa"/>
          </w:tcPr>
          <w:p w14:paraId="410B90BE" w14:textId="77777777" w:rsidR="000C5D80" w:rsidRDefault="000C5D80" w:rsidP="00664DB5">
            <w:pPr>
              <w:pStyle w:val="Tabletext"/>
              <w:jc w:val="center"/>
            </w:pPr>
            <w:r w:rsidRPr="00015474">
              <w:t xml:space="preserve"> $2,400 </w:t>
            </w:r>
          </w:p>
        </w:tc>
      </w:tr>
      <w:tr w:rsidR="000C5D80" w14:paraId="5086B8E2" w14:textId="77777777" w:rsidTr="00664DB5">
        <w:tc>
          <w:tcPr>
            <w:tcW w:w="2935" w:type="dxa"/>
          </w:tcPr>
          <w:p w14:paraId="24EF1EE9" w14:textId="77777777" w:rsidR="000C5D80" w:rsidRPr="00FD60AE" w:rsidRDefault="000C5D80" w:rsidP="00664DB5">
            <w:pPr>
              <w:pStyle w:val="Tabletext"/>
            </w:pPr>
            <w:r w:rsidRPr="00FD60AE">
              <w:t>Total cost</w:t>
            </w:r>
          </w:p>
        </w:tc>
        <w:tc>
          <w:tcPr>
            <w:tcW w:w="1217" w:type="dxa"/>
          </w:tcPr>
          <w:p w14:paraId="0481931C" w14:textId="77777777" w:rsidR="000C5D80" w:rsidRDefault="000C5D80" w:rsidP="00664DB5">
            <w:pPr>
              <w:pStyle w:val="Tabletext"/>
              <w:jc w:val="center"/>
            </w:pPr>
            <w:r w:rsidRPr="00015474">
              <w:t xml:space="preserve"> $8,173,856 </w:t>
            </w:r>
          </w:p>
        </w:tc>
        <w:tc>
          <w:tcPr>
            <w:tcW w:w="1216" w:type="dxa"/>
          </w:tcPr>
          <w:p w14:paraId="79F55111" w14:textId="77777777" w:rsidR="000C5D80" w:rsidRDefault="000C5D80" w:rsidP="00664DB5">
            <w:pPr>
              <w:pStyle w:val="Tabletext"/>
              <w:jc w:val="center"/>
            </w:pPr>
            <w:r w:rsidRPr="00015474">
              <w:t xml:space="preserve"> $8,290,368 </w:t>
            </w:r>
          </w:p>
        </w:tc>
        <w:tc>
          <w:tcPr>
            <w:tcW w:w="1216" w:type="dxa"/>
          </w:tcPr>
          <w:p w14:paraId="5333E658" w14:textId="77777777" w:rsidR="000C5D80" w:rsidRDefault="000C5D80" w:rsidP="00664DB5">
            <w:pPr>
              <w:pStyle w:val="Tabletext"/>
              <w:jc w:val="center"/>
            </w:pPr>
            <w:r w:rsidRPr="00015474">
              <w:t xml:space="preserve"> $8,408,246 </w:t>
            </w:r>
          </w:p>
        </w:tc>
        <w:tc>
          <w:tcPr>
            <w:tcW w:w="1216" w:type="dxa"/>
          </w:tcPr>
          <w:p w14:paraId="0918B0D6" w14:textId="77777777" w:rsidR="000C5D80" w:rsidRDefault="000C5D80" w:rsidP="00664DB5">
            <w:pPr>
              <w:pStyle w:val="Tabletext"/>
              <w:jc w:val="center"/>
            </w:pPr>
            <w:r w:rsidRPr="00015474">
              <w:t xml:space="preserve"> $6,607,205 </w:t>
            </w:r>
          </w:p>
        </w:tc>
        <w:tc>
          <w:tcPr>
            <w:tcW w:w="1216" w:type="dxa"/>
          </w:tcPr>
          <w:p w14:paraId="1344C6AE" w14:textId="77777777" w:rsidR="000C5D80" w:rsidRDefault="000C5D80" w:rsidP="00664DB5">
            <w:pPr>
              <w:pStyle w:val="Tabletext"/>
              <w:jc w:val="center"/>
            </w:pPr>
            <w:r w:rsidRPr="00015474">
              <w:t xml:space="preserve"> $6,727,129 </w:t>
            </w:r>
          </w:p>
        </w:tc>
      </w:tr>
      <w:tr w:rsidR="000C5D80" w14:paraId="7A32E346" w14:textId="77777777" w:rsidTr="00664DB5">
        <w:tc>
          <w:tcPr>
            <w:tcW w:w="2935" w:type="dxa"/>
          </w:tcPr>
          <w:p w14:paraId="5B6F8E5E" w14:textId="77777777" w:rsidR="000C5D80" w:rsidRPr="00FD60AE" w:rsidRDefault="000C5D80" w:rsidP="00664DB5">
            <w:pPr>
              <w:pStyle w:val="Tabletext"/>
            </w:pPr>
            <w:r w:rsidRPr="00FD60AE">
              <w:t>MBS rebate (85%)</w:t>
            </w:r>
          </w:p>
        </w:tc>
        <w:tc>
          <w:tcPr>
            <w:tcW w:w="1217" w:type="dxa"/>
          </w:tcPr>
          <w:p w14:paraId="61B584F0" w14:textId="77777777" w:rsidR="000C5D80" w:rsidRDefault="000C5D80" w:rsidP="00664DB5">
            <w:pPr>
              <w:pStyle w:val="Tabletext"/>
              <w:jc w:val="center"/>
            </w:pPr>
            <w:r w:rsidRPr="00015474">
              <w:t xml:space="preserve"> $6,947,777 </w:t>
            </w:r>
          </w:p>
        </w:tc>
        <w:tc>
          <w:tcPr>
            <w:tcW w:w="1216" w:type="dxa"/>
          </w:tcPr>
          <w:p w14:paraId="0BB9CE65" w14:textId="77777777" w:rsidR="000C5D80" w:rsidRDefault="000C5D80" w:rsidP="00664DB5">
            <w:pPr>
              <w:pStyle w:val="Tabletext"/>
              <w:jc w:val="center"/>
            </w:pPr>
            <w:r w:rsidRPr="00015474">
              <w:t xml:space="preserve"> $7,046,812 </w:t>
            </w:r>
          </w:p>
        </w:tc>
        <w:tc>
          <w:tcPr>
            <w:tcW w:w="1216" w:type="dxa"/>
          </w:tcPr>
          <w:p w14:paraId="722FBF0C" w14:textId="77777777" w:rsidR="000C5D80" w:rsidRDefault="000C5D80" w:rsidP="00664DB5">
            <w:pPr>
              <w:pStyle w:val="Tabletext"/>
              <w:jc w:val="center"/>
            </w:pPr>
            <w:r w:rsidRPr="00015474">
              <w:t xml:space="preserve"> $7,147,009 </w:t>
            </w:r>
          </w:p>
        </w:tc>
        <w:tc>
          <w:tcPr>
            <w:tcW w:w="1216" w:type="dxa"/>
          </w:tcPr>
          <w:p w14:paraId="2CC11EB4" w14:textId="77777777" w:rsidR="000C5D80" w:rsidRDefault="000C5D80" w:rsidP="00664DB5">
            <w:pPr>
              <w:pStyle w:val="Tabletext"/>
              <w:jc w:val="center"/>
            </w:pPr>
            <w:r w:rsidRPr="00015474">
              <w:t xml:space="preserve"> $5,616,125 </w:t>
            </w:r>
          </w:p>
        </w:tc>
        <w:tc>
          <w:tcPr>
            <w:tcW w:w="1216" w:type="dxa"/>
          </w:tcPr>
          <w:p w14:paraId="07C3B63C" w14:textId="77777777" w:rsidR="000C5D80" w:rsidRDefault="000C5D80" w:rsidP="00664DB5">
            <w:pPr>
              <w:pStyle w:val="Tabletext"/>
              <w:jc w:val="center"/>
            </w:pPr>
            <w:r w:rsidRPr="00015474">
              <w:t xml:space="preserve"> $5,718,060 </w:t>
            </w:r>
          </w:p>
        </w:tc>
      </w:tr>
      <w:tr w:rsidR="000C5D80" w14:paraId="6717CF90" w14:textId="77777777" w:rsidTr="00664DB5">
        <w:tc>
          <w:tcPr>
            <w:tcW w:w="2935" w:type="dxa"/>
          </w:tcPr>
          <w:p w14:paraId="0D45FF93" w14:textId="77777777" w:rsidR="000C5D80" w:rsidRPr="00FD60AE" w:rsidRDefault="000C5D80" w:rsidP="00664DB5">
            <w:pPr>
              <w:pStyle w:val="Tabletext"/>
            </w:pPr>
            <w:r w:rsidRPr="00FD60AE">
              <w:t>Patient contributions</w:t>
            </w:r>
          </w:p>
        </w:tc>
        <w:tc>
          <w:tcPr>
            <w:tcW w:w="1217" w:type="dxa"/>
          </w:tcPr>
          <w:p w14:paraId="516A69B7" w14:textId="77777777" w:rsidR="000C5D80" w:rsidRDefault="000C5D80" w:rsidP="00664DB5">
            <w:pPr>
              <w:pStyle w:val="Tabletext"/>
              <w:jc w:val="center"/>
            </w:pPr>
            <w:r w:rsidRPr="00015474">
              <w:t xml:space="preserve"> $1,226,078 </w:t>
            </w:r>
          </w:p>
        </w:tc>
        <w:tc>
          <w:tcPr>
            <w:tcW w:w="1216" w:type="dxa"/>
          </w:tcPr>
          <w:p w14:paraId="7A667DF9" w14:textId="77777777" w:rsidR="000C5D80" w:rsidRDefault="000C5D80" w:rsidP="00664DB5">
            <w:pPr>
              <w:pStyle w:val="Tabletext"/>
              <w:jc w:val="center"/>
            </w:pPr>
            <w:r w:rsidRPr="00015474">
              <w:t xml:space="preserve"> $1,243,555 </w:t>
            </w:r>
          </w:p>
        </w:tc>
        <w:tc>
          <w:tcPr>
            <w:tcW w:w="1216" w:type="dxa"/>
          </w:tcPr>
          <w:p w14:paraId="48FBBA42" w14:textId="77777777" w:rsidR="000C5D80" w:rsidRDefault="000C5D80" w:rsidP="00664DB5">
            <w:pPr>
              <w:pStyle w:val="Tabletext"/>
              <w:jc w:val="center"/>
            </w:pPr>
            <w:r w:rsidRPr="00015474">
              <w:t xml:space="preserve"> $1,261,237 </w:t>
            </w:r>
          </w:p>
        </w:tc>
        <w:tc>
          <w:tcPr>
            <w:tcW w:w="1216" w:type="dxa"/>
          </w:tcPr>
          <w:p w14:paraId="7C25591A" w14:textId="77777777" w:rsidR="000C5D80" w:rsidRDefault="000C5D80" w:rsidP="00664DB5">
            <w:pPr>
              <w:pStyle w:val="Tabletext"/>
              <w:jc w:val="center"/>
            </w:pPr>
            <w:r w:rsidRPr="00015474">
              <w:t xml:space="preserve"> $991,081 </w:t>
            </w:r>
          </w:p>
        </w:tc>
        <w:tc>
          <w:tcPr>
            <w:tcW w:w="1216" w:type="dxa"/>
          </w:tcPr>
          <w:p w14:paraId="3FD84690" w14:textId="77777777" w:rsidR="000C5D80" w:rsidRDefault="000C5D80" w:rsidP="00664DB5">
            <w:pPr>
              <w:pStyle w:val="Tabletext"/>
              <w:jc w:val="center"/>
            </w:pPr>
            <w:r w:rsidRPr="00015474">
              <w:t xml:space="preserve"> $1,009,069 </w:t>
            </w:r>
          </w:p>
        </w:tc>
      </w:tr>
    </w:tbl>
    <w:p w14:paraId="1782AB92" w14:textId="77777777" w:rsidR="00083868" w:rsidRDefault="00083868">
      <w:pPr>
        <w:rPr>
          <w:rFonts w:ascii="Arial Narrow" w:hAnsi="Arial Narrow" w:cs="Arial"/>
          <w:b/>
          <w:bCs/>
          <w:iCs/>
          <w:sz w:val="20"/>
          <w:lang w:eastAsia="en-US"/>
        </w:rPr>
      </w:pPr>
      <w:bookmarkStart w:id="16" w:name="_Ref512521043"/>
      <w:bookmarkStart w:id="17" w:name="_Toc513290994"/>
      <w:r>
        <w:br w:type="page"/>
      </w:r>
    </w:p>
    <w:p w14:paraId="0AFCB4DE" w14:textId="77777777" w:rsidR="000C5D80" w:rsidRPr="00DB1234" w:rsidRDefault="000C5D80" w:rsidP="00DB1234">
      <w:pPr>
        <w:rPr>
          <w:rFonts w:ascii="Arial Narrow" w:hAnsi="Arial Narrow"/>
          <w:b/>
          <w:sz w:val="20"/>
        </w:rPr>
      </w:pPr>
      <w:r w:rsidRPr="00DB1234">
        <w:rPr>
          <w:rFonts w:ascii="Arial Narrow" w:hAnsi="Arial Narrow"/>
          <w:b/>
          <w:sz w:val="20"/>
        </w:rPr>
        <w:lastRenderedPageBreak/>
        <w:t>Table</w:t>
      </w:r>
      <w:bookmarkEnd w:id="16"/>
      <w:r w:rsidR="00E3780D" w:rsidRPr="00DB1234">
        <w:rPr>
          <w:rFonts w:ascii="Arial Narrow" w:hAnsi="Arial Narrow"/>
          <w:b/>
          <w:sz w:val="20"/>
        </w:rPr>
        <w:t xml:space="preserve"> 8</w:t>
      </w:r>
      <w:r w:rsidRPr="00DB1234">
        <w:rPr>
          <w:rFonts w:ascii="Arial Narrow" w:hAnsi="Arial Narrow"/>
          <w:b/>
          <w:sz w:val="20"/>
        </w:rPr>
        <w:tab/>
        <w:t>Projected cost of whole exome re-analyses (Population 2), 2019–2023</w:t>
      </w:r>
      <w:bookmarkEnd w:id="17"/>
    </w:p>
    <w:tbl>
      <w:tblPr>
        <w:tblStyle w:val="TableGridLight1"/>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ummary of the estimated costs for whole exome re-analyses for Population 2 from 2019 to 2023"/>
      </w:tblPr>
      <w:tblGrid>
        <w:gridCol w:w="2830"/>
        <w:gridCol w:w="1241"/>
        <w:gridCol w:w="1242"/>
        <w:gridCol w:w="1241"/>
        <w:gridCol w:w="1242"/>
        <w:gridCol w:w="1242"/>
      </w:tblGrid>
      <w:tr w:rsidR="000C5D80" w14:paraId="692ACBD9" w14:textId="77777777" w:rsidTr="007052AA">
        <w:trPr>
          <w:tblHeader/>
        </w:trPr>
        <w:tc>
          <w:tcPr>
            <w:tcW w:w="2830" w:type="dxa"/>
          </w:tcPr>
          <w:p w14:paraId="1BB35E4D" w14:textId="77777777" w:rsidR="000C5D80" w:rsidRDefault="000C5D80" w:rsidP="00664DB5">
            <w:pPr>
              <w:pStyle w:val="Tableheading"/>
            </w:pPr>
          </w:p>
        </w:tc>
        <w:tc>
          <w:tcPr>
            <w:tcW w:w="1241" w:type="dxa"/>
            <w:tcBorders>
              <w:bottom w:val="single" w:sz="4" w:space="0" w:color="auto"/>
            </w:tcBorders>
          </w:tcPr>
          <w:p w14:paraId="4B35658C" w14:textId="77777777" w:rsidR="000C5D80" w:rsidRDefault="000C5D80" w:rsidP="00664DB5">
            <w:pPr>
              <w:pStyle w:val="Tableheading"/>
              <w:jc w:val="center"/>
            </w:pPr>
            <w:r>
              <w:t>2019</w:t>
            </w:r>
          </w:p>
        </w:tc>
        <w:tc>
          <w:tcPr>
            <w:tcW w:w="1242" w:type="dxa"/>
            <w:tcBorders>
              <w:bottom w:val="single" w:sz="4" w:space="0" w:color="auto"/>
            </w:tcBorders>
          </w:tcPr>
          <w:p w14:paraId="5A8580D4" w14:textId="77777777" w:rsidR="000C5D80" w:rsidRDefault="000C5D80" w:rsidP="00664DB5">
            <w:pPr>
              <w:pStyle w:val="Tableheading"/>
              <w:jc w:val="center"/>
            </w:pPr>
            <w:r>
              <w:t>2020</w:t>
            </w:r>
          </w:p>
        </w:tc>
        <w:tc>
          <w:tcPr>
            <w:tcW w:w="1241" w:type="dxa"/>
            <w:tcBorders>
              <w:bottom w:val="single" w:sz="4" w:space="0" w:color="auto"/>
            </w:tcBorders>
          </w:tcPr>
          <w:p w14:paraId="4EAC1E1B" w14:textId="77777777" w:rsidR="000C5D80" w:rsidRDefault="000C5D80" w:rsidP="00664DB5">
            <w:pPr>
              <w:pStyle w:val="Tableheading"/>
              <w:jc w:val="center"/>
            </w:pPr>
            <w:r>
              <w:t>2021</w:t>
            </w:r>
          </w:p>
        </w:tc>
        <w:tc>
          <w:tcPr>
            <w:tcW w:w="1242" w:type="dxa"/>
            <w:tcBorders>
              <w:bottom w:val="single" w:sz="4" w:space="0" w:color="auto"/>
            </w:tcBorders>
          </w:tcPr>
          <w:p w14:paraId="3C0BCA86" w14:textId="77777777" w:rsidR="000C5D80" w:rsidRDefault="000C5D80" w:rsidP="00664DB5">
            <w:pPr>
              <w:pStyle w:val="Tableheading"/>
              <w:jc w:val="center"/>
            </w:pPr>
            <w:r>
              <w:t>2022</w:t>
            </w:r>
          </w:p>
        </w:tc>
        <w:tc>
          <w:tcPr>
            <w:tcW w:w="1242" w:type="dxa"/>
            <w:tcBorders>
              <w:bottom w:val="single" w:sz="4" w:space="0" w:color="auto"/>
            </w:tcBorders>
          </w:tcPr>
          <w:p w14:paraId="2B6552EB" w14:textId="77777777" w:rsidR="000C5D80" w:rsidRDefault="000C5D80" w:rsidP="00664DB5">
            <w:pPr>
              <w:pStyle w:val="Tableheading"/>
              <w:jc w:val="center"/>
            </w:pPr>
            <w:r>
              <w:t>2023</w:t>
            </w:r>
          </w:p>
        </w:tc>
      </w:tr>
      <w:tr w:rsidR="000C5D80" w14:paraId="5938BCAF" w14:textId="77777777" w:rsidTr="00664DB5">
        <w:tc>
          <w:tcPr>
            <w:tcW w:w="9038" w:type="dxa"/>
            <w:gridSpan w:val="6"/>
          </w:tcPr>
          <w:p w14:paraId="29DB32CD" w14:textId="77777777" w:rsidR="000C5D80" w:rsidRPr="00F45296" w:rsidRDefault="000C5D80" w:rsidP="00664DB5">
            <w:pPr>
              <w:pStyle w:val="Tableheading"/>
              <w:rPr>
                <w:i/>
              </w:rPr>
            </w:pPr>
            <w:r w:rsidRPr="00F45296">
              <w:rPr>
                <w:i/>
              </w:rPr>
              <w:t>Costs associated with first re-analysis</w:t>
            </w:r>
          </w:p>
        </w:tc>
      </w:tr>
      <w:tr w:rsidR="000C5D80" w14:paraId="1BD7196B" w14:textId="77777777" w:rsidTr="00664DB5">
        <w:tc>
          <w:tcPr>
            <w:tcW w:w="2830" w:type="dxa"/>
          </w:tcPr>
          <w:p w14:paraId="70AB7A16" w14:textId="77777777" w:rsidR="000C5D80" w:rsidRPr="00851101" w:rsidRDefault="000C5D80" w:rsidP="00664DB5">
            <w:pPr>
              <w:pStyle w:val="Tabletext"/>
              <w:rPr>
                <w:i/>
              </w:rPr>
            </w:pPr>
            <w:r w:rsidRPr="00851101">
              <w:rPr>
                <w:i/>
              </w:rPr>
              <w:t>Positive findings</w:t>
            </w:r>
          </w:p>
        </w:tc>
        <w:tc>
          <w:tcPr>
            <w:tcW w:w="1241" w:type="dxa"/>
          </w:tcPr>
          <w:p w14:paraId="7D778923" w14:textId="77777777" w:rsidR="000C5D80" w:rsidRDefault="000C5D80" w:rsidP="00664DB5">
            <w:pPr>
              <w:pStyle w:val="Tableheading"/>
              <w:jc w:val="center"/>
            </w:pPr>
          </w:p>
        </w:tc>
        <w:tc>
          <w:tcPr>
            <w:tcW w:w="1242" w:type="dxa"/>
          </w:tcPr>
          <w:p w14:paraId="6DD4FA53" w14:textId="77777777" w:rsidR="000C5D80" w:rsidRDefault="000C5D80" w:rsidP="00664DB5">
            <w:pPr>
              <w:pStyle w:val="Tableheading"/>
              <w:jc w:val="center"/>
            </w:pPr>
          </w:p>
        </w:tc>
        <w:tc>
          <w:tcPr>
            <w:tcW w:w="1241" w:type="dxa"/>
          </w:tcPr>
          <w:p w14:paraId="1E9430AD" w14:textId="77777777" w:rsidR="000C5D80" w:rsidRDefault="000C5D80" w:rsidP="00664DB5">
            <w:pPr>
              <w:pStyle w:val="Tableheading"/>
              <w:jc w:val="center"/>
            </w:pPr>
          </w:p>
        </w:tc>
        <w:tc>
          <w:tcPr>
            <w:tcW w:w="1242" w:type="dxa"/>
          </w:tcPr>
          <w:p w14:paraId="361C0D54" w14:textId="77777777" w:rsidR="000C5D80" w:rsidRDefault="000C5D80" w:rsidP="00664DB5">
            <w:pPr>
              <w:pStyle w:val="Tableheading"/>
              <w:jc w:val="center"/>
            </w:pPr>
          </w:p>
        </w:tc>
        <w:tc>
          <w:tcPr>
            <w:tcW w:w="1242" w:type="dxa"/>
          </w:tcPr>
          <w:p w14:paraId="6D3816FF" w14:textId="77777777" w:rsidR="000C5D80" w:rsidRDefault="000C5D80" w:rsidP="00664DB5">
            <w:pPr>
              <w:pStyle w:val="Tableheading"/>
              <w:jc w:val="center"/>
            </w:pPr>
          </w:p>
        </w:tc>
      </w:tr>
      <w:tr w:rsidR="000C5D80" w14:paraId="11116258" w14:textId="77777777" w:rsidTr="00664DB5">
        <w:tc>
          <w:tcPr>
            <w:tcW w:w="2830" w:type="dxa"/>
          </w:tcPr>
          <w:p w14:paraId="25F6DD30" w14:textId="77777777" w:rsidR="000C5D80" w:rsidRDefault="000C5D80" w:rsidP="00664DB5">
            <w:pPr>
              <w:pStyle w:val="Tabletext"/>
            </w:pPr>
            <w:r w:rsidRPr="009A791F">
              <w:t xml:space="preserve">Number of patients </w:t>
            </w:r>
          </w:p>
        </w:tc>
        <w:tc>
          <w:tcPr>
            <w:tcW w:w="1241" w:type="dxa"/>
          </w:tcPr>
          <w:p w14:paraId="0A904093" w14:textId="77777777" w:rsidR="000C5D80" w:rsidRDefault="000C5D80" w:rsidP="00664DB5">
            <w:pPr>
              <w:pStyle w:val="Tabletext"/>
              <w:jc w:val="center"/>
            </w:pPr>
            <w:r w:rsidRPr="00C12E99">
              <w:t xml:space="preserve"> - </w:t>
            </w:r>
          </w:p>
        </w:tc>
        <w:tc>
          <w:tcPr>
            <w:tcW w:w="1242" w:type="dxa"/>
          </w:tcPr>
          <w:p w14:paraId="5B09FB7A" w14:textId="77777777" w:rsidR="000C5D80" w:rsidRDefault="000C5D80" w:rsidP="00664DB5">
            <w:pPr>
              <w:pStyle w:val="Tabletext"/>
              <w:jc w:val="center"/>
            </w:pPr>
            <w:r w:rsidRPr="00C12E99">
              <w:t xml:space="preserve"> - </w:t>
            </w:r>
          </w:p>
        </w:tc>
        <w:tc>
          <w:tcPr>
            <w:tcW w:w="1241" w:type="dxa"/>
          </w:tcPr>
          <w:p w14:paraId="29015A61" w14:textId="77777777" w:rsidR="000C5D80" w:rsidRDefault="000C5D80" w:rsidP="00664DB5">
            <w:pPr>
              <w:pStyle w:val="Tabletext"/>
              <w:jc w:val="center"/>
            </w:pPr>
            <w:r w:rsidRPr="00C12E99">
              <w:t xml:space="preserve"> 200 </w:t>
            </w:r>
          </w:p>
        </w:tc>
        <w:tc>
          <w:tcPr>
            <w:tcW w:w="1242" w:type="dxa"/>
          </w:tcPr>
          <w:p w14:paraId="33F4F3A9" w14:textId="77777777" w:rsidR="000C5D80" w:rsidRDefault="000C5D80" w:rsidP="00664DB5">
            <w:pPr>
              <w:pStyle w:val="Tabletext"/>
              <w:jc w:val="center"/>
            </w:pPr>
            <w:r w:rsidRPr="00C12E99">
              <w:t xml:space="preserve"> 203 </w:t>
            </w:r>
          </w:p>
        </w:tc>
        <w:tc>
          <w:tcPr>
            <w:tcW w:w="1242" w:type="dxa"/>
          </w:tcPr>
          <w:p w14:paraId="57346B9E" w14:textId="77777777" w:rsidR="000C5D80" w:rsidRDefault="000C5D80" w:rsidP="00664DB5">
            <w:pPr>
              <w:pStyle w:val="Tabletext"/>
              <w:jc w:val="center"/>
            </w:pPr>
            <w:r w:rsidRPr="00C12E99">
              <w:t xml:space="preserve"> 205 </w:t>
            </w:r>
          </w:p>
        </w:tc>
      </w:tr>
      <w:tr w:rsidR="000C5D80" w14:paraId="433B4369" w14:textId="77777777" w:rsidTr="00664DB5">
        <w:tc>
          <w:tcPr>
            <w:tcW w:w="2830" w:type="dxa"/>
          </w:tcPr>
          <w:p w14:paraId="62F68A8E" w14:textId="77777777" w:rsidR="000C5D80" w:rsidRDefault="000C5D80" w:rsidP="00664DB5">
            <w:pPr>
              <w:pStyle w:val="Tabletext"/>
            </w:pPr>
            <w:r w:rsidRPr="009A791F">
              <w:t>Cost of re-analysis per patient</w:t>
            </w:r>
          </w:p>
        </w:tc>
        <w:tc>
          <w:tcPr>
            <w:tcW w:w="1241" w:type="dxa"/>
          </w:tcPr>
          <w:p w14:paraId="272E5975" w14:textId="77777777" w:rsidR="000C5D80" w:rsidRDefault="000C5D80" w:rsidP="00664DB5">
            <w:pPr>
              <w:pStyle w:val="Tabletext"/>
              <w:jc w:val="center"/>
            </w:pPr>
            <w:r w:rsidRPr="00C12E99">
              <w:t xml:space="preserve"> $650 </w:t>
            </w:r>
          </w:p>
        </w:tc>
        <w:tc>
          <w:tcPr>
            <w:tcW w:w="1242" w:type="dxa"/>
          </w:tcPr>
          <w:p w14:paraId="382A9840" w14:textId="77777777" w:rsidR="000C5D80" w:rsidRDefault="000C5D80" w:rsidP="00664DB5">
            <w:pPr>
              <w:pStyle w:val="Tabletext"/>
              <w:jc w:val="center"/>
            </w:pPr>
            <w:r w:rsidRPr="00C12E99">
              <w:t xml:space="preserve"> $650 </w:t>
            </w:r>
          </w:p>
        </w:tc>
        <w:tc>
          <w:tcPr>
            <w:tcW w:w="1241" w:type="dxa"/>
          </w:tcPr>
          <w:p w14:paraId="551F924F" w14:textId="77777777" w:rsidR="000C5D80" w:rsidRDefault="000C5D80" w:rsidP="00664DB5">
            <w:pPr>
              <w:pStyle w:val="Tabletext"/>
              <w:jc w:val="center"/>
            </w:pPr>
            <w:r w:rsidRPr="00C12E99">
              <w:t xml:space="preserve"> $650 </w:t>
            </w:r>
          </w:p>
        </w:tc>
        <w:tc>
          <w:tcPr>
            <w:tcW w:w="1242" w:type="dxa"/>
          </w:tcPr>
          <w:p w14:paraId="373CD058" w14:textId="77777777" w:rsidR="000C5D80" w:rsidRDefault="000C5D80" w:rsidP="00664DB5">
            <w:pPr>
              <w:pStyle w:val="Tabletext"/>
              <w:jc w:val="center"/>
            </w:pPr>
            <w:r w:rsidRPr="00C12E99">
              <w:t xml:space="preserve"> $650 </w:t>
            </w:r>
          </w:p>
        </w:tc>
        <w:tc>
          <w:tcPr>
            <w:tcW w:w="1242" w:type="dxa"/>
          </w:tcPr>
          <w:p w14:paraId="33118C2C" w14:textId="77777777" w:rsidR="000C5D80" w:rsidRDefault="000C5D80" w:rsidP="00664DB5">
            <w:pPr>
              <w:pStyle w:val="Tabletext"/>
              <w:jc w:val="center"/>
            </w:pPr>
            <w:r w:rsidRPr="00C12E99">
              <w:t xml:space="preserve"> $650 </w:t>
            </w:r>
          </w:p>
        </w:tc>
      </w:tr>
      <w:tr w:rsidR="000C5D80" w14:paraId="1DCEC868" w14:textId="77777777" w:rsidTr="00664DB5">
        <w:tc>
          <w:tcPr>
            <w:tcW w:w="2830" w:type="dxa"/>
          </w:tcPr>
          <w:p w14:paraId="5395DB4D" w14:textId="77777777" w:rsidR="000C5D80" w:rsidRDefault="000C5D80" w:rsidP="00664DB5">
            <w:pPr>
              <w:pStyle w:val="Tabletext"/>
            </w:pPr>
            <w:r w:rsidRPr="009A791F">
              <w:t>Total cost</w:t>
            </w:r>
          </w:p>
        </w:tc>
        <w:tc>
          <w:tcPr>
            <w:tcW w:w="1241" w:type="dxa"/>
          </w:tcPr>
          <w:p w14:paraId="370AEFBE" w14:textId="77777777" w:rsidR="000C5D80" w:rsidRDefault="000C5D80" w:rsidP="00664DB5">
            <w:pPr>
              <w:pStyle w:val="Tabletext"/>
              <w:jc w:val="center"/>
            </w:pPr>
            <w:r w:rsidRPr="00C12E99">
              <w:t xml:space="preserve"> $- </w:t>
            </w:r>
          </w:p>
        </w:tc>
        <w:tc>
          <w:tcPr>
            <w:tcW w:w="1242" w:type="dxa"/>
          </w:tcPr>
          <w:p w14:paraId="399C0C8A" w14:textId="77777777" w:rsidR="000C5D80" w:rsidRDefault="000C5D80" w:rsidP="00664DB5">
            <w:pPr>
              <w:pStyle w:val="Tabletext"/>
              <w:jc w:val="center"/>
            </w:pPr>
            <w:r w:rsidRPr="00C12E99">
              <w:t xml:space="preserve"> $- </w:t>
            </w:r>
          </w:p>
        </w:tc>
        <w:tc>
          <w:tcPr>
            <w:tcW w:w="1241" w:type="dxa"/>
          </w:tcPr>
          <w:p w14:paraId="3299CCAC" w14:textId="77777777" w:rsidR="000C5D80" w:rsidRDefault="000C5D80" w:rsidP="00664DB5">
            <w:pPr>
              <w:pStyle w:val="Tabletext"/>
              <w:jc w:val="center"/>
            </w:pPr>
            <w:r w:rsidRPr="00C12E99">
              <w:t xml:space="preserve"> $129,837 </w:t>
            </w:r>
          </w:p>
        </w:tc>
        <w:tc>
          <w:tcPr>
            <w:tcW w:w="1242" w:type="dxa"/>
          </w:tcPr>
          <w:p w14:paraId="514DA159" w14:textId="77777777" w:rsidR="000C5D80" w:rsidRDefault="000C5D80" w:rsidP="00664DB5">
            <w:pPr>
              <w:pStyle w:val="Tabletext"/>
              <w:jc w:val="center"/>
            </w:pPr>
            <w:r w:rsidRPr="00C12E99">
              <w:t xml:space="preserve"> $131,687 </w:t>
            </w:r>
          </w:p>
        </w:tc>
        <w:tc>
          <w:tcPr>
            <w:tcW w:w="1242" w:type="dxa"/>
          </w:tcPr>
          <w:p w14:paraId="2A33BC62" w14:textId="77777777" w:rsidR="000C5D80" w:rsidRDefault="000C5D80" w:rsidP="00664DB5">
            <w:pPr>
              <w:pStyle w:val="Tabletext"/>
              <w:jc w:val="center"/>
            </w:pPr>
            <w:r w:rsidRPr="00C12E99">
              <w:t xml:space="preserve"> $133,560 </w:t>
            </w:r>
          </w:p>
        </w:tc>
      </w:tr>
      <w:tr w:rsidR="000C5D80" w14:paraId="617D105A" w14:textId="77777777" w:rsidTr="00664DB5">
        <w:tc>
          <w:tcPr>
            <w:tcW w:w="2830" w:type="dxa"/>
          </w:tcPr>
          <w:p w14:paraId="20EAF83A" w14:textId="77777777" w:rsidR="000C5D80" w:rsidRDefault="000C5D80" w:rsidP="00664DB5">
            <w:pPr>
              <w:pStyle w:val="Tabletext"/>
            </w:pPr>
            <w:r w:rsidRPr="009A791F">
              <w:t>MBS rebate (85%)</w:t>
            </w:r>
          </w:p>
        </w:tc>
        <w:tc>
          <w:tcPr>
            <w:tcW w:w="1241" w:type="dxa"/>
          </w:tcPr>
          <w:p w14:paraId="7141969E" w14:textId="77777777" w:rsidR="000C5D80" w:rsidRDefault="000C5D80" w:rsidP="00664DB5">
            <w:pPr>
              <w:pStyle w:val="Tabletext"/>
              <w:jc w:val="center"/>
            </w:pPr>
            <w:r w:rsidRPr="00C12E99">
              <w:t xml:space="preserve"> $- </w:t>
            </w:r>
          </w:p>
        </w:tc>
        <w:tc>
          <w:tcPr>
            <w:tcW w:w="1242" w:type="dxa"/>
          </w:tcPr>
          <w:p w14:paraId="7C3C2B86" w14:textId="77777777" w:rsidR="000C5D80" w:rsidRDefault="000C5D80" w:rsidP="00664DB5">
            <w:pPr>
              <w:pStyle w:val="Tabletext"/>
              <w:jc w:val="center"/>
            </w:pPr>
            <w:r w:rsidRPr="00C12E99">
              <w:t xml:space="preserve"> $- </w:t>
            </w:r>
          </w:p>
        </w:tc>
        <w:tc>
          <w:tcPr>
            <w:tcW w:w="1241" w:type="dxa"/>
          </w:tcPr>
          <w:p w14:paraId="2B5EA4E6" w14:textId="77777777" w:rsidR="000C5D80" w:rsidRDefault="000C5D80" w:rsidP="00664DB5">
            <w:pPr>
              <w:pStyle w:val="Tabletext"/>
              <w:jc w:val="center"/>
            </w:pPr>
            <w:r w:rsidRPr="00C12E99">
              <w:t xml:space="preserve"> $110,361 </w:t>
            </w:r>
          </w:p>
        </w:tc>
        <w:tc>
          <w:tcPr>
            <w:tcW w:w="1242" w:type="dxa"/>
          </w:tcPr>
          <w:p w14:paraId="68E8D0B6" w14:textId="77777777" w:rsidR="000C5D80" w:rsidRDefault="000C5D80" w:rsidP="00664DB5">
            <w:pPr>
              <w:pStyle w:val="Tabletext"/>
              <w:jc w:val="center"/>
            </w:pPr>
            <w:r w:rsidRPr="00C12E99">
              <w:t xml:space="preserve"> $111,934 </w:t>
            </w:r>
          </w:p>
        </w:tc>
        <w:tc>
          <w:tcPr>
            <w:tcW w:w="1242" w:type="dxa"/>
          </w:tcPr>
          <w:p w14:paraId="469BC90F" w14:textId="77777777" w:rsidR="000C5D80" w:rsidRDefault="000C5D80" w:rsidP="00664DB5">
            <w:pPr>
              <w:pStyle w:val="Tabletext"/>
              <w:jc w:val="center"/>
            </w:pPr>
            <w:r w:rsidRPr="00C12E99">
              <w:t xml:space="preserve"> $113,526 </w:t>
            </w:r>
          </w:p>
        </w:tc>
      </w:tr>
      <w:tr w:rsidR="000C5D80" w14:paraId="6B28DBC7" w14:textId="77777777" w:rsidTr="00664DB5">
        <w:tc>
          <w:tcPr>
            <w:tcW w:w="2830" w:type="dxa"/>
          </w:tcPr>
          <w:p w14:paraId="15E9269D" w14:textId="77777777" w:rsidR="000C5D80" w:rsidRDefault="000C5D80" w:rsidP="00664DB5">
            <w:pPr>
              <w:pStyle w:val="Tabletext"/>
            </w:pPr>
            <w:r w:rsidRPr="009A791F">
              <w:t>Patient contributions</w:t>
            </w:r>
          </w:p>
        </w:tc>
        <w:tc>
          <w:tcPr>
            <w:tcW w:w="1241" w:type="dxa"/>
          </w:tcPr>
          <w:p w14:paraId="2C7B0750" w14:textId="77777777" w:rsidR="000C5D80" w:rsidRDefault="000C5D80" w:rsidP="00664DB5">
            <w:pPr>
              <w:pStyle w:val="Tabletext"/>
              <w:jc w:val="center"/>
            </w:pPr>
            <w:r w:rsidRPr="00C12E99">
              <w:t xml:space="preserve"> $- </w:t>
            </w:r>
          </w:p>
        </w:tc>
        <w:tc>
          <w:tcPr>
            <w:tcW w:w="1242" w:type="dxa"/>
          </w:tcPr>
          <w:p w14:paraId="06D45D56" w14:textId="77777777" w:rsidR="000C5D80" w:rsidRDefault="000C5D80" w:rsidP="00664DB5">
            <w:pPr>
              <w:pStyle w:val="Tabletext"/>
              <w:jc w:val="center"/>
            </w:pPr>
            <w:r w:rsidRPr="00C12E99">
              <w:t xml:space="preserve"> $- </w:t>
            </w:r>
          </w:p>
        </w:tc>
        <w:tc>
          <w:tcPr>
            <w:tcW w:w="1241" w:type="dxa"/>
          </w:tcPr>
          <w:p w14:paraId="1C0D547B" w14:textId="77777777" w:rsidR="000C5D80" w:rsidRDefault="000C5D80" w:rsidP="00664DB5">
            <w:pPr>
              <w:pStyle w:val="Tabletext"/>
              <w:jc w:val="center"/>
            </w:pPr>
            <w:r w:rsidRPr="00C12E99">
              <w:t xml:space="preserve"> $19,475 </w:t>
            </w:r>
          </w:p>
        </w:tc>
        <w:tc>
          <w:tcPr>
            <w:tcW w:w="1242" w:type="dxa"/>
          </w:tcPr>
          <w:p w14:paraId="466EBAEA" w14:textId="77777777" w:rsidR="000C5D80" w:rsidRDefault="000C5D80" w:rsidP="00664DB5">
            <w:pPr>
              <w:pStyle w:val="Tabletext"/>
              <w:jc w:val="center"/>
            </w:pPr>
            <w:r w:rsidRPr="00C12E99">
              <w:t xml:space="preserve"> $19,753 </w:t>
            </w:r>
          </w:p>
        </w:tc>
        <w:tc>
          <w:tcPr>
            <w:tcW w:w="1242" w:type="dxa"/>
          </w:tcPr>
          <w:p w14:paraId="210580BF" w14:textId="77777777" w:rsidR="000C5D80" w:rsidRDefault="000C5D80" w:rsidP="00664DB5">
            <w:pPr>
              <w:pStyle w:val="Tabletext"/>
              <w:jc w:val="center"/>
            </w:pPr>
            <w:r w:rsidRPr="00C12E99">
              <w:t xml:space="preserve"> $20,034 </w:t>
            </w:r>
          </w:p>
        </w:tc>
      </w:tr>
      <w:tr w:rsidR="000C5D80" w14:paraId="6E33DC78" w14:textId="77777777" w:rsidTr="00664DB5">
        <w:tc>
          <w:tcPr>
            <w:tcW w:w="2830" w:type="dxa"/>
          </w:tcPr>
          <w:p w14:paraId="19844A92" w14:textId="77777777" w:rsidR="000C5D80" w:rsidRPr="009A791F" w:rsidRDefault="000C5D80" w:rsidP="00664DB5">
            <w:pPr>
              <w:pStyle w:val="Tabletext"/>
            </w:pPr>
            <w:r>
              <w:rPr>
                <w:i/>
              </w:rPr>
              <w:t>Negative findings</w:t>
            </w:r>
          </w:p>
        </w:tc>
        <w:tc>
          <w:tcPr>
            <w:tcW w:w="1241" w:type="dxa"/>
          </w:tcPr>
          <w:p w14:paraId="032D7E76" w14:textId="77777777" w:rsidR="000C5D80" w:rsidRPr="009A791F" w:rsidRDefault="000C5D80" w:rsidP="00664DB5">
            <w:pPr>
              <w:pStyle w:val="Tabletext"/>
              <w:jc w:val="center"/>
            </w:pPr>
          </w:p>
        </w:tc>
        <w:tc>
          <w:tcPr>
            <w:tcW w:w="1242" w:type="dxa"/>
          </w:tcPr>
          <w:p w14:paraId="035929EC" w14:textId="77777777" w:rsidR="000C5D80" w:rsidRPr="009A791F" w:rsidRDefault="000C5D80" w:rsidP="00664DB5">
            <w:pPr>
              <w:pStyle w:val="Tabletext"/>
              <w:jc w:val="center"/>
            </w:pPr>
          </w:p>
        </w:tc>
        <w:tc>
          <w:tcPr>
            <w:tcW w:w="1241" w:type="dxa"/>
          </w:tcPr>
          <w:p w14:paraId="0EA9E6EE" w14:textId="77777777" w:rsidR="000C5D80" w:rsidRPr="009A791F" w:rsidRDefault="000C5D80" w:rsidP="00664DB5">
            <w:pPr>
              <w:pStyle w:val="Tabletext"/>
              <w:jc w:val="center"/>
            </w:pPr>
          </w:p>
        </w:tc>
        <w:tc>
          <w:tcPr>
            <w:tcW w:w="1242" w:type="dxa"/>
          </w:tcPr>
          <w:p w14:paraId="270CF8AB" w14:textId="77777777" w:rsidR="000C5D80" w:rsidRPr="009A791F" w:rsidRDefault="000C5D80" w:rsidP="00664DB5">
            <w:pPr>
              <w:pStyle w:val="Tabletext"/>
              <w:jc w:val="center"/>
            </w:pPr>
          </w:p>
        </w:tc>
        <w:tc>
          <w:tcPr>
            <w:tcW w:w="1242" w:type="dxa"/>
          </w:tcPr>
          <w:p w14:paraId="37AC75E6" w14:textId="77777777" w:rsidR="000C5D80" w:rsidRPr="009A791F" w:rsidRDefault="000C5D80" w:rsidP="00664DB5">
            <w:pPr>
              <w:pStyle w:val="Tabletext"/>
              <w:jc w:val="center"/>
            </w:pPr>
          </w:p>
        </w:tc>
      </w:tr>
      <w:tr w:rsidR="000C5D80" w14:paraId="2CB443BA" w14:textId="77777777" w:rsidTr="00664DB5">
        <w:tc>
          <w:tcPr>
            <w:tcW w:w="2830" w:type="dxa"/>
          </w:tcPr>
          <w:p w14:paraId="569DDCEE" w14:textId="77777777" w:rsidR="000C5D80" w:rsidRDefault="000C5D80" w:rsidP="00664DB5">
            <w:pPr>
              <w:pStyle w:val="Tabletext"/>
            </w:pPr>
            <w:r w:rsidRPr="003872EF">
              <w:t>Number of patients</w:t>
            </w:r>
          </w:p>
        </w:tc>
        <w:tc>
          <w:tcPr>
            <w:tcW w:w="1241" w:type="dxa"/>
          </w:tcPr>
          <w:p w14:paraId="013181B0" w14:textId="77777777" w:rsidR="000C5D80" w:rsidRDefault="000C5D80" w:rsidP="00664DB5">
            <w:pPr>
              <w:pStyle w:val="Tabletext"/>
              <w:jc w:val="center"/>
            </w:pPr>
            <w:r w:rsidRPr="009B370C">
              <w:t xml:space="preserve"> - </w:t>
            </w:r>
          </w:p>
        </w:tc>
        <w:tc>
          <w:tcPr>
            <w:tcW w:w="1242" w:type="dxa"/>
          </w:tcPr>
          <w:p w14:paraId="6348EDA4" w14:textId="77777777" w:rsidR="000C5D80" w:rsidRDefault="000C5D80" w:rsidP="00664DB5">
            <w:pPr>
              <w:pStyle w:val="Tabletext"/>
              <w:jc w:val="center"/>
            </w:pPr>
            <w:r w:rsidRPr="009B370C">
              <w:t xml:space="preserve"> - </w:t>
            </w:r>
          </w:p>
        </w:tc>
        <w:tc>
          <w:tcPr>
            <w:tcW w:w="1241" w:type="dxa"/>
          </w:tcPr>
          <w:p w14:paraId="7FD188F6" w14:textId="77777777" w:rsidR="000C5D80" w:rsidRDefault="000C5D80" w:rsidP="00664DB5">
            <w:pPr>
              <w:pStyle w:val="Tabletext"/>
              <w:jc w:val="center"/>
            </w:pPr>
            <w:r w:rsidRPr="009B370C">
              <w:t xml:space="preserve"> 1,248 </w:t>
            </w:r>
          </w:p>
        </w:tc>
        <w:tc>
          <w:tcPr>
            <w:tcW w:w="1242" w:type="dxa"/>
          </w:tcPr>
          <w:p w14:paraId="24804F9D" w14:textId="77777777" w:rsidR="000C5D80" w:rsidRDefault="000C5D80" w:rsidP="00664DB5">
            <w:pPr>
              <w:pStyle w:val="Tabletext"/>
              <w:jc w:val="center"/>
            </w:pPr>
            <w:r w:rsidRPr="009B370C">
              <w:t xml:space="preserve"> 1,265 </w:t>
            </w:r>
          </w:p>
        </w:tc>
        <w:tc>
          <w:tcPr>
            <w:tcW w:w="1242" w:type="dxa"/>
          </w:tcPr>
          <w:p w14:paraId="697AF274" w14:textId="77777777" w:rsidR="000C5D80" w:rsidRDefault="000C5D80" w:rsidP="00664DB5">
            <w:pPr>
              <w:pStyle w:val="Tabletext"/>
              <w:jc w:val="center"/>
            </w:pPr>
            <w:r w:rsidRPr="009B370C">
              <w:t xml:space="preserve"> 1,283 </w:t>
            </w:r>
          </w:p>
        </w:tc>
      </w:tr>
      <w:tr w:rsidR="000C5D80" w14:paraId="343EEA78" w14:textId="77777777" w:rsidTr="00664DB5">
        <w:trPr>
          <w:trHeight w:val="70"/>
        </w:trPr>
        <w:tc>
          <w:tcPr>
            <w:tcW w:w="2830" w:type="dxa"/>
          </w:tcPr>
          <w:p w14:paraId="1A970C84" w14:textId="77777777" w:rsidR="000C5D80" w:rsidRDefault="000C5D80" w:rsidP="00664DB5">
            <w:pPr>
              <w:pStyle w:val="Tabletext"/>
            </w:pPr>
            <w:r w:rsidRPr="003872EF">
              <w:t>Cost of re-analysis per patient</w:t>
            </w:r>
          </w:p>
        </w:tc>
        <w:tc>
          <w:tcPr>
            <w:tcW w:w="1241" w:type="dxa"/>
          </w:tcPr>
          <w:p w14:paraId="2FC7E48B" w14:textId="77777777" w:rsidR="000C5D80" w:rsidRDefault="000C5D80" w:rsidP="00664DB5">
            <w:pPr>
              <w:pStyle w:val="Tabletext"/>
              <w:jc w:val="center"/>
            </w:pPr>
            <w:r w:rsidRPr="009B370C">
              <w:t xml:space="preserve"> $350 </w:t>
            </w:r>
          </w:p>
        </w:tc>
        <w:tc>
          <w:tcPr>
            <w:tcW w:w="1242" w:type="dxa"/>
          </w:tcPr>
          <w:p w14:paraId="22977201" w14:textId="77777777" w:rsidR="000C5D80" w:rsidRDefault="000C5D80" w:rsidP="00664DB5">
            <w:pPr>
              <w:pStyle w:val="Tabletext"/>
              <w:jc w:val="center"/>
            </w:pPr>
            <w:r w:rsidRPr="009B370C">
              <w:t xml:space="preserve"> $350 </w:t>
            </w:r>
          </w:p>
        </w:tc>
        <w:tc>
          <w:tcPr>
            <w:tcW w:w="1241" w:type="dxa"/>
          </w:tcPr>
          <w:p w14:paraId="26FD4B1C" w14:textId="77777777" w:rsidR="000C5D80" w:rsidRDefault="000C5D80" w:rsidP="00664DB5">
            <w:pPr>
              <w:pStyle w:val="Tabletext"/>
              <w:jc w:val="center"/>
            </w:pPr>
            <w:r w:rsidRPr="009B370C">
              <w:t xml:space="preserve"> $350 </w:t>
            </w:r>
          </w:p>
        </w:tc>
        <w:tc>
          <w:tcPr>
            <w:tcW w:w="1242" w:type="dxa"/>
          </w:tcPr>
          <w:p w14:paraId="5E37343B" w14:textId="77777777" w:rsidR="000C5D80" w:rsidRDefault="000C5D80" w:rsidP="00664DB5">
            <w:pPr>
              <w:pStyle w:val="Tabletext"/>
              <w:jc w:val="center"/>
            </w:pPr>
            <w:r w:rsidRPr="009B370C">
              <w:t xml:space="preserve"> $350 </w:t>
            </w:r>
          </w:p>
        </w:tc>
        <w:tc>
          <w:tcPr>
            <w:tcW w:w="1242" w:type="dxa"/>
          </w:tcPr>
          <w:p w14:paraId="06DBAB15" w14:textId="77777777" w:rsidR="000C5D80" w:rsidRDefault="000C5D80" w:rsidP="00664DB5">
            <w:pPr>
              <w:pStyle w:val="Tabletext"/>
              <w:jc w:val="center"/>
            </w:pPr>
            <w:r w:rsidRPr="009B370C">
              <w:t xml:space="preserve"> $350 </w:t>
            </w:r>
          </w:p>
        </w:tc>
      </w:tr>
      <w:tr w:rsidR="000C5D80" w14:paraId="7833A58D" w14:textId="77777777" w:rsidTr="00664DB5">
        <w:tc>
          <w:tcPr>
            <w:tcW w:w="2830" w:type="dxa"/>
          </w:tcPr>
          <w:p w14:paraId="6CB5CD04" w14:textId="77777777" w:rsidR="000C5D80" w:rsidRPr="00C149DC" w:rsidRDefault="000C5D80" w:rsidP="00664DB5">
            <w:pPr>
              <w:pStyle w:val="Tabletext"/>
              <w:rPr>
                <w:b/>
              </w:rPr>
            </w:pPr>
            <w:r w:rsidRPr="003872EF">
              <w:t>Total cost</w:t>
            </w:r>
          </w:p>
        </w:tc>
        <w:tc>
          <w:tcPr>
            <w:tcW w:w="1241" w:type="dxa"/>
          </w:tcPr>
          <w:p w14:paraId="158700FA" w14:textId="77777777" w:rsidR="000C5D80" w:rsidRPr="00C149DC" w:rsidRDefault="000C5D80" w:rsidP="00664DB5">
            <w:pPr>
              <w:pStyle w:val="Tabletext"/>
              <w:jc w:val="center"/>
              <w:rPr>
                <w:b/>
              </w:rPr>
            </w:pPr>
            <w:r w:rsidRPr="009B370C">
              <w:t xml:space="preserve"> $- </w:t>
            </w:r>
          </w:p>
        </w:tc>
        <w:tc>
          <w:tcPr>
            <w:tcW w:w="1242" w:type="dxa"/>
          </w:tcPr>
          <w:p w14:paraId="773D274C" w14:textId="77777777" w:rsidR="000C5D80" w:rsidRPr="00C149DC" w:rsidRDefault="000C5D80" w:rsidP="00664DB5">
            <w:pPr>
              <w:pStyle w:val="Tabletext"/>
              <w:jc w:val="center"/>
              <w:rPr>
                <w:b/>
              </w:rPr>
            </w:pPr>
            <w:r w:rsidRPr="009B370C">
              <w:t xml:space="preserve"> $- </w:t>
            </w:r>
          </w:p>
        </w:tc>
        <w:tc>
          <w:tcPr>
            <w:tcW w:w="1241" w:type="dxa"/>
          </w:tcPr>
          <w:p w14:paraId="00197C75" w14:textId="77777777" w:rsidR="000C5D80" w:rsidRPr="00C149DC" w:rsidRDefault="000C5D80" w:rsidP="00664DB5">
            <w:pPr>
              <w:pStyle w:val="Tabletext"/>
              <w:jc w:val="center"/>
              <w:rPr>
                <w:b/>
              </w:rPr>
            </w:pPr>
            <w:r w:rsidRPr="009B370C">
              <w:t xml:space="preserve"> $436,697 </w:t>
            </w:r>
          </w:p>
        </w:tc>
        <w:tc>
          <w:tcPr>
            <w:tcW w:w="1242" w:type="dxa"/>
          </w:tcPr>
          <w:p w14:paraId="6CC85311" w14:textId="77777777" w:rsidR="000C5D80" w:rsidRPr="00C149DC" w:rsidRDefault="000C5D80" w:rsidP="00664DB5">
            <w:pPr>
              <w:pStyle w:val="Tabletext"/>
              <w:jc w:val="center"/>
              <w:rPr>
                <w:b/>
              </w:rPr>
            </w:pPr>
            <w:r w:rsidRPr="009B370C">
              <w:t xml:space="preserve"> $442,922 </w:t>
            </w:r>
          </w:p>
        </w:tc>
        <w:tc>
          <w:tcPr>
            <w:tcW w:w="1242" w:type="dxa"/>
          </w:tcPr>
          <w:p w14:paraId="5C27A6B7" w14:textId="77777777" w:rsidR="000C5D80" w:rsidRPr="00C149DC" w:rsidRDefault="000C5D80" w:rsidP="00664DB5">
            <w:pPr>
              <w:pStyle w:val="Tabletext"/>
              <w:jc w:val="center"/>
              <w:rPr>
                <w:b/>
              </w:rPr>
            </w:pPr>
            <w:r w:rsidRPr="009B370C">
              <w:t xml:space="preserve"> $449,219 </w:t>
            </w:r>
          </w:p>
        </w:tc>
      </w:tr>
      <w:tr w:rsidR="000C5D80" w14:paraId="62A6D9D0" w14:textId="77777777" w:rsidTr="00664DB5">
        <w:tc>
          <w:tcPr>
            <w:tcW w:w="2830" w:type="dxa"/>
          </w:tcPr>
          <w:p w14:paraId="706301B7" w14:textId="77777777" w:rsidR="000C5D80" w:rsidRPr="00C149DC" w:rsidRDefault="000C5D80" w:rsidP="00664DB5">
            <w:pPr>
              <w:pStyle w:val="Tabletext"/>
              <w:rPr>
                <w:b/>
              </w:rPr>
            </w:pPr>
            <w:r w:rsidRPr="003872EF">
              <w:t>MBS rebate (85%)</w:t>
            </w:r>
          </w:p>
        </w:tc>
        <w:tc>
          <w:tcPr>
            <w:tcW w:w="1241" w:type="dxa"/>
          </w:tcPr>
          <w:p w14:paraId="2145AE1D" w14:textId="77777777" w:rsidR="000C5D80" w:rsidRPr="00C149DC" w:rsidRDefault="000C5D80" w:rsidP="00664DB5">
            <w:pPr>
              <w:pStyle w:val="Tabletext"/>
              <w:jc w:val="center"/>
              <w:rPr>
                <w:b/>
              </w:rPr>
            </w:pPr>
            <w:r w:rsidRPr="009B370C">
              <w:t xml:space="preserve"> $- </w:t>
            </w:r>
          </w:p>
        </w:tc>
        <w:tc>
          <w:tcPr>
            <w:tcW w:w="1242" w:type="dxa"/>
          </w:tcPr>
          <w:p w14:paraId="09353FEB" w14:textId="77777777" w:rsidR="000C5D80" w:rsidRPr="00C149DC" w:rsidRDefault="000C5D80" w:rsidP="00664DB5">
            <w:pPr>
              <w:pStyle w:val="Tabletext"/>
              <w:jc w:val="center"/>
              <w:rPr>
                <w:b/>
              </w:rPr>
            </w:pPr>
            <w:r w:rsidRPr="009B370C">
              <w:t xml:space="preserve"> $- </w:t>
            </w:r>
          </w:p>
        </w:tc>
        <w:tc>
          <w:tcPr>
            <w:tcW w:w="1241" w:type="dxa"/>
          </w:tcPr>
          <w:p w14:paraId="5AE1C262" w14:textId="77777777" w:rsidR="000C5D80" w:rsidRPr="00C149DC" w:rsidRDefault="000C5D80" w:rsidP="00664DB5">
            <w:pPr>
              <w:pStyle w:val="Tabletext"/>
              <w:jc w:val="center"/>
              <w:rPr>
                <w:b/>
              </w:rPr>
            </w:pPr>
            <w:r w:rsidRPr="009B370C">
              <w:t xml:space="preserve"> $371,192 </w:t>
            </w:r>
          </w:p>
        </w:tc>
        <w:tc>
          <w:tcPr>
            <w:tcW w:w="1242" w:type="dxa"/>
          </w:tcPr>
          <w:p w14:paraId="21EB034B" w14:textId="77777777" w:rsidR="000C5D80" w:rsidRPr="00C149DC" w:rsidRDefault="000C5D80" w:rsidP="00664DB5">
            <w:pPr>
              <w:pStyle w:val="Tabletext"/>
              <w:jc w:val="center"/>
              <w:rPr>
                <w:b/>
              </w:rPr>
            </w:pPr>
            <w:r w:rsidRPr="009B370C">
              <w:t xml:space="preserve"> $376,483 </w:t>
            </w:r>
          </w:p>
        </w:tc>
        <w:tc>
          <w:tcPr>
            <w:tcW w:w="1242" w:type="dxa"/>
          </w:tcPr>
          <w:p w14:paraId="4FEA17FB" w14:textId="77777777" w:rsidR="000C5D80" w:rsidRPr="00C149DC" w:rsidRDefault="000C5D80" w:rsidP="00664DB5">
            <w:pPr>
              <w:pStyle w:val="Tabletext"/>
              <w:jc w:val="center"/>
              <w:rPr>
                <w:b/>
              </w:rPr>
            </w:pPr>
            <w:r w:rsidRPr="009B370C">
              <w:t xml:space="preserve"> $381,836 </w:t>
            </w:r>
          </w:p>
        </w:tc>
      </w:tr>
      <w:tr w:rsidR="000C5D80" w14:paraId="63CD81E6" w14:textId="77777777" w:rsidTr="00664DB5">
        <w:tc>
          <w:tcPr>
            <w:tcW w:w="2830" w:type="dxa"/>
          </w:tcPr>
          <w:p w14:paraId="35FEF467" w14:textId="77777777" w:rsidR="000C5D80" w:rsidRPr="00C149DC" w:rsidRDefault="000C5D80" w:rsidP="00664DB5">
            <w:pPr>
              <w:pStyle w:val="Tabletext"/>
              <w:rPr>
                <w:b/>
              </w:rPr>
            </w:pPr>
            <w:r w:rsidRPr="003872EF">
              <w:t>Patient contributions</w:t>
            </w:r>
          </w:p>
        </w:tc>
        <w:tc>
          <w:tcPr>
            <w:tcW w:w="1241" w:type="dxa"/>
            <w:tcBorders>
              <w:bottom w:val="single" w:sz="4" w:space="0" w:color="auto"/>
            </w:tcBorders>
          </w:tcPr>
          <w:p w14:paraId="10F2E638" w14:textId="77777777" w:rsidR="000C5D80" w:rsidRPr="00C149DC" w:rsidRDefault="000C5D80" w:rsidP="00664DB5">
            <w:pPr>
              <w:pStyle w:val="Tabletext"/>
              <w:jc w:val="center"/>
              <w:rPr>
                <w:b/>
              </w:rPr>
            </w:pPr>
            <w:r w:rsidRPr="009B370C">
              <w:t xml:space="preserve"> $- </w:t>
            </w:r>
          </w:p>
        </w:tc>
        <w:tc>
          <w:tcPr>
            <w:tcW w:w="1242" w:type="dxa"/>
            <w:tcBorders>
              <w:bottom w:val="single" w:sz="4" w:space="0" w:color="auto"/>
            </w:tcBorders>
          </w:tcPr>
          <w:p w14:paraId="51769ACE" w14:textId="77777777" w:rsidR="000C5D80" w:rsidRPr="00C149DC" w:rsidRDefault="000C5D80" w:rsidP="00664DB5">
            <w:pPr>
              <w:pStyle w:val="Tabletext"/>
              <w:jc w:val="center"/>
              <w:rPr>
                <w:b/>
              </w:rPr>
            </w:pPr>
            <w:r w:rsidRPr="009B370C">
              <w:t xml:space="preserve"> $- </w:t>
            </w:r>
          </w:p>
        </w:tc>
        <w:tc>
          <w:tcPr>
            <w:tcW w:w="1241" w:type="dxa"/>
            <w:tcBorders>
              <w:bottom w:val="single" w:sz="4" w:space="0" w:color="auto"/>
            </w:tcBorders>
          </w:tcPr>
          <w:p w14:paraId="4E1DADF9" w14:textId="77777777" w:rsidR="000C5D80" w:rsidRPr="00C149DC" w:rsidRDefault="000C5D80" w:rsidP="00664DB5">
            <w:pPr>
              <w:pStyle w:val="Tabletext"/>
              <w:jc w:val="center"/>
              <w:rPr>
                <w:b/>
              </w:rPr>
            </w:pPr>
            <w:r w:rsidRPr="009B370C">
              <w:t xml:space="preserve"> $65,505 </w:t>
            </w:r>
          </w:p>
        </w:tc>
        <w:tc>
          <w:tcPr>
            <w:tcW w:w="1242" w:type="dxa"/>
            <w:tcBorders>
              <w:bottom w:val="single" w:sz="4" w:space="0" w:color="auto"/>
            </w:tcBorders>
          </w:tcPr>
          <w:p w14:paraId="63A7FAD4" w14:textId="77777777" w:rsidR="000C5D80" w:rsidRPr="00C149DC" w:rsidRDefault="000C5D80" w:rsidP="00664DB5">
            <w:pPr>
              <w:pStyle w:val="Tabletext"/>
              <w:jc w:val="center"/>
              <w:rPr>
                <w:b/>
              </w:rPr>
            </w:pPr>
            <w:r w:rsidRPr="009B370C">
              <w:t xml:space="preserve"> $66,438 </w:t>
            </w:r>
          </w:p>
        </w:tc>
        <w:tc>
          <w:tcPr>
            <w:tcW w:w="1242" w:type="dxa"/>
            <w:tcBorders>
              <w:bottom w:val="single" w:sz="4" w:space="0" w:color="auto"/>
            </w:tcBorders>
          </w:tcPr>
          <w:p w14:paraId="3E4E7AE5" w14:textId="77777777" w:rsidR="000C5D80" w:rsidRPr="00C149DC" w:rsidRDefault="000C5D80" w:rsidP="00664DB5">
            <w:pPr>
              <w:pStyle w:val="Tabletext"/>
              <w:jc w:val="center"/>
              <w:rPr>
                <w:b/>
              </w:rPr>
            </w:pPr>
            <w:r w:rsidRPr="009B370C">
              <w:t xml:space="preserve"> $67,383 </w:t>
            </w:r>
          </w:p>
        </w:tc>
      </w:tr>
      <w:tr w:rsidR="000C5D80" w14:paraId="5853830C" w14:textId="77777777" w:rsidTr="00664DB5">
        <w:tc>
          <w:tcPr>
            <w:tcW w:w="9038" w:type="dxa"/>
            <w:gridSpan w:val="6"/>
          </w:tcPr>
          <w:p w14:paraId="5DFD452C" w14:textId="77777777" w:rsidR="000C5D80" w:rsidRPr="00F45296" w:rsidRDefault="000C5D80" w:rsidP="00664DB5">
            <w:pPr>
              <w:pStyle w:val="Tableheading"/>
              <w:rPr>
                <w:b w:val="0"/>
                <w:i/>
              </w:rPr>
            </w:pPr>
            <w:r w:rsidRPr="00F45296">
              <w:rPr>
                <w:i/>
              </w:rPr>
              <w:t>Costs associated with second re-analysis</w:t>
            </w:r>
          </w:p>
        </w:tc>
      </w:tr>
      <w:tr w:rsidR="000C5D80" w14:paraId="73DAEC5A" w14:textId="77777777" w:rsidTr="00664DB5">
        <w:tc>
          <w:tcPr>
            <w:tcW w:w="2830" w:type="dxa"/>
          </w:tcPr>
          <w:p w14:paraId="16D749F0" w14:textId="77777777" w:rsidR="000C5D80" w:rsidRPr="00D870EA" w:rsidRDefault="000C5D80" w:rsidP="00664DB5">
            <w:pPr>
              <w:pStyle w:val="Tabletext"/>
              <w:rPr>
                <w:b/>
                <w:i/>
              </w:rPr>
            </w:pPr>
            <w:r w:rsidRPr="00D870EA">
              <w:rPr>
                <w:i/>
              </w:rPr>
              <w:t>Positive findings</w:t>
            </w:r>
          </w:p>
        </w:tc>
        <w:tc>
          <w:tcPr>
            <w:tcW w:w="1241" w:type="dxa"/>
          </w:tcPr>
          <w:p w14:paraId="5C3C4936" w14:textId="77777777" w:rsidR="000C5D80" w:rsidRPr="003872EF" w:rsidRDefault="000C5D80" w:rsidP="00664DB5">
            <w:pPr>
              <w:pStyle w:val="Tabletext"/>
            </w:pPr>
          </w:p>
        </w:tc>
        <w:tc>
          <w:tcPr>
            <w:tcW w:w="1242" w:type="dxa"/>
          </w:tcPr>
          <w:p w14:paraId="0FD19255" w14:textId="77777777" w:rsidR="000C5D80" w:rsidRPr="003872EF" w:rsidRDefault="000C5D80" w:rsidP="00664DB5">
            <w:pPr>
              <w:pStyle w:val="Tabletext"/>
            </w:pPr>
          </w:p>
        </w:tc>
        <w:tc>
          <w:tcPr>
            <w:tcW w:w="1241" w:type="dxa"/>
          </w:tcPr>
          <w:p w14:paraId="75E78810" w14:textId="77777777" w:rsidR="000C5D80" w:rsidRPr="003872EF" w:rsidRDefault="000C5D80" w:rsidP="00664DB5">
            <w:pPr>
              <w:pStyle w:val="Tabletext"/>
            </w:pPr>
          </w:p>
        </w:tc>
        <w:tc>
          <w:tcPr>
            <w:tcW w:w="1242" w:type="dxa"/>
          </w:tcPr>
          <w:p w14:paraId="4E5BCF10" w14:textId="77777777" w:rsidR="000C5D80" w:rsidRPr="003872EF" w:rsidRDefault="000C5D80" w:rsidP="00664DB5">
            <w:pPr>
              <w:pStyle w:val="Tabletext"/>
            </w:pPr>
          </w:p>
        </w:tc>
        <w:tc>
          <w:tcPr>
            <w:tcW w:w="1242" w:type="dxa"/>
          </w:tcPr>
          <w:p w14:paraId="33237F64" w14:textId="77777777" w:rsidR="000C5D80" w:rsidRPr="003872EF" w:rsidRDefault="000C5D80" w:rsidP="00664DB5">
            <w:pPr>
              <w:pStyle w:val="Tabletext"/>
            </w:pPr>
          </w:p>
        </w:tc>
      </w:tr>
      <w:tr w:rsidR="000C5D80" w14:paraId="0B38A3FE" w14:textId="77777777" w:rsidTr="00664DB5">
        <w:tc>
          <w:tcPr>
            <w:tcW w:w="2830" w:type="dxa"/>
          </w:tcPr>
          <w:p w14:paraId="30AA2E69" w14:textId="77777777" w:rsidR="000C5D80" w:rsidRDefault="000C5D80" w:rsidP="00664DB5">
            <w:pPr>
              <w:pStyle w:val="Tabletext"/>
            </w:pPr>
            <w:r w:rsidRPr="0068620F">
              <w:t xml:space="preserve">Number of patients </w:t>
            </w:r>
          </w:p>
        </w:tc>
        <w:tc>
          <w:tcPr>
            <w:tcW w:w="1241" w:type="dxa"/>
          </w:tcPr>
          <w:p w14:paraId="0BC33369" w14:textId="77777777" w:rsidR="000C5D80" w:rsidRDefault="000C5D80" w:rsidP="00664DB5">
            <w:pPr>
              <w:pStyle w:val="Tabletext"/>
              <w:jc w:val="center"/>
            </w:pPr>
            <w:r w:rsidRPr="00DE621E">
              <w:t xml:space="preserve"> - </w:t>
            </w:r>
          </w:p>
        </w:tc>
        <w:tc>
          <w:tcPr>
            <w:tcW w:w="1242" w:type="dxa"/>
          </w:tcPr>
          <w:p w14:paraId="5A97FEA3" w14:textId="77777777" w:rsidR="000C5D80" w:rsidRDefault="000C5D80" w:rsidP="00664DB5">
            <w:pPr>
              <w:pStyle w:val="Tabletext"/>
              <w:jc w:val="center"/>
            </w:pPr>
            <w:r w:rsidRPr="00DE621E">
              <w:t xml:space="preserve"> - </w:t>
            </w:r>
          </w:p>
        </w:tc>
        <w:tc>
          <w:tcPr>
            <w:tcW w:w="1241" w:type="dxa"/>
          </w:tcPr>
          <w:p w14:paraId="14109599" w14:textId="77777777" w:rsidR="000C5D80" w:rsidRDefault="000C5D80" w:rsidP="00664DB5">
            <w:pPr>
              <w:pStyle w:val="Tabletext"/>
              <w:jc w:val="center"/>
            </w:pPr>
            <w:r w:rsidRPr="00DE621E">
              <w:t xml:space="preserve"> - </w:t>
            </w:r>
          </w:p>
        </w:tc>
        <w:tc>
          <w:tcPr>
            <w:tcW w:w="1242" w:type="dxa"/>
          </w:tcPr>
          <w:p w14:paraId="5B47D503" w14:textId="77777777" w:rsidR="000C5D80" w:rsidRDefault="000C5D80" w:rsidP="00664DB5">
            <w:pPr>
              <w:pStyle w:val="Tabletext"/>
              <w:jc w:val="center"/>
            </w:pPr>
            <w:r w:rsidRPr="00DE621E">
              <w:t xml:space="preserve"> - </w:t>
            </w:r>
          </w:p>
        </w:tc>
        <w:tc>
          <w:tcPr>
            <w:tcW w:w="1242" w:type="dxa"/>
          </w:tcPr>
          <w:p w14:paraId="6DC3CA66" w14:textId="77777777" w:rsidR="000C5D80" w:rsidRDefault="000C5D80" w:rsidP="00664DB5">
            <w:pPr>
              <w:pStyle w:val="Tabletext"/>
              <w:jc w:val="center"/>
            </w:pPr>
            <w:r w:rsidRPr="00DE621E">
              <w:t xml:space="preserve"> 172 </w:t>
            </w:r>
          </w:p>
        </w:tc>
      </w:tr>
      <w:tr w:rsidR="000C5D80" w14:paraId="7AA89296" w14:textId="77777777" w:rsidTr="00664DB5">
        <w:tc>
          <w:tcPr>
            <w:tcW w:w="2830" w:type="dxa"/>
          </w:tcPr>
          <w:p w14:paraId="16F80158" w14:textId="77777777" w:rsidR="000C5D80" w:rsidRDefault="000C5D80" w:rsidP="00664DB5">
            <w:pPr>
              <w:pStyle w:val="Tabletext"/>
            </w:pPr>
            <w:r w:rsidRPr="0068620F">
              <w:t>Cost of re-analysis per patient</w:t>
            </w:r>
          </w:p>
        </w:tc>
        <w:tc>
          <w:tcPr>
            <w:tcW w:w="1241" w:type="dxa"/>
          </w:tcPr>
          <w:p w14:paraId="43585E0B" w14:textId="77777777" w:rsidR="000C5D80" w:rsidRDefault="000C5D80" w:rsidP="00664DB5">
            <w:pPr>
              <w:pStyle w:val="Tabletext"/>
              <w:jc w:val="center"/>
            </w:pPr>
            <w:r w:rsidRPr="00DE621E">
              <w:t xml:space="preserve"> $650 </w:t>
            </w:r>
          </w:p>
        </w:tc>
        <w:tc>
          <w:tcPr>
            <w:tcW w:w="1242" w:type="dxa"/>
          </w:tcPr>
          <w:p w14:paraId="301C9401" w14:textId="77777777" w:rsidR="000C5D80" w:rsidRDefault="000C5D80" w:rsidP="00664DB5">
            <w:pPr>
              <w:pStyle w:val="Tabletext"/>
              <w:jc w:val="center"/>
            </w:pPr>
            <w:r w:rsidRPr="00DE621E">
              <w:t xml:space="preserve"> $650 </w:t>
            </w:r>
          </w:p>
        </w:tc>
        <w:tc>
          <w:tcPr>
            <w:tcW w:w="1241" w:type="dxa"/>
          </w:tcPr>
          <w:p w14:paraId="5366B331" w14:textId="77777777" w:rsidR="000C5D80" w:rsidRDefault="000C5D80" w:rsidP="00664DB5">
            <w:pPr>
              <w:pStyle w:val="Tabletext"/>
              <w:jc w:val="center"/>
            </w:pPr>
            <w:r w:rsidRPr="00DE621E">
              <w:t xml:space="preserve"> $650 </w:t>
            </w:r>
          </w:p>
        </w:tc>
        <w:tc>
          <w:tcPr>
            <w:tcW w:w="1242" w:type="dxa"/>
          </w:tcPr>
          <w:p w14:paraId="25F54DEC" w14:textId="77777777" w:rsidR="000C5D80" w:rsidRDefault="000C5D80" w:rsidP="00664DB5">
            <w:pPr>
              <w:pStyle w:val="Tabletext"/>
              <w:jc w:val="center"/>
            </w:pPr>
            <w:r w:rsidRPr="00DE621E">
              <w:t xml:space="preserve"> $650 </w:t>
            </w:r>
          </w:p>
        </w:tc>
        <w:tc>
          <w:tcPr>
            <w:tcW w:w="1242" w:type="dxa"/>
          </w:tcPr>
          <w:p w14:paraId="4EBB1885" w14:textId="77777777" w:rsidR="000C5D80" w:rsidRDefault="000C5D80" w:rsidP="00664DB5">
            <w:pPr>
              <w:pStyle w:val="Tabletext"/>
              <w:jc w:val="center"/>
            </w:pPr>
            <w:r w:rsidRPr="00DE621E">
              <w:t xml:space="preserve"> $650 </w:t>
            </w:r>
          </w:p>
        </w:tc>
      </w:tr>
      <w:tr w:rsidR="000C5D80" w14:paraId="065F33D9" w14:textId="77777777" w:rsidTr="00664DB5">
        <w:tc>
          <w:tcPr>
            <w:tcW w:w="2830" w:type="dxa"/>
          </w:tcPr>
          <w:p w14:paraId="300C7064" w14:textId="77777777" w:rsidR="000C5D80" w:rsidRDefault="000C5D80" w:rsidP="00664DB5">
            <w:pPr>
              <w:pStyle w:val="Tabletext"/>
            </w:pPr>
            <w:r w:rsidRPr="0068620F">
              <w:t>Total cost</w:t>
            </w:r>
          </w:p>
        </w:tc>
        <w:tc>
          <w:tcPr>
            <w:tcW w:w="1241" w:type="dxa"/>
          </w:tcPr>
          <w:p w14:paraId="68407562" w14:textId="77777777" w:rsidR="000C5D80" w:rsidRDefault="000C5D80" w:rsidP="00664DB5">
            <w:pPr>
              <w:pStyle w:val="Tabletext"/>
              <w:jc w:val="center"/>
            </w:pPr>
            <w:r w:rsidRPr="00DE621E">
              <w:t xml:space="preserve"> $- </w:t>
            </w:r>
          </w:p>
        </w:tc>
        <w:tc>
          <w:tcPr>
            <w:tcW w:w="1242" w:type="dxa"/>
          </w:tcPr>
          <w:p w14:paraId="0BE40E44" w14:textId="77777777" w:rsidR="000C5D80" w:rsidRDefault="000C5D80" w:rsidP="00664DB5">
            <w:pPr>
              <w:pStyle w:val="Tabletext"/>
              <w:jc w:val="center"/>
            </w:pPr>
            <w:r w:rsidRPr="00DE621E">
              <w:t xml:space="preserve"> $- </w:t>
            </w:r>
          </w:p>
        </w:tc>
        <w:tc>
          <w:tcPr>
            <w:tcW w:w="1241" w:type="dxa"/>
          </w:tcPr>
          <w:p w14:paraId="4703FC20" w14:textId="77777777" w:rsidR="000C5D80" w:rsidRDefault="000C5D80" w:rsidP="00664DB5">
            <w:pPr>
              <w:pStyle w:val="Tabletext"/>
              <w:jc w:val="center"/>
            </w:pPr>
            <w:r w:rsidRPr="00DE621E">
              <w:t xml:space="preserve"> $- </w:t>
            </w:r>
          </w:p>
        </w:tc>
        <w:tc>
          <w:tcPr>
            <w:tcW w:w="1242" w:type="dxa"/>
          </w:tcPr>
          <w:p w14:paraId="7EEC4504" w14:textId="77777777" w:rsidR="000C5D80" w:rsidRDefault="000C5D80" w:rsidP="00664DB5">
            <w:pPr>
              <w:pStyle w:val="Tabletext"/>
              <w:jc w:val="center"/>
            </w:pPr>
            <w:r w:rsidRPr="00DE621E">
              <w:t xml:space="preserve"> $- </w:t>
            </w:r>
          </w:p>
        </w:tc>
        <w:tc>
          <w:tcPr>
            <w:tcW w:w="1242" w:type="dxa"/>
          </w:tcPr>
          <w:p w14:paraId="4920B226" w14:textId="77777777" w:rsidR="000C5D80" w:rsidRDefault="000C5D80" w:rsidP="00664DB5">
            <w:pPr>
              <w:pStyle w:val="Tabletext"/>
              <w:jc w:val="center"/>
            </w:pPr>
            <w:r w:rsidRPr="00DE621E">
              <w:t xml:space="preserve"> $111,919 </w:t>
            </w:r>
          </w:p>
        </w:tc>
      </w:tr>
      <w:tr w:rsidR="000C5D80" w14:paraId="659BC9AE" w14:textId="77777777" w:rsidTr="00664DB5">
        <w:tc>
          <w:tcPr>
            <w:tcW w:w="2830" w:type="dxa"/>
          </w:tcPr>
          <w:p w14:paraId="0D54CFB8" w14:textId="77777777" w:rsidR="000C5D80" w:rsidRDefault="000C5D80" w:rsidP="00664DB5">
            <w:pPr>
              <w:pStyle w:val="Tabletext"/>
            </w:pPr>
            <w:r w:rsidRPr="0068620F">
              <w:t>MBS rebate (85%)</w:t>
            </w:r>
          </w:p>
        </w:tc>
        <w:tc>
          <w:tcPr>
            <w:tcW w:w="1241" w:type="dxa"/>
          </w:tcPr>
          <w:p w14:paraId="09B18F0D" w14:textId="77777777" w:rsidR="000C5D80" w:rsidRDefault="000C5D80" w:rsidP="00664DB5">
            <w:pPr>
              <w:pStyle w:val="Tabletext"/>
              <w:jc w:val="center"/>
            </w:pPr>
            <w:r w:rsidRPr="00DE621E">
              <w:t xml:space="preserve"> $- </w:t>
            </w:r>
          </w:p>
        </w:tc>
        <w:tc>
          <w:tcPr>
            <w:tcW w:w="1242" w:type="dxa"/>
          </w:tcPr>
          <w:p w14:paraId="7BC9AAF4" w14:textId="77777777" w:rsidR="000C5D80" w:rsidRDefault="000C5D80" w:rsidP="00664DB5">
            <w:pPr>
              <w:pStyle w:val="Tabletext"/>
              <w:jc w:val="center"/>
            </w:pPr>
            <w:r w:rsidRPr="00DE621E">
              <w:t xml:space="preserve"> $- </w:t>
            </w:r>
          </w:p>
        </w:tc>
        <w:tc>
          <w:tcPr>
            <w:tcW w:w="1241" w:type="dxa"/>
          </w:tcPr>
          <w:p w14:paraId="02B04C8E" w14:textId="77777777" w:rsidR="000C5D80" w:rsidRDefault="000C5D80" w:rsidP="00664DB5">
            <w:pPr>
              <w:pStyle w:val="Tabletext"/>
              <w:jc w:val="center"/>
            </w:pPr>
            <w:r w:rsidRPr="00DE621E">
              <w:t xml:space="preserve"> $- </w:t>
            </w:r>
          </w:p>
        </w:tc>
        <w:tc>
          <w:tcPr>
            <w:tcW w:w="1242" w:type="dxa"/>
          </w:tcPr>
          <w:p w14:paraId="40758514" w14:textId="77777777" w:rsidR="000C5D80" w:rsidRDefault="000C5D80" w:rsidP="00664DB5">
            <w:pPr>
              <w:pStyle w:val="Tabletext"/>
              <w:jc w:val="center"/>
            </w:pPr>
            <w:r w:rsidRPr="00DE621E">
              <w:t xml:space="preserve"> $- </w:t>
            </w:r>
          </w:p>
        </w:tc>
        <w:tc>
          <w:tcPr>
            <w:tcW w:w="1242" w:type="dxa"/>
          </w:tcPr>
          <w:p w14:paraId="777F3186" w14:textId="77777777" w:rsidR="000C5D80" w:rsidRDefault="000C5D80" w:rsidP="00664DB5">
            <w:pPr>
              <w:pStyle w:val="Tabletext"/>
              <w:jc w:val="center"/>
            </w:pPr>
            <w:r w:rsidRPr="00DE621E">
              <w:t xml:space="preserve"> $95,131 </w:t>
            </w:r>
          </w:p>
        </w:tc>
      </w:tr>
      <w:tr w:rsidR="000C5D80" w14:paraId="7718414A" w14:textId="77777777" w:rsidTr="00664DB5">
        <w:tc>
          <w:tcPr>
            <w:tcW w:w="2830" w:type="dxa"/>
          </w:tcPr>
          <w:p w14:paraId="2494F68C" w14:textId="77777777" w:rsidR="000C5D80" w:rsidRDefault="000C5D80" w:rsidP="00664DB5">
            <w:pPr>
              <w:pStyle w:val="Tabletext"/>
            </w:pPr>
            <w:r w:rsidRPr="0068620F">
              <w:t>Patient contributions</w:t>
            </w:r>
          </w:p>
        </w:tc>
        <w:tc>
          <w:tcPr>
            <w:tcW w:w="1241" w:type="dxa"/>
          </w:tcPr>
          <w:p w14:paraId="01C326A4" w14:textId="77777777" w:rsidR="000C5D80" w:rsidRDefault="000C5D80" w:rsidP="00664DB5">
            <w:pPr>
              <w:pStyle w:val="Tabletext"/>
              <w:jc w:val="center"/>
            </w:pPr>
            <w:r w:rsidRPr="00DE621E">
              <w:t xml:space="preserve"> $- </w:t>
            </w:r>
          </w:p>
        </w:tc>
        <w:tc>
          <w:tcPr>
            <w:tcW w:w="1242" w:type="dxa"/>
          </w:tcPr>
          <w:p w14:paraId="36AE0386" w14:textId="77777777" w:rsidR="000C5D80" w:rsidRDefault="000C5D80" w:rsidP="00664DB5">
            <w:pPr>
              <w:pStyle w:val="Tabletext"/>
              <w:jc w:val="center"/>
            </w:pPr>
            <w:r w:rsidRPr="00DE621E">
              <w:t xml:space="preserve"> $- </w:t>
            </w:r>
          </w:p>
        </w:tc>
        <w:tc>
          <w:tcPr>
            <w:tcW w:w="1241" w:type="dxa"/>
          </w:tcPr>
          <w:p w14:paraId="4CC9EA06" w14:textId="77777777" w:rsidR="000C5D80" w:rsidRDefault="000C5D80" w:rsidP="00664DB5">
            <w:pPr>
              <w:pStyle w:val="Tabletext"/>
              <w:jc w:val="center"/>
            </w:pPr>
            <w:r w:rsidRPr="00DE621E">
              <w:t xml:space="preserve"> $- </w:t>
            </w:r>
          </w:p>
        </w:tc>
        <w:tc>
          <w:tcPr>
            <w:tcW w:w="1242" w:type="dxa"/>
          </w:tcPr>
          <w:p w14:paraId="7923B773" w14:textId="77777777" w:rsidR="000C5D80" w:rsidRDefault="000C5D80" w:rsidP="00664DB5">
            <w:pPr>
              <w:pStyle w:val="Tabletext"/>
              <w:jc w:val="center"/>
            </w:pPr>
            <w:r w:rsidRPr="00DE621E">
              <w:t xml:space="preserve"> $- </w:t>
            </w:r>
          </w:p>
        </w:tc>
        <w:tc>
          <w:tcPr>
            <w:tcW w:w="1242" w:type="dxa"/>
          </w:tcPr>
          <w:p w14:paraId="6A41BDB9" w14:textId="77777777" w:rsidR="000C5D80" w:rsidRDefault="000C5D80" w:rsidP="00664DB5">
            <w:pPr>
              <w:pStyle w:val="Tabletext"/>
              <w:jc w:val="center"/>
            </w:pPr>
            <w:r w:rsidRPr="00DE621E">
              <w:t xml:space="preserve"> $16,788 </w:t>
            </w:r>
          </w:p>
        </w:tc>
      </w:tr>
      <w:tr w:rsidR="000C5D80" w:rsidRPr="009A791F" w14:paraId="1BAB3E95" w14:textId="77777777" w:rsidTr="00664DB5">
        <w:tc>
          <w:tcPr>
            <w:tcW w:w="2830" w:type="dxa"/>
          </w:tcPr>
          <w:p w14:paraId="788DA0FA" w14:textId="77777777" w:rsidR="000C5D80" w:rsidRPr="00D870EA" w:rsidRDefault="000C5D80" w:rsidP="00664DB5">
            <w:pPr>
              <w:pStyle w:val="Tabletext"/>
              <w:rPr>
                <w:i/>
              </w:rPr>
            </w:pPr>
            <w:r w:rsidRPr="00D870EA">
              <w:rPr>
                <w:i/>
              </w:rPr>
              <w:t>Negative findings</w:t>
            </w:r>
          </w:p>
        </w:tc>
        <w:tc>
          <w:tcPr>
            <w:tcW w:w="1241" w:type="dxa"/>
          </w:tcPr>
          <w:p w14:paraId="6C6582A4" w14:textId="77777777" w:rsidR="000C5D80" w:rsidRPr="009A791F" w:rsidRDefault="000C5D80" w:rsidP="00664DB5">
            <w:pPr>
              <w:pStyle w:val="Tabletext"/>
              <w:jc w:val="center"/>
            </w:pPr>
          </w:p>
        </w:tc>
        <w:tc>
          <w:tcPr>
            <w:tcW w:w="1242" w:type="dxa"/>
          </w:tcPr>
          <w:p w14:paraId="0D51B61B" w14:textId="77777777" w:rsidR="000C5D80" w:rsidRPr="009A791F" w:rsidRDefault="000C5D80" w:rsidP="00664DB5">
            <w:pPr>
              <w:pStyle w:val="Tabletext"/>
              <w:jc w:val="center"/>
            </w:pPr>
          </w:p>
        </w:tc>
        <w:tc>
          <w:tcPr>
            <w:tcW w:w="1241" w:type="dxa"/>
          </w:tcPr>
          <w:p w14:paraId="12C3EC46" w14:textId="77777777" w:rsidR="000C5D80" w:rsidRPr="009A791F" w:rsidRDefault="000C5D80" w:rsidP="00664DB5">
            <w:pPr>
              <w:pStyle w:val="Tabletext"/>
              <w:jc w:val="center"/>
            </w:pPr>
          </w:p>
        </w:tc>
        <w:tc>
          <w:tcPr>
            <w:tcW w:w="1242" w:type="dxa"/>
          </w:tcPr>
          <w:p w14:paraId="014BF155" w14:textId="77777777" w:rsidR="000C5D80" w:rsidRPr="009A791F" w:rsidRDefault="000C5D80" w:rsidP="00664DB5">
            <w:pPr>
              <w:pStyle w:val="Tabletext"/>
              <w:jc w:val="center"/>
            </w:pPr>
          </w:p>
        </w:tc>
        <w:tc>
          <w:tcPr>
            <w:tcW w:w="1242" w:type="dxa"/>
          </w:tcPr>
          <w:p w14:paraId="5975EA52" w14:textId="77777777" w:rsidR="000C5D80" w:rsidRPr="009A791F" w:rsidRDefault="000C5D80" w:rsidP="00664DB5">
            <w:pPr>
              <w:pStyle w:val="Tabletext"/>
              <w:jc w:val="center"/>
            </w:pPr>
          </w:p>
        </w:tc>
      </w:tr>
      <w:tr w:rsidR="000C5D80" w14:paraId="3BE1B9A4" w14:textId="77777777" w:rsidTr="00664DB5">
        <w:tc>
          <w:tcPr>
            <w:tcW w:w="2830" w:type="dxa"/>
          </w:tcPr>
          <w:p w14:paraId="138CA390" w14:textId="77777777" w:rsidR="000C5D80" w:rsidRDefault="000C5D80" w:rsidP="00664DB5">
            <w:pPr>
              <w:pStyle w:val="Tabletext"/>
            </w:pPr>
            <w:r w:rsidRPr="00F04476">
              <w:t>Number of patients</w:t>
            </w:r>
          </w:p>
        </w:tc>
        <w:tc>
          <w:tcPr>
            <w:tcW w:w="1241" w:type="dxa"/>
          </w:tcPr>
          <w:p w14:paraId="156B7F17" w14:textId="77777777" w:rsidR="000C5D80" w:rsidRDefault="000C5D80" w:rsidP="00664DB5">
            <w:pPr>
              <w:pStyle w:val="Tabletext"/>
              <w:jc w:val="center"/>
            </w:pPr>
            <w:r w:rsidRPr="00542D42">
              <w:t xml:space="preserve"> - </w:t>
            </w:r>
          </w:p>
        </w:tc>
        <w:tc>
          <w:tcPr>
            <w:tcW w:w="1242" w:type="dxa"/>
          </w:tcPr>
          <w:p w14:paraId="57F75C89" w14:textId="77777777" w:rsidR="000C5D80" w:rsidRDefault="000C5D80" w:rsidP="00664DB5">
            <w:pPr>
              <w:pStyle w:val="Tabletext"/>
              <w:jc w:val="center"/>
            </w:pPr>
            <w:r w:rsidRPr="00542D42">
              <w:t xml:space="preserve"> - </w:t>
            </w:r>
          </w:p>
        </w:tc>
        <w:tc>
          <w:tcPr>
            <w:tcW w:w="1241" w:type="dxa"/>
          </w:tcPr>
          <w:p w14:paraId="47A5E30A" w14:textId="77777777" w:rsidR="000C5D80" w:rsidRDefault="000C5D80" w:rsidP="00664DB5">
            <w:pPr>
              <w:pStyle w:val="Tabletext"/>
              <w:jc w:val="center"/>
            </w:pPr>
            <w:r w:rsidRPr="00542D42">
              <w:t xml:space="preserve"> - </w:t>
            </w:r>
          </w:p>
        </w:tc>
        <w:tc>
          <w:tcPr>
            <w:tcW w:w="1242" w:type="dxa"/>
          </w:tcPr>
          <w:p w14:paraId="4203C65B" w14:textId="77777777" w:rsidR="000C5D80" w:rsidRDefault="000C5D80" w:rsidP="00664DB5">
            <w:pPr>
              <w:pStyle w:val="Tabletext"/>
              <w:jc w:val="center"/>
            </w:pPr>
            <w:r w:rsidRPr="00542D42">
              <w:t xml:space="preserve"> - </w:t>
            </w:r>
          </w:p>
        </w:tc>
        <w:tc>
          <w:tcPr>
            <w:tcW w:w="1242" w:type="dxa"/>
          </w:tcPr>
          <w:p w14:paraId="25DD7517" w14:textId="77777777" w:rsidR="000C5D80" w:rsidRDefault="000C5D80" w:rsidP="00664DB5">
            <w:pPr>
              <w:pStyle w:val="Tabletext"/>
              <w:jc w:val="center"/>
            </w:pPr>
            <w:r w:rsidRPr="00542D42">
              <w:t xml:space="preserve"> 1,076 </w:t>
            </w:r>
          </w:p>
        </w:tc>
      </w:tr>
      <w:tr w:rsidR="000C5D80" w14:paraId="05CD2395" w14:textId="77777777" w:rsidTr="00664DB5">
        <w:tc>
          <w:tcPr>
            <w:tcW w:w="2830" w:type="dxa"/>
          </w:tcPr>
          <w:p w14:paraId="5D9B8A97" w14:textId="77777777" w:rsidR="000C5D80" w:rsidRDefault="000C5D80" w:rsidP="00664DB5">
            <w:pPr>
              <w:pStyle w:val="Tabletext"/>
            </w:pPr>
            <w:r w:rsidRPr="00F04476">
              <w:t>Cost of re-analysis per patient</w:t>
            </w:r>
          </w:p>
        </w:tc>
        <w:tc>
          <w:tcPr>
            <w:tcW w:w="1241" w:type="dxa"/>
          </w:tcPr>
          <w:p w14:paraId="33209DAB" w14:textId="77777777" w:rsidR="000C5D80" w:rsidRDefault="000C5D80" w:rsidP="00664DB5">
            <w:pPr>
              <w:pStyle w:val="Tabletext"/>
              <w:jc w:val="center"/>
            </w:pPr>
            <w:r w:rsidRPr="00542D42">
              <w:t xml:space="preserve"> $350 </w:t>
            </w:r>
          </w:p>
        </w:tc>
        <w:tc>
          <w:tcPr>
            <w:tcW w:w="1242" w:type="dxa"/>
          </w:tcPr>
          <w:p w14:paraId="054D88A9" w14:textId="77777777" w:rsidR="000C5D80" w:rsidRDefault="000C5D80" w:rsidP="00664DB5">
            <w:pPr>
              <w:pStyle w:val="Tabletext"/>
              <w:jc w:val="center"/>
            </w:pPr>
            <w:r w:rsidRPr="00542D42">
              <w:t xml:space="preserve"> $350 </w:t>
            </w:r>
          </w:p>
        </w:tc>
        <w:tc>
          <w:tcPr>
            <w:tcW w:w="1241" w:type="dxa"/>
          </w:tcPr>
          <w:p w14:paraId="0A805F37" w14:textId="77777777" w:rsidR="000C5D80" w:rsidRDefault="000C5D80" w:rsidP="00664DB5">
            <w:pPr>
              <w:pStyle w:val="Tabletext"/>
              <w:jc w:val="center"/>
            </w:pPr>
            <w:r w:rsidRPr="00542D42">
              <w:t xml:space="preserve"> $350 </w:t>
            </w:r>
          </w:p>
        </w:tc>
        <w:tc>
          <w:tcPr>
            <w:tcW w:w="1242" w:type="dxa"/>
          </w:tcPr>
          <w:p w14:paraId="79D16DB6" w14:textId="77777777" w:rsidR="000C5D80" w:rsidRDefault="000C5D80" w:rsidP="00664DB5">
            <w:pPr>
              <w:pStyle w:val="Tabletext"/>
              <w:jc w:val="center"/>
            </w:pPr>
            <w:r w:rsidRPr="00542D42">
              <w:t xml:space="preserve"> $350 </w:t>
            </w:r>
          </w:p>
        </w:tc>
        <w:tc>
          <w:tcPr>
            <w:tcW w:w="1242" w:type="dxa"/>
          </w:tcPr>
          <w:p w14:paraId="726AC9D0" w14:textId="77777777" w:rsidR="000C5D80" w:rsidRDefault="000C5D80" w:rsidP="00664DB5">
            <w:pPr>
              <w:pStyle w:val="Tabletext"/>
              <w:jc w:val="center"/>
            </w:pPr>
            <w:r w:rsidRPr="00542D42">
              <w:t xml:space="preserve"> $350 </w:t>
            </w:r>
          </w:p>
        </w:tc>
      </w:tr>
      <w:tr w:rsidR="000C5D80" w14:paraId="4C1F872C" w14:textId="77777777" w:rsidTr="00664DB5">
        <w:tc>
          <w:tcPr>
            <w:tcW w:w="2830" w:type="dxa"/>
          </w:tcPr>
          <w:p w14:paraId="29DAB7B7" w14:textId="77777777" w:rsidR="000C5D80" w:rsidRDefault="000C5D80" w:rsidP="00664DB5">
            <w:pPr>
              <w:pStyle w:val="Tabletext"/>
            </w:pPr>
            <w:r w:rsidRPr="00F04476">
              <w:t>Total cost</w:t>
            </w:r>
          </w:p>
        </w:tc>
        <w:tc>
          <w:tcPr>
            <w:tcW w:w="1241" w:type="dxa"/>
          </w:tcPr>
          <w:p w14:paraId="46C69DE1" w14:textId="77777777" w:rsidR="000C5D80" w:rsidRDefault="000C5D80" w:rsidP="00664DB5">
            <w:pPr>
              <w:pStyle w:val="Tabletext"/>
              <w:jc w:val="center"/>
            </w:pPr>
            <w:r w:rsidRPr="00542D42">
              <w:t xml:space="preserve"> $- </w:t>
            </w:r>
          </w:p>
        </w:tc>
        <w:tc>
          <w:tcPr>
            <w:tcW w:w="1242" w:type="dxa"/>
          </w:tcPr>
          <w:p w14:paraId="4CA395A2" w14:textId="77777777" w:rsidR="000C5D80" w:rsidRDefault="000C5D80" w:rsidP="00664DB5">
            <w:pPr>
              <w:pStyle w:val="Tabletext"/>
              <w:jc w:val="center"/>
            </w:pPr>
            <w:r w:rsidRPr="00542D42">
              <w:t xml:space="preserve"> $- </w:t>
            </w:r>
          </w:p>
        </w:tc>
        <w:tc>
          <w:tcPr>
            <w:tcW w:w="1241" w:type="dxa"/>
          </w:tcPr>
          <w:p w14:paraId="3AB039F9" w14:textId="77777777" w:rsidR="000C5D80" w:rsidRDefault="000C5D80" w:rsidP="00664DB5">
            <w:pPr>
              <w:pStyle w:val="Tabletext"/>
              <w:jc w:val="center"/>
            </w:pPr>
            <w:r w:rsidRPr="00542D42">
              <w:t xml:space="preserve"> $- </w:t>
            </w:r>
          </w:p>
        </w:tc>
        <w:tc>
          <w:tcPr>
            <w:tcW w:w="1242" w:type="dxa"/>
          </w:tcPr>
          <w:p w14:paraId="15ACE24C" w14:textId="77777777" w:rsidR="000C5D80" w:rsidRDefault="000C5D80" w:rsidP="00664DB5">
            <w:pPr>
              <w:pStyle w:val="Tabletext"/>
              <w:jc w:val="center"/>
            </w:pPr>
            <w:r w:rsidRPr="00542D42">
              <w:t xml:space="preserve"> $- </w:t>
            </w:r>
          </w:p>
        </w:tc>
        <w:tc>
          <w:tcPr>
            <w:tcW w:w="1242" w:type="dxa"/>
          </w:tcPr>
          <w:p w14:paraId="2472331C" w14:textId="77777777" w:rsidR="000C5D80" w:rsidRDefault="000C5D80" w:rsidP="00664DB5">
            <w:pPr>
              <w:pStyle w:val="Tabletext"/>
              <w:jc w:val="center"/>
            </w:pPr>
            <w:r w:rsidRPr="00542D42">
              <w:t xml:space="preserve"> $376,433 </w:t>
            </w:r>
          </w:p>
        </w:tc>
      </w:tr>
      <w:tr w:rsidR="000C5D80" w14:paraId="0659472D" w14:textId="77777777" w:rsidTr="00664DB5">
        <w:tc>
          <w:tcPr>
            <w:tcW w:w="2830" w:type="dxa"/>
          </w:tcPr>
          <w:p w14:paraId="70918031" w14:textId="77777777" w:rsidR="000C5D80" w:rsidRPr="00352F2D" w:rsidRDefault="000C5D80" w:rsidP="00664DB5">
            <w:pPr>
              <w:pStyle w:val="Tabletext"/>
              <w:rPr>
                <w:b/>
              </w:rPr>
            </w:pPr>
            <w:r w:rsidRPr="00F04476">
              <w:t>MBS rebate (85%)</w:t>
            </w:r>
          </w:p>
        </w:tc>
        <w:tc>
          <w:tcPr>
            <w:tcW w:w="1241" w:type="dxa"/>
          </w:tcPr>
          <w:p w14:paraId="18EFD682" w14:textId="77777777" w:rsidR="000C5D80" w:rsidRPr="00352F2D" w:rsidRDefault="000C5D80" w:rsidP="00664DB5">
            <w:pPr>
              <w:pStyle w:val="Tabletext"/>
              <w:jc w:val="center"/>
              <w:rPr>
                <w:b/>
              </w:rPr>
            </w:pPr>
            <w:r w:rsidRPr="00542D42">
              <w:t xml:space="preserve"> $- </w:t>
            </w:r>
          </w:p>
        </w:tc>
        <w:tc>
          <w:tcPr>
            <w:tcW w:w="1242" w:type="dxa"/>
          </w:tcPr>
          <w:p w14:paraId="4404F2B2" w14:textId="77777777" w:rsidR="000C5D80" w:rsidRPr="00352F2D" w:rsidRDefault="000C5D80" w:rsidP="00664DB5">
            <w:pPr>
              <w:pStyle w:val="Tabletext"/>
              <w:jc w:val="center"/>
              <w:rPr>
                <w:b/>
              </w:rPr>
            </w:pPr>
            <w:r w:rsidRPr="00542D42">
              <w:t xml:space="preserve"> $- </w:t>
            </w:r>
          </w:p>
        </w:tc>
        <w:tc>
          <w:tcPr>
            <w:tcW w:w="1241" w:type="dxa"/>
          </w:tcPr>
          <w:p w14:paraId="0CDF7CB8" w14:textId="77777777" w:rsidR="000C5D80" w:rsidRPr="00352F2D" w:rsidRDefault="000C5D80" w:rsidP="00664DB5">
            <w:pPr>
              <w:pStyle w:val="Tabletext"/>
              <w:jc w:val="center"/>
              <w:rPr>
                <w:b/>
              </w:rPr>
            </w:pPr>
            <w:r w:rsidRPr="00542D42">
              <w:t xml:space="preserve"> $- </w:t>
            </w:r>
          </w:p>
        </w:tc>
        <w:tc>
          <w:tcPr>
            <w:tcW w:w="1242" w:type="dxa"/>
          </w:tcPr>
          <w:p w14:paraId="74C06174" w14:textId="77777777" w:rsidR="000C5D80" w:rsidRPr="00352F2D" w:rsidRDefault="000C5D80" w:rsidP="00664DB5">
            <w:pPr>
              <w:pStyle w:val="Tabletext"/>
              <w:jc w:val="center"/>
              <w:rPr>
                <w:b/>
              </w:rPr>
            </w:pPr>
            <w:r w:rsidRPr="00542D42">
              <w:t xml:space="preserve"> $- </w:t>
            </w:r>
          </w:p>
        </w:tc>
        <w:tc>
          <w:tcPr>
            <w:tcW w:w="1242" w:type="dxa"/>
          </w:tcPr>
          <w:p w14:paraId="13678B57" w14:textId="77777777" w:rsidR="000C5D80" w:rsidRPr="00352F2D" w:rsidRDefault="000C5D80" w:rsidP="00664DB5">
            <w:pPr>
              <w:pStyle w:val="Tabletext"/>
              <w:jc w:val="center"/>
              <w:rPr>
                <w:b/>
              </w:rPr>
            </w:pPr>
            <w:r w:rsidRPr="00542D42">
              <w:t xml:space="preserve"> $319,968 </w:t>
            </w:r>
          </w:p>
        </w:tc>
      </w:tr>
      <w:tr w:rsidR="000C5D80" w14:paraId="355C8EC0" w14:textId="77777777" w:rsidTr="00664DB5">
        <w:tc>
          <w:tcPr>
            <w:tcW w:w="2830" w:type="dxa"/>
          </w:tcPr>
          <w:p w14:paraId="2A0C302A" w14:textId="77777777" w:rsidR="000C5D80" w:rsidRPr="00352F2D" w:rsidRDefault="000C5D80" w:rsidP="00664DB5">
            <w:pPr>
              <w:pStyle w:val="Tabletext"/>
              <w:rPr>
                <w:b/>
              </w:rPr>
            </w:pPr>
            <w:r w:rsidRPr="00F04476">
              <w:t>Patient contributions</w:t>
            </w:r>
          </w:p>
        </w:tc>
        <w:tc>
          <w:tcPr>
            <w:tcW w:w="1241" w:type="dxa"/>
            <w:tcBorders>
              <w:bottom w:val="single" w:sz="4" w:space="0" w:color="auto"/>
            </w:tcBorders>
          </w:tcPr>
          <w:p w14:paraId="30A0722E" w14:textId="77777777" w:rsidR="000C5D80" w:rsidRPr="00352F2D" w:rsidRDefault="000C5D80" w:rsidP="00664DB5">
            <w:pPr>
              <w:pStyle w:val="Tabletext"/>
              <w:jc w:val="center"/>
              <w:rPr>
                <w:b/>
              </w:rPr>
            </w:pPr>
            <w:r w:rsidRPr="00542D42">
              <w:t xml:space="preserve"> $- </w:t>
            </w:r>
          </w:p>
        </w:tc>
        <w:tc>
          <w:tcPr>
            <w:tcW w:w="1242" w:type="dxa"/>
            <w:tcBorders>
              <w:bottom w:val="single" w:sz="4" w:space="0" w:color="auto"/>
            </w:tcBorders>
          </w:tcPr>
          <w:p w14:paraId="16492E06" w14:textId="77777777" w:rsidR="000C5D80" w:rsidRPr="00352F2D" w:rsidRDefault="000C5D80" w:rsidP="00664DB5">
            <w:pPr>
              <w:pStyle w:val="Tabletext"/>
              <w:jc w:val="center"/>
              <w:rPr>
                <w:b/>
              </w:rPr>
            </w:pPr>
            <w:r w:rsidRPr="00542D42">
              <w:t xml:space="preserve"> $- </w:t>
            </w:r>
          </w:p>
        </w:tc>
        <w:tc>
          <w:tcPr>
            <w:tcW w:w="1241" w:type="dxa"/>
            <w:tcBorders>
              <w:bottom w:val="single" w:sz="4" w:space="0" w:color="auto"/>
            </w:tcBorders>
          </w:tcPr>
          <w:p w14:paraId="10775175" w14:textId="77777777" w:rsidR="000C5D80" w:rsidRPr="00352F2D" w:rsidRDefault="000C5D80" w:rsidP="00664DB5">
            <w:pPr>
              <w:pStyle w:val="Tabletext"/>
              <w:jc w:val="center"/>
              <w:rPr>
                <w:b/>
              </w:rPr>
            </w:pPr>
            <w:r w:rsidRPr="00542D42">
              <w:t xml:space="preserve"> $- </w:t>
            </w:r>
          </w:p>
        </w:tc>
        <w:tc>
          <w:tcPr>
            <w:tcW w:w="1242" w:type="dxa"/>
            <w:tcBorders>
              <w:bottom w:val="single" w:sz="4" w:space="0" w:color="auto"/>
            </w:tcBorders>
          </w:tcPr>
          <w:p w14:paraId="4C7CAE99" w14:textId="77777777" w:rsidR="000C5D80" w:rsidRPr="00352F2D" w:rsidRDefault="000C5D80" w:rsidP="00664DB5">
            <w:pPr>
              <w:pStyle w:val="Tabletext"/>
              <w:jc w:val="center"/>
              <w:rPr>
                <w:b/>
              </w:rPr>
            </w:pPr>
            <w:r w:rsidRPr="00542D42">
              <w:t xml:space="preserve"> $- </w:t>
            </w:r>
          </w:p>
        </w:tc>
        <w:tc>
          <w:tcPr>
            <w:tcW w:w="1242" w:type="dxa"/>
            <w:tcBorders>
              <w:bottom w:val="single" w:sz="4" w:space="0" w:color="auto"/>
            </w:tcBorders>
          </w:tcPr>
          <w:p w14:paraId="66430D27" w14:textId="77777777" w:rsidR="000C5D80" w:rsidRPr="00352F2D" w:rsidRDefault="000C5D80" w:rsidP="00664DB5">
            <w:pPr>
              <w:pStyle w:val="Tabletext"/>
              <w:jc w:val="center"/>
              <w:rPr>
                <w:b/>
              </w:rPr>
            </w:pPr>
            <w:r w:rsidRPr="00542D42">
              <w:t xml:space="preserve"> $56,465 </w:t>
            </w:r>
          </w:p>
        </w:tc>
      </w:tr>
      <w:tr w:rsidR="000C5D80" w14:paraId="6EBFC6E3" w14:textId="77777777" w:rsidTr="00664DB5">
        <w:tc>
          <w:tcPr>
            <w:tcW w:w="2830" w:type="dxa"/>
            <w:tcBorders>
              <w:right w:val="nil"/>
            </w:tcBorders>
          </w:tcPr>
          <w:p w14:paraId="3ADD1FB6" w14:textId="77777777" w:rsidR="000C5D80" w:rsidRPr="00F04476" w:rsidRDefault="000C5D80" w:rsidP="00664DB5">
            <w:pPr>
              <w:pStyle w:val="TableH1"/>
            </w:pPr>
            <w:r>
              <w:t>Total population (re-analyses)</w:t>
            </w:r>
          </w:p>
        </w:tc>
        <w:tc>
          <w:tcPr>
            <w:tcW w:w="1241" w:type="dxa"/>
            <w:tcBorders>
              <w:left w:val="nil"/>
              <w:right w:val="nil"/>
            </w:tcBorders>
          </w:tcPr>
          <w:p w14:paraId="5016594A" w14:textId="77777777" w:rsidR="000C5D80" w:rsidRPr="00F04476" w:rsidRDefault="000C5D80" w:rsidP="00664DB5">
            <w:pPr>
              <w:pStyle w:val="Tabletext"/>
              <w:jc w:val="center"/>
            </w:pPr>
          </w:p>
        </w:tc>
        <w:tc>
          <w:tcPr>
            <w:tcW w:w="1242" w:type="dxa"/>
            <w:tcBorders>
              <w:left w:val="nil"/>
              <w:right w:val="nil"/>
            </w:tcBorders>
          </w:tcPr>
          <w:p w14:paraId="046C535D" w14:textId="77777777" w:rsidR="000C5D80" w:rsidRPr="00F04476" w:rsidRDefault="000C5D80" w:rsidP="00664DB5">
            <w:pPr>
              <w:pStyle w:val="Tabletext"/>
              <w:jc w:val="center"/>
            </w:pPr>
          </w:p>
        </w:tc>
        <w:tc>
          <w:tcPr>
            <w:tcW w:w="1241" w:type="dxa"/>
            <w:tcBorders>
              <w:left w:val="nil"/>
              <w:right w:val="nil"/>
            </w:tcBorders>
          </w:tcPr>
          <w:p w14:paraId="4AC6C457" w14:textId="77777777" w:rsidR="000C5D80" w:rsidRPr="00F04476" w:rsidRDefault="000C5D80" w:rsidP="00664DB5">
            <w:pPr>
              <w:pStyle w:val="Tabletext"/>
              <w:jc w:val="center"/>
            </w:pPr>
          </w:p>
        </w:tc>
        <w:tc>
          <w:tcPr>
            <w:tcW w:w="1242" w:type="dxa"/>
            <w:tcBorders>
              <w:left w:val="nil"/>
              <w:right w:val="nil"/>
            </w:tcBorders>
          </w:tcPr>
          <w:p w14:paraId="4667283A" w14:textId="77777777" w:rsidR="000C5D80" w:rsidRPr="00F04476" w:rsidRDefault="000C5D80" w:rsidP="00664DB5">
            <w:pPr>
              <w:pStyle w:val="Tabletext"/>
              <w:jc w:val="center"/>
            </w:pPr>
          </w:p>
        </w:tc>
        <w:tc>
          <w:tcPr>
            <w:tcW w:w="1242" w:type="dxa"/>
            <w:tcBorders>
              <w:left w:val="nil"/>
            </w:tcBorders>
          </w:tcPr>
          <w:p w14:paraId="7E7F251D" w14:textId="77777777" w:rsidR="000C5D80" w:rsidRPr="00F04476" w:rsidRDefault="000C5D80" w:rsidP="00664DB5">
            <w:pPr>
              <w:pStyle w:val="Tabletext"/>
              <w:jc w:val="center"/>
            </w:pPr>
          </w:p>
        </w:tc>
      </w:tr>
      <w:tr w:rsidR="000C5D80" w14:paraId="619A24A2" w14:textId="77777777" w:rsidTr="00664DB5">
        <w:tc>
          <w:tcPr>
            <w:tcW w:w="2830" w:type="dxa"/>
          </w:tcPr>
          <w:p w14:paraId="4E3DEE52" w14:textId="77777777" w:rsidR="000C5D80" w:rsidRPr="00F04476" w:rsidRDefault="000C5D80" w:rsidP="00664DB5">
            <w:pPr>
              <w:pStyle w:val="Tabletext"/>
            </w:pPr>
            <w:r w:rsidRPr="00670130">
              <w:t>Total cost</w:t>
            </w:r>
          </w:p>
        </w:tc>
        <w:tc>
          <w:tcPr>
            <w:tcW w:w="1241" w:type="dxa"/>
          </w:tcPr>
          <w:p w14:paraId="38ECA35F" w14:textId="77777777" w:rsidR="000C5D80" w:rsidRPr="00F04476" w:rsidRDefault="000C5D80" w:rsidP="00664DB5">
            <w:pPr>
              <w:pStyle w:val="Tabletext"/>
              <w:jc w:val="center"/>
            </w:pPr>
            <w:r w:rsidRPr="00A203B4">
              <w:t xml:space="preserve"> $- </w:t>
            </w:r>
          </w:p>
        </w:tc>
        <w:tc>
          <w:tcPr>
            <w:tcW w:w="1242" w:type="dxa"/>
          </w:tcPr>
          <w:p w14:paraId="69443658" w14:textId="77777777" w:rsidR="000C5D80" w:rsidRPr="00F04476" w:rsidRDefault="000C5D80" w:rsidP="00664DB5">
            <w:pPr>
              <w:pStyle w:val="Tabletext"/>
              <w:jc w:val="center"/>
            </w:pPr>
            <w:r w:rsidRPr="00A203B4">
              <w:t xml:space="preserve"> $- </w:t>
            </w:r>
          </w:p>
        </w:tc>
        <w:tc>
          <w:tcPr>
            <w:tcW w:w="1241" w:type="dxa"/>
          </w:tcPr>
          <w:p w14:paraId="78E5CF11" w14:textId="77777777" w:rsidR="000C5D80" w:rsidRPr="00F04476" w:rsidRDefault="000C5D80" w:rsidP="00664DB5">
            <w:pPr>
              <w:pStyle w:val="Tabletext"/>
              <w:jc w:val="center"/>
            </w:pPr>
            <w:r w:rsidRPr="00A203B4">
              <w:t xml:space="preserve"> $566,533 </w:t>
            </w:r>
          </w:p>
        </w:tc>
        <w:tc>
          <w:tcPr>
            <w:tcW w:w="1242" w:type="dxa"/>
          </w:tcPr>
          <w:p w14:paraId="2345BE1B" w14:textId="77777777" w:rsidR="000C5D80" w:rsidRPr="00F04476" w:rsidRDefault="000C5D80" w:rsidP="00664DB5">
            <w:pPr>
              <w:pStyle w:val="Tabletext"/>
              <w:jc w:val="center"/>
            </w:pPr>
            <w:r w:rsidRPr="00A203B4">
              <w:t xml:space="preserve"> $574,609 </w:t>
            </w:r>
          </w:p>
        </w:tc>
        <w:tc>
          <w:tcPr>
            <w:tcW w:w="1242" w:type="dxa"/>
          </w:tcPr>
          <w:p w14:paraId="459AE042" w14:textId="77777777" w:rsidR="000C5D80" w:rsidRPr="00F04476" w:rsidRDefault="000C5D80" w:rsidP="00664DB5">
            <w:pPr>
              <w:pStyle w:val="Tabletext"/>
              <w:jc w:val="center"/>
            </w:pPr>
            <w:r w:rsidRPr="00A203B4">
              <w:t xml:space="preserve"> $1,071,131 </w:t>
            </w:r>
          </w:p>
        </w:tc>
      </w:tr>
      <w:tr w:rsidR="000C5D80" w14:paraId="7ADA968D" w14:textId="77777777" w:rsidTr="00664DB5">
        <w:trPr>
          <w:trHeight w:val="189"/>
        </w:trPr>
        <w:tc>
          <w:tcPr>
            <w:tcW w:w="2830" w:type="dxa"/>
          </w:tcPr>
          <w:p w14:paraId="717C40D4" w14:textId="77777777" w:rsidR="000C5D80" w:rsidRPr="00F04476" w:rsidRDefault="000C5D80" w:rsidP="00664DB5">
            <w:pPr>
              <w:pStyle w:val="Tabletext"/>
            </w:pPr>
            <w:r w:rsidRPr="00670130">
              <w:t>MBS rebate (85%)</w:t>
            </w:r>
          </w:p>
        </w:tc>
        <w:tc>
          <w:tcPr>
            <w:tcW w:w="1241" w:type="dxa"/>
          </w:tcPr>
          <w:p w14:paraId="46CFE706" w14:textId="77777777" w:rsidR="000C5D80" w:rsidRPr="00F04476" w:rsidRDefault="000C5D80" w:rsidP="00664DB5">
            <w:pPr>
              <w:pStyle w:val="Tabletext"/>
              <w:jc w:val="center"/>
            </w:pPr>
            <w:r w:rsidRPr="00A203B4">
              <w:t xml:space="preserve"> $- </w:t>
            </w:r>
          </w:p>
        </w:tc>
        <w:tc>
          <w:tcPr>
            <w:tcW w:w="1242" w:type="dxa"/>
          </w:tcPr>
          <w:p w14:paraId="30DE9B23" w14:textId="77777777" w:rsidR="000C5D80" w:rsidRPr="00F04476" w:rsidRDefault="000C5D80" w:rsidP="00664DB5">
            <w:pPr>
              <w:pStyle w:val="Tabletext"/>
              <w:jc w:val="center"/>
            </w:pPr>
            <w:r w:rsidRPr="00A203B4">
              <w:t xml:space="preserve"> $- </w:t>
            </w:r>
          </w:p>
        </w:tc>
        <w:tc>
          <w:tcPr>
            <w:tcW w:w="1241" w:type="dxa"/>
          </w:tcPr>
          <w:p w14:paraId="66F24BE7" w14:textId="77777777" w:rsidR="000C5D80" w:rsidRPr="00F04476" w:rsidRDefault="000C5D80" w:rsidP="00664DB5">
            <w:pPr>
              <w:pStyle w:val="Tabletext"/>
              <w:jc w:val="center"/>
            </w:pPr>
            <w:r w:rsidRPr="00A203B4">
              <w:t xml:space="preserve"> $481,553 </w:t>
            </w:r>
          </w:p>
        </w:tc>
        <w:tc>
          <w:tcPr>
            <w:tcW w:w="1242" w:type="dxa"/>
          </w:tcPr>
          <w:p w14:paraId="7856D3FA" w14:textId="77777777" w:rsidR="000C5D80" w:rsidRPr="00F04476" w:rsidRDefault="000C5D80" w:rsidP="00664DB5">
            <w:pPr>
              <w:pStyle w:val="Tabletext"/>
              <w:jc w:val="center"/>
            </w:pPr>
            <w:r w:rsidRPr="00A203B4">
              <w:t xml:space="preserve"> $488,418 </w:t>
            </w:r>
          </w:p>
        </w:tc>
        <w:tc>
          <w:tcPr>
            <w:tcW w:w="1242" w:type="dxa"/>
          </w:tcPr>
          <w:p w14:paraId="360F0FB6" w14:textId="77777777" w:rsidR="000C5D80" w:rsidRPr="00F04476" w:rsidRDefault="000C5D80" w:rsidP="00664DB5">
            <w:pPr>
              <w:pStyle w:val="Tabletext"/>
              <w:jc w:val="center"/>
            </w:pPr>
            <w:r w:rsidRPr="00A203B4">
              <w:t xml:space="preserve"> $910,461 </w:t>
            </w:r>
          </w:p>
        </w:tc>
      </w:tr>
      <w:tr w:rsidR="000C5D80" w14:paraId="3C74C8A0" w14:textId="77777777" w:rsidTr="00664DB5">
        <w:tc>
          <w:tcPr>
            <w:tcW w:w="2830" w:type="dxa"/>
          </w:tcPr>
          <w:p w14:paraId="2ECE8C78" w14:textId="77777777" w:rsidR="000C5D80" w:rsidRPr="00F04476" w:rsidRDefault="000C5D80" w:rsidP="00664DB5">
            <w:pPr>
              <w:pStyle w:val="Tabletext"/>
            </w:pPr>
            <w:r w:rsidRPr="00670130">
              <w:t>Patient contributions</w:t>
            </w:r>
          </w:p>
        </w:tc>
        <w:tc>
          <w:tcPr>
            <w:tcW w:w="1241" w:type="dxa"/>
          </w:tcPr>
          <w:p w14:paraId="44EFAB24" w14:textId="77777777" w:rsidR="000C5D80" w:rsidRPr="00F04476" w:rsidRDefault="000C5D80" w:rsidP="00664DB5">
            <w:pPr>
              <w:pStyle w:val="Tabletext"/>
              <w:jc w:val="center"/>
            </w:pPr>
            <w:r w:rsidRPr="00A203B4">
              <w:t xml:space="preserve"> $- </w:t>
            </w:r>
          </w:p>
        </w:tc>
        <w:tc>
          <w:tcPr>
            <w:tcW w:w="1242" w:type="dxa"/>
          </w:tcPr>
          <w:p w14:paraId="39854BDC" w14:textId="77777777" w:rsidR="000C5D80" w:rsidRPr="00F04476" w:rsidRDefault="000C5D80" w:rsidP="00664DB5">
            <w:pPr>
              <w:pStyle w:val="Tabletext"/>
              <w:jc w:val="center"/>
            </w:pPr>
            <w:r w:rsidRPr="00A203B4">
              <w:t xml:space="preserve"> $- </w:t>
            </w:r>
          </w:p>
        </w:tc>
        <w:tc>
          <w:tcPr>
            <w:tcW w:w="1241" w:type="dxa"/>
          </w:tcPr>
          <w:p w14:paraId="49BC1136" w14:textId="77777777" w:rsidR="000C5D80" w:rsidRPr="00F04476" w:rsidRDefault="000C5D80" w:rsidP="00664DB5">
            <w:pPr>
              <w:pStyle w:val="Tabletext"/>
              <w:jc w:val="center"/>
            </w:pPr>
            <w:r w:rsidRPr="00A203B4">
              <w:t xml:space="preserve"> $84,980 </w:t>
            </w:r>
          </w:p>
        </w:tc>
        <w:tc>
          <w:tcPr>
            <w:tcW w:w="1242" w:type="dxa"/>
          </w:tcPr>
          <w:p w14:paraId="4EED19BC" w14:textId="77777777" w:rsidR="000C5D80" w:rsidRPr="00F04476" w:rsidRDefault="000C5D80" w:rsidP="00664DB5">
            <w:pPr>
              <w:pStyle w:val="Tabletext"/>
              <w:jc w:val="center"/>
            </w:pPr>
            <w:r w:rsidRPr="00A203B4">
              <w:t xml:space="preserve"> $86,191 </w:t>
            </w:r>
          </w:p>
        </w:tc>
        <w:tc>
          <w:tcPr>
            <w:tcW w:w="1242" w:type="dxa"/>
          </w:tcPr>
          <w:p w14:paraId="79012852" w14:textId="77777777" w:rsidR="000C5D80" w:rsidRPr="00F04476" w:rsidRDefault="000C5D80" w:rsidP="00664DB5">
            <w:pPr>
              <w:pStyle w:val="Tabletext"/>
              <w:jc w:val="center"/>
            </w:pPr>
            <w:r w:rsidRPr="00A203B4">
              <w:t xml:space="preserve"> $160,670 </w:t>
            </w:r>
          </w:p>
        </w:tc>
      </w:tr>
    </w:tbl>
    <w:p w14:paraId="67417F42" w14:textId="77777777" w:rsidR="000C5D80" w:rsidRPr="007052AA" w:rsidRDefault="000C5D80" w:rsidP="007052AA">
      <w:pPr>
        <w:spacing w:before="240"/>
        <w:rPr>
          <w:rFonts w:ascii="Arial Narrow" w:hAnsi="Arial Narrow"/>
          <w:b/>
          <w:sz w:val="20"/>
        </w:rPr>
      </w:pPr>
      <w:bookmarkStart w:id="18" w:name="_Ref512521044"/>
      <w:bookmarkStart w:id="19" w:name="_Toc513290995"/>
      <w:r w:rsidRPr="007052AA">
        <w:rPr>
          <w:rFonts w:ascii="Arial Narrow" w:hAnsi="Arial Narrow"/>
          <w:b/>
          <w:sz w:val="20"/>
        </w:rPr>
        <w:t xml:space="preserve">Table </w:t>
      </w:r>
      <w:bookmarkEnd w:id="18"/>
      <w:r w:rsidR="00E3780D" w:rsidRPr="007052AA">
        <w:rPr>
          <w:rFonts w:ascii="Arial Narrow" w:hAnsi="Arial Narrow"/>
          <w:b/>
          <w:sz w:val="20"/>
        </w:rPr>
        <w:t>9</w:t>
      </w:r>
      <w:r w:rsidRPr="007052AA">
        <w:rPr>
          <w:rFonts w:ascii="Arial Narrow" w:hAnsi="Arial Narrow"/>
          <w:b/>
          <w:sz w:val="20"/>
        </w:rPr>
        <w:tab/>
        <w:t xml:space="preserve">Projected </w:t>
      </w:r>
      <w:r w:rsidR="00486832" w:rsidRPr="007052AA">
        <w:rPr>
          <w:rFonts w:ascii="Arial Narrow" w:hAnsi="Arial Narrow"/>
          <w:b/>
          <w:sz w:val="20"/>
        </w:rPr>
        <w:t>cost</w:t>
      </w:r>
      <w:r w:rsidRPr="007052AA">
        <w:rPr>
          <w:rFonts w:ascii="Arial Narrow" w:hAnsi="Arial Narrow"/>
          <w:b/>
          <w:sz w:val="20"/>
        </w:rPr>
        <w:t xml:space="preserve"> of single variant cascade tests </w:t>
      </w:r>
      <w:r w:rsidR="000569BD" w:rsidRPr="007052AA">
        <w:rPr>
          <w:rFonts w:ascii="Arial Narrow" w:hAnsi="Arial Narrow"/>
          <w:b/>
          <w:sz w:val="20"/>
        </w:rPr>
        <w:t>o</w:t>
      </w:r>
      <w:r w:rsidRPr="007052AA">
        <w:rPr>
          <w:rFonts w:ascii="Arial Narrow" w:hAnsi="Arial Narrow"/>
          <w:b/>
          <w:sz w:val="20"/>
        </w:rPr>
        <w:t>f first-degree family members</w:t>
      </w:r>
      <w:r w:rsidR="00486832" w:rsidRPr="007052AA">
        <w:rPr>
          <w:rFonts w:ascii="Arial Narrow" w:hAnsi="Arial Narrow"/>
          <w:b/>
          <w:sz w:val="20"/>
        </w:rPr>
        <w:t xml:space="preserve"> (Population 3)</w:t>
      </w:r>
      <w:r w:rsidRPr="007052AA">
        <w:rPr>
          <w:rFonts w:ascii="Arial Narrow" w:hAnsi="Arial Narrow"/>
          <w:b/>
          <w:sz w:val="20"/>
        </w:rPr>
        <w:t>, 2019–2023</w:t>
      </w:r>
      <w:bookmarkEnd w:id="19"/>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estimated costs of single variant cascaed tests of first degree family members for Population 3 from 2019 to 2023"/>
      </w:tblPr>
      <w:tblGrid>
        <w:gridCol w:w="2957"/>
        <w:gridCol w:w="1211"/>
        <w:gridCol w:w="1211"/>
        <w:gridCol w:w="1212"/>
        <w:gridCol w:w="1212"/>
        <w:gridCol w:w="1213"/>
      </w:tblGrid>
      <w:tr w:rsidR="00486832" w14:paraId="78C24A5B" w14:textId="77777777" w:rsidTr="007052AA">
        <w:trPr>
          <w:tblHeader/>
        </w:trPr>
        <w:tc>
          <w:tcPr>
            <w:tcW w:w="2957" w:type="dxa"/>
          </w:tcPr>
          <w:p w14:paraId="56BBFEB6" w14:textId="77777777" w:rsidR="00486832" w:rsidRDefault="00486832" w:rsidP="005E1BE3">
            <w:pPr>
              <w:pStyle w:val="Tableheading"/>
            </w:pPr>
          </w:p>
        </w:tc>
        <w:tc>
          <w:tcPr>
            <w:tcW w:w="1211" w:type="dxa"/>
          </w:tcPr>
          <w:p w14:paraId="05277000" w14:textId="77777777" w:rsidR="00486832" w:rsidRDefault="00486832" w:rsidP="005E1BE3">
            <w:pPr>
              <w:pStyle w:val="Tableheading"/>
              <w:jc w:val="center"/>
            </w:pPr>
            <w:r>
              <w:t>2019</w:t>
            </w:r>
          </w:p>
        </w:tc>
        <w:tc>
          <w:tcPr>
            <w:tcW w:w="1211" w:type="dxa"/>
          </w:tcPr>
          <w:p w14:paraId="55006858" w14:textId="77777777" w:rsidR="00486832" w:rsidRDefault="00486832" w:rsidP="005E1BE3">
            <w:pPr>
              <w:pStyle w:val="Tableheading"/>
              <w:jc w:val="center"/>
            </w:pPr>
            <w:r>
              <w:t>2020</w:t>
            </w:r>
          </w:p>
        </w:tc>
        <w:tc>
          <w:tcPr>
            <w:tcW w:w="1212" w:type="dxa"/>
          </w:tcPr>
          <w:p w14:paraId="0BAFE897" w14:textId="77777777" w:rsidR="00486832" w:rsidRDefault="00486832" w:rsidP="005E1BE3">
            <w:pPr>
              <w:pStyle w:val="Tableheading"/>
              <w:jc w:val="center"/>
            </w:pPr>
            <w:r>
              <w:t>2021</w:t>
            </w:r>
          </w:p>
        </w:tc>
        <w:tc>
          <w:tcPr>
            <w:tcW w:w="1212" w:type="dxa"/>
          </w:tcPr>
          <w:p w14:paraId="767A9C8E" w14:textId="77777777" w:rsidR="00486832" w:rsidRDefault="00486832" w:rsidP="005E1BE3">
            <w:pPr>
              <w:pStyle w:val="Tableheading"/>
              <w:jc w:val="center"/>
            </w:pPr>
            <w:r>
              <w:t>2022</w:t>
            </w:r>
          </w:p>
        </w:tc>
        <w:tc>
          <w:tcPr>
            <w:tcW w:w="1213" w:type="dxa"/>
          </w:tcPr>
          <w:p w14:paraId="58D4DA29" w14:textId="77777777" w:rsidR="00486832" w:rsidRDefault="00486832" w:rsidP="005E1BE3">
            <w:pPr>
              <w:pStyle w:val="Tableheading"/>
              <w:jc w:val="center"/>
            </w:pPr>
            <w:r>
              <w:t>2023</w:t>
            </w:r>
          </w:p>
        </w:tc>
      </w:tr>
      <w:tr w:rsidR="00486832" w14:paraId="6FD93487" w14:textId="77777777" w:rsidTr="005E1BE3">
        <w:tc>
          <w:tcPr>
            <w:tcW w:w="2957" w:type="dxa"/>
          </w:tcPr>
          <w:p w14:paraId="50AB81BD" w14:textId="77777777" w:rsidR="00486832" w:rsidRDefault="00486832" w:rsidP="005E1BE3">
            <w:pPr>
              <w:pStyle w:val="Tabletext"/>
            </w:pPr>
            <w:r w:rsidRPr="00D900E0">
              <w:t>Number of patients</w:t>
            </w:r>
          </w:p>
        </w:tc>
        <w:tc>
          <w:tcPr>
            <w:tcW w:w="1211" w:type="dxa"/>
          </w:tcPr>
          <w:p w14:paraId="5E9D1317" w14:textId="77777777" w:rsidR="00486832" w:rsidRDefault="00486832" w:rsidP="005E1BE3">
            <w:pPr>
              <w:pStyle w:val="Tabletext"/>
              <w:jc w:val="center"/>
            </w:pPr>
            <w:r w:rsidRPr="003F73A7">
              <w:t xml:space="preserve"> 5,235 </w:t>
            </w:r>
          </w:p>
        </w:tc>
        <w:tc>
          <w:tcPr>
            <w:tcW w:w="1211" w:type="dxa"/>
          </w:tcPr>
          <w:p w14:paraId="4AF2349E" w14:textId="77777777" w:rsidR="00486832" w:rsidRDefault="00486832" w:rsidP="005E1BE3">
            <w:pPr>
              <w:pStyle w:val="Tabletext"/>
              <w:jc w:val="center"/>
            </w:pPr>
            <w:r w:rsidRPr="003F73A7">
              <w:t xml:space="preserve"> 5,309 </w:t>
            </w:r>
          </w:p>
        </w:tc>
        <w:tc>
          <w:tcPr>
            <w:tcW w:w="1212" w:type="dxa"/>
          </w:tcPr>
          <w:p w14:paraId="48D97461" w14:textId="77777777" w:rsidR="00486832" w:rsidRDefault="00486832" w:rsidP="005E1BE3">
            <w:pPr>
              <w:pStyle w:val="Tabletext"/>
              <w:jc w:val="center"/>
            </w:pPr>
            <w:r w:rsidRPr="003F73A7">
              <w:t xml:space="preserve"> 5,385 </w:t>
            </w:r>
          </w:p>
        </w:tc>
        <w:tc>
          <w:tcPr>
            <w:tcW w:w="1212" w:type="dxa"/>
          </w:tcPr>
          <w:p w14:paraId="5952850E" w14:textId="77777777" w:rsidR="00486832" w:rsidRDefault="00486832" w:rsidP="005E1BE3">
            <w:pPr>
              <w:pStyle w:val="Tabletext"/>
              <w:jc w:val="center"/>
            </w:pPr>
            <w:r w:rsidRPr="003F73A7">
              <w:t xml:space="preserve"> 4,231 </w:t>
            </w:r>
          </w:p>
        </w:tc>
        <w:tc>
          <w:tcPr>
            <w:tcW w:w="1213" w:type="dxa"/>
          </w:tcPr>
          <w:p w14:paraId="4DC73F6E" w14:textId="77777777" w:rsidR="00486832" w:rsidRDefault="00486832" w:rsidP="005E1BE3">
            <w:pPr>
              <w:pStyle w:val="Tabletext"/>
              <w:jc w:val="center"/>
            </w:pPr>
            <w:r w:rsidRPr="003F73A7">
              <w:t xml:space="preserve"> 4,308 </w:t>
            </w:r>
          </w:p>
        </w:tc>
      </w:tr>
      <w:tr w:rsidR="00486832" w14:paraId="6352C9E2" w14:textId="77777777" w:rsidTr="005E1BE3">
        <w:tc>
          <w:tcPr>
            <w:tcW w:w="2957" w:type="dxa"/>
          </w:tcPr>
          <w:p w14:paraId="7AC10983" w14:textId="77777777" w:rsidR="00486832" w:rsidRDefault="00486832" w:rsidP="005E1BE3">
            <w:pPr>
              <w:pStyle w:val="Tabletext"/>
            </w:pPr>
            <w:r w:rsidRPr="00D900E0">
              <w:t>Cost of cascade testing per patient</w:t>
            </w:r>
          </w:p>
        </w:tc>
        <w:tc>
          <w:tcPr>
            <w:tcW w:w="1211" w:type="dxa"/>
          </w:tcPr>
          <w:p w14:paraId="5A96EB23" w14:textId="77777777" w:rsidR="00486832" w:rsidRDefault="00486832" w:rsidP="005E1BE3">
            <w:pPr>
              <w:pStyle w:val="Tabletext"/>
              <w:jc w:val="center"/>
            </w:pPr>
            <w:r w:rsidRPr="003F73A7">
              <w:t xml:space="preserve"> $400.00 </w:t>
            </w:r>
          </w:p>
        </w:tc>
        <w:tc>
          <w:tcPr>
            <w:tcW w:w="1211" w:type="dxa"/>
          </w:tcPr>
          <w:p w14:paraId="6AC783FD" w14:textId="77777777" w:rsidR="00486832" w:rsidRDefault="00486832" w:rsidP="005E1BE3">
            <w:pPr>
              <w:pStyle w:val="Tabletext"/>
              <w:jc w:val="center"/>
            </w:pPr>
            <w:r w:rsidRPr="003F73A7">
              <w:t xml:space="preserve"> $400.00 </w:t>
            </w:r>
          </w:p>
        </w:tc>
        <w:tc>
          <w:tcPr>
            <w:tcW w:w="1212" w:type="dxa"/>
          </w:tcPr>
          <w:p w14:paraId="031F7ECB" w14:textId="77777777" w:rsidR="00486832" w:rsidRDefault="00486832" w:rsidP="005E1BE3">
            <w:pPr>
              <w:pStyle w:val="Tabletext"/>
              <w:jc w:val="center"/>
            </w:pPr>
            <w:r w:rsidRPr="003F73A7">
              <w:t xml:space="preserve"> $400.00 </w:t>
            </w:r>
          </w:p>
        </w:tc>
        <w:tc>
          <w:tcPr>
            <w:tcW w:w="1212" w:type="dxa"/>
          </w:tcPr>
          <w:p w14:paraId="6A4FEB37" w14:textId="77777777" w:rsidR="00486832" w:rsidRDefault="00486832" w:rsidP="005E1BE3">
            <w:pPr>
              <w:pStyle w:val="Tabletext"/>
              <w:jc w:val="center"/>
            </w:pPr>
            <w:r w:rsidRPr="003F73A7">
              <w:t xml:space="preserve"> $400.00 </w:t>
            </w:r>
          </w:p>
        </w:tc>
        <w:tc>
          <w:tcPr>
            <w:tcW w:w="1213" w:type="dxa"/>
          </w:tcPr>
          <w:p w14:paraId="16FF830A" w14:textId="77777777" w:rsidR="00486832" w:rsidRDefault="00486832" w:rsidP="005E1BE3">
            <w:pPr>
              <w:pStyle w:val="Tabletext"/>
              <w:jc w:val="center"/>
            </w:pPr>
            <w:r w:rsidRPr="003F73A7">
              <w:t xml:space="preserve"> $400.00 </w:t>
            </w:r>
          </w:p>
        </w:tc>
      </w:tr>
      <w:tr w:rsidR="00486832" w14:paraId="45785DE0" w14:textId="77777777" w:rsidTr="005E1BE3">
        <w:tc>
          <w:tcPr>
            <w:tcW w:w="2957" w:type="dxa"/>
          </w:tcPr>
          <w:p w14:paraId="7A17C63A" w14:textId="77777777" w:rsidR="00486832" w:rsidRDefault="00486832" w:rsidP="005E1BE3">
            <w:pPr>
              <w:pStyle w:val="Tabletext"/>
            </w:pPr>
            <w:r w:rsidRPr="00D900E0">
              <w:t>Total cost</w:t>
            </w:r>
          </w:p>
        </w:tc>
        <w:tc>
          <w:tcPr>
            <w:tcW w:w="1211" w:type="dxa"/>
          </w:tcPr>
          <w:p w14:paraId="7D1CAB2F" w14:textId="77777777" w:rsidR="00486832" w:rsidRDefault="00486832" w:rsidP="005E1BE3">
            <w:pPr>
              <w:pStyle w:val="Tabletext"/>
              <w:jc w:val="center"/>
            </w:pPr>
            <w:r w:rsidRPr="003F73A7">
              <w:t xml:space="preserve"> $2,093,835 </w:t>
            </w:r>
          </w:p>
        </w:tc>
        <w:tc>
          <w:tcPr>
            <w:tcW w:w="1211" w:type="dxa"/>
          </w:tcPr>
          <w:p w14:paraId="4FE01DB0" w14:textId="77777777" w:rsidR="00486832" w:rsidRDefault="00486832" w:rsidP="005E1BE3">
            <w:pPr>
              <w:pStyle w:val="Tabletext"/>
              <w:jc w:val="center"/>
            </w:pPr>
            <w:r w:rsidRPr="003F73A7">
              <w:t xml:space="preserve"> $2,123,681 </w:t>
            </w:r>
          </w:p>
        </w:tc>
        <w:tc>
          <w:tcPr>
            <w:tcW w:w="1212" w:type="dxa"/>
          </w:tcPr>
          <w:p w14:paraId="63DFCD44" w14:textId="77777777" w:rsidR="00486832" w:rsidRDefault="00486832" w:rsidP="005E1BE3">
            <w:pPr>
              <w:pStyle w:val="Tabletext"/>
              <w:jc w:val="center"/>
            </w:pPr>
            <w:r w:rsidRPr="003F73A7">
              <w:t xml:space="preserve"> $2,153,877 </w:t>
            </w:r>
          </w:p>
        </w:tc>
        <w:tc>
          <w:tcPr>
            <w:tcW w:w="1212" w:type="dxa"/>
          </w:tcPr>
          <w:p w14:paraId="1BD28BDD" w14:textId="77777777" w:rsidR="00486832" w:rsidRDefault="00486832" w:rsidP="005E1BE3">
            <w:pPr>
              <w:pStyle w:val="Tabletext"/>
              <w:jc w:val="center"/>
            </w:pPr>
            <w:r w:rsidRPr="003F73A7">
              <w:t xml:space="preserve"> $1,692,518 </w:t>
            </w:r>
          </w:p>
        </w:tc>
        <w:tc>
          <w:tcPr>
            <w:tcW w:w="1213" w:type="dxa"/>
          </w:tcPr>
          <w:p w14:paraId="774C4ECF" w14:textId="77777777" w:rsidR="00486832" w:rsidRDefault="00486832" w:rsidP="005E1BE3">
            <w:pPr>
              <w:pStyle w:val="Tabletext"/>
              <w:jc w:val="center"/>
            </w:pPr>
            <w:r w:rsidRPr="003F73A7">
              <w:t xml:space="preserve"> $1,723,238 </w:t>
            </w:r>
          </w:p>
        </w:tc>
      </w:tr>
      <w:tr w:rsidR="00486832" w14:paraId="1089C052" w14:textId="77777777" w:rsidTr="005E1BE3">
        <w:tc>
          <w:tcPr>
            <w:tcW w:w="2957" w:type="dxa"/>
          </w:tcPr>
          <w:p w14:paraId="35B62BD3" w14:textId="77777777" w:rsidR="00486832" w:rsidRDefault="00486832" w:rsidP="005E1BE3">
            <w:pPr>
              <w:pStyle w:val="Tabletext"/>
            </w:pPr>
            <w:r w:rsidRPr="00D900E0">
              <w:t>MBS rebate (85%)</w:t>
            </w:r>
          </w:p>
        </w:tc>
        <w:tc>
          <w:tcPr>
            <w:tcW w:w="1211" w:type="dxa"/>
          </w:tcPr>
          <w:p w14:paraId="28BC0223" w14:textId="77777777" w:rsidR="00486832" w:rsidRDefault="00486832" w:rsidP="005E1BE3">
            <w:pPr>
              <w:pStyle w:val="Tabletext"/>
              <w:jc w:val="center"/>
            </w:pPr>
            <w:r w:rsidRPr="003F73A7">
              <w:t xml:space="preserve"> $1,779,760 </w:t>
            </w:r>
          </w:p>
        </w:tc>
        <w:tc>
          <w:tcPr>
            <w:tcW w:w="1211" w:type="dxa"/>
          </w:tcPr>
          <w:p w14:paraId="4FAAD34D" w14:textId="77777777" w:rsidR="00486832" w:rsidRDefault="00486832" w:rsidP="005E1BE3">
            <w:pPr>
              <w:pStyle w:val="Tabletext"/>
              <w:jc w:val="center"/>
            </w:pPr>
            <w:r w:rsidRPr="003F73A7">
              <w:t xml:space="preserve"> $1,805,129 </w:t>
            </w:r>
          </w:p>
        </w:tc>
        <w:tc>
          <w:tcPr>
            <w:tcW w:w="1212" w:type="dxa"/>
          </w:tcPr>
          <w:p w14:paraId="677921F6" w14:textId="77777777" w:rsidR="00486832" w:rsidRDefault="00486832" w:rsidP="005E1BE3">
            <w:pPr>
              <w:pStyle w:val="Tabletext"/>
              <w:jc w:val="center"/>
            </w:pPr>
            <w:r w:rsidRPr="003F73A7">
              <w:t xml:space="preserve"> $1,830,796 </w:t>
            </w:r>
          </w:p>
        </w:tc>
        <w:tc>
          <w:tcPr>
            <w:tcW w:w="1212" w:type="dxa"/>
          </w:tcPr>
          <w:p w14:paraId="2D18D746" w14:textId="77777777" w:rsidR="00486832" w:rsidRDefault="00486832" w:rsidP="005E1BE3">
            <w:pPr>
              <w:pStyle w:val="Tabletext"/>
              <w:jc w:val="center"/>
            </w:pPr>
            <w:r w:rsidRPr="003F73A7">
              <w:t xml:space="preserve"> $1,438,640 </w:t>
            </w:r>
          </w:p>
        </w:tc>
        <w:tc>
          <w:tcPr>
            <w:tcW w:w="1213" w:type="dxa"/>
          </w:tcPr>
          <w:p w14:paraId="2D076A67" w14:textId="77777777" w:rsidR="00486832" w:rsidRDefault="00486832" w:rsidP="005E1BE3">
            <w:pPr>
              <w:pStyle w:val="Tabletext"/>
              <w:jc w:val="center"/>
            </w:pPr>
            <w:r w:rsidRPr="003F73A7">
              <w:t xml:space="preserve"> $1,464,752 </w:t>
            </w:r>
          </w:p>
        </w:tc>
      </w:tr>
      <w:tr w:rsidR="00486832" w14:paraId="1F06B00D" w14:textId="77777777" w:rsidTr="005E1BE3">
        <w:tc>
          <w:tcPr>
            <w:tcW w:w="2957" w:type="dxa"/>
          </w:tcPr>
          <w:p w14:paraId="0FA3C789" w14:textId="77777777" w:rsidR="00486832" w:rsidRDefault="00486832" w:rsidP="005E1BE3">
            <w:pPr>
              <w:pStyle w:val="Tabletext"/>
            </w:pPr>
            <w:r w:rsidRPr="00D900E0">
              <w:t>Patient contributions</w:t>
            </w:r>
          </w:p>
        </w:tc>
        <w:tc>
          <w:tcPr>
            <w:tcW w:w="1211" w:type="dxa"/>
          </w:tcPr>
          <w:p w14:paraId="192A79A9" w14:textId="77777777" w:rsidR="00486832" w:rsidRDefault="00486832" w:rsidP="005E1BE3">
            <w:pPr>
              <w:pStyle w:val="Tabletext"/>
              <w:jc w:val="center"/>
            </w:pPr>
            <w:r w:rsidRPr="003F73A7">
              <w:t xml:space="preserve"> $314,075 </w:t>
            </w:r>
          </w:p>
        </w:tc>
        <w:tc>
          <w:tcPr>
            <w:tcW w:w="1211" w:type="dxa"/>
          </w:tcPr>
          <w:p w14:paraId="0D8A064A" w14:textId="77777777" w:rsidR="00486832" w:rsidRDefault="00486832" w:rsidP="005E1BE3">
            <w:pPr>
              <w:pStyle w:val="Tabletext"/>
              <w:jc w:val="center"/>
            </w:pPr>
            <w:r w:rsidRPr="003F73A7">
              <w:t xml:space="preserve"> $318,552 </w:t>
            </w:r>
          </w:p>
        </w:tc>
        <w:tc>
          <w:tcPr>
            <w:tcW w:w="1212" w:type="dxa"/>
          </w:tcPr>
          <w:p w14:paraId="031FF9B6" w14:textId="77777777" w:rsidR="00486832" w:rsidRDefault="00486832" w:rsidP="005E1BE3">
            <w:pPr>
              <w:pStyle w:val="Tabletext"/>
              <w:jc w:val="center"/>
            </w:pPr>
            <w:r w:rsidRPr="003F73A7">
              <w:t xml:space="preserve"> $323,082 </w:t>
            </w:r>
          </w:p>
        </w:tc>
        <w:tc>
          <w:tcPr>
            <w:tcW w:w="1212" w:type="dxa"/>
          </w:tcPr>
          <w:p w14:paraId="7CBB70C3" w14:textId="77777777" w:rsidR="00486832" w:rsidRDefault="00486832" w:rsidP="005E1BE3">
            <w:pPr>
              <w:pStyle w:val="Tabletext"/>
              <w:jc w:val="center"/>
            </w:pPr>
            <w:r w:rsidRPr="003F73A7">
              <w:t xml:space="preserve"> $253,878 </w:t>
            </w:r>
          </w:p>
        </w:tc>
        <w:tc>
          <w:tcPr>
            <w:tcW w:w="1213" w:type="dxa"/>
          </w:tcPr>
          <w:p w14:paraId="3DE1EB25" w14:textId="77777777" w:rsidR="00486832" w:rsidRDefault="00486832" w:rsidP="005E1BE3">
            <w:pPr>
              <w:pStyle w:val="Tabletext"/>
              <w:jc w:val="center"/>
            </w:pPr>
            <w:r w:rsidRPr="003F73A7">
              <w:t xml:space="preserve"> $258,486 </w:t>
            </w:r>
          </w:p>
        </w:tc>
      </w:tr>
    </w:tbl>
    <w:p w14:paraId="5E9CB2BF" w14:textId="77777777" w:rsidR="00083868" w:rsidRDefault="00083868">
      <w:pPr>
        <w:rPr>
          <w:rFonts w:ascii="Arial" w:hAnsi="Arial"/>
          <w:b/>
          <w:bCs/>
          <w:szCs w:val="28"/>
        </w:rPr>
      </w:pPr>
      <w:r>
        <w:br w:type="page"/>
      </w:r>
    </w:p>
    <w:p w14:paraId="3C8222ED" w14:textId="77777777" w:rsidR="006A0D97" w:rsidRPr="00F715D1" w:rsidRDefault="006A0D97" w:rsidP="00F715D1">
      <w:pPr>
        <w:pStyle w:val="Heading1"/>
      </w:pPr>
      <w:r w:rsidRPr="00F715D1">
        <w:lastRenderedPageBreak/>
        <w:t>Key issues from ESC for MSAC</w:t>
      </w:r>
    </w:p>
    <w:p w14:paraId="6782BA42" w14:textId="77777777" w:rsidR="00B11E47" w:rsidRPr="003B03E0" w:rsidRDefault="00B11E47" w:rsidP="00B11E47">
      <w:pPr>
        <w:tabs>
          <w:tab w:val="left" w:pos="2265"/>
          <w:tab w:val="left" w:pos="3420"/>
          <w:tab w:val="left" w:pos="4320"/>
        </w:tabs>
        <w:rPr>
          <w:b/>
          <w:szCs w:val="24"/>
        </w:rPr>
      </w:pPr>
      <w:r w:rsidRPr="003B03E0">
        <w:rPr>
          <w:b/>
          <w:szCs w:val="24"/>
        </w:rPr>
        <w:t xml:space="preserve">Key </w:t>
      </w:r>
      <w:r w:rsidR="00F15624">
        <w:rPr>
          <w:b/>
          <w:szCs w:val="24"/>
        </w:rPr>
        <w:t>i</w:t>
      </w:r>
      <w:r w:rsidRPr="003B03E0">
        <w:rPr>
          <w:b/>
          <w:szCs w:val="24"/>
        </w:rPr>
        <w:t>ssues from ESC to MSAC</w:t>
      </w:r>
    </w:p>
    <w:tbl>
      <w:tblPr>
        <w:tblW w:w="9024" w:type="dxa"/>
        <w:tblBorders>
          <w:top w:val="single" w:sz="8" w:space="0" w:color="FFFFFF"/>
          <w:left w:val="single" w:sz="8" w:space="0" w:color="FFFFFF"/>
          <w:bottom w:val="single" w:sz="8" w:space="0" w:color="FFFFFF"/>
          <w:right w:val="single" w:sz="8" w:space="0" w:color="FFFFFF"/>
          <w:insideH w:val="single" w:sz="24" w:space="0" w:color="FFFFFF"/>
          <w:insideV w:val="single" w:sz="8" w:space="0" w:color="FFFFFF"/>
        </w:tblBorders>
        <w:tblCellMar>
          <w:left w:w="0" w:type="dxa"/>
          <w:right w:w="0" w:type="dxa"/>
        </w:tblCellMar>
        <w:tblLook w:val="04A0" w:firstRow="1" w:lastRow="0" w:firstColumn="1" w:lastColumn="0" w:noHBand="0" w:noVBand="1"/>
      </w:tblPr>
      <w:tblGrid>
        <w:gridCol w:w="3637"/>
        <w:gridCol w:w="5387"/>
      </w:tblGrid>
      <w:tr w:rsidR="00B11E47" w:rsidRPr="00A769D5" w14:paraId="3C7C0993" w14:textId="77777777" w:rsidTr="000569BD">
        <w:trPr>
          <w:trHeight w:val="610"/>
        </w:trPr>
        <w:tc>
          <w:tcPr>
            <w:tcW w:w="3637" w:type="dxa"/>
            <w:shd w:val="clear" w:color="auto" w:fill="95B3D7" w:themeFill="accent1" w:themeFillTint="99"/>
            <w:tcMar>
              <w:top w:w="15" w:type="dxa"/>
              <w:left w:w="93" w:type="dxa"/>
              <w:bottom w:w="0" w:type="dxa"/>
              <w:right w:w="93" w:type="dxa"/>
            </w:tcMar>
            <w:vAlign w:val="center"/>
            <w:hideMark/>
          </w:tcPr>
          <w:p w14:paraId="1D305FDA" w14:textId="77777777" w:rsidR="00B11E47" w:rsidRPr="00A769D5" w:rsidRDefault="00B11E47" w:rsidP="000569BD">
            <w:pPr>
              <w:rPr>
                <w:szCs w:val="24"/>
              </w:rPr>
            </w:pPr>
            <w:r w:rsidRPr="00A769D5">
              <w:rPr>
                <w:b/>
                <w:bCs/>
                <w:szCs w:val="24"/>
              </w:rPr>
              <w:t>ESC K</w:t>
            </w:r>
            <w:r w:rsidR="000569BD">
              <w:rPr>
                <w:b/>
                <w:bCs/>
                <w:szCs w:val="24"/>
              </w:rPr>
              <w:t>EY</w:t>
            </w:r>
            <w:r w:rsidRPr="00A769D5">
              <w:rPr>
                <w:b/>
                <w:bCs/>
                <w:szCs w:val="24"/>
              </w:rPr>
              <w:t xml:space="preserve"> ISSUES</w:t>
            </w:r>
          </w:p>
        </w:tc>
        <w:tc>
          <w:tcPr>
            <w:tcW w:w="5387" w:type="dxa"/>
            <w:shd w:val="clear" w:color="auto" w:fill="95B3D7" w:themeFill="accent1" w:themeFillTint="99"/>
            <w:tcMar>
              <w:top w:w="15" w:type="dxa"/>
              <w:left w:w="93" w:type="dxa"/>
              <w:bottom w:w="0" w:type="dxa"/>
              <w:right w:w="93" w:type="dxa"/>
            </w:tcMar>
            <w:vAlign w:val="center"/>
            <w:hideMark/>
          </w:tcPr>
          <w:p w14:paraId="63D9FAEC" w14:textId="77777777" w:rsidR="00B11E47" w:rsidRPr="00A769D5" w:rsidRDefault="00B11E47" w:rsidP="00664DB5">
            <w:pPr>
              <w:rPr>
                <w:szCs w:val="24"/>
              </w:rPr>
            </w:pPr>
            <w:r w:rsidRPr="00A769D5">
              <w:rPr>
                <w:b/>
                <w:bCs/>
                <w:szCs w:val="24"/>
              </w:rPr>
              <w:t>ESC ADVICE</w:t>
            </w:r>
          </w:p>
        </w:tc>
      </w:tr>
      <w:tr w:rsidR="00B11E47" w:rsidRPr="003B03E0" w14:paraId="343D438C" w14:textId="77777777" w:rsidTr="000569BD">
        <w:trPr>
          <w:trHeight w:val="607"/>
        </w:trPr>
        <w:tc>
          <w:tcPr>
            <w:tcW w:w="3637" w:type="dxa"/>
            <w:shd w:val="clear" w:color="auto" w:fill="95B3D7" w:themeFill="accent1" w:themeFillTint="99"/>
            <w:tcMar>
              <w:top w:w="15" w:type="dxa"/>
              <w:left w:w="93" w:type="dxa"/>
              <w:bottom w:w="0" w:type="dxa"/>
              <w:right w:w="93" w:type="dxa"/>
            </w:tcMar>
            <w:vAlign w:val="center"/>
          </w:tcPr>
          <w:p w14:paraId="7D881E12" w14:textId="77777777" w:rsidR="00B11E47" w:rsidRPr="003B03E0" w:rsidRDefault="00B11E47" w:rsidP="000569BD">
            <w:pPr>
              <w:rPr>
                <w:bCs/>
                <w:szCs w:val="24"/>
              </w:rPr>
            </w:pPr>
            <w:r w:rsidRPr="003B03E0">
              <w:rPr>
                <w:bCs/>
                <w:kern w:val="24"/>
                <w:szCs w:val="24"/>
              </w:rPr>
              <w:t>Large n</w:t>
            </w:r>
            <w:r w:rsidR="000569BD">
              <w:rPr>
                <w:bCs/>
                <w:kern w:val="24"/>
                <w:szCs w:val="24"/>
              </w:rPr>
              <w:t>umber</w:t>
            </w:r>
            <w:r w:rsidRPr="003B03E0">
              <w:rPr>
                <w:bCs/>
                <w:kern w:val="24"/>
                <w:szCs w:val="24"/>
              </w:rPr>
              <w:t xml:space="preserve"> of disorders, emerging data</w:t>
            </w:r>
          </w:p>
        </w:tc>
        <w:tc>
          <w:tcPr>
            <w:tcW w:w="5387" w:type="dxa"/>
            <w:shd w:val="clear" w:color="auto" w:fill="B8CCE4" w:themeFill="accent1" w:themeFillTint="66"/>
            <w:tcMar>
              <w:top w:w="15" w:type="dxa"/>
              <w:left w:w="93" w:type="dxa"/>
              <w:bottom w:w="0" w:type="dxa"/>
              <w:right w:w="93" w:type="dxa"/>
            </w:tcMar>
            <w:vAlign w:val="center"/>
          </w:tcPr>
          <w:p w14:paraId="69F6984A" w14:textId="77777777" w:rsidR="00B11E47" w:rsidRPr="003B03E0" w:rsidRDefault="00B11E47" w:rsidP="000569BD">
            <w:pPr>
              <w:rPr>
                <w:bCs/>
                <w:szCs w:val="24"/>
              </w:rPr>
            </w:pPr>
            <w:r w:rsidRPr="003B03E0">
              <w:rPr>
                <w:kern w:val="24"/>
                <w:szCs w:val="24"/>
              </w:rPr>
              <w:t xml:space="preserve">Note breadth of diseases </w:t>
            </w:r>
            <w:r>
              <w:rPr>
                <w:kern w:val="24"/>
                <w:szCs w:val="24"/>
              </w:rPr>
              <w:t>categorised together for this</w:t>
            </w:r>
            <w:r w:rsidRPr="003B03E0">
              <w:rPr>
                <w:kern w:val="24"/>
                <w:szCs w:val="24"/>
              </w:rPr>
              <w:t xml:space="preserve"> HTA consideration</w:t>
            </w:r>
          </w:p>
        </w:tc>
      </w:tr>
      <w:tr w:rsidR="00B11E47" w:rsidRPr="003B03E0" w14:paraId="7C62B7CD" w14:textId="77777777" w:rsidTr="000569BD">
        <w:trPr>
          <w:trHeight w:val="607"/>
        </w:trPr>
        <w:tc>
          <w:tcPr>
            <w:tcW w:w="3637" w:type="dxa"/>
            <w:shd w:val="clear" w:color="auto" w:fill="95B3D7" w:themeFill="accent1" w:themeFillTint="99"/>
            <w:tcMar>
              <w:top w:w="15" w:type="dxa"/>
              <w:left w:w="93" w:type="dxa"/>
              <w:bottom w:w="0" w:type="dxa"/>
              <w:right w:w="93" w:type="dxa"/>
            </w:tcMar>
          </w:tcPr>
          <w:p w14:paraId="2D552495" w14:textId="77777777" w:rsidR="00B11E47" w:rsidRPr="003B03E0" w:rsidRDefault="00B11E47" w:rsidP="00664DB5">
            <w:pPr>
              <w:rPr>
                <w:szCs w:val="24"/>
              </w:rPr>
            </w:pPr>
            <w:r w:rsidRPr="003B03E0">
              <w:rPr>
                <w:bCs/>
                <w:kern w:val="24"/>
                <w:szCs w:val="24"/>
              </w:rPr>
              <w:t xml:space="preserve">Australian data </w:t>
            </w:r>
            <w:r>
              <w:rPr>
                <w:bCs/>
                <w:kern w:val="24"/>
                <w:szCs w:val="24"/>
              </w:rPr>
              <w:t>with</w:t>
            </w:r>
            <w:r w:rsidRPr="003B03E0">
              <w:rPr>
                <w:bCs/>
                <w:kern w:val="24"/>
                <w:szCs w:val="24"/>
              </w:rPr>
              <w:t xml:space="preserve"> 1 centre/study</w:t>
            </w:r>
          </w:p>
        </w:tc>
        <w:tc>
          <w:tcPr>
            <w:tcW w:w="5387" w:type="dxa"/>
            <w:shd w:val="clear" w:color="auto" w:fill="B8CCE4" w:themeFill="accent1" w:themeFillTint="66"/>
            <w:tcMar>
              <w:top w:w="15" w:type="dxa"/>
              <w:left w:w="93" w:type="dxa"/>
              <w:bottom w:w="0" w:type="dxa"/>
              <w:right w:w="93" w:type="dxa"/>
            </w:tcMar>
          </w:tcPr>
          <w:p w14:paraId="36692FFC" w14:textId="77777777" w:rsidR="00B11E47" w:rsidRPr="003B03E0" w:rsidRDefault="00B11E47" w:rsidP="000569BD">
            <w:pPr>
              <w:rPr>
                <w:szCs w:val="24"/>
              </w:rPr>
            </w:pPr>
            <w:r w:rsidRPr="00C32AE9">
              <w:rPr>
                <w:kern w:val="24"/>
                <w:szCs w:val="24"/>
              </w:rPr>
              <w:t>Consider the applicability of Australian data that comes from only one study/centre</w:t>
            </w:r>
          </w:p>
        </w:tc>
      </w:tr>
      <w:tr w:rsidR="00B11E47" w:rsidRPr="003B03E0" w14:paraId="663AB7D0" w14:textId="77777777" w:rsidTr="000569BD">
        <w:trPr>
          <w:trHeight w:val="607"/>
        </w:trPr>
        <w:tc>
          <w:tcPr>
            <w:tcW w:w="3637" w:type="dxa"/>
            <w:shd w:val="clear" w:color="auto" w:fill="95B3D7" w:themeFill="accent1" w:themeFillTint="99"/>
            <w:tcMar>
              <w:top w:w="15" w:type="dxa"/>
              <w:left w:w="93" w:type="dxa"/>
              <w:bottom w:w="0" w:type="dxa"/>
              <w:right w:w="93" w:type="dxa"/>
            </w:tcMar>
          </w:tcPr>
          <w:p w14:paraId="72322AD5" w14:textId="77777777" w:rsidR="00B11E47" w:rsidRPr="003B03E0" w:rsidRDefault="00B11E47" w:rsidP="00664DB5">
            <w:pPr>
              <w:rPr>
                <w:bCs/>
                <w:kern w:val="24"/>
                <w:szCs w:val="24"/>
              </w:rPr>
            </w:pPr>
            <w:r w:rsidRPr="003B03E0">
              <w:rPr>
                <w:bCs/>
                <w:kern w:val="24"/>
                <w:szCs w:val="24"/>
                <w:lang w:val="en-US"/>
              </w:rPr>
              <w:t>Strength of evidence</w:t>
            </w:r>
          </w:p>
        </w:tc>
        <w:tc>
          <w:tcPr>
            <w:tcW w:w="5387" w:type="dxa"/>
            <w:shd w:val="clear" w:color="auto" w:fill="B8CCE4" w:themeFill="accent1" w:themeFillTint="66"/>
            <w:tcMar>
              <w:top w:w="15" w:type="dxa"/>
              <w:left w:w="93" w:type="dxa"/>
              <w:bottom w:w="0" w:type="dxa"/>
              <w:right w:w="93" w:type="dxa"/>
            </w:tcMar>
          </w:tcPr>
          <w:p w14:paraId="09A214DC" w14:textId="77777777" w:rsidR="00B11E47" w:rsidRPr="003B03E0" w:rsidRDefault="00B11E47" w:rsidP="00664DB5">
            <w:pPr>
              <w:pStyle w:val="Bullet"/>
              <w:numPr>
                <w:ilvl w:val="0"/>
                <w:numId w:val="0"/>
              </w:numPr>
              <w:rPr>
                <w:color w:val="auto"/>
                <w:sz w:val="24"/>
                <w:szCs w:val="24"/>
              </w:rPr>
            </w:pPr>
            <w:r w:rsidRPr="003B03E0">
              <w:rPr>
                <w:bCs/>
                <w:color w:val="auto"/>
                <w:kern w:val="24"/>
                <w:sz w:val="24"/>
                <w:szCs w:val="24"/>
              </w:rPr>
              <w:t>C</w:t>
            </w:r>
            <w:r w:rsidRPr="003B03E0">
              <w:rPr>
                <w:color w:val="auto"/>
                <w:sz w:val="24"/>
                <w:szCs w:val="24"/>
                <w:lang w:val="en-US"/>
              </w:rPr>
              <w:t>consider whether the evidence base is robust enough to support a clinical claim of superiority – data</w:t>
            </w:r>
            <w:r w:rsidRPr="003B03E0">
              <w:rPr>
                <w:color w:val="auto"/>
                <w:sz w:val="24"/>
                <w:szCs w:val="24"/>
              </w:rPr>
              <w:t xml:space="preserve"> rest</w:t>
            </w:r>
            <w:r>
              <w:rPr>
                <w:color w:val="auto"/>
                <w:sz w:val="24"/>
                <w:szCs w:val="24"/>
              </w:rPr>
              <w:t>s</w:t>
            </w:r>
            <w:r w:rsidRPr="003B03E0">
              <w:rPr>
                <w:color w:val="auto"/>
                <w:sz w:val="24"/>
                <w:szCs w:val="24"/>
              </w:rPr>
              <w:t xml:space="preserve"> on one prospective clinical study with small sample sizes and treatment in parallel</w:t>
            </w:r>
          </w:p>
          <w:p w14:paraId="2A06E98E" w14:textId="77777777" w:rsidR="00B11E47" w:rsidRPr="003B03E0" w:rsidRDefault="00B11E47" w:rsidP="000569BD">
            <w:pPr>
              <w:rPr>
                <w:szCs w:val="24"/>
              </w:rPr>
            </w:pPr>
            <w:r w:rsidRPr="003B03E0">
              <w:rPr>
                <w:szCs w:val="24"/>
              </w:rPr>
              <w:t xml:space="preserve">Consider including the cap of 2 reanalyses in the MBS </w:t>
            </w:r>
            <w:r w:rsidR="000569BD">
              <w:rPr>
                <w:szCs w:val="24"/>
              </w:rPr>
              <w:t>i</w:t>
            </w:r>
            <w:r w:rsidRPr="003B03E0">
              <w:rPr>
                <w:szCs w:val="24"/>
              </w:rPr>
              <w:t xml:space="preserve">tem </w:t>
            </w:r>
            <w:r w:rsidR="000569BD">
              <w:rPr>
                <w:szCs w:val="24"/>
              </w:rPr>
              <w:t>d</w:t>
            </w:r>
            <w:r w:rsidRPr="003B03E0">
              <w:rPr>
                <w:szCs w:val="24"/>
              </w:rPr>
              <w:t>escriptor – costs will be higher if there is no cap</w:t>
            </w:r>
          </w:p>
        </w:tc>
      </w:tr>
      <w:tr w:rsidR="00B11E47" w:rsidRPr="003B03E0" w14:paraId="6BC7DB79" w14:textId="77777777" w:rsidTr="000569BD">
        <w:trPr>
          <w:trHeight w:val="1865"/>
        </w:trPr>
        <w:tc>
          <w:tcPr>
            <w:tcW w:w="3637" w:type="dxa"/>
            <w:shd w:val="clear" w:color="auto" w:fill="95B3D7" w:themeFill="accent1" w:themeFillTint="99"/>
            <w:tcMar>
              <w:top w:w="15" w:type="dxa"/>
              <w:left w:w="93" w:type="dxa"/>
              <w:bottom w:w="0" w:type="dxa"/>
              <w:right w:w="93" w:type="dxa"/>
            </w:tcMar>
          </w:tcPr>
          <w:p w14:paraId="75AA8E7C" w14:textId="77777777" w:rsidR="00B11E47" w:rsidRPr="003B03E0" w:rsidRDefault="00B11E47" w:rsidP="000569BD">
            <w:pPr>
              <w:rPr>
                <w:bCs/>
                <w:szCs w:val="24"/>
              </w:rPr>
            </w:pPr>
            <w:r w:rsidRPr="003B03E0">
              <w:rPr>
                <w:bCs/>
                <w:szCs w:val="24"/>
              </w:rPr>
              <w:t xml:space="preserve">MBS </w:t>
            </w:r>
            <w:r w:rsidR="000569BD">
              <w:rPr>
                <w:bCs/>
                <w:szCs w:val="24"/>
              </w:rPr>
              <w:t>listing</w:t>
            </w:r>
          </w:p>
        </w:tc>
        <w:tc>
          <w:tcPr>
            <w:tcW w:w="5387" w:type="dxa"/>
            <w:shd w:val="clear" w:color="auto" w:fill="B8CCE4" w:themeFill="accent1" w:themeFillTint="66"/>
            <w:tcMar>
              <w:top w:w="15" w:type="dxa"/>
              <w:left w:w="93" w:type="dxa"/>
              <w:bottom w:w="0" w:type="dxa"/>
              <w:right w:w="93" w:type="dxa"/>
            </w:tcMar>
            <w:vAlign w:val="center"/>
          </w:tcPr>
          <w:p w14:paraId="2B2928C7" w14:textId="77777777" w:rsidR="00B11E47" w:rsidRPr="003B03E0" w:rsidRDefault="00B11E47" w:rsidP="00664DB5">
            <w:pPr>
              <w:pStyle w:val="Bullet"/>
              <w:numPr>
                <w:ilvl w:val="0"/>
                <w:numId w:val="0"/>
              </w:numPr>
              <w:rPr>
                <w:color w:val="auto"/>
                <w:sz w:val="24"/>
                <w:szCs w:val="24"/>
              </w:rPr>
            </w:pPr>
            <w:r w:rsidRPr="003B03E0">
              <w:rPr>
                <w:color w:val="auto"/>
                <w:sz w:val="24"/>
                <w:szCs w:val="24"/>
              </w:rPr>
              <w:t>Consider whether MBS listing would lead to leakage (lower threshold for testing, more children being tested), which would increase costs</w:t>
            </w:r>
          </w:p>
          <w:p w14:paraId="650E2C56" w14:textId="77777777" w:rsidR="00B11E47" w:rsidRPr="003B03E0" w:rsidRDefault="00B11E47" w:rsidP="000569BD">
            <w:pPr>
              <w:pStyle w:val="BulletLast"/>
              <w:numPr>
                <w:ilvl w:val="0"/>
                <w:numId w:val="0"/>
              </w:numPr>
              <w:spacing w:after="0"/>
              <w:rPr>
                <w:color w:val="auto"/>
                <w:sz w:val="24"/>
                <w:szCs w:val="24"/>
              </w:rPr>
            </w:pPr>
            <w:r w:rsidRPr="003B03E0">
              <w:rPr>
                <w:color w:val="auto"/>
                <w:sz w:val="24"/>
                <w:szCs w:val="24"/>
              </w:rPr>
              <w:t xml:space="preserve">Consider whether MBS listing would lead to increased capacity for testing, which </w:t>
            </w:r>
            <w:r w:rsidR="000569BD">
              <w:rPr>
                <w:color w:val="auto"/>
                <w:sz w:val="24"/>
                <w:szCs w:val="24"/>
              </w:rPr>
              <w:t>would increase costs</w:t>
            </w:r>
          </w:p>
        </w:tc>
      </w:tr>
      <w:tr w:rsidR="00B11E47" w:rsidRPr="003B03E0" w14:paraId="7E6E54C8" w14:textId="77777777" w:rsidTr="000569BD">
        <w:trPr>
          <w:trHeight w:val="534"/>
        </w:trPr>
        <w:tc>
          <w:tcPr>
            <w:tcW w:w="3637" w:type="dxa"/>
            <w:shd w:val="clear" w:color="auto" w:fill="95B3D7" w:themeFill="accent1" w:themeFillTint="99"/>
            <w:tcMar>
              <w:top w:w="15" w:type="dxa"/>
              <w:left w:w="93" w:type="dxa"/>
              <w:bottom w:w="0" w:type="dxa"/>
              <w:right w:w="93" w:type="dxa"/>
            </w:tcMar>
            <w:hideMark/>
          </w:tcPr>
          <w:p w14:paraId="6D3B90F0" w14:textId="77777777" w:rsidR="00B11E47" w:rsidRPr="003B03E0" w:rsidRDefault="00B11E47" w:rsidP="00664DB5">
            <w:pPr>
              <w:rPr>
                <w:szCs w:val="24"/>
              </w:rPr>
            </w:pPr>
            <w:r>
              <w:rPr>
                <w:bCs/>
                <w:szCs w:val="24"/>
              </w:rPr>
              <w:t>Note i</w:t>
            </w:r>
            <w:r w:rsidRPr="003B03E0">
              <w:rPr>
                <w:bCs/>
                <w:szCs w:val="24"/>
              </w:rPr>
              <w:t>ssues raised by PGTWG</w:t>
            </w:r>
          </w:p>
        </w:tc>
        <w:tc>
          <w:tcPr>
            <w:tcW w:w="5387" w:type="dxa"/>
            <w:shd w:val="clear" w:color="auto" w:fill="B8CCE4" w:themeFill="accent1" w:themeFillTint="66"/>
            <w:tcMar>
              <w:top w:w="15" w:type="dxa"/>
              <w:left w:w="93" w:type="dxa"/>
              <w:bottom w:w="0" w:type="dxa"/>
              <w:right w:w="93" w:type="dxa"/>
            </w:tcMar>
            <w:hideMark/>
          </w:tcPr>
          <w:p w14:paraId="21343B41" w14:textId="77777777" w:rsidR="00B11E47" w:rsidRPr="00712560" w:rsidRDefault="00B11E47" w:rsidP="00B11E47">
            <w:pPr>
              <w:pStyle w:val="ListParagraph"/>
              <w:numPr>
                <w:ilvl w:val="0"/>
                <w:numId w:val="28"/>
              </w:numPr>
              <w:rPr>
                <w:szCs w:val="24"/>
              </w:rPr>
            </w:pPr>
            <w:r w:rsidRPr="00A769D5">
              <w:rPr>
                <w:kern w:val="24"/>
                <w:szCs w:val="24"/>
              </w:rPr>
              <w:t xml:space="preserve">Clinical </w:t>
            </w:r>
            <w:r w:rsidR="000569BD">
              <w:rPr>
                <w:kern w:val="24"/>
                <w:szCs w:val="24"/>
              </w:rPr>
              <w:t>u</w:t>
            </w:r>
            <w:r w:rsidRPr="00A769D5">
              <w:rPr>
                <w:kern w:val="24"/>
                <w:szCs w:val="24"/>
              </w:rPr>
              <w:t>tility</w:t>
            </w:r>
          </w:p>
          <w:p w14:paraId="6BD1EE06" w14:textId="77777777" w:rsidR="00B11E47" w:rsidRPr="00712560" w:rsidRDefault="000569BD" w:rsidP="00B11E47">
            <w:pPr>
              <w:pStyle w:val="ListParagraph"/>
              <w:numPr>
                <w:ilvl w:val="0"/>
                <w:numId w:val="28"/>
              </w:numPr>
              <w:rPr>
                <w:szCs w:val="24"/>
              </w:rPr>
            </w:pPr>
            <w:r>
              <w:rPr>
                <w:kern w:val="24"/>
                <w:szCs w:val="24"/>
              </w:rPr>
              <w:t>Prior test = microarray triage</w:t>
            </w:r>
          </w:p>
          <w:p w14:paraId="6FA54BF8" w14:textId="77777777" w:rsidR="00B11E47" w:rsidRPr="00712560" w:rsidRDefault="000569BD" w:rsidP="00B11E47">
            <w:pPr>
              <w:pStyle w:val="ListParagraph"/>
              <w:numPr>
                <w:ilvl w:val="0"/>
                <w:numId w:val="28"/>
              </w:numPr>
              <w:rPr>
                <w:szCs w:val="24"/>
              </w:rPr>
            </w:pPr>
            <w:r>
              <w:rPr>
                <w:kern w:val="24"/>
                <w:szCs w:val="24"/>
              </w:rPr>
              <w:t>Analytical validity</w:t>
            </w:r>
          </w:p>
          <w:p w14:paraId="33606999" w14:textId="77777777" w:rsidR="00B11E47" w:rsidRPr="00712560" w:rsidRDefault="00B11E47" w:rsidP="00B11E47">
            <w:pPr>
              <w:pStyle w:val="ListParagraph"/>
              <w:numPr>
                <w:ilvl w:val="0"/>
                <w:numId w:val="28"/>
              </w:numPr>
              <w:rPr>
                <w:szCs w:val="24"/>
              </w:rPr>
            </w:pPr>
            <w:r w:rsidRPr="00A769D5">
              <w:rPr>
                <w:kern w:val="24"/>
                <w:szCs w:val="24"/>
              </w:rPr>
              <w:t>Re-analysis</w:t>
            </w:r>
          </w:p>
          <w:p w14:paraId="14BFD9D8" w14:textId="77777777" w:rsidR="00B11E47" w:rsidRPr="00712560" w:rsidRDefault="000569BD" w:rsidP="00B11E47">
            <w:pPr>
              <w:pStyle w:val="ListParagraph"/>
              <w:numPr>
                <w:ilvl w:val="0"/>
                <w:numId w:val="28"/>
              </w:numPr>
              <w:rPr>
                <w:szCs w:val="24"/>
              </w:rPr>
            </w:pPr>
            <w:r>
              <w:rPr>
                <w:kern w:val="24"/>
                <w:szCs w:val="24"/>
              </w:rPr>
              <w:t>Capacity</w:t>
            </w:r>
          </w:p>
          <w:p w14:paraId="1F14DCFB" w14:textId="77777777" w:rsidR="00B11E47" w:rsidRPr="00712560" w:rsidRDefault="00B11E47" w:rsidP="00B11E47">
            <w:pPr>
              <w:pStyle w:val="ListParagraph"/>
              <w:numPr>
                <w:ilvl w:val="0"/>
                <w:numId w:val="28"/>
              </w:numPr>
              <w:rPr>
                <w:szCs w:val="24"/>
              </w:rPr>
            </w:pPr>
            <w:r w:rsidRPr="00A769D5">
              <w:rPr>
                <w:kern w:val="24"/>
                <w:szCs w:val="24"/>
              </w:rPr>
              <w:t>WGS vs WES</w:t>
            </w:r>
          </w:p>
        </w:tc>
      </w:tr>
    </w:tbl>
    <w:p w14:paraId="40D3235C" w14:textId="77777777" w:rsidR="00B11E47" w:rsidRPr="009A3D5C" w:rsidRDefault="00B11E47" w:rsidP="00092CCA">
      <w:pPr>
        <w:tabs>
          <w:tab w:val="left" w:pos="2265"/>
          <w:tab w:val="left" w:pos="3420"/>
          <w:tab w:val="left" w:pos="4320"/>
        </w:tabs>
        <w:spacing w:before="240" w:after="240"/>
        <w:rPr>
          <w:b/>
        </w:rPr>
      </w:pPr>
      <w:r w:rsidRPr="003B03E0">
        <w:rPr>
          <w:b/>
        </w:rPr>
        <w:t xml:space="preserve">ESC </w:t>
      </w:r>
      <w:r w:rsidR="00F15624">
        <w:rPr>
          <w:b/>
        </w:rPr>
        <w:t>d</w:t>
      </w:r>
      <w:r w:rsidR="009A3D5C">
        <w:rPr>
          <w:b/>
        </w:rPr>
        <w:t>iscussion</w:t>
      </w:r>
      <w:r>
        <w:br/>
      </w:r>
      <w:r w:rsidRPr="003B03E0">
        <w:t xml:space="preserve">The application proposes MBS listing of </w:t>
      </w:r>
      <w:r w:rsidR="00F15624">
        <w:t xml:space="preserve">testing </w:t>
      </w:r>
      <w:r w:rsidRPr="003B03E0">
        <w:t xml:space="preserve">for three populations: 1) initial testing </w:t>
      </w:r>
      <w:r w:rsidR="00F15624">
        <w:t xml:space="preserve">using </w:t>
      </w:r>
      <w:r w:rsidR="00F15624" w:rsidRPr="003B03E0">
        <w:t>next generation whole exome analysis (WEA)</w:t>
      </w:r>
      <w:r w:rsidR="00F15624">
        <w:t xml:space="preserve"> </w:t>
      </w:r>
      <w:r w:rsidRPr="003B03E0">
        <w:t>for the diagnosis of childhood syndromes (</w:t>
      </w:r>
      <w:r w:rsidR="00F15624">
        <w:t xml:space="preserve">to detect </w:t>
      </w:r>
      <w:r w:rsidRPr="003B03E0">
        <w:t>proband</w:t>
      </w:r>
      <w:r w:rsidR="00F15624">
        <w:t>s</w:t>
      </w:r>
      <w:r w:rsidRPr="003B03E0">
        <w:t xml:space="preserve">); 2) re-interrogation analysis for patients who did not have a definite </w:t>
      </w:r>
      <w:r w:rsidR="00CE729A">
        <w:t xml:space="preserve">molecular </w:t>
      </w:r>
      <w:r w:rsidRPr="003B03E0">
        <w:t xml:space="preserve">diagnosis at initial </w:t>
      </w:r>
      <w:r w:rsidR="004C5A49">
        <w:t xml:space="preserve">WES </w:t>
      </w:r>
      <w:r w:rsidRPr="003B03E0">
        <w:t xml:space="preserve">testing; and 3) cascade testing </w:t>
      </w:r>
      <w:r w:rsidR="00F15624">
        <w:t>o</w:t>
      </w:r>
      <w:r w:rsidRPr="003B03E0">
        <w:t>f first-degree family members</w:t>
      </w:r>
      <w:r w:rsidR="00CE729A">
        <w:t xml:space="preserve"> of those affected </w:t>
      </w:r>
      <w:r w:rsidR="00CE729A" w:rsidRPr="00A64F0B">
        <w:t>individuals</w:t>
      </w:r>
      <w:r w:rsidR="00CE729A">
        <w:t xml:space="preserve"> who are confirmed as having a monogenic childhood syndrome</w:t>
      </w:r>
      <w:r w:rsidRPr="003B03E0">
        <w:t xml:space="preserve">. The frequency of reanalysis would be capped at 2, with a minimum 18-month interval. This involves reanalysing the bioinformatics, not re-performing the test. </w:t>
      </w:r>
    </w:p>
    <w:p w14:paraId="7F005430" w14:textId="77777777" w:rsidR="00B11E47" w:rsidRPr="003B03E0" w:rsidRDefault="00B11E47" w:rsidP="009A3D5C">
      <w:pPr>
        <w:spacing w:after="240"/>
      </w:pPr>
      <w:r w:rsidRPr="003B03E0">
        <w:t>ESC noted the breadth of diseases that may be covered by this application. The monogenic syndromes targeted by the proposed WEA are a clinically and genetically heterogeneous group of disorders. The OMIM – a full term list of all genetic conditions and phenotypes – includes over 24,400 entries, making it difficult to develop a definitive list. In addition, approximately 50 new entries are added to OMIM each month, highlighting that this is an emerging and evolving field. The proposed upper limit of genes for testing is all genes known to cause Mendelian diseases. In practice, clinicians may propose a selection of genes based on the patient’s phenotype.</w:t>
      </w:r>
    </w:p>
    <w:p w14:paraId="4AAAB87D" w14:textId="77777777" w:rsidR="00B11E47" w:rsidRPr="003B03E0" w:rsidRDefault="00B11E47" w:rsidP="009A3D5C">
      <w:pPr>
        <w:spacing w:after="240"/>
      </w:pPr>
      <w:r w:rsidRPr="003B03E0">
        <w:t xml:space="preserve">The prevalence of variants causing childhood syndromes is unknown. It is estimated that 8% of the population has a rare disorder, and 8000–10,000 rare diseases are genetic. The global </w:t>
      </w:r>
      <w:r w:rsidRPr="003B03E0">
        <w:lastRenderedPageBreak/>
        <w:t>prevalence of all single gene diseases at birth is estimated at 10 per 10,000 births; however, this includes conditions such as cystic fibrosis, so is likely to be an overestimation. Within the target population, it is expected that about half will have a condition with a genetic cause. About a quarter to a half would be diagnosed by whole exome sequencing (W</w:t>
      </w:r>
      <w:r w:rsidR="009A3D5C">
        <w:t>ES).</w:t>
      </w:r>
    </w:p>
    <w:p w14:paraId="1274616A" w14:textId="77777777" w:rsidR="00B11E47" w:rsidRPr="003B03E0" w:rsidRDefault="00B11E47" w:rsidP="009A3D5C">
      <w:pPr>
        <w:spacing w:after="240"/>
        <w:rPr>
          <w:szCs w:val="24"/>
        </w:rPr>
      </w:pPr>
      <w:r w:rsidRPr="003B03E0">
        <w:rPr>
          <w:szCs w:val="24"/>
        </w:rPr>
        <w:t>The clinical claim proposed by the applicant is that genetic testing via WEA in patients suspected of childhood syndromes is superior to standard care. The applicant argued that the overall claim is for superiority; therefore, a cost-effectiveness an</w:t>
      </w:r>
      <w:r w:rsidR="009A3D5C">
        <w:rPr>
          <w:szCs w:val="24"/>
        </w:rPr>
        <w:t xml:space="preserve">alysis was conducted. </w:t>
      </w:r>
    </w:p>
    <w:p w14:paraId="15C9D65C" w14:textId="77777777" w:rsidR="00B11E47" w:rsidRPr="003B03E0" w:rsidRDefault="00B11E47" w:rsidP="009A3D5C">
      <w:pPr>
        <w:spacing w:after="240"/>
      </w:pPr>
      <w:r w:rsidRPr="003B03E0">
        <w:t>ESC noted estimates for the proportions of affected individuals that would fall with</w:t>
      </w:r>
      <w:r w:rsidR="00FE7B20">
        <w:t>in the target populations. For P</w:t>
      </w:r>
      <w:r w:rsidRPr="003B03E0">
        <w:t>opulation 1 (initial diagnosis), estimates ranged from 40–50% (infants under 2 years referred to a paediatric hospital genetics department) to around 70% (children aged 2–18 years with a suspected monogenic disorder eli</w:t>
      </w:r>
      <w:r w:rsidR="009A3D5C">
        <w:t>gible for a prospective study).</w:t>
      </w:r>
    </w:p>
    <w:p w14:paraId="7B313965" w14:textId="77777777" w:rsidR="00B11E47" w:rsidRPr="003B03E0" w:rsidRDefault="00FE7B20" w:rsidP="009A3D5C">
      <w:pPr>
        <w:spacing w:after="240"/>
      </w:pPr>
      <w:r>
        <w:t>ESC noted for P</w:t>
      </w:r>
      <w:r w:rsidR="00B11E47" w:rsidRPr="003B03E0">
        <w:t>opulation 2 (re-interrogation analysis), an estimated 55–75% of patients would be elig</w:t>
      </w:r>
      <w:r>
        <w:t>ible for re-interrogation. For P</w:t>
      </w:r>
      <w:r w:rsidR="00B11E47" w:rsidRPr="003B03E0">
        <w:t xml:space="preserve">opulation 3 (cascade testing), an average of three first-degree family members per positive </w:t>
      </w:r>
      <w:r w:rsidR="00CE729A">
        <w:t xml:space="preserve">molecular </w:t>
      </w:r>
      <w:r w:rsidR="00B11E47" w:rsidRPr="003B03E0">
        <w:t>diagnosis would be eligible for cascade testing; however, it was noted that around 10% of fa</w:t>
      </w:r>
      <w:r w:rsidR="009A3D5C">
        <w:t>milies decline cascade testing.</w:t>
      </w:r>
    </w:p>
    <w:p w14:paraId="2A73DDD1" w14:textId="77777777" w:rsidR="00F15624" w:rsidRPr="003B03E0" w:rsidRDefault="00B11E47" w:rsidP="009A3D5C">
      <w:pPr>
        <w:spacing w:after="240"/>
      </w:pPr>
      <w:r w:rsidRPr="003B03E0">
        <w:t xml:space="preserve">ESC agreed with the contracted assessment (CA) that WEA has a superior diagnostic yield to standard of care (SoC), although wide confidence intervals and high heterogeneity in some studies were noted. Australian prospective studies showed a higher diagnostic </w:t>
      </w:r>
      <w:r w:rsidR="00F15624">
        <w:t>yield</w:t>
      </w:r>
      <w:r w:rsidRPr="003B03E0">
        <w:t xml:space="preserve"> than studies from the UK and Canada, but the reason for this difference is unknown. Compared with Sanger sequencing, WES showed a false negative rate of 2%. However, the comparison was limited to genes with adequate coverage, so it was not possible to determine true analytical validity.</w:t>
      </w:r>
    </w:p>
    <w:p w14:paraId="3A1153CC" w14:textId="77777777" w:rsidR="00B11E47" w:rsidRPr="003B03E0" w:rsidRDefault="00B11E47" w:rsidP="009A3D5C">
      <w:pPr>
        <w:spacing w:after="240"/>
      </w:pPr>
      <w:r w:rsidRPr="003B03E0">
        <w:t xml:space="preserve">ESC agreed with the CA that, </w:t>
      </w:r>
      <w:r w:rsidR="00F15624" w:rsidRPr="003B03E0">
        <w:t xml:space="preserve">compared with SoC </w:t>
      </w:r>
      <w:r w:rsidRPr="003B03E0">
        <w:t>overall, WEA appeared to lead to change</w:t>
      </w:r>
      <w:r w:rsidR="00F15624">
        <w:t>s</w:t>
      </w:r>
      <w:r w:rsidRPr="003B03E0">
        <w:t xml:space="preserve"> in clinical management, shorten the time to diagnosis, and provide patient and family-relevant benefits. The main benefit of genetic diagnoses is cessation of further investigations and procedures. Studies showed about a third of Australian patients who were diagnosed by WES had a change in their clinical management (initiation or cessation of treatment or surveillance, or modified treatment regimen). However, there was high heterogeneity between studies. Anecdotal benefits reported in the literature include preventing further disease progression, improved management and reduced number of hospital ad</w:t>
      </w:r>
      <w:r w:rsidR="00FE7B20">
        <w:t>missions. The main benefit for P</w:t>
      </w:r>
      <w:r w:rsidRPr="003B03E0">
        <w:t xml:space="preserve">opulation 3 (cascade testing) was restoration of reproductive confidence. WEA identified more families at high risk of recurrence than standard diagnostic investigations. Early identification of couples at high or low risk allows them to make decisions about their reproductive choices (eg use of preimplantation genetic testing). However, ESC noted that the clinical evidence involved small numbers of patients from a single centre in Australia, so </w:t>
      </w:r>
      <w:r w:rsidR="00F15624">
        <w:t xml:space="preserve">the </w:t>
      </w:r>
      <w:r w:rsidRPr="003B03E0">
        <w:t xml:space="preserve">generalisability </w:t>
      </w:r>
      <w:r w:rsidR="00F15624">
        <w:t>of these results was uncertain.</w:t>
      </w:r>
    </w:p>
    <w:p w14:paraId="45C88DC7" w14:textId="77777777" w:rsidR="00B11E47" w:rsidRPr="003B03E0" w:rsidRDefault="00B11E47" w:rsidP="009A3D5C">
      <w:pPr>
        <w:spacing w:after="240"/>
      </w:pPr>
      <w:r w:rsidRPr="003B03E0">
        <w:t>ESC noted results from an RCT of rapid whole genome sequencing (rWGS) with standard testing compared to standard testing alone. Almost a third of patients had a change in management but there was no significant difference between the two groups. However, rWGS is a different technology to WES</w:t>
      </w:r>
      <w:r w:rsidR="00F15624">
        <w:t>,</w:t>
      </w:r>
      <w:r w:rsidRPr="003B03E0">
        <w:t xml:space="preserve"> so the applicability</w:t>
      </w:r>
      <w:r w:rsidR="009A3D5C">
        <w:t xml:space="preserve"> of these results is uncertain.</w:t>
      </w:r>
    </w:p>
    <w:p w14:paraId="39F3EEE0" w14:textId="77777777" w:rsidR="00F15624" w:rsidRPr="003B03E0" w:rsidRDefault="00B11E47" w:rsidP="009A3D5C">
      <w:pPr>
        <w:spacing w:after="240"/>
      </w:pPr>
      <w:r w:rsidRPr="003B03E0">
        <w:t xml:space="preserve">Regarding utilisation of health resources, ESC noted the Australian study showing that although WEA resulted in a significant difference in clinical trajectory, utilisation of hospital services was not different after </w:t>
      </w:r>
      <w:r w:rsidR="00CE729A">
        <w:t xml:space="preserve">molecular </w:t>
      </w:r>
      <w:r w:rsidRPr="003B03E0">
        <w:t xml:space="preserve">diagnosis. Although the study was limited by a small sample size, it seems WEA can improve patient management without significantly </w:t>
      </w:r>
      <w:r w:rsidRPr="003B03E0">
        <w:lastRenderedPageBreak/>
        <w:t>increasing healthcare c</w:t>
      </w:r>
      <w:r w:rsidR="00FE7B20">
        <w:t>osts. Health resource costs in P</w:t>
      </w:r>
      <w:r w:rsidRPr="003B03E0">
        <w:t>opulation 3 (cascade testing) depend on the diagnosis (e.g. changes in treatment, use of reproductive genetic services, termination).</w:t>
      </w:r>
    </w:p>
    <w:p w14:paraId="5E1FCA36" w14:textId="77777777" w:rsidR="00B11E47" w:rsidRPr="003B03E0" w:rsidRDefault="00B11E47" w:rsidP="009A3D5C">
      <w:pPr>
        <w:spacing w:after="240"/>
      </w:pPr>
      <w:r w:rsidRPr="003B03E0">
        <w:t>ESC noted that the impact on quality of life of a positive diagnosis or negative findings after WEA was not repo</w:t>
      </w:r>
      <w:r w:rsidR="009A3D5C">
        <w:t>rted in the studies identified.</w:t>
      </w:r>
    </w:p>
    <w:p w14:paraId="049D545C" w14:textId="77777777" w:rsidR="00B11E47" w:rsidRPr="003B03E0" w:rsidRDefault="00B11E47" w:rsidP="00B11E47">
      <w:pPr>
        <w:spacing w:after="120"/>
      </w:pPr>
      <w:r w:rsidRPr="003B03E0">
        <w:t>ESC noted the following feedback from the Predisposition Genetic Testing Working Group (PGTWG) on other significant factors:</w:t>
      </w:r>
    </w:p>
    <w:p w14:paraId="22B9FFA0" w14:textId="12772493" w:rsidR="00B11E47" w:rsidRPr="00F15624" w:rsidRDefault="00B11E47" w:rsidP="00B11E47">
      <w:pPr>
        <w:pStyle w:val="Bullet"/>
        <w:ind w:left="1080"/>
        <w:rPr>
          <w:color w:val="auto"/>
          <w:sz w:val="24"/>
          <w:szCs w:val="24"/>
        </w:rPr>
      </w:pPr>
      <w:r w:rsidRPr="00F15624">
        <w:rPr>
          <w:color w:val="auto"/>
          <w:sz w:val="24"/>
          <w:szCs w:val="24"/>
        </w:rPr>
        <w:t xml:space="preserve">Clinical utility is difficult to quantify for multiple diseases. Utility should be ranked in terms of what changes health outcomes for patients; that is, </w:t>
      </w:r>
      <w:r w:rsidR="0006133A">
        <w:rPr>
          <w:color w:val="auto"/>
          <w:sz w:val="24"/>
          <w:szCs w:val="24"/>
        </w:rPr>
        <w:t xml:space="preserve">over </w:t>
      </w:r>
      <w:r w:rsidRPr="00F15624">
        <w:rPr>
          <w:color w:val="auto"/>
          <w:sz w:val="24"/>
          <w:szCs w:val="24"/>
        </w:rPr>
        <w:t xml:space="preserve">enabling more informed family planning decisions, reducing the </w:t>
      </w:r>
      <w:r w:rsidR="000A768F">
        <w:rPr>
          <w:color w:val="auto"/>
          <w:sz w:val="24"/>
          <w:szCs w:val="24"/>
        </w:rPr>
        <w:t>‘</w:t>
      </w:r>
      <w:r w:rsidRPr="00F15624">
        <w:rPr>
          <w:color w:val="auto"/>
          <w:sz w:val="24"/>
          <w:szCs w:val="24"/>
        </w:rPr>
        <w:t>diagnostic odyss</w:t>
      </w:r>
      <w:r w:rsidR="00F15624">
        <w:rPr>
          <w:color w:val="auto"/>
          <w:sz w:val="24"/>
          <w:szCs w:val="24"/>
        </w:rPr>
        <w:t>ey</w:t>
      </w:r>
      <w:r w:rsidR="000A768F">
        <w:rPr>
          <w:color w:val="auto"/>
          <w:sz w:val="24"/>
          <w:szCs w:val="24"/>
        </w:rPr>
        <w:t>’</w:t>
      </w:r>
      <w:r w:rsidR="00F15624">
        <w:rPr>
          <w:color w:val="auto"/>
          <w:sz w:val="24"/>
          <w:szCs w:val="24"/>
        </w:rPr>
        <w:t xml:space="preserve"> </w:t>
      </w:r>
      <w:r w:rsidR="0006133A">
        <w:rPr>
          <w:color w:val="auto"/>
          <w:sz w:val="24"/>
          <w:szCs w:val="24"/>
        </w:rPr>
        <w:t>or</w:t>
      </w:r>
      <w:r w:rsidR="00F15624">
        <w:rPr>
          <w:color w:val="auto"/>
          <w:sz w:val="24"/>
          <w:szCs w:val="24"/>
        </w:rPr>
        <w:t xml:space="preserve"> providing peace of mind.</w:t>
      </w:r>
    </w:p>
    <w:p w14:paraId="54906B6D" w14:textId="77777777" w:rsidR="00B11E47" w:rsidRPr="00F15624" w:rsidRDefault="00B11E47" w:rsidP="00B11E47">
      <w:pPr>
        <w:pStyle w:val="Bullet"/>
        <w:ind w:left="1080"/>
        <w:rPr>
          <w:color w:val="auto"/>
          <w:sz w:val="24"/>
          <w:szCs w:val="24"/>
        </w:rPr>
      </w:pPr>
      <w:r w:rsidRPr="00F15624">
        <w:rPr>
          <w:color w:val="auto"/>
          <w:sz w:val="24"/>
          <w:szCs w:val="24"/>
        </w:rPr>
        <w:t>More detail is required o</w:t>
      </w:r>
      <w:r w:rsidR="00F15624">
        <w:rPr>
          <w:color w:val="auto"/>
          <w:sz w:val="24"/>
          <w:szCs w:val="24"/>
        </w:rPr>
        <w:t xml:space="preserve">n </w:t>
      </w:r>
      <w:r w:rsidR="0006133A">
        <w:rPr>
          <w:color w:val="auto"/>
          <w:sz w:val="24"/>
          <w:szCs w:val="24"/>
        </w:rPr>
        <w:t xml:space="preserve">the </w:t>
      </w:r>
      <w:r w:rsidR="00F15624">
        <w:rPr>
          <w:color w:val="auto"/>
          <w:sz w:val="24"/>
          <w:szCs w:val="24"/>
        </w:rPr>
        <w:t>microarray triage before WES.</w:t>
      </w:r>
    </w:p>
    <w:p w14:paraId="43760752" w14:textId="77777777" w:rsidR="00B11E47" w:rsidRPr="00F15624" w:rsidRDefault="00B11E47" w:rsidP="00B11E47">
      <w:pPr>
        <w:pStyle w:val="Bullet"/>
        <w:ind w:left="1080"/>
        <w:rPr>
          <w:color w:val="auto"/>
          <w:sz w:val="24"/>
          <w:szCs w:val="24"/>
        </w:rPr>
      </w:pPr>
      <w:r w:rsidRPr="00F15624">
        <w:rPr>
          <w:color w:val="auto"/>
          <w:sz w:val="24"/>
          <w:szCs w:val="24"/>
        </w:rPr>
        <w:t xml:space="preserve">In many cases, a </w:t>
      </w:r>
      <w:r w:rsidR="00CE729A">
        <w:rPr>
          <w:color w:val="auto"/>
          <w:sz w:val="24"/>
          <w:szCs w:val="24"/>
        </w:rPr>
        <w:t>molecular</w:t>
      </w:r>
      <w:r w:rsidRPr="00F15624">
        <w:rPr>
          <w:color w:val="auto"/>
          <w:sz w:val="24"/>
          <w:szCs w:val="24"/>
        </w:rPr>
        <w:t xml:space="preserve"> diagnosis made by WES will need to be confir</w:t>
      </w:r>
      <w:r w:rsidR="00F15624">
        <w:rPr>
          <w:color w:val="auto"/>
          <w:sz w:val="24"/>
          <w:szCs w:val="24"/>
        </w:rPr>
        <w:t>med by a second testing method.</w:t>
      </w:r>
    </w:p>
    <w:p w14:paraId="22039CA6" w14:textId="77777777" w:rsidR="00B11E47" w:rsidRPr="00F15624" w:rsidRDefault="00B11E47" w:rsidP="00B11E47">
      <w:pPr>
        <w:pStyle w:val="Bullet"/>
        <w:ind w:left="1080"/>
        <w:rPr>
          <w:color w:val="auto"/>
          <w:sz w:val="24"/>
          <w:szCs w:val="24"/>
        </w:rPr>
      </w:pPr>
      <w:r w:rsidRPr="00F15624">
        <w:rPr>
          <w:color w:val="auto"/>
          <w:sz w:val="24"/>
          <w:szCs w:val="24"/>
        </w:rPr>
        <w:t>Reanalysis should be limited to the set of childhood syndromes to minimise the likelihood of incidental findings that would add to t</w:t>
      </w:r>
      <w:r w:rsidR="00F15624">
        <w:rPr>
          <w:color w:val="auto"/>
          <w:sz w:val="24"/>
          <w:szCs w:val="24"/>
        </w:rPr>
        <w:t>he patient’s/family’s concerns.</w:t>
      </w:r>
    </w:p>
    <w:p w14:paraId="7F9D4732" w14:textId="77777777" w:rsidR="00B11E47" w:rsidRPr="00F15624" w:rsidRDefault="00B11E47" w:rsidP="00B11E47">
      <w:pPr>
        <w:pStyle w:val="Bullet"/>
        <w:ind w:left="1080"/>
        <w:rPr>
          <w:color w:val="auto"/>
          <w:sz w:val="24"/>
          <w:szCs w:val="24"/>
        </w:rPr>
      </w:pPr>
      <w:r w:rsidRPr="00F15624">
        <w:rPr>
          <w:color w:val="auto"/>
          <w:sz w:val="24"/>
          <w:szCs w:val="24"/>
        </w:rPr>
        <w:t>There are possible capacity constraints on WES testing in Australia. There are only four clinical diagnostic laboratories currently providing National Association of Testing Authorities (NATA)-accredited serv</w:t>
      </w:r>
      <w:r w:rsidR="00F15624">
        <w:rPr>
          <w:color w:val="auto"/>
          <w:sz w:val="24"/>
          <w:szCs w:val="24"/>
        </w:rPr>
        <w:t>ices for WES.</w:t>
      </w:r>
    </w:p>
    <w:p w14:paraId="4FC14086" w14:textId="77777777" w:rsidR="00B11E47" w:rsidRPr="00F15624" w:rsidRDefault="00B11E47" w:rsidP="00B11E47">
      <w:pPr>
        <w:pStyle w:val="BulletLast"/>
        <w:ind w:left="1080"/>
        <w:rPr>
          <w:color w:val="auto"/>
          <w:sz w:val="24"/>
          <w:szCs w:val="24"/>
        </w:rPr>
      </w:pPr>
      <w:r w:rsidRPr="00F15624">
        <w:rPr>
          <w:color w:val="auto"/>
          <w:sz w:val="24"/>
          <w:szCs w:val="24"/>
        </w:rPr>
        <w:t>Whole genome sequencing (WGS) is superior</w:t>
      </w:r>
      <w:r w:rsidR="00F15624">
        <w:rPr>
          <w:color w:val="auto"/>
          <w:sz w:val="24"/>
          <w:szCs w:val="24"/>
        </w:rPr>
        <w:t xml:space="preserve"> to WES in terms of </w:t>
      </w:r>
      <w:r w:rsidR="0006133A">
        <w:rPr>
          <w:color w:val="auto"/>
          <w:sz w:val="24"/>
          <w:szCs w:val="24"/>
        </w:rPr>
        <w:t>diagnostic yield</w:t>
      </w:r>
      <w:r w:rsidR="00F15624">
        <w:rPr>
          <w:color w:val="auto"/>
          <w:sz w:val="24"/>
          <w:szCs w:val="24"/>
        </w:rPr>
        <w:t>.</w:t>
      </w:r>
    </w:p>
    <w:p w14:paraId="43D53C28" w14:textId="77777777" w:rsidR="00B11E47" w:rsidRPr="009A3D5C" w:rsidRDefault="00B11E47" w:rsidP="009A3D5C">
      <w:pPr>
        <w:pStyle w:val="BulletBeforeDash"/>
        <w:numPr>
          <w:ilvl w:val="0"/>
          <w:numId w:val="0"/>
        </w:numPr>
        <w:spacing w:after="240"/>
        <w:rPr>
          <w:color w:val="auto"/>
          <w:sz w:val="24"/>
          <w:szCs w:val="24"/>
        </w:rPr>
      </w:pPr>
      <w:r w:rsidRPr="00F15624">
        <w:rPr>
          <w:color w:val="auto"/>
          <w:sz w:val="24"/>
          <w:szCs w:val="24"/>
        </w:rPr>
        <w:t>ESC noted that WGS is more expensive than WES and that there is debate about whether WGS is superior to WES. ESC also noted that WES testing is an emerging technology and only done by a few laboratories. If funding is limited to WES then testing would be limited</w:t>
      </w:r>
      <w:r w:rsidR="009A3D5C">
        <w:rPr>
          <w:color w:val="auto"/>
          <w:sz w:val="24"/>
          <w:szCs w:val="24"/>
        </w:rPr>
        <w:t xml:space="preserve"> to only those centres.</w:t>
      </w:r>
    </w:p>
    <w:p w14:paraId="66719E73" w14:textId="77777777" w:rsidR="00B11E47" w:rsidRPr="009A3D5C" w:rsidRDefault="00B11E47" w:rsidP="009A3D5C">
      <w:pPr>
        <w:spacing w:after="240"/>
        <w:rPr>
          <w:szCs w:val="24"/>
        </w:rPr>
      </w:pPr>
      <w:r w:rsidRPr="003B03E0">
        <w:rPr>
          <w:szCs w:val="24"/>
        </w:rPr>
        <w:t>The economic evaluation focused on data from three Australian studies, based on a</w:t>
      </w:r>
      <w:r w:rsidR="0006133A">
        <w:rPr>
          <w:szCs w:val="24"/>
        </w:rPr>
        <w:t xml:space="preserve"> single study by Stark in 2016.</w:t>
      </w:r>
    </w:p>
    <w:p w14:paraId="2FD88C67" w14:textId="77777777" w:rsidR="0006133A" w:rsidRDefault="00B11E47" w:rsidP="009A3D5C">
      <w:pPr>
        <w:spacing w:after="240"/>
        <w:rPr>
          <w:szCs w:val="24"/>
        </w:rPr>
      </w:pPr>
      <w:r w:rsidRPr="003B03E0">
        <w:rPr>
          <w:szCs w:val="24"/>
        </w:rPr>
        <w:t>ESC noted that</w:t>
      </w:r>
      <w:r w:rsidR="0006133A">
        <w:rPr>
          <w:szCs w:val="24"/>
        </w:rPr>
        <w:t>,</w:t>
      </w:r>
      <w:r w:rsidRPr="003B03E0">
        <w:rPr>
          <w:szCs w:val="24"/>
        </w:rPr>
        <w:t xml:space="preserve"> </w:t>
      </w:r>
      <w:r w:rsidRPr="003B03E0">
        <w:rPr>
          <w:szCs w:val="24"/>
          <w:lang w:val="en-US"/>
        </w:rPr>
        <w:t xml:space="preserve">although WES appears to </w:t>
      </w:r>
      <w:r w:rsidRPr="003B03E0">
        <w:rPr>
          <w:szCs w:val="24"/>
        </w:rPr>
        <w:t>be</w:t>
      </w:r>
      <w:r w:rsidRPr="003B03E0">
        <w:rPr>
          <w:szCs w:val="24"/>
          <w:lang w:val="en-US"/>
        </w:rPr>
        <w:t xml:space="preserve"> cost-effective when compared to SoC, there are some uncertainties about the quality of the evidence.</w:t>
      </w:r>
      <w:r w:rsidRPr="003B03E0" w:rsidDel="002245B2">
        <w:rPr>
          <w:szCs w:val="24"/>
        </w:rPr>
        <w:t xml:space="preserve"> </w:t>
      </w:r>
      <w:r w:rsidRPr="003B03E0">
        <w:rPr>
          <w:szCs w:val="24"/>
        </w:rPr>
        <w:t>The Stark 2016 study was biased by some clinicians not performing all the SoC genetic tests due to financial constraints. Assumptions were therefore made about what would happen if all tests were done.</w:t>
      </w:r>
    </w:p>
    <w:p w14:paraId="218F111A" w14:textId="77777777" w:rsidR="00B11E47" w:rsidRPr="009A3D5C" w:rsidRDefault="00B11E47" w:rsidP="009A3D5C">
      <w:pPr>
        <w:spacing w:after="240"/>
        <w:rPr>
          <w:szCs w:val="24"/>
        </w:rPr>
      </w:pPr>
      <w:r w:rsidRPr="003B03E0">
        <w:rPr>
          <w:szCs w:val="24"/>
        </w:rPr>
        <w:t>The economic evaluation assumed diagnostic yield of 55% for WES and 27.5% for SoC. The meta-analysis of diagnostic sensitivity demonstrated moderate to severe</w:t>
      </w:r>
      <w:r w:rsidR="009A3D5C">
        <w:rPr>
          <w:szCs w:val="24"/>
        </w:rPr>
        <w:t xml:space="preserve"> heterogeneity between studies.</w:t>
      </w:r>
    </w:p>
    <w:p w14:paraId="088FE971" w14:textId="77777777" w:rsidR="00B11E47" w:rsidRPr="003B03E0" w:rsidRDefault="00B11E47" w:rsidP="00B11E47">
      <w:pPr>
        <w:spacing w:after="120"/>
      </w:pPr>
      <w:r w:rsidRPr="003B03E0">
        <w:t>ESC noted that the key translation issues in the model were:</w:t>
      </w:r>
    </w:p>
    <w:p w14:paraId="13FB431C" w14:textId="77777777" w:rsidR="00B11E47" w:rsidRPr="003B03E0" w:rsidRDefault="00B11E47" w:rsidP="00B11E47">
      <w:pPr>
        <w:pStyle w:val="Bullet"/>
        <w:ind w:left="1080"/>
        <w:rPr>
          <w:color w:val="auto"/>
        </w:rPr>
      </w:pPr>
      <w:r w:rsidRPr="003B03E0">
        <w:rPr>
          <w:color w:val="auto"/>
        </w:rPr>
        <w:t xml:space="preserve">applicability – the key study involved patients aged 0–2 years, and there is no information on the applicability of this subgroup to the </w:t>
      </w:r>
      <w:r w:rsidR="0006133A">
        <w:rPr>
          <w:color w:val="auto"/>
        </w:rPr>
        <w:t xml:space="preserve">proposed </w:t>
      </w:r>
      <w:r w:rsidRPr="003B03E0">
        <w:rPr>
          <w:color w:val="auto"/>
        </w:rPr>
        <w:t>MBS population (0–18 years); subgroup analysis could have been done</w:t>
      </w:r>
    </w:p>
    <w:p w14:paraId="294A3F59" w14:textId="77777777" w:rsidR="00B11E47" w:rsidRPr="003B03E0" w:rsidRDefault="00B11E47" w:rsidP="00B11E47">
      <w:pPr>
        <w:pStyle w:val="Bullet"/>
        <w:ind w:left="1080"/>
        <w:rPr>
          <w:color w:val="auto"/>
        </w:rPr>
      </w:pPr>
      <w:r w:rsidRPr="003B03E0">
        <w:rPr>
          <w:color w:val="auto"/>
        </w:rPr>
        <w:t>transformation – utility scores could not be verified, but the incremental gain is small</w:t>
      </w:r>
    </w:p>
    <w:p w14:paraId="206CF953" w14:textId="77777777" w:rsidR="00B11E47" w:rsidRPr="003B03E0" w:rsidRDefault="0006133A" w:rsidP="00B11E47">
      <w:pPr>
        <w:pStyle w:val="Bullet"/>
        <w:ind w:left="1080"/>
        <w:rPr>
          <w:color w:val="auto"/>
        </w:rPr>
      </w:pPr>
      <w:r>
        <w:rPr>
          <w:color w:val="auto"/>
        </w:rPr>
        <w:t xml:space="preserve">other </w:t>
      </w:r>
      <w:r w:rsidR="00B11E47" w:rsidRPr="003B03E0">
        <w:rPr>
          <w:color w:val="auto"/>
        </w:rPr>
        <w:t>translation – time to definitive diagnosis is a key driver of the economic model but was not reported in Australian studies; it was assumed to be 5 months for WEA (based on expert opinion) and 22 months for</w:t>
      </w:r>
      <w:r w:rsidR="00B11E47" w:rsidRPr="003B03E0" w:rsidDel="000072FC">
        <w:rPr>
          <w:color w:val="auto"/>
        </w:rPr>
        <w:t xml:space="preserve"> </w:t>
      </w:r>
      <w:r>
        <w:rPr>
          <w:color w:val="auto"/>
        </w:rPr>
        <w:t>SoC</w:t>
      </w:r>
    </w:p>
    <w:p w14:paraId="0FA59D47" w14:textId="77777777" w:rsidR="00B11E47" w:rsidRPr="003B03E0" w:rsidRDefault="00B11E47" w:rsidP="00B11E47">
      <w:pPr>
        <w:pStyle w:val="BulletLast"/>
        <w:ind w:left="1080"/>
        <w:rPr>
          <w:color w:val="auto"/>
        </w:rPr>
      </w:pPr>
      <w:r w:rsidRPr="003B03E0">
        <w:rPr>
          <w:color w:val="auto"/>
        </w:rPr>
        <w:lastRenderedPageBreak/>
        <w:t>time horizon – 10 years is not justified; the median time to report and median follow-up total around 19 months, and longer-term costs and utility changes were n</w:t>
      </w:r>
      <w:r w:rsidR="0006133A">
        <w:rPr>
          <w:color w:val="auto"/>
        </w:rPr>
        <w:t>ot considered so are uncertain.</w:t>
      </w:r>
    </w:p>
    <w:p w14:paraId="5F8F6224" w14:textId="77777777" w:rsidR="00B11E47" w:rsidRPr="003B03E0" w:rsidRDefault="00B11E47" w:rsidP="009A3D5C">
      <w:pPr>
        <w:spacing w:after="240"/>
      </w:pPr>
      <w:r w:rsidRPr="003B03E0">
        <w:t>Costs are the main driver of the economic model. Most of the cost occurs in the initial testing phase and then becomes a maintenance cost. The period of testing, or time to diagnosis, therefore has a major influence on the model. The model includes the cost of reanalysis every 18 months, assuming that every person with a negative test would have reanalysis. It also assumes that this frequency of testing continues indefinitely, although the application proposes that reanalyses are capped at 2. Estimates of cumulativ</w:t>
      </w:r>
      <w:r w:rsidR="0006133A">
        <w:t>e cost are therefore uncertain.</w:t>
      </w:r>
    </w:p>
    <w:p w14:paraId="1AB4E582" w14:textId="77777777" w:rsidR="00B11E47" w:rsidRPr="003B03E0" w:rsidRDefault="00B11E47" w:rsidP="009A3D5C">
      <w:pPr>
        <w:spacing w:after="240"/>
      </w:pPr>
      <w:r w:rsidRPr="003B03E0">
        <w:t xml:space="preserve">ESC queried whether reanalysis after 18 months would be done for all children with a negative result, or whether the clinical panel would decide which children are eligible for reanalysis. This was not clear in the application. ESC also discussed whether the false negative rate for WES of 2% quoted by the clinical discussant would lead to reanalysis for reasons other than new genes or variants and agreed that it </w:t>
      </w:r>
      <w:r w:rsidR="0006133A">
        <w:t>would be</w:t>
      </w:r>
      <w:r w:rsidRPr="003B03E0">
        <w:t xml:space="preserve"> a possibility. However, there will always be false negatives, and technologies change over time so there wi</w:t>
      </w:r>
      <w:r w:rsidR="0006133A">
        <w:t>ll always be reasons to retest.</w:t>
      </w:r>
    </w:p>
    <w:p w14:paraId="28D56B51" w14:textId="77777777" w:rsidR="00B11E47" w:rsidRPr="003B03E0" w:rsidRDefault="00B11E47" w:rsidP="009A3D5C">
      <w:pPr>
        <w:spacing w:after="240"/>
      </w:pPr>
      <w:r w:rsidRPr="003B03E0">
        <w:t xml:space="preserve">Given the uncertainty in the model, ESC queried whether a within-trial ICER may be more appropriate. Sensitivity analysis by the discussant showed that the ICER increases if WES time to diagnosis is increased or SoC time to diagnosis is reduced, and there is a moderate change if the time horizon is limited to 2 years. ESC noted that the ICERs seemed reasonable, but noted </w:t>
      </w:r>
      <w:r w:rsidR="0006133A">
        <w:t>the uncertainties in the model.</w:t>
      </w:r>
    </w:p>
    <w:p w14:paraId="1E82DA05" w14:textId="77777777" w:rsidR="00B11E47" w:rsidRPr="003B03E0" w:rsidRDefault="00B11E47" w:rsidP="009A3D5C">
      <w:pPr>
        <w:spacing w:after="240"/>
      </w:pPr>
      <w:r w:rsidRPr="003B03E0">
        <w:t>ESC noted that the sensitivity analysis in the evaluation was based on the reproductive benefits to parents however that there is very little i</w:t>
      </w:r>
      <w:r w:rsidR="009A3D5C">
        <w:t>nformation about this analysis.</w:t>
      </w:r>
    </w:p>
    <w:p w14:paraId="1CF2B242" w14:textId="77777777" w:rsidR="00B11E47" w:rsidRPr="003B03E0" w:rsidRDefault="00B11E47" w:rsidP="009A3D5C">
      <w:pPr>
        <w:spacing w:after="240"/>
      </w:pPr>
      <w:r w:rsidRPr="003B03E0">
        <w:t xml:space="preserve">ESC noted that the incremental benefit of WEA in terms of quality-adjusted life years (QALYs) gained is small and accumulates over time and it is mainly driven by retesting of children </w:t>
      </w:r>
      <w:r w:rsidR="0006133A">
        <w:t>who originally tested negative.</w:t>
      </w:r>
    </w:p>
    <w:p w14:paraId="25AD498C" w14:textId="77777777" w:rsidR="00B11E47" w:rsidRPr="003B03E0" w:rsidRDefault="00B11E47" w:rsidP="00B11E47">
      <w:pPr>
        <w:spacing w:after="120"/>
        <w:rPr>
          <w:lang w:val="en-US"/>
        </w:rPr>
      </w:pPr>
      <w:r w:rsidRPr="003B03E0">
        <w:rPr>
          <w:lang w:val="en-US"/>
        </w:rPr>
        <w:t>ESC noted the total cost to the MBS over 5 years is $42,675,292. Financial and budgetary impacts will be greater if:</w:t>
      </w:r>
    </w:p>
    <w:p w14:paraId="03EB42D9" w14:textId="77777777" w:rsidR="00B11E47" w:rsidRPr="0006133A" w:rsidRDefault="00B11E47" w:rsidP="00B11E47">
      <w:pPr>
        <w:pStyle w:val="Bullet"/>
        <w:ind w:left="1080"/>
        <w:rPr>
          <w:color w:val="auto"/>
          <w:sz w:val="24"/>
          <w:szCs w:val="24"/>
        </w:rPr>
      </w:pPr>
      <w:r w:rsidRPr="0006133A">
        <w:rPr>
          <w:color w:val="auto"/>
          <w:sz w:val="24"/>
          <w:szCs w:val="24"/>
        </w:rPr>
        <w:t>the proportion of suspected syndromic genetic disorders and con</w:t>
      </w:r>
      <w:r w:rsidR="0006133A" w:rsidRPr="0006133A">
        <w:rPr>
          <w:color w:val="auto"/>
          <w:sz w:val="24"/>
          <w:szCs w:val="24"/>
        </w:rPr>
        <w:t>genital abnormalities increases</w:t>
      </w:r>
    </w:p>
    <w:p w14:paraId="73704124" w14:textId="77777777" w:rsidR="00B11E47" w:rsidRPr="0006133A" w:rsidRDefault="00B11E47" w:rsidP="00B11E47">
      <w:pPr>
        <w:pStyle w:val="Bullet"/>
        <w:ind w:left="1080"/>
        <w:rPr>
          <w:color w:val="auto"/>
          <w:sz w:val="24"/>
          <w:szCs w:val="24"/>
        </w:rPr>
      </w:pPr>
      <w:r w:rsidRPr="0006133A">
        <w:rPr>
          <w:color w:val="auto"/>
          <w:sz w:val="24"/>
          <w:szCs w:val="24"/>
        </w:rPr>
        <w:t>MBS listing leads to increased supply/capacity of WEA providers</w:t>
      </w:r>
    </w:p>
    <w:p w14:paraId="347FF8C4" w14:textId="77777777" w:rsidR="00B11E47" w:rsidRPr="0006133A" w:rsidRDefault="00B11E47" w:rsidP="00B11E47">
      <w:pPr>
        <w:pStyle w:val="BulletLast"/>
        <w:ind w:left="1080"/>
        <w:rPr>
          <w:color w:val="auto"/>
          <w:sz w:val="24"/>
          <w:szCs w:val="24"/>
        </w:rPr>
      </w:pPr>
      <w:r w:rsidRPr="0006133A">
        <w:rPr>
          <w:color w:val="auto"/>
          <w:sz w:val="24"/>
          <w:szCs w:val="24"/>
        </w:rPr>
        <w:t>MBS listing leads to a lower threshold for testing and more children being tested (leakage).</w:t>
      </w:r>
    </w:p>
    <w:p w14:paraId="2C774641" w14:textId="77777777" w:rsidR="00B11E47" w:rsidRPr="0006133A" w:rsidRDefault="00B11E47" w:rsidP="009A3D5C">
      <w:pPr>
        <w:spacing w:after="240"/>
      </w:pPr>
      <w:r w:rsidRPr="003B03E0">
        <w:t xml:space="preserve">ESC noted that there was no justification given for the $2400 fee in the MBS descriptor and that re-interrogation evidence seems to be weak and queried the value of two re-interrogation items with different fees. It was clarified that after a positive result ($650 fee) there would be no further re-interrogation. Re-interrogation after a negative result ($350 fee) could continue indefinitely every 18 months if it is not capped. It was therefore suggested that the cap of 2 reanalyses should be written into the </w:t>
      </w:r>
      <w:r w:rsidR="0006133A">
        <w:t xml:space="preserve">relevant </w:t>
      </w:r>
      <w:r w:rsidRPr="003B03E0">
        <w:t xml:space="preserve">MBS </w:t>
      </w:r>
      <w:r w:rsidR="0006133A">
        <w:t>i</w:t>
      </w:r>
      <w:r w:rsidRPr="003B03E0">
        <w:t xml:space="preserve">tem </w:t>
      </w:r>
      <w:r w:rsidR="0006133A">
        <w:t>d</w:t>
      </w:r>
      <w:r w:rsidR="009A3D5C">
        <w:t>escriptor.</w:t>
      </w:r>
    </w:p>
    <w:p w14:paraId="76CEF74A" w14:textId="77777777" w:rsidR="00B11E47" w:rsidRPr="00624835" w:rsidRDefault="00B11E47" w:rsidP="009A3D5C">
      <w:pPr>
        <w:spacing w:after="240"/>
        <w:rPr>
          <w:szCs w:val="24"/>
        </w:rPr>
      </w:pPr>
      <w:r w:rsidRPr="00624835">
        <w:rPr>
          <w:szCs w:val="24"/>
        </w:rPr>
        <w:t xml:space="preserve">ESC agreed with the Department’s changes to the proposed MBS item descriptor to change wording to </w:t>
      </w:r>
      <w:r w:rsidRPr="00624835">
        <w:rPr>
          <w:szCs w:val="24"/>
          <w:lang w:val="en-US"/>
        </w:rPr>
        <w:t>“requested by a specialist or consultant physician’</w:t>
      </w:r>
      <w:r w:rsidRPr="00624835">
        <w:rPr>
          <w:szCs w:val="24"/>
        </w:rPr>
        <w:t xml:space="preserve"> and considered the revised item descriptor t</w:t>
      </w:r>
      <w:r w:rsidR="0006133A">
        <w:rPr>
          <w:szCs w:val="24"/>
        </w:rPr>
        <w:t>o be reasonable.</w:t>
      </w:r>
    </w:p>
    <w:p w14:paraId="7CF1BD40" w14:textId="77777777" w:rsidR="00B11E47" w:rsidRPr="00624835" w:rsidRDefault="00B11E47" w:rsidP="00B11E47">
      <w:pPr>
        <w:rPr>
          <w:szCs w:val="24"/>
        </w:rPr>
      </w:pPr>
      <w:r w:rsidRPr="00624835">
        <w:rPr>
          <w:szCs w:val="24"/>
        </w:rPr>
        <w:lastRenderedPageBreak/>
        <w:t xml:space="preserve">ESCs noted from the consumer </w:t>
      </w:r>
      <w:r w:rsidR="0006133A">
        <w:rPr>
          <w:szCs w:val="24"/>
        </w:rPr>
        <w:t>perspective</w:t>
      </w:r>
      <w:r w:rsidRPr="00624835">
        <w:rPr>
          <w:szCs w:val="24"/>
        </w:rPr>
        <w:t xml:space="preserve"> t</w:t>
      </w:r>
      <w:bookmarkStart w:id="20" w:name="Editing"/>
      <w:bookmarkEnd w:id="20"/>
      <w:r w:rsidRPr="00624835">
        <w:rPr>
          <w:szCs w:val="24"/>
        </w:rPr>
        <w:t xml:space="preserve">hat the proposed test appears to be safe and the importance of insuring the test is accurate as incorrect results may be detrimental. </w:t>
      </w:r>
      <w:r w:rsidR="0006133A">
        <w:rPr>
          <w:szCs w:val="24"/>
        </w:rPr>
        <w:t xml:space="preserve">From this perspective, there is also </w:t>
      </w:r>
      <w:r w:rsidRPr="00624835">
        <w:rPr>
          <w:szCs w:val="24"/>
        </w:rPr>
        <w:t xml:space="preserve">some uncertainty about the comparator, considering that </w:t>
      </w:r>
      <w:r w:rsidR="00CE729A">
        <w:rPr>
          <w:szCs w:val="24"/>
        </w:rPr>
        <w:t xml:space="preserve">a molecular </w:t>
      </w:r>
      <w:r w:rsidRPr="00624835">
        <w:rPr>
          <w:szCs w:val="24"/>
        </w:rPr>
        <w:t xml:space="preserve">diagnosis </w:t>
      </w:r>
      <w:r w:rsidR="00CE729A">
        <w:rPr>
          <w:szCs w:val="24"/>
        </w:rPr>
        <w:t>would be</w:t>
      </w:r>
      <w:r w:rsidRPr="00624835">
        <w:rPr>
          <w:szCs w:val="24"/>
        </w:rPr>
        <w:t xml:space="preserve"> made by a specialised clinician and </w:t>
      </w:r>
      <w:r w:rsidR="00CE729A">
        <w:rPr>
          <w:szCs w:val="24"/>
        </w:rPr>
        <w:t>could</w:t>
      </w:r>
      <w:r w:rsidRPr="00624835">
        <w:rPr>
          <w:szCs w:val="24"/>
        </w:rPr>
        <w:t xml:space="preserve"> lead to other tests to </w:t>
      </w:r>
      <w:r w:rsidR="00CE729A">
        <w:rPr>
          <w:szCs w:val="24"/>
        </w:rPr>
        <w:t>confirm</w:t>
      </w:r>
      <w:r w:rsidRPr="00624835">
        <w:rPr>
          <w:szCs w:val="24"/>
        </w:rPr>
        <w:t xml:space="preserve"> the </w:t>
      </w:r>
      <w:r w:rsidR="00CE729A">
        <w:rPr>
          <w:szCs w:val="24"/>
        </w:rPr>
        <w:t>diagnosis</w:t>
      </w:r>
      <w:r w:rsidRPr="00624835">
        <w:rPr>
          <w:szCs w:val="24"/>
        </w:rPr>
        <w:t xml:space="preserve">. It was noted that there may be some access/equity issues due to the nature of the test and a need for access to specialist clinicians and </w:t>
      </w:r>
      <w:r w:rsidR="0006133A">
        <w:rPr>
          <w:szCs w:val="24"/>
        </w:rPr>
        <w:t>genetic counselling.</w:t>
      </w:r>
    </w:p>
    <w:p w14:paraId="60F64BB1" w14:textId="77777777" w:rsidR="00D90A38" w:rsidRPr="00F715D1" w:rsidRDefault="00BC1364" w:rsidP="00F715D1">
      <w:pPr>
        <w:pStyle w:val="Heading1"/>
      </w:pPr>
      <w:r w:rsidRPr="00F715D1">
        <w:t>Other significant factors</w:t>
      </w:r>
    </w:p>
    <w:p w14:paraId="63C2A07D" w14:textId="77777777" w:rsidR="00BC1364" w:rsidRPr="00E3780D" w:rsidRDefault="00E3780D" w:rsidP="00F715D1">
      <w:pPr>
        <w:spacing w:after="240"/>
        <w:rPr>
          <w:szCs w:val="24"/>
        </w:rPr>
      </w:pPr>
      <w:r w:rsidRPr="00E3780D">
        <w:rPr>
          <w:szCs w:val="24"/>
        </w:rPr>
        <w:t>Nil</w:t>
      </w:r>
    </w:p>
    <w:p w14:paraId="3C93B76C" w14:textId="77777777" w:rsidR="00BC1364" w:rsidRPr="00F715D1" w:rsidRDefault="00BC1364" w:rsidP="00F715D1">
      <w:pPr>
        <w:pStyle w:val="Heading1"/>
      </w:pPr>
      <w:r w:rsidRPr="00F715D1">
        <w:t xml:space="preserve">Applicant’s comments on MSAC’s </w:t>
      </w:r>
      <w:r w:rsidR="00DA56AA" w:rsidRPr="00F715D1">
        <w:t>Public Summary Document</w:t>
      </w:r>
    </w:p>
    <w:p w14:paraId="2DF7A1C1" w14:textId="77777777" w:rsidR="00CA7BBC" w:rsidRDefault="00CA7BBC" w:rsidP="00CA7BBC">
      <w:r>
        <w:t xml:space="preserve">The applicants are pleased with the recommendation by MSAC supporting MBS listing of genomic testing for childhood syndromes and intellectual disability, including the time limited expansion of this testing to patients older than 10 years of age. Support for testing in these populations is a very important step forward for patients and their families. </w:t>
      </w:r>
    </w:p>
    <w:p w14:paraId="10052CA0" w14:textId="77777777" w:rsidR="00CA7BBC" w:rsidRDefault="00CA7BBC" w:rsidP="00CA7BBC"/>
    <w:p w14:paraId="09F0862D" w14:textId="4E59F504" w:rsidR="007313AD" w:rsidRPr="00E43165" w:rsidRDefault="00CA7BBC" w:rsidP="00CA7BBC">
      <w:r>
        <w:t xml:space="preserve">We support MSAC’s advice that further consultation is required to re-craft item descriptors, and offer our assistance in this process. The current item descriptor AAAAA should indicate “genome-wide” characterisation of germline variants, and the applicants also suggest the removal of the explicit exclusion of trio testing as part of item AAAAA. The restriction to singleton WEA will limit the ability of the testing laboratories to improve processes to provide timely services under a supply constrained environment. There are significant time savings associated with analysis of trio sequencing with curation times halved for trio analysis compared with singleton analysis. Trio testing also has the added advantage of minimising reporting of variants of unknown significance which can also add to the burden on families and clinical genetics services. Where trio testing is carried out there is also no longer a requirement to perform item CCCC3. Laboratories should be able to determine the most appropriate processes for their work flows and trios may be an option they will employ even with restricted funding.  </w:t>
      </w:r>
    </w:p>
    <w:p w14:paraId="6B581AF3" w14:textId="77777777" w:rsidR="00BC1364" w:rsidRPr="00F715D1" w:rsidRDefault="00271F18" w:rsidP="00F715D1">
      <w:pPr>
        <w:pStyle w:val="Heading1"/>
      </w:pPr>
      <w:r w:rsidRPr="00F715D1">
        <w:t>Further information on MSAC</w:t>
      </w:r>
    </w:p>
    <w:p w14:paraId="2E0EDBBB"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EA56" w14:textId="77777777" w:rsidR="001C0833" w:rsidRDefault="001C0833" w:rsidP="00065623">
      <w:r>
        <w:separator/>
      </w:r>
    </w:p>
  </w:endnote>
  <w:endnote w:type="continuationSeparator" w:id="0">
    <w:p w14:paraId="070E6498" w14:textId="77777777" w:rsidR="001C0833" w:rsidRDefault="001C0833"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A2CC" w14:textId="77777777" w:rsidR="00263A7C" w:rsidRDefault="00263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34A8F5BB" w14:textId="0B6B0C70" w:rsidR="001C0833" w:rsidRDefault="001C0833">
        <w:pPr>
          <w:pStyle w:val="Footer"/>
          <w:jc w:val="right"/>
        </w:pPr>
        <w:r>
          <w:fldChar w:fldCharType="begin"/>
        </w:r>
        <w:r>
          <w:instrText xml:space="preserve"> PAGE   \* MERGEFORMAT </w:instrText>
        </w:r>
        <w:r>
          <w:fldChar w:fldCharType="separate"/>
        </w:r>
        <w:r w:rsidR="00882D23">
          <w:rPr>
            <w:noProof/>
          </w:rPr>
          <w:t>17</w:t>
        </w:r>
        <w:r>
          <w:rPr>
            <w:noProof/>
          </w:rPr>
          <w:fldChar w:fldCharType="end"/>
        </w:r>
      </w:p>
    </w:sdtContent>
  </w:sdt>
  <w:p w14:paraId="50E7CDE4" w14:textId="77777777" w:rsidR="001C0833" w:rsidRDefault="001C0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3B216" w14:textId="77777777" w:rsidR="00263A7C" w:rsidRDefault="0026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8C355" w14:textId="77777777" w:rsidR="001C0833" w:rsidRDefault="001C0833" w:rsidP="00065623">
      <w:r>
        <w:separator/>
      </w:r>
    </w:p>
  </w:footnote>
  <w:footnote w:type="continuationSeparator" w:id="0">
    <w:p w14:paraId="7788F865" w14:textId="77777777" w:rsidR="001C0833" w:rsidRDefault="001C0833"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ABD4" w14:textId="77777777" w:rsidR="00263A7C" w:rsidRDefault="0026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101D" w14:textId="77777777" w:rsidR="00263A7C" w:rsidRDefault="0026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754C" w14:textId="77777777" w:rsidR="00263A7C" w:rsidRDefault="0026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D69"/>
    <w:multiLevelType w:val="hybridMultilevel"/>
    <w:tmpl w:val="F758AD4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40E09B6"/>
    <w:multiLevelType w:val="hybridMultilevel"/>
    <w:tmpl w:val="6830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709FC"/>
    <w:multiLevelType w:val="hybridMultilevel"/>
    <w:tmpl w:val="787EE598"/>
    <w:lvl w:ilvl="0" w:tplc="848A2CF6">
      <w:start w:val="1"/>
      <w:numFmt w:val="bullet"/>
      <w:lvlText w:val=""/>
      <w:lvlJc w:val="left"/>
      <w:pPr>
        <w:tabs>
          <w:tab w:val="num" w:pos="720"/>
        </w:tabs>
        <w:ind w:left="720" w:hanging="360"/>
      </w:pPr>
      <w:rPr>
        <w:rFonts w:ascii="Wingdings" w:hAnsi="Wingdings" w:hint="default"/>
      </w:rPr>
    </w:lvl>
    <w:lvl w:ilvl="1" w:tplc="659A5B66">
      <w:start w:val="1"/>
      <w:numFmt w:val="bullet"/>
      <w:lvlText w:val=""/>
      <w:lvlJc w:val="left"/>
      <w:pPr>
        <w:tabs>
          <w:tab w:val="num" w:pos="1440"/>
        </w:tabs>
        <w:ind w:left="1440" w:hanging="360"/>
      </w:pPr>
      <w:rPr>
        <w:rFonts w:ascii="Wingdings" w:hAnsi="Wingdings" w:hint="default"/>
      </w:rPr>
    </w:lvl>
    <w:lvl w:ilvl="2" w:tplc="D8B88C86">
      <w:start w:val="1372"/>
      <w:numFmt w:val="bullet"/>
      <w:lvlText w:val=""/>
      <w:lvlJc w:val="left"/>
      <w:pPr>
        <w:tabs>
          <w:tab w:val="num" w:pos="2160"/>
        </w:tabs>
        <w:ind w:left="2160" w:hanging="360"/>
      </w:pPr>
      <w:rPr>
        <w:rFonts w:ascii="Wingdings" w:hAnsi="Wingdings" w:hint="default"/>
      </w:rPr>
    </w:lvl>
    <w:lvl w:ilvl="3" w:tplc="91481BA0" w:tentative="1">
      <w:start w:val="1"/>
      <w:numFmt w:val="bullet"/>
      <w:lvlText w:val=""/>
      <w:lvlJc w:val="left"/>
      <w:pPr>
        <w:tabs>
          <w:tab w:val="num" w:pos="2880"/>
        </w:tabs>
        <w:ind w:left="2880" w:hanging="360"/>
      </w:pPr>
      <w:rPr>
        <w:rFonts w:ascii="Wingdings" w:hAnsi="Wingdings" w:hint="default"/>
      </w:rPr>
    </w:lvl>
    <w:lvl w:ilvl="4" w:tplc="1AFEDCFE" w:tentative="1">
      <w:start w:val="1"/>
      <w:numFmt w:val="bullet"/>
      <w:lvlText w:val=""/>
      <w:lvlJc w:val="left"/>
      <w:pPr>
        <w:tabs>
          <w:tab w:val="num" w:pos="3600"/>
        </w:tabs>
        <w:ind w:left="3600" w:hanging="360"/>
      </w:pPr>
      <w:rPr>
        <w:rFonts w:ascii="Wingdings" w:hAnsi="Wingdings" w:hint="default"/>
      </w:rPr>
    </w:lvl>
    <w:lvl w:ilvl="5" w:tplc="9A1220D8" w:tentative="1">
      <w:start w:val="1"/>
      <w:numFmt w:val="bullet"/>
      <w:lvlText w:val=""/>
      <w:lvlJc w:val="left"/>
      <w:pPr>
        <w:tabs>
          <w:tab w:val="num" w:pos="4320"/>
        </w:tabs>
        <w:ind w:left="4320" w:hanging="360"/>
      </w:pPr>
      <w:rPr>
        <w:rFonts w:ascii="Wingdings" w:hAnsi="Wingdings" w:hint="default"/>
      </w:rPr>
    </w:lvl>
    <w:lvl w:ilvl="6" w:tplc="531A9964" w:tentative="1">
      <w:start w:val="1"/>
      <w:numFmt w:val="bullet"/>
      <w:lvlText w:val=""/>
      <w:lvlJc w:val="left"/>
      <w:pPr>
        <w:tabs>
          <w:tab w:val="num" w:pos="5040"/>
        </w:tabs>
        <w:ind w:left="5040" w:hanging="360"/>
      </w:pPr>
      <w:rPr>
        <w:rFonts w:ascii="Wingdings" w:hAnsi="Wingdings" w:hint="default"/>
      </w:rPr>
    </w:lvl>
    <w:lvl w:ilvl="7" w:tplc="1B6665F0" w:tentative="1">
      <w:start w:val="1"/>
      <w:numFmt w:val="bullet"/>
      <w:lvlText w:val=""/>
      <w:lvlJc w:val="left"/>
      <w:pPr>
        <w:tabs>
          <w:tab w:val="num" w:pos="5760"/>
        </w:tabs>
        <w:ind w:left="5760" w:hanging="360"/>
      </w:pPr>
      <w:rPr>
        <w:rFonts w:ascii="Wingdings" w:hAnsi="Wingdings" w:hint="default"/>
      </w:rPr>
    </w:lvl>
    <w:lvl w:ilvl="8" w:tplc="0136C9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553E3"/>
    <w:multiLevelType w:val="hybridMultilevel"/>
    <w:tmpl w:val="EC609DE8"/>
    <w:lvl w:ilvl="0" w:tplc="70BA1AF6">
      <w:start w:val="1"/>
      <w:numFmt w:val="bullet"/>
      <w:lvlText w:val=""/>
      <w:lvlJc w:val="left"/>
      <w:pPr>
        <w:tabs>
          <w:tab w:val="num" w:pos="720"/>
        </w:tabs>
        <w:ind w:left="720" w:hanging="360"/>
      </w:pPr>
      <w:rPr>
        <w:rFonts w:ascii="Wingdings" w:hAnsi="Wingdings" w:hint="default"/>
      </w:rPr>
    </w:lvl>
    <w:lvl w:ilvl="1" w:tplc="CB90E702">
      <w:start w:val="1"/>
      <w:numFmt w:val="bullet"/>
      <w:lvlText w:val=""/>
      <w:lvlJc w:val="left"/>
      <w:pPr>
        <w:tabs>
          <w:tab w:val="num" w:pos="1440"/>
        </w:tabs>
        <w:ind w:left="1440" w:hanging="360"/>
      </w:pPr>
      <w:rPr>
        <w:rFonts w:ascii="Wingdings" w:hAnsi="Wingdings" w:hint="default"/>
      </w:rPr>
    </w:lvl>
    <w:lvl w:ilvl="2" w:tplc="FDD8F654">
      <w:start w:val="3563"/>
      <w:numFmt w:val="bullet"/>
      <w:lvlText w:val=""/>
      <w:lvlJc w:val="left"/>
      <w:pPr>
        <w:tabs>
          <w:tab w:val="num" w:pos="2160"/>
        </w:tabs>
        <w:ind w:left="2160" w:hanging="360"/>
      </w:pPr>
      <w:rPr>
        <w:rFonts w:ascii="Wingdings" w:hAnsi="Wingdings" w:hint="default"/>
      </w:rPr>
    </w:lvl>
    <w:lvl w:ilvl="3" w:tplc="A91C319E" w:tentative="1">
      <w:start w:val="1"/>
      <w:numFmt w:val="bullet"/>
      <w:lvlText w:val=""/>
      <w:lvlJc w:val="left"/>
      <w:pPr>
        <w:tabs>
          <w:tab w:val="num" w:pos="2880"/>
        </w:tabs>
        <w:ind w:left="2880" w:hanging="360"/>
      </w:pPr>
      <w:rPr>
        <w:rFonts w:ascii="Wingdings" w:hAnsi="Wingdings" w:hint="default"/>
      </w:rPr>
    </w:lvl>
    <w:lvl w:ilvl="4" w:tplc="D80E2A16" w:tentative="1">
      <w:start w:val="1"/>
      <w:numFmt w:val="bullet"/>
      <w:lvlText w:val=""/>
      <w:lvlJc w:val="left"/>
      <w:pPr>
        <w:tabs>
          <w:tab w:val="num" w:pos="3600"/>
        </w:tabs>
        <w:ind w:left="3600" w:hanging="360"/>
      </w:pPr>
      <w:rPr>
        <w:rFonts w:ascii="Wingdings" w:hAnsi="Wingdings" w:hint="default"/>
      </w:rPr>
    </w:lvl>
    <w:lvl w:ilvl="5" w:tplc="EE30409C" w:tentative="1">
      <w:start w:val="1"/>
      <w:numFmt w:val="bullet"/>
      <w:lvlText w:val=""/>
      <w:lvlJc w:val="left"/>
      <w:pPr>
        <w:tabs>
          <w:tab w:val="num" w:pos="4320"/>
        </w:tabs>
        <w:ind w:left="4320" w:hanging="360"/>
      </w:pPr>
      <w:rPr>
        <w:rFonts w:ascii="Wingdings" w:hAnsi="Wingdings" w:hint="default"/>
      </w:rPr>
    </w:lvl>
    <w:lvl w:ilvl="6" w:tplc="347A7828" w:tentative="1">
      <w:start w:val="1"/>
      <w:numFmt w:val="bullet"/>
      <w:lvlText w:val=""/>
      <w:lvlJc w:val="left"/>
      <w:pPr>
        <w:tabs>
          <w:tab w:val="num" w:pos="5040"/>
        </w:tabs>
        <w:ind w:left="5040" w:hanging="360"/>
      </w:pPr>
      <w:rPr>
        <w:rFonts w:ascii="Wingdings" w:hAnsi="Wingdings" w:hint="default"/>
      </w:rPr>
    </w:lvl>
    <w:lvl w:ilvl="7" w:tplc="08F034EA" w:tentative="1">
      <w:start w:val="1"/>
      <w:numFmt w:val="bullet"/>
      <w:lvlText w:val=""/>
      <w:lvlJc w:val="left"/>
      <w:pPr>
        <w:tabs>
          <w:tab w:val="num" w:pos="5760"/>
        </w:tabs>
        <w:ind w:left="5760" w:hanging="360"/>
      </w:pPr>
      <w:rPr>
        <w:rFonts w:ascii="Wingdings" w:hAnsi="Wingdings" w:hint="default"/>
      </w:rPr>
    </w:lvl>
    <w:lvl w:ilvl="8" w:tplc="737E1A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D93BB3"/>
    <w:multiLevelType w:val="hybridMultilevel"/>
    <w:tmpl w:val="0A9C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5775A66"/>
    <w:multiLevelType w:val="hybridMultilevel"/>
    <w:tmpl w:val="A7C4BD7A"/>
    <w:lvl w:ilvl="0" w:tplc="6EDAFC6C">
      <w:start w:val="1"/>
      <w:numFmt w:val="bullet"/>
      <w:lvlText w:val=""/>
      <w:lvlJc w:val="left"/>
      <w:pPr>
        <w:tabs>
          <w:tab w:val="num" w:pos="720"/>
        </w:tabs>
        <w:ind w:left="720" w:hanging="360"/>
      </w:pPr>
      <w:rPr>
        <w:rFonts w:ascii="Wingdings" w:hAnsi="Wingdings" w:hint="default"/>
      </w:rPr>
    </w:lvl>
    <w:lvl w:ilvl="1" w:tplc="6498AE8C">
      <w:start w:val="1"/>
      <w:numFmt w:val="bullet"/>
      <w:lvlText w:val=""/>
      <w:lvlJc w:val="left"/>
      <w:pPr>
        <w:tabs>
          <w:tab w:val="num" w:pos="1440"/>
        </w:tabs>
        <w:ind w:left="1440" w:hanging="360"/>
      </w:pPr>
      <w:rPr>
        <w:rFonts w:ascii="Wingdings" w:hAnsi="Wingdings" w:hint="default"/>
      </w:rPr>
    </w:lvl>
    <w:lvl w:ilvl="2" w:tplc="BFB87D92">
      <w:start w:val="2317"/>
      <w:numFmt w:val="bullet"/>
      <w:lvlText w:val=""/>
      <w:lvlJc w:val="left"/>
      <w:pPr>
        <w:tabs>
          <w:tab w:val="num" w:pos="2160"/>
        </w:tabs>
        <w:ind w:left="2160" w:hanging="360"/>
      </w:pPr>
      <w:rPr>
        <w:rFonts w:ascii="Wingdings" w:hAnsi="Wingdings" w:hint="default"/>
      </w:rPr>
    </w:lvl>
    <w:lvl w:ilvl="3" w:tplc="D5F80C9C">
      <w:start w:val="2317"/>
      <w:numFmt w:val="bullet"/>
      <w:lvlText w:val=""/>
      <w:lvlJc w:val="left"/>
      <w:pPr>
        <w:tabs>
          <w:tab w:val="num" w:pos="2880"/>
        </w:tabs>
        <w:ind w:left="2880" w:hanging="360"/>
      </w:pPr>
      <w:rPr>
        <w:rFonts w:ascii="Wingdings" w:hAnsi="Wingdings" w:hint="default"/>
      </w:rPr>
    </w:lvl>
    <w:lvl w:ilvl="4" w:tplc="067ACA1C" w:tentative="1">
      <w:start w:val="1"/>
      <w:numFmt w:val="bullet"/>
      <w:lvlText w:val=""/>
      <w:lvlJc w:val="left"/>
      <w:pPr>
        <w:tabs>
          <w:tab w:val="num" w:pos="3600"/>
        </w:tabs>
        <w:ind w:left="3600" w:hanging="360"/>
      </w:pPr>
      <w:rPr>
        <w:rFonts w:ascii="Wingdings" w:hAnsi="Wingdings" w:hint="default"/>
      </w:rPr>
    </w:lvl>
    <w:lvl w:ilvl="5" w:tplc="4F5AC2C4" w:tentative="1">
      <w:start w:val="1"/>
      <w:numFmt w:val="bullet"/>
      <w:lvlText w:val=""/>
      <w:lvlJc w:val="left"/>
      <w:pPr>
        <w:tabs>
          <w:tab w:val="num" w:pos="4320"/>
        </w:tabs>
        <w:ind w:left="4320" w:hanging="360"/>
      </w:pPr>
      <w:rPr>
        <w:rFonts w:ascii="Wingdings" w:hAnsi="Wingdings" w:hint="default"/>
      </w:rPr>
    </w:lvl>
    <w:lvl w:ilvl="6" w:tplc="82EAEDE0" w:tentative="1">
      <w:start w:val="1"/>
      <w:numFmt w:val="bullet"/>
      <w:lvlText w:val=""/>
      <w:lvlJc w:val="left"/>
      <w:pPr>
        <w:tabs>
          <w:tab w:val="num" w:pos="5040"/>
        </w:tabs>
        <w:ind w:left="5040" w:hanging="360"/>
      </w:pPr>
      <w:rPr>
        <w:rFonts w:ascii="Wingdings" w:hAnsi="Wingdings" w:hint="default"/>
      </w:rPr>
    </w:lvl>
    <w:lvl w:ilvl="7" w:tplc="41524D06" w:tentative="1">
      <w:start w:val="1"/>
      <w:numFmt w:val="bullet"/>
      <w:lvlText w:val=""/>
      <w:lvlJc w:val="left"/>
      <w:pPr>
        <w:tabs>
          <w:tab w:val="num" w:pos="5760"/>
        </w:tabs>
        <w:ind w:left="5760" w:hanging="360"/>
      </w:pPr>
      <w:rPr>
        <w:rFonts w:ascii="Wingdings" w:hAnsi="Wingdings" w:hint="default"/>
      </w:rPr>
    </w:lvl>
    <w:lvl w:ilvl="8" w:tplc="72A6C5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46013B"/>
    <w:multiLevelType w:val="hybridMultilevel"/>
    <w:tmpl w:val="C6CE7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623D61"/>
    <w:multiLevelType w:val="hybridMultilevel"/>
    <w:tmpl w:val="F88E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7A14D6C"/>
    <w:multiLevelType w:val="hybridMultilevel"/>
    <w:tmpl w:val="E3548DF0"/>
    <w:lvl w:ilvl="0" w:tplc="3D6CECE0">
      <w:start w:val="1"/>
      <w:numFmt w:val="bullet"/>
      <w:pStyle w:val="Bullet12"/>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1"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3AB44D5"/>
    <w:multiLevelType w:val="hybridMultilevel"/>
    <w:tmpl w:val="AA02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C06B2A"/>
    <w:multiLevelType w:val="hybridMultilevel"/>
    <w:tmpl w:val="DF2C3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7"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2"/>
  </w:num>
  <w:num w:numId="4">
    <w:abstractNumId w:val="23"/>
  </w:num>
  <w:num w:numId="5">
    <w:abstractNumId w:val="15"/>
  </w:num>
  <w:num w:numId="6">
    <w:abstractNumId w:val="22"/>
  </w:num>
  <w:num w:numId="7">
    <w:abstractNumId w:val="26"/>
  </w:num>
  <w:num w:numId="8">
    <w:abstractNumId w:val="16"/>
  </w:num>
  <w:num w:numId="9">
    <w:abstractNumId w:val="37"/>
  </w:num>
  <w:num w:numId="10">
    <w:abstractNumId w:val="1"/>
  </w:num>
  <w:num w:numId="11">
    <w:abstractNumId w:val="25"/>
  </w:num>
  <w:num w:numId="12">
    <w:abstractNumId w:val="27"/>
  </w:num>
  <w:num w:numId="13">
    <w:abstractNumId w:val="8"/>
  </w:num>
  <w:num w:numId="14">
    <w:abstractNumId w:val="32"/>
  </w:num>
  <w:num w:numId="15">
    <w:abstractNumId w:val="24"/>
  </w:num>
  <w:num w:numId="16">
    <w:abstractNumId w:val="28"/>
  </w:num>
  <w:num w:numId="17">
    <w:abstractNumId w:val="19"/>
  </w:num>
  <w:num w:numId="18">
    <w:abstractNumId w:val="20"/>
  </w:num>
  <w:num w:numId="19">
    <w:abstractNumId w:val="31"/>
  </w:num>
  <w:num w:numId="20">
    <w:abstractNumId w:val="29"/>
  </w:num>
  <w:num w:numId="21">
    <w:abstractNumId w:val="4"/>
  </w:num>
  <w:num w:numId="22">
    <w:abstractNumId w:val="14"/>
  </w:num>
  <w:num w:numId="23">
    <w:abstractNumId w:val="3"/>
  </w:num>
  <w:num w:numId="24">
    <w:abstractNumId w:val="12"/>
  </w:num>
  <w:num w:numId="25">
    <w:abstractNumId w:val="10"/>
  </w:num>
  <w:num w:numId="26">
    <w:abstractNumId w:val="35"/>
  </w:num>
  <w:num w:numId="27">
    <w:abstractNumId w:val="5"/>
  </w:num>
  <w:num w:numId="28">
    <w:abstractNumId w:val="17"/>
  </w:num>
  <w:num w:numId="29">
    <w:abstractNumId w:val="36"/>
  </w:num>
  <w:num w:numId="30">
    <w:abstractNumId w:val="9"/>
  </w:num>
  <w:num w:numId="31">
    <w:abstractNumId w:val="34"/>
  </w:num>
  <w:num w:numId="32">
    <w:abstractNumId w:val="18"/>
  </w:num>
  <w:num w:numId="33">
    <w:abstractNumId w:val="0"/>
  </w:num>
  <w:num w:numId="34">
    <w:abstractNumId w:val="30"/>
  </w:num>
  <w:num w:numId="35">
    <w:abstractNumId w:val="33"/>
  </w:num>
  <w:num w:numId="36">
    <w:abstractNumId w:val="35"/>
  </w:num>
  <w:num w:numId="37">
    <w:abstractNumId w:val="13"/>
  </w:num>
  <w:num w:numId="38">
    <w:abstractNumId w:val="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6E82"/>
    <w:rsid w:val="00007312"/>
    <w:rsid w:val="00011A36"/>
    <w:rsid w:val="00047606"/>
    <w:rsid w:val="00051BD8"/>
    <w:rsid w:val="000569BD"/>
    <w:rsid w:val="0006133A"/>
    <w:rsid w:val="00065623"/>
    <w:rsid w:val="000756B9"/>
    <w:rsid w:val="0008217D"/>
    <w:rsid w:val="00082703"/>
    <w:rsid w:val="00083868"/>
    <w:rsid w:val="00084C54"/>
    <w:rsid w:val="00086CD0"/>
    <w:rsid w:val="0008731B"/>
    <w:rsid w:val="00092CCA"/>
    <w:rsid w:val="00096B67"/>
    <w:rsid w:val="00096DAF"/>
    <w:rsid w:val="000A3BE7"/>
    <w:rsid w:val="000A678B"/>
    <w:rsid w:val="000A768F"/>
    <w:rsid w:val="000C2F47"/>
    <w:rsid w:val="000C5D80"/>
    <w:rsid w:val="000C69FB"/>
    <w:rsid w:val="000D08B4"/>
    <w:rsid w:val="000D2B9A"/>
    <w:rsid w:val="000D6C00"/>
    <w:rsid w:val="000E0B2E"/>
    <w:rsid w:val="000E4E04"/>
    <w:rsid w:val="000F14B4"/>
    <w:rsid w:val="000F75DF"/>
    <w:rsid w:val="001023DC"/>
    <w:rsid w:val="00112A19"/>
    <w:rsid w:val="0012300D"/>
    <w:rsid w:val="001328FA"/>
    <w:rsid w:val="00147AAF"/>
    <w:rsid w:val="00154BAB"/>
    <w:rsid w:val="001552C0"/>
    <w:rsid w:val="001640B1"/>
    <w:rsid w:val="00183DBE"/>
    <w:rsid w:val="00183F5A"/>
    <w:rsid w:val="0018435E"/>
    <w:rsid w:val="001964D2"/>
    <w:rsid w:val="001B6101"/>
    <w:rsid w:val="001C0833"/>
    <w:rsid w:val="001C2E4E"/>
    <w:rsid w:val="001C350C"/>
    <w:rsid w:val="001D1BCA"/>
    <w:rsid w:val="001D6406"/>
    <w:rsid w:val="002041A1"/>
    <w:rsid w:val="002054F0"/>
    <w:rsid w:val="00207E1C"/>
    <w:rsid w:val="00225E31"/>
    <w:rsid w:val="00230D6B"/>
    <w:rsid w:val="00232068"/>
    <w:rsid w:val="0023263D"/>
    <w:rsid w:val="0023272E"/>
    <w:rsid w:val="002330F2"/>
    <w:rsid w:val="00235D25"/>
    <w:rsid w:val="0024002F"/>
    <w:rsid w:val="00243D9E"/>
    <w:rsid w:val="00253B66"/>
    <w:rsid w:val="002570D6"/>
    <w:rsid w:val="00261DF1"/>
    <w:rsid w:val="00263A7C"/>
    <w:rsid w:val="00270D7E"/>
    <w:rsid w:val="00271F18"/>
    <w:rsid w:val="002753C6"/>
    <w:rsid w:val="00282779"/>
    <w:rsid w:val="0028334D"/>
    <w:rsid w:val="002B2C74"/>
    <w:rsid w:val="002B7FFA"/>
    <w:rsid w:val="002C2BCF"/>
    <w:rsid w:val="002D6BC9"/>
    <w:rsid w:val="002E3D87"/>
    <w:rsid w:val="002F279D"/>
    <w:rsid w:val="002F43B8"/>
    <w:rsid w:val="002F7E28"/>
    <w:rsid w:val="00303964"/>
    <w:rsid w:val="00306837"/>
    <w:rsid w:val="0030727D"/>
    <w:rsid w:val="00316BB9"/>
    <w:rsid w:val="00317861"/>
    <w:rsid w:val="003315C4"/>
    <w:rsid w:val="00333FD7"/>
    <w:rsid w:val="00336856"/>
    <w:rsid w:val="00342454"/>
    <w:rsid w:val="0034554D"/>
    <w:rsid w:val="00352224"/>
    <w:rsid w:val="003671E6"/>
    <w:rsid w:val="00384272"/>
    <w:rsid w:val="00386D67"/>
    <w:rsid w:val="003945B8"/>
    <w:rsid w:val="003A13D4"/>
    <w:rsid w:val="003B14A4"/>
    <w:rsid w:val="003B5330"/>
    <w:rsid w:val="003D15F0"/>
    <w:rsid w:val="003D7F29"/>
    <w:rsid w:val="003F13BD"/>
    <w:rsid w:val="003F7A6A"/>
    <w:rsid w:val="00401DEB"/>
    <w:rsid w:val="00405A6B"/>
    <w:rsid w:val="00406FE0"/>
    <w:rsid w:val="00407B1F"/>
    <w:rsid w:val="0041184F"/>
    <w:rsid w:val="00414C57"/>
    <w:rsid w:val="0041758C"/>
    <w:rsid w:val="00436662"/>
    <w:rsid w:val="0044164C"/>
    <w:rsid w:val="00446B3E"/>
    <w:rsid w:val="00451033"/>
    <w:rsid w:val="004539DE"/>
    <w:rsid w:val="00474D22"/>
    <w:rsid w:val="00486832"/>
    <w:rsid w:val="004A2CF1"/>
    <w:rsid w:val="004C3035"/>
    <w:rsid w:val="004C307F"/>
    <w:rsid w:val="004C5A49"/>
    <w:rsid w:val="004C646E"/>
    <w:rsid w:val="004C693C"/>
    <w:rsid w:val="004E4BA8"/>
    <w:rsid w:val="004E67D0"/>
    <w:rsid w:val="004F1FFB"/>
    <w:rsid w:val="004F340F"/>
    <w:rsid w:val="004F7B7C"/>
    <w:rsid w:val="00501ED9"/>
    <w:rsid w:val="00515167"/>
    <w:rsid w:val="0052243D"/>
    <w:rsid w:val="00532435"/>
    <w:rsid w:val="00550354"/>
    <w:rsid w:val="00570BB4"/>
    <w:rsid w:val="00571236"/>
    <w:rsid w:val="005913F7"/>
    <w:rsid w:val="005953A1"/>
    <w:rsid w:val="005A4362"/>
    <w:rsid w:val="005B5434"/>
    <w:rsid w:val="005C192F"/>
    <w:rsid w:val="005C5A4E"/>
    <w:rsid w:val="005D0332"/>
    <w:rsid w:val="005D0D8C"/>
    <w:rsid w:val="005E1BE3"/>
    <w:rsid w:val="006011DB"/>
    <w:rsid w:val="006058F8"/>
    <w:rsid w:val="00610659"/>
    <w:rsid w:val="00613E0D"/>
    <w:rsid w:val="006309B2"/>
    <w:rsid w:val="00634F9C"/>
    <w:rsid w:val="00645461"/>
    <w:rsid w:val="00650606"/>
    <w:rsid w:val="00662AFC"/>
    <w:rsid w:val="00664DB5"/>
    <w:rsid w:val="00666EE4"/>
    <w:rsid w:val="006776AE"/>
    <w:rsid w:val="0068103A"/>
    <w:rsid w:val="006A0D97"/>
    <w:rsid w:val="006A4DE0"/>
    <w:rsid w:val="006B1F86"/>
    <w:rsid w:val="006C0A91"/>
    <w:rsid w:val="006C57F6"/>
    <w:rsid w:val="006D2CCB"/>
    <w:rsid w:val="006F16A1"/>
    <w:rsid w:val="007033C4"/>
    <w:rsid w:val="007052AA"/>
    <w:rsid w:val="007054BB"/>
    <w:rsid w:val="00707064"/>
    <w:rsid w:val="0071164C"/>
    <w:rsid w:val="00721487"/>
    <w:rsid w:val="00730054"/>
    <w:rsid w:val="00730683"/>
    <w:rsid w:val="007313AD"/>
    <w:rsid w:val="0073726F"/>
    <w:rsid w:val="00751D51"/>
    <w:rsid w:val="0075261F"/>
    <w:rsid w:val="0075468E"/>
    <w:rsid w:val="00756CE5"/>
    <w:rsid w:val="007627D0"/>
    <w:rsid w:val="007665D8"/>
    <w:rsid w:val="00766E36"/>
    <w:rsid w:val="007765F4"/>
    <w:rsid w:val="00776633"/>
    <w:rsid w:val="00784D53"/>
    <w:rsid w:val="00797797"/>
    <w:rsid w:val="007A63C9"/>
    <w:rsid w:val="007B32D1"/>
    <w:rsid w:val="007B7095"/>
    <w:rsid w:val="007C320B"/>
    <w:rsid w:val="007D183B"/>
    <w:rsid w:val="007D24E1"/>
    <w:rsid w:val="007D6288"/>
    <w:rsid w:val="007F044D"/>
    <w:rsid w:val="007F4CE9"/>
    <w:rsid w:val="007F4E20"/>
    <w:rsid w:val="007F77C6"/>
    <w:rsid w:val="00801235"/>
    <w:rsid w:val="00803AAC"/>
    <w:rsid w:val="00812436"/>
    <w:rsid w:val="00822C7E"/>
    <w:rsid w:val="00846C33"/>
    <w:rsid w:val="00847060"/>
    <w:rsid w:val="00847A36"/>
    <w:rsid w:val="00852827"/>
    <w:rsid w:val="00852CD0"/>
    <w:rsid w:val="00856A33"/>
    <w:rsid w:val="00864695"/>
    <w:rsid w:val="00882D23"/>
    <w:rsid w:val="008865CA"/>
    <w:rsid w:val="00892620"/>
    <w:rsid w:val="008B22C9"/>
    <w:rsid w:val="008C36FA"/>
    <w:rsid w:val="008C7D37"/>
    <w:rsid w:val="008D5885"/>
    <w:rsid w:val="00920EF2"/>
    <w:rsid w:val="009223EC"/>
    <w:rsid w:val="00923FA2"/>
    <w:rsid w:val="00957069"/>
    <w:rsid w:val="0096060D"/>
    <w:rsid w:val="00974A50"/>
    <w:rsid w:val="0097564C"/>
    <w:rsid w:val="0097585A"/>
    <w:rsid w:val="00980775"/>
    <w:rsid w:val="00981880"/>
    <w:rsid w:val="00985A3A"/>
    <w:rsid w:val="00986E7B"/>
    <w:rsid w:val="009924B0"/>
    <w:rsid w:val="009942C9"/>
    <w:rsid w:val="009A2BE2"/>
    <w:rsid w:val="009A3D5C"/>
    <w:rsid w:val="009B35C4"/>
    <w:rsid w:val="009C630A"/>
    <w:rsid w:val="009E0D98"/>
    <w:rsid w:val="00A068A1"/>
    <w:rsid w:val="00A06F59"/>
    <w:rsid w:val="00A1207D"/>
    <w:rsid w:val="00A12FD8"/>
    <w:rsid w:val="00A346FC"/>
    <w:rsid w:val="00A4790A"/>
    <w:rsid w:val="00A60BBC"/>
    <w:rsid w:val="00A846F2"/>
    <w:rsid w:val="00A84F93"/>
    <w:rsid w:val="00A94CAC"/>
    <w:rsid w:val="00A97950"/>
    <w:rsid w:val="00AB1AC5"/>
    <w:rsid w:val="00AB3BFC"/>
    <w:rsid w:val="00AB4F54"/>
    <w:rsid w:val="00AC0EC5"/>
    <w:rsid w:val="00AC3BFD"/>
    <w:rsid w:val="00AC4727"/>
    <w:rsid w:val="00AC4F2E"/>
    <w:rsid w:val="00AD0C37"/>
    <w:rsid w:val="00AD385F"/>
    <w:rsid w:val="00AE4024"/>
    <w:rsid w:val="00AE6E2A"/>
    <w:rsid w:val="00B02431"/>
    <w:rsid w:val="00B03EAB"/>
    <w:rsid w:val="00B03F88"/>
    <w:rsid w:val="00B11E47"/>
    <w:rsid w:val="00B13648"/>
    <w:rsid w:val="00B27903"/>
    <w:rsid w:val="00B31E9C"/>
    <w:rsid w:val="00B35595"/>
    <w:rsid w:val="00B355C2"/>
    <w:rsid w:val="00B51C6D"/>
    <w:rsid w:val="00B57822"/>
    <w:rsid w:val="00B57C9E"/>
    <w:rsid w:val="00B611D3"/>
    <w:rsid w:val="00B7051C"/>
    <w:rsid w:val="00B70CD2"/>
    <w:rsid w:val="00B816D6"/>
    <w:rsid w:val="00B83DD2"/>
    <w:rsid w:val="00B86D64"/>
    <w:rsid w:val="00B9190E"/>
    <w:rsid w:val="00BA4AC5"/>
    <w:rsid w:val="00BB6624"/>
    <w:rsid w:val="00BC1364"/>
    <w:rsid w:val="00BC2667"/>
    <w:rsid w:val="00BC2F84"/>
    <w:rsid w:val="00BC3F96"/>
    <w:rsid w:val="00BC7DE9"/>
    <w:rsid w:val="00BD4FA9"/>
    <w:rsid w:val="00BF30DF"/>
    <w:rsid w:val="00BF479B"/>
    <w:rsid w:val="00C02577"/>
    <w:rsid w:val="00C06487"/>
    <w:rsid w:val="00C204FB"/>
    <w:rsid w:val="00C20BEE"/>
    <w:rsid w:val="00C2158D"/>
    <w:rsid w:val="00C372C3"/>
    <w:rsid w:val="00C41F2E"/>
    <w:rsid w:val="00C5687B"/>
    <w:rsid w:val="00C67DD2"/>
    <w:rsid w:val="00C725CB"/>
    <w:rsid w:val="00C76F5C"/>
    <w:rsid w:val="00C93459"/>
    <w:rsid w:val="00C93DE1"/>
    <w:rsid w:val="00C96BAD"/>
    <w:rsid w:val="00CA0E31"/>
    <w:rsid w:val="00CA2E39"/>
    <w:rsid w:val="00CA3091"/>
    <w:rsid w:val="00CA6944"/>
    <w:rsid w:val="00CA7BBC"/>
    <w:rsid w:val="00CB0F8E"/>
    <w:rsid w:val="00CB6866"/>
    <w:rsid w:val="00CB7E7D"/>
    <w:rsid w:val="00CC2911"/>
    <w:rsid w:val="00CE0DF8"/>
    <w:rsid w:val="00CE729A"/>
    <w:rsid w:val="00CF0C6D"/>
    <w:rsid w:val="00CF7307"/>
    <w:rsid w:val="00CF7C68"/>
    <w:rsid w:val="00D124FA"/>
    <w:rsid w:val="00D14733"/>
    <w:rsid w:val="00D32D5E"/>
    <w:rsid w:val="00D340DE"/>
    <w:rsid w:val="00D36B5F"/>
    <w:rsid w:val="00D55723"/>
    <w:rsid w:val="00D62FAD"/>
    <w:rsid w:val="00D64355"/>
    <w:rsid w:val="00D70450"/>
    <w:rsid w:val="00D83BFD"/>
    <w:rsid w:val="00D8529B"/>
    <w:rsid w:val="00D90A38"/>
    <w:rsid w:val="00D930D3"/>
    <w:rsid w:val="00DA0515"/>
    <w:rsid w:val="00DA171E"/>
    <w:rsid w:val="00DA2BC6"/>
    <w:rsid w:val="00DA56AA"/>
    <w:rsid w:val="00DB1234"/>
    <w:rsid w:val="00DB5833"/>
    <w:rsid w:val="00DB747D"/>
    <w:rsid w:val="00DD2858"/>
    <w:rsid w:val="00DF2D4A"/>
    <w:rsid w:val="00DF454E"/>
    <w:rsid w:val="00E0046D"/>
    <w:rsid w:val="00E03E33"/>
    <w:rsid w:val="00E059E0"/>
    <w:rsid w:val="00E214D0"/>
    <w:rsid w:val="00E3642A"/>
    <w:rsid w:val="00E3780D"/>
    <w:rsid w:val="00E415C4"/>
    <w:rsid w:val="00E4273A"/>
    <w:rsid w:val="00E43165"/>
    <w:rsid w:val="00E50016"/>
    <w:rsid w:val="00E50EAA"/>
    <w:rsid w:val="00E57F95"/>
    <w:rsid w:val="00E656D6"/>
    <w:rsid w:val="00E76076"/>
    <w:rsid w:val="00E977EE"/>
    <w:rsid w:val="00EA2F24"/>
    <w:rsid w:val="00EA67A2"/>
    <w:rsid w:val="00EB630F"/>
    <w:rsid w:val="00EB6B6F"/>
    <w:rsid w:val="00EC4F98"/>
    <w:rsid w:val="00ED3CDD"/>
    <w:rsid w:val="00F07ACA"/>
    <w:rsid w:val="00F12F02"/>
    <w:rsid w:val="00F15624"/>
    <w:rsid w:val="00F23318"/>
    <w:rsid w:val="00F32AA0"/>
    <w:rsid w:val="00F32E0D"/>
    <w:rsid w:val="00F35134"/>
    <w:rsid w:val="00F37B9C"/>
    <w:rsid w:val="00F41812"/>
    <w:rsid w:val="00F472F4"/>
    <w:rsid w:val="00F50243"/>
    <w:rsid w:val="00F61334"/>
    <w:rsid w:val="00F715D1"/>
    <w:rsid w:val="00F72715"/>
    <w:rsid w:val="00F73333"/>
    <w:rsid w:val="00F87A18"/>
    <w:rsid w:val="00F95D8F"/>
    <w:rsid w:val="00FA537E"/>
    <w:rsid w:val="00FB13E1"/>
    <w:rsid w:val="00FB350A"/>
    <w:rsid w:val="00FB4C5D"/>
    <w:rsid w:val="00FD0C8D"/>
    <w:rsid w:val="00FE1C3F"/>
    <w:rsid w:val="00FE3680"/>
    <w:rsid w:val="00FE731D"/>
    <w:rsid w:val="00FE7B20"/>
    <w:rsid w:val="00FF57EB"/>
    <w:rsid w:val="00FF6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3DC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501ED9"/>
    <w:pPr>
      <w:keepNext/>
      <w:keepLines/>
      <w:spacing w:before="200"/>
      <w:outlineLvl w:val="1"/>
    </w:pPr>
    <w:rPr>
      <w:rFonts w:eastAsiaTheme="majorEastAsia" w:cstheme="majorBidi"/>
      <w:b/>
      <w:bCs/>
      <w:szCs w:val="26"/>
    </w:rPr>
  </w:style>
  <w:style w:type="paragraph" w:styleId="Heading3">
    <w:name w:val="heading 3"/>
    <w:basedOn w:val="Body"/>
    <w:next w:val="Normal"/>
    <w:link w:val="Heading3Char"/>
    <w:unhideWhenUsed/>
    <w:qFormat/>
    <w:locked/>
    <w:rsid w:val="003D15F0"/>
    <w:pPr>
      <w:spacing w:before="240" w:line="240" w:lineRule="auto"/>
      <w:outlineLvl w:val="2"/>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01ED9"/>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BulletBeforeDash">
    <w:name w:val="BulletBeforeDash"/>
    <w:basedOn w:val="Normal"/>
    <w:rsid w:val="00B11E47"/>
    <w:pPr>
      <w:numPr>
        <w:numId w:val="26"/>
      </w:numPr>
    </w:pPr>
    <w:rPr>
      <w:color w:val="000000"/>
      <w:sz w:val="23"/>
    </w:rPr>
  </w:style>
  <w:style w:type="paragraph" w:customStyle="1" w:styleId="Bullet">
    <w:name w:val="Bullet"/>
    <w:basedOn w:val="BulletBeforeDash"/>
    <w:qFormat/>
    <w:rsid w:val="00B11E47"/>
    <w:pPr>
      <w:spacing w:after="120"/>
    </w:pPr>
  </w:style>
  <w:style w:type="paragraph" w:customStyle="1" w:styleId="BulletLast">
    <w:name w:val="BulletLast"/>
    <w:basedOn w:val="Bullet"/>
    <w:qFormat/>
    <w:rsid w:val="00B11E47"/>
    <w:pPr>
      <w:spacing w:after="240"/>
    </w:pPr>
  </w:style>
  <w:style w:type="paragraph" w:customStyle="1" w:styleId="Body">
    <w:name w:val="Body"/>
    <w:link w:val="BodyChar"/>
    <w:qFormat/>
    <w:rsid w:val="00316BB9"/>
    <w:pPr>
      <w:spacing w:after="120" w:line="276" w:lineRule="auto"/>
    </w:pPr>
    <w:rPr>
      <w:rFonts w:asciiTheme="minorHAnsi" w:eastAsiaTheme="minorHAnsi" w:hAnsiTheme="minorHAnsi" w:cstheme="minorBidi"/>
      <w:sz w:val="24"/>
      <w:szCs w:val="24"/>
      <w:lang w:eastAsia="en-US"/>
    </w:rPr>
  </w:style>
  <w:style w:type="character" w:customStyle="1" w:styleId="BodyChar">
    <w:name w:val="Body Char"/>
    <w:basedOn w:val="DefaultParagraphFont"/>
    <w:link w:val="Body"/>
    <w:rsid w:val="00316BB9"/>
    <w:rPr>
      <w:rFonts w:asciiTheme="minorHAnsi" w:eastAsiaTheme="minorHAnsi" w:hAnsiTheme="minorHAnsi" w:cstheme="minorBidi"/>
      <w:sz w:val="24"/>
      <w:szCs w:val="24"/>
      <w:lang w:eastAsia="en-US"/>
    </w:rPr>
  </w:style>
  <w:style w:type="table" w:styleId="TableGrid">
    <w:name w:val="Table Grid"/>
    <w:basedOn w:val="TableNormal"/>
    <w:uiPriority w:val="59"/>
    <w:locked/>
    <w:rsid w:val="001C2E4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C2E4E"/>
    <w:rPr>
      <w:rFonts w:ascii="Arial Narrow" w:hAnsi="Arial Narrow"/>
      <w:sz w:val="20"/>
      <w:szCs w:val="24"/>
      <w:lang w:eastAsia="en-US"/>
    </w:rPr>
  </w:style>
  <w:style w:type="character" w:customStyle="1" w:styleId="TabletextChar">
    <w:name w:val="Table text Char"/>
    <w:basedOn w:val="DefaultParagraphFont"/>
    <w:link w:val="Tabletext"/>
    <w:rsid w:val="001C2E4E"/>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1C2E4E"/>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1C2E4E"/>
    <w:rPr>
      <w:rFonts w:ascii="Arial Narrow" w:eastAsia="Times New Roman" w:hAnsi="Arial Narrow" w:cs="Arial"/>
      <w:b/>
      <w:bCs/>
      <w:iCs/>
      <w:sz w:val="20"/>
      <w:szCs w:val="20"/>
      <w:lang w:eastAsia="en-US"/>
    </w:rPr>
  </w:style>
  <w:style w:type="paragraph" w:customStyle="1" w:styleId="Tableheading">
    <w:name w:val="Table heading"/>
    <w:qFormat/>
    <w:rsid w:val="001C2E4E"/>
    <w:pPr>
      <w:keepNext/>
    </w:pPr>
    <w:rPr>
      <w:rFonts w:asciiTheme="minorHAnsi" w:eastAsiaTheme="minorHAnsi" w:hAnsiTheme="minorHAnsi" w:cstheme="minorBidi"/>
      <w:b/>
      <w:sz w:val="20"/>
      <w:szCs w:val="24"/>
      <w:lang w:eastAsia="en-US"/>
    </w:rPr>
  </w:style>
  <w:style w:type="paragraph" w:customStyle="1" w:styleId="Tabletextindent">
    <w:name w:val="Table text indent"/>
    <w:basedOn w:val="Tabletext"/>
    <w:link w:val="TabletextindentChar"/>
    <w:qFormat/>
    <w:rsid w:val="001C2E4E"/>
    <w:pPr>
      <w:keepNext/>
      <w:spacing w:before="20" w:after="20"/>
      <w:ind w:left="113"/>
    </w:pPr>
    <w:rPr>
      <w:rFonts w:asciiTheme="minorHAnsi" w:hAnsiTheme="minorHAnsi"/>
      <w:sz w:val="18"/>
    </w:rPr>
  </w:style>
  <w:style w:type="character" w:customStyle="1" w:styleId="TabletextindentChar">
    <w:name w:val="Table text indent Char"/>
    <w:basedOn w:val="TabletextChar"/>
    <w:link w:val="Tabletextindent"/>
    <w:rsid w:val="001C2E4E"/>
    <w:rPr>
      <w:rFonts w:asciiTheme="minorHAnsi" w:eastAsia="Times New Roman" w:hAnsiTheme="minorHAnsi"/>
      <w:sz w:val="18"/>
      <w:szCs w:val="24"/>
      <w:lang w:eastAsia="en-US"/>
    </w:rPr>
  </w:style>
  <w:style w:type="character" w:styleId="Emphasis">
    <w:name w:val="Emphasis"/>
    <w:uiPriority w:val="20"/>
    <w:qFormat/>
    <w:locked/>
    <w:rsid w:val="000C5D80"/>
    <w:rPr>
      <w:rFonts w:ascii="Garamond" w:eastAsia="Times New Roman" w:hAnsi="Garamond" w:cs="Times New Roman"/>
      <w:i/>
      <w:sz w:val="24"/>
      <w:szCs w:val="24"/>
    </w:rPr>
  </w:style>
  <w:style w:type="paragraph" w:customStyle="1" w:styleId="Tablenote">
    <w:name w:val="Table note"/>
    <w:basedOn w:val="Normal"/>
    <w:qFormat/>
    <w:rsid w:val="000C5D80"/>
    <w:pPr>
      <w:spacing w:before="20" w:after="360"/>
      <w:ind w:left="284" w:hanging="142"/>
      <w:contextualSpacing/>
    </w:pPr>
    <w:rPr>
      <w:rFonts w:asciiTheme="minorHAnsi" w:eastAsiaTheme="minorHAnsi" w:hAnsiTheme="minorHAnsi" w:cstheme="minorBidi"/>
      <w:i/>
      <w:sz w:val="16"/>
      <w:szCs w:val="24"/>
      <w:lang w:eastAsia="en-US"/>
    </w:rPr>
  </w:style>
  <w:style w:type="table" w:customStyle="1" w:styleId="TableGridLight1">
    <w:name w:val="Table Grid Light1"/>
    <w:basedOn w:val="TableNormal"/>
    <w:uiPriority w:val="40"/>
    <w:rsid w:val="000C5D80"/>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1">
    <w:name w:val="Table H1"/>
    <w:basedOn w:val="Tableheading"/>
    <w:uiPriority w:val="4"/>
    <w:qFormat/>
    <w:rsid w:val="000C5D80"/>
    <w:rPr>
      <w:i/>
    </w:rPr>
  </w:style>
  <w:style w:type="character" w:customStyle="1" w:styleId="Heading3Char">
    <w:name w:val="Heading 3 Char"/>
    <w:basedOn w:val="DefaultParagraphFont"/>
    <w:link w:val="Heading3"/>
    <w:rsid w:val="003D15F0"/>
    <w:rPr>
      <w:rFonts w:eastAsiaTheme="minorHAnsi" w:cstheme="minorBidi"/>
      <w:i/>
      <w:sz w:val="24"/>
      <w:szCs w:val="24"/>
      <w:lang w:eastAsia="en-US"/>
    </w:rPr>
  </w:style>
  <w:style w:type="paragraph" w:customStyle="1" w:styleId="Bullet12">
    <w:name w:val="Bullet+12"/>
    <w:basedOn w:val="Body"/>
    <w:qFormat/>
    <w:rsid w:val="00846C33"/>
    <w:pPr>
      <w:keepLines/>
      <w:numPr>
        <w:numId w:val="34"/>
      </w:numPr>
      <w:tabs>
        <w:tab w:val="num" w:pos="360"/>
      </w:tabs>
      <w:spacing w:after="240"/>
      <w:ind w:left="811" w:hanging="357"/>
      <w:contextualSpacing/>
    </w:pPr>
  </w:style>
  <w:style w:type="paragraph" w:customStyle="1" w:styleId="NormalBeforeBullet">
    <w:name w:val="NormalBeforeBullet"/>
    <w:basedOn w:val="Normal"/>
    <w:qFormat/>
    <w:rsid w:val="00446B3E"/>
    <w:pPr>
      <w:keepNext/>
      <w:spacing w:after="1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8462">
      <w:bodyDiv w:val="1"/>
      <w:marLeft w:val="0"/>
      <w:marRight w:val="0"/>
      <w:marTop w:val="0"/>
      <w:marBottom w:val="0"/>
      <w:divBdr>
        <w:top w:val="none" w:sz="0" w:space="0" w:color="auto"/>
        <w:left w:val="none" w:sz="0" w:space="0" w:color="auto"/>
        <w:bottom w:val="none" w:sz="0" w:space="0" w:color="auto"/>
        <w:right w:val="none" w:sz="0" w:space="0" w:color="auto"/>
      </w:divBdr>
      <w:divsChild>
        <w:div w:id="1667247374">
          <w:marLeft w:val="1051"/>
          <w:marRight w:val="0"/>
          <w:marTop w:val="125"/>
          <w:marBottom w:val="0"/>
          <w:divBdr>
            <w:top w:val="none" w:sz="0" w:space="0" w:color="auto"/>
            <w:left w:val="none" w:sz="0" w:space="0" w:color="auto"/>
            <w:bottom w:val="none" w:sz="0" w:space="0" w:color="auto"/>
            <w:right w:val="none" w:sz="0" w:space="0" w:color="auto"/>
          </w:divBdr>
        </w:div>
        <w:div w:id="1474903392">
          <w:marLeft w:val="1613"/>
          <w:marRight w:val="0"/>
          <w:marTop w:val="106"/>
          <w:marBottom w:val="0"/>
          <w:divBdr>
            <w:top w:val="none" w:sz="0" w:space="0" w:color="auto"/>
            <w:left w:val="none" w:sz="0" w:space="0" w:color="auto"/>
            <w:bottom w:val="none" w:sz="0" w:space="0" w:color="auto"/>
            <w:right w:val="none" w:sz="0" w:space="0" w:color="auto"/>
          </w:divBdr>
        </w:div>
        <w:div w:id="398328212">
          <w:marLeft w:val="1613"/>
          <w:marRight w:val="0"/>
          <w:marTop w:val="106"/>
          <w:marBottom w:val="0"/>
          <w:divBdr>
            <w:top w:val="none" w:sz="0" w:space="0" w:color="auto"/>
            <w:left w:val="none" w:sz="0" w:space="0" w:color="auto"/>
            <w:bottom w:val="none" w:sz="0" w:space="0" w:color="auto"/>
            <w:right w:val="none" w:sz="0" w:space="0" w:color="auto"/>
          </w:divBdr>
        </w:div>
        <w:div w:id="1794010753">
          <w:marLeft w:val="2117"/>
          <w:marRight w:val="0"/>
          <w:marTop w:val="96"/>
          <w:marBottom w:val="0"/>
          <w:divBdr>
            <w:top w:val="none" w:sz="0" w:space="0" w:color="auto"/>
            <w:left w:val="none" w:sz="0" w:space="0" w:color="auto"/>
            <w:bottom w:val="none" w:sz="0" w:space="0" w:color="auto"/>
            <w:right w:val="none" w:sz="0" w:space="0" w:color="auto"/>
          </w:divBdr>
        </w:div>
        <w:div w:id="1287810334">
          <w:marLeft w:val="1051"/>
          <w:marRight w:val="0"/>
          <w:marTop w:val="125"/>
          <w:marBottom w:val="0"/>
          <w:divBdr>
            <w:top w:val="none" w:sz="0" w:space="0" w:color="auto"/>
            <w:left w:val="none" w:sz="0" w:space="0" w:color="auto"/>
            <w:bottom w:val="none" w:sz="0" w:space="0" w:color="auto"/>
            <w:right w:val="none" w:sz="0" w:space="0" w:color="auto"/>
          </w:divBdr>
        </w:div>
        <w:div w:id="212500284">
          <w:marLeft w:val="1613"/>
          <w:marRight w:val="0"/>
          <w:marTop w:val="106"/>
          <w:marBottom w:val="0"/>
          <w:divBdr>
            <w:top w:val="none" w:sz="0" w:space="0" w:color="auto"/>
            <w:left w:val="none" w:sz="0" w:space="0" w:color="auto"/>
            <w:bottom w:val="none" w:sz="0" w:space="0" w:color="auto"/>
            <w:right w:val="none" w:sz="0" w:space="0" w:color="auto"/>
          </w:divBdr>
        </w:div>
        <w:div w:id="1067264530">
          <w:marLeft w:val="1051"/>
          <w:marRight w:val="0"/>
          <w:marTop w:val="125"/>
          <w:marBottom w:val="0"/>
          <w:divBdr>
            <w:top w:val="none" w:sz="0" w:space="0" w:color="auto"/>
            <w:left w:val="none" w:sz="0" w:space="0" w:color="auto"/>
            <w:bottom w:val="none" w:sz="0" w:space="0" w:color="auto"/>
            <w:right w:val="none" w:sz="0" w:space="0" w:color="auto"/>
          </w:divBdr>
        </w:div>
        <w:div w:id="1932011035">
          <w:marLeft w:val="1051"/>
          <w:marRight w:val="0"/>
          <w:marTop w:val="125"/>
          <w:marBottom w:val="0"/>
          <w:divBdr>
            <w:top w:val="none" w:sz="0" w:space="0" w:color="auto"/>
            <w:left w:val="none" w:sz="0" w:space="0" w:color="auto"/>
            <w:bottom w:val="none" w:sz="0" w:space="0" w:color="auto"/>
            <w:right w:val="none" w:sz="0" w:space="0" w:color="auto"/>
          </w:divBdr>
        </w:div>
        <w:div w:id="1954364958">
          <w:marLeft w:val="1051"/>
          <w:marRight w:val="0"/>
          <w:marTop w:val="125"/>
          <w:marBottom w:val="0"/>
          <w:divBdr>
            <w:top w:val="none" w:sz="0" w:space="0" w:color="auto"/>
            <w:left w:val="none" w:sz="0" w:space="0" w:color="auto"/>
            <w:bottom w:val="none" w:sz="0" w:space="0" w:color="auto"/>
            <w:right w:val="none" w:sz="0" w:space="0" w:color="auto"/>
          </w:divBdr>
        </w:div>
        <w:div w:id="1089427770">
          <w:marLeft w:val="1051"/>
          <w:marRight w:val="0"/>
          <w:marTop w:val="125"/>
          <w:marBottom w:val="0"/>
          <w:divBdr>
            <w:top w:val="none" w:sz="0" w:space="0" w:color="auto"/>
            <w:left w:val="none" w:sz="0" w:space="0" w:color="auto"/>
            <w:bottom w:val="none" w:sz="0" w:space="0" w:color="auto"/>
            <w:right w:val="none" w:sz="0" w:space="0" w:color="auto"/>
          </w:divBdr>
        </w:div>
        <w:div w:id="263848549">
          <w:marLeft w:val="1613"/>
          <w:marRight w:val="0"/>
          <w:marTop w:val="106"/>
          <w:marBottom w:val="0"/>
          <w:divBdr>
            <w:top w:val="none" w:sz="0" w:space="0" w:color="auto"/>
            <w:left w:val="none" w:sz="0" w:space="0" w:color="auto"/>
            <w:bottom w:val="none" w:sz="0" w:space="0" w:color="auto"/>
            <w:right w:val="none" w:sz="0" w:space="0" w:color="auto"/>
          </w:divBdr>
        </w:div>
        <w:div w:id="1919363993">
          <w:marLeft w:val="1613"/>
          <w:marRight w:val="0"/>
          <w:marTop w:val="106"/>
          <w:marBottom w:val="0"/>
          <w:divBdr>
            <w:top w:val="none" w:sz="0" w:space="0" w:color="auto"/>
            <w:left w:val="none" w:sz="0" w:space="0" w:color="auto"/>
            <w:bottom w:val="none" w:sz="0" w:space="0" w:color="auto"/>
            <w:right w:val="none" w:sz="0" w:space="0" w:color="auto"/>
          </w:divBdr>
        </w:div>
      </w:divsChild>
    </w:div>
    <w:div w:id="1035932223">
      <w:bodyDiv w:val="1"/>
      <w:marLeft w:val="0"/>
      <w:marRight w:val="0"/>
      <w:marTop w:val="0"/>
      <w:marBottom w:val="0"/>
      <w:divBdr>
        <w:top w:val="none" w:sz="0" w:space="0" w:color="auto"/>
        <w:left w:val="none" w:sz="0" w:space="0" w:color="auto"/>
        <w:bottom w:val="none" w:sz="0" w:space="0" w:color="auto"/>
        <w:right w:val="none" w:sz="0" w:space="0" w:color="auto"/>
      </w:divBdr>
      <w:divsChild>
        <w:div w:id="1171027142">
          <w:marLeft w:val="1051"/>
          <w:marRight w:val="0"/>
          <w:marTop w:val="125"/>
          <w:marBottom w:val="0"/>
          <w:divBdr>
            <w:top w:val="none" w:sz="0" w:space="0" w:color="auto"/>
            <w:left w:val="none" w:sz="0" w:space="0" w:color="auto"/>
            <w:bottom w:val="none" w:sz="0" w:space="0" w:color="auto"/>
            <w:right w:val="none" w:sz="0" w:space="0" w:color="auto"/>
          </w:divBdr>
        </w:div>
        <w:div w:id="1560238765">
          <w:marLeft w:val="1051"/>
          <w:marRight w:val="0"/>
          <w:marTop w:val="125"/>
          <w:marBottom w:val="0"/>
          <w:divBdr>
            <w:top w:val="none" w:sz="0" w:space="0" w:color="auto"/>
            <w:left w:val="none" w:sz="0" w:space="0" w:color="auto"/>
            <w:bottom w:val="none" w:sz="0" w:space="0" w:color="auto"/>
            <w:right w:val="none" w:sz="0" w:space="0" w:color="auto"/>
          </w:divBdr>
        </w:div>
        <w:div w:id="769543101">
          <w:marLeft w:val="1613"/>
          <w:marRight w:val="0"/>
          <w:marTop w:val="106"/>
          <w:marBottom w:val="0"/>
          <w:divBdr>
            <w:top w:val="none" w:sz="0" w:space="0" w:color="auto"/>
            <w:left w:val="none" w:sz="0" w:space="0" w:color="auto"/>
            <w:bottom w:val="none" w:sz="0" w:space="0" w:color="auto"/>
            <w:right w:val="none" w:sz="0" w:space="0" w:color="auto"/>
          </w:divBdr>
        </w:div>
      </w:divsChild>
    </w:div>
    <w:div w:id="1122269001">
      <w:bodyDiv w:val="1"/>
      <w:marLeft w:val="0"/>
      <w:marRight w:val="0"/>
      <w:marTop w:val="0"/>
      <w:marBottom w:val="0"/>
      <w:divBdr>
        <w:top w:val="none" w:sz="0" w:space="0" w:color="auto"/>
        <w:left w:val="none" w:sz="0" w:space="0" w:color="auto"/>
        <w:bottom w:val="none" w:sz="0" w:space="0" w:color="auto"/>
        <w:right w:val="none" w:sz="0" w:space="0" w:color="auto"/>
      </w:divBdr>
      <w:divsChild>
        <w:div w:id="308444287">
          <w:marLeft w:val="1051"/>
          <w:marRight w:val="0"/>
          <w:marTop w:val="125"/>
          <w:marBottom w:val="0"/>
          <w:divBdr>
            <w:top w:val="none" w:sz="0" w:space="0" w:color="auto"/>
            <w:left w:val="none" w:sz="0" w:space="0" w:color="auto"/>
            <w:bottom w:val="none" w:sz="0" w:space="0" w:color="auto"/>
            <w:right w:val="none" w:sz="0" w:space="0" w:color="auto"/>
          </w:divBdr>
        </w:div>
        <w:div w:id="445857832">
          <w:marLeft w:val="1051"/>
          <w:marRight w:val="0"/>
          <w:marTop w:val="125"/>
          <w:marBottom w:val="0"/>
          <w:divBdr>
            <w:top w:val="none" w:sz="0" w:space="0" w:color="auto"/>
            <w:left w:val="none" w:sz="0" w:space="0" w:color="auto"/>
            <w:bottom w:val="none" w:sz="0" w:space="0" w:color="auto"/>
            <w:right w:val="none" w:sz="0" w:space="0" w:color="auto"/>
          </w:divBdr>
        </w:div>
        <w:div w:id="830875411">
          <w:marLeft w:val="1051"/>
          <w:marRight w:val="0"/>
          <w:marTop w:val="125"/>
          <w:marBottom w:val="0"/>
          <w:divBdr>
            <w:top w:val="none" w:sz="0" w:space="0" w:color="auto"/>
            <w:left w:val="none" w:sz="0" w:space="0" w:color="auto"/>
            <w:bottom w:val="none" w:sz="0" w:space="0" w:color="auto"/>
            <w:right w:val="none" w:sz="0" w:space="0" w:color="auto"/>
          </w:divBdr>
        </w:div>
        <w:div w:id="1001467935">
          <w:marLeft w:val="1613"/>
          <w:marRight w:val="0"/>
          <w:marTop w:val="106"/>
          <w:marBottom w:val="0"/>
          <w:divBdr>
            <w:top w:val="none" w:sz="0" w:space="0" w:color="auto"/>
            <w:left w:val="none" w:sz="0" w:space="0" w:color="auto"/>
            <w:bottom w:val="none" w:sz="0" w:space="0" w:color="auto"/>
            <w:right w:val="none" w:sz="0" w:space="0" w:color="auto"/>
          </w:divBdr>
        </w:div>
        <w:div w:id="1341665095">
          <w:marLeft w:val="1613"/>
          <w:marRight w:val="0"/>
          <w:marTop w:val="106"/>
          <w:marBottom w:val="0"/>
          <w:divBdr>
            <w:top w:val="none" w:sz="0" w:space="0" w:color="auto"/>
            <w:left w:val="none" w:sz="0" w:space="0" w:color="auto"/>
            <w:bottom w:val="none" w:sz="0" w:space="0" w:color="auto"/>
            <w:right w:val="none" w:sz="0" w:space="0" w:color="auto"/>
          </w:divBdr>
        </w:div>
        <w:div w:id="333807335">
          <w:marLeft w:val="1051"/>
          <w:marRight w:val="0"/>
          <w:marTop w:val="125"/>
          <w:marBottom w:val="0"/>
          <w:divBdr>
            <w:top w:val="none" w:sz="0" w:space="0" w:color="auto"/>
            <w:left w:val="none" w:sz="0" w:space="0" w:color="auto"/>
            <w:bottom w:val="none" w:sz="0" w:space="0" w:color="auto"/>
            <w:right w:val="none" w:sz="0" w:space="0" w:color="auto"/>
          </w:divBdr>
        </w:div>
        <w:div w:id="1040788419">
          <w:marLeft w:val="1613"/>
          <w:marRight w:val="0"/>
          <w:marTop w:val="106"/>
          <w:marBottom w:val="0"/>
          <w:divBdr>
            <w:top w:val="none" w:sz="0" w:space="0" w:color="auto"/>
            <w:left w:val="none" w:sz="0" w:space="0" w:color="auto"/>
            <w:bottom w:val="none" w:sz="0" w:space="0" w:color="auto"/>
            <w:right w:val="none" w:sz="0" w:space="0" w:color="auto"/>
          </w:divBdr>
        </w:div>
        <w:div w:id="488980826">
          <w:marLeft w:val="1051"/>
          <w:marRight w:val="0"/>
          <w:marTop w:val="125"/>
          <w:marBottom w:val="0"/>
          <w:divBdr>
            <w:top w:val="none" w:sz="0" w:space="0" w:color="auto"/>
            <w:left w:val="none" w:sz="0" w:space="0" w:color="auto"/>
            <w:bottom w:val="none" w:sz="0" w:space="0" w:color="auto"/>
            <w:right w:val="none" w:sz="0" w:space="0" w:color="auto"/>
          </w:divBdr>
        </w:div>
        <w:div w:id="609044038">
          <w:marLeft w:val="1613"/>
          <w:marRight w:val="0"/>
          <w:marTop w:val="106"/>
          <w:marBottom w:val="0"/>
          <w:divBdr>
            <w:top w:val="none" w:sz="0" w:space="0" w:color="auto"/>
            <w:left w:val="none" w:sz="0" w:space="0" w:color="auto"/>
            <w:bottom w:val="none" w:sz="0" w:space="0" w:color="auto"/>
            <w:right w:val="none" w:sz="0" w:space="0" w:color="auto"/>
          </w:divBdr>
        </w:div>
        <w:div w:id="101993622">
          <w:marLeft w:val="1613"/>
          <w:marRight w:val="0"/>
          <w:marTop w:val="106"/>
          <w:marBottom w:val="0"/>
          <w:divBdr>
            <w:top w:val="none" w:sz="0" w:space="0" w:color="auto"/>
            <w:left w:val="none" w:sz="0" w:space="0" w:color="auto"/>
            <w:bottom w:val="none" w:sz="0" w:space="0" w:color="auto"/>
            <w:right w:val="none" w:sz="0" w:space="0" w:color="auto"/>
          </w:divBdr>
        </w:div>
      </w:divsChild>
    </w:div>
    <w:div w:id="1352295391">
      <w:marLeft w:val="0"/>
      <w:marRight w:val="0"/>
      <w:marTop w:val="0"/>
      <w:marBottom w:val="0"/>
      <w:divBdr>
        <w:top w:val="none" w:sz="0" w:space="0" w:color="auto"/>
        <w:left w:val="none" w:sz="0" w:space="0" w:color="auto"/>
        <w:bottom w:val="none" w:sz="0" w:space="0" w:color="auto"/>
        <w:right w:val="none" w:sz="0" w:space="0" w:color="auto"/>
      </w:divBdr>
    </w:div>
    <w:div w:id="19022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10039</Words>
  <Characters>57225</Characters>
  <Application>Microsoft Office Word</Application>
  <DocSecurity>0</DocSecurity>
  <Lines>476</Lines>
  <Paragraphs>134</Paragraphs>
  <ScaleCrop>false</ScaleCrop>
  <LinksUpToDate>false</LinksUpToDate>
  <CharactersWithSpaces>67130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1476-PSD-updated</dc:title>
  <dc:creator/>
  <cp:lastModifiedBy/>
  <cp:revision>1</cp:revision>
  <dcterms:created xsi:type="dcterms:W3CDTF">2019-02-20T21:48:00Z</dcterms:created>
  <dcterms:modified xsi:type="dcterms:W3CDTF">2019-02-20T21:55:00Z</dcterms:modified>
</cp:coreProperties>
</file>