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5F35D"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5162674" wp14:editId="0DCDF9C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6B626A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4F5B5C7" w14:textId="77777777" w:rsidR="00BC1364" w:rsidRPr="00F715D1" w:rsidRDefault="00BC1364" w:rsidP="00F715D1">
      <w:pPr>
        <w:pStyle w:val="Subtitle"/>
      </w:pPr>
      <w:r w:rsidRPr="00F715D1">
        <w:t xml:space="preserve">Application No. </w:t>
      </w:r>
      <w:r w:rsidR="000A678B" w:rsidRPr="000A678B">
        <w:t>1476 – Genetic testing for childhood syndromes</w:t>
      </w:r>
    </w:p>
    <w:p w14:paraId="614B565A" w14:textId="77777777" w:rsidR="00BC1364" w:rsidRPr="00F715D1" w:rsidRDefault="00B35595" w:rsidP="0024002F">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A678B" w:rsidRPr="000A678B">
        <w:rPr>
          <w:rFonts w:ascii="Arial" w:hAnsi="Arial" w:cs="Arial"/>
          <w:b/>
          <w:szCs w:val="24"/>
        </w:rPr>
        <w:t>Murdoch Children’s Research Institute</w:t>
      </w:r>
    </w:p>
    <w:p w14:paraId="223CAA57"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11E47">
        <w:rPr>
          <w:rFonts w:ascii="Arial" w:hAnsi="Arial" w:cs="Arial"/>
          <w:b/>
          <w:szCs w:val="24"/>
        </w:rPr>
        <w:t>73</w:t>
      </w:r>
      <w:r w:rsidR="00B11E47" w:rsidRPr="00B11E47">
        <w:rPr>
          <w:rFonts w:ascii="Arial" w:hAnsi="Arial" w:cs="Arial"/>
          <w:b/>
          <w:szCs w:val="24"/>
          <w:vertAlign w:val="superscript"/>
        </w:rPr>
        <w:t>rd</w:t>
      </w:r>
      <w:r w:rsidR="00B11E47">
        <w:rPr>
          <w:rFonts w:ascii="Arial" w:hAnsi="Arial" w:cs="Arial"/>
          <w:b/>
          <w:szCs w:val="24"/>
        </w:rPr>
        <w:t xml:space="preserve"> </w:t>
      </w:r>
      <w:r w:rsidRPr="00F715D1">
        <w:rPr>
          <w:rFonts w:ascii="Arial" w:hAnsi="Arial" w:cs="Arial"/>
          <w:b/>
          <w:szCs w:val="24"/>
        </w:rPr>
        <w:t xml:space="preserve">Meeting, </w:t>
      </w:r>
      <w:r w:rsidR="00B11E47">
        <w:rPr>
          <w:rFonts w:ascii="Arial" w:hAnsi="Arial" w:cs="Arial"/>
          <w:b/>
          <w:szCs w:val="24"/>
        </w:rPr>
        <w:t>26-27 July 2018</w:t>
      </w:r>
    </w:p>
    <w:p w14:paraId="0C5F97D0"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4A4FAF9F" w14:textId="77777777" w:rsidR="003D7F29" w:rsidRPr="00F715D1" w:rsidRDefault="003D7F29" w:rsidP="00501ED9">
      <w:pPr>
        <w:pStyle w:val="Heading1"/>
      </w:pPr>
      <w:r w:rsidRPr="00F715D1">
        <w:t>Purpose of application</w:t>
      </w:r>
    </w:p>
    <w:p w14:paraId="6E115547" w14:textId="77777777" w:rsidR="00B11E47" w:rsidRDefault="00B11E47" w:rsidP="00B11E47">
      <w:pPr>
        <w:tabs>
          <w:tab w:val="left" w:pos="720"/>
          <w:tab w:val="left" w:pos="1140"/>
        </w:tabs>
      </w:pPr>
      <w:r>
        <w:rPr>
          <w:szCs w:val="24"/>
        </w:rPr>
        <w:t>An</w:t>
      </w:r>
      <w:r w:rsidRPr="00F203BC">
        <w:rPr>
          <w:szCs w:val="24"/>
        </w:rPr>
        <w:t xml:space="preserve"> application </w:t>
      </w:r>
      <w:r w:rsidR="00333FD7">
        <w:t>requesting Medicare Benefit Schedule</w:t>
      </w:r>
      <w:r w:rsidRPr="00C34F01">
        <w:t xml:space="preserve"> </w:t>
      </w:r>
      <w:r w:rsidR="00333FD7">
        <w:t>(</w:t>
      </w:r>
      <w:r>
        <w:t>MBS</w:t>
      </w:r>
      <w:r w:rsidR="00333FD7">
        <w:t>) listing</w:t>
      </w:r>
      <w:r w:rsidRPr="00C34F01">
        <w:t xml:space="preserve"> for next generation whole exome </w:t>
      </w:r>
      <w:r>
        <w:t>analysis</w:t>
      </w:r>
      <w:r w:rsidRPr="00C34F01">
        <w:t xml:space="preserve"> (WEA) </w:t>
      </w:r>
      <w:r w:rsidR="00F23318">
        <w:t xml:space="preserve">for childhood syndromes </w:t>
      </w:r>
      <w:r w:rsidRPr="00C34F01">
        <w:t xml:space="preserve">in affected individuals, with targeted cascade testing </w:t>
      </w:r>
      <w:r w:rsidR="00F23318">
        <w:t>o</w:t>
      </w:r>
      <w:r w:rsidRPr="00C34F01">
        <w:t>f relatives</w:t>
      </w:r>
      <w:r w:rsidR="00F23318">
        <w:t>,</w:t>
      </w:r>
      <w:r w:rsidR="00333FD7">
        <w:t xml:space="preserve"> was received </w:t>
      </w:r>
      <w:r w:rsidR="00333FD7">
        <w:rPr>
          <w:szCs w:val="24"/>
        </w:rPr>
        <w:t xml:space="preserve">from the </w:t>
      </w:r>
      <w:r w:rsidR="00333FD7" w:rsidRPr="00A06F59">
        <w:rPr>
          <w:szCs w:val="24"/>
          <w:lang w:val="en-US"/>
        </w:rPr>
        <w:t>Murdoch Children’s Research Institute</w:t>
      </w:r>
      <w:r w:rsidR="00333FD7" w:rsidRPr="00F203BC">
        <w:rPr>
          <w:szCs w:val="24"/>
        </w:rPr>
        <w:t xml:space="preserve"> by the Department</w:t>
      </w:r>
      <w:r w:rsidR="00333FD7">
        <w:rPr>
          <w:szCs w:val="24"/>
        </w:rPr>
        <w:t xml:space="preserve"> of Health</w:t>
      </w:r>
      <w:r w:rsidRPr="00C34F01">
        <w:t>.</w:t>
      </w:r>
    </w:p>
    <w:p w14:paraId="2A0181ED" w14:textId="77777777" w:rsidR="00E977EE" w:rsidRPr="00F715D1" w:rsidRDefault="00E977EE" w:rsidP="00F715D1">
      <w:pPr>
        <w:pStyle w:val="Heading1"/>
      </w:pPr>
      <w:r w:rsidRPr="00F715D1">
        <w:t>MSAC’s advice to the Minister</w:t>
      </w:r>
    </w:p>
    <w:p w14:paraId="16E221C3" w14:textId="77777777" w:rsidR="00333FD7" w:rsidRDefault="00333FD7" w:rsidP="00333FD7">
      <w:r w:rsidRPr="00CA5587">
        <w:t xml:space="preserve">After considering the strength of the available evidence in relation to comparative safety, clinical effectiveness </w:t>
      </w:r>
      <w:r w:rsidRPr="009B1A8E">
        <w:t>and</w:t>
      </w:r>
      <w:r w:rsidRPr="00CA5587">
        <w:t xml:space="preserve"> cost effectiveness, MSAC did not support</w:t>
      </w:r>
      <w:r>
        <w:t xml:space="preserve"> MBS</w:t>
      </w:r>
      <w:r w:rsidRPr="00CA5587">
        <w:t xml:space="preserve"> funding of</w:t>
      </w:r>
      <w:r>
        <w:t xml:space="preserve"> WEA</w:t>
      </w:r>
      <w:r w:rsidR="00F23318">
        <w:t>-based</w:t>
      </w:r>
      <w:r>
        <w:t xml:space="preserve"> genetic t</w:t>
      </w:r>
      <w:r w:rsidRPr="00840A98">
        <w:t>esting for childhood syndromes</w:t>
      </w:r>
      <w:r>
        <w:rPr>
          <w:color w:val="000000"/>
        </w:rPr>
        <w:t xml:space="preserve"> in affected individuals or </w:t>
      </w:r>
      <w:r w:rsidR="00F23318">
        <w:rPr>
          <w:color w:val="000000"/>
        </w:rPr>
        <w:t>of associated reinterrogation analysis or of cascade testing</w:t>
      </w:r>
      <w:r w:rsidRPr="00295670">
        <w:t>.</w:t>
      </w:r>
    </w:p>
    <w:p w14:paraId="7C36064F" w14:textId="77777777" w:rsidR="00333FD7" w:rsidRPr="00335A16" w:rsidRDefault="00333FD7" w:rsidP="00333FD7">
      <w:pPr>
        <w:spacing w:before="240"/>
      </w:pPr>
      <w:r w:rsidRPr="00295670">
        <w:rPr>
          <w:color w:val="000000"/>
        </w:rPr>
        <w:t xml:space="preserve">MSAC acknowledged the high clinical need for testing to diagnose childhood syndromes and the </w:t>
      </w:r>
      <w:r>
        <w:rPr>
          <w:color w:val="000000"/>
        </w:rPr>
        <w:t xml:space="preserve">potential </w:t>
      </w:r>
      <w:r w:rsidRPr="00295670">
        <w:rPr>
          <w:color w:val="000000"/>
        </w:rPr>
        <w:t xml:space="preserve">benefits this </w:t>
      </w:r>
      <w:r>
        <w:rPr>
          <w:color w:val="000000"/>
        </w:rPr>
        <w:t>could have</w:t>
      </w:r>
      <w:r w:rsidRPr="00295670">
        <w:rPr>
          <w:color w:val="000000"/>
        </w:rPr>
        <w:t xml:space="preserve"> </w:t>
      </w:r>
      <w:r>
        <w:rPr>
          <w:color w:val="000000"/>
        </w:rPr>
        <w:t>for</w:t>
      </w:r>
      <w:r w:rsidRPr="00295670">
        <w:rPr>
          <w:color w:val="000000"/>
        </w:rPr>
        <w:t xml:space="preserve"> patients and their families. </w:t>
      </w:r>
      <w:r>
        <w:rPr>
          <w:color w:val="000000"/>
        </w:rPr>
        <w:t xml:space="preserve">However, </w:t>
      </w:r>
      <w:r w:rsidRPr="00335A16">
        <w:t>MSAC had several major concerns with this application regarding:</w:t>
      </w:r>
    </w:p>
    <w:p w14:paraId="3F9D080D" w14:textId="77777777" w:rsidR="00333FD7" w:rsidRPr="00335A16" w:rsidRDefault="00333FD7" w:rsidP="00333FD7">
      <w:pPr>
        <w:pStyle w:val="ListParagraph"/>
        <w:numPr>
          <w:ilvl w:val="0"/>
          <w:numId w:val="30"/>
        </w:numPr>
        <w:spacing w:after="160"/>
      </w:pPr>
      <w:r w:rsidRPr="00335A16">
        <w:t xml:space="preserve">the breadth and heterogeneity of </w:t>
      </w:r>
      <w:r>
        <w:t>the syndromes</w:t>
      </w:r>
      <w:r w:rsidRPr="00335A16">
        <w:t xml:space="preserve"> included</w:t>
      </w:r>
    </w:p>
    <w:p w14:paraId="064A9E3D" w14:textId="19B4C1D0" w:rsidR="00333FD7" w:rsidRPr="00335A16" w:rsidRDefault="00333FD7" w:rsidP="00333FD7">
      <w:pPr>
        <w:pStyle w:val="ListParagraph"/>
        <w:numPr>
          <w:ilvl w:val="0"/>
          <w:numId w:val="30"/>
        </w:numPr>
        <w:spacing w:after="160"/>
      </w:pPr>
      <w:r>
        <w:t xml:space="preserve">a </w:t>
      </w:r>
      <w:r w:rsidRPr="00335A16">
        <w:t xml:space="preserve">lack of confidence in the </w:t>
      </w:r>
      <w:r>
        <w:t xml:space="preserve">limited </w:t>
      </w:r>
      <w:r w:rsidRPr="00335A16">
        <w:t xml:space="preserve">data provided for effects of changes in </w:t>
      </w:r>
      <w:r>
        <w:t xml:space="preserve">clinical </w:t>
      </w:r>
      <w:r w:rsidRPr="00335A16">
        <w:t xml:space="preserve">management </w:t>
      </w:r>
      <w:r>
        <w:t xml:space="preserve">(including other investigations, treatments and future family planning options) </w:t>
      </w:r>
      <w:r w:rsidRPr="00335A16">
        <w:t xml:space="preserve">and </w:t>
      </w:r>
      <w:r>
        <w:t xml:space="preserve">thus </w:t>
      </w:r>
      <w:r w:rsidRPr="00335A16">
        <w:t>improvement in health outcomes</w:t>
      </w:r>
      <w:r>
        <w:t xml:space="preserve"> overall</w:t>
      </w:r>
    </w:p>
    <w:p w14:paraId="77A53085" w14:textId="77777777" w:rsidR="00333FD7" w:rsidRPr="00335A16" w:rsidRDefault="00333FD7" w:rsidP="00333FD7">
      <w:pPr>
        <w:pStyle w:val="ListParagraph"/>
        <w:numPr>
          <w:ilvl w:val="0"/>
          <w:numId w:val="30"/>
        </w:numPr>
        <w:spacing w:after="160"/>
      </w:pPr>
      <w:r>
        <w:t xml:space="preserve">determining </w:t>
      </w:r>
      <w:r w:rsidRPr="00335A16">
        <w:t>the best type of technology to perform the test</w:t>
      </w:r>
    </w:p>
    <w:p w14:paraId="17435E86" w14:textId="77777777" w:rsidR="00333FD7" w:rsidRPr="00295670" w:rsidRDefault="00333FD7" w:rsidP="00333FD7">
      <w:pPr>
        <w:pStyle w:val="ListParagraph"/>
        <w:numPr>
          <w:ilvl w:val="0"/>
          <w:numId w:val="30"/>
        </w:numPr>
        <w:spacing w:after="160"/>
      </w:pPr>
      <w:r w:rsidRPr="00335A16">
        <w:t>implementation issues such as equity of access</w:t>
      </w:r>
      <w:r>
        <w:t>, ethics of consent,</w:t>
      </w:r>
      <w:r w:rsidRPr="00335A16">
        <w:t xml:space="preserve"> </w:t>
      </w:r>
      <w:r>
        <w:t xml:space="preserve">specialised </w:t>
      </w:r>
      <w:r w:rsidRPr="00335A16">
        <w:t>workforce</w:t>
      </w:r>
      <w:r>
        <w:t xml:space="preserve"> availability, and ability to limit to the proposed target population.</w:t>
      </w:r>
    </w:p>
    <w:p w14:paraId="68F84A95" w14:textId="45C0481F" w:rsidR="00864695" w:rsidRPr="009A3D5C" w:rsidRDefault="00333FD7" w:rsidP="009A3D5C">
      <w:pPr>
        <w:pStyle w:val="Default"/>
        <w:spacing w:after="240"/>
        <w:rPr>
          <w:b/>
          <w:i/>
          <w:color w:val="auto"/>
        </w:rPr>
      </w:pPr>
      <w:r w:rsidRPr="00335A16">
        <w:t>MSAC considered that</w:t>
      </w:r>
      <w:r>
        <w:t>, given the current geographical inequity of access to the test options,</w:t>
      </w:r>
      <w:r w:rsidRPr="00335A16">
        <w:t xml:space="preserve"> a stakeholder meeting </w:t>
      </w:r>
      <w:r>
        <w:t xml:space="preserve">involving consumers, requesters and providers </w:t>
      </w:r>
      <w:r w:rsidRPr="00335A16">
        <w:t xml:space="preserve">to </w:t>
      </w:r>
      <w:r>
        <w:t xml:space="preserve">further </w:t>
      </w:r>
      <w:r w:rsidRPr="00335A16">
        <w:t>discuss the</w:t>
      </w:r>
      <w:r>
        <w:t>se</w:t>
      </w:r>
      <w:r w:rsidRPr="00335A16">
        <w:t xml:space="preserve"> issues would assist to inform </w:t>
      </w:r>
      <w:r>
        <w:t xml:space="preserve">its reconsideration of </w:t>
      </w:r>
      <w:r w:rsidRPr="00335A16">
        <w:t>this application</w:t>
      </w:r>
      <w:r>
        <w:t>.</w:t>
      </w:r>
      <w:r w:rsidR="00864695">
        <w:br w:type="page"/>
      </w:r>
    </w:p>
    <w:p w14:paraId="74BFD42B" w14:textId="77E27F15" w:rsidR="00550354" w:rsidRPr="00F715D1" w:rsidRDefault="009A3D5C" w:rsidP="00F715D1">
      <w:pPr>
        <w:pStyle w:val="Heading1"/>
      </w:pPr>
      <w:r>
        <w:lastRenderedPageBreak/>
        <w:t>Summary</w:t>
      </w:r>
      <w:r w:rsidR="00550354" w:rsidRPr="00F715D1">
        <w:t xml:space="preserve">of consideration </w:t>
      </w:r>
      <w:r w:rsidR="0008217D">
        <w:t>and rationale for MSAC’s advice</w:t>
      </w:r>
    </w:p>
    <w:p w14:paraId="7E3B6616" w14:textId="77777777" w:rsidR="00852CD0" w:rsidRDefault="00852CD0" w:rsidP="00852CD0">
      <w:r>
        <w:t xml:space="preserve">MSAC noted that this application is </w:t>
      </w:r>
      <w:r w:rsidRPr="00492015">
        <w:t xml:space="preserve">for </w:t>
      </w:r>
      <w:r w:rsidR="00F23318">
        <w:t xml:space="preserve">testing </w:t>
      </w:r>
      <w:r>
        <w:t>for three populations:</w:t>
      </w:r>
    </w:p>
    <w:p w14:paraId="47C84C8F" w14:textId="77777777" w:rsidR="00852CD0" w:rsidRDefault="00852CD0" w:rsidP="00852CD0">
      <w:pPr>
        <w:pStyle w:val="ListParagraph"/>
        <w:numPr>
          <w:ilvl w:val="0"/>
          <w:numId w:val="31"/>
        </w:numPr>
        <w:spacing w:after="160" w:line="259" w:lineRule="auto"/>
      </w:pPr>
      <w:r>
        <w:t xml:space="preserve">Population 1 – initial testing </w:t>
      </w:r>
      <w:r w:rsidR="00F23318">
        <w:t xml:space="preserve">using </w:t>
      </w:r>
      <w:r w:rsidR="00F23318" w:rsidRPr="00492015">
        <w:t>next</w:t>
      </w:r>
      <w:r w:rsidR="00F23318">
        <w:t>-</w:t>
      </w:r>
      <w:r w:rsidR="00F23318" w:rsidRPr="00492015">
        <w:t xml:space="preserve">generation WEA </w:t>
      </w:r>
      <w:r>
        <w:t xml:space="preserve">for </w:t>
      </w:r>
      <w:r w:rsidR="00F23318">
        <w:t xml:space="preserve">the </w:t>
      </w:r>
      <w:r>
        <w:t>diagnosis of childhood syndromes (</w:t>
      </w:r>
      <w:r w:rsidR="00F23318">
        <w:t xml:space="preserve">to detect </w:t>
      </w:r>
      <w:r>
        <w:t>proband</w:t>
      </w:r>
      <w:r w:rsidR="00F23318">
        <w:t>s in</w:t>
      </w:r>
      <w:r>
        <w:t xml:space="preserve"> children 0–18 years of age)</w:t>
      </w:r>
    </w:p>
    <w:p w14:paraId="6A2DD972" w14:textId="77777777" w:rsidR="00852CD0" w:rsidRPr="00A64F0B" w:rsidRDefault="00852CD0" w:rsidP="00852CD0">
      <w:pPr>
        <w:pStyle w:val="ListParagraph"/>
        <w:numPr>
          <w:ilvl w:val="0"/>
          <w:numId w:val="31"/>
        </w:numPr>
        <w:spacing w:after="160" w:line="259" w:lineRule="auto"/>
      </w:pPr>
      <w:r>
        <w:t xml:space="preserve">Population 2 – reinterrogation analysis for patients who did not have a definitive </w:t>
      </w:r>
      <w:r w:rsidR="00610659">
        <w:t xml:space="preserve">molecular </w:t>
      </w:r>
      <w:r>
        <w:t xml:space="preserve">diagnosis at initial </w:t>
      </w:r>
      <w:r w:rsidR="004C5A49">
        <w:t xml:space="preserve">WES </w:t>
      </w:r>
      <w:r w:rsidRPr="00A64F0B">
        <w:t>testing (reanalysing bioinformatics</w:t>
      </w:r>
      <w:r>
        <w:t>,</w:t>
      </w:r>
      <w:r w:rsidRPr="00A64F0B">
        <w:t xml:space="preserve"> not retesting)</w:t>
      </w:r>
    </w:p>
    <w:p w14:paraId="7BFBDFE6" w14:textId="77777777" w:rsidR="00852CD0" w:rsidRPr="00A64F0B" w:rsidRDefault="00852CD0" w:rsidP="00852CD0">
      <w:pPr>
        <w:pStyle w:val="ListParagraph"/>
        <w:numPr>
          <w:ilvl w:val="0"/>
          <w:numId w:val="31"/>
        </w:numPr>
        <w:spacing w:after="160" w:line="259" w:lineRule="auto"/>
      </w:pPr>
      <w:r>
        <w:t xml:space="preserve">Population 3 – </w:t>
      </w:r>
      <w:r w:rsidRPr="00492015">
        <w:t xml:space="preserve">cascade </w:t>
      </w:r>
      <w:r w:rsidR="00F23318">
        <w:t xml:space="preserve">single gene </w:t>
      </w:r>
      <w:r w:rsidRPr="00492015">
        <w:t xml:space="preserve">testing </w:t>
      </w:r>
      <w:r w:rsidR="00F23318">
        <w:t>o</w:t>
      </w:r>
      <w:r w:rsidRPr="00492015">
        <w:t xml:space="preserve">f </w:t>
      </w:r>
      <w:r>
        <w:t xml:space="preserve">first-degree </w:t>
      </w:r>
      <w:r w:rsidRPr="00492015">
        <w:t>relatives</w:t>
      </w:r>
      <w:r>
        <w:t xml:space="preserve"> of </w:t>
      </w:r>
      <w:r w:rsidR="00F23318">
        <w:t xml:space="preserve">those </w:t>
      </w:r>
      <w:r>
        <w:t xml:space="preserve">affected </w:t>
      </w:r>
      <w:r w:rsidRPr="00A64F0B">
        <w:t>individuals</w:t>
      </w:r>
      <w:r w:rsidR="00F23318">
        <w:t xml:space="preserve"> who are confirmed as having a monogenic childhood syndrome</w:t>
      </w:r>
      <w:r w:rsidRPr="00A64F0B">
        <w:t>.</w:t>
      </w:r>
    </w:p>
    <w:p w14:paraId="08C97391" w14:textId="77777777" w:rsidR="00852CD0" w:rsidRDefault="00852CD0" w:rsidP="00852CD0">
      <w:r>
        <w:t>MSAC acknowledged that childhood genetic syndromes include a clinically and genetically heterogeneous group of disorders, many of which have a high clinical need. Patients and their families desire diagnosis to inform clinical management, pro</w:t>
      </w:r>
      <w:r w:rsidR="00F23318">
        <w:t>gnosis and genetic counselling.</w:t>
      </w:r>
    </w:p>
    <w:p w14:paraId="336342A4" w14:textId="29197CBD" w:rsidR="00852CD0" w:rsidRDefault="00852CD0" w:rsidP="00852CD0">
      <w:pPr>
        <w:spacing w:before="240"/>
      </w:pPr>
      <w:r>
        <w:t>MSAC noted that this application is limited to monogenic conditions, which typically have their onset in infancy or early childhood. Individual syndromes usually have a constellation of features including dysmorphi</w:t>
      </w:r>
      <w:r w:rsidR="000D08B4">
        <w:t>c facial appearance</w:t>
      </w:r>
      <w:r>
        <w:t>, single or multiple congenital anomalies, and variable degrees of intellectual disability. MSAC noted that children must exhibit at least two of these features to be eligible for WEA</w:t>
      </w:r>
      <w:r w:rsidR="00F23318">
        <w:t xml:space="preserve"> as proposed</w:t>
      </w:r>
      <w:r>
        <w:t xml:space="preserve">. MSAC noted that there is an increasing number of monogenic syndromes that do not satisfy these criteria (e.g. immune </w:t>
      </w:r>
      <w:r w:rsidR="002570D6">
        <w:t>disorders</w:t>
      </w:r>
      <w:r w:rsidR="00F23318">
        <w:t>).</w:t>
      </w:r>
    </w:p>
    <w:p w14:paraId="02005391" w14:textId="34B49A15" w:rsidR="008C36FA" w:rsidRDefault="008C36FA" w:rsidP="008C36FA">
      <w:pPr>
        <w:spacing w:before="240"/>
      </w:pPr>
      <w:r>
        <w:t xml:space="preserve">MSAC noted that WEA is a new and </w:t>
      </w:r>
      <w:r w:rsidR="002570D6">
        <w:t xml:space="preserve">rapidly </w:t>
      </w:r>
      <w:r>
        <w:t>evolving technology</w:t>
      </w:r>
      <w:r w:rsidR="002570D6">
        <w:t>.</w:t>
      </w:r>
      <w:r>
        <w:t xml:space="preserve"> There are more than 15,000 entries in </w:t>
      </w:r>
      <w:r w:rsidRPr="00090E4A">
        <w:t xml:space="preserve">OMIM </w:t>
      </w:r>
      <w:r>
        <w:t>(</w:t>
      </w:r>
      <w:r w:rsidRPr="00090E4A">
        <w:t>a full term list of all genetic conditions and phenotypes</w:t>
      </w:r>
      <w:r>
        <w:t>)</w:t>
      </w:r>
      <w:r w:rsidRPr="00090E4A">
        <w:t xml:space="preserve"> </w:t>
      </w:r>
      <w:r>
        <w:t>with a</w:t>
      </w:r>
      <w:r w:rsidRPr="00090E4A">
        <w:t xml:space="preserve">pproximately 50 new entries </w:t>
      </w:r>
      <w:r>
        <w:t xml:space="preserve">being </w:t>
      </w:r>
      <w:r w:rsidRPr="00090E4A">
        <w:t xml:space="preserve">added </w:t>
      </w:r>
      <w:r>
        <w:t>each month</w:t>
      </w:r>
      <w:r w:rsidRPr="00090E4A">
        <w:t>.</w:t>
      </w:r>
      <w:r>
        <w:t xml:space="preserve"> WEA is therefore potentially applicable to many </w:t>
      </w:r>
      <w:r w:rsidR="00730054">
        <w:t xml:space="preserve">other medical </w:t>
      </w:r>
      <w:r>
        <w:t xml:space="preserve">conditions. </w:t>
      </w:r>
      <w:r w:rsidR="006F16A1">
        <w:t xml:space="preserve">MSAC considered that, because WEA technology has uses beyond the </w:t>
      </w:r>
      <w:r w:rsidR="00730054">
        <w:t>proposed</w:t>
      </w:r>
      <w:r w:rsidR="006F16A1">
        <w:t xml:space="preserve"> set of conditions, there </w:t>
      </w:r>
      <w:r w:rsidR="006F16A1" w:rsidRPr="00696E44">
        <w:t xml:space="preserve">is </w:t>
      </w:r>
      <w:r w:rsidR="006F16A1">
        <w:t xml:space="preserve">a high </w:t>
      </w:r>
      <w:r w:rsidR="006F16A1" w:rsidRPr="00696E44">
        <w:t xml:space="preserve">potential for </w:t>
      </w:r>
      <w:r w:rsidR="002570D6">
        <w:t>use outside the intended patient group</w:t>
      </w:r>
      <w:r w:rsidR="006F16A1" w:rsidRPr="00696E44">
        <w:t>.</w:t>
      </w:r>
      <w:r w:rsidR="006F16A1">
        <w:t xml:space="preserve"> MSAC acknowledged that current restrictions on eligibility and referral by a multidisciplinary panel probably limit this risk, but if the scope of testing is broadened, leakage could potentially be extremely large.</w:t>
      </w:r>
    </w:p>
    <w:p w14:paraId="619287D0" w14:textId="51DD5F07" w:rsidR="00852CD0" w:rsidRDefault="00920EF2" w:rsidP="00852CD0">
      <w:pPr>
        <w:spacing w:before="240"/>
      </w:pPr>
      <w:r>
        <w:t xml:space="preserve">In this context, </w:t>
      </w:r>
      <w:r w:rsidR="00852CD0">
        <w:t xml:space="preserve">MSAC noted potential ethical dilemmas </w:t>
      </w:r>
      <w:r>
        <w:t xml:space="preserve">affecting implementation of MBS funding </w:t>
      </w:r>
      <w:r w:rsidR="00852CD0">
        <w:t xml:space="preserve">arising from whole </w:t>
      </w:r>
      <w:r w:rsidR="00730054">
        <w:t xml:space="preserve">exome or whole </w:t>
      </w:r>
      <w:r w:rsidR="00852CD0">
        <w:t xml:space="preserve">genome sequencing more broadly, including </w:t>
      </w:r>
      <w:r w:rsidR="000D08B4">
        <w:t>the possibility of reporting</w:t>
      </w:r>
      <w:r w:rsidR="00852CD0">
        <w:t xml:space="preserve"> ‘off-target’ mutations </w:t>
      </w:r>
      <w:r w:rsidR="000D08B4">
        <w:t>and variants of unknown significance</w:t>
      </w:r>
      <w:r w:rsidR="00F472F4">
        <w:t xml:space="preserve">, both on initial WES testing and on re-interrogation. These </w:t>
      </w:r>
      <w:r w:rsidR="00852CD0">
        <w:t xml:space="preserve">would require </w:t>
      </w:r>
      <w:r w:rsidR="0012300D">
        <w:t xml:space="preserve">management via informed consent and recourse to subsequent </w:t>
      </w:r>
      <w:r w:rsidR="00852CD0">
        <w:t xml:space="preserve">genetic counselling (with associated cost and </w:t>
      </w:r>
      <w:r w:rsidR="000D08B4">
        <w:t xml:space="preserve">likely </w:t>
      </w:r>
      <w:r w:rsidR="00852CD0">
        <w:t>need for follow-up)</w:t>
      </w:r>
      <w:r w:rsidR="002570D6">
        <w:t>. These analyses may identify</w:t>
      </w:r>
      <w:r w:rsidR="00852CD0">
        <w:t xml:space="preserve"> disorders that have no prevention or treatment, non-paternity, consanguinity or incest. There are also possible forensic uses of </w:t>
      </w:r>
      <w:r w:rsidR="000D08B4">
        <w:t xml:space="preserve">sequencing </w:t>
      </w:r>
      <w:r w:rsidR="00852CD0">
        <w:t>data, and issues around data storage and privacy.</w:t>
      </w:r>
      <w:r w:rsidR="008B22C9">
        <w:t xml:space="preserve"> Consideration should be given to prospectively limiting all WEA reporting to the set of agreed, but evolving, monogenic childhood syndromes clearly curated from the full OMIM to minimise the likelihood of incidental findings that would add to the </w:t>
      </w:r>
      <w:r w:rsidR="002570D6">
        <w:t xml:space="preserve">patient and </w:t>
      </w:r>
      <w:r w:rsidR="008B22C9">
        <w:t>family’s concerns</w:t>
      </w:r>
      <w:r w:rsidR="002570D6">
        <w:t>.</w:t>
      </w:r>
    </w:p>
    <w:p w14:paraId="4D7121DD" w14:textId="251B6005" w:rsidR="00852CD0" w:rsidRDefault="00852CD0" w:rsidP="006F16A1">
      <w:pPr>
        <w:spacing w:before="240"/>
      </w:pPr>
      <w:r>
        <w:t>MSAC noted that four laboratories in Australia are currently authorised to perform WEA (</w:t>
      </w:r>
      <w:r w:rsidR="00730054">
        <w:t xml:space="preserve">including </w:t>
      </w:r>
      <w:r>
        <w:t>initial testing and bioinformatics reanalysis). MSAC noted that limited access to this technology creates equity issues. MSAC noted that testing includes multidisciplinary review of results led by a clinical geneticist attached to the testing laboratory</w:t>
      </w:r>
      <w:r w:rsidR="002570D6">
        <w:t xml:space="preserve">. The </w:t>
      </w:r>
      <w:r w:rsidR="002E3D87">
        <w:t xml:space="preserve">Committee expected </w:t>
      </w:r>
      <w:r w:rsidR="002570D6">
        <w:t xml:space="preserve">that this barrier would serve as a </w:t>
      </w:r>
      <w:r w:rsidR="002E3D87">
        <w:t>system constraint limiting access and equity</w:t>
      </w:r>
      <w:r>
        <w:t xml:space="preserve">. MSAC </w:t>
      </w:r>
      <w:r w:rsidR="002570D6">
        <w:t>noted</w:t>
      </w:r>
      <w:r w:rsidR="00730054">
        <w:t xml:space="preserve"> </w:t>
      </w:r>
      <w:r>
        <w:t xml:space="preserve">that there may be a risk that care of patients would be </w:t>
      </w:r>
      <w:r w:rsidR="002570D6">
        <w:t xml:space="preserve">permanently </w:t>
      </w:r>
      <w:r>
        <w:t xml:space="preserve">transferred from the original referring provider </w:t>
      </w:r>
      <w:r w:rsidR="002570D6">
        <w:t xml:space="preserve">and care setting </w:t>
      </w:r>
      <w:r>
        <w:t xml:space="preserve">to </w:t>
      </w:r>
      <w:r w:rsidR="002570D6">
        <w:t>a</w:t>
      </w:r>
      <w:r w:rsidR="002753C6">
        <w:t xml:space="preserve"> quaternary</w:t>
      </w:r>
      <w:r w:rsidR="002570D6">
        <w:t xml:space="preserve"> </w:t>
      </w:r>
      <w:r>
        <w:t>inst</w:t>
      </w:r>
      <w:r w:rsidR="00730054">
        <w:t xml:space="preserve">itution that </w:t>
      </w:r>
      <w:r w:rsidR="002570D6">
        <w:t xml:space="preserve">provides access to </w:t>
      </w:r>
      <w:r w:rsidR="00730054">
        <w:t>the test.</w:t>
      </w:r>
    </w:p>
    <w:p w14:paraId="082CE9F7" w14:textId="77777777" w:rsidR="00852CD0" w:rsidRDefault="00852CD0" w:rsidP="00E57F95">
      <w:pPr>
        <w:spacing w:before="240"/>
      </w:pPr>
      <w:r>
        <w:lastRenderedPageBreak/>
        <w:t xml:space="preserve">MSAC considered the </w:t>
      </w:r>
      <w:r w:rsidR="00730054">
        <w:t xml:space="preserve">identified </w:t>
      </w:r>
      <w:r>
        <w:t>comparators for each population to be appropriate.</w:t>
      </w:r>
    </w:p>
    <w:p w14:paraId="3E185191" w14:textId="77777777" w:rsidR="00852CD0" w:rsidRPr="00D16868" w:rsidRDefault="00852CD0" w:rsidP="006F16A1">
      <w:pPr>
        <w:spacing w:before="240"/>
      </w:pPr>
      <w:r w:rsidRPr="008063D2">
        <w:t>MSAC noted feedback from the Royal College of Pathologists of Australasia (RCPA)</w:t>
      </w:r>
      <w:r w:rsidRPr="00D16868">
        <w:t xml:space="preserve"> suggesting that gene panels should be included in the comparator. MSAC </w:t>
      </w:r>
      <w:r w:rsidR="00957069">
        <w:t xml:space="preserve">accepted </w:t>
      </w:r>
      <w:r w:rsidRPr="00D16868">
        <w:t>that gene panels should be included in the clinical pathway</w:t>
      </w:r>
      <w:r w:rsidR="00957069">
        <w:t xml:space="preserve"> as a triage test before WES</w:t>
      </w:r>
      <w:r w:rsidRPr="00D16868">
        <w:t xml:space="preserve">. Although </w:t>
      </w:r>
      <w:r w:rsidR="00D14733" w:rsidRPr="00766463">
        <w:t>whole exome sequencing</w:t>
      </w:r>
      <w:r w:rsidR="00D14733" w:rsidRPr="00D16868">
        <w:t xml:space="preserve"> </w:t>
      </w:r>
      <w:r w:rsidR="00D14733">
        <w:t>(</w:t>
      </w:r>
      <w:r w:rsidRPr="00D16868">
        <w:t>WES</w:t>
      </w:r>
      <w:r w:rsidR="00D14733">
        <w:t>)</w:t>
      </w:r>
      <w:r w:rsidRPr="00D16868">
        <w:t xml:space="preserve"> fits into the clinical algorithm, it </w:t>
      </w:r>
      <w:r w:rsidR="000D08B4">
        <w:t>would</w:t>
      </w:r>
      <w:r w:rsidRPr="00D16868">
        <w:t xml:space="preserve"> occur downstream from </w:t>
      </w:r>
      <w:r w:rsidR="00957069">
        <w:t xml:space="preserve">these </w:t>
      </w:r>
      <w:r w:rsidRPr="00D16868">
        <w:t>initial investigations in other centres.</w:t>
      </w:r>
      <w:r w:rsidR="001B6101">
        <w:t xml:space="preserve"> MSAC acknowledged</w:t>
      </w:r>
      <w:r w:rsidR="001B6101" w:rsidRPr="00092106">
        <w:t xml:space="preserve"> </w:t>
      </w:r>
      <w:r w:rsidR="001B6101">
        <w:t xml:space="preserve">advice from the applicant </w:t>
      </w:r>
      <w:r w:rsidR="001B6101" w:rsidRPr="00092106">
        <w:t>that</w:t>
      </w:r>
      <w:r w:rsidR="001B6101">
        <w:t>,</w:t>
      </w:r>
      <w:r w:rsidR="001B6101" w:rsidRPr="00092106">
        <w:t xml:space="preserve"> where a </w:t>
      </w:r>
      <w:r w:rsidR="00610659">
        <w:t xml:space="preserve">molecular </w:t>
      </w:r>
      <w:r w:rsidR="001B6101" w:rsidRPr="00092106">
        <w:t xml:space="preserve">diagnosis is found via </w:t>
      </w:r>
      <w:r w:rsidR="00613E0D">
        <w:t>chromosomal microarray (</w:t>
      </w:r>
      <w:r w:rsidR="001B6101" w:rsidRPr="00092106">
        <w:t>CMA</w:t>
      </w:r>
      <w:r w:rsidR="00613E0D">
        <w:t>)</w:t>
      </w:r>
      <w:r w:rsidR="001B6101" w:rsidRPr="00092106">
        <w:t>, there is likely to be no further utility in carrying out WEA</w:t>
      </w:r>
      <w:r w:rsidR="001B6101">
        <w:t xml:space="preserve">, and </w:t>
      </w:r>
      <w:r w:rsidR="001B6101" w:rsidRPr="00092106">
        <w:t>that secondary confirmation of WES results is not required.</w:t>
      </w:r>
    </w:p>
    <w:p w14:paraId="45FE014A" w14:textId="3D83D516" w:rsidR="00852CD0" w:rsidRDefault="00852CD0" w:rsidP="00AC4727">
      <w:pPr>
        <w:spacing w:before="240"/>
      </w:pPr>
      <w:r>
        <w:t xml:space="preserve">MSAC </w:t>
      </w:r>
      <w:r w:rsidRPr="00BA1A3D">
        <w:t xml:space="preserve">noted that the </w:t>
      </w:r>
      <w:r w:rsidR="002D6BC9">
        <w:t xml:space="preserve">primary </w:t>
      </w:r>
      <w:r w:rsidR="00303964">
        <w:t xml:space="preserve">Australian </w:t>
      </w:r>
      <w:r w:rsidRPr="00BA1A3D">
        <w:t>evidence</w:t>
      </w:r>
      <w:r w:rsidR="00FE7B20">
        <w:t xml:space="preserve"> for clinical utility in P</w:t>
      </w:r>
      <w:r>
        <w:t>opulation 1 (initial testing) was derived from two studies</w:t>
      </w:r>
      <w:r w:rsidRPr="00BA1A3D">
        <w:t xml:space="preserve"> </w:t>
      </w:r>
      <w:r w:rsidR="00CA0E31">
        <w:t xml:space="preserve">from a single centre </w:t>
      </w:r>
      <w:r w:rsidRPr="00BA1A3D">
        <w:t>involv</w:t>
      </w:r>
      <w:r>
        <w:t>ing</w:t>
      </w:r>
      <w:r w:rsidRPr="00BA1A3D">
        <w:t xml:space="preserve"> small numbers of patients </w:t>
      </w:r>
      <w:r>
        <w:t xml:space="preserve">(Stark 2016, </w:t>
      </w:r>
      <w:r w:rsidR="00303964">
        <w:t xml:space="preserve">46 patients and </w:t>
      </w:r>
      <w:r>
        <w:t>Tan 2017</w:t>
      </w:r>
      <w:r w:rsidR="00303964">
        <w:t>, 23 patients</w:t>
      </w:r>
      <w:r>
        <w:t>). MSAC noted that, in the Tan study, the popula</w:t>
      </w:r>
      <w:r w:rsidR="00AC4727">
        <w:t>tion was described as 2–18 year</w:t>
      </w:r>
      <w:r>
        <w:t xml:space="preserve">s but the oldest patient was </w:t>
      </w:r>
      <w:r w:rsidR="00AC4727">
        <w:t xml:space="preserve">only </w:t>
      </w:r>
      <w:r>
        <w:t xml:space="preserve">10 years of age. MSAC therefore queried the applicability of </w:t>
      </w:r>
      <w:r w:rsidR="002D6BC9">
        <w:t xml:space="preserve">these </w:t>
      </w:r>
      <w:r>
        <w:t>results to the broader target population (0–18 years), the vast majority of</w:t>
      </w:r>
      <w:r w:rsidR="00957069">
        <w:t xml:space="preserve"> whom are under 2 years of age.</w:t>
      </w:r>
    </w:p>
    <w:p w14:paraId="3C845703" w14:textId="14F4539F" w:rsidR="00852CD0" w:rsidRDefault="00852CD0" w:rsidP="00AC4727">
      <w:pPr>
        <w:spacing w:before="240"/>
      </w:pPr>
      <w:r>
        <w:t xml:space="preserve">MSAC noted that between </w:t>
      </w:r>
      <w:r w:rsidR="00613E0D">
        <w:t xml:space="preserve">26% and 33% </w:t>
      </w:r>
      <w:r w:rsidR="00B57C9E">
        <w:t xml:space="preserve">of </w:t>
      </w:r>
      <w:r>
        <w:t xml:space="preserve">patients with a </w:t>
      </w:r>
      <w:r w:rsidR="00610659">
        <w:t xml:space="preserve">molecular </w:t>
      </w:r>
      <w:r>
        <w:t xml:space="preserve">diagnosis will have a change in clinical management </w:t>
      </w:r>
      <w:r w:rsidR="006D2CCB">
        <w:t>a</w:t>
      </w:r>
      <w:r w:rsidR="00613E0D">
        <w:t>ccording to</w:t>
      </w:r>
      <w:r w:rsidR="006D2CCB">
        <w:t xml:space="preserve"> the three Australian reports </w:t>
      </w:r>
      <w:r w:rsidR="00613E0D">
        <w:t xml:space="preserve">with sample sizes ranging between 23 and 48. However there was </w:t>
      </w:r>
      <w:r>
        <w:t xml:space="preserve">high heterogeneity </w:t>
      </w:r>
      <w:r w:rsidR="00613E0D">
        <w:t xml:space="preserve">in the proportions of actionable diagnoses in the Clark 2018 meta-analysis for WES (18%; 95% CI: 13% to 24%; </w:t>
      </w:r>
      <w:r w:rsidR="00613E0D" w:rsidRPr="00B355C2">
        <w:rPr>
          <w:i/>
        </w:rPr>
        <w:t>I</w:t>
      </w:r>
      <w:r w:rsidR="00613E0D" w:rsidRPr="00B355C2">
        <w:rPr>
          <w:i/>
          <w:vertAlign w:val="superscript"/>
        </w:rPr>
        <w:t>2</w:t>
      </w:r>
      <w:r w:rsidR="00613E0D">
        <w:t xml:space="preserve">: 77%) compared with CMA (6%; 95% CI: 5% to 7%; </w:t>
      </w:r>
      <w:r w:rsidR="00613E0D" w:rsidRPr="00B355C2">
        <w:rPr>
          <w:i/>
        </w:rPr>
        <w:t>I</w:t>
      </w:r>
      <w:r w:rsidR="00613E0D" w:rsidRPr="00B355C2">
        <w:rPr>
          <w:i/>
          <w:vertAlign w:val="superscript"/>
        </w:rPr>
        <w:t>2</w:t>
      </w:r>
      <w:r w:rsidR="00613E0D">
        <w:t>: 42</w:t>
      </w:r>
      <w:r>
        <w:t xml:space="preserve">). </w:t>
      </w:r>
      <w:r w:rsidR="00613E0D">
        <w:t>Further</w:t>
      </w:r>
      <w:r>
        <w:t xml:space="preserve">, it was not clear whether </w:t>
      </w:r>
      <w:r w:rsidR="00006E82">
        <w:t xml:space="preserve">identification of actionable diagnoses resulted in </w:t>
      </w:r>
      <w:r>
        <w:t xml:space="preserve">changes in management. </w:t>
      </w:r>
      <w:r w:rsidRPr="0052196D">
        <w:t>MSAC noted there was only anecdotal evidence for this</w:t>
      </w:r>
      <w:r w:rsidR="00957069">
        <w:t>.</w:t>
      </w:r>
      <w:r w:rsidR="00006E82">
        <w:t xml:space="preserve"> It was less clear </w:t>
      </w:r>
      <w:r w:rsidR="00FA537E">
        <w:t xml:space="preserve">but critical </w:t>
      </w:r>
      <w:r w:rsidR="00006E82">
        <w:t>whether any changes in management led to improved health outcomes for patients. MSAC noted that there was no evidence for this, and no discussion about any consequences of managing false positive diagnoses.</w:t>
      </w:r>
    </w:p>
    <w:p w14:paraId="3C0AF3D8" w14:textId="77777777" w:rsidR="00852CD0" w:rsidRDefault="00852CD0" w:rsidP="00AC4727">
      <w:pPr>
        <w:spacing w:before="240"/>
      </w:pPr>
      <w:r>
        <w:t>MSAC noted that time to definitive diagnosis was not an endpoint in the Australian studies. MSAC noted evidence from a randomised control trial (NSIGHT1</w:t>
      </w:r>
      <w:r w:rsidR="000A3BE7">
        <w:t xml:space="preserve">; </w:t>
      </w:r>
      <w:r w:rsidR="000A3BE7">
        <w:rPr>
          <w:rStyle w:val="BodyChar"/>
          <w:rFonts w:ascii="Times New Roman" w:hAnsi="Times New Roman" w:cs="Times New Roman"/>
        </w:rPr>
        <w:t xml:space="preserve">Petrikin </w:t>
      </w:r>
      <w:r w:rsidR="000A3BE7" w:rsidRPr="00981880">
        <w:rPr>
          <w:rStyle w:val="BodyChar"/>
          <w:rFonts w:ascii="Times New Roman" w:hAnsi="Times New Roman" w:cs="Times New Roman"/>
        </w:rPr>
        <w:t>2018</w:t>
      </w:r>
      <w:r>
        <w:t>), in which time to diagnosis was a secondary objective, showing that use of rapid whole genome sequencing (rWGS) in addition to standard testing reduced the median time to diagnosis to 13 days, compared to 107 days for standard testing alone.</w:t>
      </w:r>
      <w:r w:rsidR="000A3BE7">
        <w:t xml:space="preserve"> MSAC considered that the applicability of this result to use of WES in Australia was not clear.</w:t>
      </w:r>
    </w:p>
    <w:p w14:paraId="0B397293" w14:textId="77777777" w:rsidR="00852CD0" w:rsidRDefault="00852CD0" w:rsidP="00AC4727">
      <w:pPr>
        <w:spacing w:before="240"/>
      </w:pPr>
      <w:r>
        <w:t>MSAC noted that</w:t>
      </w:r>
      <w:r w:rsidR="00C93DE1">
        <w:t>, in an Australian study of 73 patients for whom follow-up data were available,</w:t>
      </w:r>
      <w:r>
        <w:t xml:space="preserve"> there were no significant differences in </w:t>
      </w:r>
      <w:r w:rsidR="00C93DE1">
        <w:t xml:space="preserve">mean number of </w:t>
      </w:r>
      <w:r>
        <w:t>hospital admissions</w:t>
      </w:r>
      <w:r w:rsidR="00C93DE1">
        <w:t>, median</w:t>
      </w:r>
      <w:r w:rsidR="00C93DE1" w:rsidRPr="00C93DE1">
        <w:t xml:space="preserve"> </w:t>
      </w:r>
      <w:r w:rsidR="00C93DE1">
        <w:t>days of inpatient care, or mean number of outpatient appointments, either</w:t>
      </w:r>
      <w:r>
        <w:t xml:space="preserve"> before and after </w:t>
      </w:r>
      <w:r w:rsidR="00C93DE1">
        <w:t xml:space="preserve">the introduction of WES, or with or without </w:t>
      </w:r>
      <w:r w:rsidR="00303964">
        <w:t xml:space="preserve">a </w:t>
      </w:r>
      <w:r w:rsidR="00610659">
        <w:t xml:space="preserve">molecular </w:t>
      </w:r>
      <w:r>
        <w:t>diagnosis</w:t>
      </w:r>
      <w:r w:rsidR="00C93DE1">
        <w:t xml:space="preserve"> (Stark, 2018)</w:t>
      </w:r>
      <w:r>
        <w:t>.</w:t>
      </w:r>
    </w:p>
    <w:p w14:paraId="35ED215B" w14:textId="77777777" w:rsidR="00852CD0" w:rsidRDefault="00852CD0" w:rsidP="00AC4727">
      <w:pPr>
        <w:spacing w:before="240"/>
      </w:pPr>
      <w:r>
        <w:t xml:space="preserve">MSAC noted that the </w:t>
      </w:r>
      <w:r w:rsidR="00FA537E">
        <w:t xml:space="preserve">proposed </w:t>
      </w:r>
      <w:r>
        <w:t xml:space="preserve">main benefit of </w:t>
      </w:r>
      <w:r w:rsidR="00B7051C">
        <w:t xml:space="preserve">a </w:t>
      </w:r>
      <w:r w:rsidR="00610659">
        <w:t xml:space="preserve">molecular </w:t>
      </w:r>
      <w:r>
        <w:t xml:space="preserve">diagnosis for many patients is the cessation of further diagnostic investigations and </w:t>
      </w:r>
      <w:r w:rsidR="00957069">
        <w:t xml:space="preserve">diagnostic </w:t>
      </w:r>
      <w:r>
        <w:t xml:space="preserve">procedures (the ‘diagnostic odyssey’). This is the main influence </w:t>
      </w:r>
      <w:r w:rsidR="00225E31">
        <w:t xml:space="preserve">of WES </w:t>
      </w:r>
      <w:r>
        <w:t>on quality of life (QoL) for patients and their families. MSAC noted that no QoL data were presented</w:t>
      </w:r>
      <w:r w:rsidR="00C93DE1">
        <w:t xml:space="preserve"> to quantify this influence</w:t>
      </w:r>
      <w:r>
        <w:t>.</w:t>
      </w:r>
    </w:p>
    <w:p w14:paraId="6525837D" w14:textId="263F5CE3" w:rsidR="00852CD0" w:rsidRDefault="00B7051C" w:rsidP="00AC4727">
      <w:pPr>
        <w:spacing w:before="240"/>
      </w:pPr>
      <w:r>
        <w:t xml:space="preserve">In this context, MSAC noted the wide heterogeneity </w:t>
      </w:r>
      <w:r w:rsidR="00FB13E1">
        <w:t xml:space="preserve">reported by </w:t>
      </w:r>
      <w:r>
        <w:t>the Clark 2018 meta-analysis of diagnostic yield</w:t>
      </w:r>
      <w:r w:rsidR="00FB13E1">
        <w:t xml:space="preserve"> </w:t>
      </w:r>
      <w:r w:rsidR="00BD4FA9" w:rsidRPr="00766463">
        <w:t>in children (aged 0–18 years)</w:t>
      </w:r>
      <w:r w:rsidR="00BD4FA9">
        <w:t xml:space="preserve">. The </w:t>
      </w:r>
      <w:r w:rsidR="00FB13E1">
        <w:t xml:space="preserve">overall </w:t>
      </w:r>
      <w:r w:rsidR="00BD4FA9">
        <w:t xml:space="preserve">results </w:t>
      </w:r>
      <w:r w:rsidR="00B355C2">
        <w:t xml:space="preserve">for WES across 32 studies </w:t>
      </w:r>
      <w:r w:rsidR="00BD4FA9">
        <w:t>(</w:t>
      </w:r>
      <w:r w:rsidR="00FB13E1">
        <w:t>35%; 95% CI: 31% to 39%</w:t>
      </w:r>
      <w:r w:rsidR="00436662">
        <w:t xml:space="preserve">; </w:t>
      </w:r>
      <w:r w:rsidR="00436662" w:rsidRPr="00B355C2">
        <w:rPr>
          <w:i/>
        </w:rPr>
        <w:t>I</w:t>
      </w:r>
      <w:r w:rsidR="00B355C2" w:rsidRPr="00B355C2">
        <w:rPr>
          <w:i/>
          <w:vertAlign w:val="superscript"/>
        </w:rPr>
        <w:t>2</w:t>
      </w:r>
      <w:r w:rsidR="00B355C2">
        <w:t>: 85%</w:t>
      </w:r>
      <w:r w:rsidR="00FB13E1">
        <w:t>)</w:t>
      </w:r>
      <w:r w:rsidR="00BD4FA9">
        <w:t xml:space="preserve"> were less favourable than</w:t>
      </w:r>
      <w:r>
        <w:t xml:space="preserve"> the </w:t>
      </w:r>
      <w:r w:rsidR="00BD4FA9">
        <w:t>reported yields</w:t>
      </w:r>
      <w:r>
        <w:t xml:space="preserve"> for the two Australian studies </w:t>
      </w:r>
      <w:r w:rsidR="007C320B">
        <w:t>(</w:t>
      </w:r>
      <w:r w:rsidR="005913F7">
        <w:t>57</w:t>
      </w:r>
      <w:r w:rsidR="00FB13E1">
        <w:t xml:space="preserve">%; 95% CI: 46% to 68% for </w:t>
      </w:r>
      <w:r w:rsidR="0012300D">
        <w:t xml:space="preserve">80 patients in </w:t>
      </w:r>
      <w:r w:rsidR="00FB13E1">
        <w:t xml:space="preserve">Stark 2016 and 52%; 95% CI: 37% to 68% for </w:t>
      </w:r>
      <w:r w:rsidR="0012300D">
        <w:t xml:space="preserve">44 patients in </w:t>
      </w:r>
      <w:r w:rsidR="00FB13E1">
        <w:t>Tan 2017)</w:t>
      </w:r>
      <w:r w:rsidR="00B355C2">
        <w:t>.</w:t>
      </w:r>
      <w:r>
        <w:t xml:space="preserve"> </w:t>
      </w:r>
      <w:r w:rsidR="00852CD0" w:rsidRPr="00766463">
        <w:t xml:space="preserve">MSAC noted </w:t>
      </w:r>
      <w:r w:rsidR="00BD4FA9">
        <w:t xml:space="preserve">that this </w:t>
      </w:r>
      <w:r w:rsidR="00852CD0" w:rsidRPr="00766463">
        <w:t xml:space="preserve">meta-analysis </w:t>
      </w:r>
      <w:r w:rsidR="00BD4FA9">
        <w:t xml:space="preserve">also compared WES </w:t>
      </w:r>
      <w:r w:rsidR="00852CD0" w:rsidRPr="00766463">
        <w:t xml:space="preserve">diagnostic </w:t>
      </w:r>
      <w:r>
        <w:t>yield</w:t>
      </w:r>
      <w:r w:rsidR="00083868">
        <w:t xml:space="preserve"> with that </w:t>
      </w:r>
      <w:r w:rsidR="00852CD0" w:rsidRPr="00766463">
        <w:t>for whole genome sequencing (WGS) and CMA. MSAC noted that</w:t>
      </w:r>
      <w:r w:rsidR="00B355C2">
        <w:t>,</w:t>
      </w:r>
      <w:r w:rsidR="00B355C2" w:rsidRPr="00B355C2">
        <w:t xml:space="preserve"> </w:t>
      </w:r>
      <w:r w:rsidR="00B355C2">
        <w:t>across seven studies,</w:t>
      </w:r>
      <w:r w:rsidR="00852CD0" w:rsidRPr="00766463">
        <w:t xml:space="preserve"> WGS </w:t>
      </w:r>
      <w:r w:rsidR="00BD4FA9">
        <w:t>(41%; 95% CI: 34% to 48%</w:t>
      </w:r>
      <w:r w:rsidR="00B355C2">
        <w:t xml:space="preserve">; </w:t>
      </w:r>
      <w:r w:rsidR="00B355C2" w:rsidRPr="00B355C2">
        <w:rPr>
          <w:i/>
        </w:rPr>
        <w:t>I</w:t>
      </w:r>
      <w:r w:rsidR="00B355C2" w:rsidRPr="00B355C2">
        <w:rPr>
          <w:i/>
          <w:vertAlign w:val="superscript"/>
        </w:rPr>
        <w:t>2</w:t>
      </w:r>
      <w:r w:rsidR="00B355C2">
        <w:t>: 44%</w:t>
      </w:r>
      <w:r w:rsidR="00BD4FA9">
        <w:t xml:space="preserve">) </w:t>
      </w:r>
      <w:r w:rsidR="00852CD0">
        <w:lastRenderedPageBreak/>
        <w:t xml:space="preserve">appeared to </w:t>
      </w:r>
      <w:r w:rsidR="00852CD0" w:rsidRPr="00766463">
        <w:t>ha</w:t>
      </w:r>
      <w:r w:rsidR="00852CD0">
        <w:t>ve</w:t>
      </w:r>
      <w:r w:rsidR="00852CD0" w:rsidRPr="00766463">
        <w:t xml:space="preserve"> a higher diagnostic yield than WES, and both were superior to CMA</w:t>
      </w:r>
      <w:r w:rsidR="00BD4FA9">
        <w:t xml:space="preserve"> </w:t>
      </w:r>
      <w:r w:rsidR="00B355C2">
        <w:t xml:space="preserve">across thirteen studies </w:t>
      </w:r>
      <w:r w:rsidR="00BD4FA9">
        <w:t>(10%; 95</w:t>
      </w:r>
      <w:r w:rsidR="00CB6866">
        <w:t>%</w:t>
      </w:r>
      <w:r w:rsidR="00BD4FA9">
        <w:t xml:space="preserve"> </w:t>
      </w:r>
      <w:r w:rsidR="00CB6866">
        <w:t>CI: 8% to 12%</w:t>
      </w:r>
      <w:r w:rsidR="00B355C2">
        <w:t xml:space="preserve">; </w:t>
      </w:r>
      <w:r w:rsidR="00B355C2" w:rsidRPr="00B355C2">
        <w:rPr>
          <w:i/>
        </w:rPr>
        <w:t>I</w:t>
      </w:r>
      <w:r w:rsidR="00B355C2" w:rsidRPr="00B355C2">
        <w:rPr>
          <w:i/>
          <w:vertAlign w:val="superscript"/>
        </w:rPr>
        <w:t>2</w:t>
      </w:r>
      <w:r w:rsidR="00B355C2">
        <w:t>: 81%</w:t>
      </w:r>
      <w:r w:rsidR="00CB6866">
        <w:t>).</w:t>
      </w:r>
      <w:r w:rsidR="00852CD0">
        <w:t xml:space="preserve"> MSAC </w:t>
      </w:r>
      <w:r w:rsidR="00CB6866">
        <w:t xml:space="preserve">also </w:t>
      </w:r>
      <w:r w:rsidR="00852CD0">
        <w:t xml:space="preserve">noted </w:t>
      </w:r>
      <w:r w:rsidR="00CB6866">
        <w:t xml:space="preserve">that, when combining WES and WGS studies, the pooled yields from </w:t>
      </w:r>
      <w:r w:rsidR="00B355C2">
        <w:t xml:space="preserve">nineteen </w:t>
      </w:r>
      <w:r w:rsidR="00CB6866">
        <w:t>hospital-based studies (41%; 95% CI: 38% to 45%</w:t>
      </w:r>
      <w:r w:rsidR="00B355C2">
        <w:t xml:space="preserve">; </w:t>
      </w:r>
      <w:r w:rsidR="00B355C2" w:rsidRPr="00B355C2">
        <w:rPr>
          <w:i/>
        </w:rPr>
        <w:t>I</w:t>
      </w:r>
      <w:r w:rsidR="00B355C2" w:rsidRPr="00B355C2">
        <w:rPr>
          <w:i/>
          <w:vertAlign w:val="superscript"/>
        </w:rPr>
        <w:t>2</w:t>
      </w:r>
      <w:r w:rsidR="00B355C2">
        <w:t>: 50%</w:t>
      </w:r>
      <w:r w:rsidR="00CB6866">
        <w:t xml:space="preserve">), which included the two Australian studies, also mostly generated higher yields than across the </w:t>
      </w:r>
      <w:r w:rsidR="00B355C2">
        <w:t xml:space="preserve">eleven </w:t>
      </w:r>
      <w:r w:rsidR="00CB6866">
        <w:t>studies from reference laboratories (28%; 95% CI: 24% to 32%</w:t>
      </w:r>
      <w:r w:rsidR="00B355C2">
        <w:t xml:space="preserve">; </w:t>
      </w:r>
      <w:r w:rsidR="00B355C2" w:rsidRPr="00B355C2">
        <w:rPr>
          <w:i/>
        </w:rPr>
        <w:t>I</w:t>
      </w:r>
      <w:r w:rsidR="00B355C2" w:rsidRPr="00B355C2">
        <w:rPr>
          <w:i/>
          <w:vertAlign w:val="superscript"/>
        </w:rPr>
        <w:t>2</w:t>
      </w:r>
      <w:r w:rsidR="00B355C2">
        <w:t>: 81%</w:t>
      </w:r>
      <w:r w:rsidR="00CB6866">
        <w:t>)</w:t>
      </w:r>
      <w:r w:rsidR="00852CD0" w:rsidRPr="00766463">
        <w:t>.</w:t>
      </w:r>
      <w:r w:rsidR="00006E82">
        <w:t xml:space="preserve"> MSAC considered there may be publication bias and possible trends in diagnostic yi</w:t>
      </w:r>
      <w:r w:rsidR="009A2BE2">
        <w:t>el</w:t>
      </w:r>
      <w:r w:rsidR="00006E82">
        <w:t>d over time, but substantial unexplained heterogeneity in diagnostic yield overall</w:t>
      </w:r>
      <w:r w:rsidR="00082703">
        <w:t>.</w:t>
      </w:r>
    </w:p>
    <w:p w14:paraId="6B322DAC" w14:textId="77777777" w:rsidR="00852CD0" w:rsidRDefault="00852CD0" w:rsidP="00D14733">
      <w:pPr>
        <w:spacing w:before="240"/>
      </w:pPr>
      <w:r>
        <w:t xml:space="preserve">MSAC noted that improved diagnostic certainty in </w:t>
      </w:r>
      <w:r w:rsidR="00957069">
        <w:t>a</w:t>
      </w:r>
      <w:r>
        <w:t xml:space="preserve"> proband could serve to restore reproductive confidence for the child’s parents. </w:t>
      </w:r>
      <w:r w:rsidR="00225E31">
        <w:t>The</w:t>
      </w:r>
      <w:r>
        <w:t xml:space="preserve"> study by Stark (2018) </w:t>
      </w:r>
      <w:r w:rsidR="00225E31">
        <w:t xml:space="preserve">reported </w:t>
      </w:r>
      <w:r>
        <w:t xml:space="preserve">that </w:t>
      </w:r>
      <w:r w:rsidR="00225E31">
        <w:t xml:space="preserve">fourteen </w:t>
      </w:r>
      <w:r>
        <w:t xml:space="preserve">couples </w:t>
      </w:r>
      <w:r w:rsidRPr="00F908A6">
        <w:t xml:space="preserve">with diagnosed children </w:t>
      </w:r>
      <w:r w:rsidR="00225E31">
        <w:t xml:space="preserve">and two couples with undiagnosed children sought </w:t>
      </w:r>
      <w:r w:rsidRPr="00F908A6">
        <w:t xml:space="preserve">advice from reproductive genetic services. Early identification of couples at high or low risk </w:t>
      </w:r>
      <w:r w:rsidR="00225E31">
        <w:t xml:space="preserve">would </w:t>
      </w:r>
      <w:r w:rsidRPr="00F908A6">
        <w:t xml:space="preserve">allow them to make decisions about accessing reproductive technologies and testing, including prenatal/preimplantation genetic </w:t>
      </w:r>
      <w:r>
        <w:t>diagnosis.</w:t>
      </w:r>
    </w:p>
    <w:p w14:paraId="7F0F0276" w14:textId="495F8C7F" w:rsidR="00852CD0" w:rsidRDefault="00852CD0" w:rsidP="00D14733">
      <w:pPr>
        <w:spacing w:before="240"/>
      </w:pPr>
      <w:r w:rsidRPr="00D04655">
        <w:rPr>
          <w:color w:val="000000"/>
        </w:rPr>
        <w:t>MSAC considered that</w:t>
      </w:r>
      <w:r>
        <w:rPr>
          <w:color w:val="000000"/>
        </w:rPr>
        <w:t>,</w:t>
      </w:r>
      <w:r w:rsidRPr="00D04655">
        <w:rPr>
          <w:color w:val="000000"/>
        </w:rPr>
        <w:t xml:space="preserve"> although reinterrogation analysis </w:t>
      </w:r>
      <w:r w:rsidR="00B57C9E">
        <w:rPr>
          <w:color w:val="000000"/>
        </w:rPr>
        <w:t>in P</w:t>
      </w:r>
      <w:r w:rsidR="00B7051C">
        <w:rPr>
          <w:color w:val="000000"/>
        </w:rPr>
        <w:t xml:space="preserve">opulation 2 </w:t>
      </w:r>
      <w:r>
        <w:rPr>
          <w:color w:val="000000"/>
        </w:rPr>
        <w:t xml:space="preserve">seemed to </w:t>
      </w:r>
      <w:r w:rsidRPr="00D04655">
        <w:rPr>
          <w:color w:val="000000"/>
        </w:rPr>
        <w:t xml:space="preserve">reduce the time to diagnosis, this was based </w:t>
      </w:r>
      <w:r>
        <w:rPr>
          <w:color w:val="000000"/>
        </w:rPr>
        <w:t>on studies with</w:t>
      </w:r>
      <w:r w:rsidRPr="00D04655">
        <w:rPr>
          <w:color w:val="000000"/>
        </w:rPr>
        <w:t xml:space="preserve"> small numbers</w:t>
      </w:r>
      <w:r>
        <w:rPr>
          <w:color w:val="000000"/>
        </w:rPr>
        <w:t>,</w:t>
      </w:r>
      <w:r w:rsidRPr="00D04655">
        <w:rPr>
          <w:color w:val="000000"/>
        </w:rPr>
        <w:t xml:space="preserve"> and no cost or utility information</w:t>
      </w:r>
      <w:r w:rsidR="004C693C">
        <w:rPr>
          <w:color w:val="000000"/>
        </w:rPr>
        <w:t xml:space="preserve"> was provided for this service</w:t>
      </w:r>
      <w:r w:rsidRPr="00D04655">
        <w:rPr>
          <w:color w:val="000000"/>
        </w:rPr>
        <w:t xml:space="preserve">. </w:t>
      </w:r>
      <w:r>
        <w:t xml:space="preserve">MSAC noted that the clinical evidence for this population was derived from two studies (Stark </w:t>
      </w:r>
      <w:r w:rsidRPr="008C62F9">
        <w:t>2018</w:t>
      </w:r>
      <w:r>
        <w:t>,</w:t>
      </w:r>
      <w:r w:rsidRPr="008C62F9">
        <w:t xml:space="preserve"> Nambot 2017). MSAC noted that the diagnostic yield of WES data reanalysis </w:t>
      </w:r>
      <w:r w:rsidR="004C693C">
        <w:t xml:space="preserve">for 29 infants aged 0-2 years </w:t>
      </w:r>
      <w:r w:rsidRPr="008C62F9">
        <w:t xml:space="preserve">was </w:t>
      </w:r>
      <w:r w:rsidR="004C693C">
        <w:t>4 (</w:t>
      </w:r>
      <w:r w:rsidRPr="008C62F9">
        <w:t>1</w:t>
      </w:r>
      <w:r w:rsidR="00486832">
        <w:t>4</w:t>
      </w:r>
      <w:r w:rsidRPr="008C62F9">
        <w:t>%</w:t>
      </w:r>
      <w:r w:rsidR="004C693C">
        <w:t>) further diagnoses</w:t>
      </w:r>
      <w:r w:rsidRPr="008C62F9">
        <w:t xml:space="preserve"> (Stark</w:t>
      </w:r>
      <w:r w:rsidR="004C693C">
        <w:t xml:space="preserve"> 2018</w:t>
      </w:r>
      <w:r w:rsidRPr="008C62F9">
        <w:t xml:space="preserve">). The Nambot </w:t>
      </w:r>
      <w:r w:rsidR="004C693C">
        <w:t xml:space="preserve">2017 </w:t>
      </w:r>
      <w:r w:rsidRPr="008C62F9">
        <w:t xml:space="preserve">study showed a cumulative diagnostic yield </w:t>
      </w:r>
      <w:r w:rsidR="004C693C">
        <w:t xml:space="preserve">across 416 patients </w:t>
      </w:r>
      <w:r w:rsidRPr="008C62F9">
        <w:t xml:space="preserve">of </w:t>
      </w:r>
      <w:r w:rsidR="004C693C">
        <w:t>128 (</w:t>
      </w:r>
      <w:r w:rsidRPr="008C62F9">
        <w:t>3</w:t>
      </w:r>
      <w:r w:rsidR="00486832">
        <w:t>1</w:t>
      </w:r>
      <w:r w:rsidRPr="008C62F9">
        <w:t>%</w:t>
      </w:r>
      <w:r w:rsidR="004C693C">
        <w:t>)</w:t>
      </w:r>
      <w:r w:rsidRPr="008C62F9">
        <w:t xml:space="preserve"> after two reanalyses</w:t>
      </w:r>
      <w:r w:rsidR="004C693C">
        <w:t xml:space="preserve"> over three years</w:t>
      </w:r>
      <w:r w:rsidRPr="008C62F9">
        <w:t>.</w:t>
      </w:r>
      <w:r w:rsidRPr="002A3CF9">
        <w:rPr>
          <w:color w:val="000000"/>
        </w:rPr>
        <w:t xml:space="preserve"> </w:t>
      </w:r>
      <w:r w:rsidRPr="00D04655">
        <w:rPr>
          <w:color w:val="000000"/>
        </w:rPr>
        <w:t xml:space="preserve">MSAC </w:t>
      </w:r>
      <w:r>
        <w:rPr>
          <w:color w:val="000000"/>
        </w:rPr>
        <w:t>queried whether</w:t>
      </w:r>
      <w:r w:rsidRPr="00D04655">
        <w:rPr>
          <w:color w:val="000000"/>
        </w:rPr>
        <w:t xml:space="preserve"> the additional benefit of reanalysis </w:t>
      </w:r>
      <w:r>
        <w:rPr>
          <w:color w:val="000000"/>
        </w:rPr>
        <w:t xml:space="preserve">would </w:t>
      </w:r>
      <w:r w:rsidRPr="00D04655">
        <w:rPr>
          <w:color w:val="000000"/>
        </w:rPr>
        <w:t>narrow over time</w:t>
      </w:r>
      <w:r>
        <w:rPr>
          <w:color w:val="000000"/>
        </w:rPr>
        <w:t xml:space="preserve"> – as initial testing improves, the incremental diagnostic </w:t>
      </w:r>
      <w:r w:rsidR="00B7051C">
        <w:rPr>
          <w:color w:val="000000"/>
        </w:rPr>
        <w:t>yield</w:t>
      </w:r>
      <w:r>
        <w:rPr>
          <w:color w:val="000000"/>
        </w:rPr>
        <w:t xml:space="preserve"> of reinterrogation may plateau or decrease</w:t>
      </w:r>
      <w:r w:rsidRPr="00D04655">
        <w:rPr>
          <w:color w:val="000000"/>
        </w:rPr>
        <w:t xml:space="preserve">. </w:t>
      </w:r>
      <w:r>
        <w:rPr>
          <w:color w:val="000000"/>
        </w:rPr>
        <w:t xml:space="preserve">MSAC </w:t>
      </w:r>
      <w:r w:rsidR="00D14733">
        <w:rPr>
          <w:color w:val="000000"/>
        </w:rPr>
        <w:t xml:space="preserve">also </w:t>
      </w:r>
      <w:r>
        <w:rPr>
          <w:color w:val="000000"/>
        </w:rPr>
        <w:t xml:space="preserve">queried the optimal reanalysis interval and </w:t>
      </w:r>
      <w:r w:rsidR="00303964">
        <w:rPr>
          <w:color w:val="000000"/>
        </w:rPr>
        <w:t xml:space="preserve">overall </w:t>
      </w:r>
      <w:r w:rsidRPr="00D04655">
        <w:rPr>
          <w:color w:val="000000"/>
        </w:rPr>
        <w:t>number of repeats</w:t>
      </w:r>
      <w:r>
        <w:rPr>
          <w:color w:val="000000"/>
        </w:rPr>
        <w:t xml:space="preserve">. </w:t>
      </w:r>
      <w:r>
        <w:t xml:space="preserve">MSAC </w:t>
      </w:r>
      <w:r w:rsidR="00D14733">
        <w:t>noted</w:t>
      </w:r>
      <w:r w:rsidRPr="00092106">
        <w:t xml:space="preserve"> </w:t>
      </w:r>
      <w:r>
        <w:t xml:space="preserve">advice from the applicant that the rate </w:t>
      </w:r>
      <w:r w:rsidRPr="00092106">
        <w:t>of incidental findings during reanalysis of the initial sequence is lower than the initial analysis itself.</w:t>
      </w:r>
    </w:p>
    <w:p w14:paraId="7DDE671E" w14:textId="16DF3A5D" w:rsidR="00852CD0" w:rsidRDefault="00852CD0" w:rsidP="00D14733">
      <w:pPr>
        <w:spacing w:before="240"/>
        <w:rPr>
          <w:color w:val="000000"/>
        </w:rPr>
      </w:pPr>
      <w:r w:rsidRPr="00D04655">
        <w:rPr>
          <w:color w:val="000000"/>
        </w:rPr>
        <w:t xml:space="preserve">MSAC noted that cascade testing </w:t>
      </w:r>
      <w:r w:rsidR="00FE7B20">
        <w:rPr>
          <w:color w:val="000000"/>
        </w:rPr>
        <w:t>in P</w:t>
      </w:r>
      <w:r w:rsidR="00B7051C">
        <w:rPr>
          <w:color w:val="000000"/>
        </w:rPr>
        <w:t xml:space="preserve">opulation 3 </w:t>
      </w:r>
      <w:r w:rsidRPr="00D04655">
        <w:rPr>
          <w:color w:val="000000"/>
        </w:rPr>
        <w:t>is directed by detectio</w:t>
      </w:r>
      <w:r w:rsidR="00D14733">
        <w:rPr>
          <w:color w:val="000000"/>
        </w:rPr>
        <w:t xml:space="preserve">n of a mutation in </w:t>
      </w:r>
      <w:r w:rsidR="00852827">
        <w:rPr>
          <w:color w:val="000000"/>
        </w:rPr>
        <w:t>a</w:t>
      </w:r>
      <w:r w:rsidR="00D14733">
        <w:rPr>
          <w:color w:val="000000"/>
        </w:rPr>
        <w:t xml:space="preserve"> proband</w:t>
      </w:r>
      <w:r w:rsidR="00FE7B20">
        <w:rPr>
          <w:color w:val="000000"/>
        </w:rPr>
        <w:t xml:space="preserve"> identified in P</w:t>
      </w:r>
      <w:r w:rsidR="00303964">
        <w:rPr>
          <w:color w:val="000000"/>
        </w:rPr>
        <w:t>opulations 1 or 2</w:t>
      </w:r>
      <w:r w:rsidR="00D14733">
        <w:rPr>
          <w:color w:val="000000"/>
        </w:rPr>
        <w:t xml:space="preserve">. </w:t>
      </w:r>
      <w:r>
        <w:t xml:space="preserve">MSAC noted clinical evidence for this population was derived from </w:t>
      </w:r>
      <w:r w:rsidR="00B7051C">
        <w:t xml:space="preserve">one </w:t>
      </w:r>
      <w:r>
        <w:t>follow-up study</w:t>
      </w:r>
      <w:r w:rsidR="00B7051C">
        <w:t xml:space="preserve"> (Stark 2018)</w:t>
      </w:r>
      <w:r>
        <w:t xml:space="preserve">. </w:t>
      </w:r>
      <w:r w:rsidRPr="00140C63">
        <w:t>Of the 88 eligible first-degree relatives of infants</w:t>
      </w:r>
      <w:r w:rsidR="00303964">
        <w:t xml:space="preserve"> aged 0-2 years</w:t>
      </w:r>
      <w:r w:rsidRPr="00140C63">
        <w:t xml:space="preserve"> diagnosed by WES (infants in </w:t>
      </w:r>
      <w:r w:rsidR="00225E31">
        <w:t xml:space="preserve">the </w:t>
      </w:r>
      <w:r w:rsidRPr="00140C63">
        <w:t>Stark 2016 study), 79 underwent cascade testing</w:t>
      </w:r>
      <w:r>
        <w:t>,</w:t>
      </w:r>
      <w:r w:rsidRPr="00140C63">
        <w:t xml:space="preserve"> </w:t>
      </w:r>
      <w:r>
        <w:t>o</w:t>
      </w:r>
      <w:r w:rsidRPr="00140C63">
        <w:t>f</w:t>
      </w:r>
      <w:r>
        <w:t xml:space="preserve"> whom</w:t>
      </w:r>
      <w:r w:rsidRPr="00140C63">
        <w:t xml:space="preserve"> 12 received a molecular diagnosis (compared </w:t>
      </w:r>
      <w:r>
        <w:t>with</w:t>
      </w:r>
      <w:r w:rsidRPr="00140C63">
        <w:t xml:space="preserve"> 5 diagnosed by standard testing</w:t>
      </w:r>
      <w:r>
        <w:t xml:space="preserve">), a </w:t>
      </w:r>
      <w:r w:rsidRPr="00140C63">
        <w:t xml:space="preserve">diagnostic yield of 15%. </w:t>
      </w:r>
      <w:r>
        <w:t>O</w:t>
      </w:r>
      <w:r w:rsidRPr="00140C63">
        <w:t>f the 12</w:t>
      </w:r>
      <w:r w:rsidR="00D14733">
        <w:t> </w:t>
      </w:r>
      <w:r>
        <w:t xml:space="preserve">diagnosed, 3 </w:t>
      </w:r>
      <w:r w:rsidR="00C93DE1">
        <w:t xml:space="preserve">(25%) </w:t>
      </w:r>
      <w:r>
        <w:t xml:space="preserve">had a change in management. However, MSAC noted the low confidence in this data due to the small numbers in this study. </w:t>
      </w:r>
      <w:r w:rsidRPr="00D04655">
        <w:rPr>
          <w:color w:val="000000"/>
        </w:rPr>
        <w:t xml:space="preserve">MSAC acknowledged that </w:t>
      </w:r>
      <w:r w:rsidR="00DA2BC6">
        <w:rPr>
          <w:color w:val="000000"/>
        </w:rPr>
        <w:t xml:space="preserve">a molecular </w:t>
      </w:r>
      <w:r w:rsidRPr="00D04655">
        <w:rPr>
          <w:color w:val="000000"/>
        </w:rPr>
        <w:t>diagnosis appears to influence genetic counselling in future pregnancies.</w:t>
      </w:r>
    </w:p>
    <w:p w14:paraId="5826ECA6" w14:textId="77777777" w:rsidR="00852CD0" w:rsidRDefault="00852CD0" w:rsidP="00D14733">
      <w:pPr>
        <w:spacing w:before="240"/>
      </w:pPr>
      <w:r>
        <w:t>MSAC noted feedback from G</w:t>
      </w:r>
      <w:r w:rsidRPr="009B0100">
        <w:t xml:space="preserve">enetics and </w:t>
      </w:r>
      <w:r>
        <w:t>R</w:t>
      </w:r>
      <w:r w:rsidRPr="009B0100">
        <w:t xml:space="preserve">are </w:t>
      </w:r>
      <w:r>
        <w:t>D</w:t>
      </w:r>
      <w:r w:rsidRPr="009B0100">
        <w:t xml:space="preserve">iseases </w:t>
      </w:r>
      <w:r>
        <w:t>N</w:t>
      </w:r>
      <w:r w:rsidRPr="009B0100">
        <w:t xml:space="preserve">etwork </w:t>
      </w:r>
      <w:r>
        <w:t xml:space="preserve">(GARDN) and </w:t>
      </w:r>
      <w:r w:rsidRPr="00B364D4">
        <w:t xml:space="preserve">Predisposition Genetic Testing Working Group </w:t>
      </w:r>
      <w:r>
        <w:t>(PGTWG) expressing concern about the potential impact of increasing numbers of diagnoses on the clinical genetics workforce capacity.</w:t>
      </w:r>
    </w:p>
    <w:p w14:paraId="685174CB" w14:textId="77777777" w:rsidR="00852CD0" w:rsidRDefault="00852CD0" w:rsidP="00D14733">
      <w:pPr>
        <w:spacing w:before="240"/>
      </w:pPr>
      <w:r>
        <w:t xml:space="preserve">MSAC </w:t>
      </w:r>
      <w:r w:rsidR="00D14733">
        <w:t>considered there were</w:t>
      </w:r>
      <w:r>
        <w:t xml:space="preserve"> a number of issues with the economic model:</w:t>
      </w:r>
    </w:p>
    <w:p w14:paraId="17FA7D72" w14:textId="77777777" w:rsidR="00852CD0" w:rsidRDefault="00852CD0" w:rsidP="00D14733">
      <w:pPr>
        <w:pStyle w:val="ListParagraph"/>
        <w:numPr>
          <w:ilvl w:val="0"/>
          <w:numId w:val="32"/>
        </w:numPr>
        <w:spacing w:after="160"/>
      </w:pPr>
      <w:r>
        <w:t>no patient-reported outcomes were included</w:t>
      </w:r>
    </w:p>
    <w:p w14:paraId="7FAB2EE4" w14:textId="77777777" w:rsidR="00852CD0" w:rsidRDefault="00852CD0" w:rsidP="00D14733">
      <w:pPr>
        <w:pStyle w:val="ListParagraph"/>
        <w:numPr>
          <w:ilvl w:val="0"/>
          <w:numId w:val="32"/>
        </w:numPr>
        <w:spacing w:after="160"/>
      </w:pPr>
      <w:r>
        <w:t xml:space="preserve">the utility gain from SoC </w:t>
      </w:r>
      <w:r w:rsidR="00DF2D4A">
        <w:t xml:space="preserve">diagnoses </w:t>
      </w:r>
      <w:r>
        <w:t>was assumed to be zero</w:t>
      </w:r>
      <w:r w:rsidR="00DF2D4A">
        <w:t xml:space="preserve"> for all patients, whereas a utility gain was assigned to a proportion of patients with WES-based diagnoses</w:t>
      </w:r>
    </w:p>
    <w:p w14:paraId="6532CEAC" w14:textId="77777777" w:rsidR="00852CD0" w:rsidRDefault="00852CD0" w:rsidP="00D14733">
      <w:pPr>
        <w:pStyle w:val="ListParagraph"/>
        <w:numPr>
          <w:ilvl w:val="0"/>
          <w:numId w:val="32"/>
        </w:numPr>
        <w:spacing w:after="160"/>
      </w:pPr>
      <w:r>
        <w:t>costs of counselling and three-person review of results were not included</w:t>
      </w:r>
    </w:p>
    <w:p w14:paraId="692F8169" w14:textId="77777777" w:rsidR="00852CD0" w:rsidRDefault="00852CD0" w:rsidP="00D14733">
      <w:pPr>
        <w:pStyle w:val="ListParagraph"/>
        <w:numPr>
          <w:ilvl w:val="0"/>
          <w:numId w:val="32"/>
        </w:numPr>
        <w:spacing w:after="160"/>
      </w:pPr>
      <w:r>
        <w:t xml:space="preserve">disutility associated with these conditions may have been underestimated </w:t>
      </w:r>
    </w:p>
    <w:p w14:paraId="5E848CAF" w14:textId="77777777" w:rsidR="002B2C74" w:rsidRDefault="00852CD0" w:rsidP="00D14733">
      <w:pPr>
        <w:pStyle w:val="ListParagraph"/>
        <w:numPr>
          <w:ilvl w:val="0"/>
          <w:numId w:val="32"/>
        </w:numPr>
        <w:spacing w:after="160"/>
      </w:pPr>
      <w:r>
        <w:t>costs of extra treatment associated wi</w:t>
      </w:r>
      <w:r w:rsidR="00852827">
        <w:t>th diagnosis were not included</w:t>
      </w:r>
    </w:p>
    <w:p w14:paraId="4B12C13B" w14:textId="6B92632D" w:rsidR="00852CD0" w:rsidRPr="009B1A8E" w:rsidRDefault="002B2C74" w:rsidP="00864695">
      <w:pPr>
        <w:pStyle w:val="ListParagraph"/>
        <w:numPr>
          <w:ilvl w:val="0"/>
          <w:numId w:val="32"/>
        </w:numPr>
        <w:spacing w:after="160"/>
      </w:pPr>
      <w:r>
        <w:lastRenderedPageBreak/>
        <w:t xml:space="preserve">the costs and timing </w:t>
      </w:r>
      <w:r w:rsidR="00C06487">
        <w:t xml:space="preserve">and proportions of patients requiring </w:t>
      </w:r>
      <w:r>
        <w:t>reinterrogation was not clear</w:t>
      </w:r>
      <w:r w:rsidR="00C06487">
        <w:t xml:space="preserve"> </w:t>
      </w:r>
      <w:r w:rsidR="00986E7B">
        <w:t xml:space="preserve">enough </w:t>
      </w:r>
      <w:r w:rsidR="00C06487">
        <w:t xml:space="preserve">to be assured that Population 1 </w:t>
      </w:r>
      <w:r w:rsidR="00986E7B">
        <w:t>correctly</w:t>
      </w:r>
      <w:r w:rsidR="00C06487">
        <w:t xml:space="preserve"> included Population 2</w:t>
      </w:r>
      <w:r w:rsidR="00852827">
        <w:t>.</w:t>
      </w:r>
    </w:p>
    <w:p w14:paraId="298BD013" w14:textId="67DB255D" w:rsidR="00570BB4" w:rsidRDefault="00570BB4" w:rsidP="00D14733">
      <w:pPr>
        <w:spacing w:before="240"/>
      </w:pPr>
      <w:r>
        <w:t>MSAC summarised the following additional issues</w:t>
      </w:r>
      <w:r w:rsidR="00BB6624">
        <w:t xml:space="preserve">, suggesting that the model was biased </w:t>
      </w:r>
      <w:r w:rsidR="002753C6">
        <w:t xml:space="preserve">in </w:t>
      </w:r>
      <w:r w:rsidR="00BB6624">
        <w:t>favour of the requested listings</w:t>
      </w:r>
      <w:r>
        <w:t>:</w:t>
      </w:r>
    </w:p>
    <w:p w14:paraId="73BA21FF" w14:textId="719DB881" w:rsidR="00570BB4" w:rsidRDefault="00570BB4" w:rsidP="00570BB4">
      <w:pPr>
        <w:pStyle w:val="ListParagraph"/>
        <w:numPr>
          <w:ilvl w:val="0"/>
          <w:numId w:val="35"/>
        </w:numPr>
        <w:ind w:left="714" w:hanging="357"/>
      </w:pPr>
      <w:r>
        <w:t>the analysis was based on single-centre Australian data, with 30 of the referred cohort considered ineligible and a further nine who</w:t>
      </w:r>
      <w:r w:rsidR="00B57C9E">
        <w:t>se</w:t>
      </w:r>
      <w:r>
        <w:t xml:space="preserve"> families declined to give consent, leaving an initial sample size of 80</w:t>
      </w:r>
      <w:r w:rsidR="00BB6624">
        <w:t xml:space="preserve"> children, of whom 46 received a WES-based molecular diagnosis, of whom fifteen had a change in clinical management, eleven of whom would not have had a diagnosis with SoC</w:t>
      </w:r>
    </w:p>
    <w:p w14:paraId="46B71D36" w14:textId="77777777" w:rsidR="00BB6624" w:rsidRDefault="00BB6624" w:rsidP="00570BB4">
      <w:pPr>
        <w:pStyle w:val="ListParagraph"/>
        <w:numPr>
          <w:ilvl w:val="0"/>
          <w:numId w:val="35"/>
        </w:numPr>
        <w:ind w:left="714" w:hanging="357"/>
      </w:pPr>
      <w:r>
        <w:t>the risk of bias was high from the non-comparative, non-blinded case series</w:t>
      </w:r>
    </w:p>
    <w:p w14:paraId="79E877E8" w14:textId="77777777" w:rsidR="00BB6624" w:rsidRDefault="00BB6624" w:rsidP="00570BB4">
      <w:pPr>
        <w:pStyle w:val="ListParagraph"/>
        <w:numPr>
          <w:ilvl w:val="0"/>
          <w:numId w:val="35"/>
        </w:numPr>
        <w:ind w:left="714" w:hanging="357"/>
      </w:pPr>
      <w:r>
        <w:t>the imprecise results relied on were inconsistent with other sources of evidence, which had a risk of publication bias</w:t>
      </w:r>
    </w:p>
    <w:p w14:paraId="664CF092" w14:textId="5D3543C4" w:rsidR="00BB6624" w:rsidRDefault="00BB6624" w:rsidP="00570BB4">
      <w:pPr>
        <w:pStyle w:val="ListParagraph"/>
        <w:numPr>
          <w:ilvl w:val="0"/>
          <w:numId w:val="35"/>
        </w:numPr>
        <w:ind w:left="714" w:hanging="357"/>
      </w:pPr>
      <w:r>
        <w:t>there was limited transferability to older children and to a non-quaternary hospital setting</w:t>
      </w:r>
      <w:r w:rsidR="00112A19">
        <w:t>, noting that the test may be requested most by general paediatricians</w:t>
      </w:r>
    </w:p>
    <w:p w14:paraId="30B60375" w14:textId="77777777" w:rsidR="00BB6624" w:rsidRDefault="00BB6624" w:rsidP="00570BB4">
      <w:pPr>
        <w:pStyle w:val="ListParagraph"/>
        <w:numPr>
          <w:ilvl w:val="0"/>
          <w:numId w:val="35"/>
        </w:numPr>
        <w:ind w:left="714" w:hanging="357"/>
      </w:pPr>
      <w:r>
        <w:t>overall, there was low confidence in the effects of the changes in management to improve health outcomes, noting few of the diagnosed c</w:t>
      </w:r>
      <w:r w:rsidR="00DF2D4A">
        <w:t>hildhood syndromes</w:t>
      </w:r>
      <w:r>
        <w:t xml:space="preserve"> have existing effective treatments.</w:t>
      </w:r>
    </w:p>
    <w:p w14:paraId="51AF60FE" w14:textId="7C788BED" w:rsidR="00852CD0" w:rsidRDefault="00852CD0" w:rsidP="00D14733">
      <w:pPr>
        <w:spacing w:before="240"/>
      </w:pPr>
      <w:r>
        <w:t>MSAC noted that cost-effectiveness and cost-utili</w:t>
      </w:r>
      <w:r w:rsidR="00FE7B20">
        <w:t>ty analyses were performed for P</w:t>
      </w:r>
      <w:r>
        <w:t>opulations 1 and 3 combined</w:t>
      </w:r>
      <w:r w:rsidR="00D14733">
        <w:t>,</w:t>
      </w:r>
      <w:r>
        <w:t xml:space="preserve"> </w:t>
      </w:r>
      <w:r w:rsidR="00FE7B20">
        <w:t>rather than P</w:t>
      </w:r>
      <w:r w:rsidR="002B2C74">
        <w:t>opulation 3 being assessed as an in</w:t>
      </w:r>
      <w:r w:rsidR="00FE7B20">
        <w:t>crement over Population 1 (and P</w:t>
      </w:r>
      <w:r w:rsidR="002B2C74">
        <w:t xml:space="preserve">opulation 2), </w:t>
      </w:r>
      <w:r>
        <w:t xml:space="preserve">with an ICER of $7254 per quality adjusted life year (QALY) gained. MSAC noted that the key drivers of the economic model were </w:t>
      </w:r>
      <w:r w:rsidR="00A94CAC">
        <w:t xml:space="preserve">reported to be </w:t>
      </w:r>
      <w:r>
        <w:t>the time ho</w:t>
      </w:r>
      <w:r w:rsidR="00D14733">
        <w:t>rizon, the cost of standard care</w:t>
      </w:r>
      <w:r>
        <w:t>, the cost of WEA, the number of first-degree relatives being tested</w:t>
      </w:r>
      <w:r w:rsidR="00A94CAC">
        <w:t xml:space="preserve"> per proband</w:t>
      </w:r>
      <w:r>
        <w:t>, and the effect of changes in clinical management</w:t>
      </w:r>
      <w:r w:rsidR="00A94CAC">
        <w:t xml:space="preserve"> on health-related quality of life</w:t>
      </w:r>
      <w:r>
        <w:t xml:space="preserve">. MSAC queried the </w:t>
      </w:r>
      <w:r w:rsidR="00DF2D4A">
        <w:t xml:space="preserve">implausible </w:t>
      </w:r>
      <w:r>
        <w:t>insensitivity of the ICER to the major drivers of cost</w:t>
      </w:r>
      <w:r w:rsidR="00E214D0">
        <w:t>,</w:t>
      </w:r>
      <w:r>
        <w:t xml:space="preserve"> change in clinical management</w:t>
      </w:r>
      <w:r w:rsidR="00006E82">
        <w:t>, time to diagnosis with standard care,</w:t>
      </w:r>
      <w:r w:rsidR="00E214D0">
        <w:t xml:space="preserve"> and incremental diagnostic yield</w:t>
      </w:r>
      <w:r>
        <w:t xml:space="preserve">, which suggested that model inputs may have been incorrectly specified or not included. </w:t>
      </w:r>
      <w:r w:rsidRPr="00803DF0">
        <w:t>MSAC noted that the applicant is working on a within-trial ICER including a 20-year prediction</w:t>
      </w:r>
      <w:r>
        <w:t>, but</w:t>
      </w:r>
      <w:r w:rsidRPr="00803DF0">
        <w:t xml:space="preserve"> this was not available at the time of MSAC consideration</w:t>
      </w:r>
      <w:r>
        <w:t>.</w:t>
      </w:r>
    </w:p>
    <w:p w14:paraId="5028C0AC" w14:textId="382C9DB7" w:rsidR="00D14733" w:rsidRDefault="00852827" w:rsidP="00D14733">
      <w:pPr>
        <w:spacing w:before="240"/>
      </w:pPr>
      <w:r w:rsidRPr="009F3918">
        <w:t>MSAC considered that the conservative assumptions re</w:t>
      </w:r>
      <w:r>
        <w:t>garding</w:t>
      </w:r>
      <w:r w:rsidRPr="009F3918">
        <w:t xml:space="preserve"> usage could create substantial financial risk.</w:t>
      </w:r>
      <w:r>
        <w:t xml:space="preserve"> </w:t>
      </w:r>
      <w:r w:rsidR="00D14733">
        <w:t xml:space="preserve">MSAC </w:t>
      </w:r>
      <w:r>
        <w:t xml:space="preserve">further considered </w:t>
      </w:r>
      <w:r w:rsidR="00D14733">
        <w:t xml:space="preserve">that, due to the heterogeneity of </w:t>
      </w:r>
      <w:r w:rsidR="005E1BE3">
        <w:t xml:space="preserve">clinical and </w:t>
      </w:r>
      <w:r w:rsidR="00D14733">
        <w:t xml:space="preserve">genetic conditions, </w:t>
      </w:r>
      <w:r w:rsidR="002E3D87">
        <w:t>including those detectable through WES but outside the intent of the application,</w:t>
      </w:r>
      <w:r w:rsidR="00D14733">
        <w:t xml:space="preserve"> </w:t>
      </w:r>
      <w:r w:rsidR="002E3D87">
        <w:t>patient</w:t>
      </w:r>
      <w:r w:rsidR="00082703">
        <w:t xml:space="preserve"> number</w:t>
      </w:r>
      <w:r w:rsidR="002E3D87">
        <w:t xml:space="preserve">s eligible for testing </w:t>
      </w:r>
      <w:r w:rsidR="00D14733">
        <w:t>are highly uncertain. The population estimates in the application were based on data from a single centre, and it is not clear how patient numbers</w:t>
      </w:r>
      <w:r w:rsidR="003B5330">
        <w:t xml:space="preserve"> will change in the future</w:t>
      </w:r>
      <w:r w:rsidR="00D14733">
        <w:t>. MSAC noted that there may be cost savings resulting from reduced testing in patients who receive a diagnosis with WEA, compared with standard of care</w:t>
      </w:r>
      <w:r w:rsidR="00986E7B">
        <w:t>, but such savings would be outweighed if usage of WES testing extended beyond the intended population</w:t>
      </w:r>
      <w:r w:rsidR="00D14733">
        <w:t>.</w:t>
      </w:r>
    </w:p>
    <w:p w14:paraId="46745C81" w14:textId="77777777" w:rsidR="00D14733" w:rsidRDefault="00D14733" w:rsidP="00D14733">
      <w:pPr>
        <w:spacing w:before="240"/>
      </w:pPr>
      <w:r>
        <w:t xml:space="preserve">MSAC noted the proposed fees were </w:t>
      </w:r>
      <w:r w:rsidR="00634F9C">
        <w:t xml:space="preserve">high and not clearly justified at </w:t>
      </w:r>
      <w:r>
        <w:t xml:space="preserve">$2400 for initial testing and $400 for cascade testing. MSAC </w:t>
      </w:r>
      <w:r w:rsidR="00803AAC">
        <w:t>considered that the</w:t>
      </w:r>
      <w:r>
        <w:t xml:space="preserve"> out-of-pockets costs </w:t>
      </w:r>
      <w:r w:rsidR="00A94CAC">
        <w:t xml:space="preserve">would still be high </w:t>
      </w:r>
      <w:r w:rsidR="00803AAC">
        <w:t>even with MBS listing</w:t>
      </w:r>
      <w:r w:rsidR="00A94CAC">
        <w:t xml:space="preserve"> assum</w:t>
      </w:r>
      <w:r w:rsidR="00986E7B">
        <w:t>ing</w:t>
      </w:r>
      <w:r w:rsidR="00A94CAC">
        <w:t xml:space="preserve"> that the service would not be bulk billed</w:t>
      </w:r>
      <w:r>
        <w:t xml:space="preserve">. MSAC </w:t>
      </w:r>
      <w:r w:rsidR="00A94CAC">
        <w:t xml:space="preserve">also </w:t>
      </w:r>
      <w:r>
        <w:t xml:space="preserve">noted that </w:t>
      </w:r>
      <w:r w:rsidR="00A94CAC">
        <w:t xml:space="preserve">the </w:t>
      </w:r>
      <w:r>
        <w:t>re</w:t>
      </w:r>
      <w:r w:rsidR="00A94CAC">
        <w:t xml:space="preserve">interrogation </w:t>
      </w:r>
      <w:r>
        <w:t xml:space="preserve">analysis </w:t>
      </w:r>
      <w:r w:rsidR="000C69FB">
        <w:t>was proposed to</w:t>
      </w:r>
      <w:r>
        <w:t xml:space="preserve"> include</w:t>
      </w:r>
      <w:r w:rsidR="000C69FB">
        <w:t xml:space="preserve"> the</w:t>
      </w:r>
      <w:r>
        <w:t xml:space="preserve"> costs for pathology and other services, </w:t>
      </w:r>
      <w:r w:rsidR="000C69FB">
        <w:t>but</w:t>
      </w:r>
      <w:r>
        <w:t xml:space="preserve"> queried what the real </w:t>
      </w:r>
      <w:r w:rsidR="00A94CAC">
        <w:t xml:space="preserve">reinterrogation </w:t>
      </w:r>
      <w:r>
        <w:t xml:space="preserve">analysis costs </w:t>
      </w:r>
      <w:r w:rsidR="00A94CAC">
        <w:t>following an earlier</w:t>
      </w:r>
      <w:r>
        <w:t xml:space="preserve"> negative test would be given automation and likely pre-loaded data.</w:t>
      </w:r>
      <w:r w:rsidR="00852827" w:rsidRPr="00852827">
        <w:t xml:space="preserve"> </w:t>
      </w:r>
      <w:r w:rsidR="00852827">
        <w:t>MSAC noted there was a wide variation in WEA costs between studies</w:t>
      </w:r>
      <w:r w:rsidR="0008731B">
        <w:t>,</w:t>
      </w:r>
      <w:r w:rsidR="00852827">
        <w:t xml:space="preserve"> but no clear drop over time (Schwarze 2018).</w:t>
      </w:r>
    </w:p>
    <w:p w14:paraId="790D886B" w14:textId="1D32E448" w:rsidR="00AC4727" w:rsidRDefault="004C5A49" w:rsidP="00AC4727">
      <w:pPr>
        <w:spacing w:before="240"/>
        <w:rPr>
          <w:color w:val="000000"/>
        </w:rPr>
      </w:pPr>
      <w:r>
        <w:rPr>
          <w:color w:val="000000"/>
        </w:rPr>
        <w:t xml:space="preserve">In its deliberations, MSAC agreed with the applicant’s approach to combine the childhood syndromes </w:t>
      </w:r>
      <w:r w:rsidR="002753C6">
        <w:rPr>
          <w:color w:val="000000"/>
        </w:rPr>
        <w:t>rather than undertake</w:t>
      </w:r>
      <w:r>
        <w:rPr>
          <w:color w:val="000000"/>
        </w:rPr>
        <w:t xml:space="preserve"> a disease by disease </w:t>
      </w:r>
      <w:r w:rsidR="00F61334">
        <w:rPr>
          <w:color w:val="000000"/>
        </w:rPr>
        <w:t xml:space="preserve">approach. </w:t>
      </w:r>
      <w:r w:rsidR="00AC4727" w:rsidRPr="00D04655">
        <w:rPr>
          <w:color w:val="000000"/>
        </w:rPr>
        <w:t>MSAC acknowledged the high</w:t>
      </w:r>
      <w:r w:rsidR="00920EF2">
        <w:rPr>
          <w:color w:val="000000"/>
        </w:rPr>
        <w:t>, but non-urgent</w:t>
      </w:r>
      <w:r w:rsidR="00AC4727" w:rsidRPr="00D04655">
        <w:rPr>
          <w:color w:val="000000"/>
        </w:rPr>
        <w:t xml:space="preserve"> clinical need for testing to diagnose childhood syndromes</w:t>
      </w:r>
      <w:r w:rsidR="00DB747D">
        <w:rPr>
          <w:color w:val="000000"/>
        </w:rPr>
        <w:t xml:space="preserve">, and the </w:t>
      </w:r>
      <w:r w:rsidR="00DB747D">
        <w:rPr>
          <w:color w:val="000000"/>
        </w:rPr>
        <w:lastRenderedPageBreak/>
        <w:t xml:space="preserve">inequity of access to WES-based testing currently across </w:t>
      </w:r>
      <w:r w:rsidR="00920EF2">
        <w:rPr>
          <w:color w:val="000000"/>
        </w:rPr>
        <w:t xml:space="preserve">states in </w:t>
      </w:r>
      <w:r w:rsidR="00DB747D">
        <w:rPr>
          <w:color w:val="000000"/>
        </w:rPr>
        <w:t>Australia</w:t>
      </w:r>
      <w:r w:rsidR="008B22C9">
        <w:rPr>
          <w:color w:val="000000"/>
        </w:rPr>
        <w:t xml:space="preserve"> with varying controls on access</w:t>
      </w:r>
      <w:r w:rsidR="00AC4727" w:rsidRPr="00D04655">
        <w:rPr>
          <w:color w:val="000000"/>
        </w:rPr>
        <w:t>. MSAC also acknowledged that</w:t>
      </w:r>
      <w:r w:rsidR="00112A19">
        <w:rPr>
          <w:color w:val="000000"/>
        </w:rPr>
        <w:t>,</w:t>
      </w:r>
      <w:r w:rsidR="00112A19" w:rsidRPr="00112A19">
        <w:t xml:space="preserve"> </w:t>
      </w:r>
      <w:r w:rsidR="00112A19" w:rsidRPr="00FB695A">
        <w:t xml:space="preserve">compared with </w:t>
      </w:r>
      <w:r w:rsidR="00112A19">
        <w:t>standard of care (</w:t>
      </w:r>
      <w:r w:rsidR="00112A19" w:rsidRPr="00FB695A">
        <w:t>SoC</w:t>
      </w:r>
      <w:r w:rsidR="00112A19">
        <w:t>),</w:t>
      </w:r>
      <w:r w:rsidR="00AC4727" w:rsidRPr="00D04655">
        <w:rPr>
          <w:color w:val="000000"/>
        </w:rPr>
        <w:t xml:space="preserve"> use of WEA </w:t>
      </w:r>
      <w:r w:rsidR="00DF2D4A">
        <w:rPr>
          <w:color w:val="000000"/>
        </w:rPr>
        <w:t xml:space="preserve">improved diagnostic yield, </w:t>
      </w:r>
      <w:r w:rsidR="00AC4727">
        <w:rPr>
          <w:color w:val="000000"/>
        </w:rPr>
        <w:t>appeared to shorten the time to diagnosis</w:t>
      </w:r>
      <w:r w:rsidR="00DF2D4A">
        <w:rPr>
          <w:color w:val="000000"/>
        </w:rPr>
        <w:t xml:space="preserve"> </w:t>
      </w:r>
      <w:r w:rsidR="002753C6">
        <w:rPr>
          <w:color w:val="000000"/>
        </w:rPr>
        <w:t xml:space="preserve">(although </w:t>
      </w:r>
      <w:r w:rsidR="003B5330">
        <w:rPr>
          <w:color w:val="000000"/>
        </w:rPr>
        <w:t xml:space="preserve">the </w:t>
      </w:r>
      <w:r w:rsidR="002753C6">
        <w:rPr>
          <w:color w:val="000000"/>
        </w:rPr>
        <w:t xml:space="preserve">amount was </w:t>
      </w:r>
      <w:r w:rsidR="00DF2D4A">
        <w:rPr>
          <w:color w:val="000000"/>
        </w:rPr>
        <w:t>not quantified</w:t>
      </w:r>
      <w:r w:rsidR="002753C6">
        <w:rPr>
          <w:color w:val="000000"/>
        </w:rPr>
        <w:t>) and</w:t>
      </w:r>
      <w:r w:rsidR="002753C6" w:rsidRPr="00D04655">
        <w:rPr>
          <w:color w:val="000000"/>
        </w:rPr>
        <w:t xml:space="preserve"> </w:t>
      </w:r>
      <w:r w:rsidR="00AC4727" w:rsidRPr="00D04655">
        <w:rPr>
          <w:color w:val="000000"/>
        </w:rPr>
        <w:t>lead to changes in patient management</w:t>
      </w:r>
      <w:r w:rsidR="00DF2D4A">
        <w:rPr>
          <w:color w:val="000000"/>
        </w:rPr>
        <w:t xml:space="preserve"> in perhaps 5% more children in relative terms</w:t>
      </w:r>
      <w:r w:rsidR="002753C6">
        <w:rPr>
          <w:color w:val="000000"/>
        </w:rPr>
        <w:t xml:space="preserve">. As a consequence of these effects the patient may have access to interventions which provide </w:t>
      </w:r>
      <w:r w:rsidR="00DF2D4A">
        <w:rPr>
          <w:color w:val="000000"/>
        </w:rPr>
        <w:t>better care</w:t>
      </w:r>
      <w:r w:rsidR="002753C6">
        <w:rPr>
          <w:color w:val="000000"/>
        </w:rPr>
        <w:t xml:space="preserve"> and this may translate into </w:t>
      </w:r>
      <w:r w:rsidR="00AC4727" w:rsidRPr="00FB695A">
        <w:t>patient and family</w:t>
      </w:r>
      <w:r w:rsidR="00082703">
        <w:t xml:space="preserve"> </w:t>
      </w:r>
      <w:r w:rsidR="00AC4727" w:rsidRPr="00FB695A">
        <w:t>relevant benefits</w:t>
      </w:r>
      <w:r w:rsidR="00AC4727">
        <w:t xml:space="preserve">. </w:t>
      </w:r>
      <w:r w:rsidR="00C5687B">
        <w:t xml:space="preserve">MSAC noted </w:t>
      </w:r>
      <w:r w:rsidR="00112A19">
        <w:t>there may also be psychological harm through the identification of variations of unknown significance and the possibility of overdiagnosis and overtreatment</w:t>
      </w:r>
      <w:r w:rsidR="00AC4727">
        <w:rPr>
          <w:color w:val="000000"/>
        </w:rPr>
        <w:t xml:space="preserve">. </w:t>
      </w:r>
      <w:r w:rsidR="00112A19">
        <w:rPr>
          <w:color w:val="000000"/>
        </w:rPr>
        <w:t>In addition</w:t>
      </w:r>
      <w:r w:rsidR="00AC4727">
        <w:rPr>
          <w:color w:val="000000"/>
        </w:rPr>
        <w:t xml:space="preserve">, </w:t>
      </w:r>
      <w:r w:rsidR="00112A19">
        <w:rPr>
          <w:color w:val="000000"/>
        </w:rPr>
        <w:t xml:space="preserve">the main </w:t>
      </w:r>
      <w:r w:rsidR="00AC4727" w:rsidRPr="00D04655">
        <w:rPr>
          <w:color w:val="000000"/>
        </w:rPr>
        <w:t xml:space="preserve">evidence </w:t>
      </w:r>
      <w:r w:rsidR="00112A19">
        <w:rPr>
          <w:color w:val="000000"/>
        </w:rPr>
        <w:t xml:space="preserve">relied on </w:t>
      </w:r>
      <w:r w:rsidR="00112A19" w:rsidRPr="00D04655">
        <w:rPr>
          <w:color w:val="000000"/>
        </w:rPr>
        <w:t xml:space="preserve">utility and change data </w:t>
      </w:r>
      <w:r w:rsidR="00112A19">
        <w:rPr>
          <w:color w:val="000000"/>
        </w:rPr>
        <w:t>in the context of wide genetic and clinical heterogeneity</w:t>
      </w:r>
      <w:r w:rsidR="00112A19" w:rsidRPr="00D04655">
        <w:rPr>
          <w:color w:val="000000"/>
        </w:rPr>
        <w:t xml:space="preserve"> </w:t>
      </w:r>
      <w:r w:rsidR="00AC4727" w:rsidRPr="00D04655">
        <w:rPr>
          <w:color w:val="000000"/>
        </w:rPr>
        <w:t xml:space="preserve">was derived from limited Australian data from a </w:t>
      </w:r>
      <w:r w:rsidR="00112A19">
        <w:rPr>
          <w:color w:val="000000"/>
        </w:rPr>
        <w:t xml:space="preserve">small </w:t>
      </w:r>
      <w:r w:rsidR="00AC4727" w:rsidRPr="00D04655">
        <w:rPr>
          <w:color w:val="000000"/>
        </w:rPr>
        <w:t>single</w:t>
      </w:r>
      <w:r w:rsidR="00112A19">
        <w:rPr>
          <w:color w:val="000000"/>
        </w:rPr>
        <w:t>-</w:t>
      </w:r>
      <w:r w:rsidR="00AC4727" w:rsidRPr="00D04655">
        <w:rPr>
          <w:color w:val="000000"/>
        </w:rPr>
        <w:t>centre</w:t>
      </w:r>
      <w:r w:rsidR="00112A19">
        <w:rPr>
          <w:color w:val="000000"/>
        </w:rPr>
        <w:t xml:space="preserve"> study</w:t>
      </w:r>
      <w:r w:rsidR="00AC4727" w:rsidRPr="00D04655">
        <w:rPr>
          <w:color w:val="000000"/>
        </w:rPr>
        <w:t xml:space="preserve">, with limited comparisons. MSAC also expressed concern regarding implementation issues due to </w:t>
      </w:r>
      <w:r w:rsidR="00AC4727">
        <w:rPr>
          <w:color w:val="000000"/>
        </w:rPr>
        <w:t>the</w:t>
      </w:r>
      <w:r w:rsidR="00AC4727" w:rsidRPr="00D04655">
        <w:rPr>
          <w:color w:val="000000"/>
        </w:rPr>
        <w:t xml:space="preserve"> high likelihood of leakage.</w:t>
      </w:r>
    </w:p>
    <w:p w14:paraId="17375C9F" w14:textId="77777777" w:rsidR="00852CD0" w:rsidRDefault="00852CD0" w:rsidP="00AC4727">
      <w:pPr>
        <w:spacing w:before="240"/>
      </w:pPr>
      <w:r>
        <w:t xml:space="preserve">MSAC noted that it is not possible to know whether an effective therapy is available for an individual patient until after </w:t>
      </w:r>
      <w:r w:rsidRPr="00B82EAA">
        <w:t>a diagnosis</w:t>
      </w:r>
      <w:r>
        <w:t xml:space="preserve"> is made</w:t>
      </w:r>
      <w:r w:rsidRPr="00B82EAA">
        <w:t xml:space="preserve">. </w:t>
      </w:r>
      <w:r>
        <w:t xml:space="preserve">MSAC noted that </w:t>
      </w:r>
      <w:r w:rsidR="00920EF2">
        <w:t xml:space="preserve">anecdotal </w:t>
      </w:r>
      <w:r>
        <w:t xml:space="preserve">benefits to patients – such as </w:t>
      </w:r>
      <w:r w:rsidRPr="00B82EAA">
        <w:t>withdrawal of patients from intensive care</w:t>
      </w:r>
      <w:r>
        <w:t>,</w:t>
      </w:r>
      <w:r w:rsidRPr="00B82EAA">
        <w:t xml:space="preserve"> reproductive certainty and planning for families with one affected child</w:t>
      </w:r>
      <w:r>
        <w:t xml:space="preserve"> – are difficult to quantify, which may account for them not being included in the submission.</w:t>
      </w:r>
      <w:r w:rsidRPr="00004D0F">
        <w:t xml:space="preserve"> </w:t>
      </w:r>
      <w:r>
        <w:t>MSAC also acknowledged the ethical difficulty of placing a utility value on a child with a genetic condition not being born.</w:t>
      </w:r>
    </w:p>
    <w:p w14:paraId="41E8FB08" w14:textId="77777777" w:rsidR="00852CD0" w:rsidRDefault="00852CD0" w:rsidP="00084C54">
      <w:pPr>
        <w:spacing w:before="240"/>
      </w:pPr>
      <w:r>
        <w:t xml:space="preserve">MSAC </w:t>
      </w:r>
      <w:r w:rsidR="00D14733">
        <w:t xml:space="preserve">further </w:t>
      </w:r>
      <w:r>
        <w:t xml:space="preserve">acknowledged the difficulty in quantifying therapeutic consequences and health outcomes arising from diagnosis of genetic </w:t>
      </w:r>
      <w:r w:rsidRPr="000E50EA">
        <w:t xml:space="preserve">syndromes. Because </w:t>
      </w:r>
      <w:r w:rsidR="007F044D">
        <w:t xml:space="preserve">most </w:t>
      </w:r>
      <w:r w:rsidRPr="000E50EA">
        <w:t>genetic syndromes are not treated directly, the health outcomes gained are psychological wellbeing or avoidance of further tests or procedures.</w:t>
      </w:r>
      <w:r>
        <w:t xml:space="preserve"> MSAC considered that it would be desirable for the societal value placed on the ‘value of knowing’ to be captured in the future assessments of genetic testing technologies. MSAC acknowledged that there are also other costs to families of having a child with a genetic condition, such as the expense of early listing on the National Disability Insurance Scheme, and childcare and education expenses, which affect out-of-pocket costs and potenti</w:t>
      </w:r>
      <w:r w:rsidR="00852827">
        <w:t>ally wider health system costs.</w:t>
      </w:r>
    </w:p>
    <w:p w14:paraId="21F32F62" w14:textId="4E195E41" w:rsidR="00852CD0" w:rsidRDefault="00852CD0" w:rsidP="00D14733">
      <w:pPr>
        <w:spacing w:before="240"/>
      </w:pPr>
      <w:r>
        <w:t>Overall, MSA</w:t>
      </w:r>
      <w:r w:rsidR="00FE7B20">
        <w:t>C emphasised the importance of P</w:t>
      </w:r>
      <w:r>
        <w:t xml:space="preserve">opulation 1 (proband – for diagnosis and the </w:t>
      </w:r>
      <w:r w:rsidR="00F472F4">
        <w:t>“</w:t>
      </w:r>
      <w:r>
        <w:t>value of knowing</w:t>
      </w:r>
      <w:r w:rsidR="00F472F4">
        <w:t>”, and likely reducing the “diagnostic odyssey”</w:t>
      </w:r>
      <w:r w:rsidR="00FE7B20">
        <w:t>), then P</w:t>
      </w:r>
      <w:r>
        <w:t>opulation 3 (family members – for informing family planning</w:t>
      </w:r>
      <w:r w:rsidR="00084C54">
        <w:t>, but may need to limit this to first-degree relatives</w:t>
      </w:r>
      <w:r w:rsidR="00FE7B20">
        <w:t>), over P</w:t>
      </w:r>
      <w:r>
        <w:t>opulation 2 (reinterrogation of proband data).</w:t>
      </w:r>
    </w:p>
    <w:p w14:paraId="096D9567" w14:textId="60DDA26F" w:rsidR="00084C54" w:rsidRDefault="00084C54" w:rsidP="00084C54">
      <w:pPr>
        <w:pStyle w:val="Default"/>
        <w:spacing w:before="240"/>
      </w:pPr>
      <w:r w:rsidRPr="00335A16">
        <w:t>MSAC considered that</w:t>
      </w:r>
      <w:r>
        <w:t xml:space="preserve">, to ensure momentum is maintained with </w:t>
      </w:r>
      <w:r w:rsidR="00CA2E39">
        <w:t xml:space="preserve">the evidence-based approach of </w:t>
      </w:r>
      <w:r>
        <w:t>this application,</w:t>
      </w:r>
      <w:r w:rsidRPr="00335A16">
        <w:t xml:space="preserve"> a meeting </w:t>
      </w:r>
      <w:r w:rsidR="00CA2E39">
        <w:t xml:space="preserve">should be held </w:t>
      </w:r>
      <w:r>
        <w:t xml:space="preserve">involving </w:t>
      </w:r>
      <w:r w:rsidR="00CA2E39">
        <w:t xml:space="preserve">stakeholders in addition to the applicant, including </w:t>
      </w:r>
      <w:r>
        <w:t xml:space="preserve">consumers, requesters </w:t>
      </w:r>
      <w:r w:rsidR="00CA2E39">
        <w:t xml:space="preserve">(such as the Royal Australian College of Physicians and neurologists) </w:t>
      </w:r>
      <w:r>
        <w:t xml:space="preserve">and </w:t>
      </w:r>
      <w:r w:rsidR="00CA2E39">
        <w:t xml:space="preserve">pathology </w:t>
      </w:r>
      <w:r>
        <w:t xml:space="preserve">providers </w:t>
      </w:r>
      <w:r w:rsidRPr="00335A16">
        <w:t xml:space="preserve">to inform </w:t>
      </w:r>
      <w:r>
        <w:t xml:space="preserve">and assist </w:t>
      </w:r>
      <w:r w:rsidR="00CA2E39">
        <w:t>MSAC’</w:t>
      </w:r>
      <w:r>
        <w:t>s reconsideration of an expected re-</w:t>
      </w:r>
      <w:r w:rsidRPr="00335A16">
        <w:t>application</w:t>
      </w:r>
      <w:r>
        <w:t xml:space="preserve">. The stakeholder meeting should further </w:t>
      </w:r>
      <w:r w:rsidRPr="00335A16">
        <w:t>discuss the</w:t>
      </w:r>
      <w:r>
        <w:t xml:space="preserve"> reasons for not supporting this initial application and examine the basis to provide a broader assessment of the clinical utility value of the requested testing beyond an improvement in health outcomes, to also include the “value of knowing”, reducing resources provided and time taken in the “diagnostic odyssey”, and the value of avoiding future children with monogenic childhood syndromes through improved family planning options.</w:t>
      </w:r>
    </w:p>
    <w:p w14:paraId="4C0938E1" w14:textId="77777777" w:rsidR="00BC1364" w:rsidRPr="00F715D1" w:rsidRDefault="00BC1364" w:rsidP="00084C54">
      <w:pPr>
        <w:pStyle w:val="Heading1"/>
      </w:pPr>
      <w:r w:rsidRPr="00F715D1">
        <w:t>Background</w:t>
      </w:r>
    </w:p>
    <w:p w14:paraId="18D7ECE0" w14:textId="77777777" w:rsidR="001C2E4E" w:rsidRPr="008423CB" w:rsidRDefault="00CE0DF8" w:rsidP="001C2E4E">
      <w:pPr>
        <w:tabs>
          <w:tab w:val="left" w:pos="720"/>
          <w:tab w:val="left" w:pos="1140"/>
        </w:tabs>
      </w:pPr>
      <w:r>
        <w:t>This application has not been previously considered by MSAC.</w:t>
      </w:r>
    </w:p>
    <w:p w14:paraId="2EA71EC0" w14:textId="77777777" w:rsidR="00BC1364" w:rsidRPr="00F715D1" w:rsidRDefault="00BC1364" w:rsidP="00F715D1">
      <w:pPr>
        <w:pStyle w:val="Heading1"/>
      </w:pPr>
      <w:r w:rsidRPr="00F715D1">
        <w:lastRenderedPageBreak/>
        <w:t>Prerequisites to implementation of any funding advice</w:t>
      </w:r>
    </w:p>
    <w:p w14:paraId="5C536944" w14:textId="77777777" w:rsidR="001C2E4E" w:rsidRDefault="00CE0DF8" w:rsidP="001C2E4E">
      <w:pPr>
        <w:tabs>
          <w:tab w:val="left" w:pos="720"/>
        </w:tabs>
        <w:spacing w:before="120"/>
        <w:rPr>
          <w:szCs w:val="24"/>
        </w:rPr>
      </w:pPr>
      <w:r>
        <w:rPr>
          <w:szCs w:val="24"/>
        </w:rPr>
        <w:t>G</w:t>
      </w:r>
      <w:r w:rsidR="001C2E4E">
        <w:rPr>
          <w:szCs w:val="24"/>
        </w:rPr>
        <w:t>enetic t</w:t>
      </w:r>
      <w:r w:rsidR="001C2E4E" w:rsidRPr="00ED4651">
        <w:rPr>
          <w:szCs w:val="24"/>
        </w:rPr>
        <w:t xml:space="preserve">esting must be performed in laboratories that have received </w:t>
      </w:r>
      <w:r w:rsidR="00730054">
        <w:rPr>
          <w:szCs w:val="24"/>
        </w:rPr>
        <w:t xml:space="preserve">relevant </w:t>
      </w:r>
      <w:r w:rsidR="001C2E4E" w:rsidRPr="00ED4651">
        <w:rPr>
          <w:szCs w:val="24"/>
        </w:rPr>
        <w:t>National Association of Testing Authorities (NATA) accreditation.</w:t>
      </w:r>
    </w:p>
    <w:p w14:paraId="06FA346B" w14:textId="77777777" w:rsidR="00BC1364" w:rsidRPr="00F715D1" w:rsidRDefault="00BC1364" w:rsidP="00F715D1">
      <w:pPr>
        <w:pStyle w:val="Heading1"/>
      </w:pPr>
      <w:r w:rsidRPr="00F715D1">
        <w:t>Proposal for public funding</w:t>
      </w:r>
    </w:p>
    <w:p w14:paraId="47B990C3" w14:textId="77777777" w:rsidR="001C2E4E" w:rsidRPr="00ED4651" w:rsidRDefault="001C2E4E" w:rsidP="001C2E4E">
      <w:pPr>
        <w:pStyle w:val="Body"/>
        <w:rPr>
          <w:rFonts w:ascii="Times New Roman" w:hAnsi="Times New Roman" w:cs="Times New Roman"/>
        </w:rPr>
      </w:pPr>
      <w:r w:rsidRPr="00ED4651">
        <w:rPr>
          <w:rFonts w:ascii="Times New Roman" w:hAnsi="Times New Roman" w:cs="Times New Roman"/>
        </w:rPr>
        <w:t>The proposed item descriptor(s) for public funding is summarised in Table 1.</w:t>
      </w:r>
    </w:p>
    <w:p w14:paraId="34F362E8" w14:textId="77777777" w:rsidR="001C2E4E" w:rsidRPr="001964D2" w:rsidRDefault="001C2E4E" w:rsidP="001964D2">
      <w:pPr>
        <w:rPr>
          <w:rFonts w:ascii="Arial Narrow" w:hAnsi="Arial Narrow"/>
          <w:b/>
          <w:sz w:val="20"/>
        </w:rPr>
      </w:pPr>
      <w:bookmarkStart w:id="1" w:name="_Ref512521412"/>
      <w:bookmarkStart w:id="2" w:name="_Toc513290989"/>
      <w:r w:rsidRPr="001964D2">
        <w:rPr>
          <w:rFonts w:ascii="Arial Narrow" w:hAnsi="Arial Narrow"/>
          <w:b/>
          <w:sz w:val="20"/>
        </w:rPr>
        <w:t xml:space="preserve">Table </w:t>
      </w:r>
      <w:bookmarkEnd w:id="1"/>
      <w:r w:rsidRPr="001964D2">
        <w:rPr>
          <w:rFonts w:ascii="Arial Narrow" w:hAnsi="Arial Narrow"/>
          <w:b/>
          <w:sz w:val="20"/>
        </w:rPr>
        <w:t>1</w:t>
      </w:r>
      <w:r w:rsidRPr="001964D2">
        <w:rPr>
          <w:rFonts w:ascii="Arial Narrow" w:hAnsi="Arial Narrow"/>
          <w:b/>
          <w:sz w:val="20"/>
        </w:rPr>
        <w:tab/>
        <w:t xml:space="preserve">Proposed </w:t>
      </w:r>
      <w:bookmarkStart w:id="3" w:name="_Hlk512941685"/>
      <w:r w:rsidRPr="001964D2">
        <w:rPr>
          <w:rFonts w:ascii="Arial Narrow" w:hAnsi="Arial Narrow"/>
          <w:b/>
          <w:sz w:val="20"/>
        </w:rPr>
        <w:t xml:space="preserve">Medicare Benefit Scheme </w:t>
      </w:r>
      <w:bookmarkEnd w:id="3"/>
      <w:r w:rsidRPr="001964D2">
        <w:rPr>
          <w:rFonts w:ascii="Arial Narrow" w:hAnsi="Arial Narrow"/>
          <w:b/>
          <w:sz w:val="20"/>
        </w:rPr>
        <w:t>(MBS) item descriptors</w:t>
      </w:r>
      <w:bookmarkEnd w:id="2"/>
    </w:p>
    <w:tbl>
      <w:tblPr>
        <w:tblStyle w:val="TableGrid"/>
        <w:tblW w:w="0" w:type="auto"/>
        <w:tblLook w:val="04A0" w:firstRow="1" w:lastRow="0" w:firstColumn="1" w:lastColumn="0" w:noHBand="0" w:noVBand="1"/>
        <w:tblDescription w:val="Proposed MBS item descriptors"/>
      </w:tblPr>
      <w:tblGrid>
        <w:gridCol w:w="9016"/>
      </w:tblGrid>
      <w:tr w:rsidR="001C2E4E" w:rsidRPr="00F96A7F" w14:paraId="696CBB29" w14:textId="77777777" w:rsidTr="00664DB5">
        <w:trPr>
          <w:cantSplit/>
          <w:tblHeader/>
        </w:trPr>
        <w:tc>
          <w:tcPr>
            <w:tcW w:w="9016" w:type="dxa"/>
          </w:tcPr>
          <w:p w14:paraId="78261E7E" w14:textId="77777777" w:rsidR="001C2E4E" w:rsidRPr="00F96A7F" w:rsidRDefault="001C2E4E" w:rsidP="00664DB5">
            <w:pPr>
              <w:pStyle w:val="Tableheading"/>
              <w:rPr>
                <w:lang w:val="en-GB"/>
              </w:rPr>
            </w:pPr>
            <w:r w:rsidRPr="00F96A7F">
              <w:t>Genetics – Pathology Services Table</w:t>
            </w:r>
          </w:p>
        </w:tc>
      </w:tr>
      <w:tr w:rsidR="001C2E4E" w:rsidRPr="00F96A7F" w14:paraId="590F23E6" w14:textId="77777777" w:rsidTr="00664DB5">
        <w:trPr>
          <w:cantSplit/>
          <w:tblHeader/>
        </w:trPr>
        <w:tc>
          <w:tcPr>
            <w:tcW w:w="9016" w:type="dxa"/>
          </w:tcPr>
          <w:p w14:paraId="585E66DC" w14:textId="47324AC7" w:rsidR="001C2E4E" w:rsidRPr="009A3D5C" w:rsidRDefault="001C2E4E" w:rsidP="009A3D5C">
            <w:pPr>
              <w:pStyle w:val="Tabletext"/>
              <w:spacing w:after="240"/>
              <w:rPr>
                <w:b/>
                <w:lang w:val="en-GB"/>
              </w:rPr>
            </w:pPr>
            <w:r w:rsidRPr="00F96A7F">
              <w:t>MBS item number: AAAAA</w:t>
            </w:r>
          </w:p>
          <w:p w14:paraId="389CE0D0" w14:textId="77777777" w:rsidR="001C2E4E" w:rsidRPr="00F96A7F" w:rsidRDefault="001C2E4E" w:rsidP="00664DB5">
            <w:pPr>
              <w:pStyle w:val="Tabletext"/>
            </w:pPr>
            <w:r w:rsidRPr="00F96A7F">
              <w:t>Characterisation of germline variants via whole exome analysis, from a phenotypically driven gene list where analysis is limited to variants in genes currently known to cause monogenic disorders, requested by a clinical geneticist following multidisciplinary review and non-informative microarray testing for copy number alteration, in a patient (&lt;18 years old) with a strong suspicion of a monogenic syndrome based on the following criteria:</w:t>
            </w:r>
          </w:p>
          <w:p w14:paraId="75694BB3" w14:textId="77777777" w:rsidR="001C2E4E" w:rsidRPr="00F96A7F" w:rsidRDefault="001C2E4E" w:rsidP="00664DB5">
            <w:pPr>
              <w:pStyle w:val="Tabletext"/>
            </w:pPr>
            <w:r w:rsidRPr="00F96A7F">
              <w:t>Onset of clinical features prenatally, in infancy or childhood, and a minimum of two of the following features:</w:t>
            </w:r>
          </w:p>
          <w:p w14:paraId="6389FE72" w14:textId="77777777" w:rsidR="001C2E4E" w:rsidRPr="00C32AE9" w:rsidRDefault="001C2E4E" w:rsidP="00664DB5">
            <w:pPr>
              <w:pStyle w:val="Tabletextindent"/>
              <w:rPr>
                <w:rFonts w:ascii="Arial Narrow" w:hAnsi="Arial Narrow"/>
                <w:b/>
                <w:sz w:val="20"/>
                <w:szCs w:val="20"/>
                <w:lang w:val="en-GB"/>
              </w:rPr>
            </w:pPr>
            <w:r w:rsidRPr="00C32AE9">
              <w:rPr>
                <w:rFonts w:ascii="Arial Narrow" w:hAnsi="Arial Narrow"/>
                <w:sz w:val="20"/>
                <w:szCs w:val="20"/>
              </w:rPr>
              <w:t>Dysmorphic facial appearance, and/or</w:t>
            </w:r>
          </w:p>
          <w:p w14:paraId="3FF35553" w14:textId="77777777" w:rsidR="001C2E4E" w:rsidRPr="00C32AE9" w:rsidRDefault="001C2E4E" w:rsidP="00664DB5">
            <w:pPr>
              <w:pStyle w:val="Tabletextindent"/>
              <w:rPr>
                <w:rFonts w:ascii="Arial Narrow" w:hAnsi="Arial Narrow"/>
                <w:b/>
                <w:sz w:val="20"/>
                <w:szCs w:val="20"/>
                <w:lang w:val="en-GB"/>
              </w:rPr>
            </w:pPr>
            <w:r w:rsidRPr="00C32AE9">
              <w:rPr>
                <w:rFonts w:ascii="Arial Narrow" w:hAnsi="Arial Narrow"/>
                <w:sz w:val="20"/>
                <w:szCs w:val="20"/>
              </w:rPr>
              <w:t>Single or multiple congenital anomalies, and/or</w:t>
            </w:r>
          </w:p>
          <w:p w14:paraId="7852631C" w14:textId="57B63208" w:rsidR="001C2E4E" w:rsidRPr="009A3D5C" w:rsidRDefault="001C2E4E" w:rsidP="009A3D5C">
            <w:pPr>
              <w:pStyle w:val="Tabletextindent"/>
              <w:spacing w:after="240"/>
              <w:rPr>
                <w:rFonts w:ascii="Arial Narrow" w:hAnsi="Arial Narrow"/>
                <w:b/>
                <w:sz w:val="20"/>
                <w:szCs w:val="20"/>
                <w:lang w:val="en-GB"/>
              </w:rPr>
            </w:pPr>
            <w:r w:rsidRPr="00C32AE9">
              <w:rPr>
                <w:rFonts w:ascii="Arial Narrow" w:hAnsi="Arial Narrow"/>
                <w:sz w:val="20"/>
                <w:szCs w:val="20"/>
              </w:rPr>
              <w:t>Intellectual disability.</w:t>
            </w:r>
          </w:p>
          <w:p w14:paraId="0BB124BB" w14:textId="77777777" w:rsidR="001C2E4E" w:rsidRPr="00F96A7F" w:rsidRDefault="001C2E4E" w:rsidP="00664DB5">
            <w:pPr>
              <w:pStyle w:val="Tabletext"/>
            </w:pPr>
            <w:r w:rsidRPr="00F96A7F">
              <w:t>MBS Fee: $2,400.00</w:t>
            </w:r>
          </w:p>
          <w:p w14:paraId="25DAE1A4" w14:textId="77777777" w:rsidR="001C2E4E" w:rsidRPr="00F96A7F" w:rsidRDefault="001C2E4E" w:rsidP="00664DB5">
            <w:pPr>
              <w:pStyle w:val="Tabletext"/>
            </w:pPr>
            <w:r w:rsidRPr="00F96A7F">
              <w:t>Benefit: 75% = $1,800.00 85% = $2,040.00</w:t>
            </w:r>
          </w:p>
        </w:tc>
      </w:tr>
      <w:tr w:rsidR="001C2E4E" w:rsidRPr="00F96A7F" w14:paraId="37F4DD66" w14:textId="77777777" w:rsidTr="00664DB5">
        <w:trPr>
          <w:cantSplit/>
          <w:tblHeader/>
        </w:trPr>
        <w:tc>
          <w:tcPr>
            <w:tcW w:w="9016" w:type="dxa"/>
          </w:tcPr>
          <w:p w14:paraId="34E107CC" w14:textId="77777777" w:rsidR="001C2E4E" w:rsidRPr="00F96A7F" w:rsidRDefault="001C2E4E" w:rsidP="00664DB5">
            <w:pPr>
              <w:pStyle w:val="Tableheading"/>
            </w:pPr>
            <w:r w:rsidRPr="00F96A7F">
              <w:t>Genetics – Pathology Services Table</w:t>
            </w:r>
          </w:p>
        </w:tc>
      </w:tr>
      <w:tr w:rsidR="001C2E4E" w:rsidRPr="00F96A7F" w14:paraId="71DC158F" w14:textId="77777777" w:rsidTr="00664DB5">
        <w:trPr>
          <w:cantSplit/>
          <w:tblHeader/>
        </w:trPr>
        <w:tc>
          <w:tcPr>
            <w:tcW w:w="9016" w:type="dxa"/>
          </w:tcPr>
          <w:p w14:paraId="39FDCBF4" w14:textId="2677AD52" w:rsidR="001C2E4E" w:rsidRPr="00F96A7F" w:rsidRDefault="009A3D5C" w:rsidP="009A3D5C">
            <w:pPr>
              <w:pStyle w:val="Tabletext"/>
              <w:spacing w:after="240"/>
            </w:pPr>
            <w:r>
              <w:t>MBS item number: BBBB1</w:t>
            </w:r>
          </w:p>
          <w:p w14:paraId="2A4ECF42" w14:textId="52C1D14B" w:rsidR="001C2E4E" w:rsidRPr="009A3D5C" w:rsidRDefault="001C2E4E" w:rsidP="009A3D5C">
            <w:pPr>
              <w:pStyle w:val="Tabletext"/>
              <w:spacing w:after="240"/>
              <w:rPr>
                <w:b/>
                <w:lang w:val="en-GB"/>
              </w:rPr>
            </w:pPr>
            <w:r w:rsidRPr="00F96A7F">
              <w:t>Re-analysis of whole exome data obtained under item AAAAA, at an interval of not less than 18 months, for characterisation of new germline gene variants related to the clinical phenotype, in a patient (&lt;18 years old) with a strong suspicion of a monogenic syndrome, where re-analysis identifies new variants requiring curation.</w:t>
            </w:r>
          </w:p>
          <w:p w14:paraId="2C71E8E0" w14:textId="77777777" w:rsidR="001C2E4E" w:rsidRPr="00F96A7F" w:rsidRDefault="001C2E4E" w:rsidP="00664DB5">
            <w:pPr>
              <w:pStyle w:val="Tabletext"/>
            </w:pPr>
            <w:r w:rsidRPr="00F96A7F">
              <w:t>MBS Fee: $650.00</w:t>
            </w:r>
          </w:p>
          <w:p w14:paraId="28FFA14F" w14:textId="77777777" w:rsidR="001C2E4E" w:rsidRPr="00F96A7F" w:rsidRDefault="001C2E4E" w:rsidP="00664DB5">
            <w:pPr>
              <w:pStyle w:val="Tabletext"/>
            </w:pPr>
            <w:r w:rsidRPr="00F96A7F">
              <w:t>Benefit: 75% = $487.50 85% = $552.50</w:t>
            </w:r>
          </w:p>
        </w:tc>
      </w:tr>
      <w:tr w:rsidR="001C2E4E" w:rsidRPr="00F96A7F" w14:paraId="2D88480A" w14:textId="77777777" w:rsidTr="00664DB5">
        <w:trPr>
          <w:cantSplit/>
          <w:tblHeader/>
        </w:trPr>
        <w:tc>
          <w:tcPr>
            <w:tcW w:w="9016" w:type="dxa"/>
          </w:tcPr>
          <w:p w14:paraId="1D44D35E" w14:textId="4F92FCF9" w:rsidR="001C2E4E" w:rsidRPr="00F96A7F" w:rsidRDefault="009A3D5C" w:rsidP="009A3D5C">
            <w:pPr>
              <w:pStyle w:val="Tabletext"/>
              <w:spacing w:after="240"/>
            </w:pPr>
            <w:r>
              <w:t>MBS item number: BBBB2</w:t>
            </w:r>
          </w:p>
          <w:p w14:paraId="2527A011" w14:textId="2DBAFBE4" w:rsidR="001C2E4E" w:rsidRPr="009A3D5C" w:rsidRDefault="001C2E4E" w:rsidP="009A3D5C">
            <w:pPr>
              <w:pStyle w:val="Tabletext"/>
              <w:spacing w:after="240"/>
              <w:rPr>
                <w:b/>
                <w:lang w:val="en-GB"/>
              </w:rPr>
            </w:pPr>
            <w:r w:rsidRPr="00F96A7F">
              <w:t>Re-analysis of whole exome data obtained under item AAAAA, at an interval of not less than 18 months, for characterisation of new germline gene variants related to the clinical phenotype, in a patient (&lt;18 years old) with a strong suspicion of a monogenic syndrome, where the re-analysis is negative.</w:t>
            </w:r>
          </w:p>
          <w:p w14:paraId="7C34742E" w14:textId="77777777" w:rsidR="001C2E4E" w:rsidRPr="00F96A7F" w:rsidRDefault="001C2E4E" w:rsidP="00664DB5">
            <w:pPr>
              <w:pStyle w:val="Tabletext"/>
            </w:pPr>
            <w:r w:rsidRPr="00F96A7F">
              <w:t>MBS Fee: $350.00</w:t>
            </w:r>
          </w:p>
          <w:p w14:paraId="0359F7E9" w14:textId="77777777" w:rsidR="001C2E4E" w:rsidRPr="00F96A7F" w:rsidRDefault="001C2E4E" w:rsidP="00664DB5">
            <w:pPr>
              <w:pStyle w:val="Tabletext"/>
            </w:pPr>
            <w:r w:rsidRPr="00F96A7F">
              <w:t>Benefit: 75% = $262.50 85% = $297.50</w:t>
            </w:r>
          </w:p>
        </w:tc>
      </w:tr>
      <w:tr w:rsidR="001C2E4E" w:rsidRPr="00F96A7F" w14:paraId="22191A25" w14:textId="77777777" w:rsidTr="00664DB5">
        <w:trPr>
          <w:cantSplit/>
          <w:tblHeader/>
        </w:trPr>
        <w:tc>
          <w:tcPr>
            <w:tcW w:w="9016" w:type="dxa"/>
          </w:tcPr>
          <w:p w14:paraId="6040696B" w14:textId="77777777" w:rsidR="001C2E4E" w:rsidRPr="00F96A7F" w:rsidRDefault="001C2E4E" w:rsidP="00664DB5">
            <w:pPr>
              <w:pStyle w:val="Tableheading"/>
            </w:pPr>
            <w:r w:rsidRPr="00F96A7F">
              <w:t>Genetics – Pathology Services Table</w:t>
            </w:r>
          </w:p>
        </w:tc>
      </w:tr>
      <w:tr w:rsidR="001C2E4E" w:rsidRPr="00F96A7F" w14:paraId="016F246C" w14:textId="77777777" w:rsidTr="00664DB5">
        <w:trPr>
          <w:cantSplit/>
          <w:tblHeader/>
        </w:trPr>
        <w:tc>
          <w:tcPr>
            <w:tcW w:w="9016" w:type="dxa"/>
          </w:tcPr>
          <w:p w14:paraId="5CA0B9E0" w14:textId="0EEF7227" w:rsidR="001C2E4E" w:rsidRPr="009A3D5C" w:rsidRDefault="001C2E4E" w:rsidP="009A3D5C">
            <w:pPr>
              <w:pStyle w:val="Tabletext"/>
              <w:spacing w:after="240"/>
              <w:rPr>
                <w:b/>
                <w:lang w:val="en-GB"/>
              </w:rPr>
            </w:pPr>
            <w:r w:rsidRPr="00F96A7F">
              <w:t>MBS item number: CCCCC</w:t>
            </w:r>
          </w:p>
          <w:p w14:paraId="492CC90E" w14:textId="4C764228" w:rsidR="001C2E4E" w:rsidRPr="00F96A7F" w:rsidRDefault="001C2E4E" w:rsidP="009A3D5C">
            <w:pPr>
              <w:pStyle w:val="Tabletext"/>
              <w:spacing w:after="240"/>
              <w:rPr>
                <w:bCs/>
              </w:rPr>
            </w:pPr>
            <w:r w:rsidRPr="00F96A7F">
              <w:rPr>
                <w:bCs/>
              </w:rPr>
              <w:t>Request by a specialist for the detection of a single gene variant, in a first</w:t>
            </w:r>
            <w:r>
              <w:rPr>
                <w:bCs/>
              </w:rPr>
              <w:t>-</w:t>
            </w:r>
            <w:r w:rsidRPr="00F96A7F">
              <w:rPr>
                <w:bCs/>
              </w:rPr>
              <w:t>degree relative of a patient with a known monogenic syndrome where previous genetic testing performed under item AAAAA or BBBB1 has id</w:t>
            </w:r>
            <w:r w:rsidR="009A3D5C">
              <w:rPr>
                <w:bCs/>
              </w:rPr>
              <w:t>entified the causative variant.</w:t>
            </w:r>
          </w:p>
          <w:p w14:paraId="562A0B7B" w14:textId="77777777" w:rsidR="001C2E4E" w:rsidRPr="00F96A7F" w:rsidRDefault="001C2E4E" w:rsidP="00664DB5">
            <w:pPr>
              <w:pStyle w:val="Tabletext"/>
            </w:pPr>
            <w:r w:rsidRPr="00F96A7F">
              <w:t>MBS Fee: $400.00</w:t>
            </w:r>
          </w:p>
          <w:p w14:paraId="26074F04" w14:textId="77777777" w:rsidR="001C2E4E" w:rsidRPr="00F96A7F" w:rsidRDefault="001C2E4E" w:rsidP="00664DB5">
            <w:pPr>
              <w:pStyle w:val="Tabletext"/>
              <w:rPr>
                <w:szCs w:val="22"/>
              </w:rPr>
            </w:pPr>
            <w:r w:rsidRPr="00F96A7F">
              <w:t>Benefit: 75% = $300.00 85% = $340.00</w:t>
            </w:r>
          </w:p>
        </w:tc>
      </w:tr>
    </w:tbl>
    <w:p w14:paraId="1FD50027"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4A0C97F" w14:textId="057148C6" w:rsidR="001C2E4E" w:rsidRPr="00DF454E" w:rsidRDefault="001C2E4E" w:rsidP="009A3D5C">
      <w:pPr>
        <w:spacing w:after="240"/>
        <w:rPr>
          <w:szCs w:val="24"/>
        </w:rPr>
      </w:pPr>
      <w:r w:rsidRPr="00DF454E">
        <w:rPr>
          <w:szCs w:val="24"/>
        </w:rPr>
        <w:t xml:space="preserve">Targeted consultation was undertaken, with three responses received from </w:t>
      </w:r>
      <w:r w:rsidR="00CE0DF8">
        <w:rPr>
          <w:szCs w:val="24"/>
        </w:rPr>
        <w:t>professional organisations</w:t>
      </w:r>
      <w:r w:rsidRPr="00DF454E">
        <w:rPr>
          <w:szCs w:val="24"/>
        </w:rPr>
        <w:t>.</w:t>
      </w:r>
    </w:p>
    <w:p w14:paraId="575EF2E3" w14:textId="77777777" w:rsidR="00730054" w:rsidRDefault="0097564C" w:rsidP="0097564C">
      <w:pPr>
        <w:rPr>
          <w:szCs w:val="24"/>
        </w:rPr>
      </w:pPr>
      <w:r w:rsidRPr="00DF454E">
        <w:rPr>
          <w:szCs w:val="24"/>
        </w:rPr>
        <w:t>Overall</w:t>
      </w:r>
      <w:r w:rsidR="00CE0DF8">
        <w:rPr>
          <w:szCs w:val="24"/>
        </w:rPr>
        <w:t>,</w:t>
      </w:r>
      <w:r w:rsidRPr="00DF454E">
        <w:rPr>
          <w:szCs w:val="24"/>
        </w:rPr>
        <w:t xml:space="preserve"> the responses were supportive of </w:t>
      </w:r>
      <w:r w:rsidR="00730054">
        <w:rPr>
          <w:szCs w:val="24"/>
        </w:rPr>
        <w:t>g</w:t>
      </w:r>
      <w:r w:rsidRPr="00DF454E">
        <w:rPr>
          <w:szCs w:val="24"/>
        </w:rPr>
        <w:t>enetic testing for childhood syndromes</w:t>
      </w:r>
      <w:r w:rsidR="00CE0DF8">
        <w:rPr>
          <w:szCs w:val="24"/>
        </w:rPr>
        <w:t>. H</w:t>
      </w:r>
      <w:r w:rsidRPr="00DF454E">
        <w:rPr>
          <w:szCs w:val="24"/>
        </w:rPr>
        <w:t>owever</w:t>
      </w:r>
      <w:r w:rsidR="00CE0DF8">
        <w:rPr>
          <w:szCs w:val="24"/>
        </w:rPr>
        <w:t>, one respondent</w:t>
      </w:r>
      <w:r w:rsidRPr="00DF454E">
        <w:rPr>
          <w:szCs w:val="24"/>
        </w:rPr>
        <w:t xml:space="preserve"> </w:t>
      </w:r>
      <w:r w:rsidR="00DF454E">
        <w:rPr>
          <w:szCs w:val="24"/>
        </w:rPr>
        <w:t>did not agree</w:t>
      </w:r>
      <w:r w:rsidRPr="00DF454E">
        <w:rPr>
          <w:szCs w:val="24"/>
        </w:rPr>
        <w:t xml:space="preserve"> with the proposed popul</w:t>
      </w:r>
      <w:r w:rsidR="00CE0DF8">
        <w:rPr>
          <w:szCs w:val="24"/>
        </w:rPr>
        <w:t xml:space="preserve">ation and MBS item descriptor. They also </w:t>
      </w:r>
      <w:r w:rsidRPr="00DF454E">
        <w:rPr>
          <w:szCs w:val="24"/>
        </w:rPr>
        <w:t>indicated that</w:t>
      </w:r>
      <w:r w:rsidR="00DF454E" w:rsidRPr="00DF454E">
        <w:rPr>
          <w:szCs w:val="24"/>
        </w:rPr>
        <w:t>,</w:t>
      </w:r>
      <w:r w:rsidRPr="00DF454E">
        <w:rPr>
          <w:szCs w:val="24"/>
        </w:rPr>
        <w:t xml:space="preserve"> </w:t>
      </w:r>
      <w:r w:rsidR="00DF454E">
        <w:rPr>
          <w:szCs w:val="24"/>
        </w:rPr>
        <w:t>t</w:t>
      </w:r>
      <w:r w:rsidRPr="00DF454E">
        <w:rPr>
          <w:szCs w:val="24"/>
        </w:rPr>
        <w:t xml:space="preserve">argeted gene panels may be more appropriate and cost effective whilst </w:t>
      </w:r>
      <w:r w:rsidRPr="00DF454E">
        <w:rPr>
          <w:szCs w:val="24"/>
        </w:rPr>
        <w:lastRenderedPageBreak/>
        <w:t>delivering better coverage of included genes, particularly if clinical assessment suggests a phenot</w:t>
      </w:r>
      <w:r w:rsidR="00730054">
        <w:rPr>
          <w:szCs w:val="24"/>
        </w:rPr>
        <w:t>ype (e.g.”ciliopathy panel”).</w:t>
      </w:r>
    </w:p>
    <w:p w14:paraId="3425FD85" w14:textId="77777777" w:rsidR="00BC1364" w:rsidRPr="00F715D1" w:rsidRDefault="00BC1364" w:rsidP="00F715D1">
      <w:pPr>
        <w:pStyle w:val="Heading1"/>
      </w:pPr>
      <w:r w:rsidRPr="00F715D1">
        <w:t>Proposed intervention’s place in clinical management</w:t>
      </w:r>
    </w:p>
    <w:p w14:paraId="307BB2A8" w14:textId="77777777" w:rsidR="00CE0DF8" w:rsidRDefault="00CE0DF8" w:rsidP="00CE0DF8">
      <w:pPr>
        <w:pStyle w:val="Body"/>
        <w:spacing w:after="240" w:line="240" w:lineRule="auto"/>
        <w:rPr>
          <w:rFonts w:ascii="Times New Roman" w:hAnsi="Times New Roman" w:cs="Times New Roman"/>
        </w:rPr>
      </w:pPr>
      <w:r w:rsidRPr="000D5773">
        <w:rPr>
          <w:rFonts w:ascii="Times New Roman" w:hAnsi="Times New Roman" w:cs="Times New Roman"/>
        </w:rPr>
        <w:t>The proposed intervention is genetic testing of all genes known to cause Mendelian diseases in humans.</w:t>
      </w:r>
      <w:r w:rsidRPr="000C3E32">
        <w:t xml:space="preserve"> </w:t>
      </w:r>
      <w:r w:rsidRPr="000C3E32">
        <w:rPr>
          <w:rFonts w:ascii="Times New Roman" w:hAnsi="Times New Roman" w:cs="Times New Roman"/>
        </w:rPr>
        <w:t xml:space="preserve">In practice, for each individual patient, a clinician with appropriate expertise may propose a selection of genes for prioritised analysis based on the patient’s phenotype. If a </w:t>
      </w:r>
      <w:r w:rsidR="006011DB">
        <w:rPr>
          <w:rFonts w:ascii="Times New Roman" w:hAnsi="Times New Roman" w:cs="Times New Roman"/>
        </w:rPr>
        <w:t xml:space="preserve">molecular </w:t>
      </w:r>
      <w:r w:rsidRPr="000C3E32">
        <w:rPr>
          <w:rFonts w:ascii="Times New Roman" w:hAnsi="Times New Roman" w:cs="Times New Roman"/>
        </w:rPr>
        <w:t xml:space="preserve">diagnosis cannot be made from this initial list, investigation expands to all other genes known to cause genetic conditions (often referred to as the ‘mendeliome’), with a </w:t>
      </w:r>
      <w:r w:rsidR="006011DB">
        <w:rPr>
          <w:rFonts w:ascii="Times New Roman" w:hAnsi="Times New Roman" w:cs="Times New Roman"/>
        </w:rPr>
        <w:t xml:space="preserve">molecular </w:t>
      </w:r>
      <w:r w:rsidRPr="000C3E32">
        <w:rPr>
          <w:rFonts w:ascii="Times New Roman" w:hAnsi="Times New Roman" w:cs="Times New Roman"/>
        </w:rPr>
        <w:t>diagnosis only made where there is sufficient evidence that a variant/s is/are linked to the individual’s phenotype.</w:t>
      </w:r>
    </w:p>
    <w:p w14:paraId="4B157318" w14:textId="6D659AE3" w:rsidR="00CE0DF8" w:rsidRPr="000C3E32" w:rsidRDefault="00CE0DF8" w:rsidP="009A3D5C">
      <w:pPr>
        <w:tabs>
          <w:tab w:val="left" w:pos="720"/>
          <w:tab w:val="left" w:pos="1140"/>
        </w:tabs>
        <w:spacing w:after="240"/>
        <w:rPr>
          <w:szCs w:val="24"/>
        </w:rPr>
      </w:pPr>
      <w:r w:rsidRPr="000C3E32">
        <w:rPr>
          <w:szCs w:val="24"/>
        </w:rPr>
        <w:t xml:space="preserve">Monogenic </w:t>
      </w:r>
      <w:r w:rsidR="00451033">
        <w:rPr>
          <w:szCs w:val="24"/>
        </w:rPr>
        <w:t xml:space="preserve">childhood </w:t>
      </w:r>
      <w:r w:rsidRPr="000C3E32">
        <w:rPr>
          <w:szCs w:val="24"/>
        </w:rPr>
        <w:t>syndromes are a clinically and genetically heterogeneous group of disorders, typically with onset during infancy or early childhood. Individual syndromes usually have a constellation of features including, but not limited to, facial dysmorphism, congenital malformations, single or multi-organ functional anomalies, and variable degrees of intellectual disability.</w:t>
      </w:r>
    </w:p>
    <w:p w14:paraId="10ED3571" w14:textId="77777777" w:rsidR="00CE0DF8" w:rsidRDefault="00CE0DF8" w:rsidP="00CE0DF8">
      <w:pPr>
        <w:tabs>
          <w:tab w:val="left" w:pos="720"/>
          <w:tab w:val="left" w:pos="1140"/>
        </w:tabs>
        <w:rPr>
          <w:szCs w:val="24"/>
        </w:rPr>
      </w:pPr>
      <w:r w:rsidRPr="000C3E32">
        <w:rPr>
          <w:szCs w:val="24"/>
        </w:rPr>
        <w:t>Each genetic syndrome will have specific clinical features, depending on which organ systems are affected by the abnormal genes. The most commonly observed phenotypes are categorised as neurodevelopmental, musculoskeletal, ophthalmologic, and cardiovascular.</w:t>
      </w:r>
    </w:p>
    <w:p w14:paraId="4F25912A" w14:textId="0968DCD9" w:rsidR="000C5D80" w:rsidRPr="009A3D5C" w:rsidRDefault="000C5D80" w:rsidP="009A3D5C">
      <w:pPr>
        <w:spacing w:before="240"/>
        <w:rPr>
          <w:szCs w:val="24"/>
        </w:rPr>
      </w:pPr>
      <w:r w:rsidRPr="00BF17D0">
        <w:rPr>
          <w:szCs w:val="24"/>
        </w:rPr>
        <w:t>With the introduction of diagnostic whole exome analysis</w:t>
      </w:r>
      <w:r w:rsidR="006011DB">
        <w:rPr>
          <w:szCs w:val="24"/>
        </w:rPr>
        <w:t>,</w:t>
      </w:r>
      <w:r w:rsidRPr="00BF17D0">
        <w:rPr>
          <w:szCs w:val="24"/>
        </w:rPr>
        <w:t xml:space="preserve"> a molecular diagnosis m</w:t>
      </w:r>
      <w:r w:rsidR="00451033">
        <w:rPr>
          <w:szCs w:val="24"/>
        </w:rPr>
        <w:t>ay be made for these patients.</w:t>
      </w:r>
    </w:p>
    <w:p w14:paraId="12D094CB" w14:textId="41E7CC56" w:rsidR="00DB1234" w:rsidRDefault="00DB1234" w:rsidP="00DB1234">
      <w:r>
        <w:rPr>
          <w:noProof/>
        </w:rPr>
        <w:lastRenderedPageBreak/>
        <w:drawing>
          <wp:inline distT="0" distB="0" distL="0" distR="0" wp14:anchorId="749BF46D" wp14:editId="66EA635C">
            <wp:extent cx="5731510" cy="6434477"/>
            <wp:effectExtent l="0" t="0" r="2540" b="4445"/>
            <wp:docPr id="1" name="Picture 1" descr="Flow chart of the clinical management pathways showing the traditional pathway and the pathway with WEA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6434477"/>
                    </a:xfrm>
                    <a:prstGeom prst="rect">
                      <a:avLst/>
                    </a:prstGeom>
                  </pic:spPr>
                </pic:pic>
              </a:graphicData>
            </a:graphic>
          </wp:inline>
        </w:drawing>
      </w:r>
    </w:p>
    <w:p w14:paraId="56EEC898" w14:textId="77777777" w:rsidR="00BC1364" w:rsidRPr="00F715D1" w:rsidRDefault="00451033" w:rsidP="00F715D1">
      <w:pPr>
        <w:pStyle w:val="Heading1"/>
      </w:pPr>
      <w:r>
        <w:t>Comparator</w:t>
      </w:r>
    </w:p>
    <w:p w14:paraId="219262AF" w14:textId="77777777" w:rsidR="000C5D80" w:rsidRDefault="000C5D80" w:rsidP="005C192F">
      <w:pPr>
        <w:pStyle w:val="Body"/>
        <w:spacing w:line="240" w:lineRule="auto"/>
        <w:rPr>
          <w:rFonts w:ascii="Times New Roman" w:hAnsi="Times New Roman" w:cs="Times New Roman"/>
        </w:rPr>
      </w:pPr>
      <w:r>
        <w:rPr>
          <w:rFonts w:ascii="Times New Roman" w:hAnsi="Times New Roman" w:cs="Times New Roman"/>
        </w:rPr>
        <w:t>The genetic test targets three different patient populations. The comparators for each population are:</w:t>
      </w:r>
    </w:p>
    <w:p w14:paraId="07E0A9E5" w14:textId="77777777"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1 (≤ 2 years of age with suspected monogenic syndromic genetic disorders):</w:t>
      </w:r>
      <w:r w:rsidR="005C192F">
        <w:rPr>
          <w:rFonts w:ascii="Times New Roman" w:hAnsi="Times New Roman"/>
          <w:sz w:val="24"/>
        </w:rPr>
        <w:t xml:space="preserve"> </w:t>
      </w:r>
      <w:r w:rsidR="00730054" w:rsidRPr="00730054">
        <w:rPr>
          <w:rFonts w:ascii="Times New Roman" w:hAnsi="Times New Roman"/>
          <w:sz w:val="24"/>
        </w:rPr>
        <w:t>standard of care (</w:t>
      </w:r>
      <w:r w:rsidRPr="005C192F">
        <w:rPr>
          <w:rFonts w:ascii="Times New Roman" w:hAnsi="Times New Roman"/>
          <w:sz w:val="24"/>
        </w:rPr>
        <w:t>SoC</w:t>
      </w:r>
      <w:r w:rsidR="00730054">
        <w:rPr>
          <w:rFonts w:ascii="Times New Roman" w:hAnsi="Times New Roman"/>
          <w:sz w:val="24"/>
        </w:rPr>
        <w:t>)</w:t>
      </w:r>
      <w:r w:rsidRPr="005C192F">
        <w:rPr>
          <w:rFonts w:ascii="Times New Roman" w:hAnsi="Times New Roman"/>
          <w:sz w:val="24"/>
        </w:rPr>
        <w:t xml:space="preserve"> diagnostic odyssey</w:t>
      </w:r>
    </w:p>
    <w:p w14:paraId="50E27342" w14:textId="66B49799"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2 (test</w:t>
      </w:r>
      <w:r w:rsidR="00082703">
        <w:rPr>
          <w:rFonts w:ascii="Times New Roman" w:hAnsi="Times New Roman"/>
          <w:sz w:val="24"/>
        </w:rPr>
        <w:t>-negative</w:t>
      </w:r>
      <w:r w:rsidRPr="005C192F">
        <w:rPr>
          <w:rFonts w:ascii="Times New Roman" w:hAnsi="Times New Roman"/>
          <w:sz w:val="24"/>
        </w:rPr>
        <w:t xml:space="preserve"> patients from Population 1):</w:t>
      </w:r>
      <w:r w:rsidR="005C192F">
        <w:rPr>
          <w:rFonts w:ascii="Times New Roman" w:hAnsi="Times New Roman"/>
          <w:sz w:val="24"/>
        </w:rPr>
        <w:t xml:space="preserve"> </w:t>
      </w:r>
      <w:r w:rsidR="00730054" w:rsidRPr="005C192F">
        <w:rPr>
          <w:rFonts w:ascii="Times New Roman" w:hAnsi="Times New Roman"/>
          <w:sz w:val="24"/>
        </w:rPr>
        <w:t>n</w:t>
      </w:r>
      <w:r w:rsidRPr="005C192F">
        <w:rPr>
          <w:rFonts w:ascii="Times New Roman" w:hAnsi="Times New Roman"/>
          <w:sz w:val="24"/>
        </w:rPr>
        <w:t>o re-analysis and standard care</w:t>
      </w:r>
    </w:p>
    <w:p w14:paraId="1A6C863E" w14:textId="77777777" w:rsidR="000C5D80" w:rsidRPr="005C192F" w:rsidRDefault="000C5D80" w:rsidP="005C192F">
      <w:pPr>
        <w:pStyle w:val="Tabletext"/>
        <w:numPr>
          <w:ilvl w:val="0"/>
          <w:numId w:val="33"/>
        </w:numPr>
        <w:ind w:left="567" w:hanging="283"/>
        <w:rPr>
          <w:rFonts w:ascii="Times New Roman" w:hAnsi="Times New Roman"/>
          <w:sz w:val="24"/>
        </w:rPr>
      </w:pPr>
      <w:r w:rsidRPr="005C192F">
        <w:rPr>
          <w:rFonts w:ascii="Times New Roman" w:hAnsi="Times New Roman"/>
          <w:sz w:val="24"/>
        </w:rPr>
        <w:t>Population 3 (first-degree relatives):</w:t>
      </w:r>
      <w:r w:rsidR="005C192F" w:rsidRPr="005C192F">
        <w:rPr>
          <w:rFonts w:ascii="Times New Roman" w:hAnsi="Times New Roman"/>
          <w:sz w:val="24"/>
        </w:rPr>
        <w:t xml:space="preserve"> </w:t>
      </w:r>
      <w:r w:rsidR="00730054" w:rsidRPr="005C192F">
        <w:rPr>
          <w:rFonts w:ascii="Times New Roman" w:hAnsi="Times New Roman"/>
          <w:sz w:val="24"/>
        </w:rPr>
        <w:t>c</w:t>
      </w:r>
      <w:r w:rsidRPr="005C192F">
        <w:rPr>
          <w:rFonts w:ascii="Times New Roman" w:hAnsi="Times New Roman"/>
          <w:sz w:val="24"/>
        </w:rPr>
        <w:t>ascade testing in families after diagnosis by standard/current methods</w:t>
      </w:r>
      <w:r w:rsidR="000D08B4">
        <w:rPr>
          <w:rFonts w:ascii="Times New Roman" w:hAnsi="Times New Roman"/>
          <w:sz w:val="24"/>
        </w:rPr>
        <w:t>.</w:t>
      </w:r>
    </w:p>
    <w:p w14:paraId="5066B524" w14:textId="77777777" w:rsidR="00BC1364" w:rsidRPr="00F715D1" w:rsidRDefault="00BC1364" w:rsidP="00F715D1">
      <w:pPr>
        <w:pStyle w:val="Heading1"/>
      </w:pPr>
      <w:r w:rsidRPr="00F715D1">
        <w:t>Comparative safety</w:t>
      </w:r>
    </w:p>
    <w:p w14:paraId="0F3FFDE6" w14:textId="77777777" w:rsidR="000C5D80" w:rsidRDefault="00846C33" w:rsidP="000C5D80">
      <w:pPr>
        <w:tabs>
          <w:tab w:val="left" w:pos="720"/>
          <w:tab w:val="left" w:pos="1140"/>
        </w:tabs>
      </w:pPr>
      <w:r>
        <w:t>See comparative effectiveness section.</w:t>
      </w:r>
    </w:p>
    <w:p w14:paraId="24FC0F89" w14:textId="77777777" w:rsidR="00BC1364" w:rsidRPr="00F715D1" w:rsidRDefault="00BC1364" w:rsidP="00F715D1">
      <w:pPr>
        <w:pStyle w:val="Heading1"/>
      </w:pPr>
      <w:r w:rsidRPr="00F715D1">
        <w:lastRenderedPageBreak/>
        <w:t>Comparative effectiveness</w:t>
      </w:r>
    </w:p>
    <w:p w14:paraId="74ECD056" w14:textId="77777777" w:rsidR="00846C33" w:rsidRDefault="00846C33" w:rsidP="00501ED9">
      <w:pPr>
        <w:pStyle w:val="Heading2"/>
        <w:spacing w:before="0"/>
      </w:pPr>
      <w:r w:rsidRPr="00501ED9">
        <w:t>Key</w:t>
      </w:r>
      <w:r w:rsidR="00645461">
        <w:t xml:space="preserve"> analytical performance results</w:t>
      </w:r>
    </w:p>
    <w:p w14:paraId="3C015DB7" w14:textId="77777777" w:rsidR="00846C33" w:rsidRPr="00501ED9" w:rsidRDefault="00846C33" w:rsidP="00501ED9">
      <w:pPr>
        <w:pStyle w:val="Body"/>
        <w:spacing w:before="120" w:after="240" w:line="240" w:lineRule="auto"/>
        <w:rPr>
          <w:rFonts w:ascii="Times New Roman" w:hAnsi="Times New Roman" w:cs="Times New Roman"/>
        </w:rPr>
      </w:pPr>
      <w:r w:rsidRPr="00501ED9">
        <w:rPr>
          <w:rFonts w:ascii="Times New Roman" w:hAnsi="Times New Roman" w:cs="Times New Roman"/>
        </w:rPr>
        <w:t>Whole exome analysis (WEA) has a superior diagnostic yield to SoC</w:t>
      </w:r>
      <w:r w:rsidR="00730054">
        <w:rPr>
          <w:rFonts w:ascii="Times New Roman" w:hAnsi="Times New Roman" w:cs="Times New Roman"/>
        </w:rPr>
        <w:t>.</w:t>
      </w:r>
    </w:p>
    <w:p w14:paraId="1B7513AB" w14:textId="77777777" w:rsidR="00846C33" w:rsidRPr="00501ED9" w:rsidRDefault="00846C33" w:rsidP="00501ED9">
      <w:pPr>
        <w:pStyle w:val="Heading3"/>
        <w:rPr>
          <w:rStyle w:val="Emphasis"/>
          <w:rFonts w:ascii="Times New Roman" w:eastAsiaTheme="majorEastAsia" w:hAnsi="Times New Roman" w:cstheme="majorBidi"/>
          <w:i/>
          <w:szCs w:val="26"/>
        </w:rPr>
      </w:pPr>
      <w:r w:rsidRPr="00501ED9">
        <w:rPr>
          <w:rStyle w:val="Emphasis"/>
          <w:rFonts w:ascii="Times New Roman" w:eastAsiaTheme="majorEastAsia" w:hAnsi="Times New Roman" w:cstheme="majorBidi"/>
          <w:i/>
          <w:szCs w:val="26"/>
        </w:rPr>
        <w:t>Population 1: Initial testing for the diagnosis of childhood syndromes</w:t>
      </w:r>
    </w:p>
    <w:p w14:paraId="758046F5"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 xml:space="preserve">Pooled diagnostic </w:t>
      </w:r>
      <w:r w:rsidR="002D6BC9">
        <w:rPr>
          <w:rFonts w:ascii="Times New Roman" w:hAnsi="Times New Roman" w:cs="Times New Roman"/>
        </w:rPr>
        <w:t>yield</w:t>
      </w:r>
      <w:r w:rsidRPr="00501ED9">
        <w:rPr>
          <w:rFonts w:ascii="Times New Roman" w:hAnsi="Times New Roman" w:cs="Times New Roman"/>
        </w:rPr>
        <w:t xml:space="preserve"> for whole genome sequencing (WGS), whole exome sequencing (WES) and chromosomal microarray (CMA) in children (aged 0–18 years) with any suspected genetic disease (</w:t>
      </w:r>
      <w:r w:rsidR="00981880">
        <w:rPr>
          <w:rFonts w:ascii="Times New Roman" w:hAnsi="Times New Roman" w:cs="Times New Roman"/>
        </w:rPr>
        <w:t>Table 2</w:t>
      </w:r>
      <w:r w:rsidRPr="00501ED9">
        <w:rPr>
          <w:rFonts w:ascii="Times New Roman" w:hAnsi="Times New Roman" w:cs="Times New Roman"/>
        </w:rPr>
        <w:t xml:space="preserve">) were reported in a systematic literature review and meta-analysis (Clark </w:t>
      </w:r>
      <w:r w:rsidRPr="00501ED9">
        <w:rPr>
          <w:rFonts w:ascii="Times New Roman" w:hAnsi="Times New Roman" w:cs="Times New Roman"/>
          <w:i/>
        </w:rPr>
        <w:t>et al</w:t>
      </w:r>
      <w:r w:rsidRPr="00501ED9">
        <w:rPr>
          <w:rFonts w:ascii="Times New Roman" w:hAnsi="Times New Roman" w:cs="Times New Roman"/>
        </w:rPr>
        <w:t xml:space="preserve"> (2018)). WGS has a higher diagnostic yield than WES,</w:t>
      </w:r>
      <w:r w:rsidR="00451033">
        <w:rPr>
          <w:rFonts w:ascii="Times New Roman" w:hAnsi="Times New Roman" w:cs="Times New Roman"/>
        </w:rPr>
        <w:t xml:space="preserve"> and both were superior to CMA.</w:t>
      </w:r>
    </w:p>
    <w:p w14:paraId="552F1BEA" w14:textId="77777777" w:rsidR="00846C33" w:rsidRPr="001964D2" w:rsidRDefault="00846C33" w:rsidP="001964D2">
      <w:pPr>
        <w:rPr>
          <w:rFonts w:ascii="Arial Narrow" w:hAnsi="Arial Narrow"/>
          <w:b/>
          <w:sz w:val="20"/>
        </w:rPr>
      </w:pPr>
      <w:bookmarkStart w:id="4" w:name="_Ref512581030"/>
      <w:bookmarkStart w:id="5" w:name="_Toc513290985"/>
      <w:r w:rsidRPr="001964D2">
        <w:rPr>
          <w:rFonts w:ascii="Arial Narrow" w:hAnsi="Arial Narrow"/>
          <w:b/>
          <w:sz w:val="20"/>
        </w:rPr>
        <w:t xml:space="preserve">Table </w:t>
      </w:r>
      <w:bookmarkEnd w:id="4"/>
      <w:r w:rsidR="00981880" w:rsidRPr="001964D2">
        <w:rPr>
          <w:rFonts w:ascii="Arial Narrow" w:hAnsi="Arial Narrow"/>
          <w:b/>
          <w:sz w:val="20"/>
        </w:rPr>
        <w:t>2</w:t>
      </w:r>
      <w:r w:rsidRPr="001964D2">
        <w:rPr>
          <w:rFonts w:ascii="Arial Narrow" w:hAnsi="Arial Narrow"/>
          <w:b/>
          <w:sz w:val="20"/>
        </w:rPr>
        <w:tab/>
        <w:t xml:space="preserve">Pooled diagnostic </w:t>
      </w:r>
      <w:r w:rsidR="002D6BC9" w:rsidRPr="001964D2">
        <w:rPr>
          <w:rFonts w:ascii="Arial Narrow" w:hAnsi="Arial Narrow"/>
          <w:b/>
          <w:sz w:val="20"/>
        </w:rPr>
        <w:t>yield</w:t>
      </w:r>
      <w:r w:rsidRPr="001964D2">
        <w:rPr>
          <w:rFonts w:ascii="Arial Narrow" w:hAnsi="Arial Narrow"/>
          <w:b/>
          <w:sz w:val="20"/>
        </w:rPr>
        <w:t xml:space="preserve"> of WGS, WES and CMA</w:t>
      </w:r>
      <w:bookmarkEnd w:id="5"/>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pooled diagnostic yeield of WGS, WES and CMA"/>
      </w:tblPr>
      <w:tblGrid>
        <w:gridCol w:w="2259"/>
        <w:gridCol w:w="2259"/>
        <w:gridCol w:w="2260"/>
        <w:gridCol w:w="2260"/>
      </w:tblGrid>
      <w:tr w:rsidR="00846C33" w:rsidRPr="00501ED9" w14:paraId="0D72C20B" w14:textId="77777777" w:rsidTr="007052AA">
        <w:trPr>
          <w:tblHeader/>
        </w:trPr>
        <w:tc>
          <w:tcPr>
            <w:tcW w:w="2259" w:type="dxa"/>
          </w:tcPr>
          <w:p w14:paraId="0B4EC40A"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Genetic test</w:t>
            </w:r>
          </w:p>
        </w:tc>
        <w:tc>
          <w:tcPr>
            <w:tcW w:w="2259" w:type="dxa"/>
          </w:tcPr>
          <w:p w14:paraId="67C379EA" w14:textId="77777777" w:rsidR="00846C33" w:rsidRPr="00501ED9" w:rsidRDefault="00846C33" w:rsidP="002D6BC9">
            <w:pPr>
              <w:pStyle w:val="Tableheading"/>
              <w:jc w:val="center"/>
              <w:rPr>
                <w:rFonts w:ascii="Arial Narrow" w:hAnsi="Arial Narrow"/>
                <w:szCs w:val="20"/>
              </w:rPr>
            </w:pPr>
            <w:r w:rsidRPr="00501ED9">
              <w:rPr>
                <w:rFonts w:ascii="Arial Narrow" w:hAnsi="Arial Narrow"/>
                <w:szCs w:val="20"/>
              </w:rPr>
              <w:t xml:space="preserve">Diagnostic </w:t>
            </w:r>
            <w:r w:rsidR="002D6BC9">
              <w:rPr>
                <w:rFonts w:ascii="Arial Narrow" w:hAnsi="Arial Narrow"/>
                <w:szCs w:val="20"/>
              </w:rPr>
              <w:t>yield</w:t>
            </w:r>
          </w:p>
        </w:tc>
        <w:tc>
          <w:tcPr>
            <w:tcW w:w="2260" w:type="dxa"/>
          </w:tcPr>
          <w:p w14:paraId="5128EE62"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95% CI</w:t>
            </w:r>
          </w:p>
        </w:tc>
        <w:tc>
          <w:tcPr>
            <w:tcW w:w="2260" w:type="dxa"/>
          </w:tcPr>
          <w:p w14:paraId="2A4E006B" w14:textId="77777777" w:rsidR="00846C33" w:rsidRPr="00501ED9" w:rsidRDefault="00846C33" w:rsidP="0008217D">
            <w:pPr>
              <w:pStyle w:val="Tableheading"/>
              <w:jc w:val="center"/>
              <w:rPr>
                <w:rFonts w:ascii="Arial Narrow" w:hAnsi="Arial Narrow"/>
                <w:szCs w:val="20"/>
              </w:rPr>
            </w:pPr>
            <w:r w:rsidRPr="00501ED9">
              <w:rPr>
                <w:rFonts w:ascii="Arial Narrow" w:hAnsi="Arial Narrow"/>
                <w:i/>
                <w:szCs w:val="20"/>
              </w:rPr>
              <w:t>Heterogeneity (I</w:t>
            </w:r>
            <w:r w:rsidRPr="00501ED9">
              <w:rPr>
                <w:rFonts w:ascii="Arial Narrow" w:hAnsi="Arial Narrow"/>
                <w:szCs w:val="20"/>
                <w:vertAlign w:val="superscript"/>
              </w:rPr>
              <w:t>2</w:t>
            </w:r>
            <w:r w:rsidRPr="00501ED9">
              <w:rPr>
                <w:rFonts w:ascii="Arial Narrow" w:hAnsi="Arial Narrow"/>
                <w:szCs w:val="20"/>
              </w:rPr>
              <w:t>)</w:t>
            </w:r>
          </w:p>
        </w:tc>
      </w:tr>
      <w:tr w:rsidR="00846C33" w:rsidRPr="00501ED9" w14:paraId="2EBF8C4A" w14:textId="77777777" w:rsidTr="0008217D">
        <w:tc>
          <w:tcPr>
            <w:tcW w:w="2259" w:type="dxa"/>
          </w:tcPr>
          <w:p w14:paraId="068AEA2E" w14:textId="77777777" w:rsidR="00846C33" w:rsidRPr="00501ED9" w:rsidRDefault="00846C33" w:rsidP="0008217D">
            <w:pPr>
              <w:pStyle w:val="Tabletext"/>
              <w:rPr>
                <w:szCs w:val="20"/>
              </w:rPr>
            </w:pPr>
            <w:r w:rsidRPr="00501ED9">
              <w:rPr>
                <w:szCs w:val="20"/>
              </w:rPr>
              <w:t>WGS</w:t>
            </w:r>
          </w:p>
        </w:tc>
        <w:tc>
          <w:tcPr>
            <w:tcW w:w="2259" w:type="dxa"/>
          </w:tcPr>
          <w:p w14:paraId="1A469372" w14:textId="77777777" w:rsidR="00846C33" w:rsidRPr="00501ED9" w:rsidRDefault="00846C33" w:rsidP="0008217D">
            <w:pPr>
              <w:pStyle w:val="Tabletext"/>
              <w:jc w:val="center"/>
              <w:rPr>
                <w:szCs w:val="20"/>
              </w:rPr>
            </w:pPr>
            <w:r w:rsidRPr="00501ED9">
              <w:rPr>
                <w:szCs w:val="20"/>
              </w:rPr>
              <w:t>41%</w:t>
            </w:r>
          </w:p>
        </w:tc>
        <w:tc>
          <w:tcPr>
            <w:tcW w:w="2260" w:type="dxa"/>
          </w:tcPr>
          <w:p w14:paraId="209340C0" w14:textId="77777777" w:rsidR="00846C33" w:rsidRPr="00501ED9" w:rsidRDefault="00846C33" w:rsidP="0008217D">
            <w:pPr>
              <w:pStyle w:val="Tabletext"/>
              <w:jc w:val="center"/>
              <w:rPr>
                <w:szCs w:val="20"/>
              </w:rPr>
            </w:pPr>
            <w:r w:rsidRPr="00501ED9">
              <w:rPr>
                <w:szCs w:val="20"/>
              </w:rPr>
              <w:t>34–48%</w:t>
            </w:r>
          </w:p>
        </w:tc>
        <w:tc>
          <w:tcPr>
            <w:tcW w:w="2260" w:type="dxa"/>
          </w:tcPr>
          <w:p w14:paraId="4C27D267" w14:textId="77777777" w:rsidR="00846C33" w:rsidRPr="00501ED9" w:rsidRDefault="00846C33" w:rsidP="0008217D">
            <w:pPr>
              <w:pStyle w:val="Tabletext"/>
              <w:jc w:val="center"/>
              <w:rPr>
                <w:szCs w:val="20"/>
              </w:rPr>
            </w:pPr>
            <w:r w:rsidRPr="00501ED9">
              <w:rPr>
                <w:szCs w:val="20"/>
              </w:rPr>
              <w:t>44%</w:t>
            </w:r>
          </w:p>
        </w:tc>
      </w:tr>
      <w:tr w:rsidR="00846C33" w:rsidRPr="00501ED9" w14:paraId="609172CE" w14:textId="77777777" w:rsidTr="0008217D">
        <w:tc>
          <w:tcPr>
            <w:tcW w:w="2259" w:type="dxa"/>
          </w:tcPr>
          <w:p w14:paraId="0575C8AE" w14:textId="77777777" w:rsidR="00846C33" w:rsidRPr="00501ED9" w:rsidRDefault="00846C33" w:rsidP="0008217D">
            <w:pPr>
              <w:pStyle w:val="Tabletext"/>
              <w:rPr>
                <w:szCs w:val="20"/>
              </w:rPr>
            </w:pPr>
            <w:r w:rsidRPr="00501ED9">
              <w:rPr>
                <w:szCs w:val="20"/>
              </w:rPr>
              <w:t>WES</w:t>
            </w:r>
          </w:p>
        </w:tc>
        <w:tc>
          <w:tcPr>
            <w:tcW w:w="2259" w:type="dxa"/>
          </w:tcPr>
          <w:p w14:paraId="12A06DDE" w14:textId="77777777" w:rsidR="00846C33" w:rsidRPr="00501ED9" w:rsidRDefault="00846C33" w:rsidP="0008217D">
            <w:pPr>
              <w:pStyle w:val="Tabletext"/>
              <w:jc w:val="center"/>
              <w:rPr>
                <w:szCs w:val="20"/>
              </w:rPr>
            </w:pPr>
            <w:r w:rsidRPr="00501ED9">
              <w:rPr>
                <w:szCs w:val="20"/>
              </w:rPr>
              <w:t>35%</w:t>
            </w:r>
          </w:p>
        </w:tc>
        <w:tc>
          <w:tcPr>
            <w:tcW w:w="2260" w:type="dxa"/>
          </w:tcPr>
          <w:p w14:paraId="2FA38909" w14:textId="77777777" w:rsidR="00846C33" w:rsidRPr="00501ED9" w:rsidRDefault="00846C33" w:rsidP="0008217D">
            <w:pPr>
              <w:pStyle w:val="Tabletext"/>
              <w:jc w:val="center"/>
              <w:rPr>
                <w:szCs w:val="20"/>
              </w:rPr>
            </w:pPr>
            <w:r w:rsidRPr="00501ED9">
              <w:rPr>
                <w:szCs w:val="20"/>
              </w:rPr>
              <w:t>31–39%</w:t>
            </w:r>
          </w:p>
        </w:tc>
        <w:tc>
          <w:tcPr>
            <w:tcW w:w="2260" w:type="dxa"/>
          </w:tcPr>
          <w:p w14:paraId="2FCCD844" w14:textId="77777777" w:rsidR="00846C33" w:rsidRPr="00501ED9" w:rsidRDefault="00846C33" w:rsidP="0008217D">
            <w:pPr>
              <w:pStyle w:val="Tabletext"/>
              <w:jc w:val="center"/>
              <w:rPr>
                <w:szCs w:val="20"/>
              </w:rPr>
            </w:pPr>
            <w:r w:rsidRPr="00501ED9">
              <w:rPr>
                <w:szCs w:val="20"/>
              </w:rPr>
              <w:t>85%</w:t>
            </w:r>
          </w:p>
        </w:tc>
      </w:tr>
      <w:tr w:rsidR="00846C33" w:rsidRPr="00501ED9" w14:paraId="41870156" w14:textId="77777777" w:rsidTr="0008217D">
        <w:tc>
          <w:tcPr>
            <w:tcW w:w="2259" w:type="dxa"/>
          </w:tcPr>
          <w:p w14:paraId="46EE3B54" w14:textId="77777777" w:rsidR="00846C33" w:rsidRPr="00501ED9" w:rsidRDefault="00846C33" w:rsidP="0008217D">
            <w:pPr>
              <w:pStyle w:val="Tabletext"/>
              <w:rPr>
                <w:szCs w:val="20"/>
              </w:rPr>
            </w:pPr>
            <w:r w:rsidRPr="00501ED9">
              <w:rPr>
                <w:szCs w:val="20"/>
              </w:rPr>
              <w:t>CMA</w:t>
            </w:r>
          </w:p>
        </w:tc>
        <w:tc>
          <w:tcPr>
            <w:tcW w:w="2259" w:type="dxa"/>
          </w:tcPr>
          <w:p w14:paraId="3C66CDF9" w14:textId="77777777" w:rsidR="00846C33" w:rsidRPr="00501ED9" w:rsidRDefault="00846C33" w:rsidP="0008217D">
            <w:pPr>
              <w:pStyle w:val="Tabletext"/>
              <w:jc w:val="center"/>
              <w:rPr>
                <w:szCs w:val="20"/>
              </w:rPr>
            </w:pPr>
            <w:r w:rsidRPr="00501ED9">
              <w:rPr>
                <w:szCs w:val="20"/>
              </w:rPr>
              <w:t>10%</w:t>
            </w:r>
          </w:p>
        </w:tc>
        <w:tc>
          <w:tcPr>
            <w:tcW w:w="2260" w:type="dxa"/>
          </w:tcPr>
          <w:p w14:paraId="4EF895BC" w14:textId="77777777" w:rsidR="00846C33" w:rsidRPr="00501ED9" w:rsidRDefault="00846C33" w:rsidP="0008217D">
            <w:pPr>
              <w:pStyle w:val="Tabletext"/>
              <w:jc w:val="center"/>
              <w:rPr>
                <w:szCs w:val="20"/>
              </w:rPr>
            </w:pPr>
            <w:r w:rsidRPr="00501ED9">
              <w:rPr>
                <w:szCs w:val="20"/>
              </w:rPr>
              <w:t>8–12%</w:t>
            </w:r>
          </w:p>
        </w:tc>
        <w:tc>
          <w:tcPr>
            <w:tcW w:w="2260" w:type="dxa"/>
          </w:tcPr>
          <w:p w14:paraId="319523B1" w14:textId="77777777" w:rsidR="00846C33" w:rsidRPr="00501ED9" w:rsidRDefault="00846C33" w:rsidP="0008217D">
            <w:pPr>
              <w:pStyle w:val="Tabletext"/>
              <w:jc w:val="center"/>
              <w:rPr>
                <w:szCs w:val="20"/>
              </w:rPr>
            </w:pPr>
            <w:r w:rsidRPr="00501ED9">
              <w:rPr>
                <w:szCs w:val="20"/>
              </w:rPr>
              <w:t>81%</w:t>
            </w:r>
          </w:p>
        </w:tc>
      </w:tr>
    </w:tbl>
    <w:p w14:paraId="734B1762" w14:textId="77777777" w:rsidR="00846C33" w:rsidRPr="00501ED9" w:rsidRDefault="00846C33" w:rsidP="00645461">
      <w:pPr>
        <w:pStyle w:val="Tablenote"/>
        <w:rPr>
          <w:rFonts w:ascii="Arial Narrow" w:hAnsi="Arial Narrow"/>
          <w:sz w:val="20"/>
          <w:szCs w:val="20"/>
        </w:rPr>
      </w:pPr>
      <w:r w:rsidRPr="00501ED9">
        <w:rPr>
          <w:rFonts w:ascii="Arial Narrow" w:hAnsi="Arial Narrow"/>
          <w:sz w:val="20"/>
          <w:szCs w:val="20"/>
        </w:rPr>
        <w:t>Abbreviations: CI, confidence interval; CMA, chromosomal microarray; WES, whole exome sequencing; WGS, whole genome sequencing</w:t>
      </w:r>
    </w:p>
    <w:p w14:paraId="22CCEDF5" w14:textId="77777777" w:rsidR="00846C33" w:rsidRPr="00501ED9" w:rsidRDefault="00846C33" w:rsidP="00645461">
      <w:pPr>
        <w:pStyle w:val="Tablenote"/>
        <w:spacing w:after="240"/>
        <w:rPr>
          <w:rFonts w:ascii="Arial Narrow" w:hAnsi="Arial Narrow"/>
          <w:sz w:val="20"/>
          <w:szCs w:val="20"/>
        </w:rPr>
      </w:pPr>
      <w:r w:rsidRPr="00501ED9">
        <w:rPr>
          <w:rFonts w:ascii="Arial Narrow" w:hAnsi="Arial Narrow"/>
          <w:sz w:val="20"/>
          <w:szCs w:val="20"/>
        </w:rPr>
        <w:t>Source: Clark et al (2018)</w:t>
      </w:r>
    </w:p>
    <w:p w14:paraId="2AD1A473"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 xml:space="preserve">The diagnostic </w:t>
      </w:r>
      <w:r w:rsidR="002D6BC9">
        <w:rPr>
          <w:rFonts w:ascii="Times New Roman" w:hAnsi="Times New Roman" w:cs="Times New Roman"/>
        </w:rPr>
        <w:t>yield</w:t>
      </w:r>
      <w:r w:rsidRPr="00501ED9">
        <w:rPr>
          <w:rFonts w:ascii="Times New Roman" w:hAnsi="Times New Roman" w:cs="Times New Roman"/>
        </w:rPr>
        <w:t xml:space="preserve"> of WES in infants (aged 0–2 years) and children (aged 2–18 years) who are suspected of having a monogenic disorder (</w:t>
      </w:r>
      <w:r w:rsidR="00981880">
        <w:rPr>
          <w:rFonts w:ascii="Times New Roman" w:hAnsi="Times New Roman" w:cs="Times New Roman"/>
        </w:rPr>
        <w:t>Table 3</w:t>
      </w:r>
      <w:r w:rsidRPr="00501ED9">
        <w:rPr>
          <w:rFonts w:ascii="Times New Roman" w:hAnsi="Times New Roman" w:cs="Times New Roman"/>
        </w:rPr>
        <w:t xml:space="preserve">) were reported in two Australian prospective studies (Stark </w:t>
      </w:r>
      <w:r w:rsidRPr="00501ED9">
        <w:rPr>
          <w:rFonts w:ascii="Times New Roman" w:hAnsi="Times New Roman" w:cs="Times New Roman"/>
          <w:i/>
        </w:rPr>
        <w:t>et al</w:t>
      </w:r>
      <w:r w:rsidRPr="00501ED9">
        <w:rPr>
          <w:rFonts w:ascii="Times New Roman" w:hAnsi="Times New Roman" w:cs="Times New Roman"/>
        </w:rPr>
        <w:t xml:space="preserve"> (2016) and Tan </w:t>
      </w:r>
      <w:r w:rsidRPr="00501ED9">
        <w:rPr>
          <w:rFonts w:ascii="Times New Roman" w:hAnsi="Times New Roman" w:cs="Times New Roman"/>
          <w:i/>
        </w:rPr>
        <w:t>et al</w:t>
      </w:r>
      <w:r w:rsidRPr="00501ED9">
        <w:rPr>
          <w:rFonts w:ascii="Times New Roman" w:hAnsi="Times New Roman" w:cs="Times New Roman"/>
        </w:rPr>
        <w:t xml:space="preserve"> (2017)).</w:t>
      </w:r>
    </w:p>
    <w:p w14:paraId="479E9E74" w14:textId="77777777" w:rsidR="00846C33" w:rsidRPr="007052AA" w:rsidRDefault="00846C33" w:rsidP="007052AA">
      <w:pPr>
        <w:rPr>
          <w:rFonts w:ascii="Arial Narrow" w:hAnsi="Arial Narrow"/>
          <w:b/>
          <w:sz w:val="20"/>
        </w:rPr>
      </w:pPr>
      <w:bookmarkStart w:id="6" w:name="_Ref512581716"/>
      <w:bookmarkStart w:id="7" w:name="_Toc513290986"/>
      <w:r w:rsidRPr="007052AA">
        <w:rPr>
          <w:rFonts w:ascii="Arial Narrow" w:hAnsi="Arial Narrow"/>
          <w:b/>
          <w:sz w:val="20"/>
        </w:rPr>
        <w:t xml:space="preserve">Table </w:t>
      </w:r>
      <w:bookmarkEnd w:id="6"/>
      <w:r w:rsidR="00981880" w:rsidRPr="007052AA">
        <w:rPr>
          <w:rFonts w:ascii="Arial Narrow" w:hAnsi="Arial Narrow"/>
          <w:b/>
          <w:sz w:val="20"/>
        </w:rPr>
        <w:t>3</w:t>
      </w:r>
      <w:r w:rsidRPr="007052AA">
        <w:rPr>
          <w:rFonts w:ascii="Arial Narrow" w:hAnsi="Arial Narrow"/>
          <w:b/>
          <w:sz w:val="20"/>
        </w:rPr>
        <w:tab/>
        <w:t>Diagnostic yield of WES compared to standard diagnostic pathway in Australian paediatric populations</w:t>
      </w:r>
      <w:bookmarkEnd w:id="7"/>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results for diagnostic yield of WES compared to standard diagnostic pathway in Australian children population, infants aged 02- years and children aged 2-18 years"/>
      </w:tblPr>
      <w:tblGrid>
        <w:gridCol w:w="1475"/>
        <w:gridCol w:w="2095"/>
        <w:gridCol w:w="1247"/>
        <w:gridCol w:w="1338"/>
        <w:gridCol w:w="1676"/>
        <w:gridCol w:w="951"/>
      </w:tblGrid>
      <w:tr w:rsidR="00846C33" w:rsidRPr="00501ED9" w14:paraId="147A5675" w14:textId="77777777" w:rsidTr="007052AA">
        <w:trPr>
          <w:tblHeader/>
        </w:trPr>
        <w:tc>
          <w:tcPr>
            <w:tcW w:w="0" w:type="auto"/>
          </w:tcPr>
          <w:p w14:paraId="2B319757"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Study</w:t>
            </w:r>
          </w:p>
        </w:tc>
        <w:tc>
          <w:tcPr>
            <w:tcW w:w="0" w:type="auto"/>
          </w:tcPr>
          <w:p w14:paraId="2887BE39" w14:textId="77777777" w:rsidR="00846C33" w:rsidRPr="00501ED9" w:rsidRDefault="00846C33" w:rsidP="0008217D">
            <w:pPr>
              <w:pStyle w:val="Tableheading"/>
              <w:rPr>
                <w:rFonts w:ascii="Arial Narrow" w:hAnsi="Arial Narrow"/>
                <w:szCs w:val="20"/>
              </w:rPr>
            </w:pPr>
            <w:r w:rsidRPr="00501ED9">
              <w:rPr>
                <w:rFonts w:ascii="Arial Narrow" w:hAnsi="Arial Narrow"/>
                <w:szCs w:val="20"/>
              </w:rPr>
              <w:t>Population</w:t>
            </w:r>
          </w:p>
        </w:tc>
        <w:tc>
          <w:tcPr>
            <w:tcW w:w="0" w:type="auto"/>
          </w:tcPr>
          <w:p w14:paraId="7A994D78"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WES</w:t>
            </w:r>
          </w:p>
          <w:p w14:paraId="663E00B5"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n/N (%)</w:t>
            </w:r>
          </w:p>
        </w:tc>
        <w:tc>
          <w:tcPr>
            <w:tcW w:w="0" w:type="auto"/>
          </w:tcPr>
          <w:p w14:paraId="73AE135E"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Standard care</w:t>
            </w:r>
          </w:p>
          <w:p w14:paraId="7829E166"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n/N (%)</w:t>
            </w:r>
          </w:p>
        </w:tc>
        <w:tc>
          <w:tcPr>
            <w:tcW w:w="0" w:type="auto"/>
          </w:tcPr>
          <w:p w14:paraId="79B907C1"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RR [95% CI]</w:t>
            </w:r>
          </w:p>
        </w:tc>
        <w:tc>
          <w:tcPr>
            <w:tcW w:w="0" w:type="auto"/>
          </w:tcPr>
          <w:p w14:paraId="4A6B6123" w14:textId="77777777" w:rsidR="00846C33" w:rsidRPr="00501ED9" w:rsidRDefault="00846C33" w:rsidP="0008217D">
            <w:pPr>
              <w:pStyle w:val="Tableheading"/>
              <w:jc w:val="center"/>
              <w:rPr>
                <w:rFonts w:ascii="Arial Narrow" w:hAnsi="Arial Narrow"/>
                <w:szCs w:val="20"/>
              </w:rPr>
            </w:pPr>
            <w:r w:rsidRPr="00501ED9">
              <w:rPr>
                <w:rFonts w:ascii="Arial Narrow" w:hAnsi="Arial Narrow"/>
                <w:szCs w:val="20"/>
              </w:rPr>
              <w:t>P-value</w:t>
            </w:r>
          </w:p>
        </w:tc>
      </w:tr>
      <w:tr w:rsidR="00846C33" w:rsidRPr="00501ED9" w14:paraId="71549D62" w14:textId="77777777" w:rsidTr="0008217D">
        <w:tc>
          <w:tcPr>
            <w:tcW w:w="0" w:type="auto"/>
          </w:tcPr>
          <w:p w14:paraId="345378B5" w14:textId="77777777" w:rsidR="00846C33" w:rsidRPr="00501ED9" w:rsidRDefault="00846C33" w:rsidP="0008217D">
            <w:pPr>
              <w:pStyle w:val="Tabletext"/>
              <w:rPr>
                <w:szCs w:val="20"/>
              </w:rPr>
            </w:pPr>
            <w:r w:rsidRPr="00501ED9">
              <w:rPr>
                <w:szCs w:val="20"/>
              </w:rPr>
              <w:t xml:space="preserve">Stark </w:t>
            </w:r>
            <w:r w:rsidRPr="00501ED9">
              <w:rPr>
                <w:i/>
                <w:szCs w:val="20"/>
              </w:rPr>
              <w:t>et al</w:t>
            </w:r>
            <w:r w:rsidRPr="00501ED9">
              <w:rPr>
                <w:szCs w:val="20"/>
              </w:rPr>
              <w:t xml:space="preserve"> (2016)</w:t>
            </w:r>
          </w:p>
        </w:tc>
        <w:tc>
          <w:tcPr>
            <w:tcW w:w="0" w:type="auto"/>
          </w:tcPr>
          <w:p w14:paraId="014A860F" w14:textId="77777777" w:rsidR="00846C33" w:rsidRPr="00501ED9" w:rsidRDefault="00846C33" w:rsidP="0008217D">
            <w:pPr>
              <w:pStyle w:val="Tabletext"/>
              <w:rPr>
                <w:szCs w:val="20"/>
              </w:rPr>
            </w:pPr>
            <w:r w:rsidRPr="00501ED9">
              <w:rPr>
                <w:szCs w:val="20"/>
              </w:rPr>
              <w:t>Infants aged 0–2 years</w:t>
            </w:r>
          </w:p>
        </w:tc>
        <w:tc>
          <w:tcPr>
            <w:tcW w:w="0" w:type="auto"/>
          </w:tcPr>
          <w:p w14:paraId="230599CF" w14:textId="77777777" w:rsidR="00846C33" w:rsidRPr="00501ED9" w:rsidRDefault="00846C33" w:rsidP="0008217D">
            <w:pPr>
              <w:pStyle w:val="Tabletext"/>
              <w:jc w:val="center"/>
              <w:rPr>
                <w:szCs w:val="20"/>
              </w:rPr>
            </w:pPr>
            <w:r w:rsidRPr="00501ED9">
              <w:rPr>
                <w:szCs w:val="20"/>
              </w:rPr>
              <w:t>46/80 (57.5%)</w:t>
            </w:r>
          </w:p>
        </w:tc>
        <w:tc>
          <w:tcPr>
            <w:tcW w:w="0" w:type="auto"/>
          </w:tcPr>
          <w:p w14:paraId="28EA620F" w14:textId="77777777" w:rsidR="00846C33" w:rsidRPr="00501ED9" w:rsidRDefault="00846C33" w:rsidP="0008217D">
            <w:pPr>
              <w:pStyle w:val="Tabletext"/>
              <w:jc w:val="center"/>
              <w:rPr>
                <w:szCs w:val="20"/>
              </w:rPr>
            </w:pPr>
            <w:r w:rsidRPr="00501ED9">
              <w:rPr>
                <w:szCs w:val="20"/>
              </w:rPr>
              <w:t>11/80 (13.75%)</w:t>
            </w:r>
          </w:p>
        </w:tc>
        <w:tc>
          <w:tcPr>
            <w:tcW w:w="0" w:type="auto"/>
          </w:tcPr>
          <w:p w14:paraId="42C09FD8" w14:textId="77777777" w:rsidR="00846C33" w:rsidRPr="00501ED9" w:rsidRDefault="00846C33" w:rsidP="0008217D">
            <w:pPr>
              <w:pStyle w:val="Tabletext"/>
              <w:jc w:val="center"/>
              <w:rPr>
                <w:szCs w:val="20"/>
              </w:rPr>
            </w:pPr>
            <w:r w:rsidRPr="00501ED9">
              <w:rPr>
                <w:szCs w:val="20"/>
              </w:rPr>
              <w:t>4.18 [2.34, 7.47]</w:t>
            </w:r>
          </w:p>
        </w:tc>
        <w:tc>
          <w:tcPr>
            <w:tcW w:w="0" w:type="auto"/>
          </w:tcPr>
          <w:p w14:paraId="72C1011D" w14:textId="77777777" w:rsidR="00846C33" w:rsidRPr="00501ED9" w:rsidRDefault="00846C33" w:rsidP="0008217D">
            <w:pPr>
              <w:pStyle w:val="Tabletext"/>
              <w:jc w:val="center"/>
              <w:rPr>
                <w:szCs w:val="20"/>
              </w:rPr>
            </w:pPr>
            <w:r w:rsidRPr="00501ED9">
              <w:rPr>
                <w:szCs w:val="20"/>
              </w:rPr>
              <w:t>&lt; 0.00001</w:t>
            </w:r>
          </w:p>
        </w:tc>
      </w:tr>
      <w:tr w:rsidR="00846C33" w:rsidRPr="00501ED9" w14:paraId="6121A41D" w14:textId="77777777" w:rsidTr="0008217D">
        <w:tc>
          <w:tcPr>
            <w:tcW w:w="0" w:type="auto"/>
          </w:tcPr>
          <w:p w14:paraId="5626AF83" w14:textId="77777777" w:rsidR="00846C33" w:rsidRPr="00501ED9" w:rsidRDefault="00846C33" w:rsidP="0008217D">
            <w:pPr>
              <w:pStyle w:val="Tabletext"/>
              <w:rPr>
                <w:szCs w:val="20"/>
              </w:rPr>
            </w:pPr>
            <w:r w:rsidRPr="00501ED9">
              <w:rPr>
                <w:szCs w:val="20"/>
              </w:rPr>
              <w:t xml:space="preserve">Tan </w:t>
            </w:r>
            <w:r w:rsidRPr="00501ED9">
              <w:rPr>
                <w:i/>
                <w:szCs w:val="20"/>
              </w:rPr>
              <w:t>et al</w:t>
            </w:r>
            <w:r w:rsidRPr="00501ED9">
              <w:rPr>
                <w:szCs w:val="20"/>
              </w:rPr>
              <w:t xml:space="preserve"> (2017)</w:t>
            </w:r>
          </w:p>
        </w:tc>
        <w:tc>
          <w:tcPr>
            <w:tcW w:w="0" w:type="auto"/>
          </w:tcPr>
          <w:p w14:paraId="2528189F" w14:textId="77777777" w:rsidR="00846C33" w:rsidRPr="00501ED9" w:rsidRDefault="00846C33" w:rsidP="0008217D">
            <w:pPr>
              <w:pStyle w:val="Tabletext"/>
              <w:rPr>
                <w:szCs w:val="20"/>
              </w:rPr>
            </w:pPr>
            <w:r w:rsidRPr="00501ED9">
              <w:rPr>
                <w:szCs w:val="20"/>
              </w:rPr>
              <w:t>Children aged 2–18 years</w:t>
            </w:r>
          </w:p>
        </w:tc>
        <w:tc>
          <w:tcPr>
            <w:tcW w:w="0" w:type="auto"/>
          </w:tcPr>
          <w:p w14:paraId="0E45520C" w14:textId="77777777" w:rsidR="00846C33" w:rsidRPr="00501ED9" w:rsidRDefault="00846C33" w:rsidP="0008217D">
            <w:pPr>
              <w:pStyle w:val="Tabletext"/>
              <w:jc w:val="center"/>
              <w:rPr>
                <w:szCs w:val="20"/>
              </w:rPr>
            </w:pPr>
            <w:r w:rsidRPr="00501ED9">
              <w:rPr>
                <w:szCs w:val="20"/>
              </w:rPr>
              <w:t>23/44 (52%)</w:t>
            </w:r>
          </w:p>
        </w:tc>
        <w:tc>
          <w:tcPr>
            <w:tcW w:w="0" w:type="auto"/>
          </w:tcPr>
          <w:p w14:paraId="14695860" w14:textId="77777777" w:rsidR="00846C33" w:rsidRPr="00501ED9" w:rsidRDefault="00846C33" w:rsidP="0008217D">
            <w:pPr>
              <w:pStyle w:val="Tabletext"/>
              <w:jc w:val="center"/>
              <w:rPr>
                <w:szCs w:val="20"/>
              </w:rPr>
            </w:pPr>
            <w:r w:rsidRPr="00501ED9">
              <w:rPr>
                <w:szCs w:val="20"/>
              </w:rPr>
              <w:t>0/44 (0%)</w:t>
            </w:r>
          </w:p>
        </w:tc>
        <w:tc>
          <w:tcPr>
            <w:tcW w:w="0" w:type="auto"/>
          </w:tcPr>
          <w:p w14:paraId="28700F54" w14:textId="77777777" w:rsidR="00846C33" w:rsidRPr="00501ED9" w:rsidRDefault="00846C33" w:rsidP="0008217D">
            <w:pPr>
              <w:pStyle w:val="Tabletext"/>
              <w:jc w:val="center"/>
              <w:rPr>
                <w:szCs w:val="20"/>
              </w:rPr>
            </w:pPr>
            <w:r w:rsidRPr="00501ED9">
              <w:rPr>
                <w:szCs w:val="20"/>
              </w:rPr>
              <w:t>47.00 [2.94, 750.43]</w:t>
            </w:r>
          </w:p>
        </w:tc>
        <w:tc>
          <w:tcPr>
            <w:tcW w:w="0" w:type="auto"/>
          </w:tcPr>
          <w:p w14:paraId="6E08C2AF" w14:textId="77777777" w:rsidR="00846C33" w:rsidRPr="00501ED9" w:rsidRDefault="00846C33" w:rsidP="0008217D">
            <w:pPr>
              <w:pStyle w:val="Tabletext"/>
              <w:jc w:val="center"/>
              <w:rPr>
                <w:szCs w:val="20"/>
              </w:rPr>
            </w:pPr>
            <w:r w:rsidRPr="00501ED9">
              <w:rPr>
                <w:szCs w:val="20"/>
              </w:rPr>
              <w:t>0.006</w:t>
            </w:r>
          </w:p>
        </w:tc>
      </w:tr>
    </w:tbl>
    <w:p w14:paraId="62A1E624" w14:textId="77777777" w:rsidR="00846C33" w:rsidRPr="00501ED9" w:rsidRDefault="00846C33" w:rsidP="00645461">
      <w:pPr>
        <w:pStyle w:val="Tablenote"/>
        <w:rPr>
          <w:rFonts w:ascii="Arial Narrow" w:hAnsi="Arial Narrow"/>
          <w:sz w:val="20"/>
          <w:szCs w:val="20"/>
        </w:rPr>
      </w:pPr>
      <w:r w:rsidRPr="00501ED9">
        <w:rPr>
          <w:rFonts w:ascii="Arial Narrow" w:hAnsi="Arial Narrow"/>
          <w:sz w:val="20"/>
          <w:szCs w:val="20"/>
        </w:rPr>
        <w:t>Abbreviations: NR, not reported; WES, whole exome sequencing</w:t>
      </w:r>
    </w:p>
    <w:p w14:paraId="7806EBB6" w14:textId="77777777" w:rsidR="00846C33" w:rsidRPr="00501ED9" w:rsidRDefault="00846C33" w:rsidP="00645461">
      <w:pPr>
        <w:pStyle w:val="Tablenote"/>
        <w:spacing w:after="240"/>
        <w:rPr>
          <w:rFonts w:ascii="Arial Narrow" w:hAnsi="Arial Narrow"/>
          <w:sz w:val="20"/>
          <w:szCs w:val="20"/>
          <w:vertAlign w:val="superscript"/>
        </w:rPr>
      </w:pPr>
      <w:r w:rsidRPr="00501ED9">
        <w:rPr>
          <w:rFonts w:ascii="Arial Narrow" w:hAnsi="Arial Narrow"/>
          <w:sz w:val="20"/>
          <w:szCs w:val="20"/>
        </w:rPr>
        <w:t>Source: Stark et al (2016), Tan et al (2017), Stark et al (2017)</w:t>
      </w:r>
    </w:p>
    <w:p w14:paraId="3C8D8FE4" w14:textId="77777777" w:rsidR="00846C33" w:rsidRPr="007052AA" w:rsidRDefault="00846C33" w:rsidP="007052AA">
      <w:pPr>
        <w:spacing w:after="120"/>
        <w:rPr>
          <w:rFonts w:eastAsiaTheme="majorEastAsia"/>
          <w:i/>
        </w:rPr>
      </w:pPr>
      <w:r w:rsidRPr="007052AA">
        <w:rPr>
          <w:rFonts w:eastAsiaTheme="majorEastAsia"/>
          <w:i/>
        </w:rPr>
        <w:t xml:space="preserve">Population 2: Re-interrogation analysis for patients who did not have a definite </w:t>
      </w:r>
      <w:r w:rsidR="0008731B" w:rsidRPr="007052AA">
        <w:rPr>
          <w:rFonts w:eastAsiaTheme="majorEastAsia"/>
          <w:i/>
        </w:rPr>
        <w:t xml:space="preserve">molecular </w:t>
      </w:r>
      <w:r w:rsidRPr="007052AA">
        <w:rPr>
          <w:rFonts w:eastAsiaTheme="majorEastAsia"/>
          <w:i/>
        </w:rPr>
        <w:t xml:space="preserve">diagnosis at initial </w:t>
      </w:r>
      <w:r w:rsidR="004C5A49" w:rsidRPr="007052AA">
        <w:rPr>
          <w:rFonts w:eastAsiaTheme="majorEastAsia"/>
          <w:i/>
        </w:rPr>
        <w:t xml:space="preserve">WES </w:t>
      </w:r>
      <w:r w:rsidRPr="007052AA">
        <w:rPr>
          <w:rFonts w:eastAsiaTheme="majorEastAsia"/>
          <w:i/>
        </w:rPr>
        <w:t>testing</w:t>
      </w:r>
    </w:p>
    <w:p w14:paraId="1DD5F187" w14:textId="77777777" w:rsidR="00846C33" w:rsidRPr="00501ED9" w:rsidRDefault="00846C33" w:rsidP="00501ED9">
      <w:pPr>
        <w:pStyle w:val="Body"/>
        <w:spacing w:after="240" w:line="240" w:lineRule="auto"/>
        <w:rPr>
          <w:rFonts w:ascii="Times New Roman" w:hAnsi="Times New Roman" w:cs="Times New Roman"/>
        </w:rPr>
      </w:pPr>
      <w:r w:rsidRPr="00501ED9">
        <w:rPr>
          <w:rFonts w:ascii="Times New Roman" w:hAnsi="Times New Roman" w:cs="Times New Roman"/>
        </w:rPr>
        <w:t>The diagnostic yield of WES data re-analysis was 1</w:t>
      </w:r>
      <w:r w:rsidR="00486832">
        <w:rPr>
          <w:rFonts w:ascii="Times New Roman" w:hAnsi="Times New Roman" w:cs="Times New Roman"/>
        </w:rPr>
        <w:t>4</w:t>
      </w:r>
      <w:r w:rsidRPr="00501ED9">
        <w:rPr>
          <w:rFonts w:ascii="Times New Roman" w:hAnsi="Times New Roman" w:cs="Times New Roman"/>
        </w:rPr>
        <w:t xml:space="preserve">% in a follow-up study (Stark </w:t>
      </w:r>
      <w:r w:rsidRPr="00501ED9">
        <w:rPr>
          <w:rFonts w:ascii="Times New Roman" w:hAnsi="Times New Roman" w:cs="Times New Roman"/>
          <w:i/>
        </w:rPr>
        <w:t>et al</w:t>
      </w:r>
      <w:r w:rsidRPr="00501ED9">
        <w:rPr>
          <w:rFonts w:ascii="Times New Roman" w:hAnsi="Times New Roman" w:cs="Times New Roman"/>
        </w:rPr>
        <w:t xml:space="preserve"> (2018)) investigating the longer-term clinical impacts and cost-effectiveness of WES in infants aged 0–2 years with suspected monogenic disorders.</w:t>
      </w:r>
    </w:p>
    <w:p w14:paraId="339F7766" w14:textId="77777777" w:rsidR="00846C33" w:rsidRPr="00501ED9" w:rsidRDefault="00846C33" w:rsidP="00501ED9">
      <w:pPr>
        <w:pStyle w:val="Heading3"/>
        <w:rPr>
          <w:rStyle w:val="Emphasis"/>
          <w:rFonts w:ascii="Times New Roman" w:eastAsiaTheme="majorEastAsia" w:hAnsi="Times New Roman"/>
          <w:i/>
        </w:rPr>
      </w:pPr>
      <w:r w:rsidRPr="00501ED9">
        <w:rPr>
          <w:rStyle w:val="Emphasis"/>
          <w:rFonts w:ascii="Times New Roman" w:eastAsiaTheme="majorEastAsia" w:hAnsi="Times New Roman"/>
          <w:i/>
        </w:rPr>
        <w:t xml:space="preserve">Population 3: Cascade testing </w:t>
      </w:r>
      <w:r w:rsidR="000569BD">
        <w:rPr>
          <w:rStyle w:val="Emphasis"/>
          <w:rFonts w:ascii="Times New Roman" w:eastAsiaTheme="majorEastAsia" w:hAnsi="Times New Roman"/>
          <w:i/>
        </w:rPr>
        <w:t>o</w:t>
      </w:r>
      <w:r w:rsidRPr="00501ED9">
        <w:rPr>
          <w:rStyle w:val="Emphasis"/>
          <w:rFonts w:ascii="Times New Roman" w:eastAsiaTheme="majorEastAsia" w:hAnsi="Times New Roman"/>
          <w:i/>
        </w:rPr>
        <w:t>f first-degree family members</w:t>
      </w:r>
    </w:p>
    <w:p w14:paraId="07B4561B" w14:textId="77777777" w:rsidR="00846C33" w:rsidRPr="00501ED9" w:rsidRDefault="00846C33" w:rsidP="00501ED9">
      <w:pPr>
        <w:pStyle w:val="Body"/>
        <w:spacing w:line="240" w:lineRule="auto"/>
        <w:rPr>
          <w:rFonts w:ascii="Times New Roman" w:hAnsi="Times New Roman" w:cs="Times New Roman"/>
        </w:rPr>
      </w:pPr>
      <w:r w:rsidRPr="00501ED9">
        <w:rPr>
          <w:rFonts w:ascii="Times New Roman" w:hAnsi="Times New Roman" w:cs="Times New Roman"/>
        </w:rPr>
        <w:t xml:space="preserve">The diagnostic yield of cascade testing was 15% in the follow-up study (Stark </w:t>
      </w:r>
      <w:r w:rsidRPr="00501ED9">
        <w:rPr>
          <w:rFonts w:ascii="Times New Roman" w:hAnsi="Times New Roman" w:cs="Times New Roman"/>
          <w:i/>
        </w:rPr>
        <w:t>et al</w:t>
      </w:r>
      <w:r w:rsidRPr="00501ED9">
        <w:rPr>
          <w:rFonts w:ascii="Times New Roman" w:hAnsi="Times New Roman" w:cs="Times New Roman"/>
        </w:rPr>
        <w:t xml:space="preserve"> (2018)). Of the 88 eligible first-degree relatives of infants diagnosed by WES, 79 (9</w:t>
      </w:r>
      <w:r w:rsidR="00486832">
        <w:rPr>
          <w:rFonts w:ascii="Times New Roman" w:hAnsi="Times New Roman" w:cs="Times New Roman"/>
        </w:rPr>
        <w:t>0</w:t>
      </w:r>
      <w:r w:rsidRPr="00501ED9">
        <w:rPr>
          <w:rFonts w:ascii="Times New Roman" w:hAnsi="Times New Roman" w:cs="Times New Roman"/>
        </w:rPr>
        <w:t>%) underwent cascade testing. Of those 79 relatives, twelve received a molecular diagnosis.</w:t>
      </w:r>
    </w:p>
    <w:p w14:paraId="2C57F951" w14:textId="77777777" w:rsidR="00846C33" w:rsidRPr="00B95CD4" w:rsidRDefault="00645461" w:rsidP="00501ED9">
      <w:pPr>
        <w:pStyle w:val="Heading2"/>
        <w:spacing w:after="120"/>
      </w:pPr>
      <w:r>
        <w:t>Key clinical validity results</w:t>
      </w:r>
    </w:p>
    <w:p w14:paraId="4604520C" w14:textId="77777777" w:rsidR="00846C33" w:rsidRPr="00501ED9" w:rsidRDefault="00846C33" w:rsidP="00645461">
      <w:pPr>
        <w:pStyle w:val="Body"/>
        <w:spacing w:line="240" w:lineRule="auto"/>
        <w:rPr>
          <w:rFonts w:ascii="Times New Roman" w:hAnsi="Times New Roman" w:cs="Times New Roman"/>
        </w:rPr>
      </w:pPr>
      <w:r w:rsidRPr="00501ED9">
        <w:rPr>
          <w:rFonts w:ascii="Times New Roman" w:hAnsi="Times New Roman" w:cs="Times New Roman"/>
        </w:rPr>
        <w:t>Clinical validity is difficult to define in this patient group due to the multitude of conditions being tested.</w:t>
      </w:r>
    </w:p>
    <w:p w14:paraId="2ECC63FD" w14:textId="77777777" w:rsidR="00846C33" w:rsidRPr="00501ED9" w:rsidRDefault="00846C33" w:rsidP="00501ED9">
      <w:pPr>
        <w:pStyle w:val="Heading2"/>
        <w:spacing w:before="0" w:after="120"/>
      </w:pPr>
      <w:r w:rsidRPr="00501ED9">
        <w:t>Ke</w:t>
      </w:r>
      <w:r w:rsidR="00645461">
        <w:t>y clinical utility consequences</w:t>
      </w:r>
    </w:p>
    <w:p w14:paraId="72249B47" w14:textId="77777777" w:rsidR="00451033" w:rsidRPr="00501ED9" w:rsidRDefault="00846C33" w:rsidP="00451033">
      <w:pPr>
        <w:pStyle w:val="Body"/>
        <w:spacing w:line="240" w:lineRule="auto"/>
        <w:rPr>
          <w:rFonts w:ascii="Times New Roman" w:hAnsi="Times New Roman" w:cs="Times New Roman"/>
        </w:rPr>
      </w:pPr>
      <w:r w:rsidRPr="00451033">
        <w:rPr>
          <w:rFonts w:ascii="Times New Roman" w:hAnsi="Times New Roman" w:cs="Times New Roman"/>
        </w:rPr>
        <w:t>Overall, WEA appeared to alter clinical management, shorten the time to diagnosis and provide patient and family-relevant benefits compared with SoC.</w:t>
      </w:r>
      <w:r w:rsidR="00451033" w:rsidRPr="00501ED9">
        <w:rPr>
          <w:rFonts w:ascii="Times New Roman" w:hAnsi="Times New Roman" w:cs="Times New Roman"/>
        </w:rPr>
        <w:t xml:space="preserve"> One key benefit for many patients is the cessation of further diagnostic investigations and procedures (i.e., ending the </w:t>
      </w:r>
      <w:r w:rsidR="00451033" w:rsidRPr="00501ED9">
        <w:rPr>
          <w:rFonts w:ascii="Times New Roman" w:hAnsi="Times New Roman" w:cs="Times New Roman"/>
        </w:rPr>
        <w:lastRenderedPageBreak/>
        <w:t>diagnostic odyssey). Improved health outcomes as a consequence of diagnosis and changes in clinical management are also important.</w:t>
      </w:r>
    </w:p>
    <w:p w14:paraId="0165DFBE" w14:textId="77777777" w:rsidR="00451033" w:rsidRPr="00501ED9" w:rsidRDefault="00451033" w:rsidP="00451033">
      <w:pPr>
        <w:pStyle w:val="Body"/>
        <w:spacing w:line="240" w:lineRule="auto"/>
        <w:rPr>
          <w:rFonts w:ascii="Times New Roman" w:hAnsi="Times New Roman" w:cs="Times New Roman"/>
        </w:rPr>
      </w:pPr>
      <w:r w:rsidRPr="00501ED9">
        <w:rPr>
          <w:rFonts w:ascii="Times New Roman" w:hAnsi="Times New Roman" w:cs="Times New Roman"/>
        </w:rPr>
        <w:t>In a clinically ascertained cohort of 80 infants aged 0–2 years undergoing genomic testing</w:t>
      </w:r>
      <w:r w:rsidR="0008731B">
        <w:rPr>
          <w:rFonts w:ascii="Times New Roman" w:hAnsi="Times New Roman" w:cs="Times New Roman"/>
        </w:rPr>
        <w:t xml:space="preserve"> (Stark 2016)</w:t>
      </w:r>
      <w:r w:rsidRPr="00501ED9">
        <w:rPr>
          <w:rFonts w:ascii="Times New Roman" w:hAnsi="Times New Roman" w:cs="Times New Roman"/>
        </w:rPr>
        <w:t xml:space="preserve">, the following </w:t>
      </w:r>
      <w:r w:rsidR="000A3BE7">
        <w:rPr>
          <w:rFonts w:ascii="Times New Roman" w:hAnsi="Times New Roman" w:cs="Times New Roman"/>
        </w:rPr>
        <w:t xml:space="preserve">anecdotal </w:t>
      </w:r>
      <w:r w:rsidRPr="00501ED9">
        <w:rPr>
          <w:rFonts w:ascii="Times New Roman" w:hAnsi="Times New Roman" w:cs="Times New Roman"/>
        </w:rPr>
        <w:t>outcomes have been observed:</w:t>
      </w:r>
    </w:p>
    <w:p w14:paraId="3C4533B2"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preventing further disease progression and worsening disability</w:t>
      </w:r>
      <w:r w:rsidRPr="00501ED9">
        <w:rPr>
          <w:rFonts w:ascii="Times New Roman" w:hAnsi="Times New Roman" w:cs="Times New Roman"/>
        </w:rPr>
        <w:t xml:space="preserve"> in a child with thiamine transporter dysfunction syndrome who was treated because of the correct diagnosis being made, and the patient did not deteriorate further.</w:t>
      </w:r>
    </w:p>
    <w:p w14:paraId="45DD0BEE"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improved management of known disease complications</w:t>
      </w:r>
      <w:r w:rsidRPr="00501ED9">
        <w:rPr>
          <w:rFonts w:ascii="Times New Roman" w:hAnsi="Times New Roman" w:cs="Times New Roman"/>
          <w:b/>
        </w:rPr>
        <w:t xml:space="preserve"> </w:t>
      </w:r>
      <w:r w:rsidRPr="00501ED9">
        <w:rPr>
          <w:rFonts w:ascii="Times New Roman" w:hAnsi="Times New Roman" w:cs="Times New Roman"/>
        </w:rPr>
        <w:t xml:space="preserve">in a child with </w:t>
      </w:r>
      <w:r w:rsidRPr="00501ED9">
        <w:rPr>
          <w:rFonts w:ascii="Times New Roman" w:hAnsi="Times New Roman" w:cs="Times New Roman"/>
          <w:i/>
        </w:rPr>
        <w:t>RMND1</w:t>
      </w:r>
      <w:r w:rsidRPr="00501ED9">
        <w:rPr>
          <w:rFonts w:ascii="Times New Roman" w:hAnsi="Times New Roman" w:cs="Times New Roman"/>
        </w:rPr>
        <w:t>-related mitochondrial disease who was treated for life-threatening hyperkalaemia because of the correct diagnosis being made.</w:t>
      </w:r>
    </w:p>
    <w:p w14:paraId="4C1F8DB7" w14:textId="77777777" w:rsidR="00451033" w:rsidRPr="00501ED9" w:rsidRDefault="00451033" w:rsidP="00451033">
      <w:pPr>
        <w:pStyle w:val="Bullet12"/>
        <w:tabs>
          <w:tab w:val="clear" w:pos="360"/>
        </w:tabs>
        <w:spacing w:line="240" w:lineRule="auto"/>
        <w:rPr>
          <w:rFonts w:ascii="Times New Roman" w:hAnsi="Times New Roman" w:cs="Times New Roman"/>
        </w:rPr>
      </w:pPr>
      <w:r w:rsidRPr="00501ED9">
        <w:rPr>
          <w:rStyle w:val="Emphasis"/>
          <w:rFonts w:ascii="Times New Roman" w:eastAsiaTheme="minorHAnsi" w:hAnsi="Times New Roman"/>
        </w:rPr>
        <w:t>reduced number of hospital admissions</w:t>
      </w:r>
      <w:r w:rsidRPr="00501ED9">
        <w:rPr>
          <w:rFonts w:ascii="Times New Roman" w:hAnsi="Times New Roman" w:cs="Times New Roman"/>
        </w:rPr>
        <w:t xml:space="preserve"> in two children who were started on the correct treatment for their condition, one with alternating hemiplegia of childhood and the other with Hz/Hc syndrome.</w:t>
      </w:r>
    </w:p>
    <w:p w14:paraId="718C80AA" w14:textId="77777777" w:rsidR="00451033" w:rsidRPr="00501ED9" w:rsidRDefault="00451033" w:rsidP="00451033">
      <w:pPr>
        <w:pStyle w:val="Body"/>
        <w:spacing w:after="240" w:line="240" w:lineRule="auto"/>
        <w:rPr>
          <w:rFonts w:ascii="Times New Roman" w:hAnsi="Times New Roman" w:cs="Times New Roman"/>
        </w:rPr>
      </w:pPr>
      <w:r w:rsidRPr="00501ED9">
        <w:rPr>
          <w:rFonts w:ascii="Times New Roman" w:hAnsi="Times New Roman" w:cs="Times New Roman"/>
        </w:rPr>
        <w:t xml:space="preserve">Given the above, the clinical events to determine clinical </w:t>
      </w:r>
      <w:r>
        <w:rPr>
          <w:rFonts w:ascii="Times New Roman" w:hAnsi="Times New Roman" w:cs="Times New Roman"/>
        </w:rPr>
        <w:t>utility</w:t>
      </w:r>
      <w:r w:rsidRPr="00501ED9">
        <w:rPr>
          <w:rFonts w:ascii="Times New Roman" w:hAnsi="Times New Roman" w:cs="Times New Roman"/>
        </w:rPr>
        <w:t xml:space="preserve"> in an affected individual have been defined as: change in clinical management, time to definitive diagnosis, health resource change, and quality of life.</w:t>
      </w:r>
    </w:p>
    <w:p w14:paraId="3630FC22" w14:textId="77777777" w:rsidR="00846C33" w:rsidRPr="00981880" w:rsidRDefault="00846C33" w:rsidP="00981880">
      <w:pPr>
        <w:pStyle w:val="Body"/>
        <w:spacing w:before="240" w:line="240" w:lineRule="auto"/>
        <w:rPr>
          <w:rStyle w:val="Emphasis"/>
          <w:rFonts w:ascii="Times New Roman" w:eastAsiaTheme="minorHAnsi" w:hAnsi="Times New Roman"/>
        </w:rPr>
      </w:pPr>
      <w:r w:rsidRPr="00981880">
        <w:rPr>
          <w:rStyle w:val="Emphasis"/>
          <w:rFonts w:ascii="Times New Roman" w:eastAsiaTheme="minorHAnsi" w:hAnsi="Times New Roman"/>
        </w:rPr>
        <w:t>Population 1: Initial testing for the diagnosis of childhood syndromes</w:t>
      </w:r>
    </w:p>
    <w:p w14:paraId="1045804B" w14:textId="77777777" w:rsidR="00846C33" w:rsidRPr="00981880" w:rsidRDefault="00846C33" w:rsidP="00981880">
      <w:pPr>
        <w:pStyle w:val="Body"/>
        <w:spacing w:after="0" w:line="240" w:lineRule="auto"/>
        <w:rPr>
          <w:rFonts w:ascii="Times New Roman" w:hAnsi="Times New Roman" w:cs="Times New Roman"/>
        </w:rPr>
      </w:pPr>
      <w:r w:rsidRPr="00981880">
        <w:rPr>
          <w:rFonts w:ascii="Times New Roman" w:hAnsi="Times New Roman" w:cs="Times New Roman"/>
          <w:u w:val="single"/>
        </w:rPr>
        <w:t>Change in management</w:t>
      </w:r>
      <w:r w:rsidRPr="00645461">
        <w:rPr>
          <w:rFonts w:ascii="Times New Roman" w:hAnsi="Times New Roman" w:cs="Times New Roman"/>
        </w:rPr>
        <w:t>:</w:t>
      </w:r>
      <w:r w:rsidRPr="00981880">
        <w:rPr>
          <w:rFonts w:ascii="Times New Roman" w:hAnsi="Times New Roman" w:cs="Times New Roman"/>
        </w:rPr>
        <w:t xml:space="preserve"> Studies report that clinical management was changed in 18–33% of patients who received a molecular diagnosis by WEA (</w:t>
      </w:r>
      <w:r w:rsidR="00981880">
        <w:rPr>
          <w:rFonts w:ascii="Times New Roman" w:hAnsi="Times New Roman" w:cs="Times New Roman"/>
        </w:rPr>
        <w:t>Table 4</w:t>
      </w:r>
      <w:r w:rsidRPr="00981880">
        <w:rPr>
          <w:rFonts w:ascii="Times New Roman" w:hAnsi="Times New Roman" w:cs="Times New Roman"/>
        </w:rPr>
        <w:t>). Management changes included initiation of additional treatments or surveillance, cessation of treatment or surveillance, or modification to existing treatment regimens.</w:t>
      </w:r>
    </w:p>
    <w:p w14:paraId="55576BDA" w14:textId="77777777" w:rsidR="00846C33" w:rsidRPr="001964D2" w:rsidRDefault="00846C33" w:rsidP="001964D2">
      <w:pPr>
        <w:spacing w:before="240"/>
        <w:rPr>
          <w:rFonts w:ascii="Arial Narrow" w:hAnsi="Arial Narrow"/>
          <w:b/>
          <w:sz w:val="20"/>
        </w:rPr>
      </w:pPr>
      <w:bookmarkStart w:id="8" w:name="_Ref512582802"/>
      <w:bookmarkStart w:id="9" w:name="_Toc513290987"/>
      <w:r w:rsidRPr="001964D2">
        <w:rPr>
          <w:rFonts w:ascii="Arial Narrow" w:hAnsi="Arial Narrow"/>
          <w:b/>
          <w:sz w:val="20"/>
        </w:rPr>
        <w:t xml:space="preserve">Table </w:t>
      </w:r>
      <w:bookmarkEnd w:id="8"/>
      <w:r w:rsidR="00981880" w:rsidRPr="001964D2">
        <w:rPr>
          <w:rFonts w:ascii="Arial Narrow" w:hAnsi="Arial Narrow"/>
          <w:b/>
          <w:sz w:val="20"/>
        </w:rPr>
        <w:t>4</w:t>
      </w:r>
      <w:r w:rsidRPr="001964D2">
        <w:rPr>
          <w:rFonts w:ascii="Arial Narrow" w:hAnsi="Arial Narrow"/>
          <w:b/>
          <w:sz w:val="20"/>
        </w:rPr>
        <w:tab/>
        <w:t xml:space="preserve">Summary of change in management after </w:t>
      </w:r>
      <w:r w:rsidR="0008731B" w:rsidRPr="001964D2">
        <w:rPr>
          <w:rFonts w:ascii="Arial Narrow" w:hAnsi="Arial Narrow"/>
          <w:b/>
          <w:sz w:val="20"/>
        </w:rPr>
        <w:t xml:space="preserve">molecular </w:t>
      </w:r>
      <w:r w:rsidRPr="001964D2">
        <w:rPr>
          <w:rFonts w:ascii="Arial Narrow" w:hAnsi="Arial Narrow"/>
          <w:b/>
          <w:sz w:val="20"/>
        </w:rPr>
        <w:t xml:space="preserve">diagnosis by </w:t>
      </w:r>
      <w:r w:rsidR="00645461" w:rsidRPr="001964D2">
        <w:rPr>
          <w:rFonts w:ascii="Arial Narrow" w:hAnsi="Arial Narrow"/>
          <w:b/>
          <w:sz w:val="20"/>
        </w:rPr>
        <w:t>whole exome analysis</w:t>
      </w:r>
      <w:bookmarkEnd w:id="9"/>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change in managment results after molecular diagnosis by WEA"/>
      </w:tblPr>
      <w:tblGrid>
        <w:gridCol w:w="1696"/>
        <w:gridCol w:w="4111"/>
        <w:gridCol w:w="3231"/>
      </w:tblGrid>
      <w:tr w:rsidR="00846C33" w:rsidRPr="00981880" w14:paraId="4ADE2F5B" w14:textId="77777777" w:rsidTr="007052AA">
        <w:trPr>
          <w:tblHeader/>
        </w:trPr>
        <w:tc>
          <w:tcPr>
            <w:tcW w:w="1696" w:type="dxa"/>
          </w:tcPr>
          <w:p w14:paraId="15D1634A"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Study</w:t>
            </w:r>
          </w:p>
        </w:tc>
        <w:tc>
          <w:tcPr>
            <w:tcW w:w="4111" w:type="dxa"/>
          </w:tcPr>
          <w:p w14:paraId="1CDAC03D"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Patient population</w:t>
            </w:r>
          </w:p>
        </w:tc>
        <w:tc>
          <w:tcPr>
            <w:tcW w:w="3231" w:type="dxa"/>
          </w:tcPr>
          <w:p w14:paraId="0F0D9A09" w14:textId="77777777" w:rsidR="00846C33" w:rsidRPr="00981880" w:rsidRDefault="00846C33" w:rsidP="0008217D">
            <w:pPr>
              <w:pStyle w:val="Tableheading"/>
              <w:jc w:val="center"/>
              <w:rPr>
                <w:rFonts w:ascii="Arial Narrow" w:hAnsi="Arial Narrow"/>
                <w:szCs w:val="20"/>
              </w:rPr>
            </w:pPr>
            <w:r w:rsidRPr="00981880">
              <w:rPr>
                <w:rFonts w:ascii="Arial Narrow" w:hAnsi="Arial Narrow"/>
                <w:szCs w:val="20"/>
              </w:rPr>
              <w:t>Change in management</w:t>
            </w:r>
          </w:p>
          <w:p w14:paraId="17DB15C0" w14:textId="77777777" w:rsidR="00846C33" w:rsidRPr="00981880" w:rsidRDefault="00846C33" w:rsidP="0008217D">
            <w:pPr>
              <w:pStyle w:val="Tableheading"/>
              <w:jc w:val="center"/>
              <w:rPr>
                <w:rFonts w:ascii="Arial Narrow" w:hAnsi="Arial Narrow"/>
                <w:szCs w:val="20"/>
              </w:rPr>
            </w:pPr>
            <w:r w:rsidRPr="00981880">
              <w:rPr>
                <w:rFonts w:ascii="Arial Narrow" w:hAnsi="Arial Narrow"/>
                <w:szCs w:val="20"/>
              </w:rPr>
              <w:t>n/N (%)</w:t>
            </w:r>
          </w:p>
        </w:tc>
      </w:tr>
      <w:tr w:rsidR="00846C33" w:rsidRPr="00981880" w14:paraId="3DA24C1B" w14:textId="77777777" w:rsidTr="0008217D">
        <w:tc>
          <w:tcPr>
            <w:tcW w:w="1696" w:type="dxa"/>
          </w:tcPr>
          <w:p w14:paraId="48CB9046"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(2016)</w:t>
            </w:r>
          </w:p>
        </w:tc>
        <w:tc>
          <w:tcPr>
            <w:tcW w:w="4111" w:type="dxa"/>
          </w:tcPr>
          <w:p w14:paraId="446A9B94" w14:textId="77777777" w:rsidR="00846C33" w:rsidRPr="00981880" w:rsidRDefault="00846C33" w:rsidP="0008217D">
            <w:pPr>
              <w:pStyle w:val="Tabletext"/>
              <w:rPr>
                <w:szCs w:val="20"/>
              </w:rPr>
            </w:pPr>
            <w:r w:rsidRPr="00981880">
              <w:rPr>
                <w:szCs w:val="20"/>
              </w:rPr>
              <w:t>Infants aged 0–2 years</w:t>
            </w:r>
          </w:p>
        </w:tc>
        <w:tc>
          <w:tcPr>
            <w:tcW w:w="3231" w:type="dxa"/>
          </w:tcPr>
          <w:p w14:paraId="48DF67EA" w14:textId="77777777" w:rsidR="00846C33" w:rsidRPr="00981880" w:rsidRDefault="00846C33" w:rsidP="0008217D">
            <w:pPr>
              <w:pStyle w:val="Tabletext"/>
              <w:jc w:val="center"/>
              <w:rPr>
                <w:szCs w:val="20"/>
              </w:rPr>
            </w:pPr>
            <w:r w:rsidRPr="00981880">
              <w:rPr>
                <w:szCs w:val="20"/>
              </w:rPr>
              <w:t>15/46 (32.6%)</w:t>
            </w:r>
          </w:p>
        </w:tc>
      </w:tr>
      <w:tr w:rsidR="00846C33" w:rsidRPr="00981880" w14:paraId="645955E3" w14:textId="77777777" w:rsidTr="0008217D">
        <w:tc>
          <w:tcPr>
            <w:tcW w:w="1696" w:type="dxa"/>
          </w:tcPr>
          <w:p w14:paraId="164E8852" w14:textId="77777777" w:rsidR="00846C33" w:rsidRPr="00981880" w:rsidRDefault="00846C33" w:rsidP="0008217D">
            <w:pPr>
              <w:pStyle w:val="Tabletext"/>
              <w:rPr>
                <w:szCs w:val="20"/>
              </w:rPr>
            </w:pPr>
            <w:r w:rsidRPr="00981880">
              <w:rPr>
                <w:szCs w:val="20"/>
              </w:rPr>
              <w:t xml:space="preserve">Tan </w:t>
            </w:r>
            <w:r w:rsidRPr="00981880">
              <w:rPr>
                <w:i/>
                <w:szCs w:val="20"/>
              </w:rPr>
              <w:t>et al</w:t>
            </w:r>
            <w:r w:rsidRPr="00981880">
              <w:rPr>
                <w:szCs w:val="20"/>
              </w:rPr>
              <w:t xml:space="preserve"> (2017)</w:t>
            </w:r>
          </w:p>
        </w:tc>
        <w:tc>
          <w:tcPr>
            <w:tcW w:w="4111" w:type="dxa"/>
          </w:tcPr>
          <w:p w14:paraId="5DD06377" w14:textId="77777777" w:rsidR="00846C33" w:rsidRPr="00981880" w:rsidRDefault="00846C33" w:rsidP="0008217D">
            <w:pPr>
              <w:pStyle w:val="Tabletext"/>
              <w:rPr>
                <w:szCs w:val="20"/>
              </w:rPr>
            </w:pPr>
            <w:r w:rsidRPr="00981880">
              <w:rPr>
                <w:szCs w:val="20"/>
              </w:rPr>
              <w:t>Children aged 2–18 years</w:t>
            </w:r>
          </w:p>
        </w:tc>
        <w:tc>
          <w:tcPr>
            <w:tcW w:w="3231" w:type="dxa"/>
          </w:tcPr>
          <w:p w14:paraId="1E84B67B" w14:textId="77777777" w:rsidR="00846C33" w:rsidRPr="00981880" w:rsidRDefault="00846C33" w:rsidP="0008217D">
            <w:pPr>
              <w:pStyle w:val="Tabletext"/>
              <w:jc w:val="center"/>
              <w:rPr>
                <w:szCs w:val="20"/>
              </w:rPr>
            </w:pPr>
            <w:r w:rsidRPr="00981880">
              <w:rPr>
                <w:szCs w:val="20"/>
              </w:rPr>
              <w:t>6/23 (26%)</w:t>
            </w:r>
            <w:r w:rsidRPr="00981880">
              <w:rPr>
                <w:szCs w:val="20"/>
                <w:vertAlign w:val="superscript"/>
              </w:rPr>
              <w:t>a</w:t>
            </w:r>
          </w:p>
        </w:tc>
      </w:tr>
      <w:tr w:rsidR="00846C33" w:rsidRPr="00981880" w14:paraId="69D6282D" w14:textId="77777777" w:rsidTr="0008217D">
        <w:tc>
          <w:tcPr>
            <w:tcW w:w="1696" w:type="dxa"/>
          </w:tcPr>
          <w:p w14:paraId="5240D110"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(2018)</w:t>
            </w:r>
          </w:p>
        </w:tc>
        <w:tc>
          <w:tcPr>
            <w:tcW w:w="4111" w:type="dxa"/>
          </w:tcPr>
          <w:p w14:paraId="1BA1265C" w14:textId="77777777" w:rsidR="00846C33" w:rsidRPr="00981880" w:rsidRDefault="00846C33" w:rsidP="0008217D">
            <w:pPr>
              <w:pStyle w:val="Tabletext"/>
              <w:rPr>
                <w:szCs w:val="20"/>
              </w:rPr>
            </w:pPr>
            <w:r w:rsidRPr="00981880">
              <w:rPr>
                <w:szCs w:val="20"/>
              </w:rPr>
              <w:t xml:space="preserve">Follow-up study with infants from Stark </w:t>
            </w:r>
            <w:r w:rsidRPr="00981880">
              <w:rPr>
                <w:i/>
                <w:szCs w:val="20"/>
              </w:rPr>
              <w:t>et al</w:t>
            </w:r>
            <w:r w:rsidRPr="00981880">
              <w:rPr>
                <w:szCs w:val="20"/>
              </w:rPr>
              <w:t xml:space="preserve"> (2016)</w:t>
            </w:r>
          </w:p>
        </w:tc>
        <w:tc>
          <w:tcPr>
            <w:tcW w:w="3231" w:type="dxa"/>
          </w:tcPr>
          <w:p w14:paraId="10495F35" w14:textId="77777777" w:rsidR="00846C33" w:rsidRPr="00981880" w:rsidRDefault="00846C33" w:rsidP="0008217D">
            <w:pPr>
              <w:pStyle w:val="Tabletext"/>
              <w:jc w:val="center"/>
              <w:rPr>
                <w:szCs w:val="20"/>
                <w:vertAlign w:val="superscript"/>
              </w:rPr>
            </w:pPr>
            <w:r w:rsidRPr="00981880">
              <w:rPr>
                <w:szCs w:val="20"/>
              </w:rPr>
              <w:t>16/48 (33%)</w:t>
            </w:r>
            <w:r w:rsidRPr="00981880">
              <w:rPr>
                <w:szCs w:val="20"/>
                <w:vertAlign w:val="superscript"/>
              </w:rPr>
              <w:t>b</w:t>
            </w:r>
          </w:p>
        </w:tc>
      </w:tr>
      <w:tr w:rsidR="00846C33" w:rsidRPr="00981880" w14:paraId="4C51624E" w14:textId="77777777" w:rsidTr="0008217D">
        <w:tc>
          <w:tcPr>
            <w:tcW w:w="1696" w:type="dxa"/>
          </w:tcPr>
          <w:p w14:paraId="57D041D4" w14:textId="77777777" w:rsidR="00846C33" w:rsidRPr="00981880" w:rsidRDefault="00846C33" w:rsidP="0008217D">
            <w:pPr>
              <w:pStyle w:val="Tabletext"/>
              <w:rPr>
                <w:szCs w:val="20"/>
                <w:vertAlign w:val="superscript"/>
              </w:rPr>
            </w:pPr>
            <w:r w:rsidRPr="00981880">
              <w:rPr>
                <w:szCs w:val="20"/>
              </w:rPr>
              <w:t xml:space="preserve">Clark </w:t>
            </w:r>
            <w:r w:rsidRPr="00981880">
              <w:rPr>
                <w:i/>
                <w:szCs w:val="20"/>
              </w:rPr>
              <w:t>et al</w:t>
            </w:r>
            <w:r w:rsidRPr="00981880">
              <w:rPr>
                <w:szCs w:val="20"/>
              </w:rPr>
              <w:t xml:space="preserve"> (2018)</w:t>
            </w:r>
            <w:r w:rsidRPr="00981880">
              <w:rPr>
                <w:rFonts w:cstheme="minorHAnsi"/>
                <w:szCs w:val="20"/>
                <w:vertAlign w:val="superscript"/>
              </w:rPr>
              <w:t>c</w:t>
            </w:r>
          </w:p>
        </w:tc>
        <w:tc>
          <w:tcPr>
            <w:tcW w:w="4111" w:type="dxa"/>
          </w:tcPr>
          <w:p w14:paraId="6B7A490A" w14:textId="77777777" w:rsidR="00846C33" w:rsidRPr="00981880" w:rsidRDefault="00846C33" w:rsidP="0008217D">
            <w:pPr>
              <w:pStyle w:val="Tabletext"/>
              <w:rPr>
                <w:szCs w:val="20"/>
              </w:rPr>
            </w:pPr>
            <w:r w:rsidRPr="00981880">
              <w:rPr>
                <w:szCs w:val="20"/>
              </w:rPr>
              <w:t>Children aged &lt;18 years</w:t>
            </w:r>
          </w:p>
        </w:tc>
        <w:tc>
          <w:tcPr>
            <w:tcW w:w="3231" w:type="dxa"/>
          </w:tcPr>
          <w:p w14:paraId="4D50FB78" w14:textId="77777777" w:rsidR="00846C33" w:rsidRPr="00981880" w:rsidRDefault="00846C33" w:rsidP="0008217D">
            <w:pPr>
              <w:pStyle w:val="Tabletext"/>
              <w:jc w:val="center"/>
              <w:rPr>
                <w:szCs w:val="20"/>
              </w:rPr>
            </w:pPr>
            <w:r w:rsidRPr="00981880">
              <w:rPr>
                <w:szCs w:val="20"/>
              </w:rPr>
              <w:t>WGS</w:t>
            </w:r>
            <w:r w:rsidRPr="00981880">
              <w:rPr>
                <w:rFonts w:cstheme="minorHAnsi"/>
                <w:szCs w:val="20"/>
                <w:vertAlign w:val="superscript"/>
              </w:rPr>
              <w:t>d</w:t>
            </w:r>
            <w:r w:rsidRPr="00981880">
              <w:rPr>
                <w:szCs w:val="20"/>
              </w:rPr>
              <w:t>: 27% (95% CI</w:t>
            </w:r>
            <w:r w:rsidR="00474D22">
              <w:rPr>
                <w:szCs w:val="20"/>
              </w:rPr>
              <w:t>:</w:t>
            </w:r>
            <w:r w:rsidRPr="00981880">
              <w:rPr>
                <w:szCs w:val="20"/>
              </w:rPr>
              <w:t xml:space="preserve"> 17–40%; </w:t>
            </w:r>
            <w:r w:rsidRPr="00981880">
              <w:rPr>
                <w:i/>
                <w:szCs w:val="20"/>
              </w:rPr>
              <w:t>I</w:t>
            </w:r>
            <w:r w:rsidRPr="00981880">
              <w:rPr>
                <w:szCs w:val="20"/>
                <w:vertAlign w:val="superscript"/>
              </w:rPr>
              <w:t>2</w:t>
            </w:r>
            <w:r w:rsidRPr="00981880">
              <w:rPr>
                <w:szCs w:val="20"/>
              </w:rPr>
              <w:t>=54%)</w:t>
            </w:r>
          </w:p>
          <w:p w14:paraId="36CC07BB" w14:textId="77777777" w:rsidR="00846C33" w:rsidRPr="00981880" w:rsidRDefault="00846C33" w:rsidP="0008217D">
            <w:pPr>
              <w:pStyle w:val="Tabletext"/>
              <w:jc w:val="center"/>
              <w:rPr>
                <w:szCs w:val="20"/>
              </w:rPr>
            </w:pPr>
            <w:r w:rsidRPr="00981880">
              <w:rPr>
                <w:szCs w:val="20"/>
              </w:rPr>
              <w:t>WES</w:t>
            </w:r>
            <w:r w:rsidRPr="00981880">
              <w:rPr>
                <w:rFonts w:cstheme="minorHAnsi"/>
                <w:szCs w:val="20"/>
                <w:vertAlign w:val="superscript"/>
              </w:rPr>
              <w:t>e</w:t>
            </w:r>
            <w:r w:rsidRPr="00981880">
              <w:rPr>
                <w:szCs w:val="20"/>
              </w:rPr>
              <w:t>: 18% (95% CI</w:t>
            </w:r>
            <w:r w:rsidR="00474D22">
              <w:rPr>
                <w:szCs w:val="20"/>
              </w:rPr>
              <w:t>:</w:t>
            </w:r>
            <w:r w:rsidRPr="00981880">
              <w:rPr>
                <w:szCs w:val="20"/>
              </w:rPr>
              <w:t xml:space="preserve"> 13–24%; </w:t>
            </w:r>
            <w:r w:rsidRPr="00981880">
              <w:rPr>
                <w:i/>
                <w:szCs w:val="20"/>
              </w:rPr>
              <w:t>I</w:t>
            </w:r>
            <w:r w:rsidRPr="00981880">
              <w:rPr>
                <w:szCs w:val="20"/>
                <w:vertAlign w:val="superscript"/>
              </w:rPr>
              <w:t>2</w:t>
            </w:r>
            <w:r w:rsidRPr="00981880">
              <w:rPr>
                <w:szCs w:val="20"/>
              </w:rPr>
              <w:t>=77%)</w:t>
            </w:r>
          </w:p>
        </w:tc>
      </w:tr>
    </w:tbl>
    <w:p w14:paraId="69352E37"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rPr>
        <w:t>Abbreviations: WES, whole exome sequencing; WGS, whole genome sequencing</w:t>
      </w:r>
    </w:p>
    <w:p w14:paraId="383AD2B1"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vertAlign w:val="superscript"/>
        </w:rPr>
        <w:t xml:space="preserve">a </w:t>
      </w:r>
      <w:r w:rsidRPr="00981880">
        <w:rPr>
          <w:rFonts w:ascii="Arial Narrow" w:hAnsi="Arial Narrow"/>
          <w:sz w:val="20"/>
          <w:szCs w:val="20"/>
        </w:rPr>
        <w:t>One infant also had additional diagnostic investigation cancelled and the parents of another had preimplantation genetics planned.</w:t>
      </w:r>
    </w:p>
    <w:p w14:paraId="43B19A8E" w14:textId="77777777" w:rsidR="00846C33" w:rsidRPr="00981880" w:rsidRDefault="00846C33" w:rsidP="00846C33">
      <w:pPr>
        <w:pStyle w:val="Tablenote"/>
        <w:rPr>
          <w:rFonts w:ascii="Arial Narrow" w:hAnsi="Arial Narrow"/>
          <w:sz w:val="20"/>
          <w:szCs w:val="20"/>
        </w:rPr>
      </w:pPr>
      <w:r w:rsidRPr="00981880">
        <w:rPr>
          <w:rFonts w:ascii="Arial Narrow" w:hAnsi="Arial Narrow"/>
          <w:sz w:val="20"/>
          <w:szCs w:val="20"/>
          <w:vertAlign w:val="superscript"/>
        </w:rPr>
        <w:t>b</w:t>
      </w:r>
      <w:r w:rsidRPr="00981880">
        <w:rPr>
          <w:rFonts w:ascii="Arial Narrow" w:hAnsi="Arial Narrow"/>
          <w:sz w:val="20"/>
          <w:szCs w:val="20"/>
        </w:rPr>
        <w:t xml:space="preserve"> Includes 44 infants who received a </w:t>
      </w:r>
      <w:r w:rsidR="0008731B">
        <w:rPr>
          <w:rFonts w:ascii="Arial Narrow" w:hAnsi="Arial Narrow"/>
          <w:sz w:val="20"/>
          <w:szCs w:val="20"/>
        </w:rPr>
        <w:t xml:space="preserve">molecular </w:t>
      </w:r>
      <w:r w:rsidRPr="00981880">
        <w:rPr>
          <w:rFonts w:ascii="Arial Narrow" w:hAnsi="Arial Narrow"/>
          <w:sz w:val="20"/>
          <w:szCs w:val="20"/>
        </w:rPr>
        <w:t xml:space="preserve">diagnosis after initial WES and 4 infants who received </w:t>
      </w:r>
      <w:r w:rsidR="0008731B">
        <w:rPr>
          <w:rFonts w:ascii="Arial Narrow" w:hAnsi="Arial Narrow"/>
          <w:sz w:val="20"/>
          <w:szCs w:val="20"/>
        </w:rPr>
        <w:t xml:space="preserve">a molecular </w:t>
      </w:r>
      <w:r w:rsidRPr="00981880">
        <w:rPr>
          <w:rFonts w:ascii="Arial Narrow" w:hAnsi="Arial Narrow"/>
          <w:sz w:val="20"/>
          <w:szCs w:val="20"/>
        </w:rPr>
        <w:t>diagnos</w:t>
      </w:r>
      <w:r w:rsidR="0008731B">
        <w:rPr>
          <w:rFonts w:ascii="Arial Narrow" w:hAnsi="Arial Narrow"/>
          <w:sz w:val="20"/>
          <w:szCs w:val="20"/>
        </w:rPr>
        <w:t>i</w:t>
      </w:r>
      <w:r w:rsidRPr="00981880">
        <w:rPr>
          <w:rFonts w:ascii="Arial Narrow" w:hAnsi="Arial Narrow"/>
          <w:sz w:val="20"/>
          <w:szCs w:val="20"/>
        </w:rPr>
        <w:t>s after re-analysis of WES data.</w:t>
      </w:r>
    </w:p>
    <w:p w14:paraId="0F8313A7" w14:textId="77777777" w:rsidR="00846C33" w:rsidRPr="00981880" w:rsidRDefault="00846C33" w:rsidP="00846C33">
      <w:pPr>
        <w:pStyle w:val="Tablenote"/>
        <w:rPr>
          <w:rFonts w:ascii="Arial Narrow" w:hAnsi="Arial Narrow"/>
          <w:sz w:val="20"/>
          <w:szCs w:val="20"/>
        </w:rPr>
      </w:pPr>
      <w:r w:rsidRPr="00981880">
        <w:rPr>
          <w:rFonts w:ascii="Arial Narrow" w:hAnsi="Arial Narrow" w:cstheme="minorHAnsi"/>
          <w:sz w:val="20"/>
          <w:szCs w:val="20"/>
          <w:vertAlign w:val="superscript"/>
        </w:rPr>
        <w:t>c</w:t>
      </w:r>
      <w:r w:rsidRPr="00981880">
        <w:rPr>
          <w:rFonts w:ascii="Arial Narrow" w:hAnsi="Arial Narrow"/>
          <w:sz w:val="20"/>
          <w:szCs w:val="20"/>
        </w:rPr>
        <w:t xml:space="preserve"> Meta-analysis of 36 studies including 20,068 children (WGS, WES, and CMA).</w:t>
      </w:r>
    </w:p>
    <w:p w14:paraId="3295ADE2" w14:textId="77777777" w:rsidR="00846C33" w:rsidRPr="00981880" w:rsidRDefault="00846C33" w:rsidP="00846C33">
      <w:pPr>
        <w:pStyle w:val="Tablenote"/>
        <w:rPr>
          <w:rFonts w:ascii="Arial Narrow" w:hAnsi="Arial Narrow" w:cstheme="minorHAnsi"/>
          <w:sz w:val="20"/>
          <w:szCs w:val="20"/>
        </w:rPr>
      </w:pPr>
      <w:r w:rsidRPr="00981880">
        <w:rPr>
          <w:rFonts w:ascii="Arial Narrow" w:hAnsi="Arial Narrow" w:cstheme="minorHAnsi"/>
          <w:sz w:val="20"/>
          <w:szCs w:val="20"/>
          <w:vertAlign w:val="superscript"/>
        </w:rPr>
        <w:t>d</w:t>
      </w:r>
      <w:r w:rsidRPr="00981880">
        <w:rPr>
          <w:rFonts w:ascii="Arial Narrow" w:hAnsi="Arial Narrow" w:cstheme="minorHAnsi"/>
          <w:sz w:val="20"/>
          <w:szCs w:val="20"/>
        </w:rPr>
        <w:t xml:space="preserve"> Meta-analysis of 26 studies including 9,014 children (WES only).</w:t>
      </w:r>
    </w:p>
    <w:p w14:paraId="333C8421" w14:textId="77777777" w:rsidR="00846C33" w:rsidRPr="00981880" w:rsidRDefault="00846C33" w:rsidP="00981880">
      <w:pPr>
        <w:pStyle w:val="Tablenote"/>
        <w:spacing w:before="0" w:after="240"/>
        <w:rPr>
          <w:rFonts w:ascii="Arial Narrow" w:hAnsi="Arial Narrow"/>
          <w:sz w:val="20"/>
          <w:szCs w:val="20"/>
        </w:rPr>
      </w:pPr>
      <w:r w:rsidRPr="00981880">
        <w:rPr>
          <w:rFonts w:ascii="Arial Narrow" w:hAnsi="Arial Narrow" w:cstheme="minorHAnsi"/>
          <w:sz w:val="20"/>
          <w:szCs w:val="20"/>
          <w:vertAlign w:val="superscript"/>
        </w:rPr>
        <w:t>e</w:t>
      </w:r>
      <w:r w:rsidRPr="00981880">
        <w:rPr>
          <w:rFonts w:ascii="Arial Narrow" w:hAnsi="Arial Narrow"/>
          <w:sz w:val="20"/>
          <w:szCs w:val="20"/>
        </w:rPr>
        <w:t xml:space="preserve"> Meta-analysis of 7 studies including 374 children (WGS only).</w:t>
      </w:r>
    </w:p>
    <w:p w14:paraId="772A8BCA" w14:textId="6CC86454" w:rsidR="00083868" w:rsidRPr="009A3D5C" w:rsidRDefault="00846C33" w:rsidP="009A3D5C">
      <w:pPr>
        <w:pStyle w:val="Body"/>
        <w:spacing w:line="240" w:lineRule="auto"/>
        <w:rPr>
          <w:rFonts w:ascii="Times New Roman" w:hAnsi="Times New Roman" w:cs="Times New Roman"/>
        </w:rPr>
      </w:pPr>
      <w:r w:rsidRPr="00981880">
        <w:rPr>
          <w:rStyle w:val="BodyChar"/>
          <w:rFonts w:ascii="Times New Roman" w:hAnsi="Times New Roman" w:cs="Times New Roman"/>
          <w:u w:val="single"/>
        </w:rPr>
        <w:t>Time to definitive diagnosis</w:t>
      </w:r>
      <w:r w:rsidRPr="00645461">
        <w:rPr>
          <w:rStyle w:val="BodyChar"/>
          <w:rFonts w:ascii="Times New Roman" w:hAnsi="Times New Roman" w:cs="Times New Roman"/>
        </w:rPr>
        <w:t>:</w:t>
      </w:r>
      <w:r w:rsidRPr="00981880">
        <w:rPr>
          <w:rStyle w:val="BodyChar"/>
          <w:rFonts w:ascii="Times New Roman" w:hAnsi="Times New Roman" w:cs="Times New Roman"/>
        </w:rPr>
        <w:t xml:space="preserve"> Time to definitive diagnosis was not reported in the </w:t>
      </w:r>
      <w:r w:rsidR="00610659">
        <w:rPr>
          <w:rStyle w:val="BodyChar"/>
          <w:rFonts w:ascii="Times New Roman" w:hAnsi="Times New Roman" w:cs="Times New Roman"/>
        </w:rPr>
        <w:t xml:space="preserve">two </w:t>
      </w:r>
      <w:r w:rsidRPr="00981880">
        <w:rPr>
          <w:rStyle w:val="BodyChar"/>
          <w:rFonts w:ascii="Times New Roman" w:hAnsi="Times New Roman" w:cs="Times New Roman"/>
        </w:rPr>
        <w:t xml:space="preserve">Australian studies identified. </w:t>
      </w:r>
      <w:r w:rsidR="007F044D">
        <w:rPr>
          <w:rStyle w:val="BodyChar"/>
          <w:rFonts w:ascii="Times New Roman" w:hAnsi="Times New Roman" w:cs="Times New Roman"/>
        </w:rPr>
        <w:t>However, t</w:t>
      </w:r>
      <w:r w:rsidRPr="00981880">
        <w:rPr>
          <w:rStyle w:val="BodyChar"/>
          <w:rFonts w:ascii="Times New Roman" w:hAnsi="Times New Roman" w:cs="Times New Roman"/>
        </w:rPr>
        <w:t>he median time to report in these studies ranged from 134</w:t>
      </w:r>
      <w:r w:rsidR="007F044D">
        <w:rPr>
          <w:rStyle w:val="BodyChar"/>
          <w:rFonts w:ascii="Times New Roman" w:hAnsi="Times New Roman" w:cs="Times New Roman"/>
        </w:rPr>
        <w:t xml:space="preserve"> to </w:t>
      </w:r>
      <w:r w:rsidR="00610659">
        <w:rPr>
          <w:rStyle w:val="BodyChar"/>
          <w:rFonts w:ascii="Times New Roman" w:hAnsi="Times New Roman" w:cs="Times New Roman"/>
        </w:rPr>
        <w:t>181</w:t>
      </w:r>
      <w:r w:rsidRPr="00981880">
        <w:rPr>
          <w:rStyle w:val="BodyChar"/>
          <w:rFonts w:ascii="Times New Roman" w:hAnsi="Times New Roman" w:cs="Times New Roman"/>
        </w:rPr>
        <w:t xml:space="preserve"> days (</w:t>
      </w:r>
      <w:r w:rsidR="00981880">
        <w:rPr>
          <w:rStyle w:val="BodyChar"/>
          <w:rFonts w:ascii="Times New Roman" w:hAnsi="Times New Roman" w:cs="Times New Roman"/>
        </w:rPr>
        <w:t>Table 5</w:t>
      </w:r>
      <w:r w:rsidR="003F7A6A">
        <w:rPr>
          <w:rStyle w:val="BodyChar"/>
          <w:rFonts w:ascii="Times New Roman" w:hAnsi="Times New Roman" w:cs="Times New Roman"/>
        </w:rPr>
        <w:t>).</w:t>
      </w:r>
      <w:bookmarkStart w:id="10" w:name="_Ref512583822"/>
      <w:bookmarkStart w:id="11" w:name="_Toc513290988"/>
      <w:r w:rsidR="00083868">
        <w:br w:type="page"/>
      </w:r>
    </w:p>
    <w:p w14:paraId="3641C5A3" w14:textId="77777777" w:rsidR="00846C33" w:rsidRPr="001964D2" w:rsidRDefault="00846C33" w:rsidP="001964D2">
      <w:pPr>
        <w:rPr>
          <w:rFonts w:ascii="Arial Narrow" w:hAnsi="Arial Narrow"/>
          <w:b/>
          <w:sz w:val="20"/>
        </w:rPr>
      </w:pPr>
      <w:r w:rsidRPr="001964D2">
        <w:rPr>
          <w:rFonts w:ascii="Arial Narrow" w:hAnsi="Arial Narrow"/>
          <w:b/>
          <w:sz w:val="20"/>
        </w:rPr>
        <w:lastRenderedPageBreak/>
        <w:t xml:space="preserve">Table </w:t>
      </w:r>
      <w:bookmarkEnd w:id="10"/>
      <w:r w:rsidR="00981880" w:rsidRPr="001964D2">
        <w:rPr>
          <w:rFonts w:ascii="Arial Narrow" w:hAnsi="Arial Narrow"/>
          <w:b/>
          <w:sz w:val="20"/>
        </w:rPr>
        <w:t>5</w:t>
      </w:r>
      <w:r w:rsidRPr="001964D2">
        <w:rPr>
          <w:rFonts w:ascii="Arial Narrow" w:hAnsi="Arial Narrow"/>
          <w:b/>
          <w:sz w:val="20"/>
        </w:rPr>
        <w:tab/>
        <w:t>Mean duration of follow-up and average age at enrolment in Australian studies</w:t>
      </w:r>
      <w:bookmarkEnd w:id="11"/>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mean duration of follow-up and average age at enrolment in the Australian studies, Stark et al 2016 and 2018, and Tan et al 2017"/>
      </w:tblPr>
      <w:tblGrid>
        <w:gridCol w:w="1555"/>
        <w:gridCol w:w="2126"/>
        <w:gridCol w:w="2607"/>
        <w:gridCol w:w="2750"/>
      </w:tblGrid>
      <w:tr w:rsidR="00846C33" w:rsidRPr="00981880" w14:paraId="14C99C15" w14:textId="77777777" w:rsidTr="007052AA">
        <w:trPr>
          <w:tblHeader/>
        </w:trPr>
        <w:tc>
          <w:tcPr>
            <w:tcW w:w="1555" w:type="dxa"/>
          </w:tcPr>
          <w:p w14:paraId="1447BE6E"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Study</w:t>
            </w:r>
          </w:p>
        </w:tc>
        <w:tc>
          <w:tcPr>
            <w:tcW w:w="2126" w:type="dxa"/>
          </w:tcPr>
          <w:p w14:paraId="1F614EFD"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Patient population</w:t>
            </w:r>
          </w:p>
        </w:tc>
        <w:tc>
          <w:tcPr>
            <w:tcW w:w="2607" w:type="dxa"/>
          </w:tcPr>
          <w:p w14:paraId="73200F42" w14:textId="77777777" w:rsidR="00846C33" w:rsidRPr="00981880" w:rsidRDefault="00846C33" w:rsidP="0008217D">
            <w:pPr>
              <w:pStyle w:val="Tableheading"/>
              <w:rPr>
                <w:rFonts w:ascii="Arial Narrow" w:hAnsi="Arial Narrow"/>
                <w:szCs w:val="20"/>
              </w:rPr>
            </w:pPr>
            <w:r w:rsidRPr="00981880">
              <w:rPr>
                <w:rFonts w:ascii="Arial Narrow" w:hAnsi="Arial Narrow"/>
                <w:szCs w:val="20"/>
              </w:rPr>
              <w:t>Mean age at enrolment (range)</w:t>
            </w:r>
          </w:p>
        </w:tc>
        <w:tc>
          <w:tcPr>
            <w:tcW w:w="2750" w:type="dxa"/>
          </w:tcPr>
          <w:p w14:paraId="2FF63E87" w14:textId="77777777" w:rsidR="00846C33" w:rsidRPr="00981880" w:rsidRDefault="00846C33" w:rsidP="00474D22">
            <w:pPr>
              <w:pStyle w:val="Tableheading"/>
              <w:jc w:val="center"/>
              <w:rPr>
                <w:rFonts w:ascii="Arial Narrow" w:hAnsi="Arial Narrow"/>
                <w:szCs w:val="20"/>
              </w:rPr>
            </w:pPr>
            <w:r w:rsidRPr="00981880">
              <w:rPr>
                <w:rFonts w:ascii="Arial Narrow" w:hAnsi="Arial Narrow"/>
                <w:szCs w:val="20"/>
              </w:rPr>
              <w:t xml:space="preserve">Median time to report or median </w:t>
            </w:r>
            <w:r w:rsidR="00474D22">
              <w:rPr>
                <w:rFonts w:ascii="Arial Narrow" w:hAnsi="Arial Narrow"/>
                <w:szCs w:val="20"/>
              </w:rPr>
              <w:t xml:space="preserve">post-report </w:t>
            </w:r>
            <w:r w:rsidRPr="00981880">
              <w:rPr>
                <w:rFonts w:ascii="Arial Narrow" w:hAnsi="Arial Narrow"/>
                <w:szCs w:val="20"/>
              </w:rPr>
              <w:t>follow-up (range)</w:t>
            </w:r>
          </w:p>
        </w:tc>
      </w:tr>
      <w:tr w:rsidR="00846C33" w:rsidRPr="00981880" w14:paraId="57BE7EBC" w14:textId="77777777" w:rsidTr="0008217D">
        <w:tc>
          <w:tcPr>
            <w:tcW w:w="1555" w:type="dxa"/>
          </w:tcPr>
          <w:p w14:paraId="15759FB5"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(2016)</w:t>
            </w:r>
          </w:p>
        </w:tc>
        <w:tc>
          <w:tcPr>
            <w:tcW w:w="2126" w:type="dxa"/>
          </w:tcPr>
          <w:p w14:paraId="5C7CA091" w14:textId="77777777" w:rsidR="00846C33" w:rsidRPr="00981880" w:rsidRDefault="00846C33" w:rsidP="0008217D">
            <w:pPr>
              <w:pStyle w:val="Tabletext"/>
              <w:rPr>
                <w:szCs w:val="20"/>
              </w:rPr>
            </w:pPr>
            <w:r w:rsidRPr="00981880">
              <w:rPr>
                <w:szCs w:val="20"/>
              </w:rPr>
              <w:t>Infants aged 0–2 years</w:t>
            </w:r>
          </w:p>
        </w:tc>
        <w:tc>
          <w:tcPr>
            <w:tcW w:w="2607" w:type="dxa"/>
          </w:tcPr>
          <w:p w14:paraId="3428D542" w14:textId="77777777" w:rsidR="00846C33" w:rsidRPr="00981880" w:rsidRDefault="00846C33" w:rsidP="0008217D">
            <w:pPr>
              <w:pStyle w:val="Tabletext"/>
              <w:rPr>
                <w:szCs w:val="20"/>
              </w:rPr>
            </w:pPr>
            <w:r w:rsidRPr="00981880">
              <w:rPr>
                <w:szCs w:val="20"/>
              </w:rPr>
              <w:t>8 months (1 week–34 months)</w:t>
            </w:r>
          </w:p>
        </w:tc>
        <w:tc>
          <w:tcPr>
            <w:tcW w:w="2750" w:type="dxa"/>
          </w:tcPr>
          <w:p w14:paraId="1D8A251D" w14:textId="77777777" w:rsidR="00846C33" w:rsidRPr="00981880" w:rsidRDefault="00846C33" w:rsidP="00645461">
            <w:pPr>
              <w:pStyle w:val="Tabletext"/>
              <w:jc w:val="center"/>
              <w:rPr>
                <w:szCs w:val="20"/>
              </w:rPr>
            </w:pPr>
            <w:r w:rsidRPr="00981880">
              <w:rPr>
                <w:szCs w:val="20"/>
              </w:rPr>
              <w:t>134 days</w:t>
            </w:r>
            <w:r w:rsidR="00610659">
              <w:rPr>
                <w:szCs w:val="20"/>
              </w:rPr>
              <w:t xml:space="preserve"> to report</w:t>
            </w:r>
            <w:r w:rsidRPr="00981880">
              <w:rPr>
                <w:szCs w:val="20"/>
              </w:rPr>
              <w:t xml:space="preserve"> (83–278 days)</w:t>
            </w:r>
          </w:p>
        </w:tc>
      </w:tr>
      <w:tr w:rsidR="00846C33" w:rsidRPr="00981880" w14:paraId="38BDE7A2" w14:textId="77777777" w:rsidTr="0008217D">
        <w:tc>
          <w:tcPr>
            <w:tcW w:w="1555" w:type="dxa"/>
          </w:tcPr>
          <w:p w14:paraId="4210CACA" w14:textId="77777777" w:rsidR="00846C33" w:rsidRPr="00981880" w:rsidRDefault="00846C33" w:rsidP="0008217D">
            <w:pPr>
              <w:pStyle w:val="Tabletext"/>
              <w:rPr>
                <w:szCs w:val="20"/>
              </w:rPr>
            </w:pPr>
            <w:r w:rsidRPr="00981880">
              <w:rPr>
                <w:szCs w:val="20"/>
              </w:rPr>
              <w:t xml:space="preserve">Tan </w:t>
            </w:r>
            <w:r w:rsidRPr="00981880">
              <w:rPr>
                <w:i/>
                <w:szCs w:val="20"/>
              </w:rPr>
              <w:t>et al</w:t>
            </w:r>
            <w:r w:rsidRPr="00981880">
              <w:rPr>
                <w:szCs w:val="20"/>
              </w:rPr>
              <w:t xml:space="preserve"> (2017)</w:t>
            </w:r>
          </w:p>
        </w:tc>
        <w:tc>
          <w:tcPr>
            <w:tcW w:w="2126" w:type="dxa"/>
          </w:tcPr>
          <w:p w14:paraId="19406EB8" w14:textId="77777777" w:rsidR="00846C33" w:rsidRPr="00981880" w:rsidRDefault="00846C33" w:rsidP="0008217D">
            <w:pPr>
              <w:pStyle w:val="Tabletext"/>
              <w:rPr>
                <w:szCs w:val="20"/>
              </w:rPr>
            </w:pPr>
            <w:r w:rsidRPr="00981880">
              <w:rPr>
                <w:szCs w:val="20"/>
              </w:rPr>
              <w:t>Children aged 2–18 years</w:t>
            </w:r>
          </w:p>
        </w:tc>
        <w:tc>
          <w:tcPr>
            <w:tcW w:w="2607" w:type="dxa"/>
          </w:tcPr>
          <w:p w14:paraId="57E43952" w14:textId="77777777" w:rsidR="00846C33" w:rsidRPr="00981880" w:rsidRDefault="00846C33" w:rsidP="0008217D">
            <w:pPr>
              <w:pStyle w:val="Tabletext"/>
              <w:rPr>
                <w:szCs w:val="20"/>
              </w:rPr>
            </w:pPr>
            <w:r w:rsidRPr="00981880">
              <w:rPr>
                <w:szCs w:val="20"/>
              </w:rPr>
              <w:t>28 months (0–121 months)</w:t>
            </w:r>
          </w:p>
        </w:tc>
        <w:tc>
          <w:tcPr>
            <w:tcW w:w="2750" w:type="dxa"/>
          </w:tcPr>
          <w:p w14:paraId="6977ECA2" w14:textId="77777777" w:rsidR="00846C33" w:rsidRPr="00981880" w:rsidRDefault="00846C33" w:rsidP="00645461">
            <w:pPr>
              <w:pStyle w:val="Tabletext"/>
              <w:jc w:val="center"/>
              <w:rPr>
                <w:szCs w:val="20"/>
              </w:rPr>
            </w:pPr>
            <w:r w:rsidRPr="00981880">
              <w:rPr>
                <w:szCs w:val="20"/>
              </w:rPr>
              <w:t xml:space="preserve">181 days </w:t>
            </w:r>
            <w:r w:rsidR="00610659">
              <w:rPr>
                <w:szCs w:val="20"/>
              </w:rPr>
              <w:t xml:space="preserve">to report </w:t>
            </w:r>
            <w:r w:rsidRPr="00981880">
              <w:rPr>
                <w:szCs w:val="20"/>
              </w:rPr>
              <w:t>(40–283 days)</w:t>
            </w:r>
          </w:p>
        </w:tc>
      </w:tr>
      <w:tr w:rsidR="00846C33" w:rsidRPr="00981880" w14:paraId="0ED36936" w14:textId="77777777" w:rsidTr="0008217D">
        <w:tc>
          <w:tcPr>
            <w:tcW w:w="1555" w:type="dxa"/>
          </w:tcPr>
          <w:p w14:paraId="686BF117" w14:textId="77777777" w:rsidR="00846C33" w:rsidRPr="00981880" w:rsidRDefault="00846C33" w:rsidP="0008217D">
            <w:pPr>
              <w:pStyle w:val="Tabletext"/>
              <w:rPr>
                <w:szCs w:val="20"/>
              </w:rPr>
            </w:pPr>
            <w:r w:rsidRPr="00981880">
              <w:rPr>
                <w:szCs w:val="20"/>
              </w:rPr>
              <w:t xml:space="preserve">Stark </w:t>
            </w:r>
            <w:r w:rsidRPr="00981880">
              <w:rPr>
                <w:i/>
                <w:szCs w:val="20"/>
              </w:rPr>
              <w:t>et al</w:t>
            </w:r>
            <w:r w:rsidRPr="00981880">
              <w:rPr>
                <w:szCs w:val="20"/>
              </w:rPr>
              <w:t xml:space="preserve"> (2018)</w:t>
            </w:r>
          </w:p>
        </w:tc>
        <w:tc>
          <w:tcPr>
            <w:tcW w:w="2126" w:type="dxa"/>
          </w:tcPr>
          <w:p w14:paraId="100CE4E3" w14:textId="77777777" w:rsidR="00846C33" w:rsidRPr="00981880" w:rsidRDefault="00846C33" w:rsidP="0008217D">
            <w:pPr>
              <w:pStyle w:val="Tabletext"/>
              <w:rPr>
                <w:szCs w:val="20"/>
              </w:rPr>
            </w:pPr>
            <w:r w:rsidRPr="00981880">
              <w:rPr>
                <w:szCs w:val="20"/>
              </w:rPr>
              <w:t>Infants aged 0–2 years</w:t>
            </w:r>
          </w:p>
        </w:tc>
        <w:tc>
          <w:tcPr>
            <w:tcW w:w="2607" w:type="dxa"/>
          </w:tcPr>
          <w:p w14:paraId="59B590A9" w14:textId="77777777" w:rsidR="00846C33" w:rsidRPr="00981880" w:rsidRDefault="00846C33" w:rsidP="0008217D">
            <w:pPr>
              <w:pStyle w:val="Tabletext"/>
              <w:rPr>
                <w:szCs w:val="20"/>
              </w:rPr>
            </w:pPr>
            <w:r w:rsidRPr="00981880">
              <w:rPr>
                <w:szCs w:val="20"/>
              </w:rPr>
              <w:t xml:space="preserve">As per Stark </w:t>
            </w:r>
            <w:r w:rsidRPr="00981880">
              <w:rPr>
                <w:i/>
                <w:szCs w:val="20"/>
              </w:rPr>
              <w:t>et al</w:t>
            </w:r>
            <w:r w:rsidRPr="00981880">
              <w:rPr>
                <w:szCs w:val="20"/>
              </w:rPr>
              <w:t xml:space="preserve"> (2016)</w:t>
            </w:r>
          </w:p>
        </w:tc>
        <w:tc>
          <w:tcPr>
            <w:tcW w:w="2750" w:type="dxa"/>
          </w:tcPr>
          <w:p w14:paraId="257B8614" w14:textId="77777777" w:rsidR="00846C33" w:rsidRPr="00981880" w:rsidRDefault="00846C33" w:rsidP="0008731B">
            <w:pPr>
              <w:pStyle w:val="Tabletext"/>
              <w:jc w:val="center"/>
              <w:rPr>
                <w:szCs w:val="20"/>
              </w:rPr>
            </w:pPr>
            <w:r w:rsidRPr="00981880">
              <w:rPr>
                <w:szCs w:val="20"/>
              </w:rPr>
              <w:t>473 days post-re</w:t>
            </w:r>
            <w:r w:rsidR="0008731B">
              <w:rPr>
                <w:szCs w:val="20"/>
              </w:rPr>
              <w:t>por</w:t>
            </w:r>
            <w:r w:rsidRPr="00981880">
              <w:rPr>
                <w:szCs w:val="20"/>
              </w:rPr>
              <w:t>t follow-up (IQR 411–650 days)</w:t>
            </w:r>
          </w:p>
        </w:tc>
      </w:tr>
    </w:tbl>
    <w:p w14:paraId="5F77FC14" w14:textId="77777777" w:rsidR="00846C33" w:rsidRPr="00981880" w:rsidRDefault="00846C33" w:rsidP="00981880">
      <w:pPr>
        <w:pStyle w:val="Tablenote"/>
        <w:spacing w:before="0" w:after="240"/>
        <w:rPr>
          <w:rFonts w:ascii="Arial Narrow" w:hAnsi="Arial Narrow"/>
          <w:sz w:val="20"/>
          <w:szCs w:val="20"/>
        </w:rPr>
      </w:pPr>
      <w:r w:rsidRPr="00981880">
        <w:rPr>
          <w:rFonts w:ascii="Arial Narrow" w:hAnsi="Arial Narrow"/>
          <w:sz w:val="20"/>
          <w:szCs w:val="20"/>
        </w:rPr>
        <w:t>Abbreviations: IQR, interquartile range</w:t>
      </w:r>
    </w:p>
    <w:p w14:paraId="190E85B3" w14:textId="77777777" w:rsidR="003F7A6A" w:rsidRPr="00981880" w:rsidRDefault="003F7A6A" w:rsidP="003F7A6A">
      <w:pPr>
        <w:pStyle w:val="Body"/>
        <w:spacing w:after="240" w:line="240" w:lineRule="auto"/>
        <w:rPr>
          <w:rStyle w:val="BodyChar"/>
          <w:rFonts w:ascii="Times New Roman" w:hAnsi="Times New Roman" w:cs="Times New Roman"/>
        </w:rPr>
      </w:pPr>
      <w:r w:rsidRPr="00981880">
        <w:rPr>
          <w:rStyle w:val="BodyChar"/>
          <w:rFonts w:ascii="Times New Roman" w:hAnsi="Times New Roman" w:cs="Times New Roman"/>
        </w:rPr>
        <w:t xml:space="preserve">One randomised controlled trial (RCT) (Petrikin </w:t>
      </w:r>
      <w:r w:rsidRPr="00981880">
        <w:rPr>
          <w:rStyle w:val="BodyChar"/>
          <w:rFonts w:ascii="Times New Roman" w:hAnsi="Times New Roman" w:cs="Times New Roman"/>
          <w:i/>
        </w:rPr>
        <w:t>et al</w:t>
      </w:r>
      <w:r w:rsidRPr="00981880">
        <w:rPr>
          <w:rStyle w:val="BodyChar"/>
          <w:rFonts w:ascii="Times New Roman" w:hAnsi="Times New Roman" w:cs="Times New Roman"/>
        </w:rPr>
        <w:t xml:space="preserve"> (2018)) focussing solely on rapid WGS (rWGS) + standard testing versus standard testing alone showed that the median time to diagnosis in the rWGS + standard testing group was 13 days (range 1–84 days), while the median time to diagnosis in the standard testing alone group was 107 days (range 21–429 days). As expected, the time to diagnosis using rapid sequencing would be </w:t>
      </w:r>
      <w:r w:rsidRPr="00981880">
        <w:rPr>
          <w:rFonts w:ascii="Times New Roman" w:hAnsi="Times New Roman" w:cs="Times New Roman"/>
        </w:rPr>
        <w:t>significantly below that expected by standard WEA or even standard WGS.</w:t>
      </w:r>
    </w:p>
    <w:p w14:paraId="5D2BF639" w14:textId="77777777" w:rsidR="00846C33" w:rsidRPr="00981880" w:rsidRDefault="00846C33" w:rsidP="00981880">
      <w:pPr>
        <w:pStyle w:val="Body"/>
        <w:spacing w:line="240" w:lineRule="auto"/>
        <w:rPr>
          <w:rStyle w:val="BodyChar"/>
          <w:rFonts w:ascii="Times New Roman" w:hAnsi="Times New Roman" w:cs="Times New Roman"/>
        </w:rPr>
      </w:pPr>
      <w:r w:rsidRPr="00981880">
        <w:rPr>
          <w:rFonts w:ascii="Times New Roman" w:hAnsi="Times New Roman" w:cs="Times New Roman"/>
          <w:u w:val="single"/>
        </w:rPr>
        <w:t>Health resource changes</w:t>
      </w:r>
      <w:r w:rsidRPr="00645461">
        <w:rPr>
          <w:rFonts w:ascii="Times New Roman" w:hAnsi="Times New Roman" w:cs="Times New Roman"/>
        </w:rPr>
        <w:t>:</w:t>
      </w:r>
      <w:r w:rsidRPr="00981880">
        <w:rPr>
          <w:rFonts w:ascii="Times New Roman" w:hAnsi="Times New Roman" w:cs="Times New Roman"/>
        </w:rPr>
        <w:t xml:space="preserve"> An Australian longer-term follow-up study (Stark </w:t>
      </w:r>
      <w:r w:rsidRPr="00981880">
        <w:rPr>
          <w:rFonts w:ascii="Times New Roman" w:hAnsi="Times New Roman" w:cs="Times New Roman"/>
          <w:i/>
        </w:rPr>
        <w:t>et al</w:t>
      </w:r>
      <w:r w:rsidRPr="00981880">
        <w:rPr>
          <w:rFonts w:ascii="Times New Roman" w:hAnsi="Times New Roman" w:cs="Times New Roman"/>
        </w:rPr>
        <w:t xml:space="preserve"> (2018)) showed no difference in utilisation of tertiary paediatr</w:t>
      </w:r>
      <w:r w:rsidR="00645461">
        <w:rPr>
          <w:rFonts w:ascii="Times New Roman" w:hAnsi="Times New Roman" w:cs="Times New Roman"/>
        </w:rPr>
        <w:t>ic</w:t>
      </w:r>
      <w:r w:rsidRPr="00981880">
        <w:rPr>
          <w:rFonts w:ascii="Times New Roman" w:hAnsi="Times New Roman" w:cs="Times New Roman"/>
        </w:rPr>
        <w:t xml:space="preserve"> hospital services pre- or post-result comparing those patients who received a </w:t>
      </w:r>
      <w:r w:rsidR="0008731B">
        <w:rPr>
          <w:rFonts w:ascii="Times New Roman" w:hAnsi="Times New Roman" w:cs="Times New Roman"/>
        </w:rPr>
        <w:t xml:space="preserve">molecular </w:t>
      </w:r>
      <w:r w:rsidRPr="00981880">
        <w:rPr>
          <w:rFonts w:ascii="Times New Roman" w:hAnsi="Times New Roman" w:cs="Times New Roman"/>
        </w:rPr>
        <w:t>diagnosis and those who did not. Further analysis showed that among patients who received a diagnosis, WEA did not result in any significant difference in the utilisation of tertiary paediatric hospital services pre- or post-result. Whereas in</w:t>
      </w:r>
      <w:r w:rsidRPr="00981880">
        <w:rPr>
          <w:rStyle w:val="BodyChar"/>
          <w:rFonts w:ascii="Times New Roman" w:hAnsi="Times New Roman" w:cs="Times New Roman"/>
        </w:rPr>
        <w:t xml:space="preserve"> patients who </w:t>
      </w:r>
      <w:r w:rsidR="00CE729A">
        <w:rPr>
          <w:rStyle w:val="BodyChar"/>
          <w:rFonts w:ascii="Times New Roman" w:hAnsi="Times New Roman" w:cs="Times New Roman"/>
        </w:rPr>
        <w:t xml:space="preserve">remained </w:t>
      </w:r>
      <w:r w:rsidRPr="00981880">
        <w:rPr>
          <w:rStyle w:val="BodyChar"/>
          <w:rFonts w:ascii="Times New Roman" w:hAnsi="Times New Roman" w:cs="Times New Roman"/>
        </w:rPr>
        <w:t xml:space="preserve">undiagnosed, WEA resulted in a significant </w:t>
      </w:r>
      <w:r w:rsidR="00CE729A">
        <w:rPr>
          <w:rStyle w:val="BodyChar"/>
          <w:rFonts w:ascii="Times New Roman" w:hAnsi="Times New Roman" w:cs="Times New Roman"/>
        </w:rPr>
        <w:t>increase</w:t>
      </w:r>
      <w:r w:rsidRPr="00981880">
        <w:rPr>
          <w:rStyle w:val="BodyChar"/>
          <w:rFonts w:ascii="Times New Roman" w:hAnsi="Times New Roman" w:cs="Times New Roman"/>
        </w:rPr>
        <w:t xml:space="preserve"> in the clinical trajectory (</w:t>
      </w:r>
      <w:r w:rsidR="00CE729A">
        <w:rPr>
          <w:rStyle w:val="BodyChar"/>
          <w:rFonts w:ascii="Times New Roman" w:hAnsi="Times New Roman" w:cs="Times New Roman"/>
        </w:rPr>
        <w:t>mean difference of</w:t>
      </w:r>
      <w:r w:rsidRPr="00981880">
        <w:rPr>
          <w:rStyle w:val="BodyChar"/>
          <w:rFonts w:ascii="Times New Roman" w:hAnsi="Times New Roman" w:cs="Times New Roman"/>
        </w:rPr>
        <w:t xml:space="preserve"> 142</w:t>
      </w:r>
      <w:r w:rsidR="00CE729A">
        <w:rPr>
          <w:rStyle w:val="BodyChar"/>
          <w:rFonts w:ascii="Times New Roman" w:hAnsi="Times New Roman" w:cs="Times New Roman"/>
        </w:rPr>
        <w:t xml:space="preserve"> days</w:t>
      </w:r>
      <w:r w:rsidRPr="00981880">
        <w:rPr>
          <w:rStyle w:val="BodyChar"/>
          <w:rFonts w:ascii="Times New Roman" w:hAnsi="Times New Roman" w:cs="Times New Roman"/>
        </w:rPr>
        <w:t>; 95% CI</w:t>
      </w:r>
      <w:r w:rsidR="00474D22">
        <w:rPr>
          <w:rStyle w:val="BodyChar"/>
          <w:rFonts w:ascii="Times New Roman" w:hAnsi="Times New Roman" w:cs="Times New Roman"/>
        </w:rPr>
        <w:t>:</w:t>
      </w:r>
      <w:r w:rsidRPr="00981880">
        <w:rPr>
          <w:rStyle w:val="BodyChar"/>
          <w:rFonts w:ascii="Times New Roman" w:hAnsi="Times New Roman" w:cs="Times New Roman"/>
        </w:rPr>
        <w:t xml:space="preserve"> 57.63</w:t>
      </w:r>
      <w:r w:rsidR="00CE729A">
        <w:rPr>
          <w:rStyle w:val="BodyChar"/>
          <w:rFonts w:ascii="Times New Roman" w:hAnsi="Times New Roman" w:cs="Times New Roman"/>
        </w:rPr>
        <w:t xml:space="preserve"> days to </w:t>
      </w:r>
      <w:r w:rsidRPr="00981880">
        <w:rPr>
          <w:rStyle w:val="BodyChar"/>
          <w:rFonts w:ascii="Times New Roman" w:hAnsi="Times New Roman" w:cs="Times New Roman"/>
        </w:rPr>
        <w:t>226.37</w:t>
      </w:r>
      <w:r w:rsidR="00CE729A">
        <w:rPr>
          <w:rStyle w:val="BodyChar"/>
          <w:rFonts w:ascii="Times New Roman" w:hAnsi="Times New Roman" w:cs="Times New Roman"/>
        </w:rPr>
        <w:t xml:space="preserve"> days</w:t>
      </w:r>
      <w:r w:rsidRPr="00981880">
        <w:rPr>
          <w:rStyle w:val="BodyChar"/>
          <w:rFonts w:ascii="Times New Roman" w:hAnsi="Times New Roman" w:cs="Times New Roman"/>
        </w:rPr>
        <w:t>; p=0.001). Other measures of utilisation of tertiary paediatric hospital services (i.e. hospital admission, days as an inpatient, and outpatient appointments) were not significantly different in undiagnosed patients pre- or post-result.</w:t>
      </w:r>
    </w:p>
    <w:p w14:paraId="7A91CC82"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Quality of life</w:t>
      </w:r>
      <w:r w:rsidRPr="00645461">
        <w:rPr>
          <w:rFonts w:ascii="Times New Roman" w:hAnsi="Times New Roman" w:cs="Times New Roman"/>
        </w:rPr>
        <w:t>:</w:t>
      </w:r>
      <w:r w:rsidRPr="00981880">
        <w:rPr>
          <w:rFonts w:ascii="Times New Roman" w:hAnsi="Times New Roman" w:cs="Times New Roman"/>
        </w:rPr>
        <w:t xml:space="preserve"> No data available </w:t>
      </w:r>
      <w:r w:rsidR="00645461">
        <w:rPr>
          <w:rFonts w:ascii="Times New Roman" w:hAnsi="Times New Roman" w:cs="Times New Roman"/>
        </w:rPr>
        <w:t>for this population (0-18 yrs).</w:t>
      </w:r>
    </w:p>
    <w:p w14:paraId="465F9555" w14:textId="77777777" w:rsidR="00846C33" w:rsidRPr="00981880" w:rsidRDefault="00846C33" w:rsidP="00981880">
      <w:pPr>
        <w:pStyle w:val="Body"/>
        <w:spacing w:before="240" w:line="240" w:lineRule="auto"/>
        <w:rPr>
          <w:rStyle w:val="Emphasis"/>
          <w:rFonts w:ascii="Times New Roman" w:eastAsiaTheme="minorHAnsi" w:hAnsi="Times New Roman"/>
        </w:rPr>
      </w:pPr>
      <w:r w:rsidRPr="00981880">
        <w:rPr>
          <w:rStyle w:val="Emphasis"/>
          <w:rFonts w:ascii="Times New Roman" w:eastAsiaTheme="minorHAnsi" w:hAnsi="Times New Roman"/>
        </w:rPr>
        <w:t xml:space="preserve">Population 2: Re-interrogation analysis for patients who did not have a definite </w:t>
      </w:r>
      <w:r w:rsidR="00CE729A">
        <w:rPr>
          <w:rStyle w:val="Emphasis"/>
          <w:rFonts w:ascii="Times New Roman" w:eastAsiaTheme="minorHAnsi" w:hAnsi="Times New Roman"/>
        </w:rPr>
        <w:t xml:space="preserve">molecular </w:t>
      </w:r>
      <w:r w:rsidRPr="00981880">
        <w:rPr>
          <w:rStyle w:val="Emphasis"/>
          <w:rFonts w:ascii="Times New Roman" w:eastAsiaTheme="minorHAnsi" w:hAnsi="Times New Roman"/>
        </w:rPr>
        <w:t xml:space="preserve">diagnosis at initial </w:t>
      </w:r>
      <w:r w:rsidR="004C5A49">
        <w:rPr>
          <w:rStyle w:val="Emphasis"/>
          <w:rFonts w:ascii="Times New Roman" w:eastAsiaTheme="minorHAnsi" w:hAnsi="Times New Roman"/>
        </w:rPr>
        <w:t xml:space="preserve">WES </w:t>
      </w:r>
      <w:r w:rsidRPr="00981880">
        <w:rPr>
          <w:rStyle w:val="Emphasis"/>
          <w:rFonts w:ascii="Times New Roman" w:eastAsiaTheme="minorHAnsi" w:hAnsi="Times New Roman"/>
        </w:rPr>
        <w:t>testing</w:t>
      </w:r>
    </w:p>
    <w:p w14:paraId="5BF0AC54"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Time to diagnosis</w:t>
      </w:r>
      <w:r w:rsidRPr="00645461">
        <w:rPr>
          <w:rFonts w:ascii="Times New Roman" w:hAnsi="Times New Roman" w:cs="Times New Roman"/>
        </w:rPr>
        <w:t>:</w:t>
      </w:r>
      <w:r w:rsidRPr="00981880">
        <w:rPr>
          <w:rFonts w:ascii="Times New Roman" w:hAnsi="Times New Roman" w:cs="Times New Roman"/>
        </w:rPr>
        <w:t xml:space="preserve"> One RCT comparing</w:t>
      </w:r>
      <w:r w:rsidRPr="00981880">
        <w:rPr>
          <w:rStyle w:val="BodyChar"/>
          <w:rFonts w:ascii="Times New Roman" w:hAnsi="Times New Roman" w:cs="Times New Roman"/>
        </w:rPr>
        <w:t xml:space="preserve"> rWGS + standard testing versus standard testing alone</w:t>
      </w:r>
      <w:r w:rsidRPr="00981880">
        <w:rPr>
          <w:rFonts w:ascii="Times New Roman" w:hAnsi="Times New Roman" w:cs="Times New Roman"/>
        </w:rPr>
        <w:t xml:space="preserve"> reported median time to diagnosis as 54.73 months in the first year, which was reduced by 9 months to 46.65 months in the third year (Nambot </w:t>
      </w:r>
      <w:r w:rsidRPr="00981880">
        <w:rPr>
          <w:rFonts w:ascii="Times New Roman" w:hAnsi="Times New Roman" w:cs="Times New Roman"/>
          <w:i/>
        </w:rPr>
        <w:t>et al</w:t>
      </w:r>
      <w:r w:rsidRPr="00981880">
        <w:rPr>
          <w:rFonts w:ascii="Times New Roman" w:hAnsi="Times New Roman" w:cs="Times New Roman"/>
        </w:rPr>
        <w:t xml:space="preserve"> (2017)).</w:t>
      </w:r>
    </w:p>
    <w:p w14:paraId="3B0FF32C" w14:textId="2446D4F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rPr>
        <w:t>Data for change in management, health resource changes, and quality of life were not available for this population. However, there is no reason to consider the outcomes would be sufficiently d</w:t>
      </w:r>
      <w:r w:rsidR="00FE7B20">
        <w:rPr>
          <w:rFonts w:ascii="Times New Roman" w:hAnsi="Times New Roman" w:cs="Times New Roman"/>
        </w:rPr>
        <w:t>ifferent from that observed in P</w:t>
      </w:r>
      <w:r w:rsidR="00645461">
        <w:rPr>
          <w:rFonts w:ascii="Times New Roman" w:hAnsi="Times New Roman" w:cs="Times New Roman"/>
        </w:rPr>
        <w:t>opulation 1 (initial testing).</w:t>
      </w:r>
    </w:p>
    <w:p w14:paraId="6DF0C4F6" w14:textId="77777777" w:rsidR="00846C33" w:rsidRPr="00981880" w:rsidRDefault="00846C33" w:rsidP="00981880">
      <w:pPr>
        <w:pStyle w:val="Body"/>
        <w:spacing w:before="240" w:line="240" w:lineRule="auto"/>
        <w:rPr>
          <w:rFonts w:ascii="Times New Roman" w:hAnsi="Times New Roman" w:cs="Times New Roman"/>
        </w:rPr>
      </w:pPr>
      <w:r w:rsidRPr="00981880">
        <w:rPr>
          <w:rFonts w:ascii="Times New Roman" w:hAnsi="Times New Roman" w:cs="Times New Roman"/>
          <w:i/>
        </w:rPr>
        <w:t>Population 3: Cascade testing of first-degree family members</w:t>
      </w:r>
    </w:p>
    <w:p w14:paraId="48C0F360"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Change in management</w:t>
      </w:r>
      <w:r w:rsidRPr="00645461">
        <w:rPr>
          <w:rFonts w:ascii="Times New Roman" w:hAnsi="Times New Roman" w:cs="Times New Roman"/>
        </w:rPr>
        <w:t>:</w:t>
      </w:r>
      <w:r w:rsidRPr="00981880">
        <w:rPr>
          <w:rFonts w:ascii="Times New Roman" w:hAnsi="Times New Roman" w:cs="Times New Roman"/>
        </w:rPr>
        <w:t xml:space="preserve"> In an Australian study investigating the longer-term impacts of WEA in infants aged 0–2 years (Stark </w:t>
      </w:r>
      <w:r w:rsidRPr="00981880">
        <w:rPr>
          <w:rFonts w:ascii="Times New Roman" w:hAnsi="Times New Roman" w:cs="Times New Roman"/>
          <w:i/>
        </w:rPr>
        <w:t>et al</w:t>
      </w:r>
      <w:r w:rsidRPr="00981880">
        <w:rPr>
          <w:rFonts w:ascii="Times New Roman" w:hAnsi="Times New Roman" w:cs="Times New Roman"/>
        </w:rPr>
        <w:t xml:space="preserve"> (2018)), three out of twelve (25%) first-degree relatives who received a </w:t>
      </w:r>
      <w:r w:rsidR="00CE729A">
        <w:rPr>
          <w:rFonts w:ascii="Times New Roman" w:hAnsi="Times New Roman" w:cs="Times New Roman"/>
        </w:rPr>
        <w:t xml:space="preserve">molecular </w:t>
      </w:r>
      <w:r w:rsidRPr="00981880">
        <w:rPr>
          <w:rFonts w:ascii="Times New Roman" w:hAnsi="Times New Roman" w:cs="Times New Roman"/>
        </w:rPr>
        <w:t>diagnosis had a change in management.</w:t>
      </w:r>
    </w:p>
    <w:p w14:paraId="2D4573D5"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t>Restoration of reproductive confidence</w:t>
      </w:r>
      <w:r w:rsidRPr="00645461">
        <w:rPr>
          <w:rFonts w:ascii="Times New Roman" w:hAnsi="Times New Roman" w:cs="Times New Roman"/>
        </w:rPr>
        <w:t>:</w:t>
      </w:r>
      <w:r w:rsidRPr="00981880">
        <w:rPr>
          <w:rFonts w:ascii="Times New Roman" w:hAnsi="Times New Roman" w:cs="Times New Roman"/>
        </w:rPr>
        <w:t xml:space="preserve"> In an Australian study investigating the impacts of WEA in infants aged 0–2 years, 28 couples out of 41 families tested (68.3%) were identified as being at high risk of recurrence in future pregnancies following </w:t>
      </w:r>
      <w:r w:rsidR="00CE729A">
        <w:rPr>
          <w:rFonts w:ascii="Times New Roman" w:hAnsi="Times New Roman" w:cs="Times New Roman"/>
        </w:rPr>
        <w:t xml:space="preserve">molecular </w:t>
      </w:r>
      <w:r w:rsidRPr="00981880">
        <w:rPr>
          <w:rFonts w:ascii="Times New Roman" w:hAnsi="Times New Roman" w:cs="Times New Roman"/>
        </w:rPr>
        <w:t xml:space="preserve">diagnosis of their child (Stark </w:t>
      </w:r>
      <w:r w:rsidRPr="00981880">
        <w:rPr>
          <w:rFonts w:ascii="Times New Roman" w:hAnsi="Times New Roman" w:cs="Times New Roman"/>
          <w:i/>
        </w:rPr>
        <w:t>et al</w:t>
      </w:r>
      <w:r w:rsidRPr="00981880">
        <w:rPr>
          <w:rFonts w:ascii="Times New Roman" w:hAnsi="Times New Roman" w:cs="Times New Roman"/>
        </w:rPr>
        <w:t xml:space="preserve"> (2016)). By comparison, standard diagnostic investigations would have identified 46% (13/28) of these couples (RR 2.15; 95% CI</w:t>
      </w:r>
      <w:r w:rsidR="00474D22">
        <w:rPr>
          <w:rFonts w:ascii="Times New Roman" w:hAnsi="Times New Roman" w:cs="Times New Roman"/>
        </w:rPr>
        <w:t>:</w:t>
      </w:r>
      <w:r w:rsidRPr="00981880">
        <w:rPr>
          <w:rFonts w:ascii="Times New Roman" w:hAnsi="Times New Roman" w:cs="Times New Roman"/>
        </w:rPr>
        <w:t xml:space="preserve"> 1.31, 3.53; p=0.002). In Stark </w:t>
      </w:r>
      <w:r w:rsidRPr="00981880">
        <w:rPr>
          <w:rFonts w:ascii="Times New Roman" w:hAnsi="Times New Roman" w:cs="Times New Roman"/>
          <w:i/>
        </w:rPr>
        <w:t>et al</w:t>
      </w:r>
      <w:r w:rsidRPr="00981880">
        <w:rPr>
          <w:rFonts w:ascii="Times New Roman" w:hAnsi="Times New Roman" w:cs="Times New Roman"/>
        </w:rPr>
        <w:t xml:space="preserve"> (2018), two couples with undiagnosed children and 14 couples with diagnosed children sought advice from reproductive genetic services. Importantly, 9 couples with diagnosed children had an ongoing pregnancy compared with just one couple with a child who had remained undiagnosed.</w:t>
      </w:r>
    </w:p>
    <w:p w14:paraId="5C797091" w14:textId="77777777" w:rsidR="00846C33" w:rsidRPr="00981880" w:rsidRDefault="00846C33" w:rsidP="00981880">
      <w:pPr>
        <w:pStyle w:val="Body"/>
        <w:spacing w:line="240" w:lineRule="auto"/>
        <w:rPr>
          <w:rFonts w:ascii="Times New Roman" w:hAnsi="Times New Roman" w:cs="Times New Roman"/>
        </w:rPr>
      </w:pPr>
      <w:r w:rsidRPr="00981880">
        <w:rPr>
          <w:rFonts w:ascii="Times New Roman" w:hAnsi="Times New Roman" w:cs="Times New Roman"/>
          <w:u w:val="single"/>
        </w:rPr>
        <w:lastRenderedPageBreak/>
        <w:t>Health resource costs</w:t>
      </w:r>
      <w:r w:rsidRPr="00645461">
        <w:rPr>
          <w:rFonts w:ascii="Times New Roman" w:hAnsi="Times New Roman" w:cs="Times New Roman"/>
        </w:rPr>
        <w:t>:</w:t>
      </w:r>
      <w:r w:rsidRPr="00981880">
        <w:rPr>
          <w:rFonts w:ascii="Times New Roman" w:hAnsi="Times New Roman" w:cs="Times New Roman"/>
        </w:rPr>
        <w:t xml:space="preserve"> The costs associated with change in management of first-degree relatives who received a molecular diagnosis through cascade testing depends on the diagnosis itself.</w:t>
      </w:r>
    </w:p>
    <w:p w14:paraId="39E061BD" w14:textId="77777777" w:rsidR="00BC1364" w:rsidRPr="00F715D1" w:rsidRDefault="00BC1364" w:rsidP="00F715D1">
      <w:pPr>
        <w:pStyle w:val="Heading1"/>
      </w:pPr>
      <w:r w:rsidRPr="00F715D1">
        <w:t>Economic evaluation</w:t>
      </w:r>
    </w:p>
    <w:p w14:paraId="70125B2F" w14:textId="77777777" w:rsidR="000C5D80" w:rsidRDefault="00981880" w:rsidP="00E3780D">
      <w:pPr>
        <w:pStyle w:val="Body"/>
        <w:spacing w:after="240" w:line="240" w:lineRule="auto"/>
        <w:rPr>
          <w:rFonts w:ascii="Times New Roman" w:hAnsi="Times New Roman" w:cs="Times New Roman"/>
        </w:rPr>
      </w:pPr>
      <w:r>
        <w:rPr>
          <w:rFonts w:ascii="Times New Roman" w:hAnsi="Times New Roman" w:cs="Times New Roman"/>
        </w:rPr>
        <w:t xml:space="preserve">A </w:t>
      </w:r>
      <w:r w:rsidR="000C5D80" w:rsidRPr="003E54AB">
        <w:rPr>
          <w:rFonts w:ascii="Times New Roman" w:hAnsi="Times New Roman" w:cs="Times New Roman"/>
        </w:rPr>
        <w:t xml:space="preserve">series of cost-utility analyses </w:t>
      </w:r>
      <w:r>
        <w:rPr>
          <w:rFonts w:ascii="Times New Roman" w:hAnsi="Times New Roman" w:cs="Times New Roman"/>
        </w:rPr>
        <w:t xml:space="preserve">was presented </w:t>
      </w:r>
      <w:r w:rsidR="000C5D80" w:rsidRPr="003E54AB">
        <w:rPr>
          <w:rFonts w:ascii="Times New Roman" w:hAnsi="Times New Roman" w:cs="Times New Roman"/>
        </w:rPr>
        <w:t>reporting the cost per additional quality-adjusted life year (QALY) generated by the introduction of WEA testing.</w:t>
      </w:r>
      <w:r w:rsidR="000C5D80">
        <w:rPr>
          <w:rFonts w:ascii="Times New Roman" w:hAnsi="Times New Roman" w:cs="Times New Roman"/>
        </w:rPr>
        <w:t xml:space="preserve"> </w:t>
      </w:r>
      <w:r w:rsidR="000C5D80" w:rsidRPr="003E54AB">
        <w:rPr>
          <w:rFonts w:ascii="Times New Roman" w:hAnsi="Times New Roman" w:cs="Times New Roman"/>
        </w:rPr>
        <w:t xml:space="preserve">The data from Stark </w:t>
      </w:r>
      <w:r w:rsidR="000C5D80" w:rsidRPr="003E54AB">
        <w:rPr>
          <w:rFonts w:ascii="Times New Roman" w:hAnsi="Times New Roman" w:cs="Times New Roman"/>
          <w:i/>
        </w:rPr>
        <w:t xml:space="preserve">et al </w:t>
      </w:r>
      <w:r w:rsidR="000C5D80" w:rsidRPr="003E54AB">
        <w:rPr>
          <w:rFonts w:ascii="Times New Roman" w:hAnsi="Times New Roman" w:cs="Times New Roman"/>
        </w:rPr>
        <w:t xml:space="preserve">(2016), Stark </w:t>
      </w:r>
      <w:r w:rsidR="000C5D80" w:rsidRPr="003E54AB">
        <w:rPr>
          <w:rFonts w:ascii="Times New Roman" w:hAnsi="Times New Roman" w:cs="Times New Roman"/>
          <w:i/>
        </w:rPr>
        <w:t xml:space="preserve">et al </w:t>
      </w:r>
      <w:r w:rsidR="000C5D80" w:rsidRPr="003E54AB">
        <w:rPr>
          <w:rFonts w:ascii="Times New Roman" w:hAnsi="Times New Roman" w:cs="Times New Roman"/>
        </w:rPr>
        <w:t xml:space="preserve">(2017) and Stark </w:t>
      </w:r>
      <w:r w:rsidR="000C5D80" w:rsidRPr="003E54AB">
        <w:rPr>
          <w:rFonts w:ascii="Times New Roman" w:hAnsi="Times New Roman" w:cs="Times New Roman"/>
          <w:i/>
        </w:rPr>
        <w:t>et al</w:t>
      </w:r>
      <w:r w:rsidR="000C5D80" w:rsidRPr="003E54AB">
        <w:rPr>
          <w:rFonts w:ascii="Times New Roman" w:hAnsi="Times New Roman" w:cs="Times New Roman"/>
        </w:rPr>
        <w:t xml:space="preserve"> (2018) publications were used to construct a Markov model that compared WEA with SoC in the proband population and first-degree relatives that may be affected by these results through cascade testi</w:t>
      </w:r>
      <w:r w:rsidR="00645461">
        <w:rPr>
          <w:rFonts w:ascii="Times New Roman" w:hAnsi="Times New Roman" w:cs="Times New Roman"/>
        </w:rPr>
        <w:t>ng (i.e. siblings and parents).</w:t>
      </w:r>
    </w:p>
    <w:p w14:paraId="0B411DE0" w14:textId="77777777" w:rsidR="000C5D80" w:rsidRPr="003E54AB" w:rsidRDefault="00E3780D" w:rsidP="00981880">
      <w:pPr>
        <w:pStyle w:val="Body"/>
        <w:spacing w:line="240" w:lineRule="auto"/>
        <w:rPr>
          <w:rFonts w:ascii="Times New Roman" w:hAnsi="Times New Roman" w:cs="Times New Roman"/>
        </w:rPr>
      </w:pPr>
      <w:r>
        <w:rPr>
          <w:rFonts w:ascii="Times New Roman" w:hAnsi="Times New Roman" w:cs="Times New Roman"/>
        </w:rPr>
        <w:t>Table 6</w:t>
      </w:r>
      <w:r w:rsidR="000C5D80" w:rsidRPr="003E54AB">
        <w:rPr>
          <w:rFonts w:ascii="Times New Roman" w:hAnsi="Times New Roman" w:cs="Times New Roman"/>
        </w:rPr>
        <w:t xml:space="preserve"> presents the base case incremental cost-effectiveness ratio (cost per QALY gained) for WEA versus SoC.</w:t>
      </w:r>
    </w:p>
    <w:p w14:paraId="5C23E155" w14:textId="77777777" w:rsidR="000C5D80" w:rsidRPr="001964D2" w:rsidRDefault="000C5D80" w:rsidP="001964D2">
      <w:pPr>
        <w:rPr>
          <w:rFonts w:ascii="Arial Narrow" w:hAnsi="Arial Narrow"/>
          <w:b/>
          <w:sz w:val="20"/>
        </w:rPr>
      </w:pPr>
      <w:bookmarkStart w:id="12" w:name="_Ref512501448"/>
      <w:bookmarkStart w:id="13" w:name="_Toc513290990"/>
      <w:r w:rsidRPr="001964D2">
        <w:rPr>
          <w:rFonts w:ascii="Arial Narrow" w:hAnsi="Arial Narrow"/>
          <w:b/>
          <w:sz w:val="20"/>
        </w:rPr>
        <w:t xml:space="preserve">Table </w:t>
      </w:r>
      <w:bookmarkEnd w:id="12"/>
      <w:r w:rsidR="00E3780D" w:rsidRPr="001964D2">
        <w:rPr>
          <w:rFonts w:ascii="Arial Narrow" w:hAnsi="Arial Narrow"/>
          <w:b/>
          <w:sz w:val="20"/>
        </w:rPr>
        <w:t>6</w:t>
      </w:r>
      <w:r w:rsidRPr="001964D2">
        <w:rPr>
          <w:rFonts w:ascii="Arial Narrow" w:hAnsi="Arial Narrow"/>
          <w:b/>
          <w:sz w:val="20"/>
        </w:rPr>
        <w:tab/>
        <w:t>Base case incremental cost-utility ratio – with cascade testing (discounted)</w:t>
      </w:r>
      <w:bookmarkEnd w:id="13"/>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ummary of the base case economic analysis results including cascade testing"/>
      </w:tblPr>
      <w:tblGrid>
        <w:gridCol w:w="1129"/>
        <w:gridCol w:w="1520"/>
        <w:gridCol w:w="1520"/>
        <w:gridCol w:w="1623"/>
        <w:gridCol w:w="1623"/>
        <w:gridCol w:w="1623"/>
      </w:tblGrid>
      <w:tr w:rsidR="000C5D80" w14:paraId="0851F64D" w14:textId="77777777" w:rsidTr="007052AA">
        <w:trPr>
          <w:trHeight w:val="300"/>
          <w:tblHeader/>
        </w:trPr>
        <w:tc>
          <w:tcPr>
            <w:tcW w:w="1129" w:type="dxa"/>
            <w:noWrap/>
            <w:hideMark/>
          </w:tcPr>
          <w:p w14:paraId="6788543E" w14:textId="77777777" w:rsidR="000C5D80" w:rsidRDefault="000C5D80" w:rsidP="00664DB5">
            <w:pPr>
              <w:pStyle w:val="Tableheading"/>
            </w:pPr>
            <w:r>
              <w:t>Strategy</w:t>
            </w:r>
          </w:p>
        </w:tc>
        <w:tc>
          <w:tcPr>
            <w:tcW w:w="1520" w:type="dxa"/>
            <w:noWrap/>
            <w:hideMark/>
          </w:tcPr>
          <w:p w14:paraId="7414AA9C" w14:textId="77777777" w:rsidR="000C5D80" w:rsidRDefault="000C5D80" w:rsidP="00664DB5">
            <w:pPr>
              <w:pStyle w:val="Tableheading"/>
              <w:jc w:val="center"/>
            </w:pPr>
            <w:r>
              <w:t>Cost</w:t>
            </w:r>
          </w:p>
        </w:tc>
        <w:tc>
          <w:tcPr>
            <w:tcW w:w="1520" w:type="dxa"/>
            <w:noWrap/>
            <w:hideMark/>
          </w:tcPr>
          <w:p w14:paraId="57E20593" w14:textId="77777777" w:rsidR="000C5D80" w:rsidRDefault="000C5D80" w:rsidP="000569BD">
            <w:pPr>
              <w:pStyle w:val="Tableheading"/>
              <w:jc w:val="center"/>
            </w:pPr>
            <w:r>
              <w:t xml:space="preserve">Incremental </w:t>
            </w:r>
            <w:r w:rsidR="000569BD">
              <w:t>c</w:t>
            </w:r>
            <w:r>
              <w:t>ost</w:t>
            </w:r>
          </w:p>
        </w:tc>
        <w:tc>
          <w:tcPr>
            <w:tcW w:w="1623" w:type="dxa"/>
            <w:noWrap/>
            <w:hideMark/>
          </w:tcPr>
          <w:p w14:paraId="14FCCF9E" w14:textId="77777777" w:rsidR="000C5D80" w:rsidRDefault="000C5D80" w:rsidP="00664DB5">
            <w:pPr>
              <w:pStyle w:val="Tableheading"/>
              <w:jc w:val="center"/>
            </w:pPr>
            <w:r>
              <w:t>Effect (QALYs)</w:t>
            </w:r>
          </w:p>
        </w:tc>
        <w:tc>
          <w:tcPr>
            <w:tcW w:w="1623" w:type="dxa"/>
            <w:noWrap/>
            <w:hideMark/>
          </w:tcPr>
          <w:p w14:paraId="41B59380" w14:textId="77777777" w:rsidR="000C5D80" w:rsidRDefault="000C5D80" w:rsidP="00664DB5">
            <w:pPr>
              <w:pStyle w:val="Tableheading"/>
              <w:jc w:val="center"/>
            </w:pPr>
            <w:r>
              <w:t xml:space="preserve">Incremental effect </w:t>
            </w:r>
            <w:r>
              <w:br/>
              <w:t>(QALYs gained)</w:t>
            </w:r>
          </w:p>
        </w:tc>
        <w:tc>
          <w:tcPr>
            <w:tcW w:w="1623" w:type="dxa"/>
            <w:noWrap/>
            <w:hideMark/>
          </w:tcPr>
          <w:p w14:paraId="6DE86AB1" w14:textId="77777777" w:rsidR="000C5D80" w:rsidRDefault="000C5D80" w:rsidP="00664DB5">
            <w:pPr>
              <w:pStyle w:val="Tableheading"/>
              <w:jc w:val="center"/>
            </w:pPr>
            <w:r>
              <w:t xml:space="preserve">ICER </w:t>
            </w:r>
            <w:r>
              <w:br/>
              <w:t>(cost per additional QALY)</w:t>
            </w:r>
          </w:p>
        </w:tc>
      </w:tr>
      <w:tr w:rsidR="000C5D80" w14:paraId="065BA700" w14:textId="77777777" w:rsidTr="00664DB5">
        <w:trPr>
          <w:trHeight w:val="300"/>
        </w:trPr>
        <w:tc>
          <w:tcPr>
            <w:tcW w:w="1129" w:type="dxa"/>
            <w:noWrap/>
          </w:tcPr>
          <w:p w14:paraId="4B628DF6" w14:textId="77777777" w:rsidR="000C5D80" w:rsidRPr="00D7428F" w:rsidRDefault="000C5D80" w:rsidP="00664DB5">
            <w:pPr>
              <w:pStyle w:val="Tabletext"/>
            </w:pPr>
            <w:r w:rsidRPr="00D7428F">
              <w:t>SoC</w:t>
            </w:r>
          </w:p>
        </w:tc>
        <w:tc>
          <w:tcPr>
            <w:tcW w:w="1520" w:type="dxa"/>
            <w:noWrap/>
          </w:tcPr>
          <w:p w14:paraId="1EECF3BB" w14:textId="77777777" w:rsidR="000C5D80" w:rsidRPr="00D7428F" w:rsidRDefault="000C5D80" w:rsidP="00664DB5">
            <w:pPr>
              <w:pStyle w:val="Tabletext"/>
              <w:jc w:val="center"/>
            </w:pPr>
            <w:r w:rsidRPr="00D7428F">
              <w:t>$11,175.91</w:t>
            </w:r>
          </w:p>
        </w:tc>
        <w:tc>
          <w:tcPr>
            <w:tcW w:w="1520" w:type="dxa"/>
            <w:noWrap/>
          </w:tcPr>
          <w:p w14:paraId="034F0CDA" w14:textId="77777777" w:rsidR="000C5D80" w:rsidRPr="00D7428F" w:rsidRDefault="000C5D80" w:rsidP="00664DB5">
            <w:pPr>
              <w:pStyle w:val="Tabletext"/>
              <w:jc w:val="center"/>
            </w:pPr>
            <w:r w:rsidRPr="00D7428F">
              <w:t>-</w:t>
            </w:r>
          </w:p>
        </w:tc>
        <w:tc>
          <w:tcPr>
            <w:tcW w:w="1623" w:type="dxa"/>
            <w:noWrap/>
          </w:tcPr>
          <w:p w14:paraId="0AACB85A" w14:textId="77777777" w:rsidR="000C5D80" w:rsidRPr="00D7428F" w:rsidRDefault="000C5D80" w:rsidP="00664DB5">
            <w:pPr>
              <w:pStyle w:val="Tabletext"/>
              <w:jc w:val="center"/>
            </w:pPr>
            <w:r w:rsidRPr="00D7428F">
              <w:t>6.330</w:t>
            </w:r>
          </w:p>
        </w:tc>
        <w:tc>
          <w:tcPr>
            <w:tcW w:w="1623" w:type="dxa"/>
            <w:noWrap/>
          </w:tcPr>
          <w:p w14:paraId="1F290E2C" w14:textId="77777777" w:rsidR="000C5D80" w:rsidRPr="00D7428F" w:rsidRDefault="000C5D80" w:rsidP="00664DB5">
            <w:pPr>
              <w:pStyle w:val="Tabletext"/>
              <w:jc w:val="center"/>
            </w:pPr>
            <w:r w:rsidRPr="00D7428F">
              <w:t>-</w:t>
            </w:r>
          </w:p>
        </w:tc>
        <w:tc>
          <w:tcPr>
            <w:tcW w:w="1623" w:type="dxa"/>
            <w:noWrap/>
          </w:tcPr>
          <w:p w14:paraId="05115E4F" w14:textId="77777777" w:rsidR="000C5D80" w:rsidRPr="00D7428F" w:rsidRDefault="000C5D80" w:rsidP="00664DB5">
            <w:pPr>
              <w:pStyle w:val="Tabletext"/>
              <w:jc w:val="center"/>
            </w:pPr>
            <w:r w:rsidRPr="00D7428F">
              <w:t>-</w:t>
            </w:r>
          </w:p>
        </w:tc>
      </w:tr>
      <w:tr w:rsidR="000C5D80" w14:paraId="4B51D515" w14:textId="77777777" w:rsidTr="00664DB5">
        <w:trPr>
          <w:trHeight w:val="300"/>
        </w:trPr>
        <w:tc>
          <w:tcPr>
            <w:tcW w:w="1129" w:type="dxa"/>
            <w:noWrap/>
          </w:tcPr>
          <w:p w14:paraId="05225FDE" w14:textId="77777777" w:rsidR="000C5D80" w:rsidRPr="00D7428F" w:rsidRDefault="000C5D80" w:rsidP="00664DB5">
            <w:pPr>
              <w:pStyle w:val="Tabletext"/>
            </w:pPr>
            <w:r w:rsidRPr="00D7428F">
              <w:t>WE</w:t>
            </w:r>
            <w:r>
              <w:t>A</w:t>
            </w:r>
          </w:p>
        </w:tc>
        <w:tc>
          <w:tcPr>
            <w:tcW w:w="1520" w:type="dxa"/>
            <w:noWrap/>
          </w:tcPr>
          <w:p w14:paraId="12C46D9A" w14:textId="77777777" w:rsidR="000C5D80" w:rsidRPr="00D7428F" w:rsidRDefault="000C5D80" w:rsidP="00664DB5">
            <w:pPr>
              <w:pStyle w:val="Tabletext"/>
              <w:jc w:val="center"/>
            </w:pPr>
            <w:r w:rsidRPr="00D7428F">
              <w:t>$12,495.24</w:t>
            </w:r>
          </w:p>
        </w:tc>
        <w:tc>
          <w:tcPr>
            <w:tcW w:w="1520" w:type="dxa"/>
            <w:noWrap/>
          </w:tcPr>
          <w:p w14:paraId="14AD73A5" w14:textId="77777777" w:rsidR="000C5D80" w:rsidRPr="00D7428F" w:rsidRDefault="000C5D80" w:rsidP="00664DB5">
            <w:pPr>
              <w:pStyle w:val="Tabletext"/>
              <w:jc w:val="center"/>
            </w:pPr>
            <w:r w:rsidRPr="00D7428F">
              <w:t>$1319.33</w:t>
            </w:r>
          </w:p>
        </w:tc>
        <w:tc>
          <w:tcPr>
            <w:tcW w:w="1623" w:type="dxa"/>
            <w:noWrap/>
          </w:tcPr>
          <w:p w14:paraId="5D3A2FBC" w14:textId="77777777" w:rsidR="000C5D80" w:rsidRPr="00D7428F" w:rsidRDefault="000C5D80" w:rsidP="00664DB5">
            <w:pPr>
              <w:pStyle w:val="Tabletext"/>
              <w:jc w:val="center"/>
            </w:pPr>
            <w:r w:rsidRPr="00D7428F">
              <w:t>6.512</w:t>
            </w:r>
          </w:p>
        </w:tc>
        <w:tc>
          <w:tcPr>
            <w:tcW w:w="1623" w:type="dxa"/>
            <w:noWrap/>
          </w:tcPr>
          <w:p w14:paraId="1C4616A1" w14:textId="77777777" w:rsidR="000C5D80" w:rsidRPr="00D7428F" w:rsidRDefault="000C5D80" w:rsidP="00664DB5">
            <w:pPr>
              <w:pStyle w:val="Tabletext"/>
              <w:jc w:val="center"/>
            </w:pPr>
            <w:r w:rsidRPr="00D7428F">
              <w:t>0.182</w:t>
            </w:r>
          </w:p>
        </w:tc>
        <w:tc>
          <w:tcPr>
            <w:tcW w:w="1623" w:type="dxa"/>
            <w:noWrap/>
          </w:tcPr>
          <w:p w14:paraId="47DED9AE" w14:textId="77777777" w:rsidR="000C5D80" w:rsidRPr="00D7428F" w:rsidRDefault="000C5D80" w:rsidP="00664DB5">
            <w:pPr>
              <w:pStyle w:val="Tabletext"/>
              <w:jc w:val="center"/>
            </w:pPr>
            <w:r w:rsidRPr="00D7428F">
              <w:t>$7254.62</w:t>
            </w:r>
          </w:p>
        </w:tc>
      </w:tr>
    </w:tbl>
    <w:p w14:paraId="1D685D8C" w14:textId="77777777" w:rsidR="000C5D80" w:rsidRDefault="000C5D80" w:rsidP="000C5D80">
      <w:pPr>
        <w:pStyle w:val="Tablenote"/>
      </w:pPr>
      <w:r>
        <w:t>Abbreviations:</w:t>
      </w:r>
      <w:r w:rsidRPr="00C3075D">
        <w:t xml:space="preserve"> </w:t>
      </w:r>
      <w:r>
        <w:t>ICER, incremental cost-effective ratio; QALY, quality-adjusted life year; SoC, standard of care; WEA, whole exome analysis</w:t>
      </w:r>
    </w:p>
    <w:p w14:paraId="47D9924F" w14:textId="77777777" w:rsidR="000C5D80" w:rsidRDefault="000569BD" w:rsidP="00E3780D">
      <w:pPr>
        <w:pStyle w:val="Body"/>
        <w:spacing w:line="240" w:lineRule="auto"/>
        <w:rPr>
          <w:rFonts w:ascii="Times New Roman" w:hAnsi="Times New Roman" w:cs="Times New Roman"/>
        </w:rPr>
      </w:pPr>
      <w:r>
        <w:rPr>
          <w:rFonts w:ascii="Times New Roman" w:hAnsi="Times New Roman" w:cs="Times New Roman"/>
        </w:rPr>
        <w:t>R</w:t>
      </w:r>
      <w:r w:rsidRPr="003E54AB">
        <w:rPr>
          <w:rFonts w:ascii="Times New Roman" w:hAnsi="Times New Roman" w:cs="Times New Roman"/>
        </w:rPr>
        <w:t xml:space="preserve">anking by order of effect on the ICER, </w:t>
      </w:r>
      <w:r>
        <w:rPr>
          <w:rFonts w:ascii="Times New Roman" w:hAnsi="Times New Roman" w:cs="Times New Roman"/>
        </w:rPr>
        <w:t>the model is most sensitive to</w:t>
      </w:r>
      <w:r w:rsidR="000C5D80" w:rsidRPr="003E54AB">
        <w:rPr>
          <w:rFonts w:ascii="Times New Roman" w:hAnsi="Times New Roman" w:cs="Times New Roman"/>
        </w:rPr>
        <w:t xml:space="preserve"> halving the modelled time horizon, decreasing the cost of SoC by 20%, increasing the cost of WEA by 20%, increasing the number of first-degree relatives per test positive </w:t>
      </w:r>
      <w:r>
        <w:rPr>
          <w:rFonts w:ascii="Times New Roman" w:hAnsi="Times New Roman" w:cs="Times New Roman"/>
        </w:rPr>
        <w:t>affected individual (p</w:t>
      </w:r>
      <w:r w:rsidR="000C5D80" w:rsidRPr="003E54AB">
        <w:rPr>
          <w:rFonts w:ascii="Times New Roman" w:hAnsi="Times New Roman" w:cs="Times New Roman"/>
        </w:rPr>
        <w:t>roband</w:t>
      </w:r>
      <w:r>
        <w:rPr>
          <w:rFonts w:ascii="Times New Roman" w:hAnsi="Times New Roman" w:cs="Times New Roman"/>
        </w:rPr>
        <w:t>)</w:t>
      </w:r>
      <w:r w:rsidR="000C5D80" w:rsidRPr="003E54AB">
        <w:rPr>
          <w:rFonts w:ascii="Times New Roman" w:hAnsi="Times New Roman" w:cs="Times New Roman"/>
        </w:rPr>
        <w:t xml:space="preserve"> by 1.0 and decreasing the change in clinical management effect on</w:t>
      </w:r>
      <w:r>
        <w:rPr>
          <w:rFonts w:ascii="Times New Roman" w:hAnsi="Times New Roman" w:cs="Times New Roman"/>
        </w:rPr>
        <w:t xml:space="preserve"> preference-based health-related quality of life by 20%</w:t>
      </w:r>
      <w:r w:rsidR="000C5D80">
        <w:rPr>
          <w:rFonts w:ascii="Times New Roman" w:hAnsi="Times New Roman" w:cs="Times New Roman"/>
        </w:rPr>
        <w:t>.</w:t>
      </w:r>
    </w:p>
    <w:p w14:paraId="00CEC15C" w14:textId="77777777" w:rsidR="00BC1364" w:rsidRPr="00F715D1" w:rsidRDefault="00BC1364" w:rsidP="00F715D1">
      <w:pPr>
        <w:pStyle w:val="Heading1"/>
      </w:pPr>
      <w:r w:rsidRPr="00F715D1">
        <w:t>Financial/budgetary impacts</w:t>
      </w:r>
    </w:p>
    <w:p w14:paraId="29DA8947" w14:textId="64FE1883" w:rsidR="000C5D80" w:rsidRDefault="000C5D80" w:rsidP="009A3D5C">
      <w:pPr>
        <w:tabs>
          <w:tab w:val="left" w:pos="720"/>
          <w:tab w:val="left" w:pos="1140"/>
        </w:tabs>
        <w:spacing w:after="240"/>
      </w:pPr>
      <w:r>
        <w:t xml:space="preserve">Implementing WEA early in the diagnostic pathway is expected to result in cost savings to the MBS due to the reduction in the diagnostic odyssey; however, the exact value of cost savings is difficult to quantify. Therefore, the costs to the MBS associated with the proposed listings are the upper limits expected for initial WEA for diagnosis (Population 1), re-analyses of whole exome data (Population 2), and cascade testing </w:t>
      </w:r>
      <w:r w:rsidR="000569BD">
        <w:t>o</w:t>
      </w:r>
      <w:r>
        <w:t>f first-degree</w:t>
      </w:r>
      <w:r w:rsidR="009A3D5C">
        <w:t xml:space="preserve"> family members (Population 3).</w:t>
      </w:r>
    </w:p>
    <w:p w14:paraId="594DEA16" w14:textId="2E40F1DB" w:rsidR="000C5D80" w:rsidRDefault="000C5D80" w:rsidP="009A3D5C">
      <w:pPr>
        <w:tabs>
          <w:tab w:val="left" w:pos="720"/>
          <w:tab w:val="left" w:pos="1140"/>
        </w:tabs>
        <w:spacing w:after="240"/>
      </w:pPr>
      <w:r w:rsidRPr="00E6099A">
        <w:t xml:space="preserve">The upper limit of the total costs to the MBS for the three proposed populations projected during 2019–2023 are presented in </w:t>
      </w:r>
      <w:r w:rsidRPr="00E6099A">
        <w:fldChar w:fldCharType="begin"/>
      </w:r>
      <w:r w:rsidRPr="00E6099A">
        <w:instrText xml:space="preserve"> REF _Ref512521042 \h </w:instrText>
      </w:r>
      <w:r w:rsidRPr="00E6099A">
        <w:fldChar w:fldCharType="separate"/>
      </w:r>
      <w:r>
        <w:t xml:space="preserve">Table </w:t>
      </w:r>
      <w:r w:rsidRPr="00E6099A">
        <w:fldChar w:fldCharType="end"/>
      </w:r>
      <w:r w:rsidR="00E3780D">
        <w:t>7</w:t>
      </w:r>
      <w:r w:rsidRPr="00E6099A">
        <w:t xml:space="preserve">, </w:t>
      </w:r>
      <w:r w:rsidRPr="00E6099A">
        <w:fldChar w:fldCharType="begin"/>
      </w:r>
      <w:r w:rsidRPr="00E6099A">
        <w:instrText xml:space="preserve"> REF _Ref512521043 \h </w:instrText>
      </w:r>
      <w:r w:rsidRPr="00E6099A">
        <w:fldChar w:fldCharType="separate"/>
      </w:r>
      <w:r>
        <w:t>Table</w:t>
      </w:r>
      <w:r w:rsidRPr="00E6099A">
        <w:fldChar w:fldCharType="end"/>
      </w:r>
      <w:r w:rsidR="00E3780D">
        <w:t xml:space="preserve"> 8</w:t>
      </w:r>
      <w:r w:rsidRPr="00E6099A">
        <w:t xml:space="preserve"> and </w:t>
      </w:r>
      <w:r w:rsidRPr="00E6099A">
        <w:fldChar w:fldCharType="begin"/>
      </w:r>
      <w:r w:rsidRPr="00E6099A">
        <w:instrText xml:space="preserve"> REF _Ref512521044 \h </w:instrText>
      </w:r>
      <w:r w:rsidRPr="00E6099A">
        <w:fldChar w:fldCharType="separate"/>
      </w:r>
      <w:r>
        <w:t xml:space="preserve">Table </w:t>
      </w:r>
      <w:r w:rsidRPr="00E6099A">
        <w:fldChar w:fldCharType="end"/>
      </w:r>
      <w:r w:rsidR="00E3780D">
        <w:t>9</w:t>
      </w:r>
      <w:r w:rsidRPr="00E6099A">
        <w:t>, respectively</w:t>
      </w:r>
      <w:r w:rsidR="00864695">
        <w:t>.</w:t>
      </w:r>
    </w:p>
    <w:p w14:paraId="1D1A456E" w14:textId="77777777" w:rsidR="000C5D80" w:rsidRPr="001964D2" w:rsidRDefault="000C5D80" w:rsidP="001964D2">
      <w:pPr>
        <w:rPr>
          <w:rFonts w:ascii="Arial Narrow" w:hAnsi="Arial Narrow"/>
          <w:b/>
          <w:sz w:val="20"/>
        </w:rPr>
      </w:pPr>
      <w:bookmarkStart w:id="14" w:name="_Ref512521042"/>
      <w:bookmarkStart w:id="15" w:name="_Toc513290993"/>
      <w:r w:rsidRPr="001964D2">
        <w:rPr>
          <w:rFonts w:ascii="Arial Narrow" w:hAnsi="Arial Narrow"/>
          <w:b/>
          <w:sz w:val="20"/>
        </w:rPr>
        <w:t xml:space="preserve">Table </w:t>
      </w:r>
      <w:bookmarkEnd w:id="14"/>
      <w:r w:rsidR="00E3780D" w:rsidRPr="001964D2">
        <w:rPr>
          <w:rFonts w:ascii="Arial Narrow" w:hAnsi="Arial Narrow"/>
          <w:b/>
          <w:sz w:val="20"/>
        </w:rPr>
        <w:t>7</w:t>
      </w:r>
      <w:r w:rsidRPr="001964D2">
        <w:rPr>
          <w:rFonts w:ascii="Arial Narrow" w:hAnsi="Arial Narrow"/>
          <w:b/>
          <w:sz w:val="20"/>
        </w:rPr>
        <w:tab/>
        <w:t>Projected cost of initial WEA (Population 1), 2019–2023</w:t>
      </w:r>
      <w:bookmarkEnd w:id="15"/>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estimated cost of initial WEA for Population 1 from 2019 to 2023"/>
      </w:tblPr>
      <w:tblGrid>
        <w:gridCol w:w="2935"/>
        <w:gridCol w:w="1217"/>
        <w:gridCol w:w="1216"/>
        <w:gridCol w:w="1216"/>
        <w:gridCol w:w="1216"/>
        <w:gridCol w:w="1216"/>
      </w:tblGrid>
      <w:tr w:rsidR="000C5D80" w14:paraId="28100B5E" w14:textId="77777777" w:rsidTr="007052AA">
        <w:trPr>
          <w:tblHeader/>
        </w:trPr>
        <w:tc>
          <w:tcPr>
            <w:tcW w:w="2935" w:type="dxa"/>
          </w:tcPr>
          <w:p w14:paraId="13E654F8" w14:textId="77777777" w:rsidR="000C5D80" w:rsidRDefault="000C5D80" w:rsidP="00664DB5">
            <w:pPr>
              <w:pStyle w:val="Tableheading"/>
            </w:pPr>
          </w:p>
        </w:tc>
        <w:tc>
          <w:tcPr>
            <w:tcW w:w="1217" w:type="dxa"/>
            <w:tcBorders>
              <w:bottom w:val="single" w:sz="4" w:space="0" w:color="auto"/>
            </w:tcBorders>
          </w:tcPr>
          <w:p w14:paraId="065676EE" w14:textId="77777777" w:rsidR="000C5D80" w:rsidRDefault="000C5D80" w:rsidP="00664DB5">
            <w:pPr>
              <w:pStyle w:val="Tableheading"/>
              <w:jc w:val="center"/>
            </w:pPr>
            <w:r>
              <w:t>2019</w:t>
            </w:r>
          </w:p>
        </w:tc>
        <w:tc>
          <w:tcPr>
            <w:tcW w:w="1216" w:type="dxa"/>
            <w:tcBorders>
              <w:bottom w:val="single" w:sz="4" w:space="0" w:color="auto"/>
            </w:tcBorders>
          </w:tcPr>
          <w:p w14:paraId="3E1D2ADA" w14:textId="77777777" w:rsidR="000C5D80" w:rsidRDefault="000C5D80" w:rsidP="00664DB5">
            <w:pPr>
              <w:pStyle w:val="Tableheading"/>
              <w:jc w:val="center"/>
            </w:pPr>
            <w:r>
              <w:t>2020</w:t>
            </w:r>
          </w:p>
        </w:tc>
        <w:tc>
          <w:tcPr>
            <w:tcW w:w="1216" w:type="dxa"/>
            <w:tcBorders>
              <w:bottom w:val="single" w:sz="4" w:space="0" w:color="auto"/>
            </w:tcBorders>
          </w:tcPr>
          <w:p w14:paraId="0001D55A" w14:textId="77777777" w:rsidR="000C5D80" w:rsidRDefault="000C5D80" w:rsidP="00664DB5">
            <w:pPr>
              <w:pStyle w:val="Tableheading"/>
              <w:jc w:val="center"/>
            </w:pPr>
            <w:r>
              <w:t>2021</w:t>
            </w:r>
          </w:p>
        </w:tc>
        <w:tc>
          <w:tcPr>
            <w:tcW w:w="1216" w:type="dxa"/>
            <w:tcBorders>
              <w:bottom w:val="single" w:sz="4" w:space="0" w:color="auto"/>
            </w:tcBorders>
          </w:tcPr>
          <w:p w14:paraId="61627D3D" w14:textId="77777777" w:rsidR="000C5D80" w:rsidRDefault="000C5D80" w:rsidP="00664DB5">
            <w:pPr>
              <w:pStyle w:val="Tableheading"/>
              <w:jc w:val="center"/>
            </w:pPr>
            <w:r>
              <w:t>2022</w:t>
            </w:r>
          </w:p>
        </w:tc>
        <w:tc>
          <w:tcPr>
            <w:tcW w:w="1216" w:type="dxa"/>
            <w:tcBorders>
              <w:bottom w:val="single" w:sz="4" w:space="0" w:color="auto"/>
            </w:tcBorders>
          </w:tcPr>
          <w:p w14:paraId="1A6B7910" w14:textId="77777777" w:rsidR="000C5D80" w:rsidRDefault="000C5D80" w:rsidP="00664DB5">
            <w:pPr>
              <w:pStyle w:val="Tableheading"/>
              <w:jc w:val="center"/>
            </w:pPr>
            <w:r>
              <w:t>2023</w:t>
            </w:r>
          </w:p>
        </w:tc>
      </w:tr>
      <w:tr w:rsidR="000C5D80" w14:paraId="2A9327AE" w14:textId="77777777" w:rsidTr="00664DB5">
        <w:tc>
          <w:tcPr>
            <w:tcW w:w="2935" w:type="dxa"/>
          </w:tcPr>
          <w:p w14:paraId="0A90E39A" w14:textId="77777777" w:rsidR="000C5D80" w:rsidRDefault="000C5D80" w:rsidP="00664DB5">
            <w:pPr>
              <w:pStyle w:val="Tabletext"/>
            </w:pPr>
            <w:r w:rsidRPr="000B2C00">
              <w:t>Number of patients</w:t>
            </w:r>
          </w:p>
        </w:tc>
        <w:tc>
          <w:tcPr>
            <w:tcW w:w="1217" w:type="dxa"/>
          </w:tcPr>
          <w:p w14:paraId="7378453D" w14:textId="77777777" w:rsidR="000C5D80" w:rsidRDefault="000C5D80" w:rsidP="00664DB5">
            <w:pPr>
              <w:pStyle w:val="Tabletext"/>
              <w:jc w:val="center"/>
            </w:pPr>
            <w:r w:rsidRPr="00015474">
              <w:t xml:space="preserve"> 3,406 </w:t>
            </w:r>
          </w:p>
        </w:tc>
        <w:tc>
          <w:tcPr>
            <w:tcW w:w="1216" w:type="dxa"/>
          </w:tcPr>
          <w:p w14:paraId="68051B23" w14:textId="77777777" w:rsidR="000C5D80" w:rsidRDefault="000C5D80" w:rsidP="00664DB5">
            <w:pPr>
              <w:pStyle w:val="Tabletext"/>
              <w:jc w:val="center"/>
            </w:pPr>
            <w:r w:rsidRPr="00015474">
              <w:t xml:space="preserve"> 3,454 </w:t>
            </w:r>
          </w:p>
        </w:tc>
        <w:tc>
          <w:tcPr>
            <w:tcW w:w="1216" w:type="dxa"/>
          </w:tcPr>
          <w:p w14:paraId="26EEEFCC" w14:textId="77777777" w:rsidR="000C5D80" w:rsidRDefault="000C5D80" w:rsidP="00664DB5">
            <w:pPr>
              <w:pStyle w:val="Tabletext"/>
              <w:jc w:val="center"/>
            </w:pPr>
            <w:r w:rsidRPr="00015474">
              <w:t xml:space="preserve"> 3,503 </w:t>
            </w:r>
          </w:p>
        </w:tc>
        <w:tc>
          <w:tcPr>
            <w:tcW w:w="1216" w:type="dxa"/>
          </w:tcPr>
          <w:p w14:paraId="37723608" w14:textId="77777777" w:rsidR="000C5D80" w:rsidRDefault="000C5D80" w:rsidP="00664DB5">
            <w:pPr>
              <w:pStyle w:val="Tabletext"/>
              <w:jc w:val="center"/>
            </w:pPr>
            <w:r w:rsidRPr="00015474">
              <w:t xml:space="preserve"> 2,753 </w:t>
            </w:r>
          </w:p>
        </w:tc>
        <w:tc>
          <w:tcPr>
            <w:tcW w:w="1216" w:type="dxa"/>
          </w:tcPr>
          <w:p w14:paraId="338FB157" w14:textId="77777777" w:rsidR="000C5D80" w:rsidRDefault="000C5D80" w:rsidP="00664DB5">
            <w:pPr>
              <w:pStyle w:val="Tabletext"/>
              <w:jc w:val="center"/>
            </w:pPr>
            <w:r w:rsidRPr="00015474">
              <w:t xml:space="preserve"> 2,803 </w:t>
            </w:r>
          </w:p>
        </w:tc>
      </w:tr>
      <w:tr w:rsidR="000C5D80" w14:paraId="4D592089" w14:textId="77777777" w:rsidTr="00664DB5">
        <w:tc>
          <w:tcPr>
            <w:tcW w:w="2935" w:type="dxa"/>
          </w:tcPr>
          <w:p w14:paraId="6A660637" w14:textId="77777777" w:rsidR="000C5D80" w:rsidRDefault="000C5D80" w:rsidP="00664DB5">
            <w:pPr>
              <w:pStyle w:val="Tabletext"/>
            </w:pPr>
            <w:r w:rsidRPr="000B2C00">
              <w:t>Cost of WEA per patient</w:t>
            </w:r>
          </w:p>
        </w:tc>
        <w:tc>
          <w:tcPr>
            <w:tcW w:w="1217" w:type="dxa"/>
          </w:tcPr>
          <w:p w14:paraId="67095B2C" w14:textId="77777777" w:rsidR="000C5D80" w:rsidRDefault="000C5D80" w:rsidP="00664DB5">
            <w:pPr>
              <w:pStyle w:val="Tabletext"/>
              <w:jc w:val="center"/>
            </w:pPr>
            <w:r w:rsidRPr="00015474">
              <w:t xml:space="preserve"> $2,400 </w:t>
            </w:r>
          </w:p>
        </w:tc>
        <w:tc>
          <w:tcPr>
            <w:tcW w:w="1216" w:type="dxa"/>
          </w:tcPr>
          <w:p w14:paraId="6CFB961A" w14:textId="77777777" w:rsidR="000C5D80" w:rsidRDefault="000C5D80" w:rsidP="00664DB5">
            <w:pPr>
              <w:pStyle w:val="Tabletext"/>
              <w:jc w:val="center"/>
            </w:pPr>
            <w:r w:rsidRPr="00015474">
              <w:t xml:space="preserve"> $2,400 </w:t>
            </w:r>
          </w:p>
        </w:tc>
        <w:tc>
          <w:tcPr>
            <w:tcW w:w="1216" w:type="dxa"/>
          </w:tcPr>
          <w:p w14:paraId="0ABA4B99" w14:textId="77777777" w:rsidR="000C5D80" w:rsidRDefault="000C5D80" w:rsidP="00664DB5">
            <w:pPr>
              <w:pStyle w:val="Tabletext"/>
              <w:jc w:val="center"/>
            </w:pPr>
            <w:r w:rsidRPr="00015474">
              <w:t xml:space="preserve"> $2,400 </w:t>
            </w:r>
          </w:p>
        </w:tc>
        <w:tc>
          <w:tcPr>
            <w:tcW w:w="1216" w:type="dxa"/>
          </w:tcPr>
          <w:p w14:paraId="27F2F2A4" w14:textId="77777777" w:rsidR="000C5D80" w:rsidRDefault="000C5D80" w:rsidP="00664DB5">
            <w:pPr>
              <w:pStyle w:val="Tabletext"/>
              <w:jc w:val="center"/>
            </w:pPr>
            <w:r w:rsidRPr="00015474">
              <w:t xml:space="preserve"> $2,400 </w:t>
            </w:r>
          </w:p>
        </w:tc>
        <w:tc>
          <w:tcPr>
            <w:tcW w:w="1216" w:type="dxa"/>
          </w:tcPr>
          <w:p w14:paraId="2E53510D" w14:textId="77777777" w:rsidR="000C5D80" w:rsidRDefault="000C5D80" w:rsidP="00664DB5">
            <w:pPr>
              <w:pStyle w:val="Tabletext"/>
              <w:jc w:val="center"/>
            </w:pPr>
            <w:r w:rsidRPr="00015474">
              <w:t xml:space="preserve"> $2,400 </w:t>
            </w:r>
          </w:p>
        </w:tc>
      </w:tr>
      <w:tr w:rsidR="000C5D80" w14:paraId="07BF708F" w14:textId="77777777" w:rsidTr="00664DB5">
        <w:tc>
          <w:tcPr>
            <w:tcW w:w="2935" w:type="dxa"/>
          </w:tcPr>
          <w:p w14:paraId="6F42062D" w14:textId="77777777" w:rsidR="000C5D80" w:rsidRPr="00FD60AE" w:rsidRDefault="000C5D80" w:rsidP="00664DB5">
            <w:pPr>
              <w:pStyle w:val="Tabletext"/>
            </w:pPr>
            <w:r w:rsidRPr="00FD60AE">
              <w:t>Total cost</w:t>
            </w:r>
          </w:p>
        </w:tc>
        <w:tc>
          <w:tcPr>
            <w:tcW w:w="1217" w:type="dxa"/>
          </w:tcPr>
          <w:p w14:paraId="52F3E774" w14:textId="77777777" w:rsidR="000C5D80" w:rsidRDefault="000C5D80" w:rsidP="00664DB5">
            <w:pPr>
              <w:pStyle w:val="Tabletext"/>
              <w:jc w:val="center"/>
            </w:pPr>
            <w:r w:rsidRPr="00015474">
              <w:t xml:space="preserve"> $8,173,856 </w:t>
            </w:r>
          </w:p>
        </w:tc>
        <w:tc>
          <w:tcPr>
            <w:tcW w:w="1216" w:type="dxa"/>
          </w:tcPr>
          <w:p w14:paraId="720337C3" w14:textId="77777777" w:rsidR="000C5D80" w:rsidRDefault="000C5D80" w:rsidP="00664DB5">
            <w:pPr>
              <w:pStyle w:val="Tabletext"/>
              <w:jc w:val="center"/>
            </w:pPr>
            <w:r w:rsidRPr="00015474">
              <w:t xml:space="preserve"> $8,290,368 </w:t>
            </w:r>
          </w:p>
        </w:tc>
        <w:tc>
          <w:tcPr>
            <w:tcW w:w="1216" w:type="dxa"/>
          </w:tcPr>
          <w:p w14:paraId="007F1FE4" w14:textId="77777777" w:rsidR="000C5D80" w:rsidRDefault="000C5D80" w:rsidP="00664DB5">
            <w:pPr>
              <w:pStyle w:val="Tabletext"/>
              <w:jc w:val="center"/>
            </w:pPr>
            <w:r w:rsidRPr="00015474">
              <w:t xml:space="preserve"> $8,408,246 </w:t>
            </w:r>
          </w:p>
        </w:tc>
        <w:tc>
          <w:tcPr>
            <w:tcW w:w="1216" w:type="dxa"/>
          </w:tcPr>
          <w:p w14:paraId="27F71E9C" w14:textId="77777777" w:rsidR="000C5D80" w:rsidRDefault="000C5D80" w:rsidP="00664DB5">
            <w:pPr>
              <w:pStyle w:val="Tabletext"/>
              <w:jc w:val="center"/>
            </w:pPr>
            <w:r w:rsidRPr="00015474">
              <w:t xml:space="preserve"> $6,607,205 </w:t>
            </w:r>
          </w:p>
        </w:tc>
        <w:tc>
          <w:tcPr>
            <w:tcW w:w="1216" w:type="dxa"/>
          </w:tcPr>
          <w:p w14:paraId="4E5E03AA" w14:textId="77777777" w:rsidR="000C5D80" w:rsidRDefault="000C5D80" w:rsidP="00664DB5">
            <w:pPr>
              <w:pStyle w:val="Tabletext"/>
              <w:jc w:val="center"/>
            </w:pPr>
            <w:r w:rsidRPr="00015474">
              <w:t xml:space="preserve"> $6,727,129 </w:t>
            </w:r>
          </w:p>
        </w:tc>
      </w:tr>
      <w:tr w:rsidR="000C5D80" w14:paraId="4828C4B4" w14:textId="77777777" w:rsidTr="00664DB5">
        <w:tc>
          <w:tcPr>
            <w:tcW w:w="2935" w:type="dxa"/>
          </w:tcPr>
          <w:p w14:paraId="564DC702" w14:textId="77777777" w:rsidR="000C5D80" w:rsidRPr="00FD60AE" w:rsidRDefault="000C5D80" w:rsidP="00664DB5">
            <w:pPr>
              <w:pStyle w:val="Tabletext"/>
            </w:pPr>
            <w:r w:rsidRPr="00FD60AE">
              <w:t>MBS rebate (85%)</w:t>
            </w:r>
          </w:p>
        </w:tc>
        <w:tc>
          <w:tcPr>
            <w:tcW w:w="1217" w:type="dxa"/>
          </w:tcPr>
          <w:p w14:paraId="00D88640" w14:textId="77777777" w:rsidR="000C5D80" w:rsidRDefault="000C5D80" w:rsidP="00664DB5">
            <w:pPr>
              <w:pStyle w:val="Tabletext"/>
              <w:jc w:val="center"/>
            </w:pPr>
            <w:r w:rsidRPr="00015474">
              <w:t xml:space="preserve"> $6,947,777 </w:t>
            </w:r>
          </w:p>
        </w:tc>
        <w:tc>
          <w:tcPr>
            <w:tcW w:w="1216" w:type="dxa"/>
          </w:tcPr>
          <w:p w14:paraId="0DA2F5A8" w14:textId="77777777" w:rsidR="000C5D80" w:rsidRDefault="000C5D80" w:rsidP="00664DB5">
            <w:pPr>
              <w:pStyle w:val="Tabletext"/>
              <w:jc w:val="center"/>
            </w:pPr>
            <w:r w:rsidRPr="00015474">
              <w:t xml:space="preserve"> $7,046,812 </w:t>
            </w:r>
          </w:p>
        </w:tc>
        <w:tc>
          <w:tcPr>
            <w:tcW w:w="1216" w:type="dxa"/>
          </w:tcPr>
          <w:p w14:paraId="3FB6EE8C" w14:textId="77777777" w:rsidR="000C5D80" w:rsidRDefault="000C5D80" w:rsidP="00664DB5">
            <w:pPr>
              <w:pStyle w:val="Tabletext"/>
              <w:jc w:val="center"/>
            </w:pPr>
            <w:r w:rsidRPr="00015474">
              <w:t xml:space="preserve"> $7,147,009 </w:t>
            </w:r>
          </w:p>
        </w:tc>
        <w:tc>
          <w:tcPr>
            <w:tcW w:w="1216" w:type="dxa"/>
          </w:tcPr>
          <w:p w14:paraId="67EA3EE5" w14:textId="77777777" w:rsidR="000C5D80" w:rsidRDefault="000C5D80" w:rsidP="00664DB5">
            <w:pPr>
              <w:pStyle w:val="Tabletext"/>
              <w:jc w:val="center"/>
            </w:pPr>
            <w:r w:rsidRPr="00015474">
              <w:t xml:space="preserve"> $5,616,125 </w:t>
            </w:r>
          </w:p>
        </w:tc>
        <w:tc>
          <w:tcPr>
            <w:tcW w:w="1216" w:type="dxa"/>
          </w:tcPr>
          <w:p w14:paraId="207BCB08" w14:textId="77777777" w:rsidR="000C5D80" w:rsidRDefault="000C5D80" w:rsidP="00664DB5">
            <w:pPr>
              <w:pStyle w:val="Tabletext"/>
              <w:jc w:val="center"/>
            </w:pPr>
            <w:r w:rsidRPr="00015474">
              <w:t xml:space="preserve"> $5,718,060 </w:t>
            </w:r>
          </w:p>
        </w:tc>
      </w:tr>
      <w:tr w:rsidR="000C5D80" w14:paraId="42E7564D" w14:textId="77777777" w:rsidTr="00664DB5">
        <w:tc>
          <w:tcPr>
            <w:tcW w:w="2935" w:type="dxa"/>
          </w:tcPr>
          <w:p w14:paraId="5F0EFC37" w14:textId="77777777" w:rsidR="000C5D80" w:rsidRPr="00FD60AE" w:rsidRDefault="000C5D80" w:rsidP="00664DB5">
            <w:pPr>
              <w:pStyle w:val="Tabletext"/>
            </w:pPr>
            <w:r w:rsidRPr="00FD60AE">
              <w:t>Patient contributions</w:t>
            </w:r>
          </w:p>
        </w:tc>
        <w:tc>
          <w:tcPr>
            <w:tcW w:w="1217" w:type="dxa"/>
          </w:tcPr>
          <w:p w14:paraId="5CEEA71D" w14:textId="77777777" w:rsidR="000C5D80" w:rsidRDefault="000C5D80" w:rsidP="00664DB5">
            <w:pPr>
              <w:pStyle w:val="Tabletext"/>
              <w:jc w:val="center"/>
            </w:pPr>
            <w:r w:rsidRPr="00015474">
              <w:t xml:space="preserve"> $1,226,078 </w:t>
            </w:r>
          </w:p>
        </w:tc>
        <w:tc>
          <w:tcPr>
            <w:tcW w:w="1216" w:type="dxa"/>
          </w:tcPr>
          <w:p w14:paraId="4A8DFB45" w14:textId="77777777" w:rsidR="000C5D80" w:rsidRDefault="000C5D80" w:rsidP="00664DB5">
            <w:pPr>
              <w:pStyle w:val="Tabletext"/>
              <w:jc w:val="center"/>
            </w:pPr>
            <w:r w:rsidRPr="00015474">
              <w:t xml:space="preserve"> $1,243,555 </w:t>
            </w:r>
          </w:p>
        </w:tc>
        <w:tc>
          <w:tcPr>
            <w:tcW w:w="1216" w:type="dxa"/>
          </w:tcPr>
          <w:p w14:paraId="43ED69F2" w14:textId="77777777" w:rsidR="000C5D80" w:rsidRDefault="000C5D80" w:rsidP="00664DB5">
            <w:pPr>
              <w:pStyle w:val="Tabletext"/>
              <w:jc w:val="center"/>
            </w:pPr>
            <w:r w:rsidRPr="00015474">
              <w:t xml:space="preserve"> $1,261,237 </w:t>
            </w:r>
          </w:p>
        </w:tc>
        <w:tc>
          <w:tcPr>
            <w:tcW w:w="1216" w:type="dxa"/>
          </w:tcPr>
          <w:p w14:paraId="060647A1" w14:textId="77777777" w:rsidR="000C5D80" w:rsidRDefault="000C5D80" w:rsidP="00664DB5">
            <w:pPr>
              <w:pStyle w:val="Tabletext"/>
              <w:jc w:val="center"/>
            </w:pPr>
            <w:r w:rsidRPr="00015474">
              <w:t xml:space="preserve"> $991,081 </w:t>
            </w:r>
          </w:p>
        </w:tc>
        <w:tc>
          <w:tcPr>
            <w:tcW w:w="1216" w:type="dxa"/>
          </w:tcPr>
          <w:p w14:paraId="39F68F61" w14:textId="77777777" w:rsidR="000C5D80" w:rsidRDefault="000C5D80" w:rsidP="00664DB5">
            <w:pPr>
              <w:pStyle w:val="Tabletext"/>
              <w:jc w:val="center"/>
            </w:pPr>
            <w:r w:rsidRPr="00015474">
              <w:t xml:space="preserve"> $1,009,069 </w:t>
            </w:r>
          </w:p>
        </w:tc>
      </w:tr>
    </w:tbl>
    <w:p w14:paraId="0FC32441" w14:textId="77777777" w:rsidR="00083868" w:rsidRDefault="00083868">
      <w:pPr>
        <w:rPr>
          <w:rFonts w:ascii="Arial Narrow" w:hAnsi="Arial Narrow" w:cs="Arial"/>
          <w:b/>
          <w:bCs/>
          <w:iCs/>
          <w:sz w:val="20"/>
          <w:lang w:eastAsia="en-US"/>
        </w:rPr>
      </w:pPr>
      <w:bookmarkStart w:id="16" w:name="_Ref512521043"/>
      <w:bookmarkStart w:id="17" w:name="_Toc513290994"/>
      <w:r>
        <w:br w:type="page"/>
      </w:r>
    </w:p>
    <w:p w14:paraId="4C527A99" w14:textId="77777777" w:rsidR="000C5D80" w:rsidRPr="00DB1234" w:rsidRDefault="000C5D80" w:rsidP="00DB1234">
      <w:pPr>
        <w:rPr>
          <w:rFonts w:ascii="Arial Narrow" w:hAnsi="Arial Narrow"/>
          <w:b/>
          <w:sz w:val="20"/>
        </w:rPr>
      </w:pPr>
      <w:r w:rsidRPr="00DB1234">
        <w:rPr>
          <w:rFonts w:ascii="Arial Narrow" w:hAnsi="Arial Narrow"/>
          <w:b/>
          <w:sz w:val="20"/>
        </w:rPr>
        <w:lastRenderedPageBreak/>
        <w:t>Table</w:t>
      </w:r>
      <w:bookmarkEnd w:id="16"/>
      <w:r w:rsidR="00E3780D" w:rsidRPr="00DB1234">
        <w:rPr>
          <w:rFonts w:ascii="Arial Narrow" w:hAnsi="Arial Narrow"/>
          <w:b/>
          <w:sz w:val="20"/>
        </w:rPr>
        <w:t xml:space="preserve"> 8</w:t>
      </w:r>
      <w:r w:rsidRPr="00DB1234">
        <w:rPr>
          <w:rFonts w:ascii="Arial Narrow" w:hAnsi="Arial Narrow"/>
          <w:b/>
          <w:sz w:val="20"/>
        </w:rPr>
        <w:tab/>
        <w:t>Projected cost of whole exome re-analyses (Population 2), 2019–2023</w:t>
      </w:r>
      <w:bookmarkEnd w:id="17"/>
    </w:p>
    <w:tbl>
      <w:tblPr>
        <w:tblStyle w:val="TableGridLight1"/>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ummary of the estimated costs for whole exome re-analyses for Population 2 from 2019 to 2023"/>
      </w:tblPr>
      <w:tblGrid>
        <w:gridCol w:w="2830"/>
        <w:gridCol w:w="1241"/>
        <w:gridCol w:w="1242"/>
        <w:gridCol w:w="1241"/>
        <w:gridCol w:w="1242"/>
        <w:gridCol w:w="1242"/>
      </w:tblGrid>
      <w:tr w:rsidR="000C5D80" w14:paraId="41B4A00F" w14:textId="77777777" w:rsidTr="007052AA">
        <w:trPr>
          <w:tblHeader/>
        </w:trPr>
        <w:tc>
          <w:tcPr>
            <w:tcW w:w="2830" w:type="dxa"/>
          </w:tcPr>
          <w:p w14:paraId="13362723" w14:textId="77777777" w:rsidR="000C5D80" w:rsidRDefault="000C5D80" w:rsidP="00664DB5">
            <w:pPr>
              <w:pStyle w:val="Tableheading"/>
            </w:pPr>
          </w:p>
        </w:tc>
        <w:tc>
          <w:tcPr>
            <w:tcW w:w="1241" w:type="dxa"/>
            <w:tcBorders>
              <w:bottom w:val="single" w:sz="4" w:space="0" w:color="auto"/>
            </w:tcBorders>
          </w:tcPr>
          <w:p w14:paraId="1F881E3E" w14:textId="77777777" w:rsidR="000C5D80" w:rsidRDefault="000C5D80" w:rsidP="00664DB5">
            <w:pPr>
              <w:pStyle w:val="Tableheading"/>
              <w:jc w:val="center"/>
            </w:pPr>
            <w:r>
              <w:t>2019</w:t>
            </w:r>
          </w:p>
        </w:tc>
        <w:tc>
          <w:tcPr>
            <w:tcW w:w="1242" w:type="dxa"/>
            <w:tcBorders>
              <w:bottom w:val="single" w:sz="4" w:space="0" w:color="auto"/>
            </w:tcBorders>
          </w:tcPr>
          <w:p w14:paraId="43FCF0AA" w14:textId="77777777" w:rsidR="000C5D80" w:rsidRDefault="000C5D80" w:rsidP="00664DB5">
            <w:pPr>
              <w:pStyle w:val="Tableheading"/>
              <w:jc w:val="center"/>
            </w:pPr>
            <w:r>
              <w:t>2020</w:t>
            </w:r>
          </w:p>
        </w:tc>
        <w:tc>
          <w:tcPr>
            <w:tcW w:w="1241" w:type="dxa"/>
            <w:tcBorders>
              <w:bottom w:val="single" w:sz="4" w:space="0" w:color="auto"/>
            </w:tcBorders>
          </w:tcPr>
          <w:p w14:paraId="59A96FD1" w14:textId="77777777" w:rsidR="000C5D80" w:rsidRDefault="000C5D80" w:rsidP="00664DB5">
            <w:pPr>
              <w:pStyle w:val="Tableheading"/>
              <w:jc w:val="center"/>
            </w:pPr>
            <w:r>
              <w:t>2021</w:t>
            </w:r>
          </w:p>
        </w:tc>
        <w:tc>
          <w:tcPr>
            <w:tcW w:w="1242" w:type="dxa"/>
            <w:tcBorders>
              <w:bottom w:val="single" w:sz="4" w:space="0" w:color="auto"/>
            </w:tcBorders>
          </w:tcPr>
          <w:p w14:paraId="54337865" w14:textId="77777777" w:rsidR="000C5D80" w:rsidRDefault="000C5D80" w:rsidP="00664DB5">
            <w:pPr>
              <w:pStyle w:val="Tableheading"/>
              <w:jc w:val="center"/>
            </w:pPr>
            <w:r>
              <w:t>2022</w:t>
            </w:r>
          </w:p>
        </w:tc>
        <w:tc>
          <w:tcPr>
            <w:tcW w:w="1242" w:type="dxa"/>
            <w:tcBorders>
              <w:bottom w:val="single" w:sz="4" w:space="0" w:color="auto"/>
            </w:tcBorders>
          </w:tcPr>
          <w:p w14:paraId="559EA1DE" w14:textId="77777777" w:rsidR="000C5D80" w:rsidRDefault="000C5D80" w:rsidP="00664DB5">
            <w:pPr>
              <w:pStyle w:val="Tableheading"/>
              <w:jc w:val="center"/>
            </w:pPr>
            <w:r>
              <w:t>2023</w:t>
            </w:r>
          </w:p>
        </w:tc>
      </w:tr>
      <w:tr w:rsidR="000C5D80" w14:paraId="7D782658" w14:textId="77777777" w:rsidTr="00664DB5">
        <w:tc>
          <w:tcPr>
            <w:tcW w:w="9038" w:type="dxa"/>
            <w:gridSpan w:val="6"/>
          </w:tcPr>
          <w:p w14:paraId="496D3431" w14:textId="77777777" w:rsidR="000C5D80" w:rsidRPr="00F45296" w:rsidRDefault="000C5D80" w:rsidP="00664DB5">
            <w:pPr>
              <w:pStyle w:val="Tableheading"/>
              <w:rPr>
                <w:i/>
              </w:rPr>
            </w:pPr>
            <w:r w:rsidRPr="00F45296">
              <w:rPr>
                <w:i/>
              </w:rPr>
              <w:t>Costs associated with first re-analysis</w:t>
            </w:r>
          </w:p>
        </w:tc>
      </w:tr>
      <w:tr w:rsidR="000C5D80" w14:paraId="76965CD2" w14:textId="77777777" w:rsidTr="00664DB5">
        <w:tc>
          <w:tcPr>
            <w:tcW w:w="2830" w:type="dxa"/>
          </w:tcPr>
          <w:p w14:paraId="0564096A" w14:textId="77777777" w:rsidR="000C5D80" w:rsidRPr="00851101" w:rsidRDefault="000C5D80" w:rsidP="00664DB5">
            <w:pPr>
              <w:pStyle w:val="Tabletext"/>
              <w:rPr>
                <w:i/>
              </w:rPr>
            </w:pPr>
            <w:r w:rsidRPr="00851101">
              <w:rPr>
                <w:i/>
              </w:rPr>
              <w:t>Positive findings</w:t>
            </w:r>
          </w:p>
        </w:tc>
        <w:tc>
          <w:tcPr>
            <w:tcW w:w="1241" w:type="dxa"/>
          </w:tcPr>
          <w:p w14:paraId="69C9DC54" w14:textId="77777777" w:rsidR="000C5D80" w:rsidRDefault="000C5D80" w:rsidP="00664DB5">
            <w:pPr>
              <w:pStyle w:val="Tableheading"/>
              <w:jc w:val="center"/>
            </w:pPr>
          </w:p>
        </w:tc>
        <w:tc>
          <w:tcPr>
            <w:tcW w:w="1242" w:type="dxa"/>
          </w:tcPr>
          <w:p w14:paraId="001684E5" w14:textId="77777777" w:rsidR="000C5D80" w:rsidRDefault="000C5D80" w:rsidP="00664DB5">
            <w:pPr>
              <w:pStyle w:val="Tableheading"/>
              <w:jc w:val="center"/>
            </w:pPr>
          </w:p>
        </w:tc>
        <w:tc>
          <w:tcPr>
            <w:tcW w:w="1241" w:type="dxa"/>
          </w:tcPr>
          <w:p w14:paraId="7AF4FAC3" w14:textId="77777777" w:rsidR="000C5D80" w:rsidRDefault="000C5D80" w:rsidP="00664DB5">
            <w:pPr>
              <w:pStyle w:val="Tableheading"/>
              <w:jc w:val="center"/>
            </w:pPr>
          </w:p>
        </w:tc>
        <w:tc>
          <w:tcPr>
            <w:tcW w:w="1242" w:type="dxa"/>
          </w:tcPr>
          <w:p w14:paraId="2345062D" w14:textId="77777777" w:rsidR="000C5D80" w:rsidRDefault="000C5D80" w:rsidP="00664DB5">
            <w:pPr>
              <w:pStyle w:val="Tableheading"/>
              <w:jc w:val="center"/>
            </w:pPr>
          </w:p>
        </w:tc>
        <w:tc>
          <w:tcPr>
            <w:tcW w:w="1242" w:type="dxa"/>
          </w:tcPr>
          <w:p w14:paraId="2A0AACDD" w14:textId="77777777" w:rsidR="000C5D80" w:rsidRDefault="000C5D80" w:rsidP="00664DB5">
            <w:pPr>
              <w:pStyle w:val="Tableheading"/>
              <w:jc w:val="center"/>
            </w:pPr>
          </w:p>
        </w:tc>
      </w:tr>
      <w:tr w:rsidR="000C5D80" w14:paraId="431792BF" w14:textId="77777777" w:rsidTr="00664DB5">
        <w:tc>
          <w:tcPr>
            <w:tcW w:w="2830" w:type="dxa"/>
          </w:tcPr>
          <w:p w14:paraId="0173C985" w14:textId="77777777" w:rsidR="000C5D80" w:rsidRDefault="000C5D80" w:rsidP="00664DB5">
            <w:pPr>
              <w:pStyle w:val="Tabletext"/>
            </w:pPr>
            <w:r w:rsidRPr="009A791F">
              <w:t xml:space="preserve">Number of patients </w:t>
            </w:r>
          </w:p>
        </w:tc>
        <w:tc>
          <w:tcPr>
            <w:tcW w:w="1241" w:type="dxa"/>
          </w:tcPr>
          <w:p w14:paraId="5206B614" w14:textId="77777777" w:rsidR="000C5D80" w:rsidRDefault="000C5D80" w:rsidP="00664DB5">
            <w:pPr>
              <w:pStyle w:val="Tabletext"/>
              <w:jc w:val="center"/>
            </w:pPr>
            <w:r w:rsidRPr="00C12E99">
              <w:t xml:space="preserve"> - </w:t>
            </w:r>
          </w:p>
        </w:tc>
        <w:tc>
          <w:tcPr>
            <w:tcW w:w="1242" w:type="dxa"/>
          </w:tcPr>
          <w:p w14:paraId="6683F109" w14:textId="77777777" w:rsidR="000C5D80" w:rsidRDefault="000C5D80" w:rsidP="00664DB5">
            <w:pPr>
              <w:pStyle w:val="Tabletext"/>
              <w:jc w:val="center"/>
            </w:pPr>
            <w:r w:rsidRPr="00C12E99">
              <w:t xml:space="preserve"> - </w:t>
            </w:r>
          </w:p>
        </w:tc>
        <w:tc>
          <w:tcPr>
            <w:tcW w:w="1241" w:type="dxa"/>
          </w:tcPr>
          <w:p w14:paraId="6EC2CE6B" w14:textId="77777777" w:rsidR="000C5D80" w:rsidRDefault="000C5D80" w:rsidP="00664DB5">
            <w:pPr>
              <w:pStyle w:val="Tabletext"/>
              <w:jc w:val="center"/>
            </w:pPr>
            <w:r w:rsidRPr="00C12E99">
              <w:t xml:space="preserve"> 200 </w:t>
            </w:r>
          </w:p>
        </w:tc>
        <w:tc>
          <w:tcPr>
            <w:tcW w:w="1242" w:type="dxa"/>
          </w:tcPr>
          <w:p w14:paraId="4275CB25" w14:textId="77777777" w:rsidR="000C5D80" w:rsidRDefault="000C5D80" w:rsidP="00664DB5">
            <w:pPr>
              <w:pStyle w:val="Tabletext"/>
              <w:jc w:val="center"/>
            </w:pPr>
            <w:r w:rsidRPr="00C12E99">
              <w:t xml:space="preserve"> 203 </w:t>
            </w:r>
          </w:p>
        </w:tc>
        <w:tc>
          <w:tcPr>
            <w:tcW w:w="1242" w:type="dxa"/>
          </w:tcPr>
          <w:p w14:paraId="3BFF100D" w14:textId="77777777" w:rsidR="000C5D80" w:rsidRDefault="000C5D80" w:rsidP="00664DB5">
            <w:pPr>
              <w:pStyle w:val="Tabletext"/>
              <w:jc w:val="center"/>
            </w:pPr>
            <w:r w:rsidRPr="00C12E99">
              <w:t xml:space="preserve"> 205 </w:t>
            </w:r>
          </w:p>
        </w:tc>
      </w:tr>
      <w:tr w:rsidR="000C5D80" w14:paraId="206CA708" w14:textId="77777777" w:rsidTr="00664DB5">
        <w:tc>
          <w:tcPr>
            <w:tcW w:w="2830" w:type="dxa"/>
          </w:tcPr>
          <w:p w14:paraId="7A6582EC" w14:textId="77777777" w:rsidR="000C5D80" w:rsidRDefault="000C5D80" w:rsidP="00664DB5">
            <w:pPr>
              <w:pStyle w:val="Tabletext"/>
            </w:pPr>
            <w:r w:rsidRPr="009A791F">
              <w:t>Cost of re-analysis per patient</w:t>
            </w:r>
          </w:p>
        </w:tc>
        <w:tc>
          <w:tcPr>
            <w:tcW w:w="1241" w:type="dxa"/>
          </w:tcPr>
          <w:p w14:paraId="235C9A43" w14:textId="77777777" w:rsidR="000C5D80" w:rsidRDefault="000C5D80" w:rsidP="00664DB5">
            <w:pPr>
              <w:pStyle w:val="Tabletext"/>
              <w:jc w:val="center"/>
            </w:pPr>
            <w:r w:rsidRPr="00C12E99">
              <w:t xml:space="preserve"> $650 </w:t>
            </w:r>
          </w:p>
        </w:tc>
        <w:tc>
          <w:tcPr>
            <w:tcW w:w="1242" w:type="dxa"/>
          </w:tcPr>
          <w:p w14:paraId="3296C000" w14:textId="77777777" w:rsidR="000C5D80" w:rsidRDefault="000C5D80" w:rsidP="00664DB5">
            <w:pPr>
              <w:pStyle w:val="Tabletext"/>
              <w:jc w:val="center"/>
            </w:pPr>
            <w:r w:rsidRPr="00C12E99">
              <w:t xml:space="preserve"> $650 </w:t>
            </w:r>
          </w:p>
        </w:tc>
        <w:tc>
          <w:tcPr>
            <w:tcW w:w="1241" w:type="dxa"/>
          </w:tcPr>
          <w:p w14:paraId="5C509AA9" w14:textId="77777777" w:rsidR="000C5D80" w:rsidRDefault="000C5D80" w:rsidP="00664DB5">
            <w:pPr>
              <w:pStyle w:val="Tabletext"/>
              <w:jc w:val="center"/>
            </w:pPr>
            <w:r w:rsidRPr="00C12E99">
              <w:t xml:space="preserve"> $650 </w:t>
            </w:r>
          </w:p>
        </w:tc>
        <w:tc>
          <w:tcPr>
            <w:tcW w:w="1242" w:type="dxa"/>
          </w:tcPr>
          <w:p w14:paraId="1B4A3D5B" w14:textId="77777777" w:rsidR="000C5D80" w:rsidRDefault="000C5D80" w:rsidP="00664DB5">
            <w:pPr>
              <w:pStyle w:val="Tabletext"/>
              <w:jc w:val="center"/>
            </w:pPr>
            <w:r w:rsidRPr="00C12E99">
              <w:t xml:space="preserve"> $650 </w:t>
            </w:r>
          </w:p>
        </w:tc>
        <w:tc>
          <w:tcPr>
            <w:tcW w:w="1242" w:type="dxa"/>
          </w:tcPr>
          <w:p w14:paraId="0A209E7C" w14:textId="77777777" w:rsidR="000C5D80" w:rsidRDefault="000C5D80" w:rsidP="00664DB5">
            <w:pPr>
              <w:pStyle w:val="Tabletext"/>
              <w:jc w:val="center"/>
            </w:pPr>
            <w:r w:rsidRPr="00C12E99">
              <w:t xml:space="preserve"> $650 </w:t>
            </w:r>
          </w:p>
        </w:tc>
      </w:tr>
      <w:tr w:rsidR="000C5D80" w14:paraId="681A7A56" w14:textId="77777777" w:rsidTr="00664DB5">
        <w:tc>
          <w:tcPr>
            <w:tcW w:w="2830" w:type="dxa"/>
          </w:tcPr>
          <w:p w14:paraId="0350A94A" w14:textId="77777777" w:rsidR="000C5D80" w:rsidRDefault="000C5D80" w:rsidP="00664DB5">
            <w:pPr>
              <w:pStyle w:val="Tabletext"/>
            </w:pPr>
            <w:r w:rsidRPr="009A791F">
              <w:t>Total cost</w:t>
            </w:r>
          </w:p>
        </w:tc>
        <w:tc>
          <w:tcPr>
            <w:tcW w:w="1241" w:type="dxa"/>
          </w:tcPr>
          <w:p w14:paraId="487B2505" w14:textId="77777777" w:rsidR="000C5D80" w:rsidRDefault="000C5D80" w:rsidP="00664DB5">
            <w:pPr>
              <w:pStyle w:val="Tabletext"/>
              <w:jc w:val="center"/>
            </w:pPr>
            <w:r w:rsidRPr="00C12E99">
              <w:t xml:space="preserve"> $- </w:t>
            </w:r>
          </w:p>
        </w:tc>
        <w:tc>
          <w:tcPr>
            <w:tcW w:w="1242" w:type="dxa"/>
          </w:tcPr>
          <w:p w14:paraId="3747FFF2" w14:textId="77777777" w:rsidR="000C5D80" w:rsidRDefault="000C5D80" w:rsidP="00664DB5">
            <w:pPr>
              <w:pStyle w:val="Tabletext"/>
              <w:jc w:val="center"/>
            </w:pPr>
            <w:r w:rsidRPr="00C12E99">
              <w:t xml:space="preserve"> $- </w:t>
            </w:r>
          </w:p>
        </w:tc>
        <w:tc>
          <w:tcPr>
            <w:tcW w:w="1241" w:type="dxa"/>
          </w:tcPr>
          <w:p w14:paraId="6032AA33" w14:textId="77777777" w:rsidR="000C5D80" w:rsidRDefault="000C5D80" w:rsidP="00664DB5">
            <w:pPr>
              <w:pStyle w:val="Tabletext"/>
              <w:jc w:val="center"/>
            </w:pPr>
            <w:r w:rsidRPr="00C12E99">
              <w:t xml:space="preserve"> $129,837 </w:t>
            </w:r>
          </w:p>
        </w:tc>
        <w:tc>
          <w:tcPr>
            <w:tcW w:w="1242" w:type="dxa"/>
          </w:tcPr>
          <w:p w14:paraId="12B844B7" w14:textId="77777777" w:rsidR="000C5D80" w:rsidRDefault="000C5D80" w:rsidP="00664DB5">
            <w:pPr>
              <w:pStyle w:val="Tabletext"/>
              <w:jc w:val="center"/>
            </w:pPr>
            <w:r w:rsidRPr="00C12E99">
              <w:t xml:space="preserve"> $131,687 </w:t>
            </w:r>
          </w:p>
        </w:tc>
        <w:tc>
          <w:tcPr>
            <w:tcW w:w="1242" w:type="dxa"/>
          </w:tcPr>
          <w:p w14:paraId="4230E052" w14:textId="77777777" w:rsidR="000C5D80" w:rsidRDefault="000C5D80" w:rsidP="00664DB5">
            <w:pPr>
              <w:pStyle w:val="Tabletext"/>
              <w:jc w:val="center"/>
            </w:pPr>
            <w:r w:rsidRPr="00C12E99">
              <w:t xml:space="preserve"> $133,560 </w:t>
            </w:r>
          </w:p>
        </w:tc>
      </w:tr>
      <w:tr w:rsidR="000C5D80" w14:paraId="50A9A5F7" w14:textId="77777777" w:rsidTr="00664DB5">
        <w:tc>
          <w:tcPr>
            <w:tcW w:w="2830" w:type="dxa"/>
          </w:tcPr>
          <w:p w14:paraId="5AD41932" w14:textId="77777777" w:rsidR="000C5D80" w:rsidRDefault="000C5D80" w:rsidP="00664DB5">
            <w:pPr>
              <w:pStyle w:val="Tabletext"/>
            </w:pPr>
            <w:r w:rsidRPr="009A791F">
              <w:t>MBS rebate (85%)</w:t>
            </w:r>
          </w:p>
        </w:tc>
        <w:tc>
          <w:tcPr>
            <w:tcW w:w="1241" w:type="dxa"/>
          </w:tcPr>
          <w:p w14:paraId="15D778D8" w14:textId="77777777" w:rsidR="000C5D80" w:rsidRDefault="000C5D80" w:rsidP="00664DB5">
            <w:pPr>
              <w:pStyle w:val="Tabletext"/>
              <w:jc w:val="center"/>
            </w:pPr>
            <w:r w:rsidRPr="00C12E99">
              <w:t xml:space="preserve"> $- </w:t>
            </w:r>
          </w:p>
        </w:tc>
        <w:tc>
          <w:tcPr>
            <w:tcW w:w="1242" w:type="dxa"/>
          </w:tcPr>
          <w:p w14:paraId="0643BC9B" w14:textId="77777777" w:rsidR="000C5D80" w:rsidRDefault="000C5D80" w:rsidP="00664DB5">
            <w:pPr>
              <w:pStyle w:val="Tabletext"/>
              <w:jc w:val="center"/>
            </w:pPr>
            <w:r w:rsidRPr="00C12E99">
              <w:t xml:space="preserve"> $- </w:t>
            </w:r>
          </w:p>
        </w:tc>
        <w:tc>
          <w:tcPr>
            <w:tcW w:w="1241" w:type="dxa"/>
          </w:tcPr>
          <w:p w14:paraId="6FA73A62" w14:textId="77777777" w:rsidR="000C5D80" w:rsidRDefault="000C5D80" w:rsidP="00664DB5">
            <w:pPr>
              <w:pStyle w:val="Tabletext"/>
              <w:jc w:val="center"/>
            </w:pPr>
            <w:r w:rsidRPr="00C12E99">
              <w:t xml:space="preserve"> $110,361 </w:t>
            </w:r>
          </w:p>
        </w:tc>
        <w:tc>
          <w:tcPr>
            <w:tcW w:w="1242" w:type="dxa"/>
          </w:tcPr>
          <w:p w14:paraId="7D77A4A7" w14:textId="77777777" w:rsidR="000C5D80" w:rsidRDefault="000C5D80" w:rsidP="00664DB5">
            <w:pPr>
              <w:pStyle w:val="Tabletext"/>
              <w:jc w:val="center"/>
            </w:pPr>
            <w:r w:rsidRPr="00C12E99">
              <w:t xml:space="preserve"> $111,934 </w:t>
            </w:r>
          </w:p>
        </w:tc>
        <w:tc>
          <w:tcPr>
            <w:tcW w:w="1242" w:type="dxa"/>
          </w:tcPr>
          <w:p w14:paraId="71F49FF6" w14:textId="77777777" w:rsidR="000C5D80" w:rsidRDefault="000C5D80" w:rsidP="00664DB5">
            <w:pPr>
              <w:pStyle w:val="Tabletext"/>
              <w:jc w:val="center"/>
            </w:pPr>
            <w:r w:rsidRPr="00C12E99">
              <w:t xml:space="preserve"> $113,526 </w:t>
            </w:r>
          </w:p>
        </w:tc>
      </w:tr>
      <w:tr w:rsidR="000C5D80" w14:paraId="12E4CA01" w14:textId="77777777" w:rsidTr="00664DB5">
        <w:tc>
          <w:tcPr>
            <w:tcW w:w="2830" w:type="dxa"/>
          </w:tcPr>
          <w:p w14:paraId="1750C97A" w14:textId="77777777" w:rsidR="000C5D80" w:rsidRDefault="000C5D80" w:rsidP="00664DB5">
            <w:pPr>
              <w:pStyle w:val="Tabletext"/>
            </w:pPr>
            <w:r w:rsidRPr="009A791F">
              <w:t>Patient contributions</w:t>
            </w:r>
          </w:p>
        </w:tc>
        <w:tc>
          <w:tcPr>
            <w:tcW w:w="1241" w:type="dxa"/>
          </w:tcPr>
          <w:p w14:paraId="114E1182" w14:textId="77777777" w:rsidR="000C5D80" w:rsidRDefault="000C5D80" w:rsidP="00664DB5">
            <w:pPr>
              <w:pStyle w:val="Tabletext"/>
              <w:jc w:val="center"/>
            </w:pPr>
            <w:r w:rsidRPr="00C12E99">
              <w:t xml:space="preserve"> $- </w:t>
            </w:r>
          </w:p>
        </w:tc>
        <w:tc>
          <w:tcPr>
            <w:tcW w:w="1242" w:type="dxa"/>
          </w:tcPr>
          <w:p w14:paraId="7B0266F0" w14:textId="77777777" w:rsidR="000C5D80" w:rsidRDefault="000C5D80" w:rsidP="00664DB5">
            <w:pPr>
              <w:pStyle w:val="Tabletext"/>
              <w:jc w:val="center"/>
            </w:pPr>
            <w:r w:rsidRPr="00C12E99">
              <w:t xml:space="preserve"> $- </w:t>
            </w:r>
          </w:p>
        </w:tc>
        <w:tc>
          <w:tcPr>
            <w:tcW w:w="1241" w:type="dxa"/>
          </w:tcPr>
          <w:p w14:paraId="263406AA" w14:textId="77777777" w:rsidR="000C5D80" w:rsidRDefault="000C5D80" w:rsidP="00664DB5">
            <w:pPr>
              <w:pStyle w:val="Tabletext"/>
              <w:jc w:val="center"/>
            </w:pPr>
            <w:r w:rsidRPr="00C12E99">
              <w:t xml:space="preserve"> $19,475 </w:t>
            </w:r>
          </w:p>
        </w:tc>
        <w:tc>
          <w:tcPr>
            <w:tcW w:w="1242" w:type="dxa"/>
          </w:tcPr>
          <w:p w14:paraId="34F07CCD" w14:textId="77777777" w:rsidR="000C5D80" w:rsidRDefault="000C5D80" w:rsidP="00664DB5">
            <w:pPr>
              <w:pStyle w:val="Tabletext"/>
              <w:jc w:val="center"/>
            </w:pPr>
            <w:r w:rsidRPr="00C12E99">
              <w:t xml:space="preserve"> $19,753 </w:t>
            </w:r>
          </w:p>
        </w:tc>
        <w:tc>
          <w:tcPr>
            <w:tcW w:w="1242" w:type="dxa"/>
          </w:tcPr>
          <w:p w14:paraId="08F0A489" w14:textId="77777777" w:rsidR="000C5D80" w:rsidRDefault="000C5D80" w:rsidP="00664DB5">
            <w:pPr>
              <w:pStyle w:val="Tabletext"/>
              <w:jc w:val="center"/>
            </w:pPr>
            <w:r w:rsidRPr="00C12E99">
              <w:t xml:space="preserve"> $20,034 </w:t>
            </w:r>
          </w:p>
        </w:tc>
      </w:tr>
      <w:tr w:rsidR="000C5D80" w14:paraId="39812D54" w14:textId="77777777" w:rsidTr="00664DB5">
        <w:tc>
          <w:tcPr>
            <w:tcW w:w="2830" w:type="dxa"/>
          </w:tcPr>
          <w:p w14:paraId="6E263E9C" w14:textId="77777777" w:rsidR="000C5D80" w:rsidRPr="009A791F" w:rsidRDefault="000C5D80" w:rsidP="00664DB5">
            <w:pPr>
              <w:pStyle w:val="Tabletext"/>
            </w:pPr>
            <w:r>
              <w:rPr>
                <w:i/>
              </w:rPr>
              <w:t>Negative findings</w:t>
            </w:r>
          </w:p>
        </w:tc>
        <w:tc>
          <w:tcPr>
            <w:tcW w:w="1241" w:type="dxa"/>
          </w:tcPr>
          <w:p w14:paraId="4C3CD3FE" w14:textId="77777777" w:rsidR="000C5D80" w:rsidRPr="009A791F" w:rsidRDefault="000C5D80" w:rsidP="00664DB5">
            <w:pPr>
              <w:pStyle w:val="Tabletext"/>
              <w:jc w:val="center"/>
            </w:pPr>
          </w:p>
        </w:tc>
        <w:tc>
          <w:tcPr>
            <w:tcW w:w="1242" w:type="dxa"/>
          </w:tcPr>
          <w:p w14:paraId="549D91B6" w14:textId="77777777" w:rsidR="000C5D80" w:rsidRPr="009A791F" w:rsidRDefault="000C5D80" w:rsidP="00664DB5">
            <w:pPr>
              <w:pStyle w:val="Tabletext"/>
              <w:jc w:val="center"/>
            </w:pPr>
          </w:p>
        </w:tc>
        <w:tc>
          <w:tcPr>
            <w:tcW w:w="1241" w:type="dxa"/>
          </w:tcPr>
          <w:p w14:paraId="3BEBD62C" w14:textId="77777777" w:rsidR="000C5D80" w:rsidRPr="009A791F" w:rsidRDefault="000C5D80" w:rsidP="00664DB5">
            <w:pPr>
              <w:pStyle w:val="Tabletext"/>
              <w:jc w:val="center"/>
            </w:pPr>
          </w:p>
        </w:tc>
        <w:tc>
          <w:tcPr>
            <w:tcW w:w="1242" w:type="dxa"/>
          </w:tcPr>
          <w:p w14:paraId="618434C4" w14:textId="77777777" w:rsidR="000C5D80" w:rsidRPr="009A791F" w:rsidRDefault="000C5D80" w:rsidP="00664DB5">
            <w:pPr>
              <w:pStyle w:val="Tabletext"/>
              <w:jc w:val="center"/>
            </w:pPr>
          </w:p>
        </w:tc>
        <w:tc>
          <w:tcPr>
            <w:tcW w:w="1242" w:type="dxa"/>
          </w:tcPr>
          <w:p w14:paraId="27E93ACA" w14:textId="77777777" w:rsidR="000C5D80" w:rsidRPr="009A791F" w:rsidRDefault="000C5D80" w:rsidP="00664DB5">
            <w:pPr>
              <w:pStyle w:val="Tabletext"/>
              <w:jc w:val="center"/>
            </w:pPr>
          </w:p>
        </w:tc>
      </w:tr>
      <w:tr w:rsidR="000C5D80" w14:paraId="5C5117F8" w14:textId="77777777" w:rsidTr="00664DB5">
        <w:tc>
          <w:tcPr>
            <w:tcW w:w="2830" w:type="dxa"/>
          </w:tcPr>
          <w:p w14:paraId="2BB4B01B" w14:textId="77777777" w:rsidR="000C5D80" w:rsidRDefault="000C5D80" w:rsidP="00664DB5">
            <w:pPr>
              <w:pStyle w:val="Tabletext"/>
            </w:pPr>
            <w:r w:rsidRPr="003872EF">
              <w:t>Number of patients</w:t>
            </w:r>
          </w:p>
        </w:tc>
        <w:tc>
          <w:tcPr>
            <w:tcW w:w="1241" w:type="dxa"/>
          </w:tcPr>
          <w:p w14:paraId="4DD4C550" w14:textId="77777777" w:rsidR="000C5D80" w:rsidRDefault="000C5D80" w:rsidP="00664DB5">
            <w:pPr>
              <w:pStyle w:val="Tabletext"/>
              <w:jc w:val="center"/>
            </w:pPr>
            <w:r w:rsidRPr="009B370C">
              <w:t xml:space="preserve"> - </w:t>
            </w:r>
          </w:p>
        </w:tc>
        <w:tc>
          <w:tcPr>
            <w:tcW w:w="1242" w:type="dxa"/>
          </w:tcPr>
          <w:p w14:paraId="76A26F2B" w14:textId="77777777" w:rsidR="000C5D80" w:rsidRDefault="000C5D80" w:rsidP="00664DB5">
            <w:pPr>
              <w:pStyle w:val="Tabletext"/>
              <w:jc w:val="center"/>
            </w:pPr>
            <w:r w:rsidRPr="009B370C">
              <w:t xml:space="preserve"> - </w:t>
            </w:r>
          </w:p>
        </w:tc>
        <w:tc>
          <w:tcPr>
            <w:tcW w:w="1241" w:type="dxa"/>
          </w:tcPr>
          <w:p w14:paraId="508FAE0B" w14:textId="77777777" w:rsidR="000C5D80" w:rsidRDefault="000C5D80" w:rsidP="00664DB5">
            <w:pPr>
              <w:pStyle w:val="Tabletext"/>
              <w:jc w:val="center"/>
            </w:pPr>
            <w:r w:rsidRPr="009B370C">
              <w:t xml:space="preserve"> 1,248 </w:t>
            </w:r>
          </w:p>
        </w:tc>
        <w:tc>
          <w:tcPr>
            <w:tcW w:w="1242" w:type="dxa"/>
          </w:tcPr>
          <w:p w14:paraId="3314CBB7" w14:textId="77777777" w:rsidR="000C5D80" w:rsidRDefault="000C5D80" w:rsidP="00664DB5">
            <w:pPr>
              <w:pStyle w:val="Tabletext"/>
              <w:jc w:val="center"/>
            </w:pPr>
            <w:r w:rsidRPr="009B370C">
              <w:t xml:space="preserve"> 1,265 </w:t>
            </w:r>
          </w:p>
        </w:tc>
        <w:tc>
          <w:tcPr>
            <w:tcW w:w="1242" w:type="dxa"/>
          </w:tcPr>
          <w:p w14:paraId="3FD7FEA7" w14:textId="77777777" w:rsidR="000C5D80" w:rsidRDefault="000C5D80" w:rsidP="00664DB5">
            <w:pPr>
              <w:pStyle w:val="Tabletext"/>
              <w:jc w:val="center"/>
            </w:pPr>
            <w:r w:rsidRPr="009B370C">
              <w:t xml:space="preserve"> 1,283 </w:t>
            </w:r>
          </w:p>
        </w:tc>
      </w:tr>
      <w:tr w:rsidR="000C5D80" w14:paraId="2F320965" w14:textId="77777777" w:rsidTr="00664DB5">
        <w:trPr>
          <w:trHeight w:val="70"/>
        </w:trPr>
        <w:tc>
          <w:tcPr>
            <w:tcW w:w="2830" w:type="dxa"/>
          </w:tcPr>
          <w:p w14:paraId="2E1173FD" w14:textId="77777777" w:rsidR="000C5D80" w:rsidRDefault="000C5D80" w:rsidP="00664DB5">
            <w:pPr>
              <w:pStyle w:val="Tabletext"/>
            </w:pPr>
            <w:r w:rsidRPr="003872EF">
              <w:t>Cost of re-analysis per patient</w:t>
            </w:r>
          </w:p>
        </w:tc>
        <w:tc>
          <w:tcPr>
            <w:tcW w:w="1241" w:type="dxa"/>
          </w:tcPr>
          <w:p w14:paraId="6E9B8427" w14:textId="77777777" w:rsidR="000C5D80" w:rsidRDefault="000C5D80" w:rsidP="00664DB5">
            <w:pPr>
              <w:pStyle w:val="Tabletext"/>
              <w:jc w:val="center"/>
            </w:pPr>
            <w:r w:rsidRPr="009B370C">
              <w:t xml:space="preserve"> $350 </w:t>
            </w:r>
          </w:p>
        </w:tc>
        <w:tc>
          <w:tcPr>
            <w:tcW w:w="1242" w:type="dxa"/>
          </w:tcPr>
          <w:p w14:paraId="5F29C4CD" w14:textId="77777777" w:rsidR="000C5D80" w:rsidRDefault="000C5D80" w:rsidP="00664DB5">
            <w:pPr>
              <w:pStyle w:val="Tabletext"/>
              <w:jc w:val="center"/>
            </w:pPr>
            <w:r w:rsidRPr="009B370C">
              <w:t xml:space="preserve"> $350 </w:t>
            </w:r>
          </w:p>
        </w:tc>
        <w:tc>
          <w:tcPr>
            <w:tcW w:w="1241" w:type="dxa"/>
          </w:tcPr>
          <w:p w14:paraId="606FD765" w14:textId="77777777" w:rsidR="000C5D80" w:rsidRDefault="000C5D80" w:rsidP="00664DB5">
            <w:pPr>
              <w:pStyle w:val="Tabletext"/>
              <w:jc w:val="center"/>
            </w:pPr>
            <w:r w:rsidRPr="009B370C">
              <w:t xml:space="preserve"> $350 </w:t>
            </w:r>
          </w:p>
        </w:tc>
        <w:tc>
          <w:tcPr>
            <w:tcW w:w="1242" w:type="dxa"/>
          </w:tcPr>
          <w:p w14:paraId="3DA71F40" w14:textId="77777777" w:rsidR="000C5D80" w:rsidRDefault="000C5D80" w:rsidP="00664DB5">
            <w:pPr>
              <w:pStyle w:val="Tabletext"/>
              <w:jc w:val="center"/>
            </w:pPr>
            <w:r w:rsidRPr="009B370C">
              <w:t xml:space="preserve"> $350 </w:t>
            </w:r>
          </w:p>
        </w:tc>
        <w:tc>
          <w:tcPr>
            <w:tcW w:w="1242" w:type="dxa"/>
          </w:tcPr>
          <w:p w14:paraId="4F66A0C2" w14:textId="77777777" w:rsidR="000C5D80" w:rsidRDefault="000C5D80" w:rsidP="00664DB5">
            <w:pPr>
              <w:pStyle w:val="Tabletext"/>
              <w:jc w:val="center"/>
            </w:pPr>
            <w:r w:rsidRPr="009B370C">
              <w:t xml:space="preserve"> $350 </w:t>
            </w:r>
          </w:p>
        </w:tc>
      </w:tr>
      <w:tr w:rsidR="000C5D80" w14:paraId="5CF4D70C" w14:textId="77777777" w:rsidTr="00664DB5">
        <w:tc>
          <w:tcPr>
            <w:tcW w:w="2830" w:type="dxa"/>
          </w:tcPr>
          <w:p w14:paraId="2D9F3625" w14:textId="77777777" w:rsidR="000C5D80" w:rsidRPr="00C149DC" w:rsidRDefault="000C5D80" w:rsidP="00664DB5">
            <w:pPr>
              <w:pStyle w:val="Tabletext"/>
              <w:rPr>
                <w:b/>
              </w:rPr>
            </w:pPr>
            <w:r w:rsidRPr="003872EF">
              <w:t>Total cost</w:t>
            </w:r>
          </w:p>
        </w:tc>
        <w:tc>
          <w:tcPr>
            <w:tcW w:w="1241" w:type="dxa"/>
          </w:tcPr>
          <w:p w14:paraId="4FECE3BC" w14:textId="77777777" w:rsidR="000C5D80" w:rsidRPr="00C149DC" w:rsidRDefault="000C5D80" w:rsidP="00664DB5">
            <w:pPr>
              <w:pStyle w:val="Tabletext"/>
              <w:jc w:val="center"/>
              <w:rPr>
                <w:b/>
              </w:rPr>
            </w:pPr>
            <w:r w:rsidRPr="009B370C">
              <w:t xml:space="preserve"> $- </w:t>
            </w:r>
          </w:p>
        </w:tc>
        <w:tc>
          <w:tcPr>
            <w:tcW w:w="1242" w:type="dxa"/>
          </w:tcPr>
          <w:p w14:paraId="4DE98946" w14:textId="77777777" w:rsidR="000C5D80" w:rsidRPr="00C149DC" w:rsidRDefault="000C5D80" w:rsidP="00664DB5">
            <w:pPr>
              <w:pStyle w:val="Tabletext"/>
              <w:jc w:val="center"/>
              <w:rPr>
                <w:b/>
              </w:rPr>
            </w:pPr>
            <w:r w:rsidRPr="009B370C">
              <w:t xml:space="preserve"> $- </w:t>
            </w:r>
          </w:p>
        </w:tc>
        <w:tc>
          <w:tcPr>
            <w:tcW w:w="1241" w:type="dxa"/>
          </w:tcPr>
          <w:p w14:paraId="13442470" w14:textId="77777777" w:rsidR="000C5D80" w:rsidRPr="00C149DC" w:rsidRDefault="000C5D80" w:rsidP="00664DB5">
            <w:pPr>
              <w:pStyle w:val="Tabletext"/>
              <w:jc w:val="center"/>
              <w:rPr>
                <w:b/>
              </w:rPr>
            </w:pPr>
            <w:r w:rsidRPr="009B370C">
              <w:t xml:space="preserve"> $436,697 </w:t>
            </w:r>
          </w:p>
        </w:tc>
        <w:tc>
          <w:tcPr>
            <w:tcW w:w="1242" w:type="dxa"/>
          </w:tcPr>
          <w:p w14:paraId="3836A6A4" w14:textId="77777777" w:rsidR="000C5D80" w:rsidRPr="00C149DC" w:rsidRDefault="000C5D80" w:rsidP="00664DB5">
            <w:pPr>
              <w:pStyle w:val="Tabletext"/>
              <w:jc w:val="center"/>
              <w:rPr>
                <w:b/>
              </w:rPr>
            </w:pPr>
            <w:r w:rsidRPr="009B370C">
              <w:t xml:space="preserve"> $442,922 </w:t>
            </w:r>
          </w:p>
        </w:tc>
        <w:tc>
          <w:tcPr>
            <w:tcW w:w="1242" w:type="dxa"/>
          </w:tcPr>
          <w:p w14:paraId="23A3C622" w14:textId="77777777" w:rsidR="000C5D80" w:rsidRPr="00C149DC" w:rsidRDefault="000C5D80" w:rsidP="00664DB5">
            <w:pPr>
              <w:pStyle w:val="Tabletext"/>
              <w:jc w:val="center"/>
              <w:rPr>
                <w:b/>
              </w:rPr>
            </w:pPr>
            <w:r w:rsidRPr="009B370C">
              <w:t xml:space="preserve"> $449,219 </w:t>
            </w:r>
          </w:p>
        </w:tc>
      </w:tr>
      <w:tr w:rsidR="000C5D80" w14:paraId="2583B1B3" w14:textId="77777777" w:rsidTr="00664DB5">
        <w:tc>
          <w:tcPr>
            <w:tcW w:w="2830" w:type="dxa"/>
          </w:tcPr>
          <w:p w14:paraId="37EAD940" w14:textId="77777777" w:rsidR="000C5D80" w:rsidRPr="00C149DC" w:rsidRDefault="000C5D80" w:rsidP="00664DB5">
            <w:pPr>
              <w:pStyle w:val="Tabletext"/>
              <w:rPr>
                <w:b/>
              </w:rPr>
            </w:pPr>
            <w:r w:rsidRPr="003872EF">
              <w:t>MBS rebate (85%)</w:t>
            </w:r>
          </w:p>
        </w:tc>
        <w:tc>
          <w:tcPr>
            <w:tcW w:w="1241" w:type="dxa"/>
          </w:tcPr>
          <w:p w14:paraId="479D49AF" w14:textId="77777777" w:rsidR="000C5D80" w:rsidRPr="00C149DC" w:rsidRDefault="000C5D80" w:rsidP="00664DB5">
            <w:pPr>
              <w:pStyle w:val="Tabletext"/>
              <w:jc w:val="center"/>
              <w:rPr>
                <w:b/>
              </w:rPr>
            </w:pPr>
            <w:r w:rsidRPr="009B370C">
              <w:t xml:space="preserve"> $- </w:t>
            </w:r>
          </w:p>
        </w:tc>
        <w:tc>
          <w:tcPr>
            <w:tcW w:w="1242" w:type="dxa"/>
          </w:tcPr>
          <w:p w14:paraId="7820ABD1" w14:textId="77777777" w:rsidR="000C5D80" w:rsidRPr="00C149DC" w:rsidRDefault="000C5D80" w:rsidP="00664DB5">
            <w:pPr>
              <w:pStyle w:val="Tabletext"/>
              <w:jc w:val="center"/>
              <w:rPr>
                <w:b/>
              </w:rPr>
            </w:pPr>
            <w:r w:rsidRPr="009B370C">
              <w:t xml:space="preserve"> $- </w:t>
            </w:r>
          </w:p>
        </w:tc>
        <w:tc>
          <w:tcPr>
            <w:tcW w:w="1241" w:type="dxa"/>
          </w:tcPr>
          <w:p w14:paraId="186C6AB0" w14:textId="77777777" w:rsidR="000C5D80" w:rsidRPr="00C149DC" w:rsidRDefault="000C5D80" w:rsidP="00664DB5">
            <w:pPr>
              <w:pStyle w:val="Tabletext"/>
              <w:jc w:val="center"/>
              <w:rPr>
                <w:b/>
              </w:rPr>
            </w:pPr>
            <w:r w:rsidRPr="009B370C">
              <w:t xml:space="preserve"> $371,192 </w:t>
            </w:r>
          </w:p>
        </w:tc>
        <w:tc>
          <w:tcPr>
            <w:tcW w:w="1242" w:type="dxa"/>
          </w:tcPr>
          <w:p w14:paraId="12459BDC" w14:textId="77777777" w:rsidR="000C5D80" w:rsidRPr="00C149DC" w:rsidRDefault="000C5D80" w:rsidP="00664DB5">
            <w:pPr>
              <w:pStyle w:val="Tabletext"/>
              <w:jc w:val="center"/>
              <w:rPr>
                <w:b/>
              </w:rPr>
            </w:pPr>
            <w:r w:rsidRPr="009B370C">
              <w:t xml:space="preserve"> $376,483 </w:t>
            </w:r>
          </w:p>
        </w:tc>
        <w:tc>
          <w:tcPr>
            <w:tcW w:w="1242" w:type="dxa"/>
          </w:tcPr>
          <w:p w14:paraId="13790A10" w14:textId="77777777" w:rsidR="000C5D80" w:rsidRPr="00C149DC" w:rsidRDefault="000C5D80" w:rsidP="00664DB5">
            <w:pPr>
              <w:pStyle w:val="Tabletext"/>
              <w:jc w:val="center"/>
              <w:rPr>
                <w:b/>
              </w:rPr>
            </w:pPr>
            <w:r w:rsidRPr="009B370C">
              <w:t xml:space="preserve"> $381,836 </w:t>
            </w:r>
          </w:p>
        </w:tc>
      </w:tr>
      <w:tr w:rsidR="000C5D80" w14:paraId="0BB9AA10" w14:textId="77777777" w:rsidTr="00664DB5">
        <w:tc>
          <w:tcPr>
            <w:tcW w:w="2830" w:type="dxa"/>
          </w:tcPr>
          <w:p w14:paraId="4844E81C" w14:textId="77777777" w:rsidR="000C5D80" w:rsidRPr="00C149DC" w:rsidRDefault="000C5D80" w:rsidP="00664DB5">
            <w:pPr>
              <w:pStyle w:val="Tabletext"/>
              <w:rPr>
                <w:b/>
              </w:rPr>
            </w:pPr>
            <w:r w:rsidRPr="003872EF">
              <w:t>Patient contributions</w:t>
            </w:r>
          </w:p>
        </w:tc>
        <w:tc>
          <w:tcPr>
            <w:tcW w:w="1241" w:type="dxa"/>
            <w:tcBorders>
              <w:bottom w:val="single" w:sz="4" w:space="0" w:color="auto"/>
            </w:tcBorders>
          </w:tcPr>
          <w:p w14:paraId="168949F9" w14:textId="77777777" w:rsidR="000C5D80" w:rsidRPr="00C149DC" w:rsidRDefault="000C5D80" w:rsidP="00664DB5">
            <w:pPr>
              <w:pStyle w:val="Tabletext"/>
              <w:jc w:val="center"/>
              <w:rPr>
                <w:b/>
              </w:rPr>
            </w:pPr>
            <w:r w:rsidRPr="009B370C">
              <w:t xml:space="preserve"> $- </w:t>
            </w:r>
          </w:p>
        </w:tc>
        <w:tc>
          <w:tcPr>
            <w:tcW w:w="1242" w:type="dxa"/>
            <w:tcBorders>
              <w:bottom w:val="single" w:sz="4" w:space="0" w:color="auto"/>
            </w:tcBorders>
          </w:tcPr>
          <w:p w14:paraId="2BE79A18" w14:textId="77777777" w:rsidR="000C5D80" w:rsidRPr="00C149DC" w:rsidRDefault="000C5D80" w:rsidP="00664DB5">
            <w:pPr>
              <w:pStyle w:val="Tabletext"/>
              <w:jc w:val="center"/>
              <w:rPr>
                <w:b/>
              </w:rPr>
            </w:pPr>
            <w:r w:rsidRPr="009B370C">
              <w:t xml:space="preserve"> $- </w:t>
            </w:r>
          </w:p>
        </w:tc>
        <w:tc>
          <w:tcPr>
            <w:tcW w:w="1241" w:type="dxa"/>
            <w:tcBorders>
              <w:bottom w:val="single" w:sz="4" w:space="0" w:color="auto"/>
            </w:tcBorders>
          </w:tcPr>
          <w:p w14:paraId="6F0F4CE1" w14:textId="77777777" w:rsidR="000C5D80" w:rsidRPr="00C149DC" w:rsidRDefault="000C5D80" w:rsidP="00664DB5">
            <w:pPr>
              <w:pStyle w:val="Tabletext"/>
              <w:jc w:val="center"/>
              <w:rPr>
                <w:b/>
              </w:rPr>
            </w:pPr>
            <w:r w:rsidRPr="009B370C">
              <w:t xml:space="preserve"> $65,505 </w:t>
            </w:r>
          </w:p>
        </w:tc>
        <w:tc>
          <w:tcPr>
            <w:tcW w:w="1242" w:type="dxa"/>
            <w:tcBorders>
              <w:bottom w:val="single" w:sz="4" w:space="0" w:color="auto"/>
            </w:tcBorders>
          </w:tcPr>
          <w:p w14:paraId="39053C7D" w14:textId="77777777" w:rsidR="000C5D80" w:rsidRPr="00C149DC" w:rsidRDefault="000C5D80" w:rsidP="00664DB5">
            <w:pPr>
              <w:pStyle w:val="Tabletext"/>
              <w:jc w:val="center"/>
              <w:rPr>
                <w:b/>
              </w:rPr>
            </w:pPr>
            <w:r w:rsidRPr="009B370C">
              <w:t xml:space="preserve"> $66,438 </w:t>
            </w:r>
          </w:p>
        </w:tc>
        <w:tc>
          <w:tcPr>
            <w:tcW w:w="1242" w:type="dxa"/>
            <w:tcBorders>
              <w:bottom w:val="single" w:sz="4" w:space="0" w:color="auto"/>
            </w:tcBorders>
          </w:tcPr>
          <w:p w14:paraId="18EE5EDB" w14:textId="77777777" w:rsidR="000C5D80" w:rsidRPr="00C149DC" w:rsidRDefault="000C5D80" w:rsidP="00664DB5">
            <w:pPr>
              <w:pStyle w:val="Tabletext"/>
              <w:jc w:val="center"/>
              <w:rPr>
                <w:b/>
              </w:rPr>
            </w:pPr>
            <w:r w:rsidRPr="009B370C">
              <w:t xml:space="preserve"> $67,383 </w:t>
            </w:r>
          </w:p>
        </w:tc>
      </w:tr>
      <w:tr w:rsidR="000C5D80" w14:paraId="4D051B5C" w14:textId="77777777" w:rsidTr="00664DB5">
        <w:tc>
          <w:tcPr>
            <w:tcW w:w="9038" w:type="dxa"/>
            <w:gridSpan w:val="6"/>
          </w:tcPr>
          <w:p w14:paraId="6CBDEB9F" w14:textId="77777777" w:rsidR="000C5D80" w:rsidRPr="00F45296" w:rsidRDefault="000C5D80" w:rsidP="00664DB5">
            <w:pPr>
              <w:pStyle w:val="Tableheading"/>
              <w:rPr>
                <w:b w:val="0"/>
                <w:i/>
              </w:rPr>
            </w:pPr>
            <w:r w:rsidRPr="00F45296">
              <w:rPr>
                <w:i/>
              </w:rPr>
              <w:t>Costs associated with second re-analysis</w:t>
            </w:r>
          </w:p>
        </w:tc>
      </w:tr>
      <w:tr w:rsidR="000C5D80" w14:paraId="7450ADC2" w14:textId="77777777" w:rsidTr="00664DB5">
        <w:tc>
          <w:tcPr>
            <w:tcW w:w="2830" w:type="dxa"/>
          </w:tcPr>
          <w:p w14:paraId="57F78824" w14:textId="77777777" w:rsidR="000C5D80" w:rsidRPr="00D870EA" w:rsidRDefault="000C5D80" w:rsidP="00664DB5">
            <w:pPr>
              <w:pStyle w:val="Tabletext"/>
              <w:rPr>
                <w:b/>
                <w:i/>
              </w:rPr>
            </w:pPr>
            <w:r w:rsidRPr="00D870EA">
              <w:rPr>
                <w:i/>
              </w:rPr>
              <w:t>Positive findings</w:t>
            </w:r>
          </w:p>
        </w:tc>
        <w:tc>
          <w:tcPr>
            <w:tcW w:w="1241" w:type="dxa"/>
          </w:tcPr>
          <w:p w14:paraId="4E2EA03F" w14:textId="77777777" w:rsidR="000C5D80" w:rsidRPr="003872EF" w:rsidRDefault="000C5D80" w:rsidP="00664DB5">
            <w:pPr>
              <w:pStyle w:val="Tabletext"/>
            </w:pPr>
          </w:p>
        </w:tc>
        <w:tc>
          <w:tcPr>
            <w:tcW w:w="1242" w:type="dxa"/>
          </w:tcPr>
          <w:p w14:paraId="6DC6828D" w14:textId="77777777" w:rsidR="000C5D80" w:rsidRPr="003872EF" w:rsidRDefault="000C5D80" w:rsidP="00664DB5">
            <w:pPr>
              <w:pStyle w:val="Tabletext"/>
            </w:pPr>
          </w:p>
        </w:tc>
        <w:tc>
          <w:tcPr>
            <w:tcW w:w="1241" w:type="dxa"/>
          </w:tcPr>
          <w:p w14:paraId="738B4A1D" w14:textId="77777777" w:rsidR="000C5D80" w:rsidRPr="003872EF" w:rsidRDefault="000C5D80" w:rsidP="00664DB5">
            <w:pPr>
              <w:pStyle w:val="Tabletext"/>
            </w:pPr>
          </w:p>
        </w:tc>
        <w:tc>
          <w:tcPr>
            <w:tcW w:w="1242" w:type="dxa"/>
          </w:tcPr>
          <w:p w14:paraId="41A73425" w14:textId="77777777" w:rsidR="000C5D80" w:rsidRPr="003872EF" w:rsidRDefault="000C5D80" w:rsidP="00664DB5">
            <w:pPr>
              <w:pStyle w:val="Tabletext"/>
            </w:pPr>
          </w:p>
        </w:tc>
        <w:tc>
          <w:tcPr>
            <w:tcW w:w="1242" w:type="dxa"/>
          </w:tcPr>
          <w:p w14:paraId="468841CA" w14:textId="77777777" w:rsidR="000C5D80" w:rsidRPr="003872EF" w:rsidRDefault="000C5D80" w:rsidP="00664DB5">
            <w:pPr>
              <w:pStyle w:val="Tabletext"/>
            </w:pPr>
          </w:p>
        </w:tc>
      </w:tr>
      <w:tr w:rsidR="000C5D80" w14:paraId="3F74C5EA" w14:textId="77777777" w:rsidTr="00664DB5">
        <w:tc>
          <w:tcPr>
            <w:tcW w:w="2830" w:type="dxa"/>
          </w:tcPr>
          <w:p w14:paraId="5626E156" w14:textId="77777777" w:rsidR="000C5D80" w:rsidRDefault="000C5D80" w:rsidP="00664DB5">
            <w:pPr>
              <w:pStyle w:val="Tabletext"/>
            </w:pPr>
            <w:r w:rsidRPr="0068620F">
              <w:t xml:space="preserve">Number of patients </w:t>
            </w:r>
          </w:p>
        </w:tc>
        <w:tc>
          <w:tcPr>
            <w:tcW w:w="1241" w:type="dxa"/>
          </w:tcPr>
          <w:p w14:paraId="2C9F95CE" w14:textId="77777777" w:rsidR="000C5D80" w:rsidRDefault="000C5D80" w:rsidP="00664DB5">
            <w:pPr>
              <w:pStyle w:val="Tabletext"/>
              <w:jc w:val="center"/>
            </w:pPr>
            <w:r w:rsidRPr="00DE621E">
              <w:t xml:space="preserve"> - </w:t>
            </w:r>
          </w:p>
        </w:tc>
        <w:tc>
          <w:tcPr>
            <w:tcW w:w="1242" w:type="dxa"/>
          </w:tcPr>
          <w:p w14:paraId="0142D974" w14:textId="77777777" w:rsidR="000C5D80" w:rsidRDefault="000C5D80" w:rsidP="00664DB5">
            <w:pPr>
              <w:pStyle w:val="Tabletext"/>
              <w:jc w:val="center"/>
            </w:pPr>
            <w:r w:rsidRPr="00DE621E">
              <w:t xml:space="preserve"> - </w:t>
            </w:r>
          </w:p>
        </w:tc>
        <w:tc>
          <w:tcPr>
            <w:tcW w:w="1241" w:type="dxa"/>
          </w:tcPr>
          <w:p w14:paraId="7C9CF3E7" w14:textId="77777777" w:rsidR="000C5D80" w:rsidRDefault="000C5D80" w:rsidP="00664DB5">
            <w:pPr>
              <w:pStyle w:val="Tabletext"/>
              <w:jc w:val="center"/>
            </w:pPr>
            <w:r w:rsidRPr="00DE621E">
              <w:t xml:space="preserve"> - </w:t>
            </w:r>
          </w:p>
        </w:tc>
        <w:tc>
          <w:tcPr>
            <w:tcW w:w="1242" w:type="dxa"/>
          </w:tcPr>
          <w:p w14:paraId="2C45F109" w14:textId="77777777" w:rsidR="000C5D80" w:rsidRDefault="000C5D80" w:rsidP="00664DB5">
            <w:pPr>
              <w:pStyle w:val="Tabletext"/>
              <w:jc w:val="center"/>
            </w:pPr>
            <w:r w:rsidRPr="00DE621E">
              <w:t xml:space="preserve"> - </w:t>
            </w:r>
          </w:p>
        </w:tc>
        <w:tc>
          <w:tcPr>
            <w:tcW w:w="1242" w:type="dxa"/>
          </w:tcPr>
          <w:p w14:paraId="123CBEEA" w14:textId="77777777" w:rsidR="000C5D80" w:rsidRDefault="000C5D80" w:rsidP="00664DB5">
            <w:pPr>
              <w:pStyle w:val="Tabletext"/>
              <w:jc w:val="center"/>
            </w:pPr>
            <w:r w:rsidRPr="00DE621E">
              <w:t xml:space="preserve"> 172 </w:t>
            </w:r>
          </w:p>
        </w:tc>
      </w:tr>
      <w:tr w:rsidR="000C5D80" w14:paraId="5044D945" w14:textId="77777777" w:rsidTr="00664DB5">
        <w:tc>
          <w:tcPr>
            <w:tcW w:w="2830" w:type="dxa"/>
          </w:tcPr>
          <w:p w14:paraId="7DD9709B" w14:textId="77777777" w:rsidR="000C5D80" w:rsidRDefault="000C5D80" w:rsidP="00664DB5">
            <w:pPr>
              <w:pStyle w:val="Tabletext"/>
            </w:pPr>
            <w:r w:rsidRPr="0068620F">
              <w:t>Cost of re-analysis per patient</w:t>
            </w:r>
          </w:p>
        </w:tc>
        <w:tc>
          <w:tcPr>
            <w:tcW w:w="1241" w:type="dxa"/>
          </w:tcPr>
          <w:p w14:paraId="19C1D8E8" w14:textId="77777777" w:rsidR="000C5D80" w:rsidRDefault="000C5D80" w:rsidP="00664DB5">
            <w:pPr>
              <w:pStyle w:val="Tabletext"/>
              <w:jc w:val="center"/>
            </w:pPr>
            <w:r w:rsidRPr="00DE621E">
              <w:t xml:space="preserve"> $650 </w:t>
            </w:r>
          </w:p>
        </w:tc>
        <w:tc>
          <w:tcPr>
            <w:tcW w:w="1242" w:type="dxa"/>
          </w:tcPr>
          <w:p w14:paraId="3CAAF3A7" w14:textId="77777777" w:rsidR="000C5D80" w:rsidRDefault="000C5D80" w:rsidP="00664DB5">
            <w:pPr>
              <w:pStyle w:val="Tabletext"/>
              <w:jc w:val="center"/>
            </w:pPr>
            <w:r w:rsidRPr="00DE621E">
              <w:t xml:space="preserve"> $650 </w:t>
            </w:r>
          </w:p>
        </w:tc>
        <w:tc>
          <w:tcPr>
            <w:tcW w:w="1241" w:type="dxa"/>
          </w:tcPr>
          <w:p w14:paraId="0552306D" w14:textId="77777777" w:rsidR="000C5D80" w:rsidRDefault="000C5D80" w:rsidP="00664DB5">
            <w:pPr>
              <w:pStyle w:val="Tabletext"/>
              <w:jc w:val="center"/>
            </w:pPr>
            <w:r w:rsidRPr="00DE621E">
              <w:t xml:space="preserve"> $650 </w:t>
            </w:r>
          </w:p>
        </w:tc>
        <w:tc>
          <w:tcPr>
            <w:tcW w:w="1242" w:type="dxa"/>
          </w:tcPr>
          <w:p w14:paraId="3D188882" w14:textId="77777777" w:rsidR="000C5D80" w:rsidRDefault="000C5D80" w:rsidP="00664DB5">
            <w:pPr>
              <w:pStyle w:val="Tabletext"/>
              <w:jc w:val="center"/>
            </w:pPr>
            <w:r w:rsidRPr="00DE621E">
              <w:t xml:space="preserve"> $650 </w:t>
            </w:r>
          </w:p>
        </w:tc>
        <w:tc>
          <w:tcPr>
            <w:tcW w:w="1242" w:type="dxa"/>
          </w:tcPr>
          <w:p w14:paraId="7139C4EE" w14:textId="77777777" w:rsidR="000C5D80" w:rsidRDefault="000C5D80" w:rsidP="00664DB5">
            <w:pPr>
              <w:pStyle w:val="Tabletext"/>
              <w:jc w:val="center"/>
            </w:pPr>
            <w:r w:rsidRPr="00DE621E">
              <w:t xml:space="preserve"> $650 </w:t>
            </w:r>
          </w:p>
        </w:tc>
      </w:tr>
      <w:tr w:rsidR="000C5D80" w14:paraId="2B3AB3C8" w14:textId="77777777" w:rsidTr="00664DB5">
        <w:tc>
          <w:tcPr>
            <w:tcW w:w="2830" w:type="dxa"/>
          </w:tcPr>
          <w:p w14:paraId="7C4FFAD0" w14:textId="77777777" w:rsidR="000C5D80" w:rsidRDefault="000C5D80" w:rsidP="00664DB5">
            <w:pPr>
              <w:pStyle w:val="Tabletext"/>
            </w:pPr>
            <w:r w:rsidRPr="0068620F">
              <w:t>Total cost</w:t>
            </w:r>
          </w:p>
        </w:tc>
        <w:tc>
          <w:tcPr>
            <w:tcW w:w="1241" w:type="dxa"/>
          </w:tcPr>
          <w:p w14:paraId="2355FA18" w14:textId="77777777" w:rsidR="000C5D80" w:rsidRDefault="000C5D80" w:rsidP="00664DB5">
            <w:pPr>
              <w:pStyle w:val="Tabletext"/>
              <w:jc w:val="center"/>
            </w:pPr>
            <w:r w:rsidRPr="00DE621E">
              <w:t xml:space="preserve"> $- </w:t>
            </w:r>
          </w:p>
        </w:tc>
        <w:tc>
          <w:tcPr>
            <w:tcW w:w="1242" w:type="dxa"/>
          </w:tcPr>
          <w:p w14:paraId="3468405D" w14:textId="77777777" w:rsidR="000C5D80" w:rsidRDefault="000C5D80" w:rsidP="00664DB5">
            <w:pPr>
              <w:pStyle w:val="Tabletext"/>
              <w:jc w:val="center"/>
            </w:pPr>
            <w:r w:rsidRPr="00DE621E">
              <w:t xml:space="preserve"> $- </w:t>
            </w:r>
          </w:p>
        </w:tc>
        <w:tc>
          <w:tcPr>
            <w:tcW w:w="1241" w:type="dxa"/>
          </w:tcPr>
          <w:p w14:paraId="1E79FADE" w14:textId="77777777" w:rsidR="000C5D80" w:rsidRDefault="000C5D80" w:rsidP="00664DB5">
            <w:pPr>
              <w:pStyle w:val="Tabletext"/>
              <w:jc w:val="center"/>
            </w:pPr>
            <w:r w:rsidRPr="00DE621E">
              <w:t xml:space="preserve"> $- </w:t>
            </w:r>
          </w:p>
        </w:tc>
        <w:tc>
          <w:tcPr>
            <w:tcW w:w="1242" w:type="dxa"/>
          </w:tcPr>
          <w:p w14:paraId="4899CA46" w14:textId="77777777" w:rsidR="000C5D80" w:rsidRDefault="000C5D80" w:rsidP="00664DB5">
            <w:pPr>
              <w:pStyle w:val="Tabletext"/>
              <w:jc w:val="center"/>
            </w:pPr>
            <w:r w:rsidRPr="00DE621E">
              <w:t xml:space="preserve"> $- </w:t>
            </w:r>
          </w:p>
        </w:tc>
        <w:tc>
          <w:tcPr>
            <w:tcW w:w="1242" w:type="dxa"/>
          </w:tcPr>
          <w:p w14:paraId="4EF1BF0A" w14:textId="77777777" w:rsidR="000C5D80" w:rsidRDefault="000C5D80" w:rsidP="00664DB5">
            <w:pPr>
              <w:pStyle w:val="Tabletext"/>
              <w:jc w:val="center"/>
            </w:pPr>
            <w:r w:rsidRPr="00DE621E">
              <w:t xml:space="preserve"> $111,919 </w:t>
            </w:r>
          </w:p>
        </w:tc>
      </w:tr>
      <w:tr w:rsidR="000C5D80" w14:paraId="20509F41" w14:textId="77777777" w:rsidTr="00664DB5">
        <w:tc>
          <w:tcPr>
            <w:tcW w:w="2830" w:type="dxa"/>
          </w:tcPr>
          <w:p w14:paraId="060FCEA2" w14:textId="77777777" w:rsidR="000C5D80" w:rsidRDefault="000C5D80" w:rsidP="00664DB5">
            <w:pPr>
              <w:pStyle w:val="Tabletext"/>
            </w:pPr>
            <w:r w:rsidRPr="0068620F">
              <w:t>MBS rebate (85%)</w:t>
            </w:r>
          </w:p>
        </w:tc>
        <w:tc>
          <w:tcPr>
            <w:tcW w:w="1241" w:type="dxa"/>
          </w:tcPr>
          <w:p w14:paraId="2776E190" w14:textId="77777777" w:rsidR="000C5D80" w:rsidRDefault="000C5D80" w:rsidP="00664DB5">
            <w:pPr>
              <w:pStyle w:val="Tabletext"/>
              <w:jc w:val="center"/>
            </w:pPr>
            <w:r w:rsidRPr="00DE621E">
              <w:t xml:space="preserve"> $- </w:t>
            </w:r>
          </w:p>
        </w:tc>
        <w:tc>
          <w:tcPr>
            <w:tcW w:w="1242" w:type="dxa"/>
          </w:tcPr>
          <w:p w14:paraId="16B81A72" w14:textId="77777777" w:rsidR="000C5D80" w:rsidRDefault="000C5D80" w:rsidP="00664DB5">
            <w:pPr>
              <w:pStyle w:val="Tabletext"/>
              <w:jc w:val="center"/>
            </w:pPr>
            <w:r w:rsidRPr="00DE621E">
              <w:t xml:space="preserve"> $- </w:t>
            </w:r>
          </w:p>
        </w:tc>
        <w:tc>
          <w:tcPr>
            <w:tcW w:w="1241" w:type="dxa"/>
          </w:tcPr>
          <w:p w14:paraId="2FDB45AE" w14:textId="77777777" w:rsidR="000C5D80" w:rsidRDefault="000C5D80" w:rsidP="00664DB5">
            <w:pPr>
              <w:pStyle w:val="Tabletext"/>
              <w:jc w:val="center"/>
            </w:pPr>
            <w:r w:rsidRPr="00DE621E">
              <w:t xml:space="preserve"> $- </w:t>
            </w:r>
          </w:p>
        </w:tc>
        <w:tc>
          <w:tcPr>
            <w:tcW w:w="1242" w:type="dxa"/>
          </w:tcPr>
          <w:p w14:paraId="0A0CFBE1" w14:textId="77777777" w:rsidR="000C5D80" w:rsidRDefault="000C5D80" w:rsidP="00664DB5">
            <w:pPr>
              <w:pStyle w:val="Tabletext"/>
              <w:jc w:val="center"/>
            </w:pPr>
            <w:r w:rsidRPr="00DE621E">
              <w:t xml:space="preserve"> $- </w:t>
            </w:r>
          </w:p>
        </w:tc>
        <w:tc>
          <w:tcPr>
            <w:tcW w:w="1242" w:type="dxa"/>
          </w:tcPr>
          <w:p w14:paraId="2F27AE25" w14:textId="77777777" w:rsidR="000C5D80" w:rsidRDefault="000C5D80" w:rsidP="00664DB5">
            <w:pPr>
              <w:pStyle w:val="Tabletext"/>
              <w:jc w:val="center"/>
            </w:pPr>
            <w:r w:rsidRPr="00DE621E">
              <w:t xml:space="preserve"> $95,131 </w:t>
            </w:r>
          </w:p>
        </w:tc>
      </w:tr>
      <w:tr w:rsidR="000C5D80" w14:paraId="16B6EF3D" w14:textId="77777777" w:rsidTr="00664DB5">
        <w:tc>
          <w:tcPr>
            <w:tcW w:w="2830" w:type="dxa"/>
          </w:tcPr>
          <w:p w14:paraId="4FFA43F9" w14:textId="77777777" w:rsidR="000C5D80" w:rsidRDefault="000C5D80" w:rsidP="00664DB5">
            <w:pPr>
              <w:pStyle w:val="Tabletext"/>
            </w:pPr>
            <w:r w:rsidRPr="0068620F">
              <w:t>Patient contributions</w:t>
            </w:r>
          </w:p>
        </w:tc>
        <w:tc>
          <w:tcPr>
            <w:tcW w:w="1241" w:type="dxa"/>
          </w:tcPr>
          <w:p w14:paraId="4F0E8C9C" w14:textId="77777777" w:rsidR="000C5D80" w:rsidRDefault="000C5D80" w:rsidP="00664DB5">
            <w:pPr>
              <w:pStyle w:val="Tabletext"/>
              <w:jc w:val="center"/>
            </w:pPr>
            <w:r w:rsidRPr="00DE621E">
              <w:t xml:space="preserve"> $- </w:t>
            </w:r>
          </w:p>
        </w:tc>
        <w:tc>
          <w:tcPr>
            <w:tcW w:w="1242" w:type="dxa"/>
          </w:tcPr>
          <w:p w14:paraId="7C351EC0" w14:textId="77777777" w:rsidR="000C5D80" w:rsidRDefault="000C5D80" w:rsidP="00664DB5">
            <w:pPr>
              <w:pStyle w:val="Tabletext"/>
              <w:jc w:val="center"/>
            </w:pPr>
            <w:r w:rsidRPr="00DE621E">
              <w:t xml:space="preserve"> $- </w:t>
            </w:r>
          </w:p>
        </w:tc>
        <w:tc>
          <w:tcPr>
            <w:tcW w:w="1241" w:type="dxa"/>
          </w:tcPr>
          <w:p w14:paraId="1CE9A30A" w14:textId="77777777" w:rsidR="000C5D80" w:rsidRDefault="000C5D80" w:rsidP="00664DB5">
            <w:pPr>
              <w:pStyle w:val="Tabletext"/>
              <w:jc w:val="center"/>
            </w:pPr>
            <w:r w:rsidRPr="00DE621E">
              <w:t xml:space="preserve"> $- </w:t>
            </w:r>
          </w:p>
        </w:tc>
        <w:tc>
          <w:tcPr>
            <w:tcW w:w="1242" w:type="dxa"/>
          </w:tcPr>
          <w:p w14:paraId="4A2070B4" w14:textId="77777777" w:rsidR="000C5D80" w:rsidRDefault="000C5D80" w:rsidP="00664DB5">
            <w:pPr>
              <w:pStyle w:val="Tabletext"/>
              <w:jc w:val="center"/>
            </w:pPr>
            <w:r w:rsidRPr="00DE621E">
              <w:t xml:space="preserve"> $- </w:t>
            </w:r>
          </w:p>
        </w:tc>
        <w:tc>
          <w:tcPr>
            <w:tcW w:w="1242" w:type="dxa"/>
          </w:tcPr>
          <w:p w14:paraId="59907A76" w14:textId="77777777" w:rsidR="000C5D80" w:rsidRDefault="000C5D80" w:rsidP="00664DB5">
            <w:pPr>
              <w:pStyle w:val="Tabletext"/>
              <w:jc w:val="center"/>
            </w:pPr>
            <w:r w:rsidRPr="00DE621E">
              <w:t xml:space="preserve"> $16,788 </w:t>
            </w:r>
          </w:p>
        </w:tc>
      </w:tr>
      <w:tr w:rsidR="000C5D80" w:rsidRPr="009A791F" w14:paraId="473C1C4E" w14:textId="77777777" w:rsidTr="00664DB5">
        <w:tc>
          <w:tcPr>
            <w:tcW w:w="2830" w:type="dxa"/>
          </w:tcPr>
          <w:p w14:paraId="0304BFFF" w14:textId="77777777" w:rsidR="000C5D80" w:rsidRPr="00D870EA" w:rsidRDefault="000C5D80" w:rsidP="00664DB5">
            <w:pPr>
              <w:pStyle w:val="Tabletext"/>
              <w:rPr>
                <w:i/>
              </w:rPr>
            </w:pPr>
            <w:r w:rsidRPr="00D870EA">
              <w:rPr>
                <w:i/>
              </w:rPr>
              <w:t>Negative findings</w:t>
            </w:r>
          </w:p>
        </w:tc>
        <w:tc>
          <w:tcPr>
            <w:tcW w:w="1241" w:type="dxa"/>
          </w:tcPr>
          <w:p w14:paraId="68463C07" w14:textId="77777777" w:rsidR="000C5D80" w:rsidRPr="009A791F" w:rsidRDefault="000C5D80" w:rsidP="00664DB5">
            <w:pPr>
              <w:pStyle w:val="Tabletext"/>
              <w:jc w:val="center"/>
            </w:pPr>
          </w:p>
        </w:tc>
        <w:tc>
          <w:tcPr>
            <w:tcW w:w="1242" w:type="dxa"/>
          </w:tcPr>
          <w:p w14:paraId="6979C0B2" w14:textId="77777777" w:rsidR="000C5D80" w:rsidRPr="009A791F" w:rsidRDefault="000C5D80" w:rsidP="00664DB5">
            <w:pPr>
              <w:pStyle w:val="Tabletext"/>
              <w:jc w:val="center"/>
            </w:pPr>
          </w:p>
        </w:tc>
        <w:tc>
          <w:tcPr>
            <w:tcW w:w="1241" w:type="dxa"/>
          </w:tcPr>
          <w:p w14:paraId="7EE24992" w14:textId="77777777" w:rsidR="000C5D80" w:rsidRPr="009A791F" w:rsidRDefault="000C5D80" w:rsidP="00664DB5">
            <w:pPr>
              <w:pStyle w:val="Tabletext"/>
              <w:jc w:val="center"/>
            </w:pPr>
          </w:p>
        </w:tc>
        <w:tc>
          <w:tcPr>
            <w:tcW w:w="1242" w:type="dxa"/>
          </w:tcPr>
          <w:p w14:paraId="4A2D6F3C" w14:textId="77777777" w:rsidR="000C5D80" w:rsidRPr="009A791F" w:rsidRDefault="000C5D80" w:rsidP="00664DB5">
            <w:pPr>
              <w:pStyle w:val="Tabletext"/>
              <w:jc w:val="center"/>
            </w:pPr>
          </w:p>
        </w:tc>
        <w:tc>
          <w:tcPr>
            <w:tcW w:w="1242" w:type="dxa"/>
          </w:tcPr>
          <w:p w14:paraId="4C111AC0" w14:textId="77777777" w:rsidR="000C5D80" w:rsidRPr="009A791F" w:rsidRDefault="000C5D80" w:rsidP="00664DB5">
            <w:pPr>
              <w:pStyle w:val="Tabletext"/>
              <w:jc w:val="center"/>
            </w:pPr>
          </w:p>
        </w:tc>
      </w:tr>
      <w:tr w:rsidR="000C5D80" w14:paraId="238CCFCC" w14:textId="77777777" w:rsidTr="00664DB5">
        <w:tc>
          <w:tcPr>
            <w:tcW w:w="2830" w:type="dxa"/>
          </w:tcPr>
          <w:p w14:paraId="6816AD08" w14:textId="77777777" w:rsidR="000C5D80" w:rsidRDefault="000C5D80" w:rsidP="00664DB5">
            <w:pPr>
              <w:pStyle w:val="Tabletext"/>
            </w:pPr>
            <w:r w:rsidRPr="00F04476">
              <w:t>Number of patients</w:t>
            </w:r>
          </w:p>
        </w:tc>
        <w:tc>
          <w:tcPr>
            <w:tcW w:w="1241" w:type="dxa"/>
          </w:tcPr>
          <w:p w14:paraId="48F8FDCC" w14:textId="77777777" w:rsidR="000C5D80" w:rsidRDefault="000C5D80" w:rsidP="00664DB5">
            <w:pPr>
              <w:pStyle w:val="Tabletext"/>
              <w:jc w:val="center"/>
            </w:pPr>
            <w:r w:rsidRPr="00542D42">
              <w:t xml:space="preserve"> - </w:t>
            </w:r>
          </w:p>
        </w:tc>
        <w:tc>
          <w:tcPr>
            <w:tcW w:w="1242" w:type="dxa"/>
          </w:tcPr>
          <w:p w14:paraId="132D588C" w14:textId="77777777" w:rsidR="000C5D80" w:rsidRDefault="000C5D80" w:rsidP="00664DB5">
            <w:pPr>
              <w:pStyle w:val="Tabletext"/>
              <w:jc w:val="center"/>
            </w:pPr>
            <w:r w:rsidRPr="00542D42">
              <w:t xml:space="preserve"> - </w:t>
            </w:r>
          </w:p>
        </w:tc>
        <w:tc>
          <w:tcPr>
            <w:tcW w:w="1241" w:type="dxa"/>
          </w:tcPr>
          <w:p w14:paraId="4DAAB9BE" w14:textId="77777777" w:rsidR="000C5D80" w:rsidRDefault="000C5D80" w:rsidP="00664DB5">
            <w:pPr>
              <w:pStyle w:val="Tabletext"/>
              <w:jc w:val="center"/>
            </w:pPr>
            <w:r w:rsidRPr="00542D42">
              <w:t xml:space="preserve"> - </w:t>
            </w:r>
          </w:p>
        </w:tc>
        <w:tc>
          <w:tcPr>
            <w:tcW w:w="1242" w:type="dxa"/>
          </w:tcPr>
          <w:p w14:paraId="29A4816C" w14:textId="77777777" w:rsidR="000C5D80" w:rsidRDefault="000C5D80" w:rsidP="00664DB5">
            <w:pPr>
              <w:pStyle w:val="Tabletext"/>
              <w:jc w:val="center"/>
            </w:pPr>
            <w:r w:rsidRPr="00542D42">
              <w:t xml:space="preserve"> - </w:t>
            </w:r>
          </w:p>
        </w:tc>
        <w:tc>
          <w:tcPr>
            <w:tcW w:w="1242" w:type="dxa"/>
          </w:tcPr>
          <w:p w14:paraId="2705C615" w14:textId="77777777" w:rsidR="000C5D80" w:rsidRDefault="000C5D80" w:rsidP="00664DB5">
            <w:pPr>
              <w:pStyle w:val="Tabletext"/>
              <w:jc w:val="center"/>
            </w:pPr>
            <w:r w:rsidRPr="00542D42">
              <w:t xml:space="preserve"> 1,076 </w:t>
            </w:r>
          </w:p>
        </w:tc>
      </w:tr>
      <w:tr w:rsidR="000C5D80" w14:paraId="20290A12" w14:textId="77777777" w:rsidTr="00664DB5">
        <w:tc>
          <w:tcPr>
            <w:tcW w:w="2830" w:type="dxa"/>
          </w:tcPr>
          <w:p w14:paraId="6C0C997A" w14:textId="77777777" w:rsidR="000C5D80" w:rsidRDefault="000C5D80" w:rsidP="00664DB5">
            <w:pPr>
              <w:pStyle w:val="Tabletext"/>
            </w:pPr>
            <w:r w:rsidRPr="00F04476">
              <w:t>Cost of re-analysis per patient</w:t>
            </w:r>
          </w:p>
        </w:tc>
        <w:tc>
          <w:tcPr>
            <w:tcW w:w="1241" w:type="dxa"/>
          </w:tcPr>
          <w:p w14:paraId="3A68CB64" w14:textId="77777777" w:rsidR="000C5D80" w:rsidRDefault="000C5D80" w:rsidP="00664DB5">
            <w:pPr>
              <w:pStyle w:val="Tabletext"/>
              <w:jc w:val="center"/>
            </w:pPr>
            <w:r w:rsidRPr="00542D42">
              <w:t xml:space="preserve"> $350 </w:t>
            </w:r>
          </w:p>
        </w:tc>
        <w:tc>
          <w:tcPr>
            <w:tcW w:w="1242" w:type="dxa"/>
          </w:tcPr>
          <w:p w14:paraId="614F8EB9" w14:textId="77777777" w:rsidR="000C5D80" w:rsidRDefault="000C5D80" w:rsidP="00664DB5">
            <w:pPr>
              <w:pStyle w:val="Tabletext"/>
              <w:jc w:val="center"/>
            </w:pPr>
            <w:r w:rsidRPr="00542D42">
              <w:t xml:space="preserve"> $350 </w:t>
            </w:r>
          </w:p>
        </w:tc>
        <w:tc>
          <w:tcPr>
            <w:tcW w:w="1241" w:type="dxa"/>
          </w:tcPr>
          <w:p w14:paraId="44232F6A" w14:textId="77777777" w:rsidR="000C5D80" w:rsidRDefault="000C5D80" w:rsidP="00664DB5">
            <w:pPr>
              <w:pStyle w:val="Tabletext"/>
              <w:jc w:val="center"/>
            </w:pPr>
            <w:r w:rsidRPr="00542D42">
              <w:t xml:space="preserve"> $350 </w:t>
            </w:r>
          </w:p>
        </w:tc>
        <w:tc>
          <w:tcPr>
            <w:tcW w:w="1242" w:type="dxa"/>
          </w:tcPr>
          <w:p w14:paraId="14DED80B" w14:textId="77777777" w:rsidR="000C5D80" w:rsidRDefault="000C5D80" w:rsidP="00664DB5">
            <w:pPr>
              <w:pStyle w:val="Tabletext"/>
              <w:jc w:val="center"/>
            </w:pPr>
            <w:r w:rsidRPr="00542D42">
              <w:t xml:space="preserve"> $350 </w:t>
            </w:r>
          </w:p>
        </w:tc>
        <w:tc>
          <w:tcPr>
            <w:tcW w:w="1242" w:type="dxa"/>
          </w:tcPr>
          <w:p w14:paraId="4412CC01" w14:textId="77777777" w:rsidR="000C5D80" w:rsidRDefault="000C5D80" w:rsidP="00664DB5">
            <w:pPr>
              <w:pStyle w:val="Tabletext"/>
              <w:jc w:val="center"/>
            </w:pPr>
            <w:r w:rsidRPr="00542D42">
              <w:t xml:space="preserve"> $350 </w:t>
            </w:r>
          </w:p>
        </w:tc>
      </w:tr>
      <w:tr w:rsidR="000C5D80" w14:paraId="26321248" w14:textId="77777777" w:rsidTr="00664DB5">
        <w:tc>
          <w:tcPr>
            <w:tcW w:w="2830" w:type="dxa"/>
          </w:tcPr>
          <w:p w14:paraId="617427DC" w14:textId="77777777" w:rsidR="000C5D80" w:rsidRDefault="000C5D80" w:rsidP="00664DB5">
            <w:pPr>
              <w:pStyle w:val="Tabletext"/>
            </w:pPr>
            <w:r w:rsidRPr="00F04476">
              <w:t>Total cost</w:t>
            </w:r>
          </w:p>
        </w:tc>
        <w:tc>
          <w:tcPr>
            <w:tcW w:w="1241" w:type="dxa"/>
          </w:tcPr>
          <w:p w14:paraId="4029FC29" w14:textId="77777777" w:rsidR="000C5D80" w:rsidRDefault="000C5D80" w:rsidP="00664DB5">
            <w:pPr>
              <w:pStyle w:val="Tabletext"/>
              <w:jc w:val="center"/>
            </w:pPr>
            <w:r w:rsidRPr="00542D42">
              <w:t xml:space="preserve"> $- </w:t>
            </w:r>
          </w:p>
        </w:tc>
        <w:tc>
          <w:tcPr>
            <w:tcW w:w="1242" w:type="dxa"/>
          </w:tcPr>
          <w:p w14:paraId="25BB978C" w14:textId="77777777" w:rsidR="000C5D80" w:rsidRDefault="000C5D80" w:rsidP="00664DB5">
            <w:pPr>
              <w:pStyle w:val="Tabletext"/>
              <w:jc w:val="center"/>
            </w:pPr>
            <w:r w:rsidRPr="00542D42">
              <w:t xml:space="preserve"> $- </w:t>
            </w:r>
          </w:p>
        </w:tc>
        <w:tc>
          <w:tcPr>
            <w:tcW w:w="1241" w:type="dxa"/>
          </w:tcPr>
          <w:p w14:paraId="28B1A9DB" w14:textId="77777777" w:rsidR="000C5D80" w:rsidRDefault="000C5D80" w:rsidP="00664DB5">
            <w:pPr>
              <w:pStyle w:val="Tabletext"/>
              <w:jc w:val="center"/>
            </w:pPr>
            <w:r w:rsidRPr="00542D42">
              <w:t xml:space="preserve"> $- </w:t>
            </w:r>
          </w:p>
        </w:tc>
        <w:tc>
          <w:tcPr>
            <w:tcW w:w="1242" w:type="dxa"/>
          </w:tcPr>
          <w:p w14:paraId="42CE01C9" w14:textId="77777777" w:rsidR="000C5D80" w:rsidRDefault="000C5D80" w:rsidP="00664DB5">
            <w:pPr>
              <w:pStyle w:val="Tabletext"/>
              <w:jc w:val="center"/>
            </w:pPr>
            <w:r w:rsidRPr="00542D42">
              <w:t xml:space="preserve"> $- </w:t>
            </w:r>
          </w:p>
        </w:tc>
        <w:tc>
          <w:tcPr>
            <w:tcW w:w="1242" w:type="dxa"/>
          </w:tcPr>
          <w:p w14:paraId="742763F1" w14:textId="77777777" w:rsidR="000C5D80" w:rsidRDefault="000C5D80" w:rsidP="00664DB5">
            <w:pPr>
              <w:pStyle w:val="Tabletext"/>
              <w:jc w:val="center"/>
            </w:pPr>
            <w:r w:rsidRPr="00542D42">
              <w:t xml:space="preserve"> $376,433 </w:t>
            </w:r>
          </w:p>
        </w:tc>
      </w:tr>
      <w:tr w:rsidR="000C5D80" w14:paraId="0317A617" w14:textId="77777777" w:rsidTr="00664DB5">
        <w:tc>
          <w:tcPr>
            <w:tcW w:w="2830" w:type="dxa"/>
          </w:tcPr>
          <w:p w14:paraId="69F42633" w14:textId="77777777" w:rsidR="000C5D80" w:rsidRPr="00352F2D" w:rsidRDefault="000C5D80" w:rsidP="00664DB5">
            <w:pPr>
              <w:pStyle w:val="Tabletext"/>
              <w:rPr>
                <w:b/>
              </w:rPr>
            </w:pPr>
            <w:r w:rsidRPr="00F04476">
              <w:t>MBS rebate (85%)</w:t>
            </w:r>
          </w:p>
        </w:tc>
        <w:tc>
          <w:tcPr>
            <w:tcW w:w="1241" w:type="dxa"/>
          </w:tcPr>
          <w:p w14:paraId="566A6EC2" w14:textId="77777777" w:rsidR="000C5D80" w:rsidRPr="00352F2D" w:rsidRDefault="000C5D80" w:rsidP="00664DB5">
            <w:pPr>
              <w:pStyle w:val="Tabletext"/>
              <w:jc w:val="center"/>
              <w:rPr>
                <w:b/>
              </w:rPr>
            </w:pPr>
            <w:r w:rsidRPr="00542D42">
              <w:t xml:space="preserve"> $- </w:t>
            </w:r>
          </w:p>
        </w:tc>
        <w:tc>
          <w:tcPr>
            <w:tcW w:w="1242" w:type="dxa"/>
          </w:tcPr>
          <w:p w14:paraId="4C27E876" w14:textId="77777777" w:rsidR="000C5D80" w:rsidRPr="00352F2D" w:rsidRDefault="000C5D80" w:rsidP="00664DB5">
            <w:pPr>
              <w:pStyle w:val="Tabletext"/>
              <w:jc w:val="center"/>
              <w:rPr>
                <w:b/>
              </w:rPr>
            </w:pPr>
            <w:r w:rsidRPr="00542D42">
              <w:t xml:space="preserve"> $- </w:t>
            </w:r>
          </w:p>
        </w:tc>
        <w:tc>
          <w:tcPr>
            <w:tcW w:w="1241" w:type="dxa"/>
          </w:tcPr>
          <w:p w14:paraId="320DC47E" w14:textId="77777777" w:rsidR="000C5D80" w:rsidRPr="00352F2D" w:rsidRDefault="000C5D80" w:rsidP="00664DB5">
            <w:pPr>
              <w:pStyle w:val="Tabletext"/>
              <w:jc w:val="center"/>
              <w:rPr>
                <w:b/>
              </w:rPr>
            </w:pPr>
            <w:r w:rsidRPr="00542D42">
              <w:t xml:space="preserve"> $- </w:t>
            </w:r>
          </w:p>
        </w:tc>
        <w:tc>
          <w:tcPr>
            <w:tcW w:w="1242" w:type="dxa"/>
          </w:tcPr>
          <w:p w14:paraId="5537F681" w14:textId="77777777" w:rsidR="000C5D80" w:rsidRPr="00352F2D" w:rsidRDefault="000C5D80" w:rsidP="00664DB5">
            <w:pPr>
              <w:pStyle w:val="Tabletext"/>
              <w:jc w:val="center"/>
              <w:rPr>
                <w:b/>
              </w:rPr>
            </w:pPr>
            <w:r w:rsidRPr="00542D42">
              <w:t xml:space="preserve"> $- </w:t>
            </w:r>
          </w:p>
        </w:tc>
        <w:tc>
          <w:tcPr>
            <w:tcW w:w="1242" w:type="dxa"/>
          </w:tcPr>
          <w:p w14:paraId="5EF89FCF" w14:textId="77777777" w:rsidR="000C5D80" w:rsidRPr="00352F2D" w:rsidRDefault="000C5D80" w:rsidP="00664DB5">
            <w:pPr>
              <w:pStyle w:val="Tabletext"/>
              <w:jc w:val="center"/>
              <w:rPr>
                <w:b/>
              </w:rPr>
            </w:pPr>
            <w:r w:rsidRPr="00542D42">
              <w:t xml:space="preserve"> $319,968 </w:t>
            </w:r>
          </w:p>
        </w:tc>
      </w:tr>
      <w:tr w:rsidR="000C5D80" w14:paraId="4D124E5B" w14:textId="77777777" w:rsidTr="00664DB5">
        <w:tc>
          <w:tcPr>
            <w:tcW w:w="2830" w:type="dxa"/>
          </w:tcPr>
          <w:p w14:paraId="3D4B6452" w14:textId="77777777" w:rsidR="000C5D80" w:rsidRPr="00352F2D" w:rsidRDefault="000C5D80" w:rsidP="00664DB5">
            <w:pPr>
              <w:pStyle w:val="Tabletext"/>
              <w:rPr>
                <w:b/>
              </w:rPr>
            </w:pPr>
            <w:r w:rsidRPr="00F04476">
              <w:t>Patient contributions</w:t>
            </w:r>
          </w:p>
        </w:tc>
        <w:tc>
          <w:tcPr>
            <w:tcW w:w="1241" w:type="dxa"/>
            <w:tcBorders>
              <w:bottom w:val="single" w:sz="4" w:space="0" w:color="auto"/>
            </w:tcBorders>
          </w:tcPr>
          <w:p w14:paraId="10547ED4"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149237C0" w14:textId="77777777" w:rsidR="000C5D80" w:rsidRPr="00352F2D" w:rsidRDefault="000C5D80" w:rsidP="00664DB5">
            <w:pPr>
              <w:pStyle w:val="Tabletext"/>
              <w:jc w:val="center"/>
              <w:rPr>
                <w:b/>
              </w:rPr>
            </w:pPr>
            <w:r w:rsidRPr="00542D42">
              <w:t xml:space="preserve"> $- </w:t>
            </w:r>
          </w:p>
        </w:tc>
        <w:tc>
          <w:tcPr>
            <w:tcW w:w="1241" w:type="dxa"/>
            <w:tcBorders>
              <w:bottom w:val="single" w:sz="4" w:space="0" w:color="auto"/>
            </w:tcBorders>
          </w:tcPr>
          <w:p w14:paraId="48718516"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460B69A5" w14:textId="77777777" w:rsidR="000C5D80" w:rsidRPr="00352F2D" w:rsidRDefault="000C5D80" w:rsidP="00664DB5">
            <w:pPr>
              <w:pStyle w:val="Tabletext"/>
              <w:jc w:val="center"/>
              <w:rPr>
                <w:b/>
              </w:rPr>
            </w:pPr>
            <w:r w:rsidRPr="00542D42">
              <w:t xml:space="preserve"> $- </w:t>
            </w:r>
          </w:p>
        </w:tc>
        <w:tc>
          <w:tcPr>
            <w:tcW w:w="1242" w:type="dxa"/>
            <w:tcBorders>
              <w:bottom w:val="single" w:sz="4" w:space="0" w:color="auto"/>
            </w:tcBorders>
          </w:tcPr>
          <w:p w14:paraId="3EE0B1D0" w14:textId="77777777" w:rsidR="000C5D80" w:rsidRPr="00352F2D" w:rsidRDefault="000C5D80" w:rsidP="00664DB5">
            <w:pPr>
              <w:pStyle w:val="Tabletext"/>
              <w:jc w:val="center"/>
              <w:rPr>
                <w:b/>
              </w:rPr>
            </w:pPr>
            <w:r w:rsidRPr="00542D42">
              <w:t xml:space="preserve"> $56,465 </w:t>
            </w:r>
          </w:p>
        </w:tc>
      </w:tr>
      <w:tr w:rsidR="000C5D80" w14:paraId="31103F02" w14:textId="77777777" w:rsidTr="00664DB5">
        <w:tc>
          <w:tcPr>
            <w:tcW w:w="2830" w:type="dxa"/>
            <w:tcBorders>
              <w:right w:val="nil"/>
            </w:tcBorders>
          </w:tcPr>
          <w:p w14:paraId="5254D213" w14:textId="77777777" w:rsidR="000C5D80" w:rsidRPr="00F04476" w:rsidRDefault="000C5D80" w:rsidP="00664DB5">
            <w:pPr>
              <w:pStyle w:val="TableH1"/>
            </w:pPr>
            <w:r>
              <w:t>Total population (re-analyses)</w:t>
            </w:r>
          </w:p>
        </w:tc>
        <w:tc>
          <w:tcPr>
            <w:tcW w:w="1241" w:type="dxa"/>
            <w:tcBorders>
              <w:left w:val="nil"/>
              <w:right w:val="nil"/>
            </w:tcBorders>
          </w:tcPr>
          <w:p w14:paraId="1B0BF4A7" w14:textId="77777777" w:rsidR="000C5D80" w:rsidRPr="00F04476" w:rsidRDefault="000C5D80" w:rsidP="00664DB5">
            <w:pPr>
              <w:pStyle w:val="Tabletext"/>
              <w:jc w:val="center"/>
            </w:pPr>
          </w:p>
        </w:tc>
        <w:tc>
          <w:tcPr>
            <w:tcW w:w="1242" w:type="dxa"/>
            <w:tcBorders>
              <w:left w:val="nil"/>
              <w:right w:val="nil"/>
            </w:tcBorders>
          </w:tcPr>
          <w:p w14:paraId="34B564AA" w14:textId="77777777" w:rsidR="000C5D80" w:rsidRPr="00F04476" w:rsidRDefault="000C5D80" w:rsidP="00664DB5">
            <w:pPr>
              <w:pStyle w:val="Tabletext"/>
              <w:jc w:val="center"/>
            </w:pPr>
          </w:p>
        </w:tc>
        <w:tc>
          <w:tcPr>
            <w:tcW w:w="1241" w:type="dxa"/>
            <w:tcBorders>
              <w:left w:val="nil"/>
              <w:right w:val="nil"/>
            </w:tcBorders>
          </w:tcPr>
          <w:p w14:paraId="2DE397DD" w14:textId="77777777" w:rsidR="000C5D80" w:rsidRPr="00F04476" w:rsidRDefault="000C5D80" w:rsidP="00664DB5">
            <w:pPr>
              <w:pStyle w:val="Tabletext"/>
              <w:jc w:val="center"/>
            </w:pPr>
          </w:p>
        </w:tc>
        <w:tc>
          <w:tcPr>
            <w:tcW w:w="1242" w:type="dxa"/>
            <w:tcBorders>
              <w:left w:val="nil"/>
              <w:right w:val="nil"/>
            </w:tcBorders>
          </w:tcPr>
          <w:p w14:paraId="0F45C56A" w14:textId="77777777" w:rsidR="000C5D80" w:rsidRPr="00F04476" w:rsidRDefault="000C5D80" w:rsidP="00664DB5">
            <w:pPr>
              <w:pStyle w:val="Tabletext"/>
              <w:jc w:val="center"/>
            </w:pPr>
          </w:p>
        </w:tc>
        <w:tc>
          <w:tcPr>
            <w:tcW w:w="1242" w:type="dxa"/>
            <w:tcBorders>
              <w:left w:val="nil"/>
            </w:tcBorders>
          </w:tcPr>
          <w:p w14:paraId="02B33BF8" w14:textId="77777777" w:rsidR="000C5D80" w:rsidRPr="00F04476" w:rsidRDefault="000C5D80" w:rsidP="00664DB5">
            <w:pPr>
              <w:pStyle w:val="Tabletext"/>
              <w:jc w:val="center"/>
            </w:pPr>
          </w:p>
        </w:tc>
      </w:tr>
      <w:tr w:rsidR="000C5D80" w14:paraId="53747C94" w14:textId="77777777" w:rsidTr="00664DB5">
        <w:tc>
          <w:tcPr>
            <w:tcW w:w="2830" w:type="dxa"/>
          </w:tcPr>
          <w:p w14:paraId="574E061F" w14:textId="77777777" w:rsidR="000C5D80" w:rsidRPr="00F04476" w:rsidRDefault="000C5D80" w:rsidP="00664DB5">
            <w:pPr>
              <w:pStyle w:val="Tabletext"/>
            </w:pPr>
            <w:r w:rsidRPr="00670130">
              <w:t>Total cost</w:t>
            </w:r>
          </w:p>
        </w:tc>
        <w:tc>
          <w:tcPr>
            <w:tcW w:w="1241" w:type="dxa"/>
          </w:tcPr>
          <w:p w14:paraId="674DAE4C" w14:textId="77777777" w:rsidR="000C5D80" w:rsidRPr="00F04476" w:rsidRDefault="000C5D80" w:rsidP="00664DB5">
            <w:pPr>
              <w:pStyle w:val="Tabletext"/>
              <w:jc w:val="center"/>
            </w:pPr>
            <w:r w:rsidRPr="00A203B4">
              <w:t xml:space="preserve"> $- </w:t>
            </w:r>
          </w:p>
        </w:tc>
        <w:tc>
          <w:tcPr>
            <w:tcW w:w="1242" w:type="dxa"/>
          </w:tcPr>
          <w:p w14:paraId="2A248E0D" w14:textId="77777777" w:rsidR="000C5D80" w:rsidRPr="00F04476" w:rsidRDefault="000C5D80" w:rsidP="00664DB5">
            <w:pPr>
              <w:pStyle w:val="Tabletext"/>
              <w:jc w:val="center"/>
            </w:pPr>
            <w:r w:rsidRPr="00A203B4">
              <w:t xml:space="preserve"> $- </w:t>
            </w:r>
          </w:p>
        </w:tc>
        <w:tc>
          <w:tcPr>
            <w:tcW w:w="1241" w:type="dxa"/>
          </w:tcPr>
          <w:p w14:paraId="576A468A" w14:textId="77777777" w:rsidR="000C5D80" w:rsidRPr="00F04476" w:rsidRDefault="000C5D80" w:rsidP="00664DB5">
            <w:pPr>
              <w:pStyle w:val="Tabletext"/>
              <w:jc w:val="center"/>
            </w:pPr>
            <w:r w:rsidRPr="00A203B4">
              <w:t xml:space="preserve"> $566,533 </w:t>
            </w:r>
          </w:p>
        </w:tc>
        <w:tc>
          <w:tcPr>
            <w:tcW w:w="1242" w:type="dxa"/>
          </w:tcPr>
          <w:p w14:paraId="2320F05B" w14:textId="77777777" w:rsidR="000C5D80" w:rsidRPr="00F04476" w:rsidRDefault="000C5D80" w:rsidP="00664DB5">
            <w:pPr>
              <w:pStyle w:val="Tabletext"/>
              <w:jc w:val="center"/>
            </w:pPr>
            <w:r w:rsidRPr="00A203B4">
              <w:t xml:space="preserve"> $574,609 </w:t>
            </w:r>
          </w:p>
        </w:tc>
        <w:tc>
          <w:tcPr>
            <w:tcW w:w="1242" w:type="dxa"/>
          </w:tcPr>
          <w:p w14:paraId="41B18CD4" w14:textId="77777777" w:rsidR="000C5D80" w:rsidRPr="00F04476" w:rsidRDefault="000C5D80" w:rsidP="00664DB5">
            <w:pPr>
              <w:pStyle w:val="Tabletext"/>
              <w:jc w:val="center"/>
            </w:pPr>
            <w:r w:rsidRPr="00A203B4">
              <w:t xml:space="preserve"> $1,071,131 </w:t>
            </w:r>
          </w:p>
        </w:tc>
      </w:tr>
      <w:tr w:rsidR="000C5D80" w14:paraId="63505F9A" w14:textId="77777777" w:rsidTr="00664DB5">
        <w:trPr>
          <w:trHeight w:val="189"/>
        </w:trPr>
        <w:tc>
          <w:tcPr>
            <w:tcW w:w="2830" w:type="dxa"/>
          </w:tcPr>
          <w:p w14:paraId="36DC1242" w14:textId="77777777" w:rsidR="000C5D80" w:rsidRPr="00F04476" w:rsidRDefault="000C5D80" w:rsidP="00664DB5">
            <w:pPr>
              <w:pStyle w:val="Tabletext"/>
            </w:pPr>
            <w:r w:rsidRPr="00670130">
              <w:t>MBS rebate (85%)</w:t>
            </w:r>
          </w:p>
        </w:tc>
        <w:tc>
          <w:tcPr>
            <w:tcW w:w="1241" w:type="dxa"/>
          </w:tcPr>
          <w:p w14:paraId="33B5354F" w14:textId="77777777" w:rsidR="000C5D80" w:rsidRPr="00F04476" w:rsidRDefault="000C5D80" w:rsidP="00664DB5">
            <w:pPr>
              <w:pStyle w:val="Tabletext"/>
              <w:jc w:val="center"/>
            </w:pPr>
            <w:r w:rsidRPr="00A203B4">
              <w:t xml:space="preserve"> $- </w:t>
            </w:r>
          </w:p>
        </w:tc>
        <w:tc>
          <w:tcPr>
            <w:tcW w:w="1242" w:type="dxa"/>
          </w:tcPr>
          <w:p w14:paraId="49CAEE8A" w14:textId="77777777" w:rsidR="000C5D80" w:rsidRPr="00F04476" w:rsidRDefault="000C5D80" w:rsidP="00664DB5">
            <w:pPr>
              <w:pStyle w:val="Tabletext"/>
              <w:jc w:val="center"/>
            </w:pPr>
            <w:r w:rsidRPr="00A203B4">
              <w:t xml:space="preserve"> $- </w:t>
            </w:r>
          </w:p>
        </w:tc>
        <w:tc>
          <w:tcPr>
            <w:tcW w:w="1241" w:type="dxa"/>
          </w:tcPr>
          <w:p w14:paraId="092E11FB" w14:textId="77777777" w:rsidR="000C5D80" w:rsidRPr="00F04476" w:rsidRDefault="000C5D80" w:rsidP="00664DB5">
            <w:pPr>
              <w:pStyle w:val="Tabletext"/>
              <w:jc w:val="center"/>
            </w:pPr>
            <w:r w:rsidRPr="00A203B4">
              <w:t xml:space="preserve"> $481,553 </w:t>
            </w:r>
          </w:p>
        </w:tc>
        <w:tc>
          <w:tcPr>
            <w:tcW w:w="1242" w:type="dxa"/>
          </w:tcPr>
          <w:p w14:paraId="47748899" w14:textId="77777777" w:rsidR="000C5D80" w:rsidRPr="00F04476" w:rsidRDefault="000C5D80" w:rsidP="00664DB5">
            <w:pPr>
              <w:pStyle w:val="Tabletext"/>
              <w:jc w:val="center"/>
            </w:pPr>
            <w:r w:rsidRPr="00A203B4">
              <w:t xml:space="preserve"> $488,418 </w:t>
            </w:r>
          </w:p>
        </w:tc>
        <w:tc>
          <w:tcPr>
            <w:tcW w:w="1242" w:type="dxa"/>
          </w:tcPr>
          <w:p w14:paraId="5CA93B2F" w14:textId="77777777" w:rsidR="000C5D80" w:rsidRPr="00F04476" w:rsidRDefault="000C5D80" w:rsidP="00664DB5">
            <w:pPr>
              <w:pStyle w:val="Tabletext"/>
              <w:jc w:val="center"/>
            </w:pPr>
            <w:r w:rsidRPr="00A203B4">
              <w:t xml:space="preserve"> $910,461 </w:t>
            </w:r>
          </w:p>
        </w:tc>
      </w:tr>
      <w:tr w:rsidR="000C5D80" w14:paraId="75FF6558" w14:textId="77777777" w:rsidTr="00664DB5">
        <w:tc>
          <w:tcPr>
            <w:tcW w:w="2830" w:type="dxa"/>
          </w:tcPr>
          <w:p w14:paraId="1D707582" w14:textId="77777777" w:rsidR="000C5D80" w:rsidRPr="00F04476" w:rsidRDefault="000C5D80" w:rsidP="00664DB5">
            <w:pPr>
              <w:pStyle w:val="Tabletext"/>
            </w:pPr>
            <w:r w:rsidRPr="00670130">
              <w:t>Patient contributions</w:t>
            </w:r>
          </w:p>
        </w:tc>
        <w:tc>
          <w:tcPr>
            <w:tcW w:w="1241" w:type="dxa"/>
          </w:tcPr>
          <w:p w14:paraId="7E58B88A" w14:textId="77777777" w:rsidR="000C5D80" w:rsidRPr="00F04476" w:rsidRDefault="000C5D80" w:rsidP="00664DB5">
            <w:pPr>
              <w:pStyle w:val="Tabletext"/>
              <w:jc w:val="center"/>
            </w:pPr>
            <w:r w:rsidRPr="00A203B4">
              <w:t xml:space="preserve"> $- </w:t>
            </w:r>
          </w:p>
        </w:tc>
        <w:tc>
          <w:tcPr>
            <w:tcW w:w="1242" w:type="dxa"/>
          </w:tcPr>
          <w:p w14:paraId="2CAC8ECE" w14:textId="77777777" w:rsidR="000C5D80" w:rsidRPr="00F04476" w:rsidRDefault="000C5D80" w:rsidP="00664DB5">
            <w:pPr>
              <w:pStyle w:val="Tabletext"/>
              <w:jc w:val="center"/>
            </w:pPr>
            <w:r w:rsidRPr="00A203B4">
              <w:t xml:space="preserve"> $- </w:t>
            </w:r>
          </w:p>
        </w:tc>
        <w:tc>
          <w:tcPr>
            <w:tcW w:w="1241" w:type="dxa"/>
          </w:tcPr>
          <w:p w14:paraId="72EF344C" w14:textId="77777777" w:rsidR="000C5D80" w:rsidRPr="00F04476" w:rsidRDefault="000C5D80" w:rsidP="00664DB5">
            <w:pPr>
              <w:pStyle w:val="Tabletext"/>
              <w:jc w:val="center"/>
            </w:pPr>
            <w:r w:rsidRPr="00A203B4">
              <w:t xml:space="preserve"> $84,980 </w:t>
            </w:r>
          </w:p>
        </w:tc>
        <w:tc>
          <w:tcPr>
            <w:tcW w:w="1242" w:type="dxa"/>
          </w:tcPr>
          <w:p w14:paraId="5DB6420A" w14:textId="77777777" w:rsidR="000C5D80" w:rsidRPr="00F04476" w:rsidRDefault="000C5D80" w:rsidP="00664DB5">
            <w:pPr>
              <w:pStyle w:val="Tabletext"/>
              <w:jc w:val="center"/>
            </w:pPr>
            <w:r w:rsidRPr="00A203B4">
              <w:t xml:space="preserve"> $86,191 </w:t>
            </w:r>
          </w:p>
        </w:tc>
        <w:tc>
          <w:tcPr>
            <w:tcW w:w="1242" w:type="dxa"/>
          </w:tcPr>
          <w:p w14:paraId="34107258" w14:textId="77777777" w:rsidR="000C5D80" w:rsidRPr="00F04476" w:rsidRDefault="000C5D80" w:rsidP="00664DB5">
            <w:pPr>
              <w:pStyle w:val="Tabletext"/>
              <w:jc w:val="center"/>
            </w:pPr>
            <w:r w:rsidRPr="00A203B4">
              <w:t xml:space="preserve"> $160,670 </w:t>
            </w:r>
          </w:p>
        </w:tc>
      </w:tr>
    </w:tbl>
    <w:p w14:paraId="61DFD6D4" w14:textId="77777777" w:rsidR="000C5D80" w:rsidRPr="007052AA" w:rsidRDefault="000C5D80" w:rsidP="007052AA">
      <w:pPr>
        <w:spacing w:before="240"/>
        <w:rPr>
          <w:rFonts w:ascii="Arial Narrow" w:hAnsi="Arial Narrow"/>
          <w:b/>
          <w:sz w:val="20"/>
        </w:rPr>
      </w:pPr>
      <w:bookmarkStart w:id="18" w:name="_Ref512521044"/>
      <w:bookmarkStart w:id="19" w:name="_Toc513290995"/>
      <w:r w:rsidRPr="007052AA">
        <w:rPr>
          <w:rFonts w:ascii="Arial Narrow" w:hAnsi="Arial Narrow"/>
          <w:b/>
          <w:sz w:val="20"/>
        </w:rPr>
        <w:t xml:space="preserve">Table </w:t>
      </w:r>
      <w:bookmarkEnd w:id="18"/>
      <w:r w:rsidR="00E3780D" w:rsidRPr="007052AA">
        <w:rPr>
          <w:rFonts w:ascii="Arial Narrow" w:hAnsi="Arial Narrow"/>
          <w:b/>
          <w:sz w:val="20"/>
        </w:rPr>
        <w:t>9</w:t>
      </w:r>
      <w:r w:rsidRPr="007052AA">
        <w:rPr>
          <w:rFonts w:ascii="Arial Narrow" w:hAnsi="Arial Narrow"/>
          <w:b/>
          <w:sz w:val="20"/>
        </w:rPr>
        <w:tab/>
        <w:t xml:space="preserve">Projected </w:t>
      </w:r>
      <w:r w:rsidR="00486832" w:rsidRPr="007052AA">
        <w:rPr>
          <w:rFonts w:ascii="Arial Narrow" w:hAnsi="Arial Narrow"/>
          <w:b/>
          <w:sz w:val="20"/>
        </w:rPr>
        <w:t>cost</w:t>
      </w:r>
      <w:r w:rsidRPr="007052AA">
        <w:rPr>
          <w:rFonts w:ascii="Arial Narrow" w:hAnsi="Arial Narrow"/>
          <w:b/>
          <w:sz w:val="20"/>
        </w:rPr>
        <w:t xml:space="preserve"> of single variant cascade tests </w:t>
      </w:r>
      <w:r w:rsidR="000569BD" w:rsidRPr="007052AA">
        <w:rPr>
          <w:rFonts w:ascii="Arial Narrow" w:hAnsi="Arial Narrow"/>
          <w:b/>
          <w:sz w:val="20"/>
        </w:rPr>
        <w:t>o</w:t>
      </w:r>
      <w:r w:rsidRPr="007052AA">
        <w:rPr>
          <w:rFonts w:ascii="Arial Narrow" w:hAnsi="Arial Narrow"/>
          <w:b/>
          <w:sz w:val="20"/>
        </w:rPr>
        <w:t>f first-degree family members</w:t>
      </w:r>
      <w:r w:rsidR="00486832" w:rsidRPr="007052AA">
        <w:rPr>
          <w:rFonts w:ascii="Arial Narrow" w:hAnsi="Arial Narrow"/>
          <w:b/>
          <w:sz w:val="20"/>
        </w:rPr>
        <w:t xml:space="preserve"> (Population 3)</w:t>
      </w:r>
      <w:r w:rsidRPr="007052AA">
        <w:rPr>
          <w:rFonts w:ascii="Arial Narrow" w:hAnsi="Arial Narrow"/>
          <w:b/>
          <w:sz w:val="20"/>
        </w:rPr>
        <w:t>, 2019–2023</w:t>
      </w:r>
      <w:bookmarkEnd w:id="19"/>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estimated costs of single variant cascaed tests of first degree family members for Population 3 from 2019 to 2023"/>
      </w:tblPr>
      <w:tblGrid>
        <w:gridCol w:w="2957"/>
        <w:gridCol w:w="1211"/>
        <w:gridCol w:w="1211"/>
        <w:gridCol w:w="1212"/>
        <w:gridCol w:w="1212"/>
        <w:gridCol w:w="1213"/>
      </w:tblGrid>
      <w:tr w:rsidR="00486832" w14:paraId="7AF8968F" w14:textId="77777777" w:rsidTr="007052AA">
        <w:trPr>
          <w:tblHeader/>
        </w:trPr>
        <w:tc>
          <w:tcPr>
            <w:tcW w:w="2957" w:type="dxa"/>
          </w:tcPr>
          <w:p w14:paraId="63417894" w14:textId="77777777" w:rsidR="00486832" w:rsidRDefault="00486832" w:rsidP="005E1BE3">
            <w:pPr>
              <w:pStyle w:val="Tableheading"/>
            </w:pPr>
          </w:p>
        </w:tc>
        <w:tc>
          <w:tcPr>
            <w:tcW w:w="1211" w:type="dxa"/>
          </w:tcPr>
          <w:p w14:paraId="61BB9F61" w14:textId="77777777" w:rsidR="00486832" w:rsidRDefault="00486832" w:rsidP="005E1BE3">
            <w:pPr>
              <w:pStyle w:val="Tableheading"/>
              <w:jc w:val="center"/>
            </w:pPr>
            <w:r>
              <w:t>2019</w:t>
            </w:r>
          </w:p>
        </w:tc>
        <w:tc>
          <w:tcPr>
            <w:tcW w:w="1211" w:type="dxa"/>
          </w:tcPr>
          <w:p w14:paraId="75DE2F5E" w14:textId="77777777" w:rsidR="00486832" w:rsidRDefault="00486832" w:rsidP="005E1BE3">
            <w:pPr>
              <w:pStyle w:val="Tableheading"/>
              <w:jc w:val="center"/>
            </w:pPr>
            <w:r>
              <w:t>2020</w:t>
            </w:r>
          </w:p>
        </w:tc>
        <w:tc>
          <w:tcPr>
            <w:tcW w:w="1212" w:type="dxa"/>
          </w:tcPr>
          <w:p w14:paraId="67CC0EE6" w14:textId="77777777" w:rsidR="00486832" w:rsidRDefault="00486832" w:rsidP="005E1BE3">
            <w:pPr>
              <w:pStyle w:val="Tableheading"/>
              <w:jc w:val="center"/>
            </w:pPr>
            <w:r>
              <w:t>2021</w:t>
            </w:r>
          </w:p>
        </w:tc>
        <w:tc>
          <w:tcPr>
            <w:tcW w:w="1212" w:type="dxa"/>
          </w:tcPr>
          <w:p w14:paraId="1A64812C" w14:textId="77777777" w:rsidR="00486832" w:rsidRDefault="00486832" w:rsidP="005E1BE3">
            <w:pPr>
              <w:pStyle w:val="Tableheading"/>
              <w:jc w:val="center"/>
            </w:pPr>
            <w:r>
              <w:t>2022</w:t>
            </w:r>
          </w:p>
        </w:tc>
        <w:tc>
          <w:tcPr>
            <w:tcW w:w="1213" w:type="dxa"/>
          </w:tcPr>
          <w:p w14:paraId="1CBC32E1" w14:textId="77777777" w:rsidR="00486832" w:rsidRDefault="00486832" w:rsidP="005E1BE3">
            <w:pPr>
              <w:pStyle w:val="Tableheading"/>
              <w:jc w:val="center"/>
            </w:pPr>
            <w:r>
              <w:t>2023</w:t>
            </w:r>
          </w:p>
        </w:tc>
      </w:tr>
      <w:tr w:rsidR="00486832" w14:paraId="57FA8C88" w14:textId="77777777" w:rsidTr="005E1BE3">
        <w:tc>
          <w:tcPr>
            <w:tcW w:w="2957" w:type="dxa"/>
          </w:tcPr>
          <w:p w14:paraId="2DB4EE53" w14:textId="77777777" w:rsidR="00486832" w:rsidRDefault="00486832" w:rsidP="005E1BE3">
            <w:pPr>
              <w:pStyle w:val="Tabletext"/>
            </w:pPr>
            <w:r w:rsidRPr="00D900E0">
              <w:t>Number of patients</w:t>
            </w:r>
          </w:p>
        </w:tc>
        <w:tc>
          <w:tcPr>
            <w:tcW w:w="1211" w:type="dxa"/>
          </w:tcPr>
          <w:p w14:paraId="1127C218" w14:textId="77777777" w:rsidR="00486832" w:rsidRDefault="00486832" w:rsidP="005E1BE3">
            <w:pPr>
              <w:pStyle w:val="Tabletext"/>
              <w:jc w:val="center"/>
            </w:pPr>
            <w:r w:rsidRPr="003F73A7">
              <w:t xml:space="preserve"> 5,235 </w:t>
            </w:r>
          </w:p>
        </w:tc>
        <w:tc>
          <w:tcPr>
            <w:tcW w:w="1211" w:type="dxa"/>
          </w:tcPr>
          <w:p w14:paraId="3D4DC153" w14:textId="77777777" w:rsidR="00486832" w:rsidRDefault="00486832" w:rsidP="005E1BE3">
            <w:pPr>
              <w:pStyle w:val="Tabletext"/>
              <w:jc w:val="center"/>
            </w:pPr>
            <w:r w:rsidRPr="003F73A7">
              <w:t xml:space="preserve"> 5,309 </w:t>
            </w:r>
          </w:p>
        </w:tc>
        <w:tc>
          <w:tcPr>
            <w:tcW w:w="1212" w:type="dxa"/>
          </w:tcPr>
          <w:p w14:paraId="6AFE663D" w14:textId="77777777" w:rsidR="00486832" w:rsidRDefault="00486832" w:rsidP="005E1BE3">
            <w:pPr>
              <w:pStyle w:val="Tabletext"/>
              <w:jc w:val="center"/>
            </w:pPr>
            <w:r w:rsidRPr="003F73A7">
              <w:t xml:space="preserve"> 5,385 </w:t>
            </w:r>
          </w:p>
        </w:tc>
        <w:tc>
          <w:tcPr>
            <w:tcW w:w="1212" w:type="dxa"/>
          </w:tcPr>
          <w:p w14:paraId="3CA5313D" w14:textId="77777777" w:rsidR="00486832" w:rsidRDefault="00486832" w:rsidP="005E1BE3">
            <w:pPr>
              <w:pStyle w:val="Tabletext"/>
              <w:jc w:val="center"/>
            </w:pPr>
            <w:r w:rsidRPr="003F73A7">
              <w:t xml:space="preserve"> 4,231 </w:t>
            </w:r>
          </w:p>
        </w:tc>
        <w:tc>
          <w:tcPr>
            <w:tcW w:w="1213" w:type="dxa"/>
          </w:tcPr>
          <w:p w14:paraId="285ECD66" w14:textId="77777777" w:rsidR="00486832" w:rsidRDefault="00486832" w:rsidP="005E1BE3">
            <w:pPr>
              <w:pStyle w:val="Tabletext"/>
              <w:jc w:val="center"/>
            </w:pPr>
            <w:r w:rsidRPr="003F73A7">
              <w:t xml:space="preserve"> 4,308 </w:t>
            </w:r>
          </w:p>
        </w:tc>
      </w:tr>
      <w:tr w:rsidR="00486832" w14:paraId="4819FCE3" w14:textId="77777777" w:rsidTr="005E1BE3">
        <w:tc>
          <w:tcPr>
            <w:tcW w:w="2957" w:type="dxa"/>
          </w:tcPr>
          <w:p w14:paraId="41EE2C60" w14:textId="77777777" w:rsidR="00486832" w:rsidRDefault="00486832" w:rsidP="005E1BE3">
            <w:pPr>
              <w:pStyle w:val="Tabletext"/>
            </w:pPr>
            <w:r w:rsidRPr="00D900E0">
              <w:t>Cost of cascade testing per patient</w:t>
            </w:r>
          </w:p>
        </w:tc>
        <w:tc>
          <w:tcPr>
            <w:tcW w:w="1211" w:type="dxa"/>
          </w:tcPr>
          <w:p w14:paraId="69293916" w14:textId="77777777" w:rsidR="00486832" w:rsidRDefault="00486832" w:rsidP="005E1BE3">
            <w:pPr>
              <w:pStyle w:val="Tabletext"/>
              <w:jc w:val="center"/>
            </w:pPr>
            <w:r w:rsidRPr="003F73A7">
              <w:t xml:space="preserve"> $400.00 </w:t>
            </w:r>
          </w:p>
        </w:tc>
        <w:tc>
          <w:tcPr>
            <w:tcW w:w="1211" w:type="dxa"/>
          </w:tcPr>
          <w:p w14:paraId="6D7FF581" w14:textId="77777777" w:rsidR="00486832" w:rsidRDefault="00486832" w:rsidP="005E1BE3">
            <w:pPr>
              <w:pStyle w:val="Tabletext"/>
              <w:jc w:val="center"/>
            </w:pPr>
            <w:r w:rsidRPr="003F73A7">
              <w:t xml:space="preserve"> $400.00 </w:t>
            </w:r>
          </w:p>
        </w:tc>
        <w:tc>
          <w:tcPr>
            <w:tcW w:w="1212" w:type="dxa"/>
          </w:tcPr>
          <w:p w14:paraId="60FA4102" w14:textId="77777777" w:rsidR="00486832" w:rsidRDefault="00486832" w:rsidP="005E1BE3">
            <w:pPr>
              <w:pStyle w:val="Tabletext"/>
              <w:jc w:val="center"/>
            </w:pPr>
            <w:r w:rsidRPr="003F73A7">
              <w:t xml:space="preserve"> $400.00 </w:t>
            </w:r>
          </w:p>
        </w:tc>
        <w:tc>
          <w:tcPr>
            <w:tcW w:w="1212" w:type="dxa"/>
          </w:tcPr>
          <w:p w14:paraId="7B9CE056" w14:textId="77777777" w:rsidR="00486832" w:rsidRDefault="00486832" w:rsidP="005E1BE3">
            <w:pPr>
              <w:pStyle w:val="Tabletext"/>
              <w:jc w:val="center"/>
            </w:pPr>
            <w:r w:rsidRPr="003F73A7">
              <w:t xml:space="preserve"> $400.00 </w:t>
            </w:r>
          </w:p>
        </w:tc>
        <w:tc>
          <w:tcPr>
            <w:tcW w:w="1213" w:type="dxa"/>
          </w:tcPr>
          <w:p w14:paraId="4C5731B0" w14:textId="77777777" w:rsidR="00486832" w:rsidRDefault="00486832" w:rsidP="005E1BE3">
            <w:pPr>
              <w:pStyle w:val="Tabletext"/>
              <w:jc w:val="center"/>
            </w:pPr>
            <w:r w:rsidRPr="003F73A7">
              <w:t xml:space="preserve"> $400.00 </w:t>
            </w:r>
          </w:p>
        </w:tc>
      </w:tr>
      <w:tr w:rsidR="00486832" w14:paraId="5A9ABA9F" w14:textId="77777777" w:rsidTr="005E1BE3">
        <w:tc>
          <w:tcPr>
            <w:tcW w:w="2957" w:type="dxa"/>
          </w:tcPr>
          <w:p w14:paraId="2807630A" w14:textId="77777777" w:rsidR="00486832" w:rsidRDefault="00486832" w:rsidP="005E1BE3">
            <w:pPr>
              <w:pStyle w:val="Tabletext"/>
            </w:pPr>
            <w:r w:rsidRPr="00D900E0">
              <w:t>Total cost</w:t>
            </w:r>
          </w:p>
        </w:tc>
        <w:tc>
          <w:tcPr>
            <w:tcW w:w="1211" w:type="dxa"/>
          </w:tcPr>
          <w:p w14:paraId="3E6F308E" w14:textId="77777777" w:rsidR="00486832" w:rsidRDefault="00486832" w:rsidP="005E1BE3">
            <w:pPr>
              <w:pStyle w:val="Tabletext"/>
              <w:jc w:val="center"/>
            </w:pPr>
            <w:r w:rsidRPr="003F73A7">
              <w:t xml:space="preserve"> $2,093,835 </w:t>
            </w:r>
          </w:p>
        </w:tc>
        <w:tc>
          <w:tcPr>
            <w:tcW w:w="1211" w:type="dxa"/>
          </w:tcPr>
          <w:p w14:paraId="4AA67AB9" w14:textId="77777777" w:rsidR="00486832" w:rsidRDefault="00486832" w:rsidP="005E1BE3">
            <w:pPr>
              <w:pStyle w:val="Tabletext"/>
              <w:jc w:val="center"/>
            </w:pPr>
            <w:r w:rsidRPr="003F73A7">
              <w:t xml:space="preserve"> $2,123,681 </w:t>
            </w:r>
          </w:p>
        </w:tc>
        <w:tc>
          <w:tcPr>
            <w:tcW w:w="1212" w:type="dxa"/>
          </w:tcPr>
          <w:p w14:paraId="6FBEDB74" w14:textId="77777777" w:rsidR="00486832" w:rsidRDefault="00486832" w:rsidP="005E1BE3">
            <w:pPr>
              <w:pStyle w:val="Tabletext"/>
              <w:jc w:val="center"/>
            </w:pPr>
            <w:r w:rsidRPr="003F73A7">
              <w:t xml:space="preserve"> $2,153,877 </w:t>
            </w:r>
          </w:p>
        </w:tc>
        <w:tc>
          <w:tcPr>
            <w:tcW w:w="1212" w:type="dxa"/>
          </w:tcPr>
          <w:p w14:paraId="07F5DF97" w14:textId="77777777" w:rsidR="00486832" w:rsidRDefault="00486832" w:rsidP="005E1BE3">
            <w:pPr>
              <w:pStyle w:val="Tabletext"/>
              <w:jc w:val="center"/>
            </w:pPr>
            <w:r w:rsidRPr="003F73A7">
              <w:t xml:space="preserve"> $1,692,518 </w:t>
            </w:r>
          </w:p>
        </w:tc>
        <w:tc>
          <w:tcPr>
            <w:tcW w:w="1213" w:type="dxa"/>
          </w:tcPr>
          <w:p w14:paraId="7E8F4D70" w14:textId="77777777" w:rsidR="00486832" w:rsidRDefault="00486832" w:rsidP="005E1BE3">
            <w:pPr>
              <w:pStyle w:val="Tabletext"/>
              <w:jc w:val="center"/>
            </w:pPr>
            <w:r w:rsidRPr="003F73A7">
              <w:t xml:space="preserve"> $1,723,238 </w:t>
            </w:r>
          </w:p>
        </w:tc>
      </w:tr>
      <w:tr w:rsidR="00486832" w14:paraId="12F4FA7D" w14:textId="77777777" w:rsidTr="005E1BE3">
        <w:tc>
          <w:tcPr>
            <w:tcW w:w="2957" w:type="dxa"/>
          </w:tcPr>
          <w:p w14:paraId="7CF64631" w14:textId="77777777" w:rsidR="00486832" w:rsidRDefault="00486832" w:rsidP="005E1BE3">
            <w:pPr>
              <w:pStyle w:val="Tabletext"/>
            </w:pPr>
            <w:r w:rsidRPr="00D900E0">
              <w:t>MBS rebate (85%)</w:t>
            </w:r>
          </w:p>
        </w:tc>
        <w:tc>
          <w:tcPr>
            <w:tcW w:w="1211" w:type="dxa"/>
          </w:tcPr>
          <w:p w14:paraId="0EEFBD3D" w14:textId="77777777" w:rsidR="00486832" w:rsidRDefault="00486832" w:rsidP="005E1BE3">
            <w:pPr>
              <w:pStyle w:val="Tabletext"/>
              <w:jc w:val="center"/>
            </w:pPr>
            <w:r w:rsidRPr="003F73A7">
              <w:t xml:space="preserve"> $1,779,760 </w:t>
            </w:r>
          </w:p>
        </w:tc>
        <w:tc>
          <w:tcPr>
            <w:tcW w:w="1211" w:type="dxa"/>
          </w:tcPr>
          <w:p w14:paraId="1E3B9552" w14:textId="77777777" w:rsidR="00486832" w:rsidRDefault="00486832" w:rsidP="005E1BE3">
            <w:pPr>
              <w:pStyle w:val="Tabletext"/>
              <w:jc w:val="center"/>
            </w:pPr>
            <w:r w:rsidRPr="003F73A7">
              <w:t xml:space="preserve"> $1,805,129 </w:t>
            </w:r>
          </w:p>
        </w:tc>
        <w:tc>
          <w:tcPr>
            <w:tcW w:w="1212" w:type="dxa"/>
          </w:tcPr>
          <w:p w14:paraId="6EDC1B31" w14:textId="77777777" w:rsidR="00486832" w:rsidRDefault="00486832" w:rsidP="005E1BE3">
            <w:pPr>
              <w:pStyle w:val="Tabletext"/>
              <w:jc w:val="center"/>
            </w:pPr>
            <w:r w:rsidRPr="003F73A7">
              <w:t xml:space="preserve"> $1,830,796 </w:t>
            </w:r>
          </w:p>
        </w:tc>
        <w:tc>
          <w:tcPr>
            <w:tcW w:w="1212" w:type="dxa"/>
          </w:tcPr>
          <w:p w14:paraId="0D0C0DAE" w14:textId="77777777" w:rsidR="00486832" w:rsidRDefault="00486832" w:rsidP="005E1BE3">
            <w:pPr>
              <w:pStyle w:val="Tabletext"/>
              <w:jc w:val="center"/>
            </w:pPr>
            <w:r w:rsidRPr="003F73A7">
              <w:t xml:space="preserve"> $1,438,640 </w:t>
            </w:r>
          </w:p>
        </w:tc>
        <w:tc>
          <w:tcPr>
            <w:tcW w:w="1213" w:type="dxa"/>
          </w:tcPr>
          <w:p w14:paraId="22758ED3" w14:textId="77777777" w:rsidR="00486832" w:rsidRDefault="00486832" w:rsidP="005E1BE3">
            <w:pPr>
              <w:pStyle w:val="Tabletext"/>
              <w:jc w:val="center"/>
            </w:pPr>
            <w:r w:rsidRPr="003F73A7">
              <w:t xml:space="preserve"> $1,464,752 </w:t>
            </w:r>
          </w:p>
        </w:tc>
      </w:tr>
      <w:tr w:rsidR="00486832" w14:paraId="2B29E546" w14:textId="77777777" w:rsidTr="005E1BE3">
        <w:tc>
          <w:tcPr>
            <w:tcW w:w="2957" w:type="dxa"/>
          </w:tcPr>
          <w:p w14:paraId="5B3A4BF9" w14:textId="77777777" w:rsidR="00486832" w:rsidRDefault="00486832" w:rsidP="005E1BE3">
            <w:pPr>
              <w:pStyle w:val="Tabletext"/>
            </w:pPr>
            <w:r w:rsidRPr="00D900E0">
              <w:t>Patient contributions</w:t>
            </w:r>
          </w:p>
        </w:tc>
        <w:tc>
          <w:tcPr>
            <w:tcW w:w="1211" w:type="dxa"/>
          </w:tcPr>
          <w:p w14:paraId="668182FF" w14:textId="77777777" w:rsidR="00486832" w:rsidRDefault="00486832" w:rsidP="005E1BE3">
            <w:pPr>
              <w:pStyle w:val="Tabletext"/>
              <w:jc w:val="center"/>
            </w:pPr>
            <w:r w:rsidRPr="003F73A7">
              <w:t xml:space="preserve"> $314,075 </w:t>
            </w:r>
          </w:p>
        </w:tc>
        <w:tc>
          <w:tcPr>
            <w:tcW w:w="1211" w:type="dxa"/>
          </w:tcPr>
          <w:p w14:paraId="118B4DED" w14:textId="77777777" w:rsidR="00486832" w:rsidRDefault="00486832" w:rsidP="005E1BE3">
            <w:pPr>
              <w:pStyle w:val="Tabletext"/>
              <w:jc w:val="center"/>
            </w:pPr>
            <w:r w:rsidRPr="003F73A7">
              <w:t xml:space="preserve"> $318,552 </w:t>
            </w:r>
          </w:p>
        </w:tc>
        <w:tc>
          <w:tcPr>
            <w:tcW w:w="1212" w:type="dxa"/>
          </w:tcPr>
          <w:p w14:paraId="2839360C" w14:textId="77777777" w:rsidR="00486832" w:rsidRDefault="00486832" w:rsidP="005E1BE3">
            <w:pPr>
              <w:pStyle w:val="Tabletext"/>
              <w:jc w:val="center"/>
            </w:pPr>
            <w:r w:rsidRPr="003F73A7">
              <w:t xml:space="preserve"> $323,082 </w:t>
            </w:r>
          </w:p>
        </w:tc>
        <w:tc>
          <w:tcPr>
            <w:tcW w:w="1212" w:type="dxa"/>
          </w:tcPr>
          <w:p w14:paraId="35DB1FA2" w14:textId="77777777" w:rsidR="00486832" w:rsidRDefault="00486832" w:rsidP="005E1BE3">
            <w:pPr>
              <w:pStyle w:val="Tabletext"/>
              <w:jc w:val="center"/>
            </w:pPr>
            <w:r w:rsidRPr="003F73A7">
              <w:t xml:space="preserve"> $253,878 </w:t>
            </w:r>
          </w:p>
        </w:tc>
        <w:tc>
          <w:tcPr>
            <w:tcW w:w="1213" w:type="dxa"/>
          </w:tcPr>
          <w:p w14:paraId="32596950" w14:textId="77777777" w:rsidR="00486832" w:rsidRDefault="00486832" w:rsidP="005E1BE3">
            <w:pPr>
              <w:pStyle w:val="Tabletext"/>
              <w:jc w:val="center"/>
            </w:pPr>
            <w:r w:rsidRPr="003F73A7">
              <w:t xml:space="preserve"> $258,486 </w:t>
            </w:r>
          </w:p>
        </w:tc>
      </w:tr>
    </w:tbl>
    <w:p w14:paraId="160CF544" w14:textId="77777777" w:rsidR="00083868" w:rsidRDefault="00083868">
      <w:pPr>
        <w:rPr>
          <w:rFonts w:ascii="Arial" w:hAnsi="Arial"/>
          <w:b/>
          <w:bCs/>
          <w:szCs w:val="28"/>
        </w:rPr>
      </w:pPr>
      <w:r>
        <w:br w:type="page"/>
      </w:r>
    </w:p>
    <w:p w14:paraId="0A2A01E2" w14:textId="77777777" w:rsidR="006A0D97" w:rsidRPr="00F715D1" w:rsidRDefault="006A0D97" w:rsidP="00F715D1">
      <w:pPr>
        <w:pStyle w:val="Heading1"/>
      </w:pPr>
      <w:r w:rsidRPr="00F715D1">
        <w:lastRenderedPageBreak/>
        <w:t>Key issues from ESC for MSAC</w:t>
      </w:r>
    </w:p>
    <w:p w14:paraId="0896E15B" w14:textId="77777777" w:rsidR="00B11E47" w:rsidRPr="003B03E0" w:rsidRDefault="00B11E47" w:rsidP="00B11E47">
      <w:pPr>
        <w:tabs>
          <w:tab w:val="left" w:pos="2265"/>
          <w:tab w:val="left" w:pos="3420"/>
          <w:tab w:val="left" w:pos="4320"/>
        </w:tabs>
        <w:rPr>
          <w:b/>
          <w:szCs w:val="24"/>
        </w:rPr>
      </w:pPr>
      <w:r w:rsidRPr="003B03E0">
        <w:rPr>
          <w:b/>
          <w:szCs w:val="24"/>
        </w:rPr>
        <w:t xml:space="preserve">Key </w:t>
      </w:r>
      <w:r w:rsidR="00F15624">
        <w:rPr>
          <w:b/>
          <w:szCs w:val="24"/>
        </w:rPr>
        <w:t>i</w:t>
      </w:r>
      <w:r w:rsidRPr="003B03E0">
        <w:rPr>
          <w:b/>
          <w:szCs w:val="24"/>
        </w:rPr>
        <w:t>ssues from ESC to MSAC</w:t>
      </w:r>
    </w:p>
    <w:tbl>
      <w:tblPr>
        <w:tblW w:w="9024" w:type="dxa"/>
        <w:tblBorders>
          <w:top w:val="single" w:sz="8" w:space="0" w:color="FFFFFF"/>
          <w:left w:val="single" w:sz="8" w:space="0" w:color="FFFFFF"/>
          <w:bottom w:val="single" w:sz="8" w:space="0" w:color="FFFFFF"/>
          <w:right w:val="single" w:sz="8" w:space="0" w:color="FFFFFF"/>
          <w:insideH w:val="single" w:sz="24" w:space="0" w:color="FFFFFF"/>
          <w:insideV w:val="single" w:sz="8" w:space="0" w:color="FFFFFF"/>
        </w:tblBorders>
        <w:tblCellMar>
          <w:left w:w="0" w:type="dxa"/>
          <w:right w:w="0" w:type="dxa"/>
        </w:tblCellMar>
        <w:tblLook w:val="04A0" w:firstRow="1" w:lastRow="0" w:firstColumn="1" w:lastColumn="0" w:noHBand="0" w:noVBand="1"/>
      </w:tblPr>
      <w:tblGrid>
        <w:gridCol w:w="3637"/>
        <w:gridCol w:w="5387"/>
      </w:tblGrid>
      <w:tr w:rsidR="00B11E47" w:rsidRPr="00A769D5" w14:paraId="796238B3" w14:textId="77777777" w:rsidTr="000569BD">
        <w:trPr>
          <w:trHeight w:val="610"/>
        </w:trPr>
        <w:tc>
          <w:tcPr>
            <w:tcW w:w="3637" w:type="dxa"/>
            <w:shd w:val="clear" w:color="auto" w:fill="95B3D7" w:themeFill="accent1" w:themeFillTint="99"/>
            <w:tcMar>
              <w:top w:w="15" w:type="dxa"/>
              <w:left w:w="93" w:type="dxa"/>
              <w:bottom w:w="0" w:type="dxa"/>
              <w:right w:w="93" w:type="dxa"/>
            </w:tcMar>
            <w:vAlign w:val="center"/>
            <w:hideMark/>
          </w:tcPr>
          <w:p w14:paraId="1F501C44" w14:textId="77777777" w:rsidR="00B11E47" w:rsidRPr="00A769D5" w:rsidRDefault="00B11E47" w:rsidP="000569BD">
            <w:pPr>
              <w:rPr>
                <w:szCs w:val="24"/>
              </w:rPr>
            </w:pPr>
            <w:r w:rsidRPr="00A769D5">
              <w:rPr>
                <w:b/>
                <w:bCs/>
                <w:szCs w:val="24"/>
              </w:rPr>
              <w:t>ESC K</w:t>
            </w:r>
            <w:r w:rsidR="000569BD">
              <w:rPr>
                <w:b/>
                <w:bCs/>
                <w:szCs w:val="24"/>
              </w:rPr>
              <w:t>EY</w:t>
            </w:r>
            <w:r w:rsidRPr="00A769D5">
              <w:rPr>
                <w:b/>
                <w:bCs/>
                <w:szCs w:val="24"/>
              </w:rPr>
              <w:t xml:space="preserve"> ISSUES</w:t>
            </w:r>
          </w:p>
        </w:tc>
        <w:tc>
          <w:tcPr>
            <w:tcW w:w="5387" w:type="dxa"/>
            <w:shd w:val="clear" w:color="auto" w:fill="95B3D7" w:themeFill="accent1" w:themeFillTint="99"/>
            <w:tcMar>
              <w:top w:w="15" w:type="dxa"/>
              <w:left w:w="93" w:type="dxa"/>
              <w:bottom w:w="0" w:type="dxa"/>
              <w:right w:w="93" w:type="dxa"/>
            </w:tcMar>
            <w:vAlign w:val="center"/>
            <w:hideMark/>
          </w:tcPr>
          <w:p w14:paraId="5F592160" w14:textId="77777777" w:rsidR="00B11E47" w:rsidRPr="00A769D5" w:rsidRDefault="00B11E47" w:rsidP="00664DB5">
            <w:pPr>
              <w:rPr>
                <w:szCs w:val="24"/>
              </w:rPr>
            </w:pPr>
            <w:r w:rsidRPr="00A769D5">
              <w:rPr>
                <w:b/>
                <w:bCs/>
                <w:szCs w:val="24"/>
              </w:rPr>
              <w:t>ESC ADVICE</w:t>
            </w:r>
          </w:p>
        </w:tc>
      </w:tr>
      <w:tr w:rsidR="00B11E47" w:rsidRPr="003B03E0" w14:paraId="7460A43B" w14:textId="77777777" w:rsidTr="000569BD">
        <w:trPr>
          <w:trHeight w:val="607"/>
        </w:trPr>
        <w:tc>
          <w:tcPr>
            <w:tcW w:w="3637" w:type="dxa"/>
            <w:shd w:val="clear" w:color="auto" w:fill="95B3D7" w:themeFill="accent1" w:themeFillTint="99"/>
            <w:tcMar>
              <w:top w:w="15" w:type="dxa"/>
              <w:left w:w="93" w:type="dxa"/>
              <w:bottom w:w="0" w:type="dxa"/>
              <w:right w:w="93" w:type="dxa"/>
            </w:tcMar>
            <w:vAlign w:val="center"/>
          </w:tcPr>
          <w:p w14:paraId="482624DC" w14:textId="77777777" w:rsidR="00B11E47" w:rsidRPr="003B03E0" w:rsidRDefault="00B11E47" w:rsidP="000569BD">
            <w:pPr>
              <w:rPr>
                <w:bCs/>
                <w:szCs w:val="24"/>
              </w:rPr>
            </w:pPr>
            <w:r w:rsidRPr="003B03E0">
              <w:rPr>
                <w:bCs/>
                <w:kern w:val="24"/>
                <w:szCs w:val="24"/>
              </w:rPr>
              <w:t>Large n</w:t>
            </w:r>
            <w:r w:rsidR="000569BD">
              <w:rPr>
                <w:bCs/>
                <w:kern w:val="24"/>
                <w:szCs w:val="24"/>
              </w:rPr>
              <w:t>umber</w:t>
            </w:r>
            <w:r w:rsidRPr="003B03E0">
              <w:rPr>
                <w:bCs/>
                <w:kern w:val="24"/>
                <w:szCs w:val="24"/>
              </w:rPr>
              <w:t xml:space="preserve"> of disorders, emerging data</w:t>
            </w:r>
          </w:p>
        </w:tc>
        <w:tc>
          <w:tcPr>
            <w:tcW w:w="5387" w:type="dxa"/>
            <w:shd w:val="clear" w:color="auto" w:fill="B8CCE4" w:themeFill="accent1" w:themeFillTint="66"/>
            <w:tcMar>
              <w:top w:w="15" w:type="dxa"/>
              <w:left w:w="93" w:type="dxa"/>
              <w:bottom w:w="0" w:type="dxa"/>
              <w:right w:w="93" w:type="dxa"/>
            </w:tcMar>
            <w:vAlign w:val="center"/>
          </w:tcPr>
          <w:p w14:paraId="7A60F33F" w14:textId="77777777" w:rsidR="00B11E47" w:rsidRPr="003B03E0" w:rsidRDefault="00B11E47" w:rsidP="000569BD">
            <w:pPr>
              <w:rPr>
                <w:bCs/>
                <w:szCs w:val="24"/>
              </w:rPr>
            </w:pPr>
            <w:r w:rsidRPr="003B03E0">
              <w:rPr>
                <w:kern w:val="24"/>
                <w:szCs w:val="24"/>
              </w:rPr>
              <w:t xml:space="preserve">Note breadth of diseases </w:t>
            </w:r>
            <w:r>
              <w:rPr>
                <w:kern w:val="24"/>
                <w:szCs w:val="24"/>
              </w:rPr>
              <w:t xml:space="preserve"> categorised together for this</w:t>
            </w:r>
            <w:r w:rsidRPr="003B03E0">
              <w:rPr>
                <w:kern w:val="24"/>
                <w:szCs w:val="24"/>
              </w:rPr>
              <w:t xml:space="preserve"> HTA consideration</w:t>
            </w:r>
          </w:p>
        </w:tc>
      </w:tr>
      <w:tr w:rsidR="00B11E47" w:rsidRPr="003B03E0" w14:paraId="6D6879F7" w14:textId="77777777" w:rsidTr="000569BD">
        <w:trPr>
          <w:trHeight w:val="607"/>
        </w:trPr>
        <w:tc>
          <w:tcPr>
            <w:tcW w:w="3637" w:type="dxa"/>
            <w:shd w:val="clear" w:color="auto" w:fill="95B3D7" w:themeFill="accent1" w:themeFillTint="99"/>
            <w:tcMar>
              <w:top w:w="15" w:type="dxa"/>
              <w:left w:w="93" w:type="dxa"/>
              <w:bottom w:w="0" w:type="dxa"/>
              <w:right w:w="93" w:type="dxa"/>
            </w:tcMar>
          </w:tcPr>
          <w:p w14:paraId="3A895E73" w14:textId="77777777" w:rsidR="00B11E47" w:rsidRPr="003B03E0" w:rsidRDefault="00B11E47" w:rsidP="00664DB5">
            <w:pPr>
              <w:rPr>
                <w:szCs w:val="24"/>
              </w:rPr>
            </w:pPr>
            <w:r w:rsidRPr="003B03E0">
              <w:rPr>
                <w:bCs/>
                <w:kern w:val="24"/>
                <w:szCs w:val="24"/>
              </w:rPr>
              <w:t xml:space="preserve">Australian data </w:t>
            </w:r>
            <w:r>
              <w:rPr>
                <w:bCs/>
                <w:kern w:val="24"/>
                <w:szCs w:val="24"/>
              </w:rPr>
              <w:t>with</w:t>
            </w:r>
            <w:r w:rsidRPr="003B03E0">
              <w:rPr>
                <w:bCs/>
                <w:kern w:val="24"/>
                <w:szCs w:val="24"/>
              </w:rPr>
              <w:t xml:space="preserve"> 1 centre/study</w:t>
            </w:r>
          </w:p>
        </w:tc>
        <w:tc>
          <w:tcPr>
            <w:tcW w:w="5387" w:type="dxa"/>
            <w:shd w:val="clear" w:color="auto" w:fill="B8CCE4" w:themeFill="accent1" w:themeFillTint="66"/>
            <w:tcMar>
              <w:top w:w="15" w:type="dxa"/>
              <w:left w:w="93" w:type="dxa"/>
              <w:bottom w:w="0" w:type="dxa"/>
              <w:right w:w="93" w:type="dxa"/>
            </w:tcMar>
          </w:tcPr>
          <w:p w14:paraId="42F934B9" w14:textId="77777777" w:rsidR="00B11E47" w:rsidRPr="003B03E0" w:rsidRDefault="00B11E47" w:rsidP="000569BD">
            <w:pPr>
              <w:rPr>
                <w:szCs w:val="24"/>
              </w:rPr>
            </w:pPr>
            <w:r w:rsidRPr="00C32AE9">
              <w:rPr>
                <w:kern w:val="24"/>
                <w:szCs w:val="24"/>
              </w:rPr>
              <w:t>Consider the applicability of Australian data that comes from only one study/centre</w:t>
            </w:r>
          </w:p>
        </w:tc>
      </w:tr>
      <w:tr w:rsidR="00B11E47" w:rsidRPr="003B03E0" w14:paraId="72CA8CC6" w14:textId="77777777" w:rsidTr="000569BD">
        <w:trPr>
          <w:trHeight w:val="607"/>
        </w:trPr>
        <w:tc>
          <w:tcPr>
            <w:tcW w:w="3637" w:type="dxa"/>
            <w:shd w:val="clear" w:color="auto" w:fill="95B3D7" w:themeFill="accent1" w:themeFillTint="99"/>
            <w:tcMar>
              <w:top w:w="15" w:type="dxa"/>
              <w:left w:w="93" w:type="dxa"/>
              <w:bottom w:w="0" w:type="dxa"/>
              <w:right w:w="93" w:type="dxa"/>
            </w:tcMar>
          </w:tcPr>
          <w:p w14:paraId="5C1BF3FC" w14:textId="77777777" w:rsidR="00B11E47" w:rsidRPr="003B03E0" w:rsidRDefault="00B11E47" w:rsidP="00664DB5">
            <w:pPr>
              <w:rPr>
                <w:bCs/>
                <w:kern w:val="24"/>
                <w:szCs w:val="24"/>
              </w:rPr>
            </w:pPr>
            <w:r w:rsidRPr="003B03E0">
              <w:rPr>
                <w:bCs/>
                <w:kern w:val="24"/>
                <w:szCs w:val="24"/>
                <w:lang w:val="en-US"/>
              </w:rPr>
              <w:t>Strength of evidence</w:t>
            </w:r>
          </w:p>
        </w:tc>
        <w:tc>
          <w:tcPr>
            <w:tcW w:w="5387" w:type="dxa"/>
            <w:shd w:val="clear" w:color="auto" w:fill="B8CCE4" w:themeFill="accent1" w:themeFillTint="66"/>
            <w:tcMar>
              <w:top w:w="15" w:type="dxa"/>
              <w:left w:w="93" w:type="dxa"/>
              <w:bottom w:w="0" w:type="dxa"/>
              <w:right w:w="93" w:type="dxa"/>
            </w:tcMar>
          </w:tcPr>
          <w:p w14:paraId="376C031B" w14:textId="77777777" w:rsidR="00B11E47" w:rsidRPr="003B03E0" w:rsidRDefault="00B11E47" w:rsidP="00664DB5">
            <w:pPr>
              <w:pStyle w:val="Bullet"/>
              <w:numPr>
                <w:ilvl w:val="0"/>
                <w:numId w:val="0"/>
              </w:numPr>
              <w:rPr>
                <w:color w:val="auto"/>
                <w:sz w:val="24"/>
                <w:szCs w:val="24"/>
              </w:rPr>
            </w:pPr>
            <w:r w:rsidRPr="003B03E0">
              <w:rPr>
                <w:bCs/>
                <w:color w:val="auto"/>
                <w:kern w:val="24"/>
                <w:sz w:val="24"/>
                <w:szCs w:val="24"/>
              </w:rPr>
              <w:t>C</w:t>
            </w:r>
            <w:r w:rsidRPr="003B03E0">
              <w:rPr>
                <w:color w:val="auto"/>
                <w:sz w:val="24"/>
                <w:szCs w:val="24"/>
                <w:lang w:val="en-US"/>
              </w:rPr>
              <w:t>consider whether the evidence base is robust enough to support a clinical claim of superiority – data</w:t>
            </w:r>
            <w:r w:rsidRPr="003B03E0">
              <w:rPr>
                <w:color w:val="auto"/>
                <w:sz w:val="24"/>
                <w:szCs w:val="24"/>
              </w:rPr>
              <w:t xml:space="preserve"> rest</w:t>
            </w:r>
            <w:r>
              <w:rPr>
                <w:color w:val="auto"/>
                <w:sz w:val="24"/>
                <w:szCs w:val="24"/>
              </w:rPr>
              <w:t>s</w:t>
            </w:r>
            <w:r w:rsidRPr="003B03E0">
              <w:rPr>
                <w:color w:val="auto"/>
                <w:sz w:val="24"/>
                <w:szCs w:val="24"/>
              </w:rPr>
              <w:t xml:space="preserve"> on one prospective clinical study with small sample sizes and treatment in parallel</w:t>
            </w:r>
          </w:p>
          <w:p w14:paraId="45C0069D" w14:textId="77777777" w:rsidR="00B11E47" w:rsidRPr="003B03E0" w:rsidRDefault="00B11E47" w:rsidP="000569BD">
            <w:pPr>
              <w:rPr>
                <w:szCs w:val="24"/>
              </w:rPr>
            </w:pPr>
            <w:r w:rsidRPr="003B03E0">
              <w:rPr>
                <w:szCs w:val="24"/>
              </w:rPr>
              <w:t xml:space="preserve">Consider including the cap of 2 reanalyses in the MBS </w:t>
            </w:r>
            <w:r w:rsidR="000569BD">
              <w:rPr>
                <w:szCs w:val="24"/>
              </w:rPr>
              <w:t>i</w:t>
            </w:r>
            <w:r w:rsidRPr="003B03E0">
              <w:rPr>
                <w:szCs w:val="24"/>
              </w:rPr>
              <w:t xml:space="preserve">tem </w:t>
            </w:r>
            <w:r w:rsidR="000569BD">
              <w:rPr>
                <w:szCs w:val="24"/>
              </w:rPr>
              <w:t>d</w:t>
            </w:r>
            <w:r w:rsidRPr="003B03E0">
              <w:rPr>
                <w:szCs w:val="24"/>
              </w:rPr>
              <w:t>escriptor – costs will be higher if there is no cap</w:t>
            </w:r>
          </w:p>
        </w:tc>
      </w:tr>
      <w:tr w:rsidR="00B11E47" w:rsidRPr="003B03E0" w14:paraId="4624592C" w14:textId="77777777" w:rsidTr="000569BD">
        <w:trPr>
          <w:trHeight w:val="1865"/>
        </w:trPr>
        <w:tc>
          <w:tcPr>
            <w:tcW w:w="3637" w:type="dxa"/>
            <w:shd w:val="clear" w:color="auto" w:fill="95B3D7" w:themeFill="accent1" w:themeFillTint="99"/>
            <w:tcMar>
              <w:top w:w="15" w:type="dxa"/>
              <w:left w:w="93" w:type="dxa"/>
              <w:bottom w:w="0" w:type="dxa"/>
              <w:right w:w="93" w:type="dxa"/>
            </w:tcMar>
          </w:tcPr>
          <w:p w14:paraId="5F877CAB" w14:textId="77777777" w:rsidR="00B11E47" w:rsidRPr="003B03E0" w:rsidRDefault="00B11E47" w:rsidP="000569BD">
            <w:pPr>
              <w:rPr>
                <w:bCs/>
                <w:szCs w:val="24"/>
              </w:rPr>
            </w:pPr>
            <w:r w:rsidRPr="003B03E0">
              <w:rPr>
                <w:bCs/>
                <w:szCs w:val="24"/>
              </w:rPr>
              <w:t xml:space="preserve">MBS </w:t>
            </w:r>
            <w:r w:rsidR="000569BD">
              <w:rPr>
                <w:bCs/>
                <w:szCs w:val="24"/>
              </w:rPr>
              <w:t>listing</w:t>
            </w:r>
          </w:p>
        </w:tc>
        <w:tc>
          <w:tcPr>
            <w:tcW w:w="5387" w:type="dxa"/>
            <w:shd w:val="clear" w:color="auto" w:fill="B8CCE4" w:themeFill="accent1" w:themeFillTint="66"/>
            <w:tcMar>
              <w:top w:w="15" w:type="dxa"/>
              <w:left w:w="93" w:type="dxa"/>
              <w:bottom w:w="0" w:type="dxa"/>
              <w:right w:w="93" w:type="dxa"/>
            </w:tcMar>
            <w:vAlign w:val="center"/>
          </w:tcPr>
          <w:p w14:paraId="6BC685F5" w14:textId="77777777" w:rsidR="00B11E47" w:rsidRPr="003B03E0" w:rsidRDefault="00B11E47" w:rsidP="00664DB5">
            <w:pPr>
              <w:pStyle w:val="Bullet"/>
              <w:numPr>
                <w:ilvl w:val="0"/>
                <w:numId w:val="0"/>
              </w:numPr>
              <w:rPr>
                <w:color w:val="auto"/>
                <w:sz w:val="24"/>
                <w:szCs w:val="24"/>
              </w:rPr>
            </w:pPr>
            <w:r w:rsidRPr="003B03E0">
              <w:rPr>
                <w:color w:val="auto"/>
                <w:sz w:val="24"/>
                <w:szCs w:val="24"/>
              </w:rPr>
              <w:t>Consider whether MBS listing would lead to leakage (lower threshold for testing, more children being tested), which would increase costs</w:t>
            </w:r>
          </w:p>
          <w:p w14:paraId="3A0E000A" w14:textId="77777777" w:rsidR="00B11E47" w:rsidRPr="003B03E0" w:rsidRDefault="00B11E47" w:rsidP="000569BD">
            <w:pPr>
              <w:pStyle w:val="BulletLast"/>
              <w:numPr>
                <w:ilvl w:val="0"/>
                <w:numId w:val="0"/>
              </w:numPr>
              <w:spacing w:after="0"/>
              <w:rPr>
                <w:color w:val="auto"/>
                <w:sz w:val="24"/>
                <w:szCs w:val="24"/>
              </w:rPr>
            </w:pPr>
            <w:r w:rsidRPr="003B03E0">
              <w:rPr>
                <w:color w:val="auto"/>
                <w:sz w:val="24"/>
                <w:szCs w:val="24"/>
              </w:rPr>
              <w:t xml:space="preserve">Consider whether MBS listing would lead to increased capacity for testing, which </w:t>
            </w:r>
            <w:r w:rsidR="000569BD">
              <w:rPr>
                <w:color w:val="auto"/>
                <w:sz w:val="24"/>
                <w:szCs w:val="24"/>
              </w:rPr>
              <w:t>would increase costs</w:t>
            </w:r>
          </w:p>
        </w:tc>
      </w:tr>
      <w:tr w:rsidR="00B11E47" w:rsidRPr="003B03E0" w14:paraId="5F68CD3C" w14:textId="77777777" w:rsidTr="000569BD">
        <w:trPr>
          <w:trHeight w:val="534"/>
        </w:trPr>
        <w:tc>
          <w:tcPr>
            <w:tcW w:w="3637" w:type="dxa"/>
            <w:shd w:val="clear" w:color="auto" w:fill="95B3D7" w:themeFill="accent1" w:themeFillTint="99"/>
            <w:tcMar>
              <w:top w:w="15" w:type="dxa"/>
              <w:left w:w="93" w:type="dxa"/>
              <w:bottom w:w="0" w:type="dxa"/>
              <w:right w:w="93" w:type="dxa"/>
            </w:tcMar>
            <w:hideMark/>
          </w:tcPr>
          <w:p w14:paraId="7B7DC925" w14:textId="77777777" w:rsidR="00B11E47" w:rsidRPr="003B03E0" w:rsidRDefault="00B11E47" w:rsidP="00664DB5">
            <w:pPr>
              <w:rPr>
                <w:szCs w:val="24"/>
              </w:rPr>
            </w:pPr>
            <w:r>
              <w:rPr>
                <w:bCs/>
                <w:szCs w:val="24"/>
              </w:rPr>
              <w:t>Note i</w:t>
            </w:r>
            <w:r w:rsidRPr="003B03E0">
              <w:rPr>
                <w:bCs/>
                <w:szCs w:val="24"/>
              </w:rPr>
              <w:t>ssues raised by PGTWG</w:t>
            </w:r>
          </w:p>
        </w:tc>
        <w:tc>
          <w:tcPr>
            <w:tcW w:w="5387" w:type="dxa"/>
            <w:shd w:val="clear" w:color="auto" w:fill="B8CCE4" w:themeFill="accent1" w:themeFillTint="66"/>
            <w:tcMar>
              <w:top w:w="15" w:type="dxa"/>
              <w:left w:w="93" w:type="dxa"/>
              <w:bottom w:w="0" w:type="dxa"/>
              <w:right w:w="93" w:type="dxa"/>
            </w:tcMar>
            <w:hideMark/>
          </w:tcPr>
          <w:p w14:paraId="239A7A51" w14:textId="77777777" w:rsidR="00B11E47" w:rsidRPr="00712560" w:rsidRDefault="00B11E47" w:rsidP="00B11E47">
            <w:pPr>
              <w:pStyle w:val="ListParagraph"/>
              <w:numPr>
                <w:ilvl w:val="0"/>
                <w:numId w:val="28"/>
              </w:numPr>
              <w:rPr>
                <w:szCs w:val="24"/>
              </w:rPr>
            </w:pPr>
            <w:r w:rsidRPr="00A769D5">
              <w:rPr>
                <w:kern w:val="24"/>
                <w:szCs w:val="24"/>
              </w:rPr>
              <w:t xml:space="preserve">Clinical </w:t>
            </w:r>
            <w:r w:rsidR="000569BD">
              <w:rPr>
                <w:kern w:val="24"/>
                <w:szCs w:val="24"/>
              </w:rPr>
              <w:t>u</w:t>
            </w:r>
            <w:r w:rsidRPr="00A769D5">
              <w:rPr>
                <w:kern w:val="24"/>
                <w:szCs w:val="24"/>
              </w:rPr>
              <w:t>tility</w:t>
            </w:r>
          </w:p>
          <w:p w14:paraId="78534239" w14:textId="77777777" w:rsidR="00B11E47" w:rsidRPr="00712560" w:rsidRDefault="000569BD" w:rsidP="00B11E47">
            <w:pPr>
              <w:pStyle w:val="ListParagraph"/>
              <w:numPr>
                <w:ilvl w:val="0"/>
                <w:numId w:val="28"/>
              </w:numPr>
              <w:rPr>
                <w:szCs w:val="24"/>
              </w:rPr>
            </w:pPr>
            <w:r>
              <w:rPr>
                <w:kern w:val="24"/>
                <w:szCs w:val="24"/>
              </w:rPr>
              <w:t>Prior test = microarray triage</w:t>
            </w:r>
          </w:p>
          <w:p w14:paraId="2D208BE1" w14:textId="77777777" w:rsidR="00B11E47" w:rsidRPr="00712560" w:rsidRDefault="000569BD" w:rsidP="00B11E47">
            <w:pPr>
              <w:pStyle w:val="ListParagraph"/>
              <w:numPr>
                <w:ilvl w:val="0"/>
                <w:numId w:val="28"/>
              </w:numPr>
              <w:rPr>
                <w:szCs w:val="24"/>
              </w:rPr>
            </w:pPr>
            <w:r>
              <w:rPr>
                <w:kern w:val="24"/>
                <w:szCs w:val="24"/>
              </w:rPr>
              <w:t>Analytical validity</w:t>
            </w:r>
          </w:p>
          <w:p w14:paraId="54A3044A" w14:textId="77777777" w:rsidR="00B11E47" w:rsidRPr="00712560" w:rsidRDefault="00B11E47" w:rsidP="00B11E47">
            <w:pPr>
              <w:pStyle w:val="ListParagraph"/>
              <w:numPr>
                <w:ilvl w:val="0"/>
                <w:numId w:val="28"/>
              </w:numPr>
              <w:rPr>
                <w:szCs w:val="24"/>
              </w:rPr>
            </w:pPr>
            <w:r w:rsidRPr="00A769D5">
              <w:rPr>
                <w:kern w:val="24"/>
                <w:szCs w:val="24"/>
              </w:rPr>
              <w:t>Re-analysis</w:t>
            </w:r>
          </w:p>
          <w:p w14:paraId="0CE864A6" w14:textId="77777777" w:rsidR="00B11E47" w:rsidRPr="00712560" w:rsidRDefault="000569BD" w:rsidP="00B11E47">
            <w:pPr>
              <w:pStyle w:val="ListParagraph"/>
              <w:numPr>
                <w:ilvl w:val="0"/>
                <w:numId w:val="28"/>
              </w:numPr>
              <w:rPr>
                <w:szCs w:val="24"/>
              </w:rPr>
            </w:pPr>
            <w:r>
              <w:rPr>
                <w:kern w:val="24"/>
                <w:szCs w:val="24"/>
              </w:rPr>
              <w:t>Capacity</w:t>
            </w:r>
          </w:p>
          <w:p w14:paraId="4A69FF02" w14:textId="77777777" w:rsidR="00B11E47" w:rsidRPr="00712560" w:rsidRDefault="00B11E47" w:rsidP="00B11E47">
            <w:pPr>
              <w:pStyle w:val="ListParagraph"/>
              <w:numPr>
                <w:ilvl w:val="0"/>
                <w:numId w:val="28"/>
              </w:numPr>
              <w:rPr>
                <w:szCs w:val="24"/>
              </w:rPr>
            </w:pPr>
            <w:r w:rsidRPr="00A769D5">
              <w:rPr>
                <w:kern w:val="24"/>
                <w:szCs w:val="24"/>
              </w:rPr>
              <w:t>WGS vs WES</w:t>
            </w:r>
          </w:p>
        </w:tc>
      </w:tr>
    </w:tbl>
    <w:p w14:paraId="52966B03" w14:textId="77777777" w:rsidR="00B11E47" w:rsidRPr="000569BD" w:rsidRDefault="00B11E47" w:rsidP="00B11E47">
      <w:pPr>
        <w:tabs>
          <w:tab w:val="left" w:pos="2265"/>
          <w:tab w:val="left" w:pos="3420"/>
          <w:tab w:val="left" w:pos="4320"/>
        </w:tabs>
      </w:pPr>
    </w:p>
    <w:p w14:paraId="05636E3D" w14:textId="7587BC9A" w:rsidR="00B11E47" w:rsidRPr="009A3D5C" w:rsidRDefault="00B11E47" w:rsidP="009A3D5C">
      <w:pPr>
        <w:tabs>
          <w:tab w:val="left" w:pos="2265"/>
          <w:tab w:val="left" w:pos="3420"/>
          <w:tab w:val="left" w:pos="4320"/>
        </w:tabs>
        <w:spacing w:after="240"/>
        <w:rPr>
          <w:b/>
        </w:rPr>
      </w:pPr>
      <w:r w:rsidRPr="003B03E0">
        <w:rPr>
          <w:b/>
        </w:rPr>
        <w:t xml:space="preserve">ESC </w:t>
      </w:r>
      <w:r w:rsidR="00F15624">
        <w:rPr>
          <w:b/>
        </w:rPr>
        <w:t>d</w:t>
      </w:r>
      <w:r w:rsidR="009A3D5C">
        <w:rPr>
          <w:b/>
        </w:rPr>
        <w:t>iscussion</w:t>
      </w:r>
      <w:r>
        <w:br/>
      </w:r>
      <w:r w:rsidRPr="003B03E0">
        <w:t xml:space="preserve">The application proposes MBS listing of </w:t>
      </w:r>
      <w:r w:rsidR="00F15624">
        <w:t xml:space="preserve">testing </w:t>
      </w:r>
      <w:r w:rsidRPr="003B03E0">
        <w:t xml:space="preserve">for three populations: 1) initial testing </w:t>
      </w:r>
      <w:r w:rsidR="00F15624">
        <w:t xml:space="preserve">using </w:t>
      </w:r>
      <w:r w:rsidR="00F15624" w:rsidRPr="003B03E0">
        <w:t>next generation whole exome analysis (WEA)</w:t>
      </w:r>
      <w:r w:rsidR="00F15624">
        <w:t xml:space="preserve"> </w:t>
      </w:r>
      <w:r w:rsidRPr="003B03E0">
        <w:t>for the diagnosis of childhood syndromes (</w:t>
      </w:r>
      <w:r w:rsidR="00F15624">
        <w:t xml:space="preserve">to detect </w:t>
      </w:r>
      <w:r w:rsidRPr="003B03E0">
        <w:t>proband</w:t>
      </w:r>
      <w:r w:rsidR="00F15624">
        <w:t>s</w:t>
      </w:r>
      <w:r w:rsidRPr="003B03E0">
        <w:t xml:space="preserve">); 2) re-interrogation analysis for patients who did not have a definite </w:t>
      </w:r>
      <w:r w:rsidR="00CE729A">
        <w:t xml:space="preserve">molecular </w:t>
      </w:r>
      <w:r w:rsidRPr="003B03E0">
        <w:t xml:space="preserve">diagnosis at initial </w:t>
      </w:r>
      <w:r w:rsidR="004C5A49">
        <w:t xml:space="preserve">WES </w:t>
      </w:r>
      <w:r w:rsidRPr="003B03E0">
        <w:t xml:space="preserve">testing; and 3) cascade testing </w:t>
      </w:r>
      <w:r w:rsidR="00F15624">
        <w:t>o</w:t>
      </w:r>
      <w:r w:rsidRPr="003B03E0">
        <w:t>f first-degree family members</w:t>
      </w:r>
      <w:r w:rsidR="00CE729A">
        <w:t xml:space="preserve"> of those affected </w:t>
      </w:r>
      <w:r w:rsidR="00CE729A" w:rsidRPr="00A64F0B">
        <w:t>individuals</w:t>
      </w:r>
      <w:r w:rsidR="00CE729A">
        <w:t xml:space="preserve"> who are confirmed as having a monogenic childhood syndrome</w:t>
      </w:r>
      <w:r w:rsidRPr="003B03E0">
        <w:t xml:space="preserve">. The frequency of reanalysis would be capped at 2, with a minimum 18-month interval. This involves reanalysing the bioinformatics, not re-performing the test. </w:t>
      </w:r>
    </w:p>
    <w:p w14:paraId="6268B8DD" w14:textId="735B5102" w:rsidR="00B11E47" w:rsidRPr="003B03E0" w:rsidRDefault="00B11E47" w:rsidP="009A3D5C">
      <w:pPr>
        <w:spacing w:after="240"/>
      </w:pPr>
      <w:r w:rsidRPr="003B03E0">
        <w:t>ESC noted the breadth of diseases that may be covered by this application. The monogenic syndromes targeted by the proposed WEA are a clinically and genetically heterogeneous group of disorders. The OMIM – a full term list of all genetic conditions and phenotypes – includes over 24,400 entries, making it difficult to develop a definitive list. In addition, approximately 50 new entries are added to OMIM each month, highlighting that this is an emerging and evolving field. The proposed upper limit of genes for testing is all genes known to cause Mendelian diseases. In practice, clinicians may propose a selection of genes based on the patient’s phenotype.</w:t>
      </w:r>
    </w:p>
    <w:p w14:paraId="2BD5B414" w14:textId="77A64374" w:rsidR="00B11E47" w:rsidRPr="003B03E0" w:rsidRDefault="00B11E47" w:rsidP="009A3D5C">
      <w:pPr>
        <w:spacing w:after="240"/>
      </w:pPr>
      <w:r w:rsidRPr="003B03E0">
        <w:lastRenderedPageBreak/>
        <w:t>The prevalence of variants causing childhood syndromes is unknown. It is estimated that 8% of the population has a rare disorder, and 8000–10,000 rare diseases are genetic. The global prevalence of all single gene diseases at birth is estimated at 10 per 10,000 births; however, this includes conditions such as cystic fibrosis, so is likely to be an overestimation. Within the target population, it is expected that about half will have a condition with a genetic cause. About a quarter to a half would be diagnosed by whole exome sequencing (W</w:t>
      </w:r>
      <w:r w:rsidR="009A3D5C">
        <w:t>ES).</w:t>
      </w:r>
    </w:p>
    <w:p w14:paraId="46F363C4" w14:textId="4F24F9F5" w:rsidR="00B11E47" w:rsidRPr="003B03E0" w:rsidRDefault="00B11E47" w:rsidP="009A3D5C">
      <w:pPr>
        <w:spacing w:after="240"/>
        <w:rPr>
          <w:szCs w:val="24"/>
        </w:rPr>
      </w:pPr>
      <w:r w:rsidRPr="003B03E0">
        <w:rPr>
          <w:szCs w:val="24"/>
        </w:rPr>
        <w:t>The clinical claim proposed by the applicant is that genetic testing via WEA in patients suspected of childhood syndromes is superior to standard care. The applicant argued that the overall claim is for superiority; therefore, a cost-effectiveness an</w:t>
      </w:r>
      <w:r w:rsidR="009A3D5C">
        <w:rPr>
          <w:szCs w:val="24"/>
        </w:rPr>
        <w:t xml:space="preserve">alysis was conducted. </w:t>
      </w:r>
    </w:p>
    <w:p w14:paraId="7E811962" w14:textId="3618A66E" w:rsidR="00B11E47" w:rsidRPr="003B03E0" w:rsidRDefault="00B11E47" w:rsidP="009A3D5C">
      <w:pPr>
        <w:spacing w:after="240"/>
      </w:pPr>
      <w:r w:rsidRPr="003B03E0">
        <w:t>ESC noted estimates for the proportions of affected individuals that would fall with</w:t>
      </w:r>
      <w:r w:rsidR="00FE7B20">
        <w:t>in the target populations. For P</w:t>
      </w:r>
      <w:r w:rsidRPr="003B03E0">
        <w:t>opulation 1 (initial diagnosis), estimates ranged from 40–50% (infants under 2 years referred to a paediatric hospital genetics department) to around 70% (children aged 2–18 years with a suspected monogenic disorder eli</w:t>
      </w:r>
      <w:r w:rsidR="009A3D5C">
        <w:t>gible for a prospective study).</w:t>
      </w:r>
    </w:p>
    <w:p w14:paraId="5853EF1D" w14:textId="05079DC4" w:rsidR="00B11E47" w:rsidRPr="003B03E0" w:rsidRDefault="00FE7B20" w:rsidP="009A3D5C">
      <w:pPr>
        <w:spacing w:after="240"/>
      </w:pPr>
      <w:r>
        <w:t>ESC noted for P</w:t>
      </w:r>
      <w:r w:rsidR="00B11E47" w:rsidRPr="003B03E0">
        <w:t>opulation 2 (re-interrogation analysis), an estimated 55–75% of patients would be elig</w:t>
      </w:r>
      <w:r>
        <w:t>ible for re-interrogation. For P</w:t>
      </w:r>
      <w:r w:rsidR="00B11E47" w:rsidRPr="003B03E0">
        <w:t xml:space="preserve">opulation 3 (cascade testing), an average of three first-degree family members per positive </w:t>
      </w:r>
      <w:r w:rsidR="00CE729A">
        <w:t xml:space="preserve">molecular </w:t>
      </w:r>
      <w:r w:rsidR="00B11E47" w:rsidRPr="003B03E0">
        <w:t>diagnosis would be eligible for cascade testing; however, it was noted that around 10% of fa</w:t>
      </w:r>
      <w:r w:rsidR="009A3D5C">
        <w:t>milies decline cascade testing.</w:t>
      </w:r>
    </w:p>
    <w:p w14:paraId="21031B55" w14:textId="37500730" w:rsidR="00F15624" w:rsidRPr="003B03E0" w:rsidRDefault="00B11E47" w:rsidP="009A3D5C">
      <w:pPr>
        <w:spacing w:after="240"/>
      </w:pPr>
      <w:r w:rsidRPr="003B03E0">
        <w:t xml:space="preserve">ESC agreed with the contracted assessment (CA) that WEA has a superior diagnostic yield to standard of care (SoC), although wide confidence intervals and high heterogeneity in some studies were noted. Australian prospective studies showed a higher diagnostic </w:t>
      </w:r>
      <w:r w:rsidR="00F15624">
        <w:t>yield</w:t>
      </w:r>
      <w:r w:rsidRPr="003B03E0">
        <w:t xml:space="preserve"> than studies from the UK and Canada, but the reason for this difference is unknown. Compared with Sanger sequencing, WES showed a false negative rate of 2%. However, the comparison was limited to genes with adequate coverage, so it was not possible to determine true analytical validity.</w:t>
      </w:r>
    </w:p>
    <w:p w14:paraId="183A167F" w14:textId="51E682F4" w:rsidR="00B11E47" w:rsidRPr="003B03E0" w:rsidRDefault="00B11E47" w:rsidP="009A3D5C">
      <w:pPr>
        <w:spacing w:after="240"/>
      </w:pPr>
      <w:r w:rsidRPr="003B03E0">
        <w:t xml:space="preserve">ESC agreed with the CA that, </w:t>
      </w:r>
      <w:r w:rsidR="00F15624" w:rsidRPr="003B03E0">
        <w:t xml:space="preserve">compared with SoC </w:t>
      </w:r>
      <w:r w:rsidRPr="003B03E0">
        <w:t>overall, WEA appeared to lead to change</w:t>
      </w:r>
      <w:r w:rsidR="00F15624">
        <w:t>s</w:t>
      </w:r>
      <w:r w:rsidRPr="003B03E0">
        <w:t xml:space="preserve"> in clinical management, shorten the time to diagnosis, and provide patient and family-relevant benefits. The main benefit of genetic diagnoses is cessation of further investigations and procedures. Studies showed about a third of Australian patients who were diagnosed by WES had a change in their clinical management (initiation or cessation of treatment or surveillance, or modified treatment regimen). However, there was high heterogeneity between studies. Anecdotal benefits reported in the literature include preventing further disease progression, improved management and reduced number of hospital ad</w:t>
      </w:r>
      <w:r w:rsidR="00FE7B20">
        <w:t>missions. The main benefit for P</w:t>
      </w:r>
      <w:r w:rsidRPr="003B03E0">
        <w:t xml:space="preserve">opulation 3 (cascade testing) was restoration of reproductive confidence. WEA identified more families at high risk of recurrence than standard diagnostic investigations. Early identification of couples at high or low risk allows them to make decisions about their reproductive choices (eg use of preimplantation genetic testing). However, ESC noted that the clinical evidence involved small numbers of patients from a single centre in Australia, so </w:t>
      </w:r>
      <w:r w:rsidR="00F15624">
        <w:t xml:space="preserve">the </w:t>
      </w:r>
      <w:r w:rsidRPr="003B03E0">
        <w:t xml:space="preserve">generalisability </w:t>
      </w:r>
      <w:r w:rsidR="00F15624">
        <w:t>of these results was uncertain.</w:t>
      </w:r>
    </w:p>
    <w:p w14:paraId="7F77147C" w14:textId="390F5379" w:rsidR="00B11E47" w:rsidRPr="003B03E0" w:rsidRDefault="00B11E47" w:rsidP="009A3D5C">
      <w:pPr>
        <w:spacing w:after="240"/>
      </w:pPr>
      <w:r w:rsidRPr="003B03E0">
        <w:t>ESC noted results from an RCT of rapid whole genome sequencing (rWGS) with standard testing compared to standard testing alone. Almost a third of patients had a change in management but there was no significant difference between the two groups. However, rWGS is a different technology to WES</w:t>
      </w:r>
      <w:r w:rsidR="00F15624">
        <w:t>,</w:t>
      </w:r>
      <w:r w:rsidRPr="003B03E0">
        <w:t xml:space="preserve"> so the applicability</w:t>
      </w:r>
      <w:r w:rsidR="009A3D5C">
        <w:t xml:space="preserve"> of these results is uncertain.</w:t>
      </w:r>
    </w:p>
    <w:p w14:paraId="102C9B36" w14:textId="4327E64A" w:rsidR="00F15624" w:rsidRPr="003B03E0" w:rsidRDefault="00B11E47" w:rsidP="009A3D5C">
      <w:pPr>
        <w:spacing w:after="240"/>
      </w:pPr>
      <w:r w:rsidRPr="003B03E0">
        <w:t xml:space="preserve">Regarding utilisation of health resources, ESC noted the Australian study showing that although WEA resulted in a significant difference in clinical trajectory, utilisation of hospital services was not different after </w:t>
      </w:r>
      <w:r w:rsidR="00CE729A">
        <w:t xml:space="preserve">molecular </w:t>
      </w:r>
      <w:r w:rsidRPr="003B03E0">
        <w:t xml:space="preserve">diagnosis. Although the study was limited by a </w:t>
      </w:r>
      <w:r w:rsidRPr="003B03E0">
        <w:lastRenderedPageBreak/>
        <w:t>small sample size, it seems WEA can improve patient management without significantly increasing healthcare c</w:t>
      </w:r>
      <w:r w:rsidR="00FE7B20">
        <w:t>osts. Health resource costs in P</w:t>
      </w:r>
      <w:r w:rsidRPr="003B03E0">
        <w:t>opulation 3 (cascade testing) depend on the diagnosis (e.g. changes in treatment, use of reproductive genetic services, termination).</w:t>
      </w:r>
    </w:p>
    <w:p w14:paraId="4CAB0E1C" w14:textId="464AE0F8" w:rsidR="00B11E47" w:rsidRPr="003B03E0" w:rsidRDefault="00B11E47" w:rsidP="009A3D5C">
      <w:pPr>
        <w:spacing w:after="240"/>
      </w:pPr>
      <w:r w:rsidRPr="003B03E0">
        <w:t>ESC noted that the impact on quality of life of a positive diagnosis or negative findings after WEA was not repo</w:t>
      </w:r>
      <w:r w:rsidR="009A3D5C">
        <w:t>rted in the studies identified.</w:t>
      </w:r>
    </w:p>
    <w:p w14:paraId="594916B2" w14:textId="77777777" w:rsidR="00B11E47" w:rsidRPr="003B03E0" w:rsidRDefault="00B11E47" w:rsidP="00B11E47">
      <w:pPr>
        <w:spacing w:after="120"/>
      </w:pPr>
      <w:r w:rsidRPr="003B03E0">
        <w:t>ESC noted the following feedback from the Predisposition Genetic Testing Working Group (PGTWG) on other significant factors:</w:t>
      </w:r>
    </w:p>
    <w:p w14:paraId="63F8924A" w14:textId="77777777" w:rsidR="00B11E47" w:rsidRPr="00F15624" w:rsidRDefault="00B11E47" w:rsidP="00B11E47">
      <w:pPr>
        <w:pStyle w:val="Bullet"/>
        <w:ind w:left="1080"/>
        <w:rPr>
          <w:color w:val="auto"/>
          <w:sz w:val="24"/>
          <w:szCs w:val="24"/>
        </w:rPr>
      </w:pPr>
      <w:r w:rsidRPr="00F15624">
        <w:rPr>
          <w:color w:val="auto"/>
          <w:sz w:val="24"/>
          <w:szCs w:val="24"/>
        </w:rPr>
        <w:t xml:space="preserve">Clinical utility is difficult to quantify for multiple diseases. Utility should be ranked in terms of what changes health outcomes for patients; that is, </w:t>
      </w:r>
      <w:r w:rsidR="0006133A">
        <w:rPr>
          <w:color w:val="auto"/>
          <w:sz w:val="24"/>
          <w:szCs w:val="24"/>
        </w:rPr>
        <w:t xml:space="preserve">over </w:t>
      </w:r>
      <w:r w:rsidRPr="00F15624">
        <w:rPr>
          <w:color w:val="auto"/>
          <w:sz w:val="24"/>
          <w:szCs w:val="24"/>
        </w:rPr>
        <w:t>enabling more informed family planning decisions, reducing the diagnostic odyss</w:t>
      </w:r>
      <w:r w:rsidR="00F15624">
        <w:rPr>
          <w:color w:val="auto"/>
          <w:sz w:val="24"/>
          <w:szCs w:val="24"/>
        </w:rPr>
        <w:t xml:space="preserve">ey </w:t>
      </w:r>
      <w:r w:rsidR="0006133A">
        <w:rPr>
          <w:color w:val="auto"/>
          <w:sz w:val="24"/>
          <w:szCs w:val="24"/>
        </w:rPr>
        <w:t>or</w:t>
      </w:r>
      <w:r w:rsidR="00F15624">
        <w:rPr>
          <w:color w:val="auto"/>
          <w:sz w:val="24"/>
          <w:szCs w:val="24"/>
        </w:rPr>
        <w:t xml:space="preserve"> providing peace of mind.</w:t>
      </w:r>
    </w:p>
    <w:p w14:paraId="521102BD" w14:textId="77777777" w:rsidR="00B11E47" w:rsidRPr="00F15624" w:rsidRDefault="00B11E47" w:rsidP="00B11E47">
      <w:pPr>
        <w:pStyle w:val="Bullet"/>
        <w:ind w:left="1080"/>
        <w:rPr>
          <w:color w:val="auto"/>
          <w:sz w:val="24"/>
          <w:szCs w:val="24"/>
        </w:rPr>
      </w:pPr>
      <w:r w:rsidRPr="00F15624">
        <w:rPr>
          <w:color w:val="auto"/>
          <w:sz w:val="24"/>
          <w:szCs w:val="24"/>
        </w:rPr>
        <w:t>More detail is required o</w:t>
      </w:r>
      <w:r w:rsidR="00F15624">
        <w:rPr>
          <w:color w:val="auto"/>
          <w:sz w:val="24"/>
          <w:szCs w:val="24"/>
        </w:rPr>
        <w:t xml:space="preserve">n </w:t>
      </w:r>
      <w:r w:rsidR="0006133A">
        <w:rPr>
          <w:color w:val="auto"/>
          <w:sz w:val="24"/>
          <w:szCs w:val="24"/>
        </w:rPr>
        <w:t xml:space="preserve">the </w:t>
      </w:r>
      <w:r w:rsidR="00F15624">
        <w:rPr>
          <w:color w:val="auto"/>
          <w:sz w:val="24"/>
          <w:szCs w:val="24"/>
        </w:rPr>
        <w:t>microarray triage before WES.</w:t>
      </w:r>
    </w:p>
    <w:p w14:paraId="71A2EF0A" w14:textId="77777777" w:rsidR="00B11E47" w:rsidRPr="00F15624" w:rsidRDefault="00B11E47" w:rsidP="00B11E47">
      <w:pPr>
        <w:pStyle w:val="Bullet"/>
        <w:ind w:left="1080"/>
        <w:rPr>
          <w:color w:val="auto"/>
          <w:sz w:val="24"/>
          <w:szCs w:val="24"/>
        </w:rPr>
      </w:pPr>
      <w:r w:rsidRPr="00F15624">
        <w:rPr>
          <w:color w:val="auto"/>
          <w:sz w:val="24"/>
          <w:szCs w:val="24"/>
        </w:rPr>
        <w:t xml:space="preserve">In many cases, a </w:t>
      </w:r>
      <w:r w:rsidR="00CE729A">
        <w:rPr>
          <w:color w:val="auto"/>
          <w:sz w:val="24"/>
          <w:szCs w:val="24"/>
        </w:rPr>
        <w:t>molecular</w:t>
      </w:r>
      <w:r w:rsidRPr="00F15624">
        <w:rPr>
          <w:color w:val="auto"/>
          <w:sz w:val="24"/>
          <w:szCs w:val="24"/>
        </w:rPr>
        <w:t xml:space="preserve"> diagnosis made by WES will need to be confir</w:t>
      </w:r>
      <w:r w:rsidR="00F15624">
        <w:rPr>
          <w:color w:val="auto"/>
          <w:sz w:val="24"/>
          <w:szCs w:val="24"/>
        </w:rPr>
        <w:t>med by a second testing method.</w:t>
      </w:r>
    </w:p>
    <w:p w14:paraId="12B93F6F" w14:textId="77777777" w:rsidR="00B11E47" w:rsidRPr="00F15624" w:rsidRDefault="00B11E47" w:rsidP="00B11E47">
      <w:pPr>
        <w:pStyle w:val="Bullet"/>
        <w:ind w:left="1080"/>
        <w:rPr>
          <w:color w:val="auto"/>
          <w:sz w:val="24"/>
          <w:szCs w:val="24"/>
        </w:rPr>
      </w:pPr>
      <w:r w:rsidRPr="00F15624">
        <w:rPr>
          <w:color w:val="auto"/>
          <w:sz w:val="24"/>
          <w:szCs w:val="24"/>
        </w:rPr>
        <w:t>Reanalysis should be limited to the set of childhood syndromes to minimise the likelihood of incidental findings that would add to t</w:t>
      </w:r>
      <w:r w:rsidR="00F15624">
        <w:rPr>
          <w:color w:val="auto"/>
          <w:sz w:val="24"/>
          <w:szCs w:val="24"/>
        </w:rPr>
        <w:t>he patient’s/family’s concerns.</w:t>
      </w:r>
    </w:p>
    <w:p w14:paraId="67C32EE8" w14:textId="77777777" w:rsidR="00B11E47" w:rsidRPr="00F15624" w:rsidRDefault="00B11E47" w:rsidP="00B11E47">
      <w:pPr>
        <w:pStyle w:val="Bullet"/>
        <w:ind w:left="1080"/>
        <w:rPr>
          <w:color w:val="auto"/>
          <w:sz w:val="24"/>
          <w:szCs w:val="24"/>
        </w:rPr>
      </w:pPr>
      <w:r w:rsidRPr="00F15624">
        <w:rPr>
          <w:color w:val="auto"/>
          <w:sz w:val="24"/>
          <w:szCs w:val="24"/>
        </w:rPr>
        <w:t>There are possible capacity constraints on WES testing in Australia. There are only four clinical diagnostic laboratories currently providing National Association of Testing Authorities (NATA)-accredited serv</w:t>
      </w:r>
      <w:r w:rsidR="00F15624">
        <w:rPr>
          <w:color w:val="auto"/>
          <w:sz w:val="24"/>
          <w:szCs w:val="24"/>
        </w:rPr>
        <w:t>ices for WES.</w:t>
      </w:r>
    </w:p>
    <w:p w14:paraId="45EB7337" w14:textId="77777777" w:rsidR="00B11E47" w:rsidRPr="00F15624" w:rsidRDefault="00B11E47" w:rsidP="00B11E47">
      <w:pPr>
        <w:pStyle w:val="BulletLast"/>
        <w:ind w:left="1080"/>
        <w:rPr>
          <w:color w:val="auto"/>
          <w:sz w:val="24"/>
          <w:szCs w:val="24"/>
        </w:rPr>
      </w:pPr>
      <w:r w:rsidRPr="00F15624">
        <w:rPr>
          <w:color w:val="auto"/>
          <w:sz w:val="24"/>
          <w:szCs w:val="24"/>
        </w:rPr>
        <w:t>Whole genome sequencing (WGS) is superior</w:t>
      </w:r>
      <w:r w:rsidR="00F15624">
        <w:rPr>
          <w:color w:val="auto"/>
          <w:sz w:val="24"/>
          <w:szCs w:val="24"/>
        </w:rPr>
        <w:t xml:space="preserve"> to WES in terms of </w:t>
      </w:r>
      <w:r w:rsidR="0006133A">
        <w:rPr>
          <w:color w:val="auto"/>
          <w:sz w:val="24"/>
          <w:szCs w:val="24"/>
        </w:rPr>
        <w:t>diagnostic yield</w:t>
      </w:r>
      <w:r w:rsidR="00F15624">
        <w:rPr>
          <w:color w:val="auto"/>
          <w:sz w:val="24"/>
          <w:szCs w:val="24"/>
        </w:rPr>
        <w:t>.</w:t>
      </w:r>
    </w:p>
    <w:p w14:paraId="1AFB24D7" w14:textId="02139DE8" w:rsidR="00B11E47" w:rsidRPr="009A3D5C" w:rsidRDefault="00B11E47" w:rsidP="009A3D5C">
      <w:pPr>
        <w:pStyle w:val="BulletBeforeDash"/>
        <w:numPr>
          <w:ilvl w:val="0"/>
          <w:numId w:val="0"/>
        </w:numPr>
        <w:spacing w:after="240"/>
        <w:rPr>
          <w:color w:val="auto"/>
          <w:sz w:val="24"/>
          <w:szCs w:val="24"/>
        </w:rPr>
      </w:pPr>
      <w:r w:rsidRPr="00F15624">
        <w:rPr>
          <w:color w:val="auto"/>
          <w:sz w:val="24"/>
          <w:szCs w:val="24"/>
        </w:rPr>
        <w:t>ESC noted that WGS is more expensive than WES and that there is debate about whether WGS is superior to WES. ESC also noted that WES testing is an emerging technology and only done by a few laboratories. If funding is limited to WES then testing would be limited</w:t>
      </w:r>
      <w:r w:rsidR="009A3D5C">
        <w:rPr>
          <w:color w:val="auto"/>
          <w:sz w:val="24"/>
          <w:szCs w:val="24"/>
        </w:rPr>
        <w:t xml:space="preserve"> to only those centres.</w:t>
      </w:r>
    </w:p>
    <w:p w14:paraId="1E699724" w14:textId="175ADBE3" w:rsidR="00B11E47" w:rsidRPr="009A3D5C" w:rsidRDefault="00B11E47" w:rsidP="009A3D5C">
      <w:pPr>
        <w:spacing w:after="240"/>
        <w:rPr>
          <w:szCs w:val="24"/>
        </w:rPr>
      </w:pPr>
      <w:r w:rsidRPr="003B03E0">
        <w:rPr>
          <w:szCs w:val="24"/>
        </w:rPr>
        <w:t>The economic evaluation focused on data from three Australian studies, based on a</w:t>
      </w:r>
      <w:r w:rsidR="0006133A">
        <w:rPr>
          <w:szCs w:val="24"/>
        </w:rPr>
        <w:t xml:space="preserve"> single study by Stark in 2016.</w:t>
      </w:r>
    </w:p>
    <w:p w14:paraId="22E5EF60" w14:textId="73ED5816" w:rsidR="0006133A" w:rsidRDefault="00B11E47" w:rsidP="009A3D5C">
      <w:pPr>
        <w:spacing w:after="240"/>
        <w:rPr>
          <w:szCs w:val="24"/>
        </w:rPr>
      </w:pPr>
      <w:r w:rsidRPr="003B03E0">
        <w:rPr>
          <w:szCs w:val="24"/>
        </w:rPr>
        <w:t>ESC noted that</w:t>
      </w:r>
      <w:r w:rsidR="0006133A">
        <w:rPr>
          <w:szCs w:val="24"/>
        </w:rPr>
        <w:t>,</w:t>
      </w:r>
      <w:r w:rsidRPr="003B03E0">
        <w:rPr>
          <w:szCs w:val="24"/>
        </w:rPr>
        <w:t xml:space="preserve"> </w:t>
      </w:r>
      <w:r w:rsidRPr="003B03E0">
        <w:rPr>
          <w:szCs w:val="24"/>
          <w:lang w:val="en-US"/>
        </w:rPr>
        <w:t xml:space="preserve">although WES appears to </w:t>
      </w:r>
      <w:r w:rsidRPr="003B03E0">
        <w:rPr>
          <w:szCs w:val="24"/>
        </w:rPr>
        <w:t>be</w:t>
      </w:r>
      <w:r w:rsidRPr="003B03E0">
        <w:rPr>
          <w:szCs w:val="24"/>
          <w:lang w:val="en-US"/>
        </w:rPr>
        <w:t xml:space="preserve"> cost-effective when compared to SoC, there are some uncertainties about the quality of the evidence.</w:t>
      </w:r>
      <w:r w:rsidRPr="003B03E0" w:rsidDel="002245B2">
        <w:rPr>
          <w:szCs w:val="24"/>
        </w:rPr>
        <w:t xml:space="preserve"> </w:t>
      </w:r>
      <w:r w:rsidRPr="003B03E0">
        <w:rPr>
          <w:szCs w:val="24"/>
        </w:rPr>
        <w:t>The Stark 2016 study was biased by some clinicians not performing all the SoC genetic tests due to financial constraints. Assumptions were therefore made about what would happen if all tests were done.</w:t>
      </w:r>
    </w:p>
    <w:p w14:paraId="74645A04" w14:textId="215C99A1" w:rsidR="00B11E47" w:rsidRPr="009A3D5C" w:rsidRDefault="00B11E47" w:rsidP="009A3D5C">
      <w:pPr>
        <w:spacing w:after="240"/>
        <w:rPr>
          <w:szCs w:val="24"/>
        </w:rPr>
      </w:pPr>
      <w:r w:rsidRPr="003B03E0">
        <w:rPr>
          <w:szCs w:val="24"/>
        </w:rPr>
        <w:t>The economic evaluation assumed diagnostic yield of 55% for WES and 27.5% for SoC. The meta-analysis of diagnostic sensitivity demonstrated moderate to severe</w:t>
      </w:r>
      <w:r w:rsidR="009A3D5C">
        <w:rPr>
          <w:szCs w:val="24"/>
        </w:rPr>
        <w:t xml:space="preserve"> heterogeneity between studies.</w:t>
      </w:r>
    </w:p>
    <w:p w14:paraId="48DE491C" w14:textId="77777777" w:rsidR="00B11E47" w:rsidRPr="003B03E0" w:rsidRDefault="00B11E47" w:rsidP="00B11E47">
      <w:pPr>
        <w:spacing w:after="120"/>
      </w:pPr>
      <w:r w:rsidRPr="003B03E0">
        <w:t>ESC noted that the key translation issues in the model were:</w:t>
      </w:r>
    </w:p>
    <w:p w14:paraId="12A7822E" w14:textId="77777777" w:rsidR="00B11E47" w:rsidRPr="003B03E0" w:rsidRDefault="00B11E47" w:rsidP="00B11E47">
      <w:pPr>
        <w:pStyle w:val="Bullet"/>
        <w:ind w:left="1080"/>
        <w:rPr>
          <w:color w:val="auto"/>
        </w:rPr>
      </w:pPr>
      <w:r w:rsidRPr="003B03E0">
        <w:rPr>
          <w:color w:val="auto"/>
        </w:rPr>
        <w:t xml:space="preserve">applicability – the key study involved patients aged 0–2 years, and there is no information on the applicability of this subgroup to the </w:t>
      </w:r>
      <w:r w:rsidR="0006133A">
        <w:rPr>
          <w:color w:val="auto"/>
        </w:rPr>
        <w:t xml:space="preserve">proposed </w:t>
      </w:r>
      <w:r w:rsidRPr="003B03E0">
        <w:rPr>
          <w:color w:val="auto"/>
        </w:rPr>
        <w:t>MBS population (0–18 years); subgroup analysis could have been done</w:t>
      </w:r>
    </w:p>
    <w:p w14:paraId="3F39CB5E" w14:textId="77777777" w:rsidR="00B11E47" w:rsidRPr="003B03E0" w:rsidRDefault="00B11E47" w:rsidP="00B11E47">
      <w:pPr>
        <w:pStyle w:val="Bullet"/>
        <w:ind w:left="1080"/>
        <w:rPr>
          <w:color w:val="auto"/>
        </w:rPr>
      </w:pPr>
      <w:r w:rsidRPr="003B03E0">
        <w:rPr>
          <w:color w:val="auto"/>
        </w:rPr>
        <w:t>transformation – utility scores could not be verified, but the incremental gain is small</w:t>
      </w:r>
    </w:p>
    <w:p w14:paraId="273BB8E1" w14:textId="77777777" w:rsidR="00B11E47" w:rsidRPr="003B03E0" w:rsidRDefault="0006133A" w:rsidP="00B11E47">
      <w:pPr>
        <w:pStyle w:val="Bullet"/>
        <w:ind w:left="1080"/>
        <w:rPr>
          <w:color w:val="auto"/>
        </w:rPr>
      </w:pPr>
      <w:r>
        <w:rPr>
          <w:color w:val="auto"/>
        </w:rPr>
        <w:t xml:space="preserve">other </w:t>
      </w:r>
      <w:r w:rsidR="00B11E47" w:rsidRPr="003B03E0">
        <w:rPr>
          <w:color w:val="auto"/>
        </w:rPr>
        <w:t>translation – time to definitive diagnosis is a key driver of the economic model but was not reported in Australian studies; it was assumed to be 5 months for WEA (based on expert opinion) and 22 months for</w:t>
      </w:r>
      <w:r w:rsidR="00B11E47" w:rsidRPr="003B03E0" w:rsidDel="000072FC">
        <w:rPr>
          <w:color w:val="auto"/>
        </w:rPr>
        <w:t xml:space="preserve"> </w:t>
      </w:r>
      <w:r>
        <w:rPr>
          <w:color w:val="auto"/>
        </w:rPr>
        <w:t>SoC</w:t>
      </w:r>
    </w:p>
    <w:p w14:paraId="39306083" w14:textId="77777777" w:rsidR="00B11E47" w:rsidRPr="003B03E0" w:rsidRDefault="00B11E47" w:rsidP="00B11E47">
      <w:pPr>
        <w:pStyle w:val="BulletLast"/>
        <w:ind w:left="1080"/>
        <w:rPr>
          <w:color w:val="auto"/>
        </w:rPr>
      </w:pPr>
      <w:r w:rsidRPr="003B03E0">
        <w:rPr>
          <w:color w:val="auto"/>
        </w:rPr>
        <w:lastRenderedPageBreak/>
        <w:t>time horizon – 10 years is not justified; the median time to report and median follow-up total around 19 months, and longer-term costs and utility changes were n</w:t>
      </w:r>
      <w:r w:rsidR="0006133A">
        <w:rPr>
          <w:color w:val="auto"/>
        </w:rPr>
        <w:t>ot considered so are uncertain.</w:t>
      </w:r>
    </w:p>
    <w:p w14:paraId="04EDA950" w14:textId="731FE3F5" w:rsidR="00B11E47" w:rsidRPr="003B03E0" w:rsidRDefault="00B11E47" w:rsidP="009A3D5C">
      <w:pPr>
        <w:spacing w:after="240"/>
      </w:pPr>
      <w:r w:rsidRPr="003B03E0">
        <w:t>Costs are the main driver of the economic model. Most of the cost occurs in the initial testing phase and then becomes a maintenance cost. The period of testing, or time to diagnosis, therefore has a major influence on the model. The model includes the cost of reanalysis every 18 months, assuming that every person with a negative test would have reanalysis. It also assumes that this frequency of testing continues indefinitely, although the application proposes that reanalyses are capped at 2. Estimates of cumulativ</w:t>
      </w:r>
      <w:r w:rsidR="0006133A">
        <w:t>e cost are therefore uncertain.</w:t>
      </w:r>
    </w:p>
    <w:p w14:paraId="05CF40E2" w14:textId="1C8C450D" w:rsidR="00B11E47" w:rsidRPr="003B03E0" w:rsidRDefault="00B11E47" w:rsidP="009A3D5C">
      <w:pPr>
        <w:spacing w:after="240"/>
      </w:pPr>
      <w:r w:rsidRPr="003B03E0">
        <w:t xml:space="preserve">ESC queried whether reanalysis after 18 months would be done for all children with a negative result, or whether the clinical panel would decide which children are eligible for reanalysis. This was not clear in the application. ESC also discussed whether the false negative rate for WES of 2% quoted by the clinical discussant would lead to reanalysis for reasons other than new genes or variants and agreed that it </w:t>
      </w:r>
      <w:r w:rsidR="0006133A">
        <w:t>would be</w:t>
      </w:r>
      <w:r w:rsidRPr="003B03E0">
        <w:t xml:space="preserve"> a possibility. However, there will always be false negatives, and technologies change over time so there wi</w:t>
      </w:r>
      <w:r w:rsidR="0006133A">
        <w:t>ll always be reasons to retest.</w:t>
      </w:r>
    </w:p>
    <w:p w14:paraId="346AC503" w14:textId="015F6911" w:rsidR="00B11E47" w:rsidRPr="003B03E0" w:rsidRDefault="00B11E47" w:rsidP="009A3D5C">
      <w:pPr>
        <w:spacing w:after="240"/>
      </w:pPr>
      <w:r w:rsidRPr="003B03E0">
        <w:t xml:space="preserve">Given the uncertainty in the model, ESC queried whether a within-trial ICER may be more appropriate. Sensitivity analysis by the discussant showed that the ICER increases if WES time to diagnosis is increased or SoC time to diagnosis is reduced, and there is a moderate change if the time horizon is limited to 2 years. ESC noted that the ICERs seemed reasonable, but noted </w:t>
      </w:r>
      <w:r w:rsidR="0006133A">
        <w:t>the uncertainties in the model.</w:t>
      </w:r>
    </w:p>
    <w:p w14:paraId="5B1D6CF7" w14:textId="63156957" w:rsidR="00B11E47" w:rsidRPr="003B03E0" w:rsidRDefault="00B11E47" w:rsidP="009A3D5C">
      <w:pPr>
        <w:spacing w:after="240"/>
      </w:pPr>
      <w:r w:rsidRPr="003B03E0">
        <w:t>ESC noted that the sensitivity analysis in the evaluation was based on the reproductive benefits to parents however that there is very little i</w:t>
      </w:r>
      <w:r w:rsidR="009A3D5C">
        <w:t>nformation about this analysis.</w:t>
      </w:r>
    </w:p>
    <w:p w14:paraId="3A56C28A" w14:textId="640E84EA" w:rsidR="00B11E47" w:rsidRPr="003B03E0" w:rsidRDefault="00B11E47" w:rsidP="009A3D5C">
      <w:pPr>
        <w:spacing w:after="240"/>
      </w:pPr>
      <w:r w:rsidRPr="003B03E0">
        <w:t xml:space="preserve">ESC noted that the incremental benefit of WEA in terms of quality-adjusted life years (QALYs) gained is small and accumulates over time and it is mainly driven by retesting of children </w:t>
      </w:r>
      <w:r w:rsidR="0006133A">
        <w:t>who originally tested negative.</w:t>
      </w:r>
    </w:p>
    <w:p w14:paraId="2D71F622" w14:textId="77777777" w:rsidR="00B11E47" w:rsidRPr="003B03E0" w:rsidRDefault="00B11E47" w:rsidP="00B11E47">
      <w:pPr>
        <w:spacing w:after="120"/>
        <w:rPr>
          <w:lang w:val="en-US"/>
        </w:rPr>
      </w:pPr>
      <w:r w:rsidRPr="003B03E0">
        <w:rPr>
          <w:lang w:val="en-US"/>
        </w:rPr>
        <w:t>ESC noted the total cost to the MBS over 5 years is $42,675,292. Financial and budgetary impacts will be greater if:</w:t>
      </w:r>
    </w:p>
    <w:p w14:paraId="07FC5391" w14:textId="77777777" w:rsidR="00B11E47" w:rsidRPr="0006133A" w:rsidRDefault="00B11E47" w:rsidP="00B11E47">
      <w:pPr>
        <w:pStyle w:val="Bullet"/>
        <w:ind w:left="1080"/>
        <w:rPr>
          <w:color w:val="auto"/>
          <w:sz w:val="24"/>
          <w:szCs w:val="24"/>
        </w:rPr>
      </w:pPr>
      <w:r w:rsidRPr="0006133A">
        <w:rPr>
          <w:color w:val="auto"/>
          <w:sz w:val="24"/>
          <w:szCs w:val="24"/>
        </w:rPr>
        <w:t>the proportion of suspected syndromic genetic disorders and con</w:t>
      </w:r>
      <w:r w:rsidR="0006133A" w:rsidRPr="0006133A">
        <w:rPr>
          <w:color w:val="auto"/>
          <w:sz w:val="24"/>
          <w:szCs w:val="24"/>
        </w:rPr>
        <w:t>genital abnormalities increases</w:t>
      </w:r>
    </w:p>
    <w:p w14:paraId="761E93A6" w14:textId="77777777" w:rsidR="00B11E47" w:rsidRPr="0006133A" w:rsidRDefault="00B11E47" w:rsidP="00B11E47">
      <w:pPr>
        <w:pStyle w:val="Bullet"/>
        <w:ind w:left="1080"/>
        <w:rPr>
          <w:color w:val="auto"/>
          <w:sz w:val="24"/>
          <w:szCs w:val="24"/>
        </w:rPr>
      </w:pPr>
      <w:r w:rsidRPr="0006133A">
        <w:rPr>
          <w:color w:val="auto"/>
          <w:sz w:val="24"/>
          <w:szCs w:val="24"/>
        </w:rPr>
        <w:t>MBS listing leads to increased supply/capacity of WEA providers</w:t>
      </w:r>
    </w:p>
    <w:p w14:paraId="0E134D6E" w14:textId="77777777" w:rsidR="00B11E47" w:rsidRPr="0006133A" w:rsidRDefault="00B11E47" w:rsidP="00B11E47">
      <w:pPr>
        <w:pStyle w:val="BulletLast"/>
        <w:ind w:left="1080"/>
        <w:rPr>
          <w:color w:val="auto"/>
          <w:sz w:val="24"/>
          <w:szCs w:val="24"/>
        </w:rPr>
      </w:pPr>
      <w:r w:rsidRPr="0006133A">
        <w:rPr>
          <w:color w:val="auto"/>
          <w:sz w:val="24"/>
          <w:szCs w:val="24"/>
        </w:rPr>
        <w:t>MBS listing leads to a lower threshold for testing and more children being tested (leakage).</w:t>
      </w:r>
    </w:p>
    <w:p w14:paraId="0A81190D" w14:textId="435DA7BE" w:rsidR="00B11E47" w:rsidRPr="0006133A" w:rsidRDefault="00B11E47" w:rsidP="009A3D5C">
      <w:pPr>
        <w:spacing w:after="240"/>
      </w:pPr>
      <w:r w:rsidRPr="003B03E0">
        <w:t xml:space="preserve">ESC noted that there was no justification given for the $2400 fee in the MBS descriptor and that re-interrogation evidence seems to be weak and queried the value of two re-interrogation items with different fees. It was clarified that after a positive result ($650 fee) there would be no further re-interrogation. Re-interrogation after a negative result ($350 fee) could continue indefinitely every 18 months if it is not capped. It was therefore suggested that the cap of 2 reanalyses should be written into the </w:t>
      </w:r>
      <w:r w:rsidR="0006133A">
        <w:t xml:space="preserve">relevant </w:t>
      </w:r>
      <w:r w:rsidRPr="003B03E0">
        <w:t xml:space="preserve">MBS </w:t>
      </w:r>
      <w:r w:rsidR="0006133A">
        <w:t>i</w:t>
      </w:r>
      <w:r w:rsidRPr="003B03E0">
        <w:t xml:space="preserve">tem </w:t>
      </w:r>
      <w:r w:rsidR="0006133A">
        <w:t>d</w:t>
      </w:r>
      <w:r w:rsidR="009A3D5C">
        <w:t>escriptor.</w:t>
      </w:r>
    </w:p>
    <w:p w14:paraId="53521463" w14:textId="64C4DDC6" w:rsidR="00B11E47" w:rsidRPr="00624835" w:rsidRDefault="00B11E47" w:rsidP="009A3D5C">
      <w:pPr>
        <w:spacing w:after="240"/>
        <w:rPr>
          <w:szCs w:val="24"/>
        </w:rPr>
      </w:pPr>
      <w:r w:rsidRPr="00624835">
        <w:rPr>
          <w:szCs w:val="24"/>
        </w:rPr>
        <w:t xml:space="preserve">ESC agreed with the Department’s changes to the proposed MBS item descriptor to change wording to </w:t>
      </w:r>
      <w:r w:rsidRPr="00624835">
        <w:rPr>
          <w:szCs w:val="24"/>
          <w:lang w:val="en-US"/>
        </w:rPr>
        <w:t>“requested by a specialist or consultant physician’</w:t>
      </w:r>
      <w:r w:rsidRPr="00624835">
        <w:rPr>
          <w:szCs w:val="24"/>
        </w:rPr>
        <w:t xml:space="preserve"> and considered the revised item descriptor t</w:t>
      </w:r>
      <w:r w:rsidR="0006133A">
        <w:rPr>
          <w:szCs w:val="24"/>
        </w:rPr>
        <w:t>o be reasonable.</w:t>
      </w:r>
    </w:p>
    <w:p w14:paraId="0EE4F4B5" w14:textId="77777777" w:rsidR="00B11E47" w:rsidRPr="00624835" w:rsidRDefault="00B11E47" w:rsidP="00B11E47">
      <w:pPr>
        <w:rPr>
          <w:szCs w:val="24"/>
        </w:rPr>
      </w:pPr>
      <w:r w:rsidRPr="00624835">
        <w:rPr>
          <w:szCs w:val="24"/>
        </w:rPr>
        <w:lastRenderedPageBreak/>
        <w:t xml:space="preserve">ESCs noted from the consumer </w:t>
      </w:r>
      <w:r w:rsidR="0006133A">
        <w:rPr>
          <w:szCs w:val="24"/>
        </w:rPr>
        <w:t>perspective</w:t>
      </w:r>
      <w:r w:rsidRPr="00624835">
        <w:rPr>
          <w:szCs w:val="24"/>
        </w:rPr>
        <w:t xml:space="preserve"> t</w:t>
      </w:r>
      <w:bookmarkStart w:id="20" w:name="Editing"/>
      <w:bookmarkEnd w:id="20"/>
      <w:r w:rsidRPr="00624835">
        <w:rPr>
          <w:szCs w:val="24"/>
        </w:rPr>
        <w:t xml:space="preserve">hat the proposed test appears to be safe and the importance of insuring the test is accurate as incorrect results may be detrimental. </w:t>
      </w:r>
      <w:r w:rsidR="0006133A">
        <w:rPr>
          <w:szCs w:val="24"/>
        </w:rPr>
        <w:t xml:space="preserve">From this perspective, there is also </w:t>
      </w:r>
      <w:r w:rsidRPr="00624835">
        <w:rPr>
          <w:szCs w:val="24"/>
        </w:rPr>
        <w:t xml:space="preserve">some uncertainty about the comparator, considering that </w:t>
      </w:r>
      <w:r w:rsidR="00CE729A">
        <w:rPr>
          <w:szCs w:val="24"/>
        </w:rPr>
        <w:t xml:space="preserve">a molecular </w:t>
      </w:r>
      <w:r w:rsidRPr="00624835">
        <w:rPr>
          <w:szCs w:val="24"/>
        </w:rPr>
        <w:t xml:space="preserve">diagnosis </w:t>
      </w:r>
      <w:r w:rsidR="00CE729A">
        <w:rPr>
          <w:szCs w:val="24"/>
        </w:rPr>
        <w:t>would be</w:t>
      </w:r>
      <w:r w:rsidRPr="00624835">
        <w:rPr>
          <w:szCs w:val="24"/>
        </w:rPr>
        <w:t xml:space="preserve"> made by a specialised clinician and </w:t>
      </w:r>
      <w:r w:rsidR="00CE729A">
        <w:rPr>
          <w:szCs w:val="24"/>
        </w:rPr>
        <w:t>could</w:t>
      </w:r>
      <w:r w:rsidRPr="00624835">
        <w:rPr>
          <w:szCs w:val="24"/>
        </w:rPr>
        <w:t xml:space="preserve"> lead to other tests to </w:t>
      </w:r>
      <w:r w:rsidR="00CE729A">
        <w:rPr>
          <w:szCs w:val="24"/>
        </w:rPr>
        <w:t>confirm</w:t>
      </w:r>
      <w:r w:rsidRPr="00624835">
        <w:rPr>
          <w:szCs w:val="24"/>
        </w:rPr>
        <w:t xml:space="preserve"> the </w:t>
      </w:r>
      <w:r w:rsidR="00CE729A">
        <w:rPr>
          <w:szCs w:val="24"/>
        </w:rPr>
        <w:t>diagnosis</w:t>
      </w:r>
      <w:r w:rsidRPr="00624835">
        <w:rPr>
          <w:szCs w:val="24"/>
        </w:rPr>
        <w:t xml:space="preserve">. It was noted that there may be some access/equity issues due to the nature of the test and a need for access to specialist clinicians and </w:t>
      </w:r>
      <w:r w:rsidR="0006133A">
        <w:rPr>
          <w:szCs w:val="24"/>
        </w:rPr>
        <w:t>genetic counselling.</w:t>
      </w:r>
    </w:p>
    <w:p w14:paraId="008C75F6" w14:textId="77777777" w:rsidR="00D90A38" w:rsidRPr="00F715D1" w:rsidRDefault="00BC1364" w:rsidP="00F715D1">
      <w:pPr>
        <w:pStyle w:val="Heading1"/>
      </w:pPr>
      <w:r w:rsidRPr="00F715D1">
        <w:t>Other significant factors</w:t>
      </w:r>
    </w:p>
    <w:p w14:paraId="2796064E" w14:textId="77777777" w:rsidR="00BC1364" w:rsidRPr="00E3780D" w:rsidRDefault="00E3780D" w:rsidP="00F715D1">
      <w:pPr>
        <w:spacing w:after="240"/>
        <w:rPr>
          <w:szCs w:val="24"/>
        </w:rPr>
      </w:pPr>
      <w:r w:rsidRPr="00E3780D">
        <w:rPr>
          <w:szCs w:val="24"/>
        </w:rPr>
        <w:t>Nil</w:t>
      </w:r>
    </w:p>
    <w:p w14:paraId="417CB10F" w14:textId="77777777" w:rsidR="00BC1364" w:rsidRPr="00F715D1" w:rsidRDefault="00BC1364" w:rsidP="00F715D1">
      <w:pPr>
        <w:pStyle w:val="Heading1"/>
      </w:pPr>
      <w:r w:rsidRPr="00F715D1">
        <w:t xml:space="preserve">Applicant’s comments on MSAC’s </w:t>
      </w:r>
      <w:r w:rsidR="00DA56AA" w:rsidRPr="00F715D1">
        <w:t>Public Summary Document</w:t>
      </w:r>
    </w:p>
    <w:p w14:paraId="29048B4E" w14:textId="77777777" w:rsidR="007313AD" w:rsidRPr="00E43165" w:rsidRDefault="007313AD" w:rsidP="007313AD">
      <w:r w:rsidRPr="00E43165">
        <w:t>The applicants thank the Medical Services Advisory Committee for their review of this application and look forward to the stakeholder meeting. The PSD and the outcomes of the meeting will inform our intended resubmission of this application.</w:t>
      </w:r>
    </w:p>
    <w:p w14:paraId="34E551C8" w14:textId="77777777" w:rsidR="00BC1364" w:rsidRPr="00F715D1" w:rsidRDefault="00271F18" w:rsidP="00F715D1">
      <w:pPr>
        <w:pStyle w:val="Heading1"/>
      </w:pPr>
      <w:r w:rsidRPr="00F715D1">
        <w:t>Further information on MSAC</w:t>
      </w:r>
    </w:p>
    <w:p w14:paraId="5C7F275E"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A21E1" w14:textId="77777777" w:rsidR="001964D2" w:rsidRDefault="001964D2" w:rsidP="00065623">
      <w:r>
        <w:separator/>
      </w:r>
    </w:p>
  </w:endnote>
  <w:endnote w:type="continuationSeparator" w:id="0">
    <w:p w14:paraId="655484F5" w14:textId="77777777" w:rsidR="001964D2" w:rsidRDefault="001964D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1EE0207" w14:textId="77777777" w:rsidR="001964D2" w:rsidRDefault="001964D2">
        <w:pPr>
          <w:pStyle w:val="Footer"/>
          <w:jc w:val="right"/>
        </w:pPr>
        <w:r>
          <w:fldChar w:fldCharType="begin"/>
        </w:r>
        <w:r>
          <w:instrText xml:space="preserve"> PAGE   \* MERGEFORMAT </w:instrText>
        </w:r>
        <w:r>
          <w:fldChar w:fldCharType="separate"/>
        </w:r>
        <w:r w:rsidR="00BC2F84">
          <w:rPr>
            <w:noProof/>
          </w:rPr>
          <w:t>1</w:t>
        </w:r>
        <w:r>
          <w:rPr>
            <w:noProof/>
          </w:rPr>
          <w:fldChar w:fldCharType="end"/>
        </w:r>
      </w:p>
    </w:sdtContent>
  </w:sdt>
  <w:p w14:paraId="62D0A148" w14:textId="77777777" w:rsidR="001964D2" w:rsidRDefault="0019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780F0" w14:textId="77777777" w:rsidR="001964D2" w:rsidRDefault="001964D2" w:rsidP="00065623">
      <w:r>
        <w:separator/>
      </w:r>
    </w:p>
  </w:footnote>
  <w:footnote w:type="continuationSeparator" w:id="0">
    <w:p w14:paraId="35D7BB2E" w14:textId="77777777" w:rsidR="001964D2" w:rsidRDefault="001964D2"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D69"/>
    <w:multiLevelType w:val="hybridMultilevel"/>
    <w:tmpl w:val="F758AD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40E09B6"/>
    <w:multiLevelType w:val="hybridMultilevel"/>
    <w:tmpl w:val="6830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D93BB3"/>
    <w:multiLevelType w:val="hybridMultilevel"/>
    <w:tmpl w:val="0A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46013B"/>
    <w:multiLevelType w:val="hybridMultilevel"/>
    <w:tmpl w:val="C6CE7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623D61"/>
    <w:multiLevelType w:val="hybridMultilevel"/>
    <w:tmpl w:val="F88E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7A14D6C"/>
    <w:multiLevelType w:val="hybridMultilevel"/>
    <w:tmpl w:val="E3548DF0"/>
    <w:lvl w:ilvl="0" w:tplc="3D6CECE0">
      <w:start w:val="1"/>
      <w:numFmt w:val="bullet"/>
      <w:pStyle w:val="Bullet12"/>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3AB44D5"/>
    <w:multiLevelType w:val="hybridMultilevel"/>
    <w:tmpl w:val="AA02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C06B2A"/>
    <w:multiLevelType w:val="hybridMultilevel"/>
    <w:tmpl w:val="DF2C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
  </w:num>
  <w:num w:numId="4">
    <w:abstractNumId w:val="20"/>
  </w:num>
  <w:num w:numId="5">
    <w:abstractNumId w:val="12"/>
  </w:num>
  <w:num w:numId="6">
    <w:abstractNumId w:val="19"/>
  </w:num>
  <w:num w:numId="7">
    <w:abstractNumId w:val="23"/>
  </w:num>
  <w:num w:numId="8">
    <w:abstractNumId w:val="13"/>
  </w:num>
  <w:num w:numId="9">
    <w:abstractNumId w:val="34"/>
  </w:num>
  <w:num w:numId="10">
    <w:abstractNumId w:val="1"/>
  </w:num>
  <w:num w:numId="11">
    <w:abstractNumId w:val="22"/>
  </w:num>
  <w:num w:numId="12">
    <w:abstractNumId w:val="24"/>
  </w:num>
  <w:num w:numId="13">
    <w:abstractNumId w:val="6"/>
  </w:num>
  <w:num w:numId="14">
    <w:abstractNumId w:val="29"/>
  </w:num>
  <w:num w:numId="15">
    <w:abstractNumId w:val="21"/>
  </w:num>
  <w:num w:numId="16">
    <w:abstractNumId w:val="25"/>
  </w:num>
  <w:num w:numId="17">
    <w:abstractNumId w:val="16"/>
  </w:num>
  <w:num w:numId="18">
    <w:abstractNumId w:val="17"/>
  </w:num>
  <w:num w:numId="19">
    <w:abstractNumId w:val="28"/>
  </w:num>
  <w:num w:numId="20">
    <w:abstractNumId w:val="26"/>
  </w:num>
  <w:num w:numId="21">
    <w:abstractNumId w:val="4"/>
  </w:num>
  <w:num w:numId="22">
    <w:abstractNumId w:val="11"/>
  </w:num>
  <w:num w:numId="23">
    <w:abstractNumId w:val="3"/>
  </w:num>
  <w:num w:numId="24">
    <w:abstractNumId w:val="10"/>
  </w:num>
  <w:num w:numId="25">
    <w:abstractNumId w:val="8"/>
  </w:num>
  <w:num w:numId="26">
    <w:abstractNumId w:val="32"/>
  </w:num>
  <w:num w:numId="27">
    <w:abstractNumId w:val="5"/>
  </w:num>
  <w:num w:numId="28">
    <w:abstractNumId w:val="14"/>
  </w:num>
  <w:num w:numId="29">
    <w:abstractNumId w:val="33"/>
  </w:num>
  <w:num w:numId="30">
    <w:abstractNumId w:val="7"/>
  </w:num>
  <w:num w:numId="31">
    <w:abstractNumId w:val="31"/>
  </w:num>
  <w:num w:numId="32">
    <w:abstractNumId w:val="15"/>
  </w:num>
  <w:num w:numId="33">
    <w:abstractNumId w:val="0"/>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6E82"/>
    <w:rsid w:val="00007312"/>
    <w:rsid w:val="00011A36"/>
    <w:rsid w:val="00047606"/>
    <w:rsid w:val="000569BD"/>
    <w:rsid w:val="0006133A"/>
    <w:rsid w:val="00065623"/>
    <w:rsid w:val="000756B9"/>
    <w:rsid w:val="0008217D"/>
    <w:rsid w:val="00082703"/>
    <w:rsid w:val="00083868"/>
    <w:rsid w:val="00084C54"/>
    <w:rsid w:val="0008731B"/>
    <w:rsid w:val="00096B67"/>
    <w:rsid w:val="00096DAF"/>
    <w:rsid w:val="000A3BE7"/>
    <w:rsid w:val="000A678B"/>
    <w:rsid w:val="000C2F47"/>
    <w:rsid w:val="000C5D80"/>
    <w:rsid w:val="000C69FB"/>
    <w:rsid w:val="000D08B4"/>
    <w:rsid w:val="000D2B9A"/>
    <w:rsid w:val="000D6C00"/>
    <w:rsid w:val="000E0B2E"/>
    <w:rsid w:val="000E4E04"/>
    <w:rsid w:val="000F14B4"/>
    <w:rsid w:val="000F75DF"/>
    <w:rsid w:val="001023DC"/>
    <w:rsid w:val="00112A19"/>
    <w:rsid w:val="0012300D"/>
    <w:rsid w:val="001328FA"/>
    <w:rsid w:val="00147AAF"/>
    <w:rsid w:val="00154BAB"/>
    <w:rsid w:val="001552C0"/>
    <w:rsid w:val="001640B1"/>
    <w:rsid w:val="00183DBE"/>
    <w:rsid w:val="00183F5A"/>
    <w:rsid w:val="0018435E"/>
    <w:rsid w:val="001964D2"/>
    <w:rsid w:val="001B6101"/>
    <w:rsid w:val="001C2E4E"/>
    <w:rsid w:val="001C350C"/>
    <w:rsid w:val="001D1BCA"/>
    <w:rsid w:val="002041A1"/>
    <w:rsid w:val="002054F0"/>
    <w:rsid w:val="00225E31"/>
    <w:rsid w:val="00230D6B"/>
    <w:rsid w:val="00232068"/>
    <w:rsid w:val="002330F2"/>
    <w:rsid w:val="00235D25"/>
    <w:rsid w:val="0024002F"/>
    <w:rsid w:val="00243D9E"/>
    <w:rsid w:val="00253B66"/>
    <w:rsid w:val="002570D6"/>
    <w:rsid w:val="00261DF1"/>
    <w:rsid w:val="00271F18"/>
    <w:rsid w:val="002753C6"/>
    <w:rsid w:val="00282779"/>
    <w:rsid w:val="0028334D"/>
    <w:rsid w:val="002B2C74"/>
    <w:rsid w:val="002B7FFA"/>
    <w:rsid w:val="002C2BCF"/>
    <w:rsid w:val="002D6BC9"/>
    <w:rsid w:val="002E3D87"/>
    <w:rsid w:val="002F279D"/>
    <w:rsid w:val="002F43B8"/>
    <w:rsid w:val="00303964"/>
    <w:rsid w:val="00306837"/>
    <w:rsid w:val="00316BB9"/>
    <w:rsid w:val="00333FD7"/>
    <w:rsid w:val="00336856"/>
    <w:rsid w:val="0034554D"/>
    <w:rsid w:val="00352224"/>
    <w:rsid w:val="003671E6"/>
    <w:rsid w:val="00384272"/>
    <w:rsid w:val="00386D67"/>
    <w:rsid w:val="003945B8"/>
    <w:rsid w:val="003B5330"/>
    <w:rsid w:val="003D7F29"/>
    <w:rsid w:val="003F7A6A"/>
    <w:rsid w:val="00405A6B"/>
    <w:rsid w:val="00406FE0"/>
    <w:rsid w:val="00407B1F"/>
    <w:rsid w:val="0041184F"/>
    <w:rsid w:val="00414C57"/>
    <w:rsid w:val="0041758C"/>
    <w:rsid w:val="00436662"/>
    <w:rsid w:val="00451033"/>
    <w:rsid w:val="004539DE"/>
    <w:rsid w:val="00474D22"/>
    <w:rsid w:val="00486832"/>
    <w:rsid w:val="004A2CF1"/>
    <w:rsid w:val="004C3035"/>
    <w:rsid w:val="004C307F"/>
    <w:rsid w:val="004C5A49"/>
    <w:rsid w:val="004C693C"/>
    <w:rsid w:val="004E4BA8"/>
    <w:rsid w:val="004E67D0"/>
    <w:rsid w:val="004F340F"/>
    <w:rsid w:val="004F7B7C"/>
    <w:rsid w:val="00501ED9"/>
    <w:rsid w:val="0052243D"/>
    <w:rsid w:val="00532435"/>
    <w:rsid w:val="00550354"/>
    <w:rsid w:val="00570BB4"/>
    <w:rsid w:val="00571236"/>
    <w:rsid w:val="005913F7"/>
    <w:rsid w:val="005953A1"/>
    <w:rsid w:val="005A4362"/>
    <w:rsid w:val="005B5434"/>
    <w:rsid w:val="005C192F"/>
    <w:rsid w:val="005C5A4E"/>
    <w:rsid w:val="005D0332"/>
    <w:rsid w:val="005D0D8C"/>
    <w:rsid w:val="005E1BE3"/>
    <w:rsid w:val="006011DB"/>
    <w:rsid w:val="00610659"/>
    <w:rsid w:val="00613E0D"/>
    <w:rsid w:val="00634F9C"/>
    <w:rsid w:val="00645461"/>
    <w:rsid w:val="00664DB5"/>
    <w:rsid w:val="006776AE"/>
    <w:rsid w:val="0068103A"/>
    <w:rsid w:val="006A0D97"/>
    <w:rsid w:val="006A4DE0"/>
    <w:rsid w:val="006B1F86"/>
    <w:rsid w:val="006C0A91"/>
    <w:rsid w:val="006D2CCB"/>
    <w:rsid w:val="006F16A1"/>
    <w:rsid w:val="007033C4"/>
    <w:rsid w:val="007052AA"/>
    <w:rsid w:val="007054BB"/>
    <w:rsid w:val="00707064"/>
    <w:rsid w:val="00721487"/>
    <w:rsid w:val="00730054"/>
    <w:rsid w:val="00730683"/>
    <w:rsid w:val="007313AD"/>
    <w:rsid w:val="0073726F"/>
    <w:rsid w:val="00751D51"/>
    <w:rsid w:val="0075261F"/>
    <w:rsid w:val="0075468E"/>
    <w:rsid w:val="007627D0"/>
    <w:rsid w:val="007665D8"/>
    <w:rsid w:val="00766E36"/>
    <w:rsid w:val="007765F4"/>
    <w:rsid w:val="00776633"/>
    <w:rsid w:val="00784D53"/>
    <w:rsid w:val="00797797"/>
    <w:rsid w:val="007A63C9"/>
    <w:rsid w:val="007B32D1"/>
    <w:rsid w:val="007B7095"/>
    <w:rsid w:val="007C320B"/>
    <w:rsid w:val="007D183B"/>
    <w:rsid w:val="007D24E1"/>
    <w:rsid w:val="007D6288"/>
    <w:rsid w:val="007F044D"/>
    <w:rsid w:val="007F4CE9"/>
    <w:rsid w:val="007F4E20"/>
    <w:rsid w:val="007F77C6"/>
    <w:rsid w:val="00803AAC"/>
    <w:rsid w:val="00812436"/>
    <w:rsid w:val="00822C7E"/>
    <w:rsid w:val="00846C33"/>
    <w:rsid w:val="00847060"/>
    <w:rsid w:val="00847A36"/>
    <w:rsid w:val="00852827"/>
    <w:rsid w:val="00852CD0"/>
    <w:rsid w:val="00856A33"/>
    <w:rsid w:val="00864695"/>
    <w:rsid w:val="00892620"/>
    <w:rsid w:val="008B22C9"/>
    <w:rsid w:val="008C36FA"/>
    <w:rsid w:val="008C7D37"/>
    <w:rsid w:val="008D5885"/>
    <w:rsid w:val="00920EF2"/>
    <w:rsid w:val="00923FA2"/>
    <w:rsid w:val="00957069"/>
    <w:rsid w:val="0096060D"/>
    <w:rsid w:val="00974A50"/>
    <w:rsid w:val="0097564C"/>
    <w:rsid w:val="0097585A"/>
    <w:rsid w:val="00981880"/>
    <w:rsid w:val="00985A3A"/>
    <w:rsid w:val="00986E7B"/>
    <w:rsid w:val="009924B0"/>
    <w:rsid w:val="009942C9"/>
    <w:rsid w:val="009A2BE2"/>
    <w:rsid w:val="009A3D5C"/>
    <w:rsid w:val="009B35C4"/>
    <w:rsid w:val="009C630A"/>
    <w:rsid w:val="009E0D98"/>
    <w:rsid w:val="00A068A1"/>
    <w:rsid w:val="00A06F59"/>
    <w:rsid w:val="00A1207D"/>
    <w:rsid w:val="00A12FD8"/>
    <w:rsid w:val="00A346FC"/>
    <w:rsid w:val="00A4790A"/>
    <w:rsid w:val="00A60BBC"/>
    <w:rsid w:val="00A846F2"/>
    <w:rsid w:val="00A84F93"/>
    <w:rsid w:val="00A94CAC"/>
    <w:rsid w:val="00AB1AC5"/>
    <w:rsid w:val="00AB3BFC"/>
    <w:rsid w:val="00AC4727"/>
    <w:rsid w:val="00AC4F2E"/>
    <w:rsid w:val="00AD0C37"/>
    <w:rsid w:val="00AD385F"/>
    <w:rsid w:val="00AE6E2A"/>
    <w:rsid w:val="00B03EAB"/>
    <w:rsid w:val="00B11E47"/>
    <w:rsid w:val="00B31E9C"/>
    <w:rsid w:val="00B35595"/>
    <w:rsid w:val="00B355C2"/>
    <w:rsid w:val="00B51C6D"/>
    <w:rsid w:val="00B57822"/>
    <w:rsid w:val="00B57C9E"/>
    <w:rsid w:val="00B7051C"/>
    <w:rsid w:val="00B83DD2"/>
    <w:rsid w:val="00B86D64"/>
    <w:rsid w:val="00BA4AC5"/>
    <w:rsid w:val="00BB6624"/>
    <w:rsid w:val="00BC1364"/>
    <w:rsid w:val="00BC2667"/>
    <w:rsid w:val="00BC2F84"/>
    <w:rsid w:val="00BC3F96"/>
    <w:rsid w:val="00BC7DE9"/>
    <w:rsid w:val="00BD4FA9"/>
    <w:rsid w:val="00BF30DF"/>
    <w:rsid w:val="00BF479B"/>
    <w:rsid w:val="00C02577"/>
    <w:rsid w:val="00C06487"/>
    <w:rsid w:val="00C204FB"/>
    <w:rsid w:val="00C20BEE"/>
    <w:rsid w:val="00C2158D"/>
    <w:rsid w:val="00C5687B"/>
    <w:rsid w:val="00C67DD2"/>
    <w:rsid w:val="00C725CB"/>
    <w:rsid w:val="00C76F5C"/>
    <w:rsid w:val="00C93DE1"/>
    <w:rsid w:val="00C96BAD"/>
    <w:rsid w:val="00CA0E31"/>
    <w:rsid w:val="00CA2E39"/>
    <w:rsid w:val="00CA3091"/>
    <w:rsid w:val="00CA6944"/>
    <w:rsid w:val="00CB0F8E"/>
    <w:rsid w:val="00CB6866"/>
    <w:rsid w:val="00CB7E7D"/>
    <w:rsid w:val="00CC2911"/>
    <w:rsid w:val="00CE0DF8"/>
    <w:rsid w:val="00CE729A"/>
    <w:rsid w:val="00CF0C6D"/>
    <w:rsid w:val="00CF7307"/>
    <w:rsid w:val="00CF7C68"/>
    <w:rsid w:val="00D124FA"/>
    <w:rsid w:val="00D14733"/>
    <w:rsid w:val="00D340DE"/>
    <w:rsid w:val="00D36B5F"/>
    <w:rsid w:val="00D55723"/>
    <w:rsid w:val="00D62FAD"/>
    <w:rsid w:val="00D64355"/>
    <w:rsid w:val="00D70450"/>
    <w:rsid w:val="00D83BFD"/>
    <w:rsid w:val="00D8529B"/>
    <w:rsid w:val="00D90A38"/>
    <w:rsid w:val="00DA0515"/>
    <w:rsid w:val="00DA171E"/>
    <w:rsid w:val="00DA2BC6"/>
    <w:rsid w:val="00DA56AA"/>
    <w:rsid w:val="00DB1234"/>
    <w:rsid w:val="00DB5833"/>
    <w:rsid w:val="00DB747D"/>
    <w:rsid w:val="00DD2858"/>
    <w:rsid w:val="00DF2D4A"/>
    <w:rsid w:val="00DF454E"/>
    <w:rsid w:val="00E03E33"/>
    <w:rsid w:val="00E059E0"/>
    <w:rsid w:val="00E214D0"/>
    <w:rsid w:val="00E3642A"/>
    <w:rsid w:val="00E3780D"/>
    <w:rsid w:val="00E415C4"/>
    <w:rsid w:val="00E4273A"/>
    <w:rsid w:val="00E43165"/>
    <w:rsid w:val="00E50016"/>
    <w:rsid w:val="00E50EAA"/>
    <w:rsid w:val="00E57F95"/>
    <w:rsid w:val="00E656D6"/>
    <w:rsid w:val="00E977EE"/>
    <w:rsid w:val="00EA2F24"/>
    <w:rsid w:val="00EA67A2"/>
    <w:rsid w:val="00EB630F"/>
    <w:rsid w:val="00EB6B6F"/>
    <w:rsid w:val="00EC4F98"/>
    <w:rsid w:val="00F07ACA"/>
    <w:rsid w:val="00F12F02"/>
    <w:rsid w:val="00F15624"/>
    <w:rsid w:val="00F23318"/>
    <w:rsid w:val="00F32E0D"/>
    <w:rsid w:val="00F35134"/>
    <w:rsid w:val="00F37B9C"/>
    <w:rsid w:val="00F41812"/>
    <w:rsid w:val="00F472F4"/>
    <w:rsid w:val="00F61334"/>
    <w:rsid w:val="00F715D1"/>
    <w:rsid w:val="00F72715"/>
    <w:rsid w:val="00F73333"/>
    <w:rsid w:val="00F95D8F"/>
    <w:rsid w:val="00FA537E"/>
    <w:rsid w:val="00FB13E1"/>
    <w:rsid w:val="00FB350A"/>
    <w:rsid w:val="00FB4C5D"/>
    <w:rsid w:val="00FE1C3F"/>
    <w:rsid w:val="00FE731D"/>
    <w:rsid w:val="00FE7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9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01ED9"/>
    <w:pPr>
      <w:keepNext/>
      <w:keepLines/>
      <w:spacing w:before="200"/>
      <w:outlineLvl w:val="1"/>
    </w:pPr>
    <w:rPr>
      <w:rFonts w:eastAsiaTheme="majorEastAsia" w:cstheme="majorBidi"/>
      <w:b/>
      <w:bCs/>
      <w:szCs w:val="26"/>
    </w:rPr>
  </w:style>
  <w:style w:type="paragraph" w:styleId="Heading3">
    <w:name w:val="heading 3"/>
    <w:basedOn w:val="Heading2"/>
    <w:next w:val="Normal"/>
    <w:link w:val="Heading3Char"/>
    <w:unhideWhenUsed/>
    <w:qFormat/>
    <w:locked/>
    <w:rsid w:val="00501ED9"/>
    <w:pPr>
      <w:spacing w:before="0" w:after="120"/>
      <w:outlineLvl w:val="2"/>
    </w:pPr>
    <w:rPr>
      <w:b w:val="0"/>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01ED9"/>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BulletBeforeDash">
    <w:name w:val="BulletBeforeDash"/>
    <w:basedOn w:val="Normal"/>
    <w:rsid w:val="00B11E47"/>
    <w:pPr>
      <w:numPr>
        <w:numId w:val="26"/>
      </w:numPr>
    </w:pPr>
    <w:rPr>
      <w:color w:val="000000"/>
      <w:sz w:val="23"/>
    </w:rPr>
  </w:style>
  <w:style w:type="paragraph" w:customStyle="1" w:styleId="Bullet">
    <w:name w:val="Bullet"/>
    <w:basedOn w:val="BulletBeforeDash"/>
    <w:qFormat/>
    <w:rsid w:val="00B11E47"/>
    <w:pPr>
      <w:spacing w:after="120"/>
    </w:pPr>
  </w:style>
  <w:style w:type="paragraph" w:customStyle="1" w:styleId="BulletLast">
    <w:name w:val="BulletLast"/>
    <w:basedOn w:val="Bullet"/>
    <w:qFormat/>
    <w:rsid w:val="00B11E47"/>
    <w:pPr>
      <w:spacing w:after="240"/>
    </w:pPr>
  </w:style>
  <w:style w:type="paragraph" w:customStyle="1" w:styleId="Body">
    <w:name w:val="Body"/>
    <w:link w:val="BodyChar"/>
    <w:qFormat/>
    <w:rsid w:val="00316BB9"/>
    <w:pPr>
      <w:spacing w:after="120" w:line="276" w:lineRule="auto"/>
    </w:pPr>
    <w:rPr>
      <w:rFonts w:asciiTheme="minorHAnsi" w:eastAsiaTheme="minorHAnsi" w:hAnsiTheme="minorHAnsi" w:cstheme="minorBidi"/>
      <w:sz w:val="24"/>
      <w:szCs w:val="24"/>
      <w:lang w:eastAsia="en-US"/>
    </w:rPr>
  </w:style>
  <w:style w:type="character" w:customStyle="1" w:styleId="BodyChar">
    <w:name w:val="Body Char"/>
    <w:basedOn w:val="DefaultParagraphFont"/>
    <w:link w:val="Body"/>
    <w:rsid w:val="00316BB9"/>
    <w:rPr>
      <w:rFonts w:asciiTheme="minorHAnsi" w:eastAsiaTheme="minorHAnsi" w:hAnsiTheme="minorHAnsi" w:cstheme="minorBidi"/>
      <w:sz w:val="24"/>
      <w:szCs w:val="24"/>
      <w:lang w:eastAsia="en-US"/>
    </w:rPr>
  </w:style>
  <w:style w:type="table" w:styleId="TableGrid">
    <w:name w:val="Table Grid"/>
    <w:basedOn w:val="TableNormal"/>
    <w:uiPriority w:val="59"/>
    <w:locked/>
    <w:rsid w:val="001C2E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C2E4E"/>
    <w:rPr>
      <w:rFonts w:ascii="Arial Narrow" w:hAnsi="Arial Narrow"/>
      <w:sz w:val="20"/>
      <w:szCs w:val="24"/>
      <w:lang w:eastAsia="en-US"/>
    </w:rPr>
  </w:style>
  <w:style w:type="character" w:customStyle="1" w:styleId="TabletextChar">
    <w:name w:val="Table text Char"/>
    <w:basedOn w:val="DefaultParagraphFont"/>
    <w:link w:val="Tabletext"/>
    <w:rsid w:val="001C2E4E"/>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C2E4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C2E4E"/>
    <w:rPr>
      <w:rFonts w:ascii="Arial Narrow" w:eastAsia="Times New Roman" w:hAnsi="Arial Narrow" w:cs="Arial"/>
      <w:b/>
      <w:bCs/>
      <w:iCs/>
      <w:sz w:val="20"/>
      <w:szCs w:val="20"/>
      <w:lang w:eastAsia="en-US"/>
    </w:rPr>
  </w:style>
  <w:style w:type="paragraph" w:customStyle="1" w:styleId="Tableheading">
    <w:name w:val="Table heading"/>
    <w:qFormat/>
    <w:rsid w:val="001C2E4E"/>
    <w:pPr>
      <w:keepNext/>
    </w:pPr>
    <w:rPr>
      <w:rFonts w:asciiTheme="minorHAnsi" w:eastAsiaTheme="minorHAnsi" w:hAnsiTheme="minorHAnsi" w:cstheme="minorBidi"/>
      <w:b/>
      <w:sz w:val="20"/>
      <w:szCs w:val="24"/>
      <w:lang w:eastAsia="en-US"/>
    </w:rPr>
  </w:style>
  <w:style w:type="paragraph" w:customStyle="1" w:styleId="Tabletextindent">
    <w:name w:val="Table text indent"/>
    <w:basedOn w:val="Tabletext"/>
    <w:link w:val="TabletextindentChar"/>
    <w:qFormat/>
    <w:rsid w:val="001C2E4E"/>
    <w:pPr>
      <w:keepNext/>
      <w:spacing w:before="20" w:after="20"/>
      <w:ind w:left="113"/>
    </w:pPr>
    <w:rPr>
      <w:rFonts w:asciiTheme="minorHAnsi" w:hAnsiTheme="minorHAnsi"/>
      <w:sz w:val="18"/>
    </w:rPr>
  </w:style>
  <w:style w:type="character" w:customStyle="1" w:styleId="TabletextindentChar">
    <w:name w:val="Table text indent Char"/>
    <w:basedOn w:val="TabletextChar"/>
    <w:link w:val="Tabletextindent"/>
    <w:rsid w:val="001C2E4E"/>
    <w:rPr>
      <w:rFonts w:asciiTheme="minorHAnsi" w:eastAsia="Times New Roman" w:hAnsiTheme="minorHAnsi"/>
      <w:sz w:val="18"/>
      <w:szCs w:val="24"/>
      <w:lang w:eastAsia="en-US"/>
    </w:rPr>
  </w:style>
  <w:style w:type="character" w:styleId="Emphasis">
    <w:name w:val="Emphasis"/>
    <w:uiPriority w:val="20"/>
    <w:qFormat/>
    <w:locked/>
    <w:rsid w:val="000C5D80"/>
    <w:rPr>
      <w:rFonts w:ascii="Garamond" w:eastAsia="Times New Roman" w:hAnsi="Garamond" w:cs="Times New Roman"/>
      <w:i/>
      <w:sz w:val="24"/>
      <w:szCs w:val="24"/>
    </w:rPr>
  </w:style>
  <w:style w:type="paragraph" w:customStyle="1" w:styleId="Tablenote">
    <w:name w:val="Table note"/>
    <w:basedOn w:val="Normal"/>
    <w:qFormat/>
    <w:rsid w:val="000C5D80"/>
    <w:pPr>
      <w:spacing w:before="20" w:after="360"/>
      <w:ind w:left="284" w:hanging="142"/>
      <w:contextualSpacing/>
    </w:pPr>
    <w:rPr>
      <w:rFonts w:asciiTheme="minorHAnsi" w:eastAsiaTheme="minorHAnsi" w:hAnsiTheme="minorHAnsi" w:cstheme="minorBidi"/>
      <w:i/>
      <w:sz w:val="16"/>
      <w:szCs w:val="24"/>
      <w:lang w:eastAsia="en-US"/>
    </w:rPr>
  </w:style>
  <w:style w:type="table" w:customStyle="1" w:styleId="TableGridLight1">
    <w:name w:val="Table Grid Light1"/>
    <w:basedOn w:val="TableNormal"/>
    <w:uiPriority w:val="40"/>
    <w:rsid w:val="000C5D80"/>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1">
    <w:name w:val="Table H1"/>
    <w:basedOn w:val="Tableheading"/>
    <w:uiPriority w:val="4"/>
    <w:qFormat/>
    <w:rsid w:val="000C5D80"/>
    <w:rPr>
      <w:i/>
    </w:rPr>
  </w:style>
  <w:style w:type="character" w:customStyle="1" w:styleId="Heading3Char">
    <w:name w:val="Heading 3 Char"/>
    <w:basedOn w:val="DefaultParagraphFont"/>
    <w:link w:val="Heading3"/>
    <w:rsid w:val="00501ED9"/>
    <w:rPr>
      <w:rFonts w:eastAsiaTheme="majorEastAsia" w:cstheme="majorBidi"/>
      <w:bCs/>
      <w:i/>
      <w:color w:val="000000" w:themeColor="text1"/>
      <w:sz w:val="24"/>
      <w:szCs w:val="26"/>
    </w:rPr>
  </w:style>
  <w:style w:type="paragraph" w:customStyle="1" w:styleId="Bullet12">
    <w:name w:val="Bullet+12"/>
    <w:basedOn w:val="Body"/>
    <w:qFormat/>
    <w:rsid w:val="00846C33"/>
    <w:pPr>
      <w:keepLines/>
      <w:numPr>
        <w:numId w:val="34"/>
      </w:numPr>
      <w:tabs>
        <w:tab w:val="num" w:pos="360"/>
      </w:tabs>
      <w:spacing w:after="240"/>
      <w:ind w:left="811"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01ED9"/>
    <w:pPr>
      <w:keepNext/>
      <w:keepLines/>
      <w:spacing w:before="200"/>
      <w:outlineLvl w:val="1"/>
    </w:pPr>
    <w:rPr>
      <w:rFonts w:eastAsiaTheme="majorEastAsia" w:cstheme="majorBidi"/>
      <w:b/>
      <w:bCs/>
      <w:szCs w:val="26"/>
    </w:rPr>
  </w:style>
  <w:style w:type="paragraph" w:styleId="Heading3">
    <w:name w:val="heading 3"/>
    <w:basedOn w:val="Heading2"/>
    <w:next w:val="Normal"/>
    <w:link w:val="Heading3Char"/>
    <w:unhideWhenUsed/>
    <w:qFormat/>
    <w:locked/>
    <w:rsid w:val="00501ED9"/>
    <w:pPr>
      <w:spacing w:before="0" w:after="120"/>
      <w:outlineLvl w:val="2"/>
    </w:pPr>
    <w:rPr>
      <w:b w:val="0"/>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01ED9"/>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BulletBeforeDash">
    <w:name w:val="BulletBeforeDash"/>
    <w:basedOn w:val="Normal"/>
    <w:rsid w:val="00B11E47"/>
    <w:pPr>
      <w:numPr>
        <w:numId w:val="26"/>
      </w:numPr>
    </w:pPr>
    <w:rPr>
      <w:color w:val="000000"/>
      <w:sz w:val="23"/>
    </w:rPr>
  </w:style>
  <w:style w:type="paragraph" w:customStyle="1" w:styleId="Bullet">
    <w:name w:val="Bullet"/>
    <w:basedOn w:val="BulletBeforeDash"/>
    <w:qFormat/>
    <w:rsid w:val="00B11E47"/>
    <w:pPr>
      <w:spacing w:after="120"/>
    </w:pPr>
  </w:style>
  <w:style w:type="paragraph" w:customStyle="1" w:styleId="BulletLast">
    <w:name w:val="BulletLast"/>
    <w:basedOn w:val="Bullet"/>
    <w:qFormat/>
    <w:rsid w:val="00B11E47"/>
    <w:pPr>
      <w:spacing w:after="240"/>
    </w:pPr>
  </w:style>
  <w:style w:type="paragraph" w:customStyle="1" w:styleId="Body">
    <w:name w:val="Body"/>
    <w:link w:val="BodyChar"/>
    <w:qFormat/>
    <w:rsid w:val="00316BB9"/>
    <w:pPr>
      <w:spacing w:after="120" w:line="276" w:lineRule="auto"/>
    </w:pPr>
    <w:rPr>
      <w:rFonts w:asciiTheme="minorHAnsi" w:eastAsiaTheme="minorHAnsi" w:hAnsiTheme="minorHAnsi" w:cstheme="minorBidi"/>
      <w:sz w:val="24"/>
      <w:szCs w:val="24"/>
      <w:lang w:eastAsia="en-US"/>
    </w:rPr>
  </w:style>
  <w:style w:type="character" w:customStyle="1" w:styleId="BodyChar">
    <w:name w:val="Body Char"/>
    <w:basedOn w:val="DefaultParagraphFont"/>
    <w:link w:val="Body"/>
    <w:rsid w:val="00316BB9"/>
    <w:rPr>
      <w:rFonts w:asciiTheme="minorHAnsi" w:eastAsiaTheme="minorHAnsi" w:hAnsiTheme="minorHAnsi" w:cstheme="minorBidi"/>
      <w:sz w:val="24"/>
      <w:szCs w:val="24"/>
      <w:lang w:eastAsia="en-US"/>
    </w:rPr>
  </w:style>
  <w:style w:type="table" w:styleId="TableGrid">
    <w:name w:val="Table Grid"/>
    <w:basedOn w:val="TableNormal"/>
    <w:uiPriority w:val="59"/>
    <w:locked/>
    <w:rsid w:val="001C2E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C2E4E"/>
    <w:rPr>
      <w:rFonts w:ascii="Arial Narrow" w:hAnsi="Arial Narrow"/>
      <w:sz w:val="20"/>
      <w:szCs w:val="24"/>
      <w:lang w:eastAsia="en-US"/>
    </w:rPr>
  </w:style>
  <w:style w:type="character" w:customStyle="1" w:styleId="TabletextChar">
    <w:name w:val="Table text Char"/>
    <w:basedOn w:val="DefaultParagraphFont"/>
    <w:link w:val="Tabletext"/>
    <w:rsid w:val="001C2E4E"/>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C2E4E"/>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C2E4E"/>
    <w:rPr>
      <w:rFonts w:ascii="Arial Narrow" w:eastAsia="Times New Roman" w:hAnsi="Arial Narrow" w:cs="Arial"/>
      <w:b/>
      <w:bCs/>
      <w:iCs/>
      <w:sz w:val="20"/>
      <w:szCs w:val="20"/>
      <w:lang w:eastAsia="en-US"/>
    </w:rPr>
  </w:style>
  <w:style w:type="paragraph" w:customStyle="1" w:styleId="Tableheading">
    <w:name w:val="Table heading"/>
    <w:qFormat/>
    <w:rsid w:val="001C2E4E"/>
    <w:pPr>
      <w:keepNext/>
    </w:pPr>
    <w:rPr>
      <w:rFonts w:asciiTheme="minorHAnsi" w:eastAsiaTheme="minorHAnsi" w:hAnsiTheme="minorHAnsi" w:cstheme="minorBidi"/>
      <w:b/>
      <w:sz w:val="20"/>
      <w:szCs w:val="24"/>
      <w:lang w:eastAsia="en-US"/>
    </w:rPr>
  </w:style>
  <w:style w:type="paragraph" w:customStyle="1" w:styleId="Tabletextindent">
    <w:name w:val="Table text indent"/>
    <w:basedOn w:val="Tabletext"/>
    <w:link w:val="TabletextindentChar"/>
    <w:qFormat/>
    <w:rsid w:val="001C2E4E"/>
    <w:pPr>
      <w:keepNext/>
      <w:spacing w:before="20" w:after="20"/>
      <w:ind w:left="113"/>
    </w:pPr>
    <w:rPr>
      <w:rFonts w:asciiTheme="minorHAnsi" w:hAnsiTheme="minorHAnsi"/>
      <w:sz w:val="18"/>
    </w:rPr>
  </w:style>
  <w:style w:type="character" w:customStyle="1" w:styleId="TabletextindentChar">
    <w:name w:val="Table text indent Char"/>
    <w:basedOn w:val="TabletextChar"/>
    <w:link w:val="Tabletextindent"/>
    <w:rsid w:val="001C2E4E"/>
    <w:rPr>
      <w:rFonts w:asciiTheme="minorHAnsi" w:eastAsia="Times New Roman" w:hAnsiTheme="minorHAnsi"/>
      <w:sz w:val="18"/>
      <w:szCs w:val="24"/>
      <w:lang w:eastAsia="en-US"/>
    </w:rPr>
  </w:style>
  <w:style w:type="character" w:styleId="Emphasis">
    <w:name w:val="Emphasis"/>
    <w:uiPriority w:val="20"/>
    <w:qFormat/>
    <w:locked/>
    <w:rsid w:val="000C5D80"/>
    <w:rPr>
      <w:rFonts w:ascii="Garamond" w:eastAsia="Times New Roman" w:hAnsi="Garamond" w:cs="Times New Roman"/>
      <w:i/>
      <w:sz w:val="24"/>
      <w:szCs w:val="24"/>
    </w:rPr>
  </w:style>
  <w:style w:type="paragraph" w:customStyle="1" w:styleId="Tablenote">
    <w:name w:val="Table note"/>
    <w:basedOn w:val="Normal"/>
    <w:qFormat/>
    <w:rsid w:val="000C5D80"/>
    <w:pPr>
      <w:spacing w:before="20" w:after="360"/>
      <w:ind w:left="284" w:hanging="142"/>
      <w:contextualSpacing/>
    </w:pPr>
    <w:rPr>
      <w:rFonts w:asciiTheme="minorHAnsi" w:eastAsiaTheme="minorHAnsi" w:hAnsiTheme="minorHAnsi" w:cstheme="minorBidi"/>
      <w:i/>
      <w:sz w:val="16"/>
      <w:szCs w:val="24"/>
      <w:lang w:eastAsia="en-US"/>
    </w:rPr>
  </w:style>
  <w:style w:type="table" w:customStyle="1" w:styleId="TableGridLight1">
    <w:name w:val="Table Grid Light1"/>
    <w:basedOn w:val="TableNormal"/>
    <w:uiPriority w:val="40"/>
    <w:rsid w:val="000C5D80"/>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1">
    <w:name w:val="Table H1"/>
    <w:basedOn w:val="Tableheading"/>
    <w:uiPriority w:val="4"/>
    <w:qFormat/>
    <w:rsid w:val="000C5D80"/>
    <w:rPr>
      <w:i/>
    </w:rPr>
  </w:style>
  <w:style w:type="character" w:customStyle="1" w:styleId="Heading3Char">
    <w:name w:val="Heading 3 Char"/>
    <w:basedOn w:val="DefaultParagraphFont"/>
    <w:link w:val="Heading3"/>
    <w:rsid w:val="00501ED9"/>
    <w:rPr>
      <w:rFonts w:eastAsiaTheme="majorEastAsia" w:cstheme="majorBidi"/>
      <w:bCs/>
      <w:i/>
      <w:color w:val="000000" w:themeColor="text1"/>
      <w:sz w:val="24"/>
      <w:szCs w:val="26"/>
    </w:rPr>
  </w:style>
  <w:style w:type="paragraph" w:customStyle="1" w:styleId="Bullet12">
    <w:name w:val="Bullet+12"/>
    <w:basedOn w:val="Body"/>
    <w:qFormat/>
    <w:rsid w:val="00846C33"/>
    <w:pPr>
      <w:keepLines/>
      <w:numPr>
        <w:numId w:val="34"/>
      </w:numPr>
      <w:tabs>
        <w:tab w:val="num" w:pos="360"/>
      </w:tabs>
      <w:spacing w:after="240"/>
      <w:ind w:left="811"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8065</Words>
  <Characters>45300</Characters>
  <Application>Microsoft Office Word</Application>
  <DocSecurity>0</DocSecurity>
  <Lines>377</Lines>
  <Paragraphs>106</Paragraphs>
  <ScaleCrop>false</ScaleCrop>
  <Company/>
  <LinksUpToDate>false</LinksUpToDate>
  <CharactersWithSpaces>53259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1476-PSD-July2018</dc:title>
  <dc:creator/>
  <cp:lastModifiedBy/>
  <cp:revision>1</cp:revision>
  <dcterms:created xsi:type="dcterms:W3CDTF">2018-10-17T04:51:00Z</dcterms:created>
  <dcterms:modified xsi:type="dcterms:W3CDTF">2018-10-17T04:51:00Z</dcterms:modified>
</cp:coreProperties>
</file>