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BBA6" w14:textId="77777777" w:rsidR="00440598" w:rsidRPr="00A34E9C" w:rsidRDefault="00440598" w:rsidP="008D62B9">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440598" w:rsidRPr="00A34E9C" w14:paraId="3730EDA1" w14:textId="77777777" w:rsidTr="008D62B9">
        <w:tc>
          <w:tcPr>
            <w:tcW w:w="5000" w:type="pct"/>
          </w:tcPr>
          <w:p w14:paraId="62A07EB7" w14:textId="77777777" w:rsidR="00440598" w:rsidRPr="00584AE6" w:rsidRDefault="00440598" w:rsidP="008D62B9">
            <w:pPr>
              <w:pStyle w:val="NoSpacing"/>
              <w:rPr>
                <w:rFonts w:ascii="Tahoma" w:hAnsi="Tahoma" w:cs="Tahoma"/>
                <w:sz w:val="44"/>
                <w:szCs w:val="56"/>
                <w:lang w:val="en-AU"/>
              </w:rPr>
            </w:pPr>
            <w:r w:rsidRPr="00584AE6">
              <w:rPr>
                <w:rFonts w:ascii="Tahoma" w:hAnsi="Tahoma" w:cs="Tahoma"/>
                <w:sz w:val="44"/>
                <w:szCs w:val="56"/>
                <w:lang w:val="en-AU"/>
              </w:rPr>
              <w:t xml:space="preserve">Application </w:t>
            </w:r>
            <w:r w:rsidR="008D62B9">
              <w:rPr>
                <w:rFonts w:ascii="Tahoma" w:hAnsi="Tahoma" w:cs="Tahoma"/>
                <w:sz w:val="44"/>
                <w:szCs w:val="56"/>
                <w:lang w:val="en-AU"/>
              </w:rPr>
              <w:t>1195</w:t>
            </w:r>
          </w:p>
          <w:p w14:paraId="422A1358" w14:textId="77777777" w:rsidR="00440598" w:rsidRPr="00584AE6" w:rsidRDefault="00440598" w:rsidP="008D62B9">
            <w:pPr>
              <w:pStyle w:val="NoSpacing"/>
              <w:rPr>
                <w:rFonts w:ascii="Tahoma" w:hAnsi="Tahoma" w:cs="Tahoma"/>
                <w:sz w:val="44"/>
                <w:szCs w:val="56"/>
                <w:lang w:val="en-AU"/>
              </w:rPr>
            </w:pPr>
          </w:p>
          <w:p w14:paraId="6334F35A" w14:textId="6E4BC212" w:rsidR="00440598" w:rsidRPr="00A34E9C" w:rsidRDefault="000064B4" w:rsidP="008D62B9">
            <w:pPr>
              <w:pStyle w:val="NoSpacing"/>
              <w:rPr>
                <w:rFonts w:ascii="Tahoma" w:hAnsi="Tahoma" w:cs="Tahoma"/>
                <w:sz w:val="44"/>
                <w:szCs w:val="56"/>
                <w:lang w:val="en-AU"/>
              </w:rPr>
            </w:pPr>
            <w:r>
              <w:rPr>
                <w:rFonts w:ascii="Tahoma" w:hAnsi="Tahoma" w:cs="Tahoma"/>
                <w:sz w:val="44"/>
                <w:szCs w:val="56"/>
                <w:lang w:val="en-AU"/>
              </w:rPr>
              <w:t xml:space="preserve">Protocol </w:t>
            </w:r>
            <w:r w:rsidR="00440598" w:rsidRPr="00584AE6">
              <w:rPr>
                <w:rFonts w:ascii="Tahoma" w:hAnsi="Tahoma" w:cs="Tahoma"/>
                <w:sz w:val="44"/>
                <w:szCs w:val="56"/>
                <w:lang w:val="en-AU"/>
              </w:rPr>
              <w:t xml:space="preserve">to guide the assessment of </w:t>
            </w:r>
            <w:r w:rsidR="008D62B9">
              <w:rPr>
                <w:rFonts w:ascii="Tahoma" w:hAnsi="Tahoma" w:cs="Tahoma"/>
                <w:sz w:val="44"/>
                <w:szCs w:val="56"/>
                <w:lang w:val="en-AU"/>
              </w:rPr>
              <w:t xml:space="preserve">F-18 </w:t>
            </w:r>
            <w:proofErr w:type="spellStart"/>
            <w:r w:rsidR="008D62B9">
              <w:rPr>
                <w:rFonts w:ascii="Tahoma" w:hAnsi="Tahoma" w:cs="Tahoma"/>
                <w:sz w:val="44"/>
                <w:szCs w:val="56"/>
                <w:lang w:val="en-AU"/>
              </w:rPr>
              <w:t>Flurodeoxyglucose</w:t>
            </w:r>
            <w:proofErr w:type="spellEnd"/>
            <w:r w:rsidR="008D62B9">
              <w:rPr>
                <w:rFonts w:ascii="Tahoma" w:hAnsi="Tahoma" w:cs="Tahoma"/>
                <w:sz w:val="44"/>
                <w:szCs w:val="56"/>
                <w:lang w:val="en-AU"/>
              </w:rPr>
              <w:t xml:space="preserve"> (FDG) Positron Emission Tomography (PET) for the diagnosis of Alzheimer’s disease</w:t>
            </w:r>
          </w:p>
          <w:p w14:paraId="0168C27A" w14:textId="77777777" w:rsidR="00440598" w:rsidRPr="00B05C59" w:rsidRDefault="00440598" w:rsidP="008D62B9">
            <w:pPr>
              <w:pStyle w:val="NoSpacing"/>
              <w:rPr>
                <w:rFonts w:ascii="Tahoma" w:hAnsi="Tahoma" w:cs="Tahoma"/>
                <w:sz w:val="344"/>
                <w:szCs w:val="344"/>
                <w:lang w:val="en-AU"/>
              </w:rPr>
            </w:pPr>
            <w:bookmarkStart w:id="1" w:name="_GoBack"/>
          </w:p>
          <w:bookmarkEnd w:id="1"/>
          <w:p w14:paraId="3DEC8ED9" w14:textId="77777777" w:rsidR="00440598" w:rsidRPr="00A34E9C" w:rsidRDefault="00440598" w:rsidP="00B05C59">
            <w:pPr>
              <w:pStyle w:val="NoSpacing"/>
              <w:rPr>
                <w:rFonts w:ascii="Tahoma" w:hAnsi="Tahoma" w:cs="Tahoma"/>
                <w:sz w:val="48"/>
                <w:szCs w:val="56"/>
              </w:rPr>
            </w:pPr>
          </w:p>
        </w:tc>
      </w:tr>
      <w:tr w:rsidR="00440598" w:rsidRPr="00A34E9C" w14:paraId="3A60C233" w14:textId="77777777" w:rsidTr="008D62B9">
        <w:tc>
          <w:tcPr>
            <w:tcW w:w="5000" w:type="pct"/>
          </w:tcPr>
          <w:p w14:paraId="6B19084F" w14:textId="33039084" w:rsidR="00440598" w:rsidRPr="00FE705C" w:rsidRDefault="00F7052C" w:rsidP="008D62B9">
            <w:pPr>
              <w:pStyle w:val="NoSpacing"/>
              <w:rPr>
                <w:rFonts w:ascii="Tahoma" w:hAnsi="Tahoma" w:cs="Tahoma"/>
                <w:sz w:val="32"/>
                <w:szCs w:val="40"/>
              </w:rPr>
            </w:pPr>
            <w:r>
              <w:rPr>
                <w:rFonts w:ascii="Tahoma" w:hAnsi="Tahoma" w:cs="Tahoma"/>
                <w:sz w:val="32"/>
                <w:szCs w:val="40"/>
                <w:lang w:val="en-AU"/>
              </w:rPr>
              <w:t>September</w:t>
            </w:r>
            <w:r w:rsidR="00440598" w:rsidRPr="00584AE6">
              <w:rPr>
                <w:rFonts w:ascii="Tahoma" w:hAnsi="Tahoma" w:cs="Tahoma"/>
                <w:sz w:val="32"/>
                <w:szCs w:val="40"/>
                <w:lang w:val="en-AU"/>
              </w:rPr>
              <w:t xml:space="preserve"> 201</w:t>
            </w:r>
            <w:r w:rsidR="008D62B9">
              <w:rPr>
                <w:rFonts w:ascii="Tahoma" w:hAnsi="Tahoma" w:cs="Tahoma"/>
                <w:sz w:val="32"/>
                <w:szCs w:val="40"/>
                <w:lang w:val="en-AU"/>
              </w:rPr>
              <w:t>4</w:t>
            </w:r>
          </w:p>
        </w:tc>
      </w:tr>
    </w:tbl>
    <w:p w14:paraId="2D06EFFA" w14:textId="77777777" w:rsidR="00440598" w:rsidRPr="00A34E9C" w:rsidRDefault="00440598" w:rsidP="008D62B9"/>
    <w:p w14:paraId="7E310E4D" w14:textId="77777777" w:rsidR="00440598" w:rsidRPr="00A34E9C" w:rsidRDefault="00440598" w:rsidP="008D62B9">
      <w:pPr>
        <w:rPr>
          <w:rFonts w:ascii="Cambria" w:eastAsia="Times New Roman" w:hAnsi="Cambria" w:cs="Times New Roman"/>
          <w:b/>
          <w:i/>
          <w:color w:val="365F91"/>
          <w:sz w:val="22"/>
          <w:szCs w:val="28"/>
          <w:lang w:val="en-US" w:eastAsia="en-US"/>
        </w:rPr>
      </w:pPr>
      <w:r w:rsidRPr="00A34E9C">
        <w:br w:type="page"/>
      </w:r>
    </w:p>
    <w:p w14:paraId="3AFEA0ED" w14:textId="77777777" w:rsidR="00440598" w:rsidRPr="00A34E9C" w:rsidRDefault="00440598" w:rsidP="008D62B9">
      <w:pPr>
        <w:pStyle w:val="Heading1"/>
      </w:pPr>
      <w:bookmarkStart w:id="2" w:name="_Toc381957842"/>
      <w:r w:rsidRPr="00A34E9C">
        <w:lastRenderedPageBreak/>
        <w:t>Table of Contents</w:t>
      </w:r>
      <w:bookmarkEnd w:id="2"/>
    </w:p>
    <w:p w14:paraId="55706ECD" w14:textId="4C7B911C"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Table of Contents</w:t>
      </w:r>
      <w:r>
        <w:rPr>
          <w:webHidden/>
        </w:rPr>
        <w:tab/>
      </w:r>
      <w:r w:rsidR="00FA7B05">
        <w:rPr>
          <w:webHidden/>
        </w:rPr>
        <w:t>2</w:t>
      </w:r>
    </w:p>
    <w:p w14:paraId="55578BFB" w14:textId="2063ACF3"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List of tables</w:t>
      </w:r>
      <w:r>
        <w:rPr>
          <w:webHidden/>
        </w:rPr>
        <w:tab/>
      </w:r>
      <w:r w:rsidR="00FA7B05">
        <w:rPr>
          <w:webHidden/>
        </w:rPr>
        <w:t>3</w:t>
      </w:r>
    </w:p>
    <w:p w14:paraId="1AA21066" w14:textId="43C54001"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MSAC and PASC</w:t>
      </w:r>
      <w:r>
        <w:rPr>
          <w:webHidden/>
        </w:rPr>
        <w:tab/>
      </w:r>
      <w:r w:rsidR="00FA7B05">
        <w:rPr>
          <w:webHidden/>
        </w:rPr>
        <w:t>4</w:t>
      </w:r>
    </w:p>
    <w:p w14:paraId="565BE854" w14:textId="7A864A74"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Purpose of this document</w:t>
      </w:r>
      <w:r>
        <w:rPr>
          <w:webHidden/>
        </w:rPr>
        <w:tab/>
      </w:r>
      <w:r w:rsidR="00FA7B05">
        <w:rPr>
          <w:webHidden/>
        </w:rPr>
        <w:t>4</w:t>
      </w:r>
    </w:p>
    <w:p w14:paraId="1EECBF1A" w14:textId="5765D334"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Purpose of application</w:t>
      </w:r>
      <w:r>
        <w:rPr>
          <w:webHidden/>
        </w:rPr>
        <w:tab/>
      </w:r>
      <w:r w:rsidR="00FA7B05">
        <w:rPr>
          <w:webHidden/>
        </w:rPr>
        <w:t>5</w:t>
      </w:r>
    </w:p>
    <w:p w14:paraId="7B6C0116" w14:textId="6FF6BFA5"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Intervention</w:t>
      </w:r>
      <w:r>
        <w:rPr>
          <w:webHidden/>
        </w:rPr>
        <w:tab/>
      </w:r>
      <w:r w:rsidR="00FA7B05">
        <w:rPr>
          <w:webHidden/>
        </w:rPr>
        <w:t>5</w:t>
      </w:r>
    </w:p>
    <w:p w14:paraId="7972B57B" w14:textId="2D4FF3BE"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Description</w:t>
      </w:r>
      <w:r>
        <w:rPr>
          <w:webHidden/>
        </w:rPr>
        <w:tab/>
      </w:r>
      <w:r w:rsidR="00FA7B05">
        <w:rPr>
          <w:webHidden/>
        </w:rPr>
        <w:t>5</w:t>
      </w:r>
    </w:p>
    <w:p w14:paraId="40A91FB4" w14:textId="7B0A1B1D"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Administration, dose, frequency of administration, duration of treatment</w:t>
      </w:r>
      <w:r>
        <w:rPr>
          <w:webHidden/>
        </w:rPr>
        <w:tab/>
      </w:r>
      <w:r w:rsidR="00FA7B05">
        <w:rPr>
          <w:webHidden/>
        </w:rPr>
        <w:t>5</w:t>
      </w:r>
    </w:p>
    <w:p w14:paraId="33320526" w14:textId="32E4177C"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Co-administered interventions</w:t>
      </w:r>
      <w:r>
        <w:rPr>
          <w:webHidden/>
        </w:rPr>
        <w:tab/>
      </w:r>
      <w:r w:rsidR="00FA7B05">
        <w:rPr>
          <w:webHidden/>
        </w:rPr>
        <w:t>6</w:t>
      </w:r>
    </w:p>
    <w:p w14:paraId="20FC4498" w14:textId="09E3BA4F"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Background</w:t>
      </w:r>
      <w:r>
        <w:rPr>
          <w:webHidden/>
        </w:rPr>
        <w:tab/>
      </w:r>
      <w:r w:rsidR="00FA7B05">
        <w:rPr>
          <w:webHidden/>
        </w:rPr>
        <w:t>7</w:t>
      </w:r>
    </w:p>
    <w:p w14:paraId="08E04121" w14:textId="09233205"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Current arrangements for public reimbursement</w:t>
      </w:r>
      <w:r>
        <w:rPr>
          <w:webHidden/>
        </w:rPr>
        <w:tab/>
      </w:r>
      <w:r w:rsidR="00FA7B05">
        <w:rPr>
          <w:webHidden/>
        </w:rPr>
        <w:t>7</w:t>
      </w:r>
    </w:p>
    <w:p w14:paraId="1E2F5486" w14:textId="54397624"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Regulatory status</w:t>
      </w:r>
      <w:r>
        <w:rPr>
          <w:webHidden/>
        </w:rPr>
        <w:tab/>
      </w:r>
      <w:r w:rsidR="00FA7B05">
        <w:rPr>
          <w:webHidden/>
        </w:rPr>
        <w:t>7</w:t>
      </w:r>
    </w:p>
    <w:p w14:paraId="18CA61BD" w14:textId="09FA774F"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Patient population</w:t>
      </w:r>
      <w:r>
        <w:rPr>
          <w:webHidden/>
        </w:rPr>
        <w:tab/>
      </w:r>
      <w:r w:rsidR="00FA7B05">
        <w:rPr>
          <w:webHidden/>
        </w:rPr>
        <w:t>8</w:t>
      </w:r>
    </w:p>
    <w:p w14:paraId="271446F6" w14:textId="25849F33"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Proposed MBS listing</w:t>
      </w:r>
      <w:r>
        <w:rPr>
          <w:webHidden/>
        </w:rPr>
        <w:tab/>
      </w:r>
      <w:r w:rsidR="00FA7B05">
        <w:rPr>
          <w:webHidden/>
        </w:rPr>
        <w:t>8</w:t>
      </w:r>
    </w:p>
    <w:p w14:paraId="4FF300CA" w14:textId="00D95433"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Clinical place for proposed intervention</w:t>
      </w:r>
      <w:r>
        <w:rPr>
          <w:webHidden/>
        </w:rPr>
        <w:tab/>
      </w:r>
      <w:r w:rsidR="00FA7B05">
        <w:rPr>
          <w:webHidden/>
        </w:rPr>
        <w:t>8</w:t>
      </w:r>
    </w:p>
    <w:p w14:paraId="387232C7" w14:textId="4A1E8242"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Prior tests</w:t>
      </w:r>
      <w:r>
        <w:rPr>
          <w:webHidden/>
        </w:rPr>
        <w:tab/>
      </w:r>
      <w:r w:rsidR="00FA7B05">
        <w:rPr>
          <w:webHidden/>
        </w:rPr>
        <w:t>10</w:t>
      </w:r>
    </w:p>
    <w:p w14:paraId="1012DDA1" w14:textId="6CD4288A"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Utilisation</w:t>
      </w:r>
      <w:r>
        <w:rPr>
          <w:webHidden/>
        </w:rPr>
        <w:tab/>
      </w:r>
      <w:r w:rsidR="00FA7B05">
        <w:rPr>
          <w:webHidden/>
        </w:rPr>
        <w:t>10</w:t>
      </w:r>
    </w:p>
    <w:p w14:paraId="3ECD1B17" w14:textId="092499DA"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Comparator</w:t>
      </w:r>
      <w:r>
        <w:rPr>
          <w:webHidden/>
        </w:rPr>
        <w:tab/>
      </w:r>
      <w:r w:rsidR="00FA7B05">
        <w:rPr>
          <w:webHidden/>
        </w:rPr>
        <w:t>10</w:t>
      </w:r>
    </w:p>
    <w:p w14:paraId="5D9524A2" w14:textId="7CDEF5C0"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Clinical management algorithms</w:t>
      </w:r>
      <w:r>
        <w:rPr>
          <w:webHidden/>
        </w:rPr>
        <w:tab/>
      </w:r>
      <w:r w:rsidR="00FA7B05">
        <w:rPr>
          <w:webHidden/>
        </w:rPr>
        <w:t>10</w:t>
      </w:r>
    </w:p>
    <w:p w14:paraId="3DAB4E8B" w14:textId="3B69ECF2"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Clinical claim</w:t>
      </w:r>
      <w:r>
        <w:rPr>
          <w:webHidden/>
        </w:rPr>
        <w:tab/>
      </w:r>
      <w:r w:rsidR="00FA7B05">
        <w:rPr>
          <w:webHidden/>
        </w:rPr>
        <w:t>12</w:t>
      </w:r>
    </w:p>
    <w:p w14:paraId="6FF0EF5A" w14:textId="09037174"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Outcomes and health care resources affected by introduction of proposed intervention</w:t>
      </w:r>
      <w:r>
        <w:rPr>
          <w:webHidden/>
        </w:rPr>
        <w:tab/>
      </w:r>
      <w:r w:rsidR="00FA7B05">
        <w:rPr>
          <w:webHidden/>
        </w:rPr>
        <w:t>13</w:t>
      </w:r>
    </w:p>
    <w:p w14:paraId="091B4D21" w14:textId="6B2CBC6A" w:rsidR="005242EC" w:rsidRDefault="005242EC">
      <w:pPr>
        <w:pStyle w:val="TOC2"/>
        <w:rPr>
          <w:rFonts w:asciiTheme="minorHAnsi" w:eastAsiaTheme="minorEastAsia" w:hAnsiTheme="minorHAnsi" w:cstheme="minorBidi"/>
          <w:sz w:val="22"/>
          <w:szCs w:val="22"/>
          <w:lang w:val="en-AU" w:eastAsia="en-AU"/>
        </w:rPr>
      </w:pPr>
      <w:r w:rsidRPr="000C3F25">
        <w:rPr>
          <w:rFonts w:cs="Times New Roman"/>
        </w:rPr>
        <w:t>Outcomes</w:t>
      </w:r>
      <w:r>
        <w:rPr>
          <w:webHidden/>
        </w:rPr>
        <w:tab/>
      </w:r>
      <w:r w:rsidR="00FA7B05">
        <w:rPr>
          <w:webHidden/>
        </w:rPr>
        <w:t>13</w:t>
      </w:r>
    </w:p>
    <w:p w14:paraId="776AA129" w14:textId="31901A52"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Proposed structure of economic evaluation (decision-analytic)</w:t>
      </w:r>
      <w:r>
        <w:rPr>
          <w:webHidden/>
        </w:rPr>
        <w:tab/>
      </w:r>
      <w:r w:rsidR="00FA7B05">
        <w:rPr>
          <w:webHidden/>
        </w:rPr>
        <w:t>14</w:t>
      </w:r>
    </w:p>
    <w:p w14:paraId="50B5883F" w14:textId="565FBDFA" w:rsidR="005242EC" w:rsidRDefault="005242EC">
      <w:pPr>
        <w:pStyle w:val="TOC1"/>
        <w:rPr>
          <w:rFonts w:asciiTheme="minorHAnsi" w:eastAsiaTheme="minorEastAsia" w:hAnsiTheme="minorHAnsi" w:cstheme="minorBidi"/>
          <w:b w:val="0"/>
          <w:sz w:val="22"/>
          <w:szCs w:val="22"/>
          <w:lang w:eastAsia="en-AU"/>
        </w:rPr>
      </w:pPr>
      <w:r w:rsidRPr="000C3F25">
        <w:rPr>
          <w:rFonts w:cs="Times New Roman"/>
        </w:rPr>
        <w:t>References</w:t>
      </w:r>
      <w:r>
        <w:rPr>
          <w:webHidden/>
        </w:rPr>
        <w:tab/>
      </w:r>
      <w:r w:rsidR="00FA7B05">
        <w:rPr>
          <w:webHidden/>
        </w:rPr>
        <w:t>15</w:t>
      </w:r>
    </w:p>
    <w:p w14:paraId="5F38B785" w14:textId="4A9B8CF6" w:rsidR="00440598" w:rsidRDefault="00440598" w:rsidP="008D62B9">
      <w:r w:rsidRPr="00A34E9C">
        <w:br w:type="page"/>
      </w:r>
    </w:p>
    <w:p w14:paraId="1DE552F8" w14:textId="0AA032EE" w:rsidR="005242EC" w:rsidRDefault="00440598" w:rsidP="008D62B9">
      <w:pPr>
        <w:pStyle w:val="Heading1"/>
        <w:rPr>
          <w:noProof/>
        </w:rPr>
      </w:pPr>
      <w:bookmarkStart w:id="3" w:name="_Toc381957843"/>
      <w:r>
        <w:lastRenderedPageBreak/>
        <w:t>List of tables</w:t>
      </w:r>
      <w:bookmarkEnd w:id="0"/>
      <w:bookmarkEnd w:id="3"/>
    </w:p>
    <w:p w14:paraId="01ACABEB" w14:textId="666071BF" w:rsidR="005242EC" w:rsidRDefault="005242EC">
      <w:pPr>
        <w:pStyle w:val="TableofFigures"/>
        <w:rPr>
          <w:rFonts w:asciiTheme="minorHAnsi" w:eastAsiaTheme="minorEastAsia" w:hAnsiTheme="minorHAnsi" w:cstheme="minorBidi"/>
          <w:szCs w:val="22"/>
          <w:lang w:eastAsia="en-AU"/>
        </w:rPr>
      </w:pPr>
      <w:r w:rsidRPr="000C3F25">
        <w:rPr>
          <w:rFonts w:eastAsia="SimSun" w:cs="Times New Roman"/>
        </w:rPr>
        <w:t>Table 1:</w:t>
      </w:r>
      <w:r>
        <w:rPr>
          <w:rFonts w:asciiTheme="minorHAnsi" w:eastAsiaTheme="minorEastAsia" w:hAnsiTheme="minorHAnsi" w:cstheme="minorBidi"/>
          <w:szCs w:val="22"/>
          <w:lang w:eastAsia="en-AU"/>
        </w:rPr>
        <w:tab/>
      </w:r>
      <w:r w:rsidRPr="000C3F25">
        <w:rPr>
          <w:rFonts w:eastAsia="SimSun" w:cs="Times New Roman"/>
        </w:rPr>
        <w:t>Proposed MBS item descriptor for FDG-PET for diagnosis of Alzheimer’s disease</w:t>
      </w:r>
      <w:r>
        <w:rPr>
          <w:webHidden/>
        </w:rPr>
        <w:tab/>
      </w:r>
      <w:r w:rsidR="00FA7B05">
        <w:rPr>
          <w:webHidden/>
        </w:rPr>
        <w:t>8</w:t>
      </w:r>
    </w:p>
    <w:p w14:paraId="584C1635" w14:textId="4AEEAA64" w:rsidR="005242EC" w:rsidRDefault="005242EC">
      <w:pPr>
        <w:pStyle w:val="TableofFigures"/>
        <w:rPr>
          <w:rFonts w:asciiTheme="minorHAnsi" w:eastAsiaTheme="minorEastAsia" w:hAnsiTheme="minorHAnsi" w:cstheme="minorBidi"/>
          <w:szCs w:val="22"/>
          <w:lang w:eastAsia="en-AU"/>
        </w:rPr>
      </w:pPr>
      <w:r w:rsidRPr="000C3F25">
        <w:rPr>
          <w:rFonts w:eastAsia="SimSun" w:cs="Times New Roman"/>
        </w:rPr>
        <w:t>Table 2:</w:t>
      </w:r>
      <w:r>
        <w:rPr>
          <w:rFonts w:asciiTheme="minorHAnsi" w:eastAsiaTheme="minorEastAsia" w:hAnsiTheme="minorHAnsi" w:cstheme="minorBidi"/>
          <w:szCs w:val="22"/>
          <w:lang w:eastAsia="en-AU"/>
        </w:rPr>
        <w:tab/>
      </w:r>
      <w:r w:rsidRPr="000C3F25">
        <w:rPr>
          <w:rFonts w:eastAsia="SimSun" w:cs="Times New Roman"/>
        </w:rPr>
        <w:t>MBS item descriptor for SPECT</w:t>
      </w:r>
      <w:r>
        <w:rPr>
          <w:webHidden/>
        </w:rPr>
        <w:tab/>
      </w:r>
      <w:r w:rsidR="00FA7B05">
        <w:rPr>
          <w:webHidden/>
        </w:rPr>
        <w:t>10</w:t>
      </w:r>
    </w:p>
    <w:p w14:paraId="79FCE62A" w14:textId="4CBBE420" w:rsidR="005242EC" w:rsidRDefault="005242EC">
      <w:pPr>
        <w:pStyle w:val="TableofFigures"/>
        <w:rPr>
          <w:rFonts w:asciiTheme="minorHAnsi" w:eastAsiaTheme="minorEastAsia" w:hAnsiTheme="minorHAnsi" w:cstheme="minorBidi"/>
          <w:szCs w:val="22"/>
          <w:lang w:eastAsia="en-AU"/>
        </w:rPr>
      </w:pPr>
      <w:r w:rsidRPr="000C3F25">
        <w:rPr>
          <w:rFonts w:eastAsia="SimSun" w:cs="Times New Roman"/>
        </w:rPr>
        <w:t>Table 3:</w:t>
      </w:r>
      <w:r>
        <w:rPr>
          <w:rFonts w:asciiTheme="minorHAnsi" w:eastAsiaTheme="minorEastAsia" w:hAnsiTheme="minorHAnsi" w:cstheme="minorBidi"/>
          <w:szCs w:val="22"/>
          <w:lang w:eastAsia="en-AU"/>
        </w:rPr>
        <w:tab/>
      </w:r>
      <w:r w:rsidRPr="000C3F25">
        <w:rPr>
          <w:rFonts w:eastAsia="SimSun" w:cs="Times New Roman"/>
        </w:rPr>
        <w:t>Classification of an intervention for determination of economic evaluation to be presented</w:t>
      </w:r>
      <w:r>
        <w:rPr>
          <w:webHidden/>
        </w:rPr>
        <w:tab/>
      </w:r>
      <w:r w:rsidR="00FA7B05">
        <w:rPr>
          <w:webHidden/>
        </w:rPr>
        <w:t>13</w:t>
      </w:r>
    </w:p>
    <w:p w14:paraId="7616D436" w14:textId="13828104" w:rsidR="005242EC" w:rsidRDefault="005242EC">
      <w:pPr>
        <w:pStyle w:val="TableofFigures"/>
        <w:rPr>
          <w:rFonts w:asciiTheme="minorHAnsi" w:eastAsiaTheme="minorEastAsia" w:hAnsiTheme="minorHAnsi" w:cstheme="minorBidi"/>
          <w:szCs w:val="22"/>
          <w:lang w:eastAsia="en-AU"/>
        </w:rPr>
      </w:pPr>
      <w:r w:rsidRPr="000C3F25">
        <w:rPr>
          <w:rFonts w:eastAsia="SimSun" w:cs="Times New Roman"/>
        </w:rPr>
        <w:t>Table 5:</w:t>
      </w:r>
      <w:r w:rsidRPr="000C3F25">
        <w:rPr>
          <w:rFonts w:eastAsia="SimSun" w:cs="Times New Roman"/>
        </w:rPr>
        <w:tab/>
        <w:t>Summary of extended PPICO to define research question that assessment will investigate</w:t>
      </w:r>
      <w:r>
        <w:rPr>
          <w:webHidden/>
        </w:rPr>
        <w:tab/>
      </w:r>
      <w:r w:rsidR="00FA7B05">
        <w:rPr>
          <w:webHidden/>
        </w:rPr>
        <w:t>14</w:t>
      </w:r>
    </w:p>
    <w:p w14:paraId="64D81EAA" w14:textId="1CF8AA0B" w:rsidR="00440598" w:rsidRDefault="00440598" w:rsidP="008D62B9">
      <w:pPr>
        <w:rPr>
          <w:b/>
          <w:bCs/>
        </w:rPr>
      </w:pPr>
      <w:r>
        <w:br w:type="page"/>
      </w:r>
    </w:p>
    <w:p w14:paraId="521D541F" w14:textId="77777777" w:rsidR="00440598" w:rsidRPr="00A34E9C" w:rsidRDefault="00440598" w:rsidP="008D62B9">
      <w:pPr>
        <w:pStyle w:val="Heading1"/>
      </w:pPr>
      <w:bookmarkStart w:id="4" w:name="_Toc381957844"/>
      <w:r w:rsidRPr="00A34E9C">
        <w:lastRenderedPageBreak/>
        <w:t>MSAC and PASC</w:t>
      </w:r>
      <w:bookmarkEnd w:id="4"/>
    </w:p>
    <w:p w14:paraId="4A310679" w14:textId="77777777" w:rsidR="00440598" w:rsidRPr="00A34E9C" w:rsidRDefault="00440598" w:rsidP="008D62B9">
      <w:r w:rsidRPr="00A34E9C">
        <w:t xml:space="preserve">The Medical Services Advisory Committee (MSAC) is an independent expert committee appointed by the </w:t>
      </w:r>
      <w:r>
        <w:t>Minister for Health (the Minister)</w:t>
      </w:r>
      <w:r w:rsidRPr="00A34E9C">
        <w:t xml:space="preserve"> to strengthen the role of evidence in health financing decisions in Australia. MSAC advises the </w:t>
      </w:r>
      <w:r>
        <w:t>Minister</w:t>
      </w:r>
      <w:r w:rsidRPr="00A34E9C">
        <w:t xml:space="preserve"> on the evidence relating to the safety, effectiveness, and cost-effectiveness of new and existing medical technologies and procedures and under what circumstances public funding should be supported.</w:t>
      </w:r>
    </w:p>
    <w:p w14:paraId="55D2284C" w14:textId="77777777" w:rsidR="00440598" w:rsidRPr="000901A8" w:rsidRDefault="00440598" w:rsidP="008D62B9">
      <w:r w:rsidRPr="000901A8">
        <w:t>The Protocol Advisory Sub-Committee (PASC) is a standing sub-committee of MSAC. Its primary objective is the determination of protocols to guide clinical and economic assessments of medical interventions proposed for public funding.</w:t>
      </w:r>
    </w:p>
    <w:p w14:paraId="7A60CB5D" w14:textId="77777777" w:rsidR="00440598" w:rsidRPr="00A34E9C" w:rsidRDefault="00440598" w:rsidP="008D62B9">
      <w:pPr>
        <w:pStyle w:val="Heading2"/>
      </w:pPr>
      <w:bookmarkStart w:id="5" w:name="_Toc381957845"/>
      <w:r w:rsidRPr="00A34E9C">
        <w:t>Purpose of this document</w:t>
      </w:r>
      <w:bookmarkEnd w:id="5"/>
    </w:p>
    <w:p w14:paraId="6E66B43B" w14:textId="77777777" w:rsidR="00440598" w:rsidRPr="00A34E9C" w:rsidRDefault="00440598" w:rsidP="008D62B9">
      <w:r w:rsidRPr="00A34E9C">
        <w:t xml:space="preserve">This document is intended to provide a draft decision analytic protocol that will be used to guide the assessment of an intervention for a particular population of patients. </w:t>
      </w:r>
      <w:r>
        <w:t>D</w:t>
      </w:r>
      <w:r w:rsidRPr="00A34E9C">
        <w:t>raft protocol</w:t>
      </w:r>
      <w:r>
        <w:t>s</w:t>
      </w:r>
      <w:r w:rsidRPr="00A34E9C">
        <w:t xml:space="preserve"> will be finalised after inviting relevant stakeholders to provide input to the protocol. The final protocol will provide the basis for the assessment of the intervention.</w:t>
      </w:r>
    </w:p>
    <w:p w14:paraId="751D289A" w14:textId="77777777" w:rsidR="00440598" w:rsidRPr="00A34E9C" w:rsidRDefault="00440598" w:rsidP="008D62B9">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14:paraId="7AAB8ECF" w14:textId="77777777" w:rsidR="00440598" w:rsidRPr="00A34E9C" w:rsidRDefault="00440598" w:rsidP="008D62B9">
      <w:pPr>
        <w:pStyle w:val="ListParagraph"/>
      </w:pPr>
      <w:r w:rsidRPr="00A34E9C">
        <w:rPr>
          <w:b/>
          <w:u w:val="single"/>
        </w:rPr>
        <w:t>P</w:t>
      </w:r>
      <w:r w:rsidRPr="00A34E9C">
        <w:t>atients – specification of the characteristics of the patients in whom the intervention is to be considered for use;</w:t>
      </w:r>
    </w:p>
    <w:p w14:paraId="22928693" w14:textId="77777777" w:rsidR="00440598" w:rsidRPr="00A34E9C" w:rsidRDefault="00440598" w:rsidP="008D62B9">
      <w:pPr>
        <w:pStyle w:val="ListParagraph"/>
      </w:pPr>
      <w:r w:rsidRPr="00A34E9C">
        <w:rPr>
          <w:b/>
          <w:u w:val="single"/>
        </w:rPr>
        <w:t>I</w:t>
      </w:r>
      <w:r w:rsidRPr="00A34E9C">
        <w:t>ntervention – specification of the proposed intervention</w:t>
      </w:r>
    </w:p>
    <w:p w14:paraId="6A41741D" w14:textId="77777777" w:rsidR="00440598" w:rsidRPr="00A34E9C" w:rsidRDefault="00440598" w:rsidP="008D62B9">
      <w:pPr>
        <w:pStyle w:val="ListParagraph"/>
      </w:pPr>
      <w:r w:rsidRPr="00A34E9C">
        <w:rPr>
          <w:b/>
          <w:u w:val="single"/>
        </w:rPr>
        <w:t>C</w:t>
      </w:r>
      <w:r w:rsidRPr="00A34E9C">
        <w:t>omparator – specification of the therapy most likely to be replaced by the proposed intervention</w:t>
      </w:r>
    </w:p>
    <w:p w14:paraId="6C107E02" w14:textId="77777777" w:rsidR="00440598" w:rsidRPr="00A34E9C" w:rsidRDefault="00440598" w:rsidP="008D62B9">
      <w:pPr>
        <w:pStyle w:val="ListParagraph"/>
      </w:pPr>
      <w:r w:rsidRPr="00A34E9C">
        <w:rPr>
          <w:b/>
          <w:u w:val="single"/>
        </w:rPr>
        <w:t>O</w:t>
      </w:r>
      <w:r w:rsidRPr="00A34E9C">
        <w:t>utcomes – specification of the health outcomes and the healthcare resources likely to be affected by the introduction of the proposed intervention</w:t>
      </w:r>
    </w:p>
    <w:p w14:paraId="4FBF0E22" w14:textId="77777777" w:rsidR="00440598" w:rsidRPr="00A34E9C" w:rsidRDefault="00440598" w:rsidP="008D62B9">
      <w:pPr>
        <w:rPr>
          <w:color w:val="215868"/>
          <w:szCs w:val="32"/>
        </w:rPr>
      </w:pPr>
      <w:r w:rsidRPr="00A34E9C">
        <w:br w:type="page"/>
      </w:r>
    </w:p>
    <w:p w14:paraId="6F8E0E7B" w14:textId="77777777" w:rsidR="00440598" w:rsidRPr="000901A8" w:rsidRDefault="00440598" w:rsidP="008D62B9">
      <w:pPr>
        <w:pStyle w:val="Heading1"/>
      </w:pPr>
      <w:bookmarkStart w:id="6" w:name="_Toc381957846"/>
      <w:r w:rsidRPr="000901A8">
        <w:lastRenderedPageBreak/>
        <w:t>Purpose of application</w:t>
      </w:r>
      <w:bookmarkEnd w:id="6"/>
    </w:p>
    <w:p w14:paraId="37CE869C" w14:textId="77777777" w:rsidR="00440598" w:rsidRDefault="00440598" w:rsidP="008D62B9">
      <w:pPr>
        <w:rPr>
          <w:szCs w:val="22"/>
        </w:rPr>
      </w:pPr>
      <w:r>
        <w:rPr>
          <w:szCs w:val="22"/>
        </w:rPr>
        <w:t>A</w:t>
      </w:r>
      <w:r w:rsidRPr="00005D10">
        <w:rPr>
          <w:szCs w:val="22"/>
        </w:rPr>
        <w:t xml:space="preserve">n application requesting </w:t>
      </w:r>
      <w:r>
        <w:rPr>
          <w:szCs w:val="22"/>
        </w:rPr>
        <w:t>Medicare Benefits Schedule (</w:t>
      </w:r>
      <w:r w:rsidRPr="00005D10">
        <w:rPr>
          <w:szCs w:val="22"/>
        </w:rPr>
        <w:t>MBS</w:t>
      </w:r>
      <w:r>
        <w:rPr>
          <w:szCs w:val="22"/>
        </w:rPr>
        <w:t>)</w:t>
      </w:r>
      <w:r w:rsidRPr="00005D10">
        <w:rPr>
          <w:szCs w:val="22"/>
        </w:rPr>
        <w:t xml:space="preserve"> listing </w:t>
      </w:r>
      <w:r w:rsidR="008D62B9">
        <w:rPr>
          <w:szCs w:val="22"/>
        </w:rPr>
        <w:t>of</w:t>
      </w:r>
      <w:r w:rsidR="008D62B9" w:rsidRPr="008D62B9">
        <w:rPr>
          <w:szCs w:val="22"/>
        </w:rPr>
        <w:t xml:space="preserve"> F-18 </w:t>
      </w:r>
      <w:proofErr w:type="spellStart"/>
      <w:r w:rsidR="008D62B9" w:rsidRPr="008D62B9">
        <w:rPr>
          <w:szCs w:val="22"/>
        </w:rPr>
        <w:t>Flurodeoxyglucose</w:t>
      </w:r>
      <w:proofErr w:type="spellEnd"/>
      <w:r w:rsidR="008D62B9" w:rsidRPr="008D62B9">
        <w:rPr>
          <w:szCs w:val="22"/>
        </w:rPr>
        <w:t xml:space="preserve"> (FDG) Positron Emission Tomography (PET) for the diagnosis of Alzheimer’s disease</w:t>
      </w:r>
      <w:r w:rsidRPr="00EA22A8">
        <w:rPr>
          <w:szCs w:val="22"/>
        </w:rPr>
        <w:t xml:space="preserve"> was received from </w:t>
      </w:r>
      <w:r w:rsidR="008D62B9">
        <w:rPr>
          <w:szCs w:val="22"/>
        </w:rPr>
        <w:t>The Department of Nuclear Medicine and Centre for PET at Austin Health, Victoria,</w:t>
      </w:r>
      <w:r w:rsidRPr="00EA22A8">
        <w:rPr>
          <w:szCs w:val="22"/>
        </w:rPr>
        <w:t xml:space="preserve"> by the Department of Health in </w:t>
      </w:r>
      <w:r>
        <w:rPr>
          <w:szCs w:val="22"/>
        </w:rPr>
        <w:t>September 201</w:t>
      </w:r>
      <w:r w:rsidR="008D62B9">
        <w:rPr>
          <w:szCs w:val="22"/>
        </w:rPr>
        <w:t>3</w:t>
      </w:r>
      <w:r w:rsidRPr="00EA22A8">
        <w:rPr>
          <w:szCs w:val="22"/>
        </w:rPr>
        <w:t>.</w:t>
      </w:r>
      <w:r>
        <w:rPr>
          <w:szCs w:val="22"/>
        </w:rPr>
        <w:t xml:space="preserve"> </w:t>
      </w:r>
    </w:p>
    <w:p w14:paraId="090EE751" w14:textId="77777777" w:rsidR="00440598" w:rsidRPr="00645CD5" w:rsidRDefault="00440598" w:rsidP="008D62B9">
      <w:pPr>
        <w:rPr>
          <w:szCs w:val="22"/>
        </w:rPr>
      </w:pPr>
      <w:r>
        <w:rPr>
          <w:szCs w:val="22"/>
        </w:rPr>
        <w:t xml:space="preserve">The use of </w:t>
      </w:r>
      <w:r w:rsidR="008D62B9">
        <w:rPr>
          <w:szCs w:val="22"/>
        </w:rPr>
        <w:t>FDG PET</w:t>
      </w:r>
      <w:r>
        <w:rPr>
          <w:szCs w:val="22"/>
        </w:rPr>
        <w:t xml:space="preserve"> is proposed to </w:t>
      </w:r>
      <w:r w:rsidR="008D62B9">
        <w:rPr>
          <w:szCs w:val="22"/>
        </w:rPr>
        <w:t>establish a diagnosis of Alzheimer’s disease where other diagnostic methods are inconclusive</w:t>
      </w:r>
      <w:r>
        <w:rPr>
          <w:szCs w:val="22"/>
        </w:rPr>
        <w:t xml:space="preserve">. </w:t>
      </w:r>
    </w:p>
    <w:p w14:paraId="1BCCBD55" w14:textId="77777777" w:rsidR="00440598" w:rsidRDefault="001E727D" w:rsidP="008D62B9">
      <w:pPr>
        <w:rPr>
          <w:szCs w:val="22"/>
        </w:rPr>
      </w:pPr>
      <w:r>
        <w:rPr>
          <w:szCs w:val="22"/>
        </w:rPr>
        <w:t>FDG PET</w:t>
      </w:r>
      <w:r w:rsidR="00440598">
        <w:rPr>
          <w:szCs w:val="22"/>
        </w:rPr>
        <w:t xml:space="preserve"> is not currently listed on the MBS for th</w:t>
      </w:r>
      <w:r>
        <w:rPr>
          <w:szCs w:val="22"/>
        </w:rPr>
        <w:t>is purpose</w:t>
      </w:r>
      <w:r w:rsidR="00440598">
        <w:rPr>
          <w:szCs w:val="22"/>
        </w:rPr>
        <w:t xml:space="preserve"> and the</w:t>
      </w:r>
      <w:r w:rsidR="008D62B9">
        <w:rPr>
          <w:szCs w:val="22"/>
        </w:rPr>
        <w:t>refore, this application is for</w:t>
      </w:r>
      <w:r w:rsidR="00440598">
        <w:rPr>
          <w:szCs w:val="22"/>
        </w:rPr>
        <w:t xml:space="preserve"> </w:t>
      </w:r>
      <w:r>
        <w:rPr>
          <w:szCs w:val="22"/>
        </w:rPr>
        <w:t>one</w:t>
      </w:r>
      <w:r w:rsidR="00645DA1">
        <w:rPr>
          <w:szCs w:val="22"/>
        </w:rPr>
        <w:t xml:space="preserve"> new MBS item</w:t>
      </w:r>
      <w:r w:rsidR="00440598">
        <w:rPr>
          <w:szCs w:val="22"/>
        </w:rPr>
        <w:t xml:space="preserve"> for</w:t>
      </w:r>
      <w:r>
        <w:rPr>
          <w:szCs w:val="22"/>
        </w:rPr>
        <w:t xml:space="preserve"> patients with evidence of decline in memory or other areas of cognition where the current diagnostic methods are inconclusive</w:t>
      </w:r>
      <w:r w:rsidR="00440598">
        <w:rPr>
          <w:szCs w:val="22"/>
        </w:rPr>
        <w:t>.</w:t>
      </w:r>
    </w:p>
    <w:p w14:paraId="1888347B" w14:textId="77777777" w:rsidR="00440598" w:rsidRDefault="00440598" w:rsidP="008D62B9">
      <w:pPr>
        <w:pStyle w:val="Heading1"/>
      </w:pPr>
      <w:bookmarkStart w:id="7" w:name="_Toc381957847"/>
      <w:r w:rsidRPr="00A34E9C">
        <w:t>Intervention</w:t>
      </w:r>
      <w:bookmarkEnd w:id="7"/>
    </w:p>
    <w:p w14:paraId="3C521AEA" w14:textId="77777777" w:rsidR="00440598" w:rsidRDefault="00440598" w:rsidP="00D95BAC">
      <w:pPr>
        <w:pStyle w:val="Heading2"/>
      </w:pPr>
      <w:bookmarkStart w:id="8" w:name="_Toc381957848"/>
      <w:r w:rsidRPr="00A34E9C">
        <w:t>Description</w:t>
      </w:r>
      <w:bookmarkEnd w:id="8"/>
    </w:p>
    <w:p w14:paraId="34DF60BE" w14:textId="77777777" w:rsidR="00D95BAC" w:rsidRPr="001E727D" w:rsidRDefault="00D95BAC" w:rsidP="00D95BAC">
      <w:r w:rsidRPr="001E727D">
        <w:t xml:space="preserve">PET is a minimally invasive nuclear medicine imaging technique that uses short-lived radiopharmaceuticals </w:t>
      </w:r>
      <w:r>
        <w:t xml:space="preserve">that mimic endogenous molecules </w:t>
      </w:r>
      <w:r w:rsidRPr="001E727D">
        <w:t xml:space="preserve">to detect and assess perfusion and metabolic activity in various organ systems. It provides information about function and metabolism that is complementary to the structural information provided by anatomical imaging techniques such as x-ray computed tomography (CT). </w:t>
      </w:r>
    </w:p>
    <w:p w14:paraId="788F3BC7" w14:textId="66F9D983" w:rsidR="00D95BAC" w:rsidRDefault="00D95BAC" w:rsidP="00D95BAC">
      <w:r>
        <w:t>FDG is the most common molecular imaging biomarker used in PET and is a radiolabeled glucose analogue. By entering the glucose metabolic pathway, FDG provides information about tissue metabolism and is widely used in oncology. FDG uptake by brain tissue as measured by PET evaluates the regional cerebral metabolic rate for glucose</w:t>
      </w:r>
      <w:r w:rsidRPr="00200F3A">
        <w:t xml:space="preserve"> (</w:t>
      </w:r>
      <w:proofErr w:type="spellStart"/>
      <w:r w:rsidRPr="00200F3A">
        <w:t>CMRgl</w:t>
      </w:r>
      <w:proofErr w:type="spellEnd"/>
      <w:r w:rsidRPr="00200F3A">
        <w:t>)</w:t>
      </w:r>
      <w:r>
        <w:t>, thus giving information about the entity of neuronal loss or synapse dysfunction</w:t>
      </w:r>
      <w:r w:rsidR="005A4430">
        <w:t xml:space="preserve"> </w:t>
      </w:r>
      <w:r w:rsidR="0037228A">
        <w:rPr>
          <w:noProof/>
        </w:rPr>
        <w:t>(Vacante et al., 2013)</w:t>
      </w:r>
      <w:r>
        <w:t>.</w:t>
      </w:r>
    </w:p>
    <w:p w14:paraId="29F52A92" w14:textId="4C0DA282" w:rsidR="00291128" w:rsidRDefault="00291128" w:rsidP="00291128">
      <w:r>
        <w:t xml:space="preserve">A characteristic pattern of </w:t>
      </w:r>
      <w:proofErr w:type="spellStart"/>
      <w:r>
        <w:t>hypometabolism</w:t>
      </w:r>
      <w:proofErr w:type="spellEnd"/>
      <w:r>
        <w:t xml:space="preserve"> may be observed visually, however a semi-quantitative method is proposed in which FDG PET images are assessed using software that analyses the pattern of tracer uptake voxel-wise by comparing the subject’s scan with a reference data set </w:t>
      </w:r>
      <w:r w:rsidR="005633FD">
        <w:t>to</w:t>
      </w:r>
      <w:r>
        <w:t xml:space="preserve"> allow better recognition of the pattern of </w:t>
      </w:r>
      <w:proofErr w:type="spellStart"/>
      <w:r>
        <w:t>hypometabolism</w:t>
      </w:r>
      <w:proofErr w:type="spellEnd"/>
      <w:r>
        <w:t xml:space="preserve"> compared with visual interpretation </w:t>
      </w:r>
      <w:r w:rsidR="0037228A">
        <w:rPr>
          <w:noProof/>
        </w:rPr>
        <w:t>(Filippi et al., 2012)</w:t>
      </w:r>
      <w:r>
        <w:t>.</w:t>
      </w:r>
    </w:p>
    <w:p w14:paraId="3D6EDE75" w14:textId="77777777" w:rsidR="00D95BAC" w:rsidRPr="003402B7" w:rsidRDefault="00D95BAC" w:rsidP="00D95BAC">
      <w:r w:rsidRPr="001E727D">
        <w:t xml:space="preserve">In this DAP the term ‘PET’ is used to refer to either PET or PET/CT. The term ‘PET/CT’ is used where specific reference to this modality is made. Most current and future practice will relate to the use of PET/CT machines, as all PET machines sold now in Australia are PET/CT machines. </w:t>
      </w:r>
    </w:p>
    <w:p w14:paraId="615909EA" w14:textId="77777777" w:rsidR="00440598" w:rsidRDefault="00440598" w:rsidP="008D62B9">
      <w:pPr>
        <w:pStyle w:val="Heading2"/>
      </w:pPr>
      <w:bookmarkStart w:id="9" w:name="_Toc381957849"/>
      <w:r>
        <w:t>Administration, d</w:t>
      </w:r>
      <w:r w:rsidRPr="00A34E9C">
        <w:t xml:space="preserve">ose, frequency </w:t>
      </w:r>
      <w:r>
        <w:t xml:space="preserve">of administration, </w:t>
      </w:r>
      <w:r w:rsidRPr="00A34E9C">
        <w:t>duration of treatment</w:t>
      </w:r>
      <w:bookmarkEnd w:id="9"/>
    </w:p>
    <w:p w14:paraId="2FDE46ED" w14:textId="77777777" w:rsidR="00D95BAC" w:rsidRDefault="00D95BAC" w:rsidP="00D95BAC">
      <w:r>
        <w:t>Delivery of 18F-FDG PET scanning can be broken down into three phases:</w:t>
      </w:r>
    </w:p>
    <w:p w14:paraId="7D53C1AB" w14:textId="77777777" w:rsidR="00D95BAC" w:rsidRDefault="00D95BAC" w:rsidP="00B42469">
      <w:pPr>
        <w:pStyle w:val="ListParagraph"/>
        <w:numPr>
          <w:ilvl w:val="0"/>
          <w:numId w:val="5"/>
        </w:numPr>
      </w:pPr>
      <w:r>
        <w:t>18F-FDG preparation: can be produced either in-house in facilities with a cyclotron, or sourc</w:t>
      </w:r>
      <w:r w:rsidR="003402B7">
        <w:t xml:space="preserve">ed from a commercial supplier. </w:t>
      </w:r>
      <w:r>
        <w:t xml:space="preserve">FDG is administered intravenously 60 minutes prior to </w:t>
      </w:r>
      <w:r>
        <w:lastRenderedPageBreak/>
        <w:t xml:space="preserve">scanning. </w:t>
      </w:r>
      <w:r w:rsidR="003402B7">
        <w:t>The dose of FDG will vary according to body mass and PET machine parameters used.</w:t>
      </w:r>
    </w:p>
    <w:p w14:paraId="1139B995" w14:textId="77777777" w:rsidR="00D95BAC" w:rsidRDefault="00D95BAC" w:rsidP="00B42469">
      <w:pPr>
        <w:pStyle w:val="ListParagraph"/>
        <w:numPr>
          <w:ilvl w:val="0"/>
          <w:numId w:val="5"/>
        </w:numPr>
      </w:pPr>
      <w:r>
        <w:t>PET scanning: done using a standard protocol which usually includes low-dose computed tomography (CT) for attenuation correction and anatomical correlation.</w:t>
      </w:r>
      <w:r w:rsidR="003402B7">
        <w:t xml:space="preserve"> A PET study acquisition time ranges from 20 to 45 minutes.</w:t>
      </w:r>
    </w:p>
    <w:p w14:paraId="6E91315D" w14:textId="77777777" w:rsidR="00D95BAC" w:rsidRDefault="00D95BAC" w:rsidP="00B42469">
      <w:pPr>
        <w:pStyle w:val="ListParagraph"/>
        <w:numPr>
          <w:ilvl w:val="0"/>
          <w:numId w:val="5"/>
        </w:numPr>
      </w:pPr>
      <w:r>
        <w:t xml:space="preserve">Image reconstruction and interpretation: PET images are usually reconstructed using the PET scanner manufacturer’s recommended reconstruction protocols and software. The nuclear medicine specialist interprets the images (including correlated imaging where available) and generates a clinical report. </w:t>
      </w:r>
    </w:p>
    <w:p w14:paraId="531FAB61" w14:textId="092182C0" w:rsidR="003402B7" w:rsidRDefault="003402B7" w:rsidP="003402B7">
      <w:r>
        <w:t>It is expected that patients would have only one PET scan for the diagnosis of Alzheimer’s disease.</w:t>
      </w:r>
      <w:r w:rsidR="00D300C5">
        <w:t xml:space="preserve"> However, those patients in whom the PET scan is equivocal or negative may have a re</w:t>
      </w:r>
      <w:r w:rsidR="004569F9">
        <w:t>peat PET scan 2-3 years later if</w:t>
      </w:r>
      <w:r w:rsidR="00D300C5">
        <w:t xml:space="preserve"> the diagnosis remains inconclusive.</w:t>
      </w:r>
    </w:p>
    <w:p w14:paraId="00FE85FA" w14:textId="77777777" w:rsidR="00350D7C" w:rsidRPr="00D95BAC" w:rsidRDefault="00350D7C" w:rsidP="003402B7">
      <w:r>
        <w:t xml:space="preserve">The service will be provided by nuclear medicine specialists upon receipt of a written referral from a medical specialist. The professional groups most likely to order this test are neurologists, geriatricians and psychiatrists. </w:t>
      </w:r>
    </w:p>
    <w:p w14:paraId="3F668436" w14:textId="77777777" w:rsidR="00440598" w:rsidRDefault="00440598" w:rsidP="008D62B9">
      <w:pPr>
        <w:pStyle w:val="Heading2"/>
      </w:pPr>
      <w:bookmarkStart w:id="10" w:name="_Toc381957850"/>
      <w:bookmarkStart w:id="11" w:name="_Ref381959693"/>
      <w:bookmarkStart w:id="12" w:name="_Ref381959696"/>
      <w:r w:rsidRPr="00A34E9C">
        <w:t>Co-administered interventions</w:t>
      </w:r>
      <w:bookmarkEnd w:id="10"/>
      <w:bookmarkEnd w:id="11"/>
      <w:bookmarkEnd w:id="12"/>
    </w:p>
    <w:p w14:paraId="5AEAF4E4" w14:textId="03993238" w:rsidR="00541C96" w:rsidRPr="00541C96" w:rsidRDefault="003402B7" w:rsidP="00541C96">
      <w:pPr>
        <w:rPr>
          <w:szCs w:val="22"/>
        </w:rPr>
      </w:pPr>
      <w:r>
        <w:rPr>
          <w:szCs w:val="22"/>
        </w:rPr>
        <w:t>There are no co-administered or associated diagnostic tests or treatments with 18F-FDG PET.</w:t>
      </w:r>
      <w:r w:rsidR="00541C96">
        <w:rPr>
          <w:szCs w:val="22"/>
        </w:rPr>
        <w:t xml:space="preserve"> There are four dementia-specific drugs </w:t>
      </w:r>
      <w:r w:rsidR="00541C96" w:rsidRPr="00541C96">
        <w:rPr>
          <w:szCs w:val="22"/>
        </w:rPr>
        <w:t>subsidised through th</w:t>
      </w:r>
      <w:r w:rsidR="00541C96">
        <w:rPr>
          <w:szCs w:val="22"/>
        </w:rPr>
        <w:t xml:space="preserve">e PBS and RPBS for patients who </w:t>
      </w:r>
      <w:r w:rsidR="00541C96" w:rsidRPr="00541C96">
        <w:rPr>
          <w:szCs w:val="22"/>
        </w:rPr>
        <w:t>have a diagnosis of Alzheimer disease confirmed by (or in consul</w:t>
      </w:r>
      <w:r w:rsidR="00541C96">
        <w:rPr>
          <w:szCs w:val="22"/>
        </w:rPr>
        <w:t xml:space="preserve">tation with) a specialist or </w:t>
      </w:r>
      <w:r w:rsidR="00541C96" w:rsidRPr="00541C96">
        <w:rPr>
          <w:szCs w:val="22"/>
        </w:rPr>
        <w:t>consultant physician, subject to specific clinical criteria being met</w:t>
      </w:r>
      <w:r w:rsidR="00E913D4">
        <w:rPr>
          <w:szCs w:val="22"/>
        </w:rPr>
        <w:t xml:space="preserve"> (</w:t>
      </w:r>
      <w:r w:rsidR="00E913D4" w:rsidRPr="00E913D4">
        <w:rPr>
          <w:szCs w:val="22"/>
        </w:rPr>
        <w:t>Mini-Mental State Examination (MMSE) or Standardised Mini-Mental State Examination (SMMSE)</w:t>
      </w:r>
      <w:r w:rsidR="00E913D4">
        <w:rPr>
          <w:szCs w:val="22"/>
        </w:rPr>
        <w:t xml:space="preserve"> scores)</w:t>
      </w:r>
      <w:r w:rsidR="00541C96" w:rsidRPr="00541C96">
        <w:rPr>
          <w:szCs w:val="22"/>
        </w:rPr>
        <w:t xml:space="preserve"> </w:t>
      </w:r>
      <w:r w:rsidR="0037228A">
        <w:rPr>
          <w:noProof/>
          <w:szCs w:val="22"/>
        </w:rPr>
        <w:t>(Australian Institute of Health and Welfare, 2012)</w:t>
      </w:r>
      <w:r w:rsidR="00541C96">
        <w:rPr>
          <w:szCs w:val="22"/>
        </w:rPr>
        <w:t xml:space="preserve">. The drugs </w:t>
      </w:r>
      <w:r w:rsidR="00541C96" w:rsidRPr="00541C96">
        <w:rPr>
          <w:szCs w:val="22"/>
        </w:rPr>
        <w:t>(and their trade names) are:</w:t>
      </w:r>
    </w:p>
    <w:p w14:paraId="02C1BC01" w14:textId="77777777" w:rsidR="00541C96" w:rsidRDefault="00541C96" w:rsidP="00B42469">
      <w:pPr>
        <w:pStyle w:val="ListParagraph"/>
        <w:numPr>
          <w:ilvl w:val="0"/>
          <w:numId w:val="22"/>
        </w:numPr>
        <w:rPr>
          <w:szCs w:val="22"/>
        </w:rPr>
      </w:pPr>
      <w:proofErr w:type="spellStart"/>
      <w:r w:rsidRPr="00541C96">
        <w:rPr>
          <w:szCs w:val="22"/>
        </w:rPr>
        <w:t>Acetylcholinesterase</w:t>
      </w:r>
      <w:proofErr w:type="spellEnd"/>
      <w:r w:rsidRPr="00541C96">
        <w:rPr>
          <w:szCs w:val="22"/>
        </w:rPr>
        <w:t xml:space="preserve"> inhibitors: </w:t>
      </w:r>
    </w:p>
    <w:p w14:paraId="5D56186D" w14:textId="77777777" w:rsidR="00541C96" w:rsidRPr="00541C96" w:rsidRDefault="00541C96" w:rsidP="00B42469">
      <w:pPr>
        <w:pStyle w:val="ListParagraph"/>
        <w:numPr>
          <w:ilvl w:val="1"/>
          <w:numId w:val="22"/>
        </w:numPr>
        <w:rPr>
          <w:szCs w:val="22"/>
        </w:rPr>
      </w:pPr>
      <w:r w:rsidRPr="00541C96">
        <w:rPr>
          <w:szCs w:val="22"/>
        </w:rPr>
        <w:t>donepezil (Aricept</w:t>
      </w:r>
      <w:r w:rsidRPr="00541C96">
        <w:rPr>
          <w:szCs w:val="22"/>
          <w:vertAlign w:val="superscript"/>
        </w:rPr>
        <w:t>®</w:t>
      </w:r>
      <w:r w:rsidRPr="00541C96">
        <w:rPr>
          <w:szCs w:val="22"/>
        </w:rPr>
        <w:t>)</w:t>
      </w:r>
      <w:r>
        <w:rPr>
          <w:szCs w:val="22"/>
        </w:rPr>
        <w:t xml:space="preserve"> (PBS Codes: 2479L, 2532G, 8495D, 8496E)</w:t>
      </w:r>
    </w:p>
    <w:p w14:paraId="4AF3F1EE" w14:textId="77777777" w:rsidR="00541C96" w:rsidRPr="00541C96" w:rsidRDefault="00541C96" w:rsidP="00B42469">
      <w:pPr>
        <w:pStyle w:val="ListParagraph"/>
        <w:numPr>
          <w:ilvl w:val="1"/>
          <w:numId w:val="22"/>
        </w:numPr>
        <w:rPr>
          <w:szCs w:val="22"/>
        </w:rPr>
      </w:pPr>
      <w:proofErr w:type="spellStart"/>
      <w:r w:rsidRPr="00541C96">
        <w:rPr>
          <w:szCs w:val="22"/>
        </w:rPr>
        <w:t>galantamine</w:t>
      </w:r>
      <w:proofErr w:type="spellEnd"/>
      <w:r w:rsidRPr="00541C96">
        <w:rPr>
          <w:szCs w:val="22"/>
        </w:rPr>
        <w:t xml:space="preserve"> (</w:t>
      </w:r>
      <w:proofErr w:type="spellStart"/>
      <w:r w:rsidRPr="00541C96">
        <w:rPr>
          <w:szCs w:val="22"/>
        </w:rPr>
        <w:t>Reminyl</w:t>
      </w:r>
      <w:proofErr w:type="spellEnd"/>
      <w:r w:rsidRPr="00541C96">
        <w:rPr>
          <w:szCs w:val="22"/>
          <w:vertAlign w:val="superscript"/>
        </w:rPr>
        <w:t>®</w:t>
      </w:r>
      <w:r w:rsidRPr="00541C96">
        <w:rPr>
          <w:szCs w:val="22"/>
        </w:rPr>
        <w:t xml:space="preserve">, </w:t>
      </w:r>
      <w:proofErr w:type="spellStart"/>
      <w:r w:rsidRPr="00541C96">
        <w:rPr>
          <w:szCs w:val="22"/>
        </w:rPr>
        <w:t>Galantyl</w:t>
      </w:r>
      <w:proofErr w:type="spellEnd"/>
      <w:r w:rsidRPr="00541C96">
        <w:rPr>
          <w:szCs w:val="22"/>
          <w:vertAlign w:val="superscript"/>
        </w:rPr>
        <w:t>®</w:t>
      </w:r>
      <w:r w:rsidRPr="00541C96">
        <w:rPr>
          <w:szCs w:val="22"/>
        </w:rPr>
        <w:t>)</w:t>
      </w:r>
      <w:r>
        <w:rPr>
          <w:szCs w:val="22"/>
        </w:rPr>
        <w:t xml:space="preserve"> (PBS Codes: 2463P, 2531F, 2537M, 8770N, 8771P, 8772Q)</w:t>
      </w:r>
    </w:p>
    <w:p w14:paraId="0B950A43" w14:textId="77777777" w:rsidR="00541C96" w:rsidRPr="00541C96" w:rsidRDefault="00541C96" w:rsidP="00B42469">
      <w:pPr>
        <w:pStyle w:val="ListParagraph"/>
        <w:numPr>
          <w:ilvl w:val="1"/>
          <w:numId w:val="22"/>
        </w:numPr>
        <w:rPr>
          <w:szCs w:val="22"/>
        </w:rPr>
      </w:pPr>
      <w:proofErr w:type="spellStart"/>
      <w:r w:rsidRPr="00541C96">
        <w:rPr>
          <w:szCs w:val="22"/>
        </w:rPr>
        <w:t>rivastigmine</w:t>
      </w:r>
      <w:proofErr w:type="spellEnd"/>
      <w:r w:rsidRPr="00541C96">
        <w:rPr>
          <w:szCs w:val="22"/>
        </w:rPr>
        <w:t xml:space="preserve"> (Exelon</w:t>
      </w:r>
      <w:r w:rsidRPr="00541C96">
        <w:rPr>
          <w:szCs w:val="22"/>
          <w:vertAlign w:val="superscript"/>
        </w:rPr>
        <w:t>®</w:t>
      </w:r>
      <w:r w:rsidRPr="00541C96">
        <w:rPr>
          <w:szCs w:val="22"/>
        </w:rPr>
        <w:t>)</w:t>
      </w:r>
      <w:r>
        <w:rPr>
          <w:szCs w:val="22"/>
        </w:rPr>
        <w:t xml:space="preserve"> (PBS Codes: 2475G, 2476H, 2477J, 2493F, 2494G, 2526Y, 2551G, 8497F, </w:t>
      </w:r>
      <w:r w:rsidR="00E913D4">
        <w:rPr>
          <w:szCs w:val="22"/>
        </w:rPr>
        <w:t>8498G, 8499H, 8500J, 8563Q, 9161E, 9162F)</w:t>
      </w:r>
    </w:p>
    <w:p w14:paraId="6FB754CC" w14:textId="77777777" w:rsidR="00541C96" w:rsidRPr="003704D8" w:rsidRDefault="00541C96" w:rsidP="00B42469">
      <w:pPr>
        <w:pStyle w:val="ListParagraph"/>
        <w:numPr>
          <w:ilvl w:val="0"/>
          <w:numId w:val="22"/>
        </w:numPr>
        <w:rPr>
          <w:b/>
          <w:szCs w:val="22"/>
        </w:rPr>
      </w:pPr>
      <w:proofErr w:type="spellStart"/>
      <w:r>
        <w:rPr>
          <w:szCs w:val="22"/>
        </w:rPr>
        <w:t>M</w:t>
      </w:r>
      <w:r w:rsidRPr="00541C96">
        <w:rPr>
          <w:szCs w:val="22"/>
        </w:rPr>
        <w:t>emantine</w:t>
      </w:r>
      <w:proofErr w:type="spellEnd"/>
      <w:r w:rsidRPr="00541C96">
        <w:rPr>
          <w:szCs w:val="22"/>
        </w:rPr>
        <w:t xml:space="preserve"> (</w:t>
      </w:r>
      <w:proofErr w:type="spellStart"/>
      <w:r w:rsidRPr="00541C96">
        <w:rPr>
          <w:szCs w:val="22"/>
        </w:rPr>
        <w:t>Me</w:t>
      </w:r>
      <w:r w:rsidR="00E913D4">
        <w:rPr>
          <w:szCs w:val="22"/>
        </w:rPr>
        <w:t>manxa</w:t>
      </w:r>
      <w:proofErr w:type="spellEnd"/>
      <w:r w:rsidR="00E913D4" w:rsidRPr="00E913D4">
        <w:rPr>
          <w:szCs w:val="22"/>
          <w:vertAlign w:val="superscript"/>
        </w:rPr>
        <w:t>®</w:t>
      </w:r>
      <w:r w:rsidR="00E913D4">
        <w:rPr>
          <w:szCs w:val="22"/>
        </w:rPr>
        <w:t xml:space="preserve">, </w:t>
      </w:r>
      <w:proofErr w:type="spellStart"/>
      <w:r w:rsidR="00E913D4">
        <w:rPr>
          <w:szCs w:val="22"/>
        </w:rPr>
        <w:t>Ebixa</w:t>
      </w:r>
      <w:proofErr w:type="spellEnd"/>
      <w:r w:rsidR="00E913D4" w:rsidRPr="00E913D4">
        <w:rPr>
          <w:szCs w:val="22"/>
          <w:vertAlign w:val="superscript"/>
        </w:rPr>
        <w:t>®</w:t>
      </w:r>
      <w:r w:rsidR="00E913D4">
        <w:rPr>
          <w:szCs w:val="22"/>
        </w:rPr>
        <w:t xml:space="preserve">, </w:t>
      </w:r>
      <w:proofErr w:type="gramStart"/>
      <w:r w:rsidR="00E913D4">
        <w:rPr>
          <w:szCs w:val="22"/>
        </w:rPr>
        <w:t>APO</w:t>
      </w:r>
      <w:proofErr w:type="gramEnd"/>
      <w:r w:rsidR="00E913D4">
        <w:rPr>
          <w:szCs w:val="22"/>
        </w:rPr>
        <w:t>-</w:t>
      </w:r>
      <w:proofErr w:type="spellStart"/>
      <w:r w:rsidR="00E913D4">
        <w:rPr>
          <w:szCs w:val="22"/>
        </w:rPr>
        <w:t>Memantine</w:t>
      </w:r>
      <w:proofErr w:type="spellEnd"/>
      <w:r w:rsidR="00E913D4" w:rsidRPr="00E913D4">
        <w:rPr>
          <w:szCs w:val="22"/>
          <w:vertAlign w:val="superscript"/>
        </w:rPr>
        <w:t>®</w:t>
      </w:r>
      <w:r w:rsidR="00E913D4">
        <w:rPr>
          <w:szCs w:val="22"/>
        </w:rPr>
        <w:t>) (PBS Codes: 1956Y, 2492E, 2513G, 9306T).</w:t>
      </w:r>
    </w:p>
    <w:p w14:paraId="673D199B" w14:textId="4FA64D55" w:rsidR="003704D8" w:rsidRDefault="003704D8" w:rsidP="003704D8">
      <w:r w:rsidRPr="003704D8">
        <w:t xml:space="preserve">In 2009–10, a total of 392,796 subsidised dementia-specific medications were dispensed </w:t>
      </w:r>
      <w:r>
        <w:t xml:space="preserve">with an average annual growth in the dispensing of subsidised dementia-specific medications of 8% each year between 2002–03 and 2009–10 </w:t>
      </w:r>
      <w:r w:rsidR="0037228A">
        <w:rPr>
          <w:noProof/>
        </w:rPr>
        <w:t>(Australian Institute of Health and Welfare, 2012)</w:t>
      </w:r>
      <w:r>
        <w:t>.</w:t>
      </w:r>
      <w:r w:rsidRPr="003704D8">
        <w:t xml:space="preserve"> </w:t>
      </w:r>
      <w:r>
        <w:t xml:space="preserve">Based on PBS and RPBS data, Australian Government expenditure on dementia-specific medications in 2009–10 was $58.7 million </w:t>
      </w:r>
      <w:r w:rsidR="0037228A">
        <w:rPr>
          <w:noProof/>
        </w:rPr>
        <w:t>(Australian Institute of Health and Welfare, 2012)</w:t>
      </w:r>
      <w:r>
        <w:t xml:space="preserve">. </w:t>
      </w:r>
    </w:p>
    <w:p w14:paraId="2E0C471F" w14:textId="242952BF" w:rsidR="003704D8" w:rsidRPr="003704D8" w:rsidRDefault="003704D8" w:rsidP="003704D8">
      <w:r>
        <w:t xml:space="preserve">The proposed listing of FDG PET to diagnose Alzheimer’s disease could </w:t>
      </w:r>
      <w:r w:rsidR="004569F9">
        <w:t xml:space="preserve">marginally </w:t>
      </w:r>
      <w:r>
        <w:t>increase the rate of uptake of these medications</w:t>
      </w:r>
      <w:r w:rsidR="004569F9">
        <w:t xml:space="preserve"> but any effect is likely to be very small</w:t>
      </w:r>
      <w:r>
        <w:t xml:space="preserve">. </w:t>
      </w:r>
    </w:p>
    <w:p w14:paraId="281134BF" w14:textId="77777777" w:rsidR="00440598" w:rsidRDefault="00440598" w:rsidP="008D62B9">
      <w:pPr>
        <w:pStyle w:val="Heading1"/>
      </w:pPr>
      <w:bookmarkStart w:id="13" w:name="_Toc381957851"/>
      <w:r>
        <w:lastRenderedPageBreak/>
        <w:t>Background</w:t>
      </w:r>
      <w:bookmarkEnd w:id="13"/>
    </w:p>
    <w:p w14:paraId="37215DFA" w14:textId="77777777" w:rsidR="00440598" w:rsidRDefault="00440598" w:rsidP="008D62B9">
      <w:pPr>
        <w:pStyle w:val="Heading2"/>
      </w:pPr>
      <w:bookmarkStart w:id="14" w:name="_Toc381957852"/>
      <w:r w:rsidRPr="00D5182D">
        <w:t>Current arrangements for public reimbursement</w:t>
      </w:r>
      <w:bookmarkEnd w:id="14"/>
    </w:p>
    <w:p w14:paraId="161F0A74" w14:textId="77777777" w:rsidR="00E90A24" w:rsidRPr="00E90A24" w:rsidRDefault="00E90A24" w:rsidP="00E90A24">
      <w:r>
        <w:t xml:space="preserve">There is currently no Medical Benefits Schedule (MBS) </w:t>
      </w:r>
      <w:r w:rsidR="005633FD">
        <w:t>listing for reimbursing</w:t>
      </w:r>
      <w:r>
        <w:t xml:space="preserve"> FDG-PET </w:t>
      </w:r>
      <w:r w:rsidR="005633FD">
        <w:t xml:space="preserve">of the brain </w:t>
      </w:r>
      <w:r>
        <w:t>performed for the diagnosis of Alzheimer’s disease. There is also no private health insurance rebate for PET services, so patients need to pay out of pocket for this service. FDG-PET is funded on the MBS for other indications, predominately in oncology.</w:t>
      </w:r>
    </w:p>
    <w:p w14:paraId="3FE0B452" w14:textId="77777777" w:rsidR="00440598" w:rsidRDefault="00440598" w:rsidP="008D62B9">
      <w:pPr>
        <w:pStyle w:val="Heading2"/>
      </w:pPr>
      <w:bookmarkStart w:id="15" w:name="_Toc381957853"/>
      <w:r w:rsidRPr="00A34E9C">
        <w:t>Regulatory status</w:t>
      </w:r>
      <w:bookmarkEnd w:id="15"/>
    </w:p>
    <w:p w14:paraId="2A727FC3" w14:textId="77777777" w:rsidR="00BB7BD2" w:rsidRDefault="00E90A24" w:rsidP="00E90A24">
      <w:pPr>
        <w:rPr>
          <w:szCs w:val="22"/>
        </w:rPr>
      </w:pPr>
      <w:r>
        <w:rPr>
          <w:szCs w:val="22"/>
        </w:rPr>
        <w:t xml:space="preserve">There are three PET </w:t>
      </w:r>
      <w:r w:rsidR="00BB7BD2">
        <w:rPr>
          <w:szCs w:val="22"/>
        </w:rPr>
        <w:t>machines</w:t>
      </w:r>
      <w:r>
        <w:rPr>
          <w:szCs w:val="22"/>
        </w:rPr>
        <w:t xml:space="preserve"> registered on the Australian </w:t>
      </w:r>
      <w:r w:rsidR="00BB7BD2">
        <w:rPr>
          <w:szCs w:val="22"/>
        </w:rPr>
        <w:t>Register of Therapeutic Goods</w:t>
      </w:r>
      <w:r w:rsidRPr="000F60CB">
        <w:rPr>
          <w:szCs w:val="22"/>
        </w:rPr>
        <w:t xml:space="preserve"> </w:t>
      </w:r>
      <w:r w:rsidR="00BB7BD2">
        <w:rPr>
          <w:szCs w:val="22"/>
        </w:rPr>
        <w:t>(</w:t>
      </w:r>
      <w:r>
        <w:rPr>
          <w:szCs w:val="22"/>
        </w:rPr>
        <w:t>ARTG</w:t>
      </w:r>
      <w:r w:rsidR="00BB7BD2">
        <w:rPr>
          <w:szCs w:val="22"/>
        </w:rPr>
        <w:t>):</w:t>
      </w:r>
      <w:r>
        <w:rPr>
          <w:szCs w:val="22"/>
        </w:rPr>
        <w:t xml:space="preserve"> </w:t>
      </w:r>
    </w:p>
    <w:p w14:paraId="059C2ABE" w14:textId="77777777" w:rsidR="00BB7BD2" w:rsidRDefault="00E90A24" w:rsidP="00B42469">
      <w:pPr>
        <w:pStyle w:val="ListParagraph"/>
        <w:numPr>
          <w:ilvl w:val="0"/>
          <w:numId w:val="6"/>
        </w:numPr>
        <w:rPr>
          <w:szCs w:val="22"/>
        </w:rPr>
      </w:pPr>
      <w:r w:rsidRPr="00BB7BD2">
        <w:rPr>
          <w:szCs w:val="22"/>
        </w:rPr>
        <w:t>G</w:t>
      </w:r>
      <w:r w:rsidR="00BB7BD2">
        <w:rPr>
          <w:szCs w:val="22"/>
        </w:rPr>
        <w:t>E Healthcare Australia Pty Ltd.</w:t>
      </w:r>
      <w:r w:rsidRPr="00BB7BD2">
        <w:rPr>
          <w:szCs w:val="22"/>
        </w:rPr>
        <w:t xml:space="preserve"> ARTG #156649 and ARTG #114476</w:t>
      </w:r>
      <w:r w:rsidR="00BB7BD2">
        <w:rPr>
          <w:szCs w:val="22"/>
        </w:rPr>
        <w:t>m</w:t>
      </w:r>
    </w:p>
    <w:p w14:paraId="532078C3" w14:textId="77777777" w:rsidR="00BB7BD2" w:rsidRPr="00BB7BD2" w:rsidRDefault="00E90A24" w:rsidP="00B42469">
      <w:pPr>
        <w:pStyle w:val="ListParagraph"/>
        <w:numPr>
          <w:ilvl w:val="0"/>
          <w:numId w:val="6"/>
        </w:numPr>
        <w:rPr>
          <w:szCs w:val="22"/>
        </w:rPr>
      </w:pPr>
      <w:r w:rsidRPr="00BB7BD2">
        <w:rPr>
          <w:szCs w:val="22"/>
        </w:rPr>
        <w:t>Phil</w:t>
      </w:r>
      <w:r w:rsidR="00BB7BD2">
        <w:rPr>
          <w:szCs w:val="22"/>
        </w:rPr>
        <w:t>lips Electronics Australia Pty. ARTG #147067</w:t>
      </w:r>
    </w:p>
    <w:p w14:paraId="1FC5C475" w14:textId="77777777" w:rsidR="00BB7BD2" w:rsidRDefault="00E90A24" w:rsidP="00BB7BD2">
      <w:pPr>
        <w:rPr>
          <w:szCs w:val="22"/>
        </w:rPr>
      </w:pPr>
      <w:r w:rsidRPr="00BB7BD2">
        <w:rPr>
          <w:szCs w:val="22"/>
        </w:rPr>
        <w:t xml:space="preserve">There are </w:t>
      </w:r>
      <w:r w:rsidR="00BB7BD2">
        <w:rPr>
          <w:szCs w:val="22"/>
        </w:rPr>
        <w:t xml:space="preserve">two registered PET/CT machine types: </w:t>
      </w:r>
      <w:r w:rsidRPr="00BB7BD2">
        <w:rPr>
          <w:szCs w:val="22"/>
        </w:rPr>
        <w:t xml:space="preserve"> </w:t>
      </w:r>
    </w:p>
    <w:p w14:paraId="010E7A66" w14:textId="77777777" w:rsidR="00BB7BD2" w:rsidRDefault="00BB7BD2" w:rsidP="00B42469">
      <w:pPr>
        <w:pStyle w:val="ListParagraph"/>
        <w:numPr>
          <w:ilvl w:val="0"/>
          <w:numId w:val="7"/>
        </w:numPr>
        <w:rPr>
          <w:szCs w:val="22"/>
        </w:rPr>
      </w:pPr>
      <w:r>
        <w:rPr>
          <w:szCs w:val="22"/>
        </w:rPr>
        <w:t>Siemens Ltd. ARTG #144218</w:t>
      </w:r>
    </w:p>
    <w:p w14:paraId="237A4FE2" w14:textId="77777777" w:rsidR="00BB7BD2" w:rsidRPr="00BB7BD2" w:rsidRDefault="00E90A24" w:rsidP="00B42469">
      <w:pPr>
        <w:pStyle w:val="ListParagraph"/>
        <w:numPr>
          <w:ilvl w:val="0"/>
          <w:numId w:val="7"/>
        </w:numPr>
        <w:rPr>
          <w:szCs w:val="22"/>
        </w:rPr>
      </w:pPr>
      <w:r w:rsidRPr="00BB7BD2">
        <w:rPr>
          <w:szCs w:val="22"/>
        </w:rPr>
        <w:t>Philips Electroni</w:t>
      </w:r>
      <w:r w:rsidR="00BB7BD2">
        <w:rPr>
          <w:szCs w:val="22"/>
        </w:rPr>
        <w:t xml:space="preserve">cs Australia </w:t>
      </w:r>
      <w:proofErr w:type="spellStart"/>
      <w:r w:rsidR="00BB7BD2">
        <w:rPr>
          <w:szCs w:val="22"/>
        </w:rPr>
        <w:t>Ltd’s</w:t>
      </w:r>
      <w:proofErr w:type="spellEnd"/>
      <w:r w:rsidR="00BB7BD2">
        <w:rPr>
          <w:szCs w:val="22"/>
        </w:rPr>
        <w:t xml:space="preserve"> ARTG #118077</w:t>
      </w:r>
    </w:p>
    <w:p w14:paraId="265746C1" w14:textId="77777777" w:rsidR="00BB7BD2" w:rsidRDefault="00E90A24" w:rsidP="00BB7BD2">
      <w:pPr>
        <w:rPr>
          <w:szCs w:val="22"/>
        </w:rPr>
      </w:pPr>
      <w:r w:rsidRPr="00BB7BD2">
        <w:rPr>
          <w:szCs w:val="22"/>
        </w:rPr>
        <w:t>There are 2 r</w:t>
      </w:r>
      <w:r w:rsidR="00BB7BD2">
        <w:rPr>
          <w:szCs w:val="22"/>
        </w:rPr>
        <w:t xml:space="preserve">egistered PET/MRI machine types: </w:t>
      </w:r>
    </w:p>
    <w:p w14:paraId="7D421B2F" w14:textId="77777777" w:rsidR="00BB7BD2" w:rsidRDefault="00BB7BD2" w:rsidP="00B42469">
      <w:pPr>
        <w:pStyle w:val="ListParagraph"/>
        <w:numPr>
          <w:ilvl w:val="0"/>
          <w:numId w:val="8"/>
        </w:numPr>
        <w:rPr>
          <w:szCs w:val="22"/>
        </w:rPr>
      </w:pPr>
      <w:r>
        <w:rPr>
          <w:szCs w:val="22"/>
        </w:rPr>
        <w:t>Siemens Ltd. ARTG #188470</w:t>
      </w:r>
      <w:r w:rsidR="00E90A24" w:rsidRPr="00BB7BD2">
        <w:rPr>
          <w:szCs w:val="22"/>
        </w:rPr>
        <w:t xml:space="preserve"> </w:t>
      </w:r>
    </w:p>
    <w:p w14:paraId="6C19E40D" w14:textId="77777777" w:rsidR="00BB7BD2" w:rsidRPr="00BB7BD2" w:rsidRDefault="00E90A24" w:rsidP="00B42469">
      <w:pPr>
        <w:pStyle w:val="ListParagraph"/>
        <w:numPr>
          <w:ilvl w:val="0"/>
          <w:numId w:val="8"/>
        </w:numPr>
        <w:rPr>
          <w:szCs w:val="22"/>
        </w:rPr>
      </w:pPr>
      <w:r w:rsidRPr="00BB7BD2">
        <w:rPr>
          <w:szCs w:val="22"/>
        </w:rPr>
        <w:t>Phi</w:t>
      </w:r>
      <w:r w:rsidR="00BB7BD2">
        <w:rPr>
          <w:szCs w:val="22"/>
        </w:rPr>
        <w:t>lips Electronics Australia Ltd.</w:t>
      </w:r>
      <w:r w:rsidRPr="00BB7BD2">
        <w:rPr>
          <w:szCs w:val="22"/>
        </w:rPr>
        <w:t xml:space="preserve"> ARTG #193622. </w:t>
      </w:r>
    </w:p>
    <w:p w14:paraId="384EC6A0" w14:textId="77777777" w:rsidR="00BB7BD2" w:rsidRDefault="00E90A24" w:rsidP="00BB7BD2">
      <w:pPr>
        <w:rPr>
          <w:szCs w:val="22"/>
        </w:rPr>
      </w:pPr>
      <w:r w:rsidRPr="00BB7BD2">
        <w:rPr>
          <w:szCs w:val="22"/>
        </w:rPr>
        <w:t xml:space="preserve">There are also 4 registered PET imaging </w:t>
      </w:r>
      <w:r w:rsidR="00BB7BD2" w:rsidRPr="00BB7BD2">
        <w:rPr>
          <w:szCs w:val="22"/>
        </w:rPr>
        <w:t>software’s</w:t>
      </w:r>
      <w:r w:rsidR="00BB7BD2">
        <w:rPr>
          <w:szCs w:val="22"/>
        </w:rPr>
        <w:t xml:space="preserve"> available:</w:t>
      </w:r>
    </w:p>
    <w:p w14:paraId="4126C45D" w14:textId="77777777" w:rsidR="00BB7BD2" w:rsidRDefault="00E90A24" w:rsidP="00B42469">
      <w:pPr>
        <w:pStyle w:val="ListParagraph"/>
        <w:numPr>
          <w:ilvl w:val="0"/>
          <w:numId w:val="9"/>
        </w:numPr>
        <w:rPr>
          <w:szCs w:val="22"/>
        </w:rPr>
      </w:pPr>
      <w:r w:rsidRPr="00BB7BD2">
        <w:rPr>
          <w:szCs w:val="22"/>
        </w:rPr>
        <w:t>Si</w:t>
      </w:r>
      <w:r w:rsidR="00BB7BD2">
        <w:rPr>
          <w:szCs w:val="22"/>
        </w:rPr>
        <w:t xml:space="preserve">emens Ltd. </w:t>
      </w:r>
      <w:r w:rsidRPr="00BB7BD2">
        <w:rPr>
          <w:szCs w:val="22"/>
        </w:rPr>
        <w:t>ARTG #181848 and ARTG #178420</w:t>
      </w:r>
    </w:p>
    <w:p w14:paraId="0747EE45" w14:textId="77777777" w:rsidR="00E90A24" w:rsidRPr="00BB7BD2" w:rsidRDefault="00E90A24" w:rsidP="00B42469">
      <w:pPr>
        <w:pStyle w:val="ListParagraph"/>
        <w:numPr>
          <w:ilvl w:val="0"/>
          <w:numId w:val="9"/>
        </w:numPr>
        <w:rPr>
          <w:szCs w:val="22"/>
        </w:rPr>
      </w:pPr>
      <w:r w:rsidRPr="00BB7BD2">
        <w:rPr>
          <w:szCs w:val="22"/>
        </w:rPr>
        <w:t>G</w:t>
      </w:r>
      <w:r w:rsidR="00BB7BD2">
        <w:rPr>
          <w:szCs w:val="22"/>
        </w:rPr>
        <w:t>E Healthcare Australia Pty Ltd.</w:t>
      </w:r>
      <w:r w:rsidRPr="00BB7BD2">
        <w:rPr>
          <w:szCs w:val="22"/>
        </w:rPr>
        <w:t xml:space="preserve"> ARTG #154936 and ARTG #153390.</w:t>
      </w:r>
    </w:p>
    <w:p w14:paraId="6D8C6F4E" w14:textId="77777777" w:rsidR="00BB7BD2" w:rsidRDefault="00E90A24" w:rsidP="00E90A24">
      <w:pPr>
        <w:rPr>
          <w:szCs w:val="22"/>
        </w:rPr>
      </w:pPr>
      <w:r w:rsidRPr="000F60CB">
        <w:rPr>
          <w:szCs w:val="22"/>
        </w:rPr>
        <w:t xml:space="preserve">There </w:t>
      </w:r>
      <w:r w:rsidR="00BB7BD2">
        <w:rPr>
          <w:szCs w:val="22"/>
        </w:rPr>
        <w:t>are two</w:t>
      </w:r>
      <w:r w:rsidRPr="000F60CB">
        <w:rPr>
          <w:szCs w:val="22"/>
        </w:rPr>
        <w:t xml:space="preserve"> registered entr</w:t>
      </w:r>
      <w:r>
        <w:rPr>
          <w:szCs w:val="22"/>
        </w:rPr>
        <w:t>ies</w:t>
      </w:r>
      <w:r w:rsidRPr="000F60CB">
        <w:rPr>
          <w:szCs w:val="22"/>
        </w:rPr>
        <w:t xml:space="preserve"> for </w:t>
      </w:r>
      <w:r>
        <w:rPr>
          <w:szCs w:val="22"/>
        </w:rPr>
        <w:t>2-deoxy-2-[</w:t>
      </w:r>
      <w:r w:rsidRPr="005633FD">
        <w:rPr>
          <w:szCs w:val="22"/>
          <w:vertAlign w:val="superscript"/>
        </w:rPr>
        <w:t>18</w:t>
      </w:r>
      <w:r>
        <w:rPr>
          <w:szCs w:val="22"/>
        </w:rPr>
        <w:t>F</w:t>
      </w:r>
      <w:proofErr w:type="gramStart"/>
      <w:r>
        <w:rPr>
          <w:szCs w:val="22"/>
        </w:rPr>
        <w:t>]</w:t>
      </w:r>
      <w:r w:rsidRPr="000F60CB">
        <w:rPr>
          <w:szCs w:val="22"/>
        </w:rPr>
        <w:t>fluoro</w:t>
      </w:r>
      <w:proofErr w:type="gramEnd"/>
      <w:r w:rsidRPr="000F60CB">
        <w:rPr>
          <w:szCs w:val="22"/>
        </w:rPr>
        <w:t xml:space="preserve">-D-glucose </w:t>
      </w:r>
      <w:r>
        <w:rPr>
          <w:szCs w:val="22"/>
        </w:rPr>
        <w:t>(</w:t>
      </w:r>
      <w:r w:rsidRPr="005633FD">
        <w:rPr>
          <w:szCs w:val="22"/>
          <w:vertAlign w:val="superscript"/>
        </w:rPr>
        <w:t>18</w:t>
      </w:r>
      <w:r>
        <w:rPr>
          <w:szCs w:val="22"/>
        </w:rPr>
        <w:t>F-</w:t>
      </w:r>
      <w:r w:rsidRPr="000F60CB">
        <w:rPr>
          <w:szCs w:val="22"/>
        </w:rPr>
        <w:t>FDG</w:t>
      </w:r>
      <w:r w:rsidR="00BB7BD2">
        <w:rPr>
          <w:szCs w:val="22"/>
        </w:rPr>
        <w:t>):</w:t>
      </w:r>
    </w:p>
    <w:p w14:paraId="3F9703EA" w14:textId="77777777" w:rsidR="00BB7BD2" w:rsidRDefault="00E90A24" w:rsidP="00B42469">
      <w:pPr>
        <w:pStyle w:val="ListParagraph"/>
        <w:numPr>
          <w:ilvl w:val="0"/>
          <w:numId w:val="10"/>
        </w:numPr>
        <w:rPr>
          <w:szCs w:val="22"/>
        </w:rPr>
      </w:pPr>
      <w:r w:rsidRPr="00BB7BD2">
        <w:rPr>
          <w:szCs w:val="22"/>
        </w:rPr>
        <w:t>Austin Health, in Melbourne, ARTG #54251</w:t>
      </w:r>
    </w:p>
    <w:p w14:paraId="1F7DF629" w14:textId="77777777" w:rsidR="00BB7BD2" w:rsidRDefault="00E90A24" w:rsidP="00B42469">
      <w:pPr>
        <w:pStyle w:val="ListParagraph"/>
        <w:numPr>
          <w:ilvl w:val="0"/>
          <w:numId w:val="10"/>
        </w:numPr>
        <w:rPr>
          <w:szCs w:val="22"/>
        </w:rPr>
      </w:pPr>
      <w:r w:rsidRPr="00BB7BD2">
        <w:rPr>
          <w:szCs w:val="22"/>
        </w:rPr>
        <w:t>PETNET Australia Pty Ltd, with ARTG #78935</w:t>
      </w:r>
      <w:r w:rsidR="006C3426" w:rsidRPr="006C3426">
        <w:t xml:space="preserve"> </w:t>
      </w:r>
      <w:r w:rsidR="006C3426">
        <w:t xml:space="preserve">(Licence number </w:t>
      </w:r>
      <w:r w:rsidR="006C3426" w:rsidRPr="006C3426">
        <w:rPr>
          <w:szCs w:val="22"/>
        </w:rPr>
        <w:t>MI-2009-LI-03349-3</w:t>
      </w:r>
      <w:r w:rsidR="006C3426">
        <w:rPr>
          <w:szCs w:val="22"/>
        </w:rPr>
        <w:t>)</w:t>
      </w:r>
      <w:r w:rsidRPr="00BB7BD2">
        <w:rPr>
          <w:szCs w:val="22"/>
        </w:rPr>
        <w:t xml:space="preserve">. </w:t>
      </w:r>
    </w:p>
    <w:p w14:paraId="3E5947AE" w14:textId="3F51D934" w:rsidR="006D67F6" w:rsidRDefault="006D67F6" w:rsidP="00BB7BD2">
      <w:pPr>
        <w:rPr>
          <w:szCs w:val="22"/>
        </w:rPr>
      </w:pPr>
      <w:r>
        <w:rPr>
          <w:szCs w:val="22"/>
        </w:rPr>
        <w:t xml:space="preserve">Additionally, </w:t>
      </w:r>
      <w:r w:rsidR="005633FD">
        <w:rPr>
          <w:szCs w:val="22"/>
        </w:rPr>
        <w:t xml:space="preserve">there is </w:t>
      </w:r>
      <w:r>
        <w:rPr>
          <w:szCs w:val="22"/>
        </w:rPr>
        <w:t>a second commercial supplier of</w:t>
      </w:r>
      <w:r w:rsidR="005633FD">
        <w:rPr>
          <w:szCs w:val="22"/>
        </w:rPr>
        <w:t xml:space="preserve"> radiolabelled FDG in Australia, </w:t>
      </w:r>
      <w:proofErr w:type="spellStart"/>
      <w:r>
        <w:rPr>
          <w:szCs w:val="22"/>
        </w:rPr>
        <w:t>Cyclotek</w:t>
      </w:r>
      <w:proofErr w:type="spellEnd"/>
      <w:r>
        <w:rPr>
          <w:szCs w:val="22"/>
        </w:rPr>
        <w:t xml:space="preserve"> which is a TGA approved manufacturer (Licence number </w:t>
      </w:r>
      <w:r w:rsidRPr="006D67F6">
        <w:rPr>
          <w:szCs w:val="22"/>
        </w:rPr>
        <w:t>MI-12092005-LI-000904-2</w:t>
      </w:r>
      <w:r>
        <w:rPr>
          <w:szCs w:val="22"/>
        </w:rPr>
        <w:t xml:space="preserve">). Radiolabelled </w:t>
      </w:r>
      <w:r w:rsidR="00B36588">
        <w:rPr>
          <w:szCs w:val="22"/>
        </w:rPr>
        <w:t xml:space="preserve">FDG </w:t>
      </w:r>
      <w:r>
        <w:rPr>
          <w:szCs w:val="22"/>
        </w:rPr>
        <w:t xml:space="preserve">is also produced </w:t>
      </w:r>
      <w:r w:rsidRPr="006D67F6">
        <w:rPr>
          <w:szCs w:val="22"/>
        </w:rPr>
        <w:t xml:space="preserve">he Royal Prince Alfred Hospital (NSW), Peter </w:t>
      </w:r>
      <w:proofErr w:type="spellStart"/>
      <w:r w:rsidRPr="006D67F6">
        <w:rPr>
          <w:szCs w:val="22"/>
        </w:rPr>
        <w:t>Mac</w:t>
      </w:r>
      <w:r>
        <w:rPr>
          <w:szCs w:val="22"/>
        </w:rPr>
        <w:t>Callum</w:t>
      </w:r>
      <w:proofErr w:type="spellEnd"/>
      <w:r>
        <w:rPr>
          <w:szCs w:val="22"/>
        </w:rPr>
        <w:t xml:space="preserve"> Cancer Institute (VIC), </w:t>
      </w:r>
      <w:r w:rsidRPr="006D67F6">
        <w:rPr>
          <w:szCs w:val="22"/>
        </w:rPr>
        <w:t xml:space="preserve">Royal Brisbane Hospital (QLD), Wesley Hospital (QLD) and Sir Charles Gairdner Hospital (WA). </w:t>
      </w:r>
    </w:p>
    <w:p w14:paraId="021FAE50" w14:textId="77777777" w:rsidR="00E90A24" w:rsidRPr="006D67F6" w:rsidRDefault="00E90A24" w:rsidP="00E90A24">
      <w:pPr>
        <w:rPr>
          <w:szCs w:val="22"/>
        </w:rPr>
      </w:pPr>
      <w:r w:rsidRPr="00BB7BD2">
        <w:rPr>
          <w:szCs w:val="22"/>
        </w:rPr>
        <w:t>The requested MBS listing for FDG PET is consistent with the regul</w:t>
      </w:r>
      <w:r w:rsidR="006D67F6">
        <w:rPr>
          <w:szCs w:val="22"/>
        </w:rPr>
        <w:t>atory body approved indication.</w:t>
      </w:r>
    </w:p>
    <w:p w14:paraId="146EED36" w14:textId="77777777" w:rsidR="00440598" w:rsidRPr="00A34E9C" w:rsidRDefault="00440598" w:rsidP="008D62B9">
      <w:pPr>
        <w:pStyle w:val="Heading1"/>
      </w:pPr>
      <w:bookmarkStart w:id="16" w:name="_Toc381957854"/>
      <w:r w:rsidRPr="00A34E9C">
        <w:lastRenderedPageBreak/>
        <w:t>Patient population</w:t>
      </w:r>
      <w:bookmarkEnd w:id="16"/>
    </w:p>
    <w:p w14:paraId="7E8EE24B" w14:textId="77777777" w:rsidR="00440598" w:rsidRDefault="00440598" w:rsidP="008D62B9">
      <w:pPr>
        <w:pStyle w:val="Heading2"/>
      </w:pPr>
      <w:bookmarkStart w:id="17" w:name="_Toc381957855"/>
      <w:r w:rsidRPr="00A34E9C">
        <w:t>Proposed MBS listing</w:t>
      </w:r>
      <w:bookmarkEnd w:id="17"/>
    </w:p>
    <w:p w14:paraId="4A8C587F" w14:textId="77777777" w:rsidR="006C3426" w:rsidRDefault="006C3426" w:rsidP="006C3426">
      <w:pPr>
        <w:rPr>
          <w:lang w:val="en-GB" w:eastAsia="ja-JP"/>
        </w:rPr>
      </w:pPr>
      <w:r>
        <w:rPr>
          <w:lang w:val="en-GB" w:eastAsia="ja-JP"/>
        </w:rPr>
        <w:t>The applicant has not provided a proposed MBS listing but do</w:t>
      </w:r>
      <w:r w:rsidR="000F5179">
        <w:rPr>
          <w:lang w:val="en-GB" w:eastAsia="ja-JP"/>
        </w:rPr>
        <w:t>es</w:t>
      </w:r>
      <w:r>
        <w:rPr>
          <w:lang w:val="en-GB" w:eastAsia="ja-JP"/>
        </w:rPr>
        <w:t xml:space="preserve"> state that the technique is the same as for MBS item number 61559 (FDG PET study of the brain, performed for the evaluation of refractory epilepsy which is being evaluated for surgery.) The assessment group proposes the MBS listing below based on item 61559.</w:t>
      </w:r>
    </w:p>
    <w:p w14:paraId="052BE6B8" w14:textId="69AD54F5" w:rsidR="006C3426" w:rsidRPr="00A34E9C" w:rsidRDefault="006C3426" w:rsidP="006C3426">
      <w:pPr>
        <w:pStyle w:val="Caption"/>
      </w:pPr>
      <w:bookmarkStart w:id="18" w:name="_Ref283049171"/>
      <w:bookmarkStart w:id="19" w:name="_Toc381957943"/>
      <w:r w:rsidRPr="00A34E9C">
        <w:t xml:space="preserve">Table </w:t>
      </w:r>
      <w:r w:rsidR="00FA7B05">
        <w:rPr>
          <w:noProof/>
        </w:rPr>
        <w:t>1</w:t>
      </w:r>
      <w:bookmarkEnd w:id="18"/>
      <w:r w:rsidR="005242EC">
        <w:t>:</w:t>
      </w:r>
      <w:r w:rsidR="005242EC">
        <w:tab/>
      </w:r>
      <w:r>
        <w:t>Proposed</w:t>
      </w:r>
      <w:r w:rsidRPr="00A34E9C">
        <w:t xml:space="preserve"> MBS item descriptor for </w:t>
      </w:r>
      <w:r>
        <w:t>FDG-PET for diagnosis of Alzheimer’s disease</w:t>
      </w:r>
      <w:bookmarkEnd w:id="1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6C3426" w:rsidRPr="00A34E9C" w14:paraId="03789594" w14:textId="77777777" w:rsidTr="006C3426">
        <w:tc>
          <w:tcPr>
            <w:tcW w:w="9134" w:type="dxa"/>
          </w:tcPr>
          <w:p w14:paraId="003EC783" w14:textId="77777777" w:rsidR="006C3426" w:rsidRPr="00A012FA" w:rsidRDefault="006C3426" w:rsidP="006C3426">
            <w:pPr>
              <w:keepNext/>
              <w:spacing w:after="120" w:line="240" w:lineRule="auto"/>
              <w:jc w:val="right"/>
              <w:rPr>
                <w:rFonts w:ascii="Arial Narrow" w:hAnsi="Arial Narrow"/>
                <w:lang w:eastAsia="ja-JP"/>
              </w:rPr>
            </w:pPr>
            <w:r w:rsidRPr="00A012FA">
              <w:rPr>
                <w:rFonts w:ascii="Arial Narrow" w:hAnsi="Arial Narrow"/>
                <w:lang w:eastAsia="ja-JP"/>
              </w:rPr>
              <w:t>Category</w:t>
            </w:r>
            <w:r>
              <w:rPr>
                <w:rFonts w:ascii="Arial Narrow" w:hAnsi="Arial Narrow"/>
                <w:lang w:eastAsia="ja-JP"/>
              </w:rPr>
              <w:t xml:space="preserve"> 5</w:t>
            </w:r>
            <w:r w:rsidRPr="00A012FA">
              <w:rPr>
                <w:rFonts w:ascii="Arial Narrow" w:hAnsi="Arial Narrow"/>
                <w:lang w:eastAsia="ja-JP"/>
              </w:rPr>
              <w:t xml:space="preserve"> – </w:t>
            </w:r>
            <w:r>
              <w:rPr>
                <w:rFonts w:ascii="Arial Narrow" w:hAnsi="Arial Narrow"/>
                <w:lang w:eastAsia="ja-JP"/>
              </w:rPr>
              <w:t>DIAGNOSTIC IMAGING SERVICES</w:t>
            </w:r>
          </w:p>
        </w:tc>
      </w:tr>
      <w:tr w:rsidR="006C3426" w:rsidRPr="00A34E9C" w14:paraId="21038504" w14:textId="77777777" w:rsidTr="006C3426">
        <w:tc>
          <w:tcPr>
            <w:tcW w:w="9134" w:type="dxa"/>
          </w:tcPr>
          <w:p w14:paraId="440F0FF4" w14:textId="77777777" w:rsidR="006C3426" w:rsidRPr="005360D8" w:rsidRDefault="006C3426" w:rsidP="006C3426">
            <w:pPr>
              <w:keepNext/>
              <w:spacing w:after="120" w:line="240" w:lineRule="auto"/>
              <w:rPr>
                <w:rFonts w:ascii="Arial Narrow" w:hAnsi="Arial Narrow"/>
                <w:lang w:val="en-US" w:eastAsia="ja-JP"/>
              </w:rPr>
            </w:pPr>
            <w:r w:rsidRPr="005360D8">
              <w:rPr>
                <w:rFonts w:ascii="Arial Narrow" w:hAnsi="Arial Narrow"/>
                <w:lang w:val="en-US" w:eastAsia="ja-JP"/>
              </w:rPr>
              <w:t>MBS [item number]</w:t>
            </w:r>
          </w:p>
          <w:p w14:paraId="10E3ECE7" w14:textId="638E25CF" w:rsidR="006C3426" w:rsidRPr="005360D8" w:rsidRDefault="006C3426" w:rsidP="006C3426">
            <w:pPr>
              <w:keepNext/>
              <w:spacing w:after="120" w:line="240" w:lineRule="auto"/>
              <w:rPr>
                <w:rFonts w:ascii="Arial Narrow" w:hAnsi="Arial Narrow"/>
                <w:color w:val="000000"/>
                <w:sz w:val="18"/>
                <w:szCs w:val="18"/>
                <w:shd w:val="clear" w:color="auto" w:fill="FFFFFF"/>
              </w:rPr>
            </w:pPr>
            <w:r w:rsidRPr="005360D8">
              <w:rPr>
                <w:rFonts w:ascii="Arial Narrow" w:hAnsi="Arial Narrow"/>
                <w:color w:val="000000"/>
                <w:sz w:val="18"/>
                <w:szCs w:val="18"/>
                <w:shd w:val="clear" w:color="auto" w:fill="FFFFFF"/>
              </w:rPr>
              <w:t xml:space="preserve">FDG PET study of the brain, performed for the </w:t>
            </w:r>
            <w:r w:rsidR="00E17BD6" w:rsidRPr="005360D8">
              <w:rPr>
                <w:rFonts w:ascii="Arial Narrow" w:hAnsi="Arial Narrow"/>
                <w:color w:val="000000"/>
                <w:sz w:val="18"/>
                <w:szCs w:val="18"/>
                <w:shd w:val="clear" w:color="auto" w:fill="FFFFFF"/>
              </w:rPr>
              <w:t>diagnosis of Alzheimer’s dise</w:t>
            </w:r>
            <w:r w:rsidR="005242EC" w:rsidRPr="005360D8">
              <w:rPr>
                <w:rFonts w:ascii="Arial Narrow" w:hAnsi="Arial Narrow"/>
                <w:color w:val="000000"/>
                <w:sz w:val="18"/>
                <w:szCs w:val="18"/>
                <w:shd w:val="clear" w:color="auto" w:fill="FFFFFF"/>
              </w:rPr>
              <w:t>ase where clinical evaluation</w:t>
            </w:r>
            <w:r w:rsidR="00BA5DEC" w:rsidRPr="005360D8">
              <w:rPr>
                <w:rFonts w:ascii="Arial Narrow" w:hAnsi="Arial Narrow"/>
                <w:color w:val="000000"/>
                <w:sz w:val="18"/>
                <w:szCs w:val="18"/>
                <w:shd w:val="clear" w:color="auto" w:fill="FFFFFF"/>
              </w:rPr>
              <w:t xml:space="preserve"> by a specialist, or in consultation with a specialist,</w:t>
            </w:r>
            <w:r w:rsidR="005242EC" w:rsidRPr="005360D8">
              <w:rPr>
                <w:rFonts w:ascii="Arial Narrow" w:hAnsi="Arial Narrow"/>
                <w:color w:val="000000"/>
                <w:sz w:val="18"/>
                <w:szCs w:val="18"/>
                <w:shd w:val="clear" w:color="auto" w:fill="FFFFFF"/>
              </w:rPr>
              <w:t xml:space="preserve"> and MRI are equivocal </w:t>
            </w:r>
            <w:r w:rsidRPr="005360D8">
              <w:rPr>
                <w:rFonts w:ascii="Arial Narrow" w:hAnsi="Arial Narrow"/>
                <w:color w:val="000000"/>
                <w:sz w:val="18"/>
                <w:szCs w:val="18"/>
                <w:shd w:val="clear" w:color="auto" w:fill="FFFFFF"/>
              </w:rPr>
              <w:t xml:space="preserve"> (R)</w:t>
            </w:r>
          </w:p>
          <w:p w14:paraId="130424C6" w14:textId="6AFA3BB1" w:rsidR="006C3426" w:rsidRPr="00A012FA" w:rsidRDefault="006C3426" w:rsidP="005360D8">
            <w:pPr>
              <w:keepNext/>
              <w:spacing w:after="120" w:line="240" w:lineRule="auto"/>
              <w:rPr>
                <w:rFonts w:ascii="Arial Narrow" w:hAnsi="Arial Narrow"/>
                <w:lang w:val="en-US" w:eastAsia="ja-JP"/>
              </w:rPr>
            </w:pPr>
            <w:r w:rsidRPr="005360D8">
              <w:rPr>
                <w:rFonts w:ascii="Arial Narrow" w:hAnsi="Arial Narrow"/>
                <w:b/>
                <w:lang w:val="en-US" w:eastAsia="ja-JP"/>
              </w:rPr>
              <w:t>Fee:</w:t>
            </w:r>
            <w:r w:rsidRPr="005360D8">
              <w:rPr>
                <w:rFonts w:ascii="Arial Narrow" w:hAnsi="Arial Narrow"/>
                <w:lang w:val="en-US" w:eastAsia="ja-JP"/>
              </w:rPr>
              <w:t xml:space="preserve"> $</w:t>
            </w:r>
            <w:r w:rsidR="005360D8" w:rsidRPr="005360D8">
              <w:rPr>
                <w:rFonts w:ascii="Arial Narrow" w:hAnsi="Arial Narrow"/>
                <w:lang w:val="en-US" w:eastAsia="ja-JP"/>
              </w:rPr>
              <w:t>918.00</w:t>
            </w:r>
            <w:r w:rsidR="005360D8">
              <w:t xml:space="preserve"> </w:t>
            </w:r>
            <w:r w:rsidR="005360D8" w:rsidRPr="005360D8">
              <w:rPr>
                <w:rFonts w:ascii="Arial Narrow" w:hAnsi="Arial Narrow"/>
                <w:b/>
                <w:lang w:val="en-US" w:eastAsia="ja-JP"/>
              </w:rPr>
              <w:t>Benefit:</w:t>
            </w:r>
            <w:r w:rsidR="005360D8" w:rsidRPr="005360D8">
              <w:rPr>
                <w:rFonts w:ascii="Arial Narrow" w:hAnsi="Arial Narrow"/>
                <w:lang w:val="en-US" w:eastAsia="ja-JP"/>
              </w:rPr>
              <w:t xml:space="preserve"> 75% = $688.50 85% = $841.80</w:t>
            </w:r>
          </w:p>
        </w:tc>
      </w:tr>
    </w:tbl>
    <w:p w14:paraId="1F12B010" w14:textId="77777777" w:rsidR="006C3426" w:rsidRDefault="006C3426" w:rsidP="006C3426"/>
    <w:p w14:paraId="2AF925D6" w14:textId="2B401248" w:rsidR="006C3426" w:rsidRDefault="00350D7C" w:rsidP="006C3426">
      <w:r>
        <w:t>The applicant has specified a fee of $1,180, which is greater than the fee for item 61559 (</w:t>
      </w:r>
      <w:r w:rsidRPr="00350D7C">
        <w:t>$918.00</w:t>
      </w:r>
      <w:r>
        <w:t>) due to the different requirements for semi-quantitation. The applicant has noted that programs for t</w:t>
      </w:r>
      <w:r w:rsidR="00BA5DEC">
        <w:t>his cost up to $40,000 however the PASC was advised that this software is freely available. F</w:t>
      </w:r>
      <w:r>
        <w:t xml:space="preserve">urther justification </w:t>
      </w:r>
      <w:r w:rsidR="00BA5DEC">
        <w:t xml:space="preserve">of the proposed fee </w:t>
      </w:r>
      <w:r>
        <w:t>will be required.</w:t>
      </w:r>
    </w:p>
    <w:p w14:paraId="7F776AFD" w14:textId="0A508DCB" w:rsidR="00573106" w:rsidRPr="00350D7C" w:rsidRDefault="00573106" w:rsidP="006C3426">
      <w:r>
        <w:t xml:space="preserve">Referrals for the proposed service should be restricted to specialist practitioners who can prescribe </w:t>
      </w:r>
      <w:proofErr w:type="spellStart"/>
      <w:r>
        <w:t>acetylcholinesterase</w:t>
      </w:r>
      <w:proofErr w:type="spellEnd"/>
      <w:r>
        <w:t xml:space="preserve"> inhibitors and </w:t>
      </w:r>
      <w:proofErr w:type="spellStart"/>
      <w:r>
        <w:t>memantine</w:t>
      </w:r>
      <w:proofErr w:type="spellEnd"/>
      <w:r>
        <w:t xml:space="preserve"> (neurologists, </w:t>
      </w:r>
      <w:proofErr w:type="spellStart"/>
      <w:r>
        <w:t>neuropsychiatrists</w:t>
      </w:r>
      <w:proofErr w:type="spellEnd"/>
      <w:r>
        <w:t>, geriatricians), or general practitioners in direct consultation with one or more of these specialists.</w:t>
      </w:r>
      <w:r w:rsidR="001D6106" w:rsidRPr="001D6106">
        <w:t xml:space="preserve"> </w:t>
      </w:r>
      <w:r w:rsidR="001D6106" w:rsidRPr="001D6106">
        <w:rPr>
          <w:highlight w:val="lightGray"/>
        </w:rPr>
        <w:t>Currently the legislation requires that PET can be requested by specialists only. This requirement is unlikely to change if this application is passed through MSAC.</w:t>
      </w:r>
    </w:p>
    <w:p w14:paraId="332D5C48" w14:textId="77777777" w:rsidR="006315FF" w:rsidRDefault="00440598" w:rsidP="005633FD">
      <w:pPr>
        <w:pStyle w:val="Heading2"/>
      </w:pPr>
      <w:bookmarkStart w:id="20" w:name="_Toc381957856"/>
      <w:r w:rsidRPr="00A34E9C">
        <w:t>Clinical place for proposed intervention</w:t>
      </w:r>
      <w:bookmarkEnd w:id="20"/>
    </w:p>
    <w:p w14:paraId="6E3A1251" w14:textId="01A6D38F" w:rsidR="00F46F1C" w:rsidRDefault="00820336" w:rsidP="00E7006B">
      <w:pPr>
        <w:rPr>
          <w:lang w:val="en-GB" w:eastAsia="ja-JP"/>
        </w:rPr>
      </w:pPr>
      <w:r>
        <w:rPr>
          <w:lang w:val="en-GB" w:eastAsia="ja-JP"/>
        </w:rPr>
        <w:t>Dementia is a substantial and growing health burden</w:t>
      </w:r>
      <w:r w:rsidR="00AD4DEE">
        <w:rPr>
          <w:lang w:val="en-GB" w:eastAsia="ja-JP"/>
        </w:rPr>
        <w:t>. The</w:t>
      </w:r>
      <w:r>
        <w:rPr>
          <w:lang w:val="en-GB" w:eastAsia="ja-JP"/>
        </w:rPr>
        <w:t xml:space="preserve"> Australian Institute of Health and Welfare reports </w:t>
      </w:r>
      <w:r w:rsidR="0037228A">
        <w:rPr>
          <w:noProof/>
          <w:lang w:val="en-GB" w:eastAsia="ja-JP"/>
        </w:rPr>
        <w:t>(2012)</w:t>
      </w:r>
      <w:r>
        <w:rPr>
          <w:lang w:val="en-GB" w:eastAsia="ja-JP"/>
        </w:rPr>
        <w:t>:</w:t>
      </w:r>
    </w:p>
    <w:p w14:paraId="44DD974D" w14:textId="77777777" w:rsidR="00820336" w:rsidRDefault="00820336" w:rsidP="00B42469">
      <w:pPr>
        <w:pStyle w:val="ListParagraph"/>
        <w:numPr>
          <w:ilvl w:val="0"/>
          <w:numId w:val="11"/>
        </w:numPr>
        <w:rPr>
          <w:lang w:val="en-GB" w:eastAsia="ja-JP"/>
        </w:rPr>
      </w:pPr>
      <w:r w:rsidRPr="00820336">
        <w:rPr>
          <w:lang w:val="en-GB" w:eastAsia="ja-JP"/>
        </w:rPr>
        <w:t>An estimated 298,000 Au</w:t>
      </w:r>
      <w:r>
        <w:rPr>
          <w:lang w:val="en-GB" w:eastAsia="ja-JP"/>
        </w:rPr>
        <w:t>stralians had dementia in 2011, of whom</w:t>
      </w:r>
    </w:p>
    <w:p w14:paraId="040231C7" w14:textId="77777777" w:rsidR="00820336" w:rsidRDefault="00820336" w:rsidP="00B42469">
      <w:pPr>
        <w:pStyle w:val="ListParagraph"/>
        <w:numPr>
          <w:ilvl w:val="1"/>
          <w:numId w:val="11"/>
        </w:numPr>
        <w:rPr>
          <w:lang w:val="en-GB" w:eastAsia="ja-JP"/>
        </w:rPr>
      </w:pPr>
      <w:r w:rsidRPr="00820336">
        <w:rPr>
          <w:lang w:val="en-GB" w:eastAsia="ja-JP"/>
        </w:rPr>
        <w:t>74%</w:t>
      </w:r>
      <w:r>
        <w:rPr>
          <w:lang w:val="en-GB" w:eastAsia="ja-JP"/>
        </w:rPr>
        <w:t xml:space="preserve"> were aged 75 and over, and</w:t>
      </w:r>
    </w:p>
    <w:p w14:paraId="633C59BC" w14:textId="77777777" w:rsidR="00820336" w:rsidRPr="00820336" w:rsidRDefault="00820336" w:rsidP="00B42469">
      <w:pPr>
        <w:pStyle w:val="ListParagraph"/>
        <w:numPr>
          <w:ilvl w:val="1"/>
          <w:numId w:val="11"/>
        </w:numPr>
        <w:rPr>
          <w:lang w:val="en-GB" w:eastAsia="ja-JP"/>
        </w:rPr>
      </w:pPr>
      <w:r w:rsidRPr="00820336">
        <w:rPr>
          <w:lang w:val="en-GB" w:eastAsia="ja-JP"/>
        </w:rPr>
        <w:t>70% lived in the community.</w:t>
      </w:r>
    </w:p>
    <w:p w14:paraId="1D4B7537" w14:textId="77777777" w:rsidR="00820336" w:rsidRDefault="00820336" w:rsidP="00B42469">
      <w:pPr>
        <w:pStyle w:val="ListParagraph"/>
        <w:numPr>
          <w:ilvl w:val="0"/>
          <w:numId w:val="11"/>
        </w:numPr>
        <w:rPr>
          <w:lang w:val="en-GB" w:eastAsia="ja-JP"/>
        </w:rPr>
      </w:pPr>
      <w:r w:rsidRPr="00820336">
        <w:rPr>
          <w:lang w:val="en-GB" w:eastAsia="ja-JP"/>
        </w:rPr>
        <w:t>the number of people with</w:t>
      </w:r>
      <w:r>
        <w:rPr>
          <w:lang w:val="en-GB" w:eastAsia="ja-JP"/>
        </w:rPr>
        <w:t xml:space="preserve"> </w:t>
      </w:r>
      <w:r w:rsidRPr="00820336">
        <w:rPr>
          <w:lang w:val="en-GB" w:eastAsia="ja-JP"/>
        </w:rPr>
        <w:t xml:space="preserve">dementia is projected to triple between 2011 and 2050, </w:t>
      </w:r>
      <w:r>
        <w:rPr>
          <w:lang w:val="en-GB" w:eastAsia="ja-JP"/>
        </w:rPr>
        <w:t>to reach around 900,000 by 2050</w:t>
      </w:r>
    </w:p>
    <w:p w14:paraId="72DC7261" w14:textId="77777777" w:rsidR="00820336" w:rsidRDefault="00820336" w:rsidP="00B42469">
      <w:pPr>
        <w:pStyle w:val="ListParagraph"/>
        <w:numPr>
          <w:ilvl w:val="0"/>
          <w:numId w:val="11"/>
        </w:numPr>
        <w:rPr>
          <w:lang w:val="en-GB" w:eastAsia="ja-JP"/>
        </w:rPr>
      </w:pPr>
      <w:r w:rsidRPr="00820336">
        <w:rPr>
          <w:lang w:val="en-GB" w:eastAsia="ja-JP"/>
        </w:rPr>
        <w:t>Dementia was the third leading cause of death in 2010 (accounting for 6% of all deaths), with</w:t>
      </w:r>
      <w:r>
        <w:rPr>
          <w:lang w:val="en-GB" w:eastAsia="ja-JP"/>
        </w:rPr>
        <w:t xml:space="preserve"> </w:t>
      </w:r>
      <w:r w:rsidRPr="00820336">
        <w:rPr>
          <w:lang w:val="en-GB" w:eastAsia="ja-JP"/>
        </w:rPr>
        <w:t xml:space="preserve">an average of 25 people dying from dementia every day that year. </w:t>
      </w:r>
    </w:p>
    <w:p w14:paraId="0E1CE44F" w14:textId="77777777" w:rsidR="00820336" w:rsidRDefault="00820336" w:rsidP="00B42469">
      <w:pPr>
        <w:pStyle w:val="ListParagraph"/>
        <w:numPr>
          <w:ilvl w:val="1"/>
          <w:numId w:val="11"/>
        </w:numPr>
        <w:rPr>
          <w:lang w:val="en-GB" w:eastAsia="ja-JP"/>
        </w:rPr>
      </w:pPr>
      <w:r w:rsidRPr="00820336">
        <w:rPr>
          <w:lang w:val="en-GB" w:eastAsia="ja-JP"/>
        </w:rPr>
        <w:t>Twice as many women as</w:t>
      </w:r>
      <w:r>
        <w:rPr>
          <w:lang w:val="en-GB" w:eastAsia="ja-JP"/>
        </w:rPr>
        <w:t xml:space="preserve"> </w:t>
      </w:r>
      <w:r w:rsidRPr="00820336">
        <w:rPr>
          <w:lang w:val="en-GB" w:eastAsia="ja-JP"/>
        </w:rPr>
        <w:t>men died from dementia (6,083 and 2,920 respectively).</w:t>
      </w:r>
    </w:p>
    <w:p w14:paraId="056F61ED" w14:textId="77777777" w:rsidR="00820336" w:rsidRDefault="00820336" w:rsidP="00B42469">
      <w:pPr>
        <w:pStyle w:val="ListParagraph"/>
        <w:numPr>
          <w:ilvl w:val="0"/>
          <w:numId w:val="11"/>
        </w:numPr>
        <w:rPr>
          <w:lang w:val="en-GB" w:eastAsia="ja-JP"/>
        </w:rPr>
      </w:pPr>
      <w:r w:rsidRPr="00820336">
        <w:rPr>
          <w:lang w:val="en-GB" w:eastAsia="ja-JP"/>
        </w:rPr>
        <w:t>Total direct health and aged care system expenditure on people with dementia was at least</w:t>
      </w:r>
      <w:r>
        <w:rPr>
          <w:lang w:val="en-GB" w:eastAsia="ja-JP"/>
        </w:rPr>
        <w:t xml:space="preserve"> </w:t>
      </w:r>
      <w:r w:rsidRPr="00820336">
        <w:rPr>
          <w:lang w:val="en-GB" w:eastAsia="ja-JP"/>
        </w:rPr>
        <w:t>$4.9 billion in 2009–10, of which about $2.0 billion was directly attributable to dementia.</w:t>
      </w:r>
    </w:p>
    <w:p w14:paraId="1D0C6F8E" w14:textId="12622683" w:rsidR="00820336" w:rsidRDefault="00820336" w:rsidP="00AD4DEE">
      <w:pPr>
        <w:rPr>
          <w:lang w:val="en-GB" w:eastAsia="ja-JP"/>
        </w:rPr>
      </w:pPr>
      <w:r>
        <w:rPr>
          <w:lang w:val="en-GB" w:eastAsia="ja-JP"/>
        </w:rPr>
        <w:lastRenderedPageBreak/>
        <w:t xml:space="preserve">Dementia itself is a </w:t>
      </w:r>
      <w:r w:rsidRPr="00820336">
        <w:rPr>
          <w:lang w:val="en-GB" w:eastAsia="ja-JP"/>
        </w:rPr>
        <w:t>an umbr</w:t>
      </w:r>
      <w:r>
        <w:rPr>
          <w:lang w:val="en-GB" w:eastAsia="ja-JP"/>
        </w:rPr>
        <w:t xml:space="preserve">ella term describing a syndrome </w:t>
      </w:r>
      <w:r w:rsidRPr="00820336">
        <w:rPr>
          <w:lang w:val="en-GB" w:eastAsia="ja-JP"/>
        </w:rPr>
        <w:t>associated with more than 100 different diseases that are cha</w:t>
      </w:r>
      <w:r>
        <w:rPr>
          <w:lang w:val="en-GB" w:eastAsia="ja-JP"/>
        </w:rPr>
        <w:t xml:space="preserve">racterised by the impairment of </w:t>
      </w:r>
      <w:r w:rsidRPr="00820336">
        <w:rPr>
          <w:lang w:val="en-GB" w:eastAsia="ja-JP"/>
        </w:rPr>
        <w:t>brain functions, including language, memory, perception, personality and cognitive skills</w:t>
      </w:r>
      <w:r>
        <w:rPr>
          <w:lang w:val="en-GB" w:eastAsia="ja-JP"/>
        </w:rPr>
        <w:t xml:space="preserve"> </w:t>
      </w:r>
      <w:r w:rsidR="0037228A">
        <w:rPr>
          <w:noProof/>
          <w:lang w:val="en-GB" w:eastAsia="ja-JP"/>
        </w:rPr>
        <w:t>(Australian Institute of Health and Welfare, 2012)</w:t>
      </w:r>
      <w:r w:rsidRPr="00820336">
        <w:rPr>
          <w:lang w:val="en-GB" w:eastAsia="ja-JP"/>
        </w:rPr>
        <w:t>.</w:t>
      </w:r>
      <w:r>
        <w:rPr>
          <w:lang w:val="en-GB" w:eastAsia="ja-JP"/>
        </w:rPr>
        <w:t xml:space="preserve"> Alzheimer’s disease is the most common type of dementia accounting for 50-75% of cases of dementia worldwide. </w:t>
      </w:r>
      <w:r w:rsidR="00AD4DEE">
        <w:rPr>
          <w:lang w:val="en-GB" w:eastAsia="ja-JP"/>
        </w:rPr>
        <w:t xml:space="preserve">Its prevalence increases </w:t>
      </w:r>
      <w:r w:rsidR="00AD4DEE" w:rsidRPr="00AD4DEE">
        <w:rPr>
          <w:lang w:val="en-GB" w:eastAsia="ja-JP"/>
        </w:rPr>
        <w:t>exponentially with age</w:t>
      </w:r>
      <w:r w:rsidR="006315FF">
        <w:rPr>
          <w:lang w:val="en-GB" w:eastAsia="ja-JP"/>
        </w:rPr>
        <w:t xml:space="preserve"> affecting</w:t>
      </w:r>
      <w:r w:rsidR="00AD4DEE">
        <w:rPr>
          <w:lang w:val="en-GB" w:eastAsia="ja-JP"/>
        </w:rPr>
        <w:t xml:space="preserve"> </w:t>
      </w:r>
      <w:r w:rsidR="000F5179" w:rsidRPr="00AD4DEE">
        <w:rPr>
          <w:lang w:val="en-GB" w:eastAsia="ja-JP"/>
        </w:rPr>
        <w:t>less</w:t>
      </w:r>
      <w:r w:rsidR="00AD4DEE" w:rsidRPr="00AD4DEE">
        <w:rPr>
          <w:lang w:val="en-GB" w:eastAsia="ja-JP"/>
        </w:rPr>
        <w:t xml:space="preserve"> than 1% of people 60 to </w:t>
      </w:r>
      <w:r w:rsidR="00AD4DEE">
        <w:rPr>
          <w:lang w:val="en-GB" w:eastAsia="ja-JP"/>
        </w:rPr>
        <w:t xml:space="preserve">64 years old, but 24% to 33% </w:t>
      </w:r>
      <w:r w:rsidR="006315FF">
        <w:rPr>
          <w:lang w:val="en-GB" w:eastAsia="ja-JP"/>
        </w:rPr>
        <w:t>of</w:t>
      </w:r>
      <w:r w:rsidR="00AD4DEE">
        <w:rPr>
          <w:lang w:val="en-GB" w:eastAsia="ja-JP"/>
        </w:rPr>
        <w:t xml:space="preserve"> those over 85</w:t>
      </w:r>
      <w:r w:rsidR="00AD4DEE" w:rsidRPr="00AD4DEE">
        <w:rPr>
          <w:lang w:val="en-GB" w:eastAsia="ja-JP"/>
        </w:rPr>
        <w:t>. The earliest sympt</w:t>
      </w:r>
      <w:r w:rsidR="00AD4DEE">
        <w:rPr>
          <w:lang w:val="en-GB" w:eastAsia="ja-JP"/>
        </w:rPr>
        <w:t xml:space="preserve">oms of Alzheimer’s </w:t>
      </w:r>
      <w:r w:rsidR="00AD4DEE" w:rsidRPr="00AD4DEE">
        <w:rPr>
          <w:lang w:val="en-GB" w:eastAsia="ja-JP"/>
        </w:rPr>
        <w:t>disease dementia include short-term</w:t>
      </w:r>
      <w:r w:rsidR="00AD4DEE">
        <w:rPr>
          <w:lang w:val="en-GB" w:eastAsia="ja-JP"/>
        </w:rPr>
        <w:t xml:space="preserve"> memory loss, a gradual decline </w:t>
      </w:r>
      <w:r w:rsidR="00AD4DEE" w:rsidRPr="00AD4DEE">
        <w:rPr>
          <w:lang w:val="en-GB" w:eastAsia="ja-JP"/>
        </w:rPr>
        <w:t>in other cognitive abilities and behavioural changes</w:t>
      </w:r>
      <w:r w:rsidR="005A4430">
        <w:rPr>
          <w:lang w:val="en-GB" w:eastAsia="ja-JP"/>
        </w:rPr>
        <w:t xml:space="preserve"> </w:t>
      </w:r>
      <w:r w:rsidR="0037228A">
        <w:rPr>
          <w:noProof/>
          <w:lang w:val="en-GB" w:eastAsia="ja-JP"/>
        </w:rPr>
        <w:t>(Vacante et al., 2013)</w:t>
      </w:r>
      <w:r w:rsidR="00AD4DEE" w:rsidRPr="00AD4DEE">
        <w:rPr>
          <w:lang w:val="en-GB" w:eastAsia="ja-JP"/>
        </w:rPr>
        <w:t>.</w:t>
      </w:r>
      <w:r w:rsidR="00AD4DEE">
        <w:rPr>
          <w:lang w:val="en-GB" w:eastAsia="ja-JP"/>
        </w:rPr>
        <w:t xml:space="preserve"> Onset is gradual and decline is progressive.</w:t>
      </w:r>
    </w:p>
    <w:p w14:paraId="012065BE" w14:textId="55D90A3A" w:rsidR="006315FF" w:rsidRPr="00820336" w:rsidRDefault="006315FF" w:rsidP="006315FF">
      <w:pPr>
        <w:jc w:val="left"/>
        <w:rPr>
          <w:lang w:val="en-GB" w:eastAsia="ja-JP"/>
        </w:rPr>
      </w:pPr>
      <w:r>
        <w:rPr>
          <w:lang w:val="en-GB" w:eastAsia="ja-JP"/>
        </w:rPr>
        <w:t xml:space="preserve">The </w:t>
      </w:r>
      <w:proofErr w:type="spellStart"/>
      <w:r>
        <w:rPr>
          <w:lang w:val="en-GB" w:eastAsia="ja-JP"/>
        </w:rPr>
        <w:t>neuropathological</w:t>
      </w:r>
      <w:proofErr w:type="spellEnd"/>
      <w:r>
        <w:rPr>
          <w:lang w:val="en-GB" w:eastAsia="ja-JP"/>
        </w:rPr>
        <w:t xml:space="preserve"> features of Alzheimer’s disease are characterised by cortical intracellular </w:t>
      </w:r>
      <w:r w:rsidRPr="006315FF">
        <w:rPr>
          <w:lang w:val="en-GB" w:eastAsia="ja-JP"/>
        </w:rPr>
        <w:t xml:space="preserve">neurofibrillary </w:t>
      </w:r>
      <w:r>
        <w:rPr>
          <w:lang w:val="en-GB" w:eastAsia="ja-JP"/>
        </w:rPr>
        <w:t>tangles (NFT) and extracellular-amyloid</w:t>
      </w:r>
      <w:r w:rsidR="00C46360">
        <w:rPr>
          <w:lang w:val="en-GB" w:eastAsia="ja-JP"/>
        </w:rPr>
        <w:t>-β</w:t>
      </w:r>
      <w:r>
        <w:rPr>
          <w:lang w:val="en-GB" w:eastAsia="ja-JP"/>
        </w:rPr>
        <w:t xml:space="preserve"> </w:t>
      </w:r>
      <w:r w:rsidRPr="006315FF">
        <w:rPr>
          <w:lang w:val="en-GB" w:eastAsia="ja-JP"/>
        </w:rPr>
        <w:t>(A</w:t>
      </w:r>
      <w:r>
        <w:rPr>
          <w:lang w:val="en-GB" w:eastAsia="ja-JP"/>
        </w:rPr>
        <w:t>β</w:t>
      </w:r>
      <w:r w:rsidRPr="006315FF">
        <w:rPr>
          <w:lang w:val="en-GB" w:eastAsia="ja-JP"/>
        </w:rPr>
        <w:t>) plaques</w:t>
      </w:r>
      <w:r>
        <w:rPr>
          <w:lang w:val="en-GB" w:eastAsia="ja-JP"/>
        </w:rPr>
        <w:t xml:space="preserve">, however </w:t>
      </w:r>
      <w:r w:rsidR="001C4B54">
        <w:rPr>
          <w:lang w:val="en-GB" w:eastAsia="ja-JP"/>
        </w:rPr>
        <w:t xml:space="preserve">at present </w:t>
      </w:r>
      <w:r>
        <w:rPr>
          <w:lang w:val="en-GB" w:eastAsia="ja-JP"/>
        </w:rPr>
        <w:t>these can only be observed in brain tissue following autopsy or biopsy</w:t>
      </w:r>
      <w:r w:rsidR="001C4B54">
        <w:rPr>
          <w:lang w:val="en-GB" w:eastAsia="ja-JP"/>
        </w:rPr>
        <w:t xml:space="preserve"> (although amyloid PET ligands are moving into clinical practice and have been approved in the US)</w:t>
      </w:r>
      <w:r>
        <w:rPr>
          <w:lang w:val="en-GB" w:eastAsia="ja-JP"/>
        </w:rPr>
        <w:t>, precluding defin</w:t>
      </w:r>
      <w:r w:rsidR="001C4B54">
        <w:rPr>
          <w:lang w:val="en-GB" w:eastAsia="ja-JP"/>
        </w:rPr>
        <w:t xml:space="preserve">ite diagnosis for most patients. </w:t>
      </w:r>
      <w:r w:rsidR="005A6424">
        <w:rPr>
          <w:lang w:val="en-GB" w:eastAsia="ja-JP"/>
        </w:rPr>
        <w:t xml:space="preserve">A variety of assessment tools are therefore used for screening, diagnosis and/or monitoring dementia. </w:t>
      </w:r>
      <w:r>
        <w:rPr>
          <w:lang w:val="en-GB" w:eastAsia="ja-JP"/>
        </w:rPr>
        <w:t xml:space="preserve"> </w:t>
      </w:r>
    </w:p>
    <w:p w14:paraId="52EBE49E" w14:textId="77777777" w:rsidR="006315FF" w:rsidRPr="006315FF" w:rsidRDefault="006315FF" w:rsidP="006315FF">
      <w:pPr>
        <w:rPr>
          <w:lang w:val="en-GB" w:eastAsia="ja-JP"/>
        </w:rPr>
      </w:pPr>
      <w:r w:rsidRPr="006315FF">
        <w:rPr>
          <w:lang w:val="en-GB" w:eastAsia="ja-JP"/>
        </w:rPr>
        <w:t>In the context of dementia, assess</w:t>
      </w:r>
      <w:r>
        <w:rPr>
          <w:lang w:val="en-GB" w:eastAsia="ja-JP"/>
        </w:rPr>
        <w:t xml:space="preserve">ment tools are employed for two </w:t>
      </w:r>
      <w:r w:rsidRPr="006315FF">
        <w:rPr>
          <w:lang w:val="en-GB" w:eastAsia="ja-JP"/>
        </w:rPr>
        <w:t>basic purposes:</w:t>
      </w:r>
    </w:p>
    <w:p w14:paraId="3EAE5CE3" w14:textId="77777777" w:rsidR="006315FF" w:rsidRDefault="006315FF" w:rsidP="00B42469">
      <w:pPr>
        <w:pStyle w:val="ListParagraph"/>
        <w:numPr>
          <w:ilvl w:val="0"/>
          <w:numId w:val="12"/>
        </w:numPr>
        <w:rPr>
          <w:lang w:val="en-GB" w:eastAsia="ja-JP"/>
        </w:rPr>
      </w:pPr>
      <w:r w:rsidRPr="006315FF">
        <w:rPr>
          <w:lang w:val="en-GB" w:eastAsia="ja-JP"/>
        </w:rPr>
        <w:t>to screen people for the likely presence/absence of c</w:t>
      </w:r>
      <w:r>
        <w:rPr>
          <w:lang w:val="en-GB" w:eastAsia="ja-JP"/>
        </w:rPr>
        <w:t xml:space="preserve">ognitive impairment which may be </w:t>
      </w:r>
      <w:r w:rsidRPr="006315FF">
        <w:rPr>
          <w:lang w:val="en-GB" w:eastAsia="ja-JP"/>
        </w:rPr>
        <w:t>indicative of dementia</w:t>
      </w:r>
    </w:p>
    <w:p w14:paraId="422E4D73" w14:textId="323E910B" w:rsidR="006315FF" w:rsidRPr="006315FF" w:rsidRDefault="006315FF" w:rsidP="00B42469">
      <w:pPr>
        <w:pStyle w:val="ListParagraph"/>
        <w:numPr>
          <w:ilvl w:val="0"/>
          <w:numId w:val="12"/>
        </w:numPr>
        <w:rPr>
          <w:lang w:val="en-GB" w:eastAsia="ja-JP"/>
        </w:rPr>
      </w:pPr>
      <w:proofErr w:type="gramStart"/>
      <w:r w:rsidRPr="006315FF">
        <w:rPr>
          <w:lang w:val="en-GB" w:eastAsia="ja-JP"/>
        </w:rPr>
        <w:t>for</w:t>
      </w:r>
      <w:proofErr w:type="gramEnd"/>
      <w:r w:rsidRPr="006315FF">
        <w:rPr>
          <w:lang w:val="en-GB" w:eastAsia="ja-JP"/>
        </w:rPr>
        <w:t xml:space="preserve"> in-depth assessment for the purposes of formal diagnosis, care planning, and</w:t>
      </w:r>
      <w:r>
        <w:rPr>
          <w:lang w:val="en-GB" w:eastAsia="ja-JP"/>
        </w:rPr>
        <w:t xml:space="preserve"> </w:t>
      </w:r>
      <w:r w:rsidRPr="006315FF">
        <w:rPr>
          <w:lang w:val="en-GB" w:eastAsia="ja-JP"/>
        </w:rPr>
        <w:t>monitoring of disease progression or treatment efficacy</w:t>
      </w:r>
      <w:r w:rsidR="005A6424">
        <w:rPr>
          <w:lang w:val="en-GB" w:eastAsia="ja-JP"/>
        </w:rPr>
        <w:t xml:space="preserve"> </w:t>
      </w:r>
      <w:r w:rsidR="0037228A">
        <w:rPr>
          <w:noProof/>
          <w:lang w:val="en-GB" w:eastAsia="ja-JP"/>
        </w:rPr>
        <w:t>(Australian Institute of Health and Welfare, 2007)</w:t>
      </w:r>
      <w:r w:rsidRPr="006315FF">
        <w:rPr>
          <w:lang w:val="en-GB" w:eastAsia="ja-JP"/>
        </w:rPr>
        <w:t>.</w:t>
      </w:r>
    </w:p>
    <w:p w14:paraId="055E1E94" w14:textId="77777777" w:rsidR="00E7006B" w:rsidRDefault="005A6424" w:rsidP="005A6424">
      <w:pPr>
        <w:rPr>
          <w:lang w:val="en-GB" w:eastAsia="ja-JP"/>
        </w:rPr>
      </w:pPr>
      <w:r>
        <w:rPr>
          <w:lang w:val="en-GB" w:eastAsia="ja-JP"/>
        </w:rPr>
        <w:t>At the primary care level, cognitive</w:t>
      </w:r>
      <w:r w:rsidR="00E7006B" w:rsidRPr="006315FF">
        <w:rPr>
          <w:lang w:val="en-GB" w:eastAsia="ja-JP"/>
        </w:rPr>
        <w:t xml:space="preserve"> decline may be </w:t>
      </w:r>
      <w:r>
        <w:rPr>
          <w:lang w:val="en-GB" w:eastAsia="ja-JP"/>
        </w:rPr>
        <w:t xml:space="preserve">identified </w:t>
      </w:r>
      <w:r w:rsidR="00E7006B" w:rsidRPr="006315FF">
        <w:rPr>
          <w:lang w:val="en-GB" w:eastAsia="ja-JP"/>
        </w:rPr>
        <w:t>based on history from a patient if verified by a reliable informant (usually a spouse) or on a cognitive test score that is below those expected for age and level of education</w:t>
      </w:r>
      <w:r>
        <w:rPr>
          <w:lang w:val="en-GB" w:eastAsia="ja-JP"/>
        </w:rPr>
        <w:t xml:space="preserve"> (purpose 1)</w:t>
      </w:r>
      <w:r w:rsidR="00E7006B" w:rsidRPr="006315FF">
        <w:rPr>
          <w:lang w:val="en-GB" w:eastAsia="ja-JP"/>
        </w:rPr>
        <w:t xml:space="preserve">. </w:t>
      </w:r>
      <w:r>
        <w:rPr>
          <w:lang w:val="en-GB" w:eastAsia="ja-JP"/>
        </w:rPr>
        <w:t xml:space="preserve">Patients who have evidence of cognitive decline are then referred for a more </w:t>
      </w:r>
      <w:r w:rsidRPr="005A6424">
        <w:rPr>
          <w:lang w:val="en-GB" w:eastAsia="ja-JP"/>
        </w:rPr>
        <w:t xml:space="preserve">comprehensive assessment by a medical specialist (such as </w:t>
      </w:r>
      <w:r>
        <w:rPr>
          <w:lang w:val="en-GB" w:eastAsia="ja-JP"/>
        </w:rPr>
        <w:t xml:space="preserve">a geriatrician, psychiatrist or </w:t>
      </w:r>
      <w:r w:rsidRPr="005A6424">
        <w:rPr>
          <w:lang w:val="en-GB" w:eastAsia="ja-JP"/>
        </w:rPr>
        <w:t>neurologist</w:t>
      </w:r>
      <w:r>
        <w:rPr>
          <w:lang w:val="en-GB" w:eastAsia="ja-JP"/>
        </w:rPr>
        <w:t>, purpose 2</w:t>
      </w:r>
      <w:r w:rsidRPr="005A6424">
        <w:rPr>
          <w:lang w:val="en-GB" w:eastAsia="ja-JP"/>
        </w:rPr>
        <w:t>).</w:t>
      </w:r>
    </w:p>
    <w:p w14:paraId="06C7D987" w14:textId="77777777" w:rsidR="005A6424" w:rsidRDefault="005A6424" w:rsidP="005A6424">
      <w:pPr>
        <w:rPr>
          <w:lang w:val="en-GB" w:eastAsia="ja-JP"/>
        </w:rPr>
      </w:pPr>
      <w:r>
        <w:rPr>
          <w:lang w:val="en-GB" w:eastAsia="ja-JP"/>
        </w:rPr>
        <w:t>For formal diagnosis, the following tests are conducted:</w:t>
      </w:r>
    </w:p>
    <w:p w14:paraId="3BF0C7A4" w14:textId="0D7BE4E8" w:rsidR="005A6424" w:rsidRDefault="001C4B54" w:rsidP="00B42469">
      <w:pPr>
        <w:pStyle w:val="ListParagraph"/>
        <w:numPr>
          <w:ilvl w:val="0"/>
          <w:numId w:val="13"/>
        </w:numPr>
        <w:rPr>
          <w:lang w:val="en-GB" w:eastAsia="ja-JP"/>
        </w:rPr>
      </w:pPr>
      <w:r>
        <w:rPr>
          <w:lang w:val="en-GB" w:eastAsia="ja-JP"/>
        </w:rPr>
        <w:t>Specialist c</w:t>
      </w:r>
      <w:r w:rsidR="005A6424">
        <w:rPr>
          <w:lang w:val="en-GB" w:eastAsia="ja-JP"/>
        </w:rPr>
        <w:t>linical evaluation</w:t>
      </w:r>
      <w:r w:rsidR="00EF323F">
        <w:rPr>
          <w:lang w:val="en-GB" w:eastAsia="ja-JP"/>
        </w:rPr>
        <w:t xml:space="preserve"> (history, examination, cognitive testing)</w:t>
      </w:r>
      <w:r w:rsidR="00C46360">
        <w:rPr>
          <w:lang w:val="en-GB" w:eastAsia="ja-JP"/>
        </w:rPr>
        <w:t xml:space="preserve"> for the assessment of cognitive function</w:t>
      </w:r>
      <w:r w:rsidR="005A6424">
        <w:rPr>
          <w:lang w:val="en-GB" w:eastAsia="ja-JP"/>
        </w:rPr>
        <w:t xml:space="preserve"> </w:t>
      </w:r>
      <w:r w:rsidR="0037228A">
        <w:rPr>
          <w:noProof/>
          <w:lang w:val="en-GB" w:eastAsia="ja-JP"/>
        </w:rPr>
        <w:t>(see Australian Institute of Health and Welfare, 2007 for details of commonly used tools)</w:t>
      </w:r>
      <w:r w:rsidR="006A71EE">
        <w:rPr>
          <w:lang w:val="en-GB" w:eastAsia="ja-JP"/>
        </w:rPr>
        <w:t xml:space="preserve"> which serves two main diagnostic purposes</w:t>
      </w:r>
      <w:r w:rsidR="00C46360">
        <w:rPr>
          <w:lang w:val="en-GB" w:eastAsia="ja-JP"/>
        </w:rPr>
        <w:t>:</w:t>
      </w:r>
    </w:p>
    <w:p w14:paraId="1F27AFE1" w14:textId="77777777" w:rsidR="00C46360" w:rsidRDefault="00C46360" w:rsidP="00B42469">
      <w:pPr>
        <w:pStyle w:val="ListParagraph"/>
        <w:numPr>
          <w:ilvl w:val="1"/>
          <w:numId w:val="13"/>
        </w:numPr>
        <w:rPr>
          <w:lang w:val="en-GB" w:eastAsia="ja-JP"/>
        </w:rPr>
      </w:pPr>
      <w:r w:rsidRPr="00C46360">
        <w:rPr>
          <w:lang w:val="en-GB" w:eastAsia="ja-JP"/>
        </w:rPr>
        <w:t>the diagnosis of dementia requires</w:t>
      </w:r>
      <w:r>
        <w:rPr>
          <w:lang w:val="en-GB" w:eastAsia="ja-JP"/>
        </w:rPr>
        <w:t xml:space="preserve"> </w:t>
      </w:r>
      <w:r w:rsidRPr="00C46360">
        <w:rPr>
          <w:lang w:val="en-GB" w:eastAsia="ja-JP"/>
        </w:rPr>
        <w:t xml:space="preserve">evidence of </w:t>
      </w:r>
      <w:r>
        <w:rPr>
          <w:lang w:val="en-GB" w:eastAsia="ja-JP"/>
        </w:rPr>
        <w:t>multiple cognitive defects; and</w:t>
      </w:r>
    </w:p>
    <w:p w14:paraId="50930149" w14:textId="0FAD128F" w:rsidR="00291128" w:rsidRPr="00291128" w:rsidRDefault="00C46360" w:rsidP="00B42469">
      <w:pPr>
        <w:pStyle w:val="ListParagraph"/>
        <w:numPr>
          <w:ilvl w:val="1"/>
          <w:numId w:val="13"/>
        </w:numPr>
        <w:rPr>
          <w:lang w:val="en-GB" w:eastAsia="ja-JP"/>
        </w:rPr>
      </w:pPr>
      <w:proofErr w:type="gramStart"/>
      <w:r>
        <w:rPr>
          <w:lang w:val="en-GB" w:eastAsia="ja-JP"/>
        </w:rPr>
        <w:t>i</w:t>
      </w:r>
      <w:r w:rsidRPr="00C46360">
        <w:rPr>
          <w:lang w:val="en-GB" w:eastAsia="ja-JP"/>
        </w:rPr>
        <w:t>nitial</w:t>
      </w:r>
      <w:proofErr w:type="gramEnd"/>
      <w:r>
        <w:rPr>
          <w:lang w:val="en-GB" w:eastAsia="ja-JP"/>
        </w:rPr>
        <w:t xml:space="preserve"> </w:t>
      </w:r>
      <w:r w:rsidRPr="00C46360">
        <w:rPr>
          <w:lang w:val="en-GB" w:eastAsia="ja-JP"/>
        </w:rPr>
        <w:t>stages of all principal forms of dementia have a selective</w:t>
      </w:r>
      <w:r>
        <w:rPr>
          <w:lang w:val="en-GB" w:eastAsia="ja-JP"/>
        </w:rPr>
        <w:t xml:space="preserve"> anatomical </w:t>
      </w:r>
      <w:r w:rsidRPr="00C46360">
        <w:rPr>
          <w:lang w:val="en-GB" w:eastAsia="ja-JP"/>
        </w:rPr>
        <w:t>localisation reflected by typical patterns of</w:t>
      </w:r>
      <w:r>
        <w:rPr>
          <w:lang w:val="en-GB" w:eastAsia="ja-JP"/>
        </w:rPr>
        <w:t xml:space="preserve"> </w:t>
      </w:r>
      <w:r w:rsidRPr="00C46360">
        <w:rPr>
          <w:lang w:val="en-GB" w:eastAsia="ja-JP"/>
        </w:rPr>
        <w:t>neuropsychological impairment</w:t>
      </w:r>
      <w:r w:rsidR="002856E9">
        <w:rPr>
          <w:lang w:val="en-GB" w:eastAsia="ja-JP"/>
        </w:rPr>
        <w:t xml:space="preserve"> </w:t>
      </w:r>
      <w:r w:rsidR="002856E9">
        <w:rPr>
          <w:noProof/>
          <w:lang w:val="en-GB" w:eastAsia="ja-JP"/>
        </w:rPr>
        <w:t>(Hort et al., 2010)</w:t>
      </w:r>
      <w:r w:rsidRPr="00C46360">
        <w:rPr>
          <w:lang w:val="en-GB" w:eastAsia="ja-JP"/>
        </w:rPr>
        <w:t>.</w:t>
      </w:r>
    </w:p>
    <w:p w14:paraId="32A5305A" w14:textId="7E2A06D4" w:rsidR="005A6424" w:rsidRPr="001D6106" w:rsidRDefault="00C46360" w:rsidP="001D6106">
      <w:pPr>
        <w:pStyle w:val="ListParagraph"/>
        <w:numPr>
          <w:ilvl w:val="0"/>
          <w:numId w:val="13"/>
        </w:numPr>
        <w:rPr>
          <w:lang w:val="en-GB" w:eastAsia="ja-JP"/>
        </w:rPr>
      </w:pPr>
      <w:r>
        <w:rPr>
          <w:lang w:val="en-GB" w:eastAsia="ja-JP"/>
        </w:rPr>
        <w:t xml:space="preserve">Structural imaging: </w:t>
      </w:r>
      <w:r w:rsidR="001D6106" w:rsidRPr="001D6106">
        <w:rPr>
          <w:highlight w:val="lightGray"/>
          <w:lang w:val="en-GB" w:eastAsia="ja-JP"/>
        </w:rPr>
        <w:t xml:space="preserve">MRI is the most appropriate test (provided the patient doesn’t have a contraindication to having a MRI scan). Patients may or may not have had a CT generally for a range of reasons previously but MRI scans of the brain provide better delineation of the anatomy (atrophy </w:t>
      </w:r>
      <w:proofErr w:type="spellStart"/>
      <w:r w:rsidR="001D6106" w:rsidRPr="001D6106">
        <w:rPr>
          <w:highlight w:val="lightGray"/>
          <w:lang w:val="en-GB" w:eastAsia="ja-JP"/>
        </w:rPr>
        <w:t>etc</w:t>
      </w:r>
      <w:proofErr w:type="spellEnd"/>
      <w:r w:rsidR="001D6106" w:rsidRPr="001D6106">
        <w:rPr>
          <w:highlight w:val="lightGray"/>
          <w:lang w:val="en-GB" w:eastAsia="ja-JP"/>
        </w:rPr>
        <w:t>) as opposed to CT in the context of investigating memory loss.</w:t>
      </w:r>
      <w:r w:rsidR="006A71EE" w:rsidRPr="001D6106">
        <w:rPr>
          <w:lang w:val="en-GB" w:eastAsia="ja-JP"/>
        </w:rPr>
        <w:t xml:space="preserve"> </w:t>
      </w:r>
      <w:r w:rsidR="001D6106" w:rsidRPr="001D6106">
        <w:rPr>
          <w:lang w:val="en-GB" w:eastAsia="ja-JP"/>
        </w:rPr>
        <w:t>MRI</w:t>
      </w:r>
      <w:r w:rsidR="006A71EE" w:rsidRPr="001D6106">
        <w:rPr>
          <w:lang w:val="en-GB" w:eastAsia="ja-JP"/>
        </w:rPr>
        <w:t xml:space="preserve"> serves two main purposes:</w:t>
      </w:r>
    </w:p>
    <w:p w14:paraId="063CB694" w14:textId="77777777" w:rsidR="006A71EE" w:rsidRDefault="006A71EE" w:rsidP="00B42469">
      <w:pPr>
        <w:pStyle w:val="ListParagraph"/>
        <w:numPr>
          <w:ilvl w:val="1"/>
          <w:numId w:val="13"/>
        </w:numPr>
        <w:rPr>
          <w:lang w:val="en-GB" w:eastAsia="ja-JP"/>
        </w:rPr>
      </w:pPr>
      <w:r>
        <w:rPr>
          <w:lang w:val="en-GB" w:eastAsia="ja-JP"/>
        </w:rPr>
        <w:lastRenderedPageBreak/>
        <w:t>Exclusion of other, potentially surgically treatable, causes</w:t>
      </w:r>
    </w:p>
    <w:p w14:paraId="623502FC" w14:textId="14C33BD3" w:rsidR="006A71EE" w:rsidRDefault="006A71EE" w:rsidP="00B42469">
      <w:pPr>
        <w:pStyle w:val="ListParagraph"/>
        <w:numPr>
          <w:ilvl w:val="1"/>
          <w:numId w:val="13"/>
        </w:numPr>
        <w:rPr>
          <w:lang w:val="en-GB" w:eastAsia="ja-JP"/>
        </w:rPr>
      </w:pPr>
      <w:r>
        <w:rPr>
          <w:lang w:val="en-GB" w:eastAsia="ja-JP"/>
        </w:rPr>
        <w:t xml:space="preserve">Identify findings specific for Alzheimer’s disease (specific pattern of atrophy) </w:t>
      </w:r>
      <w:r w:rsidR="002856E9">
        <w:rPr>
          <w:noProof/>
          <w:lang w:val="en-GB" w:eastAsia="ja-JP"/>
        </w:rPr>
        <w:t>(Hort et al., 2010)</w:t>
      </w:r>
    </w:p>
    <w:p w14:paraId="26C078BB" w14:textId="77777777" w:rsidR="0094216F" w:rsidRDefault="0094216F" w:rsidP="00B42469">
      <w:pPr>
        <w:pStyle w:val="ListParagraph"/>
        <w:numPr>
          <w:ilvl w:val="0"/>
          <w:numId w:val="13"/>
        </w:numPr>
        <w:rPr>
          <w:lang w:val="en-GB" w:eastAsia="ja-JP"/>
        </w:rPr>
      </w:pPr>
      <w:r>
        <w:rPr>
          <w:lang w:val="en-GB" w:eastAsia="ja-JP"/>
        </w:rPr>
        <w:t>Blood tests</w:t>
      </w:r>
    </w:p>
    <w:p w14:paraId="40E46916" w14:textId="77777777" w:rsidR="0094216F" w:rsidRDefault="0094216F" w:rsidP="00B42469">
      <w:pPr>
        <w:pStyle w:val="ListParagraph"/>
        <w:numPr>
          <w:ilvl w:val="1"/>
          <w:numId w:val="13"/>
        </w:numPr>
        <w:rPr>
          <w:lang w:val="en-GB" w:eastAsia="ja-JP"/>
        </w:rPr>
      </w:pPr>
      <w:r>
        <w:rPr>
          <w:lang w:val="en-GB" w:eastAsia="ja-JP"/>
        </w:rPr>
        <w:t>Routine biochemistry</w:t>
      </w:r>
    </w:p>
    <w:p w14:paraId="15A051F4" w14:textId="77777777" w:rsidR="0094216F" w:rsidRDefault="0094216F" w:rsidP="00B42469">
      <w:pPr>
        <w:pStyle w:val="ListParagraph"/>
        <w:numPr>
          <w:ilvl w:val="1"/>
          <w:numId w:val="13"/>
        </w:numPr>
        <w:rPr>
          <w:lang w:val="en-GB" w:eastAsia="ja-JP"/>
        </w:rPr>
      </w:pPr>
      <w:r>
        <w:rPr>
          <w:lang w:val="en-GB" w:eastAsia="ja-JP"/>
        </w:rPr>
        <w:t>Haematology</w:t>
      </w:r>
    </w:p>
    <w:p w14:paraId="4274B2C4" w14:textId="77777777" w:rsidR="0094216F" w:rsidRDefault="0094216F" w:rsidP="00B42469">
      <w:pPr>
        <w:pStyle w:val="ListParagraph"/>
        <w:numPr>
          <w:ilvl w:val="1"/>
          <w:numId w:val="13"/>
        </w:numPr>
        <w:rPr>
          <w:lang w:val="en-GB" w:eastAsia="ja-JP"/>
        </w:rPr>
      </w:pPr>
      <w:r>
        <w:rPr>
          <w:lang w:val="en-GB" w:eastAsia="ja-JP"/>
        </w:rPr>
        <w:t>Thyroid function</w:t>
      </w:r>
    </w:p>
    <w:p w14:paraId="11FADABA" w14:textId="77777777" w:rsidR="0094216F" w:rsidRDefault="0094216F" w:rsidP="00B42469">
      <w:pPr>
        <w:pStyle w:val="ListParagraph"/>
        <w:numPr>
          <w:ilvl w:val="1"/>
          <w:numId w:val="13"/>
        </w:numPr>
        <w:rPr>
          <w:lang w:val="en-GB" w:eastAsia="ja-JP"/>
        </w:rPr>
      </w:pPr>
      <w:r>
        <w:rPr>
          <w:lang w:val="en-GB" w:eastAsia="ja-JP"/>
        </w:rPr>
        <w:t>Vitamins B12 and folate.</w:t>
      </w:r>
    </w:p>
    <w:p w14:paraId="5FA5DD06" w14:textId="77777777" w:rsidR="0094216F" w:rsidRDefault="0094216F" w:rsidP="0094216F">
      <w:pPr>
        <w:rPr>
          <w:lang w:val="en-GB" w:eastAsia="ja-JP"/>
        </w:rPr>
      </w:pPr>
      <w:r>
        <w:rPr>
          <w:lang w:val="en-GB" w:eastAsia="ja-JP"/>
        </w:rPr>
        <w:t>FDG PET</w:t>
      </w:r>
      <w:r w:rsidR="006A71EE">
        <w:rPr>
          <w:lang w:val="en-GB" w:eastAsia="ja-JP"/>
        </w:rPr>
        <w:t xml:space="preserve"> is a functional neuroimaging test and</w:t>
      </w:r>
      <w:r>
        <w:rPr>
          <w:lang w:val="en-GB" w:eastAsia="ja-JP"/>
        </w:rPr>
        <w:t xml:space="preserve"> is proposed to be used where these tests</w:t>
      </w:r>
      <w:r w:rsidR="006A71EE">
        <w:rPr>
          <w:lang w:val="en-GB" w:eastAsia="ja-JP"/>
        </w:rPr>
        <w:t xml:space="preserve"> have been conducted and diagnosis</w:t>
      </w:r>
      <w:r>
        <w:rPr>
          <w:lang w:val="en-GB" w:eastAsia="ja-JP"/>
        </w:rPr>
        <w:t xml:space="preserve"> remain</w:t>
      </w:r>
      <w:r w:rsidR="006A71EE">
        <w:rPr>
          <w:lang w:val="en-GB" w:eastAsia="ja-JP"/>
        </w:rPr>
        <w:t>s</w:t>
      </w:r>
      <w:r>
        <w:rPr>
          <w:lang w:val="en-GB" w:eastAsia="ja-JP"/>
        </w:rPr>
        <w:t xml:space="preserve"> inconclusive. </w:t>
      </w:r>
    </w:p>
    <w:p w14:paraId="791D05A5" w14:textId="08136942" w:rsidR="003704D8" w:rsidRDefault="00236159" w:rsidP="0094216F">
      <w:pPr>
        <w:rPr>
          <w:lang w:val="en-GB" w:eastAsia="ja-JP"/>
        </w:rPr>
      </w:pPr>
      <w:proofErr w:type="spellStart"/>
      <w:r w:rsidRPr="00541C96">
        <w:rPr>
          <w:szCs w:val="22"/>
        </w:rPr>
        <w:t>Acetylcholinesterase</w:t>
      </w:r>
      <w:proofErr w:type="spellEnd"/>
      <w:r w:rsidRPr="00541C96">
        <w:rPr>
          <w:szCs w:val="22"/>
        </w:rPr>
        <w:t xml:space="preserve"> inhibitors</w:t>
      </w:r>
      <w:r w:rsidR="003704D8">
        <w:rPr>
          <w:lang w:val="en-GB" w:eastAsia="ja-JP"/>
        </w:rPr>
        <w:t xml:space="preserve"> </w:t>
      </w:r>
      <w:r>
        <w:rPr>
          <w:lang w:val="en-GB" w:eastAsia="ja-JP"/>
        </w:rPr>
        <w:t xml:space="preserve">or </w:t>
      </w:r>
      <w:proofErr w:type="spellStart"/>
      <w:r>
        <w:rPr>
          <w:lang w:val="en-GB" w:eastAsia="ja-JP"/>
        </w:rPr>
        <w:t>m</w:t>
      </w:r>
      <w:r w:rsidRPr="00236159">
        <w:rPr>
          <w:lang w:val="en-GB" w:eastAsia="ja-JP"/>
        </w:rPr>
        <w:t>emantine</w:t>
      </w:r>
      <w:proofErr w:type="spellEnd"/>
      <w:r w:rsidR="003704D8">
        <w:rPr>
          <w:lang w:val="en-GB" w:eastAsia="ja-JP"/>
        </w:rPr>
        <w:t xml:space="preserve"> </w:t>
      </w:r>
      <w:r>
        <w:rPr>
          <w:lang w:val="en-GB" w:eastAsia="ja-JP"/>
        </w:rPr>
        <w:t>are recommended therapies for treating</w:t>
      </w:r>
      <w:r w:rsidR="003704D8">
        <w:rPr>
          <w:lang w:val="en-GB" w:eastAsia="ja-JP"/>
        </w:rPr>
        <w:t xml:space="preserve"> Alzheimer’s disease </w:t>
      </w:r>
      <w:r>
        <w:rPr>
          <w:lang w:val="en-GB" w:eastAsia="ja-JP"/>
        </w:rPr>
        <w:t>but are not recommended or available on the PBS for the treatment of other types of dementia (</w:t>
      </w:r>
      <w:r w:rsidR="0037228A">
        <w:rPr>
          <w:lang w:val="en-GB" w:eastAsia="ja-JP"/>
        </w:rPr>
        <w:t xml:space="preserve">see </w:t>
      </w:r>
      <w:r w:rsidR="00FA7B05" w:rsidRPr="00A34E9C">
        <w:t>Co-administered interventions</w:t>
      </w:r>
      <w:r w:rsidR="0037228A" w:rsidRPr="0037228A">
        <w:rPr>
          <w:lang w:val="en-GB" w:eastAsia="ja-JP"/>
        </w:rPr>
        <w:t xml:space="preserve"> page </w:t>
      </w:r>
      <w:r w:rsidR="00FA7B05">
        <w:rPr>
          <w:noProof/>
          <w:lang w:val="en-GB" w:eastAsia="ja-JP"/>
        </w:rPr>
        <w:t>6</w:t>
      </w:r>
      <w:r w:rsidR="007F3044">
        <w:rPr>
          <w:lang w:val="en-GB" w:eastAsia="ja-JP"/>
        </w:rPr>
        <w:t>)</w:t>
      </w:r>
      <w:r w:rsidR="0037228A">
        <w:rPr>
          <w:lang w:val="en-GB" w:eastAsia="ja-JP"/>
        </w:rPr>
        <w:t xml:space="preserve"> </w:t>
      </w:r>
      <w:r w:rsidR="0037228A">
        <w:rPr>
          <w:noProof/>
          <w:lang w:val="en-GB" w:eastAsia="ja-JP"/>
        </w:rPr>
        <w:t>(National Collaborating Centre for Mental Health, 2007)</w:t>
      </w:r>
      <w:r w:rsidR="007F3044">
        <w:rPr>
          <w:lang w:val="en-GB" w:eastAsia="ja-JP"/>
        </w:rPr>
        <w:t xml:space="preserve">. </w:t>
      </w:r>
    </w:p>
    <w:p w14:paraId="696E7C4E" w14:textId="77777777" w:rsidR="00E7006B" w:rsidRDefault="00E7006B" w:rsidP="00E7006B">
      <w:pPr>
        <w:pStyle w:val="Heading2"/>
      </w:pPr>
      <w:bookmarkStart w:id="21" w:name="_Toc381957857"/>
      <w:r>
        <w:t>Prior tests</w:t>
      </w:r>
      <w:bookmarkEnd w:id="21"/>
    </w:p>
    <w:p w14:paraId="4EA3B5CB" w14:textId="7D7B4987" w:rsidR="00E7006B" w:rsidRPr="00E7006B" w:rsidRDefault="00E7006B" w:rsidP="00E7006B">
      <w:pPr>
        <w:rPr>
          <w:lang w:val="en-GB" w:eastAsia="ja-JP"/>
        </w:rPr>
      </w:pPr>
      <w:r>
        <w:rPr>
          <w:lang w:val="en-GB" w:eastAsia="ja-JP"/>
        </w:rPr>
        <w:t>Current diagnostic methods consist of clinical evaluation by a medical specialist, a MRI brain scan and blood tests for routine biochemistry and haematology plus blood tests for thyroid function and vitamins B12 and folate.</w:t>
      </w:r>
    </w:p>
    <w:p w14:paraId="79821771" w14:textId="77777777" w:rsidR="00E7006B" w:rsidRDefault="00E7006B" w:rsidP="00E7006B">
      <w:pPr>
        <w:pStyle w:val="Heading2"/>
      </w:pPr>
      <w:bookmarkStart w:id="22" w:name="_Toc381957858"/>
      <w:r>
        <w:t>Utilisation</w:t>
      </w:r>
      <w:bookmarkEnd w:id="22"/>
    </w:p>
    <w:p w14:paraId="0ECA3D12" w14:textId="4AAD7BE7" w:rsidR="006C6DFF" w:rsidRPr="006C6DFF" w:rsidRDefault="006C6DFF" w:rsidP="006C6DFF">
      <w:pPr>
        <w:rPr>
          <w:lang w:val="en-GB" w:eastAsia="ja-JP"/>
        </w:rPr>
      </w:pPr>
      <w:r>
        <w:rPr>
          <w:lang w:val="en-GB" w:eastAsia="ja-JP"/>
        </w:rPr>
        <w:t xml:space="preserve">The applicant has not provided estimates of utilisation. In its most recent report, the AIHW </w:t>
      </w:r>
      <w:r w:rsidR="0037228A">
        <w:rPr>
          <w:noProof/>
          <w:lang w:val="en-GB" w:eastAsia="ja-JP"/>
        </w:rPr>
        <w:t>(Australian Institute of Health and Welfare, 2012)</w:t>
      </w:r>
      <w:r>
        <w:rPr>
          <w:lang w:val="en-GB" w:eastAsia="ja-JP"/>
        </w:rPr>
        <w:t xml:space="preserve"> considered the incidence of dementia beyond its scope due to limited availability of data but cited updated previous estimates of </w:t>
      </w:r>
      <w:r w:rsidRPr="006C6DFF">
        <w:rPr>
          <w:lang w:val="en-GB" w:eastAsia="ja-JP"/>
        </w:rPr>
        <w:t>63,300</w:t>
      </w:r>
      <w:r>
        <w:rPr>
          <w:lang w:val="en-GB" w:eastAsia="ja-JP"/>
        </w:rPr>
        <w:t xml:space="preserve"> new cases in 2011. Only a proportion of new cases would require an FDG PET scan for a diagnosis. </w:t>
      </w:r>
    </w:p>
    <w:p w14:paraId="7F95881E" w14:textId="77777777" w:rsidR="00E7006B" w:rsidRPr="00A34E9C" w:rsidRDefault="00E7006B" w:rsidP="00E7006B">
      <w:pPr>
        <w:pStyle w:val="Heading1"/>
      </w:pPr>
      <w:bookmarkStart w:id="23" w:name="_Toc283297642"/>
      <w:bookmarkStart w:id="24" w:name="_Toc381957859"/>
      <w:r w:rsidRPr="00A34E9C">
        <w:t>Comparator</w:t>
      </w:r>
      <w:bookmarkEnd w:id="23"/>
      <w:bookmarkEnd w:id="24"/>
    </w:p>
    <w:p w14:paraId="2693EA06" w14:textId="4999975E" w:rsidR="00350D7C" w:rsidRDefault="00BE694B" w:rsidP="00C46360">
      <w:pPr>
        <w:rPr>
          <w:lang w:val="en-GB" w:eastAsia="ja-JP"/>
        </w:rPr>
      </w:pPr>
      <w:r>
        <w:rPr>
          <w:lang w:val="en-GB" w:eastAsia="ja-JP"/>
        </w:rPr>
        <w:t xml:space="preserve">A single-photon emission computed tomography (SPECT) scan of the brain is listed on the MBS (see </w:t>
      </w:r>
      <w:r w:rsidR="00FA7B05" w:rsidRPr="00A34E9C">
        <w:t xml:space="preserve">Table </w:t>
      </w:r>
      <w:r w:rsidR="00FA7B05">
        <w:rPr>
          <w:noProof/>
        </w:rPr>
        <w:t>2</w:t>
      </w:r>
      <w:r>
        <w:rPr>
          <w:lang w:val="en-GB" w:eastAsia="ja-JP"/>
        </w:rPr>
        <w:t xml:space="preserve">) and can be used to image cerebral perfusion, which like FDG PET, reflects brain metabolism and can assist in diagnosing Alzheimer’s disease. </w:t>
      </w:r>
      <w:r w:rsidR="00C46360">
        <w:rPr>
          <w:lang w:val="en-GB" w:eastAsia="ja-JP"/>
        </w:rPr>
        <w:t xml:space="preserve">The most commonly used </w:t>
      </w:r>
      <w:r w:rsidR="00C46360" w:rsidRPr="00C46360">
        <w:rPr>
          <w:lang w:val="en-GB" w:eastAsia="ja-JP"/>
        </w:rPr>
        <w:t xml:space="preserve">tracer to examine </w:t>
      </w:r>
      <w:r w:rsidR="00C46360">
        <w:rPr>
          <w:lang w:val="en-GB" w:eastAsia="ja-JP"/>
        </w:rPr>
        <w:t xml:space="preserve">cerebral blood flow (CBF) using </w:t>
      </w:r>
      <w:r w:rsidR="00C46360" w:rsidRPr="00C46360">
        <w:rPr>
          <w:lang w:val="en-GB" w:eastAsia="ja-JP"/>
        </w:rPr>
        <w:t xml:space="preserve">SPECT is </w:t>
      </w:r>
      <w:r w:rsidR="00C46360" w:rsidRPr="00C46360">
        <w:rPr>
          <w:vertAlign w:val="superscript"/>
          <w:lang w:val="en-GB" w:eastAsia="ja-JP"/>
        </w:rPr>
        <w:t>99</w:t>
      </w:r>
      <w:r w:rsidR="00C46360" w:rsidRPr="00C46360">
        <w:rPr>
          <w:lang w:val="en-GB" w:eastAsia="ja-JP"/>
        </w:rPr>
        <w:t>m-Tc-hexamethylpropylene (HMPAO).</w:t>
      </w:r>
      <w:r w:rsidR="00C46360" w:rsidRPr="00C46360">
        <w:t xml:space="preserve"> </w:t>
      </w:r>
      <w:r w:rsidR="00C46360" w:rsidRPr="00C46360">
        <w:rPr>
          <w:lang w:val="en-GB" w:eastAsia="ja-JP"/>
        </w:rPr>
        <w:t>SPEC</w:t>
      </w:r>
      <w:r w:rsidR="00C46360">
        <w:rPr>
          <w:lang w:val="en-GB" w:eastAsia="ja-JP"/>
        </w:rPr>
        <w:t xml:space="preserve">T is technically less demanding </w:t>
      </w:r>
      <w:r w:rsidR="00C46360" w:rsidRPr="00C46360">
        <w:rPr>
          <w:lang w:val="en-GB" w:eastAsia="ja-JP"/>
        </w:rPr>
        <w:t>and more widely available</w:t>
      </w:r>
      <w:r w:rsidR="00C46360">
        <w:rPr>
          <w:lang w:val="en-GB" w:eastAsia="ja-JP"/>
        </w:rPr>
        <w:t xml:space="preserve"> than PET but also has lower res</w:t>
      </w:r>
      <w:r w:rsidR="0037228A">
        <w:rPr>
          <w:lang w:val="en-GB" w:eastAsia="ja-JP"/>
        </w:rPr>
        <w:t xml:space="preserve">olution </w:t>
      </w:r>
      <w:r w:rsidR="0037228A">
        <w:rPr>
          <w:noProof/>
          <w:lang w:val="en-GB" w:eastAsia="ja-JP"/>
        </w:rPr>
        <w:t>(Filippi et al., 2012)</w:t>
      </w:r>
      <w:r w:rsidR="00C46360" w:rsidRPr="00C46360">
        <w:rPr>
          <w:lang w:val="en-GB" w:eastAsia="ja-JP"/>
        </w:rPr>
        <w:t>.</w:t>
      </w:r>
      <w:r w:rsidR="003713F7">
        <w:rPr>
          <w:lang w:val="en-GB" w:eastAsia="ja-JP"/>
        </w:rPr>
        <w:t xml:space="preserve"> </w:t>
      </w:r>
    </w:p>
    <w:p w14:paraId="1385BD3A" w14:textId="77777777" w:rsidR="003713F7" w:rsidRDefault="003713F7" w:rsidP="00C46360">
      <w:pPr>
        <w:rPr>
          <w:lang w:val="en-GB" w:eastAsia="ja-JP"/>
        </w:rPr>
      </w:pPr>
      <w:r>
        <w:rPr>
          <w:lang w:val="en-GB" w:eastAsia="ja-JP"/>
        </w:rPr>
        <w:t>FDG PET is proposed as a replacement test to SPECT</w:t>
      </w:r>
      <w:r w:rsidR="0066306A">
        <w:rPr>
          <w:lang w:val="en-GB" w:eastAsia="ja-JP"/>
        </w:rPr>
        <w:t>, although the availability of FDG PET may limit the extent to which it replaces SPECT</w:t>
      </w:r>
      <w:r>
        <w:rPr>
          <w:lang w:val="en-GB" w:eastAsia="ja-JP"/>
        </w:rPr>
        <w:t>.</w:t>
      </w:r>
    </w:p>
    <w:p w14:paraId="0CB913C5" w14:textId="0343A757" w:rsidR="00BE694B" w:rsidRPr="00A34E9C" w:rsidRDefault="00BE694B" w:rsidP="00BE694B">
      <w:pPr>
        <w:pStyle w:val="Caption"/>
      </w:pPr>
      <w:bookmarkStart w:id="25" w:name="_Ref381960077"/>
      <w:bookmarkStart w:id="26" w:name="_Toc381957944"/>
      <w:r w:rsidRPr="00A34E9C">
        <w:lastRenderedPageBreak/>
        <w:t xml:space="preserve">Table </w:t>
      </w:r>
      <w:r w:rsidR="00FA7B05">
        <w:rPr>
          <w:noProof/>
        </w:rPr>
        <w:t>2</w:t>
      </w:r>
      <w:bookmarkEnd w:id="25"/>
      <w:r w:rsidR="005242EC">
        <w:t>:</w:t>
      </w:r>
      <w:r w:rsidR="005242EC">
        <w:tab/>
      </w:r>
      <w:r w:rsidRPr="00A34E9C">
        <w:t xml:space="preserve">MBS item descriptor for </w:t>
      </w:r>
      <w:r w:rsidR="005242EC">
        <w:t>SPECT</w:t>
      </w:r>
      <w:bookmarkEnd w:id="2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BE694B" w:rsidRPr="00A34E9C" w14:paraId="0A68E0B9" w14:textId="77777777" w:rsidTr="000F5179">
        <w:tc>
          <w:tcPr>
            <w:tcW w:w="9134" w:type="dxa"/>
          </w:tcPr>
          <w:p w14:paraId="33381ACC" w14:textId="77777777" w:rsidR="00BE694B" w:rsidRPr="00A012FA" w:rsidRDefault="00BE694B" w:rsidP="000F5179">
            <w:pPr>
              <w:keepNext/>
              <w:spacing w:after="120" w:line="240" w:lineRule="auto"/>
              <w:jc w:val="right"/>
              <w:rPr>
                <w:rFonts w:ascii="Arial Narrow" w:hAnsi="Arial Narrow"/>
                <w:lang w:eastAsia="ja-JP"/>
              </w:rPr>
            </w:pPr>
            <w:r w:rsidRPr="00A012FA">
              <w:rPr>
                <w:rFonts w:ascii="Arial Narrow" w:hAnsi="Arial Narrow"/>
                <w:lang w:eastAsia="ja-JP"/>
              </w:rPr>
              <w:t>Category</w:t>
            </w:r>
            <w:r>
              <w:rPr>
                <w:rFonts w:ascii="Arial Narrow" w:hAnsi="Arial Narrow"/>
                <w:lang w:eastAsia="ja-JP"/>
              </w:rPr>
              <w:t xml:space="preserve"> 5</w:t>
            </w:r>
            <w:r w:rsidRPr="00A012FA">
              <w:rPr>
                <w:rFonts w:ascii="Arial Narrow" w:hAnsi="Arial Narrow"/>
                <w:lang w:eastAsia="ja-JP"/>
              </w:rPr>
              <w:t xml:space="preserve"> – </w:t>
            </w:r>
            <w:r>
              <w:rPr>
                <w:rFonts w:ascii="Arial Narrow" w:hAnsi="Arial Narrow"/>
                <w:lang w:eastAsia="ja-JP"/>
              </w:rPr>
              <w:t>DIAGNOSTIC IMAGING SERVICES</w:t>
            </w:r>
          </w:p>
        </w:tc>
      </w:tr>
      <w:tr w:rsidR="00BE694B" w:rsidRPr="00A34E9C" w14:paraId="4663277B" w14:textId="77777777" w:rsidTr="000F5179">
        <w:tc>
          <w:tcPr>
            <w:tcW w:w="9134" w:type="dxa"/>
          </w:tcPr>
          <w:p w14:paraId="7481E029" w14:textId="5930499A" w:rsidR="00BE694B" w:rsidRPr="00BA5DEC" w:rsidRDefault="00BE694B" w:rsidP="000F5179">
            <w:pPr>
              <w:keepNext/>
              <w:spacing w:after="120" w:line="240" w:lineRule="auto"/>
              <w:rPr>
                <w:rFonts w:ascii="Arial Narrow" w:hAnsi="Arial Narrow"/>
                <w:lang w:val="en-US" w:eastAsia="ja-JP"/>
              </w:rPr>
            </w:pPr>
            <w:r w:rsidRPr="00BA5DEC">
              <w:rPr>
                <w:rFonts w:ascii="Arial Narrow" w:hAnsi="Arial Narrow"/>
                <w:lang w:val="en-US" w:eastAsia="ja-JP"/>
              </w:rPr>
              <w:t xml:space="preserve">MBS </w:t>
            </w:r>
            <w:r w:rsidR="001C4B54" w:rsidRPr="00BA5DEC">
              <w:rPr>
                <w:rFonts w:ascii="Arial Narrow" w:hAnsi="Arial Narrow"/>
                <w:lang w:val="en-US" w:eastAsia="ja-JP"/>
              </w:rPr>
              <w:t>61402</w:t>
            </w:r>
          </w:p>
          <w:p w14:paraId="08A49585" w14:textId="439BBDA0" w:rsidR="001C4B54" w:rsidRPr="00BA5DEC" w:rsidRDefault="001C4B54" w:rsidP="001C4B54">
            <w:pPr>
              <w:keepNext/>
              <w:spacing w:after="120" w:line="240" w:lineRule="auto"/>
              <w:rPr>
                <w:rFonts w:ascii="Arial Narrow" w:hAnsi="Arial Narrow"/>
                <w:color w:val="000000"/>
                <w:sz w:val="18"/>
                <w:szCs w:val="18"/>
                <w:shd w:val="clear" w:color="auto" w:fill="FFFFFF"/>
              </w:rPr>
            </w:pPr>
            <w:r w:rsidRPr="00BA5DEC">
              <w:rPr>
                <w:rFonts w:ascii="Arial Narrow" w:hAnsi="Arial Narrow"/>
                <w:color w:val="000000"/>
                <w:sz w:val="18"/>
                <w:szCs w:val="18"/>
                <w:shd w:val="clear" w:color="auto" w:fill="FFFFFF"/>
              </w:rPr>
              <w:t>CEREBRAL PERFUSION STUDY, with single photon emission tomography and with planar imaging when undertaken (R)</w:t>
            </w:r>
          </w:p>
          <w:p w14:paraId="44F00100" w14:textId="028997D6" w:rsidR="00BE694B" w:rsidRPr="001C4B54" w:rsidRDefault="001C4B54" w:rsidP="001C4B54">
            <w:pPr>
              <w:keepNext/>
              <w:spacing w:after="120" w:line="240" w:lineRule="auto"/>
              <w:rPr>
                <w:rFonts w:ascii="Verdana" w:hAnsi="Verdana"/>
                <w:b/>
                <w:bCs/>
                <w:color w:val="000000"/>
                <w:sz w:val="18"/>
                <w:szCs w:val="18"/>
                <w:shd w:val="clear" w:color="auto" w:fill="FFFFFF"/>
              </w:rPr>
            </w:pPr>
            <w:r w:rsidRPr="00BA5DEC">
              <w:rPr>
                <w:rFonts w:ascii="Arial Narrow" w:hAnsi="Arial Narrow"/>
                <w:b/>
                <w:color w:val="000000"/>
                <w:sz w:val="18"/>
                <w:szCs w:val="18"/>
                <w:shd w:val="clear" w:color="auto" w:fill="FFFFFF"/>
              </w:rPr>
              <w:t>Fee:</w:t>
            </w:r>
            <w:r w:rsidRPr="00BA5DEC">
              <w:rPr>
                <w:rFonts w:ascii="Arial Narrow" w:hAnsi="Arial Narrow"/>
                <w:color w:val="000000"/>
                <w:sz w:val="18"/>
                <w:szCs w:val="18"/>
                <w:shd w:val="clear" w:color="auto" w:fill="FFFFFF"/>
              </w:rPr>
              <w:t xml:space="preserve"> $605.05 </w:t>
            </w:r>
            <w:r w:rsidRPr="00BA5DEC">
              <w:rPr>
                <w:rFonts w:ascii="Arial Narrow" w:hAnsi="Arial Narrow"/>
                <w:b/>
                <w:color w:val="000000"/>
                <w:sz w:val="18"/>
                <w:szCs w:val="18"/>
                <w:shd w:val="clear" w:color="auto" w:fill="FFFFFF"/>
              </w:rPr>
              <w:t>Benefit:</w:t>
            </w:r>
            <w:r w:rsidRPr="00BA5DEC">
              <w:rPr>
                <w:rFonts w:ascii="Arial Narrow" w:hAnsi="Arial Narrow"/>
                <w:color w:val="000000"/>
                <w:sz w:val="18"/>
                <w:szCs w:val="18"/>
                <w:shd w:val="clear" w:color="auto" w:fill="FFFFFF"/>
              </w:rPr>
              <w:t xml:space="preserve"> 75% = $453.80 85% = $528.85</w:t>
            </w:r>
            <w:r w:rsidRPr="00BA5DEC">
              <w:rPr>
                <w:rFonts w:ascii="Arial Narrow" w:hAnsi="Arial Narrow"/>
                <w:b/>
                <w:bCs/>
                <w:color w:val="000000"/>
                <w:sz w:val="18"/>
                <w:szCs w:val="18"/>
                <w:shd w:val="clear" w:color="auto" w:fill="FFFFFF"/>
              </w:rPr>
              <w:t xml:space="preserve"> </w:t>
            </w:r>
          </w:p>
        </w:tc>
      </w:tr>
    </w:tbl>
    <w:p w14:paraId="64EE624A" w14:textId="77777777" w:rsidR="00BE694B" w:rsidRPr="00350D7C" w:rsidRDefault="00BE694B" w:rsidP="00350D7C">
      <w:pPr>
        <w:rPr>
          <w:lang w:val="en-GB" w:eastAsia="ja-JP"/>
        </w:rPr>
      </w:pPr>
    </w:p>
    <w:p w14:paraId="283D8B19" w14:textId="77777777" w:rsidR="00440598" w:rsidRDefault="00440598" w:rsidP="00E7006B">
      <w:pPr>
        <w:pStyle w:val="Heading1"/>
      </w:pPr>
      <w:bookmarkStart w:id="27" w:name="_Toc370901866"/>
      <w:bookmarkStart w:id="28" w:name="_Toc381957860"/>
      <w:r w:rsidRPr="00D32252">
        <w:t xml:space="preserve">Clinical </w:t>
      </w:r>
      <w:r>
        <w:t>management algorithms</w:t>
      </w:r>
      <w:bookmarkEnd w:id="27"/>
      <w:bookmarkEnd w:id="28"/>
    </w:p>
    <w:p w14:paraId="5C0E0C3B" w14:textId="77777777" w:rsidR="0066306A" w:rsidRPr="0066306A" w:rsidRDefault="0066306A" w:rsidP="0066306A">
      <w:r>
        <w:t>FDG PET is proposed as a replacement test for SPECT in the diagnosis of Alzheimer’s disease for patients who have evidence of cognitive decline and have undergone specialist assessment (clinical evaluation, structural imaging and routine blood tests) but in whom diagnosis remains uncertain.</w:t>
      </w:r>
    </w:p>
    <w:p w14:paraId="21F81E95" w14:textId="08B8E1C8" w:rsidR="007D2580" w:rsidRDefault="007D2580" w:rsidP="007D2580">
      <w:pPr>
        <w:pStyle w:val="Caption"/>
        <w:jc w:val="both"/>
      </w:pPr>
      <w:r>
        <w:lastRenderedPageBreak/>
        <w:t xml:space="preserve">Figure </w:t>
      </w:r>
      <w:r w:rsidR="00FA7B05">
        <w:rPr>
          <w:noProof/>
        </w:rPr>
        <w:t>1</w:t>
      </w:r>
      <w:r>
        <w:tab/>
        <w:t>Clinical management algorithm for Alzheimer’s disease diagnosis with FDG PET</w:t>
      </w:r>
    </w:p>
    <w:p w14:paraId="46BA0A3A" w14:textId="77777777" w:rsidR="009F5C50" w:rsidRPr="009F5C50" w:rsidRDefault="009F5C50" w:rsidP="009F5C50">
      <w:r>
        <w:rPr>
          <w:noProof/>
          <w:lang w:eastAsia="en-AU"/>
        </w:rPr>
        <mc:AlternateContent>
          <mc:Choice Requires="wpc">
            <w:drawing>
              <wp:inline distT="0" distB="0" distL="0" distR="0" wp14:anchorId="126A2D8A" wp14:editId="17C28379">
                <wp:extent cx="5943600" cy="8029044"/>
                <wp:effectExtent l="0" t="0" r="19050" b="0"/>
                <wp:docPr id="1" name="Canvas 1" title="Figure 1 Clinical management algorithm for Alzheimer’s disease diagnosis with FDG PET"/>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ounded Rectangle 2"/>
                        <wps:cNvSpPr/>
                        <wps:spPr>
                          <a:xfrm>
                            <a:off x="1828800" y="8"/>
                            <a:ext cx="228600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35FE287D" w14:textId="77777777" w:rsidR="004569F9" w:rsidRDefault="004569F9" w:rsidP="007D2580">
                              <w:pPr>
                                <w:spacing w:after="0" w:line="240" w:lineRule="auto"/>
                                <w:jc w:val="center"/>
                              </w:pPr>
                              <w:r>
                                <w:t>Person with suspected dementia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28562" y="571500"/>
                            <a:ext cx="2971800" cy="1600222"/>
                          </a:xfrm>
                          <a:prstGeom prst="roundRect">
                            <a:avLst/>
                          </a:prstGeom>
                        </wps:spPr>
                        <wps:style>
                          <a:lnRef idx="2">
                            <a:schemeClr val="dk1"/>
                          </a:lnRef>
                          <a:fillRef idx="1">
                            <a:schemeClr val="lt1"/>
                          </a:fillRef>
                          <a:effectRef idx="0">
                            <a:schemeClr val="dk1"/>
                          </a:effectRef>
                          <a:fontRef idx="minor">
                            <a:schemeClr val="dk1"/>
                          </a:fontRef>
                        </wps:style>
                        <wps:txbx>
                          <w:txbxContent>
                            <w:p w14:paraId="03F7069E" w14:textId="77777777" w:rsidR="004569F9" w:rsidRDefault="004569F9" w:rsidP="005766FD">
                              <w:pPr>
                                <w:pStyle w:val="NormalWeb"/>
                                <w:spacing w:before="0" w:beforeAutospacing="0" w:after="0" w:afterAutospacing="0"/>
                                <w:jc w:val="center"/>
                                <w:rPr>
                                  <w:rFonts w:ascii="Tahoma" w:eastAsia="SimSun" w:hAnsi="Tahoma" w:cs="Tahoma"/>
                                  <w:b/>
                                  <w:sz w:val="20"/>
                                  <w:szCs w:val="20"/>
                                </w:rPr>
                              </w:pPr>
                              <w:r w:rsidRPr="00BA2B46">
                                <w:rPr>
                                  <w:rFonts w:ascii="Tahoma" w:eastAsia="SimSun" w:hAnsi="Tahoma" w:cs="Tahoma"/>
                                  <w:b/>
                                  <w:sz w:val="20"/>
                                  <w:szCs w:val="20"/>
                                </w:rPr>
                                <w:t>Investigation of suspected dementia (usually in primary care)</w:t>
                              </w:r>
                            </w:p>
                            <w:p w14:paraId="36C595C5" w14:textId="77777777" w:rsidR="004569F9" w:rsidRPr="009F5C50" w:rsidRDefault="004569F9" w:rsidP="00B42469">
                              <w:pPr>
                                <w:pStyle w:val="ListParagraph"/>
                                <w:numPr>
                                  <w:ilvl w:val="0"/>
                                  <w:numId w:val="14"/>
                                </w:numPr>
                                <w:spacing w:line="240" w:lineRule="auto"/>
                                <w:jc w:val="left"/>
                                <w:rPr>
                                  <w:lang w:val="en-GB" w:eastAsia="ja-JP"/>
                                </w:rPr>
                              </w:pPr>
                              <w:r>
                                <w:t>B</w:t>
                              </w:r>
                              <w:r w:rsidRPr="009F5C50">
                                <w:t>asic dementia screen</w:t>
                              </w:r>
                              <w:r w:rsidRPr="009F5C50">
                                <w:rPr>
                                  <w:lang w:val="en-GB" w:eastAsia="ja-JP"/>
                                </w:rPr>
                                <w:t xml:space="preserve"> </w:t>
                              </w:r>
                            </w:p>
                            <w:p w14:paraId="550F6D26" w14:textId="77777777" w:rsidR="004569F9" w:rsidRPr="009F5C50" w:rsidRDefault="004569F9" w:rsidP="00B42469">
                              <w:pPr>
                                <w:pStyle w:val="ListParagraph"/>
                                <w:numPr>
                                  <w:ilvl w:val="0"/>
                                  <w:numId w:val="14"/>
                                </w:numPr>
                                <w:spacing w:line="240" w:lineRule="auto"/>
                                <w:jc w:val="left"/>
                                <w:rPr>
                                  <w:lang w:val="en-GB" w:eastAsia="ja-JP"/>
                                </w:rPr>
                              </w:pPr>
                              <w:r w:rsidRPr="009F5C50">
                                <w:rPr>
                                  <w:lang w:val="en-GB" w:eastAsia="ja-JP"/>
                                </w:rPr>
                                <w:t>Blood tests</w:t>
                              </w:r>
                            </w:p>
                            <w:p w14:paraId="4BDB28B0" w14:textId="77777777" w:rsidR="004569F9" w:rsidRPr="009F5C50" w:rsidRDefault="004569F9" w:rsidP="00B42469">
                              <w:pPr>
                                <w:pStyle w:val="ListParagraph"/>
                                <w:numPr>
                                  <w:ilvl w:val="1"/>
                                  <w:numId w:val="14"/>
                                </w:numPr>
                                <w:spacing w:line="240" w:lineRule="auto"/>
                                <w:jc w:val="left"/>
                                <w:rPr>
                                  <w:lang w:val="en-GB" w:eastAsia="ja-JP"/>
                                </w:rPr>
                              </w:pPr>
                              <w:r w:rsidRPr="009F5C50">
                                <w:rPr>
                                  <w:lang w:val="en-GB" w:eastAsia="ja-JP"/>
                                </w:rPr>
                                <w:t>Routine biochemistry</w:t>
                              </w:r>
                            </w:p>
                            <w:p w14:paraId="31B4D8A1" w14:textId="77777777" w:rsidR="004569F9" w:rsidRPr="009F5C50" w:rsidRDefault="004569F9" w:rsidP="00B42469">
                              <w:pPr>
                                <w:pStyle w:val="ListParagraph"/>
                                <w:numPr>
                                  <w:ilvl w:val="1"/>
                                  <w:numId w:val="14"/>
                                </w:numPr>
                                <w:spacing w:line="240" w:lineRule="auto"/>
                                <w:jc w:val="left"/>
                                <w:rPr>
                                  <w:lang w:val="en-GB" w:eastAsia="ja-JP"/>
                                </w:rPr>
                              </w:pPr>
                              <w:r w:rsidRPr="009F5C50">
                                <w:rPr>
                                  <w:lang w:val="en-GB" w:eastAsia="ja-JP"/>
                                </w:rPr>
                                <w:t>Haematology</w:t>
                              </w:r>
                            </w:p>
                            <w:p w14:paraId="01E77986" w14:textId="77777777" w:rsidR="004569F9" w:rsidRPr="009F5C50" w:rsidRDefault="004569F9" w:rsidP="00B42469">
                              <w:pPr>
                                <w:pStyle w:val="ListParagraph"/>
                                <w:numPr>
                                  <w:ilvl w:val="1"/>
                                  <w:numId w:val="14"/>
                                </w:numPr>
                                <w:spacing w:line="240" w:lineRule="auto"/>
                                <w:jc w:val="left"/>
                                <w:rPr>
                                  <w:lang w:val="en-GB" w:eastAsia="ja-JP"/>
                                </w:rPr>
                              </w:pPr>
                              <w:r w:rsidRPr="009F5C50">
                                <w:rPr>
                                  <w:lang w:val="en-GB" w:eastAsia="ja-JP"/>
                                </w:rPr>
                                <w:t>Thyroid function</w:t>
                              </w:r>
                            </w:p>
                            <w:p w14:paraId="282DC5C6" w14:textId="77777777" w:rsidR="004569F9" w:rsidRPr="00F14E6E" w:rsidRDefault="004569F9" w:rsidP="00B42469">
                              <w:pPr>
                                <w:pStyle w:val="ListParagraph"/>
                                <w:numPr>
                                  <w:ilvl w:val="1"/>
                                  <w:numId w:val="14"/>
                                </w:numPr>
                                <w:spacing w:line="240" w:lineRule="auto"/>
                                <w:jc w:val="left"/>
                                <w:rPr>
                                  <w:lang w:val="en-GB" w:eastAsia="ja-JP"/>
                                </w:rPr>
                              </w:pPr>
                              <w:r w:rsidRPr="009F5C50">
                                <w:rPr>
                                  <w:lang w:val="en-GB" w:eastAsia="ja-JP"/>
                                </w:rPr>
                                <w:t>Vitamins B12 and folate.</w:t>
                              </w:r>
                            </w:p>
                            <w:p w14:paraId="7F090A54" w14:textId="77777777" w:rsidR="004569F9" w:rsidRDefault="004569F9" w:rsidP="009F5C50">
                              <w:pPr>
                                <w:pStyle w:val="NormalWeb"/>
                                <w:spacing w:before="0" w:beforeAutospacing="0" w:after="240" w:afterAutospacing="0" w:line="312"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4000162" y="1028700"/>
                            <a:ext cx="1600538" cy="685800"/>
                          </a:xfrm>
                          <a:prstGeom prst="roundRect">
                            <a:avLst/>
                          </a:prstGeom>
                        </wps:spPr>
                        <wps:style>
                          <a:lnRef idx="2">
                            <a:schemeClr val="dk1"/>
                          </a:lnRef>
                          <a:fillRef idx="1">
                            <a:schemeClr val="lt1"/>
                          </a:fillRef>
                          <a:effectRef idx="0">
                            <a:schemeClr val="dk1"/>
                          </a:effectRef>
                          <a:fontRef idx="minor">
                            <a:schemeClr val="dk1"/>
                          </a:fontRef>
                        </wps:style>
                        <wps:txbx>
                          <w:txbxContent>
                            <w:p w14:paraId="218BAD13" w14:textId="77777777" w:rsidR="004569F9" w:rsidRDefault="004569F9" w:rsidP="005766FD">
                              <w:pPr>
                                <w:spacing w:after="120" w:line="240" w:lineRule="auto"/>
                                <w:jc w:val="center"/>
                              </w:pPr>
                              <w:r>
                                <w:t>No dementia or symptoms due to other causes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28600" y="2459325"/>
                            <a:ext cx="2971800" cy="1080322"/>
                          </a:xfrm>
                          <a:prstGeom prst="roundRect">
                            <a:avLst/>
                          </a:prstGeom>
                        </wps:spPr>
                        <wps:style>
                          <a:lnRef idx="2">
                            <a:schemeClr val="dk1"/>
                          </a:lnRef>
                          <a:fillRef idx="1">
                            <a:schemeClr val="lt1"/>
                          </a:fillRef>
                          <a:effectRef idx="0">
                            <a:schemeClr val="dk1"/>
                          </a:effectRef>
                          <a:fontRef idx="minor">
                            <a:schemeClr val="dk1"/>
                          </a:fontRef>
                        </wps:style>
                        <wps:txbx>
                          <w:txbxContent>
                            <w:p w14:paraId="4888196B" w14:textId="77777777" w:rsidR="004569F9" w:rsidRDefault="004569F9" w:rsidP="005766FD">
                              <w:pPr>
                                <w:spacing w:after="0" w:line="240" w:lineRule="auto"/>
                                <w:jc w:val="center"/>
                                <w:rPr>
                                  <w:b/>
                                </w:rPr>
                              </w:pPr>
                              <w:r w:rsidRPr="00BA2B46">
                                <w:rPr>
                                  <w:b/>
                                </w:rPr>
                                <w:t>Specialist assessment</w:t>
                              </w:r>
                            </w:p>
                            <w:p w14:paraId="2843E967" w14:textId="77777777" w:rsidR="004569F9" w:rsidRDefault="004569F9" w:rsidP="00B42469">
                              <w:pPr>
                                <w:pStyle w:val="ListParagraph"/>
                                <w:numPr>
                                  <w:ilvl w:val="0"/>
                                  <w:numId w:val="15"/>
                                </w:numPr>
                                <w:spacing w:after="0" w:line="240" w:lineRule="auto"/>
                                <w:jc w:val="left"/>
                              </w:pPr>
                              <w:r>
                                <w:t>Clinical evaluation</w:t>
                              </w:r>
                            </w:p>
                            <w:p w14:paraId="505DCB7D" w14:textId="13860D96" w:rsidR="004569F9" w:rsidRDefault="004569F9" w:rsidP="00B42469">
                              <w:pPr>
                                <w:pStyle w:val="ListParagraph"/>
                                <w:numPr>
                                  <w:ilvl w:val="0"/>
                                  <w:numId w:val="15"/>
                                </w:numPr>
                                <w:spacing w:after="0" w:line="240" w:lineRule="auto"/>
                                <w:jc w:val="left"/>
                              </w:pPr>
                              <w:r>
                                <w:t>Structural imaging: MRI</w:t>
                              </w:r>
                            </w:p>
                            <w:p w14:paraId="395467A8" w14:textId="77777777" w:rsidR="004569F9" w:rsidRDefault="004569F9" w:rsidP="00B42469">
                              <w:pPr>
                                <w:pStyle w:val="ListParagraph"/>
                                <w:numPr>
                                  <w:ilvl w:val="0"/>
                                  <w:numId w:val="15"/>
                                </w:numPr>
                                <w:spacing w:after="0" w:line="240" w:lineRule="auto"/>
                                <w:jc w:val="left"/>
                              </w:pPr>
                              <w:r>
                                <w:t>Blood tests (if not already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943100" y="3657600"/>
                            <a:ext cx="2171700" cy="80037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83B14CE" w14:textId="77777777" w:rsidR="004569F9" w:rsidRPr="005766FD" w:rsidRDefault="004569F9" w:rsidP="007E27C7">
                              <w:pPr>
                                <w:spacing w:after="0"/>
                                <w:jc w:val="center"/>
                                <w:rPr>
                                  <w:b/>
                                </w:rPr>
                              </w:pPr>
                              <w:r w:rsidRPr="005766FD">
                                <w:rPr>
                                  <w:b/>
                                </w:rPr>
                                <w:t>Person with suspected Alzheimer’s disease but tests inconclusive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571500" y="4571882"/>
                            <a:ext cx="1371600" cy="405496"/>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8CCBB85" w14:textId="77777777" w:rsidR="004569F9" w:rsidRDefault="004569F9" w:rsidP="00F14E6E">
                              <w:pPr>
                                <w:spacing w:after="0" w:line="240" w:lineRule="auto"/>
                                <w:jc w:val="center"/>
                              </w:pPr>
                              <w:r>
                                <w:t>FDG PET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3860321" y="4571941"/>
                            <a:ext cx="1371600" cy="40550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4C1AA81" w14:textId="77777777" w:rsidR="004569F9" w:rsidRDefault="004569F9" w:rsidP="00F14E6E">
                              <w:pPr>
                                <w:pStyle w:val="NormalWeb"/>
                                <w:spacing w:before="0" w:beforeAutospacing="0" w:after="0" w:afterAutospacing="0"/>
                                <w:jc w:val="center"/>
                              </w:pPr>
                              <w:r>
                                <w:rPr>
                                  <w:rFonts w:ascii="Tahoma" w:eastAsia="SimSun" w:hAnsi="Tahoma" w:cs="Tahoma"/>
                                  <w:sz w:val="20"/>
                                  <w:szCs w:val="20"/>
                                </w:rPr>
                                <w:t>SPECT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4114800" y="2628867"/>
                            <a:ext cx="1371600" cy="634076"/>
                          </a:xfrm>
                          <a:prstGeom prst="roundRect">
                            <a:avLst/>
                          </a:prstGeom>
                        </wps:spPr>
                        <wps:style>
                          <a:lnRef idx="2">
                            <a:schemeClr val="dk1"/>
                          </a:lnRef>
                          <a:fillRef idx="1">
                            <a:schemeClr val="lt1"/>
                          </a:fillRef>
                          <a:effectRef idx="0">
                            <a:schemeClr val="dk1"/>
                          </a:effectRef>
                          <a:fontRef idx="minor">
                            <a:schemeClr val="dk1"/>
                          </a:fontRef>
                        </wps:style>
                        <wps:txbx>
                          <w:txbxContent>
                            <w:p w14:paraId="53663E50" w14:textId="77777777" w:rsidR="004569F9" w:rsidRDefault="004569F9" w:rsidP="005766FD">
                              <w:pPr>
                                <w:spacing w:line="240" w:lineRule="auto"/>
                                <w:jc w:val="center"/>
                              </w:pPr>
                              <w:r>
                                <w:t>Confirmed 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0" y="5372102"/>
                            <a:ext cx="800100" cy="4572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B25A5AD" w14:textId="77777777" w:rsidR="004569F9" w:rsidRPr="00FF77CE" w:rsidRDefault="004569F9" w:rsidP="00F14E6E">
                              <w:pPr>
                                <w:spacing w:after="0" w:line="240" w:lineRule="auto"/>
                                <w:jc w:val="left"/>
                                <w:rPr>
                                  <w:sz w:val="18"/>
                                </w:rPr>
                              </w:pPr>
                              <w:r w:rsidRPr="00FF77CE">
                                <w:rPr>
                                  <w:sz w:val="18"/>
                                </w:rPr>
                                <w:t xml:space="preserve">+ </w:t>
                              </w:r>
                              <w:proofErr w:type="gramStart"/>
                              <w:r w:rsidRPr="00FF77CE">
                                <w:rPr>
                                  <w:sz w:val="18"/>
                                </w:rPr>
                                <w:t>for</w:t>
                              </w:r>
                              <w:proofErr w:type="gramEnd"/>
                              <w:r w:rsidRPr="00FF77CE">
                                <w:rPr>
                                  <w:sz w:val="18"/>
                                </w:rPr>
                                <w:t xml:space="preserve"> 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914400" y="5372101"/>
                            <a:ext cx="914400" cy="4572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21D144C" w14:textId="77777777" w:rsidR="004569F9" w:rsidRPr="00FF77CE" w:rsidRDefault="004569F9" w:rsidP="00F14E6E">
                              <w:pPr>
                                <w:spacing w:after="0" w:line="240" w:lineRule="auto"/>
                                <w:jc w:val="left"/>
                                <w:rPr>
                                  <w:rFonts w:eastAsia="Times New Roman"/>
                                  <w:sz w:val="18"/>
                                </w:rPr>
                              </w:pPr>
                              <w:r w:rsidRPr="00FF77CE">
                                <w:rPr>
                                  <w:rFonts w:eastAsia="Times New Roman"/>
                                  <w:sz w:val="18"/>
                                </w:rPr>
                                <w:t xml:space="preserve">+ </w:t>
                              </w:r>
                              <w:proofErr w:type="gramStart"/>
                              <w:r w:rsidRPr="00FF77CE">
                                <w:rPr>
                                  <w:rFonts w:eastAsia="Times New Roman"/>
                                  <w:sz w:val="18"/>
                                </w:rPr>
                                <w:t>for</w:t>
                              </w:r>
                              <w:proofErr w:type="gramEnd"/>
                              <w:r w:rsidRPr="00FF77CE">
                                <w:rPr>
                                  <w:rFonts w:eastAsia="Times New Roman"/>
                                  <w:sz w:val="18"/>
                                </w:rPr>
                                <w:t xml:space="preserve"> other disease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943100" y="5372102"/>
                            <a:ext cx="914400" cy="457199"/>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47623828" w14:textId="77777777" w:rsidR="004569F9" w:rsidRDefault="004569F9" w:rsidP="00F14E6E">
                              <w:pPr>
                                <w:spacing w:after="0" w:line="240" w:lineRule="auto"/>
                                <w:jc w:val="left"/>
                                <w:rPr>
                                  <w:rFonts w:eastAsia="Times New Roman"/>
                                </w:rPr>
                              </w:pPr>
                              <w:r w:rsidRPr="00FF77CE">
                                <w:rPr>
                                  <w:rFonts w:eastAsia="Times New Roman"/>
                                  <w:sz w:val="18"/>
                                </w:rPr>
                                <w:t>-</w:t>
                              </w:r>
                              <w:proofErr w:type="spellStart"/>
                              <w:r w:rsidRPr="00FF77CE">
                                <w:rPr>
                                  <w:rFonts w:eastAsia="Times New Roman"/>
                                  <w:sz w:val="18"/>
                                </w:rPr>
                                <w:t>ve</w:t>
                              </w:r>
                              <w:proofErr w:type="spellEnd"/>
                              <w:r w:rsidRPr="00FF77CE">
                                <w:rPr>
                                  <w:rFonts w:eastAsia="Times New Roman"/>
                                  <w:sz w:val="18"/>
                                </w:rPr>
                                <w:t xml:space="preserve"> or inconclusiv</w:t>
                              </w:r>
                              <w:r>
                                <w:rPr>
                                  <w:rFonts w:eastAsia="Times New Roman"/>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3086100" y="5372100"/>
                            <a:ext cx="800100" cy="4572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6A1655B" w14:textId="77777777" w:rsidR="004569F9" w:rsidRDefault="004569F9" w:rsidP="00F14E6E">
                              <w:pPr>
                                <w:pStyle w:val="NormalWeb"/>
                                <w:spacing w:before="0" w:beforeAutospacing="0" w:after="0" w:afterAutospacing="0"/>
                              </w:pPr>
                              <w:r>
                                <w:rPr>
                                  <w:rFonts w:ascii="Tahoma" w:eastAsia="SimSun" w:hAnsi="Tahoma" w:cs="Tahoma"/>
                                  <w:sz w:val="18"/>
                                  <w:szCs w:val="18"/>
                                </w:rPr>
                                <w:t xml:space="preserve">+ </w:t>
                              </w:r>
                              <w:proofErr w:type="gramStart"/>
                              <w:r>
                                <w:rPr>
                                  <w:rFonts w:ascii="Tahoma" w:eastAsia="SimSun" w:hAnsi="Tahoma" w:cs="Tahoma"/>
                                  <w:sz w:val="18"/>
                                  <w:szCs w:val="18"/>
                                </w:rPr>
                                <w:t>for</w:t>
                              </w:r>
                              <w:proofErr w:type="gramEnd"/>
                              <w:r>
                                <w:rPr>
                                  <w:rFonts w:ascii="Tahoma" w:eastAsia="SimSun" w:hAnsi="Tahoma" w:cs="Tahoma"/>
                                  <w:sz w:val="18"/>
                                  <w:szCs w:val="18"/>
                                </w:rPr>
                                <w:t xml:space="preserve"> 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4000500" y="5372100"/>
                            <a:ext cx="914400" cy="4572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5D68C64" w14:textId="77777777" w:rsidR="004569F9" w:rsidRDefault="004569F9" w:rsidP="00F14E6E">
                              <w:pPr>
                                <w:pStyle w:val="NormalWeb"/>
                                <w:spacing w:before="0" w:beforeAutospacing="0" w:after="240" w:afterAutospacing="0"/>
                              </w:pPr>
                              <w:r>
                                <w:rPr>
                                  <w:rFonts w:ascii="Tahoma" w:hAnsi="Tahoma" w:cs="Tahoma"/>
                                  <w:sz w:val="18"/>
                                  <w:szCs w:val="18"/>
                                </w:rPr>
                                <w:t xml:space="preserve">+ </w:t>
                              </w:r>
                              <w:proofErr w:type="gramStart"/>
                              <w:r>
                                <w:rPr>
                                  <w:rFonts w:ascii="Tahoma" w:hAnsi="Tahoma" w:cs="Tahoma"/>
                                  <w:sz w:val="18"/>
                                  <w:szCs w:val="18"/>
                                </w:rPr>
                                <w:t>for</w:t>
                              </w:r>
                              <w:proofErr w:type="gramEnd"/>
                              <w:r>
                                <w:rPr>
                                  <w:rFonts w:ascii="Tahoma" w:hAnsi="Tahoma" w:cs="Tahoma"/>
                                  <w:sz w:val="18"/>
                                  <w:szCs w:val="18"/>
                                </w:rPr>
                                <w:t xml:space="preserve"> other disease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5029200" y="5372100"/>
                            <a:ext cx="914400" cy="4565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F0FAEFE" w14:textId="77777777" w:rsidR="004569F9" w:rsidRDefault="004569F9" w:rsidP="00F14E6E">
                              <w:pPr>
                                <w:pStyle w:val="NormalWeb"/>
                                <w:spacing w:before="0" w:beforeAutospacing="0" w:after="240" w:afterAutospacing="0"/>
                              </w:pPr>
                              <w:r>
                                <w:rPr>
                                  <w:rFonts w:ascii="Tahoma" w:hAnsi="Tahoma" w:cs="Tahoma"/>
                                  <w:sz w:val="18"/>
                                  <w:szCs w:val="18"/>
                                </w:rPr>
                                <w:t>-</w:t>
                              </w:r>
                              <w:proofErr w:type="spellStart"/>
                              <w:r>
                                <w:rPr>
                                  <w:rFonts w:ascii="Tahoma" w:hAnsi="Tahoma" w:cs="Tahoma"/>
                                  <w:sz w:val="18"/>
                                  <w:szCs w:val="18"/>
                                </w:rPr>
                                <w:t>ve</w:t>
                              </w:r>
                              <w:proofErr w:type="spellEnd"/>
                              <w:r>
                                <w:rPr>
                                  <w:rFonts w:ascii="Tahoma" w:hAnsi="Tahoma" w:cs="Tahoma"/>
                                  <w:sz w:val="18"/>
                                  <w:szCs w:val="18"/>
                                </w:rPr>
                                <w:t xml:space="preserve"> or inconclusiv</w:t>
                              </w:r>
                              <w:r>
                                <w:rPr>
                                  <w:rFonts w:ascii="Tahoma" w:hAnsi="Tahoma" w:cs="Tahoma"/>
                                  <w:sz w:val="20"/>
                                  <w:szCs w:val="20"/>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5099" y="6857915"/>
                            <a:ext cx="1828800" cy="570224"/>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188276F" w14:textId="77777777" w:rsidR="004569F9" w:rsidRPr="00F14E6E" w:rsidRDefault="004569F9" w:rsidP="00F14E6E">
                              <w:pPr>
                                <w:spacing w:after="0" w:line="240" w:lineRule="auto"/>
                                <w:jc w:val="center"/>
                                <w:rPr>
                                  <w:sz w:val="18"/>
                                </w:rPr>
                              </w:pPr>
                              <w:r w:rsidRPr="00F14E6E">
                                <w:rPr>
                                  <w:sz w:val="18"/>
                                </w:rPr>
                                <w:t xml:space="preserve">Patient/carer support and </w:t>
                              </w:r>
                              <w:r>
                                <w:rPr>
                                  <w:sz w:val="18"/>
                                </w:rPr>
                                <w:t>treatment/management of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942771" y="6858000"/>
                            <a:ext cx="914487" cy="5715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869B657" w14:textId="0C40588A" w:rsidR="004569F9" w:rsidRPr="00F14E6E" w:rsidRDefault="004569F9" w:rsidP="00F14E6E">
                              <w:pPr>
                                <w:spacing w:after="0" w:line="240" w:lineRule="auto"/>
                                <w:jc w:val="center"/>
                                <w:rPr>
                                  <w:sz w:val="18"/>
                                </w:rPr>
                              </w:pPr>
                              <w:r w:rsidRPr="00F14E6E">
                                <w:rPr>
                                  <w:sz w:val="18"/>
                                </w:rPr>
                                <w:t>Repeat tes</w:t>
                              </w:r>
                              <w:r>
                                <w:rPr>
                                  <w:sz w:val="18"/>
                                </w:rPr>
                                <w:t>ting, 2-3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3143251" y="6857913"/>
                            <a:ext cx="1771649" cy="57049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DC8AAD0" w14:textId="77777777" w:rsidR="004569F9" w:rsidRPr="00F14E6E" w:rsidRDefault="004569F9" w:rsidP="00F14E6E">
                              <w:pPr>
                                <w:pStyle w:val="NormalWeb"/>
                                <w:spacing w:before="0" w:beforeAutospacing="0" w:after="0" w:afterAutospacing="0"/>
                                <w:jc w:val="center"/>
                                <w:rPr>
                                  <w:sz w:val="22"/>
                                </w:rPr>
                              </w:pPr>
                              <w:r w:rsidRPr="00F14E6E">
                                <w:rPr>
                                  <w:rFonts w:ascii="Tahoma" w:eastAsia="SimSun" w:hAnsi="Tahoma" w:cs="Tahoma"/>
                                  <w:sz w:val="18"/>
                                  <w:szCs w:val="20"/>
                                </w:rPr>
                                <w:t xml:space="preserve">Patient/carer support and </w:t>
                              </w:r>
                              <w:r>
                                <w:rPr>
                                  <w:rFonts w:ascii="Tahoma" w:eastAsia="SimSun" w:hAnsi="Tahoma" w:cs="Tahoma"/>
                                  <w:sz w:val="18"/>
                                  <w:szCs w:val="20"/>
                                </w:rPr>
                                <w:t>treatment/management of symptoms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5029200" y="6857368"/>
                            <a:ext cx="914400" cy="5708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1912475" w14:textId="32B740E1" w:rsidR="004569F9" w:rsidRPr="00F14E6E" w:rsidRDefault="004569F9" w:rsidP="00F14E6E">
                              <w:pPr>
                                <w:pStyle w:val="NormalWeb"/>
                                <w:spacing w:before="0" w:beforeAutospacing="0" w:after="0" w:afterAutospacing="0"/>
                                <w:jc w:val="center"/>
                                <w:rPr>
                                  <w:sz w:val="22"/>
                                </w:rPr>
                              </w:pPr>
                              <w:r>
                                <w:rPr>
                                  <w:rFonts w:ascii="Tahoma" w:eastAsia="SimSun" w:hAnsi="Tahoma" w:cs="Tahoma"/>
                                  <w:sz w:val="18"/>
                                  <w:szCs w:val="20"/>
                                </w:rPr>
                                <w:t>Repeat testing, 2-3 years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0" y="7671513"/>
                            <a:ext cx="5939942" cy="329487"/>
                          </a:xfrm>
                          <a:prstGeom prst="roundRect">
                            <a:avLst/>
                          </a:prstGeom>
                        </wps:spPr>
                        <wps:style>
                          <a:lnRef idx="2">
                            <a:schemeClr val="dk1"/>
                          </a:lnRef>
                          <a:fillRef idx="1">
                            <a:schemeClr val="lt1"/>
                          </a:fillRef>
                          <a:effectRef idx="0">
                            <a:schemeClr val="dk1"/>
                          </a:effectRef>
                          <a:fontRef idx="minor">
                            <a:schemeClr val="dk1"/>
                          </a:fontRef>
                        </wps:style>
                        <wps:txbx>
                          <w:txbxContent>
                            <w:p w14:paraId="29F61494" w14:textId="77777777" w:rsidR="004569F9" w:rsidRDefault="004569F9" w:rsidP="00F14E6E">
                              <w:pPr>
                                <w:spacing w:after="0" w:line="240" w:lineRule="auto"/>
                                <w:jc w:val="center"/>
                              </w:pPr>
                              <w:r>
                                <w:t xml:space="preserve">Outcomes: morbidity, mortality, </w:t>
                              </w:r>
                              <w:proofErr w:type="spellStart"/>
                              <w:r>
                                <w:t>QoL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a:stCxn id="2" idx="2"/>
                          <a:endCxn id="5" idx="0"/>
                        </wps:cNvCnPr>
                        <wps:spPr>
                          <a:xfrm flipH="1">
                            <a:off x="1714462" y="457208"/>
                            <a:ext cx="1257338" cy="11429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5" name="Straight Arrow Connector 25"/>
                        <wps:cNvCnPr>
                          <a:stCxn id="5" idx="3"/>
                          <a:endCxn id="6" idx="1"/>
                        </wps:cNvCnPr>
                        <wps:spPr>
                          <a:xfrm flipV="1">
                            <a:off x="3200362" y="1371600"/>
                            <a:ext cx="799800" cy="1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6" name="Straight Arrow Connector 26"/>
                        <wps:cNvCnPr>
                          <a:stCxn id="5" idx="2"/>
                          <a:endCxn id="7" idx="0"/>
                        </wps:cNvCnPr>
                        <wps:spPr>
                          <a:xfrm>
                            <a:off x="1714462" y="2171722"/>
                            <a:ext cx="38" cy="2876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7" name="Straight Arrow Connector 27"/>
                        <wps:cNvCnPr>
                          <a:stCxn id="7" idx="2"/>
                          <a:endCxn id="8" idx="0"/>
                        </wps:cNvCnPr>
                        <wps:spPr>
                          <a:xfrm>
                            <a:off x="1714500" y="3539647"/>
                            <a:ext cx="1314450" cy="11795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8" name="Straight Arrow Connector 28"/>
                        <wps:cNvCnPr>
                          <a:stCxn id="7" idx="3"/>
                          <a:endCxn id="11" idx="1"/>
                        </wps:cNvCnPr>
                        <wps:spPr>
                          <a:xfrm flipV="1">
                            <a:off x="3200400" y="2945905"/>
                            <a:ext cx="914400" cy="5358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1" name="Straight Arrow Connector 31"/>
                        <wps:cNvCnPr>
                          <a:stCxn id="9" idx="2"/>
                          <a:endCxn id="12" idx="0"/>
                        </wps:cNvCnPr>
                        <wps:spPr>
                          <a:xfrm flipH="1">
                            <a:off x="400050" y="4977378"/>
                            <a:ext cx="857250" cy="394724"/>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2" name="Straight Arrow Connector 32"/>
                        <wps:cNvCnPr>
                          <a:stCxn id="9" idx="2"/>
                          <a:endCxn id="13" idx="0"/>
                        </wps:cNvCnPr>
                        <wps:spPr>
                          <a:xfrm>
                            <a:off x="1257300" y="4977378"/>
                            <a:ext cx="114300" cy="394723"/>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3" name="Straight Arrow Connector 33"/>
                        <wps:cNvCnPr>
                          <a:stCxn id="9" idx="2"/>
                          <a:endCxn id="15" idx="0"/>
                        </wps:cNvCnPr>
                        <wps:spPr>
                          <a:xfrm>
                            <a:off x="1257300" y="4977378"/>
                            <a:ext cx="1143000" cy="394724"/>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4" name="Straight Arrow Connector 34"/>
                        <wps:cNvCnPr>
                          <a:stCxn id="10" idx="2"/>
                          <a:endCxn id="16" idx="0"/>
                        </wps:cNvCnPr>
                        <wps:spPr>
                          <a:xfrm flipH="1">
                            <a:off x="3486150" y="4977442"/>
                            <a:ext cx="1059971" cy="39465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5" name="Straight Arrow Connector 35"/>
                        <wps:cNvCnPr>
                          <a:stCxn id="10" idx="2"/>
                          <a:endCxn id="17" idx="0"/>
                        </wps:cNvCnPr>
                        <wps:spPr>
                          <a:xfrm flipH="1">
                            <a:off x="4457700" y="4977442"/>
                            <a:ext cx="88421" cy="39465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6" name="Straight Arrow Connector 36"/>
                        <wps:cNvCnPr>
                          <a:stCxn id="10" idx="2"/>
                          <a:endCxn id="18" idx="0"/>
                        </wps:cNvCnPr>
                        <wps:spPr>
                          <a:xfrm>
                            <a:off x="4546121" y="4977442"/>
                            <a:ext cx="940279" cy="39465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7" name="Straight Arrow Connector 37"/>
                        <wps:cNvCnPr>
                          <a:stCxn id="12" idx="2"/>
                          <a:endCxn id="47" idx="0"/>
                        </wps:cNvCnPr>
                        <wps:spPr>
                          <a:xfrm>
                            <a:off x="400050" y="5829302"/>
                            <a:ext cx="3" cy="22859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8" name="Straight Arrow Connector 38"/>
                        <wps:cNvCnPr>
                          <a:stCxn id="13" idx="2"/>
                          <a:endCxn id="19" idx="0"/>
                        </wps:cNvCnPr>
                        <wps:spPr>
                          <a:xfrm flipH="1">
                            <a:off x="929499" y="5829301"/>
                            <a:ext cx="442101" cy="1028614"/>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39" name="Straight Arrow Connector 39"/>
                        <wps:cNvCnPr>
                          <a:stCxn id="15" idx="2"/>
                          <a:endCxn id="20" idx="0"/>
                        </wps:cNvCnPr>
                        <wps:spPr>
                          <a:xfrm flipH="1">
                            <a:off x="2400015" y="5829301"/>
                            <a:ext cx="285" cy="1028699"/>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0" name="Straight Arrow Connector 40"/>
                        <wps:cNvCnPr>
                          <a:stCxn id="17" idx="2"/>
                          <a:endCxn id="21" idx="0"/>
                        </wps:cNvCnPr>
                        <wps:spPr>
                          <a:xfrm flipH="1">
                            <a:off x="4029076" y="5829300"/>
                            <a:ext cx="428624" cy="102861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1" name="Straight Arrow Connector 41"/>
                        <wps:cNvCnPr>
                          <a:stCxn id="16" idx="2"/>
                          <a:endCxn id="48" idx="0"/>
                        </wps:cNvCnPr>
                        <wps:spPr>
                          <a:xfrm>
                            <a:off x="3486150" y="5829300"/>
                            <a:ext cx="0" cy="22987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2" name="Straight Arrow Connector 42"/>
                        <wps:cNvCnPr>
                          <a:stCxn id="18" idx="2"/>
                          <a:endCxn id="22" idx="0"/>
                        </wps:cNvCnPr>
                        <wps:spPr>
                          <a:xfrm>
                            <a:off x="5486400" y="5828665"/>
                            <a:ext cx="0" cy="102870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3" name="Straight Arrow Connector 43"/>
                        <wps:cNvCnPr>
                          <a:stCxn id="19" idx="2"/>
                        </wps:cNvCnPr>
                        <wps:spPr>
                          <a:xfrm>
                            <a:off x="929499" y="7428139"/>
                            <a:ext cx="0" cy="228897"/>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4" name="Straight Arrow Connector 44"/>
                        <wps:cNvCnPr>
                          <a:stCxn id="20" idx="2"/>
                        </wps:cNvCnPr>
                        <wps:spPr>
                          <a:xfrm flipH="1">
                            <a:off x="2399812" y="7429500"/>
                            <a:ext cx="203" cy="228349"/>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5" name="Straight Arrow Connector 45"/>
                        <wps:cNvCnPr>
                          <a:stCxn id="21" idx="2"/>
                        </wps:cNvCnPr>
                        <wps:spPr>
                          <a:xfrm>
                            <a:off x="4029076" y="7428407"/>
                            <a:ext cx="9349" cy="22882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6" name="Straight Arrow Connector 46"/>
                        <wps:cNvCnPr>
                          <a:stCxn id="22" idx="2"/>
                        </wps:cNvCnPr>
                        <wps:spPr>
                          <a:xfrm flipH="1">
                            <a:off x="5485951" y="7428233"/>
                            <a:ext cx="449" cy="22936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7" name="Rounded Rectangle 47"/>
                        <wps:cNvSpPr/>
                        <wps:spPr>
                          <a:xfrm>
                            <a:off x="3" y="6057900"/>
                            <a:ext cx="800100" cy="45656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0609ED7" w14:textId="77777777" w:rsidR="004569F9" w:rsidRPr="007F3044" w:rsidRDefault="004569F9" w:rsidP="007F3044">
                              <w:pPr>
                                <w:pStyle w:val="NormalWeb"/>
                                <w:spacing w:before="0" w:beforeAutospacing="0" w:after="0" w:afterAutospacing="0" w:line="312" w:lineRule="auto"/>
                                <w:rPr>
                                  <w:rFonts w:ascii="Tahoma" w:hAnsi="Tahoma" w:cs="Tahoma"/>
                                  <w:sz w:val="18"/>
                                  <w:szCs w:val="18"/>
                                </w:rPr>
                              </w:pPr>
                              <w:r w:rsidRPr="007F3044">
                                <w:rPr>
                                  <w:rFonts w:ascii="Tahoma" w:hAnsi="Tahoma" w:cs="Tahoma"/>
                                  <w:sz w:val="18"/>
                                  <w:szCs w:val="18"/>
                                </w:rPr>
                                <w:t>AD drugs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3086100" y="6059170"/>
                            <a:ext cx="800100" cy="45593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DF72C51" w14:textId="77777777" w:rsidR="004569F9" w:rsidRDefault="004569F9" w:rsidP="007F3044">
                              <w:pPr>
                                <w:pStyle w:val="NormalWeb"/>
                                <w:spacing w:before="0" w:beforeAutospacing="0" w:after="0" w:afterAutospacing="0" w:line="312" w:lineRule="auto"/>
                              </w:pPr>
                              <w:r>
                                <w:rPr>
                                  <w:rFonts w:ascii="Tahoma" w:hAnsi="Tahoma" w:cs="Tahoma"/>
                                  <w:sz w:val="18"/>
                                  <w:szCs w:val="18"/>
                                </w:rPr>
                                <w:t>AD drugs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Straight Arrow Connector 3"/>
                        <wps:cNvCnPr>
                          <a:stCxn id="47" idx="2"/>
                          <a:endCxn id="19" idx="0"/>
                        </wps:cNvCnPr>
                        <wps:spPr>
                          <a:xfrm>
                            <a:off x="400053" y="6514465"/>
                            <a:ext cx="529446" cy="3434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 name="Straight Arrow Connector 4"/>
                        <wps:cNvCnPr>
                          <a:stCxn id="48" idx="2"/>
                          <a:endCxn id="21" idx="0"/>
                        </wps:cNvCnPr>
                        <wps:spPr>
                          <a:xfrm>
                            <a:off x="3486150" y="6515100"/>
                            <a:ext cx="542926" cy="34281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 name="Elbow Connector 14"/>
                        <wps:cNvCnPr>
                          <a:stCxn id="8" idx="1"/>
                          <a:endCxn id="9" idx="0"/>
                        </wps:cNvCnPr>
                        <wps:spPr>
                          <a:xfrm rot="10800000" flipV="1">
                            <a:off x="1257300" y="4057784"/>
                            <a:ext cx="685800" cy="514097"/>
                          </a:xfrm>
                          <a:prstGeom prst="bentConnector2">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49" name="Elbow Connector 49"/>
                        <wps:cNvCnPr>
                          <a:stCxn id="8" idx="3"/>
                          <a:endCxn id="10" idx="0"/>
                        </wps:cNvCnPr>
                        <wps:spPr>
                          <a:xfrm>
                            <a:off x="4114800" y="4057785"/>
                            <a:ext cx="431321" cy="514156"/>
                          </a:xfrm>
                          <a:prstGeom prst="bentConnector2">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0" name="Text Box 50"/>
                        <wps:cNvSpPr txBox="1"/>
                        <wps:spPr>
                          <a:xfrm>
                            <a:off x="228562" y="3834392"/>
                            <a:ext cx="1143038"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2FA05" w14:textId="77777777" w:rsidR="004569F9" w:rsidRPr="00EF323F" w:rsidRDefault="004569F9">
                              <w:pPr>
                                <w:rPr>
                                  <w:b/>
                                  <w:color w:val="C0504D" w:themeColor="accent2"/>
                                </w:rPr>
                              </w:pPr>
                              <w:r w:rsidRPr="00EF323F">
                                <w:rPr>
                                  <w:b/>
                                  <w:color w:val="C0504D" w:themeColor="accent2"/>
                                </w:rPr>
                                <w:t>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0"/>
                        <wps:cNvSpPr txBox="1"/>
                        <wps:spPr>
                          <a:xfrm>
                            <a:off x="4546121" y="3834390"/>
                            <a:ext cx="1143000" cy="456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037D3" w14:textId="77777777" w:rsidR="004569F9" w:rsidRPr="00EF323F" w:rsidRDefault="004569F9" w:rsidP="00EF323F">
                              <w:pPr>
                                <w:pStyle w:val="NormalWeb"/>
                                <w:spacing w:before="0" w:beforeAutospacing="0" w:after="240" w:afterAutospacing="0" w:line="312" w:lineRule="auto"/>
                                <w:jc w:val="both"/>
                                <w:rPr>
                                  <w:color w:val="4F81BD" w:themeColor="accent1"/>
                                </w:rPr>
                              </w:pPr>
                              <w:r w:rsidRPr="00EF323F">
                                <w:rPr>
                                  <w:rFonts w:ascii="Tahoma" w:eastAsia="SimSun" w:hAnsi="Tahoma" w:cs="Tahoma"/>
                                  <w:b/>
                                  <w:bCs/>
                                  <w:color w:val="4F81BD" w:themeColor="accent1"/>
                                  <w:sz w:val="20"/>
                                  <w:szCs w:val="20"/>
                                </w:rPr>
                                <w:t>Comparator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26" editas="canvas" alt="Title: Figure 1 Clinical management algorithm for Alzheimer’s disease diagnosis with FDG PET" style="width:468pt;height:632.2pt;mso-position-horizontal-relative:char;mso-position-vertical-relative:line" coordsize="59436,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289;visibility:visible;mso-wrap-style:square">
                  <v:fill o:detectmouseclick="t"/>
                  <v:path o:connecttype="none"/>
                </v:shape>
                <v:roundrect id="Rounded Rectangle 2" o:spid="_x0000_s1028" style="position:absolute;left:18288;width:22860;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zKcEA&#10;AADaAAAADwAAAGRycy9kb3ducmV2LnhtbESPT4vCMBTE74LfITxhb5patlKrUbq7rIg3/4DXR/O2&#10;Ldu8lCZq/fZGEDwOM/MbZrnuTSOu1LnasoLpJAJBXFhdc6ngdPwdpyCcR9bYWCYFd3KwXg0HS8y0&#10;vfGergdfigBhl6GCyvs2k9IVFRl0E9sSB+/PdgZ9kF0pdYe3ADeNjKNoJg3WHBYqbOm7ouL/cDEK&#10;PGM0v+ymm6+k7u1nek5+8l2i1MeozxcgPPX+HX61t1pBDM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synBAAAA2gAAAA8AAAAAAAAAAAAAAAAAmAIAAGRycy9kb3du&#10;cmV2LnhtbFBLBQYAAAAABAAEAPUAAACGAwAAAAA=&#10;" fillcolor="white [3201]" strokecolor="black [3200]" strokeweight="2pt">
                  <v:textbox>
                    <w:txbxContent>
                      <w:p w14:paraId="35FE287D" w14:textId="77777777" w:rsidR="004569F9" w:rsidRDefault="004569F9" w:rsidP="007D2580">
                        <w:pPr>
                          <w:spacing w:after="0" w:line="240" w:lineRule="auto"/>
                          <w:jc w:val="center"/>
                        </w:pPr>
                        <w:r>
                          <w:t>Person with suspected dementia</w:t>
                        </w:r>
                      </w:p>
                    </w:txbxContent>
                  </v:textbox>
                </v:roundrect>
                <v:roundrect id="Rounded Rectangle 5" o:spid="_x0000_s1029" style="position:absolute;left:2285;top:5715;width:29718;height:16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rXcIA&#10;AADaAAAADwAAAGRycy9kb3ducmV2LnhtbESPT2vCQBTE7wW/w/IEb3WTYopNXYNWFPHmH+j1kX1N&#10;gtm3Ibsm8du7gtDjMDO/YRbZYGrRUesqywriaQSCOLe64kLB5bx9n4NwHlljbZkU3MlBthy9LTDV&#10;tucjdSdfiABhl6KC0vsmldLlJRl0U9sQB+/PtgZ9kG0hdYt9gJtafkTRpzRYcVgosaGfkvLr6WYU&#10;eMbo63aId+ukGuxs/ptsVodEqcl4WH2D8DT4//CrvdcKE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tdwgAAANoAAAAPAAAAAAAAAAAAAAAAAJgCAABkcnMvZG93&#10;bnJldi54bWxQSwUGAAAAAAQABAD1AAAAhwMAAAAA&#10;" fillcolor="white [3201]" strokecolor="black [3200]" strokeweight="2pt">
                  <v:textbox>
                    <w:txbxContent>
                      <w:p w14:paraId="03F7069E" w14:textId="77777777" w:rsidR="004569F9" w:rsidRDefault="004569F9" w:rsidP="005766FD">
                        <w:pPr>
                          <w:pStyle w:val="NormalWeb"/>
                          <w:spacing w:before="0" w:beforeAutospacing="0" w:after="0" w:afterAutospacing="0"/>
                          <w:jc w:val="center"/>
                          <w:rPr>
                            <w:rFonts w:ascii="Tahoma" w:eastAsia="SimSun" w:hAnsi="Tahoma" w:cs="Tahoma"/>
                            <w:b/>
                            <w:sz w:val="20"/>
                            <w:szCs w:val="20"/>
                          </w:rPr>
                        </w:pPr>
                        <w:r w:rsidRPr="00BA2B46">
                          <w:rPr>
                            <w:rFonts w:ascii="Tahoma" w:eastAsia="SimSun" w:hAnsi="Tahoma" w:cs="Tahoma"/>
                            <w:b/>
                            <w:sz w:val="20"/>
                            <w:szCs w:val="20"/>
                          </w:rPr>
                          <w:t>Investigation of suspected dementia (usually in primary care)</w:t>
                        </w:r>
                      </w:p>
                      <w:p w14:paraId="36C595C5" w14:textId="77777777" w:rsidR="004569F9" w:rsidRPr="009F5C50" w:rsidRDefault="004569F9" w:rsidP="00B42469">
                        <w:pPr>
                          <w:pStyle w:val="ListParagraph"/>
                          <w:numPr>
                            <w:ilvl w:val="0"/>
                            <w:numId w:val="14"/>
                          </w:numPr>
                          <w:spacing w:line="240" w:lineRule="auto"/>
                          <w:jc w:val="left"/>
                          <w:rPr>
                            <w:lang w:val="en-GB" w:eastAsia="ja-JP"/>
                          </w:rPr>
                        </w:pPr>
                        <w:r>
                          <w:t>B</w:t>
                        </w:r>
                        <w:r w:rsidRPr="009F5C50">
                          <w:t>asic dementia screen</w:t>
                        </w:r>
                        <w:r w:rsidRPr="009F5C50">
                          <w:rPr>
                            <w:lang w:val="en-GB" w:eastAsia="ja-JP"/>
                          </w:rPr>
                          <w:t xml:space="preserve"> </w:t>
                        </w:r>
                      </w:p>
                      <w:p w14:paraId="550F6D26" w14:textId="77777777" w:rsidR="004569F9" w:rsidRPr="009F5C50" w:rsidRDefault="004569F9" w:rsidP="00B42469">
                        <w:pPr>
                          <w:pStyle w:val="ListParagraph"/>
                          <w:numPr>
                            <w:ilvl w:val="0"/>
                            <w:numId w:val="14"/>
                          </w:numPr>
                          <w:spacing w:line="240" w:lineRule="auto"/>
                          <w:jc w:val="left"/>
                          <w:rPr>
                            <w:lang w:val="en-GB" w:eastAsia="ja-JP"/>
                          </w:rPr>
                        </w:pPr>
                        <w:r w:rsidRPr="009F5C50">
                          <w:rPr>
                            <w:lang w:val="en-GB" w:eastAsia="ja-JP"/>
                          </w:rPr>
                          <w:t>Blood tests</w:t>
                        </w:r>
                      </w:p>
                      <w:p w14:paraId="4BDB28B0" w14:textId="77777777" w:rsidR="004569F9" w:rsidRPr="009F5C50" w:rsidRDefault="004569F9" w:rsidP="00B42469">
                        <w:pPr>
                          <w:pStyle w:val="ListParagraph"/>
                          <w:numPr>
                            <w:ilvl w:val="1"/>
                            <w:numId w:val="14"/>
                          </w:numPr>
                          <w:spacing w:line="240" w:lineRule="auto"/>
                          <w:jc w:val="left"/>
                          <w:rPr>
                            <w:lang w:val="en-GB" w:eastAsia="ja-JP"/>
                          </w:rPr>
                        </w:pPr>
                        <w:r w:rsidRPr="009F5C50">
                          <w:rPr>
                            <w:lang w:val="en-GB" w:eastAsia="ja-JP"/>
                          </w:rPr>
                          <w:t>Routine biochemistry</w:t>
                        </w:r>
                      </w:p>
                      <w:p w14:paraId="31B4D8A1" w14:textId="77777777" w:rsidR="004569F9" w:rsidRPr="009F5C50" w:rsidRDefault="004569F9" w:rsidP="00B42469">
                        <w:pPr>
                          <w:pStyle w:val="ListParagraph"/>
                          <w:numPr>
                            <w:ilvl w:val="1"/>
                            <w:numId w:val="14"/>
                          </w:numPr>
                          <w:spacing w:line="240" w:lineRule="auto"/>
                          <w:jc w:val="left"/>
                          <w:rPr>
                            <w:lang w:val="en-GB" w:eastAsia="ja-JP"/>
                          </w:rPr>
                        </w:pPr>
                        <w:r w:rsidRPr="009F5C50">
                          <w:rPr>
                            <w:lang w:val="en-GB" w:eastAsia="ja-JP"/>
                          </w:rPr>
                          <w:t>Haematology</w:t>
                        </w:r>
                      </w:p>
                      <w:p w14:paraId="01E77986" w14:textId="77777777" w:rsidR="004569F9" w:rsidRPr="009F5C50" w:rsidRDefault="004569F9" w:rsidP="00B42469">
                        <w:pPr>
                          <w:pStyle w:val="ListParagraph"/>
                          <w:numPr>
                            <w:ilvl w:val="1"/>
                            <w:numId w:val="14"/>
                          </w:numPr>
                          <w:spacing w:line="240" w:lineRule="auto"/>
                          <w:jc w:val="left"/>
                          <w:rPr>
                            <w:lang w:val="en-GB" w:eastAsia="ja-JP"/>
                          </w:rPr>
                        </w:pPr>
                        <w:r w:rsidRPr="009F5C50">
                          <w:rPr>
                            <w:lang w:val="en-GB" w:eastAsia="ja-JP"/>
                          </w:rPr>
                          <w:t>Thyroid function</w:t>
                        </w:r>
                      </w:p>
                      <w:p w14:paraId="282DC5C6" w14:textId="77777777" w:rsidR="004569F9" w:rsidRPr="00F14E6E" w:rsidRDefault="004569F9" w:rsidP="00B42469">
                        <w:pPr>
                          <w:pStyle w:val="ListParagraph"/>
                          <w:numPr>
                            <w:ilvl w:val="1"/>
                            <w:numId w:val="14"/>
                          </w:numPr>
                          <w:spacing w:line="240" w:lineRule="auto"/>
                          <w:jc w:val="left"/>
                          <w:rPr>
                            <w:lang w:val="en-GB" w:eastAsia="ja-JP"/>
                          </w:rPr>
                        </w:pPr>
                        <w:r w:rsidRPr="009F5C50">
                          <w:rPr>
                            <w:lang w:val="en-GB" w:eastAsia="ja-JP"/>
                          </w:rPr>
                          <w:t>Vitamins B12 and folate.</w:t>
                        </w:r>
                      </w:p>
                      <w:p w14:paraId="7F090A54" w14:textId="77777777" w:rsidR="004569F9" w:rsidRDefault="004569F9" w:rsidP="009F5C50">
                        <w:pPr>
                          <w:pStyle w:val="NormalWeb"/>
                          <w:spacing w:before="0" w:beforeAutospacing="0" w:after="240" w:afterAutospacing="0" w:line="312" w:lineRule="auto"/>
                          <w:jc w:val="center"/>
                        </w:pPr>
                      </w:p>
                    </w:txbxContent>
                  </v:textbox>
                </v:roundrect>
                <v:roundrect id="Rounded Rectangle 6" o:spid="_x0000_s1030" style="position:absolute;left:40001;top:10287;width:16006;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00]" strokeweight="2pt">
                  <v:textbox>
                    <w:txbxContent>
                      <w:p w14:paraId="218BAD13" w14:textId="77777777" w:rsidR="004569F9" w:rsidRDefault="004569F9" w:rsidP="005766FD">
                        <w:pPr>
                          <w:spacing w:after="120" w:line="240" w:lineRule="auto"/>
                          <w:jc w:val="center"/>
                        </w:pPr>
                        <w:r>
                          <w:t>No dementia or symptoms due to other causes</w:t>
                        </w:r>
                      </w:p>
                    </w:txbxContent>
                  </v:textbox>
                </v:roundrect>
                <v:roundrect id="Rounded Rectangle 7" o:spid="_x0000_s1031" style="position:absolute;left:2286;top:24593;width:29718;height:108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QscEA&#10;AADaAAAADwAAAGRycy9kb3ducmV2LnhtbESPQYvCMBSE78L+h/AWvNnUxbpaG8VVFPGmK3h9NG/b&#10;ss1LaaLWf28EweMwM98w2aIztbhS6yrLCoZRDII4t7riQsHpdzOYgHAeWWNtmRTcycFi/tHLMNX2&#10;xge6Hn0hAoRdigpK75tUSpeXZNBFtiEO3p9tDfog20LqFm8Bbmr5FcdjabDisFBiQ6uS8v/jxSjw&#10;jPH0sh9uf5Kqs6PJOVkv94lS/c9uOQPhqfPv8Ku90wq+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LHBAAAA2gAAAA8AAAAAAAAAAAAAAAAAmAIAAGRycy9kb3du&#10;cmV2LnhtbFBLBQYAAAAABAAEAPUAAACGAwAAAAA=&#10;" fillcolor="white [3201]" strokecolor="black [3200]" strokeweight="2pt">
                  <v:textbox>
                    <w:txbxContent>
                      <w:p w14:paraId="4888196B" w14:textId="77777777" w:rsidR="004569F9" w:rsidRDefault="004569F9" w:rsidP="005766FD">
                        <w:pPr>
                          <w:spacing w:after="0" w:line="240" w:lineRule="auto"/>
                          <w:jc w:val="center"/>
                          <w:rPr>
                            <w:b/>
                          </w:rPr>
                        </w:pPr>
                        <w:r w:rsidRPr="00BA2B46">
                          <w:rPr>
                            <w:b/>
                          </w:rPr>
                          <w:t>Specialist assessment</w:t>
                        </w:r>
                      </w:p>
                      <w:p w14:paraId="2843E967" w14:textId="77777777" w:rsidR="004569F9" w:rsidRDefault="004569F9" w:rsidP="00B42469">
                        <w:pPr>
                          <w:pStyle w:val="ListParagraph"/>
                          <w:numPr>
                            <w:ilvl w:val="0"/>
                            <w:numId w:val="15"/>
                          </w:numPr>
                          <w:spacing w:after="0" w:line="240" w:lineRule="auto"/>
                          <w:jc w:val="left"/>
                        </w:pPr>
                        <w:r>
                          <w:t>Clinical evaluation</w:t>
                        </w:r>
                      </w:p>
                      <w:p w14:paraId="505DCB7D" w14:textId="13860D96" w:rsidR="004569F9" w:rsidRDefault="004569F9" w:rsidP="00B42469">
                        <w:pPr>
                          <w:pStyle w:val="ListParagraph"/>
                          <w:numPr>
                            <w:ilvl w:val="0"/>
                            <w:numId w:val="15"/>
                          </w:numPr>
                          <w:spacing w:after="0" w:line="240" w:lineRule="auto"/>
                          <w:jc w:val="left"/>
                        </w:pPr>
                        <w:r>
                          <w:t>Structural imaging: MRI</w:t>
                        </w:r>
                      </w:p>
                      <w:p w14:paraId="395467A8" w14:textId="77777777" w:rsidR="004569F9" w:rsidRDefault="004569F9" w:rsidP="00B42469">
                        <w:pPr>
                          <w:pStyle w:val="ListParagraph"/>
                          <w:numPr>
                            <w:ilvl w:val="0"/>
                            <w:numId w:val="15"/>
                          </w:numPr>
                          <w:spacing w:after="0" w:line="240" w:lineRule="auto"/>
                          <w:jc w:val="left"/>
                        </w:pPr>
                        <w:r>
                          <w:t>Blood tests (if not already undertaken)</w:t>
                        </w:r>
                      </w:p>
                    </w:txbxContent>
                  </v:textbox>
                </v:roundrect>
                <v:roundrect id="Rounded Rectangle 8" o:spid="_x0000_s1032" style="position:absolute;left:19431;top:36576;width:21717;height:8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CcEA&#10;AADaAAAADwAAAGRycy9kb3ducmV2LnhtbERPz2vCMBS+C/4P4QleZKaKc64aRYThPE4FPb41z7ba&#10;vJQkq3V/vTkMdvz4fi9WralEQ86XlhWMhgkI4szqknMFx8PHywyED8gaK8uk4EEeVstuZ4Gptnf+&#10;omYfchFD2KeooAihTqX0WUEG/dDWxJG7WGcwROhyqR3eY7ip5DhJptJgybGhwJo2BWW3/Y9RkJ2+&#10;3fvreTfZNu7t9zLw29n0ykr1e+16DiJQG/7Ff+5PrSBujVfiD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vQnBAAAA2gAAAA8AAAAAAAAAAAAAAAAAmAIAAGRycy9kb3du&#10;cmV2LnhtbFBLBQYAAAAABAAEAPUAAACGAwAAAAA=&#10;" fillcolor="#c0504d [3205]" strokecolor="#622423 [1605]" strokeweight="2pt">
                  <v:textbox>
                    <w:txbxContent>
                      <w:p w14:paraId="483B14CE" w14:textId="77777777" w:rsidR="004569F9" w:rsidRPr="005766FD" w:rsidRDefault="004569F9" w:rsidP="007E27C7">
                        <w:pPr>
                          <w:spacing w:after="0"/>
                          <w:jc w:val="center"/>
                          <w:rPr>
                            <w:b/>
                          </w:rPr>
                        </w:pPr>
                        <w:r w:rsidRPr="005766FD">
                          <w:rPr>
                            <w:b/>
                          </w:rPr>
                          <w:t>Person with suspected Alzheimer’s disease but tests inconclusive</w:t>
                        </w:r>
                      </w:p>
                    </w:txbxContent>
                  </v:textbox>
                </v:roundrect>
                <v:roundrect id="Rounded Rectangle 9" o:spid="_x0000_s1033" style="position:absolute;left:5715;top:45718;width:13716;height:40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8GcEA&#10;AADaAAAADwAAAGRycy9kb3ducmV2LnhtbESPQYvCMBSE74L/ITxhb5roYdFqFBEWKutF7cXbs3k2&#10;xealNFnt/nsjLOxxmJlvmNWmd414UBdqzxqmEwWCuPSm5kpDcf4az0GEiGyw8UwafinAZj0crDAz&#10;/slHepxiJRKEQ4YabIxtJmUoLTkME98SJ+/mO4cxya6SpsNngrtGzpT6lA5rTgsWW9pZKu+nH6dh&#10;e81zO//mWdNeDntVmL0y9UXrj1G/XYKI1Mf/8F87NxoW8L6Sb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jPBnBAAAA2gAAAA8AAAAAAAAAAAAAAAAAmAIAAGRycy9kb3du&#10;cmV2LnhtbFBLBQYAAAAABAAEAPUAAACGAwAAAAA=&#10;" fillcolor="white [3201]" strokecolor="#c0504d [3205]" strokeweight="2pt">
                  <v:textbox>
                    <w:txbxContent>
                      <w:p w14:paraId="38CCBB85" w14:textId="77777777" w:rsidR="004569F9" w:rsidRDefault="004569F9" w:rsidP="00F14E6E">
                        <w:pPr>
                          <w:spacing w:after="0" w:line="240" w:lineRule="auto"/>
                          <w:jc w:val="center"/>
                        </w:pPr>
                        <w:r>
                          <w:t>FDG PET</w:t>
                        </w:r>
                      </w:p>
                    </w:txbxContent>
                  </v:textbox>
                </v:roundrect>
                <v:roundrect id="Rounded Rectangle 10" o:spid="_x0000_s1034" style="position:absolute;left:38603;top:45719;width:13716;height:40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e8MA&#10;AADbAAAADwAAAGRycy9kb3ducmV2LnhtbESPQUvDQBCF74L/YRnBm91UREvstrSFgKAeTHvocciO&#10;SWh2NuyObfTXOwfB2wzvzXvfLNdTGMyZUu4jO5jPCjDETfQ9tw4O++puASYLsschMjn4pgzr1fXV&#10;EksfL/xB51paoyGcS3TQiYyltbnpKGCexZFYtc+YAoquqbU+4UXDw2Dvi+LRBuxZGzocaddRc6q/&#10;goO8sFup3iO9HR/kdfP0U9WcKudub6bNMxihSf7Nf9cvXvGVX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wle8MAAADbAAAADwAAAAAAAAAAAAAAAACYAgAAZHJzL2Rv&#10;d25yZXYueG1sUEsFBgAAAAAEAAQA9QAAAIgDAAAAAA==&#10;" fillcolor="white [3201]" strokecolor="#4f81bd [3204]" strokeweight="2pt">
                  <v:textbox>
                    <w:txbxContent>
                      <w:p w14:paraId="14C1AA81" w14:textId="77777777" w:rsidR="004569F9" w:rsidRDefault="004569F9" w:rsidP="00F14E6E">
                        <w:pPr>
                          <w:pStyle w:val="NormalWeb"/>
                          <w:spacing w:before="0" w:beforeAutospacing="0" w:after="0" w:afterAutospacing="0"/>
                          <w:jc w:val="center"/>
                        </w:pPr>
                        <w:r>
                          <w:rPr>
                            <w:rFonts w:ascii="Tahoma" w:eastAsia="SimSun" w:hAnsi="Tahoma" w:cs="Tahoma"/>
                            <w:sz w:val="20"/>
                            <w:szCs w:val="20"/>
                          </w:rPr>
                          <w:t>SPECT</w:t>
                        </w:r>
                      </w:p>
                    </w:txbxContent>
                  </v:textbox>
                </v:roundrect>
                <v:roundrect id="Rounded Rectangle 11" o:spid="_x0000_s1035" style="position:absolute;left:41148;top:26288;width:13716;height:63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textbox>
                    <w:txbxContent>
                      <w:p w14:paraId="53663E50" w14:textId="77777777" w:rsidR="004569F9" w:rsidRDefault="004569F9" w:rsidP="005766FD">
                        <w:pPr>
                          <w:spacing w:line="240" w:lineRule="auto"/>
                          <w:jc w:val="center"/>
                        </w:pPr>
                        <w:r>
                          <w:t>Confirmed diagnosis</w:t>
                        </w:r>
                      </w:p>
                    </w:txbxContent>
                  </v:textbox>
                </v:roundrect>
                <v:roundrect id="Rounded Rectangle 12" o:spid="_x0000_s1036" style="position:absolute;top:53721;width:8001;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edcAA&#10;AADbAAAADwAAAGRycy9kb3ducmV2LnhtbERPS4vCMBC+C/sfwizsTRN7WKQaRQSh4l58XHqbbWab&#10;YjMpTdTuvzeC4G0+vucsVoNrxY360HjWMJ0oEMSVNw3XGs6n7XgGIkRkg61n0vBPAVbLj9ECc+Pv&#10;fKDbMdYihXDIUYONsculDJUlh2HiO+LE/fneYUywr6Xp8Z7CXSszpb6lw4ZTg8WONpaqy/HqNKx/&#10;i8LO9py1XfmzU2ezU6Yptf76HNZzEJGG+Ba/3IVJ8zN4/pIO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MedcAAAADbAAAADwAAAAAAAAAAAAAAAACYAgAAZHJzL2Rvd25y&#10;ZXYueG1sUEsFBgAAAAAEAAQA9QAAAIUDAAAAAA==&#10;" fillcolor="white [3201]" strokecolor="#c0504d [3205]" strokeweight="2pt">
                  <v:textbox>
                    <w:txbxContent>
                      <w:p w14:paraId="5B25A5AD" w14:textId="77777777" w:rsidR="004569F9" w:rsidRPr="00FF77CE" w:rsidRDefault="004569F9" w:rsidP="00F14E6E">
                        <w:pPr>
                          <w:spacing w:after="0" w:line="240" w:lineRule="auto"/>
                          <w:jc w:val="left"/>
                          <w:rPr>
                            <w:sz w:val="18"/>
                          </w:rPr>
                        </w:pPr>
                        <w:r w:rsidRPr="00FF77CE">
                          <w:rPr>
                            <w:sz w:val="18"/>
                          </w:rPr>
                          <w:t xml:space="preserve">+ </w:t>
                        </w:r>
                        <w:proofErr w:type="gramStart"/>
                        <w:r w:rsidRPr="00FF77CE">
                          <w:rPr>
                            <w:sz w:val="18"/>
                          </w:rPr>
                          <w:t>for</w:t>
                        </w:r>
                        <w:proofErr w:type="gramEnd"/>
                        <w:r w:rsidRPr="00FF77CE">
                          <w:rPr>
                            <w:sz w:val="18"/>
                          </w:rPr>
                          <w:t xml:space="preserve"> AD</w:t>
                        </w:r>
                      </w:p>
                    </w:txbxContent>
                  </v:textbox>
                </v:roundrect>
                <v:roundrect id="Rounded Rectangle 13" o:spid="_x0000_s1037" style="position:absolute;left:9144;top:53721;width:9144;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7r8A&#10;AADbAAAADwAAAGRycy9kb3ducmV2LnhtbERPTYvCMBC9C/6HMMLeNNGFRapRRFiorBe1F29jMzbF&#10;ZlKarHb/vREWvM3jfc5y3btG3KkLtWcN04kCQVx6U3OloTh9j+cgQkQ22HgmDX8UYL0aDpaYGf/g&#10;A92PsRIphEOGGmyMbSZlKC05DBPfEifu6juHMcGukqbDRwp3jZwp9SUd1pwaLLa0tVTejr9Ow+aS&#10;53b+w7OmPe93qjA7Zeqz1h+jfrMAEamPb/G/Ozdp/ie8fk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37vuvwAAANsAAAAPAAAAAAAAAAAAAAAAAJgCAABkcnMvZG93bnJl&#10;di54bWxQSwUGAAAAAAQABAD1AAAAhAMAAAAA&#10;" fillcolor="white [3201]" strokecolor="#c0504d [3205]" strokeweight="2pt">
                  <v:textbox>
                    <w:txbxContent>
                      <w:p w14:paraId="321D144C" w14:textId="77777777" w:rsidR="004569F9" w:rsidRPr="00FF77CE" w:rsidRDefault="004569F9" w:rsidP="00F14E6E">
                        <w:pPr>
                          <w:spacing w:after="0" w:line="240" w:lineRule="auto"/>
                          <w:jc w:val="left"/>
                          <w:rPr>
                            <w:rFonts w:eastAsia="Times New Roman"/>
                            <w:sz w:val="18"/>
                          </w:rPr>
                        </w:pPr>
                        <w:r w:rsidRPr="00FF77CE">
                          <w:rPr>
                            <w:rFonts w:eastAsia="Times New Roman"/>
                            <w:sz w:val="18"/>
                          </w:rPr>
                          <w:t xml:space="preserve">+ </w:t>
                        </w:r>
                        <w:proofErr w:type="gramStart"/>
                        <w:r w:rsidRPr="00FF77CE">
                          <w:rPr>
                            <w:rFonts w:eastAsia="Times New Roman"/>
                            <w:sz w:val="18"/>
                          </w:rPr>
                          <w:t>for</w:t>
                        </w:r>
                        <w:proofErr w:type="gramEnd"/>
                        <w:r w:rsidRPr="00FF77CE">
                          <w:rPr>
                            <w:rFonts w:eastAsia="Times New Roman"/>
                            <w:sz w:val="18"/>
                          </w:rPr>
                          <w:t xml:space="preserve"> other disease</w:t>
                        </w:r>
                      </w:p>
                    </w:txbxContent>
                  </v:textbox>
                </v:roundrect>
                <v:roundrect id="Rounded Rectangle 15" o:spid="_x0000_s1038" style="position:absolute;left:19431;top:53721;width:9144;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GAb8A&#10;AADbAAAADwAAAGRycy9kb3ducmV2LnhtbERPTYvCMBC9C/6HMMLeNFHYRapRRFiorBe1F29jMzbF&#10;ZlKarHb/vREWvM3jfc5y3btG3KkLtWcN04kCQVx6U3OloTh9j+cgQkQ22HgmDX8UYL0aDpaYGf/g&#10;A92PsRIphEOGGmyMbSZlKC05DBPfEifu6juHMcGukqbDRwp3jZwp9SUd1pwaLLa0tVTejr9Ow+aS&#10;53b+w7OmPe93qjA7Zeqz1h+jfrMAEamPb/G/Ozdp/ie8fk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eoYBvwAAANsAAAAPAAAAAAAAAAAAAAAAAJgCAABkcnMvZG93bnJl&#10;di54bWxQSwUGAAAAAAQABAD1AAAAhAMAAAAA&#10;" fillcolor="white [3201]" strokecolor="#c0504d [3205]" strokeweight="2pt">
                  <v:textbox>
                    <w:txbxContent>
                      <w:p w14:paraId="47623828" w14:textId="77777777" w:rsidR="004569F9" w:rsidRDefault="004569F9" w:rsidP="00F14E6E">
                        <w:pPr>
                          <w:spacing w:after="0" w:line="240" w:lineRule="auto"/>
                          <w:jc w:val="left"/>
                          <w:rPr>
                            <w:rFonts w:eastAsia="Times New Roman"/>
                          </w:rPr>
                        </w:pPr>
                        <w:r w:rsidRPr="00FF77CE">
                          <w:rPr>
                            <w:rFonts w:eastAsia="Times New Roman"/>
                            <w:sz w:val="18"/>
                          </w:rPr>
                          <w:t>-</w:t>
                        </w:r>
                        <w:proofErr w:type="spellStart"/>
                        <w:r w:rsidRPr="00FF77CE">
                          <w:rPr>
                            <w:rFonts w:eastAsia="Times New Roman"/>
                            <w:sz w:val="18"/>
                          </w:rPr>
                          <w:t>ve</w:t>
                        </w:r>
                        <w:proofErr w:type="spellEnd"/>
                        <w:r w:rsidRPr="00FF77CE">
                          <w:rPr>
                            <w:rFonts w:eastAsia="Times New Roman"/>
                            <w:sz w:val="18"/>
                          </w:rPr>
                          <w:t xml:space="preserve"> or inconclusiv</w:t>
                        </w:r>
                        <w:r>
                          <w:rPr>
                            <w:rFonts w:eastAsia="Times New Roman"/>
                          </w:rPr>
                          <w:t>e</w:t>
                        </w:r>
                      </w:p>
                    </w:txbxContent>
                  </v:textbox>
                </v:roundrect>
                <v:roundrect id="Rounded Rectangle 16" o:spid="_x0000_s1039" style="position:absolute;left:30861;top:53721;width:8001;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YlMEA&#10;AADbAAAADwAAAGRycy9kb3ducmV2LnhtbERPTWvCQBC9F/wPywi91Y1FrERXUSEgtD00evA4ZMck&#10;mJ0Nu1NN++u7hUJv83ifs9oMrlM3CrH1bGA6yUARV962XBs4HYunBagoyBY7z2TgiyJs1qOHFebW&#10;3/mDbqXUKoVwzNFAI9LnWseqIYdx4nvixF18cCgJhlrbgPcU7jr9nGVz7bDl1NBgT/uGqmv56QzE&#10;hd5J8e7p7TyT1+3Ld1FyKIx5HA/bJSihQf7Ff+6DTfPn8PtLOk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5GJTBAAAA2wAAAA8AAAAAAAAAAAAAAAAAmAIAAGRycy9kb3du&#10;cmV2LnhtbFBLBQYAAAAABAAEAPUAAACGAwAAAAA=&#10;" fillcolor="white [3201]" strokecolor="#4f81bd [3204]" strokeweight="2pt">
                  <v:textbox>
                    <w:txbxContent>
                      <w:p w14:paraId="16A1655B" w14:textId="77777777" w:rsidR="004569F9" w:rsidRDefault="004569F9" w:rsidP="00F14E6E">
                        <w:pPr>
                          <w:pStyle w:val="NormalWeb"/>
                          <w:spacing w:before="0" w:beforeAutospacing="0" w:after="0" w:afterAutospacing="0"/>
                        </w:pPr>
                        <w:r>
                          <w:rPr>
                            <w:rFonts w:ascii="Tahoma" w:eastAsia="SimSun" w:hAnsi="Tahoma" w:cs="Tahoma"/>
                            <w:sz w:val="18"/>
                            <w:szCs w:val="18"/>
                          </w:rPr>
                          <w:t xml:space="preserve">+ </w:t>
                        </w:r>
                        <w:proofErr w:type="gramStart"/>
                        <w:r>
                          <w:rPr>
                            <w:rFonts w:ascii="Tahoma" w:eastAsia="SimSun" w:hAnsi="Tahoma" w:cs="Tahoma"/>
                            <w:sz w:val="18"/>
                            <w:szCs w:val="18"/>
                          </w:rPr>
                          <w:t>for</w:t>
                        </w:r>
                        <w:proofErr w:type="gramEnd"/>
                        <w:r>
                          <w:rPr>
                            <w:rFonts w:ascii="Tahoma" w:eastAsia="SimSun" w:hAnsi="Tahoma" w:cs="Tahoma"/>
                            <w:sz w:val="18"/>
                            <w:szCs w:val="18"/>
                          </w:rPr>
                          <w:t xml:space="preserve"> AD</w:t>
                        </w:r>
                      </w:p>
                    </w:txbxContent>
                  </v:textbox>
                </v:roundrect>
                <v:roundrect id="Rounded Rectangle 17" o:spid="_x0000_s1040" style="position:absolute;left:40005;top:53721;width:9144;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9D8EA&#10;AADbAAAADwAAAGRycy9kb3ducmV2LnhtbERPTWvCQBC9C/6HZQRvumkpVVJXUSFQqD0Ye+hxyE6T&#10;0Oxs2J1q7K93CwVv83ifs9oMrlNnCrH1bOBhnoEirrxtuTbwcSpmS1BRkC12nsnAlSJs1uPRCnPr&#10;L3ykcym1SiEcczTQiPS51rFqyGGc+544cV8+OJQEQ61twEsKd51+zLJn7bDl1NBgT/uGqu/yxxmI&#10;S72T4t3T4fNJ3raL36LkUBgznQzbF1BCg9zF/+5Xm+Yv4O+XdI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1vQ/BAAAA2wAAAA8AAAAAAAAAAAAAAAAAmAIAAGRycy9kb3du&#10;cmV2LnhtbFBLBQYAAAAABAAEAPUAAACGAwAAAAA=&#10;" fillcolor="white [3201]" strokecolor="#4f81bd [3204]" strokeweight="2pt">
                  <v:textbox>
                    <w:txbxContent>
                      <w:p w14:paraId="25D68C64" w14:textId="77777777" w:rsidR="004569F9" w:rsidRDefault="004569F9" w:rsidP="00F14E6E">
                        <w:pPr>
                          <w:pStyle w:val="NormalWeb"/>
                          <w:spacing w:before="0" w:beforeAutospacing="0" w:after="240" w:afterAutospacing="0"/>
                        </w:pPr>
                        <w:r>
                          <w:rPr>
                            <w:rFonts w:ascii="Tahoma" w:hAnsi="Tahoma" w:cs="Tahoma"/>
                            <w:sz w:val="18"/>
                            <w:szCs w:val="18"/>
                          </w:rPr>
                          <w:t xml:space="preserve">+ </w:t>
                        </w:r>
                        <w:proofErr w:type="gramStart"/>
                        <w:r>
                          <w:rPr>
                            <w:rFonts w:ascii="Tahoma" w:hAnsi="Tahoma" w:cs="Tahoma"/>
                            <w:sz w:val="18"/>
                            <w:szCs w:val="18"/>
                          </w:rPr>
                          <w:t>for</w:t>
                        </w:r>
                        <w:proofErr w:type="gramEnd"/>
                        <w:r>
                          <w:rPr>
                            <w:rFonts w:ascii="Tahoma" w:hAnsi="Tahoma" w:cs="Tahoma"/>
                            <w:sz w:val="18"/>
                            <w:szCs w:val="18"/>
                          </w:rPr>
                          <w:t xml:space="preserve"> other disease</w:t>
                        </w:r>
                      </w:p>
                    </w:txbxContent>
                  </v:textbox>
                </v:roundrect>
                <v:roundrect id="Rounded Rectangle 18" o:spid="_x0000_s1041" style="position:absolute;left:50292;top:53721;width:9144;height:45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pfcMA&#10;AADbAAAADwAAAGRycy9kb3ducmV2LnhtbESPQUvDQBCF74L/YRnBm91UREvstrSFgKAeTHvocciO&#10;SWh2NuyObfTXOwfB2wzvzXvfLNdTGMyZUu4jO5jPCjDETfQ9tw4O++puASYLsschMjn4pgzr1fXV&#10;EksfL/xB51paoyGcS3TQiYyltbnpKGCexZFYtc+YAoquqbU+4UXDw2Dvi+LRBuxZGzocaddRc6q/&#10;goO8sFup3iO9HR/kdfP0U9WcKudub6bNMxihSf7Nf9cvXvEVV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opfcMAAADbAAAADwAAAAAAAAAAAAAAAACYAgAAZHJzL2Rv&#10;d25yZXYueG1sUEsFBgAAAAAEAAQA9QAAAIgDAAAAAA==&#10;" fillcolor="white [3201]" strokecolor="#4f81bd [3204]" strokeweight="2pt">
                  <v:textbox>
                    <w:txbxContent>
                      <w:p w14:paraId="1F0FAEFE" w14:textId="77777777" w:rsidR="004569F9" w:rsidRDefault="004569F9" w:rsidP="00F14E6E">
                        <w:pPr>
                          <w:pStyle w:val="NormalWeb"/>
                          <w:spacing w:before="0" w:beforeAutospacing="0" w:after="240" w:afterAutospacing="0"/>
                        </w:pPr>
                        <w:r>
                          <w:rPr>
                            <w:rFonts w:ascii="Tahoma" w:hAnsi="Tahoma" w:cs="Tahoma"/>
                            <w:sz w:val="18"/>
                            <w:szCs w:val="18"/>
                          </w:rPr>
                          <w:t>-</w:t>
                        </w:r>
                        <w:proofErr w:type="spellStart"/>
                        <w:r>
                          <w:rPr>
                            <w:rFonts w:ascii="Tahoma" w:hAnsi="Tahoma" w:cs="Tahoma"/>
                            <w:sz w:val="18"/>
                            <w:szCs w:val="18"/>
                          </w:rPr>
                          <w:t>ve</w:t>
                        </w:r>
                        <w:proofErr w:type="spellEnd"/>
                        <w:r>
                          <w:rPr>
                            <w:rFonts w:ascii="Tahoma" w:hAnsi="Tahoma" w:cs="Tahoma"/>
                            <w:sz w:val="18"/>
                            <w:szCs w:val="18"/>
                          </w:rPr>
                          <w:t xml:space="preserve"> or inconclusiv</w:t>
                        </w:r>
                        <w:r>
                          <w:rPr>
                            <w:rFonts w:ascii="Tahoma" w:hAnsi="Tahoma" w:cs="Tahoma"/>
                            <w:sz w:val="20"/>
                            <w:szCs w:val="20"/>
                          </w:rPr>
                          <w:t>e</w:t>
                        </w:r>
                      </w:p>
                    </w:txbxContent>
                  </v:textbox>
                </v:roundrect>
                <v:roundrect id="Rounded Rectangle 19" o:spid="_x0000_s1042" style="position:absolute;left:150;top:68579;width:18288;height:57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MBMEA&#10;AADbAAAADwAAAGRycy9kb3ducmV2LnhtbERPTWvCQBC9F/oflil4a3b1IDZ1FRGEiL3Uesltmp1m&#10;Q7OzIbsm8d93C4K3ebzPWW8n14qB+tB41jDPFAjiypuGaw2Xr8PrCkSIyAZbz6ThRgG2m+enNebG&#10;j/xJwznWIoVwyFGDjbHLpQyVJYch8x1x4n587zAm2NfS9DimcNfKhVJL6bDh1GCxo72l6vd8dRp2&#10;30VhVydetF35cVQXc1SmKbWevUy7dxCRpvgQ392FSfPf4P+Xd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3jATBAAAA2wAAAA8AAAAAAAAAAAAAAAAAmAIAAGRycy9kb3du&#10;cmV2LnhtbFBLBQYAAAAABAAEAPUAAACGAwAAAAA=&#10;" fillcolor="white [3201]" strokecolor="#c0504d [3205]" strokeweight="2pt">
                  <v:textbox>
                    <w:txbxContent>
                      <w:p w14:paraId="5188276F" w14:textId="77777777" w:rsidR="004569F9" w:rsidRPr="00F14E6E" w:rsidRDefault="004569F9" w:rsidP="00F14E6E">
                        <w:pPr>
                          <w:spacing w:after="0" w:line="240" w:lineRule="auto"/>
                          <w:jc w:val="center"/>
                          <w:rPr>
                            <w:sz w:val="18"/>
                          </w:rPr>
                        </w:pPr>
                        <w:r w:rsidRPr="00F14E6E">
                          <w:rPr>
                            <w:sz w:val="18"/>
                          </w:rPr>
                          <w:t xml:space="preserve">Patient/carer support and </w:t>
                        </w:r>
                        <w:r>
                          <w:rPr>
                            <w:sz w:val="18"/>
                          </w:rPr>
                          <w:t>treatment/management of symptoms</w:t>
                        </w:r>
                      </w:p>
                    </w:txbxContent>
                  </v:textbox>
                </v:roundrect>
                <v:roundrect id="Rounded Rectangle 20" o:spid="_x0000_s1043" style="position:absolute;left:19427;top:68580;width:9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vJL4A&#10;AADbAAAADwAAAGRycy9kb3ducmV2LnhtbERPTYvCMBC9C/6HMII3TexBpGsUEYSKXnS9eJttxqbY&#10;TEoTtf57cxD2+Hjfy3XvGvGkLtSeNcymCgRx6U3NlYbL726yABEissHGM2l4U4D1ajhYYm78i0/0&#10;PMdKpBAOOWqwMba5lKG05DBMfUucuJvvHMYEu0qaDl8p3DUyU2ouHdacGiy2tLVU3s8Pp2HzVxR2&#10;ceCsaa/HvbqYvTL1VevxqN/8gIjUx3/x110YDVlan76k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h7yS+AAAA2wAAAA8AAAAAAAAAAAAAAAAAmAIAAGRycy9kb3ducmV2&#10;LnhtbFBLBQYAAAAABAAEAPUAAACDAwAAAAA=&#10;" fillcolor="white [3201]" strokecolor="#c0504d [3205]" strokeweight="2pt">
                  <v:textbox>
                    <w:txbxContent>
                      <w:p w14:paraId="7869B657" w14:textId="0C40588A" w:rsidR="004569F9" w:rsidRPr="00F14E6E" w:rsidRDefault="004569F9" w:rsidP="00F14E6E">
                        <w:pPr>
                          <w:spacing w:after="0" w:line="240" w:lineRule="auto"/>
                          <w:jc w:val="center"/>
                          <w:rPr>
                            <w:sz w:val="18"/>
                          </w:rPr>
                        </w:pPr>
                        <w:r w:rsidRPr="00F14E6E">
                          <w:rPr>
                            <w:sz w:val="18"/>
                          </w:rPr>
                          <w:t>Repeat tes</w:t>
                        </w:r>
                        <w:r>
                          <w:rPr>
                            <w:sz w:val="18"/>
                          </w:rPr>
                          <w:t>ting, 2-3 years</w:t>
                        </w:r>
                      </w:p>
                    </w:txbxContent>
                  </v:textbox>
                </v:roundrect>
                <v:roundrect id="Rounded Rectangle 21" o:spid="_x0000_s1044" style="position:absolute;left:31432;top:68579;width:17717;height:57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KXcMA&#10;AADbAAAADwAAAGRycy9kb3ducmV2LnhtbESPQWvCQBSE7wX/w/IEb3WjiJXUVVQICLWHpj30+Mi+&#10;JqHZt2H3qWl/fbcgeBxm5htmvR1cpy4UYuvZwGyagSKuvG25NvDxXjyuQEVBtth5JgM/FGG7GT2s&#10;Mbf+ym90KaVWCcIxRwONSJ9rHauGHMap74mT9+WDQ0ky1NoGvCa46/Q8y5baYctpocGeDg1V3+XZ&#10;GYgrvZfi1dPpcyEvu6ffouRQGDMZD7tnUEKD3MO39tEamM/g/0v6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KXcMAAADbAAAADwAAAAAAAAAAAAAAAACYAgAAZHJzL2Rv&#10;d25yZXYueG1sUEsFBgAAAAAEAAQA9QAAAIgDAAAAAA==&#10;" fillcolor="white [3201]" strokecolor="#4f81bd [3204]" strokeweight="2pt">
                  <v:textbox>
                    <w:txbxContent>
                      <w:p w14:paraId="2DC8AAD0" w14:textId="77777777" w:rsidR="004569F9" w:rsidRPr="00F14E6E" w:rsidRDefault="004569F9" w:rsidP="00F14E6E">
                        <w:pPr>
                          <w:pStyle w:val="NormalWeb"/>
                          <w:spacing w:before="0" w:beforeAutospacing="0" w:after="0" w:afterAutospacing="0"/>
                          <w:jc w:val="center"/>
                          <w:rPr>
                            <w:sz w:val="22"/>
                          </w:rPr>
                        </w:pPr>
                        <w:r w:rsidRPr="00F14E6E">
                          <w:rPr>
                            <w:rFonts w:ascii="Tahoma" w:eastAsia="SimSun" w:hAnsi="Tahoma" w:cs="Tahoma"/>
                            <w:sz w:val="18"/>
                            <w:szCs w:val="20"/>
                          </w:rPr>
                          <w:t xml:space="preserve">Patient/carer support and </w:t>
                        </w:r>
                        <w:r>
                          <w:rPr>
                            <w:rFonts w:ascii="Tahoma" w:eastAsia="SimSun" w:hAnsi="Tahoma" w:cs="Tahoma"/>
                            <w:sz w:val="18"/>
                            <w:szCs w:val="20"/>
                          </w:rPr>
                          <w:t>treatment/management of symptoms</w:t>
                        </w:r>
                      </w:p>
                    </w:txbxContent>
                  </v:textbox>
                </v:roundrect>
                <v:roundrect id="Rounded Rectangle 22" o:spid="_x0000_s1045" style="position:absolute;left:50292;top:68573;width:9144;height:5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UKsQA&#10;AADbAAAADwAAAGRycy9kb3ducmV2LnhtbESPQWvCQBSE74X+h+UVvNWNQaykrmILgUL10NhDj4/s&#10;axLMvg27r5r213cFweMwM98wq83oenWiEDvPBmbTDBRx7W3HjYHPQ/m4BBUF2WLvmQz8UoTN+v5u&#10;hYX1Z/6gUyWNShCOBRpoRYZC61i35DBO/UCcvG8fHEqSodE24DnBXa/zLFtohx2nhRYHem2pPlY/&#10;zkBc6hcp9552X3N53z79lRWH0pjJw7h9BiU0yi18bb9ZA3kOly/pB+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u1CrEAAAA2wAAAA8AAAAAAAAAAAAAAAAAmAIAAGRycy9k&#10;b3ducmV2LnhtbFBLBQYAAAAABAAEAPUAAACJAwAAAAA=&#10;" fillcolor="white [3201]" strokecolor="#4f81bd [3204]" strokeweight="2pt">
                  <v:textbox>
                    <w:txbxContent>
                      <w:p w14:paraId="71912475" w14:textId="32B740E1" w:rsidR="004569F9" w:rsidRPr="00F14E6E" w:rsidRDefault="004569F9" w:rsidP="00F14E6E">
                        <w:pPr>
                          <w:pStyle w:val="NormalWeb"/>
                          <w:spacing w:before="0" w:beforeAutospacing="0" w:after="0" w:afterAutospacing="0"/>
                          <w:jc w:val="center"/>
                          <w:rPr>
                            <w:sz w:val="22"/>
                          </w:rPr>
                        </w:pPr>
                        <w:r>
                          <w:rPr>
                            <w:rFonts w:ascii="Tahoma" w:eastAsia="SimSun" w:hAnsi="Tahoma" w:cs="Tahoma"/>
                            <w:sz w:val="18"/>
                            <w:szCs w:val="20"/>
                          </w:rPr>
                          <w:t>Repeat testing, 2-3 years</w:t>
                        </w:r>
                      </w:p>
                    </w:txbxContent>
                  </v:textbox>
                </v:roundrect>
                <v:roundrect id="Rounded Rectangle 23" o:spid="_x0000_s1046" style="position:absolute;top:76715;width:59399;height:32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9hMIA&#10;AADbAAAADwAAAGRycy9kb3ducmV2LnhtbESPQYvCMBSE74L/IbwFb5rWtYtWU9EVF/G2Knh9NM+2&#10;bPNSmqj135sFweMwM98wi2VnanGj1lWWFcSjCARxbnXFhYLTcTucgnAeWWNtmRQ8yMEy6/cWmGp7&#10;51+6HXwhAoRdigpK75tUSpeXZNCNbEMcvIttDfog20LqFu8Bbmo5jqIvabDisFBiQ98l5X+Hq1Hg&#10;GaPZdR//rJOqs5PpOdms9olSg49uNQfhqfPv8Ku90wrGn/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D2EwgAAANsAAAAPAAAAAAAAAAAAAAAAAJgCAABkcnMvZG93&#10;bnJldi54bWxQSwUGAAAAAAQABAD1AAAAhwMAAAAA&#10;" fillcolor="white [3201]" strokecolor="black [3200]" strokeweight="2pt">
                  <v:textbox>
                    <w:txbxContent>
                      <w:p w14:paraId="29F61494" w14:textId="77777777" w:rsidR="004569F9" w:rsidRDefault="004569F9" w:rsidP="00F14E6E">
                        <w:pPr>
                          <w:spacing w:after="0" w:line="240" w:lineRule="auto"/>
                          <w:jc w:val="center"/>
                        </w:pPr>
                        <w:r>
                          <w:t xml:space="preserve">Outcomes: morbidity, mortality, </w:t>
                        </w:r>
                        <w:proofErr w:type="spellStart"/>
                        <w:r>
                          <w:t>QoL</w:t>
                        </w:r>
                        <w:proofErr w:type="spellEnd"/>
                      </w:p>
                    </w:txbxContent>
                  </v:textbox>
                </v:roundrect>
                <v:shapetype id="_x0000_t32" coordsize="21600,21600" o:spt="32" o:oned="t" path="m,l21600,21600e" filled="f">
                  <v:path arrowok="t" fillok="f" o:connecttype="none"/>
                  <o:lock v:ext="edit" shapetype="t"/>
                </v:shapetype>
                <v:shape id="Straight Arrow Connector 24" o:spid="_x0000_s1047" type="#_x0000_t32" style="position:absolute;left:17144;top:4572;width:12574;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scUAAADbAAAADwAAAGRycy9kb3ducmV2LnhtbESPT2sCMRTE7wW/Q3iCl6JZpRRZjaKW&#10;oodW8Q94fWye2cXNy7qJ7vrtm0Khx2FmfsNM560txYNqXzhWMBwkIIgzpws2Ck7Hz/4YhA/IGkvH&#10;pOBJHuazzssUU+0a3tPjEIyIEPYpKshDqFIpfZaTRT9wFXH0Lq62GKKsjdQ1NhFuSzlKkndpseC4&#10;kGNFq5yy6+FuFZh1s7is7Mdw92XO29cn3r6X8qZUr9suJiACteE//NfeaAWjN/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7scUAAADbAAAADwAAAAAAAAAA&#10;AAAAAAChAgAAZHJzL2Rvd25yZXYueG1sUEsFBgAAAAAEAAQA+QAAAJMDAAAAAA==&#10;" strokecolor="black [3200]" strokeweight="2pt">
                  <v:stroke endarrow="open"/>
                  <v:shadow on="t" color="black" opacity="24903f" origin=",.5" offset="0,.55556mm"/>
                </v:shape>
                <v:shape id="Straight Arrow Connector 25" o:spid="_x0000_s1048" type="#_x0000_t32" style="position:absolute;left:32003;top:13716;width:799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eKsUAAADbAAAADwAAAGRycy9kb3ducmV2LnhtbESPT2sCMRTE7wW/Q3iCl6JZhRZZjaKW&#10;oodW8Q94fWye2cXNy7qJ7vrtm0Khx2FmfsNM560txYNqXzhWMBwkIIgzpws2Ck7Hz/4YhA/IGkvH&#10;pOBJHuazzssUU+0a3tPjEIyIEPYpKshDqFIpfZaTRT9wFXH0Lq62GKKsjdQ1NhFuSzlKkndpseC4&#10;kGNFq5yy6+FuFZh1s7is7Mdw92XO29cn3r6X8qZUr9suJiACteE//NfeaAWjN/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xeKsUAAADbAAAADwAAAAAAAAAA&#10;AAAAAAChAgAAZHJzL2Rvd25yZXYueG1sUEsFBgAAAAAEAAQA+QAAAJMDAAAAAA==&#10;" strokecolor="black [3200]" strokeweight="2pt">
                  <v:stroke endarrow="open"/>
                  <v:shadow on="t" color="black" opacity="24903f" origin=",.5" offset="0,.55556mm"/>
                </v:shape>
                <v:shape id="Straight Arrow Connector 26" o:spid="_x0000_s1049" type="#_x0000_t32" style="position:absolute;left:17144;top:21717;width:1;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p4b8MAAADbAAAADwAAAGRycy9kb3ducmV2LnhtbESPwWrDMBBE74X+g9hCb7WcHExxo4QQ&#10;Uurk1jTF10XaWE6slbEUx/37qFDocZiZN8xiNblOjDSE1rOCWZaDINbetNwoOH69v7yCCBHZYOeZ&#10;FPxQgNXy8WGBpfE3/qTxEBuRIBxKVGBj7Espg7bkMGS+J07eyQ8OY5JDI82AtwR3nZzneSEdtpwW&#10;LPa0saQvh6tTgHWlz5eq+NB1t652esTt5nuv1PPTtH4DEWmK/+G/dmUUzAv4/ZJ+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KeG/DAAAA2wAAAA8AAAAAAAAAAAAA&#10;AAAAoQIAAGRycy9kb3ducmV2LnhtbFBLBQYAAAAABAAEAPkAAACRAwAAAAA=&#10;" strokecolor="black [3200]" strokeweight="2pt">
                  <v:stroke endarrow="open"/>
                  <v:shadow on="t" color="black" opacity="24903f" origin=",.5" offset="0,.55556mm"/>
                </v:shape>
                <v:shape id="Straight Arrow Connector 27" o:spid="_x0000_s1050" type="#_x0000_t32" style="position:absolute;left:17145;top:35396;width:13144;height:1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d9MIAAADbAAAADwAAAGRycy9kb3ducmV2LnhtbESPQYvCMBSE7wv+h/AEb2uqB12qUUQU&#10;6950V7w+kmdbbV5KE2v99xtB2OMwM98w82VnK9FS40vHCkbDBASxdqbkXMHvz/bzC4QPyAYrx6Tg&#10;SR6Wi97HHFPjHnyg9hhyESHsU1RQhFCnUnpdkEU/dDVx9C6usRiibHJpGnxEuK3kOEkm0mLJcaHA&#10;mtYF6dvxbhXgOdPXWzbZ6XO1yva6xc369K3UoN+tZiACdeE//G5nRsF4Cq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bd9MIAAADbAAAADwAAAAAAAAAAAAAA&#10;AAChAgAAZHJzL2Rvd25yZXYueG1sUEsFBgAAAAAEAAQA+QAAAJADAAAAAA==&#10;" strokecolor="black [3200]" strokeweight="2pt">
                  <v:stroke endarrow="open"/>
                  <v:shadow on="t" color="black" opacity="24903f" origin=",.5" offset="0,.55556mm"/>
                </v:shape>
                <v:shape id="Straight Arrow Connector 28" o:spid="_x0000_s1051" type="#_x0000_t32" style="position:absolute;left:32004;top:29459;width:9144;height:5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3xtMMAAADbAAAADwAAAGRycy9kb3ducmV2LnhtbERPz2vCMBS+C/sfwhvsMmZqDzI6o3Qd&#10;Yx50Mid4fTTPtKx5qU1s639vDgOPH9/vxWq0jeip87VjBbNpAoK4dLpmo+Dw+/nyCsIHZI2NY1Jw&#10;JQ+r5cNkgZl2A/9Qvw9GxBD2GSqoQmgzKX1ZkUU/dS1x5E6usxgi7IzUHQ4x3DYyTZK5tFhzbKiw&#10;paKi8m9/sQrM15CfCvsx223M8fv5iuftuzwr9fQ45m8gAo3hLv53r7WCNI6N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8bTDAAAA2wAAAA8AAAAAAAAAAAAA&#10;AAAAoQIAAGRycy9kb3ducmV2LnhtbFBLBQYAAAAABAAEAPkAAACRAwAAAAA=&#10;" strokecolor="black [3200]" strokeweight="2pt">
                  <v:stroke endarrow="open"/>
                  <v:shadow on="t" color="black" opacity="24903f" origin=",.5" offset="0,.55556mm"/>
                </v:shape>
                <v:shape id="Straight Arrow Connector 31" o:spid="_x0000_s1052" type="#_x0000_t32" style="position:absolute;left:4000;top:49773;width:8573;height:39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AMh8MAAADbAAAADwAAAGRycy9kb3ducmV2LnhtbESPQWvCQBSE70L/w/IKXkQ3qVI0ukoJ&#10;VDyJpuL5kX1mg9m3IbuN6b/vCoUeh5n5htnsBtuInjpfO1aQzhIQxKXTNVcKLl+f0yUIH5A1No5J&#10;wQ952G1fRhvMtHvwmfoiVCJC2GeowITQZlL60pBFP3MtcfRurrMYouwqqTt8RLht5FuSvEuLNccF&#10;gy3lhsp78W0VLPP96brqy0l69FVAs8oXvsmVGr8OH2sQgYbwH/5rH7SCeQrP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ADIfDAAAA2wAAAA8AAAAAAAAAAAAA&#10;AAAAoQIAAGRycy9kb3ducmV2LnhtbFBLBQYAAAAABAAEAPkAAACRAwAAAAA=&#10;" strokecolor="#c0504d [3205]" strokeweight="2pt">
                  <v:stroke endarrow="open"/>
                  <v:shadow on="t" color="black" opacity="24903f" origin=",.5" offset="0,.55556mm"/>
                </v:shape>
                <v:shape id="Straight Arrow Connector 32" o:spid="_x0000_s1053" type="#_x0000_t32" style="position:absolute;left:12573;top:49773;width:1143;height:3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SvMQAAADbAAAADwAAAGRycy9kb3ducmV2LnhtbESPUWvCMBSF3wf7D+EO9jJmagcinVFE&#10;EWRTRDf2fGlum7LkpjRZ7f69EQQfD+ec73Bmi8FZ0VMXGs8KxqMMBHHpdcO1gu+vzesURIjIGq1n&#10;UvBPARbzx4cZFtqf+Uj9KdYiQTgUqMDE2BZShtKQwzDyLXHyKt85jEl2tdQdnhPcWZln2UQ6bDgt&#10;GGxpZaj8Pf05BXmstvtPs+s/Srb2sFxX9PJzUOr5aVi+g4g0xHv41t5qBW85X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LNK8xAAAANsAAAAPAAAAAAAAAAAA&#10;AAAAAKECAABkcnMvZG93bnJldi54bWxQSwUGAAAAAAQABAD5AAAAkgMAAAAA&#10;" strokecolor="#c0504d [3205]" strokeweight="2pt">
                  <v:stroke endarrow="open"/>
                  <v:shadow on="t" color="black" opacity="24903f" origin=",.5" offset="0,.55556mm"/>
                </v:shape>
                <v:shape id="Straight Arrow Connector 33" o:spid="_x0000_s1054" type="#_x0000_t32" style="position:absolute;left:12573;top:49773;width:11430;height:3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B3J8MAAADbAAAADwAAAGRycy9kb3ducmV2LnhtbESPQWsCMRSE7wX/Q3hCL6VmVShlNYoo&#10;BakWqS2eH5u3m8XkZdmk6/rvjSD0OMzMN8x82TsrOmpD7VnBeJSBIC68rrlS8Pvz8foOIkRkjdYz&#10;KbhSgOVi8DTHXPsLf1N3jJVIEA45KjAxNrmUoTDkMIx8Q5y80rcOY5JtJXWLlwR3Vk6y7E06rDkt&#10;GGxobag4H/+cgkkst187s+8+C7b2sNqU9HI6KPU87FczEJH6+B9+tLdawXQK9y/p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gdyfDAAAA2wAAAA8AAAAAAAAAAAAA&#10;AAAAoQIAAGRycy9kb3ducmV2LnhtbFBLBQYAAAAABAAEAPkAAACRAwAAAAA=&#10;" strokecolor="#c0504d [3205]" strokeweight="2pt">
                  <v:stroke endarrow="open"/>
                  <v:shadow on="t" color="black" opacity="24903f" origin=",.5" offset="0,.55556mm"/>
                </v:shape>
                <v:shape id="Straight Arrow Connector 34" o:spid="_x0000_s1055" type="#_x0000_t32" style="position:absolute;left:34861;top:49774;width:10600;height:39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X78YAAADbAAAADwAAAGRycy9kb3ducmV2LnhtbESPT2vCQBTE74LfYXmCt7qptaWk2YgI&#10;Nh6k/mkPHh/Z1yQ0+zZk15j46buFgsdhZn7DJMve1KKj1lWWFTzOIhDEudUVFwq+PjcPryCcR9ZY&#10;WyYFAzlYpuNRgrG2Vz5Sd/KFCBB2MSoovW9iKV1ekkE3sw1x8L5ta9AH2RZSt3gNcFPLeRS9SIMV&#10;h4USG1qXlP+cLkZBcTTnQzYM++H9fPvYdSZ79n2m1HTSr95AeOr9Pfzf3moFTwv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qF+/GAAAA2wAAAA8AAAAAAAAA&#10;AAAAAAAAoQIAAGRycy9kb3ducmV2LnhtbFBLBQYAAAAABAAEAPkAAACUAwAAAAA=&#10;" strokecolor="#4f81bd [3204]" strokeweight="2pt">
                  <v:stroke endarrow="open"/>
                  <v:shadow on="t" color="black" opacity="24903f" origin=",.5" offset="0,.55556mm"/>
                </v:shape>
                <v:shape id="Straight Arrow Connector 35" o:spid="_x0000_s1056" type="#_x0000_t32" style="position:absolute;left:44577;top:49774;width:884;height:39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aydMUAAADbAAAADwAAAGRycy9kb3ducmV2LnhtbESPQWvCQBSE74L/YXmCt7qxokjqKiK0&#10;6aGosT14fGRfk2D2bchuY+Kvd4WCx2FmvmFWm85UoqXGlZYVTCcRCOLM6pJzBT/f7y9LEM4ja6ws&#10;k4KeHGzWw8EKY22vnFJ78rkIEHYxKii8r2MpXVaQQTexNXHwfm1j0AfZ5FI3eA1wU8nXKFpIgyWH&#10;hQJr2hWUXU5/RkGemvMx6ftD/3G+7b9ak8x9lyg1HnXbNxCeOv8M/7c/tYLZHB5fw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aydMUAAADbAAAADwAAAAAAAAAA&#10;AAAAAAChAgAAZHJzL2Rvd25yZXYueG1sUEsFBgAAAAAEAAQA+QAAAJMDAAAAAA==&#10;" strokecolor="#4f81bd [3204]" strokeweight="2pt">
                  <v:stroke endarrow="open"/>
                  <v:shadow on="t" color="black" opacity="24903f" origin=",.5" offset="0,.55556mm"/>
                </v:shape>
                <v:shape id="Straight Arrow Connector 36" o:spid="_x0000_s1057" type="#_x0000_t32" style="position:absolute;left:45461;top:49774;width:9403;height:3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u78MAAADbAAAADwAAAGRycy9kb3ducmV2LnhtbESPW4vCMBSE3xf8D+EIvq2pLspSjSKi&#10;sOAFvL0fm2NbbU5KErX77zeCsI/DzHzDjKeNqcSDnC8tK+h1ExDEmdUl5wqOh+XnNwgfkDVWlknB&#10;L3mYTlofY0y1ffKOHvuQiwhhn6KCIoQ6ldJnBRn0XVsTR+9incEQpculdviMcFPJfpIMpcGS40KB&#10;Nc0Lym77u1EwWLjdrL6uD9uT88u7Lc9uc10p1Wk3sxGIQE34D7/bP1rB1xBeX+IPk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4bu/DAAAA2wAAAA8AAAAAAAAAAAAA&#10;AAAAoQIAAGRycy9kb3ducmV2LnhtbFBLBQYAAAAABAAEAPkAAACRAwAAAAA=&#10;" strokecolor="#4f81bd [3204]" strokeweight="2pt">
                  <v:stroke endarrow="open"/>
                  <v:shadow on="t" color="black" opacity="24903f" origin=",.5" offset="0,.55556mm"/>
                </v:shape>
                <v:shape id="Straight Arrow Connector 37" o:spid="_x0000_s1058" type="#_x0000_t32" style="position:absolute;left:4000;top:5829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xJMQAAADbAAAADwAAAGRycy9kb3ducmV2LnhtbESPQWsCMRSE74X+h/AKvYhma8HKahSp&#10;CNJaRC09PzZvN4vJy7JJ1/Xfm4LQ4zAz3zDzZe+s6KgNtWcFL6MMBHHhdc2Vgu/TZjgFESKyRuuZ&#10;FFwpwHLx+DDHXPsLH6g7xkokCIccFZgYm1zKUBhyGEa+IU5e6VuHMcm2krrFS4I7K8dZNpEOa04L&#10;Bht6N1Scj79OwTiW269Ps+s+CrZ2v1qXNPjZK/X81K9mICL18T98b2+1gtc3+Pu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3EkxAAAANsAAAAPAAAAAAAAAAAA&#10;AAAAAKECAABkcnMvZG93bnJldi54bWxQSwUGAAAAAAQABAD5AAAAkgMAAAAA&#10;" strokecolor="#c0504d [3205]" strokeweight="2pt">
                  <v:stroke endarrow="open"/>
                  <v:shadow on="t" color="black" opacity="24903f" origin=",.5" offset="0,.55556mm"/>
                </v:shape>
                <v:shape id="Straight Arrow Connector 38" o:spid="_x0000_s1059" type="#_x0000_t32" style="position:absolute;left:9294;top:58293;width:4422;height:10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qlGsEAAADbAAAADwAAAGRycy9kb3ducmV2LnhtbERPz2vCMBS+C/4P4Qm7iKbdZLSdUaTg&#10;2Gm4bnh+NG9NsXkpTWy7/345DHb8+H7vj7PtxEiDbx0rSLcJCOLa6ZYbBV+f500GwgdkjZ1jUvBD&#10;Ho6H5WKPhXYTf9BYhUbEEPYFKjAh9IWUvjZk0W9dTxy5bzdYDBEOjdQDTjHcdvIxSZ6lxZZjg8Ge&#10;SkP1rbpbBVn5ernmY71O330T0OTlznelUg+r+fQCItAc/sV/7jet4CmOjV/iD5C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OqUawQAAANsAAAAPAAAAAAAAAAAAAAAA&#10;AKECAABkcnMvZG93bnJldi54bWxQSwUGAAAAAAQABAD5AAAAjwMAAAAA&#10;" strokecolor="#c0504d [3205]" strokeweight="2pt">
                  <v:stroke endarrow="open"/>
                  <v:shadow on="t" color="black" opacity="24903f" origin=",.5" offset="0,.55556mm"/>
                </v:shape>
                <v:shape id="Straight Arrow Connector 39" o:spid="_x0000_s1060" type="#_x0000_t32" style="position:absolute;left:24000;top:58293;width:3;height:10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YAgcMAAADbAAAADwAAAGRycy9kb3ducmV2LnhtbESPT4vCMBTE7wt+h/AEL4um6iK2GkUK&#10;iqdl/YPnR/Nsis1LaWLtfvvNwsIeh5n5DbPe9rYWHbW+cqxgOklAEBdOV1wquF724yUIH5A11o5J&#10;wTd52G4Gb2vMtHvxibpzKEWEsM9QgQmhyaT0hSGLfuIa4ujdXWsxRNmWUrf4inBby1mSLKTFiuOC&#10;wYZyQ8Xj/LQKlvnh65Z2xfv005cBTZp/+DpXajTsdysQgfrwH/5rH7WCeQq/X+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2AIHDAAAA2wAAAA8AAAAAAAAAAAAA&#10;AAAAoQIAAGRycy9kb3ducmV2LnhtbFBLBQYAAAAABAAEAPkAAACRAwAAAAA=&#10;" strokecolor="#c0504d [3205]" strokeweight="2pt">
                  <v:stroke endarrow="open"/>
                  <v:shadow on="t" color="black" opacity="24903f" origin=",.5" offset="0,.55556mm"/>
                </v:shape>
                <v:shape id="Straight Arrow Connector 40" o:spid="_x0000_s1061" type="#_x0000_t32" style="position:absolute;left:40290;top:58293;width:4287;height:10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dikcEAAADbAAAADwAAAGRycy9kb3ducmV2LnhtbERPy4rCMBTdD/gP4QruNHVQGapRRBjr&#10;QpzxsXB5aa5tsbkpTaytX28WA7M8nPdi1ZpSNFS7wrKC8SgCQZxaXXCm4HL+Hn6BcB5ZY2mZFHTk&#10;YLXsfSww1vbJR2pOPhMhhF2MCnLvq1hKl+Zk0I1sRRy4m60N+gDrTOoanyHclPIzimbSYMGhIceK&#10;Njml99PDKMiO5vqbdN1Pt72+DvvGJFPfJkoN+u16DsJT6//Ff+6dVjAJ68OX8AP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V2KRwQAAANsAAAAPAAAAAAAAAAAAAAAA&#10;AKECAABkcnMvZG93bnJldi54bWxQSwUGAAAAAAQABAD5AAAAjwMAAAAA&#10;" strokecolor="#4f81bd [3204]" strokeweight="2pt">
                  <v:stroke endarrow="open"/>
                  <v:shadow on="t" color="black" opacity="24903f" origin=",.5" offset="0,.55556mm"/>
                </v:shape>
                <v:shape id="Straight Arrow Connector 41" o:spid="_x0000_s1062" type="#_x0000_t32" style="position:absolute;left:34861;top:58293;width:0;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eF5sIAAADbAAAADwAAAGRycy9kb3ducmV2LnhtbESPQYvCMBSE74L/ITxhb5oqq0g1ioiC&#10;sLuCunt/Ns+22ryUJGr99xtB8DjMzDfMdN6YStzI+dKygn4vAUGcWV1yruD3sO6OQfiArLGyTAoe&#10;5GE+a7emmGp75x3d9iEXEcI+RQVFCHUqpc8KMuh7tiaO3sk6gyFKl0vt8B7hppKDJBlJgyXHhQJr&#10;WhaUXfZXo2C4crtFff4+bP+cX19teXQ/5y+lPjrNYgIiUBPe4Vd7oxV89uH5Jf4A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eF5sIAAADbAAAADwAAAAAAAAAAAAAA&#10;AAChAgAAZHJzL2Rvd25yZXYueG1sUEsFBgAAAAAEAAQA+QAAAJADAAAAAA==&#10;" strokecolor="#4f81bd [3204]" strokeweight="2pt">
                  <v:stroke endarrow="open"/>
                  <v:shadow on="t" color="black" opacity="24903f" origin=",.5" offset="0,.55556mm"/>
                </v:shape>
                <v:shape id="Straight Arrow Connector 42" o:spid="_x0000_s1063" type="#_x0000_t32" style="position:absolute;left:54864;top:58286;width:0;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bkcQAAADbAAAADwAAAGRycy9kb3ducmV2LnhtbESPW2sCMRSE3wv+h3AE32pWsaVsjSKi&#10;ILQW1sv76eZ0d+3mZEmyl/57Uyj0cZiZb5jlejC16Mj5yrKC2TQBQZxbXXGh4HLeP76A8AFZY22Z&#10;FPyQh/Vq9LDEVNueM+pOoRARwj5FBWUITSqlz0sy6Ke2IY7el3UGQ5SukNphH+GmlvMkeZYGK44L&#10;JTa0LSn/PrVGwdPOZZvm9n7+uDq/b2316Y63N6Um42HzCiLQEP7Df+2DVrCYw++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RuRxAAAANsAAAAPAAAAAAAAAAAA&#10;AAAAAKECAABkcnMvZG93bnJldi54bWxQSwUGAAAAAAQABAD5AAAAkgMAAAAA&#10;" strokecolor="#4f81bd [3204]" strokeweight="2pt">
                  <v:stroke endarrow="open"/>
                  <v:shadow on="t" color="black" opacity="24903f" origin=",.5" offset="0,.55556mm"/>
                </v:shape>
                <v:shape id="Straight Arrow Connector 43" o:spid="_x0000_s1064" type="#_x0000_t32" style="position:absolute;left:9294;top:74281;width:0;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EWsQAAADbAAAADwAAAGRycy9kb3ducmV2LnhtbESPQWsCMRSE74X+h/AKvYhma6XIahSp&#10;CNJaRC09PzZvN4vJy7JJ1/Xfm4LQ4zAz3zDzZe+s6KgNtWcFL6MMBHHhdc2Vgu/TZjgFESKyRuuZ&#10;FFwpwHLx+DDHXPsLH6g7xkokCIccFZgYm1zKUBhyGEa+IU5e6VuHMcm2krrFS4I7K8dZ9iYd1pwW&#10;DDb0bqg4H3+dgnEst1+fZtd9FGztfrUuafCzV+r5qV/NQETq43/43t5qBZNX+Pu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ZgRaxAAAANsAAAAPAAAAAAAAAAAA&#10;AAAAAKECAABkcnMvZG93bnJldi54bWxQSwUGAAAAAAQABAD5AAAAkgMAAAAA&#10;" strokecolor="#c0504d [3205]" strokeweight="2pt">
                  <v:stroke endarrow="open"/>
                  <v:shadow on="t" color="black" opacity="24903f" origin=",.5" offset="0,.55556mm"/>
                </v:shape>
                <v:shape id="Straight Arrow Connector 44" o:spid="_x0000_s1065" type="#_x0000_t32" style="position:absolute;left:23998;top:74295;width:2;height:2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HcYsEAAADbAAAADwAAAGRycy9kb3ducmV2LnhtbESPQYvCMBSE7wv+h/AEL4umSlm0GkUK&#10;iqdlV8Xzo3k2xealNLHWf78RhD0OM/MNs9r0thYdtb5yrGA6SUAQF05XXCo4n3bjOQgfkDXWjknB&#10;kzxs1oOPFWbaPfiXumMoRYSwz1CBCaHJpPSFIYt+4hri6F1dazFE2ZZSt/iIcFvLWZJ8SYsVxwWD&#10;DeWGitvxbhXM8/3PZdEVn9NvXwY0izz1da7UaNhvlyAC9eE//G4ftII0hde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cdxiwQAAANsAAAAPAAAAAAAAAAAAAAAA&#10;AKECAABkcnMvZG93bnJldi54bWxQSwUGAAAAAAQABAD5AAAAjwMAAAAA&#10;" strokecolor="#c0504d [3205]" strokeweight="2pt">
                  <v:stroke endarrow="open"/>
                  <v:shadow on="t" color="black" opacity="24903f" origin=",.5" offset="0,.55556mm"/>
                </v:shape>
                <v:shape id="Straight Arrow Connector 45" o:spid="_x0000_s1066" type="#_x0000_t32" style="position:absolute;left:40290;top:74284;width:94;height:2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D5cMAAADbAAAADwAAAGRycy9kb3ducmV2LnhtbESPW4vCMBSE3wX/QziCb5q6rMtSjSKy&#10;woIX8PZ+bI5ttTkpSdT6742wsI/DzHzDjKeNqcSdnC8tKxj0ExDEmdUl5woO+0XvG4QPyBory6Tg&#10;SR6mk3ZrjKm2D97SfRdyESHsU1RQhFCnUvqsIIO+b2vi6J2tMxiidLnUDh8Rbir5kSRf0mDJcaHA&#10;muYFZdfdzSgY/rjtrL6s9puj84ubLU9ufVkq1e00sxGIQE34D/+1f7WCzyG8v8QfIC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sg+XDAAAA2wAAAA8AAAAAAAAAAAAA&#10;AAAAoQIAAGRycy9kb3ducmV2LnhtbFBLBQYAAAAABAAEAPkAAACRAwAAAAA=&#10;" strokecolor="#4f81bd [3204]" strokeweight="2pt">
                  <v:stroke endarrow="open"/>
                  <v:shadow on="t" color="black" opacity="24903f" origin=",.5" offset="0,.55556mm"/>
                </v:shape>
                <v:shape id="Straight Arrow Connector 46" o:spid="_x0000_s1067" type="#_x0000_t32" style="position:absolute;left:54859;top:74282;width:5;height:22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JffsUAAADbAAAADwAAAGRycy9kb3ducmV2LnhtbESPQWvCQBSE74L/YXkFb3VTsSJpVimC&#10;xoO0xvaQ4yP7moRm34bsGpP++m6h4HGYmW+YZDuYRvTUudqygqd5BIK4sLrmUsHnx/5xDcJ5ZI2N&#10;ZVIwkoPtZjpJMNb2xhn1F1+KAGEXo4LK+zaW0hUVGXRz2xIH78t2Bn2QXSl1h7cAN41cRNFKGqw5&#10;LFTY0q6i4vtyNQrKzOTndBzfx0P+83bqTfrsh1Sp2cPw+gLC0+Dv4f/2UStYruDv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JffsUAAADbAAAADwAAAAAAAAAA&#10;AAAAAAChAgAAZHJzL2Rvd25yZXYueG1sUEsFBgAAAAAEAAQA+QAAAJMDAAAAAA==&#10;" strokecolor="#4f81bd [3204]" strokeweight="2pt">
                  <v:stroke endarrow="open"/>
                  <v:shadow on="t" color="black" opacity="24903f" origin=",.5" offset="0,.55556mm"/>
                </v:shape>
                <v:roundrect id="Rounded Rectangle 47" o:spid="_x0000_s1068" style="position:absolute;top:60579;width:8001;height:45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S8MIA&#10;AADbAAAADwAAAGRycy9kb3ducmV2LnhtbESPT4vCMBTE78J+h/CEvWmiLCpdo8iCUFkv/rl4e9s8&#10;m2LzUpqo3W9vBMHjMDO/YebLztXiRm2oPGsYDRUI4sKbiksNx8N6MAMRIrLB2jNp+KcAy8VHb46Z&#10;8Xfe0W0fS5EgHDLUYGNsMilDYclhGPqGOHln3zqMSbalNC3eE9zVcqzURDqsOC1YbOjHUnHZX52G&#10;1V+e29kvj+vmtN2oo9koU520/ux3q28Qkbr4Dr/audHwNYXn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5LwwgAAANsAAAAPAAAAAAAAAAAAAAAAAJgCAABkcnMvZG93&#10;bnJldi54bWxQSwUGAAAAAAQABAD1AAAAhwMAAAAA&#10;" fillcolor="white [3201]" strokecolor="#c0504d [3205]" strokeweight="2pt">
                  <v:textbox>
                    <w:txbxContent>
                      <w:p w14:paraId="30609ED7" w14:textId="77777777" w:rsidR="004569F9" w:rsidRPr="007F3044" w:rsidRDefault="004569F9" w:rsidP="007F3044">
                        <w:pPr>
                          <w:pStyle w:val="NormalWeb"/>
                          <w:spacing w:before="0" w:beforeAutospacing="0" w:after="0" w:afterAutospacing="0" w:line="312" w:lineRule="auto"/>
                          <w:rPr>
                            <w:rFonts w:ascii="Tahoma" w:hAnsi="Tahoma" w:cs="Tahoma"/>
                            <w:sz w:val="18"/>
                            <w:szCs w:val="18"/>
                          </w:rPr>
                        </w:pPr>
                        <w:r w:rsidRPr="007F3044">
                          <w:rPr>
                            <w:rFonts w:ascii="Tahoma" w:hAnsi="Tahoma" w:cs="Tahoma"/>
                            <w:sz w:val="18"/>
                            <w:szCs w:val="18"/>
                          </w:rPr>
                          <w:t>AD drugs</w:t>
                        </w:r>
                      </w:p>
                    </w:txbxContent>
                  </v:textbox>
                </v:roundrect>
                <v:roundrect id="Rounded Rectangle 48" o:spid="_x0000_s1069" style="position:absolute;left:30861;top:60591;width:8001;height:4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GYMEA&#10;AADbAAAADwAAAGRycy9kb3ducmV2LnhtbERPTWvCQBC9C/6HZQredNMiNaSuooVAofZg2kOPQ3ZM&#10;gtnZsDvV2F/vHgo9Pt73eju6Xl0oxM6zgcdFBoq49rbjxsDXZznPQUVBtth7JgM3irDdTCdrLKy/&#10;8pEulTQqhXAs0EArMhRax7olh3HhB+LEnXxwKAmGRtuA1xTuev2UZc/aYcepocWBXluqz9WPMxBz&#10;vZfyw9Pheynvu9VvWXEojZk9jLsXUEKj/Iv/3G/WwDKNTV/SD9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ZBmDBAAAA2wAAAA8AAAAAAAAAAAAAAAAAmAIAAGRycy9kb3du&#10;cmV2LnhtbFBLBQYAAAAABAAEAPUAAACGAwAAAAA=&#10;" fillcolor="white [3201]" strokecolor="#4f81bd [3204]" strokeweight="2pt">
                  <v:textbox>
                    <w:txbxContent>
                      <w:p w14:paraId="5DF72C51" w14:textId="77777777" w:rsidR="004569F9" w:rsidRDefault="004569F9" w:rsidP="007F3044">
                        <w:pPr>
                          <w:pStyle w:val="NormalWeb"/>
                          <w:spacing w:before="0" w:beforeAutospacing="0" w:after="0" w:afterAutospacing="0" w:line="312" w:lineRule="auto"/>
                        </w:pPr>
                        <w:r>
                          <w:rPr>
                            <w:rFonts w:ascii="Tahoma" w:hAnsi="Tahoma" w:cs="Tahoma"/>
                            <w:sz w:val="18"/>
                            <w:szCs w:val="18"/>
                          </w:rPr>
                          <w:t>AD drugs</w:t>
                        </w:r>
                      </w:p>
                    </w:txbxContent>
                  </v:textbox>
                </v:roundrect>
                <v:shape id="Straight Arrow Connector 3" o:spid="_x0000_s1070" type="#_x0000_t32" style="position:absolute;left:4000;top:65144;width:5294;height:3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2v38MAAADaAAAADwAAAGRycy9kb3ducmV2LnhtbESPQWsCMRSE7wX/Q3hCL6Vma6HI1iii&#10;FMRaRCueH5u3m6XJy7JJ1/XfG0HwOMzMN8x03jsrOmpD7VnB2ygDQVx4XXOl4Pj79ToBESKyRuuZ&#10;FFwowHw2eJpirv2Z99QdYiUShEOOCkyMTS5lKAw5DCPfECev9K3DmGRbSd3iOcGdleMs+5AOa04L&#10;BhtaGir+Dv9OwTiW659vs+02BVu7W6xKejntlHoe9otPEJH6+Ajf22ut4B1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dr9/DAAAA2gAAAA8AAAAAAAAAAAAA&#10;AAAAoQIAAGRycy9kb3ducmV2LnhtbFBLBQYAAAAABAAEAPkAAACRAwAAAAA=&#10;" strokecolor="#c0504d [3205]" strokeweight="2pt">
                  <v:stroke endarrow="open"/>
                  <v:shadow on="t" color="black" opacity="24903f" origin=",.5" offset="0,.55556mm"/>
                </v:shape>
                <v:shape id="Straight Arrow Connector 4" o:spid="_x0000_s1071" type="#_x0000_t32" style="position:absolute;left:34861;top:65151;width:5429;height:3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WpFMMAAADaAAAADwAAAGRycy9kb3ducmV2LnhtbESP3WrCQBSE7wXfYTmCd7pRbCmpq4go&#10;CP0Bk/b+NHuaRLNnw+6apG/fLRS8HGbmG2a9HUwjOnK+tqxgMU9AEBdW11wq+MiPsycQPiBrbCyT&#10;gh/ysN2MR2tMte35TF0WShEh7FNUUIXQplL6oiKDfm5b4uh9W2cwROlKqR32EW4auUySR2mw5rhQ&#10;YUv7ioprdjMKHg7uvGsvr/n7p/PHm62/3NvlRanpZNg9gwg0hHv4v33SClbwdy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VqRTDAAAA2gAAAA8AAAAAAAAAAAAA&#10;AAAAoQIAAGRycy9kb3ducmV2LnhtbFBLBQYAAAAABAAEAPkAAACRAwAAAAA=&#10;" strokecolor="#4f81bd [3204]" strokeweight="2pt">
                  <v:stroke endarrow="open"/>
                  <v:shadow on="t" color="black" opacity="24903f" origin=",.5" offset="0,.55556mm"/>
                </v:shape>
                <v:shapetype id="_x0000_t33" coordsize="21600,21600" o:spt="33" o:oned="t" path="m,l21600,r,21600e" filled="f">
                  <v:stroke joinstyle="miter"/>
                  <v:path arrowok="t" fillok="f" o:connecttype="none"/>
                  <o:lock v:ext="edit" shapetype="t"/>
                </v:shapetype>
                <v:shape id="Elbow Connector 14" o:spid="_x0000_s1072" type="#_x0000_t33" style="position:absolute;left:12573;top:40577;width:6858;height:514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HR8MAAADbAAAADwAAAGRycy9kb3ducmV2LnhtbERPTWsCMRC9C/6HMEJvmrWIlK1RRFso&#10;2h60tutx2IybrZvJsom6/fdGELzN433OZNbaSpyp8aVjBcNBAoI4d7rkQsHu+73/AsIHZI2VY1Lw&#10;Tx5m025ngql2F97QeRsKEUPYp6jAhFCnUvrckEU/cDVx5A6usRgibAqpG7zEcFvJ5yQZS4slxwaD&#10;NS0M5cftySr4+qs+R2atV78/GWX75dtuni2PSj312vkriEBteIjv7g8d54/g9ks8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6x0fDAAAA2wAAAA8AAAAAAAAAAAAA&#10;AAAAoQIAAGRycy9kb3ducmV2LnhtbFBLBQYAAAAABAAEAPkAAACRAwAAAAA=&#10;" strokecolor="#c0504d [3205]" strokeweight="2pt">
                  <v:stroke endarrow="open"/>
                  <v:shadow on="t" color="black" opacity="24903f" origin=",.5" offset="0,.55556mm"/>
                </v:shape>
                <v:shape id="Elbow Connector 49" o:spid="_x0000_s1073" type="#_x0000_t33" style="position:absolute;left:41148;top:40577;width:4313;height:51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z2FcQAAADbAAAADwAAAGRycy9kb3ducmV2LnhtbESPQWvCQBSE74X+h+UVeqsbRUobXSUE&#10;BA+lNLGgx2f2uQlm34bdrcZ/7xYKPQ4z8w2zXI+2FxfyoXOsYDrJQBA3TndsFHzvNi9vIEJE1tg7&#10;JgU3CrBePT4sMdfuyhVd6mhEgnDIUUEb45BLGZqWLIaJG4iTd3LeYkzSG6k9XhPc9nKWZa/SYsdp&#10;ocWBypaac/1jFXh98NuPw2dtyqoqzHH+VVb7Qqnnp7FYgIg0xv/wX3urFczf4fdL+g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jPYVxAAAANsAAAAPAAAAAAAAAAAA&#10;AAAAAKECAABkcnMvZG93bnJldi54bWxQSwUGAAAAAAQABAD5AAAAkgMAAAAA&#10;" strokecolor="#4f81bd [3204]" strokeweight="2pt">
                  <v:stroke endarrow="open"/>
                  <v:shadow on="t" color="black" opacity="24903f" origin=",.5" offset="0,.55556mm"/>
                </v:shape>
                <v:shapetype id="_x0000_t202" coordsize="21600,21600" o:spt="202" path="m,l,21600r21600,l21600,xe">
                  <v:stroke joinstyle="miter"/>
                  <v:path gradientshapeok="t" o:connecttype="rect"/>
                </v:shapetype>
                <v:shape id="Text Box 50" o:spid="_x0000_s1074" type="#_x0000_t202" style="position:absolute;left:2285;top:38343;width:11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41D2FA05" w14:textId="77777777" w:rsidR="004569F9" w:rsidRPr="00EF323F" w:rsidRDefault="004569F9">
                        <w:pPr>
                          <w:rPr>
                            <w:b/>
                            <w:color w:val="C0504D" w:themeColor="accent2"/>
                          </w:rPr>
                        </w:pPr>
                        <w:r w:rsidRPr="00EF323F">
                          <w:rPr>
                            <w:b/>
                            <w:color w:val="C0504D" w:themeColor="accent2"/>
                          </w:rPr>
                          <w:t>Intervention</w:t>
                        </w:r>
                      </w:p>
                    </w:txbxContent>
                  </v:textbox>
                </v:shape>
                <v:shape id="Text Box 50" o:spid="_x0000_s1075" type="#_x0000_t202" style="position:absolute;left:45461;top:38343;width:11430;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14:paraId="68C037D3" w14:textId="77777777" w:rsidR="004569F9" w:rsidRPr="00EF323F" w:rsidRDefault="004569F9" w:rsidP="00EF323F">
                        <w:pPr>
                          <w:pStyle w:val="NormalWeb"/>
                          <w:spacing w:before="0" w:beforeAutospacing="0" w:after="240" w:afterAutospacing="0" w:line="312" w:lineRule="auto"/>
                          <w:jc w:val="both"/>
                          <w:rPr>
                            <w:color w:val="4F81BD" w:themeColor="accent1"/>
                          </w:rPr>
                        </w:pPr>
                        <w:r w:rsidRPr="00EF323F">
                          <w:rPr>
                            <w:rFonts w:ascii="Tahoma" w:eastAsia="SimSun" w:hAnsi="Tahoma" w:cs="Tahoma"/>
                            <w:b/>
                            <w:bCs/>
                            <w:color w:val="4F81BD" w:themeColor="accent1"/>
                            <w:sz w:val="20"/>
                            <w:szCs w:val="20"/>
                          </w:rPr>
                          <w:t>Comparator</w:t>
                        </w:r>
                      </w:p>
                    </w:txbxContent>
                  </v:textbox>
                </v:shape>
                <w10:anchorlock/>
              </v:group>
            </w:pict>
          </mc:Fallback>
        </mc:AlternateContent>
      </w:r>
    </w:p>
    <w:p w14:paraId="6A273393" w14:textId="77777777" w:rsidR="00440598" w:rsidRDefault="00440598" w:rsidP="008D62B9">
      <w:pPr>
        <w:pStyle w:val="Heading1"/>
      </w:pPr>
      <w:bookmarkStart w:id="29" w:name="_Toc381957861"/>
      <w:r w:rsidRPr="00A34E9C">
        <w:lastRenderedPageBreak/>
        <w:t>Clinical claim</w:t>
      </w:r>
      <w:bookmarkEnd w:id="29"/>
    </w:p>
    <w:p w14:paraId="7CF28CCE" w14:textId="09F64B83" w:rsidR="00F2151A" w:rsidRDefault="00EF323F" w:rsidP="00E913D4">
      <w:r>
        <w:t xml:space="preserve">For people with cognitive impairment who have undergone specialist assessment for suspected Alzheimer’s disease including clinical assessment, structural imaging (MRI) and routine blood tests, and in whom the diagnosis remains inconclusive, FDG PET imaging </w:t>
      </w:r>
      <w:r w:rsidR="00563C92">
        <w:t>may</w:t>
      </w:r>
      <w:r>
        <w:t xml:space="preserve"> provide a definitive diagnosis. </w:t>
      </w:r>
    </w:p>
    <w:p w14:paraId="0010A517" w14:textId="77777777" w:rsidR="00E913D4" w:rsidRDefault="00EF323F" w:rsidP="00E913D4">
      <w:r>
        <w:t xml:space="preserve">The potential advantages of FDG PET </w:t>
      </w:r>
      <w:r w:rsidR="0066306A">
        <w:t>compared to SPECT in this indication are:</w:t>
      </w:r>
    </w:p>
    <w:p w14:paraId="199A065A" w14:textId="77777777" w:rsidR="0066306A" w:rsidRDefault="00541A22" w:rsidP="00B42469">
      <w:pPr>
        <w:pStyle w:val="ListParagraph"/>
        <w:numPr>
          <w:ilvl w:val="0"/>
          <w:numId w:val="23"/>
        </w:numPr>
      </w:pPr>
      <w:r>
        <w:t>Improved patient selection</w:t>
      </w:r>
    </w:p>
    <w:p w14:paraId="44F25781" w14:textId="77777777" w:rsidR="00541A22" w:rsidRDefault="00541A22" w:rsidP="00B42469">
      <w:pPr>
        <w:pStyle w:val="ListParagraph"/>
        <w:numPr>
          <w:ilvl w:val="1"/>
          <w:numId w:val="23"/>
        </w:numPr>
      </w:pPr>
      <w:r>
        <w:t xml:space="preserve">Detects more true positives and fewer false negatives for the presence of Alzheimer’s disease than SPECT </w:t>
      </w:r>
    </w:p>
    <w:p w14:paraId="2013C8D3" w14:textId="77777777" w:rsidR="00541A22" w:rsidRDefault="00541A22" w:rsidP="00B42469">
      <w:pPr>
        <w:pStyle w:val="ListParagraph"/>
        <w:numPr>
          <w:ilvl w:val="1"/>
          <w:numId w:val="23"/>
        </w:numPr>
      </w:pPr>
      <w:r>
        <w:t>Detects more true negatives and fewer false positives for the presence of Alzheimer’s disease than SPECT</w:t>
      </w:r>
    </w:p>
    <w:p w14:paraId="320C0991" w14:textId="77777777" w:rsidR="00541A22" w:rsidRDefault="00541A22" w:rsidP="00B42469">
      <w:pPr>
        <w:pStyle w:val="ListParagraph"/>
        <w:numPr>
          <w:ilvl w:val="1"/>
          <w:numId w:val="23"/>
        </w:numPr>
      </w:pPr>
      <w:r>
        <w:t>Leads to changes in treatment as a consequence of diagnosis (</w:t>
      </w:r>
      <w:proofErr w:type="spellStart"/>
      <w:r>
        <w:t>ie</w:t>
      </w:r>
      <w:proofErr w:type="spellEnd"/>
      <w:r>
        <w:t xml:space="preserve"> Alzheimer’s specific therapies) </w:t>
      </w:r>
    </w:p>
    <w:p w14:paraId="12D7BB06" w14:textId="77777777" w:rsidR="00541A22" w:rsidRDefault="00541A22" w:rsidP="00B42469">
      <w:pPr>
        <w:pStyle w:val="ListParagraph"/>
        <w:numPr>
          <w:ilvl w:val="1"/>
          <w:numId w:val="23"/>
        </w:numPr>
      </w:pPr>
      <w:r>
        <w:t>Leads to changes in treatment as a consequence of a differential diagnosis (</w:t>
      </w:r>
      <w:proofErr w:type="spellStart"/>
      <w:r>
        <w:t>ie</w:t>
      </w:r>
      <w:proofErr w:type="spellEnd"/>
      <w:r>
        <w:t>. Alzheimer’s specific therapies avoided)</w:t>
      </w:r>
    </w:p>
    <w:p w14:paraId="792E8342" w14:textId="77777777" w:rsidR="00541A22" w:rsidRDefault="00541A22" w:rsidP="00B42469">
      <w:pPr>
        <w:pStyle w:val="ListParagraph"/>
        <w:numPr>
          <w:ilvl w:val="1"/>
          <w:numId w:val="23"/>
        </w:numPr>
      </w:pPr>
      <w:r>
        <w:t>Improves patient outcomes by providing the optimal treatment strategy to patients who otherwise would have had a delayed/missed opportunity for optimal first line treatment.</w:t>
      </w:r>
    </w:p>
    <w:p w14:paraId="086E7005" w14:textId="77777777" w:rsidR="00541A22" w:rsidRDefault="00541A22" w:rsidP="00541A22">
      <w:pPr>
        <w:pStyle w:val="ListParagraph"/>
        <w:ind w:left="1440"/>
      </w:pPr>
    </w:p>
    <w:p w14:paraId="0FCC18CE" w14:textId="77777777" w:rsidR="0066306A" w:rsidRDefault="0066306A" w:rsidP="00E913D4">
      <w:r>
        <w:t>The potential disadvantages of FDG PET compared to SPECT in this indication are:</w:t>
      </w:r>
    </w:p>
    <w:p w14:paraId="23E05807" w14:textId="77777777" w:rsidR="00541A22" w:rsidRDefault="00541A22" w:rsidP="00B42469">
      <w:pPr>
        <w:pStyle w:val="ListParagraph"/>
        <w:numPr>
          <w:ilvl w:val="0"/>
          <w:numId w:val="24"/>
        </w:numPr>
      </w:pPr>
      <w:r>
        <w:t>False positive diagnosis of Alzheimer’s disease, leading to inappropriate treatment with no clinical benefit and the risk of adverse events</w:t>
      </w:r>
    </w:p>
    <w:p w14:paraId="709DB911" w14:textId="77777777" w:rsidR="00541A22" w:rsidRDefault="00541A22" w:rsidP="00B42469">
      <w:pPr>
        <w:pStyle w:val="ListParagraph"/>
        <w:numPr>
          <w:ilvl w:val="0"/>
          <w:numId w:val="24"/>
        </w:numPr>
      </w:pPr>
      <w:r>
        <w:t>False negative diagnosis of Alzheimer’s disease leading to a missed opportunity for optimal treatment</w:t>
      </w:r>
    </w:p>
    <w:p w14:paraId="6DD1A7AD" w14:textId="77777777" w:rsidR="00F2151A" w:rsidRDefault="00541A22" w:rsidP="00B42469">
      <w:pPr>
        <w:pStyle w:val="ListParagraph"/>
        <w:numPr>
          <w:ilvl w:val="0"/>
          <w:numId w:val="24"/>
        </w:numPr>
      </w:pPr>
      <w:r>
        <w:t>Higher cost</w:t>
      </w:r>
    </w:p>
    <w:p w14:paraId="1F1A8445" w14:textId="77777777" w:rsidR="00541A22" w:rsidRDefault="00541A22" w:rsidP="00B42469">
      <w:pPr>
        <w:pStyle w:val="ListParagraph"/>
        <w:numPr>
          <w:ilvl w:val="0"/>
          <w:numId w:val="24"/>
        </w:numPr>
      </w:pPr>
      <w:r>
        <w:t>Availability and access to PET facilities may be restricted (equity).</w:t>
      </w:r>
    </w:p>
    <w:p w14:paraId="57511E9C" w14:textId="17D1D8F2" w:rsidR="00B42469" w:rsidRPr="00B42469" w:rsidRDefault="00B42469" w:rsidP="00B42469">
      <w:pPr>
        <w:rPr>
          <w:lang w:val="en-GB" w:eastAsia="ja-JP"/>
        </w:rPr>
      </w:pPr>
      <w:bookmarkStart w:id="30" w:name="_Ref283288109"/>
      <w:bookmarkStart w:id="31" w:name="_Ref372208147"/>
      <w:bookmarkStart w:id="32" w:name="_Toc372206671"/>
      <w:r>
        <w:rPr>
          <w:lang w:val="en-GB" w:eastAsia="ja-JP"/>
        </w:rPr>
        <w:t>Based on these clinical claims, FDG PET is proposed to be non-inferior to SPECT with respect to safety and superior with respect to effectiveness, therefore a cost-effectiveness analysis or cost-utility analysis would be expected to be undertaken (</w:t>
      </w:r>
      <w:r w:rsidR="00FA7B05">
        <w:t xml:space="preserve">Table </w:t>
      </w:r>
      <w:r w:rsidR="00FA7B05">
        <w:rPr>
          <w:noProof/>
        </w:rPr>
        <w:t>3</w:t>
      </w:r>
      <w:r>
        <w:rPr>
          <w:lang w:val="en-GB" w:eastAsia="ja-JP"/>
        </w:rPr>
        <w:t>).</w:t>
      </w:r>
    </w:p>
    <w:p w14:paraId="5E1034D1" w14:textId="77777777" w:rsidR="00B42469" w:rsidRDefault="00B42469">
      <w:pPr>
        <w:spacing w:after="200" w:line="276" w:lineRule="auto"/>
        <w:jc w:val="left"/>
        <w:rPr>
          <w:rFonts w:ascii="Arial Narrow" w:eastAsia="Times New Roman" w:hAnsi="Arial Narrow"/>
          <w:b/>
          <w:lang w:val="en-GB" w:eastAsia="ja-JP"/>
        </w:rPr>
      </w:pPr>
      <w:r>
        <w:br w:type="page"/>
      </w:r>
    </w:p>
    <w:p w14:paraId="2EC71037" w14:textId="5583F5DA" w:rsidR="00440598" w:rsidRDefault="00440598" w:rsidP="008D62B9">
      <w:pPr>
        <w:pStyle w:val="Caption"/>
      </w:pPr>
      <w:bookmarkStart w:id="33" w:name="_Ref381960455"/>
      <w:bookmarkStart w:id="34" w:name="_Toc381957945"/>
      <w:r>
        <w:lastRenderedPageBreak/>
        <w:t xml:space="preserve">Table </w:t>
      </w:r>
      <w:r w:rsidR="00FA7B05">
        <w:rPr>
          <w:noProof/>
        </w:rPr>
        <w:t>3</w:t>
      </w:r>
      <w:bookmarkEnd w:id="30"/>
      <w:bookmarkEnd w:id="31"/>
      <w:bookmarkEnd w:id="33"/>
      <w:r w:rsidR="005242EC">
        <w:t>:</w:t>
      </w:r>
      <w:r w:rsidR="005242EC">
        <w:tab/>
      </w:r>
      <w:r>
        <w:t>Classification of an intervention for determination of economic evaluation to be presented</w:t>
      </w:r>
      <w:bookmarkEnd w:id="32"/>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440598" w:rsidRPr="00882200" w14:paraId="06B78BA6" w14:textId="77777777" w:rsidTr="008D62B9">
        <w:tc>
          <w:tcPr>
            <w:tcW w:w="1756" w:type="dxa"/>
            <w:gridSpan w:val="2"/>
            <w:vMerge w:val="restart"/>
          </w:tcPr>
          <w:p w14:paraId="25C5E31A" w14:textId="77777777" w:rsidR="00440598" w:rsidRPr="00FE705C" w:rsidRDefault="00440598" w:rsidP="008D62B9">
            <w:pPr>
              <w:keepNext/>
              <w:tabs>
                <w:tab w:val="left" w:pos="2835"/>
              </w:tabs>
              <w:spacing w:after="0" w:line="240" w:lineRule="auto"/>
              <w:rPr>
                <w:rFonts w:ascii="Arial Narrow" w:hAnsi="Arial Narrow"/>
                <w:lang w:val="en-GB" w:eastAsia="ja-JP"/>
              </w:rPr>
            </w:pPr>
          </w:p>
        </w:tc>
        <w:tc>
          <w:tcPr>
            <w:tcW w:w="7384" w:type="dxa"/>
            <w:gridSpan w:val="5"/>
          </w:tcPr>
          <w:p w14:paraId="33A61D1C" w14:textId="77777777" w:rsidR="00440598" w:rsidRPr="00FE705C" w:rsidRDefault="00440598" w:rsidP="008D62B9">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440598" w:rsidRPr="00882200" w14:paraId="17DA717B" w14:textId="77777777" w:rsidTr="008D62B9">
        <w:tc>
          <w:tcPr>
            <w:tcW w:w="1756" w:type="dxa"/>
            <w:gridSpan w:val="2"/>
            <w:vMerge/>
          </w:tcPr>
          <w:p w14:paraId="4A7515ED" w14:textId="77777777" w:rsidR="00440598" w:rsidRPr="00FE705C" w:rsidRDefault="00440598" w:rsidP="008D62B9">
            <w:pPr>
              <w:keepNext/>
              <w:tabs>
                <w:tab w:val="left" w:pos="2835"/>
              </w:tabs>
              <w:spacing w:after="0" w:line="240" w:lineRule="auto"/>
              <w:rPr>
                <w:rFonts w:ascii="Arial Narrow" w:hAnsi="Arial Narrow"/>
                <w:lang w:val="en-GB" w:eastAsia="ja-JP"/>
              </w:rPr>
            </w:pPr>
          </w:p>
        </w:tc>
        <w:tc>
          <w:tcPr>
            <w:tcW w:w="2560" w:type="dxa"/>
            <w:gridSpan w:val="2"/>
            <w:vAlign w:val="center"/>
          </w:tcPr>
          <w:p w14:paraId="08D70EE6" w14:textId="77777777" w:rsidR="00440598" w:rsidRPr="00FE705C" w:rsidRDefault="00440598" w:rsidP="008D62B9">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14:paraId="3D635350" w14:textId="77777777" w:rsidR="00440598" w:rsidRPr="00FE705C" w:rsidRDefault="00440598" w:rsidP="008D62B9">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14:paraId="26800206" w14:textId="77777777" w:rsidR="00440598" w:rsidRPr="00FE705C" w:rsidRDefault="00440598" w:rsidP="008D62B9">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440598" w:rsidRPr="00882200" w14:paraId="1D08B996" w14:textId="77777777" w:rsidTr="008D62B9">
        <w:trPr>
          <w:cantSplit/>
          <w:trHeight w:val="20"/>
        </w:trPr>
        <w:tc>
          <w:tcPr>
            <w:tcW w:w="671" w:type="dxa"/>
            <w:vMerge w:val="restart"/>
            <w:textDirection w:val="btLr"/>
            <w:vAlign w:val="center"/>
          </w:tcPr>
          <w:p w14:paraId="3240323C" w14:textId="77777777" w:rsidR="00440598" w:rsidRPr="00FE705C" w:rsidRDefault="00440598" w:rsidP="008D62B9">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14:paraId="63D3E443" w14:textId="77777777" w:rsidR="00440598" w:rsidRPr="00FE705C" w:rsidRDefault="00440598" w:rsidP="008D62B9">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vAlign w:val="center"/>
          </w:tcPr>
          <w:p w14:paraId="52E8CE95" w14:textId="77777777" w:rsidR="00440598" w:rsidRPr="00FE705C" w:rsidRDefault="00440598" w:rsidP="008D62B9">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484A07B7" w14:textId="77777777" w:rsidR="00440598" w:rsidRPr="00FE705C" w:rsidRDefault="00440598" w:rsidP="008D62B9">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14:paraId="5B16CC4C" w14:textId="77777777" w:rsidR="00440598" w:rsidRPr="00FE705C" w:rsidRDefault="00440598" w:rsidP="008D62B9">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14:paraId="14A87121" w14:textId="77777777" w:rsidR="00440598" w:rsidRPr="00FE705C" w:rsidRDefault="00440598" w:rsidP="008D62B9">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440598" w:rsidRPr="00882200" w14:paraId="135CC5D0" w14:textId="77777777" w:rsidTr="008D62B9">
        <w:trPr>
          <w:cantSplit/>
          <w:trHeight w:val="20"/>
        </w:trPr>
        <w:tc>
          <w:tcPr>
            <w:tcW w:w="671" w:type="dxa"/>
            <w:vMerge/>
          </w:tcPr>
          <w:p w14:paraId="72C4649D" w14:textId="77777777" w:rsidR="00440598" w:rsidRPr="00FE705C" w:rsidRDefault="00440598" w:rsidP="008D62B9">
            <w:pPr>
              <w:tabs>
                <w:tab w:val="left" w:pos="2835"/>
              </w:tabs>
              <w:spacing w:after="0" w:line="240" w:lineRule="auto"/>
              <w:rPr>
                <w:rFonts w:ascii="Arial Narrow" w:hAnsi="Arial Narrow"/>
                <w:lang w:val="en-GB" w:eastAsia="ja-JP"/>
              </w:rPr>
            </w:pPr>
          </w:p>
        </w:tc>
        <w:tc>
          <w:tcPr>
            <w:tcW w:w="1085" w:type="dxa"/>
            <w:vMerge/>
            <w:vAlign w:val="center"/>
          </w:tcPr>
          <w:p w14:paraId="7354D2EB" w14:textId="77777777" w:rsidR="00440598" w:rsidRPr="00FE705C" w:rsidRDefault="00440598" w:rsidP="008D62B9">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14:paraId="182C7331" w14:textId="77777777" w:rsidR="00440598" w:rsidRPr="00FE705C" w:rsidRDefault="00440598" w:rsidP="008D62B9">
            <w:pPr>
              <w:tabs>
                <w:tab w:val="left" w:pos="2835"/>
              </w:tabs>
              <w:spacing w:after="0" w:line="240" w:lineRule="auto"/>
              <w:jc w:val="center"/>
              <w:rPr>
                <w:rFonts w:ascii="Arial Narrow" w:hAnsi="Arial Narrow"/>
                <w:lang w:val="en-GB" w:eastAsia="ja-JP"/>
              </w:rPr>
            </w:pPr>
          </w:p>
        </w:tc>
        <w:tc>
          <w:tcPr>
            <w:tcW w:w="2369" w:type="dxa"/>
            <w:vMerge/>
            <w:vAlign w:val="center"/>
          </w:tcPr>
          <w:p w14:paraId="7C4BCEFA" w14:textId="77777777" w:rsidR="00440598" w:rsidRPr="00FE705C" w:rsidRDefault="00440598" w:rsidP="008D62B9">
            <w:pPr>
              <w:tabs>
                <w:tab w:val="left" w:pos="2835"/>
              </w:tabs>
              <w:spacing w:after="0" w:line="240" w:lineRule="auto"/>
              <w:jc w:val="center"/>
              <w:rPr>
                <w:rFonts w:ascii="Arial Narrow" w:hAnsi="Arial Narrow"/>
                <w:lang w:val="en-GB" w:eastAsia="ja-JP"/>
              </w:rPr>
            </w:pPr>
          </w:p>
        </w:tc>
        <w:tc>
          <w:tcPr>
            <w:tcW w:w="1548" w:type="dxa"/>
          </w:tcPr>
          <w:p w14:paraId="03504529" w14:textId="77777777" w:rsidR="00440598" w:rsidRPr="00FE705C" w:rsidRDefault="00440598" w:rsidP="008D62B9">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14:paraId="3979DE95" w14:textId="77777777" w:rsidR="00440598" w:rsidRPr="00FE705C" w:rsidRDefault="00440598" w:rsidP="008D62B9">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440598" w:rsidRPr="00882200" w14:paraId="7946DDC6" w14:textId="77777777" w:rsidTr="008D62B9">
        <w:trPr>
          <w:cantSplit/>
          <w:trHeight w:val="20"/>
        </w:trPr>
        <w:tc>
          <w:tcPr>
            <w:tcW w:w="671" w:type="dxa"/>
            <w:vMerge/>
          </w:tcPr>
          <w:p w14:paraId="691D7235" w14:textId="77777777" w:rsidR="00440598" w:rsidRPr="00FE705C" w:rsidRDefault="00440598" w:rsidP="008D62B9">
            <w:pPr>
              <w:tabs>
                <w:tab w:val="left" w:pos="2835"/>
              </w:tabs>
              <w:spacing w:after="0" w:line="240" w:lineRule="auto"/>
              <w:rPr>
                <w:rFonts w:ascii="Arial Narrow" w:hAnsi="Arial Narrow"/>
                <w:lang w:val="en-GB" w:eastAsia="ja-JP"/>
              </w:rPr>
            </w:pPr>
          </w:p>
        </w:tc>
        <w:tc>
          <w:tcPr>
            <w:tcW w:w="1085" w:type="dxa"/>
            <w:vMerge/>
            <w:vAlign w:val="center"/>
          </w:tcPr>
          <w:p w14:paraId="29B35D8E" w14:textId="77777777" w:rsidR="00440598" w:rsidRPr="00FE705C" w:rsidRDefault="00440598" w:rsidP="008D62B9">
            <w:pPr>
              <w:tabs>
                <w:tab w:val="left" w:pos="2835"/>
              </w:tabs>
              <w:spacing w:after="0" w:line="240" w:lineRule="auto"/>
              <w:jc w:val="left"/>
              <w:rPr>
                <w:rFonts w:ascii="Arial Narrow" w:hAnsi="Arial Narrow"/>
                <w:u w:val="single"/>
                <w:lang w:val="en-GB" w:eastAsia="ja-JP"/>
              </w:rPr>
            </w:pPr>
          </w:p>
        </w:tc>
        <w:tc>
          <w:tcPr>
            <w:tcW w:w="2560" w:type="dxa"/>
            <w:gridSpan w:val="2"/>
            <w:vMerge/>
            <w:tcBorders>
              <w:bottom w:val="single" w:sz="4" w:space="0" w:color="auto"/>
            </w:tcBorders>
            <w:vAlign w:val="center"/>
          </w:tcPr>
          <w:p w14:paraId="6118E58E" w14:textId="77777777" w:rsidR="00440598" w:rsidRPr="00FE705C" w:rsidRDefault="00440598" w:rsidP="008D62B9">
            <w:pPr>
              <w:tabs>
                <w:tab w:val="left" w:pos="2835"/>
              </w:tabs>
              <w:spacing w:after="0" w:line="240" w:lineRule="auto"/>
              <w:jc w:val="center"/>
              <w:rPr>
                <w:rFonts w:ascii="Arial Narrow" w:hAnsi="Arial Narrow"/>
                <w:lang w:val="en-GB" w:eastAsia="ja-JP"/>
              </w:rPr>
            </w:pPr>
          </w:p>
        </w:tc>
        <w:tc>
          <w:tcPr>
            <w:tcW w:w="2369" w:type="dxa"/>
            <w:vMerge/>
            <w:vAlign w:val="center"/>
          </w:tcPr>
          <w:p w14:paraId="132B51AE" w14:textId="77777777" w:rsidR="00440598" w:rsidRPr="00FE705C" w:rsidRDefault="00440598" w:rsidP="008D62B9">
            <w:pPr>
              <w:tabs>
                <w:tab w:val="left" w:pos="2835"/>
              </w:tabs>
              <w:spacing w:after="0" w:line="240" w:lineRule="auto"/>
              <w:jc w:val="center"/>
              <w:rPr>
                <w:rFonts w:ascii="Arial Narrow" w:hAnsi="Arial Narrow"/>
                <w:lang w:val="en-GB" w:eastAsia="ja-JP"/>
              </w:rPr>
            </w:pPr>
          </w:p>
        </w:tc>
        <w:tc>
          <w:tcPr>
            <w:tcW w:w="1548" w:type="dxa"/>
          </w:tcPr>
          <w:p w14:paraId="7FE9328F" w14:textId="77777777" w:rsidR="00440598" w:rsidRPr="00FE705C" w:rsidRDefault="00440598" w:rsidP="008D62B9">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14:paraId="30459A8D" w14:textId="77777777" w:rsidR="00440598" w:rsidRPr="00FE705C" w:rsidRDefault="00440598" w:rsidP="008D62B9">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440598" w:rsidRPr="00882200" w14:paraId="0665BE0A" w14:textId="77777777" w:rsidTr="008D62B9">
        <w:trPr>
          <w:cantSplit/>
          <w:trHeight w:val="750"/>
        </w:trPr>
        <w:tc>
          <w:tcPr>
            <w:tcW w:w="671" w:type="dxa"/>
            <w:vMerge/>
          </w:tcPr>
          <w:p w14:paraId="2EB6EADE" w14:textId="77777777" w:rsidR="00440598" w:rsidRPr="00FE705C" w:rsidRDefault="00440598" w:rsidP="008D62B9">
            <w:pPr>
              <w:tabs>
                <w:tab w:val="left" w:pos="2835"/>
              </w:tabs>
              <w:spacing w:after="0" w:line="240" w:lineRule="auto"/>
              <w:rPr>
                <w:rFonts w:ascii="Arial Narrow" w:hAnsi="Arial Narrow"/>
                <w:lang w:val="en-GB" w:eastAsia="ja-JP"/>
              </w:rPr>
            </w:pPr>
          </w:p>
        </w:tc>
        <w:tc>
          <w:tcPr>
            <w:tcW w:w="1085" w:type="dxa"/>
            <w:vAlign w:val="center"/>
          </w:tcPr>
          <w:p w14:paraId="3A5D1CE4" w14:textId="77777777" w:rsidR="00440598" w:rsidRPr="00FE705C" w:rsidRDefault="00440598" w:rsidP="008D62B9">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shd w:val="clear" w:color="auto" w:fill="D9D9D9" w:themeFill="background1" w:themeFillShade="D9"/>
            <w:vAlign w:val="center"/>
          </w:tcPr>
          <w:p w14:paraId="212A334B" w14:textId="77777777" w:rsidR="00440598" w:rsidRPr="00FE705C" w:rsidRDefault="00440598" w:rsidP="008D62B9">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14:paraId="6AFE7D44" w14:textId="77777777" w:rsidR="00440598" w:rsidRPr="00FE705C" w:rsidRDefault="00440598" w:rsidP="008D62B9">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14:paraId="40187C4F" w14:textId="77777777" w:rsidR="00440598" w:rsidRPr="00FE705C" w:rsidRDefault="00440598" w:rsidP="008D62B9">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440598" w:rsidRPr="00882200" w14:paraId="01B0BD31" w14:textId="77777777" w:rsidTr="008D62B9">
        <w:trPr>
          <w:cantSplit/>
          <w:trHeight w:val="20"/>
        </w:trPr>
        <w:tc>
          <w:tcPr>
            <w:tcW w:w="671" w:type="dxa"/>
            <w:vMerge/>
          </w:tcPr>
          <w:p w14:paraId="08384939" w14:textId="77777777" w:rsidR="00440598" w:rsidRPr="00FE705C" w:rsidRDefault="00440598" w:rsidP="008D62B9">
            <w:pPr>
              <w:tabs>
                <w:tab w:val="left" w:pos="2835"/>
              </w:tabs>
              <w:spacing w:after="0" w:line="240" w:lineRule="auto"/>
              <w:rPr>
                <w:rFonts w:ascii="Arial Narrow" w:hAnsi="Arial Narrow"/>
                <w:lang w:val="en-GB" w:eastAsia="ja-JP"/>
              </w:rPr>
            </w:pPr>
          </w:p>
        </w:tc>
        <w:tc>
          <w:tcPr>
            <w:tcW w:w="1085" w:type="dxa"/>
            <w:vMerge w:val="restart"/>
            <w:vAlign w:val="center"/>
          </w:tcPr>
          <w:p w14:paraId="725DBD09" w14:textId="77777777" w:rsidR="00440598" w:rsidRPr="00FE705C" w:rsidRDefault="00440598" w:rsidP="008D62B9">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14:paraId="1129FE5B" w14:textId="77777777" w:rsidR="00440598" w:rsidRPr="00FE705C" w:rsidRDefault="00440598" w:rsidP="008D62B9">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14:paraId="130F94BF" w14:textId="77777777" w:rsidR="00440598" w:rsidRPr="00FE705C" w:rsidRDefault="00440598" w:rsidP="008D62B9">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57CA12E4" w14:textId="77777777" w:rsidR="00440598" w:rsidRPr="00FE705C" w:rsidRDefault="00440598" w:rsidP="008D62B9">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14:paraId="7E4394CF" w14:textId="77777777" w:rsidR="00440598" w:rsidRPr="00FE705C" w:rsidRDefault="00440598" w:rsidP="008D62B9">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440598" w:rsidRPr="00882200" w14:paraId="6CA25EE8" w14:textId="77777777" w:rsidTr="008D62B9">
        <w:trPr>
          <w:trHeight w:val="20"/>
        </w:trPr>
        <w:tc>
          <w:tcPr>
            <w:tcW w:w="671" w:type="dxa"/>
            <w:vMerge/>
          </w:tcPr>
          <w:p w14:paraId="7456BB2B" w14:textId="77777777" w:rsidR="00440598" w:rsidRPr="00FE705C" w:rsidRDefault="00440598" w:rsidP="008D62B9">
            <w:pPr>
              <w:tabs>
                <w:tab w:val="left" w:pos="2835"/>
              </w:tabs>
              <w:spacing w:after="0" w:line="240" w:lineRule="auto"/>
              <w:rPr>
                <w:rFonts w:ascii="Arial Narrow" w:hAnsi="Arial Narrow"/>
                <w:lang w:val="en-GB" w:eastAsia="ja-JP"/>
              </w:rPr>
            </w:pPr>
          </w:p>
        </w:tc>
        <w:tc>
          <w:tcPr>
            <w:tcW w:w="1085" w:type="dxa"/>
            <w:vMerge/>
          </w:tcPr>
          <w:p w14:paraId="3E574D92" w14:textId="77777777" w:rsidR="00440598" w:rsidRPr="00FE705C" w:rsidRDefault="00440598" w:rsidP="008D62B9">
            <w:pPr>
              <w:tabs>
                <w:tab w:val="left" w:pos="2835"/>
              </w:tabs>
              <w:spacing w:after="0" w:line="240" w:lineRule="auto"/>
              <w:rPr>
                <w:rFonts w:ascii="Arial Narrow" w:hAnsi="Arial Narrow"/>
                <w:lang w:val="en-GB" w:eastAsia="ja-JP"/>
              </w:rPr>
            </w:pPr>
          </w:p>
        </w:tc>
        <w:tc>
          <w:tcPr>
            <w:tcW w:w="1583" w:type="dxa"/>
            <w:vAlign w:val="center"/>
          </w:tcPr>
          <w:p w14:paraId="3647A8A4" w14:textId="77777777" w:rsidR="00440598" w:rsidRPr="00FE705C" w:rsidRDefault="00440598" w:rsidP="008D62B9">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14:paraId="761D63CE" w14:textId="77777777" w:rsidR="00440598" w:rsidRPr="00FE705C" w:rsidRDefault="00440598" w:rsidP="008D62B9">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14:paraId="608AD9EF" w14:textId="77777777" w:rsidR="00440598" w:rsidRPr="00FE705C" w:rsidRDefault="00440598" w:rsidP="008D62B9">
            <w:pPr>
              <w:tabs>
                <w:tab w:val="left" w:pos="2835"/>
              </w:tabs>
              <w:spacing w:after="0" w:line="240" w:lineRule="auto"/>
              <w:jc w:val="center"/>
              <w:rPr>
                <w:rFonts w:ascii="Arial Narrow" w:hAnsi="Arial Narrow"/>
                <w:lang w:val="en-GB" w:eastAsia="ja-JP"/>
              </w:rPr>
            </w:pPr>
          </w:p>
        </w:tc>
        <w:tc>
          <w:tcPr>
            <w:tcW w:w="2455" w:type="dxa"/>
            <w:gridSpan w:val="2"/>
            <w:vMerge/>
          </w:tcPr>
          <w:p w14:paraId="49D788A8" w14:textId="77777777" w:rsidR="00440598" w:rsidRPr="00FE705C" w:rsidRDefault="00440598" w:rsidP="008D62B9">
            <w:pPr>
              <w:tabs>
                <w:tab w:val="left" w:pos="2835"/>
              </w:tabs>
              <w:spacing w:after="0" w:line="240" w:lineRule="auto"/>
              <w:rPr>
                <w:rFonts w:ascii="Arial Narrow" w:hAnsi="Arial Narrow"/>
                <w:lang w:val="en-GB" w:eastAsia="ja-JP"/>
              </w:rPr>
            </w:pPr>
          </w:p>
        </w:tc>
      </w:tr>
      <w:tr w:rsidR="00440598" w:rsidRPr="00882200" w14:paraId="4C9BE306" w14:textId="77777777" w:rsidTr="008D62B9">
        <w:trPr>
          <w:trHeight w:val="20"/>
        </w:trPr>
        <w:tc>
          <w:tcPr>
            <w:tcW w:w="671" w:type="dxa"/>
            <w:vMerge/>
          </w:tcPr>
          <w:p w14:paraId="2C1FEE3B" w14:textId="77777777" w:rsidR="00440598" w:rsidRPr="00FE705C" w:rsidRDefault="00440598" w:rsidP="008D62B9">
            <w:pPr>
              <w:tabs>
                <w:tab w:val="left" w:pos="2835"/>
              </w:tabs>
              <w:spacing w:after="0" w:line="240" w:lineRule="auto"/>
              <w:rPr>
                <w:rFonts w:ascii="Arial Narrow" w:hAnsi="Arial Narrow"/>
                <w:lang w:val="en-GB" w:eastAsia="ja-JP"/>
              </w:rPr>
            </w:pPr>
          </w:p>
        </w:tc>
        <w:tc>
          <w:tcPr>
            <w:tcW w:w="1085" w:type="dxa"/>
            <w:vMerge/>
          </w:tcPr>
          <w:p w14:paraId="60032253" w14:textId="77777777" w:rsidR="00440598" w:rsidRPr="00FE705C" w:rsidRDefault="00440598" w:rsidP="008D62B9">
            <w:pPr>
              <w:tabs>
                <w:tab w:val="left" w:pos="2835"/>
              </w:tabs>
              <w:spacing w:after="0" w:line="240" w:lineRule="auto"/>
              <w:rPr>
                <w:rFonts w:ascii="Arial Narrow" w:hAnsi="Arial Narrow"/>
                <w:lang w:val="en-GB" w:eastAsia="ja-JP"/>
              </w:rPr>
            </w:pPr>
          </w:p>
        </w:tc>
        <w:tc>
          <w:tcPr>
            <w:tcW w:w="1583" w:type="dxa"/>
            <w:vAlign w:val="center"/>
          </w:tcPr>
          <w:p w14:paraId="7348C2A2" w14:textId="77777777" w:rsidR="00440598" w:rsidRPr="00FE705C" w:rsidRDefault="00440598" w:rsidP="008D62B9">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14:paraId="495FC40D" w14:textId="77777777" w:rsidR="00440598" w:rsidRPr="00FE705C" w:rsidRDefault="00440598" w:rsidP="008D62B9">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14:paraId="79F102A8" w14:textId="77777777" w:rsidR="00440598" w:rsidRPr="00FE705C" w:rsidRDefault="00440598" w:rsidP="008D62B9">
            <w:pPr>
              <w:tabs>
                <w:tab w:val="left" w:pos="2835"/>
              </w:tabs>
              <w:spacing w:after="0" w:line="240" w:lineRule="auto"/>
              <w:jc w:val="center"/>
              <w:rPr>
                <w:rFonts w:ascii="Arial Narrow" w:hAnsi="Arial Narrow"/>
                <w:lang w:val="en-GB" w:eastAsia="ja-JP"/>
              </w:rPr>
            </w:pPr>
          </w:p>
        </w:tc>
        <w:tc>
          <w:tcPr>
            <w:tcW w:w="2455" w:type="dxa"/>
            <w:gridSpan w:val="2"/>
            <w:vMerge/>
          </w:tcPr>
          <w:p w14:paraId="2DFFE25D" w14:textId="77777777" w:rsidR="00440598" w:rsidRPr="00FE705C" w:rsidRDefault="00440598" w:rsidP="008D62B9">
            <w:pPr>
              <w:tabs>
                <w:tab w:val="left" w:pos="2835"/>
              </w:tabs>
              <w:spacing w:after="0" w:line="240" w:lineRule="auto"/>
              <w:rPr>
                <w:rFonts w:ascii="Arial Narrow" w:hAnsi="Arial Narrow"/>
                <w:lang w:val="en-GB" w:eastAsia="ja-JP"/>
              </w:rPr>
            </w:pPr>
          </w:p>
        </w:tc>
      </w:tr>
    </w:tbl>
    <w:p w14:paraId="136143D6" w14:textId="77777777" w:rsidR="00440598" w:rsidRDefault="00440598" w:rsidP="008D62B9">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14:paraId="15741660" w14:textId="77777777" w:rsidR="00440598" w:rsidRDefault="00440598" w:rsidP="008D62B9">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14:paraId="218B2C1B" w14:textId="77777777" w:rsidR="00440598" w:rsidRPr="00882200" w:rsidRDefault="00440598" w:rsidP="008D62B9">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14:paraId="7327C95E" w14:textId="77777777" w:rsidR="00440598" w:rsidRPr="00A34E9C" w:rsidRDefault="00440598" w:rsidP="008D62B9">
      <w:pPr>
        <w:pStyle w:val="Heading1"/>
      </w:pPr>
      <w:bookmarkStart w:id="35" w:name="_Toc381957862"/>
      <w:r w:rsidRPr="00A34E9C">
        <w:t>Outcomes and health care resources affected</w:t>
      </w:r>
      <w:r>
        <w:t xml:space="preserve"> by introduction of proposed intervention</w:t>
      </w:r>
      <w:bookmarkEnd w:id="35"/>
    </w:p>
    <w:p w14:paraId="586518E1" w14:textId="77777777" w:rsidR="00440598" w:rsidRDefault="00440598" w:rsidP="008D62B9">
      <w:pPr>
        <w:pStyle w:val="Heading2"/>
      </w:pPr>
      <w:bookmarkStart w:id="36" w:name="_Toc381957863"/>
      <w:r>
        <w:t>Outcomes</w:t>
      </w:r>
      <w:bookmarkEnd w:id="36"/>
    </w:p>
    <w:p w14:paraId="397841C9" w14:textId="77777777" w:rsidR="00B42469" w:rsidRPr="00B42469" w:rsidRDefault="00B42469" w:rsidP="00B42469">
      <w:pPr>
        <w:rPr>
          <w:lang w:val="en-GB" w:eastAsia="ja-JP"/>
        </w:rPr>
      </w:pPr>
      <w:r w:rsidRPr="00B42469">
        <w:rPr>
          <w:lang w:val="en-GB" w:eastAsia="ja-JP"/>
        </w:rPr>
        <w:t>Safety</w:t>
      </w:r>
    </w:p>
    <w:p w14:paraId="558091E3" w14:textId="77777777" w:rsidR="00B42469" w:rsidRPr="00B42469" w:rsidRDefault="00B42469" w:rsidP="00B42469">
      <w:pPr>
        <w:pStyle w:val="ListParagraph"/>
        <w:numPr>
          <w:ilvl w:val="0"/>
          <w:numId w:val="24"/>
        </w:numPr>
        <w:rPr>
          <w:lang w:val="en-GB" w:eastAsia="ja-JP"/>
        </w:rPr>
      </w:pPr>
      <w:r w:rsidRPr="00B42469">
        <w:rPr>
          <w:lang w:val="en-GB" w:eastAsia="ja-JP"/>
        </w:rPr>
        <w:t>Adverse events</w:t>
      </w:r>
    </w:p>
    <w:p w14:paraId="40699173" w14:textId="77777777" w:rsidR="00B42469" w:rsidRPr="00B42469" w:rsidRDefault="00B42469" w:rsidP="00B42469">
      <w:pPr>
        <w:pStyle w:val="ListParagraph"/>
        <w:numPr>
          <w:ilvl w:val="0"/>
          <w:numId w:val="24"/>
        </w:numPr>
        <w:rPr>
          <w:lang w:val="en-GB" w:eastAsia="ja-JP"/>
        </w:rPr>
      </w:pPr>
      <w:r w:rsidRPr="00B42469">
        <w:rPr>
          <w:lang w:val="en-GB" w:eastAsia="ja-JP"/>
        </w:rPr>
        <w:t>Radiation exposure</w:t>
      </w:r>
    </w:p>
    <w:p w14:paraId="2CFDB668" w14:textId="77777777" w:rsidR="00B42469" w:rsidRPr="00B42469" w:rsidRDefault="00B42469" w:rsidP="00B42469">
      <w:pPr>
        <w:rPr>
          <w:lang w:val="en-GB" w:eastAsia="ja-JP"/>
        </w:rPr>
      </w:pPr>
      <w:r w:rsidRPr="00B42469">
        <w:rPr>
          <w:lang w:val="en-GB" w:eastAsia="ja-JP"/>
        </w:rPr>
        <w:t>Diagnostic accuracy</w:t>
      </w:r>
    </w:p>
    <w:p w14:paraId="1C4B6E27" w14:textId="77777777" w:rsidR="00B42469" w:rsidRPr="00B42469" w:rsidRDefault="00B42469" w:rsidP="00B42469">
      <w:pPr>
        <w:pStyle w:val="ListParagraph"/>
        <w:numPr>
          <w:ilvl w:val="0"/>
          <w:numId w:val="24"/>
        </w:numPr>
        <w:rPr>
          <w:lang w:val="en-GB" w:eastAsia="ja-JP"/>
        </w:rPr>
      </w:pPr>
      <w:r w:rsidRPr="00B42469">
        <w:rPr>
          <w:lang w:val="en-GB" w:eastAsia="ja-JP"/>
        </w:rPr>
        <w:t>sensitivity</w:t>
      </w:r>
    </w:p>
    <w:p w14:paraId="14CD94C1" w14:textId="77777777" w:rsidR="00B42469" w:rsidRPr="00B42469" w:rsidRDefault="00B42469" w:rsidP="00B42469">
      <w:pPr>
        <w:pStyle w:val="ListParagraph"/>
        <w:numPr>
          <w:ilvl w:val="0"/>
          <w:numId w:val="24"/>
        </w:numPr>
        <w:rPr>
          <w:lang w:val="en-GB" w:eastAsia="ja-JP"/>
        </w:rPr>
      </w:pPr>
      <w:r w:rsidRPr="00B42469">
        <w:rPr>
          <w:lang w:val="en-GB" w:eastAsia="ja-JP"/>
        </w:rPr>
        <w:t>specificity</w:t>
      </w:r>
    </w:p>
    <w:p w14:paraId="2DD067A3" w14:textId="77777777" w:rsidR="00B42469" w:rsidRPr="00B42469" w:rsidRDefault="00B42469" w:rsidP="00B42469">
      <w:pPr>
        <w:pStyle w:val="ListParagraph"/>
        <w:numPr>
          <w:ilvl w:val="0"/>
          <w:numId w:val="24"/>
        </w:numPr>
        <w:rPr>
          <w:lang w:val="en-GB" w:eastAsia="ja-JP"/>
        </w:rPr>
      </w:pPr>
      <w:r w:rsidRPr="00B42469">
        <w:rPr>
          <w:lang w:val="en-GB" w:eastAsia="ja-JP"/>
        </w:rPr>
        <w:t>additional TP &amp; FP</w:t>
      </w:r>
    </w:p>
    <w:p w14:paraId="2F24A28C" w14:textId="77777777" w:rsidR="00B42469" w:rsidRPr="00B42469" w:rsidRDefault="00B42469" w:rsidP="00B42469">
      <w:pPr>
        <w:rPr>
          <w:lang w:val="en-GB" w:eastAsia="ja-JP"/>
        </w:rPr>
      </w:pPr>
      <w:r w:rsidRPr="00B42469">
        <w:rPr>
          <w:lang w:val="en-GB" w:eastAsia="ja-JP"/>
        </w:rPr>
        <w:t>Change in management</w:t>
      </w:r>
    </w:p>
    <w:p w14:paraId="2B7C8F88" w14:textId="77777777" w:rsidR="00B42469" w:rsidRPr="00B42469" w:rsidRDefault="00B42469" w:rsidP="00B42469">
      <w:pPr>
        <w:pStyle w:val="ListParagraph"/>
        <w:numPr>
          <w:ilvl w:val="0"/>
          <w:numId w:val="24"/>
        </w:numPr>
        <w:rPr>
          <w:lang w:val="en-GB" w:eastAsia="ja-JP"/>
        </w:rPr>
      </w:pPr>
      <w:r w:rsidRPr="00B42469">
        <w:rPr>
          <w:lang w:val="en-GB" w:eastAsia="ja-JP"/>
        </w:rPr>
        <w:t>Treatment instigated</w:t>
      </w:r>
    </w:p>
    <w:p w14:paraId="649B107F" w14:textId="77777777" w:rsidR="00B42469" w:rsidRPr="00B42469" w:rsidRDefault="00B42469" w:rsidP="00B42469">
      <w:pPr>
        <w:pStyle w:val="ListParagraph"/>
        <w:numPr>
          <w:ilvl w:val="0"/>
          <w:numId w:val="24"/>
        </w:numPr>
        <w:rPr>
          <w:lang w:val="en-GB" w:eastAsia="ja-JP"/>
        </w:rPr>
      </w:pPr>
      <w:r w:rsidRPr="00B42469">
        <w:rPr>
          <w:lang w:val="en-GB" w:eastAsia="ja-JP"/>
        </w:rPr>
        <w:t>Treatment avoided</w:t>
      </w:r>
    </w:p>
    <w:p w14:paraId="2BD4CBE7" w14:textId="77777777" w:rsidR="00B42469" w:rsidRPr="00B42469" w:rsidRDefault="00B42469" w:rsidP="00B42469">
      <w:pPr>
        <w:pStyle w:val="ListParagraph"/>
        <w:numPr>
          <w:ilvl w:val="0"/>
          <w:numId w:val="24"/>
        </w:numPr>
        <w:rPr>
          <w:lang w:val="en-GB" w:eastAsia="ja-JP"/>
        </w:rPr>
      </w:pPr>
      <w:r w:rsidRPr="00B42469">
        <w:rPr>
          <w:rFonts w:hint="eastAsia"/>
          <w:lang w:val="en-GB" w:eastAsia="ja-JP"/>
        </w:rPr>
        <w:t xml:space="preserve">Other changes occurring in </w:t>
      </w:r>
      <w:r w:rsidRPr="00B42469">
        <w:rPr>
          <w:rFonts w:hint="eastAsia"/>
          <w:lang w:val="en-GB" w:eastAsia="ja-JP"/>
        </w:rPr>
        <w:t>≥</w:t>
      </w:r>
      <w:r w:rsidRPr="00B42469">
        <w:rPr>
          <w:rFonts w:hint="eastAsia"/>
          <w:lang w:val="en-GB" w:eastAsia="ja-JP"/>
        </w:rPr>
        <w:t>10% patients</w:t>
      </w:r>
    </w:p>
    <w:p w14:paraId="1D9F28BF" w14:textId="77777777" w:rsidR="00B42469" w:rsidRPr="00B42469" w:rsidRDefault="00B42469" w:rsidP="00B42469">
      <w:pPr>
        <w:rPr>
          <w:lang w:val="en-GB" w:eastAsia="ja-JP"/>
        </w:rPr>
      </w:pPr>
      <w:r w:rsidRPr="00B42469">
        <w:rPr>
          <w:lang w:val="en-GB" w:eastAsia="ja-JP"/>
        </w:rPr>
        <w:t>Patient outcomes</w:t>
      </w:r>
    </w:p>
    <w:p w14:paraId="3A926BA4" w14:textId="77777777" w:rsidR="00B42469" w:rsidRPr="00B42469" w:rsidRDefault="00B42469" w:rsidP="00B42469">
      <w:pPr>
        <w:pStyle w:val="ListParagraph"/>
        <w:numPr>
          <w:ilvl w:val="0"/>
          <w:numId w:val="24"/>
        </w:numPr>
        <w:rPr>
          <w:lang w:val="en-GB" w:eastAsia="ja-JP"/>
        </w:rPr>
      </w:pPr>
      <w:r w:rsidRPr="00B42469">
        <w:rPr>
          <w:lang w:val="en-GB" w:eastAsia="ja-JP"/>
        </w:rPr>
        <w:t>disease-specific mortality</w:t>
      </w:r>
    </w:p>
    <w:p w14:paraId="1E3847A0" w14:textId="77777777" w:rsidR="00B42469" w:rsidRPr="00B42469" w:rsidRDefault="00B42469" w:rsidP="00B42469">
      <w:pPr>
        <w:pStyle w:val="ListParagraph"/>
        <w:numPr>
          <w:ilvl w:val="0"/>
          <w:numId w:val="24"/>
        </w:numPr>
        <w:rPr>
          <w:lang w:val="en-GB" w:eastAsia="ja-JP"/>
        </w:rPr>
      </w:pPr>
      <w:r w:rsidRPr="00B42469">
        <w:rPr>
          <w:lang w:val="en-GB" w:eastAsia="ja-JP"/>
        </w:rPr>
        <w:t>disease progression</w:t>
      </w:r>
    </w:p>
    <w:p w14:paraId="70207ED1" w14:textId="77777777" w:rsidR="00B42469" w:rsidRPr="00B42469" w:rsidRDefault="00B42469" w:rsidP="00B42469">
      <w:pPr>
        <w:pStyle w:val="ListParagraph"/>
        <w:numPr>
          <w:ilvl w:val="1"/>
          <w:numId w:val="11"/>
        </w:numPr>
        <w:rPr>
          <w:lang w:val="en-GB" w:eastAsia="ja-JP"/>
        </w:rPr>
      </w:pPr>
      <w:r w:rsidRPr="00B42469">
        <w:rPr>
          <w:lang w:val="en-GB" w:eastAsia="ja-JP"/>
        </w:rPr>
        <w:t>Cognitive function</w:t>
      </w:r>
    </w:p>
    <w:p w14:paraId="29AE12E3" w14:textId="77777777" w:rsidR="00B42469" w:rsidRPr="00B42469" w:rsidRDefault="00B42469" w:rsidP="00B42469">
      <w:pPr>
        <w:pStyle w:val="ListParagraph"/>
        <w:numPr>
          <w:ilvl w:val="1"/>
          <w:numId w:val="11"/>
        </w:numPr>
        <w:rPr>
          <w:lang w:val="en-GB" w:eastAsia="ja-JP"/>
        </w:rPr>
      </w:pPr>
      <w:r w:rsidRPr="00B42469">
        <w:rPr>
          <w:lang w:val="en-GB" w:eastAsia="ja-JP"/>
        </w:rPr>
        <w:t>Global outcome</w:t>
      </w:r>
    </w:p>
    <w:p w14:paraId="161744CA" w14:textId="77777777" w:rsidR="00B42469" w:rsidRDefault="00B42469" w:rsidP="00B42469">
      <w:pPr>
        <w:pStyle w:val="ListParagraph"/>
        <w:numPr>
          <w:ilvl w:val="1"/>
          <w:numId w:val="11"/>
        </w:numPr>
        <w:rPr>
          <w:lang w:val="en-GB" w:eastAsia="ja-JP"/>
        </w:rPr>
      </w:pPr>
      <w:r w:rsidRPr="00B42469">
        <w:rPr>
          <w:lang w:val="en-GB" w:eastAsia="ja-JP"/>
        </w:rPr>
        <w:lastRenderedPageBreak/>
        <w:t>Activities of daily life</w:t>
      </w:r>
    </w:p>
    <w:p w14:paraId="15B6C750" w14:textId="77777777" w:rsidR="00B42469" w:rsidRDefault="00B42469" w:rsidP="00B42469">
      <w:pPr>
        <w:pStyle w:val="ListParagraph"/>
        <w:numPr>
          <w:ilvl w:val="0"/>
          <w:numId w:val="11"/>
        </w:numPr>
        <w:rPr>
          <w:lang w:val="en-GB" w:eastAsia="ja-JP"/>
        </w:rPr>
      </w:pPr>
      <w:r w:rsidRPr="00B42469">
        <w:rPr>
          <w:lang w:val="en-GB" w:eastAsia="ja-JP"/>
        </w:rPr>
        <w:t>quality of life</w:t>
      </w:r>
    </w:p>
    <w:p w14:paraId="3CEDA59E" w14:textId="03F78222" w:rsidR="00BA5DEC" w:rsidRPr="00B42469" w:rsidRDefault="00BA5DEC" w:rsidP="00B42469">
      <w:pPr>
        <w:pStyle w:val="ListParagraph"/>
        <w:numPr>
          <w:ilvl w:val="0"/>
          <w:numId w:val="11"/>
        </w:numPr>
        <w:rPr>
          <w:lang w:val="en-GB" w:eastAsia="ja-JP"/>
        </w:rPr>
      </w:pPr>
      <w:r>
        <w:rPr>
          <w:lang w:val="en-GB" w:eastAsia="ja-JP"/>
        </w:rPr>
        <w:t>prognostic value</w:t>
      </w:r>
    </w:p>
    <w:p w14:paraId="2008F7F2" w14:textId="77777777" w:rsidR="00440598" w:rsidRPr="000E1C4D" w:rsidRDefault="00440598" w:rsidP="008D62B9">
      <w:pPr>
        <w:pStyle w:val="Heading1"/>
      </w:pPr>
      <w:bookmarkStart w:id="37" w:name="_Toc381957864"/>
      <w:r>
        <w:t>Proposed structure of economic evaluation (decision-analytic)</w:t>
      </w:r>
      <w:bookmarkEnd w:id="37"/>
    </w:p>
    <w:p w14:paraId="131CB504" w14:textId="5259BCC0" w:rsidR="00342F79" w:rsidRDefault="00342F79" w:rsidP="00342F79">
      <w:pPr>
        <w:pStyle w:val="Caption"/>
      </w:pPr>
      <w:bookmarkStart w:id="38" w:name="_Ref283297696"/>
      <w:bookmarkStart w:id="39" w:name="_Toc381957946"/>
      <w:r>
        <w:t xml:space="preserve">Table </w:t>
      </w:r>
      <w:r w:rsidR="00FA7B05">
        <w:rPr>
          <w:noProof/>
        </w:rPr>
        <w:t>4</w:t>
      </w:r>
      <w:bookmarkEnd w:id="38"/>
      <w:r>
        <w:t>:  Summary of extended PPICO to define research question that assessment will investigate</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2309"/>
        <w:gridCol w:w="1173"/>
        <w:gridCol w:w="1146"/>
        <w:gridCol w:w="1412"/>
        <w:gridCol w:w="2004"/>
      </w:tblGrid>
      <w:tr w:rsidR="00BA5DEC" w:rsidRPr="00342F79" w14:paraId="3F7C4FEB" w14:textId="77777777" w:rsidTr="00B42469">
        <w:tc>
          <w:tcPr>
            <w:tcW w:w="0" w:type="auto"/>
          </w:tcPr>
          <w:p w14:paraId="4F591379" w14:textId="77777777" w:rsidR="00B42469" w:rsidRPr="00342F79" w:rsidRDefault="00B42469" w:rsidP="001D2FEE">
            <w:pPr>
              <w:spacing w:after="0" w:line="240" w:lineRule="auto"/>
              <w:jc w:val="left"/>
              <w:rPr>
                <w:rFonts w:ascii="Arial Narrow" w:hAnsi="Arial Narrow"/>
                <w:b/>
              </w:rPr>
            </w:pPr>
            <w:r w:rsidRPr="00342F79">
              <w:rPr>
                <w:rFonts w:ascii="Arial Narrow" w:hAnsi="Arial Narrow"/>
                <w:b/>
              </w:rPr>
              <w:t>Patients</w:t>
            </w:r>
          </w:p>
        </w:tc>
        <w:tc>
          <w:tcPr>
            <w:tcW w:w="0" w:type="auto"/>
          </w:tcPr>
          <w:p w14:paraId="274CEB91" w14:textId="77777777" w:rsidR="00B42469" w:rsidRPr="00342F79" w:rsidRDefault="00B42469" w:rsidP="001D2FEE">
            <w:pPr>
              <w:spacing w:after="0" w:line="240" w:lineRule="auto"/>
              <w:jc w:val="left"/>
              <w:rPr>
                <w:rFonts w:ascii="Arial Narrow" w:hAnsi="Arial Narrow"/>
                <w:b/>
              </w:rPr>
            </w:pPr>
            <w:r w:rsidRPr="00342F79">
              <w:rPr>
                <w:rFonts w:ascii="Arial Narrow" w:hAnsi="Arial Narrow"/>
                <w:b/>
              </w:rPr>
              <w:t>Prior tests</w:t>
            </w:r>
          </w:p>
        </w:tc>
        <w:tc>
          <w:tcPr>
            <w:tcW w:w="0" w:type="auto"/>
          </w:tcPr>
          <w:p w14:paraId="4CF5CEA6" w14:textId="77777777" w:rsidR="00B42469" w:rsidRPr="00342F79" w:rsidRDefault="00B42469" w:rsidP="001D2FEE">
            <w:pPr>
              <w:spacing w:after="0" w:line="240" w:lineRule="auto"/>
              <w:jc w:val="left"/>
              <w:rPr>
                <w:rFonts w:ascii="Arial Narrow" w:hAnsi="Arial Narrow"/>
                <w:b/>
              </w:rPr>
            </w:pPr>
            <w:r w:rsidRPr="00342F79">
              <w:rPr>
                <w:rFonts w:ascii="Arial Narrow" w:hAnsi="Arial Narrow"/>
                <w:b/>
              </w:rPr>
              <w:t>Intervention</w:t>
            </w:r>
          </w:p>
        </w:tc>
        <w:tc>
          <w:tcPr>
            <w:tcW w:w="0" w:type="auto"/>
          </w:tcPr>
          <w:p w14:paraId="0D05A042" w14:textId="77777777" w:rsidR="00B42469" w:rsidRPr="00342F79" w:rsidRDefault="00B42469" w:rsidP="001D2FEE">
            <w:pPr>
              <w:spacing w:after="0" w:line="240" w:lineRule="auto"/>
              <w:jc w:val="left"/>
              <w:rPr>
                <w:rFonts w:ascii="Arial Narrow" w:hAnsi="Arial Narrow"/>
                <w:b/>
              </w:rPr>
            </w:pPr>
            <w:r w:rsidRPr="00342F79">
              <w:rPr>
                <w:rFonts w:ascii="Arial Narrow" w:hAnsi="Arial Narrow"/>
                <w:b/>
              </w:rPr>
              <w:t>Comparator</w:t>
            </w:r>
          </w:p>
        </w:tc>
        <w:tc>
          <w:tcPr>
            <w:tcW w:w="0" w:type="auto"/>
          </w:tcPr>
          <w:p w14:paraId="2BE1B14F" w14:textId="77777777" w:rsidR="00B42469" w:rsidRPr="00342F79" w:rsidRDefault="00B42469" w:rsidP="001D2FEE">
            <w:pPr>
              <w:spacing w:after="0" w:line="240" w:lineRule="auto"/>
              <w:jc w:val="left"/>
              <w:rPr>
                <w:rFonts w:ascii="Arial Narrow" w:hAnsi="Arial Narrow"/>
                <w:b/>
              </w:rPr>
            </w:pPr>
            <w:r>
              <w:rPr>
                <w:rFonts w:ascii="Arial Narrow" w:hAnsi="Arial Narrow"/>
                <w:b/>
              </w:rPr>
              <w:t>Reference standard</w:t>
            </w:r>
          </w:p>
        </w:tc>
        <w:tc>
          <w:tcPr>
            <w:tcW w:w="0" w:type="auto"/>
          </w:tcPr>
          <w:p w14:paraId="0C5BF96C" w14:textId="77777777" w:rsidR="00B42469" w:rsidRPr="00342F79" w:rsidRDefault="00B42469" w:rsidP="001D2FEE">
            <w:pPr>
              <w:spacing w:after="0" w:line="240" w:lineRule="auto"/>
              <w:jc w:val="left"/>
              <w:rPr>
                <w:rFonts w:ascii="Arial Narrow" w:hAnsi="Arial Narrow"/>
                <w:b/>
              </w:rPr>
            </w:pPr>
            <w:r w:rsidRPr="00342F79">
              <w:rPr>
                <w:rFonts w:ascii="Arial Narrow" w:hAnsi="Arial Narrow"/>
                <w:b/>
              </w:rPr>
              <w:t>Outcomes to be assessed</w:t>
            </w:r>
          </w:p>
        </w:tc>
      </w:tr>
      <w:tr w:rsidR="00BA5DEC" w:rsidRPr="00342F79" w14:paraId="2F1E9F04" w14:textId="77777777" w:rsidTr="00B42469">
        <w:tc>
          <w:tcPr>
            <w:tcW w:w="0" w:type="auto"/>
          </w:tcPr>
          <w:p w14:paraId="1F12C03E" w14:textId="77777777" w:rsidR="00B42469" w:rsidRPr="00342F79" w:rsidRDefault="00B42469" w:rsidP="001D2FEE">
            <w:pPr>
              <w:spacing w:after="0" w:line="240" w:lineRule="auto"/>
              <w:jc w:val="left"/>
              <w:rPr>
                <w:rFonts w:ascii="Arial Narrow" w:hAnsi="Arial Narrow"/>
              </w:rPr>
            </w:pPr>
            <w:r w:rsidRPr="00342F79">
              <w:rPr>
                <w:rFonts w:ascii="Arial Narrow" w:hAnsi="Arial Narrow"/>
              </w:rPr>
              <w:t>People with suspected Alzheimer’s disease in whom prior tests have been inconclusive</w:t>
            </w:r>
          </w:p>
        </w:tc>
        <w:tc>
          <w:tcPr>
            <w:tcW w:w="0" w:type="auto"/>
          </w:tcPr>
          <w:p w14:paraId="2D65C425" w14:textId="77777777" w:rsidR="00B42469" w:rsidRPr="00342F79" w:rsidRDefault="00B42469" w:rsidP="00B42469">
            <w:pPr>
              <w:pStyle w:val="ListParagraph"/>
              <w:numPr>
                <w:ilvl w:val="0"/>
                <w:numId w:val="17"/>
              </w:numPr>
              <w:spacing w:after="0" w:line="240" w:lineRule="auto"/>
              <w:ind w:left="170" w:hanging="170"/>
              <w:jc w:val="left"/>
              <w:rPr>
                <w:rFonts w:ascii="Arial Narrow" w:hAnsi="Arial Narrow"/>
              </w:rPr>
            </w:pPr>
            <w:r w:rsidRPr="00342F79">
              <w:rPr>
                <w:rFonts w:ascii="Arial Narrow" w:hAnsi="Arial Narrow"/>
              </w:rPr>
              <w:t>Clinical Evaluation</w:t>
            </w:r>
          </w:p>
          <w:p w14:paraId="34228D11" w14:textId="37CD1035" w:rsidR="00B42469" w:rsidRPr="00342F79" w:rsidRDefault="00B42469" w:rsidP="00B42469">
            <w:pPr>
              <w:pStyle w:val="ListParagraph"/>
              <w:numPr>
                <w:ilvl w:val="0"/>
                <w:numId w:val="17"/>
              </w:numPr>
              <w:spacing w:after="0" w:line="240" w:lineRule="auto"/>
              <w:ind w:left="170" w:hanging="170"/>
              <w:jc w:val="left"/>
              <w:rPr>
                <w:rFonts w:ascii="Arial Narrow" w:hAnsi="Arial Narrow"/>
              </w:rPr>
            </w:pPr>
            <w:r w:rsidRPr="00342F79">
              <w:rPr>
                <w:rFonts w:ascii="Arial Narrow" w:hAnsi="Arial Narrow"/>
              </w:rPr>
              <w:t xml:space="preserve">Structural imaging: MRI </w:t>
            </w:r>
            <w:r w:rsidR="00BA5DEC">
              <w:rPr>
                <w:rFonts w:ascii="Arial Narrow" w:hAnsi="Arial Narrow"/>
              </w:rPr>
              <w:t>(or CT only where MRI is contraindicated)</w:t>
            </w:r>
          </w:p>
          <w:p w14:paraId="2C8AA5E9" w14:textId="77777777" w:rsidR="00B42469" w:rsidRPr="00342F79" w:rsidRDefault="00B42469" w:rsidP="00B42469">
            <w:pPr>
              <w:pStyle w:val="ListParagraph"/>
              <w:numPr>
                <w:ilvl w:val="0"/>
                <w:numId w:val="17"/>
              </w:numPr>
              <w:spacing w:after="0" w:line="240" w:lineRule="auto"/>
              <w:ind w:left="170" w:hanging="170"/>
              <w:jc w:val="left"/>
              <w:rPr>
                <w:rFonts w:ascii="Arial Narrow" w:hAnsi="Arial Narrow"/>
              </w:rPr>
            </w:pPr>
            <w:r w:rsidRPr="00342F79">
              <w:rPr>
                <w:rFonts w:ascii="Arial Narrow" w:hAnsi="Arial Narrow"/>
              </w:rPr>
              <w:t>Blood tests</w:t>
            </w:r>
          </w:p>
          <w:p w14:paraId="5E0BA23A" w14:textId="77777777" w:rsidR="00B42469" w:rsidRPr="00342F79" w:rsidRDefault="00B42469" w:rsidP="00B42469">
            <w:pPr>
              <w:pStyle w:val="ListParagraph"/>
              <w:numPr>
                <w:ilvl w:val="1"/>
                <w:numId w:val="17"/>
              </w:numPr>
              <w:spacing w:after="0" w:line="240" w:lineRule="auto"/>
              <w:ind w:left="624" w:hanging="170"/>
              <w:jc w:val="left"/>
              <w:rPr>
                <w:rFonts w:ascii="Arial Narrow" w:hAnsi="Arial Narrow"/>
              </w:rPr>
            </w:pPr>
            <w:r w:rsidRPr="00342F79">
              <w:rPr>
                <w:rFonts w:ascii="Arial Narrow" w:hAnsi="Arial Narrow"/>
              </w:rPr>
              <w:t>Routine biochemistry</w:t>
            </w:r>
          </w:p>
          <w:p w14:paraId="7F5B68F4" w14:textId="77777777" w:rsidR="00B42469" w:rsidRPr="00342F79" w:rsidRDefault="00B42469" w:rsidP="00B42469">
            <w:pPr>
              <w:pStyle w:val="ListParagraph"/>
              <w:numPr>
                <w:ilvl w:val="1"/>
                <w:numId w:val="17"/>
              </w:numPr>
              <w:spacing w:after="0" w:line="240" w:lineRule="auto"/>
              <w:ind w:left="624" w:hanging="170"/>
              <w:jc w:val="left"/>
              <w:rPr>
                <w:rFonts w:ascii="Arial Narrow" w:hAnsi="Arial Narrow"/>
              </w:rPr>
            </w:pPr>
            <w:r w:rsidRPr="00342F79">
              <w:rPr>
                <w:rFonts w:ascii="Arial Narrow" w:hAnsi="Arial Narrow"/>
              </w:rPr>
              <w:t>Haematology</w:t>
            </w:r>
          </w:p>
          <w:p w14:paraId="70D64955" w14:textId="77777777" w:rsidR="00B42469" w:rsidRPr="00342F79" w:rsidRDefault="00B42469" w:rsidP="00B42469">
            <w:pPr>
              <w:pStyle w:val="ListParagraph"/>
              <w:numPr>
                <w:ilvl w:val="1"/>
                <w:numId w:val="17"/>
              </w:numPr>
              <w:spacing w:after="0" w:line="240" w:lineRule="auto"/>
              <w:ind w:left="624" w:hanging="170"/>
              <w:jc w:val="left"/>
              <w:rPr>
                <w:rFonts w:ascii="Arial Narrow" w:hAnsi="Arial Narrow"/>
              </w:rPr>
            </w:pPr>
            <w:r w:rsidRPr="00342F79">
              <w:rPr>
                <w:rFonts w:ascii="Arial Narrow" w:hAnsi="Arial Narrow"/>
              </w:rPr>
              <w:t>Thyroid function</w:t>
            </w:r>
          </w:p>
          <w:p w14:paraId="67C822E9" w14:textId="77777777" w:rsidR="00B42469" w:rsidRPr="00342F79" w:rsidRDefault="00B42469" w:rsidP="00B42469">
            <w:pPr>
              <w:pStyle w:val="ListParagraph"/>
              <w:numPr>
                <w:ilvl w:val="1"/>
                <w:numId w:val="17"/>
              </w:numPr>
              <w:spacing w:after="0" w:line="240" w:lineRule="auto"/>
              <w:ind w:left="624" w:hanging="170"/>
              <w:jc w:val="left"/>
              <w:rPr>
                <w:rFonts w:ascii="Arial Narrow" w:hAnsi="Arial Narrow"/>
              </w:rPr>
            </w:pPr>
            <w:r w:rsidRPr="00342F79">
              <w:rPr>
                <w:rFonts w:ascii="Arial Narrow" w:hAnsi="Arial Narrow"/>
              </w:rPr>
              <w:t>Vitamins B12 and folate.</w:t>
            </w:r>
          </w:p>
          <w:p w14:paraId="03F0272E" w14:textId="77777777" w:rsidR="00B42469" w:rsidRPr="00342F79" w:rsidRDefault="00B42469" w:rsidP="001D2FEE">
            <w:pPr>
              <w:spacing w:after="0" w:line="240" w:lineRule="auto"/>
              <w:jc w:val="left"/>
              <w:rPr>
                <w:rFonts w:ascii="Arial Narrow" w:hAnsi="Arial Narrow"/>
              </w:rPr>
            </w:pPr>
          </w:p>
        </w:tc>
        <w:tc>
          <w:tcPr>
            <w:tcW w:w="0" w:type="auto"/>
          </w:tcPr>
          <w:p w14:paraId="2F1BBDB8" w14:textId="77777777" w:rsidR="00B42469" w:rsidRPr="00342F79" w:rsidRDefault="00B42469" w:rsidP="001D2FEE">
            <w:pPr>
              <w:spacing w:after="0" w:line="240" w:lineRule="auto"/>
              <w:jc w:val="left"/>
              <w:rPr>
                <w:rFonts w:ascii="Arial Narrow" w:hAnsi="Arial Narrow"/>
              </w:rPr>
            </w:pPr>
            <w:r w:rsidRPr="00342F79">
              <w:rPr>
                <w:rFonts w:ascii="Arial Narrow" w:hAnsi="Arial Narrow"/>
              </w:rPr>
              <w:t>Semi-quantitative FDG PET</w:t>
            </w:r>
          </w:p>
        </w:tc>
        <w:tc>
          <w:tcPr>
            <w:tcW w:w="0" w:type="auto"/>
          </w:tcPr>
          <w:p w14:paraId="564A038D" w14:textId="77777777" w:rsidR="00B42469" w:rsidRPr="00342F79" w:rsidRDefault="00B42469" w:rsidP="001D2FEE">
            <w:pPr>
              <w:spacing w:after="0" w:line="240" w:lineRule="auto"/>
              <w:jc w:val="left"/>
              <w:rPr>
                <w:rFonts w:ascii="Arial Narrow" w:hAnsi="Arial Narrow"/>
              </w:rPr>
            </w:pPr>
            <w:r w:rsidRPr="00342F79">
              <w:rPr>
                <w:rFonts w:ascii="Arial Narrow" w:hAnsi="Arial Narrow"/>
              </w:rPr>
              <w:t>SPECT</w:t>
            </w:r>
          </w:p>
        </w:tc>
        <w:tc>
          <w:tcPr>
            <w:tcW w:w="0" w:type="auto"/>
          </w:tcPr>
          <w:p w14:paraId="70770B8A" w14:textId="4947FCC3" w:rsidR="00B42469" w:rsidRDefault="00B42469" w:rsidP="001D2FEE">
            <w:pPr>
              <w:spacing w:after="0" w:line="240" w:lineRule="auto"/>
              <w:jc w:val="left"/>
              <w:rPr>
                <w:rFonts w:ascii="Arial Narrow" w:hAnsi="Arial Narrow"/>
              </w:rPr>
            </w:pPr>
            <w:proofErr w:type="spellStart"/>
            <w:r>
              <w:rPr>
                <w:rFonts w:ascii="Arial Narrow" w:hAnsi="Arial Narrow"/>
              </w:rPr>
              <w:t>Histopathologic</w:t>
            </w:r>
            <w:proofErr w:type="spellEnd"/>
            <w:r>
              <w:rPr>
                <w:rFonts w:ascii="Arial Narrow" w:hAnsi="Arial Narrow"/>
              </w:rPr>
              <w:t xml:space="preserve"> diagnosis via autopsy or biopsy</w:t>
            </w:r>
            <w:r w:rsidR="00BA5DEC">
              <w:rPr>
                <w:rFonts w:ascii="Arial Narrow" w:hAnsi="Arial Narrow"/>
              </w:rPr>
              <w:t>, or long term clinical follow up</w:t>
            </w:r>
          </w:p>
        </w:tc>
        <w:tc>
          <w:tcPr>
            <w:tcW w:w="0" w:type="auto"/>
          </w:tcPr>
          <w:p w14:paraId="2202ACBD" w14:textId="77777777" w:rsidR="00B42469" w:rsidRDefault="00B42469" w:rsidP="001D2FEE">
            <w:pPr>
              <w:spacing w:after="0" w:line="240" w:lineRule="auto"/>
              <w:jc w:val="left"/>
              <w:rPr>
                <w:rFonts w:ascii="Arial Narrow" w:hAnsi="Arial Narrow"/>
              </w:rPr>
            </w:pPr>
            <w:r>
              <w:rPr>
                <w:rFonts w:ascii="Arial Narrow" w:hAnsi="Arial Narrow"/>
              </w:rPr>
              <w:t>Safety</w:t>
            </w:r>
          </w:p>
          <w:p w14:paraId="5BA98F06" w14:textId="77777777" w:rsidR="00B42469" w:rsidRDefault="00B42469" w:rsidP="00B42469">
            <w:pPr>
              <w:pStyle w:val="ListParagraph"/>
              <w:numPr>
                <w:ilvl w:val="0"/>
                <w:numId w:val="21"/>
              </w:numPr>
              <w:spacing w:after="0" w:line="240" w:lineRule="auto"/>
              <w:ind w:left="170" w:hanging="170"/>
              <w:jc w:val="left"/>
              <w:rPr>
                <w:rFonts w:ascii="Arial Narrow" w:hAnsi="Arial Narrow"/>
              </w:rPr>
            </w:pPr>
            <w:r>
              <w:rPr>
                <w:rFonts w:ascii="Arial Narrow" w:hAnsi="Arial Narrow"/>
              </w:rPr>
              <w:t>Adverse events</w:t>
            </w:r>
          </w:p>
          <w:p w14:paraId="12E0B425" w14:textId="77777777" w:rsidR="00B42469" w:rsidRPr="003713F7" w:rsidRDefault="00B42469" w:rsidP="00B42469">
            <w:pPr>
              <w:pStyle w:val="ListParagraph"/>
              <w:numPr>
                <w:ilvl w:val="0"/>
                <w:numId w:val="21"/>
              </w:numPr>
              <w:spacing w:after="0" w:line="240" w:lineRule="auto"/>
              <w:ind w:left="170" w:hanging="170"/>
              <w:jc w:val="left"/>
              <w:rPr>
                <w:rFonts w:ascii="Arial Narrow" w:hAnsi="Arial Narrow"/>
              </w:rPr>
            </w:pPr>
            <w:r>
              <w:rPr>
                <w:rFonts w:ascii="Arial Narrow" w:hAnsi="Arial Narrow"/>
              </w:rPr>
              <w:t>Radiation exposure</w:t>
            </w:r>
          </w:p>
          <w:p w14:paraId="516BB68C" w14:textId="77777777" w:rsidR="00B42469" w:rsidRDefault="00B42469" w:rsidP="001D2FEE">
            <w:pPr>
              <w:spacing w:after="0" w:line="240" w:lineRule="auto"/>
              <w:jc w:val="left"/>
              <w:rPr>
                <w:rFonts w:ascii="Arial Narrow" w:hAnsi="Arial Narrow"/>
              </w:rPr>
            </w:pPr>
          </w:p>
          <w:p w14:paraId="2C470129" w14:textId="77777777" w:rsidR="00B42469" w:rsidRPr="00342F79" w:rsidRDefault="00B42469" w:rsidP="001D2FEE">
            <w:pPr>
              <w:spacing w:after="0" w:line="240" w:lineRule="auto"/>
              <w:jc w:val="left"/>
              <w:rPr>
                <w:rFonts w:ascii="Arial Narrow" w:hAnsi="Arial Narrow"/>
              </w:rPr>
            </w:pPr>
            <w:r w:rsidRPr="00342F79">
              <w:rPr>
                <w:rFonts w:ascii="Arial Narrow" w:hAnsi="Arial Narrow"/>
              </w:rPr>
              <w:t>Diagnostic accuracy</w:t>
            </w:r>
          </w:p>
          <w:p w14:paraId="3B0455BD" w14:textId="77777777" w:rsidR="00B42469" w:rsidRPr="00180844" w:rsidRDefault="00B42469" w:rsidP="00B42469">
            <w:pPr>
              <w:pStyle w:val="ListParagraph"/>
              <w:numPr>
                <w:ilvl w:val="0"/>
                <w:numId w:val="20"/>
              </w:numPr>
              <w:spacing w:after="0" w:line="240" w:lineRule="auto"/>
              <w:ind w:left="170" w:hanging="170"/>
              <w:jc w:val="left"/>
              <w:rPr>
                <w:rFonts w:ascii="Arial Narrow" w:hAnsi="Arial Narrow"/>
              </w:rPr>
            </w:pPr>
            <w:r w:rsidRPr="00180844">
              <w:rPr>
                <w:rFonts w:ascii="Arial Narrow" w:hAnsi="Arial Narrow"/>
              </w:rPr>
              <w:t>sensitivity</w:t>
            </w:r>
          </w:p>
          <w:p w14:paraId="305A1751" w14:textId="77777777" w:rsidR="00B42469" w:rsidRPr="00180844" w:rsidRDefault="00B42469" w:rsidP="00B42469">
            <w:pPr>
              <w:pStyle w:val="ListParagraph"/>
              <w:numPr>
                <w:ilvl w:val="0"/>
                <w:numId w:val="20"/>
              </w:numPr>
              <w:spacing w:after="0" w:line="240" w:lineRule="auto"/>
              <w:ind w:left="170" w:hanging="170"/>
              <w:jc w:val="left"/>
              <w:rPr>
                <w:rFonts w:ascii="Arial Narrow" w:hAnsi="Arial Narrow"/>
              </w:rPr>
            </w:pPr>
            <w:r w:rsidRPr="00180844">
              <w:rPr>
                <w:rFonts w:ascii="Arial Narrow" w:hAnsi="Arial Narrow"/>
              </w:rPr>
              <w:t>specificity</w:t>
            </w:r>
          </w:p>
          <w:p w14:paraId="0B3D483C" w14:textId="77777777" w:rsidR="00B42469" w:rsidRPr="00180844" w:rsidRDefault="00B42469" w:rsidP="00B42469">
            <w:pPr>
              <w:pStyle w:val="ListParagraph"/>
              <w:numPr>
                <w:ilvl w:val="0"/>
                <w:numId w:val="20"/>
              </w:numPr>
              <w:spacing w:after="0" w:line="240" w:lineRule="auto"/>
              <w:ind w:left="170" w:hanging="170"/>
              <w:jc w:val="left"/>
              <w:rPr>
                <w:rFonts w:ascii="Arial Narrow" w:hAnsi="Arial Narrow"/>
              </w:rPr>
            </w:pPr>
            <w:r w:rsidRPr="00180844">
              <w:rPr>
                <w:rFonts w:ascii="Arial Narrow" w:hAnsi="Arial Narrow"/>
              </w:rPr>
              <w:t>additional TP &amp; FP</w:t>
            </w:r>
          </w:p>
          <w:p w14:paraId="4908D60D" w14:textId="77777777" w:rsidR="00B42469" w:rsidRPr="00342F79" w:rsidRDefault="00B42469" w:rsidP="001D2FEE">
            <w:pPr>
              <w:spacing w:after="0" w:line="240" w:lineRule="auto"/>
              <w:jc w:val="left"/>
              <w:rPr>
                <w:rFonts w:ascii="Arial Narrow" w:hAnsi="Arial Narrow"/>
              </w:rPr>
            </w:pPr>
          </w:p>
          <w:p w14:paraId="730889A9" w14:textId="77777777" w:rsidR="00B42469" w:rsidRPr="00342F79" w:rsidRDefault="00B42469" w:rsidP="001D2FEE">
            <w:pPr>
              <w:spacing w:after="0" w:line="240" w:lineRule="auto"/>
              <w:jc w:val="left"/>
              <w:rPr>
                <w:rFonts w:ascii="Arial Narrow" w:hAnsi="Arial Narrow"/>
              </w:rPr>
            </w:pPr>
            <w:r w:rsidRPr="00342F79">
              <w:rPr>
                <w:rFonts w:ascii="Arial Narrow" w:hAnsi="Arial Narrow"/>
              </w:rPr>
              <w:t>Change in management</w:t>
            </w:r>
          </w:p>
          <w:p w14:paraId="2996098A" w14:textId="77777777" w:rsidR="00B42469" w:rsidRPr="00180844" w:rsidRDefault="00B42469" w:rsidP="00B42469">
            <w:pPr>
              <w:pStyle w:val="ListParagraph"/>
              <w:numPr>
                <w:ilvl w:val="0"/>
                <w:numId w:val="19"/>
              </w:numPr>
              <w:spacing w:after="0" w:line="240" w:lineRule="auto"/>
              <w:ind w:left="170" w:hanging="170"/>
              <w:jc w:val="left"/>
              <w:rPr>
                <w:rFonts w:ascii="Arial Narrow" w:hAnsi="Arial Narrow"/>
              </w:rPr>
            </w:pPr>
            <w:r w:rsidRPr="00180844">
              <w:rPr>
                <w:rFonts w:ascii="Arial Narrow" w:hAnsi="Arial Narrow"/>
              </w:rPr>
              <w:t>Treatment instigated</w:t>
            </w:r>
          </w:p>
          <w:p w14:paraId="7BF8B165" w14:textId="77777777" w:rsidR="00B42469" w:rsidRPr="00180844" w:rsidRDefault="00B42469" w:rsidP="00B42469">
            <w:pPr>
              <w:pStyle w:val="ListParagraph"/>
              <w:numPr>
                <w:ilvl w:val="0"/>
                <w:numId w:val="19"/>
              </w:numPr>
              <w:spacing w:after="0" w:line="240" w:lineRule="auto"/>
              <w:ind w:left="170" w:hanging="170"/>
              <w:jc w:val="left"/>
              <w:rPr>
                <w:rFonts w:ascii="Arial Narrow" w:hAnsi="Arial Narrow"/>
              </w:rPr>
            </w:pPr>
            <w:r w:rsidRPr="00180844">
              <w:rPr>
                <w:rFonts w:ascii="Arial Narrow" w:hAnsi="Arial Narrow"/>
              </w:rPr>
              <w:t>Treatment avoided</w:t>
            </w:r>
          </w:p>
          <w:p w14:paraId="0EBA6DB9" w14:textId="77777777" w:rsidR="00B42469" w:rsidRPr="00180844" w:rsidRDefault="00B42469" w:rsidP="00B42469">
            <w:pPr>
              <w:pStyle w:val="ListParagraph"/>
              <w:numPr>
                <w:ilvl w:val="0"/>
                <w:numId w:val="19"/>
              </w:numPr>
              <w:spacing w:after="0" w:line="240" w:lineRule="auto"/>
              <w:ind w:left="170" w:hanging="170"/>
              <w:jc w:val="left"/>
              <w:rPr>
                <w:rFonts w:ascii="Arial Narrow" w:hAnsi="Arial Narrow"/>
              </w:rPr>
            </w:pPr>
            <w:r w:rsidRPr="00180844">
              <w:rPr>
                <w:rFonts w:ascii="Arial Narrow" w:hAnsi="Arial Narrow" w:hint="eastAsia"/>
              </w:rPr>
              <w:t xml:space="preserve">Other changes occurring in </w:t>
            </w:r>
            <w:r w:rsidRPr="00180844">
              <w:rPr>
                <w:rFonts w:ascii="Arial Narrow" w:hAnsi="Arial Narrow" w:hint="eastAsia"/>
              </w:rPr>
              <w:t>≥</w:t>
            </w:r>
            <w:r w:rsidRPr="00180844">
              <w:rPr>
                <w:rFonts w:ascii="Arial Narrow" w:hAnsi="Arial Narrow" w:hint="eastAsia"/>
              </w:rPr>
              <w:t>10% patients</w:t>
            </w:r>
          </w:p>
          <w:p w14:paraId="211019C4" w14:textId="77777777" w:rsidR="00B42469" w:rsidRPr="00342F79" w:rsidRDefault="00B42469" w:rsidP="001D2FEE">
            <w:pPr>
              <w:spacing w:after="0" w:line="240" w:lineRule="auto"/>
              <w:jc w:val="left"/>
              <w:rPr>
                <w:rFonts w:ascii="Arial Narrow" w:hAnsi="Arial Narrow"/>
              </w:rPr>
            </w:pPr>
          </w:p>
          <w:p w14:paraId="01B93997" w14:textId="77777777" w:rsidR="00B42469" w:rsidRPr="00342F79" w:rsidRDefault="00B42469" w:rsidP="001D2FEE">
            <w:pPr>
              <w:spacing w:after="0" w:line="240" w:lineRule="auto"/>
              <w:jc w:val="left"/>
              <w:rPr>
                <w:rFonts w:ascii="Arial Narrow" w:hAnsi="Arial Narrow"/>
              </w:rPr>
            </w:pPr>
            <w:r w:rsidRPr="00342F79">
              <w:rPr>
                <w:rFonts w:ascii="Arial Narrow" w:hAnsi="Arial Narrow"/>
              </w:rPr>
              <w:t>Patient outcomes</w:t>
            </w:r>
          </w:p>
          <w:p w14:paraId="570F065C" w14:textId="77777777" w:rsidR="00B42469" w:rsidRPr="00180844" w:rsidRDefault="00B42469" w:rsidP="00B42469">
            <w:pPr>
              <w:pStyle w:val="ListParagraph"/>
              <w:numPr>
                <w:ilvl w:val="0"/>
                <w:numId w:val="18"/>
              </w:numPr>
              <w:spacing w:after="0" w:line="240" w:lineRule="auto"/>
              <w:ind w:left="170" w:hanging="170"/>
              <w:jc w:val="left"/>
              <w:rPr>
                <w:rFonts w:ascii="Arial Narrow" w:hAnsi="Arial Narrow"/>
              </w:rPr>
            </w:pPr>
            <w:r w:rsidRPr="00180844">
              <w:rPr>
                <w:rFonts w:ascii="Arial Narrow" w:hAnsi="Arial Narrow"/>
              </w:rPr>
              <w:t>disease-specific mortality</w:t>
            </w:r>
          </w:p>
          <w:p w14:paraId="7673E976" w14:textId="77777777" w:rsidR="00B42469" w:rsidRDefault="00B42469" w:rsidP="00B42469">
            <w:pPr>
              <w:pStyle w:val="ListParagraph"/>
              <w:numPr>
                <w:ilvl w:val="0"/>
                <w:numId w:val="18"/>
              </w:numPr>
              <w:spacing w:after="0" w:line="240" w:lineRule="auto"/>
              <w:ind w:left="170" w:hanging="170"/>
              <w:jc w:val="left"/>
              <w:rPr>
                <w:rFonts w:ascii="Arial Narrow" w:hAnsi="Arial Narrow"/>
              </w:rPr>
            </w:pPr>
            <w:r w:rsidRPr="00180844">
              <w:rPr>
                <w:rFonts w:ascii="Arial Narrow" w:hAnsi="Arial Narrow"/>
              </w:rPr>
              <w:t>disease progression</w:t>
            </w:r>
          </w:p>
          <w:p w14:paraId="57D03F3D" w14:textId="77777777" w:rsidR="00B42469" w:rsidRDefault="00B42469" w:rsidP="00B42469">
            <w:pPr>
              <w:pStyle w:val="ListParagraph"/>
              <w:numPr>
                <w:ilvl w:val="1"/>
                <w:numId w:val="18"/>
              </w:numPr>
              <w:spacing w:after="0" w:line="240" w:lineRule="auto"/>
              <w:ind w:left="624" w:hanging="170"/>
              <w:jc w:val="left"/>
              <w:rPr>
                <w:rFonts w:ascii="Arial Narrow" w:hAnsi="Arial Narrow"/>
              </w:rPr>
            </w:pPr>
            <w:r>
              <w:rPr>
                <w:rFonts w:ascii="Arial Narrow" w:hAnsi="Arial Narrow"/>
              </w:rPr>
              <w:t>Cognitive function</w:t>
            </w:r>
          </w:p>
          <w:p w14:paraId="6B16EC3C" w14:textId="77777777" w:rsidR="00B42469" w:rsidRDefault="00B42469" w:rsidP="00B42469">
            <w:pPr>
              <w:pStyle w:val="ListParagraph"/>
              <w:numPr>
                <w:ilvl w:val="1"/>
                <w:numId w:val="18"/>
              </w:numPr>
              <w:spacing w:after="0" w:line="240" w:lineRule="auto"/>
              <w:ind w:left="624" w:hanging="170"/>
              <w:jc w:val="left"/>
              <w:rPr>
                <w:rFonts w:ascii="Arial Narrow" w:hAnsi="Arial Narrow"/>
              </w:rPr>
            </w:pPr>
            <w:r>
              <w:rPr>
                <w:rFonts w:ascii="Arial Narrow" w:hAnsi="Arial Narrow"/>
              </w:rPr>
              <w:t>Global outcome</w:t>
            </w:r>
          </w:p>
          <w:p w14:paraId="6971BB45" w14:textId="77777777" w:rsidR="00B42469" w:rsidRPr="00180844" w:rsidRDefault="00B42469" w:rsidP="00B42469">
            <w:pPr>
              <w:pStyle w:val="ListParagraph"/>
              <w:numPr>
                <w:ilvl w:val="1"/>
                <w:numId w:val="18"/>
              </w:numPr>
              <w:spacing w:after="0" w:line="240" w:lineRule="auto"/>
              <w:ind w:left="624" w:hanging="170"/>
              <w:jc w:val="left"/>
              <w:rPr>
                <w:rFonts w:ascii="Arial Narrow" w:hAnsi="Arial Narrow"/>
              </w:rPr>
            </w:pPr>
            <w:r>
              <w:rPr>
                <w:rFonts w:ascii="Arial Narrow" w:hAnsi="Arial Narrow"/>
              </w:rPr>
              <w:t>Activities of daily life</w:t>
            </w:r>
          </w:p>
          <w:p w14:paraId="6A93715B" w14:textId="77777777" w:rsidR="00B42469" w:rsidRDefault="00B42469" w:rsidP="00B42469">
            <w:pPr>
              <w:pStyle w:val="ListParagraph"/>
              <w:numPr>
                <w:ilvl w:val="0"/>
                <w:numId w:val="18"/>
              </w:numPr>
              <w:spacing w:after="0" w:line="240" w:lineRule="auto"/>
              <w:ind w:left="170" w:hanging="170"/>
              <w:jc w:val="left"/>
              <w:rPr>
                <w:rFonts w:ascii="Arial Narrow" w:hAnsi="Arial Narrow"/>
              </w:rPr>
            </w:pPr>
            <w:r w:rsidRPr="00180844">
              <w:rPr>
                <w:rFonts w:ascii="Arial Narrow" w:hAnsi="Arial Narrow"/>
              </w:rPr>
              <w:t>quality of life</w:t>
            </w:r>
          </w:p>
          <w:p w14:paraId="4B2A4179" w14:textId="3570A16D" w:rsidR="00BA5DEC" w:rsidRPr="003713F7" w:rsidRDefault="00BA5DEC" w:rsidP="00B42469">
            <w:pPr>
              <w:pStyle w:val="ListParagraph"/>
              <w:numPr>
                <w:ilvl w:val="0"/>
                <w:numId w:val="18"/>
              </w:numPr>
              <w:spacing w:after="0" w:line="240" w:lineRule="auto"/>
              <w:ind w:left="170" w:hanging="170"/>
              <w:jc w:val="left"/>
              <w:rPr>
                <w:rFonts w:ascii="Arial Narrow" w:hAnsi="Arial Narrow"/>
              </w:rPr>
            </w:pPr>
            <w:r>
              <w:rPr>
                <w:rFonts w:ascii="Arial Narrow" w:hAnsi="Arial Narrow"/>
              </w:rPr>
              <w:t>prognostic value</w:t>
            </w:r>
          </w:p>
        </w:tc>
      </w:tr>
      <w:tr w:rsidR="00B42469" w:rsidRPr="00342F79" w14:paraId="28B175F9" w14:textId="77777777" w:rsidTr="00E17BD6">
        <w:tc>
          <w:tcPr>
            <w:tcW w:w="0" w:type="auto"/>
            <w:gridSpan w:val="6"/>
          </w:tcPr>
          <w:p w14:paraId="44C7310C" w14:textId="50F39120" w:rsidR="00B42469" w:rsidRPr="00342F79" w:rsidRDefault="00B42469" w:rsidP="00BA5DEC">
            <w:pPr>
              <w:spacing w:after="0" w:line="240" w:lineRule="auto"/>
              <w:jc w:val="left"/>
              <w:rPr>
                <w:rFonts w:ascii="Arial Narrow" w:hAnsi="Arial Narrow"/>
              </w:rPr>
            </w:pPr>
            <w:r>
              <w:rPr>
                <w:rFonts w:ascii="Arial Narrow" w:hAnsi="Arial Narrow"/>
                <w:b/>
              </w:rPr>
              <w:t xml:space="preserve">Research question: </w:t>
            </w:r>
            <w:r>
              <w:rPr>
                <w:rFonts w:ascii="Arial Narrow" w:hAnsi="Arial Narrow"/>
              </w:rPr>
              <w:t xml:space="preserve">In people with suspected Alzheimer’s disease in whom prior tests (clinical evaluation, MRI and blood tests) have been inconclusive, what </w:t>
            </w:r>
            <w:proofErr w:type="gramStart"/>
            <w:r>
              <w:rPr>
                <w:rFonts w:ascii="Arial Narrow" w:hAnsi="Arial Narrow"/>
              </w:rPr>
              <w:t>is</w:t>
            </w:r>
            <w:proofErr w:type="gramEnd"/>
            <w:r w:rsidR="00BA44FB">
              <w:rPr>
                <w:rFonts w:ascii="Arial Narrow" w:hAnsi="Arial Narrow"/>
              </w:rPr>
              <w:t xml:space="preserve"> the</w:t>
            </w:r>
            <w:r>
              <w:rPr>
                <w:rFonts w:ascii="Arial Narrow" w:hAnsi="Arial Narrow"/>
              </w:rPr>
              <w:t xml:space="preserve"> safety, effectiveness and cost-effectiveness of FDG PET as a replacement for SPECT for establishing a diagnosis?</w:t>
            </w:r>
          </w:p>
        </w:tc>
      </w:tr>
    </w:tbl>
    <w:p w14:paraId="3B07986A" w14:textId="77777777" w:rsidR="00342F79" w:rsidRDefault="00342F79" w:rsidP="00342F79">
      <w:pPr>
        <w:rPr>
          <w:highlight w:val="yellow"/>
        </w:rPr>
      </w:pPr>
    </w:p>
    <w:p w14:paraId="2D6EF4DF" w14:textId="77777777" w:rsidR="00440598" w:rsidRPr="008F2B80" w:rsidRDefault="00440598" w:rsidP="008F2B80">
      <w:pPr>
        <w:spacing w:after="200" w:line="276" w:lineRule="auto"/>
        <w:jc w:val="left"/>
        <w:rPr>
          <w:b/>
          <w:bCs/>
          <w:color w:val="215868"/>
          <w:sz w:val="24"/>
          <w:szCs w:val="32"/>
        </w:rPr>
      </w:pPr>
      <w:r>
        <w:br w:type="page"/>
      </w:r>
    </w:p>
    <w:p w14:paraId="14B4EB1A" w14:textId="77777777" w:rsidR="005A4430" w:rsidRDefault="00440598" w:rsidP="002856E9">
      <w:pPr>
        <w:pStyle w:val="Heading1"/>
      </w:pPr>
      <w:bookmarkStart w:id="40" w:name="_Toc381957865"/>
      <w:r>
        <w:lastRenderedPageBreak/>
        <w:t>Reference</w:t>
      </w:r>
      <w:r w:rsidR="008F2B80">
        <w:t>s</w:t>
      </w:r>
      <w:bookmarkEnd w:id="40"/>
    </w:p>
    <w:p w14:paraId="7BAC00FC" w14:textId="4755084D" w:rsidR="002856E9" w:rsidRDefault="002856E9" w:rsidP="002856E9">
      <w:pPr>
        <w:tabs>
          <w:tab w:val="left" w:pos="0"/>
        </w:tabs>
        <w:spacing w:line="240" w:lineRule="auto"/>
        <w:rPr>
          <w:noProof/>
        </w:rPr>
      </w:pPr>
      <w:r>
        <w:rPr>
          <w:noProof/>
        </w:rPr>
        <w:t xml:space="preserve">Australian Institute of Health and Welfare (2007). </w:t>
      </w:r>
      <w:r w:rsidRPr="002856E9">
        <w:rPr>
          <w:i/>
          <w:noProof/>
        </w:rPr>
        <w:t>Demential in Australia: National data analysis and development</w:t>
      </w:r>
      <w:r>
        <w:rPr>
          <w:noProof/>
        </w:rPr>
        <w:t xml:space="preserve"> (Rep. No. Cat. no. AGE 53). Canberra: AIHW.</w:t>
      </w:r>
    </w:p>
    <w:p w14:paraId="10AEBAC3" w14:textId="77777777" w:rsidR="002856E9" w:rsidRDefault="002856E9" w:rsidP="002856E9">
      <w:pPr>
        <w:tabs>
          <w:tab w:val="left" w:pos="0"/>
        </w:tabs>
        <w:spacing w:line="240" w:lineRule="auto"/>
        <w:rPr>
          <w:noProof/>
        </w:rPr>
      </w:pPr>
      <w:r>
        <w:rPr>
          <w:noProof/>
        </w:rPr>
        <w:t xml:space="preserve">Australian Institute of Health and Welfare (2012). </w:t>
      </w:r>
      <w:r w:rsidRPr="002856E9">
        <w:rPr>
          <w:i/>
          <w:noProof/>
        </w:rPr>
        <w:t>Dementia in Australia</w:t>
      </w:r>
      <w:r>
        <w:rPr>
          <w:noProof/>
        </w:rPr>
        <w:t xml:space="preserve"> (Rep. No. Cat. no. AGE 70). Canberra: AIHW.</w:t>
      </w:r>
    </w:p>
    <w:p w14:paraId="1A3F7E05" w14:textId="77777777" w:rsidR="002856E9" w:rsidRDefault="002856E9" w:rsidP="002856E9">
      <w:pPr>
        <w:tabs>
          <w:tab w:val="left" w:pos="0"/>
        </w:tabs>
        <w:spacing w:line="240" w:lineRule="auto"/>
        <w:rPr>
          <w:noProof/>
        </w:rPr>
      </w:pPr>
      <w:r>
        <w:rPr>
          <w:noProof/>
        </w:rPr>
        <w:t xml:space="preserve">Filippi, M., Agosta, F., Barkhof, F., Dubois, B., Fox, N. C., Frisoni, G. B. et al. (2012). EFNS task force: the use of neuroimaging in the diagnosis of dementia. </w:t>
      </w:r>
      <w:r w:rsidRPr="002856E9">
        <w:rPr>
          <w:i/>
          <w:noProof/>
        </w:rPr>
        <w:t>European Journal of Neurology, 19,</w:t>
      </w:r>
      <w:r>
        <w:rPr>
          <w:noProof/>
        </w:rPr>
        <w:t xml:space="preserve"> 1487-1501.</w:t>
      </w:r>
    </w:p>
    <w:p w14:paraId="10D23B9E" w14:textId="77777777" w:rsidR="002856E9" w:rsidRDefault="002856E9" w:rsidP="002856E9">
      <w:pPr>
        <w:tabs>
          <w:tab w:val="left" w:pos="0"/>
        </w:tabs>
        <w:spacing w:line="240" w:lineRule="auto"/>
        <w:rPr>
          <w:noProof/>
        </w:rPr>
      </w:pPr>
      <w:r>
        <w:rPr>
          <w:noProof/>
        </w:rPr>
        <w:t xml:space="preserve">Hort, J., O'Brien, J. T., Gainotti, G., Pirttila, T., Popescu, B. O., Rektorova, I. et al. (2010). EFNS guidelines for the diagnosis and management of Alzheimer's disease. </w:t>
      </w:r>
      <w:r w:rsidRPr="002856E9">
        <w:rPr>
          <w:i/>
          <w:noProof/>
        </w:rPr>
        <w:t>European Journal of Neurology, 17,</w:t>
      </w:r>
      <w:r>
        <w:rPr>
          <w:noProof/>
        </w:rPr>
        <w:t xml:space="preserve"> 1236-1248.</w:t>
      </w:r>
    </w:p>
    <w:p w14:paraId="6C45DFE8" w14:textId="77777777" w:rsidR="002856E9" w:rsidRDefault="002856E9" w:rsidP="002856E9">
      <w:pPr>
        <w:tabs>
          <w:tab w:val="left" w:pos="0"/>
        </w:tabs>
        <w:spacing w:line="240" w:lineRule="auto"/>
        <w:rPr>
          <w:noProof/>
        </w:rPr>
      </w:pPr>
      <w:r>
        <w:rPr>
          <w:noProof/>
        </w:rPr>
        <w:t xml:space="preserve">National Collaborating Centre for Mental Health (2007). </w:t>
      </w:r>
      <w:r w:rsidRPr="002856E9">
        <w:rPr>
          <w:i/>
          <w:noProof/>
        </w:rPr>
        <w:t>Dementia: a NICE-SCIE Guideline on supporting people with dementia and their carers in health and social care</w:t>
      </w:r>
      <w:r>
        <w:rPr>
          <w:noProof/>
        </w:rPr>
        <w:t xml:space="preserve"> (Rep. No. National Clinical Practice Guideline Number 42). London: The British Psychological Society and Gaskell.</w:t>
      </w:r>
    </w:p>
    <w:p w14:paraId="4FABBA5F" w14:textId="77777777" w:rsidR="002856E9" w:rsidRDefault="002856E9" w:rsidP="002856E9">
      <w:pPr>
        <w:tabs>
          <w:tab w:val="left" w:pos="0"/>
        </w:tabs>
        <w:spacing w:after="0" w:line="240" w:lineRule="auto"/>
        <w:rPr>
          <w:noProof/>
        </w:rPr>
      </w:pPr>
      <w:r>
        <w:rPr>
          <w:noProof/>
        </w:rPr>
        <w:t xml:space="preserve">Vacante, M., Smailagic, N., Sachpekidis, C., Hyde, C., Martin, S., &amp; Ukomunne, O. (2013). The accuracy of </w:t>
      </w:r>
      <w:r w:rsidRPr="002856E9">
        <w:rPr>
          <w:noProof/>
          <w:vertAlign w:val="superscript"/>
        </w:rPr>
        <w:t>18</w:t>
      </w:r>
      <w:r>
        <w:rPr>
          <w:noProof/>
        </w:rPr>
        <w:t xml:space="preserve">FDG-PET in the early diagnosis of Alzheimer's disease dementia and other dementias in people with MCI (Protocol). </w:t>
      </w:r>
      <w:r w:rsidRPr="002856E9">
        <w:rPr>
          <w:i/>
          <w:noProof/>
        </w:rPr>
        <w:t>Cochrane Database of Systematic Reviews</w:t>
      </w:r>
      <w:r>
        <w:rPr>
          <w:noProof/>
        </w:rPr>
        <w:t>.</w:t>
      </w:r>
    </w:p>
    <w:p w14:paraId="0A19A85B" w14:textId="77777777" w:rsidR="002856E9" w:rsidRDefault="002856E9" w:rsidP="002856E9">
      <w:pPr>
        <w:tabs>
          <w:tab w:val="left" w:pos="0"/>
        </w:tabs>
        <w:spacing w:after="0" w:line="240" w:lineRule="auto"/>
        <w:rPr>
          <w:noProof/>
        </w:rPr>
      </w:pPr>
    </w:p>
    <w:p w14:paraId="155C565F" w14:textId="351A26F3" w:rsidR="004330EA" w:rsidRDefault="004330EA"/>
    <w:sectPr w:rsidR="004330EA" w:rsidSect="00333B6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D421" w14:textId="77777777" w:rsidR="00B44BC2" w:rsidRDefault="00B44BC2" w:rsidP="00440598">
      <w:pPr>
        <w:spacing w:after="0" w:line="240" w:lineRule="auto"/>
      </w:pPr>
      <w:r>
        <w:separator/>
      </w:r>
    </w:p>
  </w:endnote>
  <w:endnote w:type="continuationSeparator" w:id="0">
    <w:p w14:paraId="2DAA00E0" w14:textId="77777777" w:rsidR="00B44BC2" w:rsidRDefault="00B44BC2" w:rsidP="0044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8C22" w14:textId="77777777" w:rsidR="003B16C4" w:rsidRDefault="003B1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44153"/>
      <w:docPartObj>
        <w:docPartGallery w:val="Page Numbers (Bottom of Page)"/>
        <w:docPartUnique/>
      </w:docPartObj>
    </w:sdtPr>
    <w:sdtEndPr/>
    <w:sdtContent>
      <w:sdt>
        <w:sdtPr>
          <w:id w:val="-1935285095"/>
          <w:docPartObj>
            <w:docPartGallery w:val="Page Numbers (Top of Page)"/>
            <w:docPartUnique/>
          </w:docPartObj>
        </w:sdtPr>
        <w:sdtEndPr/>
        <w:sdtContent>
          <w:p w14:paraId="53564320" w14:textId="77777777" w:rsidR="004569F9" w:rsidRDefault="004569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41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41F8">
              <w:rPr>
                <w:b/>
                <w:bCs/>
                <w:noProof/>
              </w:rPr>
              <w:t>16</w:t>
            </w:r>
            <w:r>
              <w:rPr>
                <w:b/>
                <w:bCs/>
                <w:sz w:val="24"/>
                <w:szCs w:val="24"/>
              </w:rPr>
              <w:fldChar w:fldCharType="end"/>
            </w:r>
          </w:p>
        </w:sdtContent>
      </w:sdt>
    </w:sdtContent>
  </w:sdt>
  <w:p w14:paraId="2F5A168A" w14:textId="77777777" w:rsidR="004569F9" w:rsidRDefault="00456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25FC" w14:textId="77777777" w:rsidR="003B16C4" w:rsidRDefault="003B1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9B1E9" w14:textId="77777777" w:rsidR="00B44BC2" w:rsidRDefault="00B44BC2" w:rsidP="00440598">
      <w:pPr>
        <w:spacing w:after="0" w:line="240" w:lineRule="auto"/>
      </w:pPr>
      <w:r>
        <w:separator/>
      </w:r>
    </w:p>
  </w:footnote>
  <w:footnote w:type="continuationSeparator" w:id="0">
    <w:p w14:paraId="01D9503F" w14:textId="77777777" w:rsidR="00B44BC2" w:rsidRDefault="00B44BC2" w:rsidP="00440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5D6D" w14:textId="575EB54F" w:rsidR="003B16C4" w:rsidRDefault="00AB41F8">
    <w:pPr>
      <w:pStyle w:val="Header"/>
    </w:pPr>
    <w:r>
      <w:rPr>
        <w:noProof/>
      </w:rPr>
      <w:pict w14:anchorId="6AABA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909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0FB3" w14:textId="58A48158" w:rsidR="003B16C4" w:rsidRDefault="00AB41F8">
    <w:pPr>
      <w:pStyle w:val="Header"/>
    </w:pPr>
    <w:r>
      <w:rPr>
        <w:noProof/>
      </w:rPr>
      <w:pict w14:anchorId="581FD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909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3F9E" w14:textId="3A9DA611" w:rsidR="003B16C4" w:rsidRDefault="00AB41F8">
    <w:pPr>
      <w:pStyle w:val="Header"/>
    </w:pPr>
    <w:r>
      <w:rPr>
        <w:noProof/>
      </w:rPr>
      <w:pict w14:anchorId="6945E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909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F57"/>
    <w:multiLevelType w:val="hybridMultilevel"/>
    <w:tmpl w:val="6C266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61BA3"/>
    <w:multiLevelType w:val="hybridMultilevel"/>
    <w:tmpl w:val="D5FEFA84"/>
    <w:lvl w:ilvl="0" w:tplc="675A5C72">
      <w:numFmt w:val="bullet"/>
      <w:lvlText w:val="•"/>
      <w:lvlJc w:val="left"/>
      <w:pPr>
        <w:ind w:left="720" w:hanging="360"/>
      </w:pPr>
      <w:rPr>
        <w:rFonts w:ascii="Tahoma" w:eastAsia="SimSu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744304"/>
    <w:multiLevelType w:val="hybridMultilevel"/>
    <w:tmpl w:val="78827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1D735B"/>
    <w:multiLevelType w:val="hybridMultilevel"/>
    <w:tmpl w:val="7AFA2FC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4">
    <w:nsid w:val="0CD56D9C"/>
    <w:multiLevelType w:val="hybridMultilevel"/>
    <w:tmpl w:val="6CF45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150D2B"/>
    <w:multiLevelType w:val="hybridMultilevel"/>
    <w:tmpl w:val="B856621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6">
    <w:nsid w:val="17746C0A"/>
    <w:multiLevelType w:val="hybridMultilevel"/>
    <w:tmpl w:val="3718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433D66"/>
    <w:multiLevelType w:val="hybridMultilevel"/>
    <w:tmpl w:val="417EC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E31C2E"/>
    <w:multiLevelType w:val="hybridMultilevel"/>
    <w:tmpl w:val="715C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E0D43"/>
    <w:multiLevelType w:val="hybridMultilevel"/>
    <w:tmpl w:val="0F707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149C9"/>
    <w:multiLevelType w:val="hybridMultilevel"/>
    <w:tmpl w:val="EA66ECAA"/>
    <w:lvl w:ilvl="0" w:tplc="675A5C72">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BA0F37"/>
    <w:multiLevelType w:val="hybridMultilevel"/>
    <w:tmpl w:val="E6C01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3">
    <w:nsid w:val="34723C5F"/>
    <w:multiLevelType w:val="hybridMultilevel"/>
    <w:tmpl w:val="7E0E5C2C"/>
    <w:lvl w:ilvl="0" w:tplc="0C09000F">
      <w:start w:val="1"/>
      <w:numFmt w:val="decimal"/>
      <w:lvlText w:val="%1."/>
      <w:lvlJc w:val="left"/>
      <w:pPr>
        <w:ind w:left="720" w:hanging="360"/>
      </w:pPr>
      <w:rPr>
        <w:rFont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94347F"/>
    <w:multiLevelType w:val="hybridMultilevel"/>
    <w:tmpl w:val="60EE00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7">
    <w:nsid w:val="5E302A72"/>
    <w:multiLevelType w:val="hybridMultilevel"/>
    <w:tmpl w:val="8292B77A"/>
    <w:lvl w:ilvl="0" w:tplc="0C090011">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46E0E74"/>
    <w:multiLevelType w:val="hybridMultilevel"/>
    <w:tmpl w:val="2FA09998"/>
    <w:lvl w:ilvl="0" w:tplc="555E64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6F53ED"/>
    <w:multiLevelType w:val="hybridMultilevel"/>
    <w:tmpl w:val="076C2E62"/>
    <w:lvl w:ilvl="0" w:tplc="675A5C72">
      <w:numFmt w:val="bullet"/>
      <w:lvlText w:val="•"/>
      <w:lvlJc w:val="left"/>
      <w:pPr>
        <w:ind w:left="720" w:hanging="360"/>
      </w:pPr>
      <w:rPr>
        <w:rFonts w:ascii="Tahoma" w:eastAsia="SimSu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541DBA"/>
    <w:multiLevelType w:val="hybridMultilevel"/>
    <w:tmpl w:val="604A7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F350FB"/>
    <w:multiLevelType w:val="hybridMultilevel"/>
    <w:tmpl w:val="F82C7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3">
    <w:nsid w:val="7ADA5CEE"/>
    <w:multiLevelType w:val="hybridMultilevel"/>
    <w:tmpl w:val="C03431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12"/>
  </w:num>
  <w:num w:numId="3">
    <w:abstractNumId w:val="15"/>
  </w:num>
  <w:num w:numId="4">
    <w:abstractNumId w:val="16"/>
  </w:num>
  <w:num w:numId="5">
    <w:abstractNumId w:val="17"/>
  </w:num>
  <w:num w:numId="6">
    <w:abstractNumId w:val="20"/>
  </w:num>
  <w:num w:numId="7">
    <w:abstractNumId w:val="8"/>
  </w:num>
  <w:num w:numId="8">
    <w:abstractNumId w:val="6"/>
  </w:num>
  <w:num w:numId="9">
    <w:abstractNumId w:val="5"/>
  </w:num>
  <w:num w:numId="10">
    <w:abstractNumId w:val="3"/>
  </w:num>
  <w:num w:numId="11">
    <w:abstractNumId w:val="7"/>
  </w:num>
  <w:num w:numId="12">
    <w:abstractNumId w:val="21"/>
  </w:num>
  <w:num w:numId="13">
    <w:abstractNumId w:val="13"/>
  </w:num>
  <w:num w:numId="14">
    <w:abstractNumId w:val="2"/>
  </w:num>
  <w:num w:numId="15">
    <w:abstractNumId w:val="0"/>
  </w:num>
  <w:num w:numId="16">
    <w:abstractNumId w:val="18"/>
  </w:num>
  <w:num w:numId="17">
    <w:abstractNumId w:val="23"/>
  </w:num>
  <w:num w:numId="18">
    <w:abstractNumId w:val="14"/>
  </w:num>
  <w:num w:numId="19">
    <w:abstractNumId w:val="11"/>
  </w:num>
  <w:num w:numId="20">
    <w:abstractNumId w:val="4"/>
  </w:num>
  <w:num w:numId="21">
    <w:abstractNumId w:val="9"/>
  </w:num>
  <w:num w:numId="22">
    <w:abstractNumId w:val="19"/>
  </w:num>
  <w:num w:numId="23">
    <w:abstractNumId w:val="1"/>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merican Psychological Association 5th ed&lt;/Style&gt;&lt;LeftDelim&gt;{&lt;/LeftDelim&gt;&lt;RightDelim&gt;}&lt;/RightDelim&gt;&lt;FontName&gt;Tahoma&lt;/FontName&gt;&lt;FontSize&gt;10&lt;/FontSize&gt;&lt;ReflistTitle&gt;&lt;/ReflistTitle&gt;&lt;StartingRefnum&gt;1&lt;/StartingRefnum&gt;&lt;FirstLineIndent&gt;0&lt;/FirstLineIndent&gt;&lt;HangingIndent&gt;0&lt;/HangingIndent&gt;&lt;LineSpacing&gt;0&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1195 PET for Alzheimers Protocol&lt;/item&gt;&lt;/Libraries&gt;&lt;/ENLibraries&gt;"/>
  </w:docVars>
  <w:rsids>
    <w:rsidRoot w:val="00440598"/>
    <w:rsid w:val="000064B4"/>
    <w:rsid w:val="000B66BF"/>
    <w:rsid w:val="000C3F25"/>
    <w:rsid w:val="000F5179"/>
    <w:rsid w:val="00180844"/>
    <w:rsid w:val="001C4B54"/>
    <w:rsid w:val="001D2FEE"/>
    <w:rsid w:val="001D6106"/>
    <w:rsid w:val="001E727D"/>
    <w:rsid w:val="001F00BC"/>
    <w:rsid w:val="001F7F99"/>
    <w:rsid w:val="00200F3A"/>
    <w:rsid w:val="002218D7"/>
    <w:rsid w:val="00236159"/>
    <w:rsid w:val="002856E9"/>
    <w:rsid w:val="00291128"/>
    <w:rsid w:val="003159EC"/>
    <w:rsid w:val="00333B60"/>
    <w:rsid w:val="003402B7"/>
    <w:rsid w:val="00342F79"/>
    <w:rsid w:val="00350D7C"/>
    <w:rsid w:val="00361152"/>
    <w:rsid w:val="003704D8"/>
    <w:rsid w:val="003713F7"/>
    <w:rsid w:val="0037228A"/>
    <w:rsid w:val="003B16C4"/>
    <w:rsid w:val="004330EA"/>
    <w:rsid w:val="00440598"/>
    <w:rsid w:val="004569F9"/>
    <w:rsid w:val="00493EA8"/>
    <w:rsid w:val="004A5155"/>
    <w:rsid w:val="004C1AFB"/>
    <w:rsid w:val="005242EC"/>
    <w:rsid w:val="005360D8"/>
    <w:rsid w:val="00541A22"/>
    <w:rsid w:val="00541C96"/>
    <w:rsid w:val="00541E09"/>
    <w:rsid w:val="00542902"/>
    <w:rsid w:val="005633FD"/>
    <w:rsid w:val="00563C92"/>
    <w:rsid w:val="00563F4D"/>
    <w:rsid w:val="00573106"/>
    <w:rsid w:val="005766FD"/>
    <w:rsid w:val="005A4430"/>
    <w:rsid w:val="005A6424"/>
    <w:rsid w:val="005F187D"/>
    <w:rsid w:val="006315FF"/>
    <w:rsid w:val="00645DA1"/>
    <w:rsid w:val="0066306A"/>
    <w:rsid w:val="006827CC"/>
    <w:rsid w:val="006A71EE"/>
    <w:rsid w:val="006C3426"/>
    <w:rsid w:val="006C6DFF"/>
    <w:rsid w:val="006D59A5"/>
    <w:rsid w:val="006D67F6"/>
    <w:rsid w:val="007D2580"/>
    <w:rsid w:val="007E27C7"/>
    <w:rsid w:val="007F3044"/>
    <w:rsid w:val="00812E5C"/>
    <w:rsid w:val="00820336"/>
    <w:rsid w:val="00844806"/>
    <w:rsid w:val="008D62B9"/>
    <w:rsid w:val="008F2B80"/>
    <w:rsid w:val="0094216F"/>
    <w:rsid w:val="00976A90"/>
    <w:rsid w:val="0098206B"/>
    <w:rsid w:val="009A2928"/>
    <w:rsid w:val="009C1169"/>
    <w:rsid w:val="009F5C50"/>
    <w:rsid w:val="00A11F26"/>
    <w:rsid w:val="00A329DA"/>
    <w:rsid w:val="00A37D86"/>
    <w:rsid w:val="00A72B93"/>
    <w:rsid w:val="00AB41F8"/>
    <w:rsid w:val="00AC2C65"/>
    <w:rsid w:val="00AD4DEE"/>
    <w:rsid w:val="00B05C59"/>
    <w:rsid w:val="00B36588"/>
    <w:rsid w:val="00B42469"/>
    <w:rsid w:val="00B44BC2"/>
    <w:rsid w:val="00BA2B46"/>
    <w:rsid w:val="00BA44FB"/>
    <w:rsid w:val="00BA5DEC"/>
    <w:rsid w:val="00BB7BD2"/>
    <w:rsid w:val="00BE694B"/>
    <w:rsid w:val="00C46360"/>
    <w:rsid w:val="00C5322B"/>
    <w:rsid w:val="00CF70E3"/>
    <w:rsid w:val="00D300C5"/>
    <w:rsid w:val="00D314F6"/>
    <w:rsid w:val="00D95BAC"/>
    <w:rsid w:val="00E17BD6"/>
    <w:rsid w:val="00E310E6"/>
    <w:rsid w:val="00E7006B"/>
    <w:rsid w:val="00E90A24"/>
    <w:rsid w:val="00E913D4"/>
    <w:rsid w:val="00E97395"/>
    <w:rsid w:val="00EF323F"/>
    <w:rsid w:val="00F054C2"/>
    <w:rsid w:val="00F119F0"/>
    <w:rsid w:val="00F14E6E"/>
    <w:rsid w:val="00F2151A"/>
    <w:rsid w:val="00F46F1C"/>
    <w:rsid w:val="00F7052C"/>
    <w:rsid w:val="00F767BA"/>
    <w:rsid w:val="00FA7B05"/>
    <w:rsid w:val="00FF77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04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4059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44059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440598"/>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440598"/>
    <w:pPr>
      <w:keepNext/>
      <w:spacing w:after="120"/>
      <w:outlineLvl w:val="2"/>
    </w:pPr>
    <w:rPr>
      <w:color w:val="41A7BF"/>
    </w:rPr>
  </w:style>
  <w:style w:type="paragraph" w:styleId="Heading4">
    <w:name w:val="heading 4"/>
    <w:basedOn w:val="Normal"/>
    <w:next w:val="Normal"/>
    <w:link w:val="Heading4Char"/>
    <w:uiPriority w:val="99"/>
    <w:qFormat/>
    <w:rsid w:val="00440598"/>
    <w:pPr>
      <w:keepNext/>
      <w:numPr>
        <w:ilvl w:val="3"/>
        <w:numId w:val="1"/>
      </w:numPr>
      <w:outlineLvl w:val="3"/>
    </w:pPr>
    <w:rPr>
      <w:u w:val="single"/>
    </w:rPr>
  </w:style>
  <w:style w:type="paragraph" w:styleId="Heading5">
    <w:name w:val="heading 5"/>
    <w:basedOn w:val="Normal"/>
    <w:next w:val="Normal"/>
    <w:link w:val="Heading5Char"/>
    <w:uiPriority w:val="99"/>
    <w:qFormat/>
    <w:rsid w:val="00440598"/>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440598"/>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440598"/>
    <w:pPr>
      <w:keepNext/>
      <w:outlineLvl w:val="6"/>
    </w:pPr>
    <w:rPr>
      <w:i/>
    </w:rPr>
  </w:style>
  <w:style w:type="paragraph" w:styleId="Heading8">
    <w:name w:val="heading 8"/>
    <w:basedOn w:val="Normal"/>
    <w:next w:val="Normal"/>
    <w:link w:val="Heading8Char"/>
    <w:uiPriority w:val="99"/>
    <w:qFormat/>
    <w:rsid w:val="00440598"/>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440598"/>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0598"/>
    <w:rPr>
      <w:rFonts w:ascii="Tahoma" w:eastAsia="SimSun" w:hAnsi="Tahoma" w:cs="Tahoma"/>
      <w:b/>
      <w:bCs/>
      <w:color w:val="215868"/>
      <w:sz w:val="24"/>
      <w:szCs w:val="32"/>
      <w:lang w:eastAsia="zh-CN"/>
    </w:rPr>
  </w:style>
  <w:style w:type="character" w:customStyle="1" w:styleId="Heading2Char">
    <w:name w:val="Heading 2 Char"/>
    <w:basedOn w:val="DefaultParagraphFont"/>
    <w:link w:val="Heading2"/>
    <w:uiPriority w:val="99"/>
    <w:rsid w:val="00440598"/>
    <w:rPr>
      <w:rFonts w:ascii="Tahoma" w:eastAsia="SimSun" w:hAnsi="Tahoma" w:cs="Tahoma"/>
      <w:b/>
      <w:color w:val="215868"/>
      <w:sz w:val="20"/>
      <w:szCs w:val="28"/>
      <w:lang w:val="en-GB" w:eastAsia="ja-JP"/>
    </w:rPr>
  </w:style>
  <w:style w:type="character" w:customStyle="1" w:styleId="Heading3Char">
    <w:name w:val="Heading 3 Char"/>
    <w:basedOn w:val="DefaultParagraphFont"/>
    <w:link w:val="Heading3"/>
    <w:uiPriority w:val="99"/>
    <w:rsid w:val="00440598"/>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440598"/>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440598"/>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rsid w:val="00440598"/>
    <w:rPr>
      <w:rFonts w:ascii="Tahoma" w:eastAsia="SimSun" w:hAnsi="Tahoma" w:cs="Tahoma"/>
      <w:b/>
      <w:sz w:val="28"/>
      <w:szCs w:val="20"/>
      <w:lang w:eastAsia="zh-CN"/>
    </w:rPr>
  </w:style>
  <w:style w:type="character" w:customStyle="1" w:styleId="Heading7Char">
    <w:name w:val="Heading 7 Char"/>
    <w:basedOn w:val="DefaultParagraphFont"/>
    <w:link w:val="Heading7"/>
    <w:uiPriority w:val="99"/>
    <w:rsid w:val="00440598"/>
    <w:rPr>
      <w:rFonts w:ascii="Tahoma" w:eastAsia="SimSun" w:hAnsi="Tahoma" w:cs="Tahoma"/>
      <w:i/>
      <w:sz w:val="20"/>
      <w:szCs w:val="20"/>
      <w:lang w:eastAsia="zh-CN"/>
    </w:rPr>
  </w:style>
  <w:style w:type="character" w:customStyle="1" w:styleId="Heading8Char">
    <w:name w:val="Heading 8 Char"/>
    <w:basedOn w:val="DefaultParagraphFont"/>
    <w:link w:val="Heading8"/>
    <w:uiPriority w:val="99"/>
    <w:rsid w:val="00440598"/>
    <w:rPr>
      <w:rFonts w:ascii="Tahoma" w:eastAsia="SimSun" w:hAnsi="Tahoma" w:cs="Tahoma"/>
      <w:sz w:val="48"/>
      <w:szCs w:val="20"/>
      <w:lang w:eastAsia="zh-CN"/>
    </w:rPr>
  </w:style>
  <w:style w:type="character" w:customStyle="1" w:styleId="Heading9Char">
    <w:name w:val="Heading 9 Char"/>
    <w:basedOn w:val="DefaultParagraphFont"/>
    <w:link w:val="Heading9"/>
    <w:uiPriority w:val="99"/>
    <w:rsid w:val="00440598"/>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440598"/>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440598"/>
    <w:pPr>
      <w:spacing w:line="240" w:lineRule="auto"/>
    </w:pPr>
    <w:rPr>
      <w:sz w:val="16"/>
      <w:szCs w:val="16"/>
    </w:rPr>
  </w:style>
  <w:style w:type="character" w:customStyle="1" w:styleId="BalloonTextChar">
    <w:name w:val="Balloon Text Char"/>
    <w:basedOn w:val="DefaultParagraphFont"/>
    <w:link w:val="BalloonText"/>
    <w:uiPriority w:val="99"/>
    <w:rsid w:val="00440598"/>
    <w:rPr>
      <w:rFonts w:ascii="Tahoma" w:eastAsia="SimSun" w:hAnsi="Tahoma" w:cs="Tahoma"/>
      <w:sz w:val="16"/>
      <w:szCs w:val="16"/>
      <w:lang w:eastAsia="zh-CN"/>
    </w:rPr>
  </w:style>
  <w:style w:type="paragraph" w:customStyle="1" w:styleId="Bulletedtext">
    <w:name w:val="Bulleted text"/>
    <w:basedOn w:val="Normal"/>
    <w:uiPriority w:val="99"/>
    <w:rsid w:val="00440598"/>
    <w:pPr>
      <w:tabs>
        <w:tab w:val="left" w:pos="2835"/>
      </w:tabs>
    </w:pPr>
  </w:style>
  <w:style w:type="paragraph" w:customStyle="1" w:styleId="Bulletedtext2ndlevel">
    <w:name w:val="Bulleted text 2nd level"/>
    <w:basedOn w:val="Normal"/>
    <w:uiPriority w:val="99"/>
    <w:rsid w:val="00440598"/>
    <w:pPr>
      <w:tabs>
        <w:tab w:val="num" w:pos="720"/>
      </w:tabs>
      <w:ind w:left="720" w:hanging="360"/>
      <w:jc w:val="left"/>
    </w:pPr>
  </w:style>
  <w:style w:type="paragraph" w:customStyle="1" w:styleId="Captioncontinued">
    <w:name w:val="Caption (continued)"/>
    <w:basedOn w:val="Normal"/>
    <w:next w:val="Normal"/>
    <w:uiPriority w:val="99"/>
    <w:rsid w:val="00440598"/>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440598"/>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40598"/>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440598"/>
    <w:rPr>
      <w:rFonts w:cs="Times New Roman"/>
      <w:sz w:val="16"/>
      <w:szCs w:val="16"/>
    </w:rPr>
  </w:style>
  <w:style w:type="paragraph" w:styleId="CommentText">
    <w:name w:val="annotation text"/>
    <w:basedOn w:val="Normal"/>
    <w:link w:val="CommentTextChar"/>
    <w:uiPriority w:val="99"/>
    <w:semiHidden/>
    <w:rsid w:val="00440598"/>
  </w:style>
  <w:style w:type="character" w:customStyle="1" w:styleId="CommentTextChar">
    <w:name w:val="Comment Text Char"/>
    <w:basedOn w:val="DefaultParagraphFont"/>
    <w:link w:val="CommentText"/>
    <w:uiPriority w:val="99"/>
    <w:semiHidden/>
    <w:rsid w:val="00440598"/>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440598"/>
    <w:rPr>
      <w:b/>
      <w:bCs/>
    </w:rPr>
  </w:style>
  <w:style w:type="character" w:customStyle="1" w:styleId="CommentSubjectChar">
    <w:name w:val="Comment Subject Char"/>
    <w:basedOn w:val="CommentTextChar"/>
    <w:link w:val="CommentSubject"/>
    <w:uiPriority w:val="99"/>
    <w:semiHidden/>
    <w:rsid w:val="00440598"/>
    <w:rPr>
      <w:rFonts w:ascii="Tahoma" w:eastAsia="SimSun" w:hAnsi="Tahoma" w:cs="Tahoma"/>
      <w:b/>
      <w:bCs/>
      <w:sz w:val="20"/>
      <w:szCs w:val="20"/>
      <w:lang w:eastAsia="zh-CN"/>
    </w:rPr>
  </w:style>
  <w:style w:type="paragraph" w:customStyle="1" w:styleId="Execsummary">
    <w:name w:val="Exec summary"/>
    <w:basedOn w:val="Normal"/>
    <w:uiPriority w:val="99"/>
    <w:semiHidden/>
    <w:rsid w:val="00440598"/>
    <w:pPr>
      <w:spacing w:line="288" w:lineRule="auto"/>
    </w:pPr>
    <w:rPr>
      <w:sz w:val="22"/>
    </w:rPr>
  </w:style>
  <w:style w:type="paragraph" w:styleId="Footer">
    <w:name w:val="footer"/>
    <w:basedOn w:val="Normal"/>
    <w:link w:val="FooterChar"/>
    <w:uiPriority w:val="99"/>
    <w:rsid w:val="00440598"/>
    <w:pPr>
      <w:tabs>
        <w:tab w:val="center" w:pos="4320"/>
        <w:tab w:val="right" w:pos="8640"/>
      </w:tabs>
    </w:pPr>
  </w:style>
  <w:style w:type="character" w:customStyle="1" w:styleId="FooterChar">
    <w:name w:val="Footer Char"/>
    <w:basedOn w:val="DefaultParagraphFont"/>
    <w:link w:val="Footer"/>
    <w:uiPriority w:val="99"/>
    <w:rsid w:val="00440598"/>
    <w:rPr>
      <w:rFonts w:ascii="Tahoma" w:eastAsia="SimSun" w:hAnsi="Tahoma" w:cs="Tahoma"/>
      <w:sz w:val="20"/>
      <w:szCs w:val="20"/>
      <w:lang w:eastAsia="zh-CN"/>
    </w:rPr>
  </w:style>
  <w:style w:type="character" w:styleId="FootnoteReference">
    <w:name w:val="footnote reference"/>
    <w:basedOn w:val="DefaultParagraphFont"/>
    <w:uiPriority w:val="99"/>
    <w:semiHidden/>
    <w:rsid w:val="00440598"/>
    <w:rPr>
      <w:rFonts w:cs="Times New Roman"/>
      <w:vertAlign w:val="superscript"/>
    </w:rPr>
  </w:style>
  <w:style w:type="paragraph" w:styleId="FootnoteText">
    <w:name w:val="footnote text"/>
    <w:basedOn w:val="Normal"/>
    <w:link w:val="FootnoteTextChar"/>
    <w:uiPriority w:val="99"/>
    <w:semiHidden/>
    <w:rsid w:val="00440598"/>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440598"/>
    <w:rPr>
      <w:rFonts w:ascii="Calibri" w:eastAsia="Calibri" w:hAnsi="Calibri" w:cs="Tahoma"/>
      <w:sz w:val="20"/>
      <w:szCs w:val="20"/>
    </w:rPr>
  </w:style>
  <w:style w:type="paragraph" w:customStyle="1" w:styleId="GMHEADING1">
    <w:name w:val="GMHEADING1"/>
    <w:basedOn w:val="Normal"/>
    <w:next w:val="Normal"/>
    <w:uiPriority w:val="99"/>
    <w:rsid w:val="00440598"/>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440598"/>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440598"/>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440598"/>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440598"/>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440598"/>
    <w:rPr>
      <w:rFonts w:ascii="Tahoma" w:eastAsia="SimSun" w:hAnsi="Tahoma" w:cs="Tahoma"/>
      <w:sz w:val="18"/>
      <w:szCs w:val="20"/>
      <w:u w:val="single"/>
      <w:lang w:eastAsia="zh-CN"/>
    </w:rPr>
  </w:style>
  <w:style w:type="character" w:styleId="Hyperlink">
    <w:name w:val="Hyperlink"/>
    <w:basedOn w:val="DefaultParagraphFont"/>
    <w:uiPriority w:val="99"/>
    <w:rsid w:val="00440598"/>
    <w:rPr>
      <w:rFonts w:cs="Times New Roman"/>
      <w:color w:val="0000FF"/>
      <w:u w:val="single"/>
    </w:rPr>
  </w:style>
  <w:style w:type="paragraph" w:customStyle="1" w:styleId="Numberedtext">
    <w:name w:val="Numbered text"/>
    <w:basedOn w:val="Normal"/>
    <w:uiPriority w:val="99"/>
    <w:semiHidden/>
    <w:rsid w:val="00440598"/>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440598"/>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440598"/>
    <w:rPr>
      <w:rFonts w:cs="Times New Roman"/>
    </w:rPr>
  </w:style>
  <w:style w:type="paragraph" w:customStyle="1" w:styleId="Source">
    <w:name w:val="Source"/>
    <w:basedOn w:val="Normal"/>
    <w:uiPriority w:val="99"/>
    <w:rsid w:val="00440598"/>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440598"/>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440598"/>
    <w:rPr>
      <w:rFonts w:eastAsia="SimSun" w:cs="Times New Roman"/>
      <w:sz w:val="18"/>
      <w:szCs w:val="18"/>
      <w:lang w:val="en-AU" w:eastAsia="en-US" w:bidi="ar-SA"/>
    </w:rPr>
  </w:style>
  <w:style w:type="paragraph" w:customStyle="1" w:styleId="Spaceundertable">
    <w:name w:val="Space under table"/>
    <w:basedOn w:val="Normal"/>
    <w:uiPriority w:val="99"/>
    <w:rsid w:val="00440598"/>
    <w:pPr>
      <w:numPr>
        <w:numId w:val="4"/>
      </w:numPr>
      <w:spacing w:line="240" w:lineRule="auto"/>
      <w:jc w:val="left"/>
    </w:pPr>
    <w:rPr>
      <w:sz w:val="8"/>
      <w:szCs w:val="8"/>
    </w:rPr>
  </w:style>
  <w:style w:type="paragraph" w:customStyle="1" w:styleId="Style1">
    <w:name w:val="Style1"/>
    <w:basedOn w:val="GMHeading2"/>
    <w:uiPriority w:val="99"/>
    <w:rsid w:val="00440598"/>
  </w:style>
  <w:style w:type="paragraph" w:customStyle="1" w:styleId="Style2">
    <w:name w:val="Style2"/>
    <w:basedOn w:val="GMHeading3"/>
    <w:uiPriority w:val="99"/>
    <w:rsid w:val="00440598"/>
  </w:style>
  <w:style w:type="table" w:styleId="TableGrid">
    <w:name w:val="Table Grid"/>
    <w:basedOn w:val="TableNormal"/>
    <w:uiPriority w:val="99"/>
    <w:rsid w:val="00440598"/>
    <w:pPr>
      <w:tabs>
        <w:tab w:val="left" w:pos="2835"/>
      </w:tabs>
      <w:spacing w:before="40" w:after="40" w:line="240" w:lineRule="auto"/>
      <w:jc w:val="both"/>
    </w:pPr>
    <w:rPr>
      <w:rFonts w:ascii="Times New Roman" w:eastAsia="Times New Roman" w:hAnsi="Times New Roman" w:cs="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440598"/>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440598"/>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440598"/>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440598"/>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440598"/>
    <w:pPr>
      <w:numPr>
        <w:numId w:val="2"/>
      </w:numPr>
      <w:spacing w:before="40" w:after="40" w:line="240" w:lineRule="auto"/>
      <w:jc w:val="left"/>
    </w:pPr>
  </w:style>
  <w:style w:type="paragraph" w:customStyle="1" w:styleId="Tabletextbullettedv2">
    <w:name w:val="Table text bulletted v2"/>
    <w:basedOn w:val="Tabletextbulleted"/>
    <w:uiPriority w:val="99"/>
    <w:rsid w:val="00440598"/>
    <w:pPr>
      <w:numPr>
        <w:numId w:val="0"/>
      </w:numPr>
      <w:spacing w:before="20" w:after="20"/>
    </w:pPr>
    <w:rPr>
      <w:lang w:val="en-US"/>
    </w:rPr>
  </w:style>
  <w:style w:type="paragraph" w:customStyle="1" w:styleId="Tabletextindentleft">
    <w:name w:val="Table text indent left"/>
    <w:basedOn w:val="TableText1left"/>
    <w:uiPriority w:val="99"/>
    <w:semiHidden/>
    <w:rsid w:val="00440598"/>
    <w:pPr>
      <w:ind w:left="252"/>
    </w:pPr>
    <w:rPr>
      <w:lang w:val="en-AU"/>
    </w:rPr>
  </w:style>
  <w:style w:type="paragraph" w:customStyle="1" w:styleId="TabletextindentedlistA">
    <w:name w:val="Table text indented list A"/>
    <w:aliases w:val="B,C"/>
    <w:basedOn w:val="Tabletextbulleted"/>
    <w:uiPriority w:val="99"/>
    <w:rsid w:val="00440598"/>
    <w:pPr>
      <w:numPr>
        <w:numId w:val="0"/>
      </w:numPr>
      <w:tabs>
        <w:tab w:val="left" w:pos="284"/>
        <w:tab w:val="left" w:pos="2835"/>
      </w:tabs>
    </w:pPr>
  </w:style>
  <w:style w:type="paragraph" w:customStyle="1" w:styleId="TabletextRelativeRisksRR">
    <w:name w:val="Table text Relative Risks (RR)"/>
    <w:basedOn w:val="Normal"/>
    <w:uiPriority w:val="99"/>
    <w:semiHidden/>
    <w:rsid w:val="00440598"/>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440598"/>
    <w:pPr>
      <w:spacing w:after="170" w:line="280" w:lineRule="atLeast"/>
    </w:pPr>
    <w:rPr>
      <w:lang w:val="en-US"/>
    </w:rPr>
  </w:style>
  <w:style w:type="paragraph" w:styleId="Title">
    <w:name w:val="Title"/>
    <w:basedOn w:val="Normal"/>
    <w:link w:val="TitleChar"/>
    <w:uiPriority w:val="99"/>
    <w:qFormat/>
    <w:rsid w:val="0044059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40598"/>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440598"/>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440598"/>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440598"/>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440598"/>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440598"/>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440598"/>
    <w:pPr>
      <w:tabs>
        <w:tab w:val="right" w:leader="dot" w:pos="9469"/>
      </w:tabs>
      <w:ind w:left="960"/>
    </w:pPr>
  </w:style>
  <w:style w:type="paragraph" w:styleId="TOC6">
    <w:name w:val="toc 6"/>
    <w:basedOn w:val="Normal"/>
    <w:next w:val="Normal"/>
    <w:uiPriority w:val="99"/>
    <w:semiHidden/>
    <w:rsid w:val="00440598"/>
    <w:pPr>
      <w:tabs>
        <w:tab w:val="right" w:leader="dot" w:pos="9469"/>
      </w:tabs>
      <w:ind w:left="1200"/>
    </w:pPr>
  </w:style>
  <w:style w:type="paragraph" w:styleId="TOCHeading0">
    <w:name w:val="TOC Heading"/>
    <w:basedOn w:val="Heading1"/>
    <w:next w:val="Normal"/>
    <w:uiPriority w:val="99"/>
    <w:qFormat/>
    <w:rsid w:val="00440598"/>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440598"/>
    <w:pPr>
      <w:ind w:left="720"/>
      <w:contextualSpacing/>
    </w:pPr>
  </w:style>
  <w:style w:type="paragraph" w:styleId="NoSpacing">
    <w:name w:val="No Spacing"/>
    <w:link w:val="NoSpacingChar"/>
    <w:uiPriority w:val="99"/>
    <w:qFormat/>
    <w:rsid w:val="0044059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99"/>
    <w:locked/>
    <w:rsid w:val="00440598"/>
    <w:rPr>
      <w:rFonts w:ascii="Calibri" w:eastAsia="Times New Roman" w:hAnsi="Calibri" w:cs="Times New Roman"/>
      <w:lang w:val="en-US"/>
    </w:rPr>
  </w:style>
  <w:style w:type="character" w:styleId="FollowedHyperlink">
    <w:name w:val="FollowedHyperlink"/>
    <w:basedOn w:val="DefaultParagraphFont"/>
    <w:uiPriority w:val="99"/>
    <w:semiHidden/>
    <w:rsid w:val="00440598"/>
    <w:rPr>
      <w:rFonts w:cs="Times New Roman"/>
      <w:color w:val="800080"/>
      <w:u w:val="single"/>
    </w:rPr>
  </w:style>
  <w:style w:type="paragraph" w:customStyle="1" w:styleId="CharChar1CharCharCharChar">
    <w:name w:val="Char Char1 Char Char Char Char"/>
    <w:basedOn w:val="Normal"/>
    <w:uiPriority w:val="99"/>
    <w:rsid w:val="00440598"/>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440598"/>
    <w:pPr>
      <w:keepNext/>
      <w:spacing w:after="0" w:line="240" w:lineRule="auto"/>
      <w:jc w:val="left"/>
    </w:pPr>
    <w:rPr>
      <w:rFonts w:ascii="Trebuchet MS" w:eastAsia="Times New Roman" w:hAnsi="Trebuchet MS" w:cs="Times New Roman"/>
      <w:sz w:val="18"/>
      <w:lang w:eastAsia="en-US"/>
    </w:rPr>
  </w:style>
  <w:style w:type="paragraph" w:customStyle="1" w:styleId="Tabletext0">
    <w:name w:val="Table text"/>
    <w:basedOn w:val="Normal"/>
    <w:qFormat/>
    <w:rsid w:val="00440598"/>
    <w:pPr>
      <w:keepNext/>
      <w:spacing w:before="40" w:after="40" w:line="240" w:lineRule="auto"/>
      <w:jc w:val="left"/>
    </w:pPr>
    <w:rPr>
      <w:rFonts w:ascii="Arial Narrow" w:hAnsi="Arial Narrow"/>
      <w:sz w:val="18"/>
      <w:lang w:val="en-US" w:eastAsia="ja-JP"/>
    </w:rPr>
  </w:style>
  <w:style w:type="paragraph" w:styleId="NormalWeb">
    <w:name w:val="Normal (Web)"/>
    <w:basedOn w:val="Normal"/>
    <w:uiPriority w:val="99"/>
    <w:semiHidden/>
    <w:unhideWhenUsed/>
    <w:rsid w:val="00440598"/>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E694B"/>
  </w:style>
  <w:style w:type="paragraph" w:styleId="Revision">
    <w:name w:val="Revision"/>
    <w:hidden/>
    <w:uiPriority w:val="99"/>
    <w:semiHidden/>
    <w:rsid w:val="004A5155"/>
    <w:pPr>
      <w:spacing w:after="0" w:line="240" w:lineRule="auto"/>
    </w:pPr>
    <w:rPr>
      <w:rFonts w:ascii="Tahoma" w:eastAsia="SimSun" w:hAnsi="Tahoma" w:cs="Tahom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4059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44059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440598"/>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440598"/>
    <w:pPr>
      <w:keepNext/>
      <w:spacing w:after="120"/>
      <w:outlineLvl w:val="2"/>
    </w:pPr>
    <w:rPr>
      <w:color w:val="41A7BF"/>
    </w:rPr>
  </w:style>
  <w:style w:type="paragraph" w:styleId="Heading4">
    <w:name w:val="heading 4"/>
    <w:basedOn w:val="Normal"/>
    <w:next w:val="Normal"/>
    <w:link w:val="Heading4Char"/>
    <w:uiPriority w:val="99"/>
    <w:qFormat/>
    <w:rsid w:val="00440598"/>
    <w:pPr>
      <w:keepNext/>
      <w:numPr>
        <w:ilvl w:val="3"/>
        <w:numId w:val="1"/>
      </w:numPr>
      <w:outlineLvl w:val="3"/>
    </w:pPr>
    <w:rPr>
      <w:u w:val="single"/>
    </w:rPr>
  </w:style>
  <w:style w:type="paragraph" w:styleId="Heading5">
    <w:name w:val="heading 5"/>
    <w:basedOn w:val="Normal"/>
    <w:next w:val="Normal"/>
    <w:link w:val="Heading5Char"/>
    <w:uiPriority w:val="99"/>
    <w:qFormat/>
    <w:rsid w:val="00440598"/>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440598"/>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440598"/>
    <w:pPr>
      <w:keepNext/>
      <w:outlineLvl w:val="6"/>
    </w:pPr>
    <w:rPr>
      <w:i/>
    </w:rPr>
  </w:style>
  <w:style w:type="paragraph" w:styleId="Heading8">
    <w:name w:val="heading 8"/>
    <w:basedOn w:val="Normal"/>
    <w:next w:val="Normal"/>
    <w:link w:val="Heading8Char"/>
    <w:uiPriority w:val="99"/>
    <w:qFormat/>
    <w:rsid w:val="00440598"/>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440598"/>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0598"/>
    <w:rPr>
      <w:rFonts w:ascii="Tahoma" w:eastAsia="SimSun" w:hAnsi="Tahoma" w:cs="Tahoma"/>
      <w:b/>
      <w:bCs/>
      <w:color w:val="215868"/>
      <w:sz w:val="24"/>
      <w:szCs w:val="32"/>
      <w:lang w:eastAsia="zh-CN"/>
    </w:rPr>
  </w:style>
  <w:style w:type="character" w:customStyle="1" w:styleId="Heading2Char">
    <w:name w:val="Heading 2 Char"/>
    <w:basedOn w:val="DefaultParagraphFont"/>
    <w:link w:val="Heading2"/>
    <w:uiPriority w:val="99"/>
    <w:rsid w:val="00440598"/>
    <w:rPr>
      <w:rFonts w:ascii="Tahoma" w:eastAsia="SimSun" w:hAnsi="Tahoma" w:cs="Tahoma"/>
      <w:b/>
      <w:color w:val="215868"/>
      <w:sz w:val="20"/>
      <w:szCs w:val="28"/>
      <w:lang w:val="en-GB" w:eastAsia="ja-JP"/>
    </w:rPr>
  </w:style>
  <w:style w:type="character" w:customStyle="1" w:styleId="Heading3Char">
    <w:name w:val="Heading 3 Char"/>
    <w:basedOn w:val="DefaultParagraphFont"/>
    <w:link w:val="Heading3"/>
    <w:uiPriority w:val="99"/>
    <w:rsid w:val="00440598"/>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440598"/>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440598"/>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rsid w:val="00440598"/>
    <w:rPr>
      <w:rFonts w:ascii="Tahoma" w:eastAsia="SimSun" w:hAnsi="Tahoma" w:cs="Tahoma"/>
      <w:b/>
      <w:sz w:val="28"/>
      <w:szCs w:val="20"/>
      <w:lang w:eastAsia="zh-CN"/>
    </w:rPr>
  </w:style>
  <w:style w:type="character" w:customStyle="1" w:styleId="Heading7Char">
    <w:name w:val="Heading 7 Char"/>
    <w:basedOn w:val="DefaultParagraphFont"/>
    <w:link w:val="Heading7"/>
    <w:uiPriority w:val="99"/>
    <w:rsid w:val="00440598"/>
    <w:rPr>
      <w:rFonts w:ascii="Tahoma" w:eastAsia="SimSun" w:hAnsi="Tahoma" w:cs="Tahoma"/>
      <w:i/>
      <w:sz w:val="20"/>
      <w:szCs w:val="20"/>
      <w:lang w:eastAsia="zh-CN"/>
    </w:rPr>
  </w:style>
  <w:style w:type="character" w:customStyle="1" w:styleId="Heading8Char">
    <w:name w:val="Heading 8 Char"/>
    <w:basedOn w:val="DefaultParagraphFont"/>
    <w:link w:val="Heading8"/>
    <w:uiPriority w:val="99"/>
    <w:rsid w:val="00440598"/>
    <w:rPr>
      <w:rFonts w:ascii="Tahoma" w:eastAsia="SimSun" w:hAnsi="Tahoma" w:cs="Tahoma"/>
      <w:sz w:val="48"/>
      <w:szCs w:val="20"/>
      <w:lang w:eastAsia="zh-CN"/>
    </w:rPr>
  </w:style>
  <w:style w:type="character" w:customStyle="1" w:styleId="Heading9Char">
    <w:name w:val="Heading 9 Char"/>
    <w:basedOn w:val="DefaultParagraphFont"/>
    <w:link w:val="Heading9"/>
    <w:uiPriority w:val="99"/>
    <w:rsid w:val="00440598"/>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440598"/>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440598"/>
    <w:pPr>
      <w:spacing w:line="240" w:lineRule="auto"/>
    </w:pPr>
    <w:rPr>
      <w:sz w:val="16"/>
      <w:szCs w:val="16"/>
    </w:rPr>
  </w:style>
  <w:style w:type="character" w:customStyle="1" w:styleId="BalloonTextChar">
    <w:name w:val="Balloon Text Char"/>
    <w:basedOn w:val="DefaultParagraphFont"/>
    <w:link w:val="BalloonText"/>
    <w:uiPriority w:val="99"/>
    <w:rsid w:val="00440598"/>
    <w:rPr>
      <w:rFonts w:ascii="Tahoma" w:eastAsia="SimSun" w:hAnsi="Tahoma" w:cs="Tahoma"/>
      <w:sz w:val="16"/>
      <w:szCs w:val="16"/>
      <w:lang w:eastAsia="zh-CN"/>
    </w:rPr>
  </w:style>
  <w:style w:type="paragraph" w:customStyle="1" w:styleId="Bulletedtext">
    <w:name w:val="Bulleted text"/>
    <w:basedOn w:val="Normal"/>
    <w:uiPriority w:val="99"/>
    <w:rsid w:val="00440598"/>
    <w:pPr>
      <w:tabs>
        <w:tab w:val="left" w:pos="2835"/>
      </w:tabs>
    </w:pPr>
  </w:style>
  <w:style w:type="paragraph" w:customStyle="1" w:styleId="Bulletedtext2ndlevel">
    <w:name w:val="Bulleted text 2nd level"/>
    <w:basedOn w:val="Normal"/>
    <w:uiPriority w:val="99"/>
    <w:rsid w:val="00440598"/>
    <w:pPr>
      <w:tabs>
        <w:tab w:val="num" w:pos="720"/>
      </w:tabs>
      <w:ind w:left="720" w:hanging="360"/>
      <w:jc w:val="left"/>
    </w:pPr>
  </w:style>
  <w:style w:type="paragraph" w:customStyle="1" w:styleId="Captioncontinued">
    <w:name w:val="Caption (continued)"/>
    <w:basedOn w:val="Normal"/>
    <w:next w:val="Normal"/>
    <w:uiPriority w:val="99"/>
    <w:rsid w:val="00440598"/>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440598"/>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40598"/>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440598"/>
    <w:rPr>
      <w:rFonts w:cs="Times New Roman"/>
      <w:sz w:val="16"/>
      <w:szCs w:val="16"/>
    </w:rPr>
  </w:style>
  <w:style w:type="paragraph" w:styleId="CommentText">
    <w:name w:val="annotation text"/>
    <w:basedOn w:val="Normal"/>
    <w:link w:val="CommentTextChar"/>
    <w:uiPriority w:val="99"/>
    <w:semiHidden/>
    <w:rsid w:val="00440598"/>
  </w:style>
  <w:style w:type="character" w:customStyle="1" w:styleId="CommentTextChar">
    <w:name w:val="Comment Text Char"/>
    <w:basedOn w:val="DefaultParagraphFont"/>
    <w:link w:val="CommentText"/>
    <w:uiPriority w:val="99"/>
    <w:semiHidden/>
    <w:rsid w:val="00440598"/>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440598"/>
    <w:rPr>
      <w:b/>
      <w:bCs/>
    </w:rPr>
  </w:style>
  <w:style w:type="character" w:customStyle="1" w:styleId="CommentSubjectChar">
    <w:name w:val="Comment Subject Char"/>
    <w:basedOn w:val="CommentTextChar"/>
    <w:link w:val="CommentSubject"/>
    <w:uiPriority w:val="99"/>
    <w:semiHidden/>
    <w:rsid w:val="00440598"/>
    <w:rPr>
      <w:rFonts w:ascii="Tahoma" w:eastAsia="SimSun" w:hAnsi="Tahoma" w:cs="Tahoma"/>
      <w:b/>
      <w:bCs/>
      <w:sz w:val="20"/>
      <w:szCs w:val="20"/>
      <w:lang w:eastAsia="zh-CN"/>
    </w:rPr>
  </w:style>
  <w:style w:type="paragraph" w:customStyle="1" w:styleId="Execsummary">
    <w:name w:val="Exec summary"/>
    <w:basedOn w:val="Normal"/>
    <w:uiPriority w:val="99"/>
    <w:semiHidden/>
    <w:rsid w:val="00440598"/>
    <w:pPr>
      <w:spacing w:line="288" w:lineRule="auto"/>
    </w:pPr>
    <w:rPr>
      <w:sz w:val="22"/>
    </w:rPr>
  </w:style>
  <w:style w:type="paragraph" w:styleId="Footer">
    <w:name w:val="footer"/>
    <w:basedOn w:val="Normal"/>
    <w:link w:val="FooterChar"/>
    <w:uiPriority w:val="99"/>
    <w:rsid w:val="00440598"/>
    <w:pPr>
      <w:tabs>
        <w:tab w:val="center" w:pos="4320"/>
        <w:tab w:val="right" w:pos="8640"/>
      </w:tabs>
    </w:pPr>
  </w:style>
  <w:style w:type="character" w:customStyle="1" w:styleId="FooterChar">
    <w:name w:val="Footer Char"/>
    <w:basedOn w:val="DefaultParagraphFont"/>
    <w:link w:val="Footer"/>
    <w:uiPriority w:val="99"/>
    <w:rsid w:val="00440598"/>
    <w:rPr>
      <w:rFonts w:ascii="Tahoma" w:eastAsia="SimSun" w:hAnsi="Tahoma" w:cs="Tahoma"/>
      <w:sz w:val="20"/>
      <w:szCs w:val="20"/>
      <w:lang w:eastAsia="zh-CN"/>
    </w:rPr>
  </w:style>
  <w:style w:type="character" w:styleId="FootnoteReference">
    <w:name w:val="footnote reference"/>
    <w:basedOn w:val="DefaultParagraphFont"/>
    <w:uiPriority w:val="99"/>
    <w:semiHidden/>
    <w:rsid w:val="00440598"/>
    <w:rPr>
      <w:rFonts w:cs="Times New Roman"/>
      <w:vertAlign w:val="superscript"/>
    </w:rPr>
  </w:style>
  <w:style w:type="paragraph" w:styleId="FootnoteText">
    <w:name w:val="footnote text"/>
    <w:basedOn w:val="Normal"/>
    <w:link w:val="FootnoteTextChar"/>
    <w:uiPriority w:val="99"/>
    <w:semiHidden/>
    <w:rsid w:val="00440598"/>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440598"/>
    <w:rPr>
      <w:rFonts w:ascii="Calibri" w:eastAsia="Calibri" w:hAnsi="Calibri" w:cs="Tahoma"/>
      <w:sz w:val="20"/>
      <w:szCs w:val="20"/>
    </w:rPr>
  </w:style>
  <w:style w:type="paragraph" w:customStyle="1" w:styleId="GMHEADING1">
    <w:name w:val="GMHEADING1"/>
    <w:basedOn w:val="Normal"/>
    <w:next w:val="Normal"/>
    <w:uiPriority w:val="99"/>
    <w:rsid w:val="00440598"/>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440598"/>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440598"/>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440598"/>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440598"/>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440598"/>
    <w:rPr>
      <w:rFonts w:ascii="Tahoma" w:eastAsia="SimSun" w:hAnsi="Tahoma" w:cs="Tahoma"/>
      <w:sz w:val="18"/>
      <w:szCs w:val="20"/>
      <w:u w:val="single"/>
      <w:lang w:eastAsia="zh-CN"/>
    </w:rPr>
  </w:style>
  <w:style w:type="character" w:styleId="Hyperlink">
    <w:name w:val="Hyperlink"/>
    <w:basedOn w:val="DefaultParagraphFont"/>
    <w:uiPriority w:val="99"/>
    <w:rsid w:val="00440598"/>
    <w:rPr>
      <w:rFonts w:cs="Times New Roman"/>
      <w:color w:val="0000FF"/>
      <w:u w:val="single"/>
    </w:rPr>
  </w:style>
  <w:style w:type="paragraph" w:customStyle="1" w:styleId="Numberedtext">
    <w:name w:val="Numbered text"/>
    <w:basedOn w:val="Normal"/>
    <w:uiPriority w:val="99"/>
    <w:semiHidden/>
    <w:rsid w:val="00440598"/>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440598"/>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440598"/>
    <w:rPr>
      <w:rFonts w:cs="Times New Roman"/>
    </w:rPr>
  </w:style>
  <w:style w:type="paragraph" w:customStyle="1" w:styleId="Source">
    <w:name w:val="Source"/>
    <w:basedOn w:val="Normal"/>
    <w:uiPriority w:val="99"/>
    <w:rsid w:val="00440598"/>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440598"/>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440598"/>
    <w:rPr>
      <w:rFonts w:eastAsia="SimSun" w:cs="Times New Roman"/>
      <w:sz w:val="18"/>
      <w:szCs w:val="18"/>
      <w:lang w:val="en-AU" w:eastAsia="en-US" w:bidi="ar-SA"/>
    </w:rPr>
  </w:style>
  <w:style w:type="paragraph" w:customStyle="1" w:styleId="Spaceundertable">
    <w:name w:val="Space under table"/>
    <w:basedOn w:val="Normal"/>
    <w:uiPriority w:val="99"/>
    <w:rsid w:val="00440598"/>
    <w:pPr>
      <w:numPr>
        <w:numId w:val="4"/>
      </w:numPr>
      <w:spacing w:line="240" w:lineRule="auto"/>
      <w:jc w:val="left"/>
    </w:pPr>
    <w:rPr>
      <w:sz w:val="8"/>
      <w:szCs w:val="8"/>
    </w:rPr>
  </w:style>
  <w:style w:type="paragraph" w:customStyle="1" w:styleId="Style1">
    <w:name w:val="Style1"/>
    <w:basedOn w:val="GMHeading2"/>
    <w:uiPriority w:val="99"/>
    <w:rsid w:val="00440598"/>
  </w:style>
  <w:style w:type="paragraph" w:customStyle="1" w:styleId="Style2">
    <w:name w:val="Style2"/>
    <w:basedOn w:val="GMHeading3"/>
    <w:uiPriority w:val="99"/>
    <w:rsid w:val="00440598"/>
  </w:style>
  <w:style w:type="table" w:styleId="TableGrid">
    <w:name w:val="Table Grid"/>
    <w:basedOn w:val="TableNormal"/>
    <w:uiPriority w:val="99"/>
    <w:rsid w:val="00440598"/>
    <w:pPr>
      <w:tabs>
        <w:tab w:val="left" w:pos="2835"/>
      </w:tabs>
      <w:spacing w:before="40" w:after="40" w:line="240" w:lineRule="auto"/>
      <w:jc w:val="both"/>
    </w:pPr>
    <w:rPr>
      <w:rFonts w:ascii="Times New Roman" w:eastAsia="Times New Roman" w:hAnsi="Times New Roman" w:cs="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440598"/>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440598"/>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440598"/>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440598"/>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440598"/>
    <w:pPr>
      <w:numPr>
        <w:numId w:val="2"/>
      </w:numPr>
      <w:spacing w:before="40" w:after="40" w:line="240" w:lineRule="auto"/>
      <w:jc w:val="left"/>
    </w:pPr>
  </w:style>
  <w:style w:type="paragraph" w:customStyle="1" w:styleId="Tabletextbullettedv2">
    <w:name w:val="Table text bulletted v2"/>
    <w:basedOn w:val="Tabletextbulleted"/>
    <w:uiPriority w:val="99"/>
    <w:rsid w:val="00440598"/>
    <w:pPr>
      <w:numPr>
        <w:numId w:val="0"/>
      </w:numPr>
      <w:spacing w:before="20" w:after="20"/>
    </w:pPr>
    <w:rPr>
      <w:lang w:val="en-US"/>
    </w:rPr>
  </w:style>
  <w:style w:type="paragraph" w:customStyle="1" w:styleId="Tabletextindentleft">
    <w:name w:val="Table text indent left"/>
    <w:basedOn w:val="TableText1left"/>
    <w:uiPriority w:val="99"/>
    <w:semiHidden/>
    <w:rsid w:val="00440598"/>
    <w:pPr>
      <w:ind w:left="252"/>
    </w:pPr>
    <w:rPr>
      <w:lang w:val="en-AU"/>
    </w:rPr>
  </w:style>
  <w:style w:type="paragraph" w:customStyle="1" w:styleId="TabletextindentedlistA">
    <w:name w:val="Table text indented list A"/>
    <w:aliases w:val="B,C"/>
    <w:basedOn w:val="Tabletextbulleted"/>
    <w:uiPriority w:val="99"/>
    <w:rsid w:val="00440598"/>
    <w:pPr>
      <w:numPr>
        <w:numId w:val="0"/>
      </w:numPr>
      <w:tabs>
        <w:tab w:val="left" w:pos="284"/>
        <w:tab w:val="left" w:pos="2835"/>
      </w:tabs>
    </w:pPr>
  </w:style>
  <w:style w:type="paragraph" w:customStyle="1" w:styleId="TabletextRelativeRisksRR">
    <w:name w:val="Table text Relative Risks (RR)"/>
    <w:basedOn w:val="Normal"/>
    <w:uiPriority w:val="99"/>
    <w:semiHidden/>
    <w:rsid w:val="00440598"/>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440598"/>
    <w:pPr>
      <w:spacing w:after="170" w:line="280" w:lineRule="atLeast"/>
    </w:pPr>
    <w:rPr>
      <w:lang w:val="en-US"/>
    </w:rPr>
  </w:style>
  <w:style w:type="paragraph" w:styleId="Title">
    <w:name w:val="Title"/>
    <w:basedOn w:val="Normal"/>
    <w:link w:val="TitleChar"/>
    <w:uiPriority w:val="99"/>
    <w:qFormat/>
    <w:rsid w:val="0044059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40598"/>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440598"/>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440598"/>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440598"/>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440598"/>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440598"/>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440598"/>
    <w:pPr>
      <w:tabs>
        <w:tab w:val="right" w:leader="dot" w:pos="9469"/>
      </w:tabs>
      <w:ind w:left="960"/>
    </w:pPr>
  </w:style>
  <w:style w:type="paragraph" w:styleId="TOC6">
    <w:name w:val="toc 6"/>
    <w:basedOn w:val="Normal"/>
    <w:next w:val="Normal"/>
    <w:uiPriority w:val="99"/>
    <w:semiHidden/>
    <w:rsid w:val="00440598"/>
    <w:pPr>
      <w:tabs>
        <w:tab w:val="right" w:leader="dot" w:pos="9469"/>
      </w:tabs>
      <w:ind w:left="1200"/>
    </w:pPr>
  </w:style>
  <w:style w:type="paragraph" w:styleId="TOCHeading0">
    <w:name w:val="TOC Heading"/>
    <w:basedOn w:val="Heading1"/>
    <w:next w:val="Normal"/>
    <w:uiPriority w:val="99"/>
    <w:qFormat/>
    <w:rsid w:val="00440598"/>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440598"/>
    <w:pPr>
      <w:ind w:left="720"/>
      <w:contextualSpacing/>
    </w:pPr>
  </w:style>
  <w:style w:type="paragraph" w:styleId="NoSpacing">
    <w:name w:val="No Spacing"/>
    <w:link w:val="NoSpacingChar"/>
    <w:uiPriority w:val="99"/>
    <w:qFormat/>
    <w:rsid w:val="0044059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99"/>
    <w:locked/>
    <w:rsid w:val="00440598"/>
    <w:rPr>
      <w:rFonts w:ascii="Calibri" w:eastAsia="Times New Roman" w:hAnsi="Calibri" w:cs="Times New Roman"/>
      <w:lang w:val="en-US"/>
    </w:rPr>
  </w:style>
  <w:style w:type="character" w:styleId="FollowedHyperlink">
    <w:name w:val="FollowedHyperlink"/>
    <w:basedOn w:val="DefaultParagraphFont"/>
    <w:uiPriority w:val="99"/>
    <w:semiHidden/>
    <w:rsid w:val="00440598"/>
    <w:rPr>
      <w:rFonts w:cs="Times New Roman"/>
      <w:color w:val="800080"/>
      <w:u w:val="single"/>
    </w:rPr>
  </w:style>
  <w:style w:type="paragraph" w:customStyle="1" w:styleId="CharChar1CharCharCharChar">
    <w:name w:val="Char Char1 Char Char Char Char"/>
    <w:basedOn w:val="Normal"/>
    <w:uiPriority w:val="99"/>
    <w:rsid w:val="00440598"/>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440598"/>
    <w:pPr>
      <w:keepNext/>
      <w:spacing w:after="0" w:line="240" w:lineRule="auto"/>
      <w:jc w:val="left"/>
    </w:pPr>
    <w:rPr>
      <w:rFonts w:ascii="Trebuchet MS" w:eastAsia="Times New Roman" w:hAnsi="Trebuchet MS" w:cs="Times New Roman"/>
      <w:sz w:val="18"/>
      <w:lang w:eastAsia="en-US"/>
    </w:rPr>
  </w:style>
  <w:style w:type="paragraph" w:customStyle="1" w:styleId="Tabletext0">
    <w:name w:val="Table text"/>
    <w:basedOn w:val="Normal"/>
    <w:qFormat/>
    <w:rsid w:val="00440598"/>
    <w:pPr>
      <w:keepNext/>
      <w:spacing w:before="40" w:after="40" w:line="240" w:lineRule="auto"/>
      <w:jc w:val="left"/>
    </w:pPr>
    <w:rPr>
      <w:rFonts w:ascii="Arial Narrow" w:hAnsi="Arial Narrow"/>
      <w:sz w:val="18"/>
      <w:lang w:val="en-US" w:eastAsia="ja-JP"/>
    </w:rPr>
  </w:style>
  <w:style w:type="paragraph" w:styleId="NormalWeb">
    <w:name w:val="Normal (Web)"/>
    <w:basedOn w:val="Normal"/>
    <w:uiPriority w:val="99"/>
    <w:semiHidden/>
    <w:unhideWhenUsed/>
    <w:rsid w:val="00440598"/>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E694B"/>
  </w:style>
  <w:style w:type="paragraph" w:styleId="Revision">
    <w:name w:val="Revision"/>
    <w:hidden/>
    <w:uiPriority w:val="99"/>
    <w:semiHidden/>
    <w:rsid w:val="004A5155"/>
    <w:pPr>
      <w:spacing w:after="0" w:line="240" w:lineRule="auto"/>
    </w:pPr>
    <w:rPr>
      <w:rFonts w:ascii="Tahoma" w:eastAsia="SimSun"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9743">
      <w:bodyDiv w:val="1"/>
      <w:marLeft w:val="0"/>
      <w:marRight w:val="0"/>
      <w:marTop w:val="0"/>
      <w:marBottom w:val="0"/>
      <w:divBdr>
        <w:top w:val="none" w:sz="0" w:space="0" w:color="auto"/>
        <w:left w:val="none" w:sz="0" w:space="0" w:color="auto"/>
        <w:bottom w:val="none" w:sz="0" w:space="0" w:color="auto"/>
        <w:right w:val="none" w:sz="0" w:space="0" w:color="auto"/>
      </w:divBdr>
    </w:div>
    <w:div w:id="12053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AB9F-718E-4204-B67B-C810E575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Lewis</dc:creator>
  <cp:lastModifiedBy>McCandless Sean</cp:lastModifiedBy>
  <cp:revision>3</cp:revision>
  <cp:lastPrinted>2014-09-30T00:41:00Z</cp:lastPrinted>
  <dcterms:created xsi:type="dcterms:W3CDTF">2014-09-30T00:41:00Z</dcterms:created>
  <dcterms:modified xsi:type="dcterms:W3CDTF">2014-09-30T00:42:00Z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