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Default="00BC1364" w:rsidP="00EE41E3">
      <w:pPr>
        <w:jc w:val="center"/>
        <w:rPr>
          <w:szCs w:val="24"/>
        </w:rPr>
      </w:pPr>
      <w:r w:rsidRPr="007B32D1">
        <w:rPr>
          <w:rFonts w:ascii="Arial" w:hAnsi="Arial" w:cs="Arial"/>
          <w:b/>
          <w:bCs/>
          <w:i/>
          <w:color w:val="000080"/>
          <w:sz w:val="28"/>
          <w:szCs w:val="28"/>
        </w:rPr>
        <w:t xml:space="preserve">Application No. </w:t>
      </w:r>
      <w:r w:rsidR="00EE41E3" w:rsidRPr="00F928F2">
        <w:rPr>
          <w:rStyle w:val="Style1Char"/>
        </w:rPr>
        <w:t xml:space="preserve">1195 – F-18 </w:t>
      </w:r>
      <w:proofErr w:type="spellStart"/>
      <w:r w:rsidR="00B96538" w:rsidRPr="00F928F2">
        <w:rPr>
          <w:rStyle w:val="Style1Char"/>
        </w:rPr>
        <w:t>flu</w:t>
      </w:r>
      <w:r w:rsidR="00B96538">
        <w:rPr>
          <w:rStyle w:val="Style1Char"/>
        </w:rPr>
        <w:t>o</w:t>
      </w:r>
      <w:r w:rsidR="00B96538" w:rsidRPr="00F928F2">
        <w:rPr>
          <w:rStyle w:val="Style1Char"/>
        </w:rPr>
        <w:t>rodeoxyglucose</w:t>
      </w:r>
      <w:proofErr w:type="spellEnd"/>
      <w:r w:rsidR="00B96538" w:rsidRPr="00F928F2">
        <w:rPr>
          <w:rStyle w:val="Style1Char"/>
        </w:rPr>
        <w:t xml:space="preserve"> positron emission t</w:t>
      </w:r>
      <w:r w:rsidR="00EE41E3" w:rsidRPr="00F928F2">
        <w:rPr>
          <w:rStyle w:val="Style1Char"/>
        </w:rPr>
        <w:t>omography (FDG PET) for the diagnosis of Alzheimer's disease</w:t>
      </w:r>
    </w:p>
    <w:p w:rsidR="00BC1364" w:rsidRDefault="00BC1364" w:rsidP="00065623">
      <w:pPr>
        <w:tabs>
          <w:tab w:val="left" w:pos="3600"/>
        </w:tabs>
        <w:ind w:left="3600" w:hanging="3600"/>
        <w:rPr>
          <w:szCs w:val="24"/>
        </w:rPr>
      </w:pPr>
    </w:p>
    <w:p w:rsidR="00BC1364" w:rsidRDefault="00B35595" w:rsidP="00EE41E3">
      <w:pPr>
        <w:tabs>
          <w:tab w:val="left" w:pos="3686"/>
        </w:tabs>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EE41E3" w:rsidRPr="00EE41E3">
        <w:rPr>
          <w:rFonts w:ascii="Arial" w:hAnsi="Arial" w:cs="Arial"/>
          <w:b/>
          <w:szCs w:val="24"/>
        </w:rPr>
        <w:t>The Department of Nuclear Medicine and Centre for PET, Austin Health, Prof Christopher Rowe</w:t>
      </w:r>
    </w:p>
    <w:p w:rsidR="00EE41E3" w:rsidRPr="00D90A38" w:rsidRDefault="00EE41E3" w:rsidP="00EE41E3">
      <w:pPr>
        <w:tabs>
          <w:tab w:val="left" w:pos="3686"/>
        </w:tabs>
        <w:ind w:left="3600" w:hanging="3600"/>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EE41E3">
        <w:rPr>
          <w:rFonts w:ascii="Arial" w:hAnsi="Arial" w:cs="Arial"/>
          <w:b/>
          <w:szCs w:val="24"/>
        </w:rPr>
        <w:t>63</w:t>
      </w:r>
      <w:r w:rsidR="00EE41E3" w:rsidRPr="00EE41E3">
        <w:rPr>
          <w:rFonts w:ascii="Arial" w:hAnsi="Arial" w:cs="Arial"/>
          <w:b/>
          <w:szCs w:val="24"/>
          <w:vertAlign w:val="superscript"/>
        </w:rPr>
        <w:t>rd</w:t>
      </w:r>
      <w:r w:rsidR="00EE41E3">
        <w:rPr>
          <w:rFonts w:ascii="Arial" w:hAnsi="Arial" w:cs="Arial"/>
          <w:b/>
          <w:szCs w:val="24"/>
        </w:rPr>
        <w:t xml:space="preserve"> </w:t>
      </w:r>
      <w:r w:rsidRPr="00D90A38">
        <w:rPr>
          <w:rFonts w:ascii="Arial" w:hAnsi="Arial" w:cs="Arial"/>
          <w:b/>
          <w:szCs w:val="24"/>
        </w:rPr>
        <w:t xml:space="preserve">Meeting, </w:t>
      </w:r>
      <w:r w:rsidR="00EE41E3">
        <w:rPr>
          <w:rFonts w:ascii="Arial" w:hAnsi="Arial" w:cs="Arial"/>
          <w:b/>
          <w:szCs w:val="24"/>
        </w:rPr>
        <w:t>1-2 April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4B260A" w:rsidRDefault="003D7F29" w:rsidP="004B260A">
      <w:pPr>
        <w:tabs>
          <w:tab w:val="left" w:pos="720"/>
          <w:tab w:val="left" w:pos="1140"/>
        </w:tabs>
        <w:rPr>
          <w:bCs/>
          <w:szCs w:val="24"/>
        </w:rPr>
      </w:pPr>
    </w:p>
    <w:p w:rsidR="00EE41E3" w:rsidRDefault="00EE41E3" w:rsidP="00EE41E3">
      <w:r w:rsidRPr="00EE41E3">
        <w:t xml:space="preserve">In September 2013, the Department of Health received an application from </w:t>
      </w:r>
      <w:r w:rsidR="00B96538">
        <w:t>t</w:t>
      </w:r>
      <w:r w:rsidRPr="00EE41E3">
        <w:t xml:space="preserve">he Department of Nuclear Medicine and Centre for Positron Emission Tomography (PET) at Austin Health, Victoria, requesting Medicare Benefits Schedule (MBS) reimbursement for the use of F-18 </w:t>
      </w:r>
      <w:proofErr w:type="spellStart"/>
      <w:r w:rsidRPr="00EE41E3">
        <w:t>fluorodeoxyglucose</w:t>
      </w:r>
      <w:proofErr w:type="spellEnd"/>
      <w:r w:rsidRPr="00EE41E3">
        <w:t xml:space="preserve"> (FDG)</w:t>
      </w:r>
      <w:r w:rsidR="00F105A0">
        <w:t xml:space="preserve"> </w:t>
      </w:r>
      <w:r w:rsidRPr="00EE41E3">
        <w:t>PET imaging to establish a diagnosis of Alzheimer’s disease (AD) where other diagnostic methods are inconclusive</w:t>
      </w:r>
      <w:r w:rsidR="004B260A">
        <w:t>.</w:t>
      </w:r>
    </w:p>
    <w:p w:rsidR="004B260A" w:rsidRPr="00EE41E3" w:rsidRDefault="004B260A" w:rsidP="00EE41E3"/>
    <w:p w:rsidR="00E977EE" w:rsidRDefault="00E977EE" w:rsidP="00E977EE">
      <w:pPr>
        <w:pStyle w:val="Heading1"/>
        <w:numPr>
          <w:ilvl w:val="0"/>
          <w:numId w:val="23"/>
        </w:numPr>
        <w:ind w:hanging="720"/>
      </w:pPr>
      <w:r w:rsidRPr="008D5885">
        <w:t>MSAC’s advice to the Minister</w:t>
      </w:r>
    </w:p>
    <w:p w:rsidR="00E977EE" w:rsidRPr="00B96538" w:rsidRDefault="00E977EE" w:rsidP="00E977EE">
      <w:pPr>
        <w:tabs>
          <w:tab w:val="left" w:pos="720"/>
        </w:tabs>
        <w:ind w:left="709" w:hanging="709"/>
        <w:rPr>
          <w:szCs w:val="24"/>
        </w:rPr>
      </w:pPr>
    </w:p>
    <w:p w:rsidR="00AC06FF" w:rsidRDefault="00A31AF6" w:rsidP="00AC06FF">
      <w:r>
        <w:t xml:space="preserve">After considering the available evidence presented in relation to safety, clinical effectiveness and cost-effectiveness of F-18 </w:t>
      </w:r>
      <w:proofErr w:type="spellStart"/>
      <w:r w:rsidR="00B96538">
        <w:t>fluorodeoxyglucose</w:t>
      </w:r>
      <w:proofErr w:type="spellEnd"/>
      <w:r w:rsidR="00B96538">
        <w:t xml:space="preserve"> positron emission to</w:t>
      </w:r>
      <w:r>
        <w:t>mography (FDG PET) for the diagnosis of Alzheimer</w:t>
      </w:r>
      <w:r w:rsidR="00E64C8C" w:rsidRPr="00EE41E3">
        <w:t>’</w:t>
      </w:r>
      <w:r>
        <w:t xml:space="preserve">s disease where other diagnostic methods are inconclusive, </w:t>
      </w:r>
      <w:r w:rsidR="00E07EFC">
        <w:t xml:space="preserve">MSAC did not support the public funding </w:t>
      </w:r>
      <w:r w:rsidR="00AC06FF">
        <w:t>because of uncertain cost effectiveness compared to single-photon emission computed tomography (SPECT) due to weak clinical comparative data and unclear translation of imaging performance to improved health outcomes.</w:t>
      </w:r>
    </w:p>
    <w:p w:rsidR="00AC06FF" w:rsidRDefault="00AC06FF" w:rsidP="00AC06FF"/>
    <w:p w:rsidR="00AC06FF" w:rsidRDefault="00AC06FF" w:rsidP="00AC06FF">
      <w:r>
        <w:t>MSAC considered that any reapplication should include:</w:t>
      </w:r>
    </w:p>
    <w:p w:rsidR="00AC06FF" w:rsidRDefault="00AC06FF" w:rsidP="00AC06FF">
      <w:pPr>
        <w:pStyle w:val="ListParagraph"/>
        <w:numPr>
          <w:ilvl w:val="0"/>
          <w:numId w:val="26"/>
        </w:numPr>
        <w:ind w:left="426"/>
      </w:pPr>
      <w:r>
        <w:t xml:space="preserve">analysis of the paired SPECT and FDG PET patient data from the Austin Health Department of Molecular Imaging to assess analytical validity with a potentially larger sample than existing </w:t>
      </w:r>
      <w:r w:rsidR="00A70F72">
        <w:t xml:space="preserve">head-to-head </w:t>
      </w:r>
      <w:r>
        <w:t>studies;</w:t>
      </w:r>
    </w:p>
    <w:p w:rsidR="00AC06FF" w:rsidRDefault="00AC06FF" w:rsidP="00AC06FF">
      <w:pPr>
        <w:pStyle w:val="ListParagraph"/>
        <w:numPr>
          <w:ilvl w:val="0"/>
          <w:numId w:val="26"/>
        </w:numPr>
        <w:ind w:left="426"/>
      </w:pPr>
      <w:r>
        <w:t>amendments to the proposed MBS item descriptor to more clearly specify the FDG PET analysis method (i.e. semi-quantitative), and the characteristics of the eligible patient population (i.e. suspected early stage Alzheimer</w:t>
      </w:r>
      <w:r w:rsidR="00E64C8C" w:rsidRPr="00EE41E3">
        <w:t>’</w:t>
      </w:r>
      <w:r w:rsidR="00E64C8C">
        <w:t>s</w:t>
      </w:r>
      <w:r>
        <w:t xml:space="preserve"> disease), and to limit the proposed service to no more frequently than once per patient per year; and</w:t>
      </w:r>
    </w:p>
    <w:p w:rsidR="00AC06FF" w:rsidRDefault="00AC06FF" w:rsidP="00AC06FF">
      <w:pPr>
        <w:pStyle w:val="ListParagraph"/>
        <w:numPr>
          <w:ilvl w:val="0"/>
          <w:numId w:val="26"/>
        </w:numPr>
        <w:ind w:left="426"/>
      </w:pPr>
      <w:proofErr w:type="gramStart"/>
      <w:r>
        <w:t>a</w:t>
      </w:r>
      <w:proofErr w:type="gramEnd"/>
      <w:r>
        <w:t xml:space="preserve"> cost-minimisation analysis, considering costs to both the MBS and patients.</w:t>
      </w:r>
    </w:p>
    <w:p w:rsidR="00AC06FF" w:rsidRDefault="00AC06FF" w:rsidP="00AC06FF"/>
    <w:p w:rsidR="00AC06FF" w:rsidRDefault="00AC06FF" w:rsidP="00AC06FF">
      <w:r>
        <w:t>MSAC considered that any reapplication should be made via ESC.</w:t>
      </w:r>
    </w:p>
    <w:p w:rsidR="00550354" w:rsidRDefault="00550354" w:rsidP="00550354">
      <w:pPr>
        <w:pStyle w:val="Heading1"/>
        <w:numPr>
          <w:ilvl w:val="0"/>
          <w:numId w:val="23"/>
        </w:numPr>
        <w:ind w:hanging="720"/>
      </w:pPr>
      <w:r w:rsidRPr="008D5885">
        <w:lastRenderedPageBreak/>
        <w:t>Summary of consideration and rationale for MSAC’s advice</w:t>
      </w:r>
    </w:p>
    <w:p w:rsidR="00550354" w:rsidRDefault="00550354" w:rsidP="00550354">
      <w:pPr>
        <w:rPr>
          <w:szCs w:val="24"/>
        </w:rPr>
      </w:pPr>
    </w:p>
    <w:p w:rsidR="00A31AF6" w:rsidRDefault="00A31AF6" w:rsidP="00A31AF6">
      <w:r>
        <w:t xml:space="preserve">MSAC noted that FDG PET is currently MBS funded for use </w:t>
      </w:r>
      <w:r w:rsidR="00E948B2">
        <w:t xml:space="preserve">predominantly related to </w:t>
      </w:r>
      <w:r>
        <w:t xml:space="preserve">oncology; however the technology is expensive and limited by the number of machines available. Therefore, it was noted that it </w:t>
      </w:r>
      <w:r w:rsidR="00D56006">
        <w:t>is</w:t>
      </w:r>
      <w:r>
        <w:t xml:space="preserve"> difficult for regional </w:t>
      </w:r>
      <w:r w:rsidR="00B96538">
        <w:t>areas to access the technology.</w:t>
      </w:r>
    </w:p>
    <w:p w:rsidR="00A31AF6" w:rsidRDefault="00A31AF6" w:rsidP="00A31AF6"/>
    <w:p w:rsidR="00CD7FB3" w:rsidRDefault="00CD7FB3" w:rsidP="00CD7FB3">
      <w:r>
        <w:t xml:space="preserve">MSAC was concerned that the proposed </w:t>
      </w:r>
      <w:r w:rsidR="00D56006">
        <w:t xml:space="preserve">MBS item </w:t>
      </w:r>
      <w:r>
        <w:t xml:space="preserve">descriptor did not limit the number of services to one per year. MSAC noted that patient population and semi-quantitative analysis method should </w:t>
      </w:r>
      <w:r w:rsidR="00D56006">
        <w:t xml:space="preserve">also </w:t>
      </w:r>
      <w:r>
        <w:t xml:space="preserve">be clearly stated in </w:t>
      </w:r>
      <w:r w:rsidR="00D56006">
        <w:t>any MBS</w:t>
      </w:r>
      <w:r>
        <w:t xml:space="preserve"> item descriptor.</w:t>
      </w:r>
    </w:p>
    <w:p w:rsidR="00CD7FB3" w:rsidRDefault="00CD7FB3" w:rsidP="00CD7FB3"/>
    <w:p w:rsidR="00A31AF6" w:rsidRDefault="00CD7FB3" w:rsidP="00A31AF6">
      <w:r>
        <w:t>MSAC agreed that single-photon emission computed tomography (</w:t>
      </w:r>
      <w:r w:rsidR="00A31AF6">
        <w:t>SPECT</w:t>
      </w:r>
      <w:r>
        <w:t xml:space="preserve">) </w:t>
      </w:r>
      <w:r w:rsidR="00B173A4">
        <w:t>wa</w:t>
      </w:r>
      <w:r>
        <w:t>s the appropriate comparator. SPECT</w:t>
      </w:r>
      <w:r w:rsidRPr="00CD7FB3">
        <w:t xml:space="preserve"> </w:t>
      </w:r>
      <w:r>
        <w:t>currently</w:t>
      </w:r>
      <w:r w:rsidR="00A31AF6">
        <w:t xml:space="preserve"> performs a similar function and is MBS</w:t>
      </w:r>
      <w:r w:rsidR="00AC06FF">
        <w:t>-</w:t>
      </w:r>
      <w:r w:rsidR="00A31AF6">
        <w:t>funded</w:t>
      </w:r>
      <w:r>
        <w:t xml:space="preserve"> for th</w:t>
      </w:r>
      <w:r w:rsidR="00B173A4">
        <w:t>e same</w:t>
      </w:r>
      <w:r>
        <w:t xml:space="preserve"> purpose via </w:t>
      </w:r>
      <w:r w:rsidRPr="00EE41E3">
        <w:t>MBS item 61402</w:t>
      </w:r>
      <w:r w:rsidR="00A31AF6">
        <w:t xml:space="preserve">. MSAC </w:t>
      </w:r>
      <w:r>
        <w:t xml:space="preserve">accepted </w:t>
      </w:r>
      <w:r w:rsidR="00A31AF6">
        <w:t xml:space="preserve">that FDG PET would be performed in place of SPECT for evaluating patients with suspected dementia following a standard workup where other tests are inconclusive. </w:t>
      </w:r>
      <w:r w:rsidR="00B173A4">
        <w:t xml:space="preserve">MSAC noted that </w:t>
      </w:r>
      <w:r w:rsidR="00A31AF6">
        <w:t xml:space="preserve">SPECT usage through the MBS </w:t>
      </w:r>
      <w:r w:rsidR="00B173A4">
        <w:t xml:space="preserve">currently </w:t>
      </w:r>
      <w:r w:rsidR="00A31AF6">
        <w:t xml:space="preserve">accounts for </w:t>
      </w:r>
      <w:r w:rsidR="006303A6">
        <w:t xml:space="preserve">about 5,000 services per year or about </w:t>
      </w:r>
      <w:r w:rsidR="00A31AF6">
        <w:t xml:space="preserve">5% of </w:t>
      </w:r>
      <w:r w:rsidR="006303A6">
        <w:t xml:space="preserve">the projected 100,000 </w:t>
      </w:r>
      <w:r w:rsidR="00B173A4">
        <w:t xml:space="preserve">dementia </w:t>
      </w:r>
      <w:r w:rsidR="00A31AF6">
        <w:t>cases</w:t>
      </w:r>
      <w:r w:rsidR="006303A6">
        <w:t xml:space="preserve"> diagnosed per year (if none of these services were for any other purpose consistent with the SPECT item descriptor)</w:t>
      </w:r>
      <w:r w:rsidR="00A31AF6">
        <w:t xml:space="preserve">. MSAC </w:t>
      </w:r>
      <w:r w:rsidR="00B173A4">
        <w:t xml:space="preserve">considered </w:t>
      </w:r>
      <w:r w:rsidR="00A31AF6">
        <w:t>that</w:t>
      </w:r>
      <w:r w:rsidR="00B173A4">
        <w:t>,</w:t>
      </w:r>
      <w:r w:rsidR="00A31AF6">
        <w:t xml:space="preserve"> where standard workup is inconclusive, SPECT </w:t>
      </w:r>
      <w:r w:rsidR="006303A6">
        <w:t>wa</w:t>
      </w:r>
      <w:r w:rsidR="00A31AF6">
        <w:t xml:space="preserve">s </w:t>
      </w:r>
      <w:r w:rsidR="006303A6">
        <w:t xml:space="preserve">currently </w:t>
      </w:r>
      <w:r w:rsidR="00B173A4">
        <w:t xml:space="preserve">more likely to be </w:t>
      </w:r>
      <w:r w:rsidR="00A31AF6">
        <w:t xml:space="preserve">performed due to </w:t>
      </w:r>
      <w:r w:rsidR="00B173A4">
        <w:t xml:space="preserve">its MBS </w:t>
      </w:r>
      <w:r w:rsidR="00A31AF6">
        <w:t xml:space="preserve">funding, however, in some cases unfunded FDG PET is also performed. MSAC noted that it was unclear whether FDG PET and SPECT </w:t>
      </w:r>
      <w:r w:rsidR="006303A6">
        <w:t>w</w:t>
      </w:r>
      <w:r w:rsidR="00A31AF6">
        <w:t xml:space="preserve">ould be performed in a complementary fashion or whether </w:t>
      </w:r>
      <w:r w:rsidR="006303A6">
        <w:t xml:space="preserve">the </w:t>
      </w:r>
      <w:r w:rsidR="00A31AF6">
        <w:t xml:space="preserve">imaging modalities, which are </w:t>
      </w:r>
      <w:r w:rsidR="006303A6">
        <w:t xml:space="preserve">each </w:t>
      </w:r>
      <w:r w:rsidR="00A31AF6">
        <w:t xml:space="preserve">imperfect, </w:t>
      </w:r>
      <w:r w:rsidR="00B173A4">
        <w:t xml:space="preserve">would </w:t>
      </w:r>
      <w:r w:rsidR="006303A6">
        <w:t>diagnose</w:t>
      </w:r>
      <w:r w:rsidR="00A31AF6">
        <w:t xml:space="preserve"> the same patients.</w:t>
      </w:r>
      <w:r w:rsidR="006303A6">
        <w:t xml:space="preserve"> MSAC considered that the two imaging technologies </w:t>
      </w:r>
      <w:r w:rsidR="008628A3">
        <w:t xml:space="preserve">should be used as </w:t>
      </w:r>
      <w:r w:rsidR="006303A6">
        <w:t>substitutes for each other rather than being used in addition to each other</w:t>
      </w:r>
      <w:r w:rsidR="008628A3">
        <w:t>.</w:t>
      </w:r>
      <w:r w:rsidR="00393B79">
        <w:t xml:space="preserve"> Any MBS item for FDG</w:t>
      </w:r>
      <w:r w:rsidR="00F105A0">
        <w:t xml:space="preserve"> </w:t>
      </w:r>
      <w:r w:rsidR="00393B79">
        <w:t>PET in this indication may need to stipulate that it cannot be used before or after SPECT.</w:t>
      </w:r>
    </w:p>
    <w:p w:rsidR="00A31AF6" w:rsidRDefault="00A31AF6" w:rsidP="00A31AF6"/>
    <w:p w:rsidR="00A95823" w:rsidRDefault="00A31AF6" w:rsidP="00A31AF6">
      <w:r>
        <w:t xml:space="preserve">The scientific basis of the comparison </w:t>
      </w:r>
      <w:r w:rsidR="00A95823">
        <w:t xml:space="preserve">relied mainly </w:t>
      </w:r>
      <w:r>
        <w:t xml:space="preserve">on two head-to-head studies </w:t>
      </w:r>
      <w:r w:rsidR="00AD350F">
        <w:t>of the two imaging t</w:t>
      </w:r>
      <w:r w:rsidR="00A95823">
        <w:t>e</w:t>
      </w:r>
      <w:r w:rsidR="00AD350F">
        <w:t xml:space="preserve">chnologies </w:t>
      </w:r>
      <w:r w:rsidR="00A95823">
        <w:t>to discriminate the presence dementia or not in patients who were cognitively impaired</w:t>
      </w:r>
      <w:r w:rsidR="00BC29F8">
        <w:t>,</w:t>
      </w:r>
      <w:r w:rsidR="00A95823">
        <w:t xml:space="preserve"> </w:t>
      </w:r>
      <w:r>
        <w:t>with variability between readers</w:t>
      </w:r>
      <w:r w:rsidR="00BC29F8">
        <w:t xml:space="preserve"> and small sample sizes (31 true positives out of a sample of 55 for Ito et al, 2014</w:t>
      </w:r>
      <w:r w:rsidR="003B016D">
        <w:t>;</w:t>
      </w:r>
      <w:r w:rsidR="00BC29F8">
        <w:t xml:space="preserve"> and 4 true positives out of a sample of 24 for </w:t>
      </w:r>
      <w:proofErr w:type="spellStart"/>
      <w:r w:rsidR="00BC29F8">
        <w:t>D</w:t>
      </w:r>
      <w:r w:rsidR="003B016D">
        <w:t>ö</w:t>
      </w:r>
      <w:r w:rsidR="00BC29F8">
        <w:t>bert</w:t>
      </w:r>
      <w:proofErr w:type="spellEnd"/>
      <w:r w:rsidR="00BC29F8">
        <w:t xml:space="preserve"> et al, 2005)</w:t>
      </w:r>
      <w:r w:rsidR="00A95823">
        <w:t>.</w:t>
      </w:r>
      <w:r w:rsidR="00BC29F8">
        <w:t xml:space="preserve"> </w:t>
      </w:r>
      <w:r w:rsidR="005C4996">
        <w:t>The combined results from these small direct comparison suggested that FDG PET and SPECT had similar diagnostic accuracy for detecting Alzheimer</w:t>
      </w:r>
      <w:r w:rsidR="00E64C8C" w:rsidRPr="00EE41E3">
        <w:t>’</w:t>
      </w:r>
      <w:r w:rsidR="00E64C8C">
        <w:t>s</w:t>
      </w:r>
      <w:r w:rsidR="005C4996">
        <w:t xml:space="preserve"> disease: FDG PET had a sensitivity and specificity of 71% </w:t>
      </w:r>
      <w:r w:rsidR="005C1CA4">
        <w:t xml:space="preserve">(95% CI: 57% to 83%) </w:t>
      </w:r>
      <w:r w:rsidR="005C4996">
        <w:t>and 60%</w:t>
      </w:r>
      <w:r w:rsidR="005C1CA4">
        <w:t xml:space="preserve"> (95% CI: 41% to 77%)</w:t>
      </w:r>
      <w:r w:rsidR="005C4996">
        <w:t xml:space="preserve">, respectively; while SPECT had a sensitivity and specificity of 69% </w:t>
      </w:r>
      <w:r w:rsidR="005C1CA4">
        <w:t xml:space="preserve">(95% CI: 55% to 82%) </w:t>
      </w:r>
      <w:r w:rsidR="005C4996">
        <w:t>and 57%</w:t>
      </w:r>
      <w:r w:rsidR="005C1CA4">
        <w:t xml:space="preserve"> (95% CI: 35% to 77%)</w:t>
      </w:r>
      <w:r w:rsidR="005C4996">
        <w:t>, respectively.</w:t>
      </w:r>
    </w:p>
    <w:p w:rsidR="00A95823" w:rsidRDefault="00A95823" w:rsidP="00A31AF6"/>
    <w:p w:rsidR="005C4996" w:rsidRDefault="003B016D" w:rsidP="00A31AF6">
      <w:r>
        <w:t>Eleven</w:t>
      </w:r>
      <w:r w:rsidR="00BC29F8">
        <w:t xml:space="preserve"> other </w:t>
      </w:r>
      <w:r w:rsidR="00AD350F">
        <w:t>studies</w:t>
      </w:r>
      <w:r w:rsidR="00A95823">
        <w:t xml:space="preserve"> </w:t>
      </w:r>
      <w:r>
        <w:t>that reported the diagnostic accuracy of either FDG</w:t>
      </w:r>
      <w:r w:rsidR="00F105A0">
        <w:t xml:space="preserve"> </w:t>
      </w:r>
      <w:r>
        <w:t xml:space="preserve">PET or SPECT </w:t>
      </w:r>
      <w:r w:rsidR="00A95823">
        <w:t>were also presented</w:t>
      </w:r>
      <w:r>
        <w:t xml:space="preserve"> to construct an “indirect” comparison</w:t>
      </w:r>
      <w:r w:rsidR="00A31AF6">
        <w:t xml:space="preserve">. </w:t>
      </w:r>
      <w:r w:rsidR="005C4996">
        <w:t>The</w:t>
      </w:r>
      <w:r w:rsidR="005C1CA4">
        <w:t xml:space="preserve"> comparison across the</w:t>
      </w:r>
      <w:r w:rsidR="005C4996">
        <w:t xml:space="preserve">se </w:t>
      </w:r>
      <w:r w:rsidR="005C1CA4">
        <w:t>studies was</w:t>
      </w:r>
      <w:r w:rsidR="005C4996">
        <w:t xml:space="preserve"> likely to </w:t>
      </w:r>
      <w:r w:rsidR="00A31AF6">
        <w:t xml:space="preserve">be confounded by </w:t>
      </w:r>
      <w:r>
        <w:t xml:space="preserve">differences in </w:t>
      </w:r>
      <w:r w:rsidR="00A31AF6">
        <w:t>the</w:t>
      </w:r>
      <w:r w:rsidR="005C1CA4">
        <w:t>ir</w:t>
      </w:r>
      <w:r w:rsidR="00A31AF6">
        <w:t xml:space="preserve"> patient populations. </w:t>
      </w:r>
      <w:r>
        <w:t>Overall</w:t>
      </w:r>
      <w:r w:rsidR="00A31AF6">
        <w:t xml:space="preserve">, </w:t>
      </w:r>
      <w:r>
        <w:t xml:space="preserve">the </w:t>
      </w:r>
      <w:r w:rsidR="00A31AF6">
        <w:t xml:space="preserve">combined results </w:t>
      </w:r>
      <w:r w:rsidR="005C4996">
        <w:t xml:space="preserve">from this less reliable comparison were consistent with the results of the small direct comparison, also suggesting that </w:t>
      </w:r>
      <w:r w:rsidR="00A31AF6">
        <w:t>FDG PET and SPECT had similar diagnostic accuracy</w:t>
      </w:r>
      <w:r w:rsidR="005C4996" w:rsidRPr="005C4996">
        <w:t xml:space="preserve"> </w:t>
      </w:r>
      <w:r w:rsidR="005C4996">
        <w:t>for detecting Alzheimer</w:t>
      </w:r>
      <w:r w:rsidR="00E64C8C">
        <w:t>’s</w:t>
      </w:r>
      <w:r w:rsidR="005C4996">
        <w:t xml:space="preserve"> disease:</w:t>
      </w:r>
      <w:r w:rsidR="00A31AF6">
        <w:t xml:space="preserve"> FDG PET </w:t>
      </w:r>
      <w:r w:rsidR="005C4996">
        <w:t xml:space="preserve">had </w:t>
      </w:r>
      <w:r w:rsidR="00A31AF6">
        <w:t xml:space="preserve">a sensitivity and specificity of 84% </w:t>
      </w:r>
      <w:r w:rsidR="005C4996">
        <w:t xml:space="preserve">(95% CI: 78% to 89%) </w:t>
      </w:r>
      <w:r w:rsidR="00A31AF6">
        <w:t>and 76%</w:t>
      </w:r>
      <w:r w:rsidR="005C4996">
        <w:t xml:space="preserve"> (95% CI: 67% to 83%), respectively;</w:t>
      </w:r>
      <w:r w:rsidR="00A31AF6">
        <w:t xml:space="preserve"> while SPECT had a sensitivity and specificity of 85% </w:t>
      </w:r>
      <w:r w:rsidR="005C4996">
        <w:t xml:space="preserve">(95% CI: 79% to 90%) </w:t>
      </w:r>
      <w:r w:rsidR="00A31AF6">
        <w:t>and 72%</w:t>
      </w:r>
      <w:r w:rsidR="005C4996">
        <w:t xml:space="preserve"> (95% CI: </w:t>
      </w:r>
      <w:r w:rsidR="005C1CA4">
        <w:t>60</w:t>
      </w:r>
      <w:r w:rsidR="005C4996">
        <w:t>% to 8</w:t>
      </w:r>
      <w:r w:rsidR="005C1CA4">
        <w:t>3</w:t>
      </w:r>
      <w:r w:rsidR="005C4996">
        <w:t>%), respectively</w:t>
      </w:r>
      <w:r w:rsidR="00A31AF6">
        <w:t xml:space="preserve">. </w:t>
      </w:r>
      <w:r w:rsidR="005C4996">
        <w:t>MSAC noted that these results also sent a signal that FDG PET may be better than SPECT at identifying very mildly affected brain regions</w:t>
      </w:r>
      <w:r w:rsidR="008628A3">
        <w:t xml:space="preserve"> so that there may be some predictive value in mild cognitive impairment</w:t>
      </w:r>
      <w:r w:rsidR="005C4996">
        <w:t>, but this signal would need to be confirmed.</w:t>
      </w:r>
    </w:p>
    <w:p w:rsidR="008628A3" w:rsidRDefault="008628A3" w:rsidP="00A31AF6"/>
    <w:p w:rsidR="008628A3" w:rsidRDefault="008628A3" w:rsidP="00A31AF6">
      <w:r>
        <w:t xml:space="preserve">MSAC noted data from </w:t>
      </w:r>
      <w:r w:rsidR="00E64C8C">
        <w:t xml:space="preserve">a case series of </w:t>
      </w:r>
      <w:r>
        <w:t xml:space="preserve">194 consecutive patients </w:t>
      </w:r>
      <w:r w:rsidR="005609B8">
        <w:t xml:space="preserve">(Elias et al, 2014) </w:t>
      </w:r>
      <w:r>
        <w:t>that suggested a potential advantage for FDG</w:t>
      </w:r>
      <w:r w:rsidR="00F105A0">
        <w:t xml:space="preserve"> </w:t>
      </w:r>
      <w:r>
        <w:t>PET over SPECT in distinguishing between Alzheimer</w:t>
      </w:r>
      <w:r w:rsidR="00E64C8C" w:rsidRPr="00EE41E3">
        <w:t>’</w:t>
      </w:r>
      <w:r>
        <w:t>s disease and other types of dementia</w:t>
      </w:r>
      <w:r w:rsidR="00C67A7A">
        <w:t xml:space="preserve">. </w:t>
      </w:r>
      <w:r w:rsidR="005609B8">
        <w:t>However</w:t>
      </w:r>
      <w:r>
        <w:t>,</w:t>
      </w:r>
      <w:r w:rsidRPr="008628A3">
        <w:t xml:space="preserve"> </w:t>
      </w:r>
      <w:r w:rsidR="005609B8">
        <w:t>MSAC</w:t>
      </w:r>
      <w:r>
        <w:t xml:space="preserve"> was concerned that this </w:t>
      </w:r>
      <w:r>
        <w:lastRenderedPageBreak/>
        <w:t>data was still at the research level, that there were inconsistencies in the data, and that the data did not compare FDG</w:t>
      </w:r>
      <w:r w:rsidR="00F105A0">
        <w:t xml:space="preserve"> </w:t>
      </w:r>
      <w:r>
        <w:t>PET with SPECT.</w:t>
      </w:r>
    </w:p>
    <w:p w:rsidR="008628A3" w:rsidRDefault="008628A3" w:rsidP="00A31AF6"/>
    <w:p w:rsidR="00A31AF6" w:rsidRDefault="00A31AF6" w:rsidP="00A31AF6">
      <w:r>
        <w:t xml:space="preserve">MSAC </w:t>
      </w:r>
      <w:r w:rsidR="008628A3">
        <w:t xml:space="preserve">concluded that the evidence overall suggested that </w:t>
      </w:r>
      <w:r>
        <w:t xml:space="preserve">FDG PET </w:t>
      </w:r>
      <w:r w:rsidR="008628A3">
        <w:t>i</w:t>
      </w:r>
      <w:r>
        <w:t xml:space="preserve">s non-inferior to SPECT </w:t>
      </w:r>
      <w:r w:rsidR="008628A3">
        <w:t xml:space="preserve">rather than </w:t>
      </w:r>
      <w:r>
        <w:t>significantly better than SPECT at diagnosing dementia.</w:t>
      </w:r>
    </w:p>
    <w:p w:rsidR="008628A3" w:rsidRDefault="008628A3" w:rsidP="00A31AF6"/>
    <w:p w:rsidR="00F0077E" w:rsidRDefault="00A31AF6" w:rsidP="00F0077E">
      <w:r>
        <w:t xml:space="preserve">MSAC noted </w:t>
      </w:r>
      <w:r w:rsidR="001B6C42">
        <w:t xml:space="preserve">from the pre-MSAC response </w:t>
      </w:r>
      <w:r>
        <w:t xml:space="preserve">that the </w:t>
      </w:r>
      <w:r w:rsidR="00E64C8C">
        <w:t xml:space="preserve">applicant </w:t>
      </w:r>
      <w:r>
        <w:t>ha</w:t>
      </w:r>
      <w:r w:rsidR="00E64C8C">
        <w:t>d</w:t>
      </w:r>
      <w:r>
        <w:t xml:space="preserve"> </w:t>
      </w:r>
      <w:r w:rsidR="00E64C8C">
        <w:t xml:space="preserve">ongoing </w:t>
      </w:r>
      <w:r>
        <w:t xml:space="preserve">access to a large </w:t>
      </w:r>
      <w:r w:rsidR="00F0077E">
        <w:t xml:space="preserve">and relevant </w:t>
      </w:r>
      <w:r>
        <w:t xml:space="preserve">data set that is currently unpublished </w:t>
      </w:r>
      <w:r w:rsidR="001B6C42">
        <w:t>that could be analysed. MSAC</w:t>
      </w:r>
      <w:r>
        <w:t xml:space="preserve"> recommend</w:t>
      </w:r>
      <w:r w:rsidR="00E64C8C">
        <w:t>ed</w:t>
      </w:r>
      <w:r>
        <w:t xml:space="preserve"> that analysis of </w:t>
      </w:r>
      <w:r w:rsidR="00E64C8C">
        <w:t>paired FDG</w:t>
      </w:r>
      <w:r w:rsidR="00F105A0">
        <w:t xml:space="preserve"> </w:t>
      </w:r>
      <w:r w:rsidR="00E64C8C">
        <w:t xml:space="preserve">PET and SPECT results for individual patients </w:t>
      </w:r>
      <w:r>
        <w:t xml:space="preserve">be performed by an independent statistician </w:t>
      </w:r>
      <w:r w:rsidR="00E64C8C">
        <w:t xml:space="preserve">to assess comparative analytical validity </w:t>
      </w:r>
      <w:r>
        <w:t xml:space="preserve">and </w:t>
      </w:r>
      <w:r w:rsidR="00E64C8C">
        <w:t xml:space="preserve">include this analysis in any reapplication via </w:t>
      </w:r>
      <w:r>
        <w:t>ESC for evaluation.</w:t>
      </w:r>
      <w:r w:rsidR="00F0077E">
        <w:t xml:space="preserve"> MSAC expected that this might provide more conclusive comparative evidence for the use of FDG</w:t>
      </w:r>
      <w:r w:rsidR="00F105A0">
        <w:t xml:space="preserve"> </w:t>
      </w:r>
      <w:r w:rsidR="00F0077E">
        <w:t>PET in the diagnosis of Alzheimer’s disease as requested</w:t>
      </w:r>
      <w:r w:rsidR="001B6C42">
        <w:t xml:space="preserve">, especially if it would involve a larger sample size than the two </w:t>
      </w:r>
      <w:r w:rsidR="00183897">
        <w:t xml:space="preserve">small </w:t>
      </w:r>
      <w:r w:rsidR="001B6C42">
        <w:t>direct</w:t>
      </w:r>
      <w:r w:rsidR="00183897">
        <w:t>ly comparative</w:t>
      </w:r>
      <w:r w:rsidR="001B6C42">
        <w:t xml:space="preserve"> studies reported</w:t>
      </w:r>
      <w:r w:rsidR="00183897">
        <w:t xml:space="preserve"> to date</w:t>
      </w:r>
      <w:r w:rsidR="00F0077E">
        <w:t>. If necessary</w:t>
      </w:r>
      <w:r w:rsidR="001B6C42">
        <w:t>,</w:t>
      </w:r>
      <w:r w:rsidR="00F0077E">
        <w:t xml:space="preserve"> the MSAC </w:t>
      </w:r>
      <w:r w:rsidR="001B6C42">
        <w:t>E</w:t>
      </w:r>
      <w:r w:rsidR="00F0077E">
        <w:t>xecutive could liaise with the applicant to provide guidance on the statistical analysis.</w:t>
      </w:r>
      <w:r w:rsidR="00183897">
        <w:t xml:space="preserve"> This might be particularly helpful if there are insufficient comparisons with an accepted reference standard, and so might involve a 2-stage assessment with clinical follow-up, or a 3-way latent class analysis using the fair “bronze standard” principle.</w:t>
      </w:r>
    </w:p>
    <w:p w:rsidR="005609B8" w:rsidRDefault="005609B8" w:rsidP="00F0077E"/>
    <w:p w:rsidR="005609B8" w:rsidRDefault="005609B8" w:rsidP="00F0077E">
      <w:r>
        <w:t>MSAC noted the limited direct evidence for a change in clinical management or an improvement in health outcomes from treating any additional cases detected.</w:t>
      </w:r>
    </w:p>
    <w:p w:rsidR="00A31AF6" w:rsidRDefault="00A31AF6" w:rsidP="00A31AF6"/>
    <w:p w:rsidR="00A31AF6" w:rsidRDefault="00A31AF6" w:rsidP="00A31AF6">
      <w:r>
        <w:t>MSAC noted that there were no primary studies reporting on the comparative safety of FDG</w:t>
      </w:r>
      <w:r w:rsidR="00F105A0">
        <w:t xml:space="preserve"> </w:t>
      </w:r>
      <w:r>
        <w:t xml:space="preserve">PET and SPECT </w:t>
      </w:r>
      <w:r w:rsidR="00E64C8C">
        <w:t>in</w:t>
      </w:r>
      <w:r>
        <w:t xml:space="preserve"> the diagnosis of Alzheimer</w:t>
      </w:r>
      <w:r w:rsidR="00E64C8C" w:rsidRPr="00EE41E3">
        <w:t>’</w:t>
      </w:r>
      <w:r>
        <w:t xml:space="preserve">s disease. </w:t>
      </w:r>
      <w:r w:rsidR="00E64C8C">
        <w:t xml:space="preserve">However, MSAC </w:t>
      </w:r>
      <w:r>
        <w:t xml:space="preserve">accepted that </w:t>
      </w:r>
      <w:r w:rsidR="00E64C8C">
        <w:t>FDG</w:t>
      </w:r>
      <w:r w:rsidR="00F105A0">
        <w:t xml:space="preserve"> </w:t>
      </w:r>
      <w:r>
        <w:t xml:space="preserve">PET is a </w:t>
      </w:r>
      <w:r w:rsidR="00E64C8C">
        <w:t xml:space="preserve">comparatively </w:t>
      </w:r>
      <w:r>
        <w:t>safe diagnostic procedure.</w:t>
      </w:r>
    </w:p>
    <w:p w:rsidR="00A31AF6" w:rsidRDefault="00A31AF6" w:rsidP="00A31AF6"/>
    <w:p w:rsidR="00A31AF6" w:rsidRDefault="00A31AF6" w:rsidP="00A31AF6">
      <w:r>
        <w:t xml:space="preserve">The MBS fee proposed by the applicant was $1,180, however, </w:t>
      </w:r>
      <w:r w:rsidR="00F0077E">
        <w:t>t</w:t>
      </w:r>
      <w:r>
        <w:t xml:space="preserve">he current MBS fee </w:t>
      </w:r>
      <w:r w:rsidR="00F0077E">
        <w:t xml:space="preserve">of $918 </w:t>
      </w:r>
      <w:r>
        <w:t xml:space="preserve">for item 61559 (FDG PET study of the brain for refractory epilepsy being evaluated for surgery) </w:t>
      </w:r>
      <w:r w:rsidR="00F0077E">
        <w:t>wa</w:t>
      </w:r>
      <w:r>
        <w:t>s used in the economic model.</w:t>
      </w:r>
      <w:r w:rsidR="00183897">
        <w:t xml:space="preserve"> MSAC noted the pre-MSAC response, which disputed whether the $100 Medicare payment available for CT done as part of a nuclear medicine scan would apply to PET. MSAC accepted advice from the Department that this extra $100 reflected the current practice for most of these services charged to the MBS.</w:t>
      </w:r>
    </w:p>
    <w:p w:rsidR="00A31AF6" w:rsidRDefault="00A31AF6" w:rsidP="00A31AF6"/>
    <w:p w:rsidR="00A31AF6" w:rsidRDefault="00A31AF6" w:rsidP="00A31AF6">
      <w:r>
        <w:t>Economic modelling was performed assum</w:t>
      </w:r>
      <w:r w:rsidR="00F0077E">
        <w:t>ing</w:t>
      </w:r>
      <w:r>
        <w:t xml:space="preserve"> that </w:t>
      </w:r>
      <w:r w:rsidR="00F0077E">
        <w:t>FDG</w:t>
      </w:r>
      <w:r w:rsidR="00F105A0">
        <w:t xml:space="preserve"> </w:t>
      </w:r>
      <w:r w:rsidR="00F0077E">
        <w:t>PET improves</w:t>
      </w:r>
      <w:r>
        <w:t xml:space="preserve"> </w:t>
      </w:r>
      <w:r w:rsidR="00F0077E">
        <w:t xml:space="preserve">the early </w:t>
      </w:r>
      <w:r>
        <w:t>diagnosis of Alzheimer</w:t>
      </w:r>
      <w:r w:rsidR="00E64C8C" w:rsidRPr="00EE41E3">
        <w:t>’</w:t>
      </w:r>
      <w:r>
        <w:t xml:space="preserve">s disease </w:t>
      </w:r>
      <w:r w:rsidR="00F0077E">
        <w:t xml:space="preserve">which </w:t>
      </w:r>
      <w:r>
        <w:t>leads to avoiding/slowing progression of disease by 50% through early treatment with anti-Alzheimer</w:t>
      </w:r>
      <w:r w:rsidR="00E64C8C" w:rsidRPr="00EE41E3">
        <w:t>’</w:t>
      </w:r>
      <w:r>
        <w:t xml:space="preserve">s disease drugs as well as </w:t>
      </w:r>
      <w:r w:rsidR="00F0077E">
        <w:t xml:space="preserve">leading to </w:t>
      </w:r>
      <w:r>
        <w:t xml:space="preserve">elongated patient productivity. However, MSAC noted that the evidence on the effectiveness of the drugs </w:t>
      </w:r>
      <w:r w:rsidR="00F0077E">
        <w:t>wa</w:t>
      </w:r>
      <w:r>
        <w:t xml:space="preserve">s uncertain and therefore there </w:t>
      </w:r>
      <w:r w:rsidR="00F0077E">
        <w:t>wa</w:t>
      </w:r>
      <w:r>
        <w:t xml:space="preserve">s uncertainty around the validity of claims of improved health outcomes. MSAC was concerned that the downstream consequences of early diagnosis were </w:t>
      </w:r>
      <w:r w:rsidR="004D4124">
        <w:t xml:space="preserve">overly </w:t>
      </w:r>
      <w:r>
        <w:t>optimistic</w:t>
      </w:r>
      <w:r w:rsidR="00393B79">
        <w:t xml:space="preserve">. In particular, MSAC did not accept the basis of </w:t>
      </w:r>
      <w:r>
        <w:t>the magnitude of effect of anti-Alzheimer</w:t>
      </w:r>
      <w:r w:rsidR="00E64C8C" w:rsidRPr="00EE41E3">
        <w:t>’</w:t>
      </w:r>
      <w:r>
        <w:t>s disease drugs.</w:t>
      </w:r>
      <w:r w:rsidR="00A73AB1">
        <w:t xml:space="preserve"> The sensitivity of the model to </w:t>
      </w:r>
      <w:r w:rsidR="00393B79">
        <w:t>a reduced</w:t>
      </w:r>
      <w:r w:rsidR="00A73AB1">
        <w:t xml:space="preserve"> effect size would need to be more extensively assessed in any reapplication retaining this model.</w:t>
      </w:r>
    </w:p>
    <w:p w:rsidR="00A31AF6" w:rsidRDefault="00A31AF6" w:rsidP="00A31AF6"/>
    <w:p w:rsidR="00A31AF6" w:rsidRDefault="00A31AF6" w:rsidP="00A31AF6">
      <w:r>
        <w:t xml:space="preserve">MSAC noted that </w:t>
      </w:r>
      <w:r w:rsidR="001B6C42">
        <w:t xml:space="preserve">the </w:t>
      </w:r>
      <w:r w:rsidR="00C67A7A">
        <w:t xml:space="preserve">5-year </w:t>
      </w:r>
      <w:r w:rsidR="001B6C42">
        <w:t xml:space="preserve">model </w:t>
      </w:r>
      <w:r w:rsidR="006C3819">
        <w:t xml:space="preserve">suggested </w:t>
      </w:r>
      <w:r>
        <w:t xml:space="preserve">that FDG PET </w:t>
      </w:r>
      <w:r w:rsidR="006C3819">
        <w:t>would be</w:t>
      </w:r>
      <w:r>
        <w:t xml:space="preserve"> </w:t>
      </w:r>
      <w:r w:rsidR="001F0137">
        <w:t xml:space="preserve">dominant (both saving costs </w:t>
      </w:r>
      <w:r w:rsidR="00C67A7A">
        <w:t xml:space="preserve">at $1160 per patient </w:t>
      </w:r>
      <w:r w:rsidR="001F0137">
        <w:t>and improving health outcomes</w:t>
      </w:r>
      <w:r w:rsidR="00C67A7A">
        <w:t xml:space="preserve"> at 0.03 quality-adjusted life-years (QALYs) gained</w:t>
      </w:r>
      <w:r w:rsidR="001F0137">
        <w:t xml:space="preserve">) </w:t>
      </w:r>
      <w:r>
        <w:t>compared to SPECT with an incremental cost per QALY of</w:t>
      </w:r>
      <w:r w:rsidR="006C3819">
        <w:t xml:space="preserve"> </w:t>
      </w:r>
      <w:r>
        <w:t>-$42,991</w:t>
      </w:r>
      <w:r w:rsidR="00C67A7A">
        <w:t>.</w:t>
      </w:r>
      <w:r w:rsidR="006C3819">
        <w:t xml:space="preserve"> This </w:t>
      </w:r>
      <w:r w:rsidR="001F0137">
        <w:t xml:space="preserve">result </w:t>
      </w:r>
      <w:r w:rsidR="006C3819">
        <w:t>arose because the increased costs of the improved diagnostic accuracy with FDG</w:t>
      </w:r>
      <w:r w:rsidR="00F105A0">
        <w:t xml:space="preserve"> </w:t>
      </w:r>
      <w:r w:rsidR="006C3819">
        <w:t>PET and increased use of anti-Alzheimer</w:t>
      </w:r>
      <w:r w:rsidR="006C3819" w:rsidRPr="00EE41E3">
        <w:t>’</w:t>
      </w:r>
      <w:r w:rsidR="006C3819">
        <w:t>s disease drugs were projected to be outweighed by larger downstream cost offsets associated with progression to severe Alzheimer</w:t>
      </w:r>
      <w:r w:rsidR="006C3819" w:rsidRPr="00EE41E3">
        <w:t>’</w:t>
      </w:r>
      <w:r w:rsidR="006C3819">
        <w:t>s disease such as the avoidance of large nursing home care costs incurred by the individual.</w:t>
      </w:r>
      <w:r w:rsidR="006C3819" w:rsidRPr="003E68FE">
        <w:t xml:space="preserve"> </w:t>
      </w:r>
      <w:r w:rsidR="006C3819">
        <w:t xml:space="preserve">However, based on the evidence available, </w:t>
      </w:r>
      <w:r>
        <w:t xml:space="preserve">MSAC </w:t>
      </w:r>
      <w:r w:rsidR="006C3819">
        <w:t xml:space="preserve">considered that </w:t>
      </w:r>
      <w:r>
        <w:t xml:space="preserve">a cost minimisation analysis </w:t>
      </w:r>
      <w:r w:rsidR="006C3819">
        <w:t xml:space="preserve">would </w:t>
      </w:r>
      <w:r>
        <w:t xml:space="preserve">be more appropriate due </w:t>
      </w:r>
      <w:r w:rsidR="006C3819">
        <w:t xml:space="preserve">the conclusion of </w:t>
      </w:r>
      <w:r>
        <w:t>FDG PET being non-inferior to SPECT.</w:t>
      </w:r>
      <w:r w:rsidR="00F0077E">
        <w:t xml:space="preserve"> </w:t>
      </w:r>
      <w:r w:rsidR="006C3819">
        <w:t>Cost-</w:t>
      </w:r>
      <w:r w:rsidR="006C3819">
        <w:lastRenderedPageBreak/>
        <w:t xml:space="preserve">minimisation would </w:t>
      </w:r>
      <w:r w:rsidR="001F0137">
        <w:t xml:space="preserve">therefore </w:t>
      </w:r>
      <w:r w:rsidR="006C3819">
        <w:t>not include an</w:t>
      </w:r>
      <w:r w:rsidR="001F0137">
        <w:t>y</w:t>
      </w:r>
      <w:r w:rsidR="006C3819">
        <w:t xml:space="preserve"> increased use of </w:t>
      </w:r>
      <w:r w:rsidR="004D4124">
        <w:t xml:space="preserve">drugs or </w:t>
      </w:r>
      <w:r w:rsidR="001F0137">
        <w:t xml:space="preserve">any </w:t>
      </w:r>
      <w:r w:rsidR="004D4124">
        <w:t xml:space="preserve">decreased use </w:t>
      </w:r>
      <w:r w:rsidR="001F0137">
        <w:t xml:space="preserve">of </w:t>
      </w:r>
      <w:r w:rsidR="004D4124">
        <w:t>nursing home care costs. From the MBS perspective</w:t>
      </w:r>
      <w:r w:rsidR="00F0077E">
        <w:t xml:space="preserve">, </w:t>
      </w:r>
      <w:r w:rsidR="004D4124">
        <w:t xml:space="preserve">this could be achieved by setting </w:t>
      </w:r>
      <w:r w:rsidR="00F0077E">
        <w:t xml:space="preserve">the </w:t>
      </w:r>
      <w:r w:rsidR="004D4124">
        <w:t>proposed FDG</w:t>
      </w:r>
      <w:r w:rsidR="00F105A0">
        <w:t xml:space="preserve"> </w:t>
      </w:r>
      <w:r w:rsidR="004D4124">
        <w:t xml:space="preserve">PET </w:t>
      </w:r>
      <w:r w:rsidR="00F0077E">
        <w:t xml:space="preserve">MBS fee equal to the current fee of $605.05 for the comparator </w:t>
      </w:r>
      <w:r w:rsidR="004D4124">
        <w:t xml:space="preserve">SPECT </w:t>
      </w:r>
      <w:r w:rsidR="00F0077E">
        <w:t xml:space="preserve">MBS item 61402. </w:t>
      </w:r>
      <w:r w:rsidR="001F0137">
        <w:t xml:space="preserve">However, </w:t>
      </w:r>
      <w:r w:rsidR="004D4124">
        <w:t>MSAC was not sure whether the out-of-pocket payments for FDG</w:t>
      </w:r>
      <w:r w:rsidR="00F105A0">
        <w:t xml:space="preserve"> </w:t>
      </w:r>
      <w:r w:rsidR="004D4124">
        <w:t>PET and SPECT would also be similar in order to achieve cost-minimisation for patients as well.</w:t>
      </w:r>
    </w:p>
    <w:p w:rsidR="004D4124" w:rsidRDefault="004D4124" w:rsidP="00AC06FF"/>
    <w:p w:rsidR="00AC06FF" w:rsidRDefault="004D4124" w:rsidP="00AC06FF">
      <w:r>
        <w:t xml:space="preserve">MSAC noted that the </w:t>
      </w:r>
      <w:r w:rsidR="00D56006">
        <w:t xml:space="preserve">financial implications may be underestimated, but </w:t>
      </w:r>
      <w:r>
        <w:t xml:space="preserve">that </w:t>
      </w:r>
      <w:r w:rsidR="00D56006">
        <w:t xml:space="preserve">uptake </w:t>
      </w:r>
      <w:r>
        <w:t xml:space="preserve">would be </w:t>
      </w:r>
      <w:r w:rsidR="00D56006">
        <w:t>limited by the small number</w:t>
      </w:r>
      <w:r>
        <w:t xml:space="preserve"> of FDG</w:t>
      </w:r>
      <w:r w:rsidR="00F105A0">
        <w:t xml:space="preserve"> </w:t>
      </w:r>
      <w:r>
        <w:t>PET machines available.</w:t>
      </w:r>
      <w:r w:rsidR="00393B79">
        <w:t xml:space="preserve"> If currently 5% of Alzheimer’s disease diagnoses are inconclusive and so are referred for SPECT, then any MBS funding for FDG</w:t>
      </w:r>
      <w:r w:rsidR="00F105A0">
        <w:t xml:space="preserve"> </w:t>
      </w:r>
      <w:r w:rsidR="00393B79">
        <w:t>PET should be introduced in such a way as to not increase the overall extent of such referrals.</w:t>
      </w:r>
    </w:p>
    <w:p w:rsidR="006F1620" w:rsidRPr="00707064" w:rsidRDefault="006F1620" w:rsidP="00550354">
      <w:pPr>
        <w:rPr>
          <w:szCs w:val="24"/>
        </w:rPr>
      </w:pPr>
    </w:p>
    <w:p w:rsidR="00BC1364" w:rsidRPr="00D90A38" w:rsidRDefault="00BC1364" w:rsidP="007B32D1">
      <w:pPr>
        <w:pStyle w:val="Heading1"/>
        <w:numPr>
          <w:ilvl w:val="0"/>
          <w:numId w:val="23"/>
        </w:numPr>
        <w:ind w:hanging="720"/>
      </w:pPr>
      <w:r w:rsidRPr="00D90A38">
        <w:t>Background</w:t>
      </w:r>
    </w:p>
    <w:p w:rsidR="00BC1364" w:rsidRPr="006F1620" w:rsidRDefault="00BC1364" w:rsidP="00DD2858">
      <w:pPr>
        <w:rPr>
          <w:szCs w:val="24"/>
        </w:rPr>
      </w:pPr>
    </w:p>
    <w:p w:rsidR="007B32D1" w:rsidRDefault="006F1620" w:rsidP="007B32D1">
      <w:r>
        <w:t>Although</w:t>
      </w:r>
      <w:r w:rsidR="00EE41E3" w:rsidRPr="00EE41E3">
        <w:t xml:space="preserve"> FDG</w:t>
      </w:r>
      <w:r w:rsidR="00F105A0">
        <w:t xml:space="preserve"> </w:t>
      </w:r>
      <w:r w:rsidR="00EE41E3" w:rsidRPr="00EE41E3">
        <w:t xml:space="preserve">PET has been considered by MSAC previously for other indications (most recently under </w:t>
      </w:r>
      <w:r>
        <w:t>application 1357 – FDG</w:t>
      </w:r>
      <w:r w:rsidR="00F105A0">
        <w:t xml:space="preserve"> </w:t>
      </w:r>
      <w:r>
        <w:t>P</w:t>
      </w:r>
      <w:r w:rsidR="00EE41E3" w:rsidRPr="00EE41E3">
        <w:t>ET for Breast Cancer), MSAC ha</w:t>
      </w:r>
      <w:r>
        <w:t>d</w:t>
      </w:r>
      <w:r w:rsidR="00EE41E3" w:rsidRPr="00EE41E3">
        <w:t xml:space="preserve"> not previously considered FDG PET for </w:t>
      </w:r>
      <w:r>
        <w:t xml:space="preserve">the </w:t>
      </w:r>
      <w:r w:rsidR="00EE41E3" w:rsidRPr="00EE41E3">
        <w:t>diagnosis of Alzh</w:t>
      </w:r>
      <w:r>
        <w:t>eimer’s disease.</w:t>
      </w:r>
    </w:p>
    <w:p w:rsidR="006F1620" w:rsidRPr="007B32D1" w:rsidRDefault="006F1620" w:rsidP="007B32D1"/>
    <w:p w:rsidR="00BC1364" w:rsidRPr="00D90A38" w:rsidRDefault="00BC1364" w:rsidP="007B32D1">
      <w:pPr>
        <w:pStyle w:val="Heading1"/>
        <w:numPr>
          <w:ilvl w:val="0"/>
          <w:numId w:val="23"/>
        </w:numPr>
        <w:ind w:hanging="720"/>
      </w:pPr>
      <w:r w:rsidRPr="00D90A38">
        <w:t>Prerequisites to implementation of any funding advice</w:t>
      </w:r>
    </w:p>
    <w:p w:rsidR="0017112F" w:rsidRDefault="0017112F" w:rsidP="00EE41E3">
      <w:pPr>
        <w:rPr>
          <w:szCs w:val="24"/>
        </w:rPr>
      </w:pPr>
    </w:p>
    <w:p w:rsidR="00EE41E3" w:rsidRPr="00BC3662" w:rsidRDefault="0017112F" w:rsidP="0017112F">
      <w:pPr>
        <w:rPr>
          <w:rFonts w:ascii="Arial" w:hAnsi="Arial" w:cs="Arial"/>
          <w:b/>
          <w:sz w:val="22"/>
          <w:szCs w:val="22"/>
        </w:rPr>
      </w:pPr>
      <w:r>
        <w:rPr>
          <w:szCs w:val="24"/>
        </w:rPr>
        <w:t>Several PET, PET/CT and PET/MRI machines and related software are registered on the ARTG, as is the FDG injection.</w:t>
      </w:r>
      <w:r w:rsidR="00BC3662">
        <w:rPr>
          <w:rFonts w:ascii="Arial" w:hAnsi="Arial" w:cs="Arial"/>
          <w:b/>
          <w:sz w:val="22"/>
          <w:szCs w:val="22"/>
        </w:rPr>
        <w:t xml:space="preserve"> </w:t>
      </w:r>
      <w:r w:rsidR="00EE41E3" w:rsidRPr="00EE41E3">
        <w:t xml:space="preserve">Radiolabelled FDG </w:t>
      </w:r>
      <w:r>
        <w:t>is</w:t>
      </w:r>
      <w:r w:rsidR="00EE41E3" w:rsidRPr="00EE41E3">
        <w:t xml:space="preserve"> also </w:t>
      </w:r>
      <w:r w:rsidR="006F1620">
        <w:t xml:space="preserve">currently </w:t>
      </w:r>
      <w:r w:rsidR="00EE41E3" w:rsidRPr="00EE41E3">
        <w:t xml:space="preserve">produced </w:t>
      </w:r>
      <w:r w:rsidR="00ED5EB6">
        <w:t>several Australian hospitals.</w:t>
      </w:r>
    </w:p>
    <w:p w:rsidR="00EE41E3" w:rsidRPr="00EE41E3" w:rsidRDefault="00EE41E3" w:rsidP="00EE41E3"/>
    <w:p w:rsidR="006F1620" w:rsidRDefault="00EE41E3" w:rsidP="00EE41E3">
      <w:r w:rsidRPr="00EE41E3">
        <w:t>The requested MBS listing for FDG</w:t>
      </w:r>
      <w:r w:rsidR="00F105A0">
        <w:t xml:space="preserve"> </w:t>
      </w:r>
      <w:r w:rsidRPr="00EE41E3">
        <w:t xml:space="preserve">PET </w:t>
      </w:r>
      <w:r w:rsidR="006F1620">
        <w:t>wa</w:t>
      </w:r>
      <w:r w:rsidRPr="00EE41E3">
        <w:t>s consistent with the TGA</w:t>
      </w:r>
      <w:r w:rsidR="006F1620">
        <w:t>-</w:t>
      </w:r>
      <w:r w:rsidRPr="00EE41E3">
        <w:t>approved indication</w:t>
      </w:r>
      <w:r w:rsidR="006F1620">
        <w:t>.</w:t>
      </w:r>
    </w:p>
    <w:p w:rsidR="00EE41E3" w:rsidRPr="00EE41E3" w:rsidRDefault="00EE41E3" w:rsidP="00EE41E3"/>
    <w:p w:rsidR="006F1620" w:rsidRDefault="00EE41E3" w:rsidP="00EE41E3">
      <w:r w:rsidRPr="00EE41E3">
        <w:t>To be eligible for a MBS rebate, the medical service would need to be requested by a recognised specialist or consultant physician consistent with other PET items.</w:t>
      </w:r>
    </w:p>
    <w:p w:rsidR="006F1620" w:rsidRPr="00EE41E3" w:rsidRDefault="006F1620" w:rsidP="00EE41E3"/>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CC2DC7" w:rsidRPr="00EE41E3" w:rsidRDefault="00CC2DC7" w:rsidP="00CC2DC7">
      <w:r w:rsidRPr="00EE41E3">
        <w:t xml:space="preserve">FDG is a slightly radioactive form of glucose that can be safely injected into a patient. After 30 minutes a scan can then be performed with a PET camera, which takes approximately 15 </w:t>
      </w:r>
      <w:r w:rsidR="006F1620">
        <w:t>minutes.</w:t>
      </w:r>
    </w:p>
    <w:p w:rsidR="00CC2DC7" w:rsidRPr="00EE41E3" w:rsidRDefault="00CC2DC7" w:rsidP="00CC2DC7"/>
    <w:p w:rsidR="00CC2DC7" w:rsidRPr="00EE41E3" w:rsidRDefault="00CC2DC7" w:rsidP="00CC2DC7">
      <w:r w:rsidRPr="00EE41E3">
        <w:t>FDG</w:t>
      </w:r>
      <w:r w:rsidR="00F105A0">
        <w:t xml:space="preserve"> </w:t>
      </w:r>
      <w:r w:rsidRPr="00EE41E3">
        <w:t xml:space="preserve">PET </w:t>
      </w:r>
      <w:r w:rsidR="006F1620">
        <w:t>wa</w:t>
      </w:r>
      <w:r w:rsidRPr="00EE41E3">
        <w:t xml:space="preserve">s currently listed on the MBS for a range of other indications, predominately relating to oncology, but </w:t>
      </w:r>
      <w:r w:rsidR="006F1620">
        <w:t>wa</w:t>
      </w:r>
      <w:r w:rsidRPr="00EE41E3">
        <w:t>s not listed for the diagnosis of Alzheimer’s disease.</w:t>
      </w:r>
    </w:p>
    <w:p w:rsidR="00CC2DC7" w:rsidRPr="00EE41E3" w:rsidRDefault="00CC2DC7" w:rsidP="00CC2DC7"/>
    <w:p w:rsidR="00CC2DC7" w:rsidRPr="00EE41E3" w:rsidRDefault="00CC2DC7" w:rsidP="00CC2DC7">
      <w:r w:rsidRPr="00EE41E3">
        <w:t>Alzheimer’s disease is the most common cause of dementia. It is progressive and leads to severe disability and morbidity – on average seven years from diagnosis. Symptoms of Alzheimer’s disease are present for several years before diagnosis and the pathological process that leads to the dementia of Alzheimer’s disease begins a decade or more before diagnosis.</w:t>
      </w:r>
    </w:p>
    <w:p w:rsidR="00CC2DC7" w:rsidRPr="00EE41E3" w:rsidRDefault="00CC2DC7" w:rsidP="00CC2DC7"/>
    <w:p w:rsidR="006F1620" w:rsidRDefault="00A70F72" w:rsidP="00CC2DC7">
      <w:r>
        <w:t xml:space="preserve">The rationale for using FDG-PT to diagnose dementia is that it detects </w:t>
      </w:r>
      <w:proofErr w:type="spellStart"/>
      <w:r>
        <w:t>hypometabolic</w:t>
      </w:r>
      <w:proofErr w:type="spellEnd"/>
      <w:r>
        <w:t xml:space="preserve"> areas of the brain which do not take up the radioactive glucose. It thus may also be useful in distinguishing between types of dementia. </w:t>
      </w:r>
      <w:r w:rsidR="00CC2DC7" w:rsidRPr="00EE41E3">
        <w:t xml:space="preserve">It </w:t>
      </w:r>
      <w:r w:rsidR="006F1620">
        <w:t>wa</w:t>
      </w:r>
      <w:r w:rsidR="00CC2DC7" w:rsidRPr="00EE41E3">
        <w:t>s proposed that FDG</w:t>
      </w:r>
      <w:r w:rsidR="00F105A0">
        <w:t xml:space="preserve"> </w:t>
      </w:r>
      <w:r w:rsidR="00CC2DC7" w:rsidRPr="00EE41E3">
        <w:t xml:space="preserve">PET be </w:t>
      </w:r>
      <w:r>
        <w:t xml:space="preserve">used and funded only </w:t>
      </w:r>
      <w:r w:rsidR="00CC2DC7" w:rsidRPr="00EE41E3">
        <w:t>in a particular subset of patients. The clinical utility of FDG</w:t>
      </w:r>
      <w:r w:rsidR="00F105A0">
        <w:t xml:space="preserve"> </w:t>
      </w:r>
      <w:r w:rsidR="00CC2DC7" w:rsidRPr="00EE41E3">
        <w:t xml:space="preserve">PET in the diagnosis of AD </w:t>
      </w:r>
      <w:r w:rsidR="006F1620">
        <w:t>was considered to be</w:t>
      </w:r>
      <w:r w:rsidR="00CC2DC7" w:rsidRPr="00EE41E3">
        <w:t xml:space="preserve"> its potential to </w:t>
      </w:r>
      <w:r w:rsidR="00CC2DC7" w:rsidRPr="00EE41E3">
        <w:rPr>
          <w:i/>
        </w:rPr>
        <w:t>augment</w:t>
      </w:r>
      <w:r w:rsidR="00CC2DC7" w:rsidRPr="00EE41E3">
        <w:t xml:space="preserve"> clinical diagnosis (including the use of neurological assessment, blood tests and structural brain imaging) in patients with </w:t>
      </w:r>
      <w:r w:rsidR="00CC2DC7" w:rsidRPr="00EE41E3">
        <w:rPr>
          <w:i/>
        </w:rPr>
        <w:t>suspected</w:t>
      </w:r>
      <w:r w:rsidR="00CC2DC7" w:rsidRPr="00EE41E3">
        <w:t xml:space="preserve"> AD. It </w:t>
      </w:r>
      <w:r w:rsidR="00A62C56">
        <w:t>wa</w:t>
      </w:r>
      <w:r w:rsidR="00CC2DC7" w:rsidRPr="00EE41E3">
        <w:t>s accepted that</w:t>
      </w:r>
      <w:r w:rsidR="006F1620">
        <w:t>,</w:t>
      </w:r>
      <w:r w:rsidR="00CC2DC7" w:rsidRPr="00EE41E3">
        <w:t xml:space="preserve"> in patients with an unequivocal diagnosis of AD or no AD, FDG</w:t>
      </w:r>
      <w:r w:rsidR="00F105A0">
        <w:t xml:space="preserve"> </w:t>
      </w:r>
      <w:r w:rsidR="00CC2DC7" w:rsidRPr="00EE41E3">
        <w:lastRenderedPageBreak/>
        <w:t xml:space="preserve">PET provides no diagnostic value. The value of accurately identifying patients with early AD </w:t>
      </w:r>
      <w:r w:rsidR="00A62C56">
        <w:t xml:space="preserve">was argued to be </w:t>
      </w:r>
      <w:r w:rsidR="00CC2DC7" w:rsidRPr="00EE41E3">
        <w:t>that this phase of the disease is when treatment with anti-AD drugs (acetylcholine esterase inhibitors (</w:t>
      </w:r>
      <w:proofErr w:type="spellStart"/>
      <w:r w:rsidR="00CC2DC7" w:rsidRPr="00EE41E3">
        <w:t>AChEIs</w:t>
      </w:r>
      <w:proofErr w:type="spellEnd"/>
      <w:r w:rsidR="00CC2DC7" w:rsidRPr="00EE41E3">
        <w:t xml:space="preserve">), NMDA antagonists) may provide benefit. However, </w:t>
      </w:r>
      <w:r w:rsidR="00A62C56">
        <w:t xml:space="preserve">it was accepted that, </w:t>
      </w:r>
      <w:r w:rsidR="00CC2DC7" w:rsidRPr="00EE41E3">
        <w:t>once AD has progressed to a more severe disease stage</w:t>
      </w:r>
      <w:r w:rsidR="00A62C56">
        <w:t>,</w:t>
      </w:r>
      <w:r w:rsidR="00CC2DC7" w:rsidRPr="00EE41E3">
        <w:t xml:space="preserve"> these pharmacological agents are ineffective.</w:t>
      </w:r>
    </w:p>
    <w:p w:rsidR="00CC2DC7" w:rsidRPr="00EE41E3" w:rsidRDefault="00CC2DC7" w:rsidP="00CC2DC7"/>
    <w:p w:rsidR="00EE41E3" w:rsidRDefault="00EE41E3" w:rsidP="00EE41E3">
      <w:r w:rsidRPr="00EE41E3">
        <w:t xml:space="preserve">The proposed wording of the MBS item descriptor and </w:t>
      </w:r>
      <w:r w:rsidR="00F0077E">
        <w:t xml:space="preserve">a </w:t>
      </w:r>
      <w:r w:rsidRPr="00EE41E3">
        <w:t xml:space="preserve">Schedule fee for </w:t>
      </w:r>
      <w:r w:rsidR="006F1620">
        <w:t xml:space="preserve">the </w:t>
      </w:r>
      <w:r w:rsidRPr="00EE41E3">
        <w:t xml:space="preserve">service </w:t>
      </w:r>
      <w:r w:rsidR="00A62C56">
        <w:t>we</w:t>
      </w:r>
      <w:r w:rsidRPr="00EE41E3">
        <w:t>re based on MBS item 61559 (FDG</w:t>
      </w:r>
      <w:r w:rsidR="00F105A0">
        <w:t xml:space="preserve"> </w:t>
      </w:r>
      <w:r w:rsidRPr="00EE41E3">
        <w:t>PET study of the brain, performed for the evaluation of refractory epilepsy which is being evaluated for surgery).</w:t>
      </w:r>
    </w:p>
    <w:p w:rsidR="006F1620" w:rsidRPr="00EE41E3" w:rsidRDefault="006F1620" w:rsidP="00EE41E3"/>
    <w:p w:rsidR="00883CE1" w:rsidRDefault="003E5907" w:rsidP="009B04DA">
      <w:pPr>
        <w:rPr>
          <w:b/>
        </w:rPr>
      </w:pPr>
      <w:r w:rsidRPr="003E5907">
        <w:rPr>
          <w:b/>
        </w:rPr>
        <w:t xml:space="preserve">Table 1 </w:t>
      </w:r>
      <w:r w:rsidR="00EE41E3" w:rsidRPr="003E5907">
        <w:rPr>
          <w:b/>
        </w:rPr>
        <w:t>Proposed MBS item descriptor</w:t>
      </w:r>
    </w:p>
    <w:p w:rsidR="009B04DA" w:rsidRPr="009B04DA" w:rsidRDefault="009B04DA" w:rsidP="009B04DA">
      <w:pPr>
        <w:rPr>
          <w:b/>
        </w:rPr>
      </w:pPr>
    </w:p>
    <w:tbl>
      <w:tblPr>
        <w:tblStyle w:val="TableGrid1"/>
        <w:tblW w:w="5000" w:type="pct"/>
        <w:tblLook w:val="04A0" w:firstRow="1" w:lastRow="0" w:firstColumn="1" w:lastColumn="0" w:noHBand="0" w:noVBand="1"/>
        <w:tblCaption w:val="Proposed MBS item descriptor"/>
        <w:tblDescription w:val="The proposed items descriptor for FDG-PET study of the brain, performed for the diagnosis of AD."/>
      </w:tblPr>
      <w:tblGrid>
        <w:gridCol w:w="9242"/>
      </w:tblGrid>
      <w:tr w:rsidR="00EE41E3" w:rsidRPr="00EE41E3" w:rsidTr="004B054B">
        <w:trPr>
          <w:tblHeader/>
        </w:trPr>
        <w:tc>
          <w:tcPr>
            <w:tcW w:w="5000" w:type="pct"/>
          </w:tcPr>
          <w:p w:rsidR="00EE41E3" w:rsidRPr="00EE41E3" w:rsidRDefault="00EE41E3" w:rsidP="00883CE1">
            <w:pPr>
              <w:keepNext/>
              <w:rPr>
                <w:rFonts w:ascii="Arial Narrow" w:hAnsi="Arial Narrow" w:cs="Arial"/>
                <w:b/>
                <w:szCs w:val="24"/>
              </w:rPr>
            </w:pPr>
            <w:r w:rsidRPr="00EE41E3">
              <w:rPr>
                <w:rFonts w:ascii="Arial Narrow" w:hAnsi="Arial Narrow" w:cs="Arial"/>
                <w:b/>
                <w:szCs w:val="24"/>
              </w:rPr>
              <w:t>Category 5 – DIAGNOSTIC IMAGING SERVICES</w:t>
            </w:r>
          </w:p>
        </w:tc>
      </w:tr>
      <w:tr w:rsidR="00EE41E3" w:rsidRPr="00EE41E3" w:rsidTr="009821AA">
        <w:tc>
          <w:tcPr>
            <w:tcW w:w="5000" w:type="pct"/>
          </w:tcPr>
          <w:p w:rsidR="00EE41E3" w:rsidRPr="00EE41E3" w:rsidRDefault="00EE41E3" w:rsidP="00EE41E3">
            <w:pPr>
              <w:spacing w:after="120"/>
              <w:jc w:val="both"/>
              <w:rPr>
                <w:rFonts w:ascii="Arial Narrow" w:eastAsia="SimSun" w:hAnsi="Arial Narrow" w:cs="Tahoma"/>
                <w:b/>
                <w:szCs w:val="24"/>
                <w:lang w:val="en-US" w:eastAsia="ja-JP"/>
              </w:rPr>
            </w:pPr>
            <w:r w:rsidRPr="00EE41E3">
              <w:rPr>
                <w:rFonts w:ascii="Arial Narrow" w:eastAsia="SimSun" w:hAnsi="Arial Narrow" w:cs="Tahoma"/>
                <w:b/>
                <w:szCs w:val="24"/>
                <w:lang w:val="en-US" w:eastAsia="ja-JP"/>
              </w:rPr>
              <w:t>MBS [item number]</w:t>
            </w:r>
          </w:p>
          <w:p w:rsidR="00EE41E3" w:rsidRPr="00EE41E3" w:rsidRDefault="00EE41E3" w:rsidP="00EE41E3">
            <w:pPr>
              <w:keepNext/>
              <w:rPr>
                <w:rFonts w:ascii="Arial Narrow" w:hAnsi="Arial Narrow" w:cs="Arial"/>
                <w:szCs w:val="24"/>
              </w:rPr>
            </w:pPr>
            <w:r w:rsidRPr="00EE41E3">
              <w:rPr>
                <w:rFonts w:ascii="Arial Narrow" w:hAnsi="Arial Narrow" w:cs="Arial"/>
                <w:szCs w:val="24"/>
              </w:rPr>
              <w:t>FDG PET study of the brain, performed</w:t>
            </w:r>
            <w:r w:rsidR="00E64C8C">
              <w:rPr>
                <w:rFonts w:ascii="Arial Narrow" w:hAnsi="Arial Narrow" w:cs="Arial"/>
                <w:szCs w:val="24"/>
              </w:rPr>
              <w:t xml:space="preserve"> for the diagnosis of Alzheimer’</w:t>
            </w:r>
            <w:r w:rsidRPr="00EE41E3">
              <w:rPr>
                <w:rFonts w:ascii="Arial Narrow" w:hAnsi="Arial Narrow" w:cs="Arial"/>
                <w:szCs w:val="24"/>
              </w:rPr>
              <w:t>s disease where clinical evaluation by a specialist, or in consultation with a specialist, and MRI are equivocal (R)</w:t>
            </w:r>
          </w:p>
          <w:p w:rsidR="00EE41E3" w:rsidRPr="00EE41E3" w:rsidRDefault="00EE41E3" w:rsidP="00EE41E3">
            <w:pPr>
              <w:keepNext/>
              <w:rPr>
                <w:rFonts w:ascii="Arial Narrow" w:hAnsi="Arial Narrow" w:cs="Arial"/>
                <w:szCs w:val="24"/>
              </w:rPr>
            </w:pPr>
          </w:p>
          <w:p w:rsidR="00EE41E3" w:rsidRPr="00EE41E3" w:rsidRDefault="00EE41E3" w:rsidP="00EE41E3">
            <w:pPr>
              <w:keepNext/>
              <w:rPr>
                <w:rFonts w:ascii="Arial Narrow" w:hAnsi="Arial Narrow" w:cs="Arial"/>
                <w:szCs w:val="24"/>
              </w:rPr>
            </w:pPr>
            <w:r w:rsidRPr="00EE41E3">
              <w:rPr>
                <w:rFonts w:ascii="Arial Narrow" w:hAnsi="Arial Narrow" w:cs="Arial"/>
                <w:b/>
                <w:szCs w:val="24"/>
              </w:rPr>
              <w:t xml:space="preserve">Fee: </w:t>
            </w:r>
            <w:r w:rsidRPr="00EE41E3">
              <w:rPr>
                <w:rFonts w:ascii="Arial Narrow" w:hAnsi="Arial Narrow" w:cs="Arial"/>
                <w:szCs w:val="24"/>
              </w:rPr>
              <w:t xml:space="preserve">$918.00  </w:t>
            </w:r>
            <w:r w:rsidRPr="00EE41E3">
              <w:rPr>
                <w:rFonts w:ascii="Arial Narrow" w:hAnsi="Arial Narrow" w:cs="Arial"/>
                <w:b/>
                <w:szCs w:val="24"/>
              </w:rPr>
              <w:t xml:space="preserve">Benefit: </w:t>
            </w:r>
            <w:r w:rsidRPr="00EE41E3">
              <w:rPr>
                <w:rFonts w:ascii="Arial Narrow" w:hAnsi="Arial Narrow" w:cs="Arial"/>
                <w:szCs w:val="24"/>
              </w:rPr>
              <w:t>75% = $688.50  85% = $839.60</w:t>
            </w:r>
          </w:p>
        </w:tc>
      </w:tr>
    </w:tbl>
    <w:p w:rsidR="006F1620" w:rsidRPr="00EE41E3" w:rsidRDefault="006F1620" w:rsidP="006F1620">
      <w:pPr>
        <w:tabs>
          <w:tab w:val="left" w:pos="720"/>
          <w:tab w:val="left" w:pos="1140"/>
        </w:tabs>
        <w:rPr>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Pr="006F1620" w:rsidRDefault="00BC1364" w:rsidP="00DD2858">
      <w:pPr>
        <w:rPr>
          <w:szCs w:val="24"/>
        </w:rPr>
      </w:pPr>
    </w:p>
    <w:p w:rsidR="00BC1364" w:rsidRPr="00ED5EB6" w:rsidRDefault="00EE41E3" w:rsidP="00DD2858">
      <w:r w:rsidRPr="00EE41E3">
        <w:t>No specific Consumer Impact Statement was provided in the assessment. However, the assessment report noted that “…due to the high capital cost, PET machines are typically located at large, metropolitan public hospitals. Access to PET scans in Australia is therefore restricted, particularly in regional areas, although the number of PET facilities (both public and private sector) is increasing with more widespread application in oncology</w:t>
      </w:r>
      <w:r w:rsidR="00ED5EB6">
        <w:t xml:space="preserve"> for diagnosis and monitoring.”</w:t>
      </w:r>
    </w:p>
    <w:p w:rsidR="006F1620" w:rsidRPr="006F1620" w:rsidRDefault="006F1620" w:rsidP="00DD2858">
      <w:pPr>
        <w:rPr>
          <w:szCs w:val="24"/>
        </w:rPr>
      </w:pPr>
    </w:p>
    <w:p w:rsidR="003E5907" w:rsidRDefault="00BC1364" w:rsidP="00ED5EB6">
      <w:pPr>
        <w:pStyle w:val="Heading1"/>
        <w:numPr>
          <w:ilvl w:val="0"/>
          <w:numId w:val="23"/>
        </w:numPr>
        <w:ind w:hanging="720"/>
      </w:pPr>
      <w:r w:rsidRPr="00D90A38">
        <w:t>Proposed intervention’s place in clinical management</w:t>
      </w:r>
    </w:p>
    <w:p w:rsidR="009B04DA" w:rsidRDefault="009B04DA" w:rsidP="00B73AAA"/>
    <w:p w:rsidR="00EE41E3" w:rsidRPr="00B73AAA" w:rsidRDefault="00EE41E3" w:rsidP="00B73AAA">
      <w:r w:rsidRPr="00B73AAA">
        <w:t>The clinical management algorithm for the diagnosis of patients with suspected Alzheimer’s disease is shown in. As shown in the algorithm</w:t>
      </w:r>
      <w:r w:rsidR="00F105A0" w:rsidRPr="00B73AAA">
        <w:t xml:space="preserve"> (Figure 1)</w:t>
      </w:r>
      <w:r w:rsidRPr="00B73AAA">
        <w:t xml:space="preserve">, current clinical evaluation involves taking a patient history, cognitive assessments, routine blood tests, and structural imaging with MRI in some cases. It </w:t>
      </w:r>
      <w:r w:rsidR="00A62C56" w:rsidRPr="00B73AAA">
        <w:t>wa</w:t>
      </w:r>
      <w:r w:rsidRPr="00B73AAA">
        <w:t>s proposed that FDG</w:t>
      </w:r>
      <w:r w:rsidR="00F105A0" w:rsidRPr="00B73AAA">
        <w:t xml:space="preserve"> </w:t>
      </w:r>
      <w:r w:rsidRPr="00B73AAA">
        <w:t>PET be used in addition to these tests and invest</w:t>
      </w:r>
      <w:r w:rsidR="006F1620" w:rsidRPr="00B73AAA">
        <w:t>igations, and instead of SPECT.</w:t>
      </w:r>
    </w:p>
    <w:p w:rsidR="00EE41E3" w:rsidRPr="00EE41E3" w:rsidRDefault="00EE41E3" w:rsidP="00EE41E3"/>
    <w:p w:rsidR="00EE41E3" w:rsidRPr="00EE41E3" w:rsidRDefault="00EE41E3" w:rsidP="00EE41E3">
      <w:r w:rsidRPr="00EE41E3">
        <w:t xml:space="preserve">The various tests outlined in the algorithm </w:t>
      </w:r>
      <w:r w:rsidR="00A62C56">
        <w:t>we</w:t>
      </w:r>
      <w:r w:rsidRPr="00EE41E3">
        <w:t>re all currently available for suspected Alzheimer’s disease patients in Australia; however, under the current funding arrangements</w:t>
      </w:r>
      <w:r w:rsidR="006F1620">
        <w:t>,</w:t>
      </w:r>
      <w:r w:rsidRPr="00EE41E3">
        <w:t xml:space="preserve"> an MBS rebate </w:t>
      </w:r>
      <w:r w:rsidR="00A62C56">
        <w:t>wa</w:t>
      </w:r>
      <w:r w:rsidRPr="00EE41E3">
        <w:t>s not available for FDG</w:t>
      </w:r>
      <w:r w:rsidR="00F105A0">
        <w:t xml:space="preserve"> </w:t>
      </w:r>
      <w:r w:rsidRPr="00EE41E3">
        <w:t xml:space="preserve">PET. Under proposed funding arrangements an MBS rebate </w:t>
      </w:r>
      <w:r w:rsidR="00A62C56">
        <w:t>would be</w:t>
      </w:r>
      <w:r w:rsidRPr="00EE41E3">
        <w:t xml:space="preserve"> available for all diagnostic tests shown</w:t>
      </w:r>
      <w:r w:rsidR="006F1620">
        <w:t xml:space="preserve"> in the clinical algorithm.</w:t>
      </w:r>
    </w:p>
    <w:p w:rsidR="00EE41E3" w:rsidRPr="00EE41E3" w:rsidRDefault="00EE41E3" w:rsidP="00EE41E3"/>
    <w:p w:rsidR="00EE41E3" w:rsidRPr="00EE41E3" w:rsidRDefault="00EE41E3" w:rsidP="00EE41E3">
      <w:r w:rsidRPr="00EE41E3">
        <w:t xml:space="preserve">The clinical management algorithm shows that SPECT </w:t>
      </w:r>
      <w:r w:rsidR="00A62C56">
        <w:t>wa</w:t>
      </w:r>
      <w:r w:rsidRPr="00EE41E3">
        <w:t xml:space="preserve">s currently used to resolve difficult cases in which prior tests have been inconclusive. In particular, it </w:t>
      </w:r>
      <w:r w:rsidR="00A62C56">
        <w:t>wa</w:t>
      </w:r>
      <w:r w:rsidRPr="00EE41E3">
        <w:t>s understood that SPECT provides information that assists with the differentiation betwee</w:t>
      </w:r>
      <w:r w:rsidR="00A62C56">
        <w:t>n different types of dementia.</w:t>
      </w:r>
    </w:p>
    <w:p w:rsidR="009B04DA" w:rsidRDefault="009B04DA">
      <w:pPr>
        <w:rPr>
          <w:rFonts w:ascii="Arial Narrow" w:hAnsi="Arial Narrow" w:cs="Arial"/>
          <w:b/>
          <w:bCs/>
          <w:iCs/>
          <w:sz w:val="20"/>
          <w:lang w:eastAsia="en-US"/>
        </w:rPr>
      </w:pPr>
      <w:bookmarkStart w:id="0" w:name="_Ref403142733"/>
      <w:bookmarkStart w:id="1" w:name="_Toc406325544"/>
      <w:bookmarkStart w:id="2" w:name="_Toc408845268"/>
      <w:r>
        <w:rPr>
          <w:rFonts w:ascii="Arial Narrow" w:hAnsi="Arial Narrow" w:cs="Arial"/>
          <w:b/>
          <w:bCs/>
          <w:iCs/>
          <w:sz w:val="20"/>
          <w:lang w:eastAsia="en-US"/>
        </w:rPr>
        <w:br w:type="page"/>
      </w:r>
    </w:p>
    <w:p w:rsidR="00EE41E3" w:rsidRPr="009B04DA" w:rsidRDefault="009B04DA" w:rsidP="009B04DA">
      <w:pPr>
        <w:rPr>
          <w:rFonts w:ascii="Arial" w:hAnsi="Arial" w:cs="Arial"/>
          <w:b/>
          <w:sz w:val="20"/>
          <w:lang w:eastAsia="en-US"/>
        </w:rPr>
      </w:pPr>
      <w:r w:rsidRPr="009B04DA">
        <w:rPr>
          <w:rFonts w:ascii="Arial" w:hAnsi="Arial" w:cs="Arial"/>
          <w:b/>
          <w:sz w:val="20"/>
          <w:lang w:eastAsia="en-US"/>
        </w:rPr>
        <w:lastRenderedPageBreak/>
        <w:t>F</w:t>
      </w:r>
      <w:r w:rsidR="00EE41E3" w:rsidRPr="009B04DA">
        <w:rPr>
          <w:rFonts w:ascii="Arial" w:hAnsi="Arial" w:cs="Arial"/>
          <w:b/>
          <w:sz w:val="20"/>
          <w:lang w:eastAsia="en-US"/>
        </w:rPr>
        <w:t>igure</w:t>
      </w:r>
      <w:bookmarkEnd w:id="0"/>
      <w:r>
        <w:rPr>
          <w:rFonts w:ascii="Arial" w:hAnsi="Arial" w:cs="Arial"/>
          <w:b/>
          <w:sz w:val="20"/>
          <w:lang w:eastAsia="en-US"/>
        </w:rPr>
        <w:t xml:space="preserve"> 1   </w:t>
      </w:r>
      <w:r w:rsidR="00EE41E3" w:rsidRPr="009B04DA">
        <w:rPr>
          <w:rFonts w:ascii="Arial" w:hAnsi="Arial" w:cs="Arial"/>
          <w:b/>
          <w:sz w:val="20"/>
          <w:lang w:eastAsia="en-US"/>
        </w:rPr>
        <w:t>Clinical management algorithm for Alzheimer’s disease diagnosis with FDG</w:t>
      </w:r>
      <w:r w:rsidR="00F105A0" w:rsidRPr="009B04DA">
        <w:rPr>
          <w:rFonts w:ascii="Arial" w:hAnsi="Arial" w:cs="Arial"/>
          <w:b/>
          <w:sz w:val="20"/>
          <w:lang w:eastAsia="en-US"/>
        </w:rPr>
        <w:t xml:space="preserve"> </w:t>
      </w:r>
      <w:r w:rsidR="00EE41E3" w:rsidRPr="009B04DA">
        <w:rPr>
          <w:rFonts w:ascii="Arial" w:hAnsi="Arial" w:cs="Arial"/>
          <w:b/>
          <w:sz w:val="20"/>
          <w:lang w:eastAsia="en-US"/>
        </w:rPr>
        <w:t>PET</w:t>
      </w:r>
      <w:bookmarkEnd w:id="1"/>
      <w:bookmarkEnd w:id="2"/>
    </w:p>
    <w:p w:rsidR="00EE41E3" w:rsidRPr="00EE41E3" w:rsidRDefault="00EE41E3" w:rsidP="00EE41E3">
      <w:pPr>
        <w:rPr>
          <w:lang w:eastAsia="en-US"/>
        </w:rPr>
      </w:pPr>
    </w:p>
    <w:p w:rsidR="00EE41E3" w:rsidRPr="00EE41E3" w:rsidRDefault="00EE41E3" w:rsidP="00EE41E3">
      <w:pPr>
        <w:spacing w:after="360"/>
        <w:ind w:left="720"/>
        <w:contextualSpacing/>
        <w:rPr>
          <w:rFonts w:ascii="Arial Narrow" w:eastAsia="Calibri" w:hAnsi="Arial Narrow"/>
          <w:sz w:val="16"/>
          <w:szCs w:val="16"/>
          <w:lang w:eastAsia="en-US"/>
        </w:rPr>
      </w:pPr>
      <w:r w:rsidRPr="00EE41E3">
        <w:rPr>
          <w:rFonts w:ascii="Arial Narrow" w:eastAsia="Calibri" w:hAnsi="Arial Narrow"/>
          <w:noProof/>
          <w:sz w:val="16"/>
          <w:szCs w:val="16"/>
        </w:rPr>
        <w:drawing>
          <wp:inline distT="0" distB="0" distL="0" distR="0" wp14:anchorId="72EBAB65" wp14:editId="561B3CDF">
            <wp:extent cx="5365648" cy="7105650"/>
            <wp:effectExtent l="0" t="0" r="6985" b="0"/>
            <wp:docPr id="1" name="Picture 1" descr="The clinical management algorithm for AD diagnosis with FDG-PET versus AD diagnosis with SPECT." title="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Algorithm.tif"/>
                    <pic:cNvPicPr/>
                  </pic:nvPicPr>
                  <pic:blipFill>
                    <a:blip r:embed="rId10">
                      <a:extLst>
                        <a:ext uri="{28A0092B-C50C-407E-A947-70E740481C1C}">
                          <a14:useLocalDpi xmlns:a14="http://schemas.microsoft.com/office/drawing/2010/main" val="0"/>
                        </a:ext>
                      </a:extLst>
                    </a:blip>
                    <a:stretch>
                      <a:fillRect/>
                    </a:stretch>
                  </pic:blipFill>
                  <pic:spPr>
                    <a:xfrm>
                      <a:off x="0" y="0"/>
                      <a:ext cx="5368372" cy="7109258"/>
                    </a:xfrm>
                    <a:prstGeom prst="rect">
                      <a:avLst/>
                    </a:prstGeom>
                  </pic:spPr>
                </pic:pic>
              </a:graphicData>
            </a:graphic>
          </wp:inline>
        </w:drawing>
      </w:r>
    </w:p>
    <w:p w:rsidR="00EE41E3" w:rsidRPr="00EE41E3" w:rsidRDefault="00EE41E3" w:rsidP="00EE41E3">
      <w:pPr>
        <w:spacing w:after="360"/>
        <w:ind w:left="720"/>
        <w:contextualSpacing/>
        <w:rPr>
          <w:rFonts w:ascii="Arial Narrow" w:eastAsia="Calibri" w:hAnsi="Arial Narrow"/>
          <w:sz w:val="16"/>
          <w:szCs w:val="16"/>
          <w:lang w:eastAsia="en-US"/>
        </w:rPr>
      </w:pPr>
    </w:p>
    <w:p w:rsidR="00EE41E3" w:rsidRPr="00EE41E3" w:rsidRDefault="00EE41E3" w:rsidP="00EE41E3">
      <w:pPr>
        <w:spacing w:after="360"/>
        <w:ind w:left="72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Abbreviations: A</w:t>
      </w:r>
      <w:r w:rsidR="00E64C8C">
        <w:rPr>
          <w:rFonts w:ascii="Arial Narrow" w:eastAsia="Calibri" w:hAnsi="Arial Narrow"/>
          <w:sz w:val="16"/>
          <w:szCs w:val="16"/>
          <w:lang w:eastAsia="en-US"/>
        </w:rPr>
        <w:t>D</w:t>
      </w:r>
      <w:r w:rsidRPr="00EE41E3">
        <w:rPr>
          <w:rFonts w:ascii="Arial Narrow" w:eastAsia="Calibri" w:hAnsi="Arial Narrow"/>
          <w:sz w:val="16"/>
          <w:szCs w:val="16"/>
          <w:lang w:eastAsia="en-US"/>
        </w:rPr>
        <w:t xml:space="preserve">, Alzheimer’s disease; FDG, </w:t>
      </w:r>
      <w:proofErr w:type="spellStart"/>
      <w:r w:rsidRPr="00EE41E3">
        <w:rPr>
          <w:rFonts w:ascii="Arial Narrow" w:eastAsia="Calibri" w:hAnsi="Arial Narrow"/>
          <w:sz w:val="16"/>
          <w:szCs w:val="16"/>
          <w:lang w:eastAsia="en-US"/>
        </w:rPr>
        <w:t>fluorodeoxyglucose</w:t>
      </w:r>
      <w:proofErr w:type="spellEnd"/>
      <w:r w:rsidRPr="00EE41E3">
        <w:rPr>
          <w:rFonts w:ascii="Arial Narrow" w:eastAsia="Calibri" w:hAnsi="Arial Narrow"/>
          <w:sz w:val="16"/>
          <w:szCs w:val="16"/>
          <w:lang w:eastAsia="en-US"/>
        </w:rPr>
        <w:t xml:space="preserve">; MRI, magnetic resonance imaging; PET, positron emission tomography; </w:t>
      </w:r>
      <w:proofErr w:type="spellStart"/>
      <w:r w:rsidRPr="00EE41E3">
        <w:rPr>
          <w:rFonts w:ascii="Arial Narrow" w:eastAsia="Calibri" w:hAnsi="Arial Narrow"/>
          <w:sz w:val="16"/>
          <w:szCs w:val="16"/>
          <w:lang w:eastAsia="en-US"/>
        </w:rPr>
        <w:t>QoL</w:t>
      </w:r>
      <w:proofErr w:type="spellEnd"/>
      <w:r w:rsidRPr="00EE41E3">
        <w:rPr>
          <w:rFonts w:ascii="Arial Narrow" w:eastAsia="Calibri" w:hAnsi="Arial Narrow"/>
          <w:sz w:val="16"/>
          <w:szCs w:val="16"/>
          <w:lang w:eastAsia="en-US"/>
        </w:rPr>
        <w:t>, quality of life; SPECT, single-photon emission computed tomography.</w:t>
      </w:r>
    </w:p>
    <w:p w:rsidR="00EE41E3" w:rsidRPr="00EE41E3" w:rsidRDefault="00EE41E3" w:rsidP="00EE41E3"/>
    <w:p w:rsidR="00EE41E3" w:rsidRPr="00EE41E3" w:rsidRDefault="00EE41E3" w:rsidP="00EE41E3">
      <w:pPr>
        <w:spacing w:after="200" w:line="276" w:lineRule="auto"/>
      </w:pPr>
      <w:r w:rsidRPr="00EE41E3">
        <w:br w:type="page"/>
      </w:r>
    </w:p>
    <w:p w:rsidR="00EE41E3" w:rsidRDefault="00EE41E3" w:rsidP="00EE41E3">
      <w:r w:rsidRPr="00EE41E3">
        <w:lastRenderedPageBreak/>
        <w:t xml:space="preserve">Each FDG- PET scan has a cost associated with the purchase and transport of </w:t>
      </w:r>
      <w:proofErr w:type="spellStart"/>
      <w:r w:rsidRPr="00EE41E3">
        <w:t>radiochemicals</w:t>
      </w:r>
      <w:proofErr w:type="spellEnd"/>
      <w:r w:rsidRPr="00EE41E3">
        <w:t>. Because the half-life of fluorine (F)-18 is about two hours, the prepared dose of a radiopharmaceutical bearing this radionuclide will undergo multiple half-lives of decay during the working day. This necessitates frequent recalibration of the remaining dose (determination of activity per unit volume) and careful planning with respect to patient scheduling.</w:t>
      </w:r>
    </w:p>
    <w:p w:rsidR="00A62C56" w:rsidRPr="00EE41E3" w:rsidRDefault="00A62C56" w:rsidP="00EE41E3">
      <w:pPr>
        <w:rPr>
          <w:szCs w:val="24"/>
        </w:rPr>
      </w:pPr>
    </w:p>
    <w:p w:rsidR="00BC1364" w:rsidRPr="008D5885" w:rsidRDefault="00A62C56" w:rsidP="007B32D1">
      <w:pPr>
        <w:pStyle w:val="Heading1"/>
        <w:numPr>
          <w:ilvl w:val="0"/>
          <w:numId w:val="23"/>
        </w:numPr>
        <w:ind w:hanging="720"/>
      </w:pPr>
      <w:r>
        <w:t>Comparator</w:t>
      </w:r>
    </w:p>
    <w:p w:rsidR="00BC1364" w:rsidRPr="00A62C56" w:rsidRDefault="00BC1364" w:rsidP="00DD2858">
      <w:pPr>
        <w:rPr>
          <w:szCs w:val="24"/>
        </w:rPr>
      </w:pPr>
    </w:p>
    <w:p w:rsidR="00EE41E3" w:rsidRPr="00EE41E3" w:rsidRDefault="00EE41E3" w:rsidP="00EE41E3">
      <w:r w:rsidRPr="00EE41E3">
        <w:t xml:space="preserve">The </w:t>
      </w:r>
      <w:r w:rsidR="0016633E">
        <w:t xml:space="preserve">nominated comparator was </w:t>
      </w:r>
      <w:r w:rsidRPr="00EE41E3">
        <w:t xml:space="preserve">assessment of cerebral perfusion with SPECT currently billed </w:t>
      </w:r>
      <w:r w:rsidR="00CD7FB3">
        <w:t>via</w:t>
      </w:r>
      <w:r w:rsidRPr="00EE41E3">
        <w:t xml:space="preserve"> MBS item 61402. The most commonly used tracer to examine cerebral blood flow (CBF) using SPECT is 99m-Tc-hexamethylpropylene (HMPAO); however, several other tracers have been in</w:t>
      </w:r>
      <w:r w:rsidR="00A62C56">
        <w:t>vestigated in clinical studies.</w:t>
      </w:r>
    </w:p>
    <w:p w:rsidR="00EE41E3" w:rsidRPr="00EE41E3" w:rsidRDefault="00EE41E3" w:rsidP="00EE41E3"/>
    <w:p w:rsidR="00A62C56" w:rsidRDefault="00EE41E3" w:rsidP="00EE41E3">
      <w:r w:rsidRPr="00EE41E3">
        <w:t>Like FDG</w:t>
      </w:r>
      <w:r w:rsidR="00F105A0">
        <w:t xml:space="preserve"> </w:t>
      </w:r>
      <w:r w:rsidRPr="00EE41E3">
        <w:t>PET, SPECT can be analysed using semi-quantitative methods. SPECT is technically less demanding and more widely available than PET</w:t>
      </w:r>
      <w:r w:rsidR="00A62C56">
        <w:t>,</w:t>
      </w:r>
      <w:r w:rsidRPr="00EE41E3">
        <w:t xml:space="preserve"> but is reported to have lower resolution. FDG</w:t>
      </w:r>
      <w:r w:rsidR="00F105A0">
        <w:t xml:space="preserve"> </w:t>
      </w:r>
      <w:r w:rsidRPr="00EE41E3">
        <w:t>PET is proposed as a replacement test to SPECT, although the availability of FDG</w:t>
      </w:r>
      <w:r w:rsidR="00F105A0">
        <w:t xml:space="preserve"> </w:t>
      </w:r>
      <w:r w:rsidRPr="00EE41E3">
        <w:t>PET may limit the extent to which it replaces SPECT, particularly in rural and regional areas.</w:t>
      </w:r>
    </w:p>
    <w:p w:rsidR="00A62C56" w:rsidRPr="00EE41E3" w:rsidRDefault="00A62C56" w:rsidP="00EE41E3"/>
    <w:p w:rsidR="00BC1364" w:rsidRPr="008D5885" w:rsidRDefault="00BC1364" w:rsidP="007B32D1">
      <w:pPr>
        <w:pStyle w:val="Heading1"/>
        <w:numPr>
          <w:ilvl w:val="0"/>
          <w:numId w:val="23"/>
        </w:numPr>
        <w:ind w:hanging="720"/>
      </w:pPr>
      <w:r w:rsidRPr="008D5885">
        <w:t>Comparative safety</w:t>
      </w:r>
    </w:p>
    <w:p w:rsidR="00BC1364" w:rsidRPr="00A62C56" w:rsidRDefault="00BC1364" w:rsidP="00DD2858">
      <w:pPr>
        <w:pStyle w:val="ListParagraph"/>
        <w:ind w:left="0"/>
        <w:rPr>
          <w:szCs w:val="24"/>
        </w:rPr>
      </w:pPr>
    </w:p>
    <w:p w:rsidR="00EE41E3" w:rsidRPr="00EE41E3" w:rsidRDefault="00EE41E3" w:rsidP="00EE41E3">
      <w:r w:rsidRPr="00EE41E3">
        <w:t>No primary studies were identified that reported on the comparative safety of FDG</w:t>
      </w:r>
      <w:r w:rsidR="00F105A0">
        <w:t xml:space="preserve"> </w:t>
      </w:r>
      <w:r w:rsidRPr="00EE41E3">
        <w:t xml:space="preserve">PET and SPECT for the diagnosis of Alzheimer’s disease. However, it </w:t>
      </w:r>
      <w:r w:rsidR="00A62C56">
        <w:t>wa</w:t>
      </w:r>
      <w:r w:rsidRPr="00EE41E3">
        <w:t>s widely accepted that PET is a safe diagnostic procedure.</w:t>
      </w:r>
    </w:p>
    <w:p w:rsidR="00EE41E3" w:rsidRPr="00EE41E3" w:rsidRDefault="00EE41E3" w:rsidP="00EE41E3"/>
    <w:p w:rsidR="001404BA" w:rsidRDefault="00EE41E3" w:rsidP="00EE41E3">
      <w:r w:rsidRPr="00EE41E3">
        <w:t>FDG</w:t>
      </w:r>
      <w:r w:rsidR="00F105A0">
        <w:t xml:space="preserve"> </w:t>
      </w:r>
      <w:r w:rsidRPr="00EE41E3">
        <w:t>PET and SPECT are associated with similar levels of radiation exposure: the techniques have been assigned the same Relative Radiation Level.</w:t>
      </w:r>
    </w:p>
    <w:p w:rsidR="00A62C56" w:rsidRPr="00EE41E3" w:rsidRDefault="00A62C56" w:rsidP="00EE41E3"/>
    <w:p w:rsidR="00BC1364" w:rsidRPr="008D5885" w:rsidRDefault="00BC1364" w:rsidP="007B32D1">
      <w:pPr>
        <w:pStyle w:val="Heading1"/>
        <w:numPr>
          <w:ilvl w:val="0"/>
          <w:numId w:val="23"/>
        </w:numPr>
        <w:ind w:hanging="720"/>
      </w:pPr>
      <w:r w:rsidRPr="008D5885">
        <w:t>Comparative effectiveness</w:t>
      </w:r>
    </w:p>
    <w:p w:rsidR="00BC1364" w:rsidRPr="00A62C56" w:rsidRDefault="00BC1364" w:rsidP="00DD2858"/>
    <w:p w:rsidR="00EE41E3" w:rsidRPr="00EE41E3" w:rsidRDefault="00A62C56" w:rsidP="00EE41E3">
      <w:pPr>
        <w:rPr>
          <w:b/>
        </w:rPr>
      </w:pPr>
      <w:r>
        <w:rPr>
          <w:b/>
        </w:rPr>
        <w:t>Change in patient management</w:t>
      </w:r>
    </w:p>
    <w:p w:rsidR="00EE41E3" w:rsidRPr="00EE41E3" w:rsidRDefault="00EE41E3" w:rsidP="00EE41E3">
      <w:r w:rsidRPr="00EE41E3">
        <w:t>One Canadian study found that FDG</w:t>
      </w:r>
      <w:r w:rsidR="00F105A0">
        <w:t xml:space="preserve"> </w:t>
      </w:r>
      <w:r w:rsidRPr="00EE41E3">
        <w:t xml:space="preserve">PET resulted in a change in diagnosis in 29% of patients, and increased the use of </w:t>
      </w:r>
      <w:proofErr w:type="spellStart"/>
      <w:r w:rsidRPr="00EE41E3">
        <w:t>AChEIs</w:t>
      </w:r>
      <w:proofErr w:type="spellEnd"/>
      <w:r w:rsidRPr="00EE41E3">
        <w:t xml:space="preserve"> after d</w:t>
      </w:r>
      <w:r w:rsidR="00A62C56">
        <w:t>iagnosis (</w:t>
      </w:r>
      <w:proofErr w:type="spellStart"/>
      <w:r w:rsidR="00A62C56">
        <w:t>Laforce</w:t>
      </w:r>
      <w:proofErr w:type="spellEnd"/>
      <w:r w:rsidR="00A62C56">
        <w:t xml:space="preserve"> et al, 2010).</w:t>
      </w:r>
      <w:r w:rsidRPr="00EE41E3">
        <w:t xml:space="preserve"> This </w:t>
      </w:r>
      <w:r w:rsidR="00A62C56">
        <w:t>wa</w:t>
      </w:r>
      <w:r w:rsidRPr="00EE41E3">
        <w:t>s consistent with the only available Australian study (Elias et al, 2014), which reported a change in diagnosis in 35% of dementia patients who underwent FDG</w:t>
      </w:r>
      <w:r w:rsidR="00F105A0">
        <w:t xml:space="preserve"> </w:t>
      </w:r>
      <w:r w:rsidRPr="00EE41E3">
        <w:t>PET.</w:t>
      </w:r>
    </w:p>
    <w:p w:rsidR="00EE41E3" w:rsidRPr="00EE41E3" w:rsidRDefault="00EE41E3" w:rsidP="00EE41E3"/>
    <w:p w:rsidR="00EE41E3" w:rsidRPr="00EE41E3" w:rsidRDefault="00EE41E3" w:rsidP="00EE41E3">
      <w:r w:rsidRPr="00EE41E3">
        <w:t>No information was provided regarding the impact of SPECT on patient management, so no conclusions c</w:t>
      </w:r>
      <w:r w:rsidR="00A62C56">
        <w:t>ould</w:t>
      </w:r>
      <w:r w:rsidRPr="00EE41E3">
        <w:t xml:space="preserve"> be drawn regarding the relative impact of FDG</w:t>
      </w:r>
      <w:r w:rsidR="00F105A0">
        <w:t xml:space="preserve"> </w:t>
      </w:r>
      <w:r w:rsidRPr="00EE41E3">
        <w:t>PET versus SPECT on changes in patient management.</w:t>
      </w:r>
    </w:p>
    <w:p w:rsidR="00EE41E3" w:rsidRPr="00EE41E3" w:rsidRDefault="00EE41E3" w:rsidP="00EE41E3"/>
    <w:p w:rsidR="00EE41E3" w:rsidRPr="00EE41E3" w:rsidRDefault="00A62C56" w:rsidP="00EE41E3">
      <w:pPr>
        <w:rPr>
          <w:b/>
        </w:rPr>
      </w:pPr>
      <w:r>
        <w:rPr>
          <w:b/>
        </w:rPr>
        <w:t>Change in patient outcomes</w:t>
      </w:r>
    </w:p>
    <w:p w:rsidR="00EE41E3" w:rsidRPr="00EE41E3" w:rsidRDefault="00EE41E3" w:rsidP="00EE41E3">
      <w:r w:rsidRPr="00EE41E3">
        <w:t>No studies were identified that assessed the direct health impact (effectiveness) of FDG</w:t>
      </w:r>
      <w:r w:rsidR="00F105A0">
        <w:t xml:space="preserve"> </w:t>
      </w:r>
      <w:r w:rsidRPr="00EE41E3">
        <w:t xml:space="preserve">PET versus SPECT in the target population. A ‘linked evidence’ approach was therefore used to derive data on the health outcomes of those who are correctly diagnosed. Evidence regarding the effectiveness and safety of anti-Alzheimer’s disease drugs </w:t>
      </w:r>
      <w:r w:rsidR="00A62C56">
        <w:t>wa</w:t>
      </w:r>
      <w:r w:rsidRPr="00EE41E3">
        <w:t>s relatively limited. In particular, the effect of anti-Alzheimer’s disease drugs on outcomes beyond cognition, function, behaviour a</w:t>
      </w:r>
      <w:r w:rsidR="00A62C56">
        <w:t>nd global impact, remained</w:t>
      </w:r>
      <w:r w:rsidRPr="00EE41E3">
        <w:t xml:space="preserve"> uncertain. Of relevance to this assessment, there </w:t>
      </w:r>
      <w:r w:rsidR="00A62C56">
        <w:t>wa</w:t>
      </w:r>
      <w:r w:rsidRPr="00EE41E3">
        <w:t>s limited evidence for the impact of treatment on quality of life, admission to full-time care and resource use, which underpin</w:t>
      </w:r>
      <w:r w:rsidR="00A62C56">
        <w:t>ned</w:t>
      </w:r>
      <w:r w:rsidRPr="00EE41E3">
        <w:t xml:space="preserve"> claims of cost-effectiveness. Long-term follow-up (especially beyond one year) on the effect of anti-Alzheimer’s disease drugs on any outcome remained a major evidence gap.</w:t>
      </w:r>
    </w:p>
    <w:p w:rsidR="00EE41E3" w:rsidRPr="00EE41E3" w:rsidRDefault="00EE41E3" w:rsidP="00EE41E3">
      <w:pPr>
        <w:rPr>
          <w:b/>
        </w:rPr>
      </w:pPr>
      <w:r w:rsidRPr="00EE41E3">
        <w:rPr>
          <w:b/>
        </w:rPr>
        <w:lastRenderedPageBreak/>
        <w:t>Comparative diagnostic accuracy</w:t>
      </w:r>
    </w:p>
    <w:p w:rsidR="00EE41E3" w:rsidRPr="00EE41E3" w:rsidRDefault="00EE41E3" w:rsidP="00EE41E3">
      <w:r w:rsidRPr="00EE41E3">
        <w:t>The assessment report consid</w:t>
      </w:r>
      <w:r w:rsidR="00A62C56">
        <w:t>ered 20 head-to-head and single-</w:t>
      </w:r>
      <w:r w:rsidRPr="00EE41E3">
        <w:t>arm studies that reported on the diagnostic performance of FDG</w:t>
      </w:r>
      <w:r w:rsidR="00F105A0">
        <w:t xml:space="preserve"> </w:t>
      </w:r>
      <w:r w:rsidRPr="00EE41E3">
        <w:t>PET and/or SPECT. The studies were found to be generally of poor quality and limited by the recruitment of patients not relevant to the proposed MBS indication, and insufficient use of a</w:t>
      </w:r>
      <w:r w:rsidR="00A62C56">
        <w:t>ppropriate reference standards.</w:t>
      </w:r>
    </w:p>
    <w:p w:rsidR="00EE41E3" w:rsidRPr="00EE41E3" w:rsidRDefault="00EE41E3" w:rsidP="00EE41E3"/>
    <w:p w:rsidR="00EE41E3" w:rsidRPr="00EE41E3" w:rsidRDefault="00EE41E3" w:rsidP="00EE41E3">
      <w:r w:rsidRPr="00EE41E3">
        <w:t>The evidence base ultimately relied on for the base case of the modelled economic evaluation comprised two small studies (</w:t>
      </w:r>
      <w:proofErr w:type="spellStart"/>
      <w:r w:rsidRPr="00EE41E3">
        <w:t>Dobert</w:t>
      </w:r>
      <w:proofErr w:type="spellEnd"/>
      <w:r w:rsidRPr="00EE41E3">
        <w:t xml:space="preserve"> et al, 2005 and Ito et al</w:t>
      </w:r>
      <w:r w:rsidR="00A62C56">
        <w:t>,</w:t>
      </w:r>
      <w:r w:rsidRPr="00EE41E3">
        <w:t xml:space="preserve"> 2014) with 24 and 55 subjects, respectively. These two studies had the greatest applicability to the proposed indication (in terms of patients recruited), but both were of limited quality. Consequently, the assessment report added the true positives, false positives, false negative and true negatives to derive combined estimates of sensitivity and specificity.</w:t>
      </w:r>
    </w:p>
    <w:p w:rsidR="00EE41E3" w:rsidRPr="00EE41E3" w:rsidRDefault="00EE41E3" w:rsidP="00EE41E3"/>
    <w:p w:rsidR="00EE41E3" w:rsidRPr="00EE41E3" w:rsidRDefault="00EE41E3" w:rsidP="00EE41E3">
      <w:pPr>
        <w:rPr>
          <w:b/>
        </w:rPr>
      </w:pPr>
      <w:r w:rsidRPr="00EE41E3">
        <w:rPr>
          <w:b/>
        </w:rPr>
        <w:t>Pre-modelling studies</w:t>
      </w:r>
    </w:p>
    <w:p w:rsidR="00EE41E3" w:rsidRPr="00EE41E3" w:rsidRDefault="00EE41E3" w:rsidP="00EE41E3">
      <w:r w:rsidRPr="00EE41E3">
        <w:t>Table 2 presents each of the translation issues identified to enable the transition from the clinical evidence discussed above to the economic evaluation</w:t>
      </w:r>
      <w:r w:rsidR="00A62C56">
        <w:t xml:space="preserve"> presented in Section 12 below.</w:t>
      </w:r>
    </w:p>
    <w:p w:rsidR="00EE41E3" w:rsidRPr="00EE41E3" w:rsidRDefault="00EE41E3" w:rsidP="00EE41E3"/>
    <w:p w:rsidR="00EE41E3" w:rsidRDefault="00EE41E3" w:rsidP="003E5907">
      <w:pPr>
        <w:rPr>
          <w:b/>
        </w:rPr>
      </w:pPr>
      <w:r w:rsidRPr="003E5907">
        <w:rPr>
          <w:b/>
        </w:rPr>
        <w:t xml:space="preserve">Table </w:t>
      </w:r>
      <w:r w:rsidR="003E5907" w:rsidRPr="003E5907">
        <w:rPr>
          <w:b/>
        </w:rPr>
        <w:t xml:space="preserve">2 </w:t>
      </w:r>
      <w:r w:rsidR="00A62C56" w:rsidRPr="003E5907">
        <w:rPr>
          <w:b/>
        </w:rPr>
        <w:t>Summary of translation issues</w:t>
      </w:r>
    </w:p>
    <w:p w:rsidR="009B04DA" w:rsidRPr="003E5907" w:rsidRDefault="009B04DA" w:rsidP="003E5907">
      <w:pPr>
        <w:rPr>
          <w:b/>
        </w:rPr>
      </w:pPr>
    </w:p>
    <w:tbl>
      <w:tblPr>
        <w:tblStyle w:val="TableGrid1"/>
        <w:tblW w:w="4932" w:type="pct"/>
        <w:tblInd w:w="108" w:type="dxa"/>
        <w:tblLook w:val="04A0" w:firstRow="1" w:lastRow="0" w:firstColumn="1" w:lastColumn="0" w:noHBand="0" w:noVBand="1"/>
        <w:tblCaption w:val="Summary of translation issues considered in Section C"/>
        <w:tblDescription w:val="A summary of the applicability, extrapolation and transformation issues considered in Section C"/>
      </w:tblPr>
      <w:tblGrid>
        <w:gridCol w:w="1843"/>
        <w:gridCol w:w="3969"/>
        <w:gridCol w:w="3304"/>
      </w:tblGrid>
      <w:tr w:rsidR="00EE41E3" w:rsidRPr="00EE41E3" w:rsidTr="00A62C56">
        <w:trPr>
          <w:tblHeader/>
        </w:trPr>
        <w:tc>
          <w:tcPr>
            <w:tcW w:w="1011" w:type="pct"/>
            <w:tcBorders>
              <w:bottom w:val="single" w:sz="4" w:space="0" w:color="auto"/>
            </w:tcBorders>
          </w:tcPr>
          <w:p w:rsidR="00EE41E3" w:rsidRPr="00EE41E3" w:rsidRDefault="00EE41E3" w:rsidP="00EE41E3">
            <w:pPr>
              <w:keepNext/>
              <w:rPr>
                <w:rFonts w:ascii="Arial Narrow" w:hAnsi="Arial Narrow" w:cs="Arial"/>
                <w:b/>
                <w:sz w:val="20"/>
              </w:rPr>
            </w:pPr>
            <w:r w:rsidRPr="00EE41E3">
              <w:rPr>
                <w:rFonts w:ascii="Arial Narrow" w:hAnsi="Arial Narrow" w:cs="Arial"/>
                <w:b/>
                <w:sz w:val="20"/>
              </w:rPr>
              <w:t>Translation issue</w:t>
            </w:r>
          </w:p>
        </w:tc>
        <w:tc>
          <w:tcPr>
            <w:tcW w:w="2177" w:type="pct"/>
            <w:tcBorders>
              <w:bottom w:val="single" w:sz="4" w:space="0" w:color="auto"/>
            </w:tcBorders>
          </w:tcPr>
          <w:p w:rsidR="00EE41E3" w:rsidRPr="00EE41E3" w:rsidRDefault="00EE41E3" w:rsidP="00EE41E3">
            <w:pPr>
              <w:keepNext/>
              <w:rPr>
                <w:rFonts w:ascii="Arial Narrow" w:hAnsi="Arial Narrow" w:cs="Arial"/>
                <w:b/>
                <w:sz w:val="20"/>
              </w:rPr>
            </w:pPr>
            <w:r w:rsidRPr="00EE41E3">
              <w:rPr>
                <w:rFonts w:ascii="Arial Narrow" w:hAnsi="Arial Narrow" w:cs="Arial"/>
                <w:b/>
                <w:sz w:val="20"/>
              </w:rPr>
              <w:t>Methods and data sources</w:t>
            </w:r>
          </w:p>
        </w:tc>
        <w:tc>
          <w:tcPr>
            <w:tcW w:w="1812" w:type="pct"/>
          </w:tcPr>
          <w:p w:rsidR="00EE41E3" w:rsidRPr="00EE41E3" w:rsidRDefault="00EE41E3" w:rsidP="00EE41E3">
            <w:pPr>
              <w:keepNext/>
              <w:rPr>
                <w:rFonts w:ascii="Arial Narrow" w:hAnsi="Arial Narrow" w:cs="Arial"/>
                <w:b/>
                <w:sz w:val="20"/>
              </w:rPr>
            </w:pPr>
            <w:r w:rsidRPr="00EE41E3">
              <w:rPr>
                <w:rFonts w:ascii="Arial Narrow" w:hAnsi="Arial Narrow" w:cs="Arial"/>
                <w:b/>
                <w:sz w:val="20"/>
              </w:rPr>
              <w:t>Relationship with Section D</w:t>
            </w:r>
          </w:p>
        </w:tc>
      </w:tr>
      <w:tr w:rsidR="00EE41E3" w:rsidRPr="00EE41E3" w:rsidTr="00A62C56">
        <w:tc>
          <w:tcPr>
            <w:tcW w:w="1011" w:type="pct"/>
            <w:tcBorders>
              <w:right w:val="nil"/>
            </w:tcBorders>
          </w:tcPr>
          <w:p w:rsidR="00EE41E3" w:rsidRPr="00EE41E3" w:rsidRDefault="00EE41E3" w:rsidP="00EE41E3">
            <w:pPr>
              <w:rPr>
                <w:rFonts w:ascii="Arial Narrow" w:hAnsi="Arial Narrow"/>
                <w:b/>
                <w:sz w:val="20"/>
                <w:szCs w:val="24"/>
              </w:rPr>
            </w:pPr>
            <w:r w:rsidRPr="00EE41E3">
              <w:rPr>
                <w:rFonts w:ascii="Arial Narrow" w:hAnsi="Arial Narrow"/>
                <w:b/>
                <w:sz w:val="20"/>
                <w:szCs w:val="24"/>
              </w:rPr>
              <w:t>Applicability issues</w:t>
            </w:r>
          </w:p>
        </w:tc>
        <w:tc>
          <w:tcPr>
            <w:tcW w:w="2177" w:type="pct"/>
            <w:tcBorders>
              <w:left w:val="nil"/>
              <w:right w:val="nil"/>
            </w:tcBorders>
          </w:tcPr>
          <w:p w:rsidR="00EE41E3" w:rsidRPr="00EE41E3" w:rsidRDefault="00EE41E3" w:rsidP="00EE41E3">
            <w:pPr>
              <w:rPr>
                <w:rFonts w:ascii="Arial Narrow" w:hAnsi="Arial Narrow"/>
                <w:i/>
                <w:sz w:val="20"/>
                <w:szCs w:val="24"/>
              </w:rPr>
            </w:pPr>
            <w:r w:rsidRPr="00EE41E3">
              <w:rPr>
                <w:rFonts w:ascii="Arial Narrow" w:hAnsi="Arial Narrow"/>
                <w:i/>
                <w:sz w:val="20"/>
                <w:szCs w:val="24"/>
              </w:rPr>
              <w:t>-</w:t>
            </w:r>
          </w:p>
        </w:tc>
        <w:tc>
          <w:tcPr>
            <w:tcW w:w="1812" w:type="pct"/>
            <w:tcBorders>
              <w:left w:val="nil"/>
            </w:tcBorders>
          </w:tcPr>
          <w:p w:rsidR="00EE41E3" w:rsidRPr="00EE41E3" w:rsidRDefault="00EE41E3" w:rsidP="00EE41E3">
            <w:pPr>
              <w:rPr>
                <w:rFonts w:ascii="Arial Narrow" w:hAnsi="Arial Narrow"/>
                <w:i/>
                <w:sz w:val="20"/>
                <w:szCs w:val="24"/>
              </w:rPr>
            </w:pPr>
            <w:r w:rsidRPr="00EE41E3">
              <w:rPr>
                <w:rFonts w:ascii="Arial Narrow" w:hAnsi="Arial Narrow"/>
                <w:i/>
                <w:sz w:val="20"/>
                <w:szCs w:val="24"/>
              </w:rPr>
              <w:t>-</w:t>
            </w:r>
          </w:p>
        </w:tc>
      </w:tr>
      <w:tr w:rsidR="00EE41E3" w:rsidRPr="00EE41E3" w:rsidTr="00A62C56">
        <w:tc>
          <w:tcPr>
            <w:tcW w:w="1011" w:type="pct"/>
            <w:tcBorders>
              <w:bottom w:val="single" w:sz="4" w:space="0" w:color="auto"/>
            </w:tcBorders>
          </w:tcPr>
          <w:p w:rsidR="00EE41E3" w:rsidRPr="00EE41E3" w:rsidRDefault="00EE41E3" w:rsidP="00EE41E3">
            <w:pPr>
              <w:rPr>
                <w:rFonts w:ascii="Arial Narrow" w:hAnsi="Arial Narrow"/>
                <w:sz w:val="20"/>
                <w:szCs w:val="24"/>
              </w:rPr>
            </w:pPr>
            <w:r w:rsidRPr="00EE41E3">
              <w:rPr>
                <w:rFonts w:ascii="Arial Narrow" w:hAnsi="Arial Narrow"/>
                <w:sz w:val="20"/>
                <w:szCs w:val="24"/>
              </w:rPr>
              <w:t>Population and circumstances of use</w:t>
            </w:r>
          </w:p>
          <w:p w:rsidR="00EE41E3" w:rsidRPr="00EE41E3" w:rsidRDefault="00EE41E3" w:rsidP="00EE41E3">
            <w:pPr>
              <w:rPr>
                <w:rFonts w:ascii="Arial Narrow" w:hAnsi="Arial Narrow"/>
                <w:sz w:val="20"/>
                <w:szCs w:val="24"/>
              </w:rPr>
            </w:pPr>
            <w:r w:rsidRPr="00EE41E3">
              <w:rPr>
                <w:rFonts w:ascii="Arial Narrow" w:hAnsi="Arial Narrow"/>
                <w:sz w:val="20"/>
                <w:szCs w:val="24"/>
              </w:rPr>
              <w:t>(Assessment report Section C.2)</w:t>
            </w:r>
          </w:p>
        </w:tc>
        <w:tc>
          <w:tcPr>
            <w:tcW w:w="2177" w:type="pct"/>
            <w:tcBorders>
              <w:bottom w:val="single" w:sz="4" w:space="0" w:color="auto"/>
            </w:tcBorders>
          </w:tcPr>
          <w:p w:rsidR="00EE41E3" w:rsidRPr="00EE41E3" w:rsidRDefault="00EE41E3" w:rsidP="00EE41E3">
            <w:pPr>
              <w:rPr>
                <w:rFonts w:ascii="Arial Narrow" w:hAnsi="Arial Narrow"/>
                <w:sz w:val="20"/>
                <w:szCs w:val="24"/>
              </w:rPr>
            </w:pPr>
            <w:r w:rsidRPr="00EE41E3">
              <w:rPr>
                <w:rFonts w:ascii="Arial Narrow" w:hAnsi="Arial Narrow"/>
                <w:sz w:val="20"/>
                <w:szCs w:val="24"/>
              </w:rPr>
              <w:t>Characteristics of the requested listing and the modelled population/circumstances of use were considered in isolation and compared.</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Requested listing was modelled in Section D as closely as possible given data limitations; potential differences were identified and flagged for testing in sensitivity analyses.</w:t>
            </w:r>
          </w:p>
        </w:tc>
      </w:tr>
      <w:tr w:rsidR="00EE41E3" w:rsidRPr="00EE41E3" w:rsidTr="00A62C56">
        <w:tc>
          <w:tcPr>
            <w:tcW w:w="1011" w:type="pct"/>
            <w:tcBorders>
              <w:right w:val="nil"/>
            </w:tcBorders>
          </w:tcPr>
          <w:p w:rsidR="00EE41E3" w:rsidRPr="00EE41E3" w:rsidRDefault="00EE41E3" w:rsidP="00EE41E3">
            <w:pPr>
              <w:rPr>
                <w:rFonts w:ascii="Arial Narrow" w:hAnsi="Arial Narrow"/>
                <w:b/>
                <w:sz w:val="20"/>
                <w:szCs w:val="24"/>
              </w:rPr>
            </w:pPr>
            <w:r w:rsidRPr="00EE41E3">
              <w:rPr>
                <w:rFonts w:ascii="Arial Narrow" w:hAnsi="Arial Narrow"/>
                <w:b/>
                <w:sz w:val="20"/>
                <w:szCs w:val="24"/>
              </w:rPr>
              <w:t>Extrapolation issues</w:t>
            </w:r>
          </w:p>
        </w:tc>
        <w:tc>
          <w:tcPr>
            <w:tcW w:w="2177" w:type="pct"/>
            <w:tcBorders>
              <w:left w:val="nil"/>
              <w:right w:val="nil"/>
            </w:tcBorders>
          </w:tcPr>
          <w:p w:rsidR="00EE41E3" w:rsidRPr="00EE41E3" w:rsidRDefault="00EE41E3" w:rsidP="00EE41E3">
            <w:pPr>
              <w:rPr>
                <w:rFonts w:ascii="Arial Narrow" w:hAnsi="Arial Narrow"/>
                <w:i/>
                <w:sz w:val="20"/>
                <w:szCs w:val="24"/>
              </w:rPr>
            </w:pPr>
            <w:r w:rsidRPr="00EE41E3">
              <w:rPr>
                <w:rFonts w:ascii="Arial Narrow" w:hAnsi="Arial Narrow"/>
                <w:i/>
                <w:sz w:val="20"/>
                <w:szCs w:val="24"/>
              </w:rPr>
              <w:t>-</w:t>
            </w:r>
          </w:p>
        </w:tc>
        <w:tc>
          <w:tcPr>
            <w:tcW w:w="1812" w:type="pct"/>
            <w:tcBorders>
              <w:left w:val="nil"/>
            </w:tcBorders>
          </w:tcPr>
          <w:p w:rsidR="00EE41E3" w:rsidRPr="00EE41E3" w:rsidRDefault="00EE41E3" w:rsidP="00EE41E3">
            <w:pPr>
              <w:rPr>
                <w:rFonts w:ascii="Arial Narrow" w:hAnsi="Arial Narrow"/>
                <w:i/>
                <w:sz w:val="20"/>
                <w:szCs w:val="24"/>
              </w:rPr>
            </w:pPr>
            <w:r w:rsidRPr="00EE41E3">
              <w:rPr>
                <w:rFonts w:ascii="Arial Narrow" w:hAnsi="Arial Narrow"/>
                <w:i/>
                <w:sz w:val="20"/>
                <w:szCs w:val="24"/>
              </w:rPr>
              <w:t>-</w:t>
            </w:r>
          </w:p>
        </w:tc>
      </w:tr>
      <w:tr w:rsidR="00EE41E3" w:rsidRPr="00EE41E3" w:rsidTr="00A62C56">
        <w:tc>
          <w:tcPr>
            <w:tcW w:w="1011" w:type="pct"/>
            <w:tcBorders>
              <w:bottom w:val="single" w:sz="4" w:space="0" w:color="auto"/>
            </w:tcBorders>
          </w:tcPr>
          <w:p w:rsidR="00EE41E3" w:rsidRPr="00EE41E3" w:rsidRDefault="00EE41E3" w:rsidP="00EE41E3">
            <w:pPr>
              <w:rPr>
                <w:rFonts w:ascii="Arial Narrow" w:hAnsi="Arial Narrow"/>
                <w:sz w:val="20"/>
                <w:szCs w:val="24"/>
              </w:rPr>
            </w:pPr>
            <w:r w:rsidRPr="00EE41E3">
              <w:rPr>
                <w:rFonts w:ascii="Arial Narrow" w:hAnsi="Arial Narrow"/>
                <w:sz w:val="20"/>
                <w:szCs w:val="24"/>
              </w:rPr>
              <w:t>Duration of Alzheimer’s disease treatment</w:t>
            </w:r>
          </w:p>
          <w:p w:rsidR="00EE41E3" w:rsidRPr="00EE41E3" w:rsidRDefault="00EE41E3" w:rsidP="00EE41E3">
            <w:pPr>
              <w:rPr>
                <w:rFonts w:ascii="Arial Narrow" w:hAnsi="Arial Narrow"/>
                <w:sz w:val="20"/>
                <w:szCs w:val="24"/>
              </w:rPr>
            </w:pPr>
            <w:r w:rsidRPr="00EE41E3">
              <w:rPr>
                <w:rFonts w:ascii="Arial Narrow" w:hAnsi="Arial Narrow"/>
                <w:sz w:val="20"/>
                <w:szCs w:val="24"/>
              </w:rPr>
              <w:t>(Assessment report Section C.3)</w:t>
            </w:r>
          </w:p>
        </w:tc>
        <w:tc>
          <w:tcPr>
            <w:tcW w:w="2177" w:type="pct"/>
            <w:tcBorders>
              <w:bottom w:val="single" w:sz="4" w:space="0" w:color="auto"/>
            </w:tcBorders>
          </w:tcPr>
          <w:p w:rsidR="00EE41E3" w:rsidRPr="00EE41E3" w:rsidRDefault="00EE41E3" w:rsidP="00EE41E3">
            <w:pPr>
              <w:rPr>
                <w:rFonts w:ascii="Arial Narrow" w:hAnsi="Arial Narrow"/>
                <w:sz w:val="20"/>
                <w:szCs w:val="24"/>
              </w:rPr>
            </w:pPr>
            <w:r w:rsidRPr="00EE41E3">
              <w:rPr>
                <w:rFonts w:ascii="Arial Narrow" w:hAnsi="Arial Narrow"/>
                <w:sz w:val="20"/>
                <w:szCs w:val="24"/>
              </w:rPr>
              <w:t xml:space="preserve">On the basis of published data, duration of treatment was estimated for mild Alzheimer’s disease patients treated with </w:t>
            </w:r>
            <w:proofErr w:type="spellStart"/>
            <w:r w:rsidRPr="00EE41E3">
              <w:rPr>
                <w:rFonts w:ascii="Arial Narrow" w:hAnsi="Arial Narrow"/>
                <w:sz w:val="20"/>
                <w:szCs w:val="24"/>
              </w:rPr>
              <w:t>AChEIs</w:t>
            </w:r>
            <w:proofErr w:type="spellEnd"/>
            <w:r w:rsidRPr="00EE41E3">
              <w:rPr>
                <w:rFonts w:ascii="Arial Narrow" w:hAnsi="Arial Narrow"/>
                <w:sz w:val="20"/>
                <w:szCs w:val="24"/>
              </w:rPr>
              <w:t xml:space="preserve"> and moderate Alzheimer’s disease patients treated with </w:t>
            </w:r>
            <w:proofErr w:type="spellStart"/>
            <w:r w:rsidRPr="00EE41E3">
              <w:rPr>
                <w:rFonts w:ascii="Arial Narrow" w:hAnsi="Arial Narrow"/>
                <w:sz w:val="20"/>
                <w:szCs w:val="24"/>
              </w:rPr>
              <w:t>memantine</w:t>
            </w:r>
            <w:proofErr w:type="spellEnd"/>
            <w:r w:rsidRPr="00EE41E3">
              <w:rPr>
                <w:rFonts w:ascii="Arial Narrow" w:hAnsi="Arial Narrow"/>
                <w:sz w:val="20"/>
                <w:szCs w:val="24"/>
              </w:rPr>
              <w:t>.</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 xml:space="preserve">Drug discontinuation rates were applied to the model using the available data. In the case of </w:t>
            </w:r>
            <w:proofErr w:type="spellStart"/>
            <w:r w:rsidRPr="00EE41E3">
              <w:rPr>
                <w:rFonts w:ascii="Arial Narrow" w:hAnsi="Arial Narrow"/>
                <w:sz w:val="20"/>
                <w:szCs w:val="24"/>
              </w:rPr>
              <w:t>memantine</w:t>
            </w:r>
            <w:proofErr w:type="spellEnd"/>
            <w:r w:rsidRPr="00EE41E3">
              <w:rPr>
                <w:rFonts w:ascii="Arial Narrow" w:hAnsi="Arial Narrow"/>
                <w:sz w:val="20"/>
                <w:szCs w:val="24"/>
              </w:rPr>
              <w:t>, the use of non-Australian data meant that PBS restrictions were not inherent in the data; this was therefore flagged for further testing in sensitivity analyses.</w:t>
            </w:r>
          </w:p>
        </w:tc>
      </w:tr>
      <w:tr w:rsidR="00EE41E3" w:rsidRPr="00EE41E3" w:rsidTr="00A62C56">
        <w:tc>
          <w:tcPr>
            <w:tcW w:w="1011" w:type="pct"/>
            <w:tcBorders>
              <w:right w:val="nil"/>
            </w:tcBorders>
          </w:tcPr>
          <w:p w:rsidR="00EE41E3" w:rsidRPr="00EE41E3" w:rsidRDefault="00EE41E3" w:rsidP="00EE41E3">
            <w:pPr>
              <w:rPr>
                <w:rFonts w:ascii="Arial Narrow" w:hAnsi="Arial Narrow"/>
                <w:b/>
                <w:sz w:val="20"/>
                <w:szCs w:val="24"/>
              </w:rPr>
            </w:pPr>
            <w:r w:rsidRPr="00EE41E3">
              <w:rPr>
                <w:rFonts w:ascii="Arial Narrow" w:hAnsi="Arial Narrow"/>
                <w:b/>
                <w:sz w:val="20"/>
                <w:szCs w:val="24"/>
              </w:rPr>
              <w:t>Transformation issues</w:t>
            </w:r>
          </w:p>
        </w:tc>
        <w:tc>
          <w:tcPr>
            <w:tcW w:w="2177" w:type="pct"/>
            <w:tcBorders>
              <w:left w:val="nil"/>
              <w:right w:val="nil"/>
            </w:tcBorders>
          </w:tcPr>
          <w:p w:rsidR="00EE41E3" w:rsidRPr="00EE41E3" w:rsidRDefault="00EE41E3" w:rsidP="00EE41E3">
            <w:pPr>
              <w:rPr>
                <w:rFonts w:ascii="Arial Narrow" w:hAnsi="Arial Narrow"/>
                <w:sz w:val="20"/>
                <w:szCs w:val="24"/>
              </w:rPr>
            </w:pPr>
            <w:r w:rsidRPr="00EE41E3">
              <w:rPr>
                <w:rFonts w:ascii="Arial Narrow" w:hAnsi="Arial Narrow"/>
                <w:sz w:val="20"/>
                <w:szCs w:val="24"/>
              </w:rPr>
              <w:t>-</w:t>
            </w:r>
          </w:p>
        </w:tc>
        <w:tc>
          <w:tcPr>
            <w:tcW w:w="1812" w:type="pct"/>
            <w:tcBorders>
              <w:left w:val="nil"/>
            </w:tcBorders>
          </w:tcPr>
          <w:p w:rsidR="00EE41E3" w:rsidRPr="00EE41E3" w:rsidRDefault="00EE41E3" w:rsidP="00EE41E3">
            <w:pPr>
              <w:rPr>
                <w:rFonts w:ascii="Arial Narrow" w:hAnsi="Arial Narrow"/>
                <w:sz w:val="20"/>
                <w:szCs w:val="24"/>
              </w:rPr>
            </w:pPr>
            <w:r w:rsidRPr="00EE41E3">
              <w:rPr>
                <w:rFonts w:ascii="Arial Narrow" w:hAnsi="Arial Narrow"/>
                <w:sz w:val="20"/>
                <w:szCs w:val="24"/>
              </w:rPr>
              <w:t>-</w:t>
            </w:r>
          </w:p>
        </w:tc>
      </w:tr>
      <w:tr w:rsidR="00EE41E3" w:rsidRPr="00EE41E3" w:rsidTr="00A62C56">
        <w:tc>
          <w:tcPr>
            <w:tcW w:w="101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 xml:space="preserve">Modelling the natural </w:t>
            </w:r>
            <w:r w:rsidR="00510E7F">
              <w:rPr>
                <w:rFonts w:ascii="Arial Narrow" w:hAnsi="Arial Narrow"/>
                <w:sz w:val="20"/>
                <w:szCs w:val="24"/>
              </w:rPr>
              <w:t>history of Alzheimer’s disease</w:t>
            </w:r>
          </w:p>
          <w:p w:rsidR="00EE41E3" w:rsidRPr="00EE41E3" w:rsidRDefault="00EE41E3" w:rsidP="00EE41E3">
            <w:pPr>
              <w:rPr>
                <w:rFonts w:ascii="Arial Narrow" w:hAnsi="Arial Narrow"/>
                <w:sz w:val="20"/>
                <w:szCs w:val="24"/>
              </w:rPr>
            </w:pPr>
            <w:r w:rsidRPr="00EE41E3">
              <w:rPr>
                <w:rFonts w:ascii="Arial Narrow" w:hAnsi="Arial Narrow"/>
                <w:sz w:val="20"/>
                <w:szCs w:val="24"/>
              </w:rPr>
              <w:t>(Assessment report Section C.4)</w:t>
            </w:r>
          </w:p>
        </w:tc>
        <w:tc>
          <w:tcPr>
            <w:tcW w:w="2177"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Following a literature search, published transition probabilities that considered the impact of disease progression (according to mild Alzheimer’s disease, moderate Alzheimer’s disease and severe Alzheimer’s disease classifications) and residential status were sourced. Adjustments were made where appropriate and discussed in Section C.</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Transition probabilities were applied to the model and tested in sensitivity analyses.</w:t>
            </w:r>
          </w:p>
        </w:tc>
      </w:tr>
      <w:tr w:rsidR="00EE41E3" w:rsidRPr="00EE41E3" w:rsidTr="00A62C56">
        <w:tc>
          <w:tcPr>
            <w:tcW w:w="101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Treatment effect of Alzheimer’s disease drugs</w:t>
            </w:r>
          </w:p>
          <w:p w:rsidR="00EE41E3" w:rsidRPr="00EE41E3" w:rsidRDefault="00EE41E3" w:rsidP="00EE41E3">
            <w:pPr>
              <w:rPr>
                <w:rFonts w:ascii="Arial Narrow" w:hAnsi="Arial Narrow"/>
                <w:sz w:val="20"/>
                <w:szCs w:val="24"/>
              </w:rPr>
            </w:pPr>
            <w:r w:rsidRPr="00EE41E3">
              <w:rPr>
                <w:rFonts w:ascii="Arial Narrow" w:hAnsi="Arial Narrow"/>
                <w:sz w:val="20"/>
                <w:szCs w:val="24"/>
              </w:rPr>
              <w:t>(Assessment report Section C.5)</w:t>
            </w:r>
          </w:p>
        </w:tc>
        <w:tc>
          <w:tcPr>
            <w:tcW w:w="2177"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 xml:space="preserve">A literature search was used to source estimates of treatment effect for </w:t>
            </w:r>
            <w:proofErr w:type="spellStart"/>
            <w:r w:rsidRPr="00EE41E3">
              <w:rPr>
                <w:rFonts w:ascii="Arial Narrow" w:hAnsi="Arial Narrow"/>
                <w:sz w:val="20"/>
                <w:szCs w:val="24"/>
              </w:rPr>
              <w:t>AChEIs</w:t>
            </w:r>
            <w:proofErr w:type="spellEnd"/>
            <w:r w:rsidRPr="00EE41E3">
              <w:rPr>
                <w:rFonts w:ascii="Arial Narrow" w:hAnsi="Arial Narrow"/>
                <w:sz w:val="20"/>
                <w:szCs w:val="24"/>
              </w:rPr>
              <w:t xml:space="preserve"> and </w:t>
            </w:r>
            <w:proofErr w:type="spellStart"/>
            <w:r w:rsidRPr="00EE41E3">
              <w:rPr>
                <w:rFonts w:ascii="Arial Narrow" w:hAnsi="Arial Narrow"/>
                <w:sz w:val="20"/>
                <w:szCs w:val="24"/>
              </w:rPr>
              <w:t>memantine</w:t>
            </w:r>
            <w:proofErr w:type="spellEnd"/>
            <w:r w:rsidRPr="00EE41E3">
              <w:rPr>
                <w:rFonts w:ascii="Arial Narrow" w:hAnsi="Arial Narrow"/>
                <w:sz w:val="20"/>
                <w:szCs w:val="24"/>
              </w:rPr>
              <w:t xml:space="preserve"> which could be merged with the health states (and technical structure) considered in the economic model. In the case of </w:t>
            </w:r>
            <w:proofErr w:type="spellStart"/>
            <w:r w:rsidRPr="00EE41E3">
              <w:rPr>
                <w:rFonts w:ascii="Arial Narrow" w:hAnsi="Arial Narrow"/>
                <w:sz w:val="20"/>
                <w:szCs w:val="24"/>
              </w:rPr>
              <w:t>AChEIs</w:t>
            </w:r>
            <w:proofErr w:type="spellEnd"/>
            <w:r w:rsidRPr="00EE41E3">
              <w:rPr>
                <w:rFonts w:ascii="Arial Narrow" w:hAnsi="Arial Narrow"/>
                <w:sz w:val="20"/>
                <w:szCs w:val="24"/>
              </w:rPr>
              <w:t xml:space="preserve">, a relevant relative risk was sourced and applied to individuals with mild Alzheimer’s disease on treatment. In the case of </w:t>
            </w:r>
            <w:proofErr w:type="spellStart"/>
            <w:r w:rsidRPr="00EE41E3">
              <w:rPr>
                <w:rFonts w:ascii="Arial Narrow" w:hAnsi="Arial Narrow"/>
                <w:sz w:val="20"/>
                <w:szCs w:val="24"/>
              </w:rPr>
              <w:t>memantine</w:t>
            </w:r>
            <w:proofErr w:type="spellEnd"/>
            <w:r w:rsidRPr="00EE41E3">
              <w:rPr>
                <w:rFonts w:ascii="Arial Narrow" w:hAnsi="Arial Narrow"/>
                <w:sz w:val="20"/>
                <w:szCs w:val="24"/>
              </w:rPr>
              <w:t>, a relative risk was calculated from transition probabilities in a published economic evaluation. This was applied to moderate patients on treatment for Alzheimer’s disease.</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Treatment effect was applied to the natural history estimates of an untreated population to slow progression in individuals treated for Alzheimer’s disease. The uncertainty around the estimates used, which is acknowledged to be considerable, was examined in sensitivity analyses.</w:t>
            </w:r>
          </w:p>
        </w:tc>
      </w:tr>
      <w:tr w:rsidR="00EE41E3" w:rsidRPr="00EE41E3" w:rsidTr="00A62C56">
        <w:tc>
          <w:tcPr>
            <w:tcW w:w="101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Utility weights applied to the economic model</w:t>
            </w:r>
          </w:p>
          <w:p w:rsidR="00EE41E3" w:rsidRPr="00EE41E3" w:rsidRDefault="00EE41E3" w:rsidP="00EE41E3">
            <w:pPr>
              <w:rPr>
                <w:rFonts w:ascii="Arial Narrow" w:hAnsi="Arial Narrow"/>
                <w:sz w:val="20"/>
                <w:szCs w:val="24"/>
              </w:rPr>
            </w:pPr>
            <w:r w:rsidRPr="00EE41E3">
              <w:rPr>
                <w:rFonts w:ascii="Arial Narrow" w:hAnsi="Arial Narrow"/>
                <w:sz w:val="20"/>
                <w:szCs w:val="24"/>
              </w:rPr>
              <w:t xml:space="preserve">(Assessment report </w:t>
            </w:r>
            <w:r w:rsidRPr="00EE41E3">
              <w:rPr>
                <w:rFonts w:ascii="Arial Narrow" w:hAnsi="Arial Narrow"/>
                <w:sz w:val="20"/>
                <w:szCs w:val="24"/>
              </w:rPr>
              <w:lastRenderedPageBreak/>
              <w:t>Section C.6)</w:t>
            </w:r>
          </w:p>
        </w:tc>
        <w:tc>
          <w:tcPr>
            <w:tcW w:w="2177" w:type="pct"/>
          </w:tcPr>
          <w:p w:rsidR="00EE41E3" w:rsidRPr="00EE41E3" w:rsidRDefault="00EE41E3" w:rsidP="00EE41E3">
            <w:pPr>
              <w:rPr>
                <w:rFonts w:ascii="Arial Narrow" w:hAnsi="Arial Narrow"/>
                <w:sz w:val="20"/>
                <w:szCs w:val="24"/>
              </w:rPr>
            </w:pPr>
            <w:r w:rsidRPr="00EE41E3">
              <w:rPr>
                <w:rFonts w:ascii="Arial Narrow" w:hAnsi="Arial Narrow"/>
                <w:sz w:val="20"/>
                <w:szCs w:val="24"/>
              </w:rPr>
              <w:lastRenderedPageBreak/>
              <w:t>A literature search was undertaken to source utility weights for individuals with Alzheimer’s disease, which considered both disease severity and the impact of institutionalisation in nursing home care.</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 xml:space="preserve">Utility weights were applied to health states in accordance with the evidence. The impact of these data and the assumptions applied were examined in </w:t>
            </w:r>
            <w:r w:rsidRPr="00EE41E3">
              <w:rPr>
                <w:rFonts w:ascii="Arial Narrow" w:hAnsi="Arial Narrow"/>
                <w:sz w:val="20"/>
                <w:szCs w:val="24"/>
              </w:rPr>
              <w:lastRenderedPageBreak/>
              <w:t>sensitivity analyses.</w:t>
            </w:r>
          </w:p>
        </w:tc>
      </w:tr>
      <w:tr w:rsidR="00EE41E3" w:rsidRPr="00EE41E3" w:rsidTr="00A62C56">
        <w:tc>
          <w:tcPr>
            <w:tcW w:w="101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lastRenderedPageBreak/>
              <w:t>Healthcare resource use and associated costs</w:t>
            </w:r>
          </w:p>
          <w:p w:rsidR="00EE41E3" w:rsidRPr="00EE41E3" w:rsidRDefault="00EE41E3" w:rsidP="00EE41E3">
            <w:pPr>
              <w:rPr>
                <w:rFonts w:ascii="Arial Narrow" w:hAnsi="Arial Narrow"/>
                <w:sz w:val="20"/>
                <w:szCs w:val="24"/>
              </w:rPr>
            </w:pPr>
            <w:r w:rsidRPr="00EE41E3">
              <w:rPr>
                <w:rFonts w:ascii="Arial Narrow" w:hAnsi="Arial Narrow"/>
                <w:sz w:val="20"/>
                <w:szCs w:val="24"/>
              </w:rPr>
              <w:t>(Assessment report Section C.7 and Section C.8)</w:t>
            </w:r>
          </w:p>
        </w:tc>
        <w:tc>
          <w:tcPr>
            <w:tcW w:w="2177"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Using published data, costs associated with Alzheimer’s disease drugs, ongoing care from GPs and costs associated with both care in nursing homes and in the community were estimated.</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Estimated costs were applied to health states as required, considering each health state’s requirements in terms of drug and other treatment/care. The estimates were varied in sensitivity analyses to determine their impact on the base case result.</w:t>
            </w:r>
          </w:p>
        </w:tc>
      </w:tr>
      <w:tr w:rsidR="00EE41E3" w:rsidRPr="00EE41E3" w:rsidTr="00A62C56">
        <w:tc>
          <w:tcPr>
            <w:tcW w:w="101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Diagnostic accuracy</w:t>
            </w:r>
          </w:p>
          <w:p w:rsidR="00EE41E3" w:rsidRPr="00EE41E3" w:rsidRDefault="00EE41E3" w:rsidP="00EE41E3">
            <w:pPr>
              <w:rPr>
                <w:rFonts w:ascii="Arial Narrow" w:hAnsi="Arial Narrow"/>
                <w:sz w:val="20"/>
                <w:szCs w:val="24"/>
              </w:rPr>
            </w:pPr>
            <w:r w:rsidRPr="00EE41E3">
              <w:rPr>
                <w:rFonts w:ascii="Arial Narrow" w:hAnsi="Arial Narrow"/>
                <w:sz w:val="20"/>
                <w:szCs w:val="24"/>
              </w:rPr>
              <w:t>(Assessment report Section C.9)</w:t>
            </w:r>
          </w:p>
        </w:tc>
        <w:tc>
          <w:tcPr>
            <w:tcW w:w="2177"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True positive, true negative, false positive and false negative data from the published literature.</w:t>
            </w:r>
          </w:p>
        </w:tc>
        <w:tc>
          <w:tcPr>
            <w:tcW w:w="1812"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Base case assumptions regarding diagnostic accuracy were applied to the model but tested in sensitivity analyses to determine the impact of any uncertainty on these point estimates on the cost-effectiveness.</w:t>
            </w:r>
          </w:p>
        </w:tc>
      </w:tr>
    </w:tbl>
    <w:p w:rsidR="00EE41E3" w:rsidRPr="00EE41E3" w:rsidRDefault="00EE41E3" w:rsidP="00A62C56">
      <w:pPr>
        <w:spacing w:after="36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 xml:space="preserve">Abbreviations: </w:t>
      </w:r>
      <w:proofErr w:type="spellStart"/>
      <w:r w:rsidRPr="00EE41E3">
        <w:rPr>
          <w:rFonts w:ascii="Arial Narrow" w:eastAsia="Calibri" w:hAnsi="Arial Narrow"/>
          <w:sz w:val="16"/>
          <w:szCs w:val="16"/>
          <w:lang w:eastAsia="en-US"/>
        </w:rPr>
        <w:t>AChEIs</w:t>
      </w:r>
      <w:proofErr w:type="spellEnd"/>
      <w:r w:rsidRPr="00EE41E3">
        <w:rPr>
          <w:rFonts w:ascii="Arial Narrow" w:eastAsia="Calibri" w:hAnsi="Arial Narrow"/>
          <w:sz w:val="16"/>
          <w:szCs w:val="16"/>
          <w:lang w:eastAsia="en-US"/>
        </w:rPr>
        <w:t>, acetylcholinesterase inhibitors; GPs, general practitioners</w:t>
      </w:r>
    </w:p>
    <w:p w:rsidR="00A62C56" w:rsidRPr="00A62C56" w:rsidRDefault="00A62C56" w:rsidP="00DD2858">
      <w:pPr>
        <w:rPr>
          <w:szCs w:val="24"/>
        </w:rPr>
      </w:pPr>
    </w:p>
    <w:p w:rsidR="00BC1364" w:rsidRDefault="00BC1364" w:rsidP="007B32D1">
      <w:pPr>
        <w:pStyle w:val="Heading1"/>
        <w:numPr>
          <w:ilvl w:val="0"/>
          <w:numId w:val="23"/>
        </w:numPr>
        <w:ind w:hanging="720"/>
      </w:pPr>
      <w:r w:rsidRPr="008D5885">
        <w:t>Economic evaluation</w:t>
      </w:r>
    </w:p>
    <w:p w:rsidR="00BC1364" w:rsidRPr="00A62C56" w:rsidRDefault="00BC1364" w:rsidP="00DD2858">
      <w:pPr>
        <w:rPr>
          <w:szCs w:val="24"/>
        </w:rPr>
      </w:pPr>
    </w:p>
    <w:p w:rsidR="00EE41E3" w:rsidRPr="00EE41E3" w:rsidRDefault="00EE41E3" w:rsidP="00EE41E3">
      <w:r w:rsidRPr="00EE41E3">
        <w:t>Although the assessment report indicated that it could not be concluded that the diagnostic accuracy of FDG</w:t>
      </w:r>
      <w:r w:rsidR="00F105A0">
        <w:t xml:space="preserve"> </w:t>
      </w:r>
      <w:r w:rsidRPr="00EE41E3">
        <w:t>PET was statistically significantly superior to SPECT in patients with suspected Alzheimer’s disease, a cost-utility analysis (CUA) was undertaken in line with PASC advice, assuming inferiority of SPECT but at a lower cost.</w:t>
      </w:r>
    </w:p>
    <w:p w:rsidR="00EE41E3" w:rsidRPr="00EE41E3" w:rsidRDefault="00EE41E3" w:rsidP="00EE41E3"/>
    <w:p w:rsidR="00EE41E3" w:rsidRPr="00EE41E3" w:rsidRDefault="00EE41E3" w:rsidP="00EE41E3">
      <w:r w:rsidRPr="00EE41E3">
        <w:t>The model takes the form of a state-transition semi-Markov model with non-constant transition probabilities applied where appropriate. The model followed a cohort of patients from diagnostic testing through transition to disease progression or death over a five-year period using cycles of six weeks. Individuals were assumed to be 72.4 years of age at the beginning of the model and gender was distributed with 61.98% of the cohort female (using data from the Australian Institute of Health and Welfare).</w:t>
      </w:r>
    </w:p>
    <w:p w:rsidR="00EE41E3" w:rsidRPr="00EE41E3" w:rsidRDefault="00EE41E3" w:rsidP="00EE41E3"/>
    <w:p w:rsidR="00EE41E3" w:rsidRPr="00EE41E3" w:rsidRDefault="00EE41E3" w:rsidP="00EE41E3">
      <w:r w:rsidRPr="00EE41E3">
        <w:t>Half-cycle correction was applied to the model and costs and outcomes were discounted at an annual rate of 5%, in accordance with MSAC Guidelines.</w:t>
      </w:r>
    </w:p>
    <w:p w:rsidR="00EE41E3" w:rsidRPr="00EE41E3" w:rsidRDefault="00EE41E3" w:rsidP="00EE41E3"/>
    <w:p w:rsidR="00EE41E3" w:rsidRPr="00EE41E3" w:rsidRDefault="00EE41E3" w:rsidP="00EE41E3">
      <w:r w:rsidRPr="00EE41E3">
        <w:t>Table 3 presents the base case results in terms of the QALY gain offered by FDG</w:t>
      </w:r>
      <w:r w:rsidR="00F105A0">
        <w:t xml:space="preserve"> </w:t>
      </w:r>
      <w:r w:rsidRPr="00EE41E3">
        <w:t>PET.</w:t>
      </w:r>
    </w:p>
    <w:p w:rsidR="00EE41E3" w:rsidRPr="00EE41E3" w:rsidRDefault="00EE41E3" w:rsidP="00EE41E3"/>
    <w:p w:rsidR="00EE41E3" w:rsidRDefault="003E5907" w:rsidP="003E5907">
      <w:pPr>
        <w:rPr>
          <w:b/>
        </w:rPr>
      </w:pPr>
      <w:r>
        <w:rPr>
          <w:b/>
        </w:rPr>
        <w:t xml:space="preserve">Table 3 </w:t>
      </w:r>
      <w:r w:rsidR="00EE41E3" w:rsidRPr="003E5907">
        <w:rPr>
          <w:b/>
        </w:rPr>
        <w:t>Incremental cost-effectiveness ratio of FDG</w:t>
      </w:r>
      <w:r w:rsidR="00F105A0" w:rsidRPr="003E5907">
        <w:rPr>
          <w:b/>
        </w:rPr>
        <w:t xml:space="preserve"> </w:t>
      </w:r>
      <w:r w:rsidR="00EE41E3" w:rsidRPr="003E5907">
        <w:rPr>
          <w:b/>
        </w:rPr>
        <w:t>PET versus SPECT</w:t>
      </w:r>
    </w:p>
    <w:p w:rsidR="003E5907" w:rsidRPr="003E5907" w:rsidRDefault="003E5907" w:rsidP="003E5907">
      <w:pPr>
        <w:rPr>
          <w:b/>
        </w:rPr>
      </w:pPr>
    </w:p>
    <w:tbl>
      <w:tblPr>
        <w:tblStyle w:val="TableGrid2"/>
        <w:tblW w:w="4932" w:type="pct"/>
        <w:tblInd w:w="108" w:type="dxa"/>
        <w:tblLook w:val="04A0" w:firstRow="1" w:lastRow="0" w:firstColumn="1" w:lastColumn="0" w:noHBand="0" w:noVBand="1"/>
        <w:tblCaption w:val="The incremental cost-effectiveness ratio of FDG-PET versus SPECT"/>
        <w:tblDescription w:val="The base case results in terms of the QALY gain offered by FDG-PET over a five-year period."/>
      </w:tblPr>
      <w:tblGrid>
        <w:gridCol w:w="3156"/>
        <w:gridCol w:w="1987"/>
        <w:gridCol w:w="1989"/>
        <w:gridCol w:w="1984"/>
      </w:tblGrid>
      <w:tr w:rsidR="00EE41E3" w:rsidRPr="00EE41E3" w:rsidTr="003E0B5C">
        <w:trPr>
          <w:tblHeader/>
        </w:trPr>
        <w:tc>
          <w:tcPr>
            <w:tcW w:w="1731" w:type="pct"/>
          </w:tcPr>
          <w:p w:rsidR="00EE41E3" w:rsidRPr="00EE41E3" w:rsidRDefault="00EE41E3" w:rsidP="00EE41E3">
            <w:pPr>
              <w:keepNext/>
              <w:rPr>
                <w:rFonts w:ascii="Arial Narrow" w:hAnsi="Arial Narrow" w:cs="Arial"/>
                <w:b/>
                <w:sz w:val="20"/>
              </w:rPr>
            </w:pPr>
            <w:r w:rsidRPr="00EE41E3">
              <w:rPr>
                <w:rFonts w:ascii="Arial Narrow" w:hAnsi="Arial Narrow" w:cs="Arial"/>
                <w:b/>
                <w:sz w:val="20"/>
              </w:rPr>
              <w:t>Parameter</w:t>
            </w:r>
          </w:p>
        </w:tc>
        <w:tc>
          <w:tcPr>
            <w:tcW w:w="1090"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FDG</w:t>
            </w:r>
            <w:r w:rsidR="00F105A0">
              <w:rPr>
                <w:rFonts w:ascii="Arial Narrow" w:hAnsi="Arial Narrow" w:cs="Arial"/>
                <w:b/>
                <w:sz w:val="20"/>
              </w:rPr>
              <w:t xml:space="preserve"> </w:t>
            </w:r>
            <w:r w:rsidRPr="00EE41E3">
              <w:rPr>
                <w:rFonts w:ascii="Arial Narrow" w:hAnsi="Arial Narrow" w:cs="Arial"/>
                <w:b/>
                <w:sz w:val="20"/>
              </w:rPr>
              <w:t>PET arm</w:t>
            </w:r>
          </w:p>
        </w:tc>
        <w:tc>
          <w:tcPr>
            <w:tcW w:w="1091"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SPECT arm</w:t>
            </w:r>
          </w:p>
        </w:tc>
        <w:tc>
          <w:tcPr>
            <w:tcW w:w="1088"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Incremental</w:t>
            </w:r>
          </w:p>
        </w:tc>
      </w:tr>
      <w:tr w:rsidR="00EE41E3" w:rsidRPr="00EE41E3" w:rsidTr="003E0B5C">
        <w:tc>
          <w:tcPr>
            <w:tcW w:w="173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Cost</w:t>
            </w:r>
          </w:p>
        </w:tc>
        <w:tc>
          <w:tcPr>
            <w:tcW w:w="1090"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$98,242</w:t>
            </w:r>
          </w:p>
        </w:tc>
        <w:tc>
          <w:tcPr>
            <w:tcW w:w="1091"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$99,585</w:t>
            </w:r>
          </w:p>
        </w:tc>
        <w:tc>
          <w:tcPr>
            <w:tcW w:w="1088"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-$1160</w:t>
            </w:r>
          </w:p>
        </w:tc>
      </w:tr>
      <w:tr w:rsidR="00EE41E3" w:rsidRPr="00EE41E3" w:rsidTr="003E0B5C">
        <w:tc>
          <w:tcPr>
            <w:tcW w:w="173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QALY</w:t>
            </w:r>
          </w:p>
        </w:tc>
        <w:tc>
          <w:tcPr>
            <w:tcW w:w="1090"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2.41</w:t>
            </w:r>
          </w:p>
        </w:tc>
        <w:tc>
          <w:tcPr>
            <w:tcW w:w="1091"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2.39</w:t>
            </w:r>
          </w:p>
        </w:tc>
        <w:tc>
          <w:tcPr>
            <w:tcW w:w="1088"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0.03</w:t>
            </w:r>
          </w:p>
        </w:tc>
      </w:tr>
      <w:tr w:rsidR="00EE41E3" w:rsidRPr="00EE41E3" w:rsidTr="003E0B5C">
        <w:tc>
          <w:tcPr>
            <w:tcW w:w="1731" w:type="pct"/>
          </w:tcPr>
          <w:p w:rsidR="00EE41E3" w:rsidRPr="00EE41E3" w:rsidRDefault="00EE41E3" w:rsidP="00EE41E3">
            <w:pPr>
              <w:rPr>
                <w:rFonts w:ascii="Arial Narrow" w:hAnsi="Arial Narrow"/>
                <w:sz w:val="20"/>
                <w:szCs w:val="24"/>
              </w:rPr>
            </w:pPr>
            <w:r w:rsidRPr="00EE41E3">
              <w:rPr>
                <w:rFonts w:ascii="Arial Narrow" w:hAnsi="Arial Narrow"/>
                <w:sz w:val="20"/>
                <w:szCs w:val="24"/>
              </w:rPr>
              <w:t>Incremental cost per QALY</w:t>
            </w:r>
          </w:p>
        </w:tc>
        <w:tc>
          <w:tcPr>
            <w:tcW w:w="1090"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w:t>
            </w:r>
          </w:p>
        </w:tc>
        <w:tc>
          <w:tcPr>
            <w:tcW w:w="1091"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w:t>
            </w:r>
          </w:p>
        </w:tc>
        <w:tc>
          <w:tcPr>
            <w:tcW w:w="1088" w:type="pct"/>
          </w:tcPr>
          <w:p w:rsidR="00EE41E3" w:rsidRPr="00EE41E3" w:rsidRDefault="00EE41E3" w:rsidP="00EE41E3">
            <w:pPr>
              <w:jc w:val="right"/>
              <w:rPr>
                <w:rFonts w:ascii="Arial Narrow" w:hAnsi="Arial Narrow"/>
                <w:sz w:val="20"/>
                <w:szCs w:val="24"/>
              </w:rPr>
            </w:pPr>
            <w:r w:rsidRPr="00EE41E3">
              <w:rPr>
                <w:rFonts w:ascii="Arial Narrow" w:hAnsi="Arial Narrow"/>
                <w:sz w:val="20"/>
                <w:szCs w:val="24"/>
              </w:rPr>
              <w:t>-$42,991</w:t>
            </w:r>
          </w:p>
        </w:tc>
      </w:tr>
    </w:tbl>
    <w:p w:rsidR="00EE41E3" w:rsidRPr="00EE41E3" w:rsidRDefault="00EE41E3" w:rsidP="003E0B5C">
      <w:pPr>
        <w:spacing w:after="36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Abbreviations: FDG</w:t>
      </w:r>
      <w:r w:rsidR="00F105A0">
        <w:rPr>
          <w:rFonts w:ascii="Arial Narrow" w:eastAsia="Calibri" w:hAnsi="Arial Narrow"/>
          <w:sz w:val="16"/>
          <w:szCs w:val="16"/>
          <w:lang w:eastAsia="en-US"/>
        </w:rPr>
        <w:t xml:space="preserve"> </w:t>
      </w:r>
      <w:r w:rsidRPr="00EE41E3">
        <w:rPr>
          <w:rFonts w:ascii="Arial Narrow" w:eastAsia="Calibri" w:hAnsi="Arial Narrow"/>
          <w:sz w:val="16"/>
          <w:szCs w:val="16"/>
          <w:lang w:eastAsia="en-US"/>
        </w:rPr>
        <w:t xml:space="preserve">PET, </w:t>
      </w:r>
      <w:proofErr w:type="spellStart"/>
      <w:r w:rsidRPr="00EE41E3">
        <w:rPr>
          <w:rFonts w:ascii="Arial Narrow" w:eastAsia="Calibri" w:hAnsi="Arial Narrow"/>
          <w:sz w:val="16"/>
          <w:szCs w:val="16"/>
          <w:lang w:eastAsia="en-US"/>
        </w:rPr>
        <w:t>fluorodeoxyglucose</w:t>
      </w:r>
      <w:proofErr w:type="spellEnd"/>
      <w:r w:rsidRPr="00EE41E3">
        <w:rPr>
          <w:rFonts w:ascii="Arial Narrow" w:eastAsia="Calibri" w:hAnsi="Arial Narrow"/>
          <w:sz w:val="16"/>
          <w:szCs w:val="16"/>
          <w:lang w:eastAsia="en-US"/>
        </w:rPr>
        <w:t xml:space="preserve"> positron emission tomography; QALY, quality-adjusted life year; SPECT, single-photon emission tomography</w:t>
      </w:r>
    </w:p>
    <w:p w:rsidR="00EE41E3" w:rsidRPr="00EE41E3" w:rsidRDefault="00EE41E3" w:rsidP="003E0B5C">
      <w:pPr>
        <w:spacing w:after="36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Note: Rounding may impact on some figures</w:t>
      </w:r>
    </w:p>
    <w:p w:rsidR="003E0B5C" w:rsidRDefault="003E0B5C" w:rsidP="00EE41E3"/>
    <w:p w:rsidR="00EE41E3" w:rsidRPr="00EE41E3" w:rsidRDefault="00EE41E3" w:rsidP="00EE41E3">
      <w:r w:rsidRPr="00EE41E3">
        <w:t>The assessment report estimated that FDG</w:t>
      </w:r>
      <w:r w:rsidR="00F105A0">
        <w:t xml:space="preserve"> </w:t>
      </w:r>
      <w:r w:rsidRPr="00EE41E3">
        <w:t>PET would save $1,160 per patient over a five-year period, and deliver an incremental QALY gain of 0.03. The assessment r</w:t>
      </w:r>
      <w:r w:rsidR="003E0B5C">
        <w:t xml:space="preserve">eport drew the conclusion that, </w:t>
      </w:r>
      <w:r w:rsidRPr="00EE41E3">
        <w:t>if it is accepted that the non-significant small numerical difference in diagnostic accuracy between FDG</w:t>
      </w:r>
      <w:r w:rsidR="00F105A0">
        <w:t xml:space="preserve"> </w:t>
      </w:r>
      <w:r w:rsidRPr="00EE41E3">
        <w:t>PET and SPECT is clinically meaningful, then FDG</w:t>
      </w:r>
      <w:r w:rsidR="00F105A0">
        <w:t xml:space="preserve"> </w:t>
      </w:r>
      <w:r w:rsidRPr="00EE41E3">
        <w:t>PET is more effective and less costly than SPECT in the diagnosis of Alzheimer’s disease.</w:t>
      </w:r>
    </w:p>
    <w:p w:rsidR="00EE41E3" w:rsidRPr="00EE41E3" w:rsidRDefault="00EE41E3" w:rsidP="00EE41E3"/>
    <w:p w:rsidR="00EE41E3" w:rsidRPr="00EE41E3" w:rsidRDefault="00EE41E3" w:rsidP="00EE41E3">
      <w:r w:rsidRPr="00EE41E3">
        <w:t xml:space="preserve">The assessment report noted that the cost difference </w:t>
      </w:r>
      <w:r w:rsidR="003E0B5C">
        <w:t>wa</w:t>
      </w:r>
      <w:r w:rsidRPr="00EE41E3">
        <w:t xml:space="preserve">s driven by larger downstream cost offsets associated with progression to severe Alzheimer’s disease, including the large nursing home care costs individuals incur. Avoiding or slowing progression to this health state through </w:t>
      </w:r>
      <w:r w:rsidR="00510E7F">
        <w:t xml:space="preserve">the use of Alzheimer’s disease </w:t>
      </w:r>
      <w:r w:rsidRPr="00EE41E3">
        <w:t>drugs result</w:t>
      </w:r>
      <w:r w:rsidR="003E0B5C">
        <w:t>ed</w:t>
      </w:r>
      <w:r w:rsidRPr="00EE41E3">
        <w:t xml:space="preserve"> in savings of $1,225 per patient </w:t>
      </w:r>
      <w:r w:rsidRPr="00EE41E3">
        <w:lastRenderedPageBreak/>
        <w:t>(discounted), which more than fully offset the additional costs of FDG</w:t>
      </w:r>
      <w:r w:rsidR="00F105A0">
        <w:t xml:space="preserve"> </w:t>
      </w:r>
      <w:r w:rsidRPr="00EE41E3">
        <w:t>PET and the drug treatment in those additional patients wit</w:t>
      </w:r>
      <w:r w:rsidR="003E0B5C">
        <w:t>h Alzheimer’s disease detected.</w:t>
      </w:r>
    </w:p>
    <w:p w:rsidR="00EE41E3" w:rsidRPr="00EE41E3" w:rsidRDefault="00EE41E3" w:rsidP="00EE41E3"/>
    <w:p w:rsidR="00EE41E3" w:rsidRPr="00EE41E3" w:rsidRDefault="00EE41E3" w:rsidP="00EE41E3">
      <w:r w:rsidRPr="00EE41E3">
        <w:t xml:space="preserve">The results of the model were sensitive to the duration of the model, the more expensive home and nursing care resources that occur downstream as an individual’s condition worsens, and diagnostic accuracy. The cost savings generated in the base case </w:t>
      </w:r>
      <w:r w:rsidR="003E0B5C">
        <w:t>we</w:t>
      </w:r>
      <w:r w:rsidRPr="00EE41E3">
        <w:t>re highly dependent on the inclusion (and magnitude) of home an</w:t>
      </w:r>
      <w:r w:rsidR="003E0B5C">
        <w:t>d nursing care resources costs.</w:t>
      </w:r>
    </w:p>
    <w:p w:rsidR="00EE41E3" w:rsidRPr="00EE41E3" w:rsidRDefault="00EE41E3" w:rsidP="00EE41E3"/>
    <w:p w:rsidR="00EE41E3" w:rsidRPr="00EE41E3" w:rsidRDefault="00EE41E3" w:rsidP="00EE41E3">
      <w:r w:rsidRPr="00EE41E3">
        <w:t>The assessment report also highlighted the complex relationship between diagnostic accuracy and cost-effectiveness. It noted that the base case results were highly sensitive to these assumptions. If the data used in the base case c</w:t>
      </w:r>
      <w:r w:rsidR="003E0B5C">
        <w:t>ould</w:t>
      </w:r>
      <w:r w:rsidRPr="00EE41E3">
        <w:t xml:space="preserve"> be accepted, it would appear that FDG</w:t>
      </w:r>
      <w:r w:rsidR="00F105A0">
        <w:t xml:space="preserve"> </w:t>
      </w:r>
      <w:r w:rsidRPr="00EE41E3">
        <w:t xml:space="preserve">PET is a cost-effective alternative to SPECT in the diagnosis of Alzheimer’s disease. If, however, there </w:t>
      </w:r>
      <w:r w:rsidR="003E0B5C">
        <w:t>wa</w:t>
      </w:r>
      <w:r w:rsidRPr="00EE41E3">
        <w:t xml:space="preserve">s doubt regarding the acceptability of these data, it </w:t>
      </w:r>
      <w:r w:rsidR="003E0B5C">
        <w:t>wa</w:t>
      </w:r>
      <w:r w:rsidRPr="00EE41E3">
        <w:t>s clear that the conclusions of the base case m</w:t>
      </w:r>
      <w:r w:rsidR="003E0B5C">
        <w:t>ight</w:t>
      </w:r>
      <w:r w:rsidRPr="00EE41E3">
        <w:t xml:space="preserve"> not be valid and particular caution </w:t>
      </w:r>
      <w:r w:rsidR="003E0B5C">
        <w:t>w</w:t>
      </w:r>
      <w:r w:rsidRPr="00EE41E3">
        <w:t xml:space="preserve">ould </w:t>
      </w:r>
      <w:r w:rsidR="003E0B5C">
        <w:t xml:space="preserve">need to </w:t>
      </w:r>
      <w:r w:rsidRPr="00EE41E3">
        <w:t xml:space="preserve">be taken to ensure that the impact of alternative data is well understood. </w:t>
      </w:r>
    </w:p>
    <w:p w:rsidR="00EE41E3" w:rsidRPr="00EE41E3" w:rsidRDefault="00EE41E3" w:rsidP="00EE41E3"/>
    <w:p w:rsidR="00BC1364" w:rsidRPr="00ED5EB6" w:rsidRDefault="00EE41E3" w:rsidP="00DD2858">
      <w:r w:rsidRPr="00EE41E3">
        <w:t xml:space="preserve">The assessment report noted that the incremental cost and QALY results </w:t>
      </w:r>
      <w:r w:rsidR="003E0B5C">
        <w:t>we</w:t>
      </w:r>
      <w:r w:rsidRPr="00EE41E3">
        <w:t xml:space="preserve">re </w:t>
      </w:r>
      <w:r w:rsidR="003E0B5C">
        <w:t xml:space="preserve">both </w:t>
      </w:r>
      <w:r w:rsidRPr="00EE41E3">
        <w:t xml:space="preserve">very close to zero, </w:t>
      </w:r>
      <w:r w:rsidR="003E0B5C">
        <w:t xml:space="preserve">so </w:t>
      </w:r>
      <w:r w:rsidRPr="00EE41E3">
        <w:t xml:space="preserve">the conclusions </w:t>
      </w:r>
      <w:r w:rsidR="003E0B5C">
        <w:t>were particularly sensitive.</w:t>
      </w:r>
    </w:p>
    <w:p w:rsidR="003E0B5C" w:rsidRPr="0075468E" w:rsidRDefault="003E0B5C"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EE41E3" w:rsidRPr="00EE41E3" w:rsidRDefault="00EE41E3" w:rsidP="00EE41E3">
      <w:r w:rsidRPr="00EE41E3">
        <w:t>A scarcity of data relating to the availability of FDG</w:t>
      </w:r>
      <w:r w:rsidR="00F105A0">
        <w:t xml:space="preserve"> </w:t>
      </w:r>
      <w:r w:rsidRPr="00EE41E3">
        <w:t>PET facilities throughout Australia (both now and in the next five years)</w:t>
      </w:r>
      <w:r w:rsidR="003E0B5C">
        <w:t>,</w:t>
      </w:r>
      <w:r w:rsidRPr="00EE41E3">
        <w:t xml:space="preserve"> and/or accurate data describing the incidence of Alzheimer’s disease across Australia</w:t>
      </w:r>
      <w:r w:rsidR="003E0B5C">
        <w:t>,</w:t>
      </w:r>
      <w:r w:rsidRPr="00EE41E3">
        <w:t xml:space="preserve"> and how diagnosis is achieved using functional imaging</w:t>
      </w:r>
      <w:r w:rsidR="003E0B5C">
        <w:t>,</w:t>
      </w:r>
      <w:r w:rsidRPr="00EE41E3">
        <w:t xml:space="preserve"> meant that the analysis was undertaken using more general data derived from incidence of dementia and associated estimates of how this is made up, in part, from individuals with Alzheimer’s disease.</w:t>
      </w:r>
    </w:p>
    <w:p w:rsidR="00EE41E3" w:rsidRPr="00EE41E3" w:rsidRDefault="00EE41E3" w:rsidP="00EE41E3"/>
    <w:p w:rsidR="00EE41E3" w:rsidRPr="00EE41E3" w:rsidRDefault="00EE41E3" w:rsidP="00EE41E3">
      <w:r w:rsidRPr="00EE41E3">
        <w:t>The analysis used an epidemiological approach to estimate the use of SPECT in i</w:t>
      </w:r>
      <w:r w:rsidR="003E0B5C">
        <w:t xml:space="preserve">dentifying Alzheimer’s disease </w:t>
      </w:r>
      <w:r w:rsidRPr="00EE41E3">
        <w:t xml:space="preserve">from estimates of projected dementia incidence (Access Economics, 2009) and estimates regarding the proportion of these cases which </w:t>
      </w:r>
      <w:r w:rsidR="003E0B5C">
        <w:t>were due to Alzheimer’s disease</w:t>
      </w:r>
      <w:r w:rsidRPr="00EE41E3">
        <w:t xml:space="preserve"> (Alzheimer’s Disease International, 2014). These data were used in conjunction with assumptions regarding the rate at which SPECT is used to diagnose Alzheimer’s disease and how FDG</w:t>
      </w:r>
      <w:r w:rsidR="00F105A0">
        <w:t xml:space="preserve"> </w:t>
      </w:r>
      <w:r w:rsidRPr="00EE41E3">
        <w:t>PET would be used to substitute for SPECT in the event of a successful MBS listing. Assumptions regarding the possibility of increased use of functional imaging in the event of a MBS listing for FDG</w:t>
      </w:r>
      <w:r w:rsidR="00F105A0">
        <w:t xml:space="preserve"> </w:t>
      </w:r>
      <w:r w:rsidRPr="00EE41E3">
        <w:t>PET were also applied.</w:t>
      </w:r>
    </w:p>
    <w:p w:rsidR="00EE41E3" w:rsidRPr="00EE41E3" w:rsidRDefault="00EE41E3" w:rsidP="00EE41E3"/>
    <w:p w:rsidR="00EE41E3" w:rsidRPr="00EE41E3" w:rsidRDefault="00EE41E3" w:rsidP="00EE41E3">
      <w:r w:rsidRPr="00EE41E3">
        <w:t>The assessment report noted that it was not possible to derive estimates of the volume or proportion of SPECT services which relate to dementia or Alzheimer’s disease from MBS data, the SPECT item may be for a range of indications.</w:t>
      </w:r>
    </w:p>
    <w:p w:rsidR="00EE41E3" w:rsidRPr="00EE41E3" w:rsidRDefault="00EE41E3" w:rsidP="00EE41E3"/>
    <w:p w:rsidR="00EE41E3" w:rsidRPr="00EE41E3" w:rsidRDefault="00EE41E3" w:rsidP="00EE41E3">
      <w:r w:rsidRPr="00EE41E3">
        <w:t>Table 4 shows estimates of the number of SPECT services currently utilised under the MBS for diagnosis of Alzheimer’s disease and the number of SPECT and FDG</w:t>
      </w:r>
      <w:r w:rsidR="00F105A0">
        <w:t xml:space="preserve"> </w:t>
      </w:r>
      <w:r w:rsidRPr="00EE41E3">
        <w:t>PET services which could occur. These estimates account for replacement of SPECT with FDG</w:t>
      </w:r>
      <w:r w:rsidR="00F105A0">
        <w:t xml:space="preserve"> </w:t>
      </w:r>
      <w:r w:rsidRPr="00EE41E3">
        <w:t>PET as well as increased use of functional imaging.</w:t>
      </w:r>
    </w:p>
    <w:p w:rsidR="00EE41E3" w:rsidRPr="00EE41E3" w:rsidRDefault="00EE41E3" w:rsidP="00EE41E3">
      <w:pPr>
        <w:spacing w:after="200" w:line="276" w:lineRule="auto"/>
        <w:rPr>
          <w:rFonts w:ascii="Arial Narrow" w:hAnsi="Arial Narrow" w:cs="Arial"/>
          <w:b/>
          <w:bCs/>
          <w:iCs/>
          <w:sz w:val="20"/>
          <w:lang w:eastAsia="en-US"/>
        </w:rPr>
      </w:pPr>
      <w:r w:rsidRPr="00EE41E3">
        <w:br w:type="page"/>
      </w:r>
    </w:p>
    <w:p w:rsidR="00EE41E3" w:rsidRDefault="003E5907" w:rsidP="003E5907">
      <w:pPr>
        <w:rPr>
          <w:b/>
        </w:rPr>
      </w:pPr>
      <w:r>
        <w:rPr>
          <w:b/>
        </w:rPr>
        <w:lastRenderedPageBreak/>
        <w:t xml:space="preserve">Table 4 </w:t>
      </w:r>
      <w:r w:rsidR="00EE41E3" w:rsidRPr="003E5907">
        <w:rPr>
          <w:b/>
        </w:rPr>
        <w:t>FDG</w:t>
      </w:r>
      <w:r w:rsidR="00F105A0" w:rsidRPr="003E5907">
        <w:rPr>
          <w:b/>
        </w:rPr>
        <w:t xml:space="preserve"> </w:t>
      </w:r>
      <w:r w:rsidR="00EE41E3" w:rsidRPr="003E5907">
        <w:rPr>
          <w:b/>
        </w:rPr>
        <w:t>PET and SPECT services under the current scenario and the future scenario in the event of a positive listing on the MBS for FDG-PET</w:t>
      </w:r>
    </w:p>
    <w:p w:rsidR="003E5907" w:rsidRPr="003E5907" w:rsidRDefault="003E5907" w:rsidP="003E5907">
      <w:pPr>
        <w:rPr>
          <w:b/>
        </w:rPr>
      </w:pPr>
    </w:p>
    <w:tbl>
      <w:tblPr>
        <w:tblStyle w:val="TableGrid3"/>
        <w:tblW w:w="4932" w:type="pct"/>
        <w:tblInd w:w="108" w:type="dxa"/>
        <w:tblLook w:val="04A0" w:firstRow="1" w:lastRow="0" w:firstColumn="1" w:lastColumn="0" w:noHBand="0" w:noVBand="1"/>
        <w:tblCaption w:val="FDG-PET and SPECT services under the current scenario and the future scenario in the event of a positive listing on the MBS for FDG-PET"/>
        <w:tblDescription w:val="Estimates of the number of SPECT services utilised under the MBS over a five-year period, assuming that FDG-PET is not listed on the MBS. The table also shows the estimated number of SPECT and FDG-PET services over a five-year period, assuming that FDG-PET is listed on the MBS."/>
      </w:tblPr>
      <w:tblGrid>
        <w:gridCol w:w="5531"/>
        <w:gridCol w:w="709"/>
        <w:gridCol w:w="709"/>
        <w:gridCol w:w="709"/>
        <w:gridCol w:w="709"/>
        <w:gridCol w:w="749"/>
      </w:tblGrid>
      <w:tr w:rsidR="00EE41E3" w:rsidRPr="00EE41E3" w:rsidTr="003E0B5C">
        <w:trPr>
          <w:tblHeader/>
        </w:trPr>
        <w:tc>
          <w:tcPr>
            <w:tcW w:w="3033" w:type="pct"/>
          </w:tcPr>
          <w:p w:rsidR="00EE41E3" w:rsidRPr="00EE41E3" w:rsidRDefault="00EE41E3" w:rsidP="00EE41E3">
            <w:pPr>
              <w:keepNext/>
              <w:jc w:val="right"/>
              <w:rPr>
                <w:rFonts w:ascii="Arial Narrow" w:hAnsi="Arial Narrow" w:cs="Arial"/>
                <w:b/>
                <w:sz w:val="20"/>
              </w:rPr>
            </w:pPr>
          </w:p>
        </w:tc>
        <w:tc>
          <w:tcPr>
            <w:tcW w:w="389"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2015</w:t>
            </w:r>
          </w:p>
        </w:tc>
        <w:tc>
          <w:tcPr>
            <w:tcW w:w="389"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2016</w:t>
            </w:r>
          </w:p>
        </w:tc>
        <w:tc>
          <w:tcPr>
            <w:tcW w:w="389"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2017</w:t>
            </w:r>
          </w:p>
        </w:tc>
        <w:tc>
          <w:tcPr>
            <w:tcW w:w="389"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2018</w:t>
            </w:r>
          </w:p>
        </w:tc>
        <w:tc>
          <w:tcPr>
            <w:tcW w:w="412"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2019</w:t>
            </w:r>
          </w:p>
        </w:tc>
      </w:tr>
      <w:tr w:rsidR="00EE41E3" w:rsidRPr="00EE41E3" w:rsidTr="003E0B5C">
        <w:trPr>
          <w:tblHeader/>
        </w:trPr>
        <w:tc>
          <w:tcPr>
            <w:tcW w:w="3033" w:type="pct"/>
            <w:tcBorders>
              <w:right w:val="nil"/>
            </w:tcBorders>
          </w:tcPr>
          <w:p w:rsidR="00EE41E3" w:rsidRPr="00EE41E3" w:rsidRDefault="00EE41E3" w:rsidP="00EE41E3">
            <w:pPr>
              <w:keepNext/>
              <w:rPr>
                <w:rFonts w:ascii="Arial Narrow" w:hAnsi="Arial Narrow" w:cs="Arial"/>
                <w:b/>
                <w:sz w:val="20"/>
              </w:rPr>
            </w:pPr>
            <w:r w:rsidRPr="00EE41E3">
              <w:rPr>
                <w:rFonts w:ascii="Arial Narrow" w:hAnsi="Arial Narrow" w:cs="Arial"/>
                <w:b/>
                <w:sz w:val="20"/>
              </w:rPr>
              <w:t>No MBS listing for FDG-PET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412" w:type="pct"/>
            <w:tcBorders>
              <w:lef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r>
      <w:tr w:rsidR="00EE41E3" w:rsidRPr="00EE41E3" w:rsidTr="003E0B5C">
        <w:trPr>
          <w:tblHeader/>
        </w:trPr>
        <w:tc>
          <w:tcPr>
            <w:tcW w:w="3033" w:type="pct"/>
          </w:tcPr>
          <w:p w:rsidR="00EE41E3" w:rsidRPr="00EE41E3" w:rsidRDefault="00EE41E3" w:rsidP="00EE41E3">
            <w:pPr>
              <w:keepNext/>
              <w:rPr>
                <w:rFonts w:ascii="Arial Narrow" w:hAnsi="Arial Narrow" w:cs="Arial"/>
                <w:sz w:val="20"/>
              </w:rPr>
            </w:pPr>
            <w:r w:rsidRPr="00EE41E3">
              <w:rPr>
                <w:rFonts w:ascii="Arial Narrow" w:hAnsi="Arial Narrow" w:cs="Arial"/>
                <w:sz w:val="20"/>
              </w:rPr>
              <w:t xml:space="preserve">SPECT services undertaken </w:t>
            </w:r>
            <w:r w:rsidR="00510E7F">
              <w:rPr>
                <w:rFonts w:ascii="Arial Narrow" w:hAnsi="Arial Narrow" w:cs="Arial"/>
                <w:sz w:val="20"/>
              </w:rPr>
              <w:t xml:space="preserve">to attempt Alzheimer’s disease </w:t>
            </w:r>
            <w:r w:rsidRPr="00EE41E3">
              <w:rPr>
                <w:rFonts w:ascii="Arial Narrow" w:hAnsi="Arial Narrow" w:cs="Arial"/>
                <w:sz w:val="20"/>
              </w:rPr>
              <w:t>diagnosis via the MBS</w:t>
            </w:r>
          </w:p>
        </w:tc>
        <w:tc>
          <w:tcPr>
            <w:tcW w:w="389" w:type="pct"/>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1324</w:t>
            </w:r>
          </w:p>
        </w:tc>
        <w:tc>
          <w:tcPr>
            <w:tcW w:w="389" w:type="pct"/>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1387</w:t>
            </w:r>
          </w:p>
        </w:tc>
        <w:tc>
          <w:tcPr>
            <w:tcW w:w="389" w:type="pct"/>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1455</w:t>
            </w:r>
          </w:p>
        </w:tc>
        <w:tc>
          <w:tcPr>
            <w:tcW w:w="389" w:type="pct"/>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1513</w:t>
            </w:r>
          </w:p>
        </w:tc>
        <w:tc>
          <w:tcPr>
            <w:tcW w:w="412" w:type="pct"/>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1581</w:t>
            </w:r>
          </w:p>
        </w:tc>
      </w:tr>
      <w:tr w:rsidR="00EE41E3" w:rsidRPr="00EE41E3" w:rsidTr="003E0B5C">
        <w:trPr>
          <w:tblHeader/>
        </w:trPr>
        <w:tc>
          <w:tcPr>
            <w:tcW w:w="3033" w:type="pct"/>
            <w:tcBorders>
              <w:bottom w:val="single" w:sz="4" w:space="0" w:color="auto"/>
            </w:tcBorders>
          </w:tcPr>
          <w:p w:rsidR="00EE41E3" w:rsidRPr="00EE41E3" w:rsidRDefault="00EE41E3" w:rsidP="00EE41E3">
            <w:pPr>
              <w:keepNext/>
              <w:rPr>
                <w:rFonts w:ascii="Arial Narrow" w:hAnsi="Arial Narrow" w:cs="Arial"/>
                <w:sz w:val="20"/>
              </w:rPr>
            </w:pPr>
            <w:r w:rsidRPr="00EE41E3">
              <w:rPr>
                <w:rFonts w:ascii="Arial Narrow" w:hAnsi="Arial Narrow" w:cs="Arial"/>
                <w:sz w:val="20"/>
              </w:rPr>
              <w:t>FDG-PET services undertaken</w:t>
            </w:r>
            <w:r w:rsidR="00510E7F">
              <w:rPr>
                <w:rFonts w:ascii="Arial Narrow" w:hAnsi="Arial Narrow" w:cs="Arial"/>
                <w:sz w:val="20"/>
              </w:rPr>
              <w:t xml:space="preserve"> to attempt Alzheimer’s disease</w:t>
            </w:r>
            <w:r w:rsidRPr="00EE41E3">
              <w:rPr>
                <w:rFonts w:ascii="Arial Narrow" w:hAnsi="Arial Narrow" w:cs="Arial"/>
                <w:sz w:val="20"/>
              </w:rPr>
              <w:t xml:space="preserve"> diagnosis via the MBS</w:t>
            </w:r>
          </w:p>
        </w:tc>
        <w:tc>
          <w:tcPr>
            <w:tcW w:w="389" w:type="pct"/>
            <w:tcBorders>
              <w:bottom w:val="single" w:sz="4" w:space="0" w:color="auto"/>
            </w:tcBorders>
          </w:tcPr>
          <w:p w:rsidR="00EE41E3" w:rsidRPr="00EE41E3" w:rsidRDefault="00EE41E3" w:rsidP="00EE41E3">
            <w:pPr>
              <w:keepNext/>
              <w:tabs>
                <w:tab w:val="center" w:pos="578"/>
                <w:tab w:val="right" w:pos="1157"/>
              </w:tabs>
              <w:jc w:val="right"/>
              <w:rPr>
                <w:rFonts w:ascii="Arial Narrow" w:hAnsi="Arial Narrow" w:cs="Arial"/>
                <w:sz w:val="20"/>
              </w:rPr>
            </w:pPr>
            <w:r w:rsidRPr="00EE41E3">
              <w:rPr>
                <w:rFonts w:ascii="Arial Narrow" w:hAnsi="Arial Narrow" w:cs="Arial"/>
                <w:sz w:val="20"/>
              </w:rPr>
              <w:t>0</w:t>
            </w:r>
          </w:p>
        </w:tc>
        <w:tc>
          <w:tcPr>
            <w:tcW w:w="389" w:type="pct"/>
            <w:tcBorders>
              <w:bottom w:val="single" w:sz="4" w:space="0" w:color="auto"/>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0</w:t>
            </w:r>
          </w:p>
        </w:tc>
        <w:tc>
          <w:tcPr>
            <w:tcW w:w="389" w:type="pct"/>
            <w:tcBorders>
              <w:bottom w:val="single" w:sz="4" w:space="0" w:color="auto"/>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0</w:t>
            </w:r>
          </w:p>
        </w:tc>
        <w:tc>
          <w:tcPr>
            <w:tcW w:w="389" w:type="pct"/>
            <w:tcBorders>
              <w:bottom w:val="single" w:sz="4" w:space="0" w:color="auto"/>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0</w:t>
            </w:r>
          </w:p>
        </w:tc>
        <w:tc>
          <w:tcPr>
            <w:tcW w:w="412" w:type="pct"/>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0</w:t>
            </w:r>
          </w:p>
        </w:tc>
      </w:tr>
      <w:tr w:rsidR="00EE41E3" w:rsidRPr="00EE41E3" w:rsidTr="003E0B5C">
        <w:trPr>
          <w:tblHeader/>
        </w:trPr>
        <w:tc>
          <w:tcPr>
            <w:tcW w:w="3033" w:type="pct"/>
            <w:tcBorders>
              <w:right w:val="nil"/>
            </w:tcBorders>
          </w:tcPr>
          <w:p w:rsidR="00EE41E3" w:rsidRPr="00EE41E3" w:rsidRDefault="00EE41E3" w:rsidP="00EE41E3">
            <w:pPr>
              <w:keepNext/>
              <w:rPr>
                <w:rFonts w:ascii="Arial Narrow" w:hAnsi="Arial Narrow" w:cs="Arial"/>
                <w:b/>
                <w:sz w:val="20"/>
              </w:rPr>
            </w:pPr>
            <w:r w:rsidRPr="00EE41E3">
              <w:rPr>
                <w:rFonts w:ascii="Arial Narrow" w:hAnsi="Arial Narrow" w:cs="Arial"/>
                <w:b/>
                <w:sz w:val="20"/>
              </w:rPr>
              <w:t>With MBS listing for FDG-PET</w:t>
            </w:r>
          </w:p>
        </w:tc>
        <w:tc>
          <w:tcPr>
            <w:tcW w:w="389" w:type="pct"/>
            <w:tcBorders>
              <w:left w:val="nil"/>
              <w:right w:val="nil"/>
            </w:tcBorders>
          </w:tcPr>
          <w:p w:rsidR="00EE41E3" w:rsidRPr="00EE41E3" w:rsidRDefault="00EE41E3" w:rsidP="00EE41E3">
            <w:pPr>
              <w:keepNext/>
              <w:tabs>
                <w:tab w:val="center" w:pos="578"/>
                <w:tab w:val="right" w:pos="1157"/>
              </w:tabs>
              <w:jc w:val="right"/>
              <w:rPr>
                <w:rFonts w:ascii="Arial Narrow" w:hAnsi="Arial Narrow" w:cs="Arial"/>
                <w:sz w:val="20"/>
              </w:rPr>
            </w:pPr>
            <w:r w:rsidRPr="00EE41E3">
              <w:rPr>
                <w:rFonts w:ascii="Arial Narrow" w:hAnsi="Arial Narrow" w:cs="Arial"/>
                <w:sz w:val="20"/>
              </w:rPr>
              <w: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389" w:type="pct"/>
            <w:tcBorders>
              <w:left w:val="nil"/>
              <w:righ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c>
          <w:tcPr>
            <w:tcW w:w="412" w:type="pct"/>
            <w:tcBorders>
              <w:left w:val="nil"/>
            </w:tcBorders>
          </w:tcPr>
          <w:p w:rsidR="00EE41E3" w:rsidRPr="00EE41E3" w:rsidRDefault="00EE41E3" w:rsidP="00EE41E3">
            <w:pPr>
              <w:keepNext/>
              <w:jc w:val="right"/>
              <w:rPr>
                <w:rFonts w:ascii="Arial Narrow" w:hAnsi="Arial Narrow" w:cs="Arial"/>
                <w:sz w:val="20"/>
              </w:rPr>
            </w:pPr>
            <w:r w:rsidRPr="00EE41E3">
              <w:rPr>
                <w:rFonts w:ascii="Arial Narrow" w:hAnsi="Arial Narrow" w:cs="Arial"/>
                <w:sz w:val="20"/>
              </w:rPr>
              <w:t>-</w:t>
            </w:r>
          </w:p>
        </w:tc>
      </w:tr>
      <w:tr w:rsidR="00EE41E3" w:rsidRPr="00EE41E3" w:rsidTr="003E0B5C">
        <w:tc>
          <w:tcPr>
            <w:tcW w:w="3033" w:type="pct"/>
          </w:tcPr>
          <w:p w:rsidR="00EE41E3" w:rsidRPr="00EE41E3" w:rsidRDefault="00EE41E3" w:rsidP="00EE41E3">
            <w:pPr>
              <w:keepNext/>
              <w:rPr>
                <w:rFonts w:ascii="Arial Narrow" w:hAnsi="Arial Narrow"/>
                <w:sz w:val="20"/>
                <w:szCs w:val="24"/>
                <w:vertAlign w:val="superscript"/>
              </w:rPr>
            </w:pPr>
            <w:r w:rsidRPr="00EE41E3">
              <w:rPr>
                <w:rFonts w:ascii="Arial Narrow" w:hAnsi="Arial Narrow"/>
                <w:sz w:val="20"/>
                <w:szCs w:val="24"/>
              </w:rPr>
              <w:t xml:space="preserve">FDG-PET services replacing SPECT </w:t>
            </w:r>
            <w:r w:rsidR="00510E7F">
              <w:rPr>
                <w:rFonts w:ascii="Arial Narrow" w:hAnsi="Arial Narrow"/>
                <w:sz w:val="20"/>
                <w:szCs w:val="24"/>
              </w:rPr>
              <w:t xml:space="preserve">to attempt Alzheimer’s disease </w:t>
            </w:r>
            <w:r w:rsidRPr="00EE41E3">
              <w:rPr>
                <w:rFonts w:ascii="Arial Narrow" w:hAnsi="Arial Narrow"/>
                <w:sz w:val="20"/>
                <w:szCs w:val="24"/>
              </w:rPr>
              <w:t>diagnosis via the MBS</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199</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416</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655</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908</w:t>
            </w:r>
          </w:p>
        </w:tc>
        <w:tc>
          <w:tcPr>
            <w:tcW w:w="41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1106</w:t>
            </w:r>
          </w:p>
        </w:tc>
      </w:tr>
      <w:tr w:rsidR="00EE41E3" w:rsidRPr="00EE41E3" w:rsidTr="003E0B5C">
        <w:tc>
          <w:tcPr>
            <w:tcW w:w="3033" w:type="pct"/>
          </w:tcPr>
          <w:p w:rsidR="00EE41E3" w:rsidRPr="00EE41E3" w:rsidRDefault="00EE41E3" w:rsidP="00EE41E3">
            <w:pPr>
              <w:keepNext/>
              <w:rPr>
                <w:rFonts w:ascii="Arial Narrow" w:hAnsi="Arial Narrow"/>
                <w:sz w:val="20"/>
                <w:szCs w:val="24"/>
              </w:rPr>
            </w:pPr>
            <w:r w:rsidRPr="00EE41E3">
              <w:rPr>
                <w:rFonts w:ascii="Arial Narrow" w:hAnsi="Arial Narrow"/>
                <w:sz w:val="20"/>
              </w:rPr>
              <w:t xml:space="preserve">Net SPECT services undertaken </w:t>
            </w:r>
            <w:r w:rsidR="00510E7F">
              <w:rPr>
                <w:rFonts w:ascii="Arial Narrow" w:hAnsi="Arial Narrow"/>
                <w:sz w:val="20"/>
              </w:rPr>
              <w:t xml:space="preserve">to attempt Alzheimer’s disease </w:t>
            </w:r>
            <w:r w:rsidRPr="00EE41E3">
              <w:rPr>
                <w:rFonts w:ascii="Arial Narrow" w:hAnsi="Arial Narrow"/>
                <w:sz w:val="20"/>
              </w:rPr>
              <w:t>diagnosis via the MBS</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1125</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971</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800</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605</w:t>
            </w:r>
          </w:p>
        </w:tc>
        <w:tc>
          <w:tcPr>
            <w:tcW w:w="41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474</w:t>
            </w:r>
          </w:p>
        </w:tc>
      </w:tr>
      <w:tr w:rsidR="00EE41E3" w:rsidRPr="00EE41E3" w:rsidTr="003E0B5C">
        <w:tc>
          <w:tcPr>
            <w:tcW w:w="3033" w:type="pct"/>
          </w:tcPr>
          <w:p w:rsidR="00EE41E3" w:rsidRPr="00EE41E3" w:rsidRDefault="00EE41E3" w:rsidP="00EE41E3">
            <w:pPr>
              <w:keepNext/>
              <w:rPr>
                <w:rFonts w:ascii="Arial Narrow" w:hAnsi="Arial Narrow"/>
                <w:sz w:val="20"/>
                <w:szCs w:val="24"/>
              </w:rPr>
            </w:pPr>
            <w:r w:rsidRPr="00EE41E3">
              <w:rPr>
                <w:rFonts w:ascii="Arial Narrow" w:hAnsi="Arial Narrow"/>
                <w:sz w:val="20"/>
                <w:szCs w:val="24"/>
              </w:rPr>
              <w:t>Additional FDG-PET services due to increased used of functional imaging</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0</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35</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73</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113</w:t>
            </w:r>
          </w:p>
        </w:tc>
        <w:tc>
          <w:tcPr>
            <w:tcW w:w="41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158</w:t>
            </w:r>
          </w:p>
        </w:tc>
      </w:tr>
      <w:tr w:rsidR="00EE41E3" w:rsidRPr="00EE41E3" w:rsidTr="003E0B5C">
        <w:tc>
          <w:tcPr>
            <w:tcW w:w="3033" w:type="pct"/>
          </w:tcPr>
          <w:p w:rsidR="00EE41E3" w:rsidRPr="00EE41E3" w:rsidRDefault="00EE41E3" w:rsidP="00EE41E3">
            <w:pPr>
              <w:keepNext/>
              <w:rPr>
                <w:rFonts w:ascii="Arial Narrow" w:hAnsi="Arial Narrow"/>
                <w:sz w:val="20"/>
              </w:rPr>
            </w:pPr>
            <w:r w:rsidRPr="00EE41E3">
              <w:rPr>
                <w:rFonts w:ascii="Arial Narrow" w:hAnsi="Arial Narrow"/>
                <w:sz w:val="20"/>
              </w:rPr>
              <w:t>Total FDG-PET services expected for attempted d</w:t>
            </w:r>
            <w:r w:rsidR="00510E7F">
              <w:rPr>
                <w:rFonts w:ascii="Arial Narrow" w:hAnsi="Arial Narrow"/>
                <w:sz w:val="20"/>
              </w:rPr>
              <w:t>iagnosis of Alzheimer’s disease</w:t>
            </w:r>
            <w:r w:rsidRPr="00EE41E3">
              <w:rPr>
                <w:rFonts w:ascii="Arial Narrow" w:hAnsi="Arial Narrow"/>
                <w:sz w:val="20"/>
              </w:rPr>
              <w:t xml:space="preserve"> via the MBS in the event of a positive listing</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199</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451</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728</w:t>
            </w:r>
          </w:p>
        </w:tc>
        <w:tc>
          <w:tcPr>
            <w:tcW w:w="38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1021</w:t>
            </w:r>
          </w:p>
        </w:tc>
        <w:tc>
          <w:tcPr>
            <w:tcW w:w="41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1264</w:t>
            </w:r>
          </w:p>
        </w:tc>
      </w:tr>
    </w:tbl>
    <w:p w:rsidR="00EE41E3" w:rsidRPr="00EE41E3" w:rsidRDefault="00EE41E3" w:rsidP="003E0B5C">
      <w:pPr>
        <w:keepNext/>
        <w:spacing w:after="36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 xml:space="preserve">Abbreviations: FDG-PET, </w:t>
      </w:r>
      <w:proofErr w:type="spellStart"/>
      <w:r w:rsidRPr="00EE41E3">
        <w:rPr>
          <w:rFonts w:ascii="Arial Narrow" w:eastAsia="Calibri" w:hAnsi="Arial Narrow"/>
          <w:sz w:val="16"/>
          <w:szCs w:val="16"/>
          <w:lang w:eastAsia="en-US"/>
        </w:rPr>
        <w:t>fluorodeoxyglucose</w:t>
      </w:r>
      <w:proofErr w:type="spellEnd"/>
      <w:r w:rsidRPr="00EE41E3">
        <w:rPr>
          <w:rFonts w:ascii="Arial Narrow" w:eastAsia="Calibri" w:hAnsi="Arial Narrow"/>
          <w:sz w:val="16"/>
          <w:szCs w:val="16"/>
          <w:lang w:eastAsia="en-US"/>
        </w:rPr>
        <w:t xml:space="preserve"> positron emission tomography; MBS, Medicare Benefits Schedule</w:t>
      </w:r>
    </w:p>
    <w:p w:rsidR="003E0B5C" w:rsidRDefault="003E0B5C" w:rsidP="00EE41E3"/>
    <w:p w:rsidR="00EE41E3" w:rsidRDefault="00EE41E3" w:rsidP="00EE41E3">
      <w:r w:rsidRPr="00EE41E3">
        <w:t>Table 5 shows the total financial impact on the MBS with and without FDG</w:t>
      </w:r>
      <w:r w:rsidR="00F105A0">
        <w:t xml:space="preserve"> </w:t>
      </w:r>
      <w:r w:rsidRPr="00EE41E3">
        <w:t>PET listing.</w:t>
      </w:r>
    </w:p>
    <w:p w:rsidR="003E0B5C" w:rsidRPr="00EE41E3" w:rsidRDefault="003E0B5C" w:rsidP="00EE41E3"/>
    <w:p w:rsidR="00EE41E3" w:rsidRDefault="003E5907" w:rsidP="003E5907">
      <w:pPr>
        <w:rPr>
          <w:b/>
        </w:rPr>
      </w:pPr>
      <w:r>
        <w:rPr>
          <w:b/>
        </w:rPr>
        <w:t xml:space="preserve">Table 5 </w:t>
      </w:r>
      <w:r w:rsidR="00EE41E3" w:rsidRPr="003E5907">
        <w:rPr>
          <w:b/>
        </w:rPr>
        <w:t>Total MBS costs with and without a successful FDG-PET listing on the MBS</w:t>
      </w:r>
    </w:p>
    <w:p w:rsidR="003E5907" w:rsidRPr="003E5907" w:rsidRDefault="003E5907" w:rsidP="003E5907">
      <w:pPr>
        <w:rPr>
          <w:b/>
        </w:rPr>
      </w:pPr>
    </w:p>
    <w:tbl>
      <w:tblPr>
        <w:tblStyle w:val="TableGrid3"/>
        <w:tblW w:w="4932" w:type="pct"/>
        <w:tblInd w:w="108" w:type="dxa"/>
        <w:tblLook w:val="04A0" w:firstRow="1" w:lastRow="0" w:firstColumn="1" w:lastColumn="0" w:noHBand="0" w:noVBand="1"/>
        <w:tblCaption w:val="Total MBS costs with and without a successful FDG-PET listing on the MBS"/>
        <w:tblDescription w:val="Estimates of the cost of SPECT services utilised under the MBS over a five-year period, assuming that FDG-PET is not listed on the MBS. The table also shows the estimated cost of SPECT and FDG-PET services over a five-year period, assuming that FDG-PET is successfully listed on the MBS."/>
      </w:tblPr>
      <w:tblGrid>
        <w:gridCol w:w="3829"/>
        <w:gridCol w:w="1088"/>
        <w:gridCol w:w="1037"/>
        <w:gridCol w:w="1088"/>
        <w:gridCol w:w="1037"/>
        <w:gridCol w:w="1037"/>
      </w:tblGrid>
      <w:tr w:rsidR="00EE41E3" w:rsidRPr="00EE41E3" w:rsidTr="003E0B5C">
        <w:trPr>
          <w:tblHeader/>
        </w:trPr>
        <w:tc>
          <w:tcPr>
            <w:tcW w:w="2100" w:type="pct"/>
            <w:tcBorders>
              <w:bottom w:val="single" w:sz="4" w:space="0" w:color="auto"/>
            </w:tcBorders>
          </w:tcPr>
          <w:p w:rsidR="00EE41E3" w:rsidRPr="00EE41E3" w:rsidRDefault="00EE41E3" w:rsidP="00EE41E3">
            <w:pPr>
              <w:keepNext/>
              <w:jc w:val="right"/>
              <w:rPr>
                <w:rFonts w:ascii="Arial Narrow" w:hAnsi="Arial Narrow" w:cs="Arial"/>
                <w:b/>
                <w:sz w:val="20"/>
              </w:rPr>
            </w:pPr>
          </w:p>
        </w:tc>
        <w:tc>
          <w:tcPr>
            <w:tcW w:w="597" w:type="pct"/>
            <w:tcBorders>
              <w:bottom w:val="single" w:sz="4" w:space="0" w:color="auto"/>
            </w:tcBorders>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2015</w:t>
            </w:r>
          </w:p>
        </w:tc>
        <w:tc>
          <w:tcPr>
            <w:tcW w:w="569" w:type="pct"/>
            <w:tcBorders>
              <w:bottom w:val="single" w:sz="4" w:space="0" w:color="auto"/>
            </w:tcBorders>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2016</w:t>
            </w:r>
          </w:p>
        </w:tc>
        <w:tc>
          <w:tcPr>
            <w:tcW w:w="597" w:type="pct"/>
            <w:tcBorders>
              <w:bottom w:val="single" w:sz="4" w:space="0" w:color="auto"/>
            </w:tcBorders>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2017</w:t>
            </w:r>
          </w:p>
        </w:tc>
        <w:tc>
          <w:tcPr>
            <w:tcW w:w="569" w:type="pct"/>
            <w:tcBorders>
              <w:bottom w:val="single" w:sz="4" w:space="0" w:color="auto"/>
            </w:tcBorders>
          </w:tcPr>
          <w:p w:rsidR="00EE41E3" w:rsidRPr="003E0B5C" w:rsidRDefault="00EE41E3" w:rsidP="00EE41E3">
            <w:pPr>
              <w:keepNext/>
              <w:jc w:val="right"/>
              <w:rPr>
                <w:rFonts w:ascii="Arial Narrow" w:hAnsi="Arial Narrow" w:cs="Arial"/>
                <w:sz w:val="20"/>
              </w:rPr>
            </w:pPr>
            <w:r w:rsidRPr="003E0B5C">
              <w:rPr>
                <w:rFonts w:ascii="Arial Narrow" w:hAnsi="Arial Narrow" w:cs="Arial"/>
                <w:sz w:val="20"/>
              </w:rPr>
              <w:t>2018</w:t>
            </w:r>
          </w:p>
        </w:tc>
        <w:tc>
          <w:tcPr>
            <w:tcW w:w="569"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2019</w:t>
            </w:r>
          </w:p>
        </w:tc>
      </w:tr>
      <w:tr w:rsidR="00EE41E3" w:rsidRPr="00EE41E3" w:rsidTr="003E0B5C">
        <w:tc>
          <w:tcPr>
            <w:tcW w:w="2100" w:type="pct"/>
            <w:tcBorders>
              <w:right w:val="nil"/>
            </w:tcBorders>
          </w:tcPr>
          <w:p w:rsidR="00EE41E3" w:rsidRPr="00EE41E3" w:rsidRDefault="00EE41E3" w:rsidP="00EE41E3">
            <w:pPr>
              <w:keepNext/>
              <w:rPr>
                <w:rFonts w:ascii="Arial Narrow" w:hAnsi="Arial Narrow"/>
                <w:b/>
                <w:sz w:val="20"/>
                <w:szCs w:val="24"/>
              </w:rPr>
            </w:pPr>
            <w:r w:rsidRPr="00EE41E3">
              <w:rPr>
                <w:rFonts w:ascii="Arial Narrow" w:hAnsi="Arial Narrow"/>
                <w:b/>
                <w:sz w:val="20"/>
                <w:szCs w:val="24"/>
              </w:rPr>
              <w:t>No MBS listing for FDG-PET</w:t>
            </w:r>
          </w:p>
        </w:tc>
        <w:tc>
          <w:tcPr>
            <w:tcW w:w="597"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69"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97"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69"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69" w:type="pct"/>
            <w:tcBorders>
              <w:lef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r>
      <w:tr w:rsidR="00EE41E3" w:rsidRPr="00EE41E3" w:rsidTr="003E0B5C">
        <w:tc>
          <w:tcPr>
            <w:tcW w:w="2100" w:type="pct"/>
          </w:tcPr>
          <w:p w:rsidR="00EE41E3" w:rsidRPr="00EE41E3" w:rsidRDefault="00EE41E3" w:rsidP="003E0B5C">
            <w:pPr>
              <w:keepNext/>
              <w:rPr>
                <w:rFonts w:ascii="Arial Narrow" w:hAnsi="Arial Narrow"/>
                <w:sz w:val="20"/>
                <w:szCs w:val="24"/>
              </w:rPr>
            </w:pPr>
            <w:r w:rsidRPr="00EE41E3">
              <w:rPr>
                <w:rFonts w:ascii="Arial Narrow" w:hAnsi="Arial Narrow"/>
                <w:sz w:val="20"/>
                <w:szCs w:val="24"/>
              </w:rPr>
              <w:t>Total cost of SPECT for Alzheimer’s disease diagnosis</w:t>
            </w:r>
          </w:p>
        </w:tc>
        <w:tc>
          <w:tcPr>
            <w:tcW w:w="597"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$699,987</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$733,778</w:t>
            </w:r>
          </w:p>
        </w:tc>
        <w:tc>
          <w:tcPr>
            <w:tcW w:w="597"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$769,502</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$799,947</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$835,871</w:t>
            </w:r>
          </w:p>
        </w:tc>
      </w:tr>
      <w:tr w:rsidR="00EE41E3" w:rsidRPr="00EE41E3" w:rsidTr="003E0B5C">
        <w:tc>
          <w:tcPr>
            <w:tcW w:w="2100" w:type="pct"/>
          </w:tcPr>
          <w:p w:rsidR="00EE41E3" w:rsidRPr="00EE41E3" w:rsidRDefault="00EE41E3" w:rsidP="00EE41E3">
            <w:pPr>
              <w:keepNext/>
              <w:rPr>
                <w:rFonts w:ascii="Arial Narrow" w:hAnsi="Arial Narrow"/>
                <w:sz w:val="20"/>
                <w:szCs w:val="24"/>
                <w:vertAlign w:val="superscript"/>
              </w:rPr>
            </w:pPr>
            <w:r w:rsidRPr="00EE41E3">
              <w:rPr>
                <w:rFonts w:ascii="Arial Narrow" w:hAnsi="Arial Narrow"/>
                <w:sz w:val="20"/>
                <w:szCs w:val="24"/>
              </w:rPr>
              <w:t>Total cost of F</w:t>
            </w:r>
            <w:r w:rsidR="003E0B5C">
              <w:rPr>
                <w:rFonts w:ascii="Arial Narrow" w:hAnsi="Arial Narrow"/>
                <w:sz w:val="20"/>
                <w:szCs w:val="24"/>
              </w:rPr>
              <w:t xml:space="preserve">DG-PET for Alzheimer’s disease </w:t>
            </w:r>
            <w:r w:rsidRPr="00EE41E3">
              <w:rPr>
                <w:rFonts w:ascii="Arial Narrow" w:hAnsi="Arial Narrow"/>
                <w:sz w:val="20"/>
                <w:szCs w:val="24"/>
              </w:rPr>
              <w:t>diagnosis</w:t>
            </w:r>
          </w:p>
        </w:tc>
        <w:tc>
          <w:tcPr>
            <w:tcW w:w="597"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$0</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$0</w:t>
            </w:r>
          </w:p>
        </w:tc>
        <w:tc>
          <w:tcPr>
            <w:tcW w:w="597"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$0</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$0</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$0</w:t>
            </w:r>
          </w:p>
        </w:tc>
      </w:tr>
      <w:tr w:rsidR="00EE41E3" w:rsidRPr="00EE41E3" w:rsidTr="003E0B5C">
        <w:tc>
          <w:tcPr>
            <w:tcW w:w="2100" w:type="pct"/>
          </w:tcPr>
          <w:p w:rsidR="00EE41E3" w:rsidRPr="00EE41E3" w:rsidRDefault="00EE41E3" w:rsidP="00EE41E3">
            <w:pPr>
              <w:keepNext/>
              <w:rPr>
                <w:rFonts w:ascii="Arial Narrow" w:hAnsi="Arial Narrow"/>
                <w:sz w:val="20"/>
                <w:szCs w:val="24"/>
              </w:rPr>
            </w:pPr>
            <w:r w:rsidRPr="00EE41E3">
              <w:rPr>
                <w:rFonts w:ascii="Arial Narrow" w:hAnsi="Arial Narrow"/>
                <w:sz w:val="20"/>
                <w:szCs w:val="24"/>
              </w:rPr>
              <w:t>Total cost of associated specialist consultations</w:t>
            </w:r>
          </w:p>
        </w:tc>
        <w:tc>
          <w:tcPr>
            <w:tcW w:w="597"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$254,793</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$267,093</w:t>
            </w:r>
          </w:p>
        </w:tc>
        <w:tc>
          <w:tcPr>
            <w:tcW w:w="597"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$280,097</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$291,179</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$304,255</w:t>
            </w:r>
          </w:p>
        </w:tc>
      </w:tr>
      <w:tr w:rsidR="00EE41E3" w:rsidRPr="00EE41E3" w:rsidTr="003E0B5C">
        <w:tc>
          <w:tcPr>
            <w:tcW w:w="2100" w:type="pct"/>
            <w:tcBorders>
              <w:bottom w:val="single" w:sz="4" w:space="0" w:color="auto"/>
            </w:tcBorders>
          </w:tcPr>
          <w:p w:rsidR="00EE41E3" w:rsidRPr="00EE41E3" w:rsidRDefault="00EE41E3" w:rsidP="00EE41E3">
            <w:pPr>
              <w:keepNext/>
              <w:rPr>
                <w:rFonts w:ascii="Arial Narrow" w:hAnsi="Arial Narrow"/>
                <w:sz w:val="20"/>
              </w:rPr>
            </w:pPr>
            <w:r w:rsidRPr="00EE41E3">
              <w:rPr>
                <w:rFonts w:ascii="Arial Narrow" w:hAnsi="Arial Narrow"/>
                <w:sz w:val="20"/>
              </w:rPr>
              <w:t>Total cost to the MBS</w:t>
            </w:r>
          </w:p>
        </w:tc>
        <w:tc>
          <w:tcPr>
            <w:tcW w:w="597" w:type="pct"/>
            <w:tcBorders>
              <w:bottom w:val="single" w:sz="4" w:space="0" w:color="auto"/>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$954,780</w:t>
            </w:r>
          </w:p>
        </w:tc>
        <w:tc>
          <w:tcPr>
            <w:tcW w:w="569" w:type="pct"/>
            <w:tcBorders>
              <w:bottom w:val="single" w:sz="4" w:space="0" w:color="auto"/>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$1,000,872</w:t>
            </w:r>
          </w:p>
        </w:tc>
        <w:tc>
          <w:tcPr>
            <w:tcW w:w="597" w:type="pct"/>
            <w:tcBorders>
              <w:bottom w:val="single" w:sz="4" w:space="0" w:color="auto"/>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$1,049,599</w:t>
            </w:r>
          </w:p>
        </w:tc>
        <w:tc>
          <w:tcPr>
            <w:tcW w:w="569" w:type="pct"/>
            <w:tcBorders>
              <w:bottom w:val="single" w:sz="4" w:space="0" w:color="auto"/>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$1,091,126</w:t>
            </w:r>
          </w:p>
        </w:tc>
        <w:tc>
          <w:tcPr>
            <w:tcW w:w="569"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$1,140,125</w:t>
            </w:r>
          </w:p>
        </w:tc>
      </w:tr>
      <w:tr w:rsidR="00EE41E3" w:rsidRPr="00EE41E3" w:rsidTr="003E0B5C">
        <w:tc>
          <w:tcPr>
            <w:tcW w:w="2100" w:type="pct"/>
            <w:tcBorders>
              <w:right w:val="nil"/>
            </w:tcBorders>
          </w:tcPr>
          <w:p w:rsidR="00EE41E3" w:rsidRPr="00EE41E3" w:rsidRDefault="00EE41E3" w:rsidP="00EE41E3">
            <w:pPr>
              <w:keepNext/>
              <w:rPr>
                <w:rFonts w:ascii="Arial Narrow" w:hAnsi="Arial Narrow"/>
                <w:b/>
                <w:sz w:val="20"/>
                <w:szCs w:val="24"/>
              </w:rPr>
            </w:pPr>
            <w:r w:rsidRPr="00EE41E3">
              <w:rPr>
                <w:rFonts w:ascii="Arial Narrow" w:hAnsi="Arial Narrow"/>
                <w:b/>
                <w:sz w:val="20"/>
                <w:szCs w:val="24"/>
              </w:rPr>
              <w:t>With MBS listing for FDG-PET</w:t>
            </w:r>
          </w:p>
        </w:tc>
        <w:tc>
          <w:tcPr>
            <w:tcW w:w="597"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69"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97"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69" w:type="pct"/>
            <w:tcBorders>
              <w:left w:val="nil"/>
              <w:righ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c>
          <w:tcPr>
            <w:tcW w:w="569" w:type="pct"/>
            <w:tcBorders>
              <w:left w:val="nil"/>
            </w:tcBorders>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w:t>
            </w:r>
          </w:p>
        </w:tc>
      </w:tr>
      <w:tr w:rsidR="00EE41E3" w:rsidRPr="00EE41E3" w:rsidTr="003E0B5C">
        <w:tc>
          <w:tcPr>
            <w:tcW w:w="2100" w:type="pct"/>
          </w:tcPr>
          <w:p w:rsidR="00EE41E3" w:rsidRPr="00EE41E3" w:rsidRDefault="00EE41E3" w:rsidP="00EE41E3">
            <w:pPr>
              <w:keepNext/>
              <w:rPr>
                <w:rFonts w:ascii="Arial Narrow" w:hAnsi="Arial Narrow"/>
                <w:i/>
                <w:sz w:val="20"/>
                <w:szCs w:val="24"/>
              </w:rPr>
            </w:pPr>
            <w:r w:rsidRPr="00EE41E3">
              <w:rPr>
                <w:rFonts w:ascii="Arial Narrow" w:hAnsi="Arial Narrow"/>
                <w:sz w:val="20"/>
                <w:szCs w:val="24"/>
              </w:rPr>
              <w:t>Total cost of</w:t>
            </w:r>
            <w:r w:rsidR="003E0B5C">
              <w:rPr>
                <w:rFonts w:ascii="Arial Narrow" w:hAnsi="Arial Narrow"/>
                <w:sz w:val="20"/>
                <w:szCs w:val="24"/>
              </w:rPr>
              <w:t xml:space="preserve"> SPECT for Alzheimer’s disease </w:t>
            </w:r>
            <w:r w:rsidRPr="00EE41E3">
              <w:rPr>
                <w:rFonts w:ascii="Arial Narrow" w:hAnsi="Arial Narrow"/>
                <w:sz w:val="20"/>
                <w:szCs w:val="24"/>
              </w:rPr>
              <w:t>diagnosis</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$594,989</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$513,645</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$423,226</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$319,979</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$250,761</w:t>
            </w:r>
          </w:p>
        </w:tc>
      </w:tr>
      <w:tr w:rsidR="00EE41E3" w:rsidRPr="00EE41E3" w:rsidTr="003E0B5C">
        <w:tc>
          <w:tcPr>
            <w:tcW w:w="2100" w:type="pct"/>
          </w:tcPr>
          <w:p w:rsidR="00EE41E3" w:rsidRPr="00EE41E3" w:rsidRDefault="00EE41E3" w:rsidP="00EE41E3">
            <w:pPr>
              <w:keepNext/>
              <w:rPr>
                <w:rFonts w:ascii="Arial Narrow" w:hAnsi="Arial Narrow"/>
                <w:i/>
                <w:sz w:val="20"/>
                <w:szCs w:val="24"/>
              </w:rPr>
            </w:pPr>
            <w:r w:rsidRPr="00EE41E3">
              <w:rPr>
                <w:rFonts w:ascii="Arial Narrow" w:hAnsi="Arial Narrow"/>
                <w:sz w:val="20"/>
                <w:szCs w:val="24"/>
              </w:rPr>
              <w:t>Total cost of F</w:t>
            </w:r>
            <w:r w:rsidR="003E0B5C">
              <w:rPr>
                <w:rFonts w:ascii="Arial Narrow" w:hAnsi="Arial Narrow"/>
                <w:sz w:val="20"/>
                <w:szCs w:val="24"/>
              </w:rPr>
              <w:t xml:space="preserve">DG-PET for Alzheimer’s disease </w:t>
            </w:r>
            <w:r w:rsidRPr="00EE41E3">
              <w:rPr>
                <w:rFonts w:ascii="Arial Narrow" w:hAnsi="Arial Narrow"/>
                <w:sz w:val="20"/>
                <w:szCs w:val="24"/>
              </w:rPr>
              <w:t>diagnosis</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$167,131</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$379,599</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$612,430</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$859,491</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$1,064,402</w:t>
            </w:r>
          </w:p>
        </w:tc>
      </w:tr>
      <w:tr w:rsidR="00EE41E3" w:rsidRPr="00EE41E3" w:rsidTr="003E0B5C">
        <w:tc>
          <w:tcPr>
            <w:tcW w:w="2100" w:type="pct"/>
          </w:tcPr>
          <w:p w:rsidR="00EE41E3" w:rsidRPr="00EE41E3" w:rsidRDefault="00EE41E3" w:rsidP="00EE41E3">
            <w:pPr>
              <w:keepNext/>
              <w:rPr>
                <w:rFonts w:ascii="Arial Narrow" w:hAnsi="Arial Narrow"/>
                <w:i/>
                <w:sz w:val="20"/>
                <w:szCs w:val="24"/>
              </w:rPr>
            </w:pPr>
            <w:r w:rsidRPr="00EE41E3">
              <w:rPr>
                <w:rFonts w:ascii="Arial Narrow" w:hAnsi="Arial Narrow"/>
                <w:sz w:val="20"/>
                <w:szCs w:val="24"/>
              </w:rPr>
              <w:t>Total cost of associated specialist consultations</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$254,793</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$273,771</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$294,102</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$313,017</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$334,680</w:t>
            </w:r>
          </w:p>
        </w:tc>
      </w:tr>
      <w:tr w:rsidR="00EE41E3" w:rsidRPr="00EE41E3" w:rsidTr="003E0B5C">
        <w:tc>
          <w:tcPr>
            <w:tcW w:w="2100" w:type="pct"/>
          </w:tcPr>
          <w:p w:rsidR="00EE41E3" w:rsidRPr="00EE41E3" w:rsidRDefault="00EE41E3" w:rsidP="00EE41E3">
            <w:pPr>
              <w:keepNext/>
              <w:rPr>
                <w:rFonts w:ascii="Arial Narrow" w:hAnsi="Arial Narrow"/>
                <w:i/>
                <w:sz w:val="20"/>
                <w:szCs w:val="24"/>
              </w:rPr>
            </w:pPr>
            <w:r w:rsidRPr="00EE41E3">
              <w:rPr>
                <w:rFonts w:ascii="Arial Narrow" w:hAnsi="Arial Narrow"/>
                <w:sz w:val="20"/>
              </w:rPr>
              <w:t>Total cost to the MBS</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$1,016,913</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$1,167,014</w:t>
            </w:r>
          </w:p>
        </w:tc>
        <w:tc>
          <w:tcPr>
            <w:tcW w:w="597"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$1,329,757</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$1,492,487</w:t>
            </w:r>
          </w:p>
        </w:tc>
        <w:tc>
          <w:tcPr>
            <w:tcW w:w="569" w:type="pct"/>
          </w:tcPr>
          <w:p w:rsidR="00EE41E3" w:rsidRPr="00EE41E3" w:rsidRDefault="00EE41E3" w:rsidP="00EE41E3">
            <w:pPr>
              <w:keepNext/>
              <w:jc w:val="right"/>
              <w:rPr>
                <w:rFonts w:ascii="Arial Narrow" w:hAnsi="Arial Narrow"/>
                <w:i/>
                <w:sz w:val="20"/>
                <w:szCs w:val="24"/>
              </w:rPr>
            </w:pPr>
            <w:r w:rsidRPr="00EE41E3">
              <w:rPr>
                <w:rFonts w:ascii="Arial Narrow" w:hAnsi="Arial Narrow"/>
                <w:sz w:val="20"/>
                <w:szCs w:val="24"/>
              </w:rPr>
              <w:t>$1,649,843</w:t>
            </w:r>
          </w:p>
        </w:tc>
      </w:tr>
      <w:tr w:rsidR="00EE41E3" w:rsidRPr="00EE41E3" w:rsidTr="003E0B5C">
        <w:tc>
          <w:tcPr>
            <w:tcW w:w="2100" w:type="pct"/>
          </w:tcPr>
          <w:p w:rsidR="00EE41E3" w:rsidRPr="00EE41E3" w:rsidRDefault="00EE41E3" w:rsidP="00EE41E3">
            <w:pPr>
              <w:keepNext/>
              <w:rPr>
                <w:rFonts w:ascii="Arial Narrow" w:hAnsi="Arial Narrow"/>
                <w:i/>
                <w:sz w:val="20"/>
              </w:rPr>
            </w:pPr>
            <w:r w:rsidRPr="00EE41E3">
              <w:rPr>
                <w:rFonts w:ascii="Arial Narrow" w:hAnsi="Arial Narrow"/>
                <w:i/>
                <w:sz w:val="20"/>
              </w:rPr>
              <w:t>Total net financial impact of a successful listing for FDG-PET on the MBS</w:t>
            </w:r>
          </w:p>
        </w:tc>
        <w:tc>
          <w:tcPr>
            <w:tcW w:w="597" w:type="pct"/>
            <w:vAlign w:val="center"/>
          </w:tcPr>
          <w:p w:rsidR="00EE41E3" w:rsidRPr="00EE41E3" w:rsidRDefault="00EE41E3" w:rsidP="00EE41E3">
            <w:pPr>
              <w:keepNext/>
              <w:jc w:val="right"/>
              <w:rPr>
                <w:rFonts w:ascii="Arial Narrow" w:hAnsi="Arial Narrow"/>
                <w:i/>
                <w:sz w:val="20"/>
                <w:szCs w:val="24"/>
              </w:rPr>
            </w:pPr>
            <w:r w:rsidRPr="00EE41E3">
              <w:rPr>
                <w:rFonts w:ascii="Arial Narrow" w:hAnsi="Arial Narrow"/>
                <w:i/>
                <w:sz w:val="20"/>
                <w:szCs w:val="24"/>
              </w:rPr>
              <w:t>$62,133</w:t>
            </w:r>
          </w:p>
        </w:tc>
        <w:tc>
          <w:tcPr>
            <w:tcW w:w="569" w:type="pct"/>
            <w:vAlign w:val="center"/>
          </w:tcPr>
          <w:p w:rsidR="00EE41E3" w:rsidRPr="00EE41E3" w:rsidRDefault="00EE41E3" w:rsidP="00EE41E3">
            <w:pPr>
              <w:keepNext/>
              <w:jc w:val="right"/>
              <w:rPr>
                <w:rFonts w:ascii="Arial Narrow" w:hAnsi="Arial Narrow"/>
                <w:i/>
                <w:sz w:val="20"/>
                <w:szCs w:val="24"/>
              </w:rPr>
            </w:pPr>
            <w:r w:rsidRPr="00EE41E3">
              <w:rPr>
                <w:rFonts w:ascii="Arial Narrow" w:hAnsi="Arial Narrow"/>
                <w:i/>
                <w:sz w:val="20"/>
                <w:szCs w:val="24"/>
              </w:rPr>
              <w:t>$166,142</w:t>
            </w:r>
          </w:p>
        </w:tc>
        <w:tc>
          <w:tcPr>
            <w:tcW w:w="597" w:type="pct"/>
            <w:vAlign w:val="center"/>
          </w:tcPr>
          <w:p w:rsidR="00EE41E3" w:rsidRPr="00EE41E3" w:rsidRDefault="00EE41E3" w:rsidP="00EE41E3">
            <w:pPr>
              <w:keepNext/>
              <w:jc w:val="right"/>
              <w:rPr>
                <w:rFonts w:ascii="Arial Narrow" w:hAnsi="Arial Narrow"/>
                <w:i/>
                <w:sz w:val="20"/>
                <w:szCs w:val="24"/>
              </w:rPr>
            </w:pPr>
            <w:r w:rsidRPr="00EE41E3">
              <w:rPr>
                <w:rFonts w:ascii="Arial Narrow" w:hAnsi="Arial Narrow"/>
                <w:i/>
                <w:sz w:val="20"/>
                <w:szCs w:val="24"/>
              </w:rPr>
              <w:t>$280,159</w:t>
            </w:r>
          </w:p>
        </w:tc>
        <w:tc>
          <w:tcPr>
            <w:tcW w:w="569" w:type="pct"/>
            <w:vAlign w:val="center"/>
          </w:tcPr>
          <w:p w:rsidR="00EE41E3" w:rsidRPr="00EE41E3" w:rsidRDefault="00EE41E3" w:rsidP="00EE41E3">
            <w:pPr>
              <w:keepNext/>
              <w:jc w:val="right"/>
              <w:rPr>
                <w:rFonts w:ascii="Arial Narrow" w:hAnsi="Arial Narrow"/>
                <w:i/>
                <w:sz w:val="20"/>
                <w:szCs w:val="24"/>
              </w:rPr>
            </w:pPr>
            <w:r w:rsidRPr="00EE41E3">
              <w:rPr>
                <w:rFonts w:ascii="Arial Narrow" w:hAnsi="Arial Narrow"/>
                <w:i/>
                <w:sz w:val="20"/>
                <w:szCs w:val="24"/>
              </w:rPr>
              <w:t>$401,361</w:t>
            </w:r>
          </w:p>
        </w:tc>
        <w:tc>
          <w:tcPr>
            <w:tcW w:w="569" w:type="pct"/>
            <w:vAlign w:val="center"/>
          </w:tcPr>
          <w:p w:rsidR="00EE41E3" w:rsidRPr="00EE41E3" w:rsidRDefault="00EE41E3" w:rsidP="00EE41E3">
            <w:pPr>
              <w:keepNext/>
              <w:jc w:val="right"/>
              <w:rPr>
                <w:rFonts w:ascii="Arial Narrow" w:hAnsi="Arial Narrow"/>
                <w:i/>
                <w:sz w:val="20"/>
                <w:szCs w:val="24"/>
              </w:rPr>
            </w:pPr>
            <w:r w:rsidRPr="00EE41E3">
              <w:rPr>
                <w:rFonts w:ascii="Arial Narrow" w:hAnsi="Arial Narrow"/>
                <w:i/>
                <w:sz w:val="20"/>
                <w:szCs w:val="24"/>
              </w:rPr>
              <w:t>$509,718</w:t>
            </w:r>
          </w:p>
        </w:tc>
      </w:tr>
    </w:tbl>
    <w:p w:rsidR="00EE41E3" w:rsidRPr="00EE41E3" w:rsidRDefault="00EE41E3" w:rsidP="003E0B5C">
      <w:pPr>
        <w:keepNext/>
        <w:spacing w:after="36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 xml:space="preserve">Abbreviations: FDG-PET, </w:t>
      </w:r>
      <w:proofErr w:type="spellStart"/>
      <w:r w:rsidRPr="00EE41E3">
        <w:rPr>
          <w:rFonts w:ascii="Arial Narrow" w:eastAsia="Calibri" w:hAnsi="Arial Narrow"/>
          <w:sz w:val="16"/>
          <w:szCs w:val="16"/>
          <w:lang w:eastAsia="en-US"/>
        </w:rPr>
        <w:t>fluorodeoxyglucose</w:t>
      </w:r>
      <w:proofErr w:type="spellEnd"/>
      <w:r w:rsidRPr="00EE41E3">
        <w:rPr>
          <w:rFonts w:ascii="Arial Narrow" w:eastAsia="Calibri" w:hAnsi="Arial Narrow"/>
          <w:sz w:val="16"/>
          <w:szCs w:val="16"/>
          <w:lang w:eastAsia="en-US"/>
        </w:rPr>
        <w:t xml:space="preserve"> positron emission tomography; MBS, Medicare Benefits Schedule</w:t>
      </w:r>
    </w:p>
    <w:p w:rsidR="003E0B5C" w:rsidRDefault="003E0B5C" w:rsidP="00EE41E3"/>
    <w:p w:rsidR="00EE41E3" w:rsidRPr="00EE41E3" w:rsidRDefault="00EE41E3" w:rsidP="00EE41E3">
      <w:r w:rsidRPr="00EE41E3">
        <w:t>The assessment report also anticipated that FDG</w:t>
      </w:r>
      <w:r w:rsidR="00F105A0">
        <w:t xml:space="preserve"> </w:t>
      </w:r>
      <w:r w:rsidRPr="00EE41E3">
        <w:t>PET would lead to more positive test results than in the case of SPECT. This would result in a greater proportion of individuals moving on to PBS-listed therapies to treat Alzheimer’s disease. The total net financial impact to the MBS and PBS budgets is presented in Table 6.</w:t>
      </w:r>
    </w:p>
    <w:p w:rsidR="00EE41E3" w:rsidRPr="00EE41E3" w:rsidRDefault="00EE41E3" w:rsidP="00EE41E3"/>
    <w:p w:rsidR="00EE41E3" w:rsidRDefault="003E5907" w:rsidP="00EE41E3">
      <w:pPr>
        <w:rPr>
          <w:b/>
        </w:rPr>
      </w:pPr>
      <w:r>
        <w:rPr>
          <w:b/>
        </w:rPr>
        <w:t xml:space="preserve">Table 6 </w:t>
      </w:r>
      <w:r w:rsidR="00EE41E3" w:rsidRPr="003E5907">
        <w:rPr>
          <w:b/>
        </w:rPr>
        <w:t>Net financial impact to the Government health budget</w:t>
      </w:r>
    </w:p>
    <w:p w:rsidR="003E5907" w:rsidRPr="003E5907" w:rsidRDefault="003E5907" w:rsidP="00EE41E3">
      <w:pPr>
        <w:rPr>
          <w:b/>
        </w:rPr>
      </w:pPr>
    </w:p>
    <w:tbl>
      <w:tblPr>
        <w:tblStyle w:val="TableGrid3"/>
        <w:tblW w:w="4932" w:type="pct"/>
        <w:tblInd w:w="108" w:type="dxa"/>
        <w:tblLook w:val="04A0" w:firstRow="1" w:lastRow="0" w:firstColumn="1" w:lastColumn="0" w:noHBand="0" w:noVBand="1"/>
        <w:tblCaption w:val="Net financial impact to the Government health budget"/>
        <w:tblDescription w:val="The total net financial impact to the MBS and PBS budgets from 2015 to 2019."/>
      </w:tblPr>
      <w:tblGrid>
        <w:gridCol w:w="3828"/>
        <w:gridCol w:w="1134"/>
        <w:gridCol w:w="992"/>
        <w:gridCol w:w="1134"/>
        <w:gridCol w:w="992"/>
        <w:gridCol w:w="1036"/>
      </w:tblGrid>
      <w:tr w:rsidR="00EE41E3" w:rsidRPr="00EE41E3" w:rsidTr="00510E7F">
        <w:trPr>
          <w:tblHeader/>
        </w:trPr>
        <w:tc>
          <w:tcPr>
            <w:tcW w:w="2100" w:type="pct"/>
          </w:tcPr>
          <w:p w:rsidR="00EE41E3" w:rsidRPr="00EE41E3" w:rsidRDefault="00EE41E3" w:rsidP="00EE41E3">
            <w:pPr>
              <w:keepNext/>
              <w:jc w:val="right"/>
              <w:rPr>
                <w:rFonts w:ascii="Arial Narrow" w:hAnsi="Arial Narrow" w:cs="Arial"/>
                <w:b/>
                <w:sz w:val="20"/>
              </w:rPr>
            </w:pPr>
          </w:p>
        </w:tc>
        <w:tc>
          <w:tcPr>
            <w:tcW w:w="622"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2015</w:t>
            </w:r>
          </w:p>
        </w:tc>
        <w:tc>
          <w:tcPr>
            <w:tcW w:w="544"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2016</w:t>
            </w:r>
          </w:p>
        </w:tc>
        <w:tc>
          <w:tcPr>
            <w:tcW w:w="622"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2017</w:t>
            </w:r>
          </w:p>
        </w:tc>
        <w:tc>
          <w:tcPr>
            <w:tcW w:w="544"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2018</w:t>
            </w:r>
          </w:p>
        </w:tc>
        <w:tc>
          <w:tcPr>
            <w:tcW w:w="568" w:type="pct"/>
          </w:tcPr>
          <w:p w:rsidR="00EE41E3" w:rsidRPr="00EE41E3" w:rsidRDefault="00EE41E3" w:rsidP="00EE41E3">
            <w:pPr>
              <w:keepNext/>
              <w:jc w:val="right"/>
              <w:rPr>
                <w:rFonts w:ascii="Arial Narrow" w:hAnsi="Arial Narrow" w:cs="Arial"/>
                <w:b/>
                <w:sz w:val="20"/>
              </w:rPr>
            </w:pPr>
            <w:r w:rsidRPr="00EE41E3">
              <w:rPr>
                <w:rFonts w:ascii="Arial Narrow" w:hAnsi="Arial Narrow" w:cs="Arial"/>
                <w:b/>
                <w:sz w:val="20"/>
              </w:rPr>
              <w:t>2019</w:t>
            </w:r>
          </w:p>
        </w:tc>
      </w:tr>
      <w:tr w:rsidR="00EE41E3" w:rsidRPr="00EE41E3" w:rsidTr="00510E7F">
        <w:tc>
          <w:tcPr>
            <w:tcW w:w="2100" w:type="pct"/>
          </w:tcPr>
          <w:p w:rsidR="00EE41E3" w:rsidRPr="00EE41E3" w:rsidRDefault="00EE41E3" w:rsidP="00EE41E3">
            <w:pPr>
              <w:keepNext/>
              <w:rPr>
                <w:rFonts w:ascii="Arial Narrow" w:hAnsi="Arial Narrow"/>
                <w:sz w:val="20"/>
                <w:szCs w:val="24"/>
              </w:rPr>
            </w:pPr>
            <w:r w:rsidRPr="00EE41E3">
              <w:rPr>
                <w:rFonts w:ascii="Arial Narrow" w:hAnsi="Arial Narrow"/>
                <w:sz w:val="20"/>
                <w:szCs w:val="24"/>
              </w:rPr>
              <w:t>Net impact to the MBS</w:t>
            </w:r>
          </w:p>
        </w:tc>
        <w:tc>
          <w:tcPr>
            <w:tcW w:w="62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$62,133</w:t>
            </w:r>
          </w:p>
        </w:tc>
        <w:tc>
          <w:tcPr>
            <w:tcW w:w="544"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$166,142</w:t>
            </w:r>
          </w:p>
        </w:tc>
        <w:tc>
          <w:tcPr>
            <w:tcW w:w="62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$280,159</w:t>
            </w:r>
          </w:p>
        </w:tc>
        <w:tc>
          <w:tcPr>
            <w:tcW w:w="544"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$401,361</w:t>
            </w:r>
          </w:p>
        </w:tc>
        <w:tc>
          <w:tcPr>
            <w:tcW w:w="568"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$509,718</w:t>
            </w:r>
          </w:p>
        </w:tc>
      </w:tr>
      <w:tr w:rsidR="00EE41E3" w:rsidRPr="00EE41E3" w:rsidTr="00510E7F">
        <w:tc>
          <w:tcPr>
            <w:tcW w:w="2100" w:type="pct"/>
          </w:tcPr>
          <w:p w:rsidR="00EE41E3" w:rsidRPr="00EE41E3" w:rsidRDefault="00EE41E3" w:rsidP="00EE41E3">
            <w:pPr>
              <w:keepNext/>
              <w:rPr>
                <w:rFonts w:ascii="Arial Narrow" w:hAnsi="Arial Narrow"/>
                <w:sz w:val="20"/>
                <w:szCs w:val="24"/>
              </w:rPr>
            </w:pPr>
            <w:r w:rsidRPr="00EE41E3">
              <w:rPr>
                <w:rFonts w:ascii="Arial Narrow" w:hAnsi="Arial Narrow"/>
                <w:sz w:val="20"/>
                <w:szCs w:val="24"/>
              </w:rPr>
              <w:t>Net impact to the PBS</w:t>
            </w:r>
          </w:p>
        </w:tc>
        <w:tc>
          <w:tcPr>
            <w:tcW w:w="62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$4,111</w:t>
            </w:r>
          </w:p>
        </w:tc>
        <w:tc>
          <w:tcPr>
            <w:tcW w:w="544"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$9,337</w:t>
            </w:r>
          </w:p>
        </w:tc>
        <w:tc>
          <w:tcPr>
            <w:tcW w:w="62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$15,064</w:t>
            </w:r>
          </w:p>
        </w:tc>
        <w:tc>
          <w:tcPr>
            <w:tcW w:w="544"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$21,141</w:t>
            </w:r>
          </w:p>
        </w:tc>
        <w:tc>
          <w:tcPr>
            <w:tcW w:w="568"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$26,181</w:t>
            </w:r>
          </w:p>
        </w:tc>
      </w:tr>
      <w:tr w:rsidR="00EE41E3" w:rsidRPr="00EE41E3" w:rsidTr="00510E7F">
        <w:tc>
          <w:tcPr>
            <w:tcW w:w="2100" w:type="pct"/>
          </w:tcPr>
          <w:p w:rsidR="00EE41E3" w:rsidRPr="00EE41E3" w:rsidRDefault="00EE41E3" w:rsidP="00EE41E3">
            <w:pPr>
              <w:keepNext/>
              <w:rPr>
                <w:rFonts w:ascii="Arial Narrow" w:hAnsi="Arial Narrow"/>
                <w:sz w:val="20"/>
                <w:szCs w:val="24"/>
              </w:rPr>
            </w:pPr>
            <w:r w:rsidRPr="00EE41E3">
              <w:rPr>
                <w:rFonts w:ascii="Arial Narrow" w:hAnsi="Arial Narrow"/>
                <w:sz w:val="20"/>
                <w:szCs w:val="24"/>
              </w:rPr>
              <w:t>Total net impact</w:t>
            </w:r>
          </w:p>
        </w:tc>
        <w:tc>
          <w:tcPr>
            <w:tcW w:w="62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$66,244</w:t>
            </w:r>
          </w:p>
        </w:tc>
        <w:tc>
          <w:tcPr>
            <w:tcW w:w="544"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$175,479</w:t>
            </w:r>
          </w:p>
        </w:tc>
        <w:tc>
          <w:tcPr>
            <w:tcW w:w="622"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$295,222</w:t>
            </w:r>
          </w:p>
        </w:tc>
        <w:tc>
          <w:tcPr>
            <w:tcW w:w="544"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$422,502</w:t>
            </w:r>
          </w:p>
        </w:tc>
        <w:tc>
          <w:tcPr>
            <w:tcW w:w="568" w:type="pct"/>
          </w:tcPr>
          <w:p w:rsidR="00EE41E3" w:rsidRPr="00EE41E3" w:rsidRDefault="00EE41E3" w:rsidP="00EE41E3">
            <w:pPr>
              <w:keepNext/>
              <w:jc w:val="right"/>
              <w:rPr>
                <w:rFonts w:ascii="Arial Narrow" w:hAnsi="Arial Narrow"/>
                <w:sz w:val="20"/>
                <w:szCs w:val="24"/>
              </w:rPr>
            </w:pPr>
            <w:r w:rsidRPr="00EE41E3">
              <w:rPr>
                <w:rFonts w:ascii="Arial Narrow" w:hAnsi="Arial Narrow"/>
                <w:sz w:val="20"/>
                <w:szCs w:val="24"/>
              </w:rPr>
              <w:t>$535,898</w:t>
            </w:r>
          </w:p>
        </w:tc>
      </w:tr>
    </w:tbl>
    <w:p w:rsidR="00EE41E3" w:rsidRPr="00EE41E3" w:rsidRDefault="00EE41E3" w:rsidP="00510E7F">
      <w:pPr>
        <w:spacing w:after="360"/>
        <w:contextualSpacing/>
        <w:rPr>
          <w:rFonts w:ascii="Arial Narrow" w:eastAsia="Calibri" w:hAnsi="Arial Narrow"/>
          <w:sz w:val="16"/>
          <w:szCs w:val="16"/>
          <w:lang w:eastAsia="en-US"/>
        </w:rPr>
      </w:pPr>
      <w:r w:rsidRPr="00EE41E3">
        <w:rPr>
          <w:rFonts w:ascii="Arial Narrow" w:eastAsia="Calibri" w:hAnsi="Arial Narrow"/>
          <w:sz w:val="16"/>
          <w:szCs w:val="16"/>
          <w:lang w:eastAsia="en-US"/>
        </w:rPr>
        <w:t>Abbreviations: MBS, Medicare Benefits Schedule; PBS, Pharmaceutical Benefits Schedule</w:t>
      </w:r>
    </w:p>
    <w:p w:rsidR="00510E7F" w:rsidRPr="00510E7F" w:rsidRDefault="00510E7F" w:rsidP="00D340DE">
      <w:pPr>
        <w:rPr>
          <w:szCs w:val="24"/>
        </w:rPr>
      </w:pPr>
    </w:p>
    <w:p w:rsidR="00331E4F" w:rsidRDefault="00331E4F">
      <w:pPr>
        <w:rPr>
          <w:rFonts w:ascii="Arial" w:hAnsi="Arial"/>
          <w:b/>
          <w:bCs/>
          <w:szCs w:val="28"/>
        </w:rPr>
      </w:pPr>
      <w:r>
        <w:br w:type="page"/>
      </w:r>
    </w:p>
    <w:p w:rsidR="006A0D97" w:rsidRDefault="006A0D97" w:rsidP="006A0D97">
      <w:pPr>
        <w:pStyle w:val="Heading1"/>
        <w:numPr>
          <w:ilvl w:val="0"/>
          <w:numId w:val="23"/>
        </w:numPr>
        <w:ind w:hanging="720"/>
      </w:pPr>
      <w:bookmarkStart w:id="3" w:name="_GoBack"/>
      <w:bookmarkEnd w:id="3"/>
      <w:r w:rsidRPr="006A0D97">
        <w:lastRenderedPageBreak/>
        <w:t>Key issues from ESC for MSAC</w:t>
      </w:r>
    </w:p>
    <w:p w:rsidR="00EE41E3" w:rsidRPr="003360D7" w:rsidRDefault="00EE41E3" w:rsidP="00EE41E3">
      <w:pPr>
        <w:pStyle w:val="NoSpacing"/>
        <w:rPr>
          <w:rFonts w:ascii="Times New Roman" w:hAnsi="Times New Roman" w:cs="Times New Roman"/>
          <w:sz w:val="24"/>
          <w:szCs w:val="24"/>
        </w:rPr>
      </w:pPr>
    </w:p>
    <w:p w:rsidR="00EE41E3" w:rsidRPr="00AD2E2B" w:rsidRDefault="00EE41E3" w:rsidP="00EE41E3">
      <w:pPr>
        <w:pStyle w:val="NoSpacing"/>
        <w:rPr>
          <w:rFonts w:ascii="Times New Roman" w:hAnsi="Times New Roman" w:cs="Times New Roman"/>
          <w:sz w:val="24"/>
          <w:szCs w:val="24"/>
        </w:rPr>
      </w:pPr>
      <w:r w:rsidRPr="00AD2E2B">
        <w:rPr>
          <w:rFonts w:ascii="Times New Roman" w:hAnsi="Times New Roman" w:cs="Times New Roman"/>
          <w:sz w:val="24"/>
          <w:szCs w:val="24"/>
        </w:rPr>
        <w:t>ESC noted that there were no primary studies which reported on the comparative safety of FDG</w:t>
      </w:r>
      <w:r w:rsidR="00F105A0">
        <w:rPr>
          <w:rFonts w:ascii="Times New Roman" w:hAnsi="Times New Roman" w:cs="Times New Roman"/>
          <w:sz w:val="24"/>
          <w:szCs w:val="24"/>
        </w:rPr>
        <w:t xml:space="preserve"> </w:t>
      </w:r>
      <w:r w:rsidRPr="00AD2E2B">
        <w:rPr>
          <w:rFonts w:ascii="Times New Roman" w:hAnsi="Times New Roman" w:cs="Times New Roman"/>
          <w:sz w:val="24"/>
          <w:szCs w:val="24"/>
        </w:rPr>
        <w:t xml:space="preserve">PET and the main comparator, single-photon emission computed tomography (SPECT), for the diagnosis of </w:t>
      </w:r>
      <w:r>
        <w:rPr>
          <w:rFonts w:ascii="Times New Roman" w:hAnsi="Times New Roman" w:cs="Times New Roman"/>
          <w:sz w:val="24"/>
          <w:szCs w:val="24"/>
        </w:rPr>
        <w:t>Alzheimer’s disease</w:t>
      </w:r>
      <w:r w:rsidRPr="00AD2E2B">
        <w:rPr>
          <w:rFonts w:ascii="Times New Roman" w:hAnsi="Times New Roman" w:cs="Times New Roman"/>
          <w:sz w:val="24"/>
          <w:szCs w:val="24"/>
        </w:rPr>
        <w:t>.</w:t>
      </w:r>
    </w:p>
    <w:p w:rsidR="00EE41E3"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ESC considered that key </w:t>
      </w:r>
      <w:r w:rsidRPr="00CF692C">
        <w:rPr>
          <w:rFonts w:ascii="Times New Roman" w:hAnsi="Times New Roman" w:cs="Times New Roman"/>
          <w:sz w:val="24"/>
          <w:szCs w:val="24"/>
          <w:lang w:val="en-US"/>
        </w:rPr>
        <w:t xml:space="preserve">safety issues would relate to the use of the radiopharmaceutical rather </w:t>
      </w:r>
      <w:r>
        <w:rPr>
          <w:rFonts w:ascii="Times New Roman" w:hAnsi="Times New Roman" w:cs="Times New Roman"/>
          <w:sz w:val="24"/>
          <w:szCs w:val="24"/>
          <w:lang w:val="en-US"/>
        </w:rPr>
        <w:t xml:space="preserve">than </w:t>
      </w:r>
      <w:r w:rsidRPr="00CF692C">
        <w:rPr>
          <w:rFonts w:ascii="Times New Roman" w:hAnsi="Times New Roman" w:cs="Times New Roman"/>
          <w:sz w:val="24"/>
          <w:szCs w:val="24"/>
          <w:lang w:val="en-US"/>
        </w:rPr>
        <w:t>the procedure as a whole</w:t>
      </w:r>
      <w:r>
        <w:rPr>
          <w:rFonts w:ascii="Times New Roman" w:hAnsi="Times New Roman" w:cs="Times New Roman"/>
          <w:sz w:val="24"/>
          <w:szCs w:val="24"/>
          <w:lang w:val="en-US"/>
        </w:rPr>
        <w:t xml:space="preserve">. ESC noted that </w:t>
      </w:r>
      <w:r w:rsidRPr="00CF692C">
        <w:rPr>
          <w:rFonts w:ascii="Times New Roman" w:hAnsi="Times New Roman" w:cs="Times New Roman"/>
          <w:sz w:val="24"/>
          <w:szCs w:val="24"/>
          <w:lang w:val="en-US"/>
        </w:rPr>
        <w:t>FDG</w:t>
      </w:r>
      <w:r w:rsidR="00F105A0">
        <w:rPr>
          <w:rFonts w:ascii="Times New Roman" w:hAnsi="Times New Roman" w:cs="Times New Roman"/>
          <w:sz w:val="24"/>
          <w:szCs w:val="24"/>
          <w:lang w:val="en-US"/>
        </w:rPr>
        <w:t xml:space="preserve"> </w:t>
      </w:r>
      <w:r w:rsidRPr="00CF692C">
        <w:rPr>
          <w:rFonts w:ascii="Times New Roman" w:hAnsi="Times New Roman" w:cs="Times New Roman"/>
          <w:sz w:val="24"/>
          <w:szCs w:val="24"/>
          <w:lang w:val="en-US"/>
        </w:rPr>
        <w:t>PET and SPECT have been assigned the same Relative Radiation Level</w:t>
      </w:r>
      <w:r>
        <w:rPr>
          <w:rFonts w:ascii="Times New Roman" w:hAnsi="Times New Roman" w:cs="Times New Roman"/>
          <w:sz w:val="24"/>
          <w:szCs w:val="24"/>
          <w:lang w:val="en-US"/>
        </w:rPr>
        <w:t xml:space="preserve">. </w:t>
      </w:r>
      <w:r w:rsidRPr="005621BA">
        <w:rPr>
          <w:rFonts w:ascii="Times New Roman" w:hAnsi="Times New Roman" w:cs="Times New Roman"/>
          <w:sz w:val="24"/>
          <w:szCs w:val="24"/>
        </w:rPr>
        <w:t xml:space="preserve">ESC noted that </w:t>
      </w:r>
      <w:r>
        <w:rPr>
          <w:rFonts w:ascii="Times New Roman" w:hAnsi="Times New Roman" w:cs="Times New Roman"/>
          <w:sz w:val="24"/>
          <w:szCs w:val="24"/>
        </w:rPr>
        <w:t xml:space="preserve">the </w:t>
      </w:r>
      <w:r w:rsidRPr="005621BA">
        <w:rPr>
          <w:rFonts w:ascii="Times New Roman" w:hAnsi="Times New Roman" w:cs="Times New Roman"/>
          <w:sz w:val="24"/>
          <w:szCs w:val="24"/>
        </w:rPr>
        <w:t xml:space="preserve">interventions </w:t>
      </w:r>
      <w:r>
        <w:rPr>
          <w:rFonts w:ascii="Times New Roman" w:hAnsi="Times New Roman" w:cs="Times New Roman"/>
          <w:sz w:val="24"/>
          <w:szCs w:val="24"/>
        </w:rPr>
        <w:t xml:space="preserve">would therefore have </w:t>
      </w:r>
      <w:r w:rsidRPr="005621BA">
        <w:rPr>
          <w:rFonts w:ascii="Times New Roman" w:hAnsi="Times New Roman" w:cs="Times New Roman"/>
          <w:sz w:val="24"/>
          <w:szCs w:val="24"/>
        </w:rPr>
        <w:t>equivalent safety issues.</w:t>
      </w:r>
    </w:p>
    <w:p w:rsidR="00EE41E3" w:rsidRDefault="00EE41E3" w:rsidP="00EE41E3">
      <w:pPr>
        <w:pStyle w:val="NoSpacing"/>
        <w:rPr>
          <w:rFonts w:ascii="Times New Roman" w:hAnsi="Times New Roman" w:cs="Times New Roman"/>
          <w:sz w:val="24"/>
          <w:szCs w:val="24"/>
          <w:lang w:val="en-US"/>
        </w:rPr>
      </w:pPr>
    </w:p>
    <w:p w:rsidR="00EE41E3" w:rsidRPr="003360D7" w:rsidRDefault="00EE41E3" w:rsidP="00EE41E3">
      <w:pPr>
        <w:pStyle w:val="NoSpacing"/>
        <w:rPr>
          <w:rFonts w:ascii="Times New Roman" w:hAnsi="Times New Roman" w:cs="Times New Roman"/>
          <w:sz w:val="24"/>
          <w:szCs w:val="24"/>
        </w:rPr>
      </w:pPr>
      <w:r w:rsidRPr="003360D7">
        <w:rPr>
          <w:rFonts w:ascii="Times New Roman" w:hAnsi="Times New Roman" w:cs="Times New Roman"/>
          <w:sz w:val="24"/>
          <w:szCs w:val="24"/>
        </w:rPr>
        <w:t xml:space="preserve">ESC </w:t>
      </w:r>
      <w:r>
        <w:rPr>
          <w:rFonts w:ascii="Times New Roman" w:hAnsi="Times New Roman" w:cs="Times New Roman"/>
          <w:sz w:val="24"/>
          <w:szCs w:val="24"/>
        </w:rPr>
        <w:t>noted</w:t>
      </w:r>
      <w:r w:rsidRPr="003360D7">
        <w:rPr>
          <w:rFonts w:ascii="Times New Roman" w:hAnsi="Times New Roman" w:cs="Times New Roman"/>
          <w:sz w:val="24"/>
          <w:szCs w:val="24"/>
        </w:rPr>
        <w:t xml:space="preserve"> that that PET </w:t>
      </w:r>
      <w:r>
        <w:rPr>
          <w:rFonts w:ascii="Times New Roman" w:hAnsi="Times New Roman" w:cs="Times New Roman"/>
          <w:sz w:val="24"/>
          <w:szCs w:val="24"/>
        </w:rPr>
        <w:t>was generally</w:t>
      </w:r>
      <w:r w:rsidR="00510E7F">
        <w:rPr>
          <w:rFonts w:ascii="Times New Roman" w:hAnsi="Times New Roman" w:cs="Times New Roman"/>
          <w:sz w:val="24"/>
          <w:szCs w:val="24"/>
        </w:rPr>
        <w:t xml:space="preserve"> accepted as safe.</w:t>
      </w:r>
    </w:p>
    <w:p w:rsidR="00EE41E3" w:rsidRPr="00E71691" w:rsidRDefault="00EE41E3" w:rsidP="00EE41E3"/>
    <w:p w:rsidR="00EE41E3" w:rsidRDefault="00EE41E3" w:rsidP="00EE41E3">
      <w:pPr>
        <w:pStyle w:val="NoSpacing"/>
        <w:rPr>
          <w:rFonts w:ascii="Times New Roman" w:hAnsi="Times New Roman" w:cs="Times New Roman"/>
          <w:sz w:val="24"/>
          <w:szCs w:val="24"/>
        </w:rPr>
      </w:pPr>
      <w:r>
        <w:rPr>
          <w:rFonts w:ascii="Times New Roman" w:hAnsi="Times New Roman" w:cs="Times New Roman"/>
          <w:sz w:val="24"/>
          <w:szCs w:val="24"/>
        </w:rPr>
        <w:t>ESC noted that the limited body of direct</w:t>
      </w:r>
      <w:r w:rsidR="006562F2">
        <w:rPr>
          <w:rFonts w:ascii="Times New Roman" w:hAnsi="Times New Roman" w:cs="Times New Roman"/>
          <w:sz w:val="24"/>
          <w:szCs w:val="24"/>
        </w:rPr>
        <w:t>ly comparative</w:t>
      </w:r>
      <w:r>
        <w:rPr>
          <w:rFonts w:ascii="Times New Roman" w:hAnsi="Times New Roman" w:cs="Times New Roman"/>
          <w:sz w:val="24"/>
          <w:szCs w:val="24"/>
        </w:rPr>
        <w:t xml:space="preserve"> evidence contributed to significant </w:t>
      </w:r>
      <w:r w:rsidRPr="00EC33BE">
        <w:rPr>
          <w:rFonts w:ascii="Times New Roman" w:hAnsi="Times New Roman" w:cs="Times New Roman"/>
          <w:sz w:val="24"/>
          <w:szCs w:val="24"/>
        </w:rPr>
        <w:t>uncertainty in the assessment of the comparative diagnostic performance of FDG</w:t>
      </w:r>
      <w:r w:rsidR="00F105A0">
        <w:rPr>
          <w:rFonts w:ascii="Times New Roman" w:hAnsi="Times New Roman" w:cs="Times New Roman"/>
          <w:sz w:val="24"/>
          <w:szCs w:val="24"/>
        </w:rPr>
        <w:t xml:space="preserve"> </w:t>
      </w:r>
      <w:r w:rsidRPr="00EC33BE">
        <w:rPr>
          <w:rFonts w:ascii="Times New Roman" w:hAnsi="Times New Roman" w:cs="Times New Roman"/>
          <w:sz w:val="24"/>
          <w:szCs w:val="24"/>
        </w:rPr>
        <w:t xml:space="preserve">PET </w:t>
      </w:r>
      <w:r>
        <w:rPr>
          <w:rFonts w:ascii="Times New Roman" w:hAnsi="Times New Roman" w:cs="Times New Roman"/>
          <w:sz w:val="24"/>
          <w:szCs w:val="24"/>
        </w:rPr>
        <w:t>versus</w:t>
      </w:r>
      <w:r w:rsidRPr="00EC33BE">
        <w:rPr>
          <w:rFonts w:ascii="Times New Roman" w:hAnsi="Times New Roman" w:cs="Times New Roman"/>
          <w:sz w:val="24"/>
          <w:szCs w:val="24"/>
        </w:rPr>
        <w:t xml:space="preserve"> SPECT</w:t>
      </w:r>
      <w:r>
        <w:rPr>
          <w:rFonts w:ascii="Times New Roman" w:hAnsi="Times New Roman" w:cs="Times New Roman"/>
          <w:sz w:val="24"/>
          <w:szCs w:val="24"/>
        </w:rPr>
        <w:t>.</w:t>
      </w:r>
    </w:p>
    <w:p w:rsidR="00EE41E3"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sidRPr="00966B72">
        <w:rPr>
          <w:rFonts w:ascii="Times New Roman" w:hAnsi="Times New Roman" w:cs="Times New Roman"/>
          <w:sz w:val="24"/>
          <w:szCs w:val="24"/>
        </w:rPr>
        <w:t xml:space="preserve">ESC </w:t>
      </w:r>
      <w:r>
        <w:rPr>
          <w:rFonts w:ascii="Times New Roman" w:hAnsi="Times New Roman" w:cs="Times New Roman"/>
          <w:sz w:val="24"/>
          <w:szCs w:val="24"/>
        </w:rPr>
        <w:t xml:space="preserve">considered </w:t>
      </w:r>
      <w:r w:rsidRPr="00966B72">
        <w:rPr>
          <w:rFonts w:ascii="Times New Roman" w:hAnsi="Times New Roman" w:cs="Times New Roman"/>
          <w:sz w:val="24"/>
          <w:szCs w:val="24"/>
        </w:rPr>
        <w:t xml:space="preserve">the quality of evidence </w:t>
      </w:r>
      <w:r>
        <w:rPr>
          <w:rFonts w:ascii="Times New Roman" w:hAnsi="Times New Roman" w:cs="Times New Roman"/>
          <w:sz w:val="24"/>
          <w:szCs w:val="24"/>
        </w:rPr>
        <w:t xml:space="preserve">to be </w:t>
      </w:r>
      <w:r w:rsidRPr="00966B72">
        <w:rPr>
          <w:rFonts w:ascii="Times New Roman" w:hAnsi="Times New Roman" w:cs="Times New Roman"/>
          <w:sz w:val="24"/>
          <w:szCs w:val="24"/>
        </w:rPr>
        <w:t>poor</w:t>
      </w:r>
      <w:r>
        <w:rPr>
          <w:rFonts w:ascii="Times New Roman" w:hAnsi="Times New Roman" w:cs="Times New Roman"/>
          <w:sz w:val="24"/>
          <w:szCs w:val="24"/>
        </w:rPr>
        <w:t>,</w:t>
      </w:r>
      <w:r w:rsidRPr="00966B72">
        <w:rPr>
          <w:rFonts w:ascii="Times New Roman" w:hAnsi="Times New Roman" w:cs="Times New Roman"/>
          <w:sz w:val="24"/>
          <w:szCs w:val="24"/>
        </w:rPr>
        <w:t xml:space="preserve"> with small sample sizes, variable control groups, </w:t>
      </w:r>
      <w:proofErr w:type="gramStart"/>
      <w:r>
        <w:rPr>
          <w:rFonts w:ascii="Times New Roman" w:hAnsi="Times New Roman" w:cs="Times New Roman"/>
          <w:sz w:val="24"/>
          <w:szCs w:val="24"/>
        </w:rPr>
        <w:t>poor</w:t>
      </w:r>
      <w:proofErr w:type="gramEnd"/>
      <w:r>
        <w:rPr>
          <w:rFonts w:ascii="Times New Roman" w:hAnsi="Times New Roman" w:cs="Times New Roman"/>
          <w:sz w:val="24"/>
          <w:szCs w:val="24"/>
        </w:rPr>
        <w:t xml:space="preserve"> </w:t>
      </w:r>
      <w:r w:rsidRPr="00966B72">
        <w:rPr>
          <w:rFonts w:ascii="Times New Roman" w:hAnsi="Times New Roman" w:cs="Times New Roman"/>
          <w:sz w:val="24"/>
          <w:szCs w:val="24"/>
        </w:rPr>
        <w:t xml:space="preserve">quality of reporting and insufficient use of reference standards within and across studies. </w:t>
      </w:r>
      <w:r>
        <w:rPr>
          <w:rFonts w:ascii="Times New Roman" w:hAnsi="Times New Roman" w:cs="Times New Roman"/>
          <w:sz w:val="24"/>
          <w:szCs w:val="24"/>
        </w:rPr>
        <w:t xml:space="preserve">ESC also noted </w:t>
      </w:r>
      <w:r w:rsidRPr="00966B72">
        <w:rPr>
          <w:rFonts w:ascii="Times New Roman" w:hAnsi="Times New Roman" w:cs="Times New Roman"/>
          <w:sz w:val="24"/>
          <w:szCs w:val="24"/>
        </w:rPr>
        <w:t>that</w:t>
      </w:r>
      <w:r w:rsidR="00C351BF">
        <w:rPr>
          <w:rFonts w:ascii="Times New Roman" w:hAnsi="Times New Roman" w:cs="Times New Roman"/>
          <w:sz w:val="24"/>
          <w:szCs w:val="24"/>
        </w:rPr>
        <w:t>,</w:t>
      </w:r>
      <w:r>
        <w:rPr>
          <w:rFonts w:ascii="Times New Roman" w:hAnsi="Times New Roman" w:cs="Times New Roman"/>
          <w:sz w:val="24"/>
          <w:szCs w:val="24"/>
        </w:rPr>
        <w:t xml:space="preserve"> in the majority of studies</w:t>
      </w:r>
      <w:r w:rsidR="00C351BF">
        <w:rPr>
          <w:rFonts w:ascii="Times New Roman" w:hAnsi="Times New Roman" w:cs="Times New Roman"/>
          <w:sz w:val="24"/>
          <w:szCs w:val="24"/>
        </w:rPr>
        <w:t>,</w:t>
      </w:r>
      <w:r w:rsidRPr="00966B72">
        <w:rPr>
          <w:rFonts w:ascii="Times New Roman" w:hAnsi="Times New Roman" w:cs="Times New Roman"/>
          <w:sz w:val="24"/>
          <w:szCs w:val="24"/>
        </w:rPr>
        <w:t xml:space="preserve"> the study populations were not applicable to the </w:t>
      </w:r>
      <w:r>
        <w:rPr>
          <w:rFonts w:ascii="Times New Roman" w:hAnsi="Times New Roman" w:cs="Times New Roman"/>
          <w:sz w:val="24"/>
          <w:szCs w:val="24"/>
        </w:rPr>
        <w:t xml:space="preserve">proposed </w:t>
      </w:r>
      <w:r w:rsidRPr="00966B72">
        <w:rPr>
          <w:rFonts w:ascii="Times New Roman" w:hAnsi="Times New Roman" w:cs="Times New Roman"/>
          <w:sz w:val="24"/>
          <w:szCs w:val="24"/>
        </w:rPr>
        <w:t>MBS population.</w:t>
      </w:r>
    </w:p>
    <w:p w:rsidR="00EE41E3" w:rsidRDefault="00EE41E3" w:rsidP="00EE41E3">
      <w:pPr>
        <w:pStyle w:val="NoSpacing"/>
        <w:rPr>
          <w:rFonts w:ascii="Times New Roman" w:hAnsi="Times New Roman" w:cs="Times New Roman"/>
          <w:sz w:val="24"/>
          <w:szCs w:val="24"/>
        </w:rPr>
      </w:pPr>
    </w:p>
    <w:p w:rsidR="00EE41E3" w:rsidRPr="00330577" w:rsidRDefault="00C351BF" w:rsidP="00EE41E3">
      <w:r>
        <w:t>ESC agreed with the assessment</w:t>
      </w:r>
      <w:r w:rsidR="00EE41E3">
        <w:t xml:space="preserve"> report’s cautionary conclusion: “based on the limited body of evidence presented in Section B, it cannot be concluded that the diagnostic accuracy of FDG</w:t>
      </w:r>
      <w:r w:rsidR="00F105A0">
        <w:t xml:space="preserve"> </w:t>
      </w:r>
      <w:r w:rsidR="00EE41E3">
        <w:t>PET is superior to SPECT in patients with suspected AD. Although the results numerically favour FDG</w:t>
      </w:r>
      <w:r w:rsidR="00F105A0">
        <w:t xml:space="preserve"> </w:t>
      </w:r>
      <w:r w:rsidR="00EE41E3">
        <w:t>PET, it is unclear whether this would represent a true difference between the imaging modalities in clinical practice</w:t>
      </w:r>
      <w:r w:rsidR="006562F2">
        <w:t>.</w:t>
      </w:r>
      <w:r w:rsidR="00EE41E3">
        <w:t>”</w:t>
      </w:r>
    </w:p>
    <w:p w:rsidR="00EE41E3" w:rsidRDefault="00EE41E3" w:rsidP="00EE41E3">
      <w:pPr>
        <w:pStyle w:val="NoSpacing"/>
        <w:rPr>
          <w:rFonts w:ascii="Times New Roman" w:hAnsi="Times New Roman" w:cs="Times New Roman"/>
          <w:sz w:val="24"/>
          <w:szCs w:val="24"/>
        </w:rPr>
      </w:pPr>
    </w:p>
    <w:p w:rsidR="00EE41E3" w:rsidRPr="008453A8" w:rsidRDefault="00EE41E3" w:rsidP="00EE41E3">
      <w:pPr>
        <w:pStyle w:val="NoSpacing"/>
        <w:rPr>
          <w:rFonts w:ascii="Times New Roman" w:hAnsi="Times New Roman" w:cs="Times New Roman"/>
          <w:sz w:val="24"/>
          <w:szCs w:val="24"/>
        </w:rPr>
      </w:pPr>
      <w:r w:rsidRPr="008453A8">
        <w:rPr>
          <w:rFonts w:ascii="Times New Roman" w:hAnsi="Times New Roman" w:cs="Times New Roman"/>
          <w:sz w:val="24"/>
          <w:szCs w:val="24"/>
        </w:rPr>
        <w:t xml:space="preserve">ESC </w:t>
      </w:r>
      <w:r>
        <w:rPr>
          <w:rFonts w:ascii="Times New Roman" w:hAnsi="Times New Roman" w:cs="Times New Roman"/>
          <w:sz w:val="24"/>
          <w:szCs w:val="24"/>
        </w:rPr>
        <w:t>agreed with the assessors who considered</w:t>
      </w:r>
      <w:r w:rsidRPr="008453A8">
        <w:rPr>
          <w:rFonts w:ascii="Times New Roman" w:hAnsi="Times New Roman" w:cs="Times New Roman"/>
          <w:sz w:val="24"/>
          <w:szCs w:val="24"/>
        </w:rPr>
        <w:t xml:space="preserve"> the only useful head-to-head studies </w:t>
      </w:r>
      <w:r>
        <w:rPr>
          <w:rFonts w:ascii="Times New Roman" w:hAnsi="Times New Roman" w:cs="Times New Roman"/>
          <w:sz w:val="24"/>
          <w:szCs w:val="24"/>
        </w:rPr>
        <w:t xml:space="preserve">to be </w:t>
      </w:r>
      <w:proofErr w:type="spellStart"/>
      <w:r w:rsidR="006562F2" w:rsidRPr="006562F2">
        <w:rPr>
          <w:rFonts w:ascii="Times New Roman" w:hAnsi="Times New Roman" w:cs="Times New Roman"/>
          <w:sz w:val="24"/>
          <w:szCs w:val="24"/>
        </w:rPr>
        <w:t>Döbert</w:t>
      </w:r>
      <w:proofErr w:type="spellEnd"/>
      <w:r w:rsidR="006562F2" w:rsidRPr="006562F2">
        <w:rPr>
          <w:rFonts w:ascii="Times New Roman" w:hAnsi="Times New Roman" w:cs="Times New Roman"/>
          <w:sz w:val="24"/>
          <w:szCs w:val="24"/>
        </w:rPr>
        <w:t xml:space="preserve"> et al, 2005</w:t>
      </w:r>
      <w:r w:rsidRPr="008453A8">
        <w:rPr>
          <w:rFonts w:ascii="Times New Roman" w:hAnsi="Times New Roman" w:cs="Times New Roman"/>
          <w:sz w:val="24"/>
          <w:szCs w:val="24"/>
        </w:rPr>
        <w:t xml:space="preserve"> and Ito </w:t>
      </w:r>
      <w:r w:rsidR="006562F2">
        <w:rPr>
          <w:rFonts w:ascii="Times New Roman" w:hAnsi="Times New Roman" w:cs="Times New Roman"/>
          <w:sz w:val="24"/>
          <w:szCs w:val="24"/>
        </w:rPr>
        <w:t xml:space="preserve">et al, </w:t>
      </w:r>
      <w:r w:rsidRPr="008453A8">
        <w:rPr>
          <w:rFonts w:ascii="Times New Roman" w:hAnsi="Times New Roman" w:cs="Times New Roman"/>
          <w:sz w:val="24"/>
          <w:szCs w:val="24"/>
        </w:rPr>
        <w:t>2014</w:t>
      </w:r>
      <w:r>
        <w:rPr>
          <w:rFonts w:ascii="Times New Roman" w:hAnsi="Times New Roman" w:cs="Times New Roman"/>
          <w:sz w:val="24"/>
          <w:szCs w:val="24"/>
        </w:rPr>
        <w:t xml:space="preserve">, which were conducted in applicable patient populations, and included partial reference standards (i.e. </w:t>
      </w:r>
      <w:r w:rsidR="006562F2">
        <w:rPr>
          <w:rFonts w:ascii="Times New Roman" w:hAnsi="Times New Roman" w:cs="Times New Roman"/>
          <w:sz w:val="24"/>
          <w:szCs w:val="24"/>
        </w:rPr>
        <w:t>c</w:t>
      </w:r>
      <w:r>
        <w:rPr>
          <w:rFonts w:ascii="Times New Roman" w:hAnsi="Times New Roman" w:cs="Times New Roman"/>
          <w:sz w:val="24"/>
          <w:szCs w:val="24"/>
        </w:rPr>
        <w:t>linical but not histopathological confirmation)</w:t>
      </w:r>
      <w:r w:rsidRPr="008453A8">
        <w:rPr>
          <w:rFonts w:ascii="Times New Roman" w:hAnsi="Times New Roman" w:cs="Times New Roman"/>
          <w:sz w:val="24"/>
          <w:szCs w:val="24"/>
        </w:rPr>
        <w:t xml:space="preserve">. ESC </w:t>
      </w:r>
      <w:r>
        <w:rPr>
          <w:rFonts w:ascii="Times New Roman" w:hAnsi="Times New Roman" w:cs="Times New Roman"/>
          <w:sz w:val="24"/>
          <w:szCs w:val="24"/>
        </w:rPr>
        <w:t xml:space="preserve">considered it </w:t>
      </w:r>
      <w:r w:rsidRPr="008453A8">
        <w:rPr>
          <w:rFonts w:ascii="Times New Roman" w:hAnsi="Times New Roman" w:cs="Times New Roman"/>
          <w:sz w:val="24"/>
          <w:szCs w:val="24"/>
        </w:rPr>
        <w:t>appropriate</w:t>
      </w:r>
      <w:r>
        <w:rPr>
          <w:rFonts w:ascii="Times New Roman" w:hAnsi="Times New Roman" w:cs="Times New Roman"/>
          <w:sz w:val="24"/>
          <w:szCs w:val="24"/>
        </w:rPr>
        <w:t xml:space="preserve"> to disregard </w:t>
      </w:r>
      <w:r w:rsidR="006562F2">
        <w:rPr>
          <w:rFonts w:ascii="Times New Roman" w:hAnsi="Times New Roman" w:cs="Times New Roman"/>
          <w:sz w:val="24"/>
          <w:szCs w:val="24"/>
        </w:rPr>
        <w:t xml:space="preserve">the six </w:t>
      </w:r>
      <w:r w:rsidRPr="008453A8">
        <w:rPr>
          <w:rFonts w:ascii="Times New Roman" w:hAnsi="Times New Roman" w:cs="Times New Roman"/>
          <w:sz w:val="24"/>
          <w:szCs w:val="24"/>
        </w:rPr>
        <w:t xml:space="preserve">other </w:t>
      </w:r>
      <w:r>
        <w:rPr>
          <w:rFonts w:ascii="Times New Roman" w:hAnsi="Times New Roman" w:cs="Times New Roman"/>
          <w:sz w:val="24"/>
          <w:szCs w:val="24"/>
        </w:rPr>
        <w:t xml:space="preserve">available </w:t>
      </w:r>
      <w:r w:rsidRPr="008453A8">
        <w:rPr>
          <w:rFonts w:ascii="Times New Roman" w:hAnsi="Times New Roman" w:cs="Times New Roman"/>
          <w:sz w:val="24"/>
          <w:szCs w:val="24"/>
        </w:rPr>
        <w:t xml:space="preserve">studies </w:t>
      </w:r>
      <w:r w:rsidR="006562F2">
        <w:rPr>
          <w:rFonts w:ascii="Times New Roman" w:hAnsi="Times New Roman" w:cs="Times New Roman"/>
          <w:sz w:val="24"/>
          <w:szCs w:val="24"/>
        </w:rPr>
        <w:t>directly comparing FDG</w:t>
      </w:r>
      <w:r w:rsidR="00F105A0">
        <w:rPr>
          <w:rFonts w:ascii="Times New Roman" w:hAnsi="Times New Roman" w:cs="Times New Roman"/>
          <w:sz w:val="24"/>
          <w:szCs w:val="24"/>
        </w:rPr>
        <w:t xml:space="preserve"> </w:t>
      </w:r>
      <w:r w:rsidR="006562F2">
        <w:rPr>
          <w:rFonts w:ascii="Times New Roman" w:hAnsi="Times New Roman" w:cs="Times New Roman"/>
          <w:sz w:val="24"/>
          <w:szCs w:val="24"/>
        </w:rPr>
        <w:t xml:space="preserve">PET and SPECT because </w:t>
      </w:r>
      <w:r>
        <w:rPr>
          <w:rFonts w:ascii="Times New Roman" w:hAnsi="Times New Roman" w:cs="Times New Roman"/>
          <w:sz w:val="24"/>
          <w:szCs w:val="24"/>
        </w:rPr>
        <w:t xml:space="preserve">these studies </w:t>
      </w:r>
      <w:r w:rsidRPr="008453A8">
        <w:rPr>
          <w:rFonts w:ascii="Times New Roman" w:hAnsi="Times New Roman" w:cs="Times New Roman"/>
          <w:sz w:val="24"/>
          <w:szCs w:val="24"/>
        </w:rPr>
        <w:t>compared performance of the test</w:t>
      </w:r>
      <w:r w:rsidR="006562F2">
        <w:rPr>
          <w:rFonts w:ascii="Times New Roman" w:hAnsi="Times New Roman" w:cs="Times New Roman"/>
          <w:sz w:val="24"/>
          <w:szCs w:val="24"/>
        </w:rPr>
        <w:t>s</w:t>
      </w:r>
      <w:r w:rsidRPr="008453A8">
        <w:rPr>
          <w:rFonts w:ascii="Times New Roman" w:hAnsi="Times New Roman" w:cs="Times New Roman"/>
          <w:sz w:val="24"/>
          <w:szCs w:val="24"/>
        </w:rPr>
        <w:t xml:space="preserve"> </w:t>
      </w:r>
      <w:r w:rsidR="006562F2">
        <w:rPr>
          <w:rFonts w:ascii="Times New Roman" w:hAnsi="Times New Roman" w:cs="Times New Roman"/>
          <w:sz w:val="24"/>
          <w:szCs w:val="24"/>
        </w:rPr>
        <w:t xml:space="preserve">using </w:t>
      </w:r>
      <w:r w:rsidRPr="008453A8">
        <w:rPr>
          <w:rFonts w:ascii="Times New Roman" w:hAnsi="Times New Roman" w:cs="Times New Roman"/>
          <w:sz w:val="24"/>
          <w:szCs w:val="24"/>
        </w:rPr>
        <w:t>cognitively normal controls</w:t>
      </w:r>
      <w:r w:rsidR="006562F2">
        <w:rPr>
          <w:rFonts w:ascii="Times New Roman" w:hAnsi="Times New Roman" w:cs="Times New Roman"/>
          <w:sz w:val="24"/>
          <w:szCs w:val="24"/>
        </w:rPr>
        <w:t xml:space="preserve"> as well as diagnosed cases</w:t>
      </w:r>
      <w:r w:rsidRPr="008453A8">
        <w:rPr>
          <w:rFonts w:ascii="Times New Roman" w:hAnsi="Times New Roman" w:cs="Times New Roman"/>
          <w:sz w:val="24"/>
          <w:szCs w:val="24"/>
        </w:rPr>
        <w:t>.</w:t>
      </w:r>
    </w:p>
    <w:p w:rsidR="00EE41E3"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lang w:val="en-US"/>
        </w:rPr>
      </w:pPr>
      <w:r w:rsidRPr="008453A8">
        <w:rPr>
          <w:rFonts w:ascii="Times New Roman" w:hAnsi="Times New Roman" w:cs="Times New Roman"/>
          <w:sz w:val="24"/>
          <w:szCs w:val="24"/>
        </w:rPr>
        <w:t xml:space="preserve">ESC </w:t>
      </w:r>
      <w:r>
        <w:rPr>
          <w:rFonts w:ascii="Times New Roman" w:hAnsi="Times New Roman" w:cs="Times New Roman"/>
          <w:sz w:val="24"/>
          <w:szCs w:val="24"/>
        </w:rPr>
        <w:t>noted</w:t>
      </w:r>
      <w:r w:rsidRPr="008453A8">
        <w:rPr>
          <w:rFonts w:ascii="Times New Roman" w:hAnsi="Times New Roman" w:cs="Times New Roman"/>
          <w:sz w:val="24"/>
          <w:szCs w:val="24"/>
        </w:rPr>
        <w:t xml:space="preserve"> that the </w:t>
      </w:r>
      <w:r w:rsidRPr="008453A8">
        <w:rPr>
          <w:rFonts w:ascii="Times New Roman" w:hAnsi="Times New Roman" w:cs="Times New Roman"/>
          <w:sz w:val="24"/>
          <w:szCs w:val="24"/>
          <w:lang w:val="en-US"/>
        </w:rPr>
        <w:t>estimates of sensitivity and specificity were quite different between</w:t>
      </w:r>
      <w:r>
        <w:rPr>
          <w:rFonts w:ascii="Times New Roman" w:hAnsi="Times New Roman" w:cs="Times New Roman"/>
          <w:sz w:val="24"/>
          <w:szCs w:val="24"/>
          <w:lang w:val="en-US"/>
        </w:rPr>
        <w:t xml:space="preserve"> the </w:t>
      </w:r>
      <w:proofErr w:type="spellStart"/>
      <w:r w:rsidR="006562F2" w:rsidRPr="006562F2">
        <w:rPr>
          <w:rFonts w:ascii="Times New Roman" w:hAnsi="Times New Roman" w:cs="Times New Roman"/>
          <w:sz w:val="24"/>
          <w:szCs w:val="24"/>
          <w:lang w:val="en-US"/>
        </w:rPr>
        <w:t>Döbert</w:t>
      </w:r>
      <w:proofErr w:type="spellEnd"/>
      <w:r w:rsidR="006562F2" w:rsidRPr="006562F2">
        <w:rPr>
          <w:rFonts w:ascii="Times New Roman" w:hAnsi="Times New Roman" w:cs="Times New Roman"/>
          <w:sz w:val="24"/>
          <w:szCs w:val="24"/>
          <w:lang w:val="en-US"/>
        </w:rPr>
        <w:t xml:space="preserve"> et al, 2005</w:t>
      </w:r>
      <w:r w:rsidR="006562F2">
        <w:rPr>
          <w:rFonts w:ascii="Times New Roman" w:hAnsi="Times New Roman" w:cs="Times New Roman"/>
          <w:sz w:val="24"/>
          <w:szCs w:val="24"/>
          <w:lang w:val="en-US"/>
        </w:rPr>
        <w:t xml:space="preserve"> </w:t>
      </w:r>
      <w:r>
        <w:rPr>
          <w:rFonts w:ascii="Times New Roman" w:hAnsi="Times New Roman" w:cs="Times New Roman"/>
          <w:sz w:val="24"/>
          <w:szCs w:val="24"/>
          <w:lang w:val="en-US"/>
        </w:rPr>
        <w:t>and Ito</w:t>
      </w:r>
      <w:r w:rsidRPr="008453A8">
        <w:rPr>
          <w:rFonts w:ascii="Times New Roman" w:hAnsi="Times New Roman" w:cs="Times New Roman"/>
          <w:sz w:val="24"/>
          <w:szCs w:val="24"/>
          <w:lang w:val="en-US"/>
        </w:rPr>
        <w:t xml:space="preserve"> </w:t>
      </w:r>
      <w:r w:rsidR="006562F2">
        <w:rPr>
          <w:rFonts w:ascii="Times New Roman" w:hAnsi="Times New Roman" w:cs="Times New Roman"/>
          <w:sz w:val="24"/>
          <w:szCs w:val="24"/>
          <w:lang w:val="en-US"/>
        </w:rPr>
        <w:t xml:space="preserve">et al, 2014 </w:t>
      </w:r>
      <w:r w:rsidRPr="008453A8">
        <w:rPr>
          <w:rFonts w:ascii="Times New Roman" w:hAnsi="Times New Roman" w:cs="Times New Roman"/>
          <w:sz w:val="24"/>
          <w:szCs w:val="24"/>
          <w:lang w:val="en-US"/>
        </w:rPr>
        <w:t>studies</w:t>
      </w:r>
      <w:r>
        <w:rPr>
          <w:rFonts w:ascii="Times New Roman" w:hAnsi="Times New Roman" w:cs="Times New Roman"/>
          <w:sz w:val="24"/>
          <w:szCs w:val="24"/>
          <w:lang w:val="en-US"/>
        </w:rPr>
        <w:t>, and that there was</w:t>
      </w:r>
      <w:r w:rsidRPr="008453A8">
        <w:rPr>
          <w:rFonts w:ascii="Times New Roman" w:hAnsi="Times New Roman" w:cs="Times New Roman"/>
          <w:sz w:val="24"/>
          <w:szCs w:val="24"/>
          <w:lang w:val="en-US"/>
        </w:rPr>
        <w:t xml:space="preserve"> a wide range of values across the two studies. ESC noted that the assessors ha</w:t>
      </w:r>
      <w:r>
        <w:rPr>
          <w:rFonts w:ascii="Times New Roman" w:hAnsi="Times New Roman" w:cs="Times New Roman"/>
          <w:sz w:val="24"/>
          <w:szCs w:val="24"/>
          <w:lang w:val="en-US"/>
        </w:rPr>
        <w:t>d</w:t>
      </w:r>
      <w:r w:rsidRPr="008453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replicated the methodology of a published meta-analysis by Cure et al (2014) </w:t>
      </w:r>
      <w:r w:rsidR="006562F2">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8453A8">
        <w:rPr>
          <w:rFonts w:ascii="Times New Roman" w:hAnsi="Times New Roman" w:cs="Times New Roman"/>
          <w:sz w:val="24"/>
          <w:szCs w:val="24"/>
          <w:lang w:val="en-US"/>
        </w:rPr>
        <w:t>simply add</w:t>
      </w:r>
      <w:r w:rsidR="006562F2">
        <w:rPr>
          <w:rFonts w:ascii="Times New Roman" w:hAnsi="Times New Roman" w:cs="Times New Roman"/>
          <w:sz w:val="24"/>
          <w:szCs w:val="24"/>
          <w:lang w:val="en-US"/>
        </w:rPr>
        <w:t>ing</w:t>
      </w:r>
      <w:r w:rsidRPr="008453A8">
        <w:rPr>
          <w:rFonts w:ascii="Times New Roman" w:hAnsi="Times New Roman" w:cs="Times New Roman"/>
          <w:sz w:val="24"/>
          <w:szCs w:val="24"/>
          <w:lang w:val="en-US"/>
        </w:rPr>
        <w:t xml:space="preserve"> the true positives and true negatives </w:t>
      </w:r>
      <w:r>
        <w:rPr>
          <w:rFonts w:ascii="Times New Roman" w:hAnsi="Times New Roman" w:cs="Times New Roman"/>
          <w:sz w:val="24"/>
          <w:szCs w:val="24"/>
          <w:lang w:val="en-US"/>
        </w:rPr>
        <w:t xml:space="preserve">from each study </w:t>
      </w:r>
      <w:r w:rsidRPr="008453A8">
        <w:rPr>
          <w:rFonts w:ascii="Times New Roman" w:hAnsi="Times New Roman" w:cs="Times New Roman"/>
          <w:sz w:val="24"/>
          <w:szCs w:val="24"/>
          <w:lang w:val="en-US"/>
        </w:rPr>
        <w:t>and then reconstruct</w:t>
      </w:r>
      <w:r w:rsidR="006562F2">
        <w:rPr>
          <w:rFonts w:ascii="Times New Roman" w:hAnsi="Times New Roman" w:cs="Times New Roman"/>
          <w:sz w:val="24"/>
          <w:szCs w:val="24"/>
          <w:lang w:val="en-US"/>
        </w:rPr>
        <w:t>ing</w:t>
      </w:r>
      <w:r w:rsidRPr="008453A8">
        <w:rPr>
          <w:rFonts w:ascii="Times New Roman" w:hAnsi="Times New Roman" w:cs="Times New Roman"/>
          <w:sz w:val="24"/>
          <w:szCs w:val="24"/>
          <w:lang w:val="en-US"/>
        </w:rPr>
        <w:t xml:space="preserve"> a two by two table</w:t>
      </w:r>
      <w:r>
        <w:rPr>
          <w:rFonts w:ascii="Times New Roman" w:hAnsi="Times New Roman" w:cs="Times New Roman"/>
          <w:sz w:val="24"/>
          <w:szCs w:val="24"/>
          <w:lang w:val="en-US"/>
        </w:rPr>
        <w:t xml:space="preserve"> to yield ‘combined’ measures of comparative diagnostic accuracy</w:t>
      </w:r>
      <w:r w:rsidRPr="008453A8">
        <w:rPr>
          <w:rFonts w:ascii="Times New Roman" w:hAnsi="Times New Roman" w:cs="Times New Roman"/>
          <w:sz w:val="24"/>
          <w:szCs w:val="24"/>
          <w:lang w:val="en-US"/>
        </w:rPr>
        <w:t xml:space="preserve">. ESC </w:t>
      </w:r>
      <w:r>
        <w:rPr>
          <w:rFonts w:ascii="Times New Roman" w:hAnsi="Times New Roman" w:cs="Times New Roman"/>
          <w:sz w:val="24"/>
          <w:szCs w:val="24"/>
          <w:lang w:val="en-US"/>
        </w:rPr>
        <w:t xml:space="preserve">considered </w:t>
      </w:r>
      <w:r w:rsidRPr="008453A8">
        <w:rPr>
          <w:rFonts w:ascii="Times New Roman" w:hAnsi="Times New Roman" w:cs="Times New Roman"/>
          <w:sz w:val="24"/>
          <w:szCs w:val="24"/>
          <w:lang w:val="en-US"/>
        </w:rPr>
        <w:t xml:space="preserve">this </w:t>
      </w:r>
      <w:r w:rsidR="006562F2">
        <w:rPr>
          <w:rFonts w:ascii="Times New Roman" w:hAnsi="Times New Roman" w:cs="Times New Roman"/>
          <w:sz w:val="24"/>
          <w:szCs w:val="24"/>
          <w:lang w:val="en-US"/>
        </w:rPr>
        <w:t xml:space="preserve">to be </w:t>
      </w:r>
      <w:r w:rsidRPr="008453A8">
        <w:rPr>
          <w:rFonts w:ascii="Times New Roman" w:hAnsi="Times New Roman" w:cs="Times New Roman"/>
          <w:sz w:val="24"/>
          <w:szCs w:val="24"/>
          <w:lang w:val="en-US"/>
        </w:rPr>
        <w:t xml:space="preserve">simplistic and questioned </w:t>
      </w:r>
      <w:r>
        <w:rPr>
          <w:rFonts w:ascii="Times New Roman" w:hAnsi="Times New Roman" w:cs="Times New Roman"/>
          <w:sz w:val="24"/>
          <w:szCs w:val="24"/>
          <w:lang w:val="en-US"/>
        </w:rPr>
        <w:t xml:space="preserve">whether the </w:t>
      </w:r>
      <w:proofErr w:type="spellStart"/>
      <w:r w:rsidR="006562F2" w:rsidRPr="006562F2">
        <w:rPr>
          <w:rFonts w:ascii="Times New Roman" w:hAnsi="Times New Roman" w:cs="Times New Roman"/>
          <w:sz w:val="24"/>
          <w:szCs w:val="24"/>
          <w:lang w:val="en-US"/>
        </w:rPr>
        <w:t>Döbert</w:t>
      </w:r>
      <w:proofErr w:type="spellEnd"/>
      <w:r w:rsidR="006562F2" w:rsidRPr="006562F2">
        <w:rPr>
          <w:rFonts w:ascii="Times New Roman" w:hAnsi="Times New Roman" w:cs="Times New Roman"/>
          <w:sz w:val="24"/>
          <w:szCs w:val="24"/>
          <w:lang w:val="en-US"/>
        </w:rPr>
        <w:t xml:space="preserve"> et al, 2005</w:t>
      </w:r>
      <w:r w:rsidR="006562F2">
        <w:rPr>
          <w:rFonts w:ascii="Times New Roman" w:hAnsi="Times New Roman" w:cs="Times New Roman"/>
          <w:sz w:val="24"/>
          <w:szCs w:val="24"/>
          <w:lang w:val="en-US"/>
        </w:rPr>
        <w:t xml:space="preserve"> and Ito</w:t>
      </w:r>
      <w:r w:rsidR="006562F2" w:rsidRPr="008453A8">
        <w:rPr>
          <w:rFonts w:ascii="Times New Roman" w:hAnsi="Times New Roman" w:cs="Times New Roman"/>
          <w:sz w:val="24"/>
          <w:szCs w:val="24"/>
          <w:lang w:val="en-US"/>
        </w:rPr>
        <w:t xml:space="preserve"> </w:t>
      </w:r>
      <w:r w:rsidR="006562F2">
        <w:rPr>
          <w:rFonts w:ascii="Times New Roman" w:hAnsi="Times New Roman" w:cs="Times New Roman"/>
          <w:sz w:val="24"/>
          <w:szCs w:val="24"/>
          <w:lang w:val="en-US"/>
        </w:rPr>
        <w:t xml:space="preserve">et al, 2014 </w:t>
      </w:r>
      <w:r w:rsidR="006562F2" w:rsidRPr="008453A8">
        <w:rPr>
          <w:rFonts w:ascii="Times New Roman" w:hAnsi="Times New Roman" w:cs="Times New Roman"/>
          <w:sz w:val="24"/>
          <w:szCs w:val="24"/>
          <w:lang w:val="en-US"/>
        </w:rPr>
        <w:t>studies</w:t>
      </w:r>
      <w:r w:rsidR="006562F2">
        <w:rPr>
          <w:rFonts w:ascii="Times New Roman" w:hAnsi="Times New Roman" w:cs="Times New Roman"/>
          <w:sz w:val="24"/>
          <w:szCs w:val="24"/>
          <w:lang w:val="en-US"/>
        </w:rPr>
        <w:t xml:space="preserve"> we</w:t>
      </w:r>
      <w:r w:rsidRPr="008453A8">
        <w:rPr>
          <w:rFonts w:ascii="Times New Roman" w:hAnsi="Times New Roman" w:cs="Times New Roman"/>
          <w:sz w:val="24"/>
          <w:szCs w:val="24"/>
          <w:lang w:val="en-US"/>
        </w:rPr>
        <w:t xml:space="preserve">re </w:t>
      </w:r>
      <w:r>
        <w:rPr>
          <w:rFonts w:ascii="Times New Roman" w:hAnsi="Times New Roman" w:cs="Times New Roman"/>
          <w:sz w:val="24"/>
          <w:szCs w:val="24"/>
          <w:lang w:val="en-US"/>
        </w:rPr>
        <w:t xml:space="preserve">sufficiently </w:t>
      </w:r>
      <w:r w:rsidRPr="008453A8">
        <w:rPr>
          <w:rFonts w:ascii="Times New Roman" w:hAnsi="Times New Roman" w:cs="Times New Roman"/>
          <w:sz w:val="24"/>
          <w:szCs w:val="24"/>
          <w:lang w:val="en-US"/>
        </w:rPr>
        <w:t xml:space="preserve">similar to </w:t>
      </w:r>
      <w:r w:rsidR="006562F2">
        <w:rPr>
          <w:rFonts w:ascii="Times New Roman" w:hAnsi="Times New Roman" w:cs="Times New Roman"/>
          <w:sz w:val="24"/>
          <w:szCs w:val="24"/>
          <w:lang w:val="en-US"/>
        </w:rPr>
        <w:t xml:space="preserve">be </w:t>
      </w:r>
      <w:r>
        <w:rPr>
          <w:rFonts w:ascii="Times New Roman" w:hAnsi="Times New Roman" w:cs="Times New Roman"/>
          <w:sz w:val="24"/>
          <w:szCs w:val="24"/>
          <w:lang w:val="en-US"/>
        </w:rPr>
        <w:t>combine</w:t>
      </w:r>
      <w:r w:rsidR="006562F2">
        <w:rPr>
          <w:rFonts w:ascii="Times New Roman" w:hAnsi="Times New Roman" w:cs="Times New Roman"/>
          <w:sz w:val="24"/>
          <w:szCs w:val="24"/>
          <w:lang w:val="en-US"/>
        </w:rPr>
        <w:t>d</w:t>
      </w:r>
      <w:r w:rsidRPr="008453A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453A8">
        <w:rPr>
          <w:rFonts w:ascii="Times New Roman" w:hAnsi="Times New Roman" w:cs="Times New Roman"/>
          <w:sz w:val="24"/>
          <w:szCs w:val="24"/>
          <w:lang w:val="en-US"/>
        </w:rPr>
        <w:t xml:space="preserve">ESC </w:t>
      </w:r>
      <w:r>
        <w:rPr>
          <w:rFonts w:ascii="Times New Roman" w:hAnsi="Times New Roman" w:cs="Times New Roman"/>
          <w:sz w:val="24"/>
          <w:szCs w:val="24"/>
          <w:lang w:val="en-US"/>
        </w:rPr>
        <w:t>also</w:t>
      </w:r>
      <w:r w:rsidRPr="008453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considered that </w:t>
      </w:r>
      <w:r w:rsidRPr="008453A8">
        <w:rPr>
          <w:rFonts w:ascii="Times New Roman" w:hAnsi="Times New Roman" w:cs="Times New Roman"/>
          <w:sz w:val="24"/>
          <w:szCs w:val="24"/>
          <w:lang w:val="en-US"/>
        </w:rPr>
        <w:t xml:space="preserve">a mean or weighted mean </w:t>
      </w:r>
      <w:r>
        <w:rPr>
          <w:rFonts w:ascii="Times New Roman" w:hAnsi="Times New Roman" w:cs="Times New Roman"/>
          <w:sz w:val="24"/>
          <w:szCs w:val="24"/>
          <w:lang w:val="en-US"/>
        </w:rPr>
        <w:t>would have been useful.</w:t>
      </w:r>
      <w:r w:rsidRPr="008453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Overall, </w:t>
      </w:r>
      <w:r w:rsidRPr="008453A8">
        <w:rPr>
          <w:rFonts w:ascii="Times New Roman" w:hAnsi="Times New Roman" w:cs="Times New Roman"/>
          <w:sz w:val="24"/>
          <w:szCs w:val="24"/>
          <w:lang w:val="en-US"/>
        </w:rPr>
        <w:t>ESC considered that a Receiver Opera</w:t>
      </w:r>
      <w:r>
        <w:rPr>
          <w:rFonts w:ascii="Times New Roman" w:hAnsi="Times New Roman" w:cs="Times New Roman"/>
          <w:sz w:val="24"/>
          <w:szCs w:val="24"/>
          <w:lang w:val="en-US"/>
        </w:rPr>
        <w:t>ting Characteristic (ROC) curve</w:t>
      </w:r>
      <w:r w:rsidRPr="008453A8">
        <w:rPr>
          <w:rFonts w:ascii="Times New Roman" w:hAnsi="Times New Roman" w:cs="Times New Roman"/>
          <w:sz w:val="24"/>
          <w:szCs w:val="24"/>
          <w:lang w:val="en-US"/>
        </w:rPr>
        <w:t xml:space="preserve"> may have been</w:t>
      </w:r>
      <w:r>
        <w:rPr>
          <w:rFonts w:ascii="Times New Roman" w:hAnsi="Times New Roman" w:cs="Times New Roman"/>
          <w:sz w:val="24"/>
          <w:szCs w:val="24"/>
          <w:lang w:val="en-US"/>
        </w:rPr>
        <w:t xml:space="preserve"> more</w:t>
      </w:r>
      <w:r w:rsidRPr="008453A8">
        <w:rPr>
          <w:rFonts w:ascii="Times New Roman" w:hAnsi="Times New Roman" w:cs="Times New Roman"/>
          <w:sz w:val="24"/>
          <w:szCs w:val="24"/>
          <w:lang w:val="en-US"/>
        </w:rPr>
        <w:t xml:space="preserve"> beneficial in graphically presenting the two studies separately </w:t>
      </w:r>
      <w:r w:rsidR="006562F2">
        <w:rPr>
          <w:rFonts w:ascii="Times New Roman" w:hAnsi="Times New Roman" w:cs="Times New Roman"/>
          <w:sz w:val="24"/>
          <w:szCs w:val="24"/>
          <w:lang w:val="en-US"/>
        </w:rPr>
        <w:t xml:space="preserve">for </w:t>
      </w:r>
      <w:r w:rsidRPr="008453A8">
        <w:rPr>
          <w:rFonts w:ascii="Times New Roman" w:hAnsi="Times New Roman" w:cs="Times New Roman"/>
          <w:sz w:val="24"/>
          <w:szCs w:val="24"/>
          <w:lang w:val="en-US"/>
        </w:rPr>
        <w:t>both FDG</w:t>
      </w:r>
      <w:r w:rsidR="00F105A0">
        <w:rPr>
          <w:rFonts w:ascii="Times New Roman" w:hAnsi="Times New Roman" w:cs="Times New Roman"/>
          <w:sz w:val="24"/>
          <w:szCs w:val="24"/>
          <w:lang w:val="en-US"/>
        </w:rPr>
        <w:t xml:space="preserve"> </w:t>
      </w:r>
      <w:r w:rsidRPr="008453A8">
        <w:rPr>
          <w:rFonts w:ascii="Times New Roman" w:hAnsi="Times New Roman" w:cs="Times New Roman"/>
          <w:sz w:val="24"/>
          <w:szCs w:val="24"/>
          <w:lang w:val="en-US"/>
        </w:rPr>
        <w:t>PET</w:t>
      </w:r>
      <w:r>
        <w:rPr>
          <w:rFonts w:ascii="Times New Roman" w:hAnsi="Times New Roman" w:cs="Times New Roman"/>
          <w:sz w:val="24"/>
          <w:szCs w:val="24"/>
          <w:lang w:val="en-US"/>
        </w:rPr>
        <w:t xml:space="preserve"> and SPECT</w:t>
      </w:r>
      <w:r w:rsidRPr="008453A8">
        <w:rPr>
          <w:rFonts w:ascii="Times New Roman" w:hAnsi="Times New Roman" w:cs="Times New Roman"/>
          <w:sz w:val="24"/>
          <w:szCs w:val="24"/>
          <w:lang w:val="en-US"/>
        </w:rPr>
        <w:t>.</w:t>
      </w:r>
    </w:p>
    <w:p w:rsidR="00EE41E3"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sidRPr="00F929BC">
        <w:rPr>
          <w:rFonts w:ascii="Times New Roman" w:hAnsi="Times New Roman" w:cs="Times New Roman"/>
          <w:sz w:val="24"/>
          <w:szCs w:val="24"/>
        </w:rPr>
        <w:t>ESC noted that the</w:t>
      </w:r>
      <w:r>
        <w:rPr>
          <w:rFonts w:ascii="Times New Roman" w:hAnsi="Times New Roman" w:cs="Times New Roman"/>
          <w:sz w:val="24"/>
          <w:szCs w:val="24"/>
        </w:rPr>
        <w:t xml:space="preserve"> assessors’</w:t>
      </w:r>
      <w:r w:rsidRPr="00F929BC">
        <w:rPr>
          <w:rFonts w:ascii="Times New Roman" w:hAnsi="Times New Roman" w:cs="Times New Roman"/>
          <w:sz w:val="24"/>
          <w:szCs w:val="24"/>
        </w:rPr>
        <w:t xml:space="preserve"> combined results </w:t>
      </w:r>
      <w:r w:rsidR="006562F2">
        <w:rPr>
          <w:rFonts w:ascii="Times New Roman" w:hAnsi="Times New Roman" w:cs="Times New Roman"/>
          <w:sz w:val="24"/>
          <w:szCs w:val="24"/>
        </w:rPr>
        <w:t xml:space="preserve">of indirect studies </w:t>
      </w:r>
      <w:r w:rsidRPr="00F929BC">
        <w:rPr>
          <w:rFonts w:ascii="Times New Roman" w:hAnsi="Times New Roman" w:cs="Times New Roman"/>
          <w:sz w:val="24"/>
          <w:szCs w:val="24"/>
        </w:rPr>
        <w:t>showed very similar diagnostic accuracy between the two imaging techniques, with FDG</w:t>
      </w:r>
      <w:r w:rsidR="00F105A0">
        <w:rPr>
          <w:rFonts w:ascii="Times New Roman" w:hAnsi="Times New Roman" w:cs="Times New Roman"/>
          <w:sz w:val="24"/>
          <w:szCs w:val="24"/>
        </w:rPr>
        <w:t xml:space="preserve"> </w:t>
      </w:r>
      <w:r w:rsidRPr="00F929BC">
        <w:rPr>
          <w:rFonts w:ascii="Times New Roman" w:hAnsi="Times New Roman" w:cs="Times New Roman"/>
          <w:sz w:val="24"/>
          <w:szCs w:val="24"/>
        </w:rPr>
        <w:t>PET demonstrating a sensitivity and specificity of 84% and 76%, while SPECT had a sensitivity and specificity of 85% and 72%.</w:t>
      </w:r>
      <w:r>
        <w:rPr>
          <w:rFonts w:ascii="Times New Roman" w:hAnsi="Times New Roman" w:cs="Times New Roman"/>
          <w:sz w:val="24"/>
          <w:szCs w:val="24"/>
        </w:rPr>
        <w:t xml:space="preserve"> Despite the low quality studies, ESC </w:t>
      </w:r>
      <w:r w:rsidR="006562F2">
        <w:rPr>
          <w:rFonts w:ascii="Times New Roman" w:hAnsi="Times New Roman" w:cs="Times New Roman"/>
          <w:sz w:val="24"/>
          <w:szCs w:val="24"/>
        </w:rPr>
        <w:t xml:space="preserve">also </w:t>
      </w:r>
      <w:r>
        <w:rPr>
          <w:rFonts w:ascii="Times New Roman" w:hAnsi="Times New Roman" w:cs="Times New Roman"/>
          <w:sz w:val="24"/>
          <w:szCs w:val="24"/>
        </w:rPr>
        <w:t xml:space="preserve">noted </w:t>
      </w:r>
      <w:r w:rsidRPr="00966B72">
        <w:rPr>
          <w:rFonts w:ascii="Times New Roman" w:hAnsi="Times New Roman" w:cs="Times New Roman"/>
          <w:sz w:val="24"/>
          <w:szCs w:val="24"/>
        </w:rPr>
        <w:t>FDG</w:t>
      </w:r>
      <w:r w:rsidR="00F105A0">
        <w:rPr>
          <w:rFonts w:ascii="Times New Roman" w:hAnsi="Times New Roman" w:cs="Times New Roman"/>
          <w:sz w:val="24"/>
          <w:szCs w:val="24"/>
        </w:rPr>
        <w:t xml:space="preserve"> </w:t>
      </w:r>
      <w:r w:rsidRPr="00966B72">
        <w:rPr>
          <w:rFonts w:ascii="Times New Roman" w:hAnsi="Times New Roman" w:cs="Times New Roman"/>
          <w:sz w:val="24"/>
          <w:szCs w:val="24"/>
        </w:rPr>
        <w:t xml:space="preserve">PET </w:t>
      </w:r>
      <w:r>
        <w:rPr>
          <w:rFonts w:ascii="Times New Roman" w:hAnsi="Times New Roman" w:cs="Times New Roman"/>
          <w:sz w:val="24"/>
          <w:szCs w:val="24"/>
        </w:rPr>
        <w:t>seemed</w:t>
      </w:r>
      <w:r w:rsidRPr="00966B72">
        <w:rPr>
          <w:rFonts w:ascii="Times New Roman" w:hAnsi="Times New Roman" w:cs="Times New Roman"/>
          <w:sz w:val="24"/>
          <w:szCs w:val="24"/>
        </w:rPr>
        <w:t xml:space="preserve"> marginally </w:t>
      </w:r>
      <w:r w:rsidRPr="00966B72">
        <w:rPr>
          <w:rFonts w:ascii="Times New Roman" w:hAnsi="Times New Roman" w:cs="Times New Roman"/>
          <w:sz w:val="24"/>
          <w:szCs w:val="24"/>
        </w:rPr>
        <w:lastRenderedPageBreak/>
        <w:t>superior at identifying very mildly affected brains or brain regions (e.g. the frontal cortex) when compared with SPECT</w:t>
      </w:r>
      <w:r>
        <w:rPr>
          <w:rFonts w:ascii="Times New Roman" w:hAnsi="Times New Roman" w:cs="Times New Roman"/>
          <w:sz w:val="24"/>
          <w:szCs w:val="24"/>
        </w:rPr>
        <w:t>.</w:t>
      </w:r>
    </w:p>
    <w:p w:rsidR="00EE41E3"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sidRPr="00EC33BE">
        <w:rPr>
          <w:rFonts w:ascii="Times New Roman" w:hAnsi="Times New Roman" w:cs="Times New Roman"/>
          <w:sz w:val="24"/>
          <w:szCs w:val="24"/>
        </w:rPr>
        <w:t xml:space="preserve">ESC </w:t>
      </w:r>
      <w:r>
        <w:rPr>
          <w:rFonts w:ascii="Times New Roman" w:hAnsi="Times New Roman" w:cs="Times New Roman"/>
          <w:sz w:val="24"/>
          <w:szCs w:val="24"/>
        </w:rPr>
        <w:t xml:space="preserve">noted </w:t>
      </w:r>
      <w:r w:rsidRPr="00EC33BE">
        <w:rPr>
          <w:rFonts w:ascii="Times New Roman" w:hAnsi="Times New Roman" w:cs="Times New Roman"/>
          <w:sz w:val="24"/>
          <w:szCs w:val="24"/>
        </w:rPr>
        <w:t xml:space="preserve">that validation against clinical diagnostic criteria rather than </w:t>
      </w:r>
      <w:proofErr w:type="spellStart"/>
      <w:r w:rsidRPr="00EC33BE">
        <w:rPr>
          <w:rFonts w:ascii="Times New Roman" w:hAnsi="Times New Roman" w:cs="Times New Roman"/>
          <w:sz w:val="24"/>
          <w:szCs w:val="24"/>
        </w:rPr>
        <w:t>histopathologic</w:t>
      </w:r>
      <w:proofErr w:type="spellEnd"/>
      <w:r w:rsidRPr="00EC33BE">
        <w:rPr>
          <w:rFonts w:ascii="Times New Roman" w:hAnsi="Times New Roman" w:cs="Times New Roman"/>
          <w:sz w:val="24"/>
          <w:szCs w:val="24"/>
        </w:rPr>
        <w:t xml:space="preserve"> diagnosis </w:t>
      </w:r>
      <w:r>
        <w:rPr>
          <w:rFonts w:ascii="Times New Roman" w:hAnsi="Times New Roman" w:cs="Times New Roman"/>
          <w:sz w:val="24"/>
          <w:szCs w:val="24"/>
        </w:rPr>
        <w:t xml:space="preserve">was </w:t>
      </w:r>
      <w:r w:rsidRPr="00EC33BE">
        <w:rPr>
          <w:rFonts w:ascii="Times New Roman" w:hAnsi="Times New Roman" w:cs="Times New Roman"/>
          <w:sz w:val="24"/>
          <w:szCs w:val="24"/>
        </w:rPr>
        <w:t xml:space="preserve">a major limitation of </w:t>
      </w:r>
      <w:r>
        <w:rPr>
          <w:rFonts w:ascii="Times New Roman" w:hAnsi="Times New Roman" w:cs="Times New Roman"/>
          <w:sz w:val="24"/>
          <w:szCs w:val="24"/>
        </w:rPr>
        <w:t xml:space="preserve">most of </w:t>
      </w:r>
      <w:r w:rsidRPr="00EC33BE">
        <w:rPr>
          <w:rFonts w:ascii="Times New Roman" w:hAnsi="Times New Roman" w:cs="Times New Roman"/>
          <w:sz w:val="24"/>
          <w:szCs w:val="24"/>
        </w:rPr>
        <w:t>the evidence</w:t>
      </w:r>
      <w:r>
        <w:rPr>
          <w:rFonts w:ascii="Times New Roman" w:hAnsi="Times New Roman" w:cs="Times New Roman"/>
          <w:sz w:val="24"/>
          <w:szCs w:val="24"/>
        </w:rPr>
        <w:t xml:space="preserve">, including </w:t>
      </w:r>
      <w:r w:rsidR="006562F2">
        <w:rPr>
          <w:rFonts w:ascii="Times New Roman" w:hAnsi="Times New Roman" w:cs="Times New Roman"/>
          <w:sz w:val="24"/>
          <w:szCs w:val="24"/>
        </w:rPr>
        <w:t xml:space="preserve">the </w:t>
      </w:r>
      <w:proofErr w:type="spellStart"/>
      <w:r w:rsidR="006562F2" w:rsidRPr="006562F2">
        <w:rPr>
          <w:rFonts w:ascii="Times New Roman" w:hAnsi="Times New Roman" w:cs="Times New Roman"/>
          <w:sz w:val="24"/>
          <w:szCs w:val="24"/>
          <w:lang w:val="en-US"/>
        </w:rPr>
        <w:t>Döbert</w:t>
      </w:r>
      <w:proofErr w:type="spellEnd"/>
      <w:r w:rsidR="006562F2" w:rsidRPr="006562F2">
        <w:rPr>
          <w:rFonts w:ascii="Times New Roman" w:hAnsi="Times New Roman" w:cs="Times New Roman"/>
          <w:sz w:val="24"/>
          <w:szCs w:val="24"/>
          <w:lang w:val="en-US"/>
        </w:rPr>
        <w:t xml:space="preserve"> et al, 2005</w:t>
      </w:r>
      <w:r w:rsidR="006562F2">
        <w:rPr>
          <w:rFonts w:ascii="Times New Roman" w:hAnsi="Times New Roman" w:cs="Times New Roman"/>
          <w:sz w:val="24"/>
          <w:szCs w:val="24"/>
          <w:lang w:val="en-US"/>
        </w:rPr>
        <w:t xml:space="preserve"> and Ito</w:t>
      </w:r>
      <w:r w:rsidR="006562F2" w:rsidRPr="008453A8">
        <w:rPr>
          <w:rFonts w:ascii="Times New Roman" w:hAnsi="Times New Roman" w:cs="Times New Roman"/>
          <w:sz w:val="24"/>
          <w:szCs w:val="24"/>
          <w:lang w:val="en-US"/>
        </w:rPr>
        <w:t xml:space="preserve"> </w:t>
      </w:r>
      <w:r w:rsidR="006562F2">
        <w:rPr>
          <w:rFonts w:ascii="Times New Roman" w:hAnsi="Times New Roman" w:cs="Times New Roman"/>
          <w:sz w:val="24"/>
          <w:szCs w:val="24"/>
          <w:lang w:val="en-US"/>
        </w:rPr>
        <w:t xml:space="preserve">et al, 2014 </w:t>
      </w:r>
      <w:r w:rsidR="006562F2" w:rsidRPr="008453A8">
        <w:rPr>
          <w:rFonts w:ascii="Times New Roman" w:hAnsi="Times New Roman" w:cs="Times New Roman"/>
          <w:sz w:val="24"/>
          <w:szCs w:val="24"/>
          <w:lang w:val="en-US"/>
        </w:rPr>
        <w:t>studies</w:t>
      </w:r>
      <w:r>
        <w:rPr>
          <w:rFonts w:ascii="Times New Roman" w:hAnsi="Times New Roman" w:cs="Times New Roman"/>
          <w:sz w:val="24"/>
          <w:szCs w:val="24"/>
        </w:rPr>
        <w:t>.</w:t>
      </w:r>
    </w:p>
    <w:p w:rsidR="00EE41E3" w:rsidRPr="008453A8" w:rsidRDefault="00EE41E3" w:rsidP="00EE41E3">
      <w:pPr>
        <w:pStyle w:val="NoSpacing"/>
        <w:rPr>
          <w:rFonts w:ascii="Times New Roman" w:hAnsi="Times New Roman" w:cs="Times New Roman"/>
          <w:sz w:val="24"/>
          <w:szCs w:val="24"/>
        </w:rPr>
      </w:pPr>
    </w:p>
    <w:p w:rsidR="00EE41E3" w:rsidRPr="00623632" w:rsidRDefault="00EE41E3" w:rsidP="00EE41E3">
      <w:pPr>
        <w:pStyle w:val="NoSpacing"/>
        <w:rPr>
          <w:rFonts w:ascii="Times New Roman" w:hAnsi="Times New Roman" w:cs="Times New Roman"/>
          <w:sz w:val="24"/>
          <w:szCs w:val="24"/>
          <w:lang w:val="en-US"/>
        </w:rPr>
      </w:pPr>
      <w:r w:rsidRPr="008453A8">
        <w:rPr>
          <w:rFonts w:ascii="Times New Roman" w:hAnsi="Times New Roman" w:cs="Times New Roman"/>
          <w:sz w:val="24"/>
          <w:szCs w:val="24"/>
        </w:rPr>
        <w:t xml:space="preserve">ESC </w:t>
      </w:r>
      <w:r>
        <w:rPr>
          <w:rFonts w:ascii="Times New Roman" w:hAnsi="Times New Roman" w:cs="Times New Roman"/>
          <w:sz w:val="24"/>
          <w:szCs w:val="24"/>
        </w:rPr>
        <w:t xml:space="preserve">considered </w:t>
      </w:r>
      <w:r w:rsidRPr="008453A8">
        <w:rPr>
          <w:rFonts w:ascii="Times New Roman" w:hAnsi="Times New Roman" w:cs="Times New Roman"/>
          <w:sz w:val="24"/>
          <w:szCs w:val="24"/>
        </w:rPr>
        <w:t xml:space="preserve">that </w:t>
      </w:r>
      <w:r>
        <w:rPr>
          <w:rFonts w:ascii="Times New Roman" w:hAnsi="Times New Roman" w:cs="Times New Roman"/>
          <w:sz w:val="24"/>
          <w:szCs w:val="24"/>
        </w:rPr>
        <w:t xml:space="preserve">an Australian </w:t>
      </w:r>
      <w:r w:rsidRPr="008453A8">
        <w:rPr>
          <w:rFonts w:ascii="Times New Roman" w:hAnsi="Times New Roman" w:cs="Times New Roman"/>
          <w:sz w:val="24"/>
          <w:szCs w:val="24"/>
        </w:rPr>
        <w:t>stud</w:t>
      </w:r>
      <w:r>
        <w:rPr>
          <w:rFonts w:ascii="Times New Roman" w:hAnsi="Times New Roman" w:cs="Times New Roman"/>
          <w:sz w:val="24"/>
          <w:szCs w:val="24"/>
        </w:rPr>
        <w:t>y</w:t>
      </w:r>
      <w:r w:rsidRPr="008453A8">
        <w:rPr>
          <w:rFonts w:ascii="Times New Roman" w:hAnsi="Times New Roman" w:cs="Times New Roman"/>
          <w:sz w:val="24"/>
          <w:szCs w:val="24"/>
        </w:rPr>
        <w:t xml:space="preserve"> undertaken by the applicant</w:t>
      </w:r>
      <w:r>
        <w:rPr>
          <w:rFonts w:ascii="Times New Roman" w:hAnsi="Times New Roman" w:cs="Times New Roman"/>
          <w:sz w:val="24"/>
          <w:szCs w:val="24"/>
        </w:rPr>
        <w:t xml:space="preserve"> regarding </w:t>
      </w:r>
      <w:r w:rsidRPr="008453A8">
        <w:rPr>
          <w:rFonts w:ascii="Times New Roman" w:hAnsi="Times New Roman" w:cs="Times New Roman"/>
          <w:sz w:val="24"/>
          <w:szCs w:val="24"/>
        </w:rPr>
        <w:t>change</w:t>
      </w:r>
      <w:r>
        <w:rPr>
          <w:rFonts w:ascii="Times New Roman" w:hAnsi="Times New Roman" w:cs="Times New Roman"/>
          <w:sz w:val="24"/>
          <w:szCs w:val="24"/>
        </w:rPr>
        <w:t>s</w:t>
      </w:r>
      <w:r w:rsidRPr="008453A8">
        <w:rPr>
          <w:rFonts w:ascii="Times New Roman" w:hAnsi="Times New Roman" w:cs="Times New Roman"/>
          <w:sz w:val="24"/>
          <w:szCs w:val="24"/>
        </w:rPr>
        <w:t xml:space="preserve"> in patient management w</w:t>
      </w:r>
      <w:r>
        <w:rPr>
          <w:rFonts w:ascii="Times New Roman" w:hAnsi="Times New Roman" w:cs="Times New Roman"/>
          <w:sz w:val="24"/>
          <w:szCs w:val="24"/>
        </w:rPr>
        <w:t>as</w:t>
      </w:r>
      <w:r w:rsidRPr="008453A8">
        <w:rPr>
          <w:rFonts w:ascii="Times New Roman" w:hAnsi="Times New Roman" w:cs="Times New Roman"/>
          <w:sz w:val="24"/>
          <w:szCs w:val="24"/>
        </w:rPr>
        <w:t xml:space="preserve"> valuable</w:t>
      </w:r>
      <w:r>
        <w:rPr>
          <w:rFonts w:ascii="Times New Roman" w:hAnsi="Times New Roman" w:cs="Times New Roman"/>
          <w:sz w:val="24"/>
          <w:szCs w:val="24"/>
        </w:rPr>
        <w:t xml:space="preserve"> in providing external validation for the economic model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006562F2">
        <w:rPr>
          <w:rFonts w:ascii="Times New Roman" w:hAnsi="Times New Roman" w:cs="Times New Roman"/>
          <w:sz w:val="24"/>
          <w:szCs w:val="24"/>
        </w:rPr>
        <w:t>t</w:t>
      </w:r>
      <w:r>
        <w:rPr>
          <w:rFonts w:ascii="Times New Roman" w:hAnsi="Times New Roman" w:cs="Times New Roman"/>
          <w:sz w:val="24"/>
          <w:szCs w:val="24"/>
        </w:rPr>
        <w:t>hat the use of FDG</w:t>
      </w:r>
      <w:r w:rsidR="00F105A0">
        <w:rPr>
          <w:rFonts w:ascii="Times New Roman" w:hAnsi="Times New Roman" w:cs="Times New Roman"/>
          <w:sz w:val="24"/>
          <w:szCs w:val="24"/>
        </w:rPr>
        <w:t xml:space="preserve"> </w:t>
      </w:r>
      <w:r>
        <w:rPr>
          <w:rFonts w:ascii="Times New Roman" w:hAnsi="Times New Roman" w:cs="Times New Roman"/>
          <w:sz w:val="24"/>
          <w:szCs w:val="24"/>
        </w:rPr>
        <w:t xml:space="preserve">PET does indeed change the prescribing of </w:t>
      </w:r>
      <w:proofErr w:type="spellStart"/>
      <w:r>
        <w:rPr>
          <w:rFonts w:ascii="Times New Roman" w:hAnsi="Times New Roman" w:cs="Times New Roman"/>
          <w:sz w:val="24"/>
          <w:szCs w:val="24"/>
        </w:rPr>
        <w:t>AChEIs</w:t>
      </w:r>
      <w:proofErr w:type="spellEnd"/>
      <w:r>
        <w:rPr>
          <w:rFonts w:ascii="Times New Roman" w:hAnsi="Times New Roman" w:cs="Times New Roman"/>
          <w:sz w:val="24"/>
          <w:szCs w:val="24"/>
        </w:rPr>
        <w:t>)</w:t>
      </w:r>
      <w:r w:rsidRPr="008453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However, </w:t>
      </w:r>
      <w:r w:rsidRPr="00623632">
        <w:rPr>
          <w:rFonts w:ascii="Times New Roman" w:hAnsi="Times New Roman" w:cs="Times New Roman"/>
          <w:sz w:val="24"/>
          <w:szCs w:val="24"/>
          <w:lang w:val="en-US"/>
        </w:rPr>
        <w:t xml:space="preserve">ESC noted that patient </w:t>
      </w:r>
      <w:r>
        <w:rPr>
          <w:rFonts w:ascii="Times New Roman" w:hAnsi="Times New Roman" w:cs="Times New Roman"/>
          <w:sz w:val="24"/>
          <w:szCs w:val="24"/>
          <w:lang w:val="en-US"/>
        </w:rPr>
        <w:t xml:space="preserve">management </w:t>
      </w:r>
      <w:r w:rsidRPr="00623632">
        <w:rPr>
          <w:rFonts w:ascii="Times New Roman" w:hAnsi="Times New Roman" w:cs="Times New Roman"/>
          <w:sz w:val="24"/>
          <w:szCs w:val="24"/>
          <w:lang w:val="en-US"/>
        </w:rPr>
        <w:t xml:space="preserve">studies were only </w:t>
      </w:r>
      <w:r>
        <w:rPr>
          <w:rFonts w:ascii="Times New Roman" w:hAnsi="Times New Roman" w:cs="Times New Roman"/>
          <w:sz w:val="24"/>
          <w:szCs w:val="24"/>
          <w:lang w:val="en-US"/>
        </w:rPr>
        <w:t>provided</w:t>
      </w:r>
      <w:r w:rsidRPr="00623632">
        <w:rPr>
          <w:rFonts w:ascii="Times New Roman" w:hAnsi="Times New Roman" w:cs="Times New Roman"/>
          <w:sz w:val="24"/>
          <w:szCs w:val="24"/>
          <w:lang w:val="en-US"/>
        </w:rPr>
        <w:t xml:space="preserve"> for FDG</w:t>
      </w:r>
      <w:r w:rsidR="00F105A0">
        <w:rPr>
          <w:rFonts w:ascii="Times New Roman" w:hAnsi="Times New Roman" w:cs="Times New Roman"/>
          <w:sz w:val="24"/>
          <w:szCs w:val="24"/>
          <w:lang w:val="en-US"/>
        </w:rPr>
        <w:t xml:space="preserve"> </w:t>
      </w:r>
      <w:r w:rsidRPr="00623632">
        <w:rPr>
          <w:rFonts w:ascii="Times New Roman" w:hAnsi="Times New Roman" w:cs="Times New Roman"/>
          <w:sz w:val="24"/>
          <w:szCs w:val="24"/>
          <w:lang w:val="en-US"/>
        </w:rPr>
        <w:t>PET</w:t>
      </w:r>
      <w:r>
        <w:rPr>
          <w:rFonts w:ascii="Times New Roman" w:hAnsi="Times New Roman" w:cs="Times New Roman"/>
          <w:sz w:val="24"/>
          <w:szCs w:val="24"/>
          <w:lang w:val="en-US"/>
        </w:rPr>
        <w:t xml:space="preserve"> and therefore no conclusions could be drawn regarding relative </w:t>
      </w:r>
      <w:r w:rsidRPr="00623632">
        <w:rPr>
          <w:rFonts w:ascii="Times New Roman" w:hAnsi="Times New Roman" w:cs="Times New Roman"/>
          <w:sz w:val="24"/>
          <w:szCs w:val="24"/>
          <w:lang w:val="en-US"/>
        </w:rPr>
        <w:t>change</w:t>
      </w:r>
      <w:r>
        <w:rPr>
          <w:rFonts w:ascii="Times New Roman" w:hAnsi="Times New Roman" w:cs="Times New Roman"/>
          <w:sz w:val="24"/>
          <w:szCs w:val="24"/>
          <w:lang w:val="en-US"/>
        </w:rPr>
        <w:t>s to</w:t>
      </w:r>
      <w:r w:rsidRPr="00623632">
        <w:rPr>
          <w:rFonts w:ascii="Times New Roman" w:hAnsi="Times New Roman" w:cs="Times New Roman"/>
          <w:sz w:val="24"/>
          <w:szCs w:val="24"/>
          <w:lang w:val="en-US"/>
        </w:rPr>
        <w:t xml:space="preserve"> patient management </w:t>
      </w:r>
      <w:r>
        <w:rPr>
          <w:rFonts w:ascii="Times New Roman" w:hAnsi="Times New Roman" w:cs="Times New Roman"/>
          <w:sz w:val="24"/>
          <w:szCs w:val="24"/>
          <w:lang w:val="en-US"/>
        </w:rPr>
        <w:t>with FDG</w:t>
      </w:r>
      <w:r w:rsidR="00F105A0">
        <w:rPr>
          <w:rFonts w:ascii="Times New Roman" w:hAnsi="Times New Roman" w:cs="Times New Roman"/>
          <w:sz w:val="24"/>
          <w:szCs w:val="24"/>
          <w:lang w:val="en-US"/>
        </w:rPr>
        <w:t xml:space="preserve"> </w:t>
      </w:r>
      <w:r>
        <w:rPr>
          <w:rFonts w:ascii="Times New Roman" w:hAnsi="Times New Roman" w:cs="Times New Roman"/>
          <w:sz w:val="24"/>
          <w:szCs w:val="24"/>
          <w:lang w:val="en-US"/>
        </w:rPr>
        <w:t>PET versus</w:t>
      </w:r>
      <w:r w:rsidR="00510E7F">
        <w:rPr>
          <w:rFonts w:ascii="Times New Roman" w:hAnsi="Times New Roman" w:cs="Times New Roman"/>
          <w:sz w:val="24"/>
          <w:szCs w:val="24"/>
          <w:lang w:val="en-US"/>
        </w:rPr>
        <w:t xml:space="preserve"> SPECT.</w:t>
      </w:r>
    </w:p>
    <w:p w:rsidR="00EE41E3" w:rsidRPr="00623632" w:rsidRDefault="00EE41E3" w:rsidP="00EE41E3">
      <w:pPr>
        <w:rPr>
          <w:szCs w:val="24"/>
        </w:rPr>
      </w:pPr>
    </w:p>
    <w:p w:rsidR="00EE41E3" w:rsidRDefault="00EE41E3" w:rsidP="00EE41E3">
      <w:pPr>
        <w:pStyle w:val="NoSpacing"/>
        <w:rPr>
          <w:rFonts w:ascii="Times New Roman" w:hAnsi="Times New Roman" w:cs="Times New Roman"/>
          <w:sz w:val="24"/>
          <w:szCs w:val="24"/>
        </w:rPr>
      </w:pPr>
      <w:r>
        <w:rPr>
          <w:rFonts w:ascii="Times New Roman" w:hAnsi="Times New Roman" w:cs="Times New Roman"/>
          <w:sz w:val="24"/>
          <w:szCs w:val="24"/>
        </w:rPr>
        <w:t>ESC noted that t</w:t>
      </w:r>
      <w:r w:rsidRPr="00C82C1E">
        <w:rPr>
          <w:rFonts w:ascii="Times New Roman" w:hAnsi="Times New Roman" w:cs="Times New Roman"/>
          <w:sz w:val="24"/>
          <w:szCs w:val="24"/>
        </w:rPr>
        <w:t>he absence of verification of true disease status in patients with discordant test results add</w:t>
      </w:r>
      <w:r w:rsidR="006562F2">
        <w:rPr>
          <w:rFonts w:ascii="Times New Roman" w:hAnsi="Times New Roman" w:cs="Times New Roman"/>
          <w:sz w:val="24"/>
          <w:szCs w:val="24"/>
        </w:rPr>
        <w:t>ed</w:t>
      </w:r>
      <w:r w:rsidRPr="00C82C1E">
        <w:rPr>
          <w:rFonts w:ascii="Times New Roman" w:hAnsi="Times New Roman" w:cs="Times New Roman"/>
          <w:sz w:val="24"/>
          <w:szCs w:val="24"/>
        </w:rPr>
        <w:t xml:space="preserve"> further to the uncertainty regarding these results</w:t>
      </w:r>
      <w:r>
        <w:rPr>
          <w:rFonts w:ascii="Times New Roman" w:hAnsi="Times New Roman" w:cs="Times New Roman"/>
          <w:sz w:val="24"/>
          <w:szCs w:val="24"/>
        </w:rPr>
        <w:t xml:space="preserve">. However, ESC acknowledged </w:t>
      </w:r>
      <w:r w:rsidRPr="00CA778A">
        <w:rPr>
          <w:rFonts w:ascii="Times New Roman" w:hAnsi="Times New Roman" w:cs="Times New Roman"/>
          <w:sz w:val="24"/>
          <w:szCs w:val="24"/>
        </w:rPr>
        <w:t xml:space="preserve">that definitive diagnosis for </w:t>
      </w:r>
      <w:r>
        <w:rPr>
          <w:rFonts w:ascii="Times New Roman" w:hAnsi="Times New Roman" w:cs="Times New Roman"/>
          <w:sz w:val="24"/>
          <w:szCs w:val="24"/>
        </w:rPr>
        <w:t>Alzheimer’s disease</w:t>
      </w:r>
      <w:r w:rsidRPr="00CA778A">
        <w:rPr>
          <w:rFonts w:ascii="Times New Roman" w:hAnsi="Times New Roman" w:cs="Times New Roman"/>
          <w:sz w:val="24"/>
          <w:szCs w:val="24"/>
        </w:rPr>
        <w:t xml:space="preserve"> </w:t>
      </w:r>
      <w:r>
        <w:rPr>
          <w:rFonts w:ascii="Times New Roman" w:hAnsi="Times New Roman" w:cs="Times New Roman"/>
          <w:sz w:val="24"/>
          <w:szCs w:val="24"/>
        </w:rPr>
        <w:t xml:space="preserve">could only be achieved via </w:t>
      </w:r>
      <w:r w:rsidRPr="00CA778A">
        <w:rPr>
          <w:rFonts w:ascii="Times New Roman" w:hAnsi="Times New Roman" w:cs="Times New Roman"/>
          <w:sz w:val="24"/>
          <w:szCs w:val="24"/>
        </w:rPr>
        <w:t>autopsy</w:t>
      </w:r>
      <w:r>
        <w:rPr>
          <w:rFonts w:ascii="Times New Roman" w:hAnsi="Times New Roman" w:cs="Times New Roman"/>
          <w:sz w:val="24"/>
          <w:szCs w:val="24"/>
        </w:rPr>
        <w:t xml:space="preserve">, and that this </w:t>
      </w:r>
      <w:r w:rsidR="006562F2">
        <w:rPr>
          <w:rFonts w:ascii="Times New Roman" w:hAnsi="Times New Roman" w:cs="Times New Roman"/>
          <w:sz w:val="24"/>
          <w:szCs w:val="24"/>
        </w:rPr>
        <w:t>would present</w:t>
      </w:r>
      <w:r>
        <w:rPr>
          <w:rFonts w:ascii="Times New Roman" w:hAnsi="Times New Roman" w:cs="Times New Roman"/>
          <w:sz w:val="24"/>
          <w:szCs w:val="24"/>
        </w:rPr>
        <w:t xml:space="preserve"> problems for measuring </w:t>
      </w:r>
      <w:r w:rsidRPr="00CA778A">
        <w:rPr>
          <w:rFonts w:ascii="Times New Roman" w:hAnsi="Times New Roman" w:cs="Times New Roman"/>
          <w:sz w:val="24"/>
          <w:szCs w:val="24"/>
        </w:rPr>
        <w:t>diagnostic accuracy</w:t>
      </w:r>
      <w:r>
        <w:rPr>
          <w:rFonts w:ascii="Times New Roman" w:hAnsi="Times New Roman" w:cs="Times New Roman"/>
          <w:sz w:val="24"/>
          <w:szCs w:val="24"/>
        </w:rPr>
        <w:t xml:space="preserve"> in a clinical setting</w:t>
      </w:r>
      <w:r w:rsidRPr="00CA778A">
        <w:rPr>
          <w:rFonts w:ascii="Times New Roman" w:hAnsi="Times New Roman" w:cs="Times New Roman"/>
          <w:sz w:val="24"/>
          <w:szCs w:val="24"/>
        </w:rPr>
        <w:t>.</w:t>
      </w:r>
    </w:p>
    <w:p w:rsidR="00EE41E3"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Pr>
          <w:rFonts w:ascii="Times New Roman" w:hAnsi="Times New Roman" w:cs="Times New Roman"/>
          <w:sz w:val="24"/>
          <w:szCs w:val="24"/>
        </w:rPr>
        <w:t xml:space="preserve">Longer term clinical follow-up was accepted by ESC as an alternative (albeit imperfect) reference standard, but ESC noted that only one of the two key studies included subsequent clinical confirmation of AD diagnosis </w:t>
      </w:r>
      <w:r w:rsidR="006562F2">
        <w:rPr>
          <w:rFonts w:ascii="Times New Roman" w:hAnsi="Times New Roman" w:cs="Times New Roman"/>
          <w:sz w:val="24"/>
          <w:szCs w:val="24"/>
        </w:rPr>
        <w:t>(</w:t>
      </w:r>
      <w:proofErr w:type="spellStart"/>
      <w:r w:rsidR="006562F2" w:rsidRPr="006562F2">
        <w:rPr>
          <w:rFonts w:ascii="Times New Roman" w:hAnsi="Times New Roman" w:cs="Times New Roman"/>
          <w:sz w:val="24"/>
          <w:szCs w:val="24"/>
          <w:lang w:val="en-US"/>
        </w:rPr>
        <w:t>Döbert</w:t>
      </w:r>
      <w:proofErr w:type="spellEnd"/>
      <w:r w:rsidR="006562F2" w:rsidRPr="006562F2">
        <w:rPr>
          <w:rFonts w:ascii="Times New Roman" w:hAnsi="Times New Roman" w:cs="Times New Roman"/>
          <w:sz w:val="24"/>
          <w:szCs w:val="24"/>
          <w:lang w:val="en-US"/>
        </w:rPr>
        <w:t xml:space="preserve"> et al, 2005</w:t>
      </w:r>
      <w:r w:rsidR="006562F2">
        <w:rPr>
          <w:rFonts w:ascii="Times New Roman" w:hAnsi="Times New Roman" w:cs="Times New Roman"/>
          <w:sz w:val="24"/>
          <w:szCs w:val="24"/>
          <w:lang w:val="en-US"/>
        </w:rPr>
        <w:t>)</w:t>
      </w:r>
      <w:r w:rsidR="00510E7F">
        <w:rPr>
          <w:rFonts w:ascii="Times New Roman" w:hAnsi="Times New Roman" w:cs="Times New Roman"/>
          <w:sz w:val="24"/>
          <w:szCs w:val="24"/>
        </w:rPr>
        <w:t>.</w:t>
      </w:r>
    </w:p>
    <w:p w:rsidR="00EE41E3" w:rsidRDefault="00EE41E3" w:rsidP="00EE41E3">
      <w:pPr>
        <w:pStyle w:val="NoSpacing"/>
        <w:rPr>
          <w:rFonts w:ascii="Times New Roman" w:hAnsi="Times New Roman" w:cs="Times New Roman"/>
          <w:sz w:val="24"/>
          <w:szCs w:val="24"/>
        </w:rPr>
      </w:pPr>
    </w:p>
    <w:p w:rsidR="00EE41E3" w:rsidRPr="00C82C1E" w:rsidRDefault="00EE41E3" w:rsidP="00EE41E3">
      <w:pPr>
        <w:pStyle w:val="NoSpacing"/>
        <w:rPr>
          <w:rFonts w:ascii="Times New Roman" w:hAnsi="Times New Roman" w:cs="Times New Roman"/>
          <w:sz w:val="24"/>
          <w:szCs w:val="24"/>
        </w:rPr>
      </w:pPr>
      <w:r>
        <w:rPr>
          <w:rFonts w:ascii="Times New Roman" w:hAnsi="Times New Roman" w:cs="Times New Roman"/>
          <w:sz w:val="24"/>
          <w:szCs w:val="24"/>
        </w:rPr>
        <w:t>ESC noted that the a</w:t>
      </w:r>
      <w:r w:rsidRPr="004F7F59">
        <w:rPr>
          <w:rFonts w:ascii="Times New Roman" w:hAnsi="Times New Roman" w:cs="Times New Roman"/>
          <w:sz w:val="24"/>
          <w:szCs w:val="24"/>
        </w:rPr>
        <w:t>pplicant</w:t>
      </w:r>
      <w:r>
        <w:rPr>
          <w:rFonts w:ascii="Times New Roman" w:hAnsi="Times New Roman" w:cs="Times New Roman"/>
          <w:sz w:val="24"/>
          <w:szCs w:val="24"/>
        </w:rPr>
        <w:t>,</w:t>
      </w:r>
      <w:r w:rsidRPr="004F7F59">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562F2">
        <w:rPr>
          <w:rFonts w:ascii="Times New Roman" w:hAnsi="Times New Roman" w:cs="Times New Roman"/>
          <w:sz w:val="24"/>
          <w:szCs w:val="24"/>
        </w:rPr>
        <w:t>its</w:t>
      </w:r>
      <w:r>
        <w:rPr>
          <w:rFonts w:ascii="Times New Roman" w:hAnsi="Times New Roman" w:cs="Times New Roman"/>
          <w:sz w:val="24"/>
          <w:szCs w:val="24"/>
        </w:rPr>
        <w:t xml:space="preserve"> pre-ESC response, ha</w:t>
      </w:r>
      <w:r w:rsidR="00822DDC">
        <w:rPr>
          <w:rFonts w:ascii="Times New Roman" w:hAnsi="Times New Roman" w:cs="Times New Roman"/>
          <w:sz w:val="24"/>
          <w:szCs w:val="24"/>
        </w:rPr>
        <w:t>d</w:t>
      </w:r>
      <w:r>
        <w:rPr>
          <w:rFonts w:ascii="Times New Roman" w:hAnsi="Times New Roman" w:cs="Times New Roman"/>
          <w:sz w:val="24"/>
          <w:szCs w:val="24"/>
        </w:rPr>
        <w:t xml:space="preserve"> focused</w:t>
      </w:r>
      <w:r w:rsidRPr="004F7F59">
        <w:rPr>
          <w:rFonts w:ascii="Times New Roman" w:hAnsi="Times New Roman" w:cs="Times New Roman"/>
          <w:sz w:val="24"/>
          <w:szCs w:val="24"/>
        </w:rPr>
        <w:t xml:space="preserve"> on </w:t>
      </w:r>
      <w:r>
        <w:rPr>
          <w:rFonts w:ascii="Times New Roman" w:hAnsi="Times New Roman" w:cs="Times New Roman"/>
          <w:sz w:val="24"/>
          <w:szCs w:val="24"/>
        </w:rPr>
        <w:t xml:space="preserve">diagnostic </w:t>
      </w:r>
      <w:r w:rsidRPr="004F7F59">
        <w:rPr>
          <w:rFonts w:ascii="Times New Roman" w:hAnsi="Times New Roman" w:cs="Times New Roman"/>
          <w:sz w:val="24"/>
          <w:szCs w:val="24"/>
        </w:rPr>
        <w:t xml:space="preserve">sensitivity, but </w:t>
      </w:r>
      <w:r>
        <w:rPr>
          <w:rFonts w:ascii="Times New Roman" w:hAnsi="Times New Roman" w:cs="Times New Roman"/>
          <w:sz w:val="24"/>
          <w:szCs w:val="24"/>
        </w:rPr>
        <w:t xml:space="preserve">ESC agreed that </w:t>
      </w:r>
      <w:r w:rsidRPr="004F7F59">
        <w:rPr>
          <w:rFonts w:ascii="Times New Roman" w:hAnsi="Times New Roman" w:cs="Times New Roman"/>
          <w:sz w:val="24"/>
          <w:szCs w:val="24"/>
        </w:rPr>
        <w:t xml:space="preserve">specificity </w:t>
      </w:r>
      <w:r w:rsidR="00822DDC">
        <w:rPr>
          <w:rFonts w:ascii="Times New Roman" w:hAnsi="Times New Roman" w:cs="Times New Roman"/>
          <w:sz w:val="24"/>
          <w:szCs w:val="24"/>
        </w:rPr>
        <w:t>would be</w:t>
      </w:r>
      <w:r w:rsidRPr="004F7F59">
        <w:rPr>
          <w:rFonts w:ascii="Times New Roman" w:hAnsi="Times New Roman" w:cs="Times New Roman"/>
          <w:sz w:val="24"/>
          <w:szCs w:val="24"/>
        </w:rPr>
        <w:t xml:space="preserve"> the most relevant measure</w:t>
      </w:r>
      <w:r>
        <w:rPr>
          <w:rFonts w:ascii="Times New Roman" w:hAnsi="Times New Roman" w:cs="Times New Roman"/>
          <w:sz w:val="24"/>
          <w:szCs w:val="24"/>
        </w:rPr>
        <w:t xml:space="preserve"> for the proposed use of FDG</w:t>
      </w:r>
      <w:r w:rsidR="00F105A0">
        <w:rPr>
          <w:rFonts w:ascii="Times New Roman" w:hAnsi="Times New Roman" w:cs="Times New Roman"/>
          <w:sz w:val="24"/>
          <w:szCs w:val="24"/>
        </w:rPr>
        <w:t xml:space="preserve"> </w:t>
      </w:r>
      <w:r>
        <w:rPr>
          <w:rFonts w:ascii="Times New Roman" w:hAnsi="Times New Roman" w:cs="Times New Roman"/>
          <w:sz w:val="24"/>
          <w:szCs w:val="24"/>
        </w:rPr>
        <w:t xml:space="preserve">PET. This view </w:t>
      </w:r>
      <w:r w:rsidR="00822DDC">
        <w:rPr>
          <w:rFonts w:ascii="Times New Roman" w:hAnsi="Times New Roman" w:cs="Times New Roman"/>
          <w:sz w:val="24"/>
          <w:szCs w:val="24"/>
        </w:rPr>
        <w:t>wa</w:t>
      </w:r>
      <w:r>
        <w:rPr>
          <w:rFonts w:ascii="Times New Roman" w:hAnsi="Times New Roman" w:cs="Times New Roman"/>
          <w:sz w:val="24"/>
          <w:szCs w:val="24"/>
        </w:rPr>
        <w:t xml:space="preserve">s </w:t>
      </w:r>
      <w:r w:rsidR="00822DDC">
        <w:rPr>
          <w:rFonts w:ascii="Times New Roman" w:hAnsi="Times New Roman" w:cs="Times New Roman"/>
          <w:sz w:val="24"/>
          <w:szCs w:val="24"/>
        </w:rPr>
        <w:t xml:space="preserve">noted to be </w:t>
      </w:r>
      <w:r>
        <w:rPr>
          <w:rFonts w:ascii="Times New Roman" w:hAnsi="Times New Roman" w:cs="Times New Roman"/>
          <w:sz w:val="24"/>
          <w:szCs w:val="24"/>
        </w:rPr>
        <w:t>consistent with published European guidelines for the diagnosis and management of AD</w:t>
      </w:r>
      <w:r w:rsidRPr="004F7F59">
        <w:rPr>
          <w:rFonts w:ascii="Times New Roman" w:hAnsi="Times New Roman" w:cs="Times New Roman"/>
          <w:sz w:val="24"/>
          <w:szCs w:val="24"/>
        </w:rPr>
        <w:t xml:space="preserve">: </w:t>
      </w:r>
      <w:r w:rsidRPr="004F7F59">
        <w:rPr>
          <w:rFonts w:ascii="Times New Roman" w:hAnsi="Times New Roman" w:cs="Times New Roman"/>
          <w:i/>
          <w:iCs/>
          <w:sz w:val="24"/>
          <w:szCs w:val="24"/>
        </w:rPr>
        <w:t xml:space="preserve">“the quest should be to increase specificity to augment clinical diagnostic criteria and structural imaging” </w:t>
      </w:r>
      <w:r>
        <w:rPr>
          <w:rFonts w:ascii="Times New Roman" w:hAnsi="Times New Roman" w:cs="Times New Roman"/>
          <w:sz w:val="24"/>
          <w:szCs w:val="24"/>
        </w:rPr>
        <w:t>(</w:t>
      </w:r>
      <w:proofErr w:type="spellStart"/>
      <w:r>
        <w:rPr>
          <w:rFonts w:ascii="Times New Roman" w:hAnsi="Times New Roman" w:cs="Times New Roman"/>
          <w:sz w:val="24"/>
          <w:szCs w:val="24"/>
        </w:rPr>
        <w:t>Waldemar</w:t>
      </w:r>
      <w:proofErr w:type="spellEnd"/>
      <w:r>
        <w:rPr>
          <w:rFonts w:ascii="Times New Roman" w:hAnsi="Times New Roman" w:cs="Times New Roman"/>
          <w:sz w:val="24"/>
          <w:szCs w:val="24"/>
        </w:rPr>
        <w:t xml:space="preserve"> et al</w:t>
      </w:r>
      <w:r w:rsidR="00822DDC">
        <w:rPr>
          <w:rFonts w:ascii="Times New Roman" w:hAnsi="Times New Roman" w:cs="Times New Roman"/>
          <w:sz w:val="24"/>
          <w:szCs w:val="24"/>
        </w:rPr>
        <w:t>.</w:t>
      </w:r>
      <w:r>
        <w:rPr>
          <w:rFonts w:ascii="Times New Roman" w:hAnsi="Times New Roman" w:cs="Times New Roman"/>
          <w:sz w:val="24"/>
          <w:szCs w:val="24"/>
        </w:rPr>
        <w:t xml:space="preserve"> European Journal of Neurology</w:t>
      </w:r>
      <w:r w:rsidR="00822DDC">
        <w:rPr>
          <w:rFonts w:ascii="Times New Roman" w:hAnsi="Times New Roman" w:cs="Times New Roman"/>
          <w:sz w:val="24"/>
          <w:szCs w:val="24"/>
        </w:rPr>
        <w:t xml:space="preserve"> 2007</w:t>
      </w:r>
      <w:proofErr w:type="gramStart"/>
      <w:r w:rsidR="00822DDC">
        <w:rPr>
          <w:rFonts w:ascii="Times New Roman" w:hAnsi="Times New Roman" w:cs="Times New Roman"/>
          <w:sz w:val="24"/>
          <w:szCs w:val="24"/>
        </w:rPr>
        <w:t>;</w:t>
      </w:r>
      <w:r>
        <w:rPr>
          <w:rFonts w:ascii="Times New Roman" w:hAnsi="Times New Roman" w:cs="Times New Roman"/>
          <w:sz w:val="24"/>
          <w:szCs w:val="24"/>
        </w:rPr>
        <w:t>14</w:t>
      </w:r>
      <w:r w:rsidR="00822DDC">
        <w:rPr>
          <w:rFonts w:ascii="Times New Roman" w:hAnsi="Times New Roman" w:cs="Times New Roman"/>
          <w:sz w:val="24"/>
          <w:szCs w:val="24"/>
        </w:rPr>
        <w:t>:</w:t>
      </w:r>
      <w:r>
        <w:rPr>
          <w:rFonts w:ascii="Times New Roman" w:hAnsi="Times New Roman" w:cs="Times New Roman"/>
          <w:sz w:val="24"/>
          <w:szCs w:val="24"/>
        </w:rPr>
        <w:t>e1</w:t>
      </w:r>
      <w:proofErr w:type="gramEnd"/>
      <w:r>
        <w:rPr>
          <w:rFonts w:ascii="Times New Roman" w:hAnsi="Times New Roman" w:cs="Times New Roman"/>
          <w:sz w:val="24"/>
          <w:szCs w:val="24"/>
        </w:rPr>
        <w:t xml:space="preserve"> – e26)</w:t>
      </w:r>
      <w:r w:rsidR="00510E7F">
        <w:rPr>
          <w:rFonts w:ascii="Times New Roman" w:hAnsi="Times New Roman" w:cs="Times New Roman"/>
          <w:sz w:val="24"/>
          <w:szCs w:val="24"/>
        </w:rPr>
        <w:t>.</w:t>
      </w:r>
    </w:p>
    <w:p w:rsidR="00EE41E3" w:rsidRPr="00CA778A" w:rsidRDefault="00EE41E3" w:rsidP="00EE41E3">
      <w:pPr>
        <w:pStyle w:val="NoSpacing"/>
        <w:rPr>
          <w:rFonts w:ascii="Times New Roman" w:hAnsi="Times New Roman" w:cs="Times New Roman"/>
          <w:sz w:val="24"/>
          <w:szCs w:val="24"/>
        </w:rPr>
      </w:pPr>
    </w:p>
    <w:p w:rsidR="00EE41E3" w:rsidRPr="005F7D45" w:rsidRDefault="00822DDC" w:rsidP="00EE41E3">
      <w:pPr>
        <w:pStyle w:val="NoSpacing"/>
        <w:rPr>
          <w:rFonts w:ascii="Times New Roman" w:hAnsi="Times New Roman" w:cs="Times New Roman"/>
          <w:sz w:val="24"/>
          <w:szCs w:val="24"/>
        </w:rPr>
      </w:pPr>
      <w:r>
        <w:rPr>
          <w:rFonts w:ascii="Times New Roman" w:hAnsi="Times New Roman" w:cs="Times New Roman"/>
          <w:sz w:val="24"/>
          <w:szCs w:val="24"/>
        </w:rPr>
        <w:t xml:space="preserve">Given the lack of statistically significant difference in diagnostic performance between the two imaging modalities, </w:t>
      </w:r>
      <w:r w:rsidR="00EE41E3">
        <w:rPr>
          <w:rFonts w:ascii="Times New Roman" w:eastAsia="Times New Roman" w:hAnsi="Times New Roman" w:cs="Times New Roman"/>
          <w:sz w:val="24"/>
          <w:szCs w:val="24"/>
        </w:rPr>
        <w:t xml:space="preserve">ESC suggested remodelling on the basis of cost-minimisation, including </w:t>
      </w:r>
      <w:r>
        <w:rPr>
          <w:rFonts w:ascii="Times New Roman" w:eastAsia="Times New Roman" w:hAnsi="Times New Roman" w:cs="Times New Roman"/>
          <w:sz w:val="24"/>
          <w:szCs w:val="24"/>
        </w:rPr>
        <w:t xml:space="preserve">a </w:t>
      </w:r>
      <w:r w:rsidR="00EE41E3">
        <w:rPr>
          <w:rFonts w:ascii="Times New Roman" w:eastAsia="Times New Roman" w:hAnsi="Times New Roman" w:cs="Times New Roman"/>
          <w:sz w:val="24"/>
          <w:szCs w:val="24"/>
        </w:rPr>
        <w:t xml:space="preserve">sensitivity analysis in which the diagnostic accuracy was varied within the </w:t>
      </w:r>
      <w:r w:rsidR="00510E7F">
        <w:rPr>
          <w:rFonts w:ascii="Times New Roman" w:eastAsia="Times New Roman" w:hAnsi="Times New Roman" w:cs="Times New Roman"/>
          <w:sz w:val="24"/>
          <w:szCs w:val="24"/>
        </w:rPr>
        <w:t xml:space="preserve">range of confidence intervals. </w:t>
      </w:r>
      <w:r w:rsidR="00EE41E3">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wa</w:t>
      </w:r>
      <w:r w:rsidR="00EE41E3">
        <w:rPr>
          <w:rFonts w:ascii="Times New Roman" w:eastAsia="Times New Roman" w:hAnsi="Times New Roman" w:cs="Times New Roman"/>
          <w:sz w:val="24"/>
          <w:szCs w:val="24"/>
        </w:rPr>
        <w:t>s anticipated to give a better idea about whether PET is superior (or at least no worse) than SPECT.</w:t>
      </w:r>
    </w:p>
    <w:p w:rsidR="00EE41E3" w:rsidRPr="005F7D45"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lang w:val="en-US"/>
        </w:rPr>
      </w:pPr>
      <w:r w:rsidRPr="005F7D45">
        <w:rPr>
          <w:rFonts w:ascii="Times New Roman" w:hAnsi="Times New Roman" w:cs="Times New Roman"/>
          <w:sz w:val="24"/>
          <w:szCs w:val="24"/>
        </w:rPr>
        <w:t xml:space="preserve">ESC considered </w:t>
      </w:r>
      <w:r>
        <w:rPr>
          <w:rFonts w:ascii="Times New Roman" w:hAnsi="Times New Roman" w:cs="Times New Roman"/>
          <w:sz w:val="24"/>
          <w:szCs w:val="24"/>
        </w:rPr>
        <w:t xml:space="preserve">the structure and assumptions in the </w:t>
      </w:r>
      <w:r w:rsidRPr="005F7D45">
        <w:rPr>
          <w:rFonts w:ascii="Times New Roman" w:hAnsi="Times New Roman" w:cs="Times New Roman"/>
          <w:sz w:val="24"/>
          <w:szCs w:val="24"/>
        </w:rPr>
        <w:t xml:space="preserve">model </w:t>
      </w:r>
      <w:r>
        <w:rPr>
          <w:rFonts w:ascii="Times New Roman" w:hAnsi="Times New Roman" w:cs="Times New Roman"/>
          <w:sz w:val="24"/>
          <w:szCs w:val="24"/>
        </w:rPr>
        <w:t>to be g</w:t>
      </w:r>
      <w:r w:rsidR="00510E7F">
        <w:rPr>
          <w:rFonts w:ascii="Times New Roman" w:hAnsi="Times New Roman" w:cs="Times New Roman"/>
          <w:sz w:val="24"/>
          <w:szCs w:val="24"/>
        </w:rPr>
        <w:t xml:space="preserve">enerally sound, </w:t>
      </w:r>
      <w:r w:rsidRPr="005F7D45">
        <w:rPr>
          <w:rFonts w:ascii="Times New Roman" w:hAnsi="Times New Roman" w:cs="Times New Roman"/>
          <w:sz w:val="24"/>
          <w:szCs w:val="24"/>
        </w:rPr>
        <w:t xml:space="preserve">but </w:t>
      </w:r>
      <w:r>
        <w:rPr>
          <w:rFonts w:ascii="Times New Roman" w:hAnsi="Times New Roman" w:cs="Times New Roman"/>
          <w:sz w:val="24"/>
          <w:szCs w:val="24"/>
        </w:rPr>
        <w:t xml:space="preserve">noted </w:t>
      </w:r>
      <w:r w:rsidRPr="005F7D45">
        <w:rPr>
          <w:rFonts w:ascii="Times New Roman" w:hAnsi="Times New Roman" w:cs="Times New Roman"/>
          <w:sz w:val="24"/>
          <w:szCs w:val="24"/>
        </w:rPr>
        <w:t xml:space="preserve">the need for caution </w:t>
      </w:r>
      <w:r>
        <w:rPr>
          <w:rFonts w:ascii="Times New Roman" w:hAnsi="Times New Roman" w:cs="Times New Roman"/>
          <w:sz w:val="24"/>
          <w:szCs w:val="24"/>
        </w:rPr>
        <w:t xml:space="preserve">regarding </w:t>
      </w:r>
      <w:r w:rsidRPr="005F7D45">
        <w:rPr>
          <w:rFonts w:ascii="Times New Roman" w:hAnsi="Times New Roman" w:cs="Times New Roman"/>
          <w:sz w:val="24"/>
          <w:szCs w:val="24"/>
        </w:rPr>
        <w:t>how</w:t>
      </w:r>
      <w:r>
        <w:rPr>
          <w:rFonts w:ascii="Times New Roman" w:hAnsi="Times New Roman" w:cs="Times New Roman"/>
          <w:sz w:val="24"/>
          <w:szCs w:val="24"/>
        </w:rPr>
        <w:t xml:space="preserve"> the results are interpreted</w:t>
      </w:r>
      <w:r w:rsidRPr="005F7D45">
        <w:rPr>
          <w:rFonts w:ascii="Times New Roman" w:hAnsi="Times New Roman" w:cs="Times New Roman"/>
          <w:sz w:val="24"/>
          <w:szCs w:val="24"/>
        </w:rPr>
        <w:t xml:space="preserve">. ESC considered that the </w:t>
      </w:r>
      <w:r>
        <w:rPr>
          <w:rFonts w:ascii="Times New Roman" w:hAnsi="Times New Roman" w:cs="Times New Roman"/>
          <w:sz w:val="24"/>
          <w:szCs w:val="24"/>
          <w:lang w:val="en-US"/>
        </w:rPr>
        <w:t>base</w:t>
      </w:r>
      <w:r w:rsidRPr="005F7D45">
        <w:rPr>
          <w:rFonts w:ascii="Times New Roman" w:hAnsi="Times New Roman" w:cs="Times New Roman"/>
          <w:sz w:val="24"/>
          <w:szCs w:val="24"/>
          <w:lang w:val="en-US"/>
        </w:rPr>
        <w:t xml:space="preserve"> case and all one-way sensitivity analyses in the ‘</w:t>
      </w:r>
      <w:r>
        <w:rPr>
          <w:rFonts w:ascii="Times New Roman" w:hAnsi="Times New Roman" w:cs="Times New Roman"/>
          <w:sz w:val="24"/>
          <w:szCs w:val="24"/>
          <w:lang w:val="en-US"/>
        </w:rPr>
        <w:t xml:space="preserve">Alzheimer’s disease </w:t>
      </w:r>
      <w:r w:rsidRPr="005F7D45">
        <w:rPr>
          <w:rFonts w:ascii="Times New Roman" w:hAnsi="Times New Roman" w:cs="Times New Roman"/>
          <w:sz w:val="24"/>
          <w:szCs w:val="24"/>
          <w:lang w:val="en-US"/>
        </w:rPr>
        <w:t xml:space="preserve">model’ should be </w:t>
      </w:r>
      <w:r>
        <w:rPr>
          <w:rFonts w:ascii="Times New Roman" w:hAnsi="Times New Roman" w:cs="Times New Roman"/>
          <w:sz w:val="24"/>
          <w:szCs w:val="24"/>
          <w:lang w:val="en-US"/>
        </w:rPr>
        <w:t xml:space="preserve">treated </w:t>
      </w:r>
      <w:r w:rsidRPr="005F7D45">
        <w:rPr>
          <w:rFonts w:ascii="Times New Roman" w:hAnsi="Times New Roman" w:cs="Times New Roman"/>
          <w:sz w:val="24"/>
          <w:szCs w:val="24"/>
          <w:lang w:val="en-US"/>
        </w:rPr>
        <w:t xml:space="preserve">with caution as they </w:t>
      </w:r>
      <w:r w:rsidR="00822DDC">
        <w:rPr>
          <w:rFonts w:ascii="Times New Roman" w:hAnsi="Times New Roman" w:cs="Times New Roman"/>
          <w:sz w:val="24"/>
          <w:szCs w:val="24"/>
          <w:lang w:val="en-US"/>
        </w:rPr>
        <w:t>we</w:t>
      </w:r>
      <w:r w:rsidRPr="005F7D45">
        <w:rPr>
          <w:rFonts w:ascii="Times New Roman" w:hAnsi="Times New Roman" w:cs="Times New Roman"/>
          <w:sz w:val="24"/>
          <w:szCs w:val="24"/>
          <w:lang w:val="en-US"/>
        </w:rPr>
        <w:t>re based on non</w:t>
      </w:r>
      <w:r w:rsidR="00822DDC">
        <w:rPr>
          <w:rFonts w:ascii="Times New Roman" w:hAnsi="Times New Roman" w:cs="Times New Roman"/>
          <w:sz w:val="24"/>
          <w:szCs w:val="24"/>
          <w:lang w:val="en-US"/>
        </w:rPr>
        <w:t>-</w:t>
      </w:r>
      <w:r>
        <w:rPr>
          <w:rFonts w:ascii="Times New Roman" w:hAnsi="Times New Roman" w:cs="Times New Roman"/>
          <w:sz w:val="24"/>
          <w:szCs w:val="24"/>
          <w:lang w:val="en-US"/>
        </w:rPr>
        <w:t xml:space="preserve">statistically </w:t>
      </w:r>
      <w:r w:rsidRPr="005F7D45">
        <w:rPr>
          <w:rFonts w:ascii="Times New Roman" w:hAnsi="Times New Roman" w:cs="Times New Roman"/>
          <w:sz w:val="24"/>
          <w:szCs w:val="24"/>
          <w:lang w:val="en-US"/>
        </w:rPr>
        <w:t>significant differences in sensitivity</w:t>
      </w:r>
      <w:r>
        <w:rPr>
          <w:rFonts w:ascii="Times New Roman" w:hAnsi="Times New Roman" w:cs="Times New Roman"/>
          <w:sz w:val="24"/>
          <w:szCs w:val="24"/>
          <w:lang w:val="en-US"/>
        </w:rPr>
        <w:t xml:space="preserve"> and </w:t>
      </w:r>
      <w:r w:rsidR="00510E7F">
        <w:rPr>
          <w:rFonts w:ascii="Times New Roman" w:hAnsi="Times New Roman" w:cs="Times New Roman"/>
          <w:sz w:val="24"/>
          <w:szCs w:val="24"/>
          <w:lang w:val="en-US"/>
        </w:rPr>
        <w:t>specificity.</w:t>
      </w:r>
    </w:p>
    <w:p w:rsidR="00EE41E3" w:rsidRDefault="00EE41E3" w:rsidP="00EE41E3">
      <w:pPr>
        <w:pStyle w:val="NoSpacing"/>
        <w:rPr>
          <w:rFonts w:ascii="Times New Roman" w:hAnsi="Times New Roman" w:cs="Times New Roman"/>
          <w:sz w:val="24"/>
          <w:szCs w:val="24"/>
          <w:lang w:val="en-US"/>
        </w:rPr>
      </w:pPr>
    </w:p>
    <w:p w:rsidR="00EE41E3" w:rsidRDefault="00EE41E3" w:rsidP="00EE41E3">
      <w:pPr>
        <w:pStyle w:val="NoSpacing"/>
        <w:rPr>
          <w:rFonts w:ascii="Times New Roman" w:hAnsi="Times New Roman" w:cs="Times New Roman"/>
          <w:sz w:val="24"/>
          <w:szCs w:val="24"/>
        </w:rPr>
      </w:pPr>
      <w:r w:rsidRPr="005F7D45">
        <w:rPr>
          <w:rFonts w:ascii="Times New Roman" w:hAnsi="Times New Roman" w:cs="Times New Roman"/>
          <w:sz w:val="24"/>
          <w:szCs w:val="24"/>
        </w:rPr>
        <w:t xml:space="preserve">ESC noted that the modelled cost-utility analysis </w:t>
      </w:r>
      <w:r>
        <w:rPr>
          <w:rFonts w:ascii="Times New Roman" w:hAnsi="Times New Roman" w:cs="Times New Roman"/>
          <w:sz w:val="24"/>
          <w:szCs w:val="24"/>
        </w:rPr>
        <w:t>was</w:t>
      </w:r>
      <w:r w:rsidRPr="005F7D45">
        <w:rPr>
          <w:rFonts w:ascii="Times New Roman" w:hAnsi="Times New Roman" w:cs="Times New Roman"/>
          <w:sz w:val="24"/>
          <w:szCs w:val="24"/>
        </w:rPr>
        <w:t xml:space="preserve"> highly sensitive to the values of diagnostic accuracy. ESC </w:t>
      </w:r>
      <w:r>
        <w:rPr>
          <w:rFonts w:ascii="Times New Roman" w:hAnsi="Times New Roman" w:cs="Times New Roman"/>
          <w:sz w:val="24"/>
          <w:szCs w:val="24"/>
        </w:rPr>
        <w:t>also noted</w:t>
      </w:r>
      <w:r w:rsidRPr="005F7D45">
        <w:rPr>
          <w:rFonts w:ascii="Times New Roman" w:hAnsi="Times New Roman" w:cs="Times New Roman"/>
          <w:sz w:val="24"/>
          <w:szCs w:val="24"/>
        </w:rPr>
        <w:t xml:space="preserve"> that the </w:t>
      </w:r>
      <w:r>
        <w:rPr>
          <w:rFonts w:ascii="Times New Roman" w:hAnsi="Times New Roman" w:cs="Times New Roman"/>
          <w:sz w:val="24"/>
          <w:szCs w:val="24"/>
        </w:rPr>
        <w:t xml:space="preserve">transition probabilities and utility weights in the model were taken from a non-Australian </w:t>
      </w:r>
      <w:r w:rsidRPr="005F7D45">
        <w:rPr>
          <w:rFonts w:ascii="Times New Roman" w:hAnsi="Times New Roman" w:cs="Times New Roman"/>
          <w:sz w:val="24"/>
          <w:szCs w:val="24"/>
        </w:rPr>
        <w:t xml:space="preserve">longitudinal dataset. </w:t>
      </w:r>
      <w:r>
        <w:rPr>
          <w:rFonts w:ascii="Times New Roman" w:hAnsi="Times New Roman" w:cs="Times New Roman"/>
          <w:sz w:val="24"/>
          <w:szCs w:val="24"/>
        </w:rPr>
        <w:t>Whilst this data source may be the most appropriate available, and provides internal consistency for the model, the applicability of these variables to an Austral</w:t>
      </w:r>
      <w:r w:rsidR="00510E7F">
        <w:rPr>
          <w:rFonts w:ascii="Times New Roman" w:hAnsi="Times New Roman" w:cs="Times New Roman"/>
          <w:sz w:val="24"/>
          <w:szCs w:val="24"/>
        </w:rPr>
        <w:t xml:space="preserve">ian AD population </w:t>
      </w:r>
      <w:r w:rsidR="00822DDC">
        <w:rPr>
          <w:rFonts w:ascii="Times New Roman" w:hAnsi="Times New Roman" w:cs="Times New Roman"/>
          <w:sz w:val="24"/>
          <w:szCs w:val="24"/>
        </w:rPr>
        <w:t>wa</w:t>
      </w:r>
      <w:r w:rsidR="00510E7F">
        <w:rPr>
          <w:rFonts w:ascii="Times New Roman" w:hAnsi="Times New Roman" w:cs="Times New Roman"/>
          <w:sz w:val="24"/>
          <w:szCs w:val="24"/>
        </w:rPr>
        <w:t>s not clear.</w:t>
      </w:r>
    </w:p>
    <w:p w:rsidR="00EE41E3" w:rsidRPr="00330577" w:rsidRDefault="00EE41E3" w:rsidP="00EE41E3">
      <w:pPr>
        <w:pStyle w:val="NoSpacing"/>
        <w:rPr>
          <w:rFonts w:ascii="Times New Roman" w:hAnsi="Times New Roman" w:cs="Times New Roman"/>
          <w:sz w:val="24"/>
          <w:szCs w:val="24"/>
          <w:lang w:val="en-US"/>
        </w:rPr>
      </w:pPr>
    </w:p>
    <w:p w:rsidR="00EE41E3" w:rsidRPr="00330577" w:rsidRDefault="00EE41E3" w:rsidP="00EE41E3">
      <w:pPr>
        <w:pStyle w:val="NoSpacing"/>
        <w:rPr>
          <w:rFonts w:ascii="Times New Roman" w:hAnsi="Times New Roman" w:cs="Times New Roman"/>
          <w:sz w:val="24"/>
          <w:szCs w:val="24"/>
        </w:rPr>
      </w:pPr>
      <w:r w:rsidRPr="00330577">
        <w:rPr>
          <w:rFonts w:ascii="Times New Roman" w:hAnsi="Times New Roman" w:cs="Times New Roman"/>
          <w:sz w:val="24"/>
          <w:szCs w:val="24"/>
        </w:rPr>
        <w:t xml:space="preserve">ESC noted that the modelled benefits associated with a correct diagnosis of AD </w:t>
      </w:r>
      <w:r w:rsidR="00822DDC">
        <w:rPr>
          <w:rFonts w:ascii="Times New Roman" w:hAnsi="Times New Roman" w:cs="Times New Roman"/>
          <w:sz w:val="24"/>
          <w:szCs w:val="24"/>
        </w:rPr>
        <w:t>we</w:t>
      </w:r>
      <w:r w:rsidRPr="00330577">
        <w:rPr>
          <w:rFonts w:ascii="Times New Roman" w:hAnsi="Times New Roman" w:cs="Times New Roman"/>
          <w:sz w:val="24"/>
          <w:szCs w:val="24"/>
        </w:rPr>
        <w:t xml:space="preserve">re driven by the assumption that treatment with anti-AD drugs slows disease progression by 50% and considered </w:t>
      </w:r>
      <w:r w:rsidR="00822DDC">
        <w:rPr>
          <w:rFonts w:ascii="Times New Roman" w:hAnsi="Times New Roman" w:cs="Times New Roman"/>
          <w:sz w:val="24"/>
          <w:szCs w:val="24"/>
        </w:rPr>
        <w:t xml:space="preserve">that this was </w:t>
      </w:r>
      <w:r w:rsidRPr="00330577">
        <w:rPr>
          <w:rFonts w:ascii="Times New Roman" w:hAnsi="Times New Roman" w:cs="Times New Roman"/>
          <w:sz w:val="24"/>
          <w:szCs w:val="24"/>
        </w:rPr>
        <w:t xml:space="preserve">a highly favourable assumption. </w:t>
      </w:r>
      <w:r w:rsidRPr="00330577">
        <w:rPr>
          <w:rFonts w:ascii="Times New Roman" w:hAnsi="Times New Roman" w:cs="Times New Roman"/>
          <w:sz w:val="24"/>
          <w:szCs w:val="24"/>
          <w:lang w:val="en-US"/>
        </w:rPr>
        <w:t>E</w:t>
      </w:r>
      <w:r w:rsidRPr="00330577">
        <w:rPr>
          <w:rFonts w:ascii="Times New Roman" w:hAnsi="Times New Roman" w:cs="Times New Roman"/>
          <w:sz w:val="24"/>
          <w:szCs w:val="24"/>
        </w:rPr>
        <w:t xml:space="preserve">SC also noted that the assumption </w:t>
      </w:r>
      <w:r w:rsidRPr="00330577">
        <w:rPr>
          <w:rFonts w:ascii="Times New Roman" w:hAnsi="Times New Roman" w:cs="Times New Roman"/>
          <w:sz w:val="24"/>
          <w:szCs w:val="24"/>
        </w:rPr>
        <w:lastRenderedPageBreak/>
        <w:t xml:space="preserve">regarding the effectiveness of the PBS Alzheimer’s disease drugs </w:t>
      </w:r>
      <w:r w:rsidR="00822DDC">
        <w:rPr>
          <w:rFonts w:ascii="Times New Roman" w:hAnsi="Times New Roman" w:cs="Times New Roman"/>
          <w:sz w:val="24"/>
          <w:szCs w:val="24"/>
        </w:rPr>
        <w:t>in</w:t>
      </w:r>
      <w:r w:rsidRPr="00330577">
        <w:rPr>
          <w:rFonts w:ascii="Times New Roman" w:hAnsi="Times New Roman" w:cs="Times New Roman"/>
          <w:sz w:val="24"/>
          <w:szCs w:val="24"/>
        </w:rPr>
        <w:t xml:space="preserve"> allowing patients to remain in the community was not cl</w:t>
      </w:r>
      <w:r w:rsidR="00510E7F">
        <w:rPr>
          <w:rFonts w:ascii="Times New Roman" w:hAnsi="Times New Roman" w:cs="Times New Roman"/>
          <w:sz w:val="24"/>
          <w:szCs w:val="24"/>
        </w:rPr>
        <w:t>early based on strong evidence.</w:t>
      </w:r>
    </w:p>
    <w:p w:rsidR="00EE41E3" w:rsidRPr="00330577" w:rsidRDefault="00EE41E3" w:rsidP="00EE41E3">
      <w:pPr>
        <w:pStyle w:val="NoSpacing"/>
        <w:rPr>
          <w:rFonts w:ascii="Times New Roman" w:hAnsi="Times New Roman" w:cs="Times New Roman"/>
          <w:sz w:val="24"/>
          <w:szCs w:val="24"/>
        </w:rPr>
      </w:pPr>
    </w:p>
    <w:p w:rsidR="00EE41E3" w:rsidRPr="00330577" w:rsidRDefault="00EE41E3" w:rsidP="00EE41E3">
      <w:pPr>
        <w:pStyle w:val="NoSpacing"/>
        <w:rPr>
          <w:rFonts w:ascii="Times New Roman" w:hAnsi="Times New Roman" w:cs="Times New Roman"/>
          <w:sz w:val="24"/>
          <w:szCs w:val="24"/>
        </w:rPr>
      </w:pPr>
      <w:r w:rsidRPr="00330577">
        <w:rPr>
          <w:rFonts w:ascii="Times New Roman" w:hAnsi="Times New Roman" w:cs="Times New Roman"/>
          <w:sz w:val="24"/>
          <w:szCs w:val="24"/>
          <w:lang w:val="en-US"/>
        </w:rPr>
        <w:t>ESC could not support superiority of FDG</w:t>
      </w:r>
      <w:r w:rsidR="00F105A0">
        <w:rPr>
          <w:rFonts w:ascii="Times New Roman" w:hAnsi="Times New Roman" w:cs="Times New Roman"/>
          <w:sz w:val="24"/>
          <w:szCs w:val="24"/>
          <w:lang w:val="en-US"/>
        </w:rPr>
        <w:t xml:space="preserve"> </w:t>
      </w:r>
      <w:r w:rsidRPr="00330577">
        <w:rPr>
          <w:rFonts w:ascii="Times New Roman" w:hAnsi="Times New Roman" w:cs="Times New Roman"/>
          <w:sz w:val="24"/>
          <w:szCs w:val="24"/>
          <w:lang w:val="en-US"/>
        </w:rPr>
        <w:t xml:space="preserve">PET over SPECT in changing </w:t>
      </w:r>
      <w:r w:rsidR="00822DDC">
        <w:rPr>
          <w:rFonts w:ascii="Times New Roman" w:hAnsi="Times New Roman" w:cs="Times New Roman"/>
          <w:sz w:val="24"/>
          <w:szCs w:val="24"/>
          <w:lang w:val="en-US"/>
        </w:rPr>
        <w:t xml:space="preserve">clinical </w:t>
      </w:r>
      <w:r w:rsidRPr="00330577">
        <w:rPr>
          <w:rFonts w:ascii="Times New Roman" w:hAnsi="Times New Roman" w:cs="Times New Roman"/>
          <w:sz w:val="24"/>
          <w:szCs w:val="24"/>
          <w:lang w:val="en-US"/>
        </w:rPr>
        <w:t>management because the patient management studies that suggested FDG</w:t>
      </w:r>
      <w:r w:rsidR="00F105A0">
        <w:rPr>
          <w:rFonts w:ascii="Times New Roman" w:hAnsi="Times New Roman" w:cs="Times New Roman"/>
          <w:sz w:val="24"/>
          <w:szCs w:val="24"/>
          <w:lang w:val="en-US"/>
        </w:rPr>
        <w:t xml:space="preserve"> </w:t>
      </w:r>
      <w:r w:rsidRPr="00330577">
        <w:rPr>
          <w:rFonts w:ascii="Times New Roman" w:hAnsi="Times New Roman" w:cs="Times New Roman"/>
          <w:sz w:val="24"/>
          <w:szCs w:val="24"/>
          <w:lang w:val="en-US"/>
        </w:rPr>
        <w:t>PET</w:t>
      </w:r>
      <w:r w:rsidRPr="00822DDC">
        <w:rPr>
          <w:rFonts w:ascii="Times New Roman" w:hAnsi="Times New Roman" w:cs="Times New Roman"/>
          <w:sz w:val="24"/>
          <w:szCs w:val="24"/>
          <w:lang w:val="en-US"/>
        </w:rPr>
        <w:t xml:space="preserve"> </w:t>
      </w:r>
      <w:r w:rsidRPr="00330577">
        <w:rPr>
          <w:rFonts w:ascii="Times New Roman" w:hAnsi="Times New Roman" w:cs="Times New Roman"/>
          <w:sz w:val="24"/>
          <w:szCs w:val="24"/>
          <w:lang w:val="en-US"/>
        </w:rPr>
        <w:t>was</w:t>
      </w:r>
      <w:r w:rsidRPr="00822DDC">
        <w:rPr>
          <w:rFonts w:ascii="Times New Roman" w:hAnsi="Times New Roman" w:cs="Times New Roman"/>
          <w:sz w:val="24"/>
          <w:szCs w:val="24"/>
          <w:lang w:val="en-US"/>
        </w:rPr>
        <w:t xml:space="preserve"> </w:t>
      </w:r>
      <w:r w:rsidRPr="00330577">
        <w:rPr>
          <w:rFonts w:ascii="Times New Roman" w:hAnsi="Times New Roman" w:cs="Times New Roman"/>
          <w:sz w:val="24"/>
          <w:szCs w:val="24"/>
          <w:lang w:val="en-US"/>
        </w:rPr>
        <w:t>effective at changing treatment did not consider whether SPECT would be a</w:t>
      </w:r>
      <w:r w:rsidR="00510E7F">
        <w:rPr>
          <w:rFonts w:ascii="Times New Roman" w:hAnsi="Times New Roman" w:cs="Times New Roman"/>
          <w:sz w:val="24"/>
          <w:szCs w:val="24"/>
          <w:lang w:val="en-US"/>
        </w:rPr>
        <w:t>ssociated with similar changes.</w:t>
      </w:r>
    </w:p>
    <w:p w:rsidR="00EE41E3" w:rsidRPr="00330577" w:rsidRDefault="00EE41E3" w:rsidP="00EE41E3">
      <w:pPr>
        <w:pStyle w:val="NoSpacing"/>
        <w:rPr>
          <w:rFonts w:ascii="Times New Roman" w:hAnsi="Times New Roman" w:cs="Times New Roman"/>
          <w:sz w:val="24"/>
          <w:szCs w:val="24"/>
        </w:rPr>
      </w:pPr>
    </w:p>
    <w:p w:rsidR="00EE41E3" w:rsidRDefault="00EE41E3" w:rsidP="00EE41E3">
      <w:r w:rsidRPr="00330577">
        <w:rPr>
          <w:szCs w:val="24"/>
        </w:rPr>
        <w:t>ESC noted that the ICER was highly sensitive to diagnostic accuracy and that reasonable evidence-based changes to the sensitivity/</w:t>
      </w:r>
      <w:r w:rsidRPr="005F7D45">
        <w:rPr>
          <w:szCs w:val="24"/>
        </w:rPr>
        <w:t xml:space="preserve">specificity would reverse the cost effectiveness conclusion. </w:t>
      </w:r>
      <w:r>
        <w:t xml:space="preserve">In one sensitivity analysis </w:t>
      </w:r>
      <w:proofErr w:type="gramStart"/>
      <w:r>
        <w:t>an</w:t>
      </w:r>
      <w:proofErr w:type="gramEnd"/>
      <w:r>
        <w:t xml:space="preserve"> ICER of $127,567 per QALY was reported, whilst in another sensitivity analysis FDG</w:t>
      </w:r>
      <w:r w:rsidR="00F105A0">
        <w:t xml:space="preserve"> </w:t>
      </w:r>
      <w:r>
        <w:t>PET was associated with additional costs and poorer QALY outcomes. ESC considered that each of these modelled results was equally likely given that the</w:t>
      </w:r>
      <w:r w:rsidRPr="009D2102">
        <w:t xml:space="preserve"> incremental cost and QALY results </w:t>
      </w:r>
      <w:r w:rsidR="00822DDC">
        <w:t>we</w:t>
      </w:r>
      <w:r w:rsidRPr="009D2102">
        <w:t xml:space="preserve">re </w:t>
      </w:r>
      <w:r>
        <w:t>so close to zero.</w:t>
      </w:r>
    </w:p>
    <w:p w:rsidR="00EE41E3" w:rsidRPr="005F7D45" w:rsidRDefault="00EE41E3" w:rsidP="00EE41E3">
      <w:pPr>
        <w:pStyle w:val="NoSpacing"/>
        <w:rPr>
          <w:rFonts w:ascii="Times New Roman" w:hAnsi="Times New Roman" w:cs="Times New Roman"/>
          <w:sz w:val="24"/>
          <w:szCs w:val="24"/>
        </w:rPr>
      </w:pPr>
    </w:p>
    <w:p w:rsidR="00822DDC" w:rsidRPr="00C574E7" w:rsidRDefault="00822DDC" w:rsidP="00822DDC">
      <w:pPr>
        <w:pStyle w:val="NoSpacing"/>
        <w:rPr>
          <w:rFonts w:ascii="Times New Roman" w:hAnsi="Times New Roman" w:cs="Times New Roman"/>
          <w:sz w:val="24"/>
          <w:szCs w:val="24"/>
        </w:rPr>
      </w:pPr>
      <w:r w:rsidRPr="005F7D45">
        <w:rPr>
          <w:rFonts w:ascii="Times New Roman" w:hAnsi="Times New Roman" w:cs="Times New Roman"/>
          <w:sz w:val="24"/>
          <w:szCs w:val="24"/>
        </w:rPr>
        <w:t>ESC noted that the applicant proposed a fee of $1,180, for FDG</w:t>
      </w:r>
      <w:r w:rsidR="00F105A0">
        <w:rPr>
          <w:rFonts w:ascii="Times New Roman" w:hAnsi="Times New Roman" w:cs="Times New Roman"/>
          <w:sz w:val="24"/>
          <w:szCs w:val="24"/>
        </w:rPr>
        <w:t xml:space="preserve"> </w:t>
      </w:r>
      <w:r w:rsidRPr="005F7D45">
        <w:rPr>
          <w:rFonts w:ascii="Times New Roman" w:hAnsi="Times New Roman" w:cs="Times New Roman"/>
          <w:sz w:val="24"/>
          <w:szCs w:val="24"/>
        </w:rPr>
        <w:t xml:space="preserve">PET, which is greater than the fee of $918 </w:t>
      </w:r>
      <w:r>
        <w:rPr>
          <w:rFonts w:ascii="Times New Roman" w:hAnsi="Times New Roman" w:cs="Times New Roman"/>
          <w:sz w:val="24"/>
          <w:szCs w:val="24"/>
        </w:rPr>
        <w:t xml:space="preserve">specified in </w:t>
      </w:r>
      <w:r w:rsidRPr="005F7D45">
        <w:rPr>
          <w:rFonts w:ascii="Times New Roman" w:hAnsi="Times New Roman" w:cs="Times New Roman"/>
          <w:sz w:val="24"/>
          <w:szCs w:val="24"/>
        </w:rPr>
        <w:t>the</w:t>
      </w:r>
      <w:r w:rsidRPr="005F7D45">
        <w:rPr>
          <w:rFonts w:ascii="Times New Roman" w:hAnsi="Times New Roman" w:cs="Times New Roman"/>
          <w:sz w:val="24"/>
          <w:szCs w:val="24"/>
          <w:lang w:val="en-US"/>
        </w:rPr>
        <w:t xml:space="preserve"> final Protocol </w:t>
      </w:r>
      <w:r>
        <w:rPr>
          <w:rFonts w:ascii="Times New Roman" w:hAnsi="Times New Roman" w:cs="Times New Roman"/>
          <w:sz w:val="24"/>
          <w:szCs w:val="24"/>
          <w:lang w:val="en-US"/>
        </w:rPr>
        <w:t xml:space="preserve">as being equivalent </w:t>
      </w:r>
      <w:r w:rsidRPr="005F7D45">
        <w:rPr>
          <w:rFonts w:ascii="Times New Roman" w:hAnsi="Times New Roman" w:cs="Times New Roman"/>
          <w:sz w:val="24"/>
          <w:szCs w:val="24"/>
          <w:lang w:val="en-US"/>
        </w:rPr>
        <w:t xml:space="preserve">to </w:t>
      </w:r>
      <w:r>
        <w:rPr>
          <w:rFonts w:ascii="Times New Roman" w:hAnsi="Times New Roman" w:cs="Times New Roman"/>
          <w:sz w:val="24"/>
          <w:szCs w:val="24"/>
          <w:lang w:val="en-US"/>
        </w:rPr>
        <w:t>MBS item 61559</w:t>
      </w:r>
      <w:r w:rsidRPr="00B9325F">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5F7D45">
        <w:rPr>
          <w:rFonts w:ascii="Times New Roman" w:hAnsi="Times New Roman" w:cs="Times New Roman"/>
          <w:sz w:val="24"/>
          <w:szCs w:val="24"/>
        </w:rPr>
        <w:t xml:space="preserve">is </w:t>
      </w:r>
      <w:r>
        <w:rPr>
          <w:rFonts w:ascii="Times New Roman" w:hAnsi="Times New Roman" w:cs="Times New Roman"/>
          <w:sz w:val="24"/>
          <w:szCs w:val="24"/>
        </w:rPr>
        <w:t>t</w:t>
      </w:r>
      <w:r w:rsidRPr="005F7D45">
        <w:rPr>
          <w:rFonts w:ascii="Times New Roman" w:hAnsi="Times New Roman" w:cs="Times New Roman"/>
          <w:sz w:val="24"/>
          <w:szCs w:val="24"/>
        </w:rPr>
        <w:t xml:space="preserve">he lowest fee for </w:t>
      </w:r>
      <w:r>
        <w:rPr>
          <w:rFonts w:ascii="Times New Roman" w:hAnsi="Times New Roman" w:cs="Times New Roman"/>
          <w:sz w:val="24"/>
          <w:szCs w:val="24"/>
        </w:rPr>
        <w:t>FDG</w:t>
      </w:r>
      <w:r w:rsidR="00F105A0">
        <w:rPr>
          <w:rFonts w:ascii="Times New Roman" w:hAnsi="Times New Roman" w:cs="Times New Roman"/>
          <w:sz w:val="24"/>
          <w:szCs w:val="24"/>
        </w:rPr>
        <w:t xml:space="preserve"> </w:t>
      </w:r>
      <w:r w:rsidRPr="005F7D45">
        <w:rPr>
          <w:rFonts w:ascii="Times New Roman" w:hAnsi="Times New Roman" w:cs="Times New Roman"/>
          <w:sz w:val="24"/>
          <w:szCs w:val="24"/>
        </w:rPr>
        <w:t>PET on the MBS</w:t>
      </w:r>
      <w:r w:rsidRPr="005F7D45">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a</w:t>
      </w:r>
      <w:proofErr w:type="spellStart"/>
      <w:r>
        <w:rPr>
          <w:rFonts w:ascii="Times New Roman" w:hAnsi="Times New Roman" w:cs="Times New Roman"/>
          <w:sz w:val="24"/>
          <w:szCs w:val="24"/>
        </w:rPr>
        <w:t>ll</w:t>
      </w:r>
      <w:proofErr w:type="spellEnd"/>
      <w:r w:rsidRPr="005F7D45">
        <w:rPr>
          <w:rFonts w:ascii="Times New Roman" w:hAnsi="Times New Roman" w:cs="Times New Roman"/>
          <w:sz w:val="24"/>
          <w:szCs w:val="24"/>
        </w:rPr>
        <w:t xml:space="preserve"> financial analysis had been </w:t>
      </w:r>
      <w:r>
        <w:rPr>
          <w:rFonts w:ascii="Times New Roman" w:hAnsi="Times New Roman" w:cs="Times New Roman"/>
          <w:sz w:val="24"/>
          <w:szCs w:val="24"/>
        </w:rPr>
        <w:t xml:space="preserve">performed </w:t>
      </w:r>
      <w:r w:rsidRPr="005F7D45">
        <w:rPr>
          <w:rFonts w:ascii="Times New Roman" w:hAnsi="Times New Roman" w:cs="Times New Roman"/>
          <w:sz w:val="24"/>
          <w:szCs w:val="24"/>
        </w:rPr>
        <w:t xml:space="preserve">using </w:t>
      </w:r>
      <w:r>
        <w:rPr>
          <w:rFonts w:ascii="Times New Roman" w:hAnsi="Times New Roman" w:cs="Times New Roman"/>
          <w:sz w:val="24"/>
          <w:szCs w:val="24"/>
        </w:rPr>
        <w:t xml:space="preserve">the </w:t>
      </w:r>
      <w:r w:rsidRPr="005F7D45">
        <w:rPr>
          <w:rFonts w:ascii="Times New Roman" w:hAnsi="Times New Roman" w:cs="Times New Roman"/>
          <w:sz w:val="24"/>
          <w:szCs w:val="24"/>
        </w:rPr>
        <w:t>$918 fee</w:t>
      </w:r>
      <w:r>
        <w:rPr>
          <w:rFonts w:ascii="Times New Roman" w:hAnsi="Times New Roman" w:cs="Times New Roman"/>
          <w:sz w:val="24"/>
          <w:szCs w:val="24"/>
        </w:rPr>
        <w:t>.</w:t>
      </w:r>
    </w:p>
    <w:p w:rsidR="00822DDC" w:rsidRDefault="00822DDC" w:rsidP="00822DDC">
      <w:pPr>
        <w:pStyle w:val="NoSpacing"/>
        <w:rPr>
          <w:rFonts w:ascii="Times New Roman" w:hAnsi="Times New Roman" w:cs="Times New Roman"/>
          <w:sz w:val="24"/>
          <w:szCs w:val="24"/>
        </w:rPr>
      </w:pPr>
    </w:p>
    <w:p w:rsidR="00822DDC" w:rsidRPr="005F7D45" w:rsidRDefault="00822DDC" w:rsidP="00822DDC">
      <w:pPr>
        <w:pStyle w:val="NoSpacing"/>
        <w:rPr>
          <w:rFonts w:ascii="Times New Roman" w:hAnsi="Times New Roman" w:cs="Times New Roman"/>
          <w:sz w:val="24"/>
          <w:szCs w:val="24"/>
        </w:rPr>
      </w:pPr>
      <w:r w:rsidRPr="005F7D45">
        <w:rPr>
          <w:rFonts w:ascii="Times New Roman" w:hAnsi="Times New Roman" w:cs="Times New Roman"/>
          <w:sz w:val="24"/>
          <w:szCs w:val="24"/>
        </w:rPr>
        <w:t xml:space="preserve">ESC noted that no information </w:t>
      </w:r>
      <w:r>
        <w:rPr>
          <w:rFonts w:ascii="Times New Roman" w:hAnsi="Times New Roman" w:cs="Times New Roman"/>
          <w:sz w:val="24"/>
          <w:szCs w:val="24"/>
        </w:rPr>
        <w:t>was presented on the inputs to either fee, and that no conclusion could be made regarding their appropriateness.</w:t>
      </w:r>
    </w:p>
    <w:p w:rsidR="00822DDC" w:rsidRDefault="00822DDC"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sidRPr="00C82C1E">
        <w:rPr>
          <w:rFonts w:ascii="Times New Roman" w:hAnsi="Times New Roman" w:cs="Times New Roman"/>
          <w:sz w:val="24"/>
          <w:szCs w:val="24"/>
        </w:rPr>
        <w:t xml:space="preserve">ESC noted the fee </w:t>
      </w:r>
      <w:r w:rsidR="00822DDC" w:rsidRPr="00822DDC">
        <w:rPr>
          <w:rFonts w:ascii="Times New Roman" w:hAnsi="Times New Roman" w:cs="Times New Roman"/>
          <w:sz w:val="24"/>
          <w:szCs w:val="24"/>
        </w:rPr>
        <w:t xml:space="preserve">of $918 </w:t>
      </w:r>
      <w:r w:rsidRPr="00C82C1E">
        <w:rPr>
          <w:rFonts w:ascii="Times New Roman" w:hAnsi="Times New Roman" w:cs="Times New Roman"/>
          <w:sz w:val="24"/>
          <w:szCs w:val="24"/>
        </w:rPr>
        <w:t>ha</w:t>
      </w:r>
      <w:r w:rsidR="00822DDC">
        <w:rPr>
          <w:rFonts w:ascii="Times New Roman" w:hAnsi="Times New Roman" w:cs="Times New Roman"/>
          <w:sz w:val="24"/>
          <w:szCs w:val="24"/>
        </w:rPr>
        <w:t>d</w:t>
      </w:r>
      <w:r w:rsidRPr="00C82C1E">
        <w:rPr>
          <w:rFonts w:ascii="Times New Roman" w:hAnsi="Times New Roman" w:cs="Times New Roman"/>
          <w:sz w:val="24"/>
          <w:szCs w:val="24"/>
        </w:rPr>
        <w:t xml:space="preserve"> been set equal to that for MBS item 61599 (FDG</w:t>
      </w:r>
      <w:r w:rsidR="00F105A0">
        <w:rPr>
          <w:rFonts w:ascii="Times New Roman" w:hAnsi="Times New Roman" w:cs="Times New Roman"/>
          <w:sz w:val="24"/>
          <w:szCs w:val="24"/>
        </w:rPr>
        <w:t xml:space="preserve"> </w:t>
      </w:r>
      <w:r w:rsidRPr="00C82C1E">
        <w:rPr>
          <w:rFonts w:ascii="Times New Roman" w:hAnsi="Times New Roman" w:cs="Times New Roman"/>
          <w:sz w:val="24"/>
          <w:szCs w:val="24"/>
        </w:rPr>
        <w:t>PET for epilepsy), but also noted that the current fee for the comparator item for SPECT (MBS item 61402) is lower, at $605.05. ESC discussed the relevance of MBS item 61505 (nuclear medicine co-claimable item for a concurrent CT scan)</w:t>
      </w:r>
      <w:r>
        <w:rPr>
          <w:rFonts w:ascii="Times New Roman" w:hAnsi="Times New Roman" w:cs="Times New Roman"/>
          <w:sz w:val="24"/>
          <w:szCs w:val="24"/>
        </w:rPr>
        <w:t>,</w:t>
      </w:r>
      <w:r w:rsidRPr="00C82C1E">
        <w:rPr>
          <w:rFonts w:ascii="Times New Roman" w:hAnsi="Times New Roman" w:cs="Times New Roman"/>
          <w:sz w:val="24"/>
          <w:szCs w:val="24"/>
        </w:rPr>
        <w:t xml:space="preserve"> the fee for which is $100. It was noted that this item can be co-claimed with PET or SPECT items, and that no information is available regarding the relative proportions of co-claiming for PET versus SPECT. However, given that all new PET and SPECT machines include CT capability, ESC agreed that co-claiming of item 61505 is likely to be similar for PET and SPECT. Consequently, ESC felt it </w:t>
      </w:r>
      <w:r w:rsidR="00822DDC">
        <w:rPr>
          <w:rFonts w:ascii="Times New Roman" w:hAnsi="Times New Roman" w:cs="Times New Roman"/>
          <w:sz w:val="24"/>
          <w:szCs w:val="24"/>
        </w:rPr>
        <w:t>wa</w:t>
      </w:r>
      <w:r w:rsidRPr="00C82C1E">
        <w:rPr>
          <w:rFonts w:ascii="Times New Roman" w:hAnsi="Times New Roman" w:cs="Times New Roman"/>
          <w:sz w:val="24"/>
          <w:szCs w:val="24"/>
        </w:rPr>
        <w:t>s appropriate to exclude the costs associated with item 61505 as they would apply equally to both arms of the economic evaluation.</w:t>
      </w:r>
    </w:p>
    <w:p w:rsidR="00822DDC" w:rsidRPr="003616C5" w:rsidRDefault="00822DDC" w:rsidP="00EE41E3">
      <w:pPr>
        <w:pStyle w:val="NoSpacing"/>
        <w:rPr>
          <w:rFonts w:ascii="Times New Roman" w:hAnsi="Times New Roman" w:cs="Times New Roman"/>
          <w:sz w:val="24"/>
          <w:szCs w:val="24"/>
        </w:rPr>
      </w:pPr>
    </w:p>
    <w:p w:rsidR="00EE41E3" w:rsidRPr="004E1CE9" w:rsidRDefault="00EE41E3" w:rsidP="00EE41E3">
      <w:r>
        <w:t>Although SPECT was agreed by PASC as the main comparator for this application, there was discussion by ESC regarding the extent to which SPECT is actually used in the population for whom FDG</w:t>
      </w:r>
      <w:r w:rsidR="00F105A0">
        <w:t xml:space="preserve"> </w:t>
      </w:r>
      <w:r>
        <w:t>PET listing is sought. In particular, ESC noted the low rates of utilisation for MBS item 61402, which covers a range of indications for SPECT (</w:t>
      </w:r>
      <w:proofErr w:type="spellStart"/>
      <w:r>
        <w:t>eg</w:t>
      </w:r>
      <w:proofErr w:type="spellEnd"/>
      <w:r>
        <w:t xml:space="preserve">, epilepsy, stroke, acute </w:t>
      </w:r>
      <w:r w:rsidR="00822DDC">
        <w:t>brain injury) in addition to AD</w:t>
      </w:r>
      <w:r>
        <w:t xml:space="preserve"> (cf. Table E.2.1 in the contracted assessment report).</w:t>
      </w:r>
    </w:p>
    <w:p w:rsidR="00EE41E3" w:rsidRPr="005F7D45" w:rsidRDefault="00EE41E3" w:rsidP="00EE41E3">
      <w:pPr>
        <w:pStyle w:val="NoSpacing"/>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sidRPr="005F7D45">
        <w:rPr>
          <w:rFonts w:ascii="Times New Roman" w:hAnsi="Times New Roman" w:cs="Times New Roman"/>
          <w:sz w:val="24"/>
          <w:szCs w:val="24"/>
        </w:rPr>
        <w:t xml:space="preserve">ESC requested that the </w:t>
      </w:r>
      <w:r>
        <w:rPr>
          <w:rFonts w:ascii="Times New Roman" w:hAnsi="Times New Roman" w:cs="Times New Roman"/>
          <w:sz w:val="24"/>
          <w:szCs w:val="24"/>
        </w:rPr>
        <w:t>P</w:t>
      </w:r>
      <w:r w:rsidRPr="005F7D45">
        <w:rPr>
          <w:rFonts w:ascii="Times New Roman" w:hAnsi="Times New Roman" w:cs="Times New Roman"/>
          <w:sz w:val="24"/>
          <w:szCs w:val="24"/>
        </w:rPr>
        <w:t>olicy</w:t>
      </w:r>
      <w:r>
        <w:rPr>
          <w:rFonts w:ascii="Times New Roman" w:hAnsi="Times New Roman" w:cs="Times New Roman"/>
          <w:sz w:val="24"/>
          <w:szCs w:val="24"/>
        </w:rPr>
        <w:t xml:space="preserve"> Area</w:t>
      </w:r>
      <w:r w:rsidRPr="005F7D45">
        <w:rPr>
          <w:rFonts w:ascii="Times New Roman" w:hAnsi="Times New Roman" w:cs="Times New Roman"/>
          <w:sz w:val="24"/>
          <w:szCs w:val="24"/>
        </w:rPr>
        <w:t xml:space="preserve"> </w:t>
      </w:r>
      <w:r>
        <w:rPr>
          <w:rFonts w:ascii="Times New Roman" w:hAnsi="Times New Roman" w:cs="Times New Roman"/>
          <w:sz w:val="24"/>
          <w:szCs w:val="24"/>
        </w:rPr>
        <w:t xml:space="preserve">provide additional information to MSAC on the </w:t>
      </w:r>
      <w:r w:rsidRPr="005F7D45">
        <w:rPr>
          <w:rFonts w:ascii="Times New Roman" w:hAnsi="Times New Roman" w:cs="Times New Roman"/>
          <w:sz w:val="24"/>
          <w:szCs w:val="24"/>
        </w:rPr>
        <w:t xml:space="preserve">current use of SPECT as this may affect the financial and economic </w:t>
      </w:r>
      <w:r>
        <w:rPr>
          <w:rFonts w:ascii="Times New Roman" w:hAnsi="Times New Roman" w:cs="Times New Roman"/>
          <w:sz w:val="24"/>
          <w:szCs w:val="24"/>
        </w:rPr>
        <w:t>conclusions</w:t>
      </w:r>
      <w:r w:rsidRPr="005F7D45">
        <w:rPr>
          <w:rFonts w:ascii="Times New Roman" w:hAnsi="Times New Roman" w:cs="Times New Roman"/>
          <w:sz w:val="24"/>
          <w:szCs w:val="24"/>
        </w:rPr>
        <w:t>.</w:t>
      </w:r>
    </w:p>
    <w:p w:rsidR="00EE41E3" w:rsidRPr="005F7D45" w:rsidRDefault="00EE41E3" w:rsidP="00EE41E3">
      <w:pPr>
        <w:pStyle w:val="NoSpacing"/>
        <w:rPr>
          <w:rFonts w:ascii="Times New Roman" w:hAnsi="Times New Roman" w:cs="Times New Roman"/>
          <w:sz w:val="24"/>
          <w:szCs w:val="24"/>
        </w:rPr>
      </w:pPr>
    </w:p>
    <w:p w:rsidR="00EE41E3" w:rsidRPr="005F7D45" w:rsidRDefault="00EE41E3" w:rsidP="00EE41E3">
      <w:pPr>
        <w:pStyle w:val="NoSpacing"/>
        <w:rPr>
          <w:rFonts w:ascii="Times New Roman" w:hAnsi="Times New Roman" w:cs="Times New Roman"/>
          <w:sz w:val="24"/>
          <w:szCs w:val="24"/>
        </w:rPr>
      </w:pPr>
      <w:r w:rsidRPr="005F7D45">
        <w:rPr>
          <w:rFonts w:ascii="Times New Roman" w:hAnsi="Times New Roman" w:cs="Times New Roman"/>
          <w:sz w:val="24"/>
          <w:szCs w:val="24"/>
          <w:lang w:val="en-US"/>
        </w:rPr>
        <w:t xml:space="preserve">ESC noted that the applicant </w:t>
      </w:r>
      <w:r>
        <w:rPr>
          <w:rFonts w:ascii="Times New Roman" w:hAnsi="Times New Roman" w:cs="Times New Roman"/>
          <w:sz w:val="24"/>
          <w:szCs w:val="24"/>
          <w:lang w:val="en-US"/>
        </w:rPr>
        <w:t>had</w:t>
      </w:r>
      <w:r w:rsidRPr="005F7D45">
        <w:rPr>
          <w:rFonts w:ascii="Times New Roman" w:hAnsi="Times New Roman" w:cs="Times New Roman"/>
          <w:sz w:val="24"/>
          <w:szCs w:val="24"/>
          <w:lang w:val="en-US"/>
        </w:rPr>
        <w:t xml:space="preserve"> not proposed any wording for the proposed MBS item descriptor, but stated that the technique is the same as MBS item 61559 (FDG</w:t>
      </w:r>
      <w:r w:rsidR="00F105A0">
        <w:rPr>
          <w:rFonts w:ascii="Times New Roman" w:hAnsi="Times New Roman" w:cs="Times New Roman"/>
          <w:sz w:val="24"/>
          <w:szCs w:val="24"/>
          <w:lang w:val="en-US"/>
        </w:rPr>
        <w:t xml:space="preserve"> </w:t>
      </w:r>
      <w:r w:rsidRPr="005F7D45">
        <w:rPr>
          <w:rFonts w:ascii="Times New Roman" w:hAnsi="Times New Roman" w:cs="Times New Roman"/>
          <w:sz w:val="24"/>
          <w:szCs w:val="24"/>
          <w:lang w:val="en-US"/>
        </w:rPr>
        <w:t xml:space="preserve">PET study of the brain for refractory epilepsy being evaluated for surgery). ESC </w:t>
      </w:r>
      <w:r>
        <w:rPr>
          <w:rFonts w:ascii="Times New Roman" w:hAnsi="Times New Roman" w:cs="Times New Roman"/>
          <w:sz w:val="24"/>
          <w:szCs w:val="24"/>
          <w:lang w:val="en-US"/>
        </w:rPr>
        <w:t>considered</w:t>
      </w:r>
      <w:r w:rsidRPr="005F7D45">
        <w:rPr>
          <w:rFonts w:ascii="Times New Roman" w:hAnsi="Times New Roman" w:cs="Times New Roman"/>
          <w:sz w:val="24"/>
          <w:szCs w:val="24"/>
          <w:lang w:val="en-US"/>
        </w:rPr>
        <w:t xml:space="preserve"> that </w:t>
      </w:r>
      <w:r>
        <w:rPr>
          <w:rFonts w:ascii="Times New Roman" w:hAnsi="Times New Roman" w:cs="Times New Roman"/>
          <w:sz w:val="24"/>
          <w:szCs w:val="24"/>
          <w:lang w:val="en-US"/>
        </w:rPr>
        <w:t>careful</w:t>
      </w:r>
      <w:r w:rsidRPr="005F7D45">
        <w:rPr>
          <w:rFonts w:ascii="Times New Roman" w:hAnsi="Times New Roman" w:cs="Times New Roman"/>
          <w:sz w:val="24"/>
          <w:szCs w:val="24"/>
          <w:lang w:val="en-US"/>
        </w:rPr>
        <w:t xml:space="preserve"> specification of the eligible population </w:t>
      </w:r>
      <w:r>
        <w:rPr>
          <w:rFonts w:ascii="Times New Roman" w:hAnsi="Times New Roman" w:cs="Times New Roman"/>
          <w:sz w:val="24"/>
          <w:szCs w:val="24"/>
          <w:lang w:val="en-US"/>
        </w:rPr>
        <w:t>would be</w:t>
      </w:r>
      <w:r w:rsidRPr="005F7D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important </w:t>
      </w:r>
      <w:r w:rsidRPr="005F7D45">
        <w:rPr>
          <w:rFonts w:ascii="Times New Roman" w:hAnsi="Times New Roman" w:cs="Times New Roman"/>
          <w:sz w:val="24"/>
          <w:szCs w:val="24"/>
          <w:lang w:val="en-US"/>
        </w:rPr>
        <w:t>to ensure FDG</w:t>
      </w:r>
      <w:r w:rsidR="00F105A0">
        <w:rPr>
          <w:rFonts w:ascii="Times New Roman" w:hAnsi="Times New Roman" w:cs="Times New Roman"/>
          <w:sz w:val="24"/>
          <w:szCs w:val="24"/>
          <w:lang w:val="en-US"/>
        </w:rPr>
        <w:t xml:space="preserve"> </w:t>
      </w:r>
      <w:r w:rsidRPr="005F7D45">
        <w:rPr>
          <w:rFonts w:ascii="Times New Roman" w:hAnsi="Times New Roman" w:cs="Times New Roman"/>
          <w:sz w:val="24"/>
          <w:szCs w:val="24"/>
          <w:lang w:val="en-US"/>
        </w:rPr>
        <w:t xml:space="preserve">PET is </w:t>
      </w:r>
      <w:r>
        <w:rPr>
          <w:rFonts w:ascii="Times New Roman" w:hAnsi="Times New Roman" w:cs="Times New Roman"/>
          <w:sz w:val="24"/>
          <w:szCs w:val="24"/>
          <w:lang w:val="en-US"/>
        </w:rPr>
        <w:t>provided</w:t>
      </w:r>
      <w:r w:rsidRPr="005F7D45">
        <w:rPr>
          <w:rFonts w:ascii="Times New Roman" w:hAnsi="Times New Roman" w:cs="Times New Roman"/>
          <w:sz w:val="24"/>
          <w:szCs w:val="24"/>
          <w:lang w:val="en-US"/>
        </w:rPr>
        <w:t xml:space="preserve"> in the appropriate place in the diagnostic pathway. </w:t>
      </w:r>
      <w:r>
        <w:rPr>
          <w:rFonts w:ascii="Times New Roman" w:hAnsi="Times New Roman" w:cs="Times New Roman"/>
          <w:sz w:val="24"/>
          <w:szCs w:val="24"/>
          <w:lang w:val="en-US"/>
        </w:rPr>
        <w:t xml:space="preserve">ESC also considered that </w:t>
      </w:r>
      <w:r w:rsidRPr="005F7D45">
        <w:rPr>
          <w:rFonts w:ascii="Times New Roman" w:hAnsi="Times New Roman" w:cs="Times New Roman"/>
          <w:sz w:val="24"/>
          <w:szCs w:val="24"/>
          <w:lang w:val="en-US"/>
        </w:rPr>
        <w:t xml:space="preserve">the item </w:t>
      </w:r>
      <w:r>
        <w:rPr>
          <w:rFonts w:ascii="Times New Roman" w:hAnsi="Times New Roman" w:cs="Times New Roman"/>
          <w:sz w:val="24"/>
          <w:szCs w:val="24"/>
          <w:lang w:val="en-US"/>
        </w:rPr>
        <w:t>c</w:t>
      </w:r>
      <w:r w:rsidRPr="005F7D45">
        <w:rPr>
          <w:rFonts w:ascii="Times New Roman" w:hAnsi="Times New Roman" w:cs="Times New Roman"/>
          <w:sz w:val="24"/>
          <w:szCs w:val="24"/>
          <w:lang w:val="en-US"/>
        </w:rPr>
        <w:t xml:space="preserve">ould </w:t>
      </w:r>
      <w:r>
        <w:rPr>
          <w:rFonts w:ascii="Times New Roman" w:hAnsi="Times New Roman" w:cs="Times New Roman"/>
          <w:sz w:val="24"/>
          <w:szCs w:val="24"/>
          <w:lang w:val="en-US"/>
        </w:rPr>
        <w:t xml:space="preserve">be </w:t>
      </w:r>
      <w:r w:rsidRPr="005F7D45">
        <w:rPr>
          <w:rFonts w:ascii="Times New Roman" w:hAnsi="Times New Roman" w:cs="Times New Roman"/>
          <w:sz w:val="24"/>
          <w:szCs w:val="24"/>
          <w:lang w:val="en-US"/>
        </w:rPr>
        <w:t>limit</w:t>
      </w:r>
      <w:r>
        <w:rPr>
          <w:rFonts w:ascii="Times New Roman" w:hAnsi="Times New Roman" w:cs="Times New Roman"/>
          <w:sz w:val="24"/>
          <w:szCs w:val="24"/>
          <w:lang w:val="en-US"/>
        </w:rPr>
        <w:t>ed</w:t>
      </w:r>
      <w:r w:rsidRPr="005F7D45">
        <w:rPr>
          <w:rFonts w:ascii="Times New Roman" w:hAnsi="Times New Roman" w:cs="Times New Roman"/>
          <w:sz w:val="24"/>
          <w:szCs w:val="24"/>
          <w:lang w:val="en-US"/>
        </w:rPr>
        <w:t xml:space="preserve"> to on</w:t>
      </w:r>
      <w:r>
        <w:rPr>
          <w:rFonts w:ascii="Times New Roman" w:hAnsi="Times New Roman" w:cs="Times New Roman"/>
          <w:sz w:val="24"/>
          <w:szCs w:val="24"/>
          <w:lang w:val="en-US"/>
        </w:rPr>
        <w:t>c</w:t>
      </w:r>
      <w:r w:rsidRPr="005F7D45">
        <w:rPr>
          <w:rFonts w:ascii="Times New Roman" w:hAnsi="Times New Roman" w:cs="Times New Roman"/>
          <w:sz w:val="24"/>
          <w:szCs w:val="24"/>
          <w:lang w:val="en-US"/>
        </w:rPr>
        <w:t>e per year.</w:t>
      </w:r>
    </w:p>
    <w:p w:rsidR="00EE41E3" w:rsidRPr="005F7D45" w:rsidRDefault="00EE41E3" w:rsidP="00EE41E3">
      <w:pPr>
        <w:pStyle w:val="NoSpacing"/>
        <w:rPr>
          <w:rFonts w:ascii="Times New Roman" w:hAnsi="Times New Roman" w:cs="Times New Roman"/>
          <w:sz w:val="24"/>
          <w:szCs w:val="24"/>
        </w:rPr>
      </w:pPr>
    </w:p>
    <w:p w:rsidR="00EE41E3" w:rsidRPr="005F7D45" w:rsidRDefault="00EE41E3" w:rsidP="00EE41E3">
      <w:pPr>
        <w:pStyle w:val="NoSpacing"/>
        <w:rPr>
          <w:rFonts w:ascii="Times New Roman" w:hAnsi="Times New Roman" w:cs="Times New Roman"/>
          <w:sz w:val="24"/>
          <w:szCs w:val="24"/>
        </w:rPr>
      </w:pPr>
      <w:r w:rsidRPr="005F7D45">
        <w:rPr>
          <w:rFonts w:ascii="Times New Roman" w:hAnsi="Times New Roman" w:cs="Times New Roman"/>
          <w:sz w:val="24"/>
          <w:szCs w:val="24"/>
          <w:lang w:val="en-US"/>
        </w:rPr>
        <w:lastRenderedPageBreak/>
        <w:t xml:space="preserve">ESC </w:t>
      </w:r>
      <w:r>
        <w:rPr>
          <w:rFonts w:ascii="Times New Roman" w:hAnsi="Times New Roman" w:cs="Times New Roman"/>
          <w:sz w:val="24"/>
          <w:szCs w:val="24"/>
          <w:lang w:val="en-US"/>
        </w:rPr>
        <w:t>considered</w:t>
      </w:r>
      <w:r w:rsidRPr="005F7D45">
        <w:rPr>
          <w:rFonts w:ascii="Times New Roman" w:hAnsi="Times New Roman" w:cs="Times New Roman"/>
          <w:sz w:val="24"/>
          <w:szCs w:val="24"/>
          <w:lang w:val="en-US"/>
        </w:rPr>
        <w:t xml:space="preserve"> that </w:t>
      </w:r>
      <w:r>
        <w:rPr>
          <w:rFonts w:ascii="Times New Roman" w:hAnsi="Times New Roman" w:cs="Times New Roman"/>
          <w:sz w:val="24"/>
          <w:szCs w:val="24"/>
          <w:lang w:val="en-US"/>
        </w:rPr>
        <w:t>restriction</w:t>
      </w:r>
      <w:r w:rsidRPr="005F7D45">
        <w:rPr>
          <w:rFonts w:ascii="Times New Roman" w:hAnsi="Times New Roman" w:cs="Times New Roman"/>
          <w:sz w:val="24"/>
          <w:szCs w:val="24"/>
          <w:lang w:val="en-US"/>
        </w:rPr>
        <w:t xml:space="preserve"> of the technique </w:t>
      </w:r>
      <w:r>
        <w:rPr>
          <w:rFonts w:ascii="Times New Roman" w:hAnsi="Times New Roman" w:cs="Times New Roman"/>
          <w:sz w:val="24"/>
          <w:szCs w:val="24"/>
          <w:lang w:val="en-US"/>
        </w:rPr>
        <w:t xml:space="preserve">to </w:t>
      </w:r>
      <w:r w:rsidRPr="005F7D45">
        <w:rPr>
          <w:rFonts w:ascii="Times New Roman" w:hAnsi="Times New Roman" w:cs="Times New Roman"/>
          <w:sz w:val="24"/>
          <w:szCs w:val="24"/>
          <w:lang w:val="en-US"/>
        </w:rPr>
        <w:t xml:space="preserve">‘semi-quantitative’ </w:t>
      </w:r>
      <w:r>
        <w:rPr>
          <w:rFonts w:ascii="Times New Roman" w:hAnsi="Times New Roman" w:cs="Times New Roman"/>
          <w:sz w:val="24"/>
          <w:szCs w:val="24"/>
          <w:lang w:val="en-US"/>
        </w:rPr>
        <w:t>m</w:t>
      </w:r>
      <w:r w:rsidR="00822DDC">
        <w:rPr>
          <w:rFonts w:ascii="Times New Roman" w:hAnsi="Times New Roman" w:cs="Times New Roman"/>
          <w:sz w:val="24"/>
          <w:szCs w:val="24"/>
          <w:lang w:val="en-US"/>
        </w:rPr>
        <w:t>ight</w:t>
      </w:r>
      <w:r>
        <w:rPr>
          <w:rFonts w:ascii="Times New Roman" w:hAnsi="Times New Roman" w:cs="Times New Roman"/>
          <w:sz w:val="24"/>
          <w:szCs w:val="24"/>
          <w:lang w:val="en-US"/>
        </w:rPr>
        <w:t xml:space="preserve"> be warranted </w:t>
      </w:r>
      <w:r>
        <w:rPr>
          <w:rFonts w:ascii="Times New Roman" w:hAnsi="Times New Roman" w:cs="Times New Roman"/>
          <w:sz w:val="24"/>
          <w:szCs w:val="24"/>
        </w:rPr>
        <w:t>as</w:t>
      </w:r>
      <w:r w:rsidRPr="005F7D45">
        <w:rPr>
          <w:rFonts w:ascii="Times New Roman" w:hAnsi="Times New Roman" w:cs="Times New Roman"/>
          <w:sz w:val="24"/>
          <w:szCs w:val="24"/>
        </w:rPr>
        <w:t xml:space="preserve"> </w:t>
      </w:r>
      <w:r>
        <w:rPr>
          <w:rFonts w:ascii="Times New Roman" w:hAnsi="Times New Roman" w:cs="Times New Roman"/>
          <w:sz w:val="24"/>
          <w:szCs w:val="24"/>
        </w:rPr>
        <w:t>the use of software algorithms to enhance visualisation of the images improves the performance of FDG</w:t>
      </w:r>
      <w:r w:rsidR="00ED5EB6">
        <w:rPr>
          <w:rFonts w:ascii="Times New Roman" w:hAnsi="Times New Roman" w:cs="Times New Roman"/>
          <w:sz w:val="24"/>
          <w:szCs w:val="24"/>
        </w:rPr>
        <w:t xml:space="preserve"> </w:t>
      </w:r>
      <w:r>
        <w:rPr>
          <w:rFonts w:ascii="Times New Roman" w:hAnsi="Times New Roman" w:cs="Times New Roman"/>
          <w:sz w:val="24"/>
          <w:szCs w:val="24"/>
        </w:rPr>
        <w:t>PET in the diagnosis of Alzheimer’s disease.</w:t>
      </w:r>
    </w:p>
    <w:p w:rsidR="00EE41E3" w:rsidRPr="005F7D45" w:rsidRDefault="00EE41E3" w:rsidP="00EE41E3">
      <w:pPr>
        <w:pStyle w:val="NoSpacing"/>
        <w:jc w:val="right"/>
        <w:rPr>
          <w:rFonts w:ascii="Times New Roman" w:hAnsi="Times New Roman" w:cs="Times New Roman"/>
          <w:sz w:val="24"/>
          <w:szCs w:val="24"/>
        </w:rPr>
      </w:pPr>
    </w:p>
    <w:p w:rsidR="00EE41E3" w:rsidRDefault="00EE41E3" w:rsidP="00EE41E3">
      <w:pPr>
        <w:pStyle w:val="NoSpacing"/>
        <w:rPr>
          <w:rFonts w:ascii="Times New Roman" w:hAnsi="Times New Roman" w:cs="Times New Roman"/>
          <w:sz w:val="24"/>
          <w:szCs w:val="24"/>
        </w:rPr>
      </w:pPr>
      <w:r w:rsidRPr="005F7D45">
        <w:rPr>
          <w:rFonts w:ascii="Times New Roman" w:hAnsi="Times New Roman" w:cs="Times New Roman"/>
          <w:sz w:val="24"/>
          <w:szCs w:val="24"/>
        </w:rPr>
        <w:t>ESC proposed the following alternative MBS item descriptor</w:t>
      </w:r>
      <w:r w:rsidR="00AC06FF">
        <w:rPr>
          <w:rFonts w:ascii="Times New Roman" w:hAnsi="Times New Roman" w:cs="Times New Roman"/>
          <w:sz w:val="24"/>
          <w:szCs w:val="24"/>
        </w:rPr>
        <w:t>.</w:t>
      </w:r>
    </w:p>
    <w:p w:rsidR="00AC06FF" w:rsidRDefault="00AC06FF" w:rsidP="00EE41E3">
      <w:pPr>
        <w:pStyle w:val="NoSpacing"/>
        <w:rPr>
          <w:rFonts w:ascii="Times New Roman" w:hAnsi="Times New Roman" w:cs="Times New Roman"/>
          <w:sz w:val="24"/>
          <w:szCs w:val="24"/>
        </w:rPr>
      </w:pPr>
    </w:p>
    <w:p w:rsidR="00AC06FF" w:rsidRDefault="00AC06FF" w:rsidP="00FA4765">
      <w:pPr>
        <w:rPr>
          <w:b/>
        </w:rPr>
      </w:pPr>
      <w:r w:rsidRPr="00FA4765">
        <w:rPr>
          <w:b/>
        </w:rPr>
        <w:t>Table 6</w:t>
      </w:r>
      <w:r w:rsidR="00FA4765">
        <w:rPr>
          <w:b/>
        </w:rPr>
        <w:t xml:space="preserve"> </w:t>
      </w:r>
      <w:r w:rsidRPr="00FA4765">
        <w:rPr>
          <w:b/>
        </w:rPr>
        <w:t>ESC-proposed MBS item descriptor</w:t>
      </w:r>
    </w:p>
    <w:p w:rsidR="00FA4765" w:rsidRPr="00FA4765" w:rsidRDefault="00FA4765" w:rsidP="00FA4765">
      <w:pPr>
        <w:rPr>
          <w:b/>
        </w:rPr>
      </w:pPr>
    </w:p>
    <w:tbl>
      <w:tblPr>
        <w:tblStyle w:val="TableGrid1"/>
        <w:tblW w:w="5000" w:type="pct"/>
        <w:tblLook w:val="04A0" w:firstRow="1" w:lastRow="0" w:firstColumn="1" w:lastColumn="0" w:noHBand="0" w:noVBand="1"/>
        <w:tblCaption w:val="Proposed MBS item descriptor"/>
        <w:tblDescription w:val="The proposed items descriptor for FDG-PET study of the brain, performed for the diagnosis of AD."/>
      </w:tblPr>
      <w:tblGrid>
        <w:gridCol w:w="9242"/>
      </w:tblGrid>
      <w:tr w:rsidR="00AC06FF" w:rsidRPr="00EE41E3" w:rsidTr="004B054B">
        <w:trPr>
          <w:tblHeader/>
        </w:trPr>
        <w:tc>
          <w:tcPr>
            <w:tcW w:w="5000" w:type="pct"/>
          </w:tcPr>
          <w:p w:rsidR="00AC06FF" w:rsidRPr="00EE41E3" w:rsidRDefault="00AC06FF" w:rsidP="00883CE1">
            <w:pPr>
              <w:keepNext/>
              <w:rPr>
                <w:rFonts w:ascii="Arial Narrow" w:hAnsi="Arial Narrow" w:cs="Arial"/>
                <w:b/>
                <w:szCs w:val="24"/>
              </w:rPr>
            </w:pPr>
            <w:r w:rsidRPr="00EE41E3">
              <w:rPr>
                <w:rFonts w:ascii="Arial Narrow" w:hAnsi="Arial Narrow" w:cs="Arial"/>
                <w:b/>
                <w:szCs w:val="24"/>
              </w:rPr>
              <w:t>Category 5 – DIAGNOSTIC IMAGING SERVICES</w:t>
            </w:r>
          </w:p>
        </w:tc>
      </w:tr>
      <w:tr w:rsidR="00AC06FF" w:rsidRPr="00EE41E3" w:rsidTr="009821AA">
        <w:tc>
          <w:tcPr>
            <w:tcW w:w="5000" w:type="pct"/>
          </w:tcPr>
          <w:p w:rsidR="00AC06FF" w:rsidRPr="00EE41E3" w:rsidRDefault="00AC06FF" w:rsidP="009723A4">
            <w:pPr>
              <w:spacing w:after="120"/>
              <w:jc w:val="both"/>
              <w:rPr>
                <w:rFonts w:ascii="Arial Narrow" w:eastAsia="SimSun" w:hAnsi="Arial Narrow" w:cs="Tahoma"/>
                <w:b/>
                <w:szCs w:val="24"/>
                <w:lang w:val="en-US" w:eastAsia="ja-JP"/>
              </w:rPr>
            </w:pPr>
            <w:r w:rsidRPr="00EE41E3">
              <w:rPr>
                <w:rFonts w:ascii="Arial Narrow" w:eastAsia="SimSun" w:hAnsi="Arial Narrow" w:cs="Tahoma"/>
                <w:b/>
                <w:szCs w:val="24"/>
                <w:lang w:val="en-US" w:eastAsia="ja-JP"/>
              </w:rPr>
              <w:t>MBS [item number]</w:t>
            </w:r>
          </w:p>
          <w:p w:rsidR="00AC06FF" w:rsidRPr="00EE41E3" w:rsidRDefault="00AC06FF" w:rsidP="009723A4">
            <w:pPr>
              <w:keepNext/>
              <w:rPr>
                <w:rFonts w:ascii="Arial Narrow" w:hAnsi="Arial Narrow" w:cs="Arial"/>
                <w:szCs w:val="24"/>
              </w:rPr>
            </w:pPr>
            <w:r w:rsidRPr="00AC06FF">
              <w:rPr>
                <w:rFonts w:ascii="Arial Narrow" w:hAnsi="Arial Narrow" w:cs="Arial"/>
                <w:color w:val="FF0000"/>
                <w:szCs w:val="24"/>
              </w:rPr>
              <w:t>Semi-quantitative</w:t>
            </w:r>
            <w:r>
              <w:rPr>
                <w:rFonts w:ascii="Arial Narrow" w:hAnsi="Arial Narrow" w:cs="Arial"/>
                <w:szCs w:val="24"/>
              </w:rPr>
              <w:t xml:space="preserve"> </w:t>
            </w:r>
            <w:r w:rsidRPr="00EE41E3">
              <w:rPr>
                <w:rFonts w:ascii="Arial Narrow" w:hAnsi="Arial Narrow" w:cs="Arial"/>
                <w:szCs w:val="24"/>
              </w:rPr>
              <w:t xml:space="preserve">FDG PET study of the brain, performed for the diagnosis of </w:t>
            </w:r>
            <w:r w:rsidRPr="00AC06FF">
              <w:rPr>
                <w:rFonts w:ascii="Arial Narrow" w:hAnsi="Arial Narrow" w:cs="Arial"/>
                <w:color w:val="FF0000"/>
                <w:szCs w:val="24"/>
              </w:rPr>
              <w:t>suspected early stage</w:t>
            </w:r>
            <w:r>
              <w:rPr>
                <w:rFonts w:ascii="Arial Narrow" w:hAnsi="Arial Narrow" w:cs="Arial"/>
                <w:szCs w:val="24"/>
              </w:rPr>
              <w:t xml:space="preserve"> </w:t>
            </w:r>
            <w:r w:rsidRPr="00EE41E3">
              <w:rPr>
                <w:rFonts w:ascii="Arial Narrow" w:hAnsi="Arial Narrow" w:cs="Arial"/>
                <w:szCs w:val="24"/>
              </w:rPr>
              <w:t>Alzheimer’s disease where clinical evaluation by a specialist, or in consultation with a specialist, and MRI are equivocal</w:t>
            </w:r>
            <w:r>
              <w:rPr>
                <w:rFonts w:ascii="Arial Narrow" w:hAnsi="Arial Narrow" w:cs="Arial"/>
                <w:szCs w:val="24"/>
              </w:rPr>
              <w:t>.</w:t>
            </w:r>
            <w:r w:rsidRPr="00EE41E3">
              <w:rPr>
                <w:rFonts w:ascii="Arial Narrow" w:hAnsi="Arial Narrow" w:cs="Arial"/>
                <w:szCs w:val="24"/>
              </w:rPr>
              <w:t xml:space="preserve"> (R)</w:t>
            </w:r>
          </w:p>
          <w:p w:rsidR="00AC06FF" w:rsidRPr="00EE41E3" w:rsidRDefault="00AC06FF" w:rsidP="009723A4">
            <w:pPr>
              <w:keepNext/>
              <w:rPr>
                <w:rFonts w:ascii="Arial Narrow" w:hAnsi="Arial Narrow" w:cs="Arial"/>
                <w:szCs w:val="24"/>
              </w:rPr>
            </w:pPr>
          </w:p>
          <w:p w:rsidR="00AC06FF" w:rsidRDefault="00AC06FF" w:rsidP="009723A4">
            <w:pPr>
              <w:keepNext/>
              <w:rPr>
                <w:rFonts w:ascii="Arial Narrow" w:hAnsi="Arial Narrow" w:cs="Arial"/>
                <w:szCs w:val="24"/>
              </w:rPr>
            </w:pPr>
            <w:r w:rsidRPr="00EE41E3">
              <w:rPr>
                <w:rFonts w:ascii="Arial Narrow" w:hAnsi="Arial Narrow" w:cs="Arial"/>
                <w:b/>
                <w:szCs w:val="24"/>
              </w:rPr>
              <w:t xml:space="preserve">Fee: </w:t>
            </w:r>
            <w:r w:rsidRPr="00EE41E3">
              <w:rPr>
                <w:rFonts w:ascii="Arial Narrow" w:hAnsi="Arial Narrow" w:cs="Arial"/>
                <w:szCs w:val="24"/>
              </w:rPr>
              <w:t xml:space="preserve">$918.00  </w:t>
            </w:r>
            <w:r w:rsidRPr="00EE41E3">
              <w:rPr>
                <w:rFonts w:ascii="Arial Narrow" w:hAnsi="Arial Narrow" w:cs="Arial"/>
                <w:b/>
                <w:szCs w:val="24"/>
              </w:rPr>
              <w:t xml:space="preserve">Benefit: </w:t>
            </w:r>
            <w:r w:rsidRPr="00EE41E3">
              <w:rPr>
                <w:rFonts w:ascii="Arial Narrow" w:hAnsi="Arial Narrow" w:cs="Arial"/>
                <w:szCs w:val="24"/>
              </w:rPr>
              <w:t>75% = $688.50  85% = $839.60</w:t>
            </w:r>
          </w:p>
          <w:p w:rsidR="00AC06FF" w:rsidRDefault="00AC06FF" w:rsidP="009723A4">
            <w:pPr>
              <w:keepNext/>
              <w:rPr>
                <w:rFonts w:ascii="Arial Narrow" w:hAnsi="Arial Narrow" w:cs="Arial"/>
                <w:szCs w:val="24"/>
              </w:rPr>
            </w:pPr>
          </w:p>
          <w:p w:rsidR="00AC06FF" w:rsidRPr="00EE41E3" w:rsidRDefault="00AC06FF" w:rsidP="009723A4">
            <w:pPr>
              <w:keepNext/>
              <w:rPr>
                <w:rFonts w:ascii="Arial Narrow" w:hAnsi="Arial Narrow" w:cs="Arial"/>
                <w:szCs w:val="24"/>
              </w:rPr>
            </w:pPr>
            <w:r w:rsidRPr="00AC06FF">
              <w:rPr>
                <w:rFonts w:ascii="Arial Narrow" w:hAnsi="Arial Narrow" w:cs="Arial"/>
                <w:color w:val="FF0000"/>
                <w:szCs w:val="24"/>
              </w:rPr>
              <w:t>Limit of one service per patient per year.</w:t>
            </w:r>
          </w:p>
        </w:tc>
      </w:tr>
    </w:tbl>
    <w:p w:rsidR="00AC06FF" w:rsidRPr="005F7D45" w:rsidRDefault="00AC06FF" w:rsidP="00EE41E3">
      <w:pPr>
        <w:pStyle w:val="NoSpacing"/>
        <w:rPr>
          <w:rFonts w:ascii="Times New Roman" w:hAnsi="Times New Roman" w:cs="Times New Roman"/>
          <w:sz w:val="24"/>
          <w:szCs w:val="24"/>
        </w:rPr>
      </w:pPr>
    </w:p>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CC2DC7" w:rsidRDefault="00CC2DC7" w:rsidP="00DD2858">
      <w:pPr>
        <w:rPr>
          <w:szCs w:val="24"/>
        </w:rPr>
      </w:pPr>
      <w:proofErr w:type="gramStart"/>
      <w:r w:rsidRPr="00CC2DC7">
        <w:rPr>
          <w:szCs w:val="24"/>
        </w:rPr>
        <w:t>Nil.</w:t>
      </w:r>
      <w:proofErr w:type="gramEnd"/>
    </w:p>
    <w:p w:rsidR="00510E7F" w:rsidRPr="00707064" w:rsidRDefault="00510E7F" w:rsidP="00ED5EB6">
      <w:pPr>
        <w:tabs>
          <w:tab w:val="left" w:pos="720"/>
        </w:tabs>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Pr="00510E7F" w:rsidRDefault="00BC1364" w:rsidP="00230D6B">
      <w:pPr>
        <w:tabs>
          <w:tab w:val="left" w:pos="720"/>
        </w:tabs>
        <w:ind w:left="709" w:hanging="709"/>
        <w:rPr>
          <w:szCs w:val="24"/>
        </w:rPr>
      </w:pPr>
    </w:p>
    <w:p w:rsidR="00BC1364" w:rsidRPr="00855644" w:rsidRDefault="001404BA" w:rsidP="00230D6B">
      <w:pPr>
        <w:rPr>
          <w:szCs w:val="24"/>
        </w:rPr>
      </w:pPr>
      <w:r>
        <w:rPr>
          <w:szCs w:val="24"/>
        </w:rPr>
        <w:t xml:space="preserve">The applicant </w:t>
      </w:r>
      <w:r w:rsidRPr="001404BA">
        <w:rPr>
          <w:szCs w:val="24"/>
        </w:rPr>
        <w:t>agree</w:t>
      </w:r>
      <w:r>
        <w:rPr>
          <w:szCs w:val="24"/>
        </w:rPr>
        <w:t>s</w:t>
      </w:r>
      <w:r w:rsidRPr="001404BA">
        <w:rPr>
          <w:szCs w:val="24"/>
        </w:rPr>
        <w:t xml:space="preserve"> that the suggested descriptor is appropriate and strongly favour the compulsory use of semi-quantitation to achieve best results given the highly variable experience and training of readers in clinical practice. It should be acknowledged that amyloid PET or CSF measurement of AD markers have very high accuracy for diagnosis of AD compared to post mortem histopathology and therefore provide a better "gold standard" diagnosis for Alzheimer's disease than clinical diagnosis, with or without follow-up, against which to compare the performance of other investigations including FDG PET and CBF SPECT.</w:t>
      </w:r>
    </w:p>
    <w:p w:rsidR="00510E7F" w:rsidRPr="00510E7F" w:rsidRDefault="00510E7F" w:rsidP="00230D6B">
      <w:pPr>
        <w:rPr>
          <w:szCs w:val="24"/>
        </w:rPr>
      </w:pPr>
    </w:p>
    <w:p w:rsidR="00BC1364" w:rsidRDefault="00271F18" w:rsidP="007B32D1">
      <w:pPr>
        <w:pStyle w:val="Heading1"/>
        <w:numPr>
          <w:ilvl w:val="0"/>
          <w:numId w:val="23"/>
        </w:numPr>
        <w:ind w:hanging="720"/>
      </w:pPr>
      <w:r>
        <w:t>Further information on MSAC</w:t>
      </w:r>
    </w:p>
    <w:p w:rsidR="00BC1364" w:rsidRPr="00510E7F" w:rsidRDefault="00BC1364" w:rsidP="00DD2858">
      <w:pPr>
        <w:tabs>
          <w:tab w:val="left" w:pos="720"/>
        </w:tabs>
        <w:ind w:left="709" w:hanging="709"/>
        <w:rPr>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510E7F">
        <w:rPr>
          <w:szCs w:val="24"/>
        </w:rPr>
        <w:t>.</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71" w:rsidRDefault="00027F71" w:rsidP="00065623">
      <w:r>
        <w:separator/>
      </w:r>
    </w:p>
  </w:endnote>
  <w:endnote w:type="continuationSeparator" w:id="0">
    <w:p w:rsidR="00027F71" w:rsidRDefault="00027F7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9723A4" w:rsidRDefault="009723A4">
        <w:pPr>
          <w:pStyle w:val="Footer"/>
          <w:jc w:val="right"/>
        </w:pPr>
        <w:r>
          <w:fldChar w:fldCharType="begin"/>
        </w:r>
        <w:r>
          <w:instrText xml:space="preserve"> PAGE   \* MERGEFORMAT </w:instrText>
        </w:r>
        <w:r>
          <w:fldChar w:fldCharType="separate"/>
        </w:r>
        <w:r w:rsidR="00331E4F">
          <w:rPr>
            <w:noProof/>
          </w:rPr>
          <w:t>15</w:t>
        </w:r>
        <w:r>
          <w:rPr>
            <w:noProof/>
          </w:rPr>
          <w:fldChar w:fldCharType="end"/>
        </w:r>
      </w:p>
    </w:sdtContent>
  </w:sdt>
  <w:p w:rsidR="009723A4" w:rsidRDefault="00972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71" w:rsidRDefault="00027F71" w:rsidP="00065623">
      <w:r>
        <w:separator/>
      </w:r>
    </w:p>
  </w:footnote>
  <w:footnote w:type="continuationSeparator" w:id="0">
    <w:p w:rsidR="00027F71" w:rsidRDefault="00027F71"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722E23"/>
    <w:multiLevelType w:val="hybridMultilevel"/>
    <w:tmpl w:val="87D4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9"/>
  </w:num>
  <w:num w:numId="6">
    <w:abstractNumId w:val="15"/>
  </w:num>
  <w:num w:numId="7">
    <w:abstractNumId w:val="19"/>
  </w:num>
  <w:num w:numId="8">
    <w:abstractNumId w:val="10"/>
  </w:num>
  <w:num w:numId="9">
    <w:abstractNumId w:val="25"/>
  </w:num>
  <w:num w:numId="10">
    <w:abstractNumId w:val="0"/>
  </w:num>
  <w:num w:numId="11">
    <w:abstractNumId w:val="18"/>
  </w:num>
  <w:num w:numId="12">
    <w:abstractNumId w:val="20"/>
  </w:num>
  <w:num w:numId="13">
    <w:abstractNumId w:val="4"/>
  </w:num>
  <w:num w:numId="14">
    <w:abstractNumId w:val="24"/>
  </w:num>
  <w:num w:numId="15">
    <w:abstractNumId w:val="17"/>
  </w:num>
  <w:num w:numId="16">
    <w:abstractNumId w:val="21"/>
  </w:num>
  <w:num w:numId="17">
    <w:abstractNumId w:val="11"/>
  </w:num>
  <w:num w:numId="18">
    <w:abstractNumId w:val="13"/>
  </w:num>
  <w:num w:numId="19">
    <w:abstractNumId w:val="23"/>
  </w:num>
  <w:num w:numId="20">
    <w:abstractNumId w:val="22"/>
  </w:num>
  <w:num w:numId="21">
    <w:abstractNumId w:val="3"/>
  </w:num>
  <w:num w:numId="22">
    <w:abstractNumId w:val="8"/>
  </w:num>
  <w:num w:numId="23">
    <w:abstractNumId w:val="2"/>
  </w:num>
  <w:num w:numId="24">
    <w:abstractNumId w:val="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7F71"/>
    <w:rsid w:val="00047606"/>
    <w:rsid w:val="00065623"/>
    <w:rsid w:val="000756B9"/>
    <w:rsid w:val="00096B67"/>
    <w:rsid w:val="00096DAF"/>
    <w:rsid w:val="000C2F47"/>
    <w:rsid w:val="000D6C00"/>
    <w:rsid w:val="000E4E04"/>
    <w:rsid w:val="000F14B4"/>
    <w:rsid w:val="000F75DF"/>
    <w:rsid w:val="001328FA"/>
    <w:rsid w:val="001404BA"/>
    <w:rsid w:val="00147AAF"/>
    <w:rsid w:val="001552C0"/>
    <w:rsid w:val="001640B1"/>
    <w:rsid w:val="0016633E"/>
    <w:rsid w:val="0017112F"/>
    <w:rsid w:val="00183897"/>
    <w:rsid w:val="0018435E"/>
    <w:rsid w:val="001B6C42"/>
    <w:rsid w:val="001D2E4A"/>
    <w:rsid w:val="001E5496"/>
    <w:rsid w:val="001F0137"/>
    <w:rsid w:val="002041A1"/>
    <w:rsid w:val="002054F0"/>
    <w:rsid w:val="00230D6B"/>
    <w:rsid w:val="00232068"/>
    <w:rsid w:val="002330F2"/>
    <w:rsid w:val="00243D9E"/>
    <w:rsid w:val="00253B66"/>
    <w:rsid w:val="00261DF1"/>
    <w:rsid w:val="00271F18"/>
    <w:rsid w:val="00282779"/>
    <w:rsid w:val="0028334D"/>
    <w:rsid w:val="002B7FFA"/>
    <w:rsid w:val="002C2BCF"/>
    <w:rsid w:val="002F279D"/>
    <w:rsid w:val="002F43B8"/>
    <w:rsid w:val="002F56DF"/>
    <w:rsid w:val="00330D06"/>
    <w:rsid w:val="00331E4F"/>
    <w:rsid w:val="0034554D"/>
    <w:rsid w:val="00352224"/>
    <w:rsid w:val="003671E6"/>
    <w:rsid w:val="00384272"/>
    <w:rsid w:val="00386D67"/>
    <w:rsid w:val="00393B79"/>
    <w:rsid w:val="003945B8"/>
    <w:rsid w:val="003B016D"/>
    <w:rsid w:val="003D7F29"/>
    <w:rsid w:val="003E0B5C"/>
    <w:rsid w:val="003E5907"/>
    <w:rsid w:val="00405A6B"/>
    <w:rsid w:val="00407B1F"/>
    <w:rsid w:val="00414C57"/>
    <w:rsid w:val="0041758C"/>
    <w:rsid w:val="004539DE"/>
    <w:rsid w:val="004756C4"/>
    <w:rsid w:val="004A2CF1"/>
    <w:rsid w:val="004B054B"/>
    <w:rsid w:val="004B260A"/>
    <w:rsid w:val="004C3035"/>
    <w:rsid w:val="004C307F"/>
    <w:rsid w:val="004D4124"/>
    <w:rsid w:val="004E4BA8"/>
    <w:rsid w:val="004F340F"/>
    <w:rsid w:val="004F7B7C"/>
    <w:rsid w:val="00510E7F"/>
    <w:rsid w:val="0052243D"/>
    <w:rsid w:val="00532435"/>
    <w:rsid w:val="00550354"/>
    <w:rsid w:val="005609B8"/>
    <w:rsid w:val="00571236"/>
    <w:rsid w:val="005953A1"/>
    <w:rsid w:val="005A6895"/>
    <w:rsid w:val="005A7D3D"/>
    <w:rsid w:val="005C1CA4"/>
    <w:rsid w:val="005C4996"/>
    <w:rsid w:val="005D0332"/>
    <w:rsid w:val="005D0D8C"/>
    <w:rsid w:val="00620B81"/>
    <w:rsid w:val="006303A6"/>
    <w:rsid w:val="006562F2"/>
    <w:rsid w:val="006A0D97"/>
    <w:rsid w:val="006B1F86"/>
    <w:rsid w:val="006C0A91"/>
    <w:rsid w:val="006C3819"/>
    <w:rsid w:val="006E2DF4"/>
    <w:rsid w:val="006F1620"/>
    <w:rsid w:val="007054BB"/>
    <w:rsid w:val="00707064"/>
    <w:rsid w:val="00730683"/>
    <w:rsid w:val="0075261F"/>
    <w:rsid w:val="0075468E"/>
    <w:rsid w:val="007665D8"/>
    <w:rsid w:val="00766E36"/>
    <w:rsid w:val="007765F4"/>
    <w:rsid w:val="00776633"/>
    <w:rsid w:val="00784D53"/>
    <w:rsid w:val="00797797"/>
    <w:rsid w:val="007A63C9"/>
    <w:rsid w:val="007B32D1"/>
    <w:rsid w:val="007B7095"/>
    <w:rsid w:val="007D24E1"/>
    <w:rsid w:val="007E33A3"/>
    <w:rsid w:val="007F4CE9"/>
    <w:rsid w:val="007F4E20"/>
    <w:rsid w:val="00822C7E"/>
    <w:rsid w:val="00822DDC"/>
    <w:rsid w:val="00847060"/>
    <w:rsid w:val="00855644"/>
    <w:rsid w:val="00856A33"/>
    <w:rsid w:val="008628A3"/>
    <w:rsid w:val="00883CE1"/>
    <w:rsid w:val="00892620"/>
    <w:rsid w:val="008C7D37"/>
    <w:rsid w:val="008D5885"/>
    <w:rsid w:val="00923FA2"/>
    <w:rsid w:val="0096060D"/>
    <w:rsid w:val="009723A4"/>
    <w:rsid w:val="00974A50"/>
    <w:rsid w:val="0097585A"/>
    <w:rsid w:val="009821AA"/>
    <w:rsid w:val="009924B0"/>
    <w:rsid w:val="009942C9"/>
    <w:rsid w:val="009B04DA"/>
    <w:rsid w:val="009B35C4"/>
    <w:rsid w:val="009C630A"/>
    <w:rsid w:val="009E0D98"/>
    <w:rsid w:val="00A048EF"/>
    <w:rsid w:val="00A068A1"/>
    <w:rsid w:val="00A1207D"/>
    <w:rsid w:val="00A12FD8"/>
    <w:rsid w:val="00A31AF6"/>
    <w:rsid w:val="00A346FC"/>
    <w:rsid w:val="00A62C56"/>
    <w:rsid w:val="00A70F72"/>
    <w:rsid w:val="00A73AB1"/>
    <w:rsid w:val="00A84F93"/>
    <w:rsid w:val="00A95823"/>
    <w:rsid w:val="00AB1AC5"/>
    <w:rsid w:val="00AB3BFC"/>
    <w:rsid w:val="00AC06FF"/>
    <w:rsid w:val="00AC4F2E"/>
    <w:rsid w:val="00AD0C37"/>
    <w:rsid w:val="00AD350F"/>
    <w:rsid w:val="00AD385F"/>
    <w:rsid w:val="00AE6E2A"/>
    <w:rsid w:val="00B173A4"/>
    <w:rsid w:val="00B31E9C"/>
    <w:rsid w:val="00B35595"/>
    <w:rsid w:val="00B51C6D"/>
    <w:rsid w:val="00B55E4F"/>
    <w:rsid w:val="00B63179"/>
    <w:rsid w:val="00B73AAA"/>
    <w:rsid w:val="00B86D64"/>
    <w:rsid w:val="00B96538"/>
    <w:rsid w:val="00BA4AC5"/>
    <w:rsid w:val="00BC1364"/>
    <w:rsid w:val="00BC29F8"/>
    <w:rsid w:val="00BC3662"/>
    <w:rsid w:val="00BC7DE9"/>
    <w:rsid w:val="00BF479B"/>
    <w:rsid w:val="00C02577"/>
    <w:rsid w:val="00C204FB"/>
    <w:rsid w:val="00C20BEE"/>
    <w:rsid w:val="00C2158D"/>
    <w:rsid w:val="00C351BF"/>
    <w:rsid w:val="00C67A7A"/>
    <w:rsid w:val="00C67DD2"/>
    <w:rsid w:val="00C725CB"/>
    <w:rsid w:val="00C76F5C"/>
    <w:rsid w:val="00C96BAD"/>
    <w:rsid w:val="00C97E02"/>
    <w:rsid w:val="00CA6944"/>
    <w:rsid w:val="00CB0F8E"/>
    <w:rsid w:val="00CB7E7D"/>
    <w:rsid w:val="00CC2911"/>
    <w:rsid w:val="00CC2DC7"/>
    <w:rsid w:val="00CD7FB3"/>
    <w:rsid w:val="00CF0C6D"/>
    <w:rsid w:val="00CF7307"/>
    <w:rsid w:val="00CF7C68"/>
    <w:rsid w:val="00D124FA"/>
    <w:rsid w:val="00D340DE"/>
    <w:rsid w:val="00D55723"/>
    <w:rsid w:val="00D56006"/>
    <w:rsid w:val="00D62FAD"/>
    <w:rsid w:val="00D70450"/>
    <w:rsid w:val="00D83BFD"/>
    <w:rsid w:val="00D90A38"/>
    <w:rsid w:val="00DA0515"/>
    <w:rsid w:val="00DA171E"/>
    <w:rsid w:val="00DA56AA"/>
    <w:rsid w:val="00DB1099"/>
    <w:rsid w:val="00DB5833"/>
    <w:rsid w:val="00DC2CA4"/>
    <w:rsid w:val="00DD2858"/>
    <w:rsid w:val="00E03E33"/>
    <w:rsid w:val="00E07EFC"/>
    <w:rsid w:val="00E2768F"/>
    <w:rsid w:val="00E3642A"/>
    <w:rsid w:val="00E415C4"/>
    <w:rsid w:val="00E43A54"/>
    <w:rsid w:val="00E50016"/>
    <w:rsid w:val="00E50EAA"/>
    <w:rsid w:val="00E6032E"/>
    <w:rsid w:val="00E64C8C"/>
    <w:rsid w:val="00E656D6"/>
    <w:rsid w:val="00E948B2"/>
    <w:rsid w:val="00E977EE"/>
    <w:rsid w:val="00EA471E"/>
    <w:rsid w:val="00EA67A2"/>
    <w:rsid w:val="00EC4F98"/>
    <w:rsid w:val="00ED5EB6"/>
    <w:rsid w:val="00EE41E3"/>
    <w:rsid w:val="00F0077E"/>
    <w:rsid w:val="00F07D58"/>
    <w:rsid w:val="00F105A0"/>
    <w:rsid w:val="00F12F02"/>
    <w:rsid w:val="00F34ACB"/>
    <w:rsid w:val="00F35134"/>
    <w:rsid w:val="00F41812"/>
    <w:rsid w:val="00F67920"/>
    <w:rsid w:val="00F73333"/>
    <w:rsid w:val="00F95D8F"/>
    <w:rsid w:val="00FA4765"/>
    <w:rsid w:val="00FB350A"/>
    <w:rsid w:val="00FE731D"/>
    <w:rsid w:val="00FF1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EE41E3"/>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EE41E3"/>
    <w:rPr>
      <w:rFonts w:ascii="Arial" w:eastAsia="Times New Roman" w:hAnsi="Arial" w:cs="Arial"/>
      <w:b/>
      <w:i/>
      <w:color w:val="000080"/>
      <w:sz w:val="28"/>
      <w:szCs w:val="28"/>
    </w:rPr>
  </w:style>
  <w:style w:type="table" w:customStyle="1" w:styleId="MediumShading1-Accent11">
    <w:name w:val="Medium Shading 1 - Accent 11"/>
    <w:basedOn w:val="TableNormal"/>
    <w:next w:val="MediumShading1-Accent1"/>
    <w:uiPriority w:val="63"/>
    <w:rsid w:val="00EE41E3"/>
    <w:rPr>
      <w:sz w:val="24"/>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E41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EE41E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E4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41E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41E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EE41E3"/>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EE41E3"/>
    <w:rPr>
      <w:rFonts w:ascii="Arial" w:eastAsia="Times New Roman" w:hAnsi="Arial" w:cs="Arial"/>
      <w:color w:val="3366FF"/>
      <w:sz w:val="24"/>
      <w:szCs w:val="24"/>
    </w:rPr>
  </w:style>
  <w:style w:type="paragraph" w:styleId="NoSpacing">
    <w:name w:val="No Spacing"/>
    <w:uiPriority w:val="1"/>
    <w:qFormat/>
    <w:rsid w:val="00EE41E3"/>
    <w:rPr>
      <w:rFonts w:asciiTheme="minorHAnsi" w:eastAsiaTheme="minorHAnsi" w:hAnsiTheme="minorHAnsi" w:cstheme="minorBidi"/>
      <w:lang w:eastAsia="en-US"/>
    </w:rPr>
  </w:style>
  <w:style w:type="paragraph" w:styleId="NormalWeb">
    <w:name w:val="Normal (Web)"/>
    <w:basedOn w:val="Normal"/>
    <w:uiPriority w:val="99"/>
    <w:semiHidden/>
    <w:unhideWhenUsed/>
    <w:rsid w:val="00EA471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EE41E3"/>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EE41E3"/>
    <w:rPr>
      <w:rFonts w:ascii="Arial" w:eastAsia="Times New Roman" w:hAnsi="Arial" w:cs="Arial"/>
      <w:b/>
      <w:i/>
      <w:color w:val="000080"/>
      <w:sz w:val="28"/>
      <w:szCs w:val="28"/>
    </w:rPr>
  </w:style>
  <w:style w:type="table" w:customStyle="1" w:styleId="MediumShading1-Accent11">
    <w:name w:val="Medium Shading 1 - Accent 11"/>
    <w:basedOn w:val="TableNormal"/>
    <w:next w:val="MediumShading1-Accent1"/>
    <w:uiPriority w:val="63"/>
    <w:rsid w:val="00EE41E3"/>
    <w:rPr>
      <w:sz w:val="24"/>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E41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EE41E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E4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41E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41E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EE41E3"/>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EE41E3"/>
    <w:rPr>
      <w:rFonts w:ascii="Arial" w:eastAsia="Times New Roman" w:hAnsi="Arial" w:cs="Arial"/>
      <w:color w:val="3366FF"/>
      <w:sz w:val="24"/>
      <w:szCs w:val="24"/>
    </w:rPr>
  </w:style>
  <w:style w:type="paragraph" w:styleId="NoSpacing">
    <w:name w:val="No Spacing"/>
    <w:uiPriority w:val="1"/>
    <w:qFormat/>
    <w:rsid w:val="00EE41E3"/>
    <w:rPr>
      <w:rFonts w:asciiTheme="minorHAnsi" w:eastAsiaTheme="minorHAnsi" w:hAnsiTheme="minorHAnsi" w:cstheme="minorBidi"/>
      <w:lang w:eastAsia="en-US"/>
    </w:rPr>
  </w:style>
  <w:style w:type="paragraph" w:styleId="NormalWeb">
    <w:name w:val="Normal (Web)"/>
    <w:basedOn w:val="Normal"/>
    <w:uiPriority w:val="99"/>
    <w:semiHidden/>
    <w:unhideWhenUsed/>
    <w:rsid w:val="00EA471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83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2015-04-29T22:18:00Z</cp:lastPrinted>
  <dcterms:created xsi:type="dcterms:W3CDTF">2015-07-02T05:43:00Z</dcterms:created>
  <dcterms:modified xsi:type="dcterms:W3CDTF">2015-07-02T05:48:00Z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