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99B1A" w14:textId="77777777" w:rsidR="0044715D" w:rsidRPr="007A0CF6" w:rsidRDefault="0044715D" w:rsidP="0044715D">
      <w:pPr>
        <w:spacing w:before="120" w:after="120" w:line="312" w:lineRule="auto"/>
        <w:jc w:val="center"/>
      </w:pPr>
      <w:bookmarkStart w:id="0" w:name="_Toc403747457"/>
      <w:bookmarkStart w:id="1" w:name="_Toc412039297"/>
      <w:r w:rsidRPr="007A0CF6">
        <w:rPr>
          <w:b/>
          <w:noProof/>
          <w:lang w:eastAsia="en-AU"/>
        </w:rPr>
        <w:drawing>
          <wp:inline distT="0" distB="0" distL="0" distR="0" wp14:anchorId="481E0482" wp14:editId="429FD02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2B4FF1D0" w14:textId="77777777" w:rsidR="0044715D" w:rsidRPr="007A0CF6" w:rsidRDefault="0044715D" w:rsidP="0044715D">
      <w:pPr>
        <w:spacing w:before="120" w:after="120" w:line="312" w:lineRule="auto"/>
        <w:jc w:val="both"/>
      </w:pPr>
    </w:p>
    <w:p w14:paraId="34FC8956" w14:textId="77777777" w:rsidR="00303C94" w:rsidRPr="007A0CF6" w:rsidRDefault="00303C94" w:rsidP="00A601AC">
      <w:pPr>
        <w:pStyle w:val="Heading10"/>
        <w:jc w:val="center"/>
        <w:rPr>
          <w:sz w:val="48"/>
          <w:szCs w:val="48"/>
          <w:lang w:val="en-AU"/>
        </w:rPr>
      </w:pPr>
    </w:p>
    <w:p w14:paraId="572D7ABD" w14:textId="77777777" w:rsidR="0044715D" w:rsidRPr="007A0CF6" w:rsidRDefault="005F4D2F" w:rsidP="00A601AC">
      <w:pPr>
        <w:pStyle w:val="Heading10"/>
        <w:jc w:val="center"/>
        <w:rPr>
          <w:sz w:val="48"/>
          <w:szCs w:val="48"/>
          <w:lang w:val="en-AU"/>
        </w:rPr>
      </w:pPr>
      <w:r w:rsidRPr="007A0CF6">
        <w:rPr>
          <w:sz w:val="48"/>
          <w:szCs w:val="48"/>
          <w:lang w:val="en-AU"/>
        </w:rPr>
        <w:t xml:space="preserve">Application </w:t>
      </w:r>
      <w:r w:rsidR="00DB254E" w:rsidRPr="007A0CF6">
        <w:rPr>
          <w:sz w:val="48"/>
          <w:szCs w:val="48"/>
          <w:lang w:val="en-AU"/>
        </w:rPr>
        <w:t>1508</w:t>
      </w:r>
      <w:r w:rsidR="00303C94" w:rsidRPr="007A0CF6">
        <w:rPr>
          <w:sz w:val="48"/>
          <w:szCs w:val="48"/>
          <w:lang w:val="en-AU"/>
        </w:rPr>
        <w:t>:</w:t>
      </w:r>
    </w:p>
    <w:p w14:paraId="06CA7DFA" w14:textId="28154652" w:rsidR="00303C94" w:rsidRPr="007A0CF6" w:rsidRDefault="00DB254E" w:rsidP="00A601AC">
      <w:pPr>
        <w:pStyle w:val="Heading10"/>
        <w:jc w:val="center"/>
        <w:rPr>
          <w:sz w:val="48"/>
          <w:szCs w:val="48"/>
          <w:lang w:val="en-AU"/>
        </w:rPr>
      </w:pPr>
      <w:r w:rsidRPr="007A0CF6">
        <w:rPr>
          <w:color w:val="548DD4"/>
          <w:sz w:val="48"/>
          <w:szCs w:val="48"/>
          <w:lang w:val="en-AU"/>
        </w:rPr>
        <w:t xml:space="preserve">Pembrolizumab (MK-3475) in </w:t>
      </w:r>
      <w:r w:rsidR="003403CF">
        <w:rPr>
          <w:color w:val="548DD4"/>
          <w:sz w:val="48"/>
          <w:szCs w:val="48"/>
          <w:lang w:val="en-AU"/>
        </w:rPr>
        <w:t>m</w:t>
      </w:r>
      <w:r w:rsidRPr="007A0CF6">
        <w:rPr>
          <w:color w:val="548DD4"/>
          <w:sz w:val="48"/>
          <w:szCs w:val="48"/>
          <w:lang w:val="en-AU"/>
        </w:rPr>
        <w:t xml:space="preserve">ismatch </w:t>
      </w:r>
      <w:r w:rsidR="003403CF">
        <w:rPr>
          <w:color w:val="548DD4"/>
          <w:sz w:val="48"/>
          <w:szCs w:val="48"/>
          <w:lang w:val="en-AU"/>
        </w:rPr>
        <w:t>r</w:t>
      </w:r>
      <w:r w:rsidRPr="007A0CF6">
        <w:rPr>
          <w:color w:val="548DD4"/>
          <w:sz w:val="48"/>
          <w:szCs w:val="48"/>
          <w:lang w:val="en-AU"/>
        </w:rPr>
        <w:t xml:space="preserve">epair </w:t>
      </w:r>
      <w:r w:rsidR="003403CF">
        <w:rPr>
          <w:color w:val="548DD4"/>
          <w:sz w:val="48"/>
          <w:szCs w:val="48"/>
          <w:lang w:val="en-AU"/>
        </w:rPr>
        <w:t>d</w:t>
      </w:r>
      <w:r w:rsidRPr="007A0CF6">
        <w:rPr>
          <w:color w:val="548DD4"/>
          <w:sz w:val="48"/>
          <w:szCs w:val="48"/>
          <w:lang w:val="en-AU"/>
        </w:rPr>
        <w:t xml:space="preserve">eficient Stage IV </w:t>
      </w:r>
      <w:r w:rsidR="003403CF">
        <w:rPr>
          <w:color w:val="548DD4"/>
          <w:sz w:val="48"/>
          <w:szCs w:val="48"/>
          <w:lang w:val="en-AU"/>
        </w:rPr>
        <w:t>s</w:t>
      </w:r>
      <w:r w:rsidRPr="007A0CF6">
        <w:rPr>
          <w:color w:val="548DD4"/>
          <w:sz w:val="48"/>
          <w:szCs w:val="48"/>
          <w:lang w:val="en-AU"/>
        </w:rPr>
        <w:t>olid tumours</w:t>
      </w:r>
      <w:r w:rsidR="003403CF">
        <w:rPr>
          <w:color w:val="548DD4"/>
          <w:sz w:val="48"/>
          <w:szCs w:val="48"/>
          <w:lang w:val="en-AU"/>
        </w:rPr>
        <w:t>,</w:t>
      </w:r>
      <w:r w:rsidRPr="007A0CF6">
        <w:rPr>
          <w:color w:val="548DD4"/>
          <w:sz w:val="48"/>
          <w:szCs w:val="48"/>
          <w:lang w:val="en-AU"/>
        </w:rPr>
        <w:t xml:space="preserve"> other than colorectal cancer</w:t>
      </w:r>
    </w:p>
    <w:p w14:paraId="214FA714" w14:textId="77777777" w:rsidR="0044715D" w:rsidRPr="007A0CF6" w:rsidRDefault="0044715D" w:rsidP="00D46C89">
      <w:pPr>
        <w:pStyle w:val="Heading10"/>
        <w:tabs>
          <w:tab w:val="left" w:pos="5613"/>
        </w:tabs>
        <w:rPr>
          <w:sz w:val="52"/>
          <w:szCs w:val="72"/>
          <w:lang w:val="en-AU"/>
        </w:rPr>
      </w:pPr>
    </w:p>
    <w:p w14:paraId="07C97A25" w14:textId="77777777" w:rsidR="00D46C89" w:rsidRPr="007A0CF6" w:rsidRDefault="00D46C89" w:rsidP="003D699E">
      <w:pPr>
        <w:pStyle w:val="Heading10"/>
        <w:jc w:val="center"/>
        <w:rPr>
          <w:sz w:val="72"/>
          <w:szCs w:val="72"/>
          <w:lang w:val="en-AU"/>
        </w:rPr>
      </w:pPr>
      <w:r w:rsidRPr="007A0CF6">
        <w:rPr>
          <w:sz w:val="72"/>
          <w:szCs w:val="72"/>
          <w:lang w:val="en-AU"/>
        </w:rPr>
        <w:t>PICO Confirmation</w:t>
      </w:r>
    </w:p>
    <w:p w14:paraId="575F82AE" w14:textId="333B7E91" w:rsidR="003D699E" w:rsidRPr="007A0CF6" w:rsidRDefault="003D699E" w:rsidP="00382875">
      <w:pPr>
        <w:spacing w:before="180"/>
        <w:jc w:val="center"/>
        <w:rPr>
          <w:rFonts w:ascii="Arial" w:hAnsi="Arial" w:cs="Arial"/>
          <w:b/>
          <w:sz w:val="32"/>
          <w:szCs w:val="32"/>
        </w:rPr>
      </w:pPr>
      <w:r w:rsidRPr="007A0CF6">
        <w:rPr>
          <w:rFonts w:ascii="Arial" w:hAnsi="Arial" w:cs="Arial"/>
          <w:b/>
          <w:sz w:val="32"/>
          <w:szCs w:val="32"/>
        </w:rPr>
        <w:t>(</w:t>
      </w:r>
      <w:r w:rsidR="001E1507">
        <w:rPr>
          <w:rFonts w:ascii="Arial" w:hAnsi="Arial" w:cs="Arial"/>
          <w:b/>
          <w:sz w:val="32"/>
          <w:szCs w:val="32"/>
        </w:rPr>
        <w:t>T</w:t>
      </w:r>
      <w:r w:rsidR="00382875" w:rsidRPr="007A0CF6">
        <w:rPr>
          <w:rFonts w:ascii="Arial" w:hAnsi="Arial" w:cs="Arial"/>
          <w:b/>
          <w:sz w:val="32"/>
          <w:szCs w:val="32"/>
        </w:rPr>
        <w:t>o guide a new application to MSAC</w:t>
      </w:r>
      <w:r w:rsidRPr="007A0CF6">
        <w:rPr>
          <w:rFonts w:ascii="Arial" w:hAnsi="Arial" w:cs="Arial"/>
          <w:b/>
          <w:sz w:val="32"/>
          <w:szCs w:val="32"/>
        </w:rPr>
        <w:t>)</w:t>
      </w:r>
    </w:p>
    <w:p w14:paraId="0625319E" w14:textId="5141141D" w:rsidR="00EE7A1F" w:rsidRPr="007A0CF6" w:rsidRDefault="00EE7A1F" w:rsidP="00EE7A1F">
      <w:pPr>
        <w:spacing w:before="180"/>
        <w:jc w:val="center"/>
        <w:rPr>
          <w:rFonts w:ascii="Arial" w:hAnsi="Arial" w:cs="Arial"/>
          <w:b/>
          <w:sz w:val="32"/>
          <w:szCs w:val="32"/>
        </w:rPr>
      </w:pPr>
      <w:r w:rsidRPr="007A0CF6">
        <w:rPr>
          <w:rFonts w:ascii="Arial" w:hAnsi="Arial" w:cs="Arial"/>
          <w:b/>
          <w:sz w:val="32"/>
          <w:szCs w:val="32"/>
        </w:rPr>
        <w:t xml:space="preserve">(Version </w:t>
      </w:r>
      <w:r w:rsidR="00F55094">
        <w:rPr>
          <w:rFonts w:ascii="Arial" w:hAnsi="Arial" w:cs="Arial"/>
          <w:b/>
          <w:sz w:val="32"/>
          <w:szCs w:val="32"/>
        </w:rPr>
        <w:t>2.0</w:t>
      </w:r>
      <w:r w:rsidRPr="007A0CF6">
        <w:rPr>
          <w:rFonts w:ascii="Arial" w:hAnsi="Arial" w:cs="Arial"/>
          <w:b/>
          <w:sz w:val="32"/>
          <w:szCs w:val="32"/>
        </w:rPr>
        <w:t>)</w:t>
      </w:r>
    </w:p>
    <w:p w14:paraId="5BED3D28" w14:textId="77777777" w:rsidR="00EE7A1F" w:rsidRPr="007A0CF6" w:rsidRDefault="00EE7A1F" w:rsidP="00382875">
      <w:pPr>
        <w:spacing w:before="180"/>
        <w:jc w:val="center"/>
        <w:rPr>
          <w:rFonts w:ascii="Arial" w:hAnsi="Arial" w:cs="Arial"/>
          <w:b/>
          <w:sz w:val="32"/>
          <w:szCs w:val="32"/>
        </w:rPr>
      </w:pPr>
    </w:p>
    <w:p w14:paraId="0319833A" w14:textId="0F9CF775" w:rsidR="00E416C0" w:rsidRDefault="007E7E23">
      <w:r w:rsidRPr="007A0CF6">
        <w:rPr>
          <w:sz w:val="20"/>
          <w:szCs w:val="20"/>
        </w:rPr>
        <w:br w:type="page"/>
      </w:r>
    </w:p>
    <w:p w14:paraId="04CBEE4A" w14:textId="77777777" w:rsidR="003140D6" w:rsidRPr="007A0CF6" w:rsidRDefault="003140D6" w:rsidP="003140D6">
      <w:pPr>
        <w:pStyle w:val="Heading2"/>
        <w:numPr>
          <w:ilvl w:val="0"/>
          <w:numId w:val="0"/>
        </w:numPr>
      </w:pPr>
      <w:r>
        <w:lastRenderedPageBreak/>
        <w:t>Background information</w:t>
      </w:r>
    </w:p>
    <w:p w14:paraId="1E81326D" w14:textId="5EA48105" w:rsidR="00055D6E" w:rsidRPr="00055D6E" w:rsidRDefault="00EC7030" w:rsidP="00EC7030">
      <w:pPr>
        <w:jc w:val="both"/>
      </w:pPr>
      <w:r>
        <w:t xml:space="preserve">Recently, the </w:t>
      </w:r>
      <w:r w:rsidR="004A0347">
        <w:t>U</w:t>
      </w:r>
      <w:r w:rsidR="00753E89" w:rsidRPr="00753E89">
        <w:t xml:space="preserve">S Food and Drug Administration </w:t>
      </w:r>
      <w:r w:rsidR="00753E89">
        <w:t xml:space="preserve">(FDA) </w:t>
      </w:r>
      <w:r w:rsidRPr="00EC7030">
        <w:t>granted accelerated approval for pembrolizumab in adult and paediatric patients with locally advanced or metastatic solid tumo</w:t>
      </w:r>
      <w:r>
        <w:t>u</w:t>
      </w:r>
      <w:r w:rsidRPr="00EC7030">
        <w:t xml:space="preserve">rs that are mismatch-repair deficient </w:t>
      </w:r>
      <w:r>
        <w:t xml:space="preserve">(dMMR) </w:t>
      </w:r>
      <w:r w:rsidRPr="00EC7030">
        <w:t>or microsatellite instability-high (MSI-H)</w:t>
      </w:r>
      <w:r w:rsidR="001E1507">
        <w:t>.</w:t>
      </w:r>
      <w:r w:rsidRPr="00EC7030">
        <w:t xml:space="preserve"> who have progressed after prior treatment and who have no satisfactory alternative treatment options</w:t>
      </w:r>
      <w:r>
        <w:t>.</w:t>
      </w:r>
      <w:r w:rsidRPr="00EC7030">
        <w:t xml:space="preserve"> </w:t>
      </w:r>
      <w:r>
        <w:t>This is the first ‘tumour-</w:t>
      </w:r>
      <w:r w:rsidRPr="00055D6E">
        <w:t>agnostic</w:t>
      </w:r>
      <w:r>
        <w:t>’</w:t>
      </w:r>
      <w:r w:rsidRPr="00055D6E">
        <w:t xml:space="preserve"> </w:t>
      </w:r>
      <w:r w:rsidR="00EA6655">
        <w:t xml:space="preserve">or pan-tumour </w:t>
      </w:r>
      <w:r w:rsidRPr="00055D6E">
        <w:t>approval granted by the FDA.</w:t>
      </w:r>
    </w:p>
    <w:p w14:paraId="5D784A24" w14:textId="031D18DF" w:rsidR="00055D6E" w:rsidRPr="00055D6E" w:rsidRDefault="00055D6E" w:rsidP="00055D6E">
      <w:pPr>
        <w:jc w:val="both"/>
      </w:pPr>
      <w:r w:rsidRPr="00055D6E">
        <w:t xml:space="preserve">Earlier this year, the </w:t>
      </w:r>
      <w:r w:rsidR="00753E89" w:rsidRPr="00753E89">
        <w:t>Medical Services Advisory Committee</w:t>
      </w:r>
      <w:r w:rsidR="00753E89">
        <w:t xml:space="preserve"> (</w:t>
      </w:r>
      <w:r w:rsidRPr="00055D6E">
        <w:t>MSAC</w:t>
      </w:r>
      <w:r w:rsidR="00753E89">
        <w:t>)</w:t>
      </w:r>
      <w:r w:rsidRPr="00055D6E">
        <w:t xml:space="preserve"> Executive </w:t>
      </w:r>
      <w:r w:rsidR="00EC7030">
        <w:t xml:space="preserve">advised the applicant </w:t>
      </w:r>
      <w:r w:rsidRPr="00055D6E">
        <w:t xml:space="preserve">that use of pembrolizumab in </w:t>
      </w:r>
      <w:proofErr w:type="spellStart"/>
      <w:r w:rsidRPr="00055D6E">
        <w:t>dMMR</w:t>
      </w:r>
      <w:proofErr w:type="spellEnd"/>
      <w:r w:rsidRPr="00055D6E">
        <w:t xml:space="preserve"> colorectal cancer (CRC) would not require a co-dependent submission</w:t>
      </w:r>
      <w:r w:rsidR="00753E89">
        <w:t xml:space="preserve"> as the test is already used in routine clinical practice. Additionally, </w:t>
      </w:r>
      <w:r w:rsidR="00F87738">
        <w:t>the test</w:t>
      </w:r>
      <w:r w:rsidR="00753E89">
        <w:t xml:space="preserve"> is currently reimbursed under a general </w:t>
      </w:r>
      <w:r w:rsidR="00753E89" w:rsidRPr="00753E89">
        <w:t xml:space="preserve">Medicare Benefits Schedule </w:t>
      </w:r>
      <w:r w:rsidR="00753E89">
        <w:t xml:space="preserve">(MBS) item number for </w:t>
      </w:r>
      <w:proofErr w:type="spellStart"/>
      <w:r w:rsidR="00753E89">
        <w:t>immunohistochemical</w:t>
      </w:r>
      <w:proofErr w:type="spellEnd"/>
      <w:r w:rsidR="00753E89">
        <w:t xml:space="preserve"> (IHC) staining</w:t>
      </w:r>
      <w:r w:rsidRPr="00055D6E">
        <w:t xml:space="preserve"> (MSAC Executive minutes 1452, March 3 2017). The advice also indicated that the Department would work with an assessment group to obtain a position paper evaluating dMMR testing for </w:t>
      </w:r>
      <w:r w:rsidR="00EC7030">
        <w:t>CRC,</w:t>
      </w:r>
      <w:r w:rsidRPr="00055D6E">
        <w:t xml:space="preserve"> which could be used as a benchmark against which subsequent proposals for tumour testing in other tumour types could be assessed. </w:t>
      </w:r>
      <w:r w:rsidR="00880F99">
        <w:t>The applicant</w:t>
      </w:r>
      <w:r w:rsidRPr="00055D6E">
        <w:t xml:space="preserve"> understand</w:t>
      </w:r>
      <w:r w:rsidR="004C0385">
        <w:t>s</w:t>
      </w:r>
      <w:r w:rsidRPr="00055D6E">
        <w:t xml:space="preserve"> that the benchmarking exercise will commence in July 2017 and would like to be involved in this process.</w:t>
      </w:r>
    </w:p>
    <w:p w14:paraId="6AC12DC4" w14:textId="6A1424B7" w:rsidR="00E416C0" w:rsidRDefault="00EC7030" w:rsidP="00055D6E">
      <w:pPr>
        <w:jc w:val="both"/>
      </w:pPr>
      <w:r>
        <w:t xml:space="preserve">As this is the first </w:t>
      </w:r>
      <w:r w:rsidR="00EA6655">
        <w:t>pan-</w:t>
      </w:r>
      <w:r>
        <w:t>tumour</w:t>
      </w:r>
      <w:r w:rsidR="00055D6E" w:rsidRPr="00055D6E">
        <w:t xml:space="preserve"> co-dependent technology application in Australia, </w:t>
      </w:r>
      <w:r w:rsidR="00E416C0" w:rsidRPr="00055D6E">
        <w:t xml:space="preserve">the purpose of this application is to commence dialogue with the Department about a reasonable approach for </w:t>
      </w:r>
      <w:r w:rsidR="003140D6">
        <w:t xml:space="preserve">the assessment of the effectiveness of </w:t>
      </w:r>
      <w:r w:rsidR="00E416C0" w:rsidRPr="00055D6E">
        <w:t xml:space="preserve">pembrolizumab in patients with solid </w:t>
      </w:r>
      <w:r w:rsidR="000E2BE8" w:rsidRPr="00055D6E">
        <w:t xml:space="preserve">dMMR </w:t>
      </w:r>
      <w:r w:rsidR="00E416C0" w:rsidRPr="00055D6E">
        <w:t>tumours.</w:t>
      </w:r>
    </w:p>
    <w:p w14:paraId="1005A2E7" w14:textId="600E8509" w:rsidR="00E416C0" w:rsidRDefault="004C0385" w:rsidP="00055D6E">
      <w:pPr>
        <w:jc w:val="both"/>
      </w:pPr>
      <w:r>
        <w:t xml:space="preserve">The applicant </w:t>
      </w:r>
      <w:r w:rsidR="00055D6E" w:rsidRPr="00055D6E">
        <w:t xml:space="preserve">would like to highlight that it needs to be viewed differently than a traditional </w:t>
      </w:r>
      <w:r>
        <w:br/>
      </w:r>
      <w:r w:rsidR="00055D6E" w:rsidRPr="00055D6E">
        <w:t>co-dependent technology application, particularly as the submission will be based on data from single arm studies in over 15 different tumour types. For instance</w:t>
      </w:r>
      <w:r w:rsidR="00E416C0">
        <w:t>:</w:t>
      </w:r>
    </w:p>
    <w:p w14:paraId="43474492" w14:textId="5924D031" w:rsidR="00E416C0" w:rsidRDefault="00E416C0" w:rsidP="00E416C0">
      <w:pPr>
        <w:pStyle w:val="ListParagraph"/>
        <w:numPr>
          <w:ilvl w:val="0"/>
          <w:numId w:val="14"/>
        </w:numPr>
        <w:jc w:val="both"/>
      </w:pPr>
      <w:r>
        <w:t>It</w:t>
      </w:r>
      <w:r w:rsidR="00055D6E" w:rsidRPr="00055D6E">
        <w:t xml:space="preserve"> will not be feasible to establish analytical validity, clinical validity and clinical utility of </w:t>
      </w:r>
      <w:r w:rsidR="003140D6">
        <w:t>d</w:t>
      </w:r>
      <w:r w:rsidR="00055D6E" w:rsidRPr="00055D6E">
        <w:t>MMR testing by tumour type</w:t>
      </w:r>
      <w:r>
        <w:t xml:space="preserve">. </w:t>
      </w:r>
      <w:r w:rsidRPr="00E416C0">
        <w:rPr>
          <w:i/>
        </w:rPr>
        <w:t>However, it is important to show that testing in the different tumour types is feasible (</w:t>
      </w:r>
      <w:r w:rsidR="003140D6" w:rsidRPr="00E416C0">
        <w:rPr>
          <w:i/>
        </w:rPr>
        <w:t>i.</w:t>
      </w:r>
      <w:r w:rsidR="003140D6">
        <w:rPr>
          <w:i/>
        </w:rPr>
        <w:t>e.</w:t>
      </w:r>
      <w:r w:rsidRPr="00E416C0">
        <w:rPr>
          <w:i/>
        </w:rPr>
        <w:t xml:space="preserve"> that the surrounding tissue does not interfere with testing and tha</w:t>
      </w:r>
      <w:r w:rsidR="003140D6">
        <w:rPr>
          <w:i/>
        </w:rPr>
        <w:t xml:space="preserve">t the expression level in that </w:t>
      </w:r>
      <w:r w:rsidRPr="00E416C0">
        <w:rPr>
          <w:i/>
        </w:rPr>
        <w:t>tumou</w:t>
      </w:r>
      <w:r w:rsidR="003140D6">
        <w:rPr>
          <w:i/>
        </w:rPr>
        <w:t>r</w:t>
      </w:r>
      <w:r w:rsidRPr="00E416C0">
        <w:rPr>
          <w:i/>
        </w:rPr>
        <w:t xml:space="preserve"> type is sufficient for detection) by comparison to a gold standard or via a well-established </w:t>
      </w:r>
      <w:r w:rsidR="004C7902">
        <w:rPr>
          <w:i/>
        </w:rPr>
        <w:t>quality assurance program (</w:t>
      </w:r>
      <w:r w:rsidRPr="00E416C0">
        <w:rPr>
          <w:i/>
        </w:rPr>
        <w:t>QAP</w:t>
      </w:r>
      <w:r w:rsidR="004C7902">
        <w:rPr>
          <w:i/>
        </w:rPr>
        <w:t>)</w:t>
      </w:r>
      <w:r>
        <w:rPr>
          <w:i/>
        </w:rPr>
        <w:t>.</w:t>
      </w:r>
    </w:p>
    <w:p w14:paraId="201E67E9" w14:textId="7A41516E" w:rsidR="00E416C0" w:rsidRDefault="00E416C0" w:rsidP="00E416C0">
      <w:pPr>
        <w:pStyle w:val="ListParagraph"/>
        <w:numPr>
          <w:ilvl w:val="0"/>
          <w:numId w:val="14"/>
        </w:numPr>
        <w:jc w:val="both"/>
      </w:pPr>
      <w:r w:rsidRPr="00055D6E">
        <w:t>Overall</w:t>
      </w:r>
      <w:r w:rsidR="00055D6E" w:rsidRPr="00055D6E">
        <w:t xml:space="preserve"> survival comparisons for pembrolizumab </w:t>
      </w:r>
      <w:r>
        <w:t>plus</w:t>
      </w:r>
      <w:r w:rsidR="00055D6E" w:rsidRPr="00055D6E">
        <w:t xml:space="preserve"> test v</w:t>
      </w:r>
      <w:r>
        <w:t>ersu</w:t>
      </w:r>
      <w:r w:rsidR="00055D6E" w:rsidRPr="00055D6E">
        <w:t xml:space="preserve">s </w:t>
      </w:r>
      <w:r w:rsidR="00753E89">
        <w:t>standard of care</w:t>
      </w:r>
      <w:r w:rsidR="00055D6E" w:rsidRPr="00055D6E">
        <w:t xml:space="preserve"> for each individual tumour </w:t>
      </w:r>
      <w:r w:rsidR="00EC7030">
        <w:t>location will not be possible.</w:t>
      </w:r>
      <w:r>
        <w:t xml:space="preserve"> </w:t>
      </w:r>
      <w:r w:rsidRPr="00E416C0">
        <w:rPr>
          <w:i/>
        </w:rPr>
        <w:t>In this case, it will be necessary to provide strong biological plausibility. However, some comparative data will be required. Perhaps an indirect comparison with the pembro</w:t>
      </w:r>
      <w:r w:rsidR="003140D6">
        <w:rPr>
          <w:i/>
        </w:rPr>
        <w:t>lizumab</w:t>
      </w:r>
      <w:r w:rsidRPr="00E416C0">
        <w:rPr>
          <w:i/>
        </w:rPr>
        <w:t xml:space="preserve"> arm of the CRC trials (if </w:t>
      </w:r>
      <w:r w:rsidR="003140D6">
        <w:rPr>
          <w:i/>
        </w:rPr>
        <w:t xml:space="preserve">the </w:t>
      </w:r>
      <w:r w:rsidRPr="00E416C0">
        <w:rPr>
          <w:i/>
        </w:rPr>
        <w:t>same line of treatment).</w:t>
      </w:r>
    </w:p>
    <w:p w14:paraId="49852B70" w14:textId="199ED76B" w:rsidR="00055D6E" w:rsidRPr="00055D6E" w:rsidRDefault="00055D6E" w:rsidP="00055D6E">
      <w:pPr>
        <w:jc w:val="both"/>
      </w:pPr>
      <w:r w:rsidRPr="00055D6E">
        <w:t>In addition</w:t>
      </w:r>
      <w:r w:rsidR="003140D6">
        <w:t>,</w:t>
      </w:r>
      <w:r w:rsidRPr="00055D6E">
        <w:t xml:space="preserve"> </w:t>
      </w:r>
      <w:r w:rsidR="00753E89">
        <w:t>the applicant</w:t>
      </w:r>
      <w:r w:rsidR="004C0385">
        <w:t xml:space="preserve"> </w:t>
      </w:r>
      <w:r w:rsidRPr="00055D6E">
        <w:t xml:space="preserve">is aware that dMMR testing is frequently done in other cancers such as endometrial cancer and in circumstances where there is a suspicion of Lynch syndrome such as lynch-syndrome associated cancers in patients aged less than 50 years. Thus, </w:t>
      </w:r>
      <w:r w:rsidR="00F62D7B">
        <w:t>the applicant</w:t>
      </w:r>
      <w:r w:rsidRPr="00055D6E">
        <w:t xml:space="preserve"> would like </w:t>
      </w:r>
      <w:r w:rsidR="00C30968">
        <w:t>the</w:t>
      </w:r>
      <w:r w:rsidRPr="00055D6E">
        <w:t xml:space="preserve"> </w:t>
      </w:r>
      <w:r w:rsidR="00753E89" w:rsidRPr="00753E89">
        <w:t xml:space="preserve">PICO Advisory Sub-committee </w:t>
      </w:r>
      <w:r w:rsidRPr="00055D6E">
        <w:t>to consider whether a co-dependent technology application is required for endometrial cancer and any other cancers where dMMR testing is already undertaken.</w:t>
      </w:r>
    </w:p>
    <w:p w14:paraId="14E040B5" w14:textId="77777777" w:rsidR="00C9630A" w:rsidRPr="007A0CF6" w:rsidRDefault="0044715D" w:rsidP="00055D6E">
      <w:pPr>
        <w:jc w:val="both"/>
      </w:pPr>
      <w:r w:rsidRPr="007A0CF6">
        <w:rPr>
          <w:vanish/>
          <w:color w:val="FF0000"/>
        </w:rPr>
        <w:br w:type="page"/>
      </w:r>
    </w:p>
    <w:p w14:paraId="7A1F0B22" w14:textId="77777777" w:rsidR="00F12E59" w:rsidRPr="00D03612" w:rsidRDefault="0044715D" w:rsidP="00D03612">
      <w:pPr>
        <w:pStyle w:val="Heading2"/>
      </w:pPr>
      <w:r w:rsidRPr="00D03612">
        <w:t>Summary of PICO</w:t>
      </w:r>
      <w:r w:rsidR="00A84A56" w:rsidRPr="00D03612">
        <w:t>/PPICO</w:t>
      </w:r>
      <w:r w:rsidRPr="00D03612">
        <w:t xml:space="preserve"> criteria</w:t>
      </w:r>
      <w:bookmarkEnd w:id="0"/>
      <w:bookmarkEnd w:id="1"/>
      <w:r w:rsidR="00F12E59" w:rsidRPr="00D03612">
        <w:t xml:space="preserve"> to define the question(s) to be addressed in an Assessment Report to the Medical Services Advisory Committee (MSAC)</w:t>
      </w:r>
    </w:p>
    <w:p w14:paraId="13FB1E13" w14:textId="77777777" w:rsidR="00DB254E" w:rsidRPr="007A0CF6" w:rsidRDefault="00DB254E" w:rsidP="00055D6E">
      <w:pPr>
        <w:jc w:val="both"/>
      </w:pPr>
      <w:r w:rsidRPr="007A0CF6">
        <w:t>If direct evidence is available, direct effectiveness of the intervention can be determined using the following PICO criteria.</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for direct evidence"/>
        <w:tblDescription w:val="this is used to define the question(s) to be addressed in an Assessment Report to the Medical Services Advisory Committee (MSAC)"/>
      </w:tblPr>
      <w:tblGrid>
        <w:gridCol w:w="1504"/>
        <w:gridCol w:w="8124"/>
      </w:tblGrid>
      <w:tr w:rsidR="00DB254E" w:rsidRPr="007A0CF6" w14:paraId="7201B6CB" w14:textId="77777777" w:rsidTr="00CD467D">
        <w:trPr>
          <w:tblHeader/>
        </w:trPr>
        <w:tc>
          <w:tcPr>
            <w:tcW w:w="781" w:type="pct"/>
            <w:tcBorders>
              <w:top w:val="single" w:sz="8" w:space="0" w:color="auto"/>
              <w:bottom w:val="single" w:sz="8" w:space="0" w:color="auto"/>
              <w:right w:val="single" w:sz="4" w:space="0" w:color="auto"/>
            </w:tcBorders>
            <w:shd w:val="clear" w:color="auto" w:fill="D9D9D9"/>
          </w:tcPr>
          <w:p w14:paraId="23BD8929" w14:textId="77777777" w:rsidR="00DB254E" w:rsidRPr="007A0CF6" w:rsidRDefault="00DB254E" w:rsidP="00DC7DB6">
            <w:pPr>
              <w:spacing w:before="40" w:after="40" w:line="240" w:lineRule="auto"/>
              <w:rPr>
                <w:b/>
              </w:rPr>
            </w:pPr>
            <w:r w:rsidRPr="007A0CF6">
              <w:rPr>
                <w:b/>
              </w:rPr>
              <w:lastRenderedPageBreak/>
              <w:t>Component</w:t>
            </w:r>
          </w:p>
        </w:tc>
        <w:tc>
          <w:tcPr>
            <w:tcW w:w="4219" w:type="pct"/>
            <w:tcBorders>
              <w:top w:val="single" w:sz="4" w:space="0" w:color="auto"/>
              <w:left w:val="single" w:sz="4" w:space="0" w:color="auto"/>
              <w:bottom w:val="single" w:sz="4" w:space="0" w:color="auto"/>
              <w:right w:val="single" w:sz="4" w:space="0" w:color="auto"/>
            </w:tcBorders>
            <w:shd w:val="clear" w:color="auto" w:fill="D9D9D9"/>
          </w:tcPr>
          <w:p w14:paraId="39439D99" w14:textId="77777777" w:rsidR="00DB254E" w:rsidRPr="007A0CF6" w:rsidRDefault="00DB254E" w:rsidP="00DC7DB6">
            <w:pPr>
              <w:spacing w:before="40" w:after="40" w:line="240" w:lineRule="auto"/>
              <w:jc w:val="both"/>
              <w:rPr>
                <w:b/>
              </w:rPr>
            </w:pPr>
            <w:r w:rsidRPr="007A0CF6">
              <w:rPr>
                <w:b/>
              </w:rPr>
              <w:t>Description</w:t>
            </w:r>
          </w:p>
        </w:tc>
      </w:tr>
      <w:tr w:rsidR="00DB254E" w:rsidRPr="007A0CF6" w14:paraId="6C1B885C" w14:textId="77777777" w:rsidTr="00CD467D">
        <w:tc>
          <w:tcPr>
            <w:tcW w:w="781" w:type="pct"/>
            <w:tcBorders>
              <w:top w:val="single" w:sz="8" w:space="0" w:color="auto"/>
              <w:right w:val="single" w:sz="4" w:space="0" w:color="auto"/>
            </w:tcBorders>
          </w:tcPr>
          <w:p w14:paraId="46CE7D23" w14:textId="77777777" w:rsidR="00DB254E" w:rsidRPr="007A0CF6" w:rsidRDefault="00DB254E" w:rsidP="00B535F9">
            <w:pPr>
              <w:spacing w:before="40" w:after="40" w:line="240" w:lineRule="auto"/>
              <w:rPr>
                <w:rFonts w:cs="Arial"/>
              </w:rPr>
            </w:pPr>
            <w:r w:rsidRPr="007A0CF6">
              <w:rPr>
                <w:rFonts w:cs="Arial"/>
              </w:rPr>
              <w:t>Patients</w:t>
            </w:r>
          </w:p>
        </w:tc>
        <w:tc>
          <w:tcPr>
            <w:tcW w:w="4219" w:type="pct"/>
            <w:tcBorders>
              <w:top w:val="single" w:sz="4" w:space="0" w:color="auto"/>
              <w:left w:val="single" w:sz="4" w:space="0" w:color="auto"/>
              <w:bottom w:val="single" w:sz="4" w:space="0" w:color="auto"/>
              <w:right w:val="single" w:sz="4" w:space="0" w:color="auto"/>
            </w:tcBorders>
          </w:tcPr>
          <w:p w14:paraId="7AA37710" w14:textId="30C163B2" w:rsidR="00DB254E" w:rsidRPr="007A0CF6" w:rsidRDefault="00DB254E" w:rsidP="00B535F9">
            <w:pPr>
              <w:spacing w:before="40" w:after="40" w:line="240" w:lineRule="auto"/>
            </w:pPr>
            <w:r w:rsidRPr="007A0CF6">
              <w:t xml:space="preserve">Patients </w:t>
            </w:r>
            <w:r w:rsidR="005E22C7" w:rsidRPr="007A0CF6">
              <w:t xml:space="preserve">diagnosed with </w:t>
            </w:r>
            <w:r w:rsidR="00DD645E">
              <w:t xml:space="preserve">Stage IV </w:t>
            </w:r>
            <w:r w:rsidR="005E22C7" w:rsidRPr="007A0CF6">
              <w:t xml:space="preserve">unresectable or metastatic solid tumours other than colorectal cancer </w:t>
            </w:r>
            <w:r w:rsidR="007A0CF6">
              <w:t xml:space="preserve">(CRC) </w:t>
            </w:r>
            <w:r w:rsidR="002A36D0" w:rsidRPr="007A0CF6">
              <w:t>who</w:t>
            </w:r>
            <w:r w:rsidR="005E22C7" w:rsidRPr="007A0CF6">
              <w:t xml:space="preserve"> have progressed following </w:t>
            </w:r>
            <w:r w:rsidR="00EA6655">
              <w:t>first-line treatment</w:t>
            </w:r>
            <w:r w:rsidR="00235E7D">
              <w:t xml:space="preserve"> </w:t>
            </w:r>
            <w:r w:rsidR="00235E7D" w:rsidRPr="00235E7D">
              <w:t>and have not already been tested for mismatch repair (MMR) deficiency (dMMR)</w:t>
            </w:r>
          </w:p>
        </w:tc>
      </w:tr>
      <w:tr w:rsidR="00DB254E" w:rsidRPr="007A0CF6" w14:paraId="0E4B21B3" w14:textId="77777777" w:rsidTr="00CD467D">
        <w:trPr>
          <w:trHeight w:val="516"/>
        </w:trPr>
        <w:tc>
          <w:tcPr>
            <w:tcW w:w="781" w:type="pct"/>
            <w:tcBorders>
              <w:top w:val="single" w:sz="8" w:space="0" w:color="auto"/>
              <w:right w:val="single" w:sz="4" w:space="0" w:color="auto"/>
            </w:tcBorders>
          </w:tcPr>
          <w:p w14:paraId="774B32D2" w14:textId="77777777" w:rsidR="00DB254E" w:rsidRPr="007A0CF6" w:rsidRDefault="00DB254E" w:rsidP="00B535F9">
            <w:pPr>
              <w:spacing w:before="20" w:after="20" w:line="240" w:lineRule="auto"/>
              <w:rPr>
                <w:rFonts w:cs="Arial"/>
              </w:rPr>
            </w:pPr>
            <w:r w:rsidRPr="007A0CF6">
              <w:rPr>
                <w:rFonts w:cs="Arial"/>
              </w:rPr>
              <w:t>Prior tests</w:t>
            </w:r>
          </w:p>
        </w:tc>
        <w:tc>
          <w:tcPr>
            <w:tcW w:w="4219" w:type="pct"/>
            <w:tcBorders>
              <w:top w:val="single" w:sz="4" w:space="0" w:color="auto"/>
              <w:left w:val="single" w:sz="4" w:space="0" w:color="auto"/>
              <w:bottom w:val="single" w:sz="4" w:space="0" w:color="auto"/>
              <w:right w:val="single" w:sz="4" w:space="0" w:color="auto"/>
            </w:tcBorders>
          </w:tcPr>
          <w:p w14:paraId="1AE996CE" w14:textId="77777777" w:rsidR="00DB254E" w:rsidRPr="007A0CF6" w:rsidRDefault="00DB254E" w:rsidP="00B535F9">
            <w:pPr>
              <w:spacing w:before="40" w:after="40" w:line="240" w:lineRule="auto"/>
              <w:rPr>
                <w:rFonts w:cs="Arial"/>
              </w:rPr>
            </w:pPr>
            <w:r w:rsidRPr="007A0CF6">
              <w:rPr>
                <w:rFonts w:cs="Arial"/>
              </w:rPr>
              <w:t xml:space="preserve">Routine histology, cytology and </w:t>
            </w:r>
            <w:proofErr w:type="spellStart"/>
            <w:r w:rsidRPr="007A0CF6">
              <w:rPr>
                <w:rFonts w:cs="Arial"/>
              </w:rPr>
              <w:t>immunohistochemical</w:t>
            </w:r>
            <w:proofErr w:type="spellEnd"/>
            <w:r w:rsidRPr="007A0CF6">
              <w:rPr>
                <w:rFonts w:cs="Arial"/>
              </w:rPr>
              <w:t xml:space="preserve"> (IHC) tests to confirm diagnosis and stage of </w:t>
            </w:r>
            <w:r w:rsidR="005E22C7" w:rsidRPr="007A0CF6">
              <w:rPr>
                <w:rFonts w:cs="Arial"/>
              </w:rPr>
              <w:t>tumour</w:t>
            </w:r>
          </w:p>
        </w:tc>
      </w:tr>
      <w:tr w:rsidR="00DB254E" w:rsidRPr="007A0CF6" w14:paraId="32F2DD7D" w14:textId="77777777" w:rsidTr="00CD467D">
        <w:tc>
          <w:tcPr>
            <w:tcW w:w="781" w:type="pct"/>
            <w:tcBorders>
              <w:right w:val="single" w:sz="4" w:space="0" w:color="auto"/>
            </w:tcBorders>
          </w:tcPr>
          <w:p w14:paraId="735880BA" w14:textId="4F0D9477" w:rsidR="00DB254E" w:rsidRPr="007A0CF6" w:rsidRDefault="00DB254E" w:rsidP="00B535F9">
            <w:pPr>
              <w:spacing w:before="40" w:after="40" w:line="240" w:lineRule="auto"/>
              <w:rPr>
                <w:rFonts w:cs="Arial"/>
              </w:rPr>
            </w:pPr>
            <w:r w:rsidRPr="007A0CF6">
              <w:rPr>
                <w:rFonts w:cs="Arial"/>
              </w:rPr>
              <w:t>Intervention</w:t>
            </w:r>
            <w:r w:rsidR="005C56E3">
              <w:rPr>
                <w:rFonts w:cs="Arial"/>
              </w:rPr>
              <w:t>s</w:t>
            </w:r>
          </w:p>
        </w:tc>
        <w:tc>
          <w:tcPr>
            <w:tcW w:w="4219" w:type="pct"/>
            <w:tcBorders>
              <w:top w:val="single" w:sz="4" w:space="0" w:color="auto"/>
              <w:left w:val="single" w:sz="4" w:space="0" w:color="auto"/>
              <w:bottom w:val="single" w:sz="4" w:space="0" w:color="auto"/>
              <w:right w:val="single" w:sz="4" w:space="0" w:color="auto"/>
            </w:tcBorders>
          </w:tcPr>
          <w:p w14:paraId="254F6252" w14:textId="5CF45DCF" w:rsidR="00DB254E" w:rsidRPr="007A0CF6" w:rsidRDefault="00DB254E" w:rsidP="00CD467D">
            <w:pPr>
              <w:pStyle w:val="ListParagraph"/>
              <w:numPr>
                <w:ilvl w:val="0"/>
                <w:numId w:val="10"/>
              </w:numPr>
              <w:spacing w:before="40" w:after="40" w:line="240" w:lineRule="auto"/>
              <w:ind w:left="311"/>
              <w:contextualSpacing w:val="0"/>
            </w:pPr>
            <w:r w:rsidRPr="007A0CF6">
              <w:t xml:space="preserve">IHC </w:t>
            </w:r>
            <w:r w:rsidR="003140D6">
              <w:t xml:space="preserve">dMMR </w:t>
            </w:r>
            <w:r w:rsidRPr="007A0CF6">
              <w:t xml:space="preserve">testing using antibodies directed against the four MMR proteins to detect a deficiency for eligibility for treatment with pembrolizumab on progression </w:t>
            </w:r>
            <w:r w:rsidR="00EA6655">
              <w:t>after first-line treatment for</w:t>
            </w:r>
            <w:r w:rsidRPr="007A0CF6">
              <w:t xml:space="preserve"> </w:t>
            </w:r>
            <w:r w:rsidR="00EA6655" w:rsidRPr="00EA6655">
              <w:t xml:space="preserve">unresectable or metastatic </w:t>
            </w:r>
            <w:r w:rsidR="005E22C7" w:rsidRPr="007A0CF6">
              <w:t>disease</w:t>
            </w:r>
            <w:r w:rsidRPr="007A0CF6">
              <w:t xml:space="preserve">, and standard of care in those </w:t>
            </w:r>
            <w:r w:rsidR="00C30968">
              <w:t>who are</w:t>
            </w:r>
            <w:r w:rsidRPr="007A0CF6">
              <w:t xml:space="preserve"> MMR proficient</w:t>
            </w:r>
          </w:p>
          <w:p w14:paraId="717BBC47" w14:textId="77777777" w:rsidR="00DB254E" w:rsidRPr="007A0CF6" w:rsidRDefault="00DB254E" w:rsidP="00CD467D">
            <w:pPr>
              <w:pStyle w:val="ListParagraph"/>
              <w:numPr>
                <w:ilvl w:val="0"/>
                <w:numId w:val="10"/>
              </w:numPr>
              <w:spacing w:before="40" w:after="40" w:line="240" w:lineRule="auto"/>
              <w:ind w:left="317"/>
              <w:contextualSpacing w:val="0"/>
            </w:pPr>
            <w:r w:rsidRPr="007A0CF6">
              <w:t xml:space="preserve">No IHC </w:t>
            </w:r>
            <w:proofErr w:type="spellStart"/>
            <w:r w:rsidR="003140D6">
              <w:t>d</w:t>
            </w:r>
            <w:r w:rsidRPr="007A0CF6">
              <w:t>MMR</w:t>
            </w:r>
            <w:proofErr w:type="spellEnd"/>
            <w:r w:rsidRPr="007A0CF6">
              <w:t xml:space="preserve"> testing plus pembrolizumab</w:t>
            </w:r>
          </w:p>
        </w:tc>
      </w:tr>
      <w:tr w:rsidR="00DB254E" w:rsidRPr="007A0CF6" w14:paraId="34F6C180" w14:textId="77777777" w:rsidTr="00CD467D">
        <w:trPr>
          <w:trHeight w:val="291"/>
        </w:trPr>
        <w:tc>
          <w:tcPr>
            <w:tcW w:w="781" w:type="pct"/>
            <w:tcBorders>
              <w:right w:val="single" w:sz="4" w:space="0" w:color="auto"/>
            </w:tcBorders>
          </w:tcPr>
          <w:p w14:paraId="2A27DB41" w14:textId="7EFE3130" w:rsidR="00DB254E" w:rsidRPr="007A0CF6" w:rsidRDefault="00DB254E" w:rsidP="00B535F9">
            <w:pPr>
              <w:spacing w:before="40" w:after="40" w:line="240" w:lineRule="auto"/>
              <w:rPr>
                <w:rFonts w:cs="Arial"/>
              </w:rPr>
            </w:pPr>
            <w:r w:rsidRPr="007A0CF6">
              <w:rPr>
                <w:rFonts w:cs="Arial"/>
              </w:rPr>
              <w:t>Comparator</w:t>
            </w:r>
            <w:r w:rsidR="00EA6655">
              <w:rPr>
                <w:rFonts w:cs="Arial"/>
              </w:rPr>
              <w:t>s</w:t>
            </w:r>
          </w:p>
        </w:tc>
        <w:tc>
          <w:tcPr>
            <w:tcW w:w="4219" w:type="pct"/>
            <w:tcBorders>
              <w:top w:val="single" w:sz="4" w:space="0" w:color="auto"/>
              <w:left w:val="single" w:sz="4" w:space="0" w:color="auto"/>
              <w:bottom w:val="single" w:sz="4" w:space="0" w:color="auto"/>
              <w:right w:val="single" w:sz="4" w:space="0" w:color="auto"/>
            </w:tcBorders>
          </w:tcPr>
          <w:p w14:paraId="0D8B5731" w14:textId="77777777" w:rsidR="00DB254E" w:rsidRDefault="00DB254E" w:rsidP="00B535F9">
            <w:pPr>
              <w:spacing w:before="40" w:after="40" w:line="240" w:lineRule="auto"/>
            </w:pPr>
            <w:r w:rsidRPr="007A0CF6">
              <w:t xml:space="preserve">No IHC </w:t>
            </w:r>
            <w:r w:rsidR="003140D6">
              <w:t>d</w:t>
            </w:r>
            <w:r w:rsidRPr="007A0CF6">
              <w:t xml:space="preserve">MMR testing plus standard of </w:t>
            </w:r>
            <w:r w:rsidR="005E22C7" w:rsidRPr="007A0CF6">
              <w:t>care</w:t>
            </w:r>
            <w:r w:rsidR="00196119" w:rsidRPr="007A0CF6">
              <w:t xml:space="preserve"> </w:t>
            </w:r>
            <w:r w:rsidR="00EA6655">
              <w:t>second-line treatment options</w:t>
            </w:r>
          </w:p>
          <w:p w14:paraId="56131418" w14:textId="3C151916" w:rsidR="00EA6655" w:rsidRPr="007A0CF6" w:rsidRDefault="00EA6655" w:rsidP="00B535F9">
            <w:pPr>
              <w:spacing w:before="40" w:after="40" w:line="240" w:lineRule="auto"/>
            </w:pPr>
            <w:r w:rsidRPr="00EA6655">
              <w:t xml:space="preserve">No IHC dMMR testing plus </w:t>
            </w:r>
            <w:r>
              <w:t xml:space="preserve">palliative </w:t>
            </w:r>
            <w:r w:rsidRPr="00EA6655">
              <w:t xml:space="preserve">care </w:t>
            </w:r>
            <w:r>
              <w:t xml:space="preserve">if no </w:t>
            </w:r>
            <w:r w:rsidRPr="00EA6655">
              <w:t>second-line treatment options</w:t>
            </w:r>
            <w:r>
              <w:t xml:space="preserve"> are available</w:t>
            </w:r>
          </w:p>
        </w:tc>
      </w:tr>
      <w:tr w:rsidR="00DB254E" w:rsidRPr="007A0CF6" w14:paraId="3BF25CDB" w14:textId="77777777" w:rsidTr="00CD467D">
        <w:tc>
          <w:tcPr>
            <w:tcW w:w="781" w:type="pct"/>
            <w:tcBorders>
              <w:right w:val="single" w:sz="4" w:space="0" w:color="auto"/>
            </w:tcBorders>
          </w:tcPr>
          <w:p w14:paraId="796A0ABC" w14:textId="359CA886" w:rsidR="00DB254E" w:rsidRPr="007A0CF6" w:rsidRDefault="00DB254E" w:rsidP="00B535F9">
            <w:pPr>
              <w:spacing w:before="40" w:after="40" w:line="240" w:lineRule="auto"/>
              <w:rPr>
                <w:rFonts w:cs="Arial"/>
              </w:rPr>
            </w:pPr>
            <w:r w:rsidRPr="007A0CF6">
              <w:rPr>
                <w:rFonts w:cs="Arial"/>
              </w:rPr>
              <w:t>Outcomes</w:t>
            </w:r>
          </w:p>
        </w:tc>
        <w:tc>
          <w:tcPr>
            <w:tcW w:w="4219" w:type="pct"/>
            <w:tcBorders>
              <w:top w:val="single" w:sz="4" w:space="0" w:color="auto"/>
              <w:left w:val="single" w:sz="4" w:space="0" w:color="auto"/>
              <w:bottom w:val="single" w:sz="4" w:space="0" w:color="auto"/>
              <w:right w:val="single" w:sz="4" w:space="0" w:color="auto"/>
            </w:tcBorders>
          </w:tcPr>
          <w:p w14:paraId="742ADA2F" w14:textId="70C8C4BF" w:rsidR="00DB254E" w:rsidRPr="007A0CF6" w:rsidRDefault="00DB254E" w:rsidP="00B535F9">
            <w:pPr>
              <w:keepNext/>
              <w:spacing w:before="40" w:after="40" w:line="240" w:lineRule="auto"/>
              <w:rPr>
                <w:rFonts w:asciiTheme="minorHAnsi" w:eastAsia="SimSun" w:hAnsiTheme="minorHAnsi"/>
                <w:b/>
                <w:szCs w:val="20"/>
              </w:rPr>
            </w:pPr>
            <w:r w:rsidRPr="007A0CF6">
              <w:rPr>
                <w:rFonts w:asciiTheme="minorHAnsi" w:eastAsia="SimSun" w:hAnsiTheme="minorHAnsi" w:cs="Tahoma"/>
                <w:b/>
                <w:szCs w:val="20"/>
                <w:lang w:eastAsia="zh-CN"/>
              </w:rPr>
              <w:t xml:space="preserve">Safety: </w:t>
            </w:r>
            <w:r w:rsidRPr="007A0CF6">
              <w:rPr>
                <w:rFonts w:asciiTheme="minorHAnsi" w:eastAsia="SimSun" w:hAnsiTheme="minorHAnsi" w:cs="Tahoma"/>
                <w:szCs w:val="20"/>
                <w:lang w:eastAsia="zh-CN"/>
              </w:rPr>
              <w:t xml:space="preserve">harms from testing (including rates of re-biopsy required for testing); </w:t>
            </w:r>
            <w:r w:rsidRPr="007A0CF6">
              <w:rPr>
                <w:rFonts w:asciiTheme="minorHAnsi" w:eastAsia="SimSun" w:hAnsiTheme="minorHAnsi"/>
                <w:szCs w:val="20"/>
              </w:rPr>
              <w:t>treatment-associated adverse events and tolerability</w:t>
            </w:r>
            <w:r w:rsidRPr="007A0CF6">
              <w:rPr>
                <w:rFonts w:asciiTheme="minorHAnsi" w:eastAsia="SimSun" w:hAnsiTheme="minorHAnsi"/>
                <w:b/>
                <w:szCs w:val="20"/>
              </w:rPr>
              <w:t xml:space="preserve"> </w:t>
            </w:r>
          </w:p>
          <w:p w14:paraId="2B014213" w14:textId="77777777" w:rsidR="00DB254E" w:rsidRPr="007A0CF6" w:rsidRDefault="00DB254E" w:rsidP="00B535F9">
            <w:pPr>
              <w:keepNext/>
              <w:spacing w:before="40" w:after="40" w:line="240" w:lineRule="auto"/>
              <w:rPr>
                <w:rFonts w:asciiTheme="minorHAnsi" w:eastAsia="SimSun" w:hAnsiTheme="minorHAnsi" w:cs="Tahoma"/>
                <w:szCs w:val="20"/>
                <w:lang w:eastAsia="zh-CN"/>
              </w:rPr>
            </w:pPr>
            <w:r w:rsidRPr="007A0CF6">
              <w:rPr>
                <w:rFonts w:asciiTheme="minorHAnsi" w:eastAsia="SimSun" w:hAnsiTheme="minorHAnsi"/>
                <w:b/>
                <w:szCs w:val="20"/>
              </w:rPr>
              <w:t>Effectiveness:</w:t>
            </w:r>
            <w:r w:rsidRPr="007A0CF6">
              <w:rPr>
                <w:rFonts w:asciiTheme="minorHAnsi" w:eastAsia="SimSun" w:hAnsiTheme="minorHAnsi"/>
                <w:szCs w:val="20"/>
              </w:rPr>
              <w:t xml:space="preserve"> Critical </w:t>
            </w:r>
            <w:proofErr w:type="spellStart"/>
            <w:r w:rsidRPr="007A0CF6">
              <w:rPr>
                <w:rFonts w:asciiTheme="minorHAnsi" w:eastAsia="SimSun" w:hAnsiTheme="minorHAnsi"/>
                <w:szCs w:val="20"/>
              </w:rPr>
              <w:t>outcome</w:t>
            </w:r>
            <w:bookmarkStart w:id="2" w:name="_GoBack"/>
            <w:bookmarkEnd w:id="2"/>
            <w:r w:rsidRPr="007A0CF6">
              <w:rPr>
                <w:rFonts w:asciiTheme="minorHAnsi" w:eastAsia="SimSun" w:hAnsiTheme="minorHAnsi"/>
                <w:szCs w:val="20"/>
              </w:rPr>
              <w:t>s</w:t>
            </w:r>
            <w:r w:rsidRPr="007A0CF6">
              <w:rPr>
                <w:rFonts w:asciiTheme="minorHAnsi" w:eastAsia="SimSun" w:hAnsiTheme="minorHAnsi"/>
                <w:szCs w:val="20"/>
                <w:vertAlign w:val="superscript"/>
              </w:rPr>
              <w:t>a</w:t>
            </w:r>
            <w:proofErr w:type="spellEnd"/>
            <w:r w:rsidRPr="007A0CF6">
              <w:rPr>
                <w:rFonts w:asciiTheme="minorHAnsi" w:eastAsia="SimSun" w:hAnsiTheme="minorHAnsi"/>
                <w:szCs w:val="20"/>
              </w:rPr>
              <w:t xml:space="preserve">: Overall survival, progression-free survival, overall response rate; Important </w:t>
            </w:r>
            <w:proofErr w:type="spellStart"/>
            <w:r w:rsidRPr="007A0CF6">
              <w:rPr>
                <w:rFonts w:asciiTheme="minorHAnsi" w:eastAsia="SimSun" w:hAnsiTheme="minorHAnsi"/>
                <w:szCs w:val="20"/>
              </w:rPr>
              <w:t>outcomes</w:t>
            </w:r>
            <w:r w:rsidRPr="007A0CF6">
              <w:rPr>
                <w:rFonts w:asciiTheme="minorHAnsi" w:eastAsia="SimSun" w:hAnsiTheme="minorHAnsi"/>
                <w:szCs w:val="20"/>
                <w:vertAlign w:val="superscript"/>
              </w:rPr>
              <w:t>a</w:t>
            </w:r>
            <w:proofErr w:type="spellEnd"/>
            <w:r w:rsidRPr="007A0CF6">
              <w:rPr>
                <w:rFonts w:asciiTheme="minorHAnsi" w:eastAsia="SimSun" w:hAnsiTheme="minorHAnsi"/>
                <w:szCs w:val="20"/>
              </w:rPr>
              <w:t>: Quality of life</w:t>
            </w:r>
          </w:p>
          <w:p w14:paraId="6A509643" w14:textId="77777777" w:rsidR="00DB254E" w:rsidRPr="007A0CF6" w:rsidRDefault="00DB254E" w:rsidP="00B535F9">
            <w:pPr>
              <w:keepNext/>
              <w:spacing w:before="40" w:after="40" w:line="240" w:lineRule="auto"/>
              <w:rPr>
                <w:rFonts w:asciiTheme="minorHAnsi" w:eastAsia="SimSun" w:hAnsiTheme="minorHAnsi" w:cs="Tahoma"/>
                <w:szCs w:val="20"/>
                <w:lang w:eastAsia="zh-CN"/>
              </w:rPr>
            </w:pPr>
            <w:r w:rsidRPr="007A0CF6">
              <w:rPr>
                <w:rFonts w:asciiTheme="minorHAnsi" w:eastAsia="SimSun" w:hAnsiTheme="minorHAnsi" w:cs="Tahoma"/>
                <w:b/>
                <w:szCs w:val="20"/>
                <w:lang w:eastAsia="zh-CN"/>
              </w:rPr>
              <w:t xml:space="preserve">Cost-effectiveness: </w:t>
            </w:r>
            <w:r w:rsidRPr="007A0CF6">
              <w:rPr>
                <w:rFonts w:asciiTheme="minorHAnsi" w:eastAsia="SimSun" w:hAnsiTheme="minorHAnsi" w:cs="Tahoma"/>
                <w:szCs w:val="20"/>
                <w:lang w:eastAsia="zh-CN"/>
              </w:rPr>
              <w:t>Cost, cost per life year gained, cost per quality adjusted life year or disability adjusted life year, incremental cost-effectiveness ratio, cost per case identified</w:t>
            </w:r>
          </w:p>
          <w:p w14:paraId="30A16D7F" w14:textId="77777777" w:rsidR="00DB254E" w:rsidRPr="007A0CF6" w:rsidRDefault="00DB254E" w:rsidP="00B535F9">
            <w:pPr>
              <w:keepNext/>
              <w:spacing w:before="40" w:after="40" w:line="240" w:lineRule="auto"/>
            </w:pPr>
            <w:r w:rsidRPr="007A0CF6">
              <w:rPr>
                <w:rFonts w:asciiTheme="minorHAnsi" w:eastAsia="SimSun" w:hAnsiTheme="minorHAnsi" w:cs="Tahoma"/>
                <w:b/>
                <w:szCs w:val="20"/>
                <w:lang w:eastAsia="zh-CN"/>
              </w:rPr>
              <w:t>Total Australian Government healthcare costs</w:t>
            </w:r>
          </w:p>
        </w:tc>
      </w:tr>
      <w:tr w:rsidR="00DB254E" w:rsidRPr="007A0CF6" w14:paraId="583500F8" w14:textId="77777777" w:rsidTr="00CD467D">
        <w:tc>
          <w:tcPr>
            <w:tcW w:w="781" w:type="pct"/>
            <w:tcBorders>
              <w:right w:val="single" w:sz="4" w:space="0" w:color="auto"/>
            </w:tcBorders>
          </w:tcPr>
          <w:p w14:paraId="5BE10E7B" w14:textId="77777777" w:rsidR="00DB254E" w:rsidRPr="007A0CF6" w:rsidRDefault="00DB254E" w:rsidP="00B535F9">
            <w:pPr>
              <w:keepNext/>
              <w:spacing w:before="40" w:after="40" w:line="240" w:lineRule="auto"/>
              <w:rPr>
                <w:rFonts w:asciiTheme="minorHAnsi" w:eastAsia="SimSun" w:hAnsiTheme="minorHAnsi" w:cs="Tahoma"/>
                <w:szCs w:val="20"/>
                <w:lang w:eastAsia="zh-CN"/>
              </w:rPr>
            </w:pPr>
            <w:r w:rsidRPr="007A0CF6">
              <w:rPr>
                <w:rFonts w:asciiTheme="minorHAnsi" w:eastAsia="SimSun" w:hAnsiTheme="minorHAnsi" w:cs="Tahoma"/>
                <w:szCs w:val="20"/>
                <w:lang w:eastAsia="zh-CN"/>
              </w:rPr>
              <w:t>Direct research question</w:t>
            </w:r>
          </w:p>
        </w:tc>
        <w:tc>
          <w:tcPr>
            <w:tcW w:w="4219" w:type="pct"/>
            <w:tcBorders>
              <w:top w:val="single" w:sz="4" w:space="0" w:color="auto"/>
              <w:left w:val="single" w:sz="4" w:space="0" w:color="auto"/>
              <w:bottom w:val="single" w:sz="4" w:space="0" w:color="auto"/>
              <w:right w:val="single" w:sz="4" w:space="0" w:color="auto"/>
            </w:tcBorders>
          </w:tcPr>
          <w:p w14:paraId="63F5651D" w14:textId="69EB81AD" w:rsidR="00DB254E" w:rsidRPr="007A0CF6" w:rsidRDefault="00DB254E" w:rsidP="00B535F9">
            <w:pPr>
              <w:spacing w:before="40" w:after="40" w:line="240" w:lineRule="auto"/>
              <w:jc w:val="both"/>
              <w:rPr>
                <w:rFonts w:asciiTheme="minorHAnsi" w:eastAsia="SimSun" w:hAnsiTheme="minorHAnsi" w:cs="Tahoma"/>
                <w:szCs w:val="20"/>
                <w:lang w:eastAsia="zh-CN"/>
              </w:rPr>
            </w:pPr>
            <w:r w:rsidRPr="007A0CF6">
              <w:rPr>
                <w:rFonts w:asciiTheme="minorHAnsi" w:eastAsia="SimSun" w:hAnsiTheme="minorHAnsi" w:cs="Tahoma"/>
                <w:szCs w:val="20"/>
                <w:lang w:eastAsia="zh-CN"/>
              </w:rPr>
              <w:t xml:space="preserve">What </w:t>
            </w:r>
            <w:proofErr w:type="gramStart"/>
            <w:r w:rsidRPr="007A0CF6">
              <w:rPr>
                <w:rFonts w:asciiTheme="minorHAnsi" w:eastAsia="SimSun" w:hAnsiTheme="minorHAnsi" w:cs="Tahoma"/>
                <w:szCs w:val="20"/>
                <w:lang w:eastAsia="zh-CN"/>
              </w:rPr>
              <w:t>is</w:t>
            </w:r>
            <w:proofErr w:type="gramEnd"/>
            <w:r w:rsidRPr="007A0CF6">
              <w:rPr>
                <w:rFonts w:asciiTheme="minorHAnsi" w:eastAsia="SimSun" w:hAnsiTheme="minorHAnsi" w:cs="Tahoma"/>
                <w:szCs w:val="20"/>
                <w:lang w:eastAsia="zh-CN"/>
              </w:rPr>
              <w:t xml:space="preserve"> the safety, effectiveness, and cost-effectiveness of IHC </w:t>
            </w:r>
            <w:r w:rsidR="003140D6">
              <w:rPr>
                <w:rFonts w:asciiTheme="minorHAnsi" w:eastAsia="SimSun" w:hAnsiTheme="minorHAnsi" w:cs="Tahoma"/>
                <w:szCs w:val="20"/>
                <w:lang w:eastAsia="zh-CN"/>
              </w:rPr>
              <w:t>d</w:t>
            </w:r>
            <w:r w:rsidRPr="007A0CF6">
              <w:rPr>
                <w:rFonts w:asciiTheme="minorHAnsi" w:eastAsia="SimSun" w:hAnsiTheme="minorHAnsi" w:cs="Tahoma"/>
                <w:szCs w:val="20"/>
                <w:lang w:eastAsia="zh-CN"/>
              </w:rPr>
              <w:t xml:space="preserve">MMR testing for determining access to pembrolizumab in patients </w:t>
            </w:r>
            <w:r w:rsidR="002A36D0" w:rsidRPr="007A0CF6">
              <w:rPr>
                <w:rFonts w:asciiTheme="minorHAnsi" w:eastAsia="SimSun" w:hAnsiTheme="minorHAnsi" w:cs="Tahoma"/>
                <w:szCs w:val="20"/>
                <w:lang w:eastAsia="zh-CN"/>
              </w:rPr>
              <w:t xml:space="preserve">with unresectable or metastatic solid tumours other than </w:t>
            </w:r>
            <w:r w:rsidR="007A0CF6">
              <w:rPr>
                <w:rFonts w:asciiTheme="minorHAnsi" w:eastAsia="SimSun" w:hAnsiTheme="minorHAnsi" w:cs="Tahoma"/>
                <w:szCs w:val="20"/>
                <w:lang w:eastAsia="zh-CN"/>
              </w:rPr>
              <w:t>CRC</w:t>
            </w:r>
            <w:r w:rsidR="002A36D0" w:rsidRPr="007A0CF6">
              <w:rPr>
                <w:rFonts w:asciiTheme="minorHAnsi" w:eastAsia="SimSun" w:hAnsiTheme="minorHAnsi" w:cs="Tahoma"/>
                <w:szCs w:val="20"/>
                <w:lang w:eastAsia="zh-CN"/>
              </w:rPr>
              <w:t xml:space="preserve"> who have progressed following </w:t>
            </w:r>
            <w:r w:rsidR="00EA6655">
              <w:rPr>
                <w:rFonts w:asciiTheme="minorHAnsi" w:eastAsia="SimSun" w:hAnsiTheme="minorHAnsi" w:cs="Tahoma"/>
                <w:szCs w:val="20"/>
                <w:lang w:eastAsia="zh-CN"/>
              </w:rPr>
              <w:t>first-line</w:t>
            </w:r>
            <w:r w:rsidR="002A36D0" w:rsidRPr="007A0CF6">
              <w:rPr>
                <w:rFonts w:asciiTheme="minorHAnsi" w:eastAsia="SimSun" w:hAnsiTheme="minorHAnsi" w:cs="Tahoma"/>
                <w:szCs w:val="20"/>
                <w:lang w:eastAsia="zh-CN"/>
              </w:rPr>
              <w:t xml:space="preserve"> treatment</w:t>
            </w:r>
            <w:r w:rsidRPr="007A0CF6">
              <w:rPr>
                <w:rFonts w:asciiTheme="minorHAnsi" w:eastAsia="SimSun" w:hAnsiTheme="minorHAnsi" w:cs="Tahoma"/>
                <w:szCs w:val="20"/>
                <w:lang w:eastAsia="zh-CN"/>
              </w:rPr>
              <w:t xml:space="preserve">, compared with no testing and </w:t>
            </w:r>
            <w:r w:rsidRPr="00EA6655">
              <w:rPr>
                <w:rFonts w:asciiTheme="minorHAnsi" w:eastAsia="SimSun" w:hAnsiTheme="minorHAnsi" w:cs="Tahoma"/>
                <w:szCs w:val="20"/>
                <w:lang w:eastAsia="zh-CN"/>
              </w:rPr>
              <w:t>standard of care</w:t>
            </w:r>
            <w:r w:rsidR="00EA6655">
              <w:rPr>
                <w:rFonts w:asciiTheme="minorHAnsi" w:eastAsia="SimSun" w:hAnsiTheme="minorHAnsi" w:cs="Tahoma"/>
                <w:szCs w:val="20"/>
                <w:lang w:eastAsia="zh-CN"/>
              </w:rPr>
              <w:t xml:space="preserve"> second-line treatment options</w:t>
            </w:r>
            <w:r w:rsidRPr="007A0CF6">
              <w:rPr>
                <w:rFonts w:asciiTheme="minorHAnsi" w:eastAsia="SimSun" w:hAnsiTheme="minorHAnsi" w:cs="Tahoma"/>
                <w:szCs w:val="20"/>
                <w:lang w:eastAsia="zh-CN"/>
              </w:rPr>
              <w:t>?</w:t>
            </w:r>
          </w:p>
        </w:tc>
      </w:tr>
    </w:tbl>
    <w:p w14:paraId="04731878" w14:textId="77777777" w:rsidR="00DB254E" w:rsidRPr="007A0CF6" w:rsidRDefault="00DB254E" w:rsidP="00DB254E">
      <w:pPr>
        <w:rPr>
          <w:rFonts w:asciiTheme="minorHAnsi" w:eastAsia="SimSun" w:hAnsiTheme="minorHAnsi"/>
          <w:szCs w:val="20"/>
        </w:rPr>
      </w:pPr>
      <w:proofErr w:type="spellStart"/>
      <w:proofErr w:type="gramStart"/>
      <w:r w:rsidRPr="007A0CF6">
        <w:rPr>
          <w:rFonts w:eastAsia="MS Gothic"/>
          <w:bCs/>
          <w:color w:val="000000" w:themeColor="text1"/>
          <w:szCs w:val="26"/>
          <w:vertAlign w:val="superscript"/>
        </w:rPr>
        <w:t>a</w:t>
      </w:r>
      <w:proofErr w:type="spellEnd"/>
      <w:proofErr w:type="gramEnd"/>
      <w:r w:rsidR="007A0CF6" w:rsidRPr="007A0CF6">
        <w:rPr>
          <w:rFonts w:eastAsia="MS Gothic"/>
          <w:bCs/>
          <w:color w:val="000000" w:themeColor="text1"/>
          <w:szCs w:val="26"/>
        </w:rPr>
        <w:t xml:space="preserve"> </w:t>
      </w:r>
      <w:r w:rsidRPr="007A0CF6">
        <w:rPr>
          <w:rFonts w:asciiTheme="minorHAnsi" w:eastAsia="SimSun" w:hAnsiTheme="minorHAnsi"/>
          <w:color w:val="000000" w:themeColor="text1"/>
          <w:szCs w:val="20"/>
        </w:rPr>
        <w:t xml:space="preserve">Outcomes </w:t>
      </w:r>
      <w:r w:rsidRPr="007A0CF6">
        <w:rPr>
          <w:rFonts w:asciiTheme="minorHAnsi" w:eastAsia="SimSun" w:hAnsiTheme="minorHAnsi"/>
          <w:szCs w:val="20"/>
        </w:rPr>
        <w:t>ranked as recommended by GRADE</w:t>
      </w:r>
    </w:p>
    <w:p w14:paraId="4E7E560F" w14:textId="77777777" w:rsidR="00DB254E" w:rsidRPr="007A0CF6" w:rsidRDefault="00DB254E" w:rsidP="00055D6E">
      <w:pPr>
        <w:jc w:val="both"/>
        <w:rPr>
          <w:rFonts w:asciiTheme="minorHAnsi" w:eastAsia="SimSun" w:hAnsiTheme="minorHAnsi"/>
          <w:szCs w:val="20"/>
        </w:rPr>
      </w:pPr>
      <w:r w:rsidRPr="007A0CF6">
        <w:rPr>
          <w:rFonts w:asciiTheme="minorHAnsi" w:eastAsia="SimSun" w:hAnsiTheme="minorHAnsi"/>
          <w:szCs w:val="20"/>
        </w:rPr>
        <w:t xml:space="preserve">If direct effectiveness of the intervention cannot be determined, a linked approach may be used. A summary of the PICO criteria to address these are provided below.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Summary of PICO/PPICO criteria for linked evidence"/>
        <w:tblDescription w:val="this is used to define the question(s) to be addressed in an Assessment Report to the Medical Services Advisory Committee (MSAC)"/>
      </w:tblPr>
      <w:tblGrid>
        <w:gridCol w:w="1419"/>
        <w:gridCol w:w="8209"/>
      </w:tblGrid>
      <w:tr w:rsidR="00DB254E" w:rsidRPr="007A0CF6" w14:paraId="7E5630EC" w14:textId="77777777" w:rsidTr="00CD467D">
        <w:trPr>
          <w:tblHeader/>
        </w:trPr>
        <w:tc>
          <w:tcPr>
            <w:tcW w:w="737" w:type="pct"/>
            <w:tcBorders>
              <w:top w:val="single" w:sz="8" w:space="0" w:color="auto"/>
              <w:bottom w:val="single" w:sz="8" w:space="0" w:color="auto"/>
              <w:right w:val="single" w:sz="4" w:space="0" w:color="auto"/>
            </w:tcBorders>
            <w:shd w:val="clear" w:color="auto" w:fill="D9D9D9"/>
          </w:tcPr>
          <w:p w14:paraId="5FB86C91" w14:textId="77777777" w:rsidR="00DB254E" w:rsidRPr="007A0CF6" w:rsidRDefault="00DB254E" w:rsidP="00DC7DB6">
            <w:pPr>
              <w:spacing w:before="20" w:after="20" w:line="240" w:lineRule="auto"/>
              <w:rPr>
                <w:b/>
              </w:rPr>
            </w:pPr>
            <w:r w:rsidRPr="007A0CF6">
              <w:rPr>
                <w:b/>
              </w:rPr>
              <w:t>Component</w:t>
            </w:r>
          </w:p>
        </w:tc>
        <w:tc>
          <w:tcPr>
            <w:tcW w:w="4263" w:type="pct"/>
            <w:tcBorders>
              <w:top w:val="single" w:sz="4" w:space="0" w:color="auto"/>
              <w:left w:val="single" w:sz="4" w:space="0" w:color="auto"/>
              <w:bottom w:val="single" w:sz="4" w:space="0" w:color="auto"/>
              <w:right w:val="single" w:sz="4" w:space="0" w:color="auto"/>
            </w:tcBorders>
            <w:shd w:val="clear" w:color="auto" w:fill="D9D9D9"/>
          </w:tcPr>
          <w:p w14:paraId="4129DED4" w14:textId="77777777" w:rsidR="00DB254E" w:rsidRPr="007A0CF6" w:rsidRDefault="00DB254E" w:rsidP="00DC7DB6">
            <w:pPr>
              <w:spacing w:before="20" w:after="20" w:line="240" w:lineRule="auto"/>
              <w:jc w:val="both"/>
              <w:rPr>
                <w:b/>
              </w:rPr>
            </w:pPr>
            <w:r w:rsidRPr="007A0CF6">
              <w:rPr>
                <w:b/>
              </w:rPr>
              <w:t>Description</w:t>
            </w:r>
          </w:p>
        </w:tc>
      </w:tr>
      <w:tr w:rsidR="00DB254E" w:rsidRPr="007A0CF6" w14:paraId="0069088D" w14:textId="77777777" w:rsidTr="00CD467D">
        <w:tc>
          <w:tcPr>
            <w:tcW w:w="737" w:type="pct"/>
            <w:tcBorders>
              <w:top w:val="single" w:sz="8" w:space="0" w:color="auto"/>
              <w:right w:val="single" w:sz="4" w:space="0" w:color="auto"/>
            </w:tcBorders>
          </w:tcPr>
          <w:p w14:paraId="4B9FB9A1" w14:textId="77777777" w:rsidR="00DB254E" w:rsidRPr="007A0CF6" w:rsidRDefault="00DB254E" w:rsidP="00B535F9">
            <w:pPr>
              <w:spacing w:before="20" w:after="20" w:line="240" w:lineRule="auto"/>
              <w:rPr>
                <w:rFonts w:cs="Arial"/>
              </w:rPr>
            </w:pPr>
            <w:r w:rsidRPr="007A0CF6">
              <w:rPr>
                <w:rFonts w:cs="Arial"/>
              </w:rPr>
              <w:t>Patients</w:t>
            </w:r>
          </w:p>
        </w:tc>
        <w:tc>
          <w:tcPr>
            <w:tcW w:w="4263" w:type="pct"/>
            <w:tcBorders>
              <w:top w:val="single" w:sz="4" w:space="0" w:color="auto"/>
              <w:left w:val="single" w:sz="4" w:space="0" w:color="auto"/>
              <w:bottom w:val="single" w:sz="4" w:space="0" w:color="auto"/>
              <w:right w:val="single" w:sz="4" w:space="0" w:color="auto"/>
            </w:tcBorders>
          </w:tcPr>
          <w:p w14:paraId="49A144E8" w14:textId="77777777" w:rsidR="00DB254E" w:rsidRPr="007A0CF6" w:rsidRDefault="00DB254E" w:rsidP="00CD467D">
            <w:pPr>
              <w:spacing w:before="40" w:after="40" w:line="240" w:lineRule="auto"/>
              <w:rPr>
                <w:u w:val="single"/>
              </w:rPr>
            </w:pPr>
            <w:r w:rsidRPr="007A0CF6">
              <w:rPr>
                <w:u w:val="single"/>
              </w:rPr>
              <w:t>Testing population:</w:t>
            </w:r>
          </w:p>
          <w:p w14:paraId="4ADD55F1" w14:textId="77C018B9" w:rsidR="00DB254E" w:rsidRPr="007A0CF6" w:rsidRDefault="00DB254E" w:rsidP="00CD467D">
            <w:pPr>
              <w:spacing w:before="40" w:after="40" w:line="240" w:lineRule="auto"/>
            </w:pPr>
            <w:r w:rsidRPr="007A0CF6">
              <w:t xml:space="preserve">Patients with </w:t>
            </w:r>
            <w:r w:rsidR="007A0CF6">
              <w:t xml:space="preserve">Stage IV </w:t>
            </w:r>
            <w:r w:rsidR="002A36D0" w:rsidRPr="007A0CF6">
              <w:t xml:space="preserve">solid tumours other than </w:t>
            </w:r>
            <w:r w:rsidR="00901F2B">
              <w:t>colorectal cancer (CRC)</w:t>
            </w:r>
            <w:r w:rsidR="002A36D0" w:rsidRPr="007A0CF6">
              <w:t xml:space="preserve"> </w:t>
            </w:r>
            <w:r w:rsidR="00901F2B" w:rsidRPr="00901F2B">
              <w:t xml:space="preserve">who </w:t>
            </w:r>
            <w:r w:rsidR="00901F2B" w:rsidRPr="00EA6655">
              <w:t xml:space="preserve">have progressed following </w:t>
            </w:r>
            <w:r w:rsidR="00EA6655">
              <w:t>first-line</w:t>
            </w:r>
            <w:r w:rsidR="00901F2B" w:rsidRPr="00EA6655">
              <w:t xml:space="preserve"> treatment and</w:t>
            </w:r>
            <w:r w:rsidRPr="007A0CF6">
              <w:t xml:space="preserve"> have not already been tested for </w:t>
            </w:r>
            <w:r w:rsidR="00901F2B" w:rsidRPr="00901F2B">
              <w:t xml:space="preserve">mismatch repair </w:t>
            </w:r>
            <w:r w:rsidR="00901F2B">
              <w:t>(</w:t>
            </w:r>
            <w:r w:rsidRPr="007A0CF6">
              <w:t>MMR</w:t>
            </w:r>
            <w:r w:rsidR="00901F2B">
              <w:t>) deficiency</w:t>
            </w:r>
            <w:r w:rsidR="003140D6">
              <w:t xml:space="preserve"> (dMMR)</w:t>
            </w:r>
          </w:p>
          <w:p w14:paraId="2836DA57" w14:textId="77777777" w:rsidR="00DB254E" w:rsidRPr="007A0CF6" w:rsidRDefault="00DB254E" w:rsidP="00CD467D">
            <w:pPr>
              <w:keepNext/>
              <w:spacing w:before="40" w:after="40" w:line="240" w:lineRule="auto"/>
              <w:rPr>
                <w:u w:val="single"/>
              </w:rPr>
            </w:pPr>
            <w:r w:rsidRPr="007A0CF6">
              <w:rPr>
                <w:u w:val="single"/>
              </w:rPr>
              <w:t>Treatment population:</w:t>
            </w:r>
          </w:p>
          <w:p w14:paraId="5B6302A3" w14:textId="6C7AA838" w:rsidR="00DB254E" w:rsidRPr="007A0CF6" w:rsidRDefault="00DB254E" w:rsidP="00CD467D">
            <w:pPr>
              <w:spacing w:before="40" w:after="40" w:line="240" w:lineRule="auto"/>
            </w:pPr>
            <w:r w:rsidRPr="007A0CF6">
              <w:t xml:space="preserve">Patients </w:t>
            </w:r>
            <w:r w:rsidR="002A36D0" w:rsidRPr="007A0CF6">
              <w:t xml:space="preserve">with </w:t>
            </w:r>
            <w:r w:rsidR="00B535F9" w:rsidRPr="00B535F9">
              <w:t xml:space="preserve">Stage IV </w:t>
            </w:r>
            <w:r w:rsidR="002A36D0" w:rsidRPr="007A0CF6">
              <w:t xml:space="preserve">unresectable or metastatic solid tumours other than </w:t>
            </w:r>
            <w:r w:rsidR="00901F2B">
              <w:t>CRC</w:t>
            </w:r>
            <w:r w:rsidR="002A36D0" w:rsidRPr="007A0CF6">
              <w:t xml:space="preserve"> who have progressed following </w:t>
            </w:r>
            <w:r w:rsidR="00EA6655">
              <w:t>first-line treatment</w:t>
            </w:r>
          </w:p>
        </w:tc>
      </w:tr>
      <w:tr w:rsidR="00DB254E" w:rsidRPr="007A0CF6" w14:paraId="3166938A" w14:textId="77777777" w:rsidTr="00CD467D">
        <w:trPr>
          <w:trHeight w:val="475"/>
        </w:trPr>
        <w:tc>
          <w:tcPr>
            <w:tcW w:w="737" w:type="pct"/>
            <w:tcBorders>
              <w:top w:val="single" w:sz="8" w:space="0" w:color="auto"/>
              <w:right w:val="single" w:sz="4" w:space="0" w:color="auto"/>
            </w:tcBorders>
          </w:tcPr>
          <w:p w14:paraId="5879BAD3" w14:textId="77777777" w:rsidR="00DB254E" w:rsidRPr="007A0CF6" w:rsidRDefault="00DB254E" w:rsidP="00B535F9">
            <w:pPr>
              <w:spacing w:before="20" w:after="20" w:line="240" w:lineRule="auto"/>
              <w:rPr>
                <w:rFonts w:cs="Arial"/>
              </w:rPr>
            </w:pPr>
            <w:r w:rsidRPr="007A0CF6">
              <w:rPr>
                <w:rFonts w:cs="Arial"/>
              </w:rPr>
              <w:t>Prior tests</w:t>
            </w:r>
          </w:p>
        </w:tc>
        <w:tc>
          <w:tcPr>
            <w:tcW w:w="4263" w:type="pct"/>
            <w:tcBorders>
              <w:top w:val="single" w:sz="4" w:space="0" w:color="auto"/>
              <w:left w:val="single" w:sz="4" w:space="0" w:color="auto"/>
              <w:bottom w:val="single" w:sz="4" w:space="0" w:color="auto"/>
              <w:right w:val="single" w:sz="4" w:space="0" w:color="auto"/>
            </w:tcBorders>
          </w:tcPr>
          <w:p w14:paraId="510113EF" w14:textId="77777777" w:rsidR="00DB254E" w:rsidRPr="007A0CF6" w:rsidRDefault="00DB254E" w:rsidP="00CD467D">
            <w:pPr>
              <w:spacing w:before="40" w:after="40" w:line="240" w:lineRule="auto"/>
              <w:rPr>
                <w:rFonts w:cs="Arial"/>
              </w:rPr>
            </w:pPr>
            <w:r w:rsidRPr="007A0CF6">
              <w:rPr>
                <w:rFonts w:cs="Arial"/>
              </w:rPr>
              <w:t xml:space="preserve">Routine histology, cytology and </w:t>
            </w:r>
            <w:proofErr w:type="spellStart"/>
            <w:r w:rsidRPr="007A0CF6">
              <w:rPr>
                <w:rFonts w:cs="Arial"/>
              </w:rPr>
              <w:t>immunohistochemical</w:t>
            </w:r>
            <w:proofErr w:type="spellEnd"/>
            <w:r w:rsidRPr="007A0CF6">
              <w:rPr>
                <w:rFonts w:cs="Arial"/>
              </w:rPr>
              <w:t xml:space="preserve"> (IHC) tests to confirm diagnosis and stage of </w:t>
            </w:r>
            <w:r w:rsidR="002A36D0" w:rsidRPr="007A0CF6">
              <w:rPr>
                <w:rFonts w:cs="Arial"/>
              </w:rPr>
              <w:t>tumour</w:t>
            </w:r>
          </w:p>
        </w:tc>
      </w:tr>
      <w:tr w:rsidR="00DB254E" w:rsidRPr="007A0CF6" w14:paraId="59A1A8B6" w14:textId="77777777" w:rsidTr="00CD467D">
        <w:tc>
          <w:tcPr>
            <w:tcW w:w="737" w:type="pct"/>
            <w:tcBorders>
              <w:right w:val="single" w:sz="4" w:space="0" w:color="auto"/>
            </w:tcBorders>
          </w:tcPr>
          <w:p w14:paraId="4736D532" w14:textId="77777777" w:rsidR="00DB254E" w:rsidRPr="007A0CF6" w:rsidRDefault="00DB254E" w:rsidP="00B535F9">
            <w:pPr>
              <w:spacing w:before="20" w:after="20" w:line="240" w:lineRule="auto"/>
              <w:rPr>
                <w:rFonts w:cs="Arial"/>
              </w:rPr>
            </w:pPr>
            <w:r w:rsidRPr="007A0CF6">
              <w:rPr>
                <w:rFonts w:cs="Arial"/>
              </w:rPr>
              <w:t>Intervention</w:t>
            </w:r>
          </w:p>
        </w:tc>
        <w:tc>
          <w:tcPr>
            <w:tcW w:w="4263" w:type="pct"/>
            <w:tcBorders>
              <w:top w:val="single" w:sz="4" w:space="0" w:color="auto"/>
              <w:left w:val="single" w:sz="4" w:space="0" w:color="auto"/>
              <w:bottom w:val="single" w:sz="4" w:space="0" w:color="auto"/>
              <w:right w:val="single" w:sz="4" w:space="0" w:color="auto"/>
            </w:tcBorders>
          </w:tcPr>
          <w:p w14:paraId="1D9DC49F" w14:textId="446C4368" w:rsidR="00DB254E" w:rsidRPr="007A0CF6" w:rsidRDefault="00DB254E" w:rsidP="00CD467D">
            <w:pPr>
              <w:spacing w:before="40" w:after="40" w:line="240" w:lineRule="auto"/>
            </w:pPr>
            <w:r w:rsidRPr="007A0CF6">
              <w:t xml:space="preserve">IHC </w:t>
            </w:r>
            <w:r w:rsidR="003140D6">
              <w:t>d</w:t>
            </w:r>
            <w:r w:rsidRPr="007A0CF6">
              <w:t xml:space="preserve">MMR testing using antibodies directed against the four MMR proteins to detect a deficiency for eligibility for treatment with pembrolizumab on progression </w:t>
            </w:r>
            <w:r w:rsidR="00EA6655">
              <w:t>after first-line treatment for</w:t>
            </w:r>
            <w:r w:rsidRPr="007A0CF6">
              <w:t xml:space="preserve"> </w:t>
            </w:r>
            <w:r w:rsidR="00EA6655">
              <w:t xml:space="preserve">unresectable or metastatic </w:t>
            </w:r>
            <w:r w:rsidR="002A36D0" w:rsidRPr="007A0CF6">
              <w:t>disease</w:t>
            </w:r>
            <w:r w:rsidR="00EA6655" w:rsidRPr="00EA6655">
              <w:t xml:space="preserve">, and standard of care in those </w:t>
            </w:r>
            <w:r w:rsidR="00A55EBA">
              <w:t>who are</w:t>
            </w:r>
            <w:r w:rsidR="00EA6655" w:rsidRPr="00EA6655">
              <w:t xml:space="preserve"> MMR proficient</w:t>
            </w:r>
          </w:p>
          <w:p w14:paraId="488CB8FD" w14:textId="77777777" w:rsidR="00DB254E" w:rsidRPr="007A0CF6" w:rsidRDefault="00DB254E" w:rsidP="00CD467D">
            <w:pPr>
              <w:spacing w:before="40" w:after="40" w:line="240" w:lineRule="auto"/>
            </w:pPr>
            <w:r w:rsidRPr="007A0CF6">
              <w:t xml:space="preserve">No IHC </w:t>
            </w:r>
            <w:proofErr w:type="spellStart"/>
            <w:r w:rsidR="003140D6">
              <w:t>d</w:t>
            </w:r>
            <w:r w:rsidRPr="007A0CF6">
              <w:t>MMR</w:t>
            </w:r>
            <w:proofErr w:type="spellEnd"/>
            <w:r w:rsidRPr="007A0CF6">
              <w:t xml:space="preserve"> testing plus pembrolizumab</w:t>
            </w:r>
          </w:p>
        </w:tc>
      </w:tr>
      <w:tr w:rsidR="00DB254E" w:rsidRPr="007A0CF6" w14:paraId="25A0415C" w14:textId="77777777" w:rsidTr="00CD467D">
        <w:tc>
          <w:tcPr>
            <w:tcW w:w="737" w:type="pct"/>
            <w:tcBorders>
              <w:right w:val="single" w:sz="4" w:space="0" w:color="auto"/>
            </w:tcBorders>
          </w:tcPr>
          <w:p w14:paraId="29D2300D" w14:textId="77777777" w:rsidR="00DB254E" w:rsidRPr="007A0CF6" w:rsidRDefault="00DB254E" w:rsidP="00B535F9">
            <w:pPr>
              <w:spacing w:before="20" w:after="20" w:line="240" w:lineRule="auto"/>
              <w:rPr>
                <w:rFonts w:cs="Arial"/>
              </w:rPr>
            </w:pPr>
            <w:r w:rsidRPr="007A0CF6">
              <w:rPr>
                <w:rFonts w:cs="Arial"/>
              </w:rPr>
              <w:t>Reference standard</w:t>
            </w:r>
          </w:p>
        </w:tc>
        <w:tc>
          <w:tcPr>
            <w:tcW w:w="4263" w:type="pct"/>
            <w:tcBorders>
              <w:top w:val="single" w:sz="4" w:space="0" w:color="auto"/>
              <w:left w:val="single" w:sz="4" w:space="0" w:color="auto"/>
              <w:bottom w:val="single" w:sz="4" w:space="0" w:color="auto"/>
              <w:right w:val="single" w:sz="4" w:space="0" w:color="auto"/>
            </w:tcBorders>
          </w:tcPr>
          <w:p w14:paraId="71D5796D" w14:textId="4C79D06D" w:rsidR="00DB254E" w:rsidRPr="007A0CF6" w:rsidRDefault="00DA0572" w:rsidP="00CD467D">
            <w:pPr>
              <w:spacing w:before="40" w:after="40" w:line="240" w:lineRule="auto"/>
            </w:pPr>
            <w:r>
              <w:t>P</w:t>
            </w:r>
            <w:r w:rsidRPr="007A0CF6">
              <w:t>olymerase chain reaction-based microsatellite instability</w:t>
            </w:r>
            <w:r w:rsidR="00ED7BA3">
              <w:t>-high</w:t>
            </w:r>
            <w:r w:rsidRPr="007A0CF6">
              <w:t xml:space="preserve"> testing</w:t>
            </w:r>
          </w:p>
        </w:tc>
      </w:tr>
      <w:tr w:rsidR="00DB254E" w:rsidRPr="007A0CF6" w14:paraId="0E8C2AC6" w14:textId="77777777" w:rsidTr="00CD467D">
        <w:tc>
          <w:tcPr>
            <w:tcW w:w="737" w:type="pct"/>
            <w:tcBorders>
              <w:right w:val="single" w:sz="4" w:space="0" w:color="auto"/>
            </w:tcBorders>
          </w:tcPr>
          <w:p w14:paraId="0FF83C85" w14:textId="77777777" w:rsidR="00DB254E" w:rsidRPr="007A0CF6" w:rsidRDefault="00DB254E" w:rsidP="00B535F9">
            <w:pPr>
              <w:spacing w:before="20" w:after="20" w:line="240" w:lineRule="auto"/>
              <w:rPr>
                <w:rFonts w:cs="Arial"/>
              </w:rPr>
            </w:pPr>
            <w:r w:rsidRPr="007A0CF6">
              <w:rPr>
                <w:rFonts w:cs="Arial"/>
              </w:rPr>
              <w:lastRenderedPageBreak/>
              <w:t>Comparator</w:t>
            </w:r>
          </w:p>
        </w:tc>
        <w:tc>
          <w:tcPr>
            <w:tcW w:w="4263" w:type="pct"/>
            <w:tcBorders>
              <w:top w:val="single" w:sz="4" w:space="0" w:color="auto"/>
              <w:left w:val="single" w:sz="4" w:space="0" w:color="auto"/>
              <w:bottom w:val="single" w:sz="4" w:space="0" w:color="auto"/>
              <w:right w:val="single" w:sz="4" w:space="0" w:color="auto"/>
            </w:tcBorders>
          </w:tcPr>
          <w:p w14:paraId="4136627A" w14:textId="788806EA" w:rsidR="00DB254E" w:rsidRPr="007A0CF6" w:rsidRDefault="00DB254E" w:rsidP="00CD467D">
            <w:pPr>
              <w:spacing w:before="40" w:after="40" w:line="240" w:lineRule="auto"/>
            </w:pPr>
            <w:r w:rsidRPr="007A0CF6">
              <w:rPr>
                <w:b/>
              </w:rPr>
              <w:t>Diagnostic accuracy:</w:t>
            </w:r>
            <w:r w:rsidRPr="007A0CF6">
              <w:t xml:space="preserve"> </w:t>
            </w:r>
            <w:r w:rsidR="00F55094">
              <w:t>M</w:t>
            </w:r>
            <w:r w:rsidR="00F55094" w:rsidRPr="005179FF">
              <w:t>ethylation specific multiple ligation</w:t>
            </w:r>
            <w:r w:rsidR="00F55094">
              <w:t xml:space="preserve">-dependent probe amplification </w:t>
            </w:r>
            <w:r w:rsidR="00F55094" w:rsidRPr="007A0CF6">
              <w:t xml:space="preserve">to detect hyper-methylation </w:t>
            </w:r>
            <w:r w:rsidR="00F55094">
              <w:t xml:space="preserve">of the </w:t>
            </w:r>
            <w:r w:rsidR="00F55094" w:rsidRPr="007A0CF6">
              <w:rPr>
                <w:i/>
              </w:rPr>
              <w:t>MLH1</w:t>
            </w:r>
            <w:r w:rsidR="005C56E3">
              <w:t xml:space="preserve"> gene promoter</w:t>
            </w:r>
          </w:p>
          <w:p w14:paraId="5E6CC9F2" w14:textId="7EC7896B" w:rsidR="00DA0572" w:rsidRPr="007A0CF6" w:rsidRDefault="00DB254E" w:rsidP="00CD467D">
            <w:pPr>
              <w:spacing w:before="40" w:after="40" w:line="240" w:lineRule="auto"/>
            </w:pPr>
            <w:r w:rsidRPr="007A0CF6">
              <w:rPr>
                <w:b/>
              </w:rPr>
              <w:t>Therapeutic effectiveness:</w:t>
            </w:r>
            <w:r w:rsidRPr="007A0CF6">
              <w:t xml:space="preserve"> no IHC </w:t>
            </w:r>
            <w:r w:rsidR="003140D6">
              <w:t>d</w:t>
            </w:r>
            <w:r w:rsidRPr="007A0CF6">
              <w:t xml:space="preserve">MMR testing </w:t>
            </w:r>
            <w:r w:rsidR="002A36D0" w:rsidRPr="007A0CF6">
              <w:t>plus standard of care</w:t>
            </w:r>
            <w:r w:rsidR="00EA6655">
              <w:t xml:space="preserve"> second-line treatment options</w:t>
            </w:r>
            <w:r w:rsidR="00DA0572">
              <w:t>, or palliative care if no second-line treatment options are available</w:t>
            </w:r>
          </w:p>
        </w:tc>
      </w:tr>
      <w:tr w:rsidR="00DB254E" w:rsidRPr="007A0CF6" w14:paraId="74F9A210" w14:textId="77777777" w:rsidTr="00CD467D">
        <w:tc>
          <w:tcPr>
            <w:tcW w:w="737" w:type="pct"/>
            <w:tcBorders>
              <w:right w:val="single" w:sz="4" w:space="0" w:color="auto"/>
            </w:tcBorders>
          </w:tcPr>
          <w:p w14:paraId="3251A9F3" w14:textId="77777777" w:rsidR="00DB254E" w:rsidRPr="007A0CF6" w:rsidRDefault="00DB254E" w:rsidP="00B535F9">
            <w:pPr>
              <w:spacing w:before="20" w:after="20" w:line="240" w:lineRule="auto"/>
              <w:rPr>
                <w:rFonts w:cs="Arial"/>
              </w:rPr>
            </w:pPr>
            <w:r w:rsidRPr="007A0CF6">
              <w:rPr>
                <w:rFonts w:cs="Arial"/>
              </w:rPr>
              <w:t>Outcomes</w:t>
            </w:r>
          </w:p>
        </w:tc>
        <w:tc>
          <w:tcPr>
            <w:tcW w:w="4263" w:type="pct"/>
            <w:tcBorders>
              <w:top w:val="single" w:sz="4" w:space="0" w:color="auto"/>
              <w:left w:val="single" w:sz="4" w:space="0" w:color="auto"/>
              <w:bottom w:val="single" w:sz="4" w:space="0" w:color="auto"/>
              <w:right w:val="single" w:sz="4" w:space="0" w:color="auto"/>
            </w:tcBorders>
          </w:tcPr>
          <w:p w14:paraId="01F195B7" w14:textId="145A86D2" w:rsidR="00DB254E" w:rsidRPr="007A0CF6"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 xml:space="preserve">Safety: </w:t>
            </w:r>
            <w:r w:rsidRPr="007A0CF6">
              <w:rPr>
                <w:rFonts w:asciiTheme="minorHAnsi" w:eastAsia="SimSun" w:hAnsiTheme="minorHAnsi"/>
                <w:szCs w:val="20"/>
              </w:rPr>
              <w:t>harm related to testing</w:t>
            </w:r>
            <w:r w:rsidR="004A0347">
              <w:rPr>
                <w:rFonts w:asciiTheme="minorHAnsi" w:eastAsia="SimSun" w:hAnsiTheme="minorHAnsi"/>
                <w:szCs w:val="20"/>
              </w:rPr>
              <w:t xml:space="preserve"> procedure,</w:t>
            </w:r>
            <w:r w:rsidR="004A0347" w:rsidRPr="00CD467D">
              <w:t xml:space="preserve"> </w:t>
            </w:r>
            <w:r w:rsidR="004A0347" w:rsidRPr="004A0347">
              <w:rPr>
                <w:rFonts w:asciiTheme="minorHAnsi" w:eastAsia="SimSun" w:hAnsiTheme="minorHAnsi"/>
                <w:szCs w:val="20"/>
              </w:rPr>
              <w:t>harm due to false-positive or false-negative test result</w:t>
            </w:r>
          </w:p>
          <w:p w14:paraId="5FC09D83" w14:textId="415D2F12" w:rsidR="00C1048B"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 xml:space="preserve">Diagnostic </w:t>
            </w:r>
            <w:r w:rsidR="006043B8">
              <w:rPr>
                <w:rFonts w:asciiTheme="minorHAnsi" w:eastAsia="SimSun" w:hAnsiTheme="minorHAnsi"/>
                <w:b/>
                <w:szCs w:val="20"/>
              </w:rPr>
              <w:t>performance</w:t>
            </w:r>
            <w:r w:rsidRPr="007A0CF6">
              <w:rPr>
                <w:rFonts w:asciiTheme="minorHAnsi" w:eastAsia="SimSun" w:hAnsiTheme="minorHAnsi"/>
                <w:b/>
                <w:szCs w:val="20"/>
              </w:rPr>
              <w:t xml:space="preserve">: </w:t>
            </w:r>
            <w:r w:rsidR="00B535F9" w:rsidRPr="00B535F9">
              <w:rPr>
                <w:rFonts w:asciiTheme="minorHAnsi" w:eastAsia="SimSun" w:hAnsiTheme="minorHAnsi"/>
                <w:szCs w:val="20"/>
              </w:rPr>
              <w:t>Sensitivity and specificity (analytical validity)</w:t>
            </w:r>
            <w:r w:rsidRPr="007A0CF6">
              <w:rPr>
                <w:rFonts w:asciiTheme="minorHAnsi" w:eastAsia="SimSun" w:hAnsiTheme="minorHAnsi"/>
                <w:szCs w:val="20"/>
              </w:rPr>
              <w:t>, concor</w:t>
            </w:r>
            <w:r w:rsidR="00C1048B">
              <w:rPr>
                <w:rFonts w:asciiTheme="minorHAnsi" w:eastAsia="SimSun" w:hAnsiTheme="minorHAnsi"/>
                <w:szCs w:val="20"/>
              </w:rPr>
              <w:t>dance, test-retest reliability</w:t>
            </w:r>
          </w:p>
          <w:p w14:paraId="2C093711" w14:textId="2787079D" w:rsidR="00DB254E" w:rsidRPr="007A0CF6" w:rsidRDefault="00C1048B" w:rsidP="00CD467D">
            <w:pPr>
              <w:keepNext/>
              <w:spacing w:before="40" w:after="40" w:line="240" w:lineRule="auto"/>
              <w:rPr>
                <w:rFonts w:asciiTheme="minorHAnsi" w:eastAsia="SimSun" w:hAnsiTheme="minorHAnsi"/>
                <w:szCs w:val="20"/>
              </w:rPr>
            </w:pPr>
            <w:r>
              <w:rPr>
                <w:rFonts w:asciiTheme="minorHAnsi" w:eastAsia="SimSun" w:hAnsiTheme="minorHAnsi"/>
                <w:b/>
                <w:szCs w:val="20"/>
              </w:rPr>
              <w:t>Clinical validity</w:t>
            </w:r>
            <w:r w:rsidRPr="007A0CF6">
              <w:rPr>
                <w:rFonts w:asciiTheme="minorHAnsi" w:eastAsia="SimSun" w:hAnsiTheme="minorHAnsi"/>
                <w:b/>
                <w:szCs w:val="20"/>
              </w:rPr>
              <w:t>:</w:t>
            </w:r>
            <w:r w:rsidRPr="00CD467D">
              <w:rPr>
                <w:rFonts w:asciiTheme="minorHAnsi" w:hAnsiTheme="minorHAnsi"/>
                <w:b/>
              </w:rPr>
              <w:t xml:space="preserve"> </w:t>
            </w:r>
            <w:r w:rsidR="00DB254E" w:rsidRPr="007A0CF6">
              <w:rPr>
                <w:rFonts w:asciiTheme="minorHAnsi" w:eastAsia="SimSun" w:hAnsiTheme="minorHAnsi"/>
                <w:szCs w:val="20"/>
              </w:rPr>
              <w:t>positive</w:t>
            </w:r>
            <w:r>
              <w:rPr>
                <w:rFonts w:asciiTheme="minorHAnsi" w:eastAsia="SimSun" w:hAnsiTheme="minorHAnsi"/>
                <w:szCs w:val="20"/>
              </w:rPr>
              <w:t xml:space="preserve"> and negative predictive values</w:t>
            </w:r>
            <w:r w:rsidR="002C663B">
              <w:rPr>
                <w:rFonts w:asciiTheme="minorHAnsi" w:eastAsia="SimSun" w:hAnsiTheme="minorHAnsi"/>
                <w:szCs w:val="20"/>
              </w:rPr>
              <w:t>,</w:t>
            </w:r>
            <w:r w:rsidR="002C663B" w:rsidRPr="00CD467D">
              <w:t xml:space="preserve"> </w:t>
            </w:r>
            <w:r w:rsidR="002C663B" w:rsidRPr="002C663B">
              <w:rPr>
                <w:rFonts w:asciiTheme="minorHAnsi" w:eastAsia="SimSun" w:hAnsiTheme="minorHAnsi"/>
                <w:szCs w:val="20"/>
              </w:rPr>
              <w:t>positive and negative likelihood ratios.</w:t>
            </w:r>
          </w:p>
          <w:p w14:paraId="789259BF" w14:textId="77777777" w:rsidR="00DB254E"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 xml:space="preserve">Prognosis: </w:t>
            </w:r>
            <w:r w:rsidRPr="007A0CF6">
              <w:rPr>
                <w:rFonts w:asciiTheme="minorHAnsi" w:eastAsia="SimSun" w:hAnsiTheme="minorHAnsi"/>
                <w:szCs w:val="20"/>
              </w:rPr>
              <w:t>prognostic effect of biomarker</w:t>
            </w:r>
          </w:p>
          <w:p w14:paraId="2189EBAD" w14:textId="550BEDDC" w:rsidR="00DB254E" w:rsidRPr="00CD467D" w:rsidRDefault="00C1048B" w:rsidP="00CD467D">
            <w:pPr>
              <w:keepNext/>
              <w:spacing w:before="40" w:after="40" w:line="240" w:lineRule="auto"/>
              <w:ind w:right="-57"/>
              <w:rPr>
                <w:rFonts w:asciiTheme="minorHAnsi" w:hAnsiTheme="minorHAnsi"/>
                <w:b/>
              </w:rPr>
            </w:pPr>
            <w:r>
              <w:rPr>
                <w:rFonts w:asciiTheme="minorHAnsi" w:eastAsia="SimSun" w:hAnsiTheme="minorHAnsi"/>
                <w:b/>
                <w:szCs w:val="20"/>
              </w:rPr>
              <w:t>Clinical utility</w:t>
            </w:r>
            <w:r w:rsidR="002C663B">
              <w:rPr>
                <w:rFonts w:asciiTheme="minorHAnsi" w:eastAsia="SimSun" w:hAnsiTheme="minorHAnsi"/>
                <w:b/>
                <w:szCs w:val="20"/>
              </w:rPr>
              <w:t>:</w:t>
            </w:r>
            <w:r w:rsidR="002C663B" w:rsidRPr="00CD467D">
              <w:rPr>
                <w:rFonts w:asciiTheme="minorHAnsi" w:hAnsiTheme="minorHAnsi"/>
              </w:rPr>
              <w:t xml:space="preserve"> </w:t>
            </w:r>
            <w:r w:rsidR="002C663B" w:rsidRPr="002C663B">
              <w:rPr>
                <w:rFonts w:asciiTheme="minorHAnsi" w:eastAsia="SimSun" w:hAnsiTheme="minorHAnsi"/>
                <w:szCs w:val="20"/>
              </w:rPr>
              <w:t>% change in management plan (e.g. changes in treatment)</w:t>
            </w:r>
          </w:p>
          <w:p w14:paraId="432305EB" w14:textId="77777777" w:rsidR="00DB254E" w:rsidRPr="007A0CF6"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Therapeutic effectiveness</w:t>
            </w:r>
            <w:r w:rsidRPr="007A0CF6">
              <w:rPr>
                <w:rFonts w:asciiTheme="minorHAnsi" w:eastAsia="SimSun" w:hAnsiTheme="minorHAnsi"/>
                <w:szCs w:val="20"/>
              </w:rPr>
              <w:t xml:space="preserve">: Critical </w:t>
            </w:r>
            <w:proofErr w:type="spellStart"/>
            <w:r w:rsidRPr="007A0CF6">
              <w:rPr>
                <w:rFonts w:asciiTheme="minorHAnsi" w:eastAsia="SimSun" w:hAnsiTheme="minorHAnsi"/>
                <w:szCs w:val="20"/>
              </w:rPr>
              <w:t>outcomes</w:t>
            </w:r>
            <w:r w:rsidRPr="007A0CF6">
              <w:rPr>
                <w:rFonts w:asciiTheme="minorHAnsi" w:eastAsia="SimSun" w:hAnsiTheme="minorHAnsi"/>
                <w:szCs w:val="20"/>
                <w:vertAlign w:val="superscript"/>
              </w:rPr>
              <w:t>a</w:t>
            </w:r>
            <w:proofErr w:type="spellEnd"/>
            <w:r w:rsidRPr="007A0CF6">
              <w:rPr>
                <w:rFonts w:asciiTheme="minorHAnsi" w:eastAsia="SimSun" w:hAnsiTheme="minorHAnsi"/>
                <w:szCs w:val="20"/>
              </w:rPr>
              <w:t xml:space="preserve">: Overall survival, progression-free survival, overall response rate; Important </w:t>
            </w:r>
            <w:proofErr w:type="spellStart"/>
            <w:r w:rsidRPr="007A0CF6">
              <w:rPr>
                <w:rFonts w:asciiTheme="minorHAnsi" w:eastAsia="SimSun" w:hAnsiTheme="minorHAnsi"/>
                <w:szCs w:val="20"/>
              </w:rPr>
              <w:t>outcomes</w:t>
            </w:r>
            <w:r w:rsidRPr="007A0CF6">
              <w:rPr>
                <w:rFonts w:asciiTheme="minorHAnsi" w:eastAsia="SimSun" w:hAnsiTheme="minorHAnsi"/>
                <w:szCs w:val="20"/>
                <w:vertAlign w:val="superscript"/>
              </w:rPr>
              <w:t>a</w:t>
            </w:r>
            <w:proofErr w:type="spellEnd"/>
            <w:r w:rsidRPr="007A0CF6">
              <w:rPr>
                <w:rFonts w:asciiTheme="minorHAnsi" w:eastAsia="SimSun" w:hAnsiTheme="minorHAnsi"/>
                <w:szCs w:val="20"/>
              </w:rPr>
              <w:t>: Quality of life</w:t>
            </w:r>
          </w:p>
          <w:p w14:paraId="31A6D972" w14:textId="77777777" w:rsidR="00DB254E" w:rsidRPr="007A0CF6"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Predictive validity</w:t>
            </w:r>
            <w:r w:rsidRPr="007A0CF6">
              <w:rPr>
                <w:rFonts w:asciiTheme="minorHAnsi" w:eastAsia="SimSun" w:hAnsiTheme="minorHAnsi"/>
                <w:szCs w:val="20"/>
              </w:rPr>
              <w:t>: treatment effect modification</w:t>
            </w:r>
          </w:p>
          <w:p w14:paraId="68F0B26B" w14:textId="77777777" w:rsidR="00DB254E" w:rsidRPr="007A0CF6" w:rsidRDefault="00DB254E" w:rsidP="00CD467D">
            <w:pPr>
              <w:keepNext/>
              <w:spacing w:before="40" w:after="40" w:line="240" w:lineRule="auto"/>
              <w:rPr>
                <w:rFonts w:asciiTheme="minorHAnsi" w:eastAsia="SimSun" w:hAnsiTheme="minorHAnsi"/>
                <w:szCs w:val="20"/>
              </w:rPr>
            </w:pPr>
            <w:r w:rsidRPr="007A0CF6">
              <w:rPr>
                <w:rFonts w:asciiTheme="minorHAnsi" w:eastAsia="SimSun" w:hAnsiTheme="minorHAnsi"/>
                <w:b/>
                <w:szCs w:val="20"/>
              </w:rPr>
              <w:t>Cost-effectiveness:</w:t>
            </w:r>
            <w:r w:rsidRPr="007A0CF6">
              <w:rPr>
                <w:rFonts w:asciiTheme="minorHAnsi" w:eastAsia="SimSun" w:hAnsiTheme="minorHAnsi"/>
                <w:szCs w:val="20"/>
              </w:rPr>
              <w:t xml:space="preserve"> Cost, cost per quality adjusted life year</w:t>
            </w:r>
          </w:p>
        </w:tc>
      </w:tr>
      <w:tr w:rsidR="00DB254E" w:rsidRPr="007A0CF6" w14:paraId="489869F5" w14:textId="77777777" w:rsidTr="00CD467D">
        <w:tc>
          <w:tcPr>
            <w:tcW w:w="737" w:type="pct"/>
            <w:tcBorders>
              <w:right w:val="single" w:sz="4" w:space="0" w:color="auto"/>
            </w:tcBorders>
          </w:tcPr>
          <w:p w14:paraId="27CB2EEF" w14:textId="2687B496" w:rsidR="00DB254E" w:rsidRPr="007A0CF6" w:rsidRDefault="00DB254E" w:rsidP="00B535F9">
            <w:pPr>
              <w:spacing w:before="40" w:after="0" w:line="240" w:lineRule="auto"/>
              <w:rPr>
                <w:rFonts w:asciiTheme="minorHAnsi" w:eastAsia="SimSun" w:hAnsiTheme="minorHAnsi" w:cs="Tahoma"/>
                <w:szCs w:val="20"/>
                <w:lang w:eastAsia="zh-CN"/>
              </w:rPr>
            </w:pPr>
            <w:r w:rsidRPr="007A0CF6">
              <w:rPr>
                <w:rFonts w:asciiTheme="minorHAnsi" w:eastAsia="SimSun" w:hAnsiTheme="minorHAnsi" w:cs="Tahoma"/>
                <w:szCs w:val="20"/>
                <w:lang w:eastAsia="zh-CN"/>
              </w:rPr>
              <w:t>Linked evidence research questions</w:t>
            </w:r>
          </w:p>
        </w:tc>
        <w:tc>
          <w:tcPr>
            <w:tcW w:w="4263" w:type="pct"/>
            <w:tcBorders>
              <w:top w:val="single" w:sz="4" w:space="0" w:color="auto"/>
              <w:left w:val="single" w:sz="4" w:space="0" w:color="auto"/>
              <w:bottom w:val="single" w:sz="4" w:space="0" w:color="auto"/>
              <w:right w:val="single" w:sz="4" w:space="0" w:color="auto"/>
            </w:tcBorders>
          </w:tcPr>
          <w:p w14:paraId="38D448B0" w14:textId="77777777" w:rsidR="00DB254E" w:rsidRPr="007A0CF6" w:rsidRDefault="00DB254E" w:rsidP="00CD467D">
            <w:pPr>
              <w:spacing w:before="40" w:after="40" w:line="240" w:lineRule="auto"/>
              <w:jc w:val="both"/>
              <w:rPr>
                <w:rFonts w:asciiTheme="minorHAnsi" w:eastAsia="SimSun" w:hAnsiTheme="minorHAnsi"/>
                <w:szCs w:val="20"/>
              </w:rPr>
            </w:pPr>
            <w:proofErr w:type="gramStart"/>
            <w:r w:rsidRPr="007A0CF6">
              <w:rPr>
                <w:rFonts w:asciiTheme="minorHAnsi" w:eastAsia="SimSun" w:hAnsiTheme="minorHAnsi"/>
                <w:szCs w:val="20"/>
              </w:rPr>
              <w:t>Are</w:t>
            </w:r>
            <w:proofErr w:type="gramEnd"/>
            <w:r w:rsidRPr="007A0CF6">
              <w:rPr>
                <w:rFonts w:asciiTheme="minorHAnsi" w:eastAsia="SimSun" w:hAnsiTheme="minorHAnsi"/>
                <w:szCs w:val="20"/>
              </w:rPr>
              <w:t xml:space="preserve"> there any safety issues associated with IHC </w:t>
            </w:r>
            <w:r w:rsidR="003140D6">
              <w:rPr>
                <w:rFonts w:asciiTheme="minorHAnsi" w:eastAsia="SimSun" w:hAnsiTheme="minorHAnsi"/>
                <w:szCs w:val="20"/>
              </w:rPr>
              <w:t>d</w:t>
            </w:r>
            <w:r w:rsidRPr="007A0CF6">
              <w:rPr>
                <w:rFonts w:asciiTheme="minorHAnsi" w:eastAsia="SimSun" w:hAnsiTheme="minorHAnsi"/>
                <w:szCs w:val="20"/>
              </w:rPr>
              <w:t>MMR testing?</w:t>
            </w:r>
          </w:p>
          <w:p w14:paraId="42F554D0" w14:textId="525F8876"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What is the diagnostic accuracy of IHC </w:t>
            </w:r>
            <w:r w:rsidR="003140D6">
              <w:rPr>
                <w:rFonts w:asciiTheme="minorHAnsi" w:eastAsia="SimSun" w:hAnsiTheme="minorHAnsi"/>
                <w:szCs w:val="20"/>
              </w:rPr>
              <w:t>d</w:t>
            </w:r>
            <w:r w:rsidRPr="007A0CF6">
              <w:rPr>
                <w:rFonts w:asciiTheme="minorHAnsi" w:eastAsia="SimSun" w:hAnsiTheme="minorHAnsi"/>
                <w:szCs w:val="20"/>
              </w:rPr>
              <w:t xml:space="preserve">MMR testing compared with the reference standard for determining access to pembrolizumab in patients with </w:t>
            </w:r>
            <w:r w:rsidR="001C7A2C" w:rsidRPr="007A0CF6">
              <w:rPr>
                <w:rFonts w:asciiTheme="minorHAnsi" w:eastAsia="SimSun" w:hAnsiTheme="minorHAnsi"/>
                <w:szCs w:val="20"/>
              </w:rPr>
              <w:t xml:space="preserve">unresectable or metastatic solid tumours </w:t>
            </w:r>
            <w:r w:rsidR="004A0347">
              <w:rPr>
                <w:rFonts w:asciiTheme="minorHAnsi" w:eastAsia="SimSun" w:hAnsiTheme="minorHAnsi"/>
                <w:szCs w:val="20"/>
              </w:rPr>
              <w:t xml:space="preserve">other than CRC </w:t>
            </w:r>
            <w:r w:rsidR="001C7A2C" w:rsidRPr="00DA0572">
              <w:rPr>
                <w:rFonts w:asciiTheme="minorHAnsi" w:eastAsia="SimSun" w:hAnsiTheme="minorHAnsi"/>
                <w:szCs w:val="20"/>
              </w:rPr>
              <w:t xml:space="preserve">who have progressed following </w:t>
            </w:r>
            <w:r w:rsidR="00DA0572">
              <w:rPr>
                <w:rFonts w:asciiTheme="minorHAnsi" w:eastAsia="SimSun" w:hAnsiTheme="minorHAnsi"/>
                <w:szCs w:val="20"/>
              </w:rPr>
              <w:t>first-line</w:t>
            </w:r>
            <w:r w:rsidR="001C7A2C" w:rsidRPr="00DA0572">
              <w:rPr>
                <w:rFonts w:asciiTheme="minorHAnsi" w:eastAsia="SimSun" w:hAnsiTheme="minorHAnsi"/>
                <w:szCs w:val="20"/>
              </w:rPr>
              <w:t xml:space="preserve"> treatment</w:t>
            </w:r>
            <w:r w:rsidRPr="007A0CF6">
              <w:rPr>
                <w:rFonts w:asciiTheme="minorHAnsi" w:eastAsia="SimSun" w:hAnsiTheme="minorHAnsi"/>
                <w:szCs w:val="20"/>
              </w:rPr>
              <w:t>?</w:t>
            </w:r>
          </w:p>
          <w:p w14:paraId="58C39756" w14:textId="2AA8181E"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Will the extra information generated as a result of IHC </w:t>
            </w:r>
            <w:r w:rsidR="003140D6">
              <w:rPr>
                <w:rFonts w:asciiTheme="minorHAnsi" w:eastAsia="SimSun" w:hAnsiTheme="minorHAnsi"/>
                <w:szCs w:val="20"/>
              </w:rPr>
              <w:t>d</w:t>
            </w:r>
            <w:r w:rsidRPr="007A0CF6">
              <w:rPr>
                <w:rFonts w:asciiTheme="minorHAnsi" w:eastAsia="SimSun" w:hAnsiTheme="minorHAnsi"/>
                <w:szCs w:val="20"/>
              </w:rPr>
              <w:t xml:space="preserve">MMR testing be of additional prognostic value in patients with </w:t>
            </w:r>
            <w:r w:rsidR="001C7A2C" w:rsidRPr="007A0CF6">
              <w:rPr>
                <w:rFonts w:asciiTheme="minorHAnsi" w:eastAsia="SimSun" w:hAnsiTheme="minorHAnsi"/>
                <w:szCs w:val="20"/>
              </w:rPr>
              <w:t xml:space="preserve">unresectable or metastatic solid tumours </w:t>
            </w:r>
            <w:r w:rsidR="004A0347">
              <w:rPr>
                <w:rFonts w:asciiTheme="minorHAnsi" w:eastAsia="SimSun" w:hAnsiTheme="minorHAnsi"/>
                <w:szCs w:val="20"/>
              </w:rPr>
              <w:t xml:space="preserve">other than CRC </w:t>
            </w:r>
            <w:r w:rsidR="001C7A2C" w:rsidRPr="00DA0572">
              <w:rPr>
                <w:rFonts w:asciiTheme="minorHAnsi" w:eastAsia="SimSun" w:hAnsiTheme="minorHAnsi"/>
                <w:szCs w:val="20"/>
              </w:rPr>
              <w:t xml:space="preserve">who have progressed following </w:t>
            </w:r>
            <w:r w:rsidR="00DA0572" w:rsidRPr="00DA0572">
              <w:rPr>
                <w:rFonts w:asciiTheme="minorHAnsi" w:eastAsia="SimSun" w:hAnsiTheme="minorHAnsi"/>
                <w:szCs w:val="20"/>
              </w:rPr>
              <w:t xml:space="preserve">first-line </w:t>
            </w:r>
            <w:r w:rsidR="001C7A2C" w:rsidRPr="00DA0572">
              <w:rPr>
                <w:rFonts w:asciiTheme="minorHAnsi" w:eastAsia="SimSun" w:hAnsiTheme="minorHAnsi"/>
                <w:szCs w:val="20"/>
              </w:rPr>
              <w:t>treatment</w:t>
            </w:r>
            <w:r w:rsidRPr="007A0CF6">
              <w:rPr>
                <w:rFonts w:asciiTheme="minorHAnsi" w:eastAsia="SimSun" w:hAnsiTheme="minorHAnsi"/>
                <w:szCs w:val="20"/>
              </w:rPr>
              <w:t>?</w:t>
            </w:r>
          </w:p>
          <w:p w14:paraId="6291AE09" w14:textId="77777777"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Is there a change in management in patients in whom </w:t>
            </w:r>
            <w:r w:rsidR="003140D6">
              <w:rPr>
                <w:rFonts w:asciiTheme="minorHAnsi" w:eastAsia="SimSun" w:hAnsiTheme="minorHAnsi"/>
                <w:szCs w:val="20"/>
              </w:rPr>
              <w:t>d</w:t>
            </w:r>
            <w:r w:rsidRPr="007A0CF6">
              <w:rPr>
                <w:rFonts w:asciiTheme="minorHAnsi" w:eastAsia="SimSun" w:hAnsiTheme="minorHAnsi"/>
                <w:szCs w:val="20"/>
              </w:rPr>
              <w:t>MMR is diagnosed?</w:t>
            </w:r>
          </w:p>
          <w:p w14:paraId="09CE6969" w14:textId="7EEEE5BB"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Does treatment with pembrolizumab lead to better health outcomes in patients with </w:t>
            </w:r>
            <w:proofErr w:type="spellStart"/>
            <w:r w:rsidR="00DB77E5">
              <w:rPr>
                <w:rFonts w:asciiTheme="minorHAnsi" w:eastAsia="SimSun" w:hAnsiTheme="minorHAnsi"/>
                <w:szCs w:val="20"/>
              </w:rPr>
              <w:t>d</w:t>
            </w:r>
            <w:r w:rsidRPr="007A0CF6">
              <w:rPr>
                <w:rFonts w:asciiTheme="minorHAnsi" w:eastAsia="SimSun" w:hAnsiTheme="minorHAnsi"/>
                <w:szCs w:val="20"/>
              </w:rPr>
              <w:t>MMR</w:t>
            </w:r>
            <w:proofErr w:type="spellEnd"/>
            <w:r w:rsidRPr="007A0CF6">
              <w:rPr>
                <w:rFonts w:asciiTheme="minorHAnsi" w:eastAsia="SimSun" w:hAnsiTheme="minorHAnsi"/>
                <w:szCs w:val="20"/>
              </w:rPr>
              <w:t xml:space="preserve"> </w:t>
            </w:r>
            <w:r w:rsidR="001C7A2C" w:rsidRPr="007A0CF6">
              <w:rPr>
                <w:rFonts w:asciiTheme="minorHAnsi" w:eastAsia="SimSun" w:hAnsiTheme="minorHAnsi"/>
                <w:szCs w:val="20"/>
              </w:rPr>
              <w:t xml:space="preserve">unresectable or metastatic solid tumours </w:t>
            </w:r>
            <w:r w:rsidR="004A0347">
              <w:rPr>
                <w:rFonts w:asciiTheme="minorHAnsi" w:eastAsia="SimSun" w:hAnsiTheme="minorHAnsi"/>
                <w:szCs w:val="20"/>
              </w:rPr>
              <w:t xml:space="preserve">other than CRC </w:t>
            </w:r>
            <w:r w:rsidRPr="007A0CF6">
              <w:rPr>
                <w:rFonts w:asciiTheme="minorHAnsi" w:eastAsia="SimSun" w:hAnsiTheme="minorHAnsi"/>
                <w:szCs w:val="20"/>
              </w:rPr>
              <w:t xml:space="preserve">compared with </w:t>
            </w:r>
            <w:r w:rsidRPr="00DA0572">
              <w:rPr>
                <w:rFonts w:asciiTheme="minorHAnsi" w:eastAsia="SimSun" w:hAnsiTheme="minorHAnsi"/>
                <w:szCs w:val="20"/>
              </w:rPr>
              <w:t xml:space="preserve">standard of care </w:t>
            </w:r>
            <w:r w:rsidR="00DA0572">
              <w:rPr>
                <w:rFonts w:asciiTheme="minorHAnsi" w:eastAsia="SimSun" w:hAnsiTheme="minorHAnsi"/>
                <w:szCs w:val="20"/>
              </w:rPr>
              <w:t>second-line treatment options</w:t>
            </w:r>
            <w:r w:rsidRPr="007A0CF6">
              <w:rPr>
                <w:rFonts w:asciiTheme="minorHAnsi" w:eastAsia="SimSun" w:hAnsiTheme="minorHAnsi"/>
                <w:szCs w:val="20"/>
              </w:rPr>
              <w:t>?</w:t>
            </w:r>
          </w:p>
          <w:p w14:paraId="4EAEA853" w14:textId="77777777"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Is MMR status a treatment effect modifier? </w:t>
            </w:r>
          </w:p>
          <w:p w14:paraId="1D7C676C" w14:textId="77777777" w:rsidR="00DB254E" w:rsidRPr="007A0CF6" w:rsidRDefault="00DB254E" w:rsidP="00CD467D">
            <w:pPr>
              <w:spacing w:before="40" w:after="40" w:line="240" w:lineRule="auto"/>
              <w:jc w:val="both"/>
              <w:rPr>
                <w:rFonts w:asciiTheme="minorHAnsi" w:eastAsia="SimSun" w:hAnsiTheme="minorHAnsi"/>
                <w:szCs w:val="20"/>
              </w:rPr>
            </w:pPr>
            <w:r w:rsidRPr="007A0CF6">
              <w:rPr>
                <w:rFonts w:asciiTheme="minorHAnsi" w:eastAsia="SimSun" w:hAnsiTheme="minorHAnsi"/>
                <w:szCs w:val="20"/>
              </w:rPr>
              <w:t xml:space="preserve">Is IHC </w:t>
            </w:r>
            <w:r w:rsidR="003140D6">
              <w:rPr>
                <w:rFonts w:asciiTheme="minorHAnsi" w:eastAsia="SimSun" w:hAnsiTheme="minorHAnsi"/>
                <w:szCs w:val="20"/>
              </w:rPr>
              <w:t>d</w:t>
            </w:r>
            <w:r w:rsidRPr="007A0CF6">
              <w:rPr>
                <w:rFonts w:asciiTheme="minorHAnsi" w:eastAsia="SimSun" w:hAnsiTheme="minorHAnsi"/>
                <w:szCs w:val="20"/>
              </w:rPr>
              <w:t xml:space="preserve">MMR testing plus triage to pembrolizumab or </w:t>
            </w:r>
            <w:r w:rsidRPr="00DA0572">
              <w:rPr>
                <w:rFonts w:asciiTheme="minorHAnsi" w:eastAsia="SimSun" w:hAnsiTheme="minorHAnsi"/>
                <w:szCs w:val="20"/>
              </w:rPr>
              <w:t>standard of care</w:t>
            </w:r>
            <w:r w:rsidRPr="007A0CF6">
              <w:rPr>
                <w:rFonts w:asciiTheme="minorHAnsi" w:eastAsia="SimSun" w:hAnsiTheme="minorHAnsi"/>
                <w:szCs w:val="20"/>
              </w:rPr>
              <w:t xml:space="preserve"> cost-effectiveness compared with no IHC </w:t>
            </w:r>
            <w:r w:rsidR="003140D6">
              <w:rPr>
                <w:rFonts w:asciiTheme="minorHAnsi" w:eastAsia="SimSun" w:hAnsiTheme="minorHAnsi"/>
                <w:szCs w:val="20"/>
              </w:rPr>
              <w:t>d</w:t>
            </w:r>
            <w:r w:rsidRPr="007A0CF6">
              <w:rPr>
                <w:rFonts w:asciiTheme="minorHAnsi" w:eastAsia="SimSun" w:hAnsiTheme="minorHAnsi"/>
                <w:szCs w:val="20"/>
              </w:rPr>
              <w:t xml:space="preserve">MMR testing plus </w:t>
            </w:r>
            <w:r w:rsidRPr="00DA0572">
              <w:rPr>
                <w:rFonts w:asciiTheme="minorHAnsi" w:eastAsia="SimSun" w:hAnsiTheme="minorHAnsi"/>
                <w:szCs w:val="20"/>
              </w:rPr>
              <w:t>standard of care</w:t>
            </w:r>
            <w:r w:rsidRPr="007A0CF6">
              <w:rPr>
                <w:rFonts w:asciiTheme="minorHAnsi" w:eastAsia="SimSun" w:hAnsiTheme="minorHAnsi"/>
                <w:szCs w:val="20"/>
              </w:rPr>
              <w:t xml:space="preserve"> for all?</w:t>
            </w:r>
          </w:p>
        </w:tc>
      </w:tr>
    </w:tbl>
    <w:p w14:paraId="1A25C009" w14:textId="77777777" w:rsidR="00F12E59" w:rsidRPr="007A0CF6" w:rsidRDefault="00DB254E">
      <w:pPr>
        <w:rPr>
          <w:rFonts w:eastAsia="MS Gothic"/>
          <w:b/>
          <w:bCs/>
          <w:i/>
          <w:color w:val="548DD4"/>
          <w:szCs w:val="26"/>
          <w:u w:val="single"/>
        </w:rPr>
      </w:pPr>
      <w:proofErr w:type="spellStart"/>
      <w:proofErr w:type="gramStart"/>
      <w:r w:rsidRPr="007A0CF6">
        <w:rPr>
          <w:rFonts w:eastAsia="MS Gothic"/>
          <w:bCs/>
          <w:color w:val="000000" w:themeColor="text1"/>
          <w:szCs w:val="26"/>
          <w:vertAlign w:val="superscript"/>
        </w:rPr>
        <w:t>a</w:t>
      </w:r>
      <w:proofErr w:type="spellEnd"/>
      <w:proofErr w:type="gramEnd"/>
      <w:r w:rsidR="007A0CF6" w:rsidRPr="007A0CF6">
        <w:rPr>
          <w:rFonts w:eastAsia="MS Gothic"/>
          <w:bCs/>
          <w:color w:val="000000" w:themeColor="text1"/>
          <w:szCs w:val="26"/>
        </w:rPr>
        <w:t xml:space="preserve"> </w:t>
      </w:r>
      <w:r w:rsidRPr="007A0CF6">
        <w:rPr>
          <w:rFonts w:asciiTheme="minorHAnsi" w:eastAsia="SimSun" w:hAnsiTheme="minorHAnsi"/>
          <w:color w:val="000000" w:themeColor="text1"/>
          <w:szCs w:val="20"/>
        </w:rPr>
        <w:t xml:space="preserve">Outcomes </w:t>
      </w:r>
      <w:r w:rsidRPr="007A0CF6">
        <w:rPr>
          <w:rFonts w:asciiTheme="minorHAnsi" w:eastAsia="SimSun" w:hAnsiTheme="minorHAnsi"/>
          <w:szCs w:val="20"/>
        </w:rPr>
        <w:t>ranked as recommended by GRADE</w:t>
      </w:r>
      <w:r w:rsidR="00F12E59" w:rsidRPr="007A0CF6">
        <w:rPr>
          <w:rFonts w:eastAsia="MS Gothic"/>
          <w:b/>
          <w:bCs/>
          <w:i/>
          <w:color w:val="548DD4"/>
          <w:szCs w:val="26"/>
          <w:u w:val="single"/>
        </w:rPr>
        <w:br w:type="page"/>
      </w:r>
    </w:p>
    <w:p w14:paraId="3544DF8E" w14:textId="77777777" w:rsidR="007F4E20" w:rsidRPr="007A0CF6" w:rsidRDefault="00E364F7" w:rsidP="00D03612">
      <w:pPr>
        <w:pStyle w:val="Heading2"/>
      </w:pPr>
      <w:r w:rsidRPr="007A0CF6">
        <w:lastRenderedPageBreak/>
        <w:t>PICO</w:t>
      </w:r>
      <w:r w:rsidR="00953ED7" w:rsidRPr="007A0CF6">
        <w:t xml:space="preserve"> or PPICO</w:t>
      </w:r>
      <w:r w:rsidRPr="007A0CF6">
        <w:t xml:space="preserve"> rationale</w:t>
      </w:r>
      <w:r w:rsidR="006D1643" w:rsidRPr="007A0CF6">
        <w:t xml:space="preserve"> for therapeutic </w:t>
      </w:r>
      <w:r w:rsidR="00B45971" w:rsidRPr="007A0CF6">
        <w:t xml:space="preserve">and investigative </w:t>
      </w:r>
      <w:r w:rsidR="00BA63AA" w:rsidRPr="007A0CF6">
        <w:t>medical services only</w:t>
      </w:r>
    </w:p>
    <w:p w14:paraId="2E410C99" w14:textId="77777777" w:rsidR="00896845" w:rsidRPr="007A0CF6" w:rsidRDefault="0003582F" w:rsidP="0003582F">
      <w:pPr>
        <w:pStyle w:val="Heading3"/>
      </w:pPr>
      <w:r w:rsidRPr="007A0CF6">
        <w:t>2.1</w:t>
      </w:r>
      <w:r w:rsidRPr="007A0CF6">
        <w:tab/>
      </w:r>
      <w:r w:rsidR="00896845" w:rsidRPr="007A0CF6">
        <w:t>Population</w:t>
      </w:r>
    </w:p>
    <w:p w14:paraId="108D2466" w14:textId="5B4847B6" w:rsidR="0003582F" w:rsidRPr="007A0CF6" w:rsidRDefault="0003582F" w:rsidP="0003582F">
      <w:pPr>
        <w:jc w:val="both"/>
      </w:pPr>
      <w:r w:rsidRPr="007A0CF6">
        <w:t xml:space="preserve">The proposed </w:t>
      </w:r>
      <w:r w:rsidR="00B535F9">
        <w:t xml:space="preserve">testing </w:t>
      </w:r>
      <w:r w:rsidRPr="007A0CF6">
        <w:t xml:space="preserve">population are those patients </w:t>
      </w:r>
      <w:r w:rsidR="00235E7D" w:rsidRPr="00235E7D">
        <w:t xml:space="preserve">diagnosed with unresectable or metastatic solid tumours other than colorectal cancer (CRC) </w:t>
      </w:r>
      <w:proofErr w:type="gramStart"/>
      <w:r w:rsidR="00235E7D" w:rsidRPr="00235E7D">
        <w:t>who</w:t>
      </w:r>
      <w:proofErr w:type="gramEnd"/>
      <w:r w:rsidR="00235E7D" w:rsidRPr="00235E7D">
        <w:t xml:space="preserve"> have progressed following first-line treatment</w:t>
      </w:r>
      <w:r w:rsidR="00235E7D">
        <w:t>,</w:t>
      </w:r>
      <w:r w:rsidR="00235E7D" w:rsidRPr="00235E7D">
        <w:t xml:space="preserve"> and have not already been tested for mismatch repair (MMR) deficiency (dMMR)</w:t>
      </w:r>
      <w:r w:rsidRPr="007A0CF6">
        <w:t xml:space="preserve">. Patients would receive </w:t>
      </w:r>
      <w:proofErr w:type="spellStart"/>
      <w:r w:rsidRPr="007A0CF6">
        <w:t>immunohistochemical</w:t>
      </w:r>
      <w:proofErr w:type="spellEnd"/>
      <w:r w:rsidRPr="007A0CF6">
        <w:t xml:space="preserve"> (IHC) </w:t>
      </w:r>
      <w:proofErr w:type="spellStart"/>
      <w:r w:rsidR="00235E7D">
        <w:t>d</w:t>
      </w:r>
      <w:r w:rsidRPr="007A0CF6">
        <w:t>MMR</w:t>
      </w:r>
      <w:proofErr w:type="spellEnd"/>
      <w:r w:rsidR="003140D6">
        <w:t xml:space="preserve"> </w:t>
      </w:r>
      <w:r w:rsidRPr="007A0CF6">
        <w:t xml:space="preserve">testing using antibodies directed against the four mismatch repair proteins to </w:t>
      </w:r>
      <w:r w:rsidR="00CD64A5" w:rsidRPr="007A0CF6">
        <w:t>determine</w:t>
      </w:r>
      <w:r w:rsidRPr="007A0CF6">
        <w:t xml:space="preserve"> eligibility </w:t>
      </w:r>
      <w:r w:rsidR="00CD64A5" w:rsidRPr="007A0CF6">
        <w:t>for</w:t>
      </w:r>
      <w:r w:rsidRPr="007A0CF6">
        <w:t xml:space="preserve"> treatment with pembrolizumab</w:t>
      </w:r>
      <w:r w:rsidR="00CD64A5" w:rsidRPr="007A0CF6">
        <w:t>,</w:t>
      </w:r>
      <w:r w:rsidRPr="007A0CF6">
        <w:t xml:space="preserve"> on progression to </w:t>
      </w:r>
      <w:r w:rsidR="00075556" w:rsidRPr="007A0CF6">
        <w:t>unresectable or metastatic disease</w:t>
      </w:r>
      <w:r w:rsidRPr="007A0CF6">
        <w:t>.</w:t>
      </w:r>
      <w:r w:rsidR="00B535F9">
        <w:t xml:space="preserve"> </w:t>
      </w:r>
    </w:p>
    <w:p w14:paraId="11BA163A" w14:textId="27927604" w:rsidR="00746486" w:rsidRDefault="00746486" w:rsidP="00746486">
      <w:pPr>
        <w:jc w:val="both"/>
      </w:pPr>
      <w:r w:rsidRPr="007A0CF6">
        <w:t xml:space="preserve">The MMR system is mainly composed of four proteins (MLH1, MSH2, MSH6 and PMS2) interacting together to recognize DNA mismatches that may occur during DNA replication and excising them </w:t>
      </w:r>
      <w:r w:rsidR="00D03612">
        <w:fldChar w:fldCharType="begin"/>
      </w:r>
      <w:r w:rsidR="00D03612">
        <w:instrText xml:space="preserve"> ADDIN EN.CITE &lt;EndNote&gt;&lt;Cite&gt;&lt;Author&gt;Buecher&lt;/Author&gt;&lt;Year&gt;2013&lt;/Year&gt;&lt;RecNum&gt;11&lt;/RecNum&gt;&lt;DisplayText&gt;(Buecher et al. 2013)&lt;/DisplayText&gt;&lt;record&gt;&lt;rec-number&gt;11&lt;/rec-number&gt;&lt;foreign-keys&gt;&lt;key app="EN" db-id="as9sdrfwoaw9fce5xr9pew9gz9epate29xvw" timestamp="1504660925"&gt;11&lt;/key&gt;&lt;/foreign-keys&gt;&lt;ref-type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D03612">
        <w:fldChar w:fldCharType="separate"/>
      </w:r>
      <w:r w:rsidR="00D03612">
        <w:rPr>
          <w:noProof/>
        </w:rPr>
        <w:t>(Buecher et al. 2013)</w:t>
      </w:r>
      <w:r w:rsidR="00D03612">
        <w:fldChar w:fldCharType="end"/>
      </w:r>
      <w:r w:rsidRPr="007A0CF6">
        <w:t>. Microsatellites are short tandem DNA repeat sequences of 1–6 bases distributed throughout the coding and non-coding regions of the genome and are especially prone to replication errors that are normall</w:t>
      </w:r>
      <w:r w:rsidR="003140D6">
        <w:t>y repaired by the MMR system. A</w:t>
      </w:r>
      <w:r w:rsidRPr="007A0CF6">
        <w:t xml:space="preserve"> </w:t>
      </w:r>
      <w:r w:rsidR="003140D6">
        <w:t>d</w:t>
      </w:r>
      <w:r w:rsidRPr="007A0CF6">
        <w:t xml:space="preserve">MMR results in a cancer with a 10- to 100-fold increase in the mutation rate and leads to the accumulation of frameshift mutations in microsatellites, which results in a genetic instability </w:t>
      </w:r>
      <w:r w:rsidR="00D03612">
        <w:fldChar w:fldCharType="begin">
          <w:fldData xml:space="preserve">PEVuZE5vdGU+PENpdGU+PEF1dGhvcj5CdWVjaGVyPC9BdXRob3I+PFllYXI+MjAxMzwvWWVhcj48
UmVjTnVtPjExPC9SZWNOdW0+PERpc3BsYXlUZXh0PihCdWVjaGVyIGV0IGFsLiAyMDEzOyBEdWRs
ZXkgZXQgYWwuIDIwMTYpPC9EaXNwbGF5VGV4dD48cmVjb3JkPjxyZWMtbnVtYmVyPjExPC9yZWMt
bnVtYmVyPjxmb3JlaWduLWtleXM+PGtleSBhcHA9IkVOIiBkYi1pZD0iYXM5c2RyZndvYXc5ZmNl
NXhyOXBldzlnejllcGF0ZTI5eHZ3IiB0aW1lc3RhbXA9IjE1MDQ2NjA5MjUiPjExPC9rZXk+PC9m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MTY8L1llYXI+PFJlY051bT4xMjwvUmVjTnVtPjxyZWNvcmQ+PHJlYy1udW1iZXI+MTI8L3JlYy1u
dW1iZXI+PGZvcmVpZ24ta2V5cz48a2V5IGFwcD0iRU4iIGRiLWlkPSJhczlzZHJmd29hdzlmY2U1
eHI5cGV3OWd6OWVwYXRlMjl4dnciIHRpbWVzdGFtcD0iMTUwNDY2MDk1OSI+MTI8L2tleT48L2Zv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rsidR="00D03612">
        <w:instrText xml:space="preserve"> ADDIN EN.CITE </w:instrText>
      </w:r>
      <w:r w:rsidR="00D03612">
        <w:fldChar w:fldCharType="begin">
          <w:fldData xml:space="preserve">PEVuZE5vdGU+PENpdGU+PEF1dGhvcj5CdWVjaGVyPC9BdXRob3I+PFllYXI+MjAxMzwvWWVhcj48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</w:fldData>
        </w:fldChar>
      </w:r>
      <w:r w:rsidR="00D03612">
        <w:instrText xml:space="preserve"> ADDIN EN.CITE.DATA </w:instrText>
      </w:r>
      <w:r w:rsidR="00D03612">
        <w:fldChar w:fldCharType="end"/>
      </w:r>
      <w:r w:rsidR="00D03612">
        <w:fldChar w:fldCharType="separate"/>
      </w:r>
      <w:r w:rsidR="00D03612">
        <w:rPr>
          <w:noProof/>
        </w:rPr>
        <w:t>(Buecher et al. 2013; Dudley et al. 2016)</w:t>
      </w:r>
      <w:r w:rsidR="00D03612">
        <w:fldChar w:fldCharType="end"/>
      </w:r>
      <w:r w:rsidRPr="007A0CF6">
        <w:t xml:space="preserve">. Microsatellite </w:t>
      </w:r>
      <w:r w:rsidR="00901F2B">
        <w:t>i</w:t>
      </w:r>
      <w:r w:rsidRPr="007A0CF6">
        <w:t xml:space="preserve">nstability (MSI) arises from either a germline (hereditary) mutation in one copy of any of the four genes that encode the MMR proteins (Lynch syndrome), or from sporadic somatic hyper-methylation of the </w:t>
      </w:r>
      <w:r w:rsidRPr="007A0CF6">
        <w:rPr>
          <w:i/>
        </w:rPr>
        <w:t>MLH1</w:t>
      </w:r>
      <w:r w:rsidRPr="007A0CF6">
        <w:t xml:space="preserve"> promoter </w:t>
      </w:r>
      <w:r w:rsidR="00D03612">
        <w:fldChar w:fldCharType="begin"/>
      </w:r>
      <w:r w:rsidR="00D03612">
        <w:instrText xml:space="preserve"> ADDIN EN.CITE &lt;EndNote&gt;&lt;Cite&gt;&lt;Author&gt;Dudley&lt;/Author&gt;&lt;Year&gt;2016&lt;/Year&gt;&lt;RecNum&gt;12&lt;/RecNum&gt;&lt;DisplayText&gt;(Dudley et al. 2016)&lt;/DisplayText&gt;&lt;record&gt;&lt;rec-number&gt;12&lt;/rec-number&gt;&lt;foreign-keys&gt;&lt;key app="EN" db-id="as9sdrfwoaw9fce5xr9pew9gz9epate29xvw" timestamp="1504660959"&gt;12&lt;/key&gt;&lt;/foreign-keys&gt;&lt;ref-type name="Journal Article"&gt;17&lt;/ref-type&gt;&lt;contributors&gt;&lt;authors&gt;&lt;author&gt;Dudley, J. C.&lt;/author&gt;&lt;author&gt;Lin, M. T.&lt;/author&gt;&lt;author&gt;Le, D. T.&lt;/author&gt;&lt;author&gt;Eshleman, J. R.&lt;/author&gt;&lt;/authors&gt;&lt;/contributors&gt;&lt;auth-address&gt;Department of Pathology, Massachusetts General Hospital, Boston, Massachusetts.&amp;#xD;Department of Pathology, Johns Hopkins University School of Medicine, Baltimore, Maryland.&amp;#xD;Department of Oncology, Johns Hopkins University School of Medicine, Baltimore, Maryland.&amp;#xD;Department of Pathology, Johns Hopkins University School of Medicine, Baltimore, Maryland. Department of Oncology, Johns Hopkins University School of Medicine, Baltimore, Maryland. jeshlem@jhmi.edu.&lt;/auth-address&gt;&lt;titles&gt;&lt;title&gt;Microsatellite Instability as a Biomarker for PD-1 Blockade&lt;/title&gt;&lt;secondary-title&gt;Clin Cancer Res&lt;/secondary-title&gt;&lt;/titles&gt;&lt;periodical&gt;&lt;full-title&gt;Clin Cancer Res&lt;/full-title&gt;&lt;/periodical&gt;&lt;pages&gt;813-20&lt;/pages&gt;&lt;volume&gt;22&lt;/volume&gt;&lt;number&gt;4&lt;/number&gt;&lt;edition&gt;2016/02/18&lt;/edition&gt;&lt;dates&gt;&lt;year&gt;2016&lt;/year&gt;&lt;pub-dates&gt;&lt;date&gt;Feb 15&lt;/date&gt;&lt;/pub-dates&gt;&lt;/dates&gt;&lt;isbn&gt;1078-0432 (Print)&amp;#xD;1078-0432 (Linking)&lt;/isbn&gt;&lt;accession-num&gt;26880610&lt;/accession-num&gt;&lt;urls&gt;&lt;related-urls&gt;&lt;url&gt;http://clincancerres.aacrjournals.org/content/clincanres/22/4/813.full.pdf&lt;/url&gt;&lt;/related-urls&gt;&lt;/urls&gt;&lt;electronic-resource-num&gt;10.1158/1078-0432.ccr-15-1678&lt;/electronic-resource-num&gt;&lt;remote-database-provider&gt;NLM&lt;/remote-database-provider&gt;&lt;language&gt;eng&lt;/language&gt;&lt;/record&gt;&lt;/Cite&gt;&lt;/EndNote&gt;</w:instrText>
      </w:r>
      <w:r w:rsidR="00D03612">
        <w:fldChar w:fldCharType="separate"/>
      </w:r>
      <w:r w:rsidR="00D03612">
        <w:rPr>
          <w:noProof/>
        </w:rPr>
        <w:t>(Dudley et al. 2016)</w:t>
      </w:r>
      <w:r w:rsidR="00D03612">
        <w:fldChar w:fldCharType="end"/>
      </w:r>
      <w:r w:rsidRPr="007A0CF6">
        <w:t>. Homozygous or compound heterozygous mutation in these genes leads to childhood cancer syndromes</w:t>
      </w:r>
      <w:r w:rsidR="0065377F" w:rsidRPr="007A0CF6">
        <w:t>,</w:t>
      </w:r>
      <w:r w:rsidRPr="007A0CF6">
        <w:t xml:space="preserve"> such as </w:t>
      </w:r>
      <w:proofErr w:type="spellStart"/>
      <w:r w:rsidRPr="007A0CF6">
        <w:t>Turcot</w:t>
      </w:r>
      <w:proofErr w:type="spellEnd"/>
      <w:r w:rsidRPr="007A0CF6">
        <w:t xml:space="preserve"> syndrome.</w:t>
      </w:r>
      <w:r w:rsidR="000B3AAC" w:rsidRPr="007A0CF6">
        <w:t xml:space="preserve"> </w:t>
      </w:r>
      <w:proofErr w:type="spellStart"/>
      <w:r w:rsidR="000B3AAC" w:rsidRPr="007A0CF6">
        <w:t>Turcot</w:t>
      </w:r>
      <w:proofErr w:type="spellEnd"/>
      <w:r w:rsidR="000B3AAC" w:rsidRPr="007A0CF6">
        <w:t xml:space="preserve"> syndrome is clinically characterized by the early occurrence of primary brain and colorectal tumours </w:t>
      </w:r>
      <w:r w:rsidR="00D03612">
        <w:fldChar w:fldCharType="begin"/>
      </w:r>
      <w:r w:rsidR="00D03612">
        <w:instrText xml:space="preserve"> ADDIN EN.CITE &lt;EndNote&gt;&lt;Cite&gt;&lt;Author&gt;Scarpa&lt;/Author&gt;&lt;Year&gt;2016&lt;/Year&gt;&lt;RecNum&gt;7&lt;/RecNum&gt;&lt;DisplayText&gt;(Scarpa, Cataldo &amp;amp; Salvatore 2016)&lt;/DisplayText&gt;&lt;record&gt;&lt;rec-number&gt;7&lt;/rec-number&gt;&lt;foreign-keys&gt;&lt;key app="EN" db-id="as9sdrfwoaw9fce5xr9pew9gz9epate29xvw" timestamp="1504597013"&gt;7&lt;/key&gt;&lt;/foreign-keys&gt;&lt;ref-type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rsidR="00D03612">
        <w:fldChar w:fldCharType="separate"/>
      </w:r>
      <w:r w:rsidR="00D03612">
        <w:rPr>
          <w:noProof/>
        </w:rPr>
        <w:t>(Scarpa, Cataldo &amp; Salvatore 2016)</w:t>
      </w:r>
      <w:r w:rsidR="00D03612">
        <w:fldChar w:fldCharType="end"/>
      </w:r>
      <w:r w:rsidR="000B3AAC" w:rsidRPr="007A0CF6">
        <w:t>.</w:t>
      </w:r>
    </w:p>
    <w:p w14:paraId="2AF37940" w14:textId="17D306B9" w:rsidR="00701E04" w:rsidRPr="007A0CF6" w:rsidRDefault="00CD64A5" w:rsidP="00E23070">
      <w:pPr>
        <w:jc w:val="both"/>
      </w:pPr>
      <w:r w:rsidRPr="007A0CF6">
        <w:t xml:space="preserve">Solid </w:t>
      </w:r>
      <w:r w:rsidR="000E2BE8">
        <w:t>d</w:t>
      </w:r>
      <w:r w:rsidR="000E2BE8" w:rsidRPr="007A0CF6">
        <w:t xml:space="preserve">MMR </w:t>
      </w:r>
      <w:r w:rsidRPr="007A0CF6">
        <w:t>tumours occur in many different parts of the body</w:t>
      </w:r>
      <w:r w:rsidR="0079618E" w:rsidRPr="007A0CF6">
        <w:t xml:space="preserve">. Tumours likely to be </w:t>
      </w:r>
      <w:r w:rsidR="00E23070" w:rsidRPr="007A0CF6">
        <w:t>included</w:t>
      </w:r>
      <w:r w:rsidR="0079618E" w:rsidRPr="007A0CF6">
        <w:t xml:space="preserve"> would include those </w:t>
      </w:r>
      <w:r w:rsidR="00746486" w:rsidRPr="007A0CF6">
        <w:t xml:space="preserve">associated with Lynch syndrome. </w:t>
      </w:r>
      <w:r w:rsidR="0065377F" w:rsidRPr="007A0CF6">
        <w:fldChar w:fldCharType="begin"/>
      </w:r>
      <w:r w:rsidR="0065377F" w:rsidRPr="007A0CF6">
        <w:instrText xml:space="preserve"> REF _Ref492458785 \h </w:instrText>
      </w:r>
      <w:r w:rsidR="0065377F" w:rsidRPr="007A0CF6">
        <w:fldChar w:fldCharType="separate"/>
      </w:r>
      <w:r w:rsidR="0065377F" w:rsidRPr="007A0CF6">
        <w:t xml:space="preserve">Table </w:t>
      </w:r>
      <w:r w:rsidR="0065377F" w:rsidRPr="007A0CF6">
        <w:rPr>
          <w:noProof/>
        </w:rPr>
        <w:t>1</w:t>
      </w:r>
      <w:r w:rsidR="0065377F" w:rsidRPr="007A0CF6">
        <w:fldChar w:fldCharType="end"/>
      </w:r>
      <w:r w:rsidR="0065377F" w:rsidRPr="007A0CF6">
        <w:t xml:space="preserve"> </w:t>
      </w:r>
      <w:r w:rsidR="00666C48" w:rsidRPr="007A0CF6">
        <w:t>summarises</w:t>
      </w:r>
      <w:r w:rsidR="0065377F" w:rsidRPr="007A0CF6">
        <w:t xml:space="preserve"> the </w:t>
      </w:r>
      <w:r w:rsidR="00666C48" w:rsidRPr="007A0CF6">
        <w:t xml:space="preserve">cancer spectrum </w:t>
      </w:r>
      <w:r w:rsidR="0065377F" w:rsidRPr="007A0CF6">
        <w:t xml:space="preserve">of non-CRC tumours that occur in Lynch syndrome </w:t>
      </w:r>
      <w:r w:rsidR="00666C48" w:rsidRPr="007A0CF6">
        <w:t xml:space="preserve">families </w:t>
      </w:r>
      <w:r w:rsidR="0065377F" w:rsidRPr="007A0CF6">
        <w:t>from three different sources</w:t>
      </w:r>
      <w:r w:rsidR="00666C48" w:rsidRPr="007A0CF6">
        <w:t>.</w:t>
      </w:r>
      <w:r w:rsidR="0065377F" w:rsidRPr="007A0CF6">
        <w:t xml:space="preserve"> </w:t>
      </w:r>
    </w:p>
    <w:p w14:paraId="597F5F58" w14:textId="77777777" w:rsidR="00701E04" w:rsidRPr="007A0CF6" w:rsidRDefault="00701E04" w:rsidP="00701E04">
      <w:pPr>
        <w:pStyle w:val="Caption"/>
        <w:jc w:val="both"/>
        <w:rPr>
          <w:lang w:val="en-AU"/>
        </w:rPr>
      </w:pPr>
      <w:bookmarkStart w:id="3" w:name="_Ref492458785"/>
      <w:r w:rsidRPr="007A0CF6">
        <w:rPr>
          <w:lang w:val="en-AU"/>
        </w:rPr>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sidR="00746486" w:rsidRPr="007A0CF6">
        <w:rPr>
          <w:noProof/>
          <w:lang w:val="en-AU"/>
        </w:rPr>
        <w:t>1</w:t>
      </w:r>
      <w:r w:rsidRPr="007A0CF6">
        <w:rPr>
          <w:lang w:val="en-AU"/>
        </w:rPr>
        <w:fldChar w:fldCharType="end"/>
      </w:r>
      <w:bookmarkEnd w:id="3"/>
      <w:r w:rsidRPr="007A0CF6">
        <w:rPr>
          <w:lang w:val="en-AU"/>
        </w:rPr>
        <w:tab/>
        <w:t xml:space="preserve">Location </w:t>
      </w:r>
      <w:r w:rsidR="0065377F" w:rsidRPr="007A0CF6">
        <w:rPr>
          <w:lang w:val="en-AU"/>
        </w:rPr>
        <w:t xml:space="preserve">and proportion </w:t>
      </w:r>
      <w:r w:rsidRPr="007A0CF6">
        <w:rPr>
          <w:lang w:val="en-AU"/>
        </w:rPr>
        <w:t xml:space="preserve">of </w:t>
      </w:r>
      <w:r w:rsidR="0065377F" w:rsidRPr="007A0CF6">
        <w:rPr>
          <w:lang w:val="en-AU"/>
        </w:rPr>
        <w:t>non-CRC</w:t>
      </w:r>
      <w:r w:rsidRPr="007A0CF6">
        <w:rPr>
          <w:lang w:val="en-AU"/>
        </w:rPr>
        <w:t xml:space="preserve"> tumours in Lynch syndrome</w:t>
      </w:r>
    </w:p>
    <w:tbl>
      <w:tblPr>
        <w:tblStyle w:val="TableGrid"/>
        <w:tblW w:w="9067" w:type="dxa"/>
        <w:tblLook w:val="04A0" w:firstRow="1" w:lastRow="0" w:firstColumn="1" w:lastColumn="0" w:noHBand="0" w:noVBand="1"/>
        <w:tblCaption w:val="Location and proportion of non-CRC tumours in Lynch syndrome"/>
        <w:tblDescription w:val="the proportion of non-CRC tumours found in patients with Lynch syndrome fro 2 different cohort studies."/>
      </w:tblPr>
      <w:tblGrid>
        <w:gridCol w:w="1555"/>
        <w:gridCol w:w="2504"/>
        <w:gridCol w:w="2504"/>
        <w:gridCol w:w="2504"/>
      </w:tblGrid>
      <w:tr w:rsidR="00701E04" w:rsidRPr="007A0CF6" w14:paraId="6027C555" w14:textId="77777777" w:rsidTr="00753E89">
        <w:trPr>
          <w:tblHeader/>
        </w:trPr>
        <w:tc>
          <w:tcPr>
            <w:tcW w:w="1555" w:type="dxa"/>
            <w:tcBorders>
              <w:bottom w:val="single" w:sz="4" w:space="0" w:color="auto"/>
            </w:tcBorders>
          </w:tcPr>
          <w:p w14:paraId="06799DAC" w14:textId="4E135E7D" w:rsidR="00701E04" w:rsidRPr="007A0CF6" w:rsidRDefault="00B14821" w:rsidP="00753E89">
            <w:pPr>
              <w:spacing w:before="40" w:after="40"/>
              <w:rPr>
                <w:b/>
              </w:rPr>
            </w:pPr>
            <w:r>
              <w:rPr>
                <w:rFonts w:ascii="Arial Narrow" w:hAnsi="Arial Narrow"/>
                <w:b/>
                <w:sz w:val="20"/>
              </w:rPr>
              <w:t>Reference and population</w:t>
            </w:r>
          </w:p>
        </w:tc>
        <w:tc>
          <w:tcPr>
            <w:tcW w:w="2504" w:type="dxa"/>
            <w:tcBorders>
              <w:bottom w:val="single" w:sz="4" w:space="0" w:color="auto"/>
            </w:tcBorders>
          </w:tcPr>
          <w:p w14:paraId="02A275C7" w14:textId="77777777" w:rsidR="00701E04" w:rsidRDefault="00701E04" w:rsidP="00753E89">
            <w:pPr>
              <w:spacing w:before="40" w:after="40"/>
              <w:rPr>
                <w:rFonts w:ascii="Arial Narrow" w:hAnsi="Arial Narrow"/>
                <w:b/>
                <w:sz w:val="20"/>
              </w:rPr>
            </w:pPr>
            <w:proofErr w:type="spellStart"/>
            <w:r w:rsidRPr="007A0CF6">
              <w:rPr>
                <w:rFonts w:ascii="Arial Narrow" w:hAnsi="Arial Narrow"/>
                <w:b/>
                <w:sz w:val="20"/>
              </w:rPr>
              <w:t>Vasen</w:t>
            </w:r>
            <w:proofErr w:type="spellEnd"/>
            <w:r w:rsidRPr="007A0CF6">
              <w:rPr>
                <w:rFonts w:ascii="Arial Narrow" w:hAnsi="Arial Narrow"/>
                <w:b/>
                <w:sz w:val="20"/>
              </w:rPr>
              <w:t xml:space="preserve"> et al. </w:t>
            </w:r>
            <w:r w:rsidR="00D03612">
              <w:rPr>
                <w:rFonts w:ascii="Arial Narrow" w:hAnsi="Arial Narrow"/>
                <w:b/>
                <w:sz w:val="20"/>
              </w:rPr>
              <w:fldChar w:fldCharType="begin"/>
            </w:r>
            <w:r w:rsidR="00D03612">
              <w:rPr>
                <w:rFonts w:ascii="Arial Narrow" w:hAnsi="Arial Narrow"/>
                <w:b/>
                <w:sz w:val="20"/>
              </w:rPr>
              <w:instrText xml:space="preserve"> ADDIN EN.CITE &lt;EndNote&gt;&lt;Cite ExcludeAuth="1"&gt;&lt;Author&gt;Vasen&lt;/Author&gt;&lt;Year&gt;1990&lt;/Year&gt;&lt;RecNum&gt;9&lt;/RecNum&gt;&lt;DisplayText&gt;(1990)&lt;/DisplayText&gt;&lt;record&gt;&lt;rec-number&gt;9&lt;/rec-number&gt;&lt;foreign-keys&gt;&lt;key app="EN" db-id="as9sdrfwoaw9fce5xr9pew9gz9epate29xvw" timestamp="1504657279"&gt;9&lt;/key&gt;&lt;/foreign-keys&gt;&lt;ref-type name="Journal Article"&gt;17&lt;/ref-type&gt;&lt;contributors&gt;&lt;authors&gt;&lt;author&gt;Vasen, Hans F. A.&lt;/author&gt;&lt;author&gt;Johan, G.&lt;/author&gt;&lt;author&gt;Offerhaus, A.&lt;/author&gt;&lt;author&gt;Den Hartog Jager, Frieda C. A.&lt;/author&gt;&lt;author&gt;Menko, Fred H.&lt;/author&gt;&lt;author&gt;Nagengast, Fokko M.&lt;/author&gt;&lt;author&gt;Griffioen, Gerrit&lt;/author&gt;&lt;author&gt;Van Hogezand, Ruud B.&lt;/author&gt;&lt;author&gt;Heintz, A. Peter M.&lt;/author&gt;&lt;/authors&gt;&lt;/contributors&gt;&lt;titles&gt;&lt;title&gt;The tumour spectrum in hereditary non-polyposis colorectal cancer: A study of 24 kindreds in the netherlands&lt;/title&gt;&lt;secondary-title&gt;International Journal of Cancer&lt;/secondary-title&gt;&lt;/titles&gt;&lt;periodical&gt;&lt;full-title&gt;International Journal of Cancer&lt;/full-title&gt;&lt;/periodical&gt;&lt;pages&gt;31-34&lt;/pages&gt;&lt;volume&gt;46&lt;/volume&gt;&lt;number&gt;1&lt;/number&gt;&lt;dates&gt;&lt;year&gt;1990&lt;/year&gt;&lt;/dates&gt;&lt;publisher&gt;Wiley Subscription Services, Inc., A Wiley Company&lt;/publisher&gt;&lt;isbn&gt;1097-0215&lt;/isbn&gt;&lt;urls&gt;&lt;related-urls&gt;&lt;url&gt;http://dx.doi.org/10.1002/ijc.2910460108&lt;/url&gt;&lt;url&gt;http://onlinelibrary.wiley.com/store/10.1002/ijc.2910460108/asset/2910460108_ftp.pdf?v=1&amp;amp;t=j78a3mly&amp;amp;s=de91805af3a3b8bd8c3eb9fab184904631b9c362&lt;/url&gt;&lt;/related-urls&gt;&lt;/urls&gt;&lt;electronic-resource-num&gt;10.1002/ijc.2910460108&lt;/electronic-resource-num&gt;&lt;/record&gt;&lt;/Cite&gt;&lt;/EndNote&gt;</w:instrText>
            </w:r>
            <w:r w:rsidR="00D03612">
              <w:rPr>
                <w:rFonts w:ascii="Arial Narrow" w:hAnsi="Arial Narrow"/>
                <w:b/>
                <w:sz w:val="20"/>
              </w:rPr>
              <w:fldChar w:fldCharType="separate"/>
            </w:r>
            <w:r w:rsidR="00D03612">
              <w:rPr>
                <w:rFonts w:ascii="Arial Narrow" w:hAnsi="Arial Narrow"/>
                <w:b/>
                <w:noProof/>
                <w:sz w:val="20"/>
              </w:rPr>
              <w:t>(1990)</w:t>
            </w:r>
            <w:r w:rsidR="00D03612">
              <w:rPr>
                <w:rFonts w:ascii="Arial Narrow" w:hAnsi="Arial Narrow"/>
                <w:b/>
                <w:sz w:val="20"/>
              </w:rPr>
              <w:fldChar w:fldCharType="end"/>
            </w:r>
          </w:p>
          <w:p w14:paraId="2D8CFFCD" w14:textId="77777777" w:rsidR="00B14821" w:rsidRPr="007A0CF6" w:rsidRDefault="00B14821" w:rsidP="00753E89">
            <w:pPr>
              <w:spacing w:before="40" w:after="40"/>
              <w:rPr>
                <w:b/>
              </w:rPr>
            </w:pPr>
            <w:r w:rsidRPr="00753E89">
              <w:rPr>
                <w:rFonts w:ascii="Arial Narrow" w:hAnsi="Arial Narrow"/>
                <w:b/>
                <w:sz w:val="20"/>
              </w:rPr>
              <w:t>24 Dutch Lynch syndrome families</w:t>
            </w:r>
          </w:p>
        </w:tc>
        <w:tc>
          <w:tcPr>
            <w:tcW w:w="2504" w:type="dxa"/>
            <w:tcBorders>
              <w:bottom w:val="single" w:sz="4" w:space="0" w:color="auto"/>
            </w:tcBorders>
          </w:tcPr>
          <w:p w14:paraId="153E3145" w14:textId="77777777" w:rsidR="00701E04" w:rsidRDefault="00701E04" w:rsidP="00753E89">
            <w:pPr>
              <w:spacing w:before="40" w:after="40"/>
              <w:rPr>
                <w:rFonts w:ascii="Arial Narrow" w:hAnsi="Arial Narrow"/>
                <w:b/>
                <w:sz w:val="20"/>
              </w:rPr>
            </w:pPr>
            <w:proofErr w:type="spellStart"/>
            <w:r w:rsidRPr="007A0CF6">
              <w:rPr>
                <w:rFonts w:ascii="Arial Narrow" w:hAnsi="Arial Narrow"/>
                <w:b/>
                <w:sz w:val="20"/>
              </w:rPr>
              <w:t>Aarnio</w:t>
            </w:r>
            <w:proofErr w:type="spellEnd"/>
            <w:r w:rsidRPr="007A0CF6">
              <w:rPr>
                <w:rFonts w:ascii="Arial Narrow" w:hAnsi="Arial Narrow"/>
                <w:b/>
                <w:sz w:val="20"/>
              </w:rPr>
              <w:t xml:space="preserve"> et al. </w:t>
            </w:r>
            <w:r w:rsidR="00D03612">
              <w:rPr>
                <w:rFonts w:ascii="Arial Narrow" w:hAnsi="Arial Narrow"/>
                <w:b/>
                <w:sz w:val="20"/>
              </w:rPr>
              <w:fldChar w:fldCharType="begin"/>
            </w:r>
            <w:r w:rsidR="00D03612">
              <w:rPr>
                <w:rFonts w:ascii="Arial Narrow" w:hAnsi="Arial Narrow"/>
                <w:b/>
                <w:sz w:val="20"/>
              </w:rPr>
              <w:instrText xml:space="preserve"> ADDIN EN.CITE &lt;EndNote&gt;&lt;Cite ExcludeAuth="1"&gt;&lt;Author&gt;Aarnio&lt;/Author&gt;&lt;Year&gt;1995&lt;/Year&gt;&lt;RecNum&gt;8&lt;/RecNum&gt;&lt;DisplayText&gt;(1995)&lt;/DisplayText&gt;&lt;record&gt;&lt;rec-number&gt;8&lt;/rec-number&gt;&lt;foreign-keys&gt;&lt;key app="EN" db-id="as9sdrfwoaw9fce5xr9pew9gz9epate29xvw" timestamp="1504657080"&gt;8&lt;/key&gt;&lt;/foreign-keys&gt;&lt;ref-type name="Journal Article"&gt;17&lt;/ref-type&gt;&lt;contributors&gt;&lt;authors&gt;&lt;author&gt;Aarnio, Markku&lt;/author&gt;&lt;author&gt;Mecklin, Jukka-Pekka&lt;/author&gt;&lt;author&gt;Aaltonen, Lauri A.&lt;/author&gt;&lt;author&gt;Nyström-Lahti, Minna&lt;/author&gt;&lt;author&gt;Järvinen, Heikki J.&lt;/author&gt;&lt;/authors&gt;&lt;/contributors&gt;&lt;titles&gt;&lt;title&gt;Life-time risk of different cancers in hereditary non-polyposis colorectal cancer (hnpcc) syndrome&lt;/title&gt;&lt;secondary-title&gt;International Journal of Cancer&lt;/secondary-title&gt;&lt;/titles&gt;&lt;periodical&gt;&lt;full-title&gt;International Journal of Cancer&lt;/full-title&gt;&lt;/periodical&gt;&lt;pages&gt;430-433&lt;/pages&gt;&lt;volume&gt;64&lt;/volume&gt;&lt;number&gt;6&lt;/number&gt;&lt;dates&gt;&lt;year&gt;1995&lt;/year&gt;&lt;/dates&gt;&lt;publisher&gt;Wiley Subscription Services, Inc., A Wiley Company&lt;/publisher&gt;&lt;isbn&gt;1097-0215&lt;/isbn&gt;&lt;urls&gt;&lt;related-urls&gt;&lt;url&gt;http://dx.doi.org/10.1002/ijc.2910640613&lt;/url&gt;&lt;url&gt;http://onlinelibrary.wiley.com/store/10.1002/ijc.2910640613/asset/2910640613_ftp.pdf?v=1&amp;amp;t=j78a0rul&amp;amp;s=b2b5a4a2c44e75d62f9abce734fc8fd69efade88&lt;/url&gt;&lt;/related-urls&gt;&lt;/urls&gt;&lt;electronic-resource-num&gt;10.1002/ijc.2910640613&lt;/electronic-resource-num&gt;&lt;/record&gt;&lt;/Cite&gt;&lt;/EndNote&gt;</w:instrText>
            </w:r>
            <w:r w:rsidR="00D03612">
              <w:rPr>
                <w:rFonts w:ascii="Arial Narrow" w:hAnsi="Arial Narrow"/>
                <w:b/>
                <w:sz w:val="20"/>
              </w:rPr>
              <w:fldChar w:fldCharType="separate"/>
            </w:r>
            <w:r w:rsidR="00D03612">
              <w:rPr>
                <w:rFonts w:ascii="Arial Narrow" w:hAnsi="Arial Narrow"/>
                <w:b/>
                <w:noProof/>
                <w:sz w:val="20"/>
              </w:rPr>
              <w:t>(1995)</w:t>
            </w:r>
            <w:r w:rsidR="00D03612">
              <w:rPr>
                <w:rFonts w:ascii="Arial Narrow" w:hAnsi="Arial Narrow"/>
                <w:b/>
                <w:sz w:val="20"/>
              </w:rPr>
              <w:fldChar w:fldCharType="end"/>
            </w:r>
          </w:p>
          <w:p w14:paraId="0DF4EDB9" w14:textId="77777777" w:rsidR="00B14821" w:rsidRPr="007A0CF6" w:rsidRDefault="00B14821" w:rsidP="00753E89">
            <w:pPr>
              <w:spacing w:before="40" w:after="40"/>
              <w:rPr>
                <w:rFonts w:ascii="Arial Narrow" w:hAnsi="Arial Narrow"/>
                <w:b/>
                <w:sz w:val="20"/>
              </w:rPr>
            </w:pPr>
            <w:r>
              <w:rPr>
                <w:rFonts w:ascii="Arial Narrow" w:hAnsi="Arial Narrow"/>
                <w:b/>
                <w:sz w:val="20"/>
              </w:rPr>
              <w:t>90 Finnish Lynch syndrome families</w:t>
            </w:r>
          </w:p>
        </w:tc>
        <w:tc>
          <w:tcPr>
            <w:tcW w:w="2504" w:type="dxa"/>
            <w:tcBorders>
              <w:bottom w:val="single" w:sz="4" w:space="0" w:color="auto"/>
            </w:tcBorders>
          </w:tcPr>
          <w:p w14:paraId="08509AE4" w14:textId="77777777" w:rsidR="00701E04" w:rsidRDefault="00701E04" w:rsidP="00753E89">
            <w:pPr>
              <w:spacing w:before="40" w:after="40"/>
              <w:rPr>
                <w:rFonts w:ascii="Arial Narrow" w:hAnsi="Arial Narrow"/>
                <w:b/>
                <w:sz w:val="20"/>
              </w:rPr>
            </w:pPr>
            <w:r w:rsidRPr="007A0CF6">
              <w:rPr>
                <w:rFonts w:ascii="Arial Narrow" w:hAnsi="Arial Narrow"/>
                <w:b/>
                <w:sz w:val="20"/>
              </w:rPr>
              <w:t xml:space="preserve">Barrow et al. </w:t>
            </w:r>
            <w:r w:rsidR="00D03612">
              <w:rPr>
                <w:rFonts w:ascii="Arial Narrow" w:hAnsi="Arial Narrow"/>
                <w:b/>
                <w:sz w:val="20"/>
              </w:rPr>
              <w:fldChar w:fldCharType="begin"/>
            </w:r>
            <w:r w:rsidR="00D03612">
              <w:rPr>
                <w:rFonts w:ascii="Arial Narrow" w:hAnsi="Arial Narrow"/>
                <w:b/>
                <w:sz w:val="20"/>
              </w:rPr>
              <w:instrText xml:space="preserve"> ADDIN EN.CITE &lt;EndNote&gt;&lt;Cite ExcludeAuth="1"&gt;&lt;Author&gt;Barrow&lt;/Author&gt;&lt;Year&gt;2009&lt;/Year&gt;&lt;RecNum&gt;10&lt;/RecNum&gt;&lt;DisplayText&gt;(2009)&lt;/DisplayText&gt;&lt;record&gt;&lt;rec-number&gt;10&lt;/rec-number&gt;&lt;foreign-keys&gt;&lt;key app="EN" db-id="as9sdrfwoaw9fce5xr9pew9gz9epate29xvw" timestamp="1504659774"&gt;10&lt;/key&gt;&lt;/foreign-keys&gt;&lt;ref-type name="Journal Article"&gt;17&lt;/ref-type&gt;&lt;contributors&gt;&lt;authors&gt;&lt;author&gt;Barrow, E.&lt;/author&gt;&lt;author&gt;Robinson, L.&lt;/author&gt;&lt;author&gt;Alduaij, W.&lt;/author&gt;&lt;author&gt;Shenton, A.&lt;/author&gt;&lt;author&gt;Clancy, T.&lt;/author&gt;&lt;author&gt;Lalloo, F.&lt;/author&gt;&lt;author&gt;Hill, J.&lt;/author&gt;&lt;author&gt;Evans, D. G.&lt;/author&gt;&lt;/authors&gt;&lt;/contributors&gt;&lt;titles&gt;&lt;title&gt;Cumulative lifetime incidence of extracolonic cancers in Lynch syndrome: a report of 121 families with proven mutations&lt;/title&gt;&lt;secondary-title&gt;Clinical Genetics&lt;/secondary-title&gt;&lt;/titles&gt;&lt;periodical&gt;&lt;full-title&gt;Clinical Genetics&lt;/full-title&gt;&lt;/periodical&gt;&lt;pages&gt;141-149&lt;/pages&gt;&lt;volume&gt;75&lt;/volume&gt;&lt;number&gt;2&lt;/number&gt;&lt;keywords&gt;&lt;keyword&gt;DNA mismatch repair&lt;/keyword&gt;&lt;keyword&gt;hereditary non-polyposis colorectal cancer&lt;/keyword&gt;&lt;keyword&gt;Kaplan-Meiers analysis&lt;/keyword&gt;&lt;keyword&gt;Lynch syndrome&lt;/keyword&gt;&lt;keyword&gt;multiple primary neoplasms&lt;/keyword&gt;&lt;keyword&gt;statistical bias&lt;/keyword&gt;&lt;/keywords&gt;&lt;dates&gt;&lt;year&gt;2009&lt;/year&gt;&lt;/dates&gt;&lt;publisher&gt;Blackwell Publishing Ltd&lt;/publisher&gt;&lt;isbn&gt;1399-0004&lt;/isbn&gt;&lt;urls&gt;&lt;related-urls&gt;&lt;url&gt;http://dx.doi.org/10.1111/j.1399-0004.2008.01125.x&lt;/url&gt;&lt;url&gt;http://onlinelibrary.wiley.com/store/10.1111/j.1399-0004.2008.01125.x/asset/j.1399-0004.2008.01125.x.pdf?v=1&amp;amp;t=j78bl6et&amp;amp;s=3f73bb937ed16df9c3d49b64b61a3023bb232488&lt;/url&gt;&lt;/related-urls&gt;&lt;/urls&gt;&lt;electronic-resource-num&gt;10.1111/j.1399-0004.2008.01125.x&lt;/electronic-resource-num&gt;&lt;/record&gt;&lt;/Cite&gt;&lt;/EndNote&gt;</w:instrText>
            </w:r>
            <w:r w:rsidR="00D03612">
              <w:rPr>
                <w:rFonts w:ascii="Arial Narrow" w:hAnsi="Arial Narrow"/>
                <w:b/>
                <w:sz w:val="20"/>
              </w:rPr>
              <w:fldChar w:fldCharType="separate"/>
            </w:r>
            <w:r w:rsidR="00D03612">
              <w:rPr>
                <w:rFonts w:ascii="Arial Narrow" w:hAnsi="Arial Narrow"/>
                <w:b/>
                <w:noProof/>
                <w:sz w:val="20"/>
              </w:rPr>
              <w:t>(2009)</w:t>
            </w:r>
            <w:r w:rsidR="00D03612">
              <w:rPr>
                <w:rFonts w:ascii="Arial Narrow" w:hAnsi="Arial Narrow"/>
                <w:b/>
                <w:sz w:val="20"/>
              </w:rPr>
              <w:fldChar w:fldCharType="end"/>
            </w:r>
          </w:p>
          <w:p w14:paraId="1752D7A6" w14:textId="77777777" w:rsidR="00B14821" w:rsidRPr="007A0CF6" w:rsidRDefault="00B14821" w:rsidP="00753E89">
            <w:pPr>
              <w:spacing w:before="40" w:after="40"/>
              <w:rPr>
                <w:rFonts w:ascii="Arial Narrow" w:hAnsi="Arial Narrow"/>
                <w:b/>
                <w:sz w:val="20"/>
              </w:rPr>
            </w:pPr>
            <w:r>
              <w:rPr>
                <w:rFonts w:ascii="Arial Narrow" w:hAnsi="Arial Narrow"/>
                <w:b/>
                <w:sz w:val="20"/>
              </w:rPr>
              <w:t>90 English Lynch syndrome families</w:t>
            </w:r>
          </w:p>
        </w:tc>
      </w:tr>
      <w:tr w:rsidR="00B14821" w:rsidRPr="007A0CF6" w14:paraId="172D22C9" w14:textId="77777777" w:rsidTr="00753E89">
        <w:trPr>
          <w:tblHeader/>
        </w:trPr>
        <w:tc>
          <w:tcPr>
            <w:tcW w:w="1555" w:type="dxa"/>
            <w:tcBorders>
              <w:right w:val="nil"/>
            </w:tcBorders>
          </w:tcPr>
          <w:p w14:paraId="70CA3966" w14:textId="244901B1" w:rsidR="00B14821" w:rsidRPr="007A0CF6" w:rsidRDefault="00753E89" w:rsidP="00753E89">
            <w:pPr>
              <w:spacing w:before="40" w:after="40"/>
              <w:jc w:val="both"/>
              <w:rPr>
                <w:rFonts w:ascii="Arial Narrow" w:hAnsi="Arial Narrow"/>
                <w:b/>
                <w:sz w:val="20"/>
              </w:rPr>
            </w:pPr>
            <w:r>
              <w:rPr>
                <w:rFonts w:ascii="Arial Narrow" w:hAnsi="Arial Narrow"/>
                <w:b/>
                <w:sz w:val="20"/>
              </w:rPr>
              <w:t>Tumour l</w:t>
            </w:r>
            <w:r w:rsidR="00B14821" w:rsidRPr="007A0CF6">
              <w:rPr>
                <w:rFonts w:ascii="Arial Narrow" w:hAnsi="Arial Narrow"/>
                <w:b/>
                <w:sz w:val="20"/>
              </w:rPr>
              <w:t>ocation</w:t>
            </w:r>
          </w:p>
        </w:tc>
        <w:tc>
          <w:tcPr>
            <w:tcW w:w="2504" w:type="dxa"/>
            <w:tcBorders>
              <w:left w:val="nil"/>
              <w:right w:val="nil"/>
            </w:tcBorders>
          </w:tcPr>
          <w:p w14:paraId="1908F0FF" w14:textId="40E38BB3" w:rsidR="00B14821" w:rsidRPr="00753E89" w:rsidRDefault="00753E89" w:rsidP="00D03612">
            <w:pPr>
              <w:spacing w:before="40" w:after="40"/>
              <w:jc w:val="both"/>
              <w:rPr>
                <w:rFonts w:ascii="Arial Narrow" w:hAnsi="Arial Narrow"/>
                <w:b/>
                <w:color w:val="FFFFFF" w:themeColor="background1"/>
                <w:sz w:val="20"/>
              </w:rPr>
            </w:pPr>
            <w:r w:rsidRPr="00753E89">
              <w:rPr>
                <w:rFonts w:ascii="Arial Narrow" w:hAnsi="Arial Narrow"/>
                <w:b/>
                <w:color w:val="FFFFFF" w:themeColor="background1"/>
                <w:sz w:val="20"/>
              </w:rPr>
              <w:t>-</w:t>
            </w:r>
          </w:p>
        </w:tc>
        <w:tc>
          <w:tcPr>
            <w:tcW w:w="2504" w:type="dxa"/>
            <w:tcBorders>
              <w:left w:val="nil"/>
              <w:right w:val="nil"/>
            </w:tcBorders>
          </w:tcPr>
          <w:p w14:paraId="071232B1" w14:textId="21EB46AB" w:rsidR="00B14821" w:rsidRPr="00753E89" w:rsidRDefault="00753E89" w:rsidP="00D03612">
            <w:pPr>
              <w:spacing w:before="40" w:after="40"/>
              <w:jc w:val="both"/>
              <w:rPr>
                <w:rFonts w:ascii="Arial Narrow" w:hAnsi="Arial Narrow"/>
                <w:b/>
                <w:color w:val="FFFFFF" w:themeColor="background1"/>
                <w:sz w:val="20"/>
              </w:rPr>
            </w:pPr>
            <w:r w:rsidRPr="00753E89">
              <w:rPr>
                <w:rFonts w:ascii="Arial Narrow" w:hAnsi="Arial Narrow"/>
                <w:b/>
                <w:color w:val="FFFFFF" w:themeColor="background1"/>
                <w:sz w:val="20"/>
              </w:rPr>
              <w:t>-</w:t>
            </w:r>
          </w:p>
        </w:tc>
        <w:tc>
          <w:tcPr>
            <w:tcW w:w="2504" w:type="dxa"/>
            <w:tcBorders>
              <w:left w:val="nil"/>
            </w:tcBorders>
          </w:tcPr>
          <w:p w14:paraId="602F71C9" w14:textId="14233FDB" w:rsidR="00B14821" w:rsidRPr="00753E89" w:rsidRDefault="00753E89" w:rsidP="00D03612">
            <w:pPr>
              <w:spacing w:before="40" w:after="40"/>
              <w:jc w:val="both"/>
              <w:rPr>
                <w:rFonts w:ascii="Arial Narrow" w:hAnsi="Arial Narrow"/>
                <w:b/>
                <w:color w:val="FFFFFF" w:themeColor="background1"/>
                <w:sz w:val="20"/>
              </w:rPr>
            </w:pPr>
            <w:r w:rsidRPr="00753E89">
              <w:rPr>
                <w:rFonts w:ascii="Arial Narrow" w:hAnsi="Arial Narrow"/>
                <w:b/>
                <w:color w:val="FFFFFF" w:themeColor="background1"/>
                <w:sz w:val="20"/>
              </w:rPr>
              <w:t>-</w:t>
            </w:r>
          </w:p>
        </w:tc>
      </w:tr>
      <w:tr w:rsidR="00701E04" w:rsidRPr="007A0CF6" w14:paraId="6410D390" w14:textId="77777777" w:rsidTr="00DC7DB6">
        <w:tc>
          <w:tcPr>
            <w:tcW w:w="1555" w:type="dxa"/>
          </w:tcPr>
          <w:p w14:paraId="399C28AD" w14:textId="77777777" w:rsidR="00701E04" w:rsidRPr="007A0CF6" w:rsidRDefault="00701E04" w:rsidP="00DC7DB6">
            <w:pPr>
              <w:spacing w:before="40" w:after="40"/>
              <w:jc w:val="both"/>
            </w:pPr>
            <w:r w:rsidRPr="007A0CF6">
              <w:rPr>
                <w:rFonts w:ascii="Arial Narrow" w:hAnsi="Arial Narrow"/>
                <w:sz w:val="20"/>
              </w:rPr>
              <w:t>Endometrium</w:t>
            </w:r>
          </w:p>
        </w:tc>
        <w:tc>
          <w:tcPr>
            <w:tcW w:w="2504" w:type="dxa"/>
          </w:tcPr>
          <w:p w14:paraId="36D13C68"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24%</w:t>
            </w:r>
          </w:p>
        </w:tc>
        <w:tc>
          <w:tcPr>
            <w:tcW w:w="2504" w:type="dxa"/>
          </w:tcPr>
          <w:p w14:paraId="1407272B"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33%</w:t>
            </w:r>
          </w:p>
        </w:tc>
        <w:tc>
          <w:tcPr>
            <w:tcW w:w="2504" w:type="dxa"/>
          </w:tcPr>
          <w:p w14:paraId="717657B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30%</w:t>
            </w:r>
          </w:p>
        </w:tc>
      </w:tr>
      <w:tr w:rsidR="00701E04" w:rsidRPr="007A0CF6" w14:paraId="51466E18" w14:textId="77777777" w:rsidTr="00DC7DB6">
        <w:tc>
          <w:tcPr>
            <w:tcW w:w="1555" w:type="dxa"/>
          </w:tcPr>
          <w:p w14:paraId="74911659"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Stomach</w:t>
            </w:r>
          </w:p>
        </w:tc>
        <w:tc>
          <w:tcPr>
            <w:tcW w:w="2504" w:type="dxa"/>
          </w:tcPr>
          <w:p w14:paraId="7D1348C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15%</w:t>
            </w:r>
          </w:p>
        </w:tc>
        <w:tc>
          <w:tcPr>
            <w:tcW w:w="2504" w:type="dxa"/>
          </w:tcPr>
          <w:p w14:paraId="67DB91E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18%</w:t>
            </w:r>
          </w:p>
        </w:tc>
        <w:tc>
          <w:tcPr>
            <w:tcW w:w="2504" w:type="dxa"/>
          </w:tcPr>
          <w:p w14:paraId="6D78E06C"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10%</w:t>
            </w:r>
          </w:p>
        </w:tc>
      </w:tr>
      <w:tr w:rsidR="00701E04" w:rsidRPr="007A0CF6" w14:paraId="0EA46111" w14:textId="77777777" w:rsidTr="00DC7DB6">
        <w:tc>
          <w:tcPr>
            <w:tcW w:w="1555" w:type="dxa"/>
          </w:tcPr>
          <w:p w14:paraId="15FA6710"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Urinary tract</w:t>
            </w:r>
          </w:p>
        </w:tc>
        <w:tc>
          <w:tcPr>
            <w:tcW w:w="2504" w:type="dxa"/>
          </w:tcPr>
          <w:p w14:paraId="42508A3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12%</w:t>
            </w:r>
          </w:p>
        </w:tc>
        <w:tc>
          <w:tcPr>
            <w:tcW w:w="2504" w:type="dxa"/>
          </w:tcPr>
          <w:p w14:paraId="26D2F25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6%</w:t>
            </w:r>
          </w:p>
        </w:tc>
        <w:tc>
          <w:tcPr>
            <w:tcW w:w="2504" w:type="dxa"/>
          </w:tcPr>
          <w:p w14:paraId="05A7BA5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8%</w:t>
            </w:r>
          </w:p>
        </w:tc>
      </w:tr>
      <w:tr w:rsidR="00701E04" w:rsidRPr="007A0CF6" w14:paraId="0AB150FF" w14:textId="77777777" w:rsidTr="00DC7DB6">
        <w:tc>
          <w:tcPr>
            <w:tcW w:w="1555" w:type="dxa"/>
          </w:tcPr>
          <w:p w14:paraId="532C8B43"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Biliary tract</w:t>
            </w:r>
          </w:p>
        </w:tc>
        <w:tc>
          <w:tcPr>
            <w:tcW w:w="2504" w:type="dxa"/>
          </w:tcPr>
          <w:p w14:paraId="6EE76B1E"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3F055FA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10%</w:t>
            </w:r>
          </w:p>
        </w:tc>
        <w:tc>
          <w:tcPr>
            <w:tcW w:w="2504" w:type="dxa"/>
          </w:tcPr>
          <w:p w14:paraId="4C343A6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w:t>
            </w:r>
          </w:p>
        </w:tc>
      </w:tr>
      <w:tr w:rsidR="00701E04" w:rsidRPr="007A0CF6" w14:paraId="0CB41AED" w14:textId="77777777" w:rsidTr="00DC7DB6">
        <w:tc>
          <w:tcPr>
            <w:tcW w:w="1555" w:type="dxa"/>
          </w:tcPr>
          <w:p w14:paraId="4F7CF65E"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Small bowel</w:t>
            </w:r>
          </w:p>
        </w:tc>
        <w:tc>
          <w:tcPr>
            <w:tcW w:w="2504" w:type="dxa"/>
          </w:tcPr>
          <w:p w14:paraId="080442A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8%</w:t>
            </w:r>
          </w:p>
        </w:tc>
        <w:tc>
          <w:tcPr>
            <w:tcW w:w="2504" w:type="dxa"/>
          </w:tcPr>
          <w:p w14:paraId="267EA81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2%</w:t>
            </w:r>
          </w:p>
        </w:tc>
        <w:tc>
          <w:tcPr>
            <w:tcW w:w="2504" w:type="dxa"/>
          </w:tcPr>
          <w:p w14:paraId="64041C0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5%</w:t>
            </w:r>
          </w:p>
        </w:tc>
      </w:tr>
      <w:tr w:rsidR="00701E04" w:rsidRPr="007A0CF6" w14:paraId="6A0006E6" w14:textId="77777777" w:rsidTr="00DC7DB6">
        <w:tc>
          <w:tcPr>
            <w:tcW w:w="1555" w:type="dxa"/>
          </w:tcPr>
          <w:p w14:paraId="7479BC8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Breast</w:t>
            </w:r>
          </w:p>
        </w:tc>
        <w:tc>
          <w:tcPr>
            <w:tcW w:w="2504" w:type="dxa"/>
          </w:tcPr>
          <w:p w14:paraId="7D427D5A"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8%</w:t>
            </w:r>
          </w:p>
        </w:tc>
        <w:tc>
          <w:tcPr>
            <w:tcW w:w="2504" w:type="dxa"/>
          </w:tcPr>
          <w:p w14:paraId="7ACFDEB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139F86B8"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9%</w:t>
            </w:r>
          </w:p>
        </w:tc>
      </w:tr>
      <w:tr w:rsidR="00701E04" w:rsidRPr="007A0CF6" w14:paraId="7B8A2DB6" w14:textId="77777777" w:rsidTr="00DC7DB6">
        <w:tc>
          <w:tcPr>
            <w:tcW w:w="1555" w:type="dxa"/>
          </w:tcPr>
          <w:p w14:paraId="1E159F64" w14:textId="77777777" w:rsidR="00701E04" w:rsidRPr="007A0CF6" w:rsidRDefault="00701E04" w:rsidP="00DC7DB6">
            <w:pPr>
              <w:spacing w:before="40" w:after="40"/>
              <w:jc w:val="both"/>
            </w:pPr>
            <w:r w:rsidRPr="007A0CF6">
              <w:rPr>
                <w:rFonts w:ascii="Arial Narrow" w:hAnsi="Arial Narrow"/>
                <w:sz w:val="20"/>
              </w:rPr>
              <w:t>Ovary</w:t>
            </w:r>
          </w:p>
        </w:tc>
        <w:tc>
          <w:tcPr>
            <w:tcW w:w="2504" w:type="dxa"/>
          </w:tcPr>
          <w:p w14:paraId="3E90802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6%</w:t>
            </w:r>
          </w:p>
        </w:tc>
        <w:tc>
          <w:tcPr>
            <w:tcW w:w="2504" w:type="dxa"/>
          </w:tcPr>
          <w:p w14:paraId="4890C37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9%</w:t>
            </w:r>
          </w:p>
        </w:tc>
        <w:tc>
          <w:tcPr>
            <w:tcW w:w="2504" w:type="dxa"/>
          </w:tcPr>
          <w:p w14:paraId="74A8672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9%</w:t>
            </w:r>
          </w:p>
        </w:tc>
      </w:tr>
      <w:tr w:rsidR="00701E04" w:rsidRPr="007A0CF6" w14:paraId="72CAF8D2" w14:textId="77777777" w:rsidTr="00DC7DB6">
        <w:tc>
          <w:tcPr>
            <w:tcW w:w="1555" w:type="dxa"/>
          </w:tcPr>
          <w:p w14:paraId="7F08AAB4" w14:textId="77777777" w:rsidR="00701E04" w:rsidRPr="007A0CF6" w:rsidRDefault="00701E04" w:rsidP="00DC7DB6">
            <w:pPr>
              <w:spacing w:before="40" w:after="40"/>
              <w:jc w:val="both"/>
            </w:pPr>
            <w:r w:rsidRPr="007A0CF6">
              <w:rPr>
                <w:rFonts w:ascii="Arial Narrow" w:hAnsi="Arial Narrow"/>
                <w:sz w:val="20"/>
              </w:rPr>
              <w:t>Pancreas</w:t>
            </w:r>
          </w:p>
        </w:tc>
        <w:tc>
          <w:tcPr>
            <w:tcW w:w="2504" w:type="dxa"/>
          </w:tcPr>
          <w:p w14:paraId="0A89CAE2"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6%</w:t>
            </w:r>
          </w:p>
        </w:tc>
        <w:tc>
          <w:tcPr>
            <w:tcW w:w="2504" w:type="dxa"/>
          </w:tcPr>
          <w:p w14:paraId="6338ED9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19FF50C9"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1%</w:t>
            </w:r>
          </w:p>
        </w:tc>
      </w:tr>
      <w:tr w:rsidR="00701E04" w:rsidRPr="007A0CF6" w14:paraId="08273498" w14:textId="77777777" w:rsidTr="00DC7DB6">
        <w:tc>
          <w:tcPr>
            <w:tcW w:w="1555" w:type="dxa"/>
          </w:tcPr>
          <w:p w14:paraId="6FB88D44" w14:textId="77777777" w:rsidR="00701E04" w:rsidRPr="007A0CF6" w:rsidRDefault="00701E04" w:rsidP="00DC7DB6">
            <w:pPr>
              <w:spacing w:before="40" w:after="40"/>
              <w:jc w:val="both"/>
            </w:pPr>
            <w:r w:rsidRPr="007A0CF6">
              <w:rPr>
                <w:rFonts w:ascii="Arial Narrow" w:hAnsi="Arial Narrow"/>
                <w:sz w:val="20"/>
              </w:rPr>
              <w:t>Brain</w:t>
            </w:r>
          </w:p>
        </w:tc>
        <w:tc>
          <w:tcPr>
            <w:tcW w:w="2504" w:type="dxa"/>
          </w:tcPr>
          <w:p w14:paraId="16106902"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5%</w:t>
            </w:r>
          </w:p>
        </w:tc>
        <w:tc>
          <w:tcPr>
            <w:tcW w:w="2504" w:type="dxa"/>
          </w:tcPr>
          <w:p w14:paraId="0E993C9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3%</w:t>
            </w:r>
          </w:p>
        </w:tc>
        <w:tc>
          <w:tcPr>
            <w:tcW w:w="2504" w:type="dxa"/>
          </w:tcPr>
          <w:p w14:paraId="27B5E53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4%</w:t>
            </w:r>
          </w:p>
        </w:tc>
      </w:tr>
      <w:tr w:rsidR="00701E04" w:rsidRPr="007A0CF6" w14:paraId="381606AE" w14:textId="77777777" w:rsidTr="00DC7DB6">
        <w:tc>
          <w:tcPr>
            <w:tcW w:w="1555" w:type="dxa"/>
          </w:tcPr>
          <w:p w14:paraId="631954E1"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Lung</w:t>
            </w:r>
          </w:p>
        </w:tc>
        <w:tc>
          <w:tcPr>
            <w:tcW w:w="2504" w:type="dxa"/>
          </w:tcPr>
          <w:p w14:paraId="5DDA154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126F20F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5%</w:t>
            </w:r>
          </w:p>
        </w:tc>
        <w:tc>
          <w:tcPr>
            <w:tcW w:w="2504" w:type="dxa"/>
          </w:tcPr>
          <w:p w14:paraId="4C501A8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4%</w:t>
            </w:r>
          </w:p>
        </w:tc>
      </w:tr>
      <w:tr w:rsidR="00701E04" w:rsidRPr="007A0CF6" w14:paraId="01679F51" w14:textId="77777777" w:rsidTr="00DC7DB6">
        <w:tc>
          <w:tcPr>
            <w:tcW w:w="1555" w:type="dxa"/>
          </w:tcPr>
          <w:p w14:paraId="400B1B0D"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Renal</w:t>
            </w:r>
          </w:p>
        </w:tc>
        <w:tc>
          <w:tcPr>
            <w:tcW w:w="2504" w:type="dxa"/>
          </w:tcPr>
          <w:p w14:paraId="05199366"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41386315"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2B3DEADB"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4%</w:t>
            </w:r>
          </w:p>
        </w:tc>
      </w:tr>
      <w:tr w:rsidR="00701E04" w:rsidRPr="007A0CF6" w14:paraId="288B5F14" w14:textId="77777777" w:rsidTr="00DC7DB6">
        <w:tc>
          <w:tcPr>
            <w:tcW w:w="1555" w:type="dxa"/>
          </w:tcPr>
          <w:p w14:paraId="7F578C09"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Breast</w:t>
            </w:r>
          </w:p>
        </w:tc>
        <w:tc>
          <w:tcPr>
            <w:tcW w:w="2504" w:type="dxa"/>
          </w:tcPr>
          <w:p w14:paraId="5CA43C8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23B27417"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6%</w:t>
            </w:r>
          </w:p>
        </w:tc>
        <w:tc>
          <w:tcPr>
            <w:tcW w:w="2504" w:type="dxa"/>
          </w:tcPr>
          <w:p w14:paraId="101C4B8F"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9%</w:t>
            </w:r>
          </w:p>
        </w:tc>
      </w:tr>
      <w:tr w:rsidR="00701E04" w:rsidRPr="007A0CF6" w14:paraId="61199199" w14:textId="77777777" w:rsidTr="00DC7DB6">
        <w:tc>
          <w:tcPr>
            <w:tcW w:w="1555" w:type="dxa"/>
          </w:tcPr>
          <w:p w14:paraId="05CB499A" w14:textId="77777777" w:rsidR="00701E04" w:rsidRPr="007A0CF6" w:rsidRDefault="00701E04" w:rsidP="00DC7DB6">
            <w:pPr>
              <w:spacing w:before="40" w:after="40"/>
              <w:jc w:val="both"/>
            </w:pPr>
            <w:r w:rsidRPr="007A0CF6">
              <w:rPr>
                <w:rFonts w:ascii="Arial Narrow" w:hAnsi="Arial Narrow"/>
                <w:sz w:val="20"/>
              </w:rPr>
              <w:t>Prostate</w:t>
            </w:r>
          </w:p>
        </w:tc>
        <w:tc>
          <w:tcPr>
            <w:tcW w:w="2504" w:type="dxa"/>
          </w:tcPr>
          <w:p w14:paraId="62D3496C"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5%</w:t>
            </w:r>
          </w:p>
        </w:tc>
        <w:tc>
          <w:tcPr>
            <w:tcW w:w="2504" w:type="dxa"/>
          </w:tcPr>
          <w:p w14:paraId="5EB4A214"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w:t>
            </w:r>
          </w:p>
        </w:tc>
        <w:tc>
          <w:tcPr>
            <w:tcW w:w="2504" w:type="dxa"/>
          </w:tcPr>
          <w:p w14:paraId="52BABE0B" w14:textId="77777777" w:rsidR="00701E04" w:rsidRPr="007A0CF6" w:rsidRDefault="00701E04" w:rsidP="00DC7DB6">
            <w:pPr>
              <w:spacing w:before="40" w:after="40"/>
              <w:jc w:val="both"/>
              <w:rPr>
                <w:rFonts w:ascii="Arial Narrow" w:hAnsi="Arial Narrow"/>
                <w:sz w:val="20"/>
              </w:rPr>
            </w:pPr>
            <w:r w:rsidRPr="007A0CF6">
              <w:rPr>
                <w:rFonts w:ascii="Arial Narrow" w:hAnsi="Arial Narrow"/>
                <w:sz w:val="20"/>
              </w:rPr>
              <w:t>2%</w:t>
            </w:r>
          </w:p>
        </w:tc>
      </w:tr>
    </w:tbl>
    <w:p w14:paraId="148690BC" w14:textId="5C67997F" w:rsidR="00E23070" w:rsidRDefault="00666C48" w:rsidP="00AD38B0">
      <w:pPr>
        <w:spacing w:before="240"/>
        <w:jc w:val="both"/>
      </w:pPr>
      <w:r w:rsidRPr="007A0CF6">
        <w:lastRenderedPageBreak/>
        <w:t>However, only approximately 2%</w:t>
      </w:r>
      <w:r w:rsidR="000B3AAC" w:rsidRPr="007A0CF6">
        <w:t xml:space="preserve"> of endometrial cancers, the second most common cancer associated with Lynch syndrome, occur in patients with Lynch syndrome</w:t>
      </w:r>
      <w:r w:rsidR="00AD38B0" w:rsidRPr="007A0CF6">
        <w:t xml:space="preserve">. These patients have </w:t>
      </w:r>
      <w:r w:rsidR="000B3AAC" w:rsidRPr="007A0CF6">
        <w:t xml:space="preserve">a </w:t>
      </w:r>
      <w:r w:rsidR="00AD38B0" w:rsidRPr="007A0CF6">
        <w:t>35</w:t>
      </w:r>
      <w:r w:rsidR="000B3AAC" w:rsidRPr="007A0CF6">
        <w:t xml:space="preserve">% </w:t>
      </w:r>
      <w:r w:rsidR="00AD38B0" w:rsidRPr="007A0CF6">
        <w:t xml:space="preserve">(95%CI 17, 60) </w:t>
      </w:r>
      <w:r w:rsidR="000B3AAC" w:rsidRPr="007A0CF6">
        <w:t xml:space="preserve">lifetime risk of developing </w:t>
      </w:r>
      <w:r w:rsidR="00AD38B0" w:rsidRPr="007A0CF6">
        <w:t>endometrial</w:t>
      </w:r>
      <w:r w:rsidR="000B3AAC" w:rsidRPr="007A0CF6">
        <w:t xml:space="preserve"> cancer</w:t>
      </w:r>
      <w:r w:rsidR="00B10576" w:rsidRPr="007A0CF6">
        <w:t xml:space="preserve"> </w:t>
      </w:r>
      <w:r w:rsidR="00D03612">
        <w:fldChar w:fldCharType="begin"/>
      </w:r>
      <w:r w:rsidR="00D03612">
        <w:instrText xml:space="preserve"> ADDIN EN.CITE &lt;EndNote&gt;&lt;Cite&gt;&lt;Author&gt;Bonadona&lt;/Author&gt;&lt;Year&gt;2011&lt;/Year&gt;&lt;RecNum&gt;15&lt;/RecNum&gt;&lt;DisplayText&gt;(Bonadona et al. 2011)&lt;/DisplayText&gt;&lt;record&gt;&lt;rec-number&gt;15&lt;/rec-number&gt;&lt;foreign-keys&gt;&lt;key app="EN" db-id="as9sdrfwoaw9fce5xr9pew9gz9epate29xvw" timestamp="1504663447"&gt;15&lt;/key&gt;&lt;/foreign-keys&gt;&lt;ref-type name="Journal Article"&gt;17&lt;/ref-type&gt;&lt;contributors&gt;&lt;authors&gt;&lt;author&gt;Bonadona, V.&lt;/author&gt;&lt;author&gt;Bonaïti, B.&lt;/author&gt;&lt;author&gt;Olschwang, S.&lt;/author&gt;&lt;author&gt;et al.,&lt;/author&gt;&lt;/authors&gt;&lt;/contributors&gt;&lt;titles&gt;&lt;title&gt;Cancer risks associated with germline mutations in mlh1, msh2, and msh6 genes in lynch syndrome&lt;/title&gt;&lt;secondary-title&gt;JAMA&lt;/secondary-title&gt;&lt;/titles&gt;&lt;periodical&gt;&lt;full-title&gt;JAMA&lt;/full-title&gt;&lt;/periodical&gt;&lt;pages&gt;2304-2310&lt;/pages&gt;&lt;volume&gt;305&lt;/volume&gt;&lt;number&gt;22&lt;/number&gt;&lt;dates&gt;&lt;year&gt;2011&lt;/year&gt;&lt;/dates&gt;&lt;isbn&gt;0098-7484&lt;/isbn&gt;&lt;urls&gt;&lt;related-urls&gt;&lt;url&gt;http://dx.doi.org/10.1001/jama.2011.743&lt;/url&gt;&lt;url&gt;http://jama.jamanetwork.com/data/journals/jama/20331/joc15043_2304_2310.pdf&lt;/url&gt;&lt;/related-urls&gt;&lt;/urls&gt;&lt;electronic-resource-num&gt;10.1001/jama.2011.743&lt;/electronic-resource-num&gt;&lt;/record&gt;&lt;/Cite&gt;&lt;/EndNote&gt;</w:instrText>
      </w:r>
      <w:r w:rsidR="00D03612">
        <w:fldChar w:fldCharType="separate"/>
      </w:r>
      <w:r w:rsidR="00D03612">
        <w:rPr>
          <w:noProof/>
        </w:rPr>
        <w:t>(Bonadona et al. 2011)</w:t>
      </w:r>
      <w:r w:rsidR="00D03612">
        <w:fldChar w:fldCharType="end"/>
      </w:r>
      <w:r w:rsidR="00B10576" w:rsidRPr="007A0CF6">
        <w:t>.</w:t>
      </w:r>
      <w:r w:rsidR="00AD38B0" w:rsidRPr="007A0CF6">
        <w:t xml:space="preserve"> </w:t>
      </w:r>
      <w:r w:rsidR="00B10576" w:rsidRPr="007A0CF6">
        <w:t>The</w:t>
      </w:r>
      <w:r w:rsidR="00AD38B0" w:rsidRPr="007A0CF6">
        <w:t xml:space="preserve"> lifetime risk</w:t>
      </w:r>
      <w:r w:rsidR="00B10576" w:rsidRPr="007A0CF6">
        <w:t>s</w:t>
      </w:r>
      <w:r w:rsidR="00AD38B0" w:rsidRPr="007A0CF6">
        <w:t xml:space="preserve"> f</w:t>
      </w:r>
      <w:r w:rsidR="00B10576" w:rsidRPr="007A0CF6">
        <w:t>or</w:t>
      </w:r>
      <w:r w:rsidR="00AD38B0" w:rsidRPr="007A0CF6">
        <w:t xml:space="preserve"> </w:t>
      </w:r>
      <w:r w:rsidR="00B10576" w:rsidRPr="007A0CF6">
        <w:t xml:space="preserve">patients with Lynch syndrome developing ovarian cancer is 8% (95%CI 2, 39), 0.7% (95%CI 0.08, 4.4) for </w:t>
      </w:r>
      <w:r w:rsidR="00AD38B0" w:rsidRPr="007A0CF6">
        <w:t xml:space="preserve">stomach cancer, </w:t>
      </w:r>
      <w:r w:rsidR="00B10576" w:rsidRPr="007A0CF6">
        <w:t xml:space="preserve">1.9% (95%CI 0.3, 5.3) for </w:t>
      </w:r>
      <w:r w:rsidR="000D197E" w:rsidRPr="007A0CF6">
        <w:t>urinary tract</w:t>
      </w:r>
      <w:r w:rsidR="00AD38B0" w:rsidRPr="007A0CF6">
        <w:t xml:space="preserve"> cancer, </w:t>
      </w:r>
      <w:r w:rsidR="00B10576" w:rsidRPr="007A0CF6">
        <w:t xml:space="preserve">0.6% (95%CI 0.1, 1.3) for </w:t>
      </w:r>
      <w:r w:rsidR="00AD38B0" w:rsidRPr="007A0CF6">
        <w:t>small bowel cancer</w:t>
      </w:r>
      <w:r w:rsidR="000D197E" w:rsidRPr="007A0CF6">
        <w:t xml:space="preserve">, </w:t>
      </w:r>
      <w:r w:rsidR="00AD38B0" w:rsidRPr="007A0CF6">
        <w:t xml:space="preserve">and </w:t>
      </w:r>
      <w:r w:rsidR="00B10576" w:rsidRPr="007A0CF6">
        <w:t xml:space="preserve">0.6% (95%CI 0.07, 2.5) for </w:t>
      </w:r>
      <w:r w:rsidR="000D197E" w:rsidRPr="007A0CF6">
        <w:t>biliary</w:t>
      </w:r>
      <w:r w:rsidR="00AD38B0" w:rsidRPr="007A0CF6">
        <w:t xml:space="preserve"> tract cancer.</w:t>
      </w:r>
      <w:r w:rsidR="00B10576" w:rsidRPr="007A0CF6">
        <w:t xml:space="preserve"> Thus, Lynch syndrome patients would account for only a small proportion of patients with solid tumours. </w:t>
      </w:r>
      <w:r w:rsidR="0018199E" w:rsidRPr="007A0CF6">
        <w:t xml:space="preserve">The prevalence of </w:t>
      </w:r>
      <w:r w:rsidR="00901F2B">
        <w:t>MSI</w:t>
      </w:r>
      <w:r w:rsidR="00C071C2">
        <w:t>-H</w:t>
      </w:r>
      <w:r w:rsidR="0018199E" w:rsidRPr="007A0CF6">
        <w:t xml:space="preserve"> due to </w:t>
      </w:r>
      <w:r w:rsidR="002C26A3">
        <w:t>d</w:t>
      </w:r>
      <w:r w:rsidR="0018199E" w:rsidRPr="007A0CF6">
        <w:t>MMR mutations among different solid tumour types</w:t>
      </w:r>
      <w:r w:rsidR="004729E6">
        <w:t>, and their prevalence in Australi</w:t>
      </w:r>
      <w:r w:rsidR="00EA7124">
        <w:t>a</w:t>
      </w:r>
      <w:r w:rsidR="004729E6">
        <w:t>,</w:t>
      </w:r>
      <w:r w:rsidR="0018199E" w:rsidRPr="007A0CF6">
        <w:t xml:space="preserve"> is listed in </w:t>
      </w:r>
      <w:r w:rsidR="0018199E" w:rsidRPr="007A0CF6">
        <w:fldChar w:fldCharType="begin"/>
      </w:r>
      <w:r w:rsidR="0018199E" w:rsidRPr="007A0CF6">
        <w:instrText xml:space="preserve"> REF _Ref492462349 \h </w:instrText>
      </w:r>
      <w:r w:rsidR="0018199E" w:rsidRPr="007A0CF6">
        <w:fldChar w:fldCharType="separate"/>
      </w:r>
      <w:r w:rsidR="0018199E" w:rsidRPr="007A0CF6">
        <w:t xml:space="preserve">Table </w:t>
      </w:r>
      <w:r w:rsidR="0018199E" w:rsidRPr="007A0CF6">
        <w:rPr>
          <w:noProof/>
        </w:rPr>
        <w:t>2</w:t>
      </w:r>
      <w:r w:rsidR="0018199E" w:rsidRPr="007A0CF6">
        <w:fldChar w:fldCharType="end"/>
      </w:r>
      <w:r w:rsidR="0018199E" w:rsidRPr="007A0CF6">
        <w:t>.</w:t>
      </w:r>
    </w:p>
    <w:p w14:paraId="096B389E" w14:textId="70CC8DE8" w:rsidR="00C36B10" w:rsidRPr="007A0CF6" w:rsidRDefault="00C36B10" w:rsidP="00C36B10">
      <w:pPr>
        <w:pStyle w:val="Caption"/>
        <w:rPr>
          <w:lang w:val="en-AU"/>
        </w:rPr>
      </w:pPr>
      <w:r w:rsidRPr="007A0CF6">
        <w:rPr>
          <w:lang w:val="en-AU"/>
        </w:rPr>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sidRPr="007A0CF6">
        <w:rPr>
          <w:noProof/>
          <w:lang w:val="en-AU"/>
        </w:rPr>
        <w:t>2</w:t>
      </w:r>
      <w:r w:rsidRPr="007A0CF6">
        <w:rPr>
          <w:lang w:val="en-AU"/>
        </w:rPr>
        <w:fldChar w:fldCharType="end"/>
      </w:r>
      <w:r w:rsidRPr="007A0CF6">
        <w:rPr>
          <w:lang w:val="en-AU"/>
        </w:rPr>
        <w:tab/>
        <w:t xml:space="preserve">Prevalence of </w:t>
      </w:r>
      <w:r w:rsidR="002272A8">
        <w:rPr>
          <w:lang w:val="en-AU"/>
        </w:rPr>
        <w:t xml:space="preserve">the most common </w:t>
      </w:r>
      <w:r w:rsidRPr="007A0CF6">
        <w:rPr>
          <w:lang w:val="en-AU"/>
        </w:rPr>
        <w:t xml:space="preserve">sporadic </w:t>
      </w:r>
      <w:r>
        <w:rPr>
          <w:lang w:val="en-AU"/>
        </w:rPr>
        <w:t>cancer</w:t>
      </w:r>
      <w:r w:rsidRPr="007A0CF6">
        <w:rPr>
          <w:lang w:val="en-AU"/>
        </w:rPr>
        <w:t xml:space="preserve"> cases</w:t>
      </w:r>
      <w:r>
        <w:rPr>
          <w:lang w:val="en-AU"/>
        </w:rPr>
        <w:t xml:space="preserve"> in Australia</w:t>
      </w:r>
      <w:r w:rsidR="00D65A10">
        <w:rPr>
          <w:lang w:val="en-AU"/>
        </w:rPr>
        <w:t xml:space="preserve">, </w:t>
      </w:r>
      <w:r w:rsidR="0094091D">
        <w:rPr>
          <w:lang w:val="en-AU"/>
        </w:rPr>
        <w:t xml:space="preserve">proportion that are Stage IV, </w:t>
      </w:r>
      <w:r w:rsidR="00D65A10">
        <w:rPr>
          <w:lang w:val="en-AU"/>
        </w:rPr>
        <w:t>and MSI-H prevalence per tumour type</w:t>
      </w:r>
    </w:p>
    <w:tbl>
      <w:tblPr>
        <w:tblStyle w:val="TableGrid"/>
        <w:tblW w:w="0" w:type="auto"/>
        <w:tblLook w:val="04A0" w:firstRow="1" w:lastRow="0" w:firstColumn="1" w:lastColumn="0" w:noHBand="0" w:noVBand="1"/>
        <w:tblCaption w:val="Prevalence in sporadic solid tumour cases"/>
        <w:tblDescription w:val="reports the prevalence of microsatellite instability in various solid tumours"/>
      </w:tblPr>
      <w:tblGrid>
        <w:gridCol w:w="1838"/>
        <w:gridCol w:w="2126"/>
        <w:gridCol w:w="1985"/>
        <w:gridCol w:w="3067"/>
      </w:tblGrid>
      <w:tr w:rsidR="00C36B10" w:rsidRPr="007A0CF6" w14:paraId="58A9D84F" w14:textId="77777777" w:rsidTr="0094091D">
        <w:trPr>
          <w:tblHeader/>
        </w:trPr>
        <w:tc>
          <w:tcPr>
            <w:tcW w:w="1838" w:type="dxa"/>
          </w:tcPr>
          <w:p w14:paraId="7167C157" w14:textId="77777777" w:rsidR="00C36B10" w:rsidRPr="007A0CF6" w:rsidRDefault="00C36B10" w:rsidP="006E2B6C">
            <w:pPr>
              <w:spacing w:before="40" w:after="40"/>
              <w:jc w:val="both"/>
              <w:rPr>
                <w:rFonts w:ascii="Arial Narrow" w:hAnsi="Arial Narrow"/>
                <w:b/>
                <w:sz w:val="20"/>
              </w:rPr>
            </w:pPr>
            <w:r w:rsidRPr="007A0CF6">
              <w:rPr>
                <w:rFonts w:ascii="Arial Narrow" w:hAnsi="Arial Narrow"/>
                <w:b/>
                <w:sz w:val="20"/>
              </w:rPr>
              <w:t xml:space="preserve">Carcinoma </w:t>
            </w:r>
          </w:p>
        </w:tc>
        <w:tc>
          <w:tcPr>
            <w:tcW w:w="2126" w:type="dxa"/>
          </w:tcPr>
          <w:p w14:paraId="34710C6F" w14:textId="6E3E5077" w:rsidR="00C36B10" w:rsidRPr="007A0CF6" w:rsidRDefault="00C36B10" w:rsidP="0094091D">
            <w:pPr>
              <w:spacing w:before="40" w:after="40"/>
              <w:jc w:val="center"/>
              <w:rPr>
                <w:rFonts w:ascii="Arial Narrow" w:hAnsi="Arial Narrow"/>
                <w:b/>
                <w:sz w:val="20"/>
              </w:rPr>
            </w:pPr>
            <w:r>
              <w:rPr>
                <w:rFonts w:ascii="Arial Narrow" w:hAnsi="Arial Narrow"/>
                <w:b/>
                <w:sz w:val="20"/>
              </w:rPr>
              <w:t>Proportion of all cancers</w:t>
            </w:r>
          </w:p>
        </w:tc>
        <w:tc>
          <w:tcPr>
            <w:tcW w:w="1985" w:type="dxa"/>
          </w:tcPr>
          <w:p w14:paraId="6FF6D277" w14:textId="532A8F44" w:rsidR="00C36B10" w:rsidRPr="007A0CF6" w:rsidRDefault="0094091D" w:rsidP="0094091D">
            <w:pPr>
              <w:spacing w:before="40" w:after="40"/>
              <w:jc w:val="center"/>
              <w:rPr>
                <w:rFonts w:ascii="Arial Narrow" w:hAnsi="Arial Narrow"/>
                <w:b/>
                <w:sz w:val="20"/>
              </w:rPr>
            </w:pPr>
            <w:r>
              <w:rPr>
                <w:rFonts w:ascii="Arial Narrow" w:hAnsi="Arial Narrow"/>
                <w:b/>
                <w:sz w:val="20"/>
              </w:rPr>
              <w:t>Number of patients</w:t>
            </w:r>
            <w:r w:rsidRPr="0094091D">
              <w:rPr>
                <w:rFonts w:ascii="Arial Narrow" w:hAnsi="Arial Narrow"/>
                <w:b/>
                <w:sz w:val="20"/>
              </w:rPr>
              <w:t xml:space="preserve"> </w:t>
            </w:r>
            <w:r>
              <w:rPr>
                <w:rFonts w:ascii="Arial Narrow" w:hAnsi="Arial Narrow"/>
                <w:b/>
                <w:sz w:val="20"/>
              </w:rPr>
              <w:t>that are Stage IV</w:t>
            </w:r>
          </w:p>
        </w:tc>
        <w:tc>
          <w:tcPr>
            <w:tcW w:w="3067" w:type="dxa"/>
          </w:tcPr>
          <w:p w14:paraId="6AF51EC2" w14:textId="5A5D433A" w:rsidR="00C36B10" w:rsidRPr="007A0CF6" w:rsidRDefault="00C36B10" w:rsidP="0094091D">
            <w:pPr>
              <w:spacing w:before="40" w:after="40"/>
              <w:jc w:val="center"/>
              <w:rPr>
                <w:rFonts w:ascii="Arial Narrow" w:hAnsi="Arial Narrow"/>
                <w:b/>
                <w:sz w:val="20"/>
              </w:rPr>
            </w:pPr>
            <w:r>
              <w:rPr>
                <w:rFonts w:ascii="Arial Narrow" w:hAnsi="Arial Narrow"/>
                <w:b/>
                <w:sz w:val="20"/>
              </w:rPr>
              <w:t xml:space="preserve">Proportion of </w:t>
            </w:r>
            <w:r w:rsidR="0094091D">
              <w:rPr>
                <w:rFonts w:ascii="Arial Narrow" w:hAnsi="Arial Narrow"/>
                <w:b/>
                <w:sz w:val="20"/>
              </w:rPr>
              <w:t xml:space="preserve">all (Stage IV) </w:t>
            </w:r>
            <w:r>
              <w:rPr>
                <w:rFonts w:ascii="Arial Narrow" w:hAnsi="Arial Narrow"/>
                <w:b/>
                <w:sz w:val="20"/>
              </w:rPr>
              <w:t>cancers</w:t>
            </w:r>
            <w:r w:rsidR="0094091D">
              <w:rPr>
                <w:rFonts w:ascii="Arial Narrow" w:hAnsi="Arial Narrow"/>
                <w:b/>
                <w:sz w:val="20"/>
              </w:rPr>
              <w:t xml:space="preserve"> that are </w:t>
            </w:r>
            <w:r w:rsidRPr="007A0CF6">
              <w:rPr>
                <w:rFonts w:ascii="Arial Narrow" w:hAnsi="Arial Narrow"/>
                <w:b/>
                <w:sz w:val="20"/>
              </w:rPr>
              <w:t>MSI</w:t>
            </w:r>
            <w:r w:rsidR="00D65A10">
              <w:rPr>
                <w:rFonts w:ascii="Arial Narrow" w:hAnsi="Arial Narrow"/>
                <w:b/>
                <w:sz w:val="20"/>
              </w:rPr>
              <w:t>-H</w:t>
            </w:r>
          </w:p>
        </w:tc>
      </w:tr>
      <w:tr w:rsidR="00C36B10" w:rsidRPr="007A0CF6" w14:paraId="53AAE5E0" w14:textId="77777777" w:rsidTr="0094091D">
        <w:tc>
          <w:tcPr>
            <w:tcW w:w="1838" w:type="dxa"/>
          </w:tcPr>
          <w:p w14:paraId="06DC34D5"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Breast</w:t>
            </w:r>
            <w:r>
              <w:rPr>
                <w:rFonts w:ascii="Arial Narrow" w:hAnsi="Arial Narrow"/>
                <w:sz w:val="20"/>
              </w:rPr>
              <w:t xml:space="preserve"> cancer</w:t>
            </w:r>
          </w:p>
        </w:tc>
        <w:tc>
          <w:tcPr>
            <w:tcW w:w="2126" w:type="dxa"/>
          </w:tcPr>
          <w:p w14:paraId="48E37298" w14:textId="6702734D"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26.5%</w:t>
            </w:r>
          </w:p>
        </w:tc>
        <w:tc>
          <w:tcPr>
            <w:tcW w:w="1985" w:type="dxa"/>
          </w:tcPr>
          <w:p w14:paraId="58B0194B" w14:textId="598B4E63" w:rsidR="00C36B10" w:rsidRPr="007A0CF6" w:rsidRDefault="00A028BF" w:rsidP="0094091D">
            <w:pPr>
              <w:spacing w:before="40" w:after="40"/>
              <w:jc w:val="center"/>
              <w:rPr>
                <w:rFonts w:ascii="Arial Narrow" w:hAnsi="Arial Narrow"/>
                <w:sz w:val="20"/>
              </w:rPr>
            </w:pPr>
            <w:r>
              <w:rPr>
                <w:rFonts w:ascii="Arial Narrow" w:hAnsi="Arial Narrow"/>
                <w:sz w:val="20"/>
              </w:rPr>
              <w:t>2,521</w:t>
            </w:r>
          </w:p>
        </w:tc>
        <w:tc>
          <w:tcPr>
            <w:tcW w:w="3067" w:type="dxa"/>
          </w:tcPr>
          <w:p w14:paraId="76C7378C" w14:textId="4604B90F" w:rsidR="00C36B10" w:rsidRPr="007A0CF6" w:rsidRDefault="0094091D" w:rsidP="0094091D">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1%</w:t>
            </w:r>
            <w:r>
              <w:rPr>
                <w:rFonts w:ascii="Arial Narrow" w:hAnsi="Arial Narrow"/>
                <w:sz w:val="20"/>
              </w:rPr>
              <w:t>)</w:t>
            </w:r>
          </w:p>
        </w:tc>
      </w:tr>
      <w:tr w:rsidR="00C36B10" w:rsidRPr="007A0CF6" w14:paraId="1E8DE566" w14:textId="77777777" w:rsidTr="0094091D">
        <w:tc>
          <w:tcPr>
            <w:tcW w:w="1838" w:type="dxa"/>
          </w:tcPr>
          <w:p w14:paraId="5E41B17E"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Prostate cancer</w:t>
            </w:r>
          </w:p>
        </w:tc>
        <w:tc>
          <w:tcPr>
            <w:tcW w:w="2126" w:type="dxa"/>
          </w:tcPr>
          <w:p w14:paraId="194316ED" w14:textId="3C9DAD8F"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24.5%</w:t>
            </w:r>
          </w:p>
        </w:tc>
        <w:tc>
          <w:tcPr>
            <w:tcW w:w="1985" w:type="dxa"/>
          </w:tcPr>
          <w:p w14:paraId="3DD34802" w14:textId="1B33E455" w:rsidR="00C36B10" w:rsidRPr="007A0CF6" w:rsidRDefault="00A028BF" w:rsidP="0094091D">
            <w:pPr>
              <w:spacing w:before="40" w:after="40"/>
              <w:jc w:val="center"/>
              <w:rPr>
                <w:rFonts w:ascii="Arial Narrow" w:hAnsi="Arial Narrow"/>
                <w:sz w:val="20"/>
              </w:rPr>
            </w:pPr>
            <w:r>
              <w:rPr>
                <w:rFonts w:ascii="Arial Narrow" w:hAnsi="Arial Narrow"/>
                <w:sz w:val="20"/>
              </w:rPr>
              <w:t>2,678</w:t>
            </w:r>
          </w:p>
        </w:tc>
        <w:tc>
          <w:tcPr>
            <w:tcW w:w="3067" w:type="dxa"/>
          </w:tcPr>
          <w:p w14:paraId="6D7E3A42" w14:textId="263C3E82" w:rsidR="00C36B10" w:rsidRPr="007A0CF6" w:rsidRDefault="0094091D" w:rsidP="0094091D">
            <w:pPr>
              <w:tabs>
                <w:tab w:val="left" w:pos="742"/>
              </w:tabs>
              <w:spacing w:before="40" w:after="40"/>
              <w:jc w:val="center"/>
              <w:rPr>
                <w:rFonts w:ascii="Arial Narrow" w:hAnsi="Arial Narrow"/>
                <w:sz w:val="20"/>
              </w:rPr>
            </w:pPr>
            <w:r w:rsidRPr="007A0CF6">
              <w:rPr>
                <w:rFonts w:ascii="Arial Narrow" w:hAnsi="Arial Narrow"/>
                <w:sz w:val="20"/>
              </w:rPr>
              <w:t>12%</w:t>
            </w:r>
            <w:r w:rsidR="00A028BF">
              <w:rPr>
                <w:rFonts w:ascii="Arial Narrow" w:hAnsi="Arial Narrow"/>
                <w:sz w:val="20"/>
              </w:rPr>
              <w:t xml:space="preserve"> (4%</w:t>
            </w:r>
            <w:r>
              <w:rPr>
                <w:rFonts w:ascii="Arial Narrow" w:hAnsi="Arial Narrow"/>
                <w:sz w:val="20"/>
              </w:rPr>
              <w:t>)</w:t>
            </w:r>
          </w:p>
        </w:tc>
      </w:tr>
      <w:tr w:rsidR="00C36B10" w:rsidRPr="007A0CF6" w14:paraId="15FCF1EB" w14:textId="77777777" w:rsidTr="0094091D">
        <w:tc>
          <w:tcPr>
            <w:tcW w:w="1838" w:type="dxa"/>
          </w:tcPr>
          <w:p w14:paraId="44A6316D"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Colorectal</w:t>
            </w:r>
            <w:r>
              <w:rPr>
                <w:rFonts w:ascii="Arial Narrow" w:hAnsi="Arial Narrow"/>
                <w:sz w:val="20"/>
              </w:rPr>
              <w:t xml:space="preserve"> cancer</w:t>
            </w:r>
          </w:p>
        </w:tc>
        <w:tc>
          <w:tcPr>
            <w:tcW w:w="2126" w:type="dxa"/>
          </w:tcPr>
          <w:p w14:paraId="36C3055B" w14:textId="79685C21"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12.3%</w:t>
            </w:r>
          </w:p>
        </w:tc>
        <w:tc>
          <w:tcPr>
            <w:tcW w:w="1985" w:type="dxa"/>
          </w:tcPr>
          <w:p w14:paraId="72B136F7" w14:textId="79BC2E01" w:rsidR="00C36B10" w:rsidRPr="007A0CF6" w:rsidRDefault="00A028BF" w:rsidP="0094091D">
            <w:pPr>
              <w:spacing w:before="40" w:after="40"/>
              <w:jc w:val="center"/>
              <w:rPr>
                <w:rFonts w:ascii="Arial Narrow" w:hAnsi="Arial Narrow"/>
                <w:sz w:val="20"/>
              </w:rPr>
            </w:pPr>
            <w:r>
              <w:rPr>
                <w:rFonts w:ascii="Arial Narrow" w:hAnsi="Arial Narrow"/>
                <w:sz w:val="20"/>
              </w:rPr>
              <w:t>3,784</w:t>
            </w:r>
          </w:p>
        </w:tc>
        <w:tc>
          <w:tcPr>
            <w:tcW w:w="3067" w:type="dxa"/>
          </w:tcPr>
          <w:p w14:paraId="1396A9CE" w14:textId="41E737AC" w:rsidR="00C36B10" w:rsidRPr="007A0CF6" w:rsidRDefault="0094091D" w:rsidP="0094091D">
            <w:pPr>
              <w:tabs>
                <w:tab w:val="left" w:pos="742"/>
              </w:tabs>
              <w:spacing w:before="40" w:after="40"/>
              <w:jc w:val="center"/>
              <w:rPr>
                <w:rFonts w:ascii="Arial Narrow" w:hAnsi="Arial Narrow"/>
                <w:sz w:val="20"/>
              </w:rPr>
            </w:pPr>
            <w:r w:rsidRPr="007A0CF6">
              <w:rPr>
                <w:rFonts w:ascii="Arial Narrow" w:hAnsi="Arial Narrow"/>
                <w:sz w:val="20"/>
              </w:rPr>
              <w:t>15%</w:t>
            </w:r>
            <w:r w:rsidR="00A028BF">
              <w:rPr>
                <w:rFonts w:ascii="Arial Narrow" w:hAnsi="Arial Narrow"/>
                <w:sz w:val="20"/>
              </w:rPr>
              <w:t xml:space="preserve"> (4%</w:t>
            </w:r>
            <w:r>
              <w:rPr>
                <w:rFonts w:ascii="Arial Narrow" w:hAnsi="Arial Narrow"/>
                <w:sz w:val="20"/>
              </w:rPr>
              <w:t>)</w:t>
            </w:r>
          </w:p>
        </w:tc>
      </w:tr>
      <w:tr w:rsidR="00C36B10" w:rsidRPr="007A0CF6" w14:paraId="09C8D8CF" w14:textId="77777777" w:rsidTr="0094091D">
        <w:tc>
          <w:tcPr>
            <w:tcW w:w="1838" w:type="dxa"/>
          </w:tcPr>
          <w:p w14:paraId="23D9930C"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Melanoma</w:t>
            </w:r>
          </w:p>
        </w:tc>
        <w:tc>
          <w:tcPr>
            <w:tcW w:w="2126" w:type="dxa"/>
          </w:tcPr>
          <w:p w14:paraId="6CEB028E" w14:textId="2F02D554"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10.6%</w:t>
            </w:r>
          </w:p>
        </w:tc>
        <w:tc>
          <w:tcPr>
            <w:tcW w:w="1985" w:type="dxa"/>
          </w:tcPr>
          <w:p w14:paraId="0ECE0191" w14:textId="47DB8BAB" w:rsidR="00C36B10" w:rsidRPr="007A0CF6" w:rsidRDefault="002272A8" w:rsidP="0094091D">
            <w:pPr>
              <w:spacing w:before="40" w:after="40"/>
              <w:jc w:val="center"/>
              <w:rPr>
                <w:rFonts w:ascii="Arial Narrow" w:hAnsi="Arial Narrow"/>
                <w:sz w:val="20"/>
              </w:rPr>
            </w:pPr>
            <w:r>
              <w:rPr>
                <w:rFonts w:ascii="Arial Narrow" w:hAnsi="Arial Narrow"/>
                <w:sz w:val="20"/>
              </w:rPr>
              <w:t>1,352</w:t>
            </w:r>
          </w:p>
        </w:tc>
        <w:tc>
          <w:tcPr>
            <w:tcW w:w="3067" w:type="dxa"/>
          </w:tcPr>
          <w:p w14:paraId="101ED472" w14:textId="2FC9DE72" w:rsidR="00C36B10" w:rsidRPr="007A0CF6" w:rsidRDefault="0094091D" w:rsidP="002272A8">
            <w:pPr>
              <w:tabs>
                <w:tab w:val="left" w:pos="742"/>
              </w:tabs>
              <w:spacing w:before="40" w:after="40"/>
              <w:jc w:val="center"/>
              <w:rPr>
                <w:rFonts w:ascii="Arial Narrow" w:hAnsi="Arial Narrow"/>
                <w:sz w:val="20"/>
              </w:rPr>
            </w:pPr>
            <w:r>
              <w:rPr>
                <w:rFonts w:ascii="Arial Narrow" w:hAnsi="Arial Narrow"/>
                <w:sz w:val="20"/>
              </w:rPr>
              <w:t>(</w:t>
            </w:r>
            <w:r w:rsidR="002272A8">
              <w:rPr>
                <w:rFonts w:ascii="Arial Narrow" w:hAnsi="Arial Narrow"/>
                <w:sz w:val="20"/>
              </w:rPr>
              <w:t>11–77%</w:t>
            </w:r>
            <w:r>
              <w:rPr>
                <w:rFonts w:ascii="Arial Narrow" w:hAnsi="Arial Narrow"/>
                <w:sz w:val="20"/>
              </w:rPr>
              <w:t>)</w:t>
            </w:r>
          </w:p>
        </w:tc>
      </w:tr>
      <w:tr w:rsidR="00C36B10" w:rsidRPr="007A0CF6" w14:paraId="0134A236" w14:textId="77777777" w:rsidTr="0094091D">
        <w:tc>
          <w:tcPr>
            <w:tcW w:w="1838" w:type="dxa"/>
          </w:tcPr>
          <w:p w14:paraId="793223EF"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Lung cancer</w:t>
            </w:r>
          </w:p>
        </w:tc>
        <w:tc>
          <w:tcPr>
            <w:tcW w:w="2126" w:type="dxa"/>
          </w:tcPr>
          <w:p w14:paraId="13998482" w14:textId="0C0E4DE9"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9.0%</w:t>
            </w:r>
          </w:p>
        </w:tc>
        <w:tc>
          <w:tcPr>
            <w:tcW w:w="1985" w:type="dxa"/>
          </w:tcPr>
          <w:p w14:paraId="037D2C4C" w14:textId="56F2C398" w:rsidR="00C36B10" w:rsidRPr="007A0CF6" w:rsidRDefault="00A028BF" w:rsidP="0094091D">
            <w:pPr>
              <w:spacing w:before="40" w:after="40"/>
              <w:jc w:val="center"/>
              <w:rPr>
                <w:rFonts w:ascii="Arial Narrow" w:hAnsi="Arial Narrow"/>
                <w:sz w:val="20"/>
              </w:rPr>
            </w:pPr>
            <w:r>
              <w:rPr>
                <w:rFonts w:ascii="Arial Narrow" w:hAnsi="Arial Narrow"/>
                <w:sz w:val="20"/>
              </w:rPr>
              <w:t>7,495</w:t>
            </w:r>
          </w:p>
        </w:tc>
        <w:tc>
          <w:tcPr>
            <w:tcW w:w="3067" w:type="dxa"/>
          </w:tcPr>
          <w:p w14:paraId="74191482" w14:textId="3A467882" w:rsidR="00C36B10" w:rsidRPr="007A0CF6" w:rsidRDefault="0094091D" w:rsidP="0094091D">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1%</w:t>
            </w:r>
            <w:r>
              <w:rPr>
                <w:rFonts w:ascii="Arial Narrow" w:hAnsi="Arial Narrow"/>
                <w:sz w:val="20"/>
              </w:rPr>
              <w:t>)</w:t>
            </w:r>
          </w:p>
        </w:tc>
      </w:tr>
      <w:tr w:rsidR="00C36B10" w:rsidRPr="007A0CF6" w14:paraId="657628F8" w14:textId="77777777" w:rsidTr="0094091D">
        <w:tc>
          <w:tcPr>
            <w:tcW w:w="1838" w:type="dxa"/>
          </w:tcPr>
          <w:p w14:paraId="5B3FA325"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Endometrial</w:t>
            </w:r>
            <w:r>
              <w:rPr>
                <w:rFonts w:ascii="Arial Narrow" w:hAnsi="Arial Narrow"/>
                <w:sz w:val="20"/>
              </w:rPr>
              <w:t xml:space="preserve"> cancer</w:t>
            </w:r>
          </w:p>
        </w:tc>
        <w:tc>
          <w:tcPr>
            <w:tcW w:w="2126" w:type="dxa"/>
          </w:tcPr>
          <w:p w14:paraId="33629EC1" w14:textId="25B18FBE"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4.1%</w:t>
            </w:r>
          </w:p>
        </w:tc>
        <w:tc>
          <w:tcPr>
            <w:tcW w:w="1985" w:type="dxa"/>
          </w:tcPr>
          <w:p w14:paraId="69712F06" w14:textId="45904BC8" w:rsidR="00C36B10" w:rsidRPr="007A0CF6" w:rsidRDefault="00A028BF" w:rsidP="0094091D">
            <w:pPr>
              <w:spacing w:before="40" w:after="40"/>
              <w:jc w:val="center"/>
              <w:rPr>
                <w:rFonts w:ascii="Arial Narrow" w:hAnsi="Arial Narrow"/>
                <w:sz w:val="20"/>
              </w:rPr>
            </w:pPr>
            <w:r>
              <w:rPr>
                <w:rFonts w:ascii="Arial Narrow" w:hAnsi="Arial Narrow"/>
                <w:sz w:val="20"/>
              </w:rPr>
              <w:t>295</w:t>
            </w:r>
          </w:p>
        </w:tc>
        <w:tc>
          <w:tcPr>
            <w:tcW w:w="3067" w:type="dxa"/>
          </w:tcPr>
          <w:p w14:paraId="3625DC03" w14:textId="01DE4DC9" w:rsidR="00C36B10" w:rsidRPr="007A0CF6" w:rsidRDefault="0094091D" w:rsidP="0094091D">
            <w:pPr>
              <w:tabs>
                <w:tab w:val="left" w:pos="742"/>
              </w:tabs>
              <w:spacing w:before="40" w:after="40"/>
              <w:jc w:val="center"/>
              <w:rPr>
                <w:rFonts w:ascii="Arial Narrow" w:hAnsi="Arial Narrow"/>
                <w:sz w:val="20"/>
              </w:rPr>
            </w:pPr>
            <w:r w:rsidRPr="007A0CF6">
              <w:rPr>
                <w:rFonts w:ascii="Arial Narrow" w:hAnsi="Arial Narrow"/>
                <w:sz w:val="20"/>
              </w:rPr>
              <w:t>33%</w:t>
            </w:r>
            <w:r w:rsidR="00A028BF">
              <w:rPr>
                <w:rFonts w:ascii="Arial Narrow" w:hAnsi="Arial Narrow"/>
                <w:sz w:val="20"/>
              </w:rPr>
              <w:t xml:space="preserve"> (17%</w:t>
            </w:r>
            <w:r>
              <w:rPr>
                <w:rFonts w:ascii="Arial Narrow" w:hAnsi="Arial Narrow"/>
                <w:sz w:val="20"/>
              </w:rPr>
              <w:t>)</w:t>
            </w:r>
          </w:p>
        </w:tc>
      </w:tr>
      <w:tr w:rsidR="00C36B10" w:rsidRPr="007A0CF6" w14:paraId="0205026C" w14:textId="77777777" w:rsidTr="0094091D">
        <w:tc>
          <w:tcPr>
            <w:tcW w:w="1838" w:type="dxa"/>
          </w:tcPr>
          <w:p w14:paraId="010E8FAF"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Renal cell carcinoma</w:t>
            </w:r>
          </w:p>
        </w:tc>
        <w:tc>
          <w:tcPr>
            <w:tcW w:w="2126" w:type="dxa"/>
          </w:tcPr>
          <w:p w14:paraId="26AADB08" w14:textId="054ED150" w:rsidR="00C36B10" w:rsidRPr="007A0CF6" w:rsidRDefault="00D65A10" w:rsidP="0094091D">
            <w:pPr>
              <w:tabs>
                <w:tab w:val="left" w:pos="743"/>
              </w:tabs>
              <w:spacing w:before="40" w:after="40"/>
              <w:jc w:val="center"/>
              <w:rPr>
                <w:rFonts w:ascii="Arial Narrow" w:hAnsi="Arial Narrow"/>
                <w:sz w:val="20"/>
              </w:rPr>
            </w:pPr>
            <w:r w:rsidRPr="00D65A10">
              <w:rPr>
                <w:rFonts w:ascii="Arial Narrow" w:hAnsi="Arial Narrow"/>
                <w:sz w:val="20"/>
              </w:rPr>
              <w:t>2.6%</w:t>
            </w:r>
          </w:p>
        </w:tc>
        <w:tc>
          <w:tcPr>
            <w:tcW w:w="1985" w:type="dxa"/>
          </w:tcPr>
          <w:p w14:paraId="03A18D11" w14:textId="35DC72DF" w:rsidR="00C36B10" w:rsidRPr="007A0CF6" w:rsidRDefault="00A028BF" w:rsidP="0094091D">
            <w:pPr>
              <w:spacing w:before="40" w:after="40"/>
              <w:jc w:val="center"/>
              <w:rPr>
                <w:rFonts w:ascii="Arial Narrow" w:hAnsi="Arial Narrow"/>
                <w:sz w:val="20"/>
              </w:rPr>
            </w:pPr>
            <w:r>
              <w:rPr>
                <w:rFonts w:ascii="Arial Narrow" w:hAnsi="Arial Narrow"/>
                <w:sz w:val="20"/>
              </w:rPr>
              <w:t>835</w:t>
            </w:r>
          </w:p>
        </w:tc>
        <w:tc>
          <w:tcPr>
            <w:tcW w:w="3067" w:type="dxa"/>
          </w:tcPr>
          <w:p w14:paraId="67AD64E8" w14:textId="68BAA9C6" w:rsidR="00C36B10" w:rsidRPr="007A0CF6" w:rsidRDefault="0094091D" w:rsidP="00A028BF">
            <w:pPr>
              <w:tabs>
                <w:tab w:val="left" w:pos="742"/>
              </w:tabs>
              <w:spacing w:before="40" w:after="40"/>
              <w:ind w:right="-57"/>
              <w:jc w:val="center"/>
              <w:rPr>
                <w:rFonts w:ascii="Arial Narrow" w:hAnsi="Arial Narrow"/>
                <w:sz w:val="20"/>
              </w:rPr>
            </w:pPr>
            <w:r>
              <w:rPr>
                <w:rFonts w:ascii="Arial Narrow" w:hAnsi="Arial Narrow"/>
                <w:sz w:val="20"/>
              </w:rPr>
              <w:t>(</w:t>
            </w:r>
            <w:r w:rsidR="00A028BF">
              <w:rPr>
                <w:rFonts w:ascii="Arial Narrow" w:hAnsi="Arial Narrow"/>
                <w:sz w:val="20"/>
              </w:rPr>
              <w:t>1–4%</w:t>
            </w:r>
            <w:r>
              <w:rPr>
                <w:rFonts w:ascii="Arial Narrow" w:hAnsi="Arial Narrow"/>
                <w:sz w:val="20"/>
              </w:rPr>
              <w:t>)</w:t>
            </w:r>
          </w:p>
        </w:tc>
      </w:tr>
      <w:tr w:rsidR="00C36B10" w:rsidRPr="007A0CF6" w14:paraId="12741FFA" w14:textId="77777777" w:rsidTr="0094091D">
        <w:tc>
          <w:tcPr>
            <w:tcW w:w="1838" w:type="dxa"/>
          </w:tcPr>
          <w:p w14:paraId="153A94D8" w14:textId="77777777" w:rsidR="00C36B10" w:rsidRPr="007A0CF6" w:rsidRDefault="00C36B10" w:rsidP="006E2B6C">
            <w:pPr>
              <w:spacing w:before="40" w:after="40"/>
              <w:jc w:val="both"/>
              <w:rPr>
                <w:rFonts w:ascii="Arial Narrow" w:hAnsi="Arial Narrow"/>
                <w:sz w:val="20"/>
              </w:rPr>
            </w:pPr>
            <w:r w:rsidRPr="007A0CF6">
              <w:rPr>
                <w:rFonts w:ascii="Arial Narrow" w:hAnsi="Arial Narrow"/>
                <w:sz w:val="20"/>
              </w:rPr>
              <w:t>Thyroid cancer</w:t>
            </w:r>
          </w:p>
        </w:tc>
        <w:tc>
          <w:tcPr>
            <w:tcW w:w="2126" w:type="dxa"/>
          </w:tcPr>
          <w:p w14:paraId="036CF160" w14:textId="1CAD714A" w:rsidR="00C36B10" w:rsidRPr="007A0CF6" w:rsidRDefault="00D65A10" w:rsidP="0094091D">
            <w:pPr>
              <w:tabs>
                <w:tab w:val="left" w:pos="743"/>
              </w:tabs>
              <w:spacing w:before="40" w:after="40"/>
              <w:jc w:val="center"/>
              <w:rPr>
                <w:rFonts w:ascii="Arial Narrow" w:hAnsi="Arial Narrow"/>
                <w:sz w:val="20"/>
              </w:rPr>
            </w:pPr>
            <w:r>
              <w:rPr>
                <w:rFonts w:ascii="Arial Narrow" w:hAnsi="Arial Narrow"/>
                <w:sz w:val="20"/>
              </w:rPr>
              <w:t>2.6%</w:t>
            </w:r>
          </w:p>
        </w:tc>
        <w:tc>
          <w:tcPr>
            <w:tcW w:w="1985" w:type="dxa"/>
          </w:tcPr>
          <w:p w14:paraId="05749E42" w14:textId="5028E3E0" w:rsidR="00C36B10" w:rsidRPr="007A0CF6" w:rsidRDefault="002272A8" w:rsidP="0094091D">
            <w:pPr>
              <w:spacing w:before="40" w:after="40"/>
              <w:jc w:val="center"/>
              <w:rPr>
                <w:rFonts w:ascii="Arial Narrow" w:hAnsi="Arial Narrow"/>
                <w:sz w:val="20"/>
              </w:rPr>
            </w:pPr>
            <w:r>
              <w:rPr>
                <w:rFonts w:ascii="Arial Narrow" w:hAnsi="Arial Narrow"/>
                <w:sz w:val="20"/>
              </w:rPr>
              <w:t>123</w:t>
            </w:r>
          </w:p>
        </w:tc>
        <w:tc>
          <w:tcPr>
            <w:tcW w:w="3067" w:type="dxa"/>
          </w:tcPr>
          <w:p w14:paraId="65E80E29" w14:textId="350DB828" w:rsidR="00C36B10" w:rsidRPr="007A0CF6" w:rsidRDefault="0094091D" w:rsidP="002272A8">
            <w:pPr>
              <w:tabs>
                <w:tab w:val="left" w:pos="742"/>
              </w:tabs>
              <w:spacing w:before="40" w:after="40"/>
              <w:jc w:val="center"/>
              <w:rPr>
                <w:rFonts w:ascii="Arial Narrow" w:hAnsi="Arial Narrow"/>
                <w:sz w:val="20"/>
              </w:rPr>
            </w:pPr>
            <w:r>
              <w:rPr>
                <w:rFonts w:ascii="Arial Narrow" w:hAnsi="Arial Narrow"/>
                <w:sz w:val="20"/>
              </w:rPr>
              <w:t>(</w:t>
            </w:r>
            <w:r w:rsidR="002272A8">
              <w:rPr>
                <w:rFonts w:ascii="Arial Narrow" w:hAnsi="Arial Narrow"/>
                <w:sz w:val="20"/>
              </w:rPr>
              <w:t>23%</w:t>
            </w:r>
            <w:r>
              <w:rPr>
                <w:rFonts w:ascii="Arial Narrow" w:hAnsi="Arial Narrow"/>
                <w:sz w:val="20"/>
              </w:rPr>
              <w:t>)</w:t>
            </w:r>
          </w:p>
        </w:tc>
      </w:tr>
      <w:tr w:rsidR="0094091D" w:rsidRPr="007A0CF6" w14:paraId="6F6BC648" w14:textId="77777777" w:rsidTr="0094091D">
        <w:tc>
          <w:tcPr>
            <w:tcW w:w="1838" w:type="dxa"/>
          </w:tcPr>
          <w:p w14:paraId="0499E553" w14:textId="1D9A3798" w:rsidR="0094091D" w:rsidRPr="007A0CF6" w:rsidRDefault="0094091D" w:rsidP="0094091D">
            <w:pPr>
              <w:spacing w:before="40" w:after="40"/>
              <w:jc w:val="both"/>
              <w:rPr>
                <w:rFonts w:ascii="Arial Narrow" w:hAnsi="Arial Narrow"/>
                <w:sz w:val="20"/>
              </w:rPr>
            </w:pPr>
            <w:r w:rsidRPr="007A0CF6">
              <w:rPr>
                <w:rFonts w:ascii="Arial Narrow" w:hAnsi="Arial Narrow"/>
                <w:sz w:val="20"/>
              </w:rPr>
              <w:t>Head and neck cancer</w:t>
            </w:r>
          </w:p>
        </w:tc>
        <w:tc>
          <w:tcPr>
            <w:tcW w:w="2126" w:type="dxa"/>
          </w:tcPr>
          <w:p w14:paraId="1EFF52FB" w14:textId="0C79E4CD" w:rsidR="0094091D" w:rsidRDefault="0094091D" w:rsidP="0094091D">
            <w:pPr>
              <w:tabs>
                <w:tab w:val="left" w:pos="743"/>
              </w:tabs>
              <w:spacing w:before="40" w:after="40"/>
              <w:jc w:val="center"/>
              <w:rPr>
                <w:rFonts w:ascii="Arial Narrow" w:hAnsi="Arial Narrow"/>
                <w:sz w:val="20"/>
              </w:rPr>
            </w:pPr>
            <w:r>
              <w:rPr>
                <w:rFonts w:ascii="Arial Narrow" w:hAnsi="Arial Narrow"/>
                <w:sz w:val="20"/>
              </w:rPr>
              <w:t>2.5%</w:t>
            </w:r>
          </w:p>
        </w:tc>
        <w:tc>
          <w:tcPr>
            <w:tcW w:w="1985" w:type="dxa"/>
          </w:tcPr>
          <w:p w14:paraId="441F3901" w14:textId="2F4E4812" w:rsidR="0094091D" w:rsidRPr="007A0CF6" w:rsidRDefault="002272A8" w:rsidP="0094091D">
            <w:pPr>
              <w:spacing w:before="40" w:after="40"/>
              <w:jc w:val="center"/>
              <w:rPr>
                <w:rFonts w:ascii="Arial Narrow" w:hAnsi="Arial Narrow"/>
                <w:sz w:val="20"/>
              </w:rPr>
            </w:pPr>
            <w:r>
              <w:rPr>
                <w:rFonts w:ascii="Arial Narrow" w:hAnsi="Arial Narrow"/>
                <w:sz w:val="20"/>
              </w:rPr>
              <w:t>1,007</w:t>
            </w:r>
          </w:p>
        </w:tc>
        <w:tc>
          <w:tcPr>
            <w:tcW w:w="3067" w:type="dxa"/>
          </w:tcPr>
          <w:p w14:paraId="7CDAC2B0" w14:textId="4C22094D" w:rsidR="0094091D" w:rsidRDefault="0094091D" w:rsidP="0094091D">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1</w:t>
            </w:r>
            <w:r w:rsidR="002272A8">
              <w:rPr>
                <w:rFonts w:ascii="Arial Narrow" w:hAnsi="Arial Narrow"/>
                <w:sz w:val="20"/>
              </w:rPr>
              <w:t>–3</w:t>
            </w:r>
            <w:r w:rsidRPr="007A0CF6">
              <w:rPr>
                <w:rFonts w:ascii="Arial Narrow" w:hAnsi="Arial Narrow"/>
                <w:sz w:val="20"/>
              </w:rPr>
              <w:t>%</w:t>
            </w:r>
            <w:r>
              <w:rPr>
                <w:rFonts w:ascii="Arial Narrow" w:hAnsi="Arial Narrow"/>
                <w:sz w:val="20"/>
              </w:rPr>
              <w:t>)</w:t>
            </w:r>
          </w:p>
        </w:tc>
      </w:tr>
      <w:tr w:rsidR="0094091D" w:rsidRPr="007A0CF6" w14:paraId="3F921511" w14:textId="77777777" w:rsidTr="0094091D">
        <w:tc>
          <w:tcPr>
            <w:tcW w:w="1838" w:type="dxa"/>
          </w:tcPr>
          <w:p w14:paraId="14A2AB2D" w14:textId="5E890BCE" w:rsidR="0094091D" w:rsidRPr="007A0CF6" w:rsidRDefault="0094091D" w:rsidP="0094091D">
            <w:pPr>
              <w:spacing w:before="40" w:after="40"/>
              <w:jc w:val="both"/>
              <w:rPr>
                <w:rFonts w:ascii="Arial Narrow" w:hAnsi="Arial Narrow"/>
                <w:sz w:val="20"/>
              </w:rPr>
            </w:pPr>
            <w:r w:rsidRPr="007A0CF6">
              <w:rPr>
                <w:rFonts w:ascii="Arial Narrow" w:hAnsi="Arial Narrow"/>
                <w:sz w:val="20"/>
              </w:rPr>
              <w:t>Pancreatic</w:t>
            </w:r>
            <w:r>
              <w:rPr>
                <w:rFonts w:ascii="Arial Narrow" w:hAnsi="Arial Narrow"/>
                <w:sz w:val="20"/>
              </w:rPr>
              <w:t xml:space="preserve"> cancer</w:t>
            </w:r>
          </w:p>
        </w:tc>
        <w:tc>
          <w:tcPr>
            <w:tcW w:w="2126" w:type="dxa"/>
          </w:tcPr>
          <w:p w14:paraId="3F8D89EE" w14:textId="1A4C412A" w:rsidR="0094091D" w:rsidRDefault="0094091D" w:rsidP="0094091D">
            <w:pPr>
              <w:tabs>
                <w:tab w:val="left" w:pos="743"/>
              </w:tabs>
              <w:spacing w:before="40" w:after="40"/>
              <w:jc w:val="center"/>
              <w:rPr>
                <w:rFonts w:ascii="Arial Narrow" w:hAnsi="Arial Narrow"/>
                <w:sz w:val="20"/>
              </w:rPr>
            </w:pPr>
            <w:r>
              <w:rPr>
                <w:rFonts w:ascii="Arial Narrow" w:hAnsi="Arial Narrow"/>
                <w:sz w:val="20"/>
              </w:rPr>
              <w:t>2.4%</w:t>
            </w:r>
          </w:p>
        </w:tc>
        <w:tc>
          <w:tcPr>
            <w:tcW w:w="1985" w:type="dxa"/>
          </w:tcPr>
          <w:p w14:paraId="33F14C39" w14:textId="6FB47DEF" w:rsidR="0094091D" w:rsidRPr="007A0CF6" w:rsidRDefault="00A028BF" w:rsidP="0094091D">
            <w:pPr>
              <w:spacing w:before="40" w:after="40"/>
              <w:jc w:val="center"/>
              <w:rPr>
                <w:rFonts w:ascii="Arial Narrow" w:hAnsi="Arial Narrow"/>
                <w:sz w:val="20"/>
              </w:rPr>
            </w:pPr>
            <w:r>
              <w:rPr>
                <w:rFonts w:ascii="Arial Narrow" w:hAnsi="Arial Narrow"/>
                <w:sz w:val="20"/>
              </w:rPr>
              <w:t>2,408</w:t>
            </w:r>
          </w:p>
        </w:tc>
        <w:tc>
          <w:tcPr>
            <w:tcW w:w="3067" w:type="dxa"/>
          </w:tcPr>
          <w:p w14:paraId="4B05FB9A" w14:textId="7EC1DB81" w:rsidR="0094091D" w:rsidRDefault="0094091D" w:rsidP="00A028BF">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1</w:t>
            </w:r>
            <w:r w:rsidR="00A028BF">
              <w:rPr>
                <w:rFonts w:ascii="Arial Narrow" w:hAnsi="Arial Narrow"/>
                <w:sz w:val="20"/>
              </w:rPr>
              <w:t>–4</w:t>
            </w:r>
            <w:r w:rsidRPr="007A0CF6">
              <w:rPr>
                <w:rFonts w:ascii="Arial Narrow" w:hAnsi="Arial Narrow"/>
                <w:sz w:val="20"/>
              </w:rPr>
              <w:t>%</w:t>
            </w:r>
            <w:r>
              <w:rPr>
                <w:rFonts w:ascii="Arial Narrow" w:hAnsi="Arial Narrow"/>
                <w:sz w:val="20"/>
              </w:rPr>
              <w:t>)</w:t>
            </w:r>
          </w:p>
        </w:tc>
      </w:tr>
      <w:tr w:rsidR="0094091D" w:rsidRPr="007A0CF6" w14:paraId="7D3D4BB8" w14:textId="77777777" w:rsidTr="0094091D">
        <w:tc>
          <w:tcPr>
            <w:tcW w:w="1838" w:type="dxa"/>
          </w:tcPr>
          <w:p w14:paraId="623F0A03" w14:textId="177AE6B2" w:rsidR="0094091D" w:rsidRPr="007A0CF6" w:rsidRDefault="0094091D" w:rsidP="0094091D">
            <w:pPr>
              <w:spacing w:before="40" w:after="40"/>
              <w:jc w:val="both"/>
              <w:rPr>
                <w:rFonts w:ascii="Arial Narrow" w:hAnsi="Arial Narrow"/>
                <w:sz w:val="20"/>
              </w:rPr>
            </w:pPr>
            <w:r w:rsidRPr="007A0CF6">
              <w:rPr>
                <w:rFonts w:ascii="Arial Narrow" w:hAnsi="Arial Narrow"/>
                <w:sz w:val="20"/>
              </w:rPr>
              <w:t>Ovarian</w:t>
            </w:r>
            <w:r>
              <w:rPr>
                <w:rFonts w:ascii="Arial Narrow" w:hAnsi="Arial Narrow"/>
                <w:sz w:val="20"/>
              </w:rPr>
              <w:t xml:space="preserve"> cancer</w:t>
            </w:r>
          </w:p>
        </w:tc>
        <w:tc>
          <w:tcPr>
            <w:tcW w:w="2126" w:type="dxa"/>
          </w:tcPr>
          <w:p w14:paraId="276FF0F4" w14:textId="4DE26B5D" w:rsidR="0094091D" w:rsidRDefault="0094091D" w:rsidP="0094091D">
            <w:pPr>
              <w:tabs>
                <w:tab w:val="left" w:pos="743"/>
              </w:tabs>
              <w:spacing w:before="40" w:after="40"/>
              <w:jc w:val="center"/>
              <w:rPr>
                <w:rFonts w:ascii="Arial Narrow" w:hAnsi="Arial Narrow"/>
                <w:sz w:val="20"/>
              </w:rPr>
            </w:pPr>
            <w:r>
              <w:rPr>
                <w:rFonts w:ascii="Arial Narrow" w:hAnsi="Arial Narrow"/>
                <w:sz w:val="20"/>
              </w:rPr>
              <w:t>2.3%</w:t>
            </w:r>
          </w:p>
        </w:tc>
        <w:tc>
          <w:tcPr>
            <w:tcW w:w="1985" w:type="dxa"/>
          </w:tcPr>
          <w:p w14:paraId="0C7B8EA5" w14:textId="4BB19261" w:rsidR="0094091D" w:rsidRPr="007A0CF6" w:rsidRDefault="00A028BF" w:rsidP="0094091D">
            <w:pPr>
              <w:spacing w:before="40" w:after="40"/>
              <w:jc w:val="center"/>
              <w:rPr>
                <w:rFonts w:ascii="Arial Narrow" w:hAnsi="Arial Narrow"/>
                <w:sz w:val="20"/>
              </w:rPr>
            </w:pPr>
            <w:r>
              <w:rPr>
                <w:rFonts w:ascii="Arial Narrow" w:hAnsi="Arial Narrow"/>
                <w:sz w:val="20"/>
              </w:rPr>
              <w:t>811</w:t>
            </w:r>
          </w:p>
        </w:tc>
        <w:tc>
          <w:tcPr>
            <w:tcW w:w="3067" w:type="dxa"/>
          </w:tcPr>
          <w:p w14:paraId="7B1C06C9" w14:textId="555AC57F" w:rsidR="0094091D" w:rsidRDefault="0094091D" w:rsidP="0094091D">
            <w:pPr>
              <w:tabs>
                <w:tab w:val="left" w:pos="742"/>
              </w:tabs>
              <w:spacing w:before="40" w:after="40"/>
              <w:jc w:val="center"/>
              <w:rPr>
                <w:rFonts w:ascii="Arial Narrow" w:hAnsi="Arial Narrow"/>
                <w:sz w:val="20"/>
              </w:rPr>
            </w:pPr>
            <w:r>
              <w:rPr>
                <w:rFonts w:ascii="Arial Narrow" w:hAnsi="Arial Narrow"/>
                <w:sz w:val="20"/>
              </w:rPr>
              <w:t>(10</w:t>
            </w:r>
            <w:r w:rsidR="00A028BF">
              <w:rPr>
                <w:rFonts w:ascii="Arial Narrow" w:hAnsi="Arial Narrow"/>
                <w:sz w:val="20"/>
              </w:rPr>
              <w:t>–11</w:t>
            </w:r>
            <w:r>
              <w:rPr>
                <w:rFonts w:ascii="Arial Narrow" w:hAnsi="Arial Narrow"/>
                <w:sz w:val="20"/>
              </w:rPr>
              <w:t>%)</w:t>
            </w:r>
          </w:p>
        </w:tc>
      </w:tr>
      <w:tr w:rsidR="0094091D" w:rsidRPr="007A0CF6" w14:paraId="2B803C38" w14:textId="77777777" w:rsidTr="0094091D">
        <w:tc>
          <w:tcPr>
            <w:tcW w:w="1838" w:type="dxa"/>
          </w:tcPr>
          <w:p w14:paraId="338ED80B" w14:textId="1A5C19AB" w:rsidR="0094091D" w:rsidRPr="007A0CF6" w:rsidRDefault="0094091D" w:rsidP="0094091D">
            <w:pPr>
              <w:spacing w:before="40" w:after="40"/>
              <w:jc w:val="both"/>
              <w:rPr>
                <w:rFonts w:ascii="Arial Narrow" w:hAnsi="Arial Narrow"/>
                <w:sz w:val="20"/>
              </w:rPr>
            </w:pPr>
            <w:r w:rsidRPr="007A0CF6">
              <w:rPr>
                <w:rFonts w:ascii="Arial Narrow" w:hAnsi="Arial Narrow"/>
                <w:sz w:val="20"/>
              </w:rPr>
              <w:t>Gastric</w:t>
            </w:r>
            <w:r>
              <w:rPr>
                <w:rFonts w:ascii="Arial Narrow" w:hAnsi="Arial Narrow"/>
                <w:sz w:val="20"/>
              </w:rPr>
              <w:t xml:space="preserve"> cancer</w:t>
            </w:r>
          </w:p>
        </w:tc>
        <w:tc>
          <w:tcPr>
            <w:tcW w:w="2126" w:type="dxa"/>
          </w:tcPr>
          <w:p w14:paraId="0A02DDC4" w14:textId="19794E30" w:rsidR="0094091D" w:rsidRDefault="0094091D" w:rsidP="0094091D">
            <w:pPr>
              <w:tabs>
                <w:tab w:val="left" w:pos="743"/>
              </w:tabs>
              <w:spacing w:before="40" w:after="40"/>
              <w:jc w:val="center"/>
              <w:rPr>
                <w:rFonts w:ascii="Arial Narrow" w:hAnsi="Arial Narrow"/>
                <w:sz w:val="20"/>
              </w:rPr>
            </w:pPr>
            <w:r>
              <w:rPr>
                <w:rFonts w:ascii="Arial Narrow" w:hAnsi="Arial Narrow"/>
                <w:sz w:val="20"/>
              </w:rPr>
              <w:t>1.7%</w:t>
            </w:r>
          </w:p>
        </w:tc>
        <w:tc>
          <w:tcPr>
            <w:tcW w:w="1985" w:type="dxa"/>
          </w:tcPr>
          <w:p w14:paraId="2B024B6C" w14:textId="04A995A3" w:rsidR="0094091D" w:rsidRPr="007A0CF6" w:rsidRDefault="00A028BF" w:rsidP="0094091D">
            <w:pPr>
              <w:spacing w:before="40" w:after="40"/>
              <w:jc w:val="center"/>
              <w:rPr>
                <w:rFonts w:ascii="Arial Narrow" w:hAnsi="Arial Narrow"/>
                <w:sz w:val="20"/>
              </w:rPr>
            </w:pPr>
            <w:r>
              <w:rPr>
                <w:rFonts w:ascii="Arial Narrow" w:hAnsi="Arial Narrow"/>
                <w:sz w:val="20"/>
              </w:rPr>
              <w:t>1,007</w:t>
            </w:r>
          </w:p>
        </w:tc>
        <w:tc>
          <w:tcPr>
            <w:tcW w:w="3067" w:type="dxa"/>
          </w:tcPr>
          <w:p w14:paraId="12142FF3" w14:textId="36B03E0B" w:rsidR="0094091D" w:rsidRDefault="0094091D" w:rsidP="0094091D">
            <w:pPr>
              <w:tabs>
                <w:tab w:val="left" w:pos="742"/>
              </w:tabs>
              <w:spacing w:before="40" w:after="40"/>
              <w:jc w:val="center"/>
              <w:rPr>
                <w:rFonts w:ascii="Arial Narrow" w:hAnsi="Arial Narrow"/>
                <w:sz w:val="20"/>
              </w:rPr>
            </w:pPr>
            <w:r w:rsidRPr="007A0CF6">
              <w:rPr>
                <w:rFonts w:ascii="Arial Narrow" w:hAnsi="Arial Narrow"/>
                <w:sz w:val="20"/>
              </w:rPr>
              <w:t>1</w:t>
            </w:r>
            <w:r>
              <w:rPr>
                <w:rFonts w:ascii="Arial Narrow" w:hAnsi="Arial Narrow"/>
                <w:sz w:val="20"/>
              </w:rPr>
              <w:t>5</w:t>
            </w:r>
            <w:r w:rsidRPr="007A0CF6">
              <w:rPr>
                <w:rFonts w:ascii="Arial Narrow" w:hAnsi="Arial Narrow"/>
                <w:sz w:val="20"/>
              </w:rPr>
              <w:t>%</w:t>
            </w:r>
            <w:r w:rsidR="00A028BF">
              <w:rPr>
                <w:rFonts w:ascii="Arial Narrow" w:hAnsi="Arial Narrow"/>
                <w:sz w:val="20"/>
              </w:rPr>
              <w:t xml:space="preserve"> (7.5%</w:t>
            </w:r>
            <w:r>
              <w:rPr>
                <w:rFonts w:ascii="Arial Narrow" w:hAnsi="Arial Narrow"/>
                <w:sz w:val="20"/>
              </w:rPr>
              <w:t>)</w:t>
            </w:r>
          </w:p>
        </w:tc>
      </w:tr>
      <w:tr w:rsidR="0094091D" w:rsidRPr="007A0CF6" w14:paraId="4FE608C8" w14:textId="77777777" w:rsidTr="0094091D">
        <w:tc>
          <w:tcPr>
            <w:tcW w:w="1838" w:type="dxa"/>
          </w:tcPr>
          <w:p w14:paraId="49391321" w14:textId="418C1861" w:rsidR="0094091D" w:rsidRPr="007A0CF6" w:rsidRDefault="0094091D" w:rsidP="0094091D">
            <w:pPr>
              <w:spacing w:before="40" w:after="40"/>
              <w:jc w:val="both"/>
              <w:rPr>
                <w:rFonts w:ascii="Arial Narrow" w:hAnsi="Arial Narrow"/>
                <w:sz w:val="20"/>
              </w:rPr>
            </w:pPr>
            <w:r w:rsidRPr="007A0CF6">
              <w:rPr>
                <w:rFonts w:ascii="Arial Narrow" w:hAnsi="Arial Narrow"/>
                <w:sz w:val="20"/>
              </w:rPr>
              <w:t>Cervical</w:t>
            </w:r>
            <w:r>
              <w:rPr>
                <w:rFonts w:ascii="Arial Narrow" w:hAnsi="Arial Narrow"/>
                <w:sz w:val="20"/>
              </w:rPr>
              <w:t xml:space="preserve"> cancer</w:t>
            </w:r>
          </w:p>
        </w:tc>
        <w:tc>
          <w:tcPr>
            <w:tcW w:w="2126" w:type="dxa"/>
          </w:tcPr>
          <w:p w14:paraId="2D9FC436" w14:textId="7118B4D9" w:rsidR="0094091D" w:rsidRDefault="0094091D" w:rsidP="0094091D">
            <w:pPr>
              <w:tabs>
                <w:tab w:val="left" w:pos="743"/>
              </w:tabs>
              <w:spacing w:before="40" w:after="40"/>
              <w:jc w:val="center"/>
              <w:rPr>
                <w:rFonts w:ascii="Arial Narrow" w:hAnsi="Arial Narrow"/>
                <w:sz w:val="20"/>
              </w:rPr>
            </w:pPr>
            <w:r>
              <w:rPr>
                <w:rFonts w:ascii="Arial Narrow" w:hAnsi="Arial Narrow"/>
                <w:sz w:val="20"/>
              </w:rPr>
              <w:t>1.5%</w:t>
            </w:r>
          </w:p>
        </w:tc>
        <w:tc>
          <w:tcPr>
            <w:tcW w:w="1985" w:type="dxa"/>
          </w:tcPr>
          <w:p w14:paraId="653722AF" w14:textId="410C39CA" w:rsidR="0094091D" w:rsidRPr="007A0CF6" w:rsidRDefault="00A028BF" w:rsidP="0094091D">
            <w:pPr>
              <w:spacing w:before="40" w:after="40"/>
              <w:jc w:val="center"/>
              <w:rPr>
                <w:rFonts w:ascii="Arial Narrow" w:hAnsi="Arial Narrow"/>
                <w:sz w:val="20"/>
              </w:rPr>
            </w:pPr>
            <w:r>
              <w:rPr>
                <w:rFonts w:ascii="Arial Narrow" w:hAnsi="Arial Narrow"/>
                <w:sz w:val="20"/>
              </w:rPr>
              <w:t>221</w:t>
            </w:r>
          </w:p>
        </w:tc>
        <w:tc>
          <w:tcPr>
            <w:tcW w:w="3067" w:type="dxa"/>
          </w:tcPr>
          <w:p w14:paraId="0F3A6FF7" w14:textId="4E94C6F1" w:rsidR="0094091D" w:rsidRDefault="00A028BF" w:rsidP="00A028BF">
            <w:pPr>
              <w:tabs>
                <w:tab w:val="left" w:pos="742"/>
              </w:tabs>
              <w:spacing w:before="40" w:after="40"/>
              <w:jc w:val="center"/>
              <w:rPr>
                <w:rFonts w:ascii="Arial Narrow" w:hAnsi="Arial Narrow"/>
                <w:sz w:val="20"/>
              </w:rPr>
            </w:pPr>
            <w:r>
              <w:rPr>
                <w:rFonts w:ascii="Arial Narrow" w:hAnsi="Arial Narrow"/>
                <w:sz w:val="20"/>
              </w:rPr>
              <w:t>(5–9%</w:t>
            </w:r>
            <w:r w:rsidR="0094091D">
              <w:rPr>
                <w:rFonts w:ascii="Arial Narrow" w:hAnsi="Arial Narrow"/>
                <w:sz w:val="20"/>
              </w:rPr>
              <w:t>)</w:t>
            </w:r>
          </w:p>
        </w:tc>
      </w:tr>
      <w:tr w:rsidR="0094091D" w:rsidRPr="007A0CF6" w14:paraId="4A415CD9" w14:textId="77777777" w:rsidTr="0094091D">
        <w:tc>
          <w:tcPr>
            <w:tcW w:w="1838" w:type="dxa"/>
          </w:tcPr>
          <w:p w14:paraId="46EBC762" w14:textId="4E60A2FC" w:rsidR="0094091D" w:rsidRPr="007A0CF6" w:rsidRDefault="0094091D" w:rsidP="0094091D">
            <w:pPr>
              <w:spacing w:before="40" w:after="40"/>
              <w:jc w:val="both"/>
              <w:rPr>
                <w:rFonts w:ascii="Arial Narrow" w:hAnsi="Arial Narrow"/>
                <w:sz w:val="20"/>
              </w:rPr>
            </w:pPr>
            <w:r w:rsidRPr="007A0CF6">
              <w:rPr>
                <w:rFonts w:ascii="Arial Narrow" w:hAnsi="Arial Narrow"/>
                <w:sz w:val="20"/>
              </w:rPr>
              <w:t>Glioma</w:t>
            </w:r>
          </w:p>
        </w:tc>
        <w:tc>
          <w:tcPr>
            <w:tcW w:w="2126" w:type="dxa"/>
          </w:tcPr>
          <w:p w14:paraId="5E4CD590" w14:textId="005782CF" w:rsidR="0094091D" w:rsidRDefault="0094091D" w:rsidP="0094091D">
            <w:pPr>
              <w:tabs>
                <w:tab w:val="left" w:pos="743"/>
              </w:tabs>
              <w:spacing w:before="40" w:after="40"/>
              <w:jc w:val="center"/>
              <w:rPr>
                <w:rFonts w:ascii="Arial Narrow" w:hAnsi="Arial Narrow"/>
                <w:sz w:val="20"/>
              </w:rPr>
            </w:pPr>
            <w:r>
              <w:rPr>
                <w:rFonts w:ascii="Arial Narrow" w:hAnsi="Arial Narrow"/>
                <w:sz w:val="20"/>
              </w:rPr>
              <w:t>1.5%</w:t>
            </w:r>
          </w:p>
        </w:tc>
        <w:tc>
          <w:tcPr>
            <w:tcW w:w="1985" w:type="dxa"/>
          </w:tcPr>
          <w:p w14:paraId="44A9E2C8" w14:textId="4F271447" w:rsidR="0094091D" w:rsidRPr="007A0CF6" w:rsidRDefault="00A028BF" w:rsidP="0094091D">
            <w:pPr>
              <w:spacing w:before="40" w:after="40"/>
              <w:jc w:val="center"/>
              <w:rPr>
                <w:rFonts w:ascii="Arial Narrow" w:hAnsi="Arial Narrow"/>
                <w:sz w:val="20"/>
              </w:rPr>
            </w:pPr>
            <w:r>
              <w:rPr>
                <w:rFonts w:ascii="Arial Narrow" w:hAnsi="Arial Narrow"/>
                <w:sz w:val="20"/>
              </w:rPr>
              <w:t>1,278</w:t>
            </w:r>
          </w:p>
        </w:tc>
        <w:tc>
          <w:tcPr>
            <w:tcW w:w="3067" w:type="dxa"/>
          </w:tcPr>
          <w:p w14:paraId="446DFAF5" w14:textId="6A5EB34A" w:rsidR="0094091D" w:rsidRDefault="0094091D" w:rsidP="002272A8">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0–33%</w:t>
            </w:r>
            <w:r>
              <w:rPr>
                <w:rFonts w:ascii="Arial Narrow" w:hAnsi="Arial Narrow"/>
                <w:sz w:val="20"/>
              </w:rPr>
              <w:t>)</w:t>
            </w:r>
          </w:p>
        </w:tc>
      </w:tr>
      <w:tr w:rsidR="0094091D" w:rsidRPr="007A0CF6" w14:paraId="07562E89" w14:textId="77777777" w:rsidTr="0094091D">
        <w:tc>
          <w:tcPr>
            <w:tcW w:w="1838" w:type="dxa"/>
          </w:tcPr>
          <w:p w14:paraId="4893D47D" w14:textId="3FD87C0B" w:rsidR="0094091D" w:rsidRPr="007A0CF6" w:rsidRDefault="0094091D" w:rsidP="0094091D">
            <w:pPr>
              <w:spacing w:before="40" w:after="40"/>
              <w:jc w:val="both"/>
              <w:rPr>
                <w:rFonts w:ascii="Arial Narrow" w:hAnsi="Arial Narrow"/>
                <w:sz w:val="20"/>
              </w:rPr>
            </w:pPr>
            <w:r w:rsidRPr="007A0CF6">
              <w:rPr>
                <w:rFonts w:ascii="Arial Narrow" w:hAnsi="Arial Narrow"/>
                <w:sz w:val="20"/>
              </w:rPr>
              <w:t>Oesophageal</w:t>
            </w:r>
            <w:r>
              <w:rPr>
                <w:rFonts w:ascii="Arial Narrow" w:hAnsi="Arial Narrow"/>
                <w:sz w:val="20"/>
              </w:rPr>
              <w:t xml:space="preserve"> cancer</w:t>
            </w:r>
          </w:p>
        </w:tc>
        <w:tc>
          <w:tcPr>
            <w:tcW w:w="2126" w:type="dxa"/>
          </w:tcPr>
          <w:p w14:paraId="6A4B8936" w14:textId="08A2D4D6" w:rsidR="0094091D" w:rsidRDefault="0094091D" w:rsidP="0094091D">
            <w:pPr>
              <w:tabs>
                <w:tab w:val="left" w:pos="743"/>
              </w:tabs>
              <w:spacing w:before="40" w:after="40"/>
              <w:jc w:val="center"/>
              <w:rPr>
                <w:rFonts w:ascii="Arial Narrow" w:hAnsi="Arial Narrow"/>
                <w:sz w:val="20"/>
              </w:rPr>
            </w:pPr>
            <w:r>
              <w:rPr>
                <w:rFonts w:ascii="Arial Narrow" w:hAnsi="Arial Narrow"/>
                <w:sz w:val="20"/>
              </w:rPr>
              <w:t>1.2%</w:t>
            </w:r>
          </w:p>
        </w:tc>
        <w:tc>
          <w:tcPr>
            <w:tcW w:w="1985" w:type="dxa"/>
          </w:tcPr>
          <w:p w14:paraId="6EDBD998" w14:textId="2248FA60" w:rsidR="0094091D" w:rsidRPr="007A0CF6" w:rsidRDefault="00A028BF" w:rsidP="0094091D">
            <w:pPr>
              <w:spacing w:before="40" w:after="40"/>
              <w:jc w:val="center"/>
              <w:rPr>
                <w:rFonts w:ascii="Arial Narrow" w:hAnsi="Arial Narrow"/>
                <w:sz w:val="20"/>
              </w:rPr>
            </w:pPr>
            <w:r>
              <w:rPr>
                <w:rFonts w:ascii="Arial Narrow" w:hAnsi="Arial Narrow"/>
                <w:sz w:val="20"/>
              </w:rPr>
              <w:t>1,179</w:t>
            </w:r>
          </w:p>
        </w:tc>
        <w:tc>
          <w:tcPr>
            <w:tcW w:w="3067" w:type="dxa"/>
          </w:tcPr>
          <w:p w14:paraId="03379B87" w14:textId="4B0DD6A0" w:rsidR="0094091D" w:rsidRDefault="0094091D" w:rsidP="0094091D">
            <w:pPr>
              <w:tabs>
                <w:tab w:val="left" w:pos="742"/>
              </w:tabs>
              <w:spacing w:before="40" w:after="40"/>
              <w:jc w:val="center"/>
              <w:rPr>
                <w:rFonts w:ascii="Arial Narrow" w:hAnsi="Arial Narrow"/>
                <w:sz w:val="20"/>
              </w:rPr>
            </w:pPr>
            <w:r>
              <w:rPr>
                <w:rFonts w:ascii="Arial Narrow" w:hAnsi="Arial Narrow"/>
                <w:sz w:val="20"/>
              </w:rPr>
              <w:t>(</w:t>
            </w:r>
            <w:r w:rsidRPr="007A0CF6">
              <w:rPr>
                <w:rFonts w:ascii="Arial Narrow" w:hAnsi="Arial Narrow"/>
                <w:sz w:val="20"/>
              </w:rPr>
              <w:t>5</w:t>
            </w:r>
            <w:r w:rsidR="00A028BF">
              <w:rPr>
                <w:rFonts w:ascii="Arial Narrow" w:hAnsi="Arial Narrow"/>
                <w:sz w:val="20"/>
              </w:rPr>
              <w:t>–10</w:t>
            </w:r>
            <w:r w:rsidRPr="007A0CF6">
              <w:rPr>
                <w:rFonts w:ascii="Arial Narrow" w:hAnsi="Arial Narrow"/>
                <w:sz w:val="20"/>
              </w:rPr>
              <w:t>%</w:t>
            </w:r>
            <w:r>
              <w:rPr>
                <w:rFonts w:ascii="Arial Narrow" w:hAnsi="Arial Narrow"/>
                <w:sz w:val="20"/>
              </w:rPr>
              <w:t>)</w:t>
            </w:r>
          </w:p>
        </w:tc>
      </w:tr>
    </w:tbl>
    <w:p w14:paraId="0BFB6E93" w14:textId="6DB0FB60" w:rsidR="00C36B10" w:rsidRDefault="00C36B10" w:rsidP="00C36B10">
      <w:pPr>
        <w:spacing w:before="40" w:after="240" w:line="240" w:lineRule="auto"/>
        <w:jc w:val="both"/>
        <w:rPr>
          <w:rFonts w:ascii="Arial Narrow" w:hAnsi="Arial Narrow"/>
          <w:sz w:val="20"/>
        </w:rPr>
      </w:pPr>
      <w:r w:rsidRPr="007A0CF6">
        <w:rPr>
          <w:rFonts w:ascii="Arial Narrow" w:hAnsi="Arial Narrow"/>
          <w:sz w:val="20"/>
        </w:rPr>
        <w:t>Source:</w:t>
      </w:r>
      <w:r>
        <w:rPr>
          <w:rFonts w:ascii="Arial Narrow" w:hAnsi="Arial Narrow"/>
          <w:sz w:val="20"/>
        </w:rPr>
        <w:t xml:space="preserve"> </w:t>
      </w:r>
      <w:proofErr w:type="spellStart"/>
      <w:r w:rsidRPr="00643D06">
        <w:rPr>
          <w:rFonts w:ascii="Arial Narrow" w:hAnsi="Arial Narrow"/>
          <w:sz w:val="20"/>
        </w:rPr>
        <w:t>Scarpa</w:t>
      </w:r>
      <w:proofErr w:type="spellEnd"/>
      <w:r w:rsidRPr="00643D06">
        <w:rPr>
          <w:rFonts w:ascii="Arial Narrow" w:hAnsi="Arial Narrow"/>
          <w:sz w:val="20"/>
        </w:rPr>
        <w:t xml:space="preserve">, </w:t>
      </w:r>
      <w:proofErr w:type="spellStart"/>
      <w:r w:rsidRPr="00643D06">
        <w:rPr>
          <w:rFonts w:ascii="Arial Narrow" w:hAnsi="Arial Narrow"/>
          <w:sz w:val="20"/>
        </w:rPr>
        <w:t>Cataldo</w:t>
      </w:r>
      <w:proofErr w:type="spellEnd"/>
      <w:r w:rsidRPr="00643D06">
        <w:rPr>
          <w:rFonts w:ascii="Arial Narrow" w:hAnsi="Arial Narrow"/>
          <w:sz w:val="20"/>
        </w:rPr>
        <w:t xml:space="preserve"> &amp; Salvatore</w:t>
      </w:r>
      <w:r>
        <w:rPr>
          <w:rFonts w:ascii="Arial Narrow" w:hAnsi="Arial Narrow"/>
          <w:sz w:val="20"/>
        </w:rPr>
        <w:t xml:space="preserve"> </w:t>
      </w:r>
      <w:r>
        <w:rPr>
          <w:rFonts w:ascii="Arial Narrow" w:hAnsi="Arial Narrow"/>
          <w:sz w:val="20"/>
        </w:rPr>
        <w:fldChar w:fldCharType="begin"/>
      </w:r>
      <w:r>
        <w:rPr>
          <w:rFonts w:ascii="Arial Narrow" w:hAnsi="Arial Narrow"/>
          <w:sz w:val="20"/>
        </w:rPr>
        <w:instrText xml:space="preserve"> ADDIN EN.CITE &lt;EndNote&gt;&lt;Cite ExcludeAuth="1"&gt;&lt;Author&gt;Scarpa&lt;/Author&gt;&lt;Year&gt;2016&lt;/Year&gt;&lt;RecNum&gt;7&lt;/RecNum&gt;&lt;DisplayText&gt;(2016)&lt;/DisplayText&gt;&lt;record&gt;&lt;rec-number&gt;7&lt;/rec-number&gt;&lt;foreign-keys&gt;&lt;key app="EN" db-id="as9sdrfwoaw9fce5xr9pew9gz9epate29xvw" timestamp="1504597013"&gt;7&lt;/key&gt;&lt;/foreign-keys&gt;&lt;ref-type name="Electronic Article"&gt;43&lt;/ref-type&gt;&lt;contributors&gt;&lt;authors&gt;&lt;author&gt;Scarpa, Aldo&lt;/author&gt;&lt;author&gt;Cataldo, Ivana&lt;/author&gt;&lt;author&gt;Salvatore, Lisa&lt;/author&gt;&lt;/authors&gt;&lt;/contributors&gt;&lt;titles&gt;&lt;title&gt;Microsatellite Instability - Defective DNA Mismatch Repair&lt;/title&gt;&lt;secondary-title&gt;ESMO Biomarker Factsheet&lt;/secondary-title&gt;&lt;/titles&gt;&lt;periodical&gt;&lt;full-title&gt;ESMO Biomarker Factsheet&lt;/full-title&gt;&lt;/periodical&gt;&lt;dates&gt;&lt;year&gt;2016&lt;/year&gt;&lt;pub-dates&gt;&lt;date&gt;26 September 2017&lt;/date&gt;&lt;/pub-dates&gt;&lt;/dates&gt;&lt;publisher&gt;European Society for Medical Onclology&lt;/publisher&gt;&lt;urls&gt;&lt;related-urls&gt;&lt;url&gt;http://oncologypro.esmo.org/Education-Library/Factsheets-on-Biomarkers/Microsatellite-Instability-Defective-DNA-Mismatch-Repair#eztoc1701983_0_0_5_8&lt;/url&gt;&lt;/related-urls&gt;&lt;/urls&gt;&lt;/record&gt;&lt;/Cite&gt;&lt;/EndNote&gt;</w:instrText>
      </w:r>
      <w:r>
        <w:rPr>
          <w:rFonts w:ascii="Arial Narrow" w:hAnsi="Arial Narrow"/>
          <w:sz w:val="20"/>
        </w:rPr>
        <w:fldChar w:fldCharType="separate"/>
      </w:r>
      <w:r>
        <w:rPr>
          <w:rFonts w:ascii="Arial Narrow" w:hAnsi="Arial Narrow"/>
          <w:noProof/>
          <w:sz w:val="20"/>
        </w:rPr>
        <w:t>(2016)</w:t>
      </w:r>
      <w:r>
        <w:rPr>
          <w:rFonts w:ascii="Arial Narrow" w:hAnsi="Arial Narrow"/>
          <w:sz w:val="20"/>
        </w:rPr>
        <w:fldChar w:fldCharType="end"/>
      </w:r>
      <w:r>
        <w:rPr>
          <w:rFonts w:ascii="Arial Narrow" w:hAnsi="Arial Narrow"/>
          <w:sz w:val="20"/>
        </w:rPr>
        <w:t xml:space="preserve">; </w:t>
      </w:r>
      <w:r w:rsidR="002272A8">
        <w:rPr>
          <w:rFonts w:ascii="Arial Narrow" w:hAnsi="Arial Narrow"/>
          <w:sz w:val="20"/>
        </w:rPr>
        <w:t xml:space="preserve">Appendix to the application; </w:t>
      </w:r>
      <w:r w:rsidRPr="006B2328">
        <w:rPr>
          <w:rFonts w:ascii="Arial Narrow" w:hAnsi="Arial Narrow"/>
          <w:sz w:val="20"/>
        </w:rPr>
        <w:t>Cancer in Australia 2017</w:t>
      </w:r>
      <w:r>
        <w:rPr>
          <w:rFonts w:ascii="Arial Narrow" w:hAnsi="Arial Narrow"/>
          <w:sz w:val="20"/>
        </w:rPr>
        <w:t xml:space="preserve">, Australian Institute of Health and Welfare. </w:t>
      </w:r>
      <w:proofErr w:type="gramStart"/>
      <w:r>
        <w:rPr>
          <w:rFonts w:ascii="Arial Narrow" w:hAnsi="Arial Narrow"/>
          <w:sz w:val="20"/>
        </w:rPr>
        <w:t>Available from URL &lt;</w:t>
      </w:r>
      <w:hyperlink r:id="rId10" w:tooltip="Link to AIHW website" w:history="1">
        <w:r w:rsidRPr="00062DBD">
          <w:rPr>
            <w:rStyle w:val="Hyperlink"/>
            <w:rFonts w:ascii="Arial Narrow" w:hAnsi="Arial Narrow"/>
            <w:sz w:val="20"/>
          </w:rPr>
          <w:t>https://www.aihw.gov.au/reports/cancer/cancer-in-australia-2017/data</w:t>
        </w:r>
      </w:hyperlink>
      <w:r>
        <w:rPr>
          <w:rFonts w:ascii="Arial Narrow" w:hAnsi="Arial Narrow"/>
          <w:sz w:val="20"/>
        </w:rPr>
        <w:t>&gt;.</w:t>
      </w:r>
      <w:proofErr w:type="gramEnd"/>
      <w:r>
        <w:rPr>
          <w:rFonts w:ascii="Arial Narrow" w:hAnsi="Arial Narrow"/>
          <w:sz w:val="20"/>
        </w:rPr>
        <w:t xml:space="preserve"> Accessed 11 September 2017</w:t>
      </w:r>
    </w:p>
    <w:p w14:paraId="47CDAC15" w14:textId="6001A848" w:rsidR="004059F5" w:rsidRPr="007A0CF6" w:rsidRDefault="004059F5" w:rsidP="00CD6FC8">
      <w:pPr>
        <w:jc w:val="both"/>
      </w:pPr>
      <w:r w:rsidRPr="007A0CF6">
        <w:t xml:space="preserve">Le et al. </w:t>
      </w:r>
      <w:r w:rsidR="00D03612">
        <w:fldChar w:fldCharType="begin">
          <w:fldData xml:space="preserve">PEVuZE5vdGU+PENpdGUgRXhjbHVkZUF1dGg9IjEiPjxBdXRob3I+TGU8L0F1dGhvcj48WWVhcj4y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</w:fldData>
        </w:fldChar>
      </w:r>
      <w:r w:rsidR="00D03612">
        <w:instrText xml:space="preserve"> ADDIN EN.CITE </w:instrText>
      </w:r>
      <w:r w:rsidR="00D03612">
        <w:fldChar w:fldCharType="begin">
          <w:fldData xml:space="preserve">PEVuZE5vdGU+PENpdGUgRXhjbHVkZUF1dGg9IjEiPjxBdXRob3I+TGU8L0F1dGhvcj48WWVhcj4y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</w:fldData>
        </w:fldChar>
      </w:r>
      <w:r w:rsidR="00D03612">
        <w:instrText xml:space="preserve"> ADDIN EN.CITE.DATA </w:instrText>
      </w:r>
      <w:r w:rsidR="00D03612">
        <w:fldChar w:fldCharType="end"/>
      </w:r>
      <w:r w:rsidR="00D03612">
        <w:fldChar w:fldCharType="separate"/>
      </w:r>
      <w:r w:rsidR="00D03612">
        <w:rPr>
          <w:noProof/>
        </w:rPr>
        <w:t>(2017)</w:t>
      </w:r>
      <w:r w:rsidR="00D03612">
        <w:fldChar w:fldCharType="end"/>
      </w:r>
      <w:r w:rsidRPr="007A0CF6">
        <w:t xml:space="preserve"> tested 12,019 tumours using a next-generation sequencing </w:t>
      </w:r>
      <w:r w:rsidR="005C6F52">
        <w:t xml:space="preserve">(NGS) </w:t>
      </w:r>
      <w:r w:rsidRPr="007A0CF6">
        <w:t xml:space="preserve">approach and found that </w:t>
      </w:r>
      <w:r w:rsidR="002C26A3">
        <w:t>d</w:t>
      </w:r>
      <w:r w:rsidRPr="007A0CF6">
        <w:t>MMR mutations were found in 75% (24/32) of tumour subtypes</w:t>
      </w:r>
      <w:r w:rsidR="00CD6FC8" w:rsidRPr="007A0CF6">
        <w:t>. They also reported that between 17% and</w:t>
      </w:r>
      <w:r w:rsidRPr="007A0CF6">
        <w:t xml:space="preserve"> </w:t>
      </w:r>
      <w:r w:rsidR="00CD6FC8" w:rsidRPr="007A0CF6">
        <w:t xml:space="preserve">2% of tumours of the endometrium, stomach, small intestine, colon and rectum, cervix, prostate, bile duct, and liver, as well as neuroendocrine tumours, uterine sarcomas, and thyroid carcinomas, </w:t>
      </w:r>
      <w:r w:rsidR="00C071C2">
        <w:t>had</w:t>
      </w:r>
      <w:r w:rsidR="00CD6FC8" w:rsidRPr="007A0CF6">
        <w:t xml:space="preserve"> </w:t>
      </w:r>
      <w:r w:rsidR="00C071C2">
        <w:t>d</w:t>
      </w:r>
      <w:r w:rsidR="00CD6FC8" w:rsidRPr="007A0CF6">
        <w:t xml:space="preserve">MMR. Additionally, across tumour types, 10% of stage I-III cancers and 5% of stage IV cancers </w:t>
      </w:r>
      <w:r w:rsidR="00C071C2">
        <w:t>had</w:t>
      </w:r>
      <w:r w:rsidR="00CD6FC8" w:rsidRPr="007A0CF6">
        <w:t xml:space="preserve"> </w:t>
      </w:r>
      <w:r w:rsidR="00C071C2" w:rsidRPr="007A0CF6">
        <w:t>d</w:t>
      </w:r>
      <w:r w:rsidR="00CD6FC8" w:rsidRPr="007A0CF6">
        <w:t>MMR.</w:t>
      </w:r>
      <w:r w:rsidR="00C071C2" w:rsidRPr="00C071C2">
        <w:t xml:space="preserve"> The applicant estimated that approximately 4% of </w:t>
      </w:r>
      <w:r w:rsidR="00C071C2">
        <w:t xml:space="preserve">Australian pan-tumour </w:t>
      </w:r>
      <w:r w:rsidR="00C071C2" w:rsidRPr="00C071C2">
        <w:t>patients would be confirmed with dMMR and be eligible for treatment with pembrolizumab.</w:t>
      </w:r>
    </w:p>
    <w:p w14:paraId="07DC59BB" w14:textId="7152DDF5" w:rsidR="00795758" w:rsidRDefault="0079618E" w:rsidP="004059F5">
      <w:pPr>
        <w:jc w:val="both"/>
      </w:pPr>
      <w:r w:rsidRPr="007A0CF6">
        <w:t xml:space="preserve">The application approximated </w:t>
      </w:r>
      <w:r w:rsidR="008F0DC8">
        <w:t>the</w:t>
      </w:r>
      <w:r w:rsidRPr="007A0CF6">
        <w:t xml:space="preserve"> </w:t>
      </w:r>
      <w:r w:rsidR="003A5A32">
        <w:t xml:space="preserve">number </w:t>
      </w:r>
      <w:r w:rsidRPr="007A0CF6">
        <w:t xml:space="preserve">of patients meeting the criteria </w:t>
      </w:r>
      <w:r w:rsidR="00B10576" w:rsidRPr="007A0CF6">
        <w:t xml:space="preserve">for IHC </w:t>
      </w:r>
      <w:r w:rsidR="002C26A3">
        <w:t>d</w:t>
      </w:r>
      <w:r w:rsidR="00B10576" w:rsidRPr="007A0CF6">
        <w:t>MMR testing</w:t>
      </w:r>
      <w:r w:rsidR="008F0DC8">
        <w:t xml:space="preserve"> (i.e. patients who have unresectable or metastatic tumours</w:t>
      </w:r>
      <w:r w:rsidR="00B10576" w:rsidRPr="007A0CF6">
        <w:t xml:space="preserve"> </w:t>
      </w:r>
      <w:r w:rsidR="008F0DC8">
        <w:t xml:space="preserve">and have progressed after first-line treatment) </w:t>
      </w:r>
      <w:r w:rsidRPr="007A0CF6">
        <w:t>to be 1</w:t>
      </w:r>
      <w:r w:rsidR="008F0DC8">
        <w:t>7</w:t>
      </w:r>
      <w:r w:rsidRPr="007A0CF6">
        <w:t>,7</w:t>
      </w:r>
      <w:r w:rsidR="008F0DC8">
        <w:t>66</w:t>
      </w:r>
      <w:r w:rsidRPr="007A0CF6">
        <w:t>, an annual incidence of 76.8 per 100,000</w:t>
      </w:r>
      <w:r w:rsidR="003A5A32">
        <w:t xml:space="preserve"> persons</w:t>
      </w:r>
      <w:r w:rsidRPr="007A0CF6">
        <w:t xml:space="preserve">. This was derived from the cancer mortality statistics for Australia, </w:t>
      </w:r>
      <w:r w:rsidR="00753E89">
        <w:t>estimated for</w:t>
      </w:r>
      <w:r w:rsidRPr="007A0CF6">
        <w:t xml:space="preserve"> 2017. Of these patients, between 0% and 80% across the different tumour sub-types currently proceed to second-line treatment of metastatic disease.</w:t>
      </w:r>
      <w:r w:rsidR="00E23070" w:rsidRPr="007A0CF6">
        <w:t xml:space="preserve"> However, patients with melanoma, lung c</w:t>
      </w:r>
      <w:r w:rsidR="0018199E" w:rsidRPr="007A0CF6">
        <w:t>ancer, or renal cell carcinoma we</w:t>
      </w:r>
      <w:r w:rsidR="00E23070" w:rsidRPr="007A0CF6">
        <w:t xml:space="preserve">re not included in these estimates. </w:t>
      </w:r>
      <w:r w:rsidR="00235E7D">
        <w:t>It was noted that p</w:t>
      </w:r>
      <w:r w:rsidR="00E23070" w:rsidRPr="007A0CF6">
        <w:t xml:space="preserve">embrolizumab has a </w:t>
      </w:r>
      <w:r w:rsidR="00753E89" w:rsidRPr="00753E89">
        <w:t xml:space="preserve">Pharmaceutical Benefits Scheme </w:t>
      </w:r>
      <w:r w:rsidR="00235E7D">
        <w:t xml:space="preserve">(PBS) </w:t>
      </w:r>
      <w:r w:rsidR="00E23070" w:rsidRPr="007A0CF6">
        <w:t xml:space="preserve">listing for melanoma. In addition, PD-1 </w:t>
      </w:r>
      <w:r w:rsidR="00E23070" w:rsidRPr="007A0CF6">
        <w:lastRenderedPageBreak/>
        <w:t xml:space="preserve">inhibitors are expected to be available in the near future for patients with </w:t>
      </w:r>
      <w:r w:rsidR="0085278A">
        <w:t>non-small cell lung cancer (NSCLC)</w:t>
      </w:r>
      <w:r w:rsidR="00E23070" w:rsidRPr="007A0CF6">
        <w:t>, or renal cell carcinoma, independent of MMR status.</w:t>
      </w:r>
      <w:r w:rsidR="00795758">
        <w:t xml:space="preserve"> </w:t>
      </w:r>
    </w:p>
    <w:p w14:paraId="384F81B0" w14:textId="3CE797E6" w:rsidR="00E23070" w:rsidRPr="00795758" w:rsidRDefault="00795758" w:rsidP="004059F5">
      <w:pPr>
        <w:jc w:val="both"/>
        <w:rPr>
          <w:i/>
        </w:rPr>
      </w:pPr>
      <w:r w:rsidRPr="00795758">
        <w:rPr>
          <w:i/>
        </w:rPr>
        <w:t xml:space="preserve">MSAC should consider excluding patients </w:t>
      </w:r>
      <w:r w:rsidR="00235E7D">
        <w:rPr>
          <w:i/>
        </w:rPr>
        <w:t>who already have access to treatment with pembrolizumab</w:t>
      </w:r>
      <w:r w:rsidR="00235E7D" w:rsidRPr="00795758">
        <w:rPr>
          <w:i/>
        </w:rPr>
        <w:t xml:space="preserve"> from </w:t>
      </w:r>
      <w:r w:rsidR="00235E7D">
        <w:rPr>
          <w:i/>
        </w:rPr>
        <w:t xml:space="preserve">IHC </w:t>
      </w:r>
      <w:proofErr w:type="spellStart"/>
      <w:r w:rsidR="00235E7D">
        <w:rPr>
          <w:i/>
        </w:rPr>
        <w:t>dMMR</w:t>
      </w:r>
      <w:proofErr w:type="spellEnd"/>
      <w:r w:rsidR="00235E7D">
        <w:rPr>
          <w:i/>
        </w:rPr>
        <w:t xml:space="preserve"> testing in </w:t>
      </w:r>
      <w:r w:rsidR="00235E7D" w:rsidRPr="00795758">
        <w:rPr>
          <w:i/>
        </w:rPr>
        <w:t>this pan-tumour application</w:t>
      </w:r>
      <w:r w:rsidR="00235E7D">
        <w:rPr>
          <w:i/>
        </w:rPr>
        <w:t xml:space="preserve">. Assuming PBS listing for </w:t>
      </w:r>
      <w:r w:rsidR="0085278A">
        <w:rPr>
          <w:i/>
        </w:rPr>
        <w:t xml:space="preserve">NSCLC </w:t>
      </w:r>
      <w:r w:rsidR="00645890">
        <w:rPr>
          <w:i/>
        </w:rPr>
        <w:t>with</w:t>
      </w:r>
      <w:r w:rsidR="0085278A">
        <w:rPr>
          <w:i/>
        </w:rPr>
        <w:t xml:space="preserve"> ≥50% </w:t>
      </w:r>
      <w:r w:rsidR="00645890">
        <w:rPr>
          <w:i/>
        </w:rPr>
        <w:t xml:space="preserve">tumour cells expressing </w:t>
      </w:r>
      <w:r w:rsidR="0085278A">
        <w:rPr>
          <w:i/>
        </w:rPr>
        <w:t>PD</w:t>
      </w:r>
      <w:r w:rsidR="0085278A" w:rsidRPr="00795758">
        <w:rPr>
          <w:i/>
        </w:rPr>
        <w:t xml:space="preserve">-L1 </w:t>
      </w:r>
      <w:r w:rsidR="0085278A">
        <w:rPr>
          <w:i/>
        </w:rPr>
        <w:t>do</w:t>
      </w:r>
      <w:r w:rsidR="00C071C2">
        <w:rPr>
          <w:i/>
        </w:rPr>
        <w:t>es</w:t>
      </w:r>
      <w:r w:rsidR="0085278A">
        <w:rPr>
          <w:i/>
        </w:rPr>
        <w:t xml:space="preserve"> occur</w:t>
      </w:r>
      <w:r w:rsidR="00235E7D">
        <w:rPr>
          <w:i/>
        </w:rPr>
        <w:t xml:space="preserve">, </w:t>
      </w:r>
      <w:r w:rsidR="0085278A">
        <w:rPr>
          <w:i/>
        </w:rPr>
        <w:t xml:space="preserve">only </w:t>
      </w:r>
      <w:r w:rsidR="00C071C2">
        <w:rPr>
          <w:i/>
        </w:rPr>
        <w:t xml:space="preserve">NSCLC </w:t>
      </w:r>
      <w:r w:rsidR="0085278A">
        <w:rPr>
          <w:i/>
        </w:rPr>
        <w:t xml:space="preserve">patients with PD-L1 expression levels below 50% </w:t>
      </w:r>
      <w:r w:rsidR="00315326">
        <w:rPr>
          <w:i/>
        </w:rPr>
        <w:t>may</w:t>
      </w:r>
      <w:r w:rsidR="0085278A">
        <w:rPr>
          <w:i/>
        </w:rPr>
        <w:t xml:space="preserve"> </w:t>
      </w:r>
      <w:r w:rsidR="00CF7B6E">
        <w:rPr>
          <w:i/>
        </w:rPr>
        <w:t>benefit from</w:t>
      </w:r>
      <w:r w:rsidR="0085278A">
        <w:rPr>
          <w:i/>
        </w:rPr>
        <w:t xml:space="preserve"> IHC dMMR testing</w:t>
      </w:r>
      <w:r w:rsidR="00CF7B6E" w:rsidRPr="00CF7B6E">
        <w:rPr>
          <w:i/>
        </w:rPr>
        <w:t xml:space="preserve"> as an alternative pathway to pembrolizumab </w:t>
      </w:r>
      <w:r w:rsidR="00CF7B6E" w:rsidRPr="00315326">
        <w:rPr>
          <w:i/>
        </w:rPr>
        <w:t>treatment</w:t>
      </w:r>
      <w:r w:rsidRPr="00315326">
        <w:rPr>
          <w:i/>
        </w:rPr>
        <w:t>.</w:t>
      </w:r>
      <w:r w:rsidR="00315326" w:rsidRPr="00315326">
        <w:rPr>
          <w:i/>
        </w:rPr>
        <w:t xml:space="preserve"> However, the requirement to test these patients would depend on the relationship between dMMR and PD-L1 expression levels in NSCLC. If all dMMR NSCLC tumours express high levels of PD-L1 (≥50%), there would be no need for additional dMMR testing of this population</w:t>
      </w:r>
      <w:r w:rsidR="00315326">
        <w:rPr>
          <w:i/>
        </w:rPr>
        <w:t>.</w:t>
      </w:r>
    </w:p>
    <w:p w14:paraId="5D2F1188" w14:textId="3034976E" w:rsidR="004059F5" w:rsidRPr="007A0CF6" w:rsidRDefault="004059F5" w:rsidP="00E23070">
      <w:pPr>
        <w:jc w:val="both"/>
      </w:pPr>
      <w:r w:rsidRPr="007A0CF6">
        <w:t xml:space="preserve">The applicant estimated that approximately 4% of patients would be confirmed with </w:t>
      </w:r>
      <w:r w:rsidR="002C26A3">
        <w:t>d</w:t>
      </w:r>
      <w:r w:rsidRPr="007A0CF6">
        <w:t>MMR</w:t>
      </w:r>
      <w:r w:rsidR="001E7DB2">
        <w:t xml:space="preserve"> </w:t>
      </w:r>
      <w:r w:rsidRPr="007A0CF6">
        <w:t>and be eligible fo</w:t>
      </w:r>
      <w:r w:rsidR="00C071C2">
        <w:t xml:space="preserve">r treatment with pembrolizumab. </w:t>
      </w:r>
    </w:p>
    <w:p w14:paraId="71C06B04" w14:textId="0EF6291A" w:rsidR="00E974F5" w:rsidRPr="007A0CF6" w:rsidRDefault="00E974F5" w:rsidP="00E974F5">
      <w:pPr>
        <w:jc w:val="both"/>
        <w:rPr>
          <w:i/>
        </w:rPr>
      </w:pPr>
      <w:r w:rsidRPr="007A0CF6">
        <w:rPr>
          <w:i/>
        </w:rPr>
        <w:t xml:space="preserve">Further details about the number of patients with different types of solid tumours, with varying proportions of patients with IHC </w:t>
      </w:r>
      <w:r w:rsidR="00DB77E5">
        <w:rPr>
          <w:i/>
        </w:rPr>
        <w:t>d</w:t>
      </w:r>
      <w:r w:rsidRPr="007A0CF6">
        <w:rPr>
          <w:i/>
        </w:rPr>
        <w:t xml:space="preserve">MMR tumours should be provided to enable the number needed-to-test and the relative cost-effectiveness can be determined. </w:t>
      </w:r>
    </w:p>
    <w:p w14:paraId="74E12048" w14:textId="3DE235CA" w:rsidR="00645890" w:rsidRPr="007A0CF6" w:rsidRDefault="00E974F5" w:rsidP="00E974F5">
      <w:pPr>
        <w:jc w:val="both"/>
        <w:rPr>
          <w:i/>
        </w:rPr>
      </w:pPr>
      <w:r w:rsidRPr="007A0CF6">
        <w:rPr>
          <w:i/>
        </w:rPr>
        <w:t xml:space="preserve">MSAC may wish to consider different testing approaches for different tumour types. Tumours with relatively high proportions of </w:t>
      </w:r>
      <w:r w:rsidR="002C26A3">
        <w:rPr>
          <w:i/>
        </w:rPr>
        <w:t>d</w:t>
      </w:r>
      <w:r w:rsidRPr="007A0CF6">
        <w:rPr>
          <w:i/>
        </w:rPr>
        <w:t>MMR mutations could be tested at diagnosis</w:t>
      </w:r>
      <w:r w:rsidR="004C08E9">
        <w:rPr>
          <w:i/>
        </w:rPr>
        <w:t>,</w:t>
      </w:r>
      <w:r w:rsidRPr="007A0CF6">
        <w:rPr>
          <w:i/>
        </w:rPr>
        <w:t xml:space="preserve"> as suggested by the applicant. However, if cost-effectiveness becomes an issue, testing of tumours less likely to have </w:t>
      </w:r>
      <w:r w:rsidR="002C26A3">
        <w:rPr>
          <w:i/>
        </w:rPr>
        <w:t>d</w:t>
      </w:r>
      <w:r w:rsidRPr="007A0CF6">
        <w:rPr>
          <w:i/>
        </w:rPr>
        <w:t xml:space="preserve">MMR mutations, especially those with </w:t>
      </w:r>
      <w:r w:rsidR="00315326">
        <w:rPr>
          <w:i/>
        </w:rPr>
        <w:t>≤</w:t>
      </w:r>
      <w:r w:rsidRPr="007A0CF6">
        <w:rPr>
          <w:i/>
        </w:rPr>
        <w:t xml:space="preserve">1% probability, could be </w:t>
      </w:r>
      <w:r w:rsidR="00645890">
        <w:rPr>
          <w:i/>
        </w:rPr>
        <w:t xml:space="preserve">limited to patients </w:t>
      </w:r>
      <w:r w:rsidR="001E1507">
        <w:rPr>
          <w:i/>
        </w:rPr>
        <w:t>who</w:t>
      </w:r>
      <w:r w:rsidR="00645890">
        <w:rPr>
          <w:i/>
        </w:rPr>
        <w:t xml:space="preserve"> me</w:t>
      </w:r>
      <w:r w:rsidR="004C08E9">
        <w:rPr>
          <w:i/>
        </w:rPr>
        <w:t>e</w:t>
      </w:r>
      <w:r w:rsidR="00645890">
        <w:rPr>
          <w:i/>
        </w:rPr>
        <w:t>t</w:t>
      </w:r>
      <w:r w:rsidRPr="007A0CF6">
        <w:rPr>
          <w:i/>
        </w:rPr>
        <w:t xml:space="preserve"> </w:t>
      </w:r>
      <w:r w:rsidR="00645890">
        <w:rPr>
          <w:i/>
        </w:rPr>
        <w:t xml:space="preserve">certain criteria, such as </w:t>
      </w:r>
      <w:r w:rsidRPr="007A0CF6">
        <w:rPr>
          <w:i/>
        </w:rPr>
        <w:t>a suspicion of Lynch syndrome</w:t>
      </w:r>
      <w:r w:rsidR="00645890">
        <w:rPr>
          <w:i/>
        </w:rPr>
        <w:t xml:space="preserve">, </w:t>
      </w:r>
      <w:r w:rsidR="005C6F52">
        <w:rPr>
          <w:i/>
        </w:rPr>
        <w:t xml:space="preserve">presence of tumour-infiltrating lymphocytes, or </w:t>
      </w:r>
      <w:r w:rsidR="00645890">
        <w:rPr>
          <w:i/>
        </w:rPr>
        <w:t>the lack of alternative treatment options</w:t>
      </w:r>
      <w:r w:rsidRPr="007A0CF6">
        <w:rPr>
          <w:i/>
        </w:rPr>
        <w:t>.</w:t>
      </w:r>
      <w:r w:rsidR="00645890">
        <w:rPr>
          <w:i/>
        </w:rPr>
        <w:t xml:space="preserve"> </w:t>
      </w:r>
      <w:r w:rsidR="00645890" w:rsidRPr="00645890">
        <w:rPr>
          <w:i/>
        </w:rPr>
        <w:t xml:space="preserve">MSAC could also consider the use of </w:t>
      </w:r>
      <w:r w:rsidR="00645890">
        <w:rPr>
          <w:i/>
        </w:rPr>
        <w:t>additional</w:t>
      </w:r>
      <w:r w:rsidR="00645890" w:rsidRPr="00645890">
        <w:rPr>
          <w:i/>
        </w:rPr>
        <w:t xml:space="preserve"> tests to </w:t>
      </w:r>
      <w:r w:rsidR="00645890">
        <w:rPr>
          <w:i/>
        </w:rPr>
        <w:t>confirm dMMR status and reduce the number of false-positive patients receiving inappropriate treatment.</w:t>
      </w:r>
    </w:p>
    <w:p w14:paraId="250B375F" w14:textId="77777777" w:rsidR="0003582F" w:rsidRPr="007A0CF6" w:rsidRDefault="0003582F" w:rsidP="0003582F">
      <w:pPr>
        <w:keepNext/>
        <w:jc w:val="both"/>
        <w:rPr>
          <w:i/>
          <w:u w:val="single"/>
        </w:rPr>
      </w:pPr>
      <w:r w:rsidRPr="007A0CF6">
        <w:rPr>
          <w:i/>
          <w:u w:val="single"/>
        </w:rPr>
        <w:t>Biological plausibility</w:t>
      </w:r>
    </w:p>
    <w:p w14:paraId="3A57F447" w14:textId="1AC6906B" w:rsidR="0003582F" w:rsidRPr="007A0CF6" w:rsidRDefault="00C071C2" w:rsidP="0003582F">
      <w:pPr>
        <w:jc w:val="both"/>
      </w:pPr>
      <w:r>
        <w:t>T</w:t>
      </w:r>
      <w:r w:rsidR="0003582F" w:rsidRPr="007A0CF6">
        <w:t xml:space="preserve">umours </w:t>
      </w:r>
      <w:r>
        <w:t>with d</w:t>
      </w:r>
      <w:r w:rsidRPr="007A0CF6">
        <w:t xml:space="preserve">MMR </w:t>
      </w:r>
      <w:r w:rsidR="0003582F" w:rsidRPr="007A0CF6">
        <w:t xml:space="preserve">commonly have increased numbers of </w:t>
      </w:r>
      <w:r w:rsidR="002350D0" w:rsidRPr="007A0CF6">
        <w:t>tumour infiltrating lymphocytes</w:t>
      </w:r>
      <w:r w:rsidR="0003582F" w:rsidRPr="007A0CF6">
        <w:t xml:space="preserve"> than MMR-proficient t</w:t>
      </w:r>
      <w:r w:rsidR="002350D0" w:rsidRPr="007A0CF6">
        <w:t>umour</w:t>
      </w:r>
      <w:r w:rsidR="0003582F" w:rsidRPr="007A0CF6">
        <w:t xml:space="preserve">s </w:t>
      </w:r>
      <w:r w:rsidR="00D03612">
        <w:fldChar w:fldCharType="begin"/>
      </w:r>
      <w:r w:rsidR="00D03612">
        <w:instrText xml:space="preserve"> ADDIN EN.CITE &lt;EndNote&gt;&lt;Cite&gt;&lt;Author&gt;Drescher&lt;/Author&gt;&lt;Year&gt;2010&lt;/Year&gt;&lt;RecNum&gt;6&lt;/RecNum&gt;&lt;DisplayText&gt;(Drescher, Sharma &amp;amp; Lynch 2010)&lt;/DisplayText&gt;&lt;record&gt;&lt;rec-number&gt;6&lt;/rec-number&gt;&lt;foreign-keys&gt;&lt;key app="EN" db-id="as9sdrfwoaw9fce5xr9pew9gz9epate29xvw" timestamp="1504594682"&gt;6&lt;/key&gt;&lt;/foreign-keys&gt;&lt;ref-type name="Journal Article"&gt;17&lt;/ref-type&gt;&lt;contributors&gt;&lt;authors&gt;&lt;author&gt;Drescher, K. M.&lt;/author&gt;&lt;author&gt;Sharma, P.&lt;/author&gt;&lt;author&gt;Lynch, H. T.&lt;/author&gt;&lt;/authors&gt;&lt;/contributors&gt;&lt;auth-address&gt;Department of Medical Microbiology and Immunology, Creighton University School of Medicine, Omaha, NE 68178, USA. kdresche@creighton.edu&lt;/auth-address&gt;&lt;titles&gt;&lt;title&gt;Current hypotheses on how microsatellite instability leads to enhanced survival of Lynch Syndrome patients&lt;/title&gt;&lt;secondary-title&gt;Clin Dev Immunol&lt;/secondary-title&gt;&lt;/titles&gt;&lt;periodical&gt;&lt;full-title&gt;Clin Dev Immunol&lt;/full-title&gt;&lt;/periodical&gt;&lt;pages&gt;170432&lt;/pages&gt;&lt;volume&gt;2010&lt;/volume&gt;&lt;edition&gt;2010/07/16&lt;/edition&gt;&lt;keywords&gt;&lt;keyword&gt;Adenocarcinoma/ genetics/immunology/ mortality/pathology&lt;/keyword&gt;&lt;keyword&gt;Animals&lt;/keyword&gt;&lt;keyword&gt;Colorectal Neoplasms, Hereditary&lt;/keyword&gt;&lt;keyword&gt;Nonpolyposis/ genetics/immunology/ mortality/pathology&lt;/keyword&gt;&lt;keyword&gt;Female&lt;/keyword&gt;&lt;keyword&gt;Humans&lt;/keyword&gt;&lt;keyword&gt;Male&lt;/keyword&gt;&lt;keyword&gt;Mice&lt;/keyword&gt;&lt;keyword&gt;Microsatellite Instability&lt;/keyword&gt;&lt;keyword&gt;Microsatellite Repeats/genetics&lt;/keyword&gt;&lt;keyword&gt;Survival Rate&lt;/keyword&gt;&lt;/keywords&gt;&lt;dates&gt;&lt;year&gt;2010&lt;/year&gt;&lt;/dates&gt;&lt;isbn&gt;1740-2530 (Electronic)&amp;#xD;1740-2522 (Linking)&lt;/isbn&gt;&lt;accession-num&gt;20631828&lt;/accession-num&gt;&lt;urls&gt;&lt;related-urls&gt;&lt;url&gt;https://www.ncbi.nlm.nih.gov/pmc/articles/PMC2901607/pdf/CDI2010-170432.pdf&lt;/url&gt;&lt;/related-urls&gt;&lt;/urls&gt;&lt;custom2&gt;PMC2901607&lt;/custom2&gt;&lt;electronic-resource-num&gt;10.1155/2010/170432&lt;/electronic-resource-num&gt;&lt;remote-database-provider&gt;NLM&lt;/remote-database-provider&gt;&lt;language&gt;eng&lt;/language&gt;&lt;/record&gt;&lt;/Cite&gt;&lt;/EndNote&gt;</w:instrText>
      </w:r>
      <w:r w:rsidR="00D03612">
        <w:fldChar w:fldCharType="separate"/>
      </w:r>
      <w:r w:rsidR="00D03612">
        <w:rPr>
          <w:noProof/>
        </w:rPr>
        <w:t>(Drescher, Sharma &amp; Lynch 2010)</w:t>
      </w:r>
      <w:r w:rsidR="00D03612">
        <w:fldChar w:fldCharType="end"/>
      </w:r>
      <w:r w:rsidR="0003582F" w:rsidRPr="007A0CF6">
        <w:t>. This is most likely due to the increased mutation rate</w:t>
      </w:r>
      <w:r w:rsidR="00BA0C6A">
        <w:t xml:space="preserve"> leading to an increased tumour mutation burden (TMB)</w:t>
      </w:r>
      <w:r w:rsidR="002350D0" w:rsidRPr="007A0CF6">
        <w:t>;</w:t>
      </w:r>
      <w:r w:rsidR="0003582F" w:rsidRPr="007A0CF6">
        <w:t xml:space="preserve"> </w:t>
      </w:r>
      <w:r w:rsidR="00DC7DB6" w:rsidRPr="007A0CF6">
        <w:t xml:space="preserve">repetitive sequences found in many genes are vulnerable to </w:t>
      </w:r>
      <w:r w:rsidR="002350D0" w:rsidRPr="007A0CF6">
        <w:t xml:space="preserve">frame-shift </w:t>
      </w:r>
      <w:r w:rsidR="00DC7DB6" w:rsidRPr="007A0CF6">
        <w:t xml:space="preserve">mutations due to the loss of </w:t>
      </w:r>
      <w:r w:rsidR="00DB77E5">
        <w:t>MMR</w:t>
      </w:r>
      <w:r w:rsidR="00DC7DB6" w:rsidRPr="007A0CF6">
        <w:t xml:space="preserve"> functions. These mutations often lead to the expression of frame-shift </w:t>
      </w:r>
      <w:r w:rsidR="002350D0" w:rsidRPr="007A0CF6">
        <w:t>pe</w:t>
      </w:r>
      <w:r w:rsidR="00DC7DB6" w:rsidRPr="007A0CF6">
        <w:t>pt</w:t>
      </w:r>
      <w:r w:rsidR="002350D0" w:rsidRPr="007A0CF6">
        <w:t>i</w:t>
      </w:r>
      <w:r w:rsidR="00DC7DB6" w:rsidRPr="007A0CF6">
        <w:t>des that may be displayed</w:t>
      </w:r>
      <w:r w:rsidR="002350D0" w:rsidRPr="007A0CF6">
        <w:t xml:space="preserve"> on the cell surface</w:t>
      </w:r>
      <w:r w:rsidR="00DC7DB6" w:rsidRPr="007A0CF6">
        <w:t>. These peptides would be</w:t>
      </w:r>
      <w:r w:rsidR="0003582F" w:rsidRPr="007A0CF6">
        <w:t xml:space="preserve"> recognised as foreign by the immune system </w:t>
      </w:r>
      <w:r w:rsidR="00D03612">
        <w:fldChar w:fldCharType="begin"/>
      </w:r>
      <w:r w:rsidR="00D03612">
        <w:instrText xml:space="preserve"> ADDIN EN.CITE &lt;EndNote&gt;&lt;Cite&gt;&lt;Author&gt;Drescher&lt;/Author&gt;&lt;Year&gt;2010&lt;/Year&gt;&lt;RecNum&gt;6&lt;/RecNum&gt;&lt;DisplayText&gt;(Drescher, Sharma &amp;amp; Lynch 2010)&lt;/DisplayText&gt;&lt;record&gt;&lt;rec-number&gt;6&lt;/rec-number&gt;&lt;foreign-keys&gt;&lt;key app="EN" db-id="as9sdrfwoaw9fce5xr9pew9gz9epate29xvw" timestamp="1504594682"&gt;6&lt;/key&gt;&lt;/foreign-keys&gt;&lt;ref-type name="Journal Article"&gt;17&lt;/ref-type&gt;&lt;contributors&gt;&lt;authors&gt;&lt;author&gt;Drescher, K. M.&lt;/author&gt;&lt;author&gt;Sharma, P.&lt;/author&gt;&lt;author&gt;Lynch, H. T.&lt;/author&gt;&lt;/authors&gt;&lt;/contributors&gt;&lt;auth-address&gt;Department of Medical Microbiology and Immunology, Creighton University School of Medicine, Omaha, NE 68178, USA. kdresche@creighton.edu&lt;/auth-address&gt;&lt;titles&gt;&lt;title&gt;Current hypotheses on how microsatellite instability leads to enhanced survival of Lynch Syndrome patients&lt;/title&gt;&lt;secondary-title&gt;Clin Dev Immunol&lt;/secondary-title&gt;&lt;/titles&gt;&lt;periodical&gt;&lt;full-title&gt;Clin Dev Immunol&lt;/full-title&gt;&lt;/periodical&gt;&lt;pages&gt;170432&lt;/pages&gt;&lt;volume&gt;2010&lt;/volume&gt;&lt;edition&gt;2010/07/16&lt;/edition&gt;&lt;keywords&gt;&lt;keyword&gt;Adenocarcinoma/ genetics/immunology/ mortality/pathology&lt;/keyword&gt;&lt;keyword&gt;Animals&lt;/keyword&gt;&lt;keyword&gt;Colorectal Neoplasms, Hereditary&lt;/keyword&gt;&lt;keyword&gt;Nonpolyposis/ genetics/immunology/ mortality/pathology&lt;/keyword&gt;&lt;keyword&gt;Female&lt;/keyword&gt;&lt;keyword&gt;Humans&lt;/keyword&gt;&lt;keyword&gt;Male&lt;/keyword&gt;&lt;keyword&gt;Mice&lt;/keyword&gt;&lt;keyword&gt;Microsatellite Instability&lt;/keyword&gt;&lt;keyword&gt;Microsatellite Repeats/genetics&lt;/keyword&gt;&lt;keyword&gt;Survival Rate&lt;/keyword&gt;&lt;/keywords&gt;&lt;dates&gt;&lt;year&gt;2010&lt;/year&gt;&lt;/dates&gt;&lt;isbn&gt;1740-2530 (Electronic)&amp;#xD;1740-2522 (Linking)&lt;/isbn&gt;&lt;accession-num&gt;20631828&lt;/accession-num&gt;&lt;urls&gt;&lt;related-urls&gt;&lt;url&gt;https://www.ncbi.nlm.nih.gov/pmc/articles/PMC2901607/pdf/CDI2010-170432.pdf&lt;/url&gt;&lt;/related-urls&gt;&lt;/urls&gt;&lt;custom2&gt;PMC2901607&lt;/custom2&gt;&lt;electronic-resource-num&gt;10.1155/2010/170432&lt;/electronic-resource-num&gt;&lt;remote-database-provider&gt;NLM&lt;/remote-database-provider&gt;&lt;language&gt;eng&lt;/language&gt;&lt;/record&gt;&lt;/Cite&gt;&lt;/EndNote&gt;</w:instrText>
      </w:r>
      <w:r w:rsidR="00D03612">
        <w:fldChar w:fldCharType="separate"/>
      </w:r>
      <w:r w:rsidR="00D03612">
        <w:rPr>
          <w:noProof/>
        </w:rPr>
        <w:t>(Drescher, Sharma &amp; Lynch 2010)</w:t>
      </w:r>
      <w:r w:rsidR="00D03612">
        <w:fldChar w:fldCharType="end"/>
      </w:r>
      <w:r w:rsidR="0003582F" w:rsidRPr="007A0CF6">
        <w:t xml:space="preserve">. </w:t>
      </w:r>
      <w:r w:rsidR="00DB77E5">
        <w:t>T</w:t>
      </w:r>
      <w:r w:rsidR="0003582F" w:rsidRPr="007A0CF6">
        <w:t xml:space="preserve">umours </w:t>
      </w:r>
      <w:r w:rsidR="00DB77E5">
        <w:t>with d</w:t>
      </w:r>
      <w:r w:rsidR="00DB77E5" w:rsidRPr="007A0CF6">
        <w:t xml:space="preserve">MMR </w:t>
      </w:r>
      <w:r w:rsidR="0003582F" w:rsidRPr="007A0CF6">
        <w:t xml:space="preserve">are associated with a good prognosis, and the presence of this immune response may partially explain their better clinical outcome </w:t>
      </w:r>
      <w:r w:rsidR="00D03612">
        <w:fldChar w:fldCharType="begin"/>
      </w:r>
      <w:r w:rsidR="00D03612">
        <w:instrText xml:space="preserve"> ADDIN EN.CITE &lt;EndNote&gt;&lt;Cite&gt;&lt;Author&gt;Buecher&lt;/Author&gt;&lt;Year&gt;2013&lt;/Year&gt;&lt;RecNum&gt;11&lt;/RecNum&gt;&lt;DisplayText&gt;(Buecher et al. 2013)&lt;/DisplayText&gt;&lt;record&gt;&lt;rec-number&gt;11&lt;/rec-number&gt;&lt;foreign-keys&gt;&lt;key app="EN" db-id="as9sdrfwoaw9fce5xr9pew9gz9epate29xvw" timestamp="1504660925"&gt;11&lt;/key&gt;&lt;/foreign-keys&gt;&lt;ref-type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00D03612">
        <w:fldChar w:fldCharType="separate"/>
      </w:r>
      <w:r w:rsidR="00D03612">
        <w:rPr>
          <w:noProof/>
        </w:rPr>
        <w:t>(Buecher et al. 2013)</w:t>
      </w:r>
      <w:r w:rsidR="00D03612">
        <w:fldChar w:fldCharType="end"/>
      </w:r>
      <w:r w:rsidR="0003582F" w:rsidRPr="007A0CF6">
        <w:t xml:space="preserve">. </w:t>
      </w:r>
    </w:p>
    <w:p w14:paraId="5B432D8B" w14:textId="5CAE2CD5" w:rsidR="0003582F" w:rsidRPr="007A0CF6" w:rsidRDefault="0003582F" w:rsidP="0003582F">
      <w:pPr>
        <w:jc w:val="both"/>
      </w:pPr>
      <w:proofErr w:type="spellStart"/>
      <w:r w:rsidRPr="007A0CF6">
        <w:t>Llosa</w:t>
      </w:r>
      <w:proofErr w:type="spellEnd"/>
      <w:r w:rsidRPr="007A0CF6">
        <w:t xml:space="preserve"> et al. </w:t>
      </w:r>
      <w:r w:rsidR="00D03612">
        <w:fldChar w:fldCharType="begin"/>
      </w:r>
      <w:r w:rsidR="00D03612">
        <w:instrText xml:space="preserve"> ADDIN EN.CITE &lt;EndNote&gt;&lt;Cite ExcludeAuth="1"&gt;&lt;Author&gt;Llosa&lt;/Author&gt;&lt;Year&gt;2015&lt;/Year&gt;&lt;RecNum&gt;16&lt;/RecNum&gt;&lt;DisplayText&gt;(2015)&lt;/DisplayText&gt;&lt;record&gt;&lt;rec-number&gt;16&lt;/rec-number&gt;&lt;foreign-keys&gt;&lt;key app="EN" db-id="as9sdrfwoaw9fce5xr9pew9gz9epate29xvw" timestamp="1504667527"&gt;16&lt;/key&gt;&lt;/foreign-keys&gt;&lt;ref-type name="Journal Article"&gt;17&lt;/ref-type&gt;&lt;contributors&gt;&lt;authors&gt;&lt;author&gt;Llosa, Nicolas J.&lt;/author&gt;&lt;author&gt;Cruise, Michael&lt;/author&gt;&lt;author&gt;Tam, Ada&lt;/author&gt;&lt;author&gt;Wicks, Elizabeth C.&lt;/author&gt;&lt;author&gt;Hechenbleikner, Elizabeth M.&lt;/author&gt;&lt;author&gt;Taube, Janis M.&lt;/author&gt;&lt;author&gt;Blosser, Richard L.&lt;/author&gt;&lt;author&gt;Fan, Hongni&lt;/author&gt;&lt;author&gt;Wang, Hao&lt;/author&gt;&lt;author&gt;Luber, Brandon S.&lt;/author&gt;&lt;author&gt;Zhang, Ming&lt;/author&gt;&lt;author&gt;Papadopoulos, Nickolas&lt;/author&gt;&lt;author&gt;Kinzler, Kenneth W.&lt;/author&gt;&lt;author&gt;Vogelstein, Bert&lt;/author&gt;&lt;author&gt;Sears, Cynthia L.&lt;/author&gt;&lt;author&gt;Anders, Robert A.&lt;/author&gt;&lt;author&gt;Pardoll, Drew M.&lt;/author&gt;&lt;author&gt;Housseau, Franck&lt;/author&gt;&lt;/authors&gt;&lt;/contributors&gt;&lt;titles&gt;&lt;title&gt;The Vigorous Immune Microenvironment of Microsatellite Instable Colon Cancer Is Balanced by Multiple Counter-Inhibitory Checkpoints&lt;/title&gt;&lt;secondary-title&gt;Cancer Discovery&lt;/secondary-title&gt;&lt;/titles&gt;&lt;periodical&gt;&lt;full-title&gt;Cancer Discovery&lt;/full-title&gt;&lt;/periodical&gt;&lt;pages&gt;43-51&lt;/pages&gt;&lt;volume&gt;5&lt;/volume&gt;&lt;number&gt;1&lt;/number&gt;&lt;dates&gt;&lt;year&gt;2015&lt;/year&gt;&lt;pub-dates&gt;&lt;date&gt;January 1, 2015&lt;/date&gt;&lt;/pub-dates&gt;&lt;/dates&gt;&lt;urls&gt;&lt;related-urls&gt;&lt;url&gt;http://cancerdiscovery.aacrjournals.org/content/5/1/43.abstract&lt;/url&gt;&lt;url&gt;http://cancerdiscovery.aacrjournals.org/content/5/1/43.full.pdf&lt;/url&gt;&lt;/related-urls&gt;&lt;/urls&gt;&lt;electronic-resource-num&gt;10.1158/2159-8290.cd-14-0863&lt;/electronic-resource-num&gt;&lt;/record&gt;&lt;/Cite&gt;&lt;/EndNote&gt;</w:instrText>
      </w:r>
      <w:r w:rsidR="00D03612">
        <w:fldChar w:fldCharType="separate"/>
      </w:r>
      <w:r w:rsidR="00D03612">
        <w:rPr>
          <w:noProof/>
        </w:rPr>
        <w:t>(2015)</w:t>
      </w:r>
      <w:r w:rsidR="00D03612">
        <w:fldChar w:fldCharType="end"/>
      </w:r>
      <w:r w:rsidRPr="007A0CF6">
        <w:t xml:space="preserve"> found that </w:t>
      </w:r>
      <w:r w:rsidR="00DB77E5">
        <w:t>d</w:t>
      </w:r>
      <w:r w:rsidRPr="007A0CF6">
        <w:t xml:space="preserve">MMR tumours had significant gene upregulation of immune checkpoint proteins, including PD-L1, enabling them to survive the immune response. Rosenbaum et al. </w:t>
      </w:r>
      <w:r w:rsidR="00D03612">
        <w:fldChar w:fldCharType="begin"/>
      </w:r>
      <w:r w:rsidR="00D03612">
        <w:instrText xml:space="preserve"> ADDIN EN.CITE &lt;EndNote&gt;&lt;Cite ExcludeAuth="1"&gt;&lt;Author&gt;Rosenbaum&lt;/Author&gt;&lt;Year&gt;2016&lt;/Year&gt;&lt;RecNum&gt;17&lt;/RecNum&gt;&lt;DisplayText&gt;(2016)&lt;/DisplayText&gt;&lt;record&gt;&lt;rec-number&gt;17&lt;/rec-number&gt;&lt;foreign-keys&gt;&lt;key app="EN" db-id="as9sdrfwoaw9fce5xr9pew9gz9epate29xvw" timestamp="1504667560"&gt;17&lt;/key&gt;&lt;/foreign-keys&gt;&lt;ref-type name="Journal Article"&gt;17&lt;/ref-type&gt;&lt;contributors&gt;&lt;authors&gt;&lt;author&gt;Rosenbaum, M. W.&lt;/author&gt;&lt;author&gt;Bledsoe, J. R.&lt;/author&gt;&lt;author&gt;Morales-Oyarvide, V.&lt;/author&gt;&lt;author&gt;Huynh, T. G.&lt;/author&gt;&lt;author&gt;Mino-Kenudson, M.&lt;/author&gt;&lt;/authors&gt;&lt;/contributors&gt;&lt;auth-address&gt;Department of Pathology, Massachusetts General Hospital, Boston, MA, USA.&amp;#xD;Department of Epidemiology and Biostatistics, Harvard T.H. Chan School of Public Health, Boston, MA, USA.&amp;#xD;Department of Pathology, Harvard Medical School, Boston, MA, USA.&lt;/auth-address&gt;&lt;titles&gt;&lt;title&gt;PD-L1 expression in colorectal cancer is associated with microsatellite instability, BRAF mutation, medullary morphology and cytotoxic tumor-infiltrating lymphocytes&lt;/title&gt;&lt;secondary-title&gt;Mod Pathol&lt;/secondary-title&gt;&lt;/titles&gt;&lt;periodical&gt;&lt;full-title&gt;Mod Pathol&lt;/full-title&gt;&lt;/periodical&gt;&lt;edition&gt;2016/05/21&lt;/edition&gt;&lt;dates&gt;&lt;year&gt;2016&lt;/year&gt;&lt;pub-dates&gt;&lt;date&gt;May 20&lt;/date&gt;&lt;/pub-dates&gt;&lt;/dates&gt;&lt;isbn&gt;1530-0285 (Electronic)&amp;#xD;0893-3952 (Linking)&lt;/isbn&gt;&lt;accession-num&gt;27198569&lt;/accession-num&gt;&lt;urls&gt;&lt;related-urls&gt;&lt;url&gt;http://www.nature.com/modpathol/journal/vaop/ncurrent/pdf/modpathol201695a.pdf&lt;/url&gt;&lt;/related-urls&gt;&lt;/urls&gt;&lt;electronic-resource-num&gt;10.1038/modpathol.2016.95&lt;/electronic-resource-num&gt;&lt;remote-database-provider&gt;NLM&lt;/remote-database-provider&gt;&lt;language&gt;Eng&lt;/language&gt;&lt;/record&gt;&lt;/Cite&gt;&lt;/EndNote&gt;</w:instrText>
      </w:r>
      <w:r w:rsidR="00D03612">
        <w:fldChar w:fldCharType="separate"/>
      </w:r>
      <w:r w:rsidR="00D03612">
        <w:rPr>
          <w:noProof/>
        </w:rPr>
        <w:t>(2016)</w:t>
      </w:r>
      <w:r w:rsidR="00D03612">
        <w:fldChar w:fldCharType="end"/>
      </w:r>
      <w:r w:rsidRPr="007A0CF6">
        <w:t xml:space="preserve"> was able to detect PD-L1 expression by IHC (using the anti-PD-L1 monoclonal antibody E1L3N) in 12/54 (22%) CRC </w:t>
      </w:r>
      <w:r w:rsidR="000E2BE8">
        <w:t>d</w:t>
      </w:r>
      <w:r w:rsidR="000E2BE8" w:rsidRPr="007A0CF6">
        <w:t xml:space="preserve">MMR </w:t>
      </w:r>
      <w:r w:rsidRPr="007A0CF6">
        <w:t xml:space="preserve">tumours (primary and metastatic), and found that PD-L1 positivity was associated with a lower survival within this </w:t>
      </w:r>
      <w:r w:rsidR="00DB77E5">
        <w:t>d</w:t>
      </w:r>
      <w:r w:rsidRPr="007A0CF6">
        <w:t xml:space="preserve">MMR CRC patient cohort. </w:t>
      </w:r>
      <w:r w:rsidR="00DF060B" w:rsidRPr="007A0CF6">
        <w:t>As the role of immune checkpoint proteins is the same in all cells, regardless of origin</w:t>
      </w:r>
      <w:r w:rsidRPr="007A0CF6">
        <w:t xml:space="preserve">, immune checkpoint inhibitors, such as the PD-1 inhibitor pembrolizumab, may provide a clinical benefit in treating </w:t>
      </w:r>
      <w:r w:rsidR="00DF060B" w:rsidRPr="007A0CF6">
        <w:t xml:space="preserve">all </w:t>
      </w:r>
      <w:r w:rsidR="00DB77E5">
        <w:t>d</w:t>
      </w:r>
      <w:r w:rsidRPr="007A0CF6">
        <w:t xml:space="preserve">MMR </w:t>
      </w:r>
      <w:r w:rsidR="00DF060B" w:rsidRPr="007A0CF6">
        <w:t>tumours</w:t>
      </w:r>
      <w:r w:rsidRPr="007A0CF6">
        <w:t>.</w:t>
      </w:r>
      <w:r w:rsidR="00DF060B" w:rsidRPr="007A0CF6">
        <w:t xml:space="preserve"> </w:t>
      </w:r>
    </w:p>
    <w:p w14:paraId="67D3B1BA" w14:textId="0DA81B5A" w:rsidR="00C15565" w:rsidRDefault="00BA0C6A" w:rsidP="0003582F">
      <w:pPr>
        <w:jc w:val="both"/>
      </w:pPr>
      <w:r>
        <w:rPr>
          <w:i/>
        </w:rPr>
        <w:t xml:space="preserve">It should be noted that </w:t>
      </w:r>
      <w:r w:rsidRPr="00BA0C6A">
        <w:rPr>
          <w:i/>
        </w:rPr>
        <w:t>the</w:t>
      </w:r>
      <w:r>
        <w:rPr>
          <w:i/>
        </w:rPr>
        <w:t>re are other known (and as-</w:t>
      </w:r>
      <w:r w:rsidRPr="00BA0C6A">
        <w:rPr>
          <w:i/>
        </w:rPr>
        <w:t>yet unknown) genetic mutations that lead to tumours with an increased TMB who will likely respond to immune checkpoint inhibitors</w:t>
      </w:r>
      <w:r w:rsidR="00C30388">
        <w:rPr>
          <w:i/>
        </w:rPr>
        <w:t xml:space="preserve">. </w:t>
      </w:r>
      <w:r w:rsidR="00C30388" w:rsidRPr="00C30388">
        <w:rPr>
          <w:i/>
        </w:rPr>
        <w:t>NGS panels are currently being used in the research setting to identify these tumours</w:t>
      </w:r>
      <w:r w:rsidR="00CF01B4">
        <w:rPr>
          <w:i/>
        </w:rPr>
        <w:t>.</w:t>
      </w:r>
      <w:r w:rsidR="00C30388" w:rsidRPr="00C30388">
        <w:t xml:space="preserve"> </w:t>
      </w:r>
      <w:r w:rsidR="00C30388" w:rsidRPr="00C30388">
        <w:rPr>
          <w:i/>
        </w:rPr>
        <w:t xml:space="preserve">Rizvi et al. </w:t>
      </w:r>
      <w:r w:rsidR="00CF01B4">
        <w:rPr>
          <w:i/>
        </w:rPr>
        <w:fldChar w:fldCharType="begin">
          <w:fldData xml:space="preserve">PEVuZE5vdGU+PENpdGUgRXhjbHVkZUF1dGg9IjEiPjxBdXRob3I+Uml6dmk8L0F1dGhvcj48WWVh
cj4yMDE4PC9ZZWFyPjxSZWNOdW0+MjI8L1JlY051bT48RGlzcGxheVRleHQ+KDIwMTgpPC9EaXNw
bGF5VGV4dD48cmVjb3JkPjxyZWMtbnVtYmVyPjIyPC9yZWMtbnVtYmVyPjxmb3JlaWduLWtleXM+
PGtleSBhcHA9IkVOIiBkYi1pZD0iYXM5c2RyZndvYXc5ZmNlNXhyOXBldzlnejllcGF0ZTI5eHZ3
IiB0aW1lc3RhbXA9IjE1MTcxOTcwMTciPjIyPC9rZXk+PC9mb3JlaWduLWtleXM+PHJlZi10eXBl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CF01B4">
        <w:rPr>
          <w:i/>
        </w:rPr>
        <w:instrText xml:space="preserve"> ADDIN EN.CITE </w:instrText>
      </w:r>
      <w:r w:rsidR="00CF01B4">
        <w:rPr>
          <w:i/>
        </w:rPr>
        <w:fldChar w:fldCharType="begin">
          <w:fldData xml:space="preserve">PEVuZE5vdGU+PENpdGUgRXhjbHVkZUF1dGg9IjEiPjxBdXRob3I+Uml6dmk8L0F1dGhvcj48WWVh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</w:fldData>
        </w:fldChar>
      </w:r>
      <w:r w:rsidR="00CF01B4">
        <w:rPr>
          <w:i/>
        </w:rPr>
        <w:instrText xml:space="preserve"> ADDIN EN.CITE.DATA </w:instrText>
      </w:r>
      <w:r w:rsidR="00CF01B4">
        <w:rPr>
          <w:i/>
        </w:rPr>
      </w:r>
      <w:r w:rsidR="00CF01B4">
        <w:rPr>
          <w:i/>
        </w:rPr>
        <w:fldChar w:fldCharType="end"/>
      </w:r>
      <w:r w:rsidR="00CF01B4">
        <w:rPr>
          <w:i/>
        </w:rPr>
      </w:r>
      <w:r w:rsidR="00CF01B4">
        <w:rPr>
          <w:i/>
        </w:rPr>
        <w:fldChar w:fldCharType="separate"/>
      </w:r>
      <w:r w:rsidR="00CF01B4">
        <w:rPr>
          <w:i/>
          <w:noProof/>
        </w:rPr>
        <w:t>(2018)</w:t>
      </w:r>
      <w:r w:rsidR="00CF01B4">
        <w:rPr>
          <w:i/>
        </w:rPr>
        <w:fldChar w:fldCharType="end"/>
      </w:r>
      <w:r w:rsidR="00C30388" w:rsidRPr="00C30388">
        <w:rPr>
          <w:i/>
        </w:rPr>
        <w:t xml:space="preserve"> found that the TMB was significantly greater in patients with a durable clinical benefit from immune checkpoint </w:t>
      </w:r>
      <w:r w:rsidR="00C30388" w:rsidRPr="00C30388">
        <w:rPr>
          <w:i/>
        </w:rPr>
        <w:lastRenderedPageBreak/>
        <w:t xml:space="preserve">inhibitors than in those with no durable benefit (p=0.006). They also found that TMB and PD-L1 expression were independent variables, and a composite of these two variables </w:t>
      </w:r>
      <w:r w:rsidR="00AF5F36" w:rsidRPr="00AF5F36">
        <w:rPr>
          <w:i/>
        </w:rPr>
        <w:t xml:space="preserve">was better able to </w:t>
      </w:r>
      <w:r w:rsidR="003632A5">
        <w:rPr>
          <w:i/>
        </w:rPr>
        <w:t>identif</w:t>
      </w:r>
      <w:r w:rsidR="00AF5F36">
        <w:rPr>
          <w:i/>
        </w:rPr>
        <w:t>y</w:t>
      </w:r>
      <w:r w:rsidR="00C30388" w:rsidRPr="00C30388">
        <w:rPr>
          <w:i/>
        </w:rPr>
        <w:t xml:space="preserve"> patients who </w:t>
      </w:r>
      <w:r w:rsidR="003632A5">
        <w:rPr>
          <w:i/>
        </w:rPr>
        <w:t xml:space="preserve">were more likely to </w:t>
      </w:r>
      <w:r w:rsidR="00C30388" w:rsidRPr="00C30388">
        <w:rPr>
          <w:i/>
        </w:rPr>
        <w:t>benefit from immune checkpoint inhibitor therapy</w:t>
      </w:r>
      <w:r w:rsidR="00AF5F36">
        <w:rPr>
          <w:i/>
        </w:rPr>
        <w:t xml:space="preserve"> than either biomarker </w:t>
      </w:r>
      <w:r w:rsidR="00AF5F36" w:rsidRPr="00AF5F36">
        <w:rPr>
          <w:i/>
        </w:rPr>
        <w:t>alone</w:t>
      </w:r>
      <w:r w:rsidR="00C30388" w:rsidRPr="00AF5F36">
        <w:rPr>
          <w:i/>
        </w:rPr>
        <w:t xml:space="preserve">. </w:t>
      </w:r>
      <w:r w:rsidR="00C15565" w:rsidRPr="00AF5F36">
        <w:rPr>
          <w:i/>
        </w:rPr>
        <w:t>PASC has recommended that this issue be considered in the submission.</w:t>
      </w:r>
      <w:r w:rsidR="00C15565" w:rsidRPr="00C15565">
        <w:t xml:space="preserve"> </w:t>
      </w:r>
    </w:p>
    <w:p w14:paraId="3412D4A9" w14:textId="3CC7CC4F" w:rsidR="00EB4F0D" w:rsidRDefault="00C30388" w:rsidP="0003582F">
      <w:pPr>
        <w:jc w:val="both"/>
        <w:rPr>
          <w:i/>
        </w:rPr>
      </w:pPr>
      <w:r w:rsidRPr="00C30388">
        <w:rPr>
          <w:i/>
        </w:rPr>
        <w:t>Tumours with an increased TMB or hyper-mutated tumours can have either MSI-H or microsatellite stable phenotypes.</w:t>
      </w:r>
      <w:r w:rsidRPr="00C30388">
        <w:t xml:space="preserve"> </w:t>
      </w:r>
      <w:r w:rsidRPr="00C30388">
        <w:rPr>
          <w:i/>
        </w:rPr>
        <w:t>In contrast to the MSI-H phenotype seen with MMR</w:t>
      </w:r>
      <w:r>
        <w:rPr>
          <w:i/>
        </w:rPr>
        <w:t xml:space="preserve"> mutations,</w:t>
      </w:r>
      <w:r w:rsidRPr="00C30388">
        <w:rPr>
          <w:i/>
        </w:rPr>
        <w:t xml:space="preserve"> mutat</w:t>
      </w:r>
      <w:r>
        <w:rPr>
          <w:i/>
        </w:rPr>
        <w:t xml:space="preserve">ions </w:t>
      </w:r>
      <w:r w:rsidRPr="00C30388">
        <w:rPr>
          <w:i/>
        </w:rPr>
        <w:t>in the delta and epsilon subunits of the DNA polymerase (POLD1 and POLE) have hyper-mutated but microsatellite stable cancer phenotypes</w:t>
      </w:r>
      <w:r w:rsidR="00CF01B4">
        <w:rPr>
          <w:i/>
        </w:rPr>
        <w:t xml:space="preserve"> </w:t>
      </w:r>
      <w:r w:rsidR="00CF01B4">
        <w:rPr>
          <w:i/>
        </w:rPr>
        <w:fldChar w:fldCharType="begin">
          <w:fldData xml:space="preserve">PEVuZE5vdGU+PENpdGU+PEF1dGhvcj5CcmlnZ3M8L0F1dGhvcj48WWVhcj4yMDEzPC9ZZWFyPjxS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</w:fldData>
        </w:fldChar>
      </w:r>
      <w:r w:rsidR="00CF01B4">
        <w:rPr>
          <w:i/>
        </w:rPr>
        <w:instrText xml:space="preserve"> ADDIN EN.CITE </w:instrText>
      </w:r>
      <w:r w:rsidR="00CF01B4">
        <w:rPr>
          <w:i/>
        </w:rPr>
        <w:fldChar w:fldCharType="begin">
          <w:fldData xml:space="preserve">PEVuZE5vdGU+PENpdGU+PEF1dGhvcj5CcmlnZ3M8L0F1dGhvcj48WWVhcj4yMDEzPC9ZZWFyPjxS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</w:fldData>
        </w:fldChar>
      </w:r>
      <w:r w:rsidR="00CF01B4">
        <w:rPr>
          <w:i/>
        </w:rPr>
        <w:instrText xml:space="preserve"> ADDIN EN.CITE.DATA </w:instrText>
      </w:r>
      <w:r w:rsidR="00CF01B4">
        <w:rPr>
          <w:i/>
        </w:rPr>
      </w:r>
      <w:r w:rsidR="00CF01B4">
        <w:rPr>
          <w:i/>
        </w:rPr>
        <w:fldChar w:fldCharType="end"/>
      </w:r>
      <w:r w:rsidR="00CF01B4">
        <w:rPr>
          <w:i/>
        </w:rPr>
      </w:r>
      <w:r w:rsidR="00CF01B4">
        <w:rPr>
          <w:i/>
        </w:rPr>
        <w:fldChar w:fldCharType="separate"/>
      </w:r>
      <w:r w:rsidR="00CF01B4">
        <w:rPr>
          <w:i/>
          <w:noProof/>
        </w:rPr>
        <w:t>(Briggs &amp; Tomlinson 2013)</w:t>
      </w:r>
      <w:r w:rsidR="00CF01B4">
        <w:rPr>
          <w:i/>
        </w:rPr>
        <w:fldChar w:fldCharType="end"/>
      </w:r>
      <w:r>
        <w:rPr>
          <w:i/>
        </w:rPr>
        <w:t>.</w:t>
      </w:r>
      <w:r w:rsidR="00C15565">
        <w:rPr>
          <w:i/>
        </w:rPr>
        <w:t xml:space="preserve"> </w:t>
      </w:r>
      <w:r w:rsidR="00CF01B4">
        <w:rPr>
          <w:i/>
        </w:rPr>
        <w:t xml:space="preserve">Other </w:t>
      </w:r>
      <w:r w:rsidR="00CF01B4" w:rsidRPr="00EB4F0D">
        <w:rPr>
          <w:i/>
        </w:rPr>
        <w:t>gene</w:t>
      </w:r>
      <w:r w:rsidR="00CF01B4">
        <w:rPr>
          <w:i/>
        </w:rPr>
        <w:t xml:space="preserve"> mutations that lead to the MSI-H phenotype include </w:t>
      </w:r>
      <w:r w:rsidR="00EB4F0D" w:rsidRPr="00CF01B4">
        <w:t>BRCA1/2</w:t>
      </w:r>
      <w:r w:rsidR="00CF01B4">
        <w:rPr>
          <w:i/>
        </w:rPr>
        <w:t xml:space="preserve">, especially </w:t>
      </w:r>
      <w:r w:rsidR="00CF01B4" w:rsidRPr="00CF01B4">
        <w:t>BRCA2</w:t>
      </w:r>
      <w:r w:rsidR="00EB4F0D" w:rsidRPr="00CF01B4">
        <w:t xml:space="preserve"> </w:t>
      </w:r>
      <w:r w:rsidR="00CF01B4">
        <w:rPr>
          <w:i/>
        </w:rPr>
        <w:fldChar w:fldCharType="begin">
          <w:fldData xml:space="preserve">PEVuZE5vdGU+PENpdGU+PEF1dGhvcj5TdHJpY2tsYW5kPC9BdXRob3I+PFllYXI+MjAxNjwvWWVh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</w:fldData>
        </w:fldChar>
      </w:r>
      <w:r w:rsidR="00CF01B4">
        <w:rPr>
          <w:i/>
        </w:rPr>
        <w:instrText xml:space="preserve"> ADDIN EN.CITE </w:instrText>
      </w:r>
      <w:r w:rsidR="00CF01B4">
        <w:rPr>
          <w:i/>
        </w:rPr>
        <w:fldChar w:fldCharType="begin">
          <w:fldData xml:space="preserve">PEVuZE5vdGU+PENpdGU+PEF1dGhvcj5TdHJpY2tsYW5kPC9BdXRob3I+PFllYXI+MjAxNjwvWWVh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</w:fldData>
        </w:fldChar>
      </w:r>
      <w:r w:rsidR="00CF01B4">
        <w:rPr>
          <w:i/>
        </w:rPr>
        <w:instrText xml:space="preserve"> ADDIN EN.CITE.DATA </w:instrText>
      </w:r>
      <w:r w:rsidR="00CF01B4">
        <w:rPr>
          <w:i/>
        </w:rPr>
      </w:r>
      <w:r w:rsidR="00CF01B4">
        <w:rPr>
          <w:i/>
        </w:rPr>
        <w:fldChar w:fldCharType="end"/>
      </w:r>
      <w:r w:rsidR="00CF01B4">
        <w:rPr>
          <w:i/>
        </w:rPr>
      </w:r>
      <w:r w:rsidR="00CF01B4">
        <w:rPr>
          <w:i/>
        </w:rPr>
        <w:fldChar w:fldCharType="separate"/>
      </w:r>
      <w:r w:rsidR="00CF01B4">
        <w:rPr>
          <w:i/>
          <w:noProof/>
        </w:rPr>
        <w:t>(Strickland et al. 2016)</w:t>
      </w:r>
      <w:r w:rsidR="00CF01B4">
        <w:rPr>
          <w:i/>
        </w:rPr>
        <w:fldChar w:fldCharType="end"/>
      </w:r>
      <w:r w:rsidR="00CF01B4">
        <w:rPr>
          <w:i/>
        </w:rPr>
        <w:t>.</w:t>
      </w:r>
      <w:r w:rsidR="00EB4F0D" w:rsidRPr="00EB4F0D">
        <w:rPr>
          <w:i/>
        </w:rPr>
        <w:t xml:space="preserve"> EGFR and NRTK mutations have also been strongly associated with the MSI-H phenotype in CRC </w:t>
      </w:r>
      <w:r w:rsidR="00CF01B4">
        <w:rPr>
          <w:i/>
        </w:rPr>
        <w:fldChar w:fldCharType="begin"/>
      </w:r>
      <w:r w:rsidR="00CF01B4">
        <w:rPr>
          <w:i/>
        </w:rPr>
        <w:instrText xml:space="preserve"> ADDIN EN.CITE &lt;EndNote&gt;&lt;Cite&gt;&lt;Author&gt;Gokare&lt;/Author&gt;&lt;Year&gt;2017&lt;/Year&gt;&lt;RecNum&gt;24&lt;/RecNum&gt;&lt;DisplayText&gt;(Gokare, Lulla &amp;amp; El-Deiry 2017)&lt;/DisplayText&gt;&lt;record&gt;&lt;rec-number&gt;24&lt;/rec-number&gt;&lt;foreign-keys&gt;&lt;key app="EN" db-id="as9sdrfwoaw9fce5xr9pew9gz9epate29xvw" timestamp="1517197179"&gt;24&lt;/key&gt;&lt;/foreign-keys&gt;&lt;ref-type name="Journal Article"&gt;17&lt;/ref-type&gt;&lt;contributors&gt;&lt;authors&gt;&lt;author&gt;Gokare, P.&lt;/author&gt;&lt;author&gt;Lulla, A. R.&lt;/author&gt;&lt;author&gt;El-Deiry, W. S.&lt;/author&gt;&lt;/authors&gt;&lt;/contributors&gt;&lt;auth-address&gt;Department of Hematology/Oncology and Molecular Therapeutics Program, Laboratory of Translational Oncology and Experimental Cancer Therapeutics, Fox Chase Cancer Center, Philadelphia, PA 19111, USA.&lt;/auth-address&gt;&lt;titles&gt;&lt;title&gt;MMR-deficiency and BRCA2/EGFR/NTRK mutations&lt;/title&gt;&lt;secondary-title&gt;Aging (Albany NY)&lt;/secondary-title&gt;&lt;/titles&gt;&lt;periodical&gt;&lt;full-title&gt;Aging (Albany NY)&lt;/full-title&gt;&lt;/periodical&gt;&lt;pages&gt;1849-1850&lt;/pages&gt;&lt;volume&gt;9&lt;/volume&gt;&lt;number&gt;8&lt;/number&gt;&lt;edition&gt;2017/08/08&lt;/edition&gt;&lt;keywords&gt;&lt;keyword&gt;Brca2&lt;/keyword&gt;&lt;keyword&gt;Crc&lt;/keyword&gt;&lt;keyword&gt;Egfr&lt;/keyword&gt;&lt;keyword&gt;Msi-h&lt;/keyword&gt;&lt;keyword&gt;Ntrk&lt;/keyword&gt;&lt;/keywords&gt;&lt;dates&gt;&lt;year&gt;2017&lt;/year&gt;&lt;pub-dates&gt;&lt;date&gt;Aug 3&lt;/date&gt;&lt;/pub-dates&gt;&lt;/dates&gt;&lt;isbn&gt;1945-4589 (Electronic)&amp;#xD;1945-4589 (Linking)&lt;/isbn&gt;&lt;accession-num&gt;28783711&lt;/accession-num&gt;&lt;urls&gt;&lt;related-urls&gt;&lt;url&gt;https://www.ncbi.nlm.nih.gov/pmc/articles/PMC5611973/pdf/aging-09-1849.pdf&lt;/url&gt;&lt;/related-urls&gt;&lt;/urls&gt;&lt;custom2&gt;PMC5611973&lt;/custom2&gt;&lt;electronic-resource-num&gt;10.18632/aging.101275&lt;/electronic-resource-num&gt;&lt;remote-database-provider&gt;NLM&lt;/remote-database-provider&gt;&lt;language&gt;eng&lt;/language&gt;&lt;/record&gt;&lt;/Cite&gt;&lt;/EndNote&gt;</w:instrText>
      </w:r>
      <w:r w:rsidR="00CF01B4">
        <w:rPr>
          <w:i/>
        </w:rPr>
        <w:fldChar w:fldCharType="separate"/>
      </w:r>
      <w:r w:rsidR="00CF01B4">
        <w:rPr>
          <w:i/>
          <w:noProof/>
        </w:rPr>
        <w:t>(Gokare, Lulla &amp; El-Deiry 2017)</w:t>
      </w:r>
      <w:r w:rsidR="00CF01B4">
        <w:rPr>
          <w:i/>
        </w:rPr>
        <w:fldChar w:fldCharType="end"/>
      </w:r>
      <w:r w:rsidR="00EB4F0D" w:rsidRPr="00EB4F0D">
        <w:rPr>
          <w:i/>
        </w:rPr>
        <w:t xml:space="preserve">. </w:t>
      </w:r>
      <w:r w:rsidR="00CF01B4">
        <w:rPr>
          <w:i/>
        </w:rPr>
        <w:t xml:space="preserve">In contrast, </w:t>
      </w:r>
      <w:r w:rsidR="00EB4F0D" w:rsidRPr="00EB4F0D">
        <w:rPr>
          <w:i/>
        </w:rPr>
        <w:t>NSCLC patients with an EGFR mutation rarely experienced a durable clinical benefit when treated with an immune checkpoint inhibitor</w:t>
      </w:r>
      <w:r w:rsidR="00922237">
        <w:rPr>
          <w:i/>
        </w:rPr>
        <w:t>; however, the expression of an MSI-H phenotype by these tumours was not investigated</w:t>
      </w:r>
      <w:r w:rsidR="00CF01B4">
        <w:rPr>
          <w:i/>
        </w:rPr>
        <w:t xml:space="preserve"> </w:t>
      </w:r>
      <w:r w:rsidR="00CF01B4">
        <w:rPr>
          <w:i/>
        </w:rPr>
        <w:fldChar w:fldCharType="begin">
          <w:fldData xml:space="preserve">PEVuZE5vdGU+PENpdGU+PEF1dGhvcj5SaXp2aTwvQXV0aG9yPjxZZWFyPjIwMTg8L1llYXI+PFJl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</w:fldData>
        </w:fldChar>
      </w:r>
      <w:r w:rsidR="00CF01B4">
        <w:rPr>
          <w:i/>
        </w:rPr>
        <w:instrText xml:space="preserve"> ADDIN EN.CITE </w:instrText>
      </w:r>
      <w:r w:rsidR="00CF01B4">
        <w:rPr>
          <w:i/>
        </w:rPr>
        <w:fldChar w:fldCharType="begin">
          <w:fldData xml:space="preserve">PEVuZE5vdGU+PENpdGU+PEF1dGhvcj5SaXp2aTwvQXV0aG9yPjxZZWFyPjIwMTg8L1llYXI+PFJl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</w:fldData>
        </w:fldChar>
      </w:r>
      <w:r w:rsidR="00CF01B4">
        <w:rPr>
          <w:i/>
        </w:rPr>
        <w:instrText xml:space="preserve"> ADDIN EN.CITE.DATA </w:instrText>
      </w:r>
      <w:r w:rsidR="00CF01B4">
        <w:rPr>
          <w:i/>
        </w:rPr>
      </w:r>
      <w:r w:rsidR="00CF01B4">
        <w:rPr>
          <w:i/>
        </w:rPr>
        <w:fldChar w:fldCharType="end"/>
      </w:r>
      <w:r w:rsidR="00CF01B4">
        <w:rPr>
          <w:i/>
        </w:rPr>
      </w:r>
      <w:r w:rsidR="00CF01B4">
        <w:rPr>
          <w:i/>
        </w:rPr>
        <w:fldChar w:fldCharType="separate"/>
      </w:r>
      <w:r w:rsidR="00CF01B4">
        <w:rPr>
          <w:i/>
          <w:noProof/>
        </w:rPr>
        <w:t>(Rizvi et al. 2018)</w:t>
      </w:r>
      <w:r w:rsidR="00CF01B4">
        <w:rPr>
          <w:i/>
        </w:rPr>
        <w:fldChar w:fldCharType="end"/>
      </w:r>
      <w:r w:rsidR="00CF01B4">
        <w:rPr>
          <w:i/>
        </w:rPr>
        <w:t xml:space="preserve">. </w:t>
      </w:r>
      <w:r w:rsidR="00922237">
        <w:rPr>
          <w:i/>
        </w:rPr>
        <w:t xml:space="preserve">Thus, the expression of a TMB and/or MSH-H phenotype may vary among tumour types for some genetic markers. Nevertheless, </w:t>
      </w:r>
      <w:r w:rsidR="00D34F0B">
        <w:rPr>
          <w:i/>
        </w:rPr>
        <w:t xml:space="preserve">these </w:t>
      </w:r>
      <w:r w:rsidR="00922237">
        <w:rPr>
          <w:i/>
        </w:rPr>
        <w:t>MSI-H tumours will not be identified by IHC dMMR testing but are likely to respond to immune checkpoint inhibitors.</w:t>
      </w:r>
      <w:r w:rsidR="00D34F0B" w:rsidRPr="00D34F0B">
        <w:t xml:space="preserve"> </w:t>
      </w:r>
      <w:r w:rsidR="00D34F0B" w:rsidRPr="00D34F0B">
        <w:rPr>
          <w:i/>
        </w:rPr>
        <w:t xml:space="preserve">PASC </w:t>
      </w:r>
      <w:r w:rsidR="00D34F0B">
        <w:rPr>
          <w:i/>
        </w:rPr>
        <w:t>has recommended that this</w:t>
      </w:r>
      <w:r w:rsidR="00D34F0B" w:rsidRPr="00D34F0B">
        <w:rPr>
          <w:i/>
        </w:rPr>
        <w:t xml:space="preserve"> issue be considered in the submission</w:t>
      </w:r>
      <w:r w:rsidR="00D34F0B">
        <w:rPr>
          <w:i/>
        </w:rPr>
        <w:t>.</w:t>
      </w:r>
      <w:r w:rsidR="00922237">
        <w:rPr>
          <w:i/>
        </w:rPr>
        <w:t xml:space="preserve"> Would MSI-H testing, rather than IHC dMMR testing, identify a broader population that may benefit from pembrolizumab treatment? </w:t>
      </w:r>
    </w:p>
    <w:p w14:paraId="3B3720F6" w14:textId="737F9ED9" w:rsidR="0003582F" w:rsidRPr="007A0CF6" w:rsidRDefault="0003582F" w:rsidP="0003582F">
      <w:pPr>
        <w:jc w:val="both"/>
        <w:rPr>
          <w:i/>
        </w:rPr>
      </w:pPr>
      <w:r w:rsidRPr="007A0CF6">
        <w:rPr>
          <w:i/>
        </w:rPr>
        <w:t xml:space="preserve">A more detailed analysis of the biological plausibility for the use of IHC </w:t>
      </w:r>
      <w:r w:rsidR="002C26A3">
        <w:rPr>
          <w:i/>
        </w:rPr>
        <w:t>d</w:t>
      </w:r>
      <w:r w:rsidRPr="007A0CF6">
        <w:rPr>
          <w:i/>
        </w:rPr>
        <w:t>MMR testing to identify tumours susceptible to immune checkpoint inhibitors, such as the PD-1 inhibitor pembrolizumab, should be provided in the report.</w:t>
      </w:r>
      <w:r w:rsidRPr="007A0CF6">
        <w:t xml:space="preserve"> </w:t>
      </w:r>
      <w:r w:rsidRPr="007A0CF6">
        <w:rPr>
          <w:i/>
        </w:rPr>
        <w:t xml:space="preserve">Furthermore, evidence of </w:t>
      </w:r>
      <w:r w:rsidR="002C26A3">
        <w:rPr>
          <w:i/>
        </w:rPr>
        <w:t>d</w:t>
      </w:r>
      <w:r w:rsidRPr="007A0CF6">
        <w:rPr>
          <w:i/>
        </w:rPr>
        <w:t>MMR being an effect modifier for treatment with pembrolizumab, above and beyond its prognostic effect should be provided.</w:t>
      </w:r>
    </w:p>
    <w:p w14:paraId="4CF853AF" w14:textId="77777777" w:rsidR="0003582F" w:rsidRPr="007A0CF6" w:rsidRDefault="0003582F" w:rsidP="002272A8">
      <w:pPr>
        <w:keepNext/>
        <w:rPr>
          <w:i/>
        </w:rPr>
      </w:pPr>
      <w:r w:rsidRPr="007A0CF6">
        <w:rPr>
          <w:i/>
          <w:u w:val="single"/>
        </w:rPr>
        <w:t>Rationale</w:t>
      </w:r>
    </w:p>
    <w:p w14:paraId="6DAF4400" w14:textId="7FF037EB" w:rsidR="00BD2217" w:rsidRPr="007A0CF6" w:rsidRDefault="007B3730" w:rsidP="0003582F">
      <w:pPr>
        <w:jc w:val="both"/>
      </w:pPr>
      <w:r w:rsidRPr="007A0CF6">
        <w:t xml:space="preserve">Four studies reporting on </w:t>
      </w:r>
      <w:r w:rsidR="00BD2217" w:rsidRPr="007A0CF6">
        <w:t xml:space="preserve">single-arm trials </w:t>
      </w:r>
      <w:r w:rsidR="00774D90" w:rsidRPr="007A0CF6">
        <w:t xml:space="preserve">treating patients who had non-CRC </w:t>
      </w:r>
      <w:proofErr w:type="spellStart"/>
      <w:r w:rsidR="00DB77E5">
        <w:t>d</w:t>
      </w:r>
      <w:r w:rsidR="00774D90" w:rsidRPr="007A0CF6">
        <w:t>MMR</w:t>
      </w:r>
      <w:proofErr w:type="spellEnd"/>
      <w:r w:rsidR="00774D90" w:rsidRPr="007A0CF6">
        <w:t xml:space="preserve"> tumours with pembrolizumab </w:t>
      </w:r>
      <w:r w:rsidRPr="007A0CF6">
        <w:t>we</w:t>
      </w:r>
      <w:r w:rsidR="0003582F" w:rsidRPr="007A0CF6">
        <w:t>re listed in the summary of evidence</w:t>
      </w:r>
      <w:r w:rsidRPr="007A0CF6">
        <w:t xml:space="preserve">. One study did not provide separate clinical outcomes </w:t>
      </w:r>
      <w:r w:rsidR="00774D90" w:rsidRPr="007A0CF6">
        <w:t>for CRC and non-CRC patients. T</w:t>
      </w:r>
      <w:r w:rsidRPr="007A0CF6">
        <w:t>w</w:t>
      </w:r>
      <w:r w:rsidR="00774D90" w:rsidRPr="007A0CF6">
        <w:t>o</w:t>
      </w:r>
      <w:r w:rsidRPr="007A0CF6">
        <w:t xml:space="preserve"> of the studies</w:t>
      </w:r>
      <w:r w:rsidR="0003582F" w:rsidRPr="007A0CF6">
        <w:t xml:space="preserve"> include</w:t>
      </w:r>
      <w:r w:rsidR="00774D90" w:rsidRPr="007A0CF6">
        <w:t>d only</w:t>
      </w:r>
      <w:r w:rsidR="0003582F" w:rsidRPr="007A0CF6">
        <w:t xml:space="preserve"> </w:t>
      </w:r>
      <w:r w:rsidRPr="007A0CF6">
        <w:t>30</w:t>
      </w:r>
      <w:r w:rsidR="00BD2217" w:rsidRPr="007A0CF6">
        <w:t xml:space="preserve"> non-CRC</w:t>
      </w:r>
      <w:r w:rsidR="00774D90" w:rsidRPr="007A0CF6">
        <w:t xml:space="preserve"> </w:t>
      </w:r>
      <w:r w:rsidR="00DB77E5">
        <w:t>d</w:t>
      </w:r>
      <w:r w:rsidR="00774D90" w:rsidRPr="007A0CF6">
        <w:t xml:space="preserve">MMR patients, and the fourth is a conference abstract that could not be accessed. Thus, there is little evidence for the effectiveness of pembrolizumab in treating non-CRC </w:t>
      </w:r>
      <w:r w:rsidR="00DB77E5">
        <w:t>d</w:t>
      </w:r>
      <w:r w:rsidR="00DB77E5" w:rsidRPr="007A0CF6">
        <w:t xml:space="preserve">MMR </w:t>
      </w:r>
      <w:r w:rsidR="00774D90" w:rsidRPr="007A0CF6">
        <w:t>tumours.</w:t>
      </w:r>
    </w:p>
    <w:p w14:paraId="77D0B59F" w14:textId="7BD60C5F" w:rsidR="00774D90" w:rsidRPr="007A0CF6" w:rsidRDefault="00774D90" w:rsidP="00774D90">
      <w:pPr>
        <w:jc w:val="both"/>
      </w:pPr>
      <w:r w:rsidRPr="007A0CF6">
        <w:rPr>
          <w:i/>
        </w:rPr>
        <w:t xml:space="preserve">As </w:t>
      </w:r>
      <w:r w:rsidR="002C26A3">
        <w:rPr>
          <w:i/>
        </w:rPr>
        <w:t>d</w:t>
      </w:r>
      <w:r w:rsidRPr="007A0CF6">
        <w:rPr>
          <w:i/>
        </w:rPr>
        <w:t xml:space="preserve">MMR is a strong prognostic marker in earlier stages of </w:t>
      </w:r>
      <w:r w:rsidR="00A13372">
        <w:rPr>
          <w:i/>
        </w:rPr>
        <w:t xml:space="preserve">CRC </w:t>
      </w:r>
      <w:r w:rsidRPr="007A0CF6">
        <w:rPr>
          <w:i/>
        </w:rPr>
        <w:t xml:space="preserve">disease, its role as a treatment effect modifier </w:t>
      </w:r>
      <w:r w:rsidR="00A13372">
        <w:rPr>
          <w:i/>
        </w:rPr>
        <w:t xml:space="preserve">for non-CRC solid tumours </w:t>
      </w:r>
      <w:r w:rsidRPr="007A0CF6">
        <w:rPr>
          <w:i/>
        </w:rPr>
        <w:t xml:space="preserve">must be clearly demonstrated </w:t>
      </w:r>
      <w:r w:rsidR="00A13372">
        <w:rPr>
          <w:i/>
        </w:rPr>
        <w:t>in order to interpret the results of single arm trials enrolling</w:t>
      </w:r>
      <w:r w:rsidR="00A13372" w:rsidRPr="00A13372">
        <w:rPr>
          <w:i/>
        </w:rPr>
        <w:t xml:space="preserve"> </w:t>
      </w:r>
      <w:r w:rsidR="00A13372" w:rsidRPr="007A0CF6">
        <w:rPr>
          <w:i/>
        </w:rPr>
        <w:t xml:space="preserve">these </w:t>
      </w:r>
      <w:proofErr w:type="gramStart"/>
      <w:r w:rsidR="00A13372" w:rsidRPr="007A0CF6">
        <w:rPr>
          <w:i/>
        </w:rPr>
        <w:t>patients</w:t>
      </w:r>
      <w:r w:rsidRPr="007A0CF6">
        <w:rPr>
          <w:i/>
        </w:rPr>
        <w:t>.</w:t>
      </w:r>
      <w:proofErr w:type="gramEnd"/>
      <w:r w:rsidR="00EB4F0D">
        <w:rPr>
          <w:i/>
        </w:rPr>
        <w:t xml:space="preserve"> In addition, PASC requires that t</w:t>
      </w:r>
      <w:r w:rsidR="00EB4F0D" w:rsidRPr="00EB4F0D">
        <w:rPr>
          <w:i/>
        </w:rPr>
        <w:t xml:space="preserve">he prognostic effect of MMR status in non-CRC patients treated with standard of care be clarified in order to interpret the results of </w:t>
      </w:r>
      <w:r w:rsidR="00EB4F0D">
        <w:rPr>
          <w:i/>
        </w:rPr>
        <w:t xml:space="preserve">these </w:t>
      </w:r>
      <w:r w:rsidR="00EB4F0D" w:rsidRPr="00EB4F0D">
        <w:rPr>
          <w:i/>
        </w:rPr>
        <w:t>single arm trials.</w:t>
      </w:r>
    </w:p>
    <w:p w14:paraId="1CD49E42" w14:textId="403077CE" w:rsidR="00774D90" w:rsidRDefault="00196119" w:rsidP="00774D90">
      <w:pPr>
        <w:jc w:val="both"/>
      </w:pPr>
      <w:r w:rsidRPr="007A0CF6">
        <w:t xml:space="preserve">It is noted </w:t>
      </w:r>
      <w:r w:rsidR="00774D90" w:rsidRPr="007A0CF6">
        <w:t xml:space="preserve">in the application that this is the first </w:t>
      </w:r>
      <w:r w:rsidR="000E2BE8">
        <w:t>pan-</w:t>
      </w:r>
      <w:r w:rsidR="00774D90" w:rsidRPr="007A0CF6">
        <w:t xml:space="preserve">tumour co-dependent technology application in Australia. The applicant also noted that the submission would be based on data from single arm studies in over 15 different tumour types. Therefore, the applicant wished to highlight that it needs to be viewed differently </w:t>
      </w:r>
      <w:r w:rsidR="000E2BE8">
        <w:t>to</w:t>
      </w:r>
      <w:r w:rsidR="00774D90" w:rsidRPr="007A0CF6">
        <w:t xml:space="preserve"> a traditional co-dependent technology </w:t>
      </w:r>
      <w:r w:rsidR="001E7DB2" w:rsidRPr="007A0CF6">
        <w:t>application,</w:t>
      </w:r>
      <w:r w:rsidR="00774D90" w:rsidRPr="007A0CF6">
        <w:t xml:space="preserve"> as it will not be feasible to establish analytical validity, clinical validity and clinical utility of </w:t>
      </w:r>
      <w:r w:rsidR="002C26A3">
        <w:t>d</w:t>
      </w:r>
      <w:r w:rsidR="00774D90" w:rsidRPr="007A0CF6">
        <w:t xml:space="preserve">MMR testing by tumour type. Similarly, overall survival comparisons for pembrolizumab plus test versus </w:t>
      </w:r>
      <w:r w:rsidR="00753E89">
        <w:t>standard of care</w:t>
      </w:r>
      <w:r w:rsidR="00774D90" w:rsidRPr="007A0CF6">
        <w:t xml:space="preserve"> for each individual tumour location will not be possible. Hence</w:t>
      </w:r>
      <w:r w:rsidRPr="007A0CF6">
        <w:t>, the applicant has stated that</w:t>
      </w:r>
      <w:r w:rsidR="00774D90" w:rsidRPr="007A0CF6">
        <w:t xml:space="preserve"> the purpose of this application is to commence dialogue with the Department</w:t>
      </w:r>
      <w:r w:rsidR="001E7DB2">
        <w:t>,</w:t>
      </w:r>
      <w:r w:rsidR="00774D90" w:rsidRPr="007A0CF6">
        <w:t xml:space="preserve"> about a reasonable approach </w:t>
      </w:r>
      <w:r w:rsidR="001E7DB2">
        <w:t>for</w:t>
      </w:r>
      <w:r w:rsidR="00774D90" w:rsidRPr="007A0CF6">
        <w:t xml:space="preserve"> reimbursement for pembrolizumab in patients with solid tumours </w:t>
      </w:r>
      <w:r w:rsidR="00D03612">
        <w:t>that</w:t>
      </w:r>
      <w:r w:rsidR="00774D90" w:rsidRPr="007A0CF6">
        <w:t xml:space="preserve"> exhibit </w:t>
      </w:r>
      <w:r w:rsidR="002C26A3">
        <w:t>d</w:t>
      </w:r>
      <w:r w:rsidR="00774D90" w:rsidRPr="007A0CF6">
        <w:t>MMR.</w:t>
      </w:r>
    </w:p>
    <w:p w14:paraId="0B4AE06A" w14:textId="77777777" w:rsidR="001E1EC1" w:rsidRDefault="000E2BE8" w:rsidP="00774D90">
      <w:pPr>
        <w:jc w:val="both"/>
        <w:rPr>
          <w:i/>
        </w:rPr>
      </w:pPr>
      <w:r w:rsidRPr="00326737">
        <w:rPr>
          <w:i/>
        </w:rPr>
        <w:lastRenderedPageBreak/>
        <w:t xml:space="preserve">If the sensitivity and specificity of the IHC dMMR test </w:t>
      </w:r>
      <w:r w:rsidR="00326737">
        <w:rPr>
          <w:i/>
        </w:rPr>
        <w:t xml:space="preserve">compared to the reference standard </w:t>
      </w:r>
      <w:r w:rsidRPr="00326737">
        <w:rPr>
          <w:i/>
        </w:rPr>
        <w:t xml:space="preserve">is </w:t>
      </w:r>
      <w:r w:rsidR="00326737">
        <w:rPr>
          <w:i/>
        </w:rPr>
        <w:t>reported in the literature</w:t>
      </w:r>
      <w:r w:rsidRPr="00326737">
        <w:rPr>
          <w:i/>
        </w:rPr>
        <w:t>, then clinical validity</w:t>
      </w:r>
      <w:r w:rsidR="00326737" w:rsidRPr="00326737">
        <w:rPr>
          <w:i/>
        </w:rPr>
        <w:t>, in particular the</w:t>
      </w:r>
      <w:r w:rsidRPr="00326737">
        <w:rPr>
          <w:i/>
        </w:rPr>
        <w:t xml:space="preserve"> </w:t>
      </w:r>
      <w:r w:rsidR="00326737" w:rsidRPr="00326737">
        <w:rPr>
          <w:i/>
        </w:rPr>
        <w:t xml:space="preserve">positive predictive value (PPV) and negative predictive value (NPV) </w:t>
      </w:r>
      <w:r w:rsidRPr="00326737">
        <w:rPr>
          <w:i/>
        </w:rPr>
        <w:t xml:space="preserve">can be determined using the estimated prevalence rate of each tumour type. The PPV </w:t>
      </w:r>
      <w:r w:rsidR="00326737" w:rsidRPr="00326737">
        <w:rPr>
          <w:i/>
        </w:rPr>
        <w:t>will provide valuable information about the ratio of false-positives compared to true positives that would be treated by pembrolizumab, and the NPV will provide similar information about the proportion of patients with false-negative results receiving standard of care instead of pembrolizumab.</w:t>
      </w:r>
    </w:p>
    <w:p w14:paraId="1E70E272" w14:textId="190A9DF7" w:rsidR="000E2BE8" w:rsidRDefault="00315326" w:rsidP="00021EF7">
      <w:pPr>
        <w:jc w:val="both"/>
        <w:rPr>
          <w:i/>
        </w:rPr>
      </w:pPr>
      <w:r>
        <w:rPr>
          <w:i/>
        </w:rPr>
        <w:t xml:space="preserve">This information is especially of interest when the prevalence is very low. Using breast cancer and a test specificity of 95% as an example, the PPV would be 16%. This means that only one out of every six positive test results would be true positive. The specificity indicates a 5% false positive rate; therefore, five out of every 100 people who are truly negative will have a false-positive result. </w:t>
      </w:r>
      <w:r w:rsidR="0082264B">
        <w:rPr>
          <w:i/>
        </w:rPr>
        <w:t>T</w:t>
      </w:r>
      <w:r w:rsidR="001E1EC1">
        <w:rPr>
          <w:i/>
        </w:rPr>
        <w:t xml:space="preserve">he prevalence of dMMR for breast cancer is </w:t>
      </w:r>
      <w:r w:rsidR="0082264B">
        <w:rPr>
          <w:i/>
        </w:rPr>
        <w:t xml:space="preserve">very low at </w:t>
      </w:r>
      <w:r w:rsidR="001E1EC1">
        <w:rPr>
          <w:i/>
        </w:rPr>
        <w:t xml:space="preserve">1%, thus </w:t>
      </w:r>
      <w:r w:rsidR="0082264B">
        <w:rPr>
          <w:i/>
        </w:rPr>
        <w:t>one</w:t>
      </w:r>
      <w:r w:rsidR="001E1EC1">
        <w:rPr>
          <w:i/>
        </w:rPr>
        <w:t xml:space="preserve"> out of every 100 people tested would be truly positive</w:t>
      </w:r>
      <w:r w:rsidR="0082264B">
        <w:rPr>
          <w:i/>
        </w:rPr>
        <w:t xml:space="preserve"> and the other 99 would be truly negative</w:t>
      </w:r>
      <w:r w:rsidR="001E1EC1">
        <w:rPr>
          <w:i/>
        </w:rPr>
        <w:t xml:space="preserve">. </w:t>
      </w:r>
      <w:r w:rsidR="004C7902">
        <w:rPr>
          <w:i/>
        </w:rPr>
        <w:t>As outlined above</w:t>
      </w:r>
      <w:r w:rsidR="0082264B">
        <w:rPr>
          <w:i/>
        </w:rPr>
        <w:t xml:space="preserve">, we would expect five (5%) of these 99 </w:t>
      </w:r>
      <w:r w:rsidR="00D02F16">
        <w:rPr>
          <w:i/>
        </w:rPr>
        <w:t xml:space="preserve">true-negative patients </w:t>
      </w:r>
      <w:r w:rsidR="0082264B">
        <w:rPr>
          <w:i/>
        </w:rPr>
        <w:t>to have a false</w:t>
      </w:r>
      <w:r w:rsidR="00D02F16">
        <w:rPr>
          <w:i/>
        </w:rPr>
        <w:t>-</w:t>
      </w:r>
      <w:r w:rsidR="0082264B">
        <w:rPr>
          <w:i/>
        </w:rPr>
        <w:t>positive result. This means that six out of the 100 breast cancer patients would be eligible for treatment with pembrolizumab, but only one will truly benefit. In the case of breast cancer, the five false-positive patients have forgone potentially beneficial second-line treatments.</w:t>
      </w:r>
      <w:r w:rsidR="008C3A4A">
        <w:rPr>
          <w:i/>
        </w:rPr>
        <w:t xml:space="preserve"> </w:t>
      </w:r>
    </w:p>
    <w:p w14:paraId="58634F55" w14:textId="60C02034" w:rsidR="00021EF7" w:rsidRPr="00021EF7" w:rsidRDefault="00021EF7" w:rsidP="00FE44D0">
      <w:pPr>
        <w:jc w:val="both"/>
      </w:pPr>
      <w:r w:rsidRPr="00021EF7">
        <w:rPr>
          <w:i/>
        </w:rPr>
        <w:t>PASC noted that the role of pathologist triage in selecting appropriate cases for testing has not been considered in this application. Pathologist review could decrease the number of patients needing testing. Tumours with a dMMR genotype often exhibit characteristic microscopic appearances.</w:t>
      </w:r>
      <w:r w:rsidR="00FE44D0">
        <w:rPr>
          <w:i/>
        </w:rPr>
        <w:t xml:space="preserve"> </w:t>
      </w:r>
      <w:r w:rsidR="00EB4F0D">
        <w:rPr>
          <w:i/>
        </w:rPr>
        <w:t>P</w:t>
      </w:r>
      <w:r>
        <w:rPr>
          <w:i/>
        </w:rPr>
        <w:t>A</w:t>
      </w:r>
      <w:r w:rsidR="00EB4F0D">
        <w:rPr>
          <w:i/>
        </w:rPr>
        <w:t>S</w:t>
      </w:r>
      <w:r>
        <w:rPr>
          <w:i/>
        </w:rPr>
        <w:t xml:space="preserve">C </w:t>
      </w:r>
      <w:r w:rsidR="00D02F16">
        <w:rPr>
          <w:i/>
        </w:rPr>
        <w:t>suggested that</w:t>
      </w:r>
      <w:r>
        <w:rPr>
          <w:i/>
        </w:rPr>
        <w:t xml:space="preserve"> the addition of a confirmatory test</w:t>
      </w:r>
      <w:r w:rsidR="00FE44D0">
        <w:rPr>
          <w:i/>
        </w:rPr>
        <w:t xml:space="preserve">, such as MSI-H testing, </w:t>
      </w:r>
      <w:r w:rsidR="00EB4F0D">
        <w:rPr>
          <w:i/>
        </w:rPr>
        <w:t xml:space="preserve">to be considered </w:t>
      </w:r>
      <w:r w:rsidR="00FE44D0">
        <w:rPr>
          <w:i/>
        </w:rPr>
        <w:t xml:space="preserve">for all dMMR test-positive patients who have “low </w:t>
      </w:r>
      <w:r w:rsidR="00EB4F0D">
        <w:rPr>
          <w:i/>
        </w:rPr>
        <w:t>true positivity</w:t>
      </w:r>
      <w:r w:rsidR="00FE44D0">
        <w:rPr>
          <w:i/>
        </w:rPr>
        <w:t>” tumour types. This would</w:t>
      </w:r>
      <w:r>
        <w:rPr>
          <w:i/>
        </w:rPr>
        <w:t xml:space="preserve"> </w:t>
      </w:r>
      <w:r w:rsidR="00D02F16">
        <w:rPr>
          <w:i/>
        </w:rPr>
        <w:t>have both cost and clinical effectiveness implications</w:t>
      </w:r>
      <w:r>
        <w:rPr>
          <w:i/>
        </w:rPr>
        <w:t>.</w:t>
      </w:r>
    </w:p>
    <w:p w14:paraId="23C80971" w14:textId="77777777" w:rsidR="00953ED7" w:rsidRPr="007A0CF6" w:rsidRDefault="0003582F" w:rsidP="0003582F">
      <w:pPr>
        <w:pStyle w:val="Heading3"/>
      </w:pPr>
      <w:r w:rsidRPr="007A0CF6">
        <w:t>2.2</w:t>
      </w:r>
      <w:r w:rsidRPr="007A0CF6">
        <w:tab/>
        <w:t>Prior tests</w:t>
      </w:r>
    </w:p>
    <w:p w14:paraId="4C1F081F" w14:textId="5BBB66B7" w:rsidR="0003582F" w:rsidRPr="007A0CF6" w:rsidRDefault="0003582F">
      <w:proofErr w:type="gramStart"/>
      <w:r w:rsidRPr="007A0CF6">
        <w:t>Routine histology, cytology and IHC tests to confirm diagnosis and stage of disease</w:t>
      </w:r>
      <w:r w:rsidR="006E2B6C">
        <w:t>.</w:t>
      </w:r>
      <w:proofErr w:type="gramEnd"/>
    </w:p>
    <w:p w14:paraId="5D875F75" w14:textId="77777777" w:rsidR="00896845" w:rsidRPr="007A0CF6" w:rsidRDefault="0003582F" w:rsidP="004C7902">
      <w:pPr>
        <w:pStyle w:val="Heading3"/>
        <w:keepNext/>
      </w:pPr>
      <w:r w:rsidRPr="007A0CF6">
        <w:t>2.3</w:t>
      </w:r>
      <w:r w:rsidRPr="007A0CF6">
        <w:tab/>
      </w:r>
      <w:r w:rsidR="00896845" w:rsidRPr="007A0CF6">
        <w:t>Intervention</w:t>
      </w:r>
    </w:p>
    <w:p w14:paraId="1FF8C49A" w14:textId="60A7153E" w:rsidR="00B77270" w:rsidRDefault="0003582F" w:rsidP="0077087F">
      <w:pPr>
        <w:jc w:val="both"/>
        <w:rPr>
          <w:rFonts w:ascii="Arial Narrow" w:hAnsi="Arial Narrow"/>
          <w:sz w:val="20"/>
        </w:rPr>
      </w:pPr>
      <w:r w:rsidRPr="007A0CF6">
        <w:t xml:space="preserve">The intervention to be assessed is IHC </w:t>
      </w:r>
      <w:proofErr w:type="spellStart"/>
      <w:r w:rsidR="002C26A3">
        <w:t>d</w:t>
      </w:r>
      <w:r w:rsidRPr="007A0CF6">
        <w:t>MMR</w:t>
      </w:r>
      <w:proofErr w:type="spellEnd"/>
      <w:r w:rsidRPr="007A0CF6">
        <w:t xml:space="preserve"> testing plus pembrolizumab in those who </w:t>
      </w:r>
      <w:r w:rsidR="00DB77E5">
        <w:t>h</w:t>
      </w:r>
      <w:r w:rsidRPr="007A0CF6">
        <w:t>a</w:t>
      </w:r>
      <w:r w:rsidR="00DB77E5">
        <w:t>v</w:t>
      </w:r>
      <w:r w:rsidRPr="007A0CF6">
        <w:t>e</w:t>
      </w:r>
      <w:r w:rsidR="00DB77E5">
        <w:t xml:space="preserve"> a</w:t>
      </w:r>
      <w:r w:rsidRPr="007A0CF6">
        <w:t xml:space="preserve"> </w:t>
      </w:r>
      <w:r w:rsidR="00DB77E5">
        <w:t>d</w:t>
      </w:r>
      <w:r w:rsidRPr="007A0CF6">
        <w:t>MMR</w:t>
      </w:r>
      <w:r w:rsidR="00326737">
        <w:t xml:space="preserve"> tumour</w:t>
      </w:r>
      <w:r w:rsidRPr="007A0CF6">
        <w:t xml:space="preserve"> and standa</w:t>
      </w:r>
      <w:r w:rsidR="00326737">
        <w:t>rd of care</w:t>
      </w:r>
      <w:r w:rsidR="005E105B">
        <w:t xml:space="preserve"> second-line treatment</w:t>
      </w:r>
      <w:r w:rsidR="00326737">
        <w:t xml:space="preserve"> in those whose tumours are MMR-</w:t>
      </w:r>
      <w:r w:rsidRPr="007A0CF6">
        <w:t xml:space="preserve">proficient. </w:t>
      </w:r>
    </w:p>
    <w:p w14:paraId="2D65EF4F" w14:textId="2A365416" w:rsidR="0003582F" w:rsidRPr="007A0CF6" w:rsidRDefault="0003582F" w:rsidP="0003582F">
      <w:pPr>
        <w:jc w:val="both"/>
      </w:pPr>
      <w:r w:rsidRPr="007A0CF6">
        <w:t xml:space="preserve">An alternative intervention would be no IHC </w:t>
      </w:r>
      <w:proofErr w:type="spellStart"/>
      <w:r w:rsidR="002C26A3">
        <w:t>d</w:t>
      </w:r>
      <w:r w:rsidRPr="007A0CF6">
        <w:t>MMR</w:t>
      </w:r>
      <w:proofErr w:type="spellEnd"/>
      <w:r w:rsidRPr="007A0CF6">
        <w:t xml:space="preserve"> testing plus pembrolizumab administered to all patients. This may be of use in clarifying the benefit of the testing component.</w:t>
      </w:r>
      <w:r w:rsidR="00FE44D0">
        <w:t xml:space="preserve"> </w:t>
      </w:r>
      <w:r w:rsidR="00FE44D0" w:rsidRPr="00FE44D0">
        <w:rPr>
          <w:i/>
        </w:rPr>
        <w:t xml:space="preserve">(Note this is an alternative intervention, </w:t>
      </w:r>
      <w:r w:rsidR="00FE44D0" w:rsidRPr="00FE44D0">
        <w:rPr>
          <w:i/>
          <w:u w:val="single"/>
        </w:rPr>
        <w:t>not</w:t>
      </w:r>
      <w:r w:rsidR="00FE44D0" w:rsidRPr="00FE44D0">
        <w:rPr>
          <w:i/>
        </w:rPr>
        <w:t xml:space="preserve"> an alternative comparator</w:t>
      </w:r>
      <w:r w:rsidR="00FE44D0">
        <w:rPr>
          <w:i/>
        </w:rPr>
        <w:t>)</w:t>
      </w:r>
      <w:r w:rsidR="001701A2">
        <w:rPr>
          <w:i/>
        </w:rPr>
        <w:t>.</w:t>
      </w:r>
      <w:r w:rsidR="00FE44D0">
        <w:rPr>
          <w:i/>
        </w:rPr>
        <w:t xml:space="preserve"> </w:t>
      </w:r>
      <w:r w:rsidR="00FE44D0" w:rsidRPr="00FE44D0">
        <w:rPr>
          <w:i/>
        </w:rPr>
        <w:t xml:space="preserve">PASC </w:t>
      </w:r>
      <w:r w:rsidR="00FE44D0">
        <w:rPr>
          <w:i/>
        </w:rPr>
        <w:t xml:space="preserve">also </w:t>
      </w:r>
      <w:r w:rsidR="00FE44D0" w:rsidRPr="00FE44D0">
        <w:rPr>
          <w:i/>
        </w:rPr>
        <w:t>noted that</w:t>
      </w:r>
      <w:r w:rsidR="001701A2">
        <w:rPr>
          <w:i/>
        </w:rPr>
        <w:t>,</w:t>
      </w:r>
      <w:r w:rsidR="00FE44D0" w:rsidRPr="00FE44D0">
        <w:rPr>
          <w:i/>
        </w:rPr>
        <w:t xml:space="preserve"> in the absence of this comparison, it would be difficult to demonstrate clinical utility of MMR IHC testing.</w:t>
      </w:r>
    </w:p>
    <w:p w14:paraId="3A9A8171" w14:textId="6F5DAE98" w:rsidR="0003582F" w:rsidRPr="007A0CF6" w:rsidRDefault="0003582F" w:rsidP="0003582F">
      <w:pPr>
        <w:jc w:val="both"/>
      </w:pPr>
      <w:r w:rsidRPr="005E105B">
        <w:t xml:space="preserve">IHC </w:t>
      </w:r>
      <w:r w:rsidR="002C26A3" w:rsidRPr="005E105B">
        <w:t>d</w:t>
      </w:r>
      <w:r w:rsidRPr="005E105B">
        <w:t xml:space="preserve">MMR testing uses antibodies directed against each MMR protein (MLH1, MSH2, MSH6 and PMS2) and IHC staining to detect the expression of these proteins in the tumour cells to determine eligibility for treatment with pembrolizumab. The test uses </w:t>
      </w:r>
      <w:r w:rsidR="008C3A4A">
        <w:t xml:space="preserve">four </w:t>
      </w:r>
      <w:r w:rsidRPr="005E105B">
        <w:t xml:space="preserve">formalin-fixed paraffin-embedded (FFPE) tumour tissue </w:t>
      </w:r>
      <w:r w:rsidR="008C3A4A">
        <w:t xml:space="preserve">sections (one for each antibody) </w:t>
      </w:r>
      <w:r w:rsidRPr="005E105B">
        <w:t>from either a surgical resection or a biopsy (if unresectable)</w:t>
      </w:r>
      <w:r w:rsidR="0082704D" w:rsidRPr="005E105B">
        <w:t xml:space="preserve">. The sample would be obtained as part of normal diagnostic work-up, and patients are unlikely to require a new biopsy for the specific purpose of IHC </w:t>
      </w:r>
      <w:r w:rsidR="002C26A3" w:rsidRPr="005E105B">
        <w:t>d</w:t>
      </w:r>
      <w:r w:rsidR="0082704D" w:rsidRPr="005E105B">
        <w:t>MMR te</w:t>
      </w:r>
      <w:r w:rsidR="001E7DB2" w:rsidRPr="005E105B">
        <w:t>s</w:t>
      </w:r>
      <w:r w:rsidR="0082704D" w:rsidRPr="005E105B">
        <w:t>ting</w:t>
      </w:r>
      <w:r w:rsidRPr="005E105B">
        <w:t xml:space="preserve">. </w:t>
      </w:r>
      <w:r w:rsidRPr="005E105B">
        <w:rPr>
          <w:i/>
        </w:rPr>
        <w:t>Evidence of the stability of these proteins in FFPE tissue blocks should be provided if archival tissue is likely to be retrieved for testing.</w:t>
      </w:r>
    </w:p>
    <w:p w14:paraId="54649A6D" w14:textId="63EEAB8F" w:rsidR="0003582F" w:rsidRDefault="008C3A4A" w:rsidP="0003582F">
      <w:pPr>
        <w:jc w:val="both"/>
      </w:pPr>
      <w:r w:rsidRPr="008C3A4A">
        <w:t xml:space="preserve">Even though </w:t>
      </w:r>
      <w:r>
        <w:t>IHC</w:t>
      </w:r>
      <w:r w:rsidRPr="008C3A4A">
        <w:t xml:space="preserve"> antibody staining requires four individual “tests”, the </w:t>
      </w:r>
      <w:proofErr w:type="gramStart"/>
      <w:r w:rsidRPr="008C3A4A">
        <w:t>result of the four sections are</w:t>
      </w:r>
      <w:proofErr w:type="gramEnd"/>
      <w:r w:rsidRPr="008C3A4A">
        <w:t xml:space="preserve"> combined </w:t>
      </w:r>
      <w:r>
        <w:t>to provide an overall picture and a</w:t>
      </w:r>
      <w:r w:rsidRPr="008C3A4A">
        <w:t xml:space="preserve"> single test result. </w:t>
      </w:r>
      <w:r w:rsidR="0003582F" w:rsidRPr="007A0CF6">
        <w:t>The proteins form heterodimers (either MLH1/PMS2 or MSH2/MSH6), as the loss of one protein usually affects the expression of its partner</w:t>
      </w:r>
      <w:r w:rsidR="006E2B6C">
        <w:t>;</w:t>
      </w:r>
      <w:r w:rsidR="006E2B6C" w:rsidRPr="007A0CF6">
        <w:t xml:space="preserve"> </w:t>
      </w:r>
      <w:r w:rsidR="0003582F" w:rsidRPr="007A0CF6">
        <w:lastRenderedPageBreak/>
        <w:t xml:space="preserve">most </w:t>
      </w:r>
      <w:r w:rsidR="00DB77E5">
        <w:t>d</w:t>
      </w:r>
      <w:r w:rsidR="0003582F" w:rsidRPr="007A0CF6">
        <w:t xml:space="preserve">MMR CRCs show loss of expression of both proteins in the affected heterodimer. Loss of protein expression should be complete, with the absence of nuclear staining of all cancer cells and unequivocal positive staining of the nuclei of surrounding non-cancer cells and </w:t>
      </w:r>
      <w:r w:rsidR="004210DB">
        <w:t>tumour-infiltrating</w:t>
      </w:r>
      <w:r w:rsidR="0003582F" w:rsidRPr="007A0CF6">
        <w:t xml:space="preserve"> lymphocytes. The loss of expression of MSH2/MSH6 is highly suggestive of a MSH2 germline mutation, and loss of expression of MLH1/PMS2 may result either from a MLH1 germline mutation or from acquired somatic hyper-methylation of the MLH1 gene promoter. Patients whose tumours showed a lack of expression of any of these proteins would be classed as </w:t>
      </w:r>
      <w:r w:rsidR="00DB77E5">
        <w:t>d</w:t>
      </w:r>
      <w:r w:rsidR="0003582F" w:rsidRPr="007A0CF6">
        <w:t>MMR and would be eligible for treatment with pembrolizumab at diagnosis of or progression to stage IV disease.</w:t>
      </w:r>
      <w:r>
        <w:t xml:space="preserve"> </w:t>
      </w:r>
    </w:p>
    <w:p w14:paraId="3285214A" w14:textId="383D02C5" w:rsidR="0003582F" w:rsidRPr="007A0CF6" w:rsidRDefault="0003582F" w:rsidP="0003582F">
      <w:pPr>
        <w:jc w:val="both"/>
      </w:pPr>
      <w:r w:rsidRPr="007A0CF6">
        <w:t xml:space="preserve">The applicant indicated that IHC </w:t>
      </w:r>
      <w:r w:rsidR="002C26A3">
        <w:t>d</w:t>
      </w:r>
      <w:r w:rsidRPr="007A0CF6">
        <w:t xml:space="preserve">MMR testing for access to pembrolizumab should be requested by the treating clinician. Patients are expected to receive one test throughout the course of their disease. The test is a Class II in vitro diagnostic test and must be performed in an accredited laboratory by a certified pathologist. It should be noted that most laboratories </w:t>
      </w:r>
      <w:r w:rsidR="0082704D" w:rsidRPr="007A0CF6">
        <w:t xml:space="preserve">are </w:t>
      </w:r>
      <w:r w:rsidRPr="007A0CF6">
        <w:t xml:space="preserve">already </w:t>
      </w:r>
      <w:r w:rsidR="0082704D" w:rsidRPr="007A0CF6">
        <w:t xml:space="preserve">able to </w:t>
      </w:r>
      <w:r w:rsidRPr="007A0CF6">
        <w:t xml:space="preserve">perform the IHC </w:t>
      </w:r>
      <w:r w:rsidR="002C26A3">
        <w:t>d</w:t>
      </w:r>
      <w:r w:rsidRPr="007A0CF6">
        <w:t xml:space="preserve">MMR test. </w:t>
      </w:r>
      <w:proofErr w:type="gramStart"/>
      <w:r w:rsidRPr="007A0CF6">
        <w:t>If</w:t>
      </w:r>
      <w:r w:rsidR="00952431">
        <w:t xml:space="preserve"> </w:t>
      </w:r>
      <w:r w:rsidRPr="007A0CF6">
        <w:t xml:space="preserve">found to be </w:t>
      </w:r>
      <w:proofErr w:type="spellStart"/>
      <w:r w:rsidR="00DB77E5">
        <w:t>d</w:t>
      </w:r>
      <w:r w:rsidRPr="007A0CF6">
        <w:t>MMR</w:t>
      </w:r>
      <w:proofErr w:type="spellEnd"/>
      <w:r w:rsidRPr="007A0CF6">
        <w:t>, treatment with pembrolizumab would be managed by medical oncologists.</w:t>
      </w:r>
      <w:proofErr w:type="gramEnd"/>
    </w:p>
    <w:p w14:paraId="385AD79E" w14:textId="2F6114B2" w:rsidR="00304867" w:rsidRPr="007A0CF6" w:rsidRDefault="0003582F" w:rsidP="0003582F">
      <w:pPr>
        <w:jc w:val="both"/>
      </w:pPr>
      <w:r w:rsidRPr="007A0CF6">
        <w:t xml:space="preserve">The IHC </w:t>
      </w:r>
      <w:r w:rsidR="002C26A3">
        <w:t>d</w:t>
      </w:r>
      <w:r w:rsidRPr="007A0CF6">
        <w:t>MMR test is a simple, fast and inexpensive and m</w:t>
      </w:r>
      <w:r w:rsidR="0082704D" w:rsidRPr="007A0CF6">
        <w:t xml:space="preserve">any </w:t>
      </w:r>
      <w:r w:rsidRPr="007A0CF6">
        <w:t xml:space="preserve">patients </w:t>
      </w:r>
      <w:r w:rsidR="0082704D" w:rsidRPr="007A0CF6">
        <w:t>diagnosed with endometrial or ovarian cancer</w:t>
      </w:r>
      <w:r w:rsidR="00C9778A">
        <w:t>, as well as those aged &lt;50 years with Lynch syndrome-associated tumours,</w:t>
      </w:r>
      <w:r w:rsidR="0082704D" w:rsidRPr="007A0CF6">
        <w:t xml:space="preserve"> </w:t>
      </w:r>
      <w:r w:rsidRPr="007A0CF6">
        <w:t xml:space="preserve">already receive IHC </w:t>
      </w:r>
      <w:r w:rsidR="002C26A3">
        <w:t>d</w:t>
      </w:r>
      <w:r w:rsidRPr="007A0CF6">
        <w:t>MMR testing as part of their diagnostic work-up at initial diagnosis.</w:t>
      </w:r>
      <w:r w:rsidR="00304867" w:rsidRPr="007A0CF6">
        <w:t xml:space="preserve"> The applicant estimated that the </w:t>
      </w:r>
      <w:r w:rsidR="00FA5BE8">
        <w:t>maximum number</w:t>
      </w:r>
      <w:r w:rsidR="00304867" w:rsidRPr="007A0CF6">
        <w:t xml:space="preserve"> of patients who would be considered for </w:t>
      </w:r>
      <w:r w:rsidR="0065155F">
        <w:t xml:space="preserve">IHC dMMR </w:t>
      </w:r>
      <w:r w:rsidR="00304867" w:rsidRPr="007A0CF6">
        <w:t xml:space="preserve">testing </w:t>
      </w:r>
      <w:r w:rsidR="00FA5BE8">
        <w:t xml:space="preserve">in 2017 </w:t>
      </w:r>
      <w:r w:rsidR="00304867" w:rsidRPr="007A0CF6">
        <w:t>is 18,872. The applicant plans to refine the patient numbers for use in the submission.</w:t>
      </w:r>
    </w:p>
    <w:p w14:paraId="100EAA09" w14:textId="6FEBEFA6" w:rsidR="0003582F" w:rsidRPr="00C15D56" w:rsidRDefault="0003582F" w:rsidP="0003582F">
      <w:pPr>
        <w:jc w:val="both"/>
        <w:rPr>
          <w:i/>
        </w:rPr>
      </w:pPr>
      <w:r w:rsidRPr="007A0CF6">
        <w:t xml:space="preserve">IHC </w:t>
      </w:r>
      <w:r w:rsidR="002C26A3">
        <w:t>d</w:t>
      </w:r>
      <w:r w:rsidRPr="007A0CF6">
        <w:t xml:space="preserve">MMR testing </w:t>
      </w:r>
      <w:r w:rsidR="002401A5">
        <w:t>is claimed using</w:t>
      </w:r>
      <w:r w:rsidRPr="007A0CF6">
        <w:t xml:space="preserve"> MBS item number 72847. This item is for general IHC testing with 4-6 antibodies and is not limited to either anti-MMR antibodies or a specific patient population. </w:t>
      </w:r>
      <w:r w:rsidR="00795758" w:rsidRPr="00C15D56">
        <w:rPr>
          <w:i/>
        </w:rPr>
        <w:t xml:space="preserve">MSAC may </w:t>
      </w:r>
      <w:r w:rsidR="00D02F16">
        <w:rPr>
          <w:i/>
        </w:rPr>
        <w:t xml:space="preserve">wish to </w:t>
      </w:r>
      <w:r w:rsidR="00795758" w:rsidRPr="00C15D56">
        <w:rPr>
          <w:i/>
        </w:rPr>
        <w:t xml:space="preserve">consider </w:t>
      </w:r>
      <w:r w:rsidR="00105958">
        <w:rPr>
          <w:i/>
        </w:rPr>
        <w:t>whether</w:t>
      </w:r>
      <w:r w:rsidR="00795758" w:rsidRPr="00C15D56">
        <w:rPr>
          <w:i/>
        </w:rPr>
        <w:t xml:space="preserve"> </w:t>
      </w:r>
      <w:r w:rsidR="00021EF7">
        <w:rPr>
          <w:i/>
        </w:rPr>
        <w:t xml:space="preserve">a specific item number </w:t>
      </w:r>
      <w:r w:rsidR="00A8747F">
        <w:rPr>
          <w:i/>
        </w:rPr>
        <w:t xml:space="preserve">for IHC dMMR testing </w:t>
      </w:r>
      <w:r w:rsidR="00021EF7">
        <w:rPr>
          <w:i/>
        </w:rPr>
        <w:t>will help determine how many IHC dMMR tests are performed for determining access to immune checkpoint inhibitors.</w:t>
      </w:r>
    </w:p>
    <w:p w14:paraId="1D9DC262" w14:textId="77777777" w:rsidR="00304867" w:rsidRPr="007A0CF6" w:rsidRDefault="00304867" w:rsidP="004C7902">
      <w:pPr>
        <w:keepNext/>
        <w:spacing w:before="240" w:after="120"/>
        <w:rPr>
          <w:i/>
        </w:rPr>
      </w:pPr>
      <w:r w:rsidRPr="007A0CF6">
        <w:rPr>
          <w:i/>
          <w:u w:val="single"/>
        </w:rPr>
        <w:t>Rationale</w:t>
      </w:r>
    </w:p>
    <w:p w14:paraId="10DA2072" w14:textId="1B1B7FE5" w:rsidR="00021EF7" w:rsidRDefault="00C15D56" w:rsidP="00C15D56">
      <w:pPr>
        <w:jc w:val="both"/>
      </w:pPr>
      <w:r>
        <w:t xml:space="preserve">Currently, universal </w:t>
      </w:r>
      <w:r w:rsidR="00F955EA">
        <w:t xml:space="preserve">IHC dMMR </w:t>
      </w:r>
      <w:r>
        <w:t xml:space="preserve">testing is recommended for CRC and endometrial cancer, with many others tested where red flag criteria exists such as certain cancers in those aged &lt;50 years. </w:t>
      </w:r>
    </w:p>
    <w:p w14:paraId="0E923BD0" w14:textId="2A1E5FA2" w:rsidR="00C15D56" w:rsidRDefault="00C15D56" w:rsidP="00C15D56">
      <w:pPr>
        <w:jc w:val="both"/>
      </w:pPr>
      <w:r>
        <w:t xml:space="preserve">Feedback received from Ovarian Cancer Australia for the Targeted Consultation Survey on MSAC Application 1508 indicated that </w:t>
      </w:r>
      <w:proofErr w:type="spellStart"/>
      <w:r>
        <w:t>histotype</w:t>
      </w:r>
      <w:proofErr w:type="spellEnd"/>
      <w:r>
        <w:t xml:space="preserve">-specific Lynch syndrome screening in ovarian cancers, specifically </w:t>
      </w:r>
      <w:proofErr w:type="spellStart"/>
      <w:r>
        <w:t>endometrioid</w:t>
      </w:r>
      <w:proofErr w:type="spellEnd"/>
      <w:r>
        <w:t xml:space="preserve"> and clear cell carcinomas, independently of the patient’s age is advocated by the Austrian Organisation for Gynaecological Oncology </w:t>
      </w:r>
      <w:r>
        <w:fldChar w:fldCharType="begin"/>
      </w:r>
      <w:r>
        <w:instrText xml:space="preserve"> ADDIN EN.CITE &lt;EndNote&gt;&lt;Cite&gt;&lt;Author&gt;Zeimet&lt;/Author&gt;&lt;Year&gt;2017&lt;/Year&gt;&lt;RecNum&gt;18&lt;/RecNum&gt;&lt;DisplayText&gt;(Zeimet et al. 2017)&lt;/DisplayText&gt;&lt;record&gt;&lt;rec-number&gt;18&lt;/rec-number&gt;&lt;foreign-keys&gt;&lt;key app="EN" db-id="as9sdrfwoaw9fce5xr9pew9gz9epate29xvw" timestamp="1508890143"&gt;18&lt;/key&gt;&lt;/foreign-keys&gt;&lt;ref-type name="Journal Article"&gt;17&lt;/ref-type&gt;&lt;contributors&gt;&lt;authors&gt;&lt;author&gt;Zeimet, Alain G.&lt;/author&gt;&lt;author&gt;Mori, Harald&lt;/author&gt;&lt;author&gt;Petru, Edgar&lt;/author&gt;&lt;author&gt;Polterauer, Stephan&lt;/author&gt;&lt;author&gt;Reinthaller, Alexander&lt;/author&gt;&lt;author&gt;Schauer, Christian&lt;/author&gt;&lt;author&gt;Scholl-Firon, Tonja&lt;/author&gt;&lt;author&gt;Singer, Christian&lt;/author&gt;&lt;author&gt;Wimmer, Katharina&lt;/author&gt;&lt;author&gt;Zschocke, Johannes&lt;/author&gt;&lt;author&gt;Marth, Christian&lt;/author&gt;&lt;/authors&gt;&lt;/contributors&gt;&lt;titles&gt;&lt;title&gt;AGO Austria recommendation on screening and diagnosis of Lynch syndrome (LS)&lt;/title&gt;&lt;secondary-title&gt;Archives of Gynecology and Obstetrics&lt;/secondary-title&gt;&lt;/titles&gt;&lt;periodical&gt;&lt;full-title&gt;Archives of Gynecology and Obstetrics&lt;/full-title&gt;&lt;/periodical&gt;&lt;pages&gt;123-127&lt;/pages&gt;&lt;volume&gt;296&lt;/volume&gt;&lt;number&gt;1&lt;/number&gt;&lt;dates&gt;&lt;year&gt;2017&lt;/year&gt;&lt;pub-dates&gt;&lt;date&gt;July 01&lt;/date&gt;&lt;/pub-dates&gt;&lt;/dates&gt;&lt;isbn&gt;1432-0711&lt;/isbn&gt;&lt;label&gt;Zeimet2017&lt;/label&gt;&lt;work-type&gt;journal article&lt;/work-type&gt;&lt;urls&gt;&lt;related-urls&gt;&lt;url&gt;https://doi.org/10.1007/s00404-017-4392-y&lt;/url&gt;&lt;url&gt;https://www.ncbi.nlm.nih.gov/pmc/articles/PMC5486556/pdf/404_2017_Article_4392.pdf&lt;/url&gt;&lt;/related-urls&gt;&lt;/urls&gt;&lt;electronic-resource-num&gt;10.1007/s00404-017-4392-y&lt;/electronic-resource-num&gt;&lt;/record&gt;&lt;/Cite&gt;&lt;/EndNote&gt;</w:instrText>
      </w:r>
      <w:r>
        <w:fldChar w:fldCharType="separate"/>
      </w:r>
      <w:r>
        <w:rPr>
          <w:noProof/>
        </w:rPr>
        <w:t>(Zeimet et al. 2017)</w:t>
      </w:r>
      <w:r>
        <w:fldChar w:fldCharType="end"/>
      </w:r>
      <w:r>
        <w:t>.</w:t>
      </w:r>
    </w:p>
    <w:p w14:paraId="6A5D7172" w14:textId="054D9572" w:rsidR="00C15D56" w:rsidRDefault="00C15D56" w:rsidP="00C15D56">
      <w:pPr>
        <w:jc w:val="both"/>
      </w:pPr>
      <w:r>
        <w:t xml:space="preserve">The sponsor reported that IHC dMMR testing is already routinely undertaken in Australian laboratories, </w:t>
      </w:r>
      <w:r w:rsidR="002B121F">
        <w:t xml:space="preserve">and is increasingly </w:t>
      </w:r>
      <w:proofErr w:type="gramStart"/>
      <w:r w:rsidR="002B121F">
        <w:t>routine</w:t>
      </w:r>
      <w:proofErr w:type="gramEnd"/>
      <w:r w:rsidR="002B121F">
        <w:t xml:space="preserve"> </w:t>
      </w:r>
      <w:r>
        <w:t>for endometrial cancer.</w:t>
      </w:r>
      <w:r w:rsidR="002B121F">
        <w:t xml:space="preserve"> </w:t>
      </w:r>
      <w:r>
        <w:t xml:space="preserve">Although the routine testing of colorectal tumours and endometrial tumours for those under the age of 50 and 60, respectively, is considered best practice, feedback received from Lynch Syndrome Australia on the Targeted Consultation Survey on MSAC Application 1508 reported that this is not the experience of Australians with Lynch syndrome. They indicated that this level of screening does not occur ‘routinely’. </w:t>
      </w:r>
    </w:p>
    <w:p w14:paraId="1DD61C40" w14:textId="77777777" w:rsidR="00C15D56" w:rsidRDefault="00C15D56" w:rsidP="00C15D56">
      <w:pPr>
        <w:jc w:val="both"/>
      </w:pPr>
      <w:r>
        <w:t>Lynch Syndrome Australia advocated for all tumours and unresectable tumours to be tested for dMMR. They predicted that should pathology testing become mandatory for all cancers, this would lead to identifying tens of thousands of Australians with Lynch syndrome who are currently undiagnosed.</w:t>
      </w:r>
    </w:p>
    <w:p w14:paraId="007DA3E2" w14:textId="4B5475EB" w:rsidR="00CD6FC8" w:rsidRPr="007A0CF6" w:rsidRDefault="00C15D56" w:rsidP="00C15D56">
      <w:pPr>
        <w:jc w:val="both"/>
      </w:pPr>
      <w:r>
        <w:t xml:space="preserve">Lynch Syndrome Australia also commented that in their experience, clinicians misinterpret the ‘negative result’ of an MMR test (i.e., indicating loss of staining in proteins) as a positive result requiring no further </w:t>
      </w:r>
      <w:r>
        <w:lastRenderedPageBreak/>
        <w:t>action, whereas that ‘negative result’ indicates dMMR. This suggests that appropriate training of pathologists would be required, along with the implementation of a QAP for dMMR IHC testing.</w:t>
      </w:r>
    </w:p>
    <w:p w14:paraId="6F04CBDF" w14:textId="77777777" w:rsidR="00896845" w:rsidRPr="007A0CF6" w:rsidRDefault="0003582F" w:rsidP="0077087F">
      <w:pPr>
        <w:pStyle w:val="Heading3"/>
        <w:keepNext/>
      </w:pPr>
      <w:r w:rsidRPr="007A0CF6">
        <w:t>2.4</w:t>
      </w:r>
      <w:r w:rsidRPr="007A0CF6">
        <w:tab/>
      </w:r>
      <w:r w:rsidR="00896845" w:rsidRPr="007A0CF6">
        <w:t>Comparator</w:t>
      </w:r>
    </w:p>
    <w:p w14:paraId="04E6DC5F" w14:textId="5B554C1F" w:rsidR="0077087F" w:rsidRDefault="00333259" w:rsidP="0077087F">
      <w:pPr>
        <w:jc w:val="both"/>
      </w:pPr>
      <w:r w:rsidRPr="007A0CF6">
        <w:t>T</w:t>
      </w:r>
      <w:r w:rsidR="0077087F">
        <w:t>he comparator is n</w:t>
      </w:r>
      <w:r w:rsidR="0077087F" w:rsidRPr="007A0CF6">
        <w:t xml:space="preserve">o testing </w:t>
      </w:r>
      <w:r w:rsidR="0077087F">
        <w:t>plus</w:t>
      </w:r>
      <w:r w:rsidR="0077087F" w:rsidRPr="007A0CF6">
        <w:t xml:space="preserve"> </w:t>
      </w:r>
      <w:r w:rsidR="0077087F">
        <w:t>s</w:t>
      </w:r>
      <w:r w:rsidR="0077087F" w:rsidRPr="007A0CF6">
        <w:t xml:space="preserve">tandard of care </w:t>
      </w:r>
      <w:r w:rsidR="0077087F">
        <w:t xml:space="preserve">second-line treatment </w:t>
      </w:r>
      <w:r w:rsidR="0077087F" w:rsidRPr="007A0CF6">
        <w:t>administered to all patients</w:t>
      </w:r>
      <w:r w:rsidR="0077087F">
        <w:t>. Standard of care second-line treatment will differ according to the tumour types, and in some cases there will be no viable treatment options. The second-line treatment options for the most common non-CRC tumour types that do not have access to pembrolizumab are listed in Table 3.</w:t>
      </w:r>
    </w:p>
    <w:p w14:paraId="27A0D638" w14:textId="36798D5F" w:rsidR="0077087F" w:rsidRPr="007A0CF6" w:rsidRDefault="0077087F" w:rsidP="0077087F">
      <w:pPr>
        <w:pStyle w:val="Caption"/>
        <w:rPr>
          <w:lang w:val="en-AU"/>
        </w:rPr>
      </w:pPr>
      <w:r w:rsidRPr="007A0CF6">
        <w:rPr>
          <w:lang w:val="en-AU"/>
        </w:rPr>
        <w:t xml:space="preserve">Table </w:t>
      </w:r>
      <w:r w:rsidRPr="007A0CF6">
        <w:rPr>
          <w:lang w:val="en-AU"/>
        </w:rPr>
        <w:fldChar w:fldCharType="begin"/>
      </w:r>
      <w:r w:rsidRPr="007A0CF6">
        <w:rPr>
          <w:lang w:val="en-AU"/>
        </w:rPr>
        <w:instrText xml:space="preserve"> SEQ Table \* ARABIC </w:instrText>
      </w:r>
      <w:r w:rsidRPr="007A0CF6">
        <w:rPr>
          <w:lang w:val="en-AU"/>
        </w:rPr>
        <w:fldChar w:fldCharType="separate"/>
      </w:r>
      <w:r>
        <w:rPr>
          <w:noProof/>
          <w:lang w:val="en-AU"/>
        </w:rPr>
        <w:t>3</w:t>
      </w:r>
      <w:r w:rsidRPr="007A0CF6">
        <w:rPr>
          <w:lang w:val="en-AU"/>
        </w:rPr>
        <w:fldChar w:fldCharType="end"/>
      </w:r>
      <w:r w:rsidRPr="007A0CF6">
        <w:rPr>
          <w:lang w:val="en-AU"/>
        </w:rPr>
        <w:tab/>
      </w:r>
      <w:r>
        <w:rPr>
          <w:lang w:val="en-AU"/>
        </w:rPr>
        <w:t>Second-line treatment options for</w:t>
      </w:r>
      <w:r w:rsidRPr="007A0CF6">
        <w:rPr>
          <w:lang w:val="en-AU"/>
        </w:rPr>
        <w:t xml:space="preserve"> </w:t>
      </w:r>
      <w:r>
        <w:rPr>
          <w:lang w:val="en-AU"/>
        </w:rPr>
        <w:t xml:space="preserve">the most common non-CRC solid tumour types in Australia that do not </w:t>
      </w:r>
      <w:r w:rsidR="004C7902">
        <w:rPr>
          <w:lang w:val="en-AU"/>
        </w:rPr>
        <w:t xml:space="preserve">currently </w:t>
      </w:r>
      <w:r>
        <w:rPr>
          <w:lang w:val="en-AU"/>
        </w:rPr>
        <w:t>have access to pembrolizumab treatment</w:t>
      </w:r>
    </w:p>
    <w:tbl>
      <w:tblPr>
        <w:tblStyle w:val="TableGrid"/>
        <w:tblW w:w="9067" w:type="dxa"/>
        <w:tblLook w:val="04A0" w:firstRow="1" w:lastRow="0" w:firstColumn="1" w:lastColumn="0" w:noHBand="0" w:noVBand="1"/>
        <w:tblCaption w:val="Prevalence in sporadic solid tumour cases"/>
        <w:tblDescription w:val="reports the prevalence of microsatellite instability in various solid tumours"/>
      </w:tblPr>
      <w:tblGrid>
        <w:gridCol w:w="1980"/>
        <w:gridCol w:w="2126"/>
        <w:gridCol w:w="4961"/>
      </w:tblGrid>
      <w:tr w:rsidR="0077087F" w:rsidRPr="007A0CF6" w14:paraId="6AE9EBD5" w14:textId="77777777" w:rsidTr="001E1EC1">
        <w:trPr>
          <w:tblHeader/>
        </w:trPr>
        <w:tc>
          <w:tcPr>
            <w:tcW w:w="1980" w:type="dxa"/>
          </w:tcPr>
          <w:p w14:paraId="6046F48A" w14:textId="77777777" w:rsidR="0077087F" w:rsidRPr="007A0CF6" w:rsidRDefault="0077087F" w:rsidP="001E1EC1">
            <w:pPr>
              <w:spacing w:before="40" w:after="40"/>
              <w:jc w:val="both"/>
              <w:rPr>
                <w:rFonts w:ascii="Arial Narrow" w:hAnsi="Arial Narrow"/>
                <w:b/>
                <w:sz w:val="20"/>
              </w:rPr>
            </w:pPr>
            <w:r w:rsidRPr="007A0CF6">
              <w:rPr>
                <w:rFonts w:ascii="Arial Narrow" w:hAnsi="Arial Narrow"/>
                <w:b/>
                <w:sz w:val="20"/>
              </w:rPr>
              <w:t xml:space="preserve">Carcinoma </w:t>
            </w:r>
          </w:p>
        </w:tc>
        <w:tc>
          <w:tcPr>
            <w:tcW w:w="2126" w:type="dxa"/>
          </w:tcPr>
          <w:p w14:paraId="1D2035F1" w14:textId="77777777" w:rsidR="0077087F" w:rsidRPr="007A0CF6" w:rsidRDefault="0077087F" w:rsidP="001E1EC1">
            <w:pPr>
              <w:spacing w:before="40" w:after="40"/>
              <w:jc w:val="center"/>
              <w:rPr>
                <w:rFonts w:ascii="Arial Narrow" w:hAnsi="Arial Narrow"/>
                <w:b/>
                <w:sz w:val="20"/>
              </w:rPr>
            </w:pPr>
            <w:r>
              <w:rPr>
                <w:rFonts w:ascii="Arial Narrow" w:hAnsi="Arial Narrow"/>
                <w:b/>
                <w:sz w:val="20"/>
              </w:rPr>
              <w:t>Predicted number of dMMR Stage IV patients</w:t>
            </w:r>
          </w:p>
        </w:tc>
        <w:tc>
          <w:tcPr>
            <w:tcW w:w="4961" w:type="dxa"/>
          </w:tcPr>
          <w:p w14:paraId="77C20FED" w14:textId="77777777" w:rsidR="0077087F" w:rsidRPr="007A0CF6" w:rsidRDefault="0077087F" w:rsidP="001E1EC1">
            <w:pPr>
              <w:spacing w:before="40" w:after="40"/>
              <w:jc w:val="center"/>
              <w:rPr>
                <w:rFonts w:ascii="Arial Narrow" w:hAnsi="Arial Narrow"/>
                <w:b/>
                <w:sz w:val="20"/>
              </w:rPr>
            </w:pPr>
            <w:r>
              <w:rPr>
                <w:rFonts w:ascii="Arial Narrow" w:hAnsi="Arial Narrow"/>
                <w:b/>
                <w:sz w:val="20"/>
              </w:rPr>
              <w:t>Second-line treatment options</w:t>
            </w:r>
          </w:p>
        </w:tc>
      </w:tr>
      <w:tr w:rsidR="0077087F" w:rsidRPr="007A0CF6" w14:paraId="52B58266" w14:textId="77777777" w:rsidTr="001E1EC1">
        <w:tc>
          <w:tcPr>
            <w:tcW w:w="1980" w:type="dxa"/>
          </w:tcPr>
          <w:p w14:paraId="2B094A95" w14:textId="77777777" w:rsidR="0077087F" w:rsidRDefault="0077087F" w:rsidP="001E1EC1">
            <w:pPr>
              <w:spacing w:before="40" w:after="40"/>
              <w:rPr>
                <w:rFonts w:ascii="Arial Narrow" w:hAnsi="Arial Narrow"/>
                <w:sz w:val="20"/>
              </w:rPr>
            </w:pPr>
            <w:r>
              <w:rPr>
                <w:rFonts w:ascii="Arial Narrow" w:hAnsi="Arial Narrow"/>
                <w:sz w:val="20"/>
              </w:rPr>
              <w:t>Endocrine receptor-positive breast cancer</w:t>
            </w:r>
          </w:p>
        </w:tc>
        <w:tc>
          <w:tcPr>
            <w:tcW w:w="2126" w:type="dxa"/>
          </w:tcPr>
          <w:p w14:paraId="1E7F07E1" w14:textId="77777777" w:rsidR="0077087F" w:rsidRDefault="0077087F" w:rsidP="001E1EC1">
            <w:pPr>
              <w:spacing w:before="40" w:after="40"/>
              <w:jc w:val="center"/>
              <w:rPr>
                <w:rFonts w:ascii="Arial Narrow" w:hAnsi="Arial Narrow"/>
                <w:sz w:val="20"/>
              </w:rPr>
            </w:pPr>
            <w:r>
              <w:rPr>
                <w:rFonts w:ascii="Arial Narrow" w:hAnsi="Arial Narrow"/>
                <w:sz w:val="20"/>
              </w:rPr>
              <w:t>11 out of 2,123</w:t>
            </w:r>
          </w:p>
        </w:tc>
        <w:tc>
          <w:tcPr>
            <w:tcW w:w="4961" w:type="dxa"/>
          </w:tcPr>
          <w:p w14:paraId="0A5DFCBD" w14:textId="77777777" w:rsidR="0077087F" w:rsidRDefault="0077087F" w:rsidP="001E1EC1">
            <w:pPr>
              <w:tabs>
                <w:tab w:val="left" w:pos="742"/>
              </w:tabs>
              <w:spacing w:before="40" w:after="40"/>
              <w:rPr>
                <w:rFonts w:ascii="Arial Narrow" w:hAnsi="Arial Narrow"/>
                <w:sz w:val="20"/>
              </w:rPr>
            </w:pPr>
            <w:r>
              <w:rPr>
                <w:rFonts w:ascii="Arial Narrow" w:hAnsi="Arial Narrow"/>
                <w:sz w:val="20"/>
              </w:rPr>
              <w:t>Various combinations of anti-HER-2 therapy, chemotherapy and endocrine therapy</w:t>
            </w:r>
          </w:p>
        </w:tc>
      </w:tr>
      <w:tr w:rsidR="0077087F" w:rsidRPr="007A0CF6" w14:paraId="624C06C8" w14:textId="77777777" w:rsidTr="001E1EC1">
        <w:tc>
          <w:tcPr>
            <w:tcW w:w="1980" w:type="dxa"/>
          </w:tcPr>
          <w:p w14:paraId="1858758C" w14:textId="77777777" w:rsidR="0077087F" w:rsidRPr="007A0CF6" w:rsidRDefault="0077087F" w:rsidP="001E1EC1">
            <w:pPr>
              <w:spacing w:before="40" w:after="40"/>
              <w:rPr>
                <w:rFonts w:ascii="Arial Narrow" w:hAnsi="Arial Narrow"/>
                <w:sz w:val="20"/>
              </w:rPr>
            </w:pPr>
            <w:r>
              <w:rPr>
                <w:rFonts w:ascii="Arial Narrow" w:hAnsi="Arial Narrow"/>
                <w:sz w:val="20"/>
              </w:rPr>
              <w:t>Triple negative breast cancer</w:t>
            </w:r>
          </w:p>
        </w:tc>
        <w:tc>
          <w:tcPr>
            <w:tcW w:w="2126" w:type="dxa"/>
          </w:tcPr>
          <w:p w14:paraId="14A24451" w14:textId="77777777" w:rsidR="0077087F" w:rsidRDefault="0077087F" w:rsidP="001E1EC1">
            <w:pPr>
              <w:spacing w:before="40" w:after="40"/>
              <w:jc w:val="center"/>
              <w:rPr>
                <w:rFonts w:ascii="Arial Narrow" w:hAnsi="Arial Narrow"/>
                <w:sz w:val="20"/>
              </w:rPr>
            </w:pPr>
            <w:r>
              <w:rPr>
                <w:rFonts w:ascii="Arial Narrow" w:hAnsi="Arial Narrow"/>
                <w:sz w:val="20"/>
              </w:rPr>
              <w:t>7 out of 398</w:t>
            </w:r>
          </w:p>
        </w:tc>
        <w:tc>
          <w:tcPr>
            <w:tcW w:w="4961" w:type="dxa"/>
          </w:tcPr>
          <w:p w14:paraId="3023A3B4" w14:textId="77777777" w:rsidR="0077087F" w:rsidRPr="007A0CF6" w:rsidRDefault="0077087F" w:rsidP="001E1EC1">
            <w:pPr>
              <w:tabs>
                <w:tab w:val="left" w:pos="742"/>
              </w:tabs>
              <w:spacing w:before="40" w:after="40"/>
              <w:rPr>
                <w:rFonts w:ascii="Arial Narrow" w:hAnsi="Arial Narrow"/>
                <w:sz w:val="20"/>
              </w:rPr>
            </w:pPr>
            <w:r>
              <w:rPr>
                <w:rFonts w:ascii="Arial Narrow" w:hAnsi="Arial Narrow"/>
                <w:sz w:val="20"/>
              </w:rPr>
              <w:t>M</w:t>
            </w:r>
            <w:r w:rsidRPr="0019139D">
              <w:rPr>
                <w:rFonts w:ascii="Arial Narrow" w:hAnsi="Arial Narrow"/>
                <w:sz w:val="20"/>
              </w:rPr>
              <w:t xml:space="preserve">onotherapy </w:t>
            </w:r>
            <w:r>
              <w:rPr>
                <w:rFonts w:ascii="Arial Narrow" w:hAnsi="Arial Narrow"/>
                <w:sz w:val="20"/>
              </w:rPr>
              <w:t xml:space="preserve">with </w:t>
            </w:r>
            <w:proofErr w:type="spellStart"/>
            <w:r w:rsidRPr="0019139D">
              <w:rPr>
                <w:rFonts w:ascii="Arial Narrow" w:hAnsi="Arial Narrow"/>
                <w:sz w:val="20"/>
              </w:rPr>
              <w:t>taxane</w:t>
            </w:r>
            <w:proofErr w:type="spellEnd"/>
            <w:r w:rsidRPr="0019139D">
              <w:rPr>
                <w:rFonts w:ascii="Arial Narrow" w:hAnsi="Arial Narrow"/>
                <w:sz w:val="20"/>
              </w:rPr>
              <w:t xml:space="preserve">, </w:t>
            </w:r>
            <w:proofErr w:type="spellStart"/>
            <w:r w:rsidRPr="0019139D">
              <w:rPr>
                <w:rFonts w:ascii="Arial Narrow" w:hAnsi="Arial Narrow"/>
                <w:sz w:val="20"/>
              </w:rPr>
              <w:t>capecitabine</w:t>
            </w:r>
            <w:proofErr w:type="spellEnd"/>
            <w:r w:rsidRPr="0019139D">
              <w:rPr>
                <w:rFonts w:ascii="Arial Narrow" w:hAnsi="Arial Narrow"/>
                <w:sz w:val="20"/>
              </w:rPr>
              <w:t xml:space="preserve">, </w:t>
            </w:r>
            <w:proofErr w:type="spellStart"/>
            <w:r w:rsidRPr="0019139D">
              <w:rPr>
                <w:rFonts w:ascii="Arial Narrow" w:hAnsi="Arial Narrow"/>
                <w:sz w:val="20"/>
              </w:rPr>
              <w:t>eribu</w:t>
            </w:r>
            <w:r>
              <w:rPr>
                <w:rFonts w:ascii="Arial Narrow" w:hAnsi="Arial Narrow"/>
                <w:sz w:val="20"/>
              </w:rPr>
              <w:t>lin</w:t>
            </w:r>
            <w:proofErr w:type="spellEnd"/>
            <w:r>
              <w:rPr>
                <w:rFonts w:ascii="Arial Narrow" w:hAnsi="Arial Narrow"/>
                <w:sz w:val="20"/>
              </w:rPr>
              <w:t xml:space="preserve">, gemcitabine, or </w:t>
            </w:r>
            <w:proofErr w:type="spellStart"/>
            <w:r>
              <w:rPr>
                <w:rFonts w:ascii="Arial Narrow" w:hAnsi="Arial Narrow"/>
                <w:sz w:val="20"/>
              </w:rPr>
              <w:t>vinorelbine</w:t>
            </w:r>
            <w:proofErr w:type="spellEnd"/>
          </w:p>
        </w:tc>
      </w:tr>
      <w:tr w:rsidR="0077087F" w:rsidRPr="007A0CF6" w14:paraId="347FB2E5" w14:textId="77777777" w:rsidTr="001E1EC1">
        <w:tc>
          <w:tcPr>
            <w:tcW w:w="1980" w:type="dxa"/>
          </w:tcPr>
          <w:p w14:paraId="19AD110F"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Prostate cancer</w:t>
            </w:r>
          </w:p>
        </w:tc>
        <w:tc>
          <w:tcPr>
            <w:tcW w:w="2126" w:type="dxa"/>
          </w:tcPr>
          <w:p w14:paraId="1F741D3B" w14:textId="2B512AC0" w:rsidR="0077087F" w:rsidRPr="007A0CF6" w:rsidRDefault="0077087F" w:rsidP="001E1EC1">
            <w:pPr>
              <w:spacing w:before="40" w:after="40"/>
              <w:jc w:val="center"/>
              <w:rPr>
                <w:rFonts w:ascii="Arial Narrow" w:hAnsi="Arial Narrow"/>
                <w:sz w:val="20"/>
              </w:rPr>
            </w:pPr>
            <w:r>
              <w:rPr>
                <w:rFonts w:ascii="Arial Narrow" w:hAnsi="Arial Narrow"/>
                <w:sz w:val="20"/>
              </w:rPr>
              <w:t xml:space="preserve">107 out of </w:t>
            </w:r>
            <w:r w:rsidR="00BC01B7">
              <w:rPr>
                <w:rFonts w:ascii="Arial Narrow" w:hAnsi="Arial Narrow"/>
                <w:sz w:val="20"/>
              </w:rPr>
              <w:t>2,</w:t>
            </w:r>
            <w:r>
              <w:rPr>
                <w:rFonts w:ascii="Arial Narrow" w:hAnsi="Arial Narrow"/>
                <w:sz w:val="20"/>
              </w:rPr>
              <w:t>678</w:t>
            </w:r>
          </w:p>
        </w:tc>
        <w:tc>
          <w:tcPr>
            <w:tcW w:w="4961" w:type="dxa"/>
          </w:tcPr>
          <w:p w14:paraId="44921D6D" w14:textId="77777777" w:rsidR="0077087F" w:rsidRPr="007A0CF6" w:rsidRDefault="0077087F" w:rsidP="001E1EC1">
            <w:pPr>
              <w:tabs>
                <w:tab w:val="left" w:pos="742"/>
              </w:tabs>
              <w:spacing w:before="40" w:after="40"/>
              <w:rPr>
                <w:rFonts w:ascii="Arial Narrow" w:hAnsi="Arial Narrow"/>
                <w:sz w:val="20"/>
              </w:rPr>
            </w:pPr>
            <w:proofErr w:type="spellStart"/>
            <w:r>
              <w:rPr>
                <w:rFonts w:ascii="Arial Narrow" w:hAnsi="Arial Narrow"/>
                <w:sz w:val="20"/>
              </w:rPr>
              <w:t>A</w:t>
            </w:r>
            <w:r w:rsidRPr="00B77270">
              <w:rPr>
                <w:rFonts w:ascii="Arial Narrow" w:hAnsi="Arial Narrow"/>
                <w:sz w:val="20"/>
              </w:rPr>
              <w:t>biraterone</w:t>
            </w:r>
            <w:proofErr w:type="spellEnd"/>
            <w:r w:rsidRPr="00B77270">
              <w:rPr>
                <w:rFonts w:ascii="Arial Narrow" w:hAnsi="Arial Narrow"/>
                <w:sz w:val="20"/>
              </w:rPr>
              <w:t xml:space="preserve"> plus prednisone</w:t>
            </w:r>
            <w:r>
              <w:rPr>
                <w:rFonts w:ascii="Arial Narrow" w:hAnsi="Arial Narrow"/>
                <w:sz w:val="20"/>
              </w:rPr>
              <w:t>, or e</w:t>
            </w:r>
            <w:r w:rsidRPr="00B77270">
              <w:rPr>
                <w:rFonts w:ascii="Arial Narrow" w:hAnsi="Arial Narrow"/>
                <w:sz w:val="20"/>
              </w:rPr>
              <w:t>nzalutamide</w:t>
            </w:r>
          </w:p>
        </w:tc>
      </w:tr>
      <w:tr w:rsidR="0077087F" w:rsidRPr="007A0CF6" w14:paraId="3B50B0D5" w14:textId="77777777" w:rsidTr="001E1EC1">
        <w:tc>
          <w:tcPr>
            <w:tcW w:w="1980" w:type="dxa"/>
          </w:tcPr>
          <w:p w14:paraId="21FEBBEE" w14:textId="77777777" w:rsidR="0077087F" w:rsidRPr="00005E7C" w:rsidRDefault="0077087F" w:rsidP="001E1EC1">
            <w:pPr>
              <w:spacing w:before="40" w:after="40"/>
              <w:jc w:val="both"/>
              <w:rPr>
                <w:rFonts w:ascii="Arial Narrow" w:hAnsi="Arial Narrow"/>
                <w:sz w:val="20"/>
              </w:rPr>
            </w:pPr>
            <w:r>
              <w:rPr>
                <w:rFonts w:ascii="Arial Narrow" w:hAnsi="Arial Narrow"/>
                <w:sz w:val="20"/>
              </w:rPr>
              <w:t>Small cell lung cancer</w:t>
            </w:r>
          </w:p>
        </w:tc>
        <w:tc>
          <w:tcPr>
            <w:tcW w:w="2126" w:type="dxa"/>
          </w:tcPr>
          <w:p w14:paraId="447C70E7" w14:textId="77777777" w:rsidR="0077087F" w:rsidRPr="00005E7C" w:rsidRDefault="0077087F" w:rsidP="001E1EC1">
            <w:pPr>
              <w:spacing w:before="40" w:after="40"/>
              <w:jc w:val="center"/>
              <w:rPr>
                <w:rFonts w:ascii="Arial Narrow" w:hAnsi="Arial Narrow"/>
                <w:sz w:val="20"/>
              </w:rPr>
            </w:pPr>
            <w:r>
              <w:rPr>
                <w:rFonts w:ascii="Arial Narrow" w:hAnsi="Arial Narrow"/>
                <w:sz w:val="20"/>
              </w:rPr>
              <w:t>11 (15% of 75) out of 1,124</w:t>
            </w:r>
          </w:p>
        </w:tc>
        <w:tc>
          <w:tcPr>
            <w:tcW w:w="4961" w:type="dxa"/>
          </w:tcPr>
          <w:p w14:paraId="750426C8" w14:textId="77777777" w:rsidR="0077087F" w:rsidRDefault="0077087F" w:rsidP="001E1EC1">
            <w:pPr>
              <w:tabs>
                <w:tab w:val="left" w:pos="742"/>
              </w:tabs>
              <w:spacing w:before="40" w:after="40"/>
              <w:rPr>
                <w:rFonts w:ascii="Arial Narrow" w:hAnsi="Arial Narrow"/>
                <w:sz w:val="20"/>
              </w:rPr>
            </w:pPr>
            <w:proofErr w:type="spellStart"/>
            <w:r>
              <w:rPr>
                <w:rFonts w:ascii="Arial Narrow" w:hAnsi="Arial Narrow"/>
                <w:sz w:val="20"/>
              </w:rPr>
              <w:t>T</w:t>
            </w:r>
            <w:r w:rsidRPr="00330A7F">
              <w:rPr>
                <w:rFonts w:ascii="Arial Narrow" w:hAnsi="Arial Narrow"/>
                <w:sz w:val="20"/>
              </w:rPr>
              <w:t>opotecan</w:t>
            </w:r>
            <w:proofErr w:type="spellEnd"/>
            <w:r>
              <w:rPr>
                <w:rFonts w:ascii="Arial Narrow" w:hAnsi="Arial Narrow"/>
                <w:sz w:val="20"/>
              </w:rPr>
              <w:t xml:space="preserve"> or CAV</w:t>
            </w:r>
            <w:r>
              <w:t xml:space="preserve"> (</w:t>
            </w:r>
            <w:r w:rsidRPr="00330A7F">
              <w:rPr>
                <w:rFonts w:ascii="Arial Narrow" w:hAnsi="Arial Narrow"/>
                <w:sz w:val="20"/>
              </w:rPr>
              <w:t xml:space="preserve">cyclophosphamide, </w:t>
            </w:r>
            <w:proofErr w:type="spellStart"/>
            <w:r w:rsidRPr="00330A7F">
              <w:rPr>
                <w:rFonts w:ascii="Arial Narrow" w:hAnsi="Arial Narrow"/>
                <w:sz w:val="20"/>
              </w:rPr>
              <w:t>adriamycin</w:t>
            </w:r>
            <w:proofErr w:type="spellEnd"/>
            <w:r w:rsidRPr="00330A7F">
              <w:rPr>
                <w:rFonts w:ascii="Arial Narrow" w:hAnsi="Arial Narrow"/>
                <w:sz w:val="20"/>
              </w:rPr>
              <w:t xml:space="preserve"> and vincristine</w:t>
            </w:r>
            <w:r>
              <w:rPr>
                <w:rFonts w:ascii="Arial Narrow" w:hAnsi="Arial Narrow"/>
                <w:sz w:val="20"/>
              </w:rPr>
              <w:t>)</w:t>
            </w:r>
          </w:p>
        </w:tc>
      </w:tr>
      <w:tr w:rsidR="0077087F" w:rsidRPr="007A0CF6" w14:paraId="5D5E2606" w14:textId="77777777" w:rsidTr="001E1EC1">
        <w:tc>
          <w:tcPr>
            <w:tcW w:w="1980" w:type="dxa"/>
          </w:tcPr>
          <w:p w14:paraId="219C9DB1" w14:textId="77777777" w:rsidR="0077087F" w:rsidRPr="00005E7C" w:rsidRDefault="0077087F" w:rsidP="001E1EC1">
            <w:pPr>
              <w:spacing w:before="40" w:after="40"/>
              <w:rPr>
                <w:rFonts w:ascii="Arial Narrow" w:hAnsi="Arial Narrow"/>
                <w:sz w:val="20"/>
              </w:rPr>
            </w:pPr>
            <w:r w:rsidRPr="00005E7C">
              <w:rPr>
                <w:rFonts w:ascii="Arial Narrow" w:hAnsi="Arial Narrow"/>
                <w:sz w:val="20"/>
              </w:rPr>
              <w:t>NSCLC</w:t>
            </w:r>
            <w:r>
              <w:rPr>
                <w:rFonts w:ascii="Arial Narrow" w:hAnsi="Arial Narrow"/>
                <w:sz w:val="20"/>
              </w:rPr>
              <w:t>:</w:t>
            </w:r>
            <w:r w:rsidRPr="00005E7C">
              <w:rPr>
                <w:rFonts w:ascii="Arial Narrow" w:hAnsi="Arial Narrow"/>
                <w:sz w:val="20"/>
              </w:rPr>
              <w:t xml:space="preserve"> </w:t>
            </w:r>
            <w:r>
              <w:rPr>
                <w:rFonts w:ascii="Arial Narrow" w:hAnsi="Arial Narrow"/>
                <w:sz w:val="20"/>
              </w:rPr>
              <w:t xml:space="preserve">28% </w:t>
            </w:r>
            <w:r w:rsidRPr="00005E7C">
              <w:rPr>
                <w:rFonts w:ascii="Arial Narrow" w:hAnsi="Arial Narrow"/>
                <w:sz w:val="20"/>
              </w:rPr>
              <w:t>excluding PD-L1 positive</w:t>
            </w:r>
            <w:r>
              <w:rPr>
                <w:rFonts w:ascii="Arial Narrow" w:hAnsi="Arial Narrow"/>
                <w:sz w:val="20"/>
              </w:rPr>
              <w:t xml:space="preserve"> (i.e. TPS ≥50%)</w:t>
            </w:r>
          </w:p>
        </w:tc>
        <w:tc>
          <w:tcPr>
            <w:tcW w:w="2126" w:type="dxa"/>
          </w:tcPr>
          <w:p w14:paraId="105A5FA1" w14:textId="1A3A2853" w:rsidR="0077087F" w:rsidRPr="00005E7C" w:rsidRDefault="0077087F" w:rsidP="001E1EC1">
            <w:pPr>
              <w:spacing w:before="40" w:after="40"/>
              <w:jc w:val="center"/>
              <w:rPr>
                <w:rFonts w:ascii="Arial Narrow" w:hAnsi="Arial Narrow"/>
                <w:sz w:val="20"/>
              </w:rPr>
            </w:pPr>
            <w:r>
              <w:rPr>
                <w:rFonts w:ascii="Arial Narrow" w:hAnsi="Arial Narrow"/>
                <w:sz w:val="20"/>
              </w:rPr>
              <w:t xml:space="preserve">64 (85% of 75) – 18 = 46 out of </w:t>
            </w:r>
            <w:r w:rsidR="00BC01B7">
              <w:rPr>
                <w:rFonts w:ascii="Arial Narrow" w:hAnsi="Arial Narrow"/>
                <w:sz w:val="20"/>
              </w:rPr>
              <w:t>6,</w:t>
            </w:r>
            <w:r>
              <w:rPr>
                <w:rFonts w:ascii="Arial Narrow" w:hAnsi="Arial Narrow"/>
                <w:sz w:val="20"/>
              </w:rPr>
              <w:t>371</w:t>
            </w:r>
          </w:p>
        </w:tc>
        <w:tc>
          <w:tcPr>
            <w:tcW w:w="4961" w:type="dxa"/>
          </w:tcPr>
          <w:p w14:paraId="76134C2C" w14:textId="77777777" w:rsidR="0077087F" w:rsidRPr="007A0CF6" w:rsidRDefault="0077087F" w:rsidP="001E1EC1">
            <w:pPr>
              <w:tabs>
                <w:tab w:val="left" w:pos="742"/>
              </w:tabs>
              <w:spacing w:before="40" w:after="40"/>
              <w:rPr>
                <w:rFonts w:ascii="Arial Narrow" w:hAnsi="Arial Narrow"/>
                <w:sz w:val="20"/>
              </w:rPr>
            </w:pPr>
            <w:r w:rsidRPr="00005E7C">
              <w:rPr>
                <w:rFonts w:ascii="Arial Narrow" w:hAnsi="Arial Narrow"/>
                <w:sz w:val="20"/>
              </w:rPr>
              <w:t xml:space="preserve">Monotherapy with docetaxel or </w:t>
            </w:r>
            <w:proofErr w:type="spellStart"/>
            <w:r w:rsidRPr="00005E7C">
              <w:rPr>
                <w:rFonts w:ascii="Arial Narrow" w:hAnsi="Arial Narrow"/>
                <w:sz w:val="20"/>
              </w:rPr>
              <w:t>pemetrexed</w:t>
            </w:r>
            <w:proofErr w:type="spellEnd"/>
            <w:r>
              <w:rPr>
                <w:rFonts w:ascii="Arial Narrow" w:hAnsi="Arial Narrow"/>
                <w:sz w:val="20"/>
              </w:rPr>
              <w:t>, t</w:t>
            </w:r>
            <w:r w:rsidRPr="00005E7C">
              <w:rPr>
                <w:rFonts w:ascii="Arial Narrow" w:hAnsi="Arial Narrow"/>
                <w:sz w:val="20"/>
              </w:rPr>
              <w:t>hird-line therapy with erlotinib</w:t>
            </w:r>
          </w:p>
        </w:tc>
      </w:tr>
      <w:tr w:rsidR="0077087F" w:rsidRPr="007A0CF6" w14:paraId="011B994C" w14:textId="77777777" w:rsidTr="001E1EC1">
        <w:tc>
          <w:tcPr>
            <w:tcW w:w="1980" w:type="dxa"/>
          </w:tcPr>
          <w:p w14:paraId="7FE59FB3"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Endometrial</w:t>
            </w:r>
            <w:r>
              <w:rPr>
                <w:rFonts w:ascii="Arial Narrow" w:hAnsi="Arial Narrow"/>
                <w:sz w:val="20"/>
              </w:rPr>
              <w:t xml:space="preserve"> cancer</w:t>
            </w:r>
          </w:p>
        </w:tc>
        <w:tc>
          <w:tcPr>
            <w:tcW w:w="2126" w:type="dxa"/>
          </w:tcPr>
          <w:p w14:paraId="272C88F8"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50 out of 295</w:t>
            </w:r>
          </w:p>
        </w:tc>
        <w:tc>
          <w:tcPr>
            <w:tcW w:w="4961" w:type="dxa"/>
          </w:tcPr>
          <w:p w14:paraId="728F5E25" w14:textId="77777777" w:rsidR="0077087F" w:rsidRPr="007A0CF6" w:rsidRDefault="0077087F" w:rsidP="001E1EC1">
            <w:pPr>
              <w:tabs>
                <w:tab w:val="left" w:pos="742"/>
              </w:tabs>
              <w:spacing w:before="40" w:after="40"/>
              <w:rPr>
                <w:rFonts w:ascii="Arial Narrow" w:hAnsi="Arial Narrow"/>
                <w:sz w:val="20"/>
              </w:rPr>
            </w:pPr>
            <w:r w:rsidRPr="00B77270">
              <w:rPr>
                <w:rFonts w:ascii="Arial Narrow" w:hAnsi="Arial Narrow"/>
                <w:sz w:val="20"/>
              </w:rPr>
              <w:t xml:space="preserve">Hormonal </w:t>
            </w:r>
            <w:r>
              <w:rPr>
                <w:rFonts w:ascii="Arial Narrow" w:hAnsi="Arial Narrow"/>
                <w:sz w:val="20"/>
              </w:rPr>
              <w:t>treatment</w:t>
            </w:r>
            <w:r w:rsidRPr="00B77270">
              <w:rPr>
                <w:rFonts w:ascii="Arial Narrow" w:hAnsi="Arial Narrow"/>
                <w:sz w:val="20"/>
              </w:rPr>
              <w:t xml:space="preserve"> (Provera)</w:t>
            </w:r>
            <w:r>
              <w:rPr>
                <w:rFonts w:ascii="Arial Narrow" w:hAnsi="Arial Narrow"/>
                <w:sz w:val="20"/>
              </w:rPr>
              <w:t xml:space="preserve"> </w:t>
            </w:r>
            <w:r w:rsidRPr="00B77270">
              <w:rPr>
                <w:rFonts w:ascii="Arial Narrow" w:hAnsi="Arial Narrow"/>
                <w:sz w:val="20"/>
              </w:rPr>
              <w:t>if ER</w:t>
            </w:r>
            <w:r>
              <w:rPr>
                <w:rFonts w:ascii="Arial Narrow" w:hAnsi="Arial Narrow"/>
                <w:sz w:val="20"/>
              </w:rPr>
              <w:t xml:space="preserve">-positive </w:t>
            </w:r>
            <w:r w:rsidRPr="00B77270">
              <w:rPr>
                <w:rFonts w:ascii="Arial Narrow" w:hAnsi="Arial Narrow"/>
                <w:sz w:val="20"/>
              </w:rPr>
              <w:t xml:space="preserve">or </w:t>
            </w:r>
            <w:r>
              <w:rPr>
                <w:rFonts w:ascii="Arial Narrow" w:hAnsi="Arial Narrow"/>
                <w:sz w:val="20"/>
              </w:rPr>
              <w:t xml:space="preserve">monotherapy with </w:t>
            </w:r>
            <w:proofErr w:type="spellStart"/>
            <w:r>
              <w:rPr>
                <w:rFonts w:ascii="Arial Narrow" w:hAnsi="Arial Narrow"/>
                <w:sz w:val="20"/>
              </w:rPr>
              <w:t>t</w:t>
            </w:r>
            <w:r w:rsidRPr="00B77270">
              <w:rPr>
                <w:rFonts w:ascii="Arial Narrow" w:hAnsi="Arial Narrow"/>
                <w:sz w:val="20"/>
              </w:rPr>
              <w:t>axol</w:t>
            </w:r>
            <w:proofErr w:type="spellEnd"/>
            <w:r>
              <w:rPr>
                <w:rFonts w:ascii="Arial Narrow" w:hAnsi="Arial Narrow"/>
                <w:sz w:val="20"/>
              </w:rPr>
              <w:t>,</w:t>
            </w:r>
            <w:r w:rsidRPr="00B77270">
              <w:rPr>
                <w:rFonts w:ascii="Arial Narrow" w:hAnsi="Arial Narrow"/>
                <w:sz w:val="20"/>
              </w:rPr>
              <w:t xml:space="preserve"> </w:t>
            </w:r>
            <w:r>
              <w:rPr>
                <w:rFonts w:ascii="Arial Narrow" w:hAnsi="Arial Narrow"/>
                <w:sz w:val="20"/>
              </w:rPr>
              <w:t>d</w:t>
            </w:r>
            <w:r w:rsidRPr="00B77270">
              <w:rPr>
                <w:rFonts w:ascii="Arial Narrow" w:hAnsi="Arial Narrow"/>
                <w:sz w:val="20"/>
              </w:rPr>
              <w:t xml:space="preserve">oxorubicin or </w:t>
            </w:r>
            <w:proofErr w:type="spellStart"/>
            <w:r w:rsidRPr="00B77270">
              <w:rPr>
                <w:rFonts w:ascii="Arial Narrow" w:hAnsi="Arial Narrow"/>
                <w:sz w:val="20"/>
              </w:rPr>
              <w:t>epirubicin</w:t>
            </w:r>
            <w:proofErr w:type="spellEnd"/>
          </w:p>
        </w:tc>
      </w:tr>
      <w:tr w:rsidR="0077087F" w:rsidRPr="007A0CF6" w14:paraId="49AA2B13" w14:textId="77777777" w:rsidTr="001E1EC1">
        <w:tc>
          <w:tcPr>
            <w:tcW w:w="1980" w:type="dxa"/>
          </w:tcPr>
          <w:p w14:paraId="1AD4A2CC" w14:textId="77777777" w:rsidR="0077087F" w:rsidRPr="00F84F6C" w:rsidRDefault="0077087F" w:rsidP="001E1EC1">
            <w:pPr>
              <w:spacing w:before="40" w:after="40"/>
              <w:jc w:val="both"/>
              <w:rPr>
                <w:rFonts w:ascii="Arial Narrow" w:hAnsi="Arial Narrow"/>
                <w:sz w:val="20"/>
              </w:rPr>
            </w:pPr>
            <w:r w:rsidRPr="00F84F6C">
              <w:rPr>
                <w:rFonts w:ascii="Arial Narrow" w:hAnsi="Arial Narrow"/>
                <w:sz w:val="20"/>
              </w:rPr>
              <w:t>Renal cell carcinoma</w:t>
            </w:r>
          </w:p>
        </w:tc>
        <w:tc>
          <w:tcPr>
            <w:tcW w:w="2126" w:type="dxa"/>
          </w:tcPr>
          <w:p w14:paraId="6A7629B3" w14:textId="77777777" w:rsidR="0077087F" w:rsidRPr="00F84F6C" w:rsidRDefault="0077087F" w:rsidP="001E1EC1">
            <w:pPr>
              <w:spacing w:before="40" w:after="40"/>
              <w:jc w:val="center"/>
              <w:rPr>
                <w:rFonts w:ascii="Arial Narrow" w:hAnsi="Arial Narrow"/>
                <w:sz w:val="20"/>
              </w:rPr>
            </w:pPr>
            <w:r w:rsidRPr="00F84F6C">
              <w:rPr>
                <w:rFonts w:ascii="Arial Narrow" w:hAnsi="Arial Narrow"/>
                <w:sz w:val="20"/>
              </w:rPr>
              <w:t>33 out of 835</w:t>
            </w:r>
          </w:p>
        </w:tc>
        <w:tc>
          <w:tcPr>
            <w:tcW w:w="4961" w:type="dxa"/>
          </w:tcPr>
          <w:p w14:paraId="522AA935" w14:textId="77777777" w:rsidR="0077087F" w:rsidRPr="00F84F6C" w:rsidRDefault="0077087F" w:rsidP="001E1EC1">
            <w:pPr>
              <w:tabs>
                <w:tab w:val="left" w:pos="742"/>
              </w:tabs>
              <w:spacing w:before="40" w:after="40"/>
              <w:ind w:right="-57"/>
              <w:rPr>
                <w:rFonts w:ascii="Arial Narrow" w:hAnsi="Arial Narrow"/>
                <w:sz w:val="20"/>
              </w:rPr>
            </w:pPr>
            <w:r w:rsidRPr="00F84F6C">
              <w:rPr>
                <w:rFonts w:ascii="Arial Narrow" w:hAnsi="Arial Narrow"/>
                <w:sz w:val="20"/>
              </w:rPr>
              <w:t xml:space="preserve">Monotherapy with </w:t>
            </w:r>
            <w:proofErr w:type="spellStart"/>
            <w:r w:rsidRPr="00F84F6C">
              <w:rPr>
                <w:rFonts w:ascii="Arial Narrow" w:hAnsi="Arial Narrow"/>
                <w:sz w:val="20"/>
              </w:rPr>
              <w:t>everolimus</w:t>
            </w:r>
            <w:proofErr w:type="spellEnd"/>
            <w:r w:rsidRPr="00F84F6C">
              <w:rPr>
                <w:rFonts w:ascii="Arial Narrow" w:hAnsi="Arial Narrow"/>
                <w:sz w:val="20"/>
              </w:rPr>
              <w:t xml:space="preserve">, </w:t>
            </w:r>
            <w:proofErr w:type="spellStart"/>
            <w:r w:rsidRPr="00F84F6C">
              <w:rPr>
                <w:rFonts w:ascii="Arial Narrow" w:hAnsi="Arial Narrow"/>
                <w:sz w:val="20"/>
              </w:rPr>
              <w:t>axitinib</w:t>
            </w:r>
            <w:proofErr w:type="spellEnd"/>
            <w:r w:rsidRPr="00F84F6C">
              <w:rPr>
                <w:rFonts w:ascii="Arial Narrow" w:hAnsi="Arial Narrow"/>
                <w:sz w:val="20"/>
              </w:rPr>
              <w:t xml:space="preserve"> or </w:t>
            </w:r>
            <w:proofErr w:type="spellStart"/>
            <w:r w:rsidRPr="00F84F6C">
              <w:rPr>
                <w:rFonts w:ascii="Arial Narrow" w:hAnsi="Arial Narrow"/>
                <w:sz w:val="20"/>
              </w:rPr>
              <w:t>sorafenib</w:t>
            </w:r>
            <w:proofErr w:type="spellEnd"/>
          </w:p>
        </w:tc>
      </w:tr>
      <w:tr w:rsidR="0077087F" w:rsidRPr="007A0CF6" w14:paraId="5086DC91" w14:textId="77777777" w:rsidTr="001E1EC1">
        <w:tc>
          <w:tcPr>
            <w:tcW w:w="1980" w:type="dxa"/>
          </w:tcPr>
          <w:p w14:paraId="2043430F"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Thyroid cancer</w:t>
            </w:r>
          </w:p>
        </w:tc>
        <w:tc>
          <w:tcPr>
            <w:tcW w:w="2126" w:type="dxa"/>
          </w:tcPr>
          <w:p w14:paraId="4F70510B"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28 out of 123</w:t>
            </w:r>
          </w:p>
        </w:tc>
        <w:tc>
          <w:tcPr>
            <w:tcW w:w="4961" w:type="dxa"/>
          </w:tcPr>
          <w:p w14:paraId="22E1EE7C" w14:textId="77777777" w:rsidR="0077087F" w:rsidRPr="007A0CF6" w:rsidRDefault="0077087F" w:rsidP="001E1EC1">
            <w:pPr>
              <w:tabs>
                <w:tab w:val="left" w:pos="742"/>
              </w:tabs>
              <w:spacing w:before="40" w:after="40"/>
              <w:rPr>
                <w:rFonts w:ascii="Arial Narrow" w:hAnsi="Arial Narrow"/>
                <w:sz w:val="20"/>
              </w:rPr>
            </w:pPr>
            <w:r>
              <w:rPr>
                <w:rFonts w:ascii="Arial Narrow" w:hAnsi="Arial Narrow"/>
                <w:sz w:val="20"/>
              </w:rPr>
              <w:t>No SOC</w:t>
            </w:r>
          </w:p>
        </w:tc>
      </w:tr>
      <w:tr w:rsidR="0077087F" w:rsidRPr="007A0CF6" w14:paraId="1AAF1F11" w14:textId="77777777" w:rsidTr="001E1EC1">
        <w:tc>
          <w:tcPr>
            <w:tcW w:w="1980" w:type="dxa"/>
          </w:tcPr>
          <w:p w14:paraId="60C8987D"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Head and neck cancer</w:t>
            </w:r>
          </w:p>
        </w:tc>
        <w:tc>
          <w:tcPr>
            <w:tcW w:w="2126" w:type="dxa"/>
          </w:tcPr>
          <w:p w14:paraId="0A8EF03F"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30 out of 1,007</w:t>
            </w:r>
          </w:p>
        </w:tc>
        <w:tc>
          <w:tcPr>
            <w:tcW w:w="4961" w:type="dxa"/>
          </w:tcPr>
          <w:p w14:paraId="28A34587" w14:textId="77777777" w:rsidR="0077087F" w:rsidRDefault="0077087F" w:rsidP="001E1EC1">
            <w:pPr>
              <w:tabs>
                <w:tab w:val="left" w:pos="742"/>
              </w:tabs>
              <w:spacing w:before="40" w:after="40"/>
              <w:rPr>
                <w:rFonts w:ascii="Arial Narrow" w:hAnsi="Arial Narrow"/>
                <w:sz w:val="20"/>
              </w:rPr>
            </w:pPr>
            <w:r>
              <w:rPr>
                <w:rFonts w:ascii="Arial Narrow" w:hAnsi="Arial Narrow"/>
                <w:sz w:val="20"/>
              </w:rPr>
              <w:t>Monotherapy with m</w:t>
            </w:r>
            <w:r w:rsidRPr="0019139D">
              <w:rPr>
                <w:rFonts w:ascii="Arial Narrow" w:hAnsi="Arial Narrow"/>
                <w:sz w:val="20"/>
              </w:rPr>
              <w:t xml:space="preserve">ethotrexate </w:t>
            </w:r>
            <w:r>
              <w:rPr>
                <w:rFonts w:ascii="Arial Narrow" w:hAnsi="Arial Narrow"/>
                <w:sz w:val="20"/>
              </w:rPr>
              <w:t xml:space="preserve">or </w:t>
            </w:r>
            <w:proofErr w:type="spellStart"/>
            <w:r>
              <w:rPr>
                <w:rFonts w:ascii="Arial Narrow" w:hAnsi="Arial Narrow"/>
                <w:sz w:val="20"/>
              </w:rPr>
              <w:t>taxane</w:t>
            </w:r>
            <w:proofErr w:type="spellEnd"/>
          </w:p>
        </w:tc>
      </w:tr>
      <w:tr w:rsidR="0077087F" w:rsidRPr="007A0CF6" w14:paraId="63A39BA0" w14:textId="77777777" w:rsidTr="001E1EC1">
        <w:tc>
          <w:tcPr>
            <w:tcW w:w="1980" w:type="dxa"/>
          </w:tcPr>
          <w:p w14:paraId="4B478C8B"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Pancreatic</w:t>
            </w:r>
            <w:r>
              <w:rPr>
                <w:rFonts w:ascii="Arial Narrow" w:hAnsi="Arial Narrow"/>
                <w:sz w:val="20"/>
              </w:rPr>
              <w:t xml:space="preserve"> cancer</w:t>
            </w:r>
          </w:p>
        </w:tc>
        <w:tc>
          <w:tcPr>
            <w:tcW w:w="2126" w:type="dxa"/>
          </w:tcPr>
          <w:p w14:paraId="12E78146"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96 out of 2,408</w:t>
            </w:r>
          </w:p>
        </w:tc>
        <w:tc>
          <w:tcPr>
            <w:tcW w:w="4961" w:type="dxa"/>
          </w:tcPr>
          <w:p w14:paraId="56570690" w14:textId="77777777" w:rsidR="0077087F" w:rsidRDefault="0077087F" w:rsidP="001E1EC1">
            <w:pPr>
              <w:tabs>
                <w:tab w:val="left" w:pos="742"/>
              </w:tabs>
              <w:spacing w:before="40" w:after="40"/>
              <w:rPr>
                <w:rFonts w:ascii="Arial Narrow" w:hAnsi="Arial Narrow"/>
                <w:sz w:val="20"/>
              </w:rPr>
            </w:pPr>
            <w:r>
              <w:rPr>
                <w:rFonts w:ascii="Arial Narrow" w:hAnsi="Arial Narrow"/>
                <w:sz w:val="20"/>
              </w:rPr>
              <w:t xml:space="preserve">Combination therapy of </w:t>
            </w:r>
            <w:r w:rsidRPr="00532BCC">
              <w:rPr>
                <w:rFonts w:ascii="Arial Narrow" w:hAnsi="Arial Narrow"/>
                <w:sz w:val="20"/>
              </w:rPr>
              <w:t xml:space="preserve">MM-398 </w:t>
            </w:r>
            <w:r w:rsidRPr="009E717B">
              <w:rPr>
                <w:rFonts w:ascii="Arial Narrow" w:hAnsi="Arial Narrow"/>
                <w:sz w:val="20"/>
              </w:rPr>
              <w:t>irinotecan</w:t>
            </w:r>
            <w:r>
              <w:rPr>
                <w:rFonts w:ascii="Arial Narrow" w:hAnsi="Arial Narrow"/>
                <w:sz w:val="20"/>
              </w:rPr>
              <w:t xml:space="preserve"> plus</w:t>
            </w:r>
            <w:r w:rsidRPr="009E717B">
              <w:rPr>
                <w:rFonts w:ascii="Arial Narrow" w:hAnsi="Arial Narrow"/>
                <w:sz w:val="20"/>
              </w:rPr>
              <w:t xml:space="preserve"> 5-FU, </w:t>
            </w:r>
            <w:proofErr w:type="spellStart"/>
            <w:r w:rsidRPr="009E717B">
              <w:rPr>
                <w:rFonts w:ascii="Arial Narrow" w:hAnsi="Arial Narrow"/>
                <w:sz w:val="20"/>
              </w:rPr>
              <w:t>folinic</w:t>
            </w:r>
            <w:proofErr w:type="spellEnd"/>
            <w:r w:rsidRPr="009E717B">
              <w:rPr>
                <w:rFonts w:ascii="Arial Narrow" w:hAnsi="Arial Narrow"/>
                <w:sz w:val="20"/>
              </w:rPr>
              <w:t xml:space="preserve"> acid</w:t>
            </w:r>
          </w:p>
        </w:tc>
      </w:tr>
      <w:tr w:rsidR="0077087F" w:rsidRPr="007A0CF6" w14:paraId="5EB497F4" w14:textId="77777777" w:rsidTr="001E1EC1">
        <w:tc>
          <w:tcPr>
            <w:tcW w:w="1980" w:type="dxa"/>
          </w:tcPr>
          <w:p w14:paraId="169636BF"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Ovarian</w:t>
            </w:r>
            <w:r>
              <w:rPr>
                <w:rFonts w:ascii="Arial Narrow" w:hAnsi="Arial Narrow"/>
                <w:sz w:val="20"/>
              </w:rPr>
              <w:t xml:space="preserve"> cancer</w:t>
            </w:r>
          </w:p>
        </w:tc>
        <w:tc>
          <w:tcPr>
            <w:tcW w:w="2126" w:type="dxa"/>
          </w:tcPr>
          <w:p w14:paraId="1BBF0D43"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89 out of 811</w:t>
            </w:r>
          </w:p>
        </w:tc>
        <w:tc>
          <w:tcPr>
            <w:tcW w:w="4961" w:type="dxa"/>
          </w:tcPr>
          <w:p w14:paraId="0B6C8EF2" w14:textId="77777777" w:rsidR="0077087F" w:rsidRDefault="0077087F" w:rsidP="001E1EC1">
            <w:pPr>
              <w:tabs>
                <w:tab w:val="left" w:pos="742"/>
              </w:tabs>
              <w:spacing w:before="40" w:after="40"/>
              <w:rPr>
                <w:rFonts w:ascii="Arial Narrow" w:hAnsi="Arial Narrow"/>
                <w:sz w:val="20"/>
              </w:rPr>
            </w:pPr>
            <w:r>
              <w:rPr>
                <w:rFonts w:ascii="Arial Narrow" w:hAnsi="Arial Narrow"/>
                <w:sz w:val="20"/>
              </w:rPr>
              <w:t>If</w:t>
            </w:r>
            <w:r w:rsidRPr="00532BCC">
              <w:rPr>
                <w:rFonts w:ascii="Arial Narrow" w:hAnsi="Arial Narrow"/>
                <w:sz w:val="20"/>
              </w:rPr>
              <w:t xml:space="preserve"> previous response to platinum agents was </w:t>
            </w:r>
            <w:r>
              <w:rPr>
                <w:rFonts w:ascii="Arial Narrow" w:hAnsi="Arial Narrow"/>
                <w:sz w:val="20"/>
              </w:rPr>
              <w:t>good (</w:t>
            </w:r>
            <w:r w:rsidRPr="00532BCC">
              <w:rPr>
                <w:rFonts w:ascii="Arial Narrow" w:hAnsi="Arial Narrow"/>
                <w:sz w:val="20"/>
              </w:rPr>
              <w:t xml:space="preserve">at least 6 months </w:t>
            </w:r>
            <w:r>
              <w:rPr>
                <w:rFonts w:ascii="Arial Narrow" w:hAnsi="Arial Narrow"/>
                <w:sz w:val="20"/>
              </w:rPr>
              <w:t>previous), re</w:t>
            </w:r>
            <w:r w:rsidRPr="00532BCC">
              <w:rPr>
                <w:rFonts w:ascii="Arial Narrow" w:hAnsi="Arial Narrow"/>
                <w:sz w:val="20"/>
              </w:rPr>
              <w:t>-treat</w:t>
            </w:r>
            <w:r>
              <w:rPr>
                <w:rFonts w:ascii="Arial Narrow" w:hAnsi="Arial Narrow"/>
                <w:sz w:val="20"/>
              </w:rPr>
              <w:t>ment</w:t>
            </w:r>
            <w:r w:rsidRPr="00532BCC">
              <w:rPr>
                <w:rFonts w:ascii="Arial Narrow" w:hAnsi="Arial Narrow"/>
                <w:sz w:val="20"/>
              </w:rPr>
              <w:t xml:space="preserve"> with a </w:t>
            </w:r>
            <w:proofErr w:type="spellStart"/>
            <w:r w:rsidRPr="00532BCC">
              <w:rPr>
                <w:rFonts w:ascii="Arial Narrow" w:hAnsi="Arial Narrow"/>
                <w:sz w:val="20"/>
              </w:rPr>
              <w:t>taxane</w:t>
            </w:r>
            <w:proofErr w:type="spellEnd"/>
            <w:r w:rsidRPr="00532BCC">
              <w:rPr>
                <w:rFonts w:ascii="Arial Narrow" w:hAnsi="Arial Narrow"/>
                <w:sz w:val="20"/>
              </w:rPr>
              <w:t xml:space="preserve"> </w:t>
            </w:r>
            <w:r>
              <w:rPr>
                <w:rFonts w:ascii="Arial Narrow" w:hAnsi="Arial Narrow"/>
                <w:sz w:val="20"/>
              </w:rPr>
              <w:t>plus</w:t>
            </w:r>
            <w:r w:rsidRPr="00532BCC">
              <w:rPr>
                <w:rFonts w:ascii="Arial Narrow" w:hAnsi="Arial Narrow"/>
                <w:sz w:val="20"/>
              </w:rPr>
              <w:t xml:space="preserve"> carboplatin or cisplatin.</w:t>
            </w:r>
            <w:r>
              <w:rPr>
                <w:rFonts w:ascii="Arial Narrow" w:hAnsi="Arial Narrow"/>
                <w:sz w:val="20"/>
              </w:rPr>
              <w:t xml:space="preserve"> For </w:t>
            </w:r>
            <w:r w:rsidRPr="00532BCC">
              <w:rPr>
                <w:rFonts w:ascii="Arial Narrow" w:hAnsi="Arial Narrow"/>
                <w:sz w:val="20"/>
              </w:rPr>
              <w:t xml:space="preserve">platinum-resistant disease </w:t>
            </w:r>
            <w:r>
              <w:rPr>
                <w:rFonts w:ascii="Arial Narrow" w:hAnsi="Arial Narrow"/>
                <w:sz w:val="20"/>
              </w:rPr>
              <w:t>use single agent therapy</w:t>
            </w:r>
          </w:p>
        </w:tc>
      </w:tr>
      <w:tr w:rsidR="0077087F" w:rsidRPr="007A0CF6" w14:paraId="7BB5985D" w14:textId="77777777" w:rsidTr="001E1EC1">
        <w:tc>
          <w:tcPr>
            <w:tcW w:w="1980" w:type="dxa"/>
          </w:tcPr>
          <w:p w14:paraId="513654C4"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Gastric</w:t>
            </w:r>
            <w:r>
              <w:rPr>
                <w:rFonts w:ascii="Arial Narrow" w:hAnsi="Arial Narrow"/>
                <w:sz w:val="20"/>
              </w:rPr>
              <w:t xml:space="preserve"> cancer</w:t>
            </w:r>
          </w:p>
        </w:tc>
        <w:tc>
          <w:tcPr>
            <w:tcW w:w="2126" w:type="dxa"/>
          </w:tcPr>
          <w:p w14:paraId="2C5EB6F9"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76 out of 1,007</w:t>
            </w:r>
          </w:p>
        </w:tc>
        <w:tc>
          <w:tcPr>
            <w:tcW w:w="4961" w:type="dxa"/>
          </w:tcPr>
          <w:p w14:paraId="489E4B25" w14:textId="77777777" w:rsidR="0077087F" w:rsidRDefault="0077087F" w:rsidP="001E1EC1">
            <w:pPr>
              <w:tabs>
                <w:tab w:val="left" w:pos="742"/>
              </w:tabs>
              <w:spacing w:before="40" w:after="40"/>
              <w:rPr>
                <w:rFonts w:ascii="Arial Narrow" w:hAnsi="Arial Narrow"/>
                <w:sz w:val="20"/>
              </w:rPr>
            </w:pPr>
            <w:proofErr w:type="spellStart"/>
            <w:r>
              <w:rPr>
                <w:rFonts w:ascii="Arial Narrow" w:hAnsi="Arial Narrow"/>
                <w:sz w:val="20"/>
              </w:rPr>
              <w:t>O</w:t>
            </w:r>
            <w:r w:rsidRPr="0019139D">
              <w:rPr>
                <w:rFonts w:ascii="Arial Narrow" w:hAnsi="Arial Narrow"/>
                <w:sz w:val="20"/>
              </w:rPr>
              <w:t>xaliplatin</w:t>
            </w:r>
            <w:proofErr w:type="spellEnd"/>
            <w:r>
              <w:rPr>
                <w:rFonts w:ascii="Arial Narrow" w:hAnsi="Arial Narrow"/>
                <w:sz w:val="20"/>
              </w:rPr>
              <w:t xml:space="preserve"> </w:t>
            </w:r>
            <w:r w:rsidRPr="0019139D">
              <w:rPr>
                <w:rFonts w:ascii="Arial Narrow" w:hAnsi="Arial Narrow"/>
                <w:sz w:val="20"/>
              </w:rPr>
              <w:t xml:space="preserve">+/- 5-FU (FOLFOX) </w:t>
            </w:r>
            <w:r>
              <w:rPr>
                <w:rFonts w:ascii="Arial Narrow" w:hAnsi="Arial Narrow"/>
                <w:sz w:val="20"/>
              </w:rPr>
              <w:t xml:space="preserve">or irinotecan +/- 5-FU  (FOLFIRI) or </w:t>
            </w:r>
            <w:proofErr w:type="spellStart"/>
            <w:r>
              <w:rPr>
                <w:rFonts w:ascii="Arial Narrow" w:hAnsi="Arial Narrow"/>
                <w:sz w:val="20"/>
              </w:rPr>
              <w:t>t</w:t>
            </w:r>
            <w:r w:rsidRPr="0019139D">
              <w:rPr>
                <w:rFonts w:ascii="Arial Narrow" w:hAnsi="Arial Narrow"/>
                <w:sz w:val="20"/>
              </w:rPr>
              <w:t>axane</w:t>
            </w:r>
            <w:proofErr w:type="spellEnd"/>
            <w:r w:rsidRPr="0019139D">
              <w:rPr>
                <w:rFonts w:ascii="Arial Narrow" w:hAnsi="Arial Narrow"/>
                <w:sz w:val="20"/>
              </w:rPr>
              <w:t xml:space="preserve"> monotherapy (</w:t>
            </w:r>
            <w:proofErr w:type="spellStart"/>
            <w:r w:rsidRPr="0019139D">
              <w:rPr>
                <w:rFonts w:ascii="Arial Narrow" w:hAnsi="Arial Narrow"/>
                <w:sz w:val="20"/>
              </w:rPr>
              <w:t>pacliataxel</w:t>
            </w:r>
            <w:proofErr w:type="spellEnd"/>
            <w:r w:rsidRPr="0019139D">
              <w:rPr>
                <w:rFonts w:ascii="Arial Narrow" w:hAnsi="Arial Narrow"/>
                <w:sz w:val="20"/>
              </w:rPr>
              <w:t>, docetaxel)</w:t>
            </w:r>
          </w:p>
        </w:tc>
      </w:tr>
      <w:tr w:rsidR="0077087F" w:rsidRPr="007A0CF6" w14:paraId="72191733" w14:textId="77777777" w:rsidTr="001E1EC1">
        <w:tc>
          <w:tcPr>
            <w:tcW w:w="1980" w:type="dxa"/>
          </w:tcPr>
          <w:p w14:paraId="00A32465"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Cervical</w:t>
            </w:r>
            <w:r>
              <w:rPr>
                <w:rFonts w:ascii="Arial Narrow" w:hAnsi="Arial Narrow"/>
                <w:sz w:val="20"/>
              </w:rPr>
              <w:t xml:space="preserve"> cancer</w:t>
            </w:r>
          </w:p>
        </w:tc>
        <w:tc>
          <w:tcPr>
            <w:tcW w:w="2126" w:type="dxa"/>
          </w:tcPr>
          <w:p w14:paraId="0DB7ECDE"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20 out of 221</w:t>
            </w:r>
          </w:p>
        </w:tc>
        <w:tc>
          <w:tcPr>
            <w:tcW w:w="4961" w:type="dxa"/>
          </w:tcPr>
          <w:p w14:paraId="6406C0A3" w14:textId="77777777" w:rsidR="0077087F" w:rsidRDefault="0077087F" w:rsidP="001E1EC1">
            <w:pPr>
              <w:tabs>
                <w:tab w:val="left" w:pos="742"/>
              </w:tabs>
              <w:spacing w:before="40" w:after="40"/>
              <w:rPr>
                <w:rFonts w:ascii="Arial Narrow" w:hAnsi="Arial Narrow"/>
                <w:sz w:val="20"/>
              </w:rPr>
            </w:pPr>
            <w:r w:rsidRPr="004924E0">
              <w:rPr>
                <w:rFonts w:ascii="Arial Narrow" w:hAnsi="Arial Narrow"/>
                <w:sz w:val="20"/>
              </w:rPr>
              <w:t>No SOC</w:t>
            </w:r>
            <w:r>
              <w:rPr>
                <w:rFonts w:ascii="Arial Narrow" w:hAnsi="Arial Narrow"/>
                <w:sz w:val="20"/>
              </w:rPr>
              <w:t xml:space="preserve">. </w:t>
            </w:r>
            <w:r w:rsidRPr="004924E0">
              <w:rPr>
                <w:rFonts w:ascii="Arial Narrow" w:hAnsi="Arial Narrow"/>
                <w:sz w:val="20"/>
              </w:rPr>
              <w:t xml:space="preserve">Try </w:t>
            </w:r>
            <w:r>
              <w:rPr>
                <w:rFonts w:ascii="Arial Narrow" w:hAnsi="Arial Narrow"/>
                <w:sz w:val="20"/>
              </w:rPr>
              <w:t>monotherapy with</w:t>
            </w:r>
            <w:r w:rsidRPr="004924E0">
              <w:rPr>
                <w:rFonts w:ascii="Arial Narrow" w:hAnsi="Arial Narrow"/>
                <w:sz w:val="20"/>
              </w:rPr>
              <w:t xml:space="preserve"> </w:t>
            </w:r>
            <w:proofErr w:type="spellStart"/>
            <w:r>
              <w:rPr>
                <w:rFonts w:ascii="Arial Narrow" w:hAnsi="Arial Narrow"/>
                <w:sz w:val="20"/>
              </w:rPr>
              <w:t>taxol</w:t>
            </w:r>
            <w:proofErr w:type="spellEnd"/>
            <w:r>
              <w:rPr>
                <w:rFonts w:ascii="Arial Narrow" w:hAnsi="Arial Narrow"/>
                <w:sz w:val="20"/>
              </w:rPr>
              <w:t xml:space="preserve">, gemcitabine or </w:t>
            </w:r>
            <w:proofErr w:type="spellStart"/>
            <w:r>
              <w:rPr>
                <w:rFonts w:ascii="Arial Narrow" w:hAnsi="Arial Narrow"/>
                <w:sz w:val="20"/>
              </w:rPr>
              <w:t>xeloda</w:t>
            </w:r>
            <w:proofErr w:type="spellEnd"/>
          </w:p>
        </w:tc>
      </w:tr>
      <w:tr w:rsidR="0077087F" w:rsidRPr="007A0CF6" w14:paraId="6765273F" w14:textId="77777777" w:rsidTr="001E1EC1">
        <w:tc>
          <w:tcPr>
            <w:tcW w:w="1980" w:type="dxa"/>
          </w:tcPr>
          <w:p w14:paraId="479BE9ED" w14:textId="77777777" w:rsidR="0077087F" w:rsidRPr="007A0CF6" w:rsidRDefault="0077087F" w:rsidP="001E1EC1">
            <w:pPr>
              <w:spacing w:before="40" w:after="40"/>
              <w:jc w:val="both"/>
              <w:rPr>
                <w:rFonts w:ascii="Arial Narrow" w:hAnsi="Arial Narrow"/>
                <w:sz w:val="20"/>
              </w:rPr>
            </w:pPr>
            <w:r w:rsidRPr="007A0CF6">
              <w:rPr>
                <w:rFonts w:ascii="Arial Narrow" w:hAnsi="Arial Narrow"/>
                <w:sz w:val="20"/>
              </w:rPr>
              <w:t>Oesophageal</w:t>
            </w:r>
            <w:r>
              <w:rPr>
                <w:rFonts w:ascii="Arial Narrow" w:hAnsi="Arial Narrow"/>
                <w:sz w:val="20"/>
              </w:rPr>
              <w:t xml:space="preserve"> cancer</w:t>
            </w:r>
          </w:p>
        </w:tc>
        <w:tc>
          <w:tcPr>
            <w:tcW w:w="2126" w:type="dxa"/>
          </w:tcPr>
          <w:p w14:paraId="436A003D" w14:textId="77777777" w:rsidR="0077087F" w:rsidRPr="007A0CF6" w:rsidRDefault="0077087F" w:rsidP="001E1EC1">
            <w:pPr>
              <w:spacing w:before="40" w:after="40"/>
              <w:jc w:val="center"/>
              <w:rPr>
                <w:rFonts w:ascii="Arial Narrow" w:hAnsi="Arial Narrow"/>
                <w:sz w:val="20"/>
              </w:rPr>
            </w:pPr>
            <w:r>
              <w:rPr>
                <w:rFonts w:ascii="Arial Narrow" w:hAnsi="Arial Narrow"/>
                <w:sz w:val="20"/>
              </w:rPr>
              <w:t>118 out of 1,179</w:t>
            </w:r>
          </w:p>
        </w:tc>
        <w:tc>
          <w:tcPr>
            <w:tcW w:w="4961" w:type="dxa"/>
          </w:tcPr>
          <w:p w14:paraId="54980784" w14:textId="77777777" w:rsidR="0077087F" w:rsidRDefault="0077087F" w:rsidP="001E1EC1">
            <w:pPr>
              <w:tabs>
                <w:tab w:val="left" w:pos="742"/>
              </w:tabs>
              <w:spacing w:before="40" w:after="40"/>
              <w:rPr>
                <w:rFonts w:ascii="Arial Narrow" w:hAnsi="Arial Narrow"/>
                <w:sz w:val="20"/>
              </w:rPr>
            </w:pPr>
            <w:r>
              <w:rPr>
                <w:rFonts w:ascii="Arial Narrow" w:hAnsi="Arial Narrow"/>
                <w:sz w:val="20"/>
              </w:rPr>
              <w:t>B</w:t>
            </w:r>
            <w:r w:rsidRPr="000D2447">
              <w:rPr>
                <w:rFonts w:ascii="Arial Narrow" w:hAnsi="Arial Narrow"/>
                <w:sz w:val="20"/>
              </w:rPr>
              <w:t>est supportive care or palliative monotherapy</w:t>
            </w:r>
          </w:p>
        </w:tc>
      </w:tr>
    </w:tbl>
    <w:p w14:paraId="2E9F82FD" w14:textId="5F59AC6B" w:rsidR="0077087F" w:rsidRDefault="0077087F" w:rsidP="0077087F">
      <w:pPr>
        <w:spacing w:before="40" w:after="40" w:line="240" w:lineRule="auto"/>
        <w:jc w:val="both"/>
        <w:rPr>
          <w:rFonts w:ascii="Arial Narrow" w:hAnsi="Arial Narrow"/>
          <w:sz w:val="20"/>
        </w:rPr>
      </w:pPr>
      <w:r w:rsidRPr="007A0CF6">
        <w:rPr>
          <w:rFonts w:ascii="Arial Narrow" w:hAnsi="Arial Narrow"/>
          <w:sz w:val="20"/>
        </w:rPr>
        <w:t>Source:</w:t>
      </w:r>
      <w:r>
        <w:rPr>
          <w:rFonts w:ascii="Arial Narrow" w:hAnsi="Arial Narrow"/>
          <w:sz w:val="20"/>
        </w:rPr>
        <w:t xml:space="preserve"> Appendix to the application; ESMO guidelines available from URL: &lt;</w:t>
      </w:r>
      <w:hyperlink r:id="rId11" w:tooltip="Link to Guidelines" w:history="1">
        <w:r w:rsidRPr="00DE4CE9">
          <w:rPr>
            <w:rStyle w:val="Hyperlink"/>
            <w:rFonts w:ascii="Arial Narrow" w:hAnsi="Arial Narrow"/>
            <w:sz w:val="20"/>
          </w:rPr>
          <w:t>http://www.esmo.org/Guidelines</w:t>
        </w:r>
      </w:hyperlink>
      <w:r>
        <w:rPr>
          <w:rFonts w:ascii="Arial Narrow" w:hAnsi="Arial Narrow"/>
          <w:sz w:val="20"/>
        </w:rPr>
        <w:t>&gt;, accessed 26 October 2017</w:t>
      </w:r>
    </w:p>
    <w:p w14:paraId="3870FB5A" w14:textId="088B1714" w:rsidR="0077087F" w:rsidRDefault="0077087F" w:rsidP="0077087F">
      <w:pPr>
        <w:spacing w:before="40" w:after="240" w:line="240" w:lineRule="auto"/>
        <w:jc w:val="both"/>
        <w:rPr>
          <w:rFonts w:ascii="Arial Narrow" w:hAnsi="Arial Narrow"/>
          <w:sz w:val="20"/>
        </w:rPr>
      </w:pPr>
      <w:r>
        <w:rPr>
          <w:rFonts w:ascii="Arial Narrow" w:hAnsi="Arial Narrow"/>
          <w:sz w:val="20"/>
        </w:rPr>
        <w:t xml:space="preserve">ER = endocrine receptor; HER-2 = </w:t>
      </w:r>
      <w:r w:rsidRPr="007B6D3C">
        <w:rPr>
          <w:rFonts w:ascii="Arial Narrow" w:hAnsi="Arial Narrow"/>
          <w:sz w:val="20"/>
        </w:rPr>
        <w:t>human epidermal growth factor receptor 2</w:t>
      </w:r>
      <w:r>
        <w:rPr>
          <w:rFonts w:ascii="Arial Narrow" w:hAnsi="Arial Narrow"/>
          <w:sz w:val="20"/>
        </w:rPr>
        <w:t xml:space="preserve">; </w:t>
      </w:r>
      <w:r w:rsidR="00BC01B7" w:rsidRPr="00BC01B7">
        <w:rPr>
          <w:rFonts w:ascii="Arial Narrow" w:hAnsi="Arial Narrow"/>
          <w:sz w:val="20"/>
        </w:rPr>
        <w:t xml:space="preserve">NSCLC </w:t>
      </w:r>
      <w:r w:rsidR="00BC01B7">
        <w:rPr>
          <w:rFonts w:ascii="Arial Narrow" w:hAnsi="Arial Narrow"/>
          <w:sz w:val="20"/>
        </w:rPr>
        <w:t xml:space="preserve">= non-small cell lung cancer; </w:t>
      </w:r>
      <w:r>
        <w:rPr>
          <w:rFonts w:ascii="Arial Narrow" w:hAnsi="Arial Narrow"/>
          <w:sz w:val="20"/>
        </w:rPr>
        <w:t>SOC = standard of care</w:t>
      </w:r>
    </w:p>
    <w:p w14:paraId="3D3598C0" w14:textId="28647533" w:rsidR="00F55C6C" w:rsidRDefault="00BC01B7" w:rsidP="0079618E">
      <w:pPr>
        <w:jc w:val="both"/>
      </w:pPr>
      <w:r>
        <w:t>For some cancer types</w:t>
      </w:r>
      <w:r w:rsidR="001E1EC1">
        <w:t>,</w:t>
      </w:r>
      <w:r>
        <w:t xml:space="preserve"> </w:t>
      </w:r>
      <w:r w:rsidR="001E1EC1">
        <w:t>such as e</w:t>
      </w:r>
      <w:r w:rsidR="001E1EC1" w:rsidRPr="00BC01B7">
        <w:t>ndocrine receptor-positive breast cancer</w:t>
      </w:r>
      <w:r w:rsidR="001E1EC1">
        <w:t xml:space="preserve"> and</w:t>
      </w:r>
      <w:r w:rsidR="001E1EC1" w:rsidRPr="00BC01B7">
        <w:t xml:space="preserve"> NSCLC</w:t>
      </w:r>
      <w:r w:rsidR="00A031AE" w:rsidRPr="00A031AE">
        <w:t xml:space="preserve"> </w:t>
      </w:r>
      <w:r w:rsidR="00A031AE">
        <w:t xml:space="preserve">with </w:t>
      </w:r>
      <w:r w:rsidR="004210DB">
        <w:t>&lt;50% of tumour cells expressing</w:t>
      </w:r>
      <w:r w:rsidR="00A031AE">
        <w:t xml:space="preserve"> PD-L1</w:t>
      </w:r>
      <w:r w:rsidR="001E1EC1">
        <w:t xml:space="preserve">, </w:t>
      </w:r>
      <w:r>
        <w:t>there are several viable second-line and subsequent-line treatment options</w:t>
      </w:r>
      <w:r w:rsidR="001E1EC1">
        <w:t xml:space="preserve">. </w:t>
      </w:r>
      <w:r w:rsidR="00F55C6C">
        <w:t xml:space="preserve">Thus, there is a broad range of comparators to pembrolizumab in second-line treatment. Comparisons cannot be made to all available treatment options, but the comparator should include the most common chemotherapy agents used to treat the largest proportions of dMMR pan-tumour patients. </w:t>
      </w:r>
      <w:r w:rsidR="00F55C6C" w:rsidRPr="00F55C6C">
        <w:rPr>
          <w:i/>
        </w:rPr>
        <w:t>The applicant has discussed with MSAC the use of the best and worst case scenarios.</w:t>
      </w:r>
    </w:p>
    <w:p w14:paraId="3828E304" w14:textId="2D2E3155" w:rsidR="00BC01B7" w:rsidRPr="00AE6227" w:rsidRDefault="00F55C6C" w:rsidP="0079618E">
      <w:pPr>
        <w:jc w:val="both"/>
        <w:rPr>
          <w:i/>
        </w:rPr>
      </w:pPr>
      <w:r w:rsidRPr="00AE6227">
        <w:rPr>
          <w:i/>
        </w:rPr>
        <w:t xml:space="preserve">For both endocrine receptor-positive breast cancer and </w:t>
      </w:r>
      <w:r w:rsidR="00AE6227" w:rsidRPr="00AE6227">
        <w:rPr>
          <w:i/>
        </w:rPr>
        <w:t xml:space="preserve">TPS &lt;50% </w:t>
      </w:r>
      <w:r w:rsidRPr="00AE6227">
        <w:rPr>
          <w:i/>
        </w:rPr>
        <w:t>NSCLC</w:t>
      </w:r>
      <w:r w:rsidR="001E1EC1" w:rsidRPr="00AE6227">
        <w:rPr>
          <w:i/>
        </w:rPr>
        <w:t xml:space="preserve">, a large number of patients would have been tested to treat </w:t>
      </w:r>
      <w:r w:rsidRPr="00AE6227">
        <w:rPr>
          <w:i/>
        </w:rPr>
        <w:t xml:space="preserve">very few patients. It may be beneficial </w:t>
      </w:r>
      <w:r w:rsidR="00AE6227" w:rsidRPr="00AE6227">
        <w:rPr>
          <w:i/>
        </w:rPr>
        <w:t xml:space="preserve">to delay dMMR testing for these </w:t>
      </w:r>
      <w:r w:rsidR="00AE6227" w:rsidRPr="00AE6227">
        <w:rPr>
          <w:i/>
        </w:rPr>
        <w:lastRenderedPageBreak/>
        <w:t xml:space="preserve">patients until no satisfactory alternative treatment options remain. This will reduce the number of tests that need to be conducted and still </w:t>
      </w:r>
      <w:r w:rsidR="004210DB">
        <w:rPr>
          <w:i/>
        </w:rPr>
        <w:t>provide</w:t>
      </w:r>
      <w:r w:rsidR="004210DB" w:rsidRPr="00AE6227">
        <w:rPr>
          <w:i/>
        </w:rPr>
        <w:t xml:space="preserve"> </w:t>
      </w:r>
      <w:r w:rsidR="00AE6227" w:rsidRPr="00AE6227">
        <w:rPr>
          <w:i/>
        </w:rPr>
        <w:t>dMMR-positive patients access to pembrolizumab.</w:t>
      </w:r>
    </w:p>
    <w:p w14:paraId="2F797452" w14:textId="729ACFF5" w:rsidR="006748FE" w:rsidRPr="00AE6227" w:rsidRDefault="00BC01B7" w:rsidP="0079618E">
      <w:pPr>
        <w:jc w:val="both"/>
        <w:rPr>
          <w:i/>
        </w:rPr>
      </w:pPr>
      <w:r w:rsidRPr="00AE6227">
        <w:rPr>
          <w:i/>
        </w:rPr>
        <w:t>In some cases, such as oesophageal, cervical and thyroid cancers, there is no truly viable second-line treatment and for these patients</w:t>
      </w:r>
      <w:r w:rsidR="006748FE" w:rsidRPr="00AE6227">
        <w:rPr>
          <w:i/>
        </w:rPr>
        <w:t xml:space="preserve">, treatment of </w:t>
      </w:r>
      <w:proofErr w:type="spellStart"/>
      <w:r w:rsidR="00DB77E5" w:rsidRPr="00AE6227">
        <w:rPr>
          <w:i/>
        </w:rPr>
        <w:t>d</w:t>
      </w:r>
      <w:r w:rsidR="006748FE" w:rsidRPr="00AE6227">
        <w:rPr>
          <w:i/>
        </w:rPr>
        <w:t>MMR</w:t>
      </w:r>
      <w:proofErr w:type="spellEnd"/>
      <w:r w:rsidR="006748FE" w:rsidRPr="00AE6227">
        <w:rPr>
          <w:i/>
        </w:rPr>
        <w:t xml:space="preserve"> tumours with pembrolizumab will provide an additional treatment option, prior to palliative care.</w:t>
      </w:r>
      <w:r w:rsidR="00333259" w:rsidRPr="00AE6227">
        <w:rPr>
          <w:i/>
        </w:rPr>
        <w:t xml:space="preserve"> Although the exact nature of palliative care may differ for different tumour types, a comparison in the absence of an active comparative treatment should be possible.</w:t>
      </w:r>
    </w:p>
    <w:p w14:paraId="617045D4" w14:textId="22092169" w:rsidR="006748FE" w:rsidRDefault="006748FE" w:rsidP="0079618E">
      <w:pPr>
        <w:jc w:val="both"/>
        <w:rPr>
          <w:i/>
        </w:rPr>
      </w:pPr>
      <w:r w:rsidRPr="007A0CF6">
        <w:rPr>
          <w:i/>
        </w:rPr>
        <w:t xml:space="preserve">However, as only data from single arm studies enrolling patients with </w:t>
      </w:r>
      <w:r w:rsidR="00901F2B">
        <w:rPr>
          <w:i/>
        </w:rPr>
        <w:t>MSI</w:t>
      </w:r>
      <w:r w:rsidRPr="007A0CF6">
        <w:rPr>
          <w:i/>
        </w:rPr>
        <w:t>-</w:t>
      </w:r>
      <w:r w:rsidR="0082264B">
        <w:rPr>
          <w:i/>
        </w:rPr>
        <w:t>H</w:t>
      </w:r>
      <w:r w:rsidRPr="007A0CF6">
        <w:rPr>
          <w:i/>
        </w:rPr>
        <w:t xml:space="preserve"> will be available, any comparisons </w:t>
      </w:r>
      <w:r w:rsidR="00333259" w:rsidRPr="007A0CF6">
        <w:rPr>
          <w:i/>
        </w:rPr>
        <w:t xml:space="preserve">(even with palliative care) </w:t>
      </w:r>
      <w:r w:rsidR="00F55C6C">
        <w:rPr>
          <w:i/>
        </w:rPr>
        <w:t>will need to be indirect.</w:t>
      </w:r>
    </w:p>
    <w:p w14:paraId="28D57273" w14:textId="45177144" w:rsidR="005179FF" w:rsidRDefault="00F55094" w:rsidP="0079618E">
      <w:pPr>
        <w:jc w:val="both"/>
      </w:pPr>
      <w:r w:rsidRPr="00F55094">
        <w:t>The</w:t>
      </w:r>
      <w:r w:rsidR="005179FF" w:rsidRPr="00F55094">
        <w:t xml:space="preserve"> comparator to the IHC dMMR test </w:t>
      </w:r>
      <w:r>
        <w:t xml:space="preserve">is </w:t>
      </w:r>
      <w:r w:rsidRPr="00F55094">
        <w:t>methylation specific multiple ligation-dependent probe amplification (MS-MLPA).</w:t>
      </w:r>
      <w:r>
        <w:t xml:space="preserve"> Most cases of dMMR </w:t>
      </w:r>
      <w:r w:rsidR="0065155F">
        <w:t xml:space="preserve">in solid tumours of diverse origins </w:t>
      </w:r>
      <w:r>
        <w:t>are</w:t>
      </w:r>
      <w:r w:rsidRPr="00F55094">
        <w:t xml:space="preserve"> </w:t>
      </w:r>
      <w:r w:rsidR="0065155F">
        <w:t xml:space="preserve">likely to be </w:t>
      </w:r>
      <w:r w:rsidRPr="00F55094">
        <w:t xml:space="preserve">sporadic, </w:t>
      </w:r>
      <w:r w:rsidR="0065155F">
        <w:t>which</w:t>
      </w:r>
      <w:r w:rsidRPr="00F55094">
        <w:t xml:space="preserve"> is caused by epigenetic inactivation (hyper-methylation) of MLH-1 gene promoter; this can be assessed by MS-MLPA</w:t>
      </w:r>
      <w:r w:rsidR="0065155F">
        <w:t>, which</w:t>
      </w:r>
      <w:r w:rsidRPr="00F55094">
        <w:t xml:space="preserve"> requires only small quantities of short fragments of DNA, making it suitable for use with FFPE DNA. This test can be used to detect methylation in the promoter of several MMR genes, including MLH1, MSH2, MLH3, PMS2, MSH3, MSH6, and MGMT.</w:t>
      </w:r>
    </w:p>
    <w:p w14:paraId="6654B9A3" w14:textId="4B4D9DF8" w:rsidR="00F955EA" w:rsidRPr="00326737" w:rsidRDefault="00F955EA" w:rsidP="00F955EA">
      <w:pPr>
        <w:jc w:val="both"/>
        <w:rPr>
          <w:i/>
        </w:rPr>
      </w:pPr>
      <w:r>
        <w:rPr>
          <w:i/>
        </w:rPr>
        <w:t xml:space="preserve">The clinical utility of other tests </w:t>
      </w:r>
      <w:r w:rsidR="005874B2">
        <w:rPr>
          <w:i/>
        </w:rPr>
        <w:t xml:space="preserve">that could determine eligibility for pembrolizumab, </w:t>
      </w:r>
      <w:r>
        <w:rPr>
          <w:i/>
        </w:rPr>
        <w:t>such as PD-L1 testing</w:t>
      </w:r>
      <w:r w:rsidR="005874B2">
        <w:rPr>
          <w:i/>
        </w:rPr>
        <w:t>,</w:t>
      </w:r>
      <w:r>
        <w:rPr>
          <w:i/>
        </w:rPr>
        <w:t xml:space="preserve"> in tumour types </w:t>
      </w:r>
      <w:r w:rsidR="005874B2">
        <w:rPr>
          <w:i/>
        </w:rPr>
        <w:t>with low dMMR prevalence rates sh</w:t>
      </w:r>
      <w:r>
        <w:rPr>
          <w:i/>
        </w:rPr>
        <w:t xml:space="preserve">ould also be considered. </w:t>
      </w:r>
      <w:r w:rsidR="005874B2">
        <w:rPr>
          <w:i/>
        </w:rPr>
        <w:t>For example, a</w:t>
      </w:r>
      <w:r>
        <w:rPr>
          <w:i/>
        </w:rPr>
        <w:t xml:space="preserve"> study by Mills et al. </w:t>
      </w:r>
      <w:r>
        <w:rPr>
          <w:i/>
        </w:rPr>
        <w:fldChar w:fldCharType="begin"/>
      </w:r>
      <w:r>
        <w:rPr>
          <w:i/>
        </w:rPr>
        <w:instrText xml:space="preserve"> ADDIN EN.CITE &lt;EndNote&gt;&lt;Cite ExcludeAuth="1"&gt;&lt;Author&gt;Mills&lt;/Author&gt;&lt;Year&gt;2017&lt;/Year&gt;&lt;RecNum&gt;20&lt;/RecNum&gt;&lt;DisplayText&gt;(2017)&lt;/DisplayText&gt;&lt;record&gt;&lt;rec-number&gt;20&lt;/rec-number&gt;&lt;foreign-keys&gt;&lt;key app="EN" db-id="as9sdrfwoaw9fce5xr9pew9gz9epate29xvw" timestamp="1515554036"&gt;20&lt;/key&gt;&lt;/foreign-keys&gt;&lt;ref-type name="Journal Article"&gt;17&lt;/ref-type&gt;&lt;contributors&gt;&lt;authors&gt;&lt;author&gt;Mills, A. M.&lt;/author&gt;&lt;author&gt;Dill, E. A.&lt;/author&gt;&lt;author&gt;Moskaluk, C. A.&lt;/author&gt;&lt;author&gt;Dziegielewski, J.&lt;/author&gt;&lt;author&gt;Bullock, T. N.&lt;/author&gt;&lt;author&gt;Dillon, P. M.&lt;/author&gt;&lt;/authors&gt;&lt;/contributors&gt;&lt;auth-address&gt;Departments of *Pathology daggerRadiation Oncology double daggerMedicine, Hematology/Oncology, University of Virginia, Charlottesville, VA.&lt;/auth-address&gt;&lt;titles&gt;&lt;title&gt;The Relationship Between Mismatch Repair Deficiency and PD-L1 Expression in Breast Carcinoma&lt;/title&gt;&lt;secondary-title&gt;Am J Surg Pathol&lt;/secondary-title&gt;&lt;/titles&gt;&lt;periodical&gt;&lt;full-title&gt;Am J Surg Pathol&lt;/full-title&gt;&lt;/periodical&gt;&lt;edition&gt;2017/09/16&lt;/edition&gt;&lt;dates&gt;&lt;year&gt;2017&lt;/year&gt;&lt;pub-dates&gt;&lt;date&gt;Sep 13&lt;/date&gt;&lt;/pub-dates&gt;&lt;/dates&gt;&lt;isbn&gt;1532-0979 (Electronic)&amp;#xD;0147-5185 (Linking)&lt;/isbn&gt;&lt;accession-num&gt;28914717&lt;/accession-num&gt;&lt;urls&gt;&lt;related-urls&gt;&lt;url&gt;https://insights.ovid.com/crossref?an=00000478-900000000-97985&lt;/url&gt;&lt;/related-urls&gt;&lt;/urls&gt;&lt;electronic-resource-num&gt;10.1097/pas.0000000000000949&lt;/electronic-resource-num&gt;&lt;remote-database-provider&gt;NLM&lt;/remote-database-provider&gt;&lt;language&gt;eng&lt;/language&gt;&lt;/record&gt;&lt;/Cite&gt;&lt;/EndNote&gt;</w:instrText>
      </w:r>
      <w:r>
        <w:rPr>
          <w:i/>
        </w:rPr>
        <w:fldChar w:fldCharType="separate"/>
      </w:r>
      <w:r>
        <w:rPr>
          <w:i/>
          <w:noProof/>
        </w:rPr>
        <w:t>(2017)</w:t>
      </w:r>
      <w:r>
        <w:rPr>
          <w:i/>
        </w:rPr>
        <w:fldChar w:fldCharType="end"/>
      </w:r>
      <w:r>
        <w:rPr>
          <w:i/>
        </w:rPr>
        <w:t xml:space="preserve"> reported that 12% of breast cancers tested (32% of triple-negative breast cancers) expressed PD-L1 while dMMR was found in only 1 case out of 285 samples (giving a 0.4% prevalence rate). The dMMR case was also PD-L1 positive, indicating that the PD-L1 test was sufficient to detect all patients likely to benefit from pembrolizumab in this study. </w:t>
      </w:r>
    </w:p>
    <w:p w14:paraId="2B33C044" w14:textId="77777777" w:rsidR="00896845" w:rsidRPr="007A0CF6" w:rsidRDefault="002B3338" w:rsidP="004210DB">
      <w:pPr>
        <w:rPr>
          <w:i/>
        </w:rPr>
      </w:pPr>
      <w:r w:rsidRPr="007A0CF6">
        <w:rPr>
          <w:i/>
          <w:u w:val="single"/>
        </w:rPr>
        <w:t>Rationale</w:t>
      </w:r>
    </w:p>
    <w:p w14:paraId="7B63B9E8" w14:textId="77777777" w:rsidR="00333259" w:rsidRPr="007A0CF6" w:rsidRDefault="00607140" w:rsidP="00333259">
      <w:pPr>
        <w:jc w:val="both"/>
      </w:pPr>
      <w:r w:rsidRPr="007A0CF6">
        <w:t>The applicant claims that a</w:t>
      </w:r>
      <w:r w:rsidR="00333259" w:rsidRPr="007A0CF6">
        <w:t xml:space="preserve">s </w:t>
      </w:r>
      <w:r w:rsidR="00504568" w:rsidRPr="007A0CF6">
        <w:t xml:space="preserve">IHC </w:t>
      </w:r>
      <w:r w:rsidR="002C26A3">
        <w:t>d</w:t>
      </w:r>
      <w:r w:rsidR="00333259" w:rsidRPr="007A0CF6">
        <w:t>MMR testing is routi</w:t>
      </w:r>
      <w:r w:rsidRPr="007A0CF6">
        <w:t xml:space="preserve">nely done in Australia for CRC </w:t>
      </w:r>
      <w:r w:rsidR="00333259" w:rsidRPr="007A0CF6">
        <w:t>and other cancer types such as endometrial, it is already accepted as having adequate analytical validity, clinical</w:t>
      </w:r>
      <w:r w:rsidR="004367C6" w:rsidRPr="007A0CF6">
        <w:t xml:space="preserve"> validity and clinical utility.</w:t>
      </w:r>
    </w:p>
    <w:p w14:paraId="3BDFE4E1" w14:textId="77777777" w:rsidR="00607140" w:rsidRDefault="00607140" w:rsidP="00333259">
      <w:pPr>
        <w:jc w:val="both"/>
        <w:rPr>
          <w:i/>
        </w:rPr>
      </w:pPr>
      <w:r w:rsidRPr="007A0CF6">
        <w:rPr>
          <w:i/>
        </w:rPr>
        <w:t xml:space="preserve">Reasonable analytical validity in determining </w:t>
      </w:r>
      <w:r w:rsidR="002C26A3">
        <w:rPr>
          <w:i/>
        </w:rPr>
        <w:t>d</w:t>
      </w:r>
      <w:r w:rsidRPr="007A0CF6">
        <w:rPr>
          <w:i/>
        </w:rPr>
        <w:t xml:space="preserve">MMR and eligibility for pembrolizumab could be assumed given the routine nature of the test, especially if the test is subject to a quality assurance program. </w:t>
      </w:r>
      <w:r w:rsidR="00504568" w:rsidRPr="007A0CF6">
        <w:rPr>
          <w:i/>
        </w:rPr>
        <w:t>Nevertheless</w:t>
      </w:r>
      <w:r w:rsidRPr="007A0CF6">
        <w:rPr>
          <w:i/>
        </w:rPr>
        <w:t xml:space="preserve">, </w:t>
      </w:r>
      <w:r w:rsidR="00504568" w:rsidRPr="007A0CF6">
        <w:rPr>
          <w:i/>
        </w:rPr>
        <w:t xml:space="preserve">some data on the accuracy of the test in solid tumour types other than CRC should be provided to demonstrate testing equivalence across different tumour types. However, </w:t>
      </w:r>
      <w:r w:rsidRPr="007A0CF6">
        <w:rPr>
          <w:i/>
        </w:rPr>
        <w:t xml:space="preserve">the clinical validity and clinical utility </w:t>
      </w:r>
      <w:r w:rsidR="00504568" w:rsidRPr="007A0CF6">
        <w:rPr>
          <w:i/>
        </w:rPr>
        <w:t xml:space="preserve">of IHC </w:t>
      </w:r>
      <w:r w:rsidR="002C26A3">
        <w:rPr>
          <w:i/>
        </w:rPr>
        <w:t>d</w:t>
      </w:r>
      <w:r w:rsidR="00504568" w:rsidRPr="007A0CF6">
        <w:rPr>
          <w:i/>
        </w:rPr>
        <w:t xml:space="preserve">MMR testing </w:t>
      </w:r>
      <w:r w:rsidRPr="007A0CF6">
        <w:rPr>
          <w:i/>
        </w:rPr>
        <w:t>with respect to pembrolizumab therapy has not been validated in these patients.</w:t>
      </w:r>
    </w:p>
    <w:p w14:paraId="175C5F49" w14:textId="77777777" w:rsidR="00322BC2" w:rsidRPr="006F236D" w:rsidRDefault="00322BC2" w:rsidP="00322BC2">
      <w:pPr>
        <w:jc w:val="both"/>
        <w:rPr>
          <w:i/>
          <w:u w:val="single"/>
        </w:rPr>
      </w:pPr>
      <w:r w:rsidRPr="006F236D">
        <w:rPr>
          <w:i/>
          <w:u w:val="single"/>
        </w:rPr>
        <w:t>Reference standard</w:t>
      </w:r>
    </w:p>
    <w:p w14:paraId="494C90EC" w14:textId="7F15B13D" w:rsidR="00AE6227" w:rsidRDefault="00F346B5" w:rsidP="00322BC2">
      <w:pPr>
        <w:jc w:val="both"/>
      </w:pPr>
      <w:r>
        <w:t>The applicant has nominated polymerase chain reaction (PCR)-based MSI</w:t>
      </w:r>
      <w:r w:rsidR="008C3A4A">
        <w:t>-H</w:t>
      </w:r>
      <w:r>
        <w:t xml:space="preserve"> testing as the reference standard. </w:t>
      </w:r>
      <w:r w:rsidRPr="00F346B5">
        <w:t>On 3 March 2017, the MSAC Executive met via teleconference to discuss MSAC application 1452 – dMMR IHC testing of CRC for access to pembrolizumab</w:t>
      </w:r>
      <w:r>
        <w:t xml:space="preserve">, and </w:t>
      </w:r>
      <w:r w:rsidR="00A031AE">
        <w:t>agreed</w:t>
      </w:r>
      <w:r w:rsidRPr="00F346B5">
        <w:t xml:space="preserve"> that </w:t>
      </w:r>
      <w:r>
        <w:t>MSI-H</w:t>
      </w:r>
      <w:r w:rsidRPr="00F346B5">
        <w:t xml:space="preserve"> testing would be </w:t>
      </w:r>
      <w:r>
        <w:t>an accepted reference standard.</w:t>
      </w:r>
    </w:p>
    <w:p w14:paraId="70F91612" w14:textId="110273C7" w:rsidR="00F346B5" w:rsidRPr="00F22094" w:rsidRDefault="00F346B5" w:rsidP="00F346B5">
      <w:pPr>
        <w:jc w:val="both"/>
      </w:pPr>
      <w:r w:rsidRPr="00F22094">
        <w:t xml:space="preserve">PCR amplification of specific microsatellite markers, usually by multiplex PCR, can be performed on fresh, frozen or FFPE tumour material </w:t>
      </w:r>
      <w:r w:rsidRPr="004757FD">
        <w:fldChar w:fldCharType="begin"/>
      </w:r>
      <w:r w:rsidR="006043B8">
        <w:instrText xml:space="preserve"> ADDIN EN.CITE &lt;EndNote&gt;&lt;Cite&gt;&lt;Author&gt;Buecher&lt;/Author&gt;&lt;Year&gt;2013&lt;/Year&gt;&lt;RecNum&gt;11&lt;/RecNum&gt;&lt;DisplayText&gt;(Buecher et al. 2013)&lt;/DisplayText&gt;&lt;record&gt;&lt;rec-number&gt;11&lt;/rec-number&gt;&lt;foreign-keys&gt;&lt;key app="EN" db-id="as9sdrfwoaw9fce5xr9pew9gz9epate29xvw" timestamp="1504660925"&gt;11&lt;/key&gt;&lt;/foreign-keys&gt;&lt;ref-type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Pr="004757FD">
        <w:fldChar w:fldCharType="separate"/>
      </w:r>
      <w:r w:rsidRPr="004757FD">
        <w:rPr>
          <w:noProof/>
        </w:rPr>
        <w:t>(Buecher et al. 2013)</w:t>
      </w:r>
      <w:r w:rsidRPr="004757FD">
        <w:fldChar w:fldCharType="end"/>
      </w:r>
      <w:r w:rsidRPr="004757FD">
        <w:t>.</w:t>
      </w:r>
      <w:r w:rsidRPr="00F22094">
        <w:t xml:space="preserve"> A</w:t>
      </w:r>
      <w:r w:rsidR="00A031AE">
        <w:t>n</w:t>
      </w:r>
      <w:r w:rsidRPr="00F22094">
        <w:t xml:space="preserve"> MSI</w:t>
      </w:r>
      <w:r w:rsidR="00ED7BA3">
        <w:t>-H</w:t>
      </w:r>
      <w:r w:rsidRPr="00F22094">
        <w:t xml:space="preserve"> phenotype is defined by the presence of at least two unstable markers (identified as having insertions or deletions) among five (or ≥30% of </w:t>
      </w:r>
      <w:r w:rsidRPr="00F22094">
        <w:lastRenderedPageBreak/>
        <w:t xml:space="preserve">unstable markers if a larger panel is used). All other tumours, with 0–30% unstable markers, are considered </w:t>
      </w:r>
      <w:r w:rsidR="00ED7BA3">
        <w:t>to be microsatellite stable</w:t>
      </w:r>
      <w:r w:rsidRPr="00F22094">
        <w:t xml:space="preserve"> owing to their clinical, histological and outcome similarities. </w:t>
      </w:r>
    </w:p>
    <w:p w14:paraId="1ED0A5E1" w14:textId="1F27935B" w:rsidR="00F346B5" w:rsidRPr="00F22094" w:rsidRDefault="00F346B5" w:rsidP="00F346B5">
      <w:pPr>
        <w:jc w:val="both"/>
      </w:pPr>
      <w:r w:rsidRPr="00F22094">
        <w:t>It should be noted that rare cases of MSI</w:t>
      </w:r>
      <w:r w:rsidR="00ED7BA3">
        <w:t>-H</w:t>
      </w:r>
      <w:r w:rsidRPr="00F22094">
        <w:t xml:space="preserve"> cannot be detected by IHC. Apparent intact expression of all four proteins by IHC cannot entirely exclude MSI</w:t>
      </w:r>
      <w:r w:rsidR="00ED7BA3">
        <w:t>-H</w:t>
      </w:r>
      <w:r w:rsidRPr="00F22094">
        <w:t xml:space="preserve"> and Lynch syndrome as missense mutations can lead to a non-functional protein with retained antigenicity </w:t>
      </w:r>
      <w:r w:rsidRPr="00F22094">
        <w:fldChar w:fldCharType="begin"/>
      </w:r>
      <w:r w:rsidR="006043B8">
        <w:instrText xml:space="preserve"> ADDIN EN.CITE &lt;EndNote&gt;&lt;Cite&gt;&lt;Author&gt;Buecher&lt;/Author&gt;&lt;Year&gt;2013&lt;/Year&gt;&lt;RecNum&gt;11&lt;/RecNum&gt;&lt;DisplayText&gt;(Buecher et al. 2013)&lt;/DisplayText&gt;&lt;record&gt;&lt;rec-number&gt;11&lt;/rec-number&gt;&lt;foreign-keys&gt;&lt;key app="EN" db-id="as9sdrfwoaw9fce5xr9pew9gz9epate29xvw" timestamp="1504660925"&gt;11&lt;/key&gt;&lt;/foreign-keys&gt;&lt;ref-type name="Journal Article"&gt;17&lt;/ref-type&gt;&lt;contributors&gt;&lt;authors&gt;&lt;author&gt;Buecher, B.&lt;/author&gt;&lt;author&gt;Cacheux, W.&lt;/author&gt;&lt;author&gt;Rouleau, E.&lt;/author&gt;&lt;author&gt;Dieumegard, B.&lt;/author&gt;&lt;author&gt;Mitry, E.&lt;/author&gt;&lt;author&gt;Lievre, A.&lt;/author&gt;&lt;/authors&gt;&lt;/contributors&gt;&lt;auth-address&gt;Department of Medical Oncology, Groupe Hospitalier, Institut Curie, 26, rue d&amp;apos;Ulm, 75248 Paris Cedex 5, France.&lt;/auth-address&gt;&lt;titles&gt;&lt;title&gt;Role of microsatellite instability in the management of colorectal cancers&lt;/title&gt;&lt;secondary-title&gt;Dig Liver Dis&lt;/secondary-title&gt;&lt;/titles&gt;&lt;periodical&gt;&lt;full-title&gt;Dig Liver Dis&lt;/full-title&gt;&lt;/periodical&gt;&lt;pages&gt;441-9&lt;/pages&gt;&lt;volume&gt;45&lt;/volume&gt;&lt;number&gt;6&lt;/number&gt;&lt;edition&gt;2012/12/01&lt;/edition&gt;&lt;keywords&gt;&lt;keyword&gt;Antineoplastic Combined Chemotherapy Protocols/therapeutic use&lt;/keyword&gt;&lt;keyword&gt;Chemotherapy, Adjuvant&lt;/keyword&gt;&lt;keyword&gt;Colorectal Neoplasms/diagnosis/ drug therapy/ genetics&lt;/keyword&gt;&lt;keyword&gt;Colorectal Neoplasms, Hereditary Nonpolyposis/diagnosis/drug therapy/genetics&lt;/keyword&gt;&lt;keyword&gt;Fluorouracil/therapeutic use&lt;/keyword&gt;&lt;keyword&gt;Humans&lt;/keyword&gt;&lt;keyword&gt;Leucovorin/therapeutic use&lt;/keyword&gt;&lt;keyword&gt;Microsatellite Instability&lt;/keyword&gt;&lt;keyword&gt;Organoplatinum Compounds/therapeutic use&lt;/keyword&gt;&lt;keyword&gt;Prognosis&lt;/keyword&gt;&lt;keyword&gt;Treatment Outcome&lt;/keyword&gt;&lt;/keywords&gt;&lt;dates&gt;&lt;year&gt;2013&lt;/year&gt;&lt;pub-dates&gt;&lt;date&gt;Jun&lt;/date&gt;&lt;/pub-dates&gt;&lt;/dates&gt;&lt;isbn&gt;1878-3562 (Electronic)&amp;#xD;1590-8658 (Linking)&lt;/isbn&gt;&lt;accession-num&gt;23195666&lt;/accession-num&gt;&lt;urls&gt;&lt;/urls&gt;&lt;electronic-resource-num&gt;10.1016/j.dld.2012.10.006&lt;/electronic-resource-num&gt;&lt;remote-database-provider&gt;NLM&lt;/remote-database-provider&gt;&lt;language&gt;eng&lt;/language&gt;&lt;/record&gt;&lt;/Cite&gt;&lt;/EndNote&gt;</w:instrText>
      </w:r>
      <w:r w:rsidRPr="00F22094">
        <w:fldChar w:fldCharType="separate"/>
      </w:r>
      <w:r w:rsidRPr="00F22094">
        <w:rPr>
          <w:noProof/>
        </w:rPr>
        <w:t>(Buecher et al. 2013)</w:t>
      </w:r>
      <w:r w:rsidRPr="00F22094">
        <w:fldChar w:fldCharType="end"/>
      </w:r>
      <w:r w:rsidRPr="00F22094">
        <w:t>.</w:t>
      </w:r>
    </w:p>
    <w:p w14:paraId="0E488676" w14:textId="77777777" w:rsidR="00896845" w:rsidRPr="007A0CF6" w:rsidRDefault="0003582F" w:rsidP="0003582F">
      <w:pPr>
        <w:pStyle w:val="Heading3"/>
      </w:pPr>
      <w:r w:rsidRPr="007A0CF6">
        <w:t>2.5</w:t>
      </w:r>
      <w:r w:rsidRPr="007A0CF6">
        <w:tab/>
      </w:r>
      <w:r w:rsidR="00896845" w:rsidRPr="007A0CF6">
        <w:t>Outcomes</w:t>
      </w:r>
    </w:p>
    <w:p w14:paraId="0F5B1D89" w14:textId="77777777" w:rsidR="004367C6" w:rsidRPr="007A0CF6" w:rsidRDefault="004367C6" w:rsidP="004367C6">
      <w:pPr>
        <w:jc w:val="both"/>
        <w:rPr>
          <w:i/>
          <w:u w:val="single"/>
        </w:rPr>
      </w:pPr>
      <w:r w:rsidRPr="007A0CF6">
        <w:rPr>
          <w:i/>
          <w:u w:val="single"/>
        </w:rPr>
        <w:t>Evidence summary provided in application</w:t>
      </w:r>
    </w:p>
    <w:p w14:paraId="3588BAE1" w14:textId="70CFF258" w:rsidR="00FF5D1E" w:rsidRPr="007A0CF6" w:rsidRDefault="004367C6" w:rsidP="004367C6">
      <w:pPr>
        <w:jc w:val="both"/>
      </w:pPr>
      <w:r w:rsidRPr="007A0CF6">
        <w:t xml:space="preserve">The evidence base identified by the Applicant consists of </w:t>
      </w:r>
      <w:r w:rsidR="00FF5D1E" w:rsidRPr="007A0CF6">
        <w:t>four</w:t>
      </w:r>
      <w:r w:rsidRPr="007A0CF6">
        <w:t xml:space="preserve"> single-arm phase II trials in which patients with </w:t>
      </w:r>
      <w:r w:rsidR="00FF5D1E" w:rsidRPr="007A0CF6">
        <w:t xml:space="preserve">non-CRC </w:t>
      </w:r>
      <w:r w:rsidR="000E2BE8">
        <w:t>d</w:t>
      </w:r>
      <w:r w:rsidR="000E2BE8" w:rsidRPr="007A0CF6">
        <w:t xml:space="preserve">MMR </w:t>
      </w:r>
      <w:r w:rsidR="00FF5D1E" w:rsidRPr="007A0CF6">
        <w:t>tumours</w:t>
      </w:r>
      <w:r w:rsidRPr="007A0CF6">
        <w:t xml:space="preserve"> were treated with pembrolizumab</w:t>
      </w:r>
      <w:r w:rsidR="00FF5D1E" w:rsidRPr="007A0CF6">
        <w:t xml:space="preserve">. </w:t>
      </w:r>
      <w:r w:rsidR="002106DB">
        <w:t>(</w:t>
      </w:r>
      <w:r w:rsidR="002106DB" w:rsidRPr="002106DB">
        <w:rPr>
          <w:shd w:val="clear" w:color="auto" w:fill="D9D9D9" w:themeFill="background1" w:themeFillShade="D9"/>
        </w:rPr>
        <w:t>Redacted sentence</w:t>
      </w:r>
      <w:r w:rsidR="002106DB">
        <w:t>)</w:t>
      </w:r>
    </w:p>
    <w:p w14:paraId="597626B9" w14:textId="08347778" w:rsidR="004367C6" w:rsidRPr="007A0CF6" w:rsidRDefault="00FF5D1E" w:rsidP="004367C6">
      <w:pPr>
        <w:jc w:val="both"/>
        <w:rPr>
          <w:i/>
        </w:rPr>
      </w:pPr>
      <w:r w:rsidRPr="007A0CF6">
        <w:rPr>
          <w:i/>
        </w:rPr>
        <w:t xml:space="preserve">Thus, there will be no direct comparative data available. Additionally, as </w:t>
      </w:r>
      <w:r w:rsidR="00DB77E5" w:rsidRPr="007A0CF6">
        <w:rPr>
          <w:i/>
        </w:rPr>
        <w:t xml:space="preserve">patients </w:t>
      </w:r>
      <w:r w:rsidR="00DB77E5">
        <w:rPr>
          <w:i/>
        </w:rPr>
        <w:t xml:space="preserve">with </w:t>
      </w:r>
      <w:r w:rsidRPr="007A0CF6">
        <w:rPr>
          <w:i/>
        </w:rPr>
        <w:t xml:space="preserve">MMR-proficient </w:t>
      </w:r>
      <w:r w:rsidR="00DB77E5">
        <w:rPr>
          <w:i/>
        </w:rPr>
        <w:t xml:space="preserve">tumours </w:t>
      </w:r>
      <w:r w:rsidRPr="007A0CF6">
        <w:rPr>
          <w:i/>
        </w:rPr>
        <w:t xml:space="preserve">are not being included in these trials, any potential benefit generated from an indirect comparison in patients </w:t>
      </w:r>
      <w:r w:rsidR="000E2BE8">
        <w:rPr>
          <w:i/>
        </w:rPr>
        <w:t>with</w:t>
      </w:r>
      <w:r w:rsidR="00DB77E5">
        <w:rPr>
          <w:i/>
        </w:rPr>
        <w:t xml:space="preserve"> </w:t>
      </w:r>
      <w:r w:rsidR="000E2BE8">
        <w:rPr>
          <w:i/>
        </w:rPr>
        <w:t>d</w:t>
      </w:r>
      <w:r w:rsidR="000E2BE8" w:rsidRPr="007A0CF6">
        <w:rPr>
          <w:i/>
        </w:rPr>
        <w:t xml:space="preserve">MMR </w:t>
      </w:r>
      <w:r w:rsidR="00DB77E5">
        <w:rPr>
          <w:i/>
        </w:rPr>
        <w:t xml:space="preserve">tumours </w:t>
      </w:r>
      <w:r w:rsidRPr="007A0CF6">
        <w:rPr>
          <w:i/>
        </w:rPr>
        <w:t>cannot be confirmed.</w:t>
      </w:r>
    </w:p>
    <w:p w14:paraId="24B87102" w14:textId="77777777" w:rsidR="004367C6" w:rsidRPr="007A0CF6" w:rsidRDefault="004367C6" w:rsidP="004367C6">
      <w:pPr>
        <w:spacing w:before="40" w:after="0" w:line="240" w:lineRule="auto"/>
        <w:jc w:val="both"/>
      </w:pPr>
      <w:r w:rsidRPr="007A0CF6">
        <w:t>These trials do not provide direct evidence for a co-dependent technology as defined below</w:t>
      </w:r>
      <w:r w:rsidRPr="007A0CF6">
        <w:rPr>
          <w:rStyle w:val="FootnoteReference"/>
        </w:rPr>
        <w:footnoteReference w:id="2"/>
      </w:r>
      <w:r w:rsidRPr="007A0CF6">
        <w:t xml:space="preserve">; </w:t>
      </w:r>
    </w:p>
    <w:p w14:paraId="52D41F7C" w14:textId="77777777" w:rsidR="004367C6" w:rsidRPr="007A0CF6" w:rsidRDefault="004367C6" w:rsidP="004367C6">
      <w:pPr>
        <w:spacing w:before="40" w:after="0" w:line="240" w:lineRule="auto"/>
        <w:ind w:left="2268" w:hanging="2268"/>
      </w:pPr>
      <w:r w:rsidRPr="007A0CF6">
        <w:t>Level 1 direct evidence:</w:t>
      </w:r>
      <w:r w:rsidRPr="007A0CF6">
        <w:tab/>
        <w:t>Double-randomised controlled trial (randomised to test and to drug)</w:t>
      </w:r>
    </w:p>
    <w:p w14:paraId="2EC8B602" w14:textId="77777777" w:rsidR="004367C6" w:rsidRPr="007A0CF6" w:rsidRDefault="004367C6" w:rsidP="004367C6">
      <w:pPr>
        <w:spacing w:before="40" w:after="0" w:line="240" w:lineRule="auto"/>
        <w:ind w:left="2268" w:hanging="2268"/>
      </w:pPr>
      <w:r w:rsidRPr="007A0CF6">
        <w:t>Level 2 direct evidence:</w:t>
      </w:r>
      <w:r w:rsidRPr="007A0CF6">
        <w:tab/>
        <w:t>Single-randomised controlled trial (randomised to test plus drug versus no test plus usual care)</w:t>
      </w:r>
    </w:p>
    <w:p w14:paraId="64FB3C06" w14:textId="77777777" w:rsidR="004367C6" w:rsidRPr="007A0CF6" w:rsidRDefault="004367C6" w:rsidP="004367C6">
      <w:pPr>
        <w:spacing w:before="40" w:after="0" w:line="240" w:lineRule="auto"/>
        <w:ind w:left="2268" w:hanging="2268"/>
      </w:pPr>
      <w:r w:rsidRPr="007A0CF6">
        <w:t>Level 3 direct evidence:</w:t>
      </w:r>
      <w:r w:rsidRPr="007A0CF6">
        <w:tab/>
      </w:r>
      <w:r w:rsidR="00504568" w:rsidRPr="007A0CF6">
        <w:t>Prospective bio</w:t>
      </w:r>
      <w:r w:rsidRPr="007A0CF6">
        <w:t>marker stratified randomised controlled trial of drug (population with and without biomarker randomised to drug or usual care)</w:t>
      </w:r>
    </w:p>
    <w:p w14:paraId="153A8F18" w14:textId="77777777" w:rsidR="004367C6" w:rsidRPr="007A0CF6" w:rsidRDefault="004367C6" w:rsidP="004367C6">
      <w:pPr>
        <w:spacing w:before="40" w:line="240" w:lineRule="auto"/>
        <w:ind w:left="2268" w:hanging="2268"/>
      </w:pPr>
      <w:proofErr w:type="gramStart"/>
      <w:r w:rsidRPr="007A0CF6">
        <w:t>Level 4 direct evidence:</w:t>
      </w:r>
      <w:proofErr w:type="gramEnd"/>
      <w:r w:rsidRPr="007A0CF6">
        <w:tab/>
        <w:t>Retrospective bio-marker stratified randomised controlled trial of drug (randomised to drug or usual care and then biomarker status determined)</w:t>
      </w:r>
    </w:p>
    <w:p w14:paraId="02904831" w14:textId="77777777" w:rsidR="004367C6" w:rsidRPr="007A0CF6" w:rsidRDefault="004367C6" w:rsidP="004367C6">
      <w:pPr>
        <w:spacing w:before="40" w:after="120" w:line="240" w:lineRule="auto"/>
        <w:jc w:val="both"/>
      </w:pPr>
      <w:r w:rsidRPr="007A0CF6">
        <w:t>Thus, a linked evidence approach will need to be undertaken.</w:t>
      </w:r>
    </w:p>
    <w:p w14:paraId="742E2350" w14:textId="77777777" w:rsidR="004367C6" w:rsidRPr="007A0CF6" w:rsidRDefault="004367C6" w:rsidP="004367C6">
      <w:pPr>
        <w:rPr>
          <w:u w:val="single"/>
        </w:rPr>
      </w:pPr>
      <w:r w:rsidRPr="007A0CF6">
        <w:rPr>
          <w:u w:val="single"/>
        </w:rPr>
        <w:t>Linked Evidence</w:t>
      </w:r>
    </w:p>
    <w:p w14:paraId="290DB804" w14:textId="150FFAFE" w:rsidR="004367C6" w:rsidRPr="007A0CF6" w:rsidRDefault="004367C6" w:rsidP="004367C6">
      <w:pPr>
        <w:rPr>
          <w:i/>
          <w:u w:val="single"/>
        </w:rPr>
      </w:pPr>
      <w:r w:rsidRPr="007A0CF6">
        <w:rPr>
          <w:i/>
          <w:u w:val="single"/>
        </w:rPr>
        <w:t>Patient</w:t>
      </w:r>
      <w:r w:rsidR="00922842">
        <w:rPr>
          <w:i/>
          <w:u w:val="single"/>
        </w:rPr>
        <w:t>-</w:t>
      </w:r>
      <w:r w:rsidRPr="007A0CF6">
        <w:rPr>
          <w:i/>
          <w:u w:val="single"/>
        </w:rPr>
        <w:t>relevant outcomes</w:t>
      </w:r>
    </w:p>
    <w:p w14:paraId="0E5936EA" w14:textId="77777777" w:rsidR="004367C6" w:rsidRPr="002C663B" w:rsidRDefault="004367C6" w:rsidP="004367C6">
      <w:pPr>
        <w:spacing w:before="40" w:after="0" w:line="240" w:lineRule="auto"/>
        <w:ind w:left="2552" w:hanging="2552"/>
        <w:jc w:val="both"/>
        <w:rPr>
          <w:rFonts w:asciiTheme="minorHAnsi" w:eastAsia="SimSun" w:hAnsiTheme="minorHAnsi" w:cs="Tahoma"/>
          <w:szCs w:val="20"/>
          <w:lang w:eastAsia="zh-CN"/>
        </w:rPr>
      </w:pPr>
      <w:r w:rsidRPr="002C663B">
        <w:rPr>
          <w:rFonts w:asciiTheme="minorHAnsi" w:eastAsia="SimSun" w:hAnsiTheme="minorHAnsi"/>
          <w:i/>
          <w:szCs w:val="20"/>
        </w:rPr>
        <w:t>Safety</w:t>
      </w:r>
      <w:r w:rsidRPr="002C663B">
        <w:rPr>
          <w:rFonts w:asciiTheme="minorHAnsi" w:eastAsia="SimSun" w:hAnsiTheme="minorHAnsi"/>
          <w:i/>
          <w:szCs w:val="20"/>
        </w:rPr>
        <w:tab/>
      </w:r>
      <w:r w:rsidRPr="002C663B">
        <w:rPr>
          <w:rFonts w:asciiTheme="minorHAnsi" w:eastAsia="SimSun" w:hAnsiTheme="minorHAnsi" w:cs="Tahoma"/>
          <w:szCs w:val="20"/>
          <w:lang w:eastAsia="zh-CN"/>
        </w:rPr>
        <w:t>Harms from testing (including rates of re-biopsy required for testing), treatment-associated adverse events and tolerability</w:t>
      </w:r>
    </w:p>
    <w:p w14:paraId="2DA76116" w14:textId="48333189" w:rsidR="006043B8" w:rsidRPr="004210DB" w:rsidRDefault="004367C6" w:rsidP="00B535F9">
      <w:pPr>
        <w:spacing w:before="40" w:after="0" w:line="240" w:lineRule="auto"/>
        <w:ind w:left="2552" w:hanging="2552"/>
        <w:jc w:val="both"/>
        <w:rPr>
          <w:rFonts w:asciiTheme="minorHAnsi" w:hAnsiTheme="minorHAnsi"/>
        </w:rPr>
      </w:pPr>
      <w:r w:rsidRPr="002C663B">
        <w:rPr>
          <w:rFonts w:asciiTheme="minorHAnsi" w:eastAsia="SimSun" w:hAnsiTheme="minorHAnsi"/>
          <w:i/>
          <w:szCs w:val="20"/>
        </w:rPr>
        <w:t xml:space="preserve">Diagnostic </w:t>
      </w:r>
      <w:r w:rsidR="006043B8" w:rsidRPr="002C663B">
        <w:rPr>
          <w:rFonts w:asciiTheme="minorHAnsi" w:eastAsia="SimSun" w:hAnsiTheme="minorHAnsi"/>
          <w:i/>
          <w:szCs w:val="20"/>
        </w:rPr>
        <w:t>performance</w:t>
      </w:r>
      <w:r w:rsidR="006043B8" w:rsidRPr="002C663B">
        <w:rPr>
          <w:rFonts w:asciiTheme="minorHAnsi" w:eastAsia="SimSun" w:hAnsiTheme="minorHAnsi"/>
          <w:i/>
          <w:szCs w:val="20"/>
        </w:rPr>
        <w:tab/>
      </w:r>
      <w:r w:rsidR="00B535F9">
        <w:rPr>
          <w:rFonts w:asciiTheme="minorHAnsi" w:eastAsia="SimSun" w:hAnsiTheme="minorHAnsi"/>
          <w:szCs w:val="20"/>
        </w:rPr>
        <w:t>Sensitivity and</w:t>
      </w:r>
      <w:r w:rsidRPr="002C663B">
        <w:rPr>
          <w:rFonts w:asciiTheme="minorHAnsi" w:eastAsia="SimSun" w:hAnsiTheme="minorHAnsi"/>
          <w:szCs w:val="20"/>
        </w:rPr>
        <w:t xml:space="preserve"> specificity</w:t>
      </w:r>
      <w:r w:rsidR="00B535F9">
        <w:rPr>
          <w:rFonts w:asciiTheme="minorHAnsi" w:eastAsia="SimSun" w:hAnsiTheme="minorHAnsi"/>
          <w:szCs w:val="20"/>
        </w:rPr>
        <w:t xml:space="preserve"> </w:t>
      </w:r>
      <w:r w:rsidR="00B535F9" w:rsidRPr="00B535F9">
        <w:rPr>
          <w:rFonts w:asciiTheme="minorHAnsi" w:eastAsia="SimSun" w:hAnsiTheme="minorHAnsi"/>
          <w:szCs w:val="20"/>
        </w:rPr>
        <w:t>(analytical validity</w:t>
      </w:r>
      <w:r w:rsidR="00B535F9">
        <w:rPr>
          <w:rFonts w:asciiTheme="minorHAnsi" w:eastAsia="SimSun" w:hAnsiTheme="minorHAnsi"/>
          <w:szCs w:val="20"/>
        </w:rPr>
        <w:t>)</w:t>
      </w:r>
      <w:r w:rsidRPr="002C663B">
        <w:rPr>
          <w:rFonts w:asciiTheme="minorHAnsi" w:eastAsia="SimSun" w:hAnsiTheme="minorHAnsi"/>
          <w:szCs w:val="20"/>
        </w:rPr>
        <w:t>, concordance, test-retest reliabil</w:t>
      </w:r>
      <w:r w:rsidR="006043B8" w:rsidRPr="002C663B">
        <w:rPr>
          <w:rFonts w:asciiTheme="minorHAnsi" w:eastAsia="SimSun" w:hAnsiTheme="minorHAnsi"/>
          <w:szCs w:val="20"/>
        </w:rPr>
        <w:t>ity</w:t>
      </w:r>
    </w:p>
    <w:p w14:paraId="0F9C7119" w14:textId="06A42BB3" w:rsidR="004367C6" w:rsidRPr="002C663B" w:rsidRDefault="006043B8" w:rsidP="004367C6">
      <w:pPr>
        <w:spacing w:before="40" w:after="0" w:line="240" w:lineRule="auto"/>
        <w:ind w:left="2552" w:hanging="2552"/>
        <w:jc w:val="both"/>
        <w:rPr>
          <w:rFonts w:asciiTheme="minorHAnsi" w:eastAsia="SimSun" w:hAnsiTheme="minorHAnsi"/>
          <w:szCs w:val="20"/>
        </w:rPr>
      </w:pPr>
      <w:r w:rsidRPr="002C663B">
        <w:rPr>
          <w:rFonts w:asciiTheme="minorHAnsi" w:eastAsia="SimSun" w:hAnsiTheme="minorHAnsi"/>
          <w:i/>
          <w:szCs w:val="20"/>
        </w:rPr>
        <w:t>Clinical validity</w:t>
      </w:r>
      <w:r w:rsidRPr="002C663B">
        <w:rPr>
          <w:rFonts w:asciiTheme="minorHAnsi" w:eastAsia="SimSun" w:hAnsiTheme="minorHAnsi"/>
          <w:szCs w:val="20"/>
        </w:rPr>
        <w:tab/>
        <w:t>P</w:t>
      </w:r>
      <w:r w:rsidR="004367C6" w:rsidRPr="002C663B">
        <w:rPr>
          <w:rFonts w:asciiTheme="minorHAnsi" w:eastAsia="SimSun" w:hAnsiTheme="minorHAnsi"/>
          <w:szCs w:val="20"/>
        </w:rPr>
        <w:t>ositive</w:t>
      </w:r>
      <w:r w:rsidRPr="002C663B">
        <w:rPr>
          <w:rFonts w:asciiTheme="minorHAnsi" w:eastAsia="SimSun" w:hAnsiTheme="minorHAnsi"/>
          <w:szCs w:val="20"/>
        </w:rPr>
        <w:t xml:space="preserve"> and negative predictive values</w:t>
      </w:r>
      <w:r w:rsidR="00B535F9" w:rsidRPr="00B535F9">
        <w:rPr>
          <w:rFonts w:asciiTheme="minorHAnsi" w:eastAsia="SimSun" w:hAnsiTheme="minorHAnsi"/>
          <w:szCs w:val="20"/>
        </w:rPr>
        <w:t>, positive and negative likelihood ratios</w:t>
      </w:r>
    </w:p>
    <w:p w14:paraId="7FAB877F" w14:textId="2F205686" w:rsidR="004367C6" w:rsidRPr="002C663B" w:rsidRDefault="004367C6" w:rsidP="004367C6">
      <w:pPr>
        <w:spacing w:before="40" w:after="0" w:line="240" w:lineRule="auto"/>
        <w:ind w:left="2552" w:hanging="2552"/>
        <w:jc w:val="both"/>
        <w:rPr>
          <w:rFonts w:asciiTheme="minorHAnsi" w:eastAsia="SimSun" w:hAnsiTheme="minorHAnsi"/>
          <w:szCs w:val="20"/>
        </w:rPr>
      </w:pPr>
      <w:r w:rsidRPr="002C663B">
        <w:rPr>
          <w:rFonts w:asciiTheme="minorHAnsi" w:eastAsia="SimSun" w:hAnsiTheme="minorHAnsi"/>
          <w:i/>
          <w:szCs w:val="20"/>
        </w:rPr>
        <w:t>Prognosis</w:t>
      </w:r>
      <w:r w:rsidRPr="002C663B">
        <w:rPr>
          <w:rFonts w:asciiTheme="minorHAnsi" w:eastAsia="SimSun" w:hAnsiTheme="minorHAnsi"/>
          <w:i/>
          <w:szCs w:val="20"/>
        </w:rPr>
        <w:tab/>
      </w:r>
      <w:r w:rsidRPr="002C663B">
        <w:rPr>
          <w:rFonts w:asciiTheme="minorHAnsi" w:eastAsia="SimSun" w:hAnsiTheme="minorHAnsi"/>
          <w:szCs w:val="20"/>
        </w:rPr>
        <w:t xml:space="preserve">Prognostic effect of </w:t>
      </w:r>
      <w:r w:rsidR="002C26A3" w:rsidRPr="002C663B">
        <w:rPr>
          <w:rFonts w:asciiTheme="minorHAnsi" w:eastAsia="SimSun" w:hAnsiTheme="minorHAnsi"/>
          <w:szCs w:val="20"/>
        </w:rPr>
        <w:t>d</w:t>
      </w:r>
      <w:r w:rsidRPr="002C663B">
        <w:rPr>
          <w:rFonts w:asciiTheme="minorHAnsi" w:eastAsia="SimSun" w:hAnsiTheme="minorHAnsi"/>
          <w:szCs w:val="20"/>
        </w:rPr>
        <w:t xml:space="preserve">MMR in </w:t>
      </w:r>
      <w:r w:rsidR="00AB6988" w:rsidRPr="002C663B">
        <w:rPr>
          <w:rFonts w:asciiTheme="minorHAnsi" w:eastAsia="SimSun" w:hAnsiTheme="minorHAnsi"/>
          <w:szCs w:val="20"/>
        </w:rPr>
        <w:t>non-</w:t>
      </w:r>
      <w:r w:rsidRPr="002C663B">
        <w:rPr>
          <w:rFonts w:asciiTheme="minorHAnsi" w:eastAsia="SimSun" w:hAnsiTheme="minorHAnsi"/>
          <w:szCs w:val="20"/>
        </w:rPr>
        <w:t>CRC patient</w:t>
      </w:r>
      <w:r w:rsidR="006043B8" w:rsidRPr="002C663B">
        <w:rPr>
          <w:rFonts w:asciiTheme="minorHAnsi" w:eastAsia="SimSun" w:hAnsiTheme="minorHAnsi"/>
          <w:szCs w:val="20"/>
        </w:rPr>
        <w:t>s treated with standard of care</w:t>
      </w:r>
    </w:p>
    <w:p w14:paraId="727A14E9" w14:textId="4CFDFC4C" w:rsidR="004367C6" w:rsidRPr="007A0CF6" w:rsidRDefault="006043B8" w:rsidP="004367C6">
      <w:pPr>
        <w:spacing w:before="40" w:after="0" w:line="240" w:lineRule="auto"/>
        <w:ind w:left="2552" w:hanging="2552"/>
        <w:jc w:val="both"/>
        <w:rPr>
          <w:rFonts w:asciiTheme="minorHAnsi" w:eastAsia="SimSun" w:hAnsiTheme="minorHAnsi"/>
          <w:szCs w:val="20"/>
        </w:rPr>
      </w:pPr>
      <w:r w:rsidRPr="002C663B">
        <w:rPr>
          <w:rFonts w:asciiTheme="minorHAnsi" w:eastAsia="SimSun" w:hAnsiTheme="minorHAnsi"/>
          <w:i/>
          <w:szCs w:val="20"/>
        </w:rPr>
        <w:t>Clinical utility</w:t>
      </w:r>
      <w:r w:rsidR="004367C6" w:rsidRPr="007A0CF6">
        <w:rPr>
          <w:rFonts w:asciiTheme="minorHAnsi" w:eastAsia="SimSun" w:hAnsiTheme="minorHAnsi"/>
          <w:i/>
          <w:szCs w:val="20"/>
        </w:rPr>
        <w:tab/>
      </w:r>
      <w:r w:rsidR="001E7DB2" w:rsidRPr="001E7DB2">
        <w:rPr>
          <w:rFonts w:asciiTheme="minorHAnsi" w:eastAsia="SimSun" w:hAnsiTheme="minorHAnsi"/>
          <w:szCs w:val="20"/>
        </w:rPr>
        <w:t>Percent</w:t>
      </w:r>
      <w:r w:rsidR="004367C6" w:rsidRPr="001E7DB2">
        <w:rPr>
          <w:rFonts w:asciiTheme="minorHAnsi" w:eastAsia="SimSun" w:hAnsiTheme="minorHAnsi"/>
          <w:szCs w:val="20"/>
        </w:rPr>
        <w:t xml:space="preserve"> c</w:t>
      </w:r>
      <w:r w:rsidR="004367C6" w:rsidRPr="007A0CF6">
        <w:rPr>
          <w:rFonts w:asciiTheme="minorHAnsi" w:eastAsia="SimSun" w:hAnsiTheme="minorHAnsi"/>
          <w:szCs w:val="20"/>
        </w:rPr>
        <w:t xml:space="preserve">hange in management plan (e.g. changes in treatment as a result of IHC </w:t>
      </w:r>
      <w:r w:rsidR="002C26A3">
        <w:rPr>
          <w:rFonts w:asciiTheme="minorHAnsi" w:eastAsia="SimSun" w:hAnsiTheme="minorHAnsi"/>
          <w:szCs w:val="20"/>
        </w:rPr>
        <w:t>d</w:t>
      </w:r>
      <w:r w:rsidR="004367C6" w:rsidRPr="007A0CF6">
        <w:rPr>
          <w:rFonts w:asciiTheme="minorHAnsi" w:eastAsia="SimSun" w:hAnsiTheme="minorHAnsi"/>
          <w:szCs w:val="20"/>
        </w:rPr>
        <w:t xml:space="preserve">MMR testing). It should be noted that </w:t>
      </w:r>
      <w:r w:rsidR="001002B0" w:rsidRPr="007A0CF6">
        <w:rPr>
          <w:rFonts w:asciiTheme="minorHAnsi" w:eastAsia="SimSun" w:hAnsiTheme="minorHAnsi"/>
          <w:szCs w:val="20"/>
        </w:rPr>
        <w:t>some</w:t>
      </w:r>
      <w:r w:rsidR="004367C6" w:rsidRPr="007A0CF6">
        <w:rPr>
          <w:rFonts w:asciiTheme="minorHAnsi" w:eastAsia="SimSun" w:hAnsiTheme="minorHAnsi"/>
          <w:szCs w:val="20"/>
        </w:rPr>
        <w:t xml:space="preserve"> patients are already tested and there may be no change in management outcomes to assess other than access to pembrolizumab</w:t>
      </w:r>
    </w:p>
    <w:p w14:paraId="50811F90" w14:textId="77777777" w:rsidR="004367C6" w:rsidRPr="007A0CF6" w:rsidRDefault="004367C6" w:rsidP="004367C6">
      <w:pPr>
        <w:spacing w:before="40" w:after="0" w:line="240" w:lineRule="auto"/>
        <w:ind w:left="2552" w:hanging="2552"/>
        <w:jc w:val="both"/>
        <w:rPr>
          <w:rFonts w:asciiTheme="minorHAnsi" w:eastAsia="SimSun" w:hAnsiTheme="minorHAnsi"/>
          <w:szCs w:val="20"/>
        </w:rPr>
      </w:pPr>
      <w:r w:rsidRPr="007A0CF6">
        <w:rPr>
          <w:i/>
        </w:rPr>
        <w:t>Therapeutic effectiveness</w:t>
      </w:r>
      <w:r w:rsidRPr="007A0CF6">
        <w:rPr>
          <w:i/>
        </w:rPr>
        <w:tab/>
      </w:r>
      <w:r w:rsidRPr="007A0CF6">
        <w:rPr>
          <w:rFonts w:asciiTheme="minorHAnsi" w:eastAsia="SimSun" w:hAnsiTheme="minorHAnsi"/>
          <w:szCs w:val="20"/>
        </w:rPr>
        <w:t>(ranked as recommended by GRADE)</w:t>
      </w:r>
    </w:p>
    <w:p w14:paraId="04A4A6F7" w14:textId="77777777" w:rsidR="004367C6" w:rsidRPr="007A0CF6" w:rsidRDefault="004367C6" w:rsidP="004367C6">
      <w:pPr>
        <w:spacing w:before="40" w:after="0" w:line="240" w:lineRule="auto"/>
        <w:ind w:left="2552"/>
        <w:jc w:val="both"/>
        <w:rPr>
          <w:rFonts w:asciiTheme="minorHAnsi" w:eastAsia="SimSun" w:hAnsiTheme="minorHAnsi" w:cs="Tahoma"/>
          <w:szCs w:val="20"/>
          <w:lang w:eastAsia="zh-CN"/>
        </w:rPr>
      </w:pPr>
      <w:r w:rsidRPr="007A0CF6">
        <w:rPr>
          <w:rFonts w:asciiTheme="minorHAnsi" w:eastAsia="SimSun" w:hAnsiTheme="minorHAnsi"/>
          <w:szCs w:val="20"/>
        </w:rPr>
        <w:t xml:space="preserve">Critical outcomes: </w:t>
      </w:r>
      <w:r w:rsidRPr="007A0CF6">
        <w:rPr>
          <w:rFonts w:asciiTheme="minorHAnsi" w:eastAsia="SimSun" w:hAnsiTheme="minorHAnsi" w:cs="Tahoma"/>
          <w:szCs w:val="20"/>
          <w:lang w:eastAsia="zh-CN"/>
        </w:rPr>
        <w:t>overall survival, progression-free survival, overall response rate; Important outcomes: quality of life</w:t>
      </w:r>
    </w:p>
    <w:p w14:paraId="3BA6086E" w14:textId="77777777" w:rsidR="004367C6" w:rsidRDefault="004367C6" w:rsidP="003403CF">
      <w:pPr>
        <w:spacing w:before="40" w:after="240" w:line="240" w:lineRule="auto"/>
        <w:ind w:left="2552" w:hanging="2552"/>
        <w:jc w:val="both"/>
        <w:rPr>
          <w:rFonts w:asciiTheme="minorHAnsi" w:eastAsia="SimSun" w:hAnsiTheme="minorHAnsi"/>
          <w:szCs w:val="20"/>
        </w:rPr>
      </w:pPr>
      <w:r w:rsidRPr="007A0CF6">
        <w:rPr>
          <w:rFonts w:asciiTheme="minorHAnsi" w:eastAsia="SimSun" w:hAnsiTheme="minorHAnsi"/>
          <w:i/>
          <w:szCs w:val="20"/>
        </w:rPr>
        <w:lastRenderedPageBreak/>
        <w:t>Predictive validity</w:t>
      </w:r>
      <w:r w:rsidRPr="007A0CF6">
        <w:rPr>
          <w:rFonts w:asciiTheme="minorHAnsi" w:eastAsia="SimSun" w:hAnsiTheme="minorHAnsi"/>
          <w:i/>
          <w:szCs w:val="20"/>
        </w:rPr>
        <w:tab/>
      </w:r>
      <w:r w:rsidRPr="007A0CF6">
        <w:rPr>
          <w:rFonts w:asciiTheme="minorHAnsi" w:eastAsia="SimSun" w:hAnsiTheme="minorHAnsi"/>
          <w:szCs w:val="20"/>
        </w:rPr>
        <w:t>Treatment effect modification</w:t>
      </w:r>
    </w:p>
    <w:p w14:paraId="6B9E2E5D" w14:textId="77777777" w:rsidR="004367C6" w:rsidRPr="007A0CF6" w:rsidRDefault="004367C6" w:rsidP="004367C6">
      <w:pPr>
        <w:keepNext/>
        <w:rPr>
          <w:i/>
          <w:u w:val="single"/>
        </w:rPr>
      </w:pPr>
      <w:r w:rsidRPr="007A0CF6">
        <w:rPr>
          <w:i/>
          <w:u w:val="single"/>
        </w:rPr>
        <w:t>Healthcare system</w:t>
      </w:r>
    </w:p>
    <w:p w14:paraId="2E658DC9" w14:textId="77777777" w:rsidR="004367C6" w:rsidRPr="007A0CF6" w:rsidRDefault="004367C6" w:rsidP="004367C6">
      <w:pPr>
        <w:spacing w:before="40" w:after="0" w:line="240" w:lineRule="auto"/>
        <w:ind w:left="2552" w:hanging="2552"/>
        <w:jc w:val="both"/>
        <w:rPr>
          <w:rFonts w:asciiTheme="minorHAnsi" w:eastAsia="SimSun" w:hAnsiTheme="minorHAnsi" w:cs="Tahoma"/>
          <w:szCs w:val="20"/>
          <w:lang w:eastAsia="zh-CN"/>
        </w:rPr>
      </w:pPr>
      <w:r w:rsidRPr="007A0CF6">
        <w:rPr>
          <w:rFonts w:asciiTheme="minorHAnsi" w:eastAsia="SimSun" w:hAnsiTheme="minorHAnsi"/>
          <w:i/>
          <w:szCs w:val="20"/>
        </w:rPr>
        <w:t>Cost-effectiveness</w:t>
      </w:r>
      <w:r w:rsidRPr="007A0CF6">
        <w:rPr>
          <w:rFonts w:asciiTheme="minorHAnsi" w:eastAsia="SimSun" w:hAnsiTheme="minorHAnsi"/>
          <w:i/>
          <w:szCs w:val="20"/>
        </w:rPr>
        <w:tab/>
      </w:r>
      <w:r w:rsidRPr="007A0CF6">
        <w:rPr>
          <w:rFonts w:asciiTheme="minorHAnsi" w:eastAsia="SimSun" w:hAnsiTheme="minorHAnsi" w:cs="Tahoma"/>
          <w:szCs w:val="20"/>
          <w:lang w:eastAsia="zh-CN"/>
        </w:rPr>
        <w:t>Cost, cost per life year gained, cost per quality adjusted life year or disability adjusted life year, incremental cost-effectiveness ratio, cost per case identified</w:t>
      </w:r>
    </w:p>
    <w:p w14:paraId="08FD365C" w14:textId="06850BC6" w:rsidR="004367C6" w:rsidRPr="007A0CF6" w:rsidRDefault="004367C6" w:rsidP="004367C6">
      <w:pPr>
        <w:spacing w:before="40" w:line="240" w:lineRule="auto"/>
        <w:ind w:left="2552" w:hanging="2552"/>
        <w:jc w:val="both"/>
        <w:rPr>
          <w:rFonts w:asciiTheme="minorHAnsi" w:eastAsia="SimSun" w:hAnsiTheme="minorHAnsi"/>
          <w:szCs w:val="20"/>
        </w:rPr>
      </w:pPr>
      <w:r w:rsidRPr="007A0CF6">
        <w:rPr>
          <w:rFonts w:asciiTheme="minorHAnsi" w:eastAsia="SimSun" w:hAnsiTheme="minorHAnsi"/>
          <w:i/>
          <w:szCs w:val="20"/>
        </w:rPr>
        <w:t>Financial implications</w:t>
      </w:r>
      <w:r w:rsidRPr="007A0CF6">
        <w:rPr>
          <w:rFonts w:asciiTheme="minorHAnsi" w:eastAsia="SimSun" w:hAnsiTheme="minorHAnsi"/>
          <w:i/>
          <w:szCs w:val="20"/>
        </w:rPr>
        <w:tab/>
      </w:r>
      <w:r w:rsidRPr="007A0CF6">
        <w:rPr>
          <w:rFonts w:asciiTheme="minorHAnsi" w:eastAsia="SimSun" w:hAnsiTheme="minorHAnsi"/>
          <w:szCs w:val="20"/>
        </w:rPr>
        <w:t xml:space="preserve">Number of patients tested, number of patients tested per </w:t>
      </w:r>
      <w:r w:rsidR="00DB77E5">
        <w:rPr>
          <w:rFonts w:asciiTheme="minorHAnsi" w:eastAsia="SimSun" w:hAnsiTheme="minorHAnsi"/>
          <w:szCs w:val="20"/>
        </w:rPr>
        <w:t>d</w:t>
      </w:r>
      <w:r w:rsidRPr="007A0CF6">
        <w:rPr>
          <w:rFonts w:asciiTheme="minorHAnsi" w:eastAsia="SimSun" w:hAnsiTheme="minorHAnsi"/>
          <w:szCs w:val="20"/>
        </w:rPr>
        <w:t xml:space="preserve">MMR result, number of patients tested per </w:t>
      </w:r>
      <w:r w:rsidR="00DB77E5">
        <w:rPr>
          <w:rFonts w:asciiTheme="minorHAnsi" w:eastAsia="SimSun" w:hAnsiTheme="minorHAnsi"/>
          <w:szCs w:val="20"/>
        </w:rPr>
        <w:t>d</w:t>
      </w:r>
      <w:r w:rsidRPr="007A0CF6">
        <w:rPr>
          <w:rFonts w:asciiTheme="minorHAnsi" w:eastAsia="SimSun" w:hAnsiTheme="minorHAnsi"/>
          <w:szCs w:val="20"/>
        </w:rPr>
        <w:t>MMR result treated with pembrolizumab</w:t>
      </w:r>
    </w:p>
    <w:p w14:paraId="780EA05F" w14:textId="65EC2198" w:rsidR="00ED7BA3" w:rsidRPr="007A0CF6" w:rsidRDefault="004367C6" w:rsidP="00ED7BA3">
      <w:pPr>
        <w:jc w:val="both"/>
      </w:pPr>
      <w:r w:rsidRPr="007A0CF6">
        <w:t xml:space="preserve">Most pathology laboratories already conduct IHC </w:t>
      </w:r>
      <w:r w:rsidR="002C26A3">
        <w:t>d</w:t>
      </w:r>
      <w:r w:rsidRPr="007A0CF6">
        <w:t>MMR testing</w:t>
      </w:r>
      <w:r w:rsidR="001002B0" w:rsidRPr="007A0CF6">
        <w:t xml:space="preserve">. However, there </w:t>
      </w:r>
      <w:r w:rsidR="00D03612">
        <w:t>will be an</w:t>
      </w:r>
      <w:r w:rsidR="001002B0" w:rsidRPr="007A0CF6">
        <w:t xml:space="preserve"> increase in the number of tests conducted to determine access of patients with solid tumours to pembrolizumab.</w:t>
      </w:r>
    </w:p>
    <w:p w14:paraId="2ED1C446" w14:textId="211C9F31" w:rsidR="00ED7BA3" w:rsidRDefault="00ED7BA3" w:rsidP="00173D5B">
      <w:pPr>
        <w:jc w:val="both"/>
      </w:pPr>
      <w:r>
        <w:t>PASC noted that it would be impractical to establish analytical validity, clinical validity and clinical utility for each different tumour type.</w:t>
      </w:r>
      <w:r w:rsidRPr="00ED7BA3">
        <w:t xml:space="preserve"> </w:t>
      </w:r>
      <w:r>
        <w:t>PASC confirmed that the diagnostic accuracy of IHC dMMR test</w:t>
      </w:r>
      <w:r w:rsidR="00922842">
        <w:t>ing</w:t>
      </w:r>
      <w:r>
        <w:t xml:space="preserve"> in non</w:t>
      </w:r>
      <w:r w:rsidR="00922842">
        <w:t>- CRC</w:t>
      </w:r>
      <w:r>
        <w:t xml:space="preserve"> (sensitivity/specificity/PPV/NPV) </w:t>
      </w:r>
      <w:r w:rsidR="00922842">
        <w:t xml:space="preserve">is to </w:t>
      </w:r>
      <w:r>
        <w:t>be compared with MSI-H testing.</w:t>
      </w:r>
    </w:p>
    <w:p w14:paraId="2A14F00D" w14:textId="77777777" w:rsidR="004367C6" w:rsidRPr="007A0CF6" w:rsidRDefault="004367C6" w:rsidP="004367C6">
      <w:pPr>
        <w:keepNext/>
        <w:spacing w:before="120" w:after="120"/>
        <w:rPr>
          <w:i/>
        </w:rPr>
      </w:pPr>
      <w:r w:rsidRPr="007A0CF6">
        <w:rPr>
          <w:i/>
          <w:u w:val="single"/>
        </w:rPr>
        <w:t>Rationale</w:t>
      </w:r>
    </w:p>
    <w:p w14:paraId="0049E124" w14:textId="77777777" w:rsidR="004367C6" w:rsidRPr="007A0CF6" w:rsidRDefault="004367C6" w:rsidP="004367C6">
      <w:pPr>
        <w:jc w:val="both"/>
        <w:rPr>
          <w:rFonts w:asciiTheme="minorHAnsi" w:eastAsia="SimSun" w:hAnsiTheme="minorHAnsi" w:cs="Tahoma"/>
          <w:i/>
          <w:szCs w:val="20"/>
          <w:lang w:eastAsia="zh-CN"/>
        </w:rPr>
      </w:pPr>
      <w:r w:rsidRPr="007A0CF6">
        <w:rPr>
          <w:i/>
        </w:rPr>
        <w:t xml:space="preserve">As a co-dependent technology, any treatment effect modification and/or prognostic effect operating in the relationship between IHC </w:t>
      </w:r>
      <w:proofErr w:type="spellStart"/>
      <w:r w:rsidR="002C26A3">
        <w:rPr>
          <w:i/>
        </w:rPr>
        <w:t>d</w:t>
      </w:r>
      <w:r w:rsidRPr="007A0CF6">
        <w:rPr>
          <w:i/>
        </w:rPr>
        <w:t>MMR</w:t>
      </w:r>
      <w:proofErr w:type="spellEnd"/>
      <w:r w:rsidRPr="007A0CF6">
        <w:rPr>
          <w:i/>
        </w:rPr>
        <w:t xml:space="preserve"> testing and pembrolizumab needs to be elucidated.</w:t>
      </w:r>
    </w:p>
    <w:p w14:paraId="2D4EE152" w14:textId="77777777" w:rsidR="00896845" w:rsidRPr="007A0CF6" w:rsidRDefault="00896845" w:rsidP="00D03612">
      <w:pPr>
        <w:pStyle w:val="Heading2"/>
      </w:pPr>
      <w:r w:rsidRPr="007A0CF6">
        <w:t>Current clinical management algorithm</w:t>
      </w:r>
      <w:r w:rsidR="002B3338" w:rsidRPr="007A0CF6">
        <w:t xml:space="preserve"> for identified population</w:t>
      </w:r>
    </w:p>
    <w:p w14:paraId="4626C5F4" w14:textId="505D8B62" w:rsidR="00743FF8" w:rsidRPr="007A0CF6" w:rsidRDefault="00743FF8" w:rsidP="00743FF8">
      <w:pPr>
        <w:jc w:val="both"/>
      </w:pPr>
      <w:r w:rsidRPr="007A0CF6">
        <w:t xml:space="preserve">The current management of </w:t>
      </w:r>
      <w:r w:rsidR="00437F6B" w:rsidRPr="007A0CF6">
        <w:t>solid tumours</w:t>
      </w:r>
      <w:r w:rsidRPr="007A0CF6">
        <w:t xml:space="preserve"> (shown in </w:t>
      </w:r>
      <w:r w:rsidRPr="007A0CF6">
        <w:fldChar w:fldCharType="begin"/>
      </w:r>
      <w:r w:rsidRPr="007A0CF6">
        <w:instrText xml:space="preserve"> REF _Ref492549195 \h </w:instrText>
      </w:r>
      <w:r w:rsidRPr="007A0CF6">
        <w:fldChar w:fldCharType="separate"/>
      </w:r>
      <w:r w:rsidRPr="007A0CF6">
        <w:t xml:space="preserve">Figure </w:t>
      </w:r>
      <w:r w:rsidRPr="007A0CF6">
        <w:rPr>
          <w:noProof/>
        </w:rPr>
        <w:t>1</w:t>
      </w:r>
      <w:r w:rsidRPr="007A0CF6">
        <w:fldChar w:fldCharType="end"/>
      </w:r>
      <w:r w:rsidRPr="007A0CF6">
        <w:t xml:space="preserve">) includes IHC </w:t>
      </w:r>
      <w:proofErr w:type="spellStart"/>
      <w:r w:rsidR="002C26A3">
        <w:t>d</w:t>
      </w:r>
      <w:r w:rsidRPr="007A0CF6">
        <w:t>MMR</w:t>
      </w:r>
      <w:proofErr w:type="spellEnd"/>
      <w:r w:rsidRPr="007A0CF6">
        <w:t xml:space="preserve"> testing as part of the initial work-up</w:t>
      </w:r>
      <w:r w:rsidR="00437F6B" w:rsidRPr="007A0CF6">
        <w:t xml:space="preserve"> for patients with some tumour types and those at high risk</w:t>
      </w:r>
      <w:r w:rsidRPr="007A0CF6">
        <w:t xml:space="preserve">. </w:t>
      </w:r>
      <w:r w:rsidRPr="00A031AE">
        <w:t xml:space="preserve">The treatment options </w:t>
      </w:r>
      <w:r w:rsidR="00437F6B" w:rsidRPr="00A031AE">
        <w:t>are generalised, as they would vary with tumour type</w:t>
      </w:r>
      <w:r w:rsidRPr="00A031AE">
        <w:t xml:space="preserve">. </w:t>
      </w:r>
      <w:r w:rsidRPr="007A0CF6">
        <w:t xml:space="preserve">However, current treatment options available to patients with </w:t>
      </w:r>
      <w:r w:rsidR="00DB77E5">
        <w:t>d</w:t>
      </w:r>
      <w:r w:rsidRPr="007A0CF6">
        <w:t xml:space="preserve">MMR stage IV </w:t>
      </w:r>
      <w:r w:rsidR="00437F6B" w:rsidRPr="007A0CF6">
        <w:t>cancer</w:t>
      </w:r>
      <w:r w:rsidRPr="007A0CF6">
        <w:t xml:space="preserve"> do not include any targeted treatment options.</w:t>
      </w:r>
    </w:p>
    <w:p w14:paraId="58850E96" w14:textId="77777777" w:rsidR="001002B0" w:rsidRPr="007A0CF6" w:rsidRDefault="00743FF8" w:rsidP="001002B0">
      <w:pPr>
        <w:jc w:val="center"/>
      </w:pPr>
      <w:r w:rsidRPr="007A0CF6">
        <w:rPr>
          <w:noProof/>
          <w:lang w:eastAsia="en-AU"/>
        </w:rPr>
        <w:drawing>
          <wp:inline distT="0" distB="0" distL="0" distR="0" wp14:anchorId="08027691" wp14:editId="618B43D5">
            <wp:extent cx="3975620" cy="3643952"/>
            <wp:effectExtent l="0" t="0" r="6350" b="0"/>
            <wp:docPr id="3" name="Picture 3" descr="The algorithm shows the mangaement of patients with solid tumours from suspicion by the GP or specialist to diagnosis. some patients are tested for MMR deficiency at diagnosis depending on tumour type and risk factors. After progression to Stage IV disease, all patients recieve first and second-line chemotherapies, as required." title="Current clinical algorithm for the treatment of patients with solid tum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 clinical pathway.png"/>
                    <pic:cNvPicPr/>
                  </pic:nvPicPr>
                  <pic:blipFill>
                    <a:blip r:embed="rId12">
                      <a:extLst>
                        <a:ext uri="{28A0092B-C50C-407E-A947-70E740481C1C}">
                          <a14:useLocalDpi xmlns:a14="http://schemas.microsoft.com/office/drawing/2010/main" val="0"/>
                        </a:ext>
                      </a:extLst>
                    </a:blip>
                    <a:stretch>
                      <a:fillRect/>
                    </a:stretch>
                  </pic:blipFill>
                  <pic:spPr>
                    <a:xfrm>
                      <a:off x="0" y="0"/>
                      <a:ext cx="4023098" cy="3687469"/>
                    </a:xfrm>
                    <a:prstGeom prst="rect">
                      <a:avLst/>
                    </a:prstGeom>
                  </pic:spPr>
                </pic:pic>
              </a:graphicData>
            </a:graphic>
          </wp:inline>
        </w:drawing>
      </w:r>
    </w:p>
    <w:p w14:paraId="038D6E62" w14:textId="77777777" w:rsidR="00FB1FF0" w:rsidRPr="007A0CF6" w:rsidRDefault="00FB1FF0" w:rsidP="00FB1FF0">
      <w:pPr>
        <w:pStyle w:val="Caption"/>
        <w:rPr>
          <w:lang w:val="en-AU"/>
        </w:rPr>
      </w:pPr>
      <w:bookmarkStart w:id="4" w:name="_Ref492549195"/>
      <w:r w:rsidRPr="007A0CF6">
        <w:rPr>
          <w:lang w:val="en-AU"/>
        </w:rPr>
        <w:t xml:space="preserve">Figure </w:t>
      </w:r>
      <w:r w:rsidRPr="007A0CF6">
        <w:rPr>
          <w:lang w:val="en-AU"/>
        </w:rPr>
        <w:fldChar w:fldCharType="begin"/>
      </w:r>
      <w:r w:rsidRPr="007A0CF6">
        <w:rPr>
          <w:lang w:val="en-AU"/>
        </w:rPr>
        <w:instrText xml:space="preserve"> SEQ Figure \* ARABIC </w:instrText>
      </w:r>
      <w:r w:rsidRPr="007A0CF6">
        <w:rPr>
          <w:lang w:val="en-AU"/>
        </w:rPr>
        <w:fldChar w:fldCharType="separate"/>
      </w:r>
      <w:r w:rsidRPr="007A0CF6">
        <w:rPr>
          <w:noProof/>
          <w:lang w:val="en-AU"/>
        </w:rPr>
        <w:t>1</w:t>
      </w:r>
      <w:r w:rsidRPr="007A0CF6">
        <w:rPr>
          <w:lang w:val="en-AU"/>
        </w:rPr>
        <w:fldChar w:fldCharType="end"/>
      </w:r>
      <w:bookmarkEnd w:id="4"/>
      <w:r w:rsidRPr="007A0CF6">
        <w:rPr>
          <w:lang w:val="en-AU"/>
        </w:rPr>
        <w:tab/>
        <w:t>Current clinical algorithm for the treatment of patients with solid tumours</w:t>
      </w:r>
    </w:p>
    <w:p w14:paraId="63D04991" w14:textId="77777777" w:rsidR="001002B0" w:rsidRPr="007A0CF6" w:rsidRDefault="00AD664C" w:rsidP="00E364F7">
      <w:pPr>
        <w:rPr>
          <w:rFonts w:ascii="Arial Narrow" w:hAnsi="Arial Narrow"/>
          <w:sz w:val="20"/>
        </w:rPr>
      </w:pPr>
      <w:r w:rsidRPr="007A0CF6">
        <w:rPr>
          <w:rFonts w:ascii="Arial Narrow" w:hAnsi="Arial Narrow"/>
          <w:sz w:val="20"/>
        </w:rPr>
        <w:t xml:space="preserve">GP = general practitioner; </w:t>
      </w:r>
      <w:r w:rsidR="001002B0" w:rsidRPr="007A0CF6">
        <w:rPr>
          <w:rFonts w:ascii="Arial Narrow" w:hAnsi="Arial Narrow"/>
          <w:sz w:val="20"/>
        </w:rPr>
        <w:t>IHC = immunohistochemistry; MMR</w:t>
      </w:r>
      <w:r w:rsidRPr="007A0CF6">
        <w:rPr>
          <w:rFonts w:ascii="Arial Narrow" w:hAnsi="Arial Narrow"/>
          <w:sz w:val="20"/>
        </w:rPr>
        <w:t xml:space="preserve"> = </w:t>
      </w:r>
      <w:r w:rsidR="00FB1FF0" w:rsidRPr="007A0CF6">
        <w:rPr>
          <w:rFonts w:ascii="Arial Narrow" w:hAnsi="Arial Narrow"/>
          <w:sz w:val="20"/>
        </w:rPr>
        <w:t>mismatch repair</w:t>
      </w:r>
    </w:p>
    <w:p w14:paraId="48A320B5" w14:textId="77777777" w:rsidR="00896845" w:rsidRPr="007A0CF6" w:rsidRDefault="00896845" w:rsidP="00D03612">
      <w:pPr>
        <w:pStyle w:val="Heading2"/>
      </w:pPr>
      <w:r w:rsidRPr="007A0CF6">
        <w:lastRenderedPageBreak/>
        <w:t>Proposed clinical management algorithm</w:t>
      </w:r>
      <w:r w:rsidR="002B3338" w:rsidRPr="007A0CF6">
        <w:t xml:space="preserve"> for identified population</w:t>
      </w:r>
    </w:p>
    <w:p w14:paraId="352AA236" w14:textId="2A1FDC09" w:rsidR="00437F6B" w:rsidRPr="004210DB" w:rsidRDefault="00437F6B" w:rsidP="00437F6B">
      <w:pPr>
        <w:jc w:val="both"/>
        <w:rPr>
          <w:i/>
        </w:rPr>
      </w:pPr>
      <w:r w:rsidRPr="004C6ADA">
        <w:t>The clinical management algorithm that was proposed by the applicant (</w:t>
      </w:r>
      <w:r w:rsidRPr="004C6ADA">
        <w:fldChar w:fldCharType="begin"/>
      </w:r>
      <w:r w:rsidRPr="004C6ADA">
        <w:instrText xml:space="preserve"> REF _Ref492549690 \h </w:instrText>
      </w:r>
      <w:r w:rsidR="004C6ADA">
        <w:instrText xml:space="preserve"> \* MERGEFORMAT </w:instrText>
      </w:r>
      <w:r w:rsidRPr="004C6ADA">
        <w:fldChar w:fldCharType="separate"/>
      </w:r>
      <w:r w:rsidRPr="004C6ADA">
        <w:t xml:space="preserve">Figure </w:t>
      </w:r>
      <w:r w:rsidRPr="004C6ADA">
        <w:rPr>
          <w:noProof/>
        </w:rPr>
        <w:t>2</w:t>
      </w:r>
      <w:r w:rsidRPr="004C6ADA">
        <w:fldChar w:fldCharType="end"/>
      </w:r>
      <w:r w:rsidRPr="004C6ADA">
        <w:t xml:space="preserve">) indicates that some patients </w:t>
      </w:r>
      <w:r w:rsidR="00CF4179" w:rsidRPr="004C6ADA">
        <w:t xml:space="preserve">with certain tumour types or risk factors </w:t>
      </w:r>
      <w:r w:rsidRPr="004C6ADA">
        <w:t xml:space="preserve">will receive IHC </w:t>
      </w:r>
      <w:r w:rsidR="002C26A3" w:rsidRPr="004C6ADA">
        <w:t>d</w:t>
      </w:r>
      <w:r w:rsidRPr="004C6ADA">
        <w:t xml:space="preserve">MMR testing as part of the initial clinical work-up at diagnosis. </w:t>
      </w:r>
      <w:r w:rsidR="00CF4179" w:rsidRPr="004C6ADA">
        <w:t xml:space="preserve">This enables clinicians to use this information for diagnostic and/or prognostic/predictive purposes in early stages of disease. </w:t>
      </w:r>
      <w:r w:rsidRPr="004C6ADA">
        <w:t xml:space="preserve">Patients </w:t>
      </w:r>
      <w:r w:rsidR="00A031AE" w:rsidRPr="004C6ADA">
        <w:t xml:space="preserve">who were not tested at diagnosis and progress to </w:t>
      </w:r>
      <w:r w:rsidR="00CF4179" w:rsidRPr="004C6ADA">
        <w:t>S</w:t>
      </w:r>
      <w:r w:rsidRPr="004C6ADA">
        <w:t>tage IV</w:t>
      </w:r>
      <w:r w:rsidR="00CF4179" w:rsidRPr="004C6ADA">
        <w:t xml:space="preserve"> would be tested for access to pembrolizumab following failure of first-line therapy</w:t>
      </w:r>
      <w:r w:rsidRPr="004C6ADA">
        <w:t xml:space="preserve">. </w:t>
      </w:r>
      <w:r w:rsidR="00CF4179" w:rsidRPr="004210DB">
        <w:rPr>
          <w:i/>
        </w:rPr>
        <w:t xml:space="preserve">This test would be performed using archival tumour tissue and </w:t>
      </w:r>
      <w:r w:rsidR="00A031AE">
        <w:rPr>
          <w:i/>
        </w:rPr>
        <w:t>patients</w:t>
      </w:r>
      <w:r w:rsidR="00A031AE" w:rsidRPr="004210DB">
        <w:rPr>
          <w:i/>
        </w:rPr>
        <w:t xml:space="preserve"> </w:t>
      </w:r>
      <w:r w:rsidRPr="004210DB">
        <w:rPr>
          <w:i/>
        </w:rPr>
        <w:t xml:space="preserve">would experience a small delay in commencement of treatment due to the requirement for block retrieval prior to testing. </w:t>
      </w:r>
      <w:r w:rsidR="00A031AE" w:rsidRPr="003C2094">
        <w:t>Patients with a dMMR tumour would be eligible for pembrolizumab and those who are MMR proficient would receive standard of care second-line treatments.</w:t>
      </w:r>
    </w:p>
    <w:p w14:paraId="3F9DBF05" w14:textId="2EAEBA48" w:rsidR="00437F6B" w:rsidRPr="004210DB" w:rsidRDefault="00CF4179" w:rsidP="00437F6B">
      <w:pPr>
        <w:jc w:val="both"/>
        <w:rPr>
          <w:i/>
        </w:rPr>
      </w:pPr>
      <w:r w:rsidRPr="00A031AE">
        <w:t>It is</w:t>
      </w:r>
      <w:r w:rsidR="00437F6B" w:rsidRPr="00A031AE">
        <w:t xml:space="preserve"> proposed </w:t>
      </w:r>
      <w:r w:rsidRPr="00A031AE">
        <w:t xml:space="preserve">that IHC </w:t>
      </w:r>
      <w:r w:rsidR="002C26A3" w:rsidRPr="00A031AE">
        <w:t>d</w:t>
      </w:r>
      <w:r w:rsidRPr="00A031AE">
        <w:t xml:space="preserve">MMR </w:t>
      </w:r>
      <w:r w:rsidR="00437F6B" w:rsidRPr="00A031AE">
        <w:t>testing would only be required once as these tumours do not change their MMR status (in both familial and sporadic mutations) and heterogeneity is not considered an issue.</w:t>
      </w:r>
      <w:r w:rsidR="00437F6B" w:rsidRPr="004210DB">
        <w:rPr>
          <w:i/>
        </w:rPr>
        <w:t xml:space="preserve"> Therefore, a re-biopsy for the purpose of </w:t>
      </w:r>
      <w:r w:rsidRPr="004210DB">
        <w:rPr>
          <w:i/>
        </w:rPr>
        <w:t xml:space="preserve">IHC </w:t>
      </w:r>
      <w:r w:rsidR="002C26A3" w:rsidRPr="004210DB">
        <w:rPr>
          <w:i/>
        </w:rPr>
        <w:t>d</w:t>
      </w:r>
      <w:r w:rsidR="00437F6B" w:rsidRPr="004210DB">
        <w:rPr>
          <w:i/>
        </w:rPr>
        <w:t xml:space="preserve">MMR testing would </w:t>
      </w:r>
      <w:r w:rsidR="00A031AE" w:rsidRPr="004210DB">
        <w:rPr>
          <w:i/>
        </w:rPr>
        <w:t>most likely not be required</w:t>
      </w:r>
      <w:r w:rsidR="00437F6B" w:rsidRPr="004210DB">
        <w:rPr>
          <w:i/>
        </w:rPr>
        <w:t>.</w:t>
      </w:r>
    </w:p>
    <w:p w14:paraId="1F98E9D0" w14:textId="63E9A5D7" w:rsidR="003B442B" w:rsidRDefault="003B442B" w:rsidP="00437F6B">
      <w:pPr>
        <w:jc w:val="both"/>
        <w:rPr>
          <w:i/>
        </w:rPr>
      </w:pPr>
      <w:r>
        <w:rPr>
          <w:i/>
        </w:rPr>
        <w:t xml:space="preserve">However, the introduction of IHC dMMR testing for non-CRC tumours may result in testing outside the proposed parameters. In order to fully diagnose a case, the </w:t>
      </w:r>
      <w:r w:rsidR="00F84F6C">
        <w:rPr>
          <w:i/>
        </w:rPr>
        <w:t xml:space="preserve">pathologist or clinician may wish to perform the </w:t>
      </w:r>
      <w:r>
        <w:rPr>
          <w:i/>
        </w:rPr>
        <w:t xml:space="preserve">IHC dMMR test at earlier stages of disease using the current </w:t>
      </w:r>
      <w:r w:rsidRPr="003B442B">
        <w:rPr>
          <w:i/>
        </w:rPr>
        <w:t>MBS item number 72847</w:t>
      </w:r>
      <w:r>
        <w:rPr>
          <w:i/>
        </w:rPr>
        <w:t xml:space="preserve">. This could </w:t>
      </w:r>
      <w:r w:rsidR="009A09A5">
        <w:rPr>
          <w:i/>
        </w:rPr>
        <w:t xml:space="preserve">possibly </w:t>
      </w:r>
      <w:r>
        <w:rPr>
          <w:i/>
        </w:rPr>
        <w:t>be discouraged by appropriate education of both clinicians and pathologists.</w:t>
      </w:r>
      <w:r w:rsidR="009A09A5" w:rsidRPr="009A09A5">
        <w:rPr>
          <w:i/>
        </w:rPr>
        <w:t xml:space="preserve"> PASC noted </w:t>
      </w:r>
      <w:r w:rsidR="009A09A5">
        <w:rPr>
          <w:i/>
        </w:rPr>
        <w:t>that this</w:t>
      </w:r>
      <w:r w:rsidR="009A09A5" w:rsidRPr="009A09A5">
        <w:rPr>
          <w:i/>
        </w:rPr>
        <w:t xml:space="preserve"> issue </w:t>
      </w:r>
      <w:r w:rsidR="009A09A5">
        <w:rPr>
          <w:i/>
        </w:rPr>
        <w:t>would</w:t>
      </w:r>
      <w:r w:rsidR="009A09A5" w:rsidRPr="009A09A5">
        <w:rPr>
          <w:i/>
        </w:rPr>
        <w:t xml:space="preserve"> need to be considered in the submission</w:t>
      </w:r>
      <w:r w:rsidR="009A09A5">
        <w:rPr>
          <w:i/>
        </w:rPr>
        <w:t>.</w:t>
      </w:r>
    </w:p>
    <w:p w14:paraId="1C37D895" w14:textId="74D2603F" w:rsidR="003B442B" w:rsidRPr="007A0CF6" w:rsidRDefault="003B442B" w:rsidP="00437F6B">
      <w:pPr>
        <w:jc w:val="both"/>
        <w:rPr>
          <w:i/>
        </w:rPr>
      </w:pPr>
      <w:r>
        <w:rPr>
          <w:i/>
        </w:rPr>
        <w:t>MSAC may also wish to consider issues</w:t>
      </w:r>
      <w:r w:rsidR="00F84F6C">
        <w:rPr>
          <w:i/>
        </w:rPr>
        <w:t>, including cost implications,</w:t>
      </w:r>
      <w:r>
        <w:rPr>
          <w:i/>
        </w:rPr>
        <w:t xml:space="preserve"> arising from a positive IHC dMMR test </w:t>
      </w:r>
      <w:r w:rsidR="00F84F6C">
        <w:rPr>
          <w:i/>
        </w:rPr>
        <w:t xml:space="preserve">result. Whereas BRAF IHC testing is an effective triage for Lynch syndrome in CRC, it </w:t>
      </w:r>
      <w:r w:rsidR="007C61F8">
        <w:rPr>
          <w:i/>
        </w:rPr>
        <w:t>may</w:t>
      </w:r>
      <w:r w:rsidR="00F84F6C">
        <w:rPr>
          <w:i/>
        </w:rPr>
        <w:t xml:space="preserve"> not</w:t>
      </w:r>
      <w:r w:rsidR="007C61F8">
        <w:rPr>
          <w:i/>
        </w:rPr>
        <w:t xml:space="preserve"> be</w:t>
      </w:r>
      <w:r w:rsidR="00F84F6C">
        <w:rPr>
          <w:i/>
        </w:rPr>
        <w:t xml:space="preserve"> effective for non-CRC solid tumours</w:t>
      </w:r>
      <w:r w:rsidR="007C61F8">
        <w:rPr>
          <w:i/>
        </w:rPr>
        <w:t xml:space="preserve"> due to its low prevalence rate</w:t>
      </w:r>
      <w:r w:rsidR="00D82A82">
        <w:rPr>
          <w:i/>
        </w:rPr>
        <w:t xml:space="preserve"> i</w:t>
      </w:r>
      <w:r w:rsidR="00D94D15">
        <w:rPr>
          <w:i/>
        </w:rPr>
        <w:t>n</w:t>
      </w:r>
      <w:r w:rsidR="00D82A82">
        <w:rPr>
          <w:i/>
        </w:rPr>
        <w:t xml:space="preserve"> some tumour types</w:t>
      </w:r>
      <w:r w:rsidR="00F84F6C">
        <w:rPr>
          <w:i/>
        </w:rPr>
        <w:t xml:space="preserve">. Thus, patients may need </w:t>
      </w:r>
      <w:r w:rsidR="00F84F6C" w:rsidRPr="00F84F6C">
        <w:rPr>
          <w:i/>
        </w:rPr>
        <w:t xml:space="preserve">MS-MLPA </w:t>
      </w:r>
      <w:r w:rsidR="00F84F6C">
        <w:rPr>
          <w:i/>
        </w:rPr>
        <w:t>or MMR gene sequencing to determine the presence or absence of Lynch syndrome. If Lynch syndrome is diagnosed, genetic counselling will also be required.</w:t>
      </w:r>
    </w:p>
    <w:p w14:paraId="21B5EEA5" w14:textId="4C7FFB58" w:rsidR="00CF4179" w:rsidRPr="007A0CF6" w:rsidRDefault="004757FD" w:rsidP="00FB1FF0">
      <w:pPr>
        <w:jc w:val="center"/>
      </w:pPr>
      <w:r>
        <w:rPr>
          <w:noProof/>
          <w:lang w:eastAsia="en-AU"/>
        </w:rPr>
        <w:lastRenderedPageBreak/>
        <w:drawing>
          <wp:inline distT="0" distB="0" distL="0" distR="0" wp14:anchorId="64DA4219" wp14:editId="4BE0E99D">
            <wp:extent cx="4051300" cy="5217406"/>
            <wp:effectExtent l="0" t="0" r="6350" b="2540"/>
            <wp:docPr id="6" name="Picture 6"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posed clinical pathway.png"/>
                    <pic:cNvPicPr/>
                  </pic:nvPicPr>
                  <pic:blipFill>
                    <a:blip r:embed="rId13">
                      <a:extLst>
                        <a:ext uri="{28A0092B-C50C-407E-A947-70E740481C1C}">
                          <a14:useLocalDpi xmlns:a14="http://schemas.microsoft.com/office/drawing/2010/main" val="0"/>
                        </a:ext>
                      </a:extLst>
                    </a:blip>
                    <a:stretch>
                      <a:fillRect/>
                    </a:stretch>
                  </pic:blipFill>
                  <pic:spPr>
                    <a:xfrm>
                      <a:off x="0" y="0"/>
                      <a:ext cx="4067724" cy="5238557"/>
                    </a:xfrm>
                    <a:prstGeom prst="rect">
                      <a:avLst/>
                    </a:prstGeom>
                  </pic:spPr>
                </pic:pic>
              </a:graphicData>
            </a:graphic>
          </wp:inline>
        </w:drawing>
      </w:r>
    </w:p>
    <w:p w14:paraId="5B9102E3" w14:textId="285039E0" w:rsidR="00762473" w:rsidRPr="004210DB" w:rsidRDefault="00762473" w:rsidP="004210DB">
      <w:pPr>
        <w:pStyle w:val="Caption"/>
        <w:rPr>
          <w:lang w:val="en-AU"/>
        </w:rPr>
      </w:pPr>
      <w:bookmarkStart w:id="5" w:name="_Ref492549690"/>
      <w:r w:rsidRPr="007A0CF6">
        <w:rPr>
          <w:lang w:val="en-AU"/>
        </w:rPr>
        <w:t xml:space="preserve">Figure </w:t>
      </w:r>
      <w:r w:rsidRPr="007A0CF6">
        <w:rPr>
          <w:lang w:val="en-AU"/>
        </w:rPr>
        <w:fldChar w:fldCharType="begin"/>
      </w:r>
      <w:r w:rsidRPr="007A0CF6">
        <w:rPr>
          <w:lang w:val="en-AU"/>
        </w:rPr>
        <w:instrText xml:space="preserve"> SEQ Figure \* ARABIC </w:instrText>
      </w:r>
      <w:r w:rsidRPr="007A0CF6">
        <w:rPr>
          <w:lang w:val="en-AU"/>
        </w:rPr>
        <w:fldChar w:fldCharType="separate"/>
      </w:r>
      <w:r w:rsidRPr="007A0CF6">
        <w:rPr>
          <w:noProof/>
          <w:lang w:val="en-AU"/>
        </w:rPr>
        <w:t>2</w:t>
      </w:r>
      <w:r w:rsidRPr="007A0CF6">
        <w:rPr>
          <w:lang w:val="en-AU"/>
        </w:rPr>
        <w:fldChar w:fldCharType="end"/>
      </w:r>
      <w:bookmarkEnd w:id="5"/>
      <w:r w:rsidRPr="007A0CF6">
        <w:rPr>
          <w:lang w:val="en-AU"/>
        </w:rPr>
        <w:tab/>
        <w:t xml:space="preserve">Proposed clinical algorithm for the treatment of patients with </w:t>
      </w:r>
      <w:r w:rsidR="00DB77E5">
        <w:rPr>
          <w:lang w:val="en-AU"/>
        </w:rPr>
        <w:t>d</w:t>
      </w:r>
      <w:r w:rsidR="00DB77E5" w:rsidRPr="007A0CF6">
        <w:rPr>
          <w:lang w:val="en-AU"/>
        </w:rPr>
        <w:t>MMR</w:t>
      </w:r>
      <w:r w:rsidR="00DB77E5" w:rsidRPr="004210DB">
        <w:rPr>
          <w:lang w:val="en-AU"/>
        </w:rPr>
        <w:t xml:space="preserve"> and </w:t>
      </w:r>
      <w:r w:rsidR="00DB77E5">
        <w:rPr>
          <w:lang w:val="en-AU"/>
        </w:rPr>
        <w:t>MMR-</w:t>
      </w:r>
      <w:r w:rsidRPr="007A0CF6">
        <w:rPr>
          <w:lang w:val="en-AU"/>
        </w:rPr>
        <w:t>proficient solid tumours</w:t>
      </w:r>
    </w:p>
    <w:p w14:paraId="65289B39" w14:textId="71824EE7" w:rsidR="00762473" w:rsidRPr="007A0CF6" w:rsidRDefault="00762473" w:rsidP="00762473">
      <w:pPr>
        <w:rPr>
          <w:rFonts w:ascii="Arial Narrow" w:hAnsi="Arial Narrow"/>
          <w:sz w:val="20"/>
        </w:rPr>
      </w:pPr>
      <w:r w:rsidRPr="007A0CF6">
        <w:rPr>
          <w:rFonts w:ascii="Arial Narrow" w:hAnsi="Arial Narrow"/>
          <w:sz w:val="20"/>
        </w:rPr>
        <w:t>GP = general practitioner; IHC = immunohistochemistry; MMR = mismatch repair</w:t>
      </w:r>
    </w:p>
    <w:p w14:paraId="61D7D4F6" w14:textId="77777777" w:rsidR="00E968F6" w:rsidRPr="007A0CF6" w:rsidRDefault="003E0382" w:rsidP="00D03612">
      <w:pPr>
        <w:pStyle w:val="Heading2"/>
      </w:pPr>
      <w:r w:rsidRPr="007A0CF6">
        <w:t xml:space="preserve">Proposed </w:t>
      </w:r>
      <w:r w:rsidR="002B226C" w:rsidRPr="007A0CF6">
        <w:t xml:space="preserve">economic </w:t>
      </w:r>
      <w:r w:rsidR="009E5295" w:rsidRPr="007A0CF6">
        <w:t>evaluation</w:t>
      </w:r>
    </w:p>
    <w:p w14:paraId="3011D9DA" w14:textId="3D1D02D3" w:rsidR="00E3037F" w:rsidRPr="007A0CF6" w:rsidRDefault="00E3037F" w:rsidP="00E3037F">
      <w:pPr>
        <w:jc w:val="both"/>
      </w:pPr>
      <w:r w:rsidRPr="007A0CF6">
        <w:t xml:space="preserve">The applicant predicts a claim of superiority in patients </w:t>
      </w:r>
      <w:r w:rsidR="00DB77E5">
        <w:t>with d</w:t>
      </w:r>
      <w:r w:rsidRPr="007A0CF6">
        <w:t xml:space="preserve">MMR </w:t>
      </w:r>
      <w:r w:rsidR="00DB77E5">
        <w:t xml:space="preserve">tumours </w:t>
      </w:r>
      <w:r w:rsidRPr="007A0CF6">
        <w:t>treated with pembrolizumab relative to standard of care.</w:t>
      </w:r>
      <w:r w:rsidR="00601948" w:rsidRPr="00601948">
        <w:t xml:space="preserve"> </w:t>
      </w:r>
      <w:r w:rsidR="00601948" w:rsidRPr="00601948">
        <w:rPr>
          <w:i/>
        </w:rPr>
        <w:t xml:space="preserve">PASC noted that this claim would </w:t>
      </w:r>
      <w:r w:rsidR="00601948">
        <w:rPr>
          <w:i/>
        </w:rPr>
        <w:t xml:space="preserve">only </w:t>
      </w:r>
      <w:r w:rsidR="00601948" w:rsidRPr="00601948">
        <w:rPr>
          <w:i/>
        </w:rPr>
        <w:t>be supported by data from single arm trials only enrolling dMMR patients.</w:t>
      </w:r>
    </w:p>
    <w:p w14:paraId="37DF5D08" w14:textId="5C340909" w:rsidR="00E3037F" w:rsidRPr="007A0CF6" w:rsidRDefault="00E3037F" w:rsidP="00E3037F">
      <w:pPr>
        <w:jc w:val="both"/>
        <w:rPr>
          <w:i/>
        </w:rPr>
      </w:pPr>
      <w:r w:rsidRPr="007A0CF6">
        <w:rPr>
          <w:i/>
        </w:rPr>
        <w:t xml:space="preserve">On the basis of this claim, the appropriate type of economic evaluation would be a cost-utility analysis. However, comparative evidence of IHC </w:t>
      </w:r>
      <w:proofErr w:type="spellStart"/>
      <w:r w:rsidR="002C26A3">
        <w:rPr>
          <w:i/>
        </w:rPr>
        <w:t>d</w:t>
      </w:r>
      <w:r w:rsidRPr="007A0CF6">
        <w:rPr>
          <w:i/>
        </w:rPr>
        <w:t>MMR</w:t>
      </w:r>
      <w:proofErr w:type="spellEnd"/>
      <w:r w:rsidRPr="007A0CF6">
        <w:rPr>
          <w:i/>
        </w:rPr>
        <w:t xml:space="preserve"> testing or pembrolizumab treatment in both </w:t>
      </w:r>
      <w:r w:rsidR="00DB77E5">
        <w:rPr>
          <w:i/>
        </w:rPr>
        <w:t>d</w:t>
      </w:r>
      <w:r w:rsidRPr="007A0CF6">
        <w:rPr>
          <w:i/>
        </w:rPr>
        <w:t xml:space="preserve">MMR and </w:t>
      </w:r>
      <w:r w:rsidR="00DB77E5">
        <w:rPr>
          <w:i/>
        </w:rPr>
        <w:t>MMR-</w:t>
      </w:r>
      <w:r w:rsidRPr="007A0CF6">
        <w:rPr>
          <w:i/>
        </w:rPr>
        <w:t>proficient populations is not included in the preliminary supporting evidence identified in Part 4 of the Application Form. Additional evidence will need to be presented in order to substantiate these claims.</w:t>
      </w:r>
    </w:p>
    <w:p w14:paraId="0F00D7C6" w14:textId="77777777" w:rsidR="00E3037F" w:rsidRPr="007A0CF6" w:rsidRDefault="00E3037F" w:rsidP="00E3037F">
      <w:pPr>
        <w:jc w:val="both"/>
        <w:rPr>
          <w:i/>
        </w:rPr>
      </w:pPr>
      <w:r w:rsidRPr="007A0CF6">
        <w:rPr>
          <w:i/>
        </w:rPr>
        <w:t>A cost-utility analysis would need underpinning evidence relating to:</w:t>
      </w:r>
    </w:p>
    <w:p w14:paraId="2E626E91" w14:textId="081ADDF8" w:rsidR="00E3037F" w:rsidRPr="007A0CF6" w:rsidRDefault="00E3037F" w:rsidP="00E3037F">
      <w:pPr>
        <w:pStyle w:val="ListParagraph"/>
        <w:numPr>
          <w:ilvl w:val="0"/>
          <w:numId w:val="12"/>
        </w:numPr>
        <w:ind w:left="426"/>
        <w:jc w:val="both"/>
        <w:rPr>
          <w:i/>
        </w:rPr>
      </w:pPr>
      <w:r w:rsidRPr="007A0CF6">
        <w:rPr>
          <w:i/>
        </w:rPr>
        <w:t xml:space="preserve">Pembrolizumab efficacy in </w:t>
      </w:r>
      <w:r w:rsidR="00DB77E5">
        <w:rPr>
          <w:i/>
        </w:rPr>
        <w:t>d</w:t>
      </w:r>
      <w:r w:rsidRPr="007A0CF6">
        <w:rPr>
          <w:i/>
        </w:rPr>
        <w:t xml:space="preserve">MMR </w:t>
      </w:r>
      <w:r w:rsidR="00DB77E5">
        <w:rPr>
          <w:i/>
        </w:rPr>
        <w:t>versus MMR-</w:t>
      </w:r>
      <w:r w:rsidRPr="007A0CF6">
        <w:rPr>
          <w:i/>
        </w:rPr>
        <w:t>proficient patients and preferably versus current standard of care.</w:t>
      </w:r>
    </w:p>
    <w:p w14:paraId="11388DE4" w14:textId="7C57B6A9" w:rsidR="00E3037F" w:rsidRDefault="00E3037F" w:rsidP="00E3037F">
      <w:pPr>
        <w:pStyle w:val="ListParagraph"/>
        <w:numPr>
          <w:ilvl w:val="0"/>
          <w:numId w:val="12"/>
        </w:numPr>
        <w:ind w:left="426"/>
        <w:jc w:val="both"/>
        <w:rPr>
          <w:i/>
        </w:rPr>
      </w:pPr>
      <w:r w:rsidRPr="007A0CF6">
        <w:rPr>
          <w:i/>
        </w:rPr>
        <w:t xml:space="preserve">Clinical utility of IHC </w:t>
      </w:r>
      <w:r w:rsidR="002C26A3">
        <w:rPr>
          <w:i/>
        </w:rPr>
        <w:t>d</w:t>
      </w:r>
      <w:r w:rsidRPr="007A0CF6">
        <w:rPr>
          <w:i/>
        </w:rPr>
        <w:t xml:space="preserve">MMR testing to identify likely pembrolizumab responders separate to the prognostic value of being </w:t>
      </w:r>
      <w:r w:rsidR="00DB77E5">
        <w:rPr>
          <w:i/>
        </w:rPr>
        <w:t>d</w:t>
      </w:r>
      <w:r w:rsidRPr="007A0CF6">
        <w:rPr>
          <w:i/>
        </w:rPr>
        <w:t xml:space="preserve">MMR </w:t>
      </w:r>
      <w:r w:rsidR="00DB77E5">
        <w:rPr>
          <w:i/>
        </w:rPr>
        <w:t>or MMR-</w:t>
      </w:r>
      <w:r w:rsidRPr="007A0CF6">
        <w:rPr>
          <w:i/>
        </w:rPr>
        <w:t>proficient.</w:t>
      </w:r>
    </w:p>
    <w:p w14:paraId="5D84CD89" w14:textId="09152CD4" w:rsidR="009A09A5" w:rsidRPr="009A09A5" w:rsidRDefault="009A09A5" w:rsidP="009A09A5">
      <w:pPr>
        <w:ind w:left="66"/>
        <w:jc w:val="both"/>
        <w:rPr>
          <w:i/>
        </w:rPr>
      </w:pPr>
      <w:r w:rsidRPr="009A09A5">
        <w:rPr>
          <w:i/>
        </w:rPr>
        <w:lastRenderedPageBreak/>
        <w:t>PASC noted th</w:t>
      </w:r>
      <w:r>
        <w:rPr>
          <w:i/>
        </w:rPr>
        <w:t xml:space="preserve">at </w:t>
      </w:r>
      <w:r w:rsidRPr="009A09A5">
        <w:rPr>
          <w:i/>
        </w:rPr>
        <w:t>issues arising when a dMMR tumour is detected – the proposed test could generate additional costs associated with the exclusion/diagnosis of Lynch syndrome (MLH1 methylation study/ MMR gene sequencing) and genetic counselling</w:t>
      </w:r>
      <w:r>
        <w:rPr>
          <w:i/>
        </w:rPr>
        <w:t xml:space="preserve"> –</w:t>
      </w:r>
      <w:r w:rsidRPr="009A09A5">
        <w:rPr>
          <w:i/>
        </w:rPr>
        <w:t xml:space="preserve"> need to be considered in the submission. Most patients will have sporadic MSI-H/dMMR tumours, but BRAF IHC triage for sporadic cases outside the CRC setting is ineffective.</w:t>
      </w:r>
    </w:p>
    <w:p w14:paraId="41A815CE" w14:textId="77777777" w:rsidR="00752491" w:rsidRPr="007A0CF6" w:rsidRDefault="00752491" w:rsidP="00D03612">
      <w:pPr>
        <w:pStyle w:val="Heading2"/>
      </w:pPr>
      <w:r w:rsidRPr="007A0CF6">
        <w:t>Proposed item descriptor</w:t>
      </w:r>
    </w:p>
    <w:p w14:paraId="47B5294D" w14:textId="2F19DF84" w:rsidR="00D03612" w:rsidRPr="007A0CF6" w:rsidRDefault="003F2146" w:rsidP="00D03612">
      <w:pPr>
        <w:jc w:val="both"/>
      </w:pPr>
      <w:r w:rsidRPr="007A0CF6">
        <w:t xml:space="preserve">IHC </w:t>
      </w:r>
      <w:r w:rsidR="002C26A3">
        <w:t>d</w:t>
      </w:r>
      <w:r w:rsidR="009C378A" w:rsidRPr="007A0CF6">
        <w:t xml:space="preserve">MMR </w:t>
      </w:r>
      <w:r w:rsidRPr="007A0CF6">
        <w:t>testing is already routinely performed in most pathology centres un</w:t>
      </w:r>
      <w:r w:rsidR="00B74426">
        <w:t>der item 72847 (4-6 antibodies)</w:t>
      </w:r>
      <w:r w:rsidRPr="007A0CF6">
        <w:t>.</w:t>
      </w:r>
      <w:r w:rsidR="003B442B">
        <w:t xml:space="preserve"> </w:t>
      </w:r>
      <w:r w:rsidR="00D03612" w:rsidRPr="007A0CF6">
        <w:t xml:space="preserve">Based on pathologist feedback, a typical IHC </w:t>
      </w:r>
      <w:r w:rsidR="002C26A3">
        <w:t>d</w:t>
      </w:r>
      <w:r w:rsidR="00D03612" w:rsidRPr="007A0CF6">
        <w:t>MMR test typically takes 10 minutes to perform and results are available within 24 hours.</w:t>
      </w:r>
    </w:p>
    <w:p w14:paraId="0BFE5C12" w14:textId="77777777" w:rsidR="009B45E1" w:rsidRDefault="009B45E1" w:rsidP="009C378A">
      <w:pPr>
        <w:jc w:val="both"/>
      </w:pPr>
      <w:r w:rsidRPr="007A0CF6">
        <w:t>For patients who already incur an MBS item for IHC testing, expanding the testing to include the 4 MMR proteins may result in a change in the distribution of utilisation of item numbers, with a shift towards item numbers 72849 (7-10 antibodies).</w:t>
      </w:r>
    </w:p>
    <w:p w14:paraId="7EAF6369" w14:textId="67539984" w:rsidR="00B74426" w:rsidRDefault="00B74426" w:rsidP="009C378A">
      <w:pPr>
        <w:jc w:val="both"/>
        <w:rPr>
          <w:i/>
        </w:rPr>
      </w:pPr>
      <w:r w:rsidRPr="004757FD">
        <w:rPr>
          <w:i/>
        </w:rPr>
        <w:t>MSAC will wish to consider creating a new item number for IHC dMMR testing of solid tumours</w:t>
      </w:r>
      <w:r w:rsidR="004757FD" w:rsidRPr="004757FD">
        <w:rPr>
          <w:i/>
        </w:rPr>
        <w:t xml:space="preserve"> in order to best ascertain item utilisation data.</w:t>
      </w:r>
      <w:r w:rsidR="004757FD">
        <w:rPr>
          <w:i/>
        </w:rPr>
        <w:t xml:space="preserve"> Should CRC be included or excluded from the item descriptor?</w:t>
      </w:r>
    </w:p>
    <w:p w14:paraId="44FD6D83" w14:textId="2EA324D7" w:rsidR="006043B8" w:rsidRPr="004757FD" w:rsidRDefault="006043B8" w:rsidP="009C378A">
      <w:pPr>
        <w:jc w:val="both"/>
        <w:rPr>
          <w:i/>
        </w:rPr>
      </w:pPr>
      <w:r>
        <w:rPr>
          <w:i/>
        </w:rPr>
        <w:t xml:space="preserve">Retrieval of block is not funded for pathology services, </w:t>
      </w:r>
      <w:r w:rsidR="00601948" w:rsidRPr="00601948">
        <w:rPr>
          <w:i/>
        </w:rPr>
        <w:t xml:space="preserve">PASC queried whether the item should be in </w:t>
      </w:r>
      <w:r>
        <w:rPr>
          <w:i/>
        </w:rPr>
        <w:t>the Genetics sections</w:t>
      </w:r>
      <w:r w:rsidR="00601948">
        <w:rPr>
          <w:i/>
        </w:rPr>
        <w:t xml:space="preserve"> to allow use of retrieval item by pathologists.</w:t>
      </w:r>
    </w:p>
    <w:tbl>
      <w:tblPr>
        <w:tblStyle w:val="TableGrid"/>
        <w:tblW w:w="0" w:type="auto"/>
        <w:tblLook w:val="04A0" w:firstRow="1" w:lastRow="0" w:firstColumn="1" w:lastColumn="0" w:noHBand="0" w:noVBand="1"/>
        <w:tblCaption w:val="MBS item number 72847"/>
        <w:tblDescription w:val="MBS item number 72847&#10;Immunohistochemical examination of biopsy material by immunofluorescence, immunoperoxidase or other labelled antibody techniques with multiple antigenic specificities per specimen - 4-6 antibodies&#10;(Item is subject to rule 13)&#10;Fee: $89.40 Benefit: 75% = $67.05 85% = $76.00&#10;"/>
      </w:tblPr>
      <w:tblGrid>
        <w:gridCol w:w="9016"/>
      </w:tblGrid>
      <w:tr w:rsidR="008C3E5E" w:rsidRPr="007A0CF6" w14:paraId="141D9617" w14:textId="77777777" w:rsidTr="009536AC">
        <w:trPr>
          <w:tblHeader/>
        </w:trPr>
        <w:tc>
          <w:tcPr>
            <w:tcW w:w="9016" w:type="dxa"/>
          </w:tcPr>
          <w:p w14:paraId="381EE400" w14:textId="77777777" w:rsidR="008C3E5E" w:rsidRPr="007A0CF6" w:rsidRDefault="003F2146" w:rsidP="009536AC">
            <w:pPr>
              <w:spacing w:before="40" w:after="40"/>
              <w:jc w:val="right"/>
              <w:rPr>
                <w:rFonts w:ascii="Arial Narrow" w:hAnsi="Arial Narrow"/>
                <w:sz w:val="20"/>
              </w:rPr>
            </w:pPr>
            <w:r w:rsidRPr="007A0CF6">
              <w:rPr>
                <w:rFonts w:ascii="Arial Narrow" w:hAnsi="Arial Narrow"/>
                <w:sz w:val="20"/>
              </w:rPr>
              <w:t>Category 6 – Pathology Services</w:t>
            </w:r>
          </w:p>
        </w:tc>
      </w:tr>
      <w:tr w:rsidR="003F2146" w:rsidRPr="007A0CF6" w14:paraId="71278BD2" w14:textId="77777777" w:rsidTr="003F2146">
        <w:tc>
          <w:tcPr>
            <w:tcW w:w="9016" w:type="dxa"/>
          </w:tcPr>
          <w:p w14:paraId="4E13ABC6" w14:textId="77777777" w:rsidR="0003582F" w:rsidRPr="007A0CF6" w:rsidRDefault="0003582F" w:rsidP="009536AC">
            <w:pPr>
              <w:tabs>
                <w:tab w:val="left" w:pos="5416"/>
                <w:tab w:val="left" w:pos="6691"/>
              </w:tabs>
              <w:spacing w:before="40" w:after="40"/>
              <w:rPr>
                <w:rFonts w:ascii="Arial Narrow" w:hAnsi="Arial Narrow"/>
                <w:sz w:val="20"/>
              </w:rPr>
            </w:pPr>
            <w:r w:rsidRPr="007A0CF6">
              <w:rPr>
                <w:rFonts w:ascii="Arial Narrow" w:hAnsi="Arial Narrow"/>
                <w:sz w:val="20"/>
              </w:rPr>
              <w:tab/>
              <w:t>Group:</w:t>
            </w:r>
            <w:r w:rsidRPr="007A0CF6">
              <w:rPr>
                <w:rFonts w:ascii="Arial Narrow" w:hAnsi="Arial Narrow"/>
                <w:sz w:val="20"/>
              </w:rPr>
              <w:tab/>
              <w:t>P5 - TISSUE PATHOLOGY</w:t>
            </w:r>
          </w:p>
          <w:p w14:paraId="63B1A657" w14:textId="77777777" w:rsidR="003F2146" w:rsidRPr="007A0CF6" w:rsidRDefault="003F2146" w:rsidP="009536AC">
            <w:pPr>
              <w:spacing w:before="40" w:after="40"/>
              <w:rPr>
                <w:rFonts w:ascii="Arial Narrow" w:hAnsi="Arial Narrow"/>
                <w:sz w:val="20"/>
              </w:rPr>
            </w:pPr>
            <w:r w:rsidRPr="007A0CF6">
              <w:rPr>
                <w:rFonts w:ascii="Arial Narrow" w:hAnsi="Arial Narrow"/>
                <w:sz w:val="20"/>
              </w:rPr>
              <w:t>MBS item number 72847</w:t>
            </w:r>
          </w:p>
          <w:p w14:paraId="31474886" w14:textId="77777777" w:rsidR="003F2146" w:rsidRPr="007A0CF6" w:rsidRDefault="003F2146" w:rsidP="009536AC">
            <w:pPr>
              <w:spacing w:before="40" w:after="40"/>
              <w:rPr>
                <w:rFonts w:ascii="Arial Narrow" w:hAnsi="Arial Narrow"/>
                <w:sz w:val="20"/>
              </w:rPr>
            </w:pPr>
          </w:p>
          <w:p w14:paraId="16B60C42" w14:textId="77777777" w:rsidR="003F2146" w:rsidRPr="007A0CF6" w:rsidRDefault="003F2146" w:rsidP="009536AC">
            <w:pPr>
              <w:spacing w:before="40" w:after="40"/>
              <w:rPr>
                <w:rFonts w:ascii="Arial Narrow" w:hAnsi="Arial Narrow"/>
                <w:sz w:val="20"/>
              </w:rPr>
            </w:pPr>
            <w:proofErr w:type="spellStart"/>
            <w:r w:rsidRPr="007A0CF6">
              <w:rPr>
                <w:rFonts w:ascii="Arial Narrow" w:hAnsi="Arial Narrow"/>
                <w:sz w:val="20"/>
              </w:rPr>
              <w:t>Immunohistochemical</w:t>
            </w:r>
            <w:proofErr w:type="spellEnd"/>
            <w:r w:rsidRPr="007A0CF6">
              <w:rPr>
                <w:rFonts w:ascii="Arial Narrow" w:hAnsi="Arial Narrow"/>
                <w:sz w:val="20"/>
              </w:rPr>
              <w:t xml:space="preserve"> examination of biopsy material by immunofluorescence, </w:t>
            </w:r>
            <w:proofErr w:type="spellStart"/>
            <w:r w:rsidRPr="007A0CF6">
              <w:rPr>
                <w:rFonts w:ascii="Arial Narrow" w:hAnsi="Arial Narrow"/>
                <w:sz w:val="20"/>
              </w:rPr>
              <w:t>immunoperoxidase</w:t>
            </w:r>
            <w:proofErr w:type="spellEnd"/>
            <w:r w:rsidRPr="007A0CF6">
              <w:rPr>
                <w:rFonts w:ascii="Arial Narrow" w:hAnsi="Arial Narrow"/>
                <w:sz w:val="20"/>
              </w:rPr>
              <w:t xml:space="preserve"> or other labelled antibody techniques with multiple antigenic specificities per specimen - 4-6 antibodies</w:t>
            </w:r>
          </w:p>
          <w:p w14:paraId="6100EFB4" w14:textId="77777777" w:rsidR="003F2146" w:rsidRPr="007A0CF6" w:rsidRDefault="003F2146" w:rsidP="009536AC">
            <w:pPr>
              <w:spacing w:before="40" w:after="40"/>
              <w:rPr>
                <w:rFonts w:ascii="Arial Narrow" w:hAnsi="Arial Narrow"/>
                <w:sz w:val="20"/>
              </w:rPr>
            </w:pPr>
          </w:p>
          <w:p w14:paraId="7BF8C147" w14:textId="77777777" w:rsidR="003F2146" w:rsidRPr="007A0CF6" w:rsidRDefault="003F2146" w:rsidP="009536AC">
            <w:pPr>
              <w:spacing w:before="40" w:after="40"/>
              <w:rPr>
                <w:rFonts w:ascii="Arial Narrow" w:hAnsi="Arial Narrow"/>
                <w:sz w:val="20"/>
              </w:rPr>
            </w:pPr>
            <w:r w:rsidRPr="007A0CF6">
              <w:rPr>
                <w:rFonts w:ascii="Arial Narrow" w:hAnsi="Arial Narrow"/>
                <w:sz w:val="20"/>
              </w:rPr>
              <w:t>(Item is subject to rule 13)</w:t>
            </w:r>
          </w:p>
          <w:p w14:paraId="111BA86C" w14:textId="77777777" w:rsidR="003F2146" w:rsidRPr="007A0CF6" w:rsidRDefault="003F2146" w:rsidP="009536AC">
            <w:pPr>
              <w:spacing w:before="40" w:after="40"/>
              <w:rPr>
                <w:rFonts w:ascii="Arial Narrow" w:hAnsi="Arial Narrow"/>
                <w:sz w:val="20"/>
              </w:rPr>
            </w:pPr>
          </w:p>
          <w:p w14:paraId="6D18F2CD" w14:textId="71755E65" w:rsidR="008C3E5E" w:rsidRPr="007A0CF6" w:rsidRDefault="00922842" w:rsidP="009536AC">
            <w:pPr>
              <w:spacing w:before="40" w:after="40"/>
              <w:rPr>
                <w:rFonts w:ascii="Arial Narrow" w:hAnsi="Arial Narrow"/>
                <w:sz w:val="20"/>
              </w:rPr>
            </w:pPr>
            <w:r>
              <w:rPr>
                <w:rFonts w:ascii="Arial Narrow" w:hAnsi="Arial Narrow"/>
                <w:sz w:val="20"/>
              </w:rPr>
              <w:t xml:space="preserve">MBS </w:t>
            </w:r>
            <w:r w:rsidR="003F2146" w:rsidRPr="007A0CF6">
              <w:rPr>
                <w:rFonts w:ascii="Arial Narrow" w:hAnsi="Arial Narrow"/>
                <w:sz w:val="20"/>
              </w:rPr>
              <w:t xml:space="preserve">Fee: $89.40 </w:t>
            </w:r>
            <w:r>
              <w:rPr>
                <w:rFonts w:ascii="Arial Narrow" w:hAnsi="Arial Narrow"/>
                <w:sz w:val="20"/>
              </w:rPr>
              <w:t xml:space="preserve">  </w:t>
            </w:r>
            <w:r w:rsidR="003F2146" w:rsidRPr="007A0CF6">
              <w:rPr>
                <w:rFonts w:ascii="Arial Narrow" w:hAnsi="Arial Narrow"/>
                <w:sz w:val="20"/>
              </w:rPr>
              <w:t xml:space="preserve">Benefit: 75% = $67.05 </w:t>
            </w:r>
            <w:r>
              <w:rPr>
                <w:rFonts w:ascii="Arial Narrow" w:hAnsi="Arial Narrow"/>
                <w:sz w:val="20"/>
              </w:rPr>
              <w:t xml:space="preserve">  </w:t>
            </w:r>
            <w:r w:rsidR="003F2146" w:rsidRPr="007A0CF6">
              <w:rPr>
                <w:rFonts w:ascii="Arial Narrow" w:hAnsi="Arial Narrow"/>
                <w:sz w:val="20"/>
              </w:rPr>
              <w:t>85% = $76.00</w:t>
            </w:r>
          </w:p>
        </w:tc>
      </w:tr>
      <w:tr w:rsidR="00626E6E" w:rsidRPr="007A0CF6" w14:paraId="22FEFBA8" w14:textId="77777777" w:rsidTr="003F2146">
        <w:tc>
          <w:tcPr>
            <w:tcW w:w="9016" w:type="dxa"/>
          </w:tcPr>
          <w:p w14:paraId="6A9E261D" w14:textId="77777777" w:rsidR="00626E6E" w:rsidRPr="00626E6E" w:rsidRDefault="00626E6E" w:rsidP="00626E6E">
            <w:pPr>
              <w:tabs>
                <w:tab w:val="left" w:pos="5416"/>
                <w:tab w:val="left" w:pos="6691"/>
              </w:tabs>
              <w:spacing w:before="40" w:after="40"/>
              <w:rPr>
                <w:rFonts w:ascii="Arial Narrow" w:hAnsi="Arial Narrow"/>
                <w:sz w:val="20"/>
              </w:rPr>
            </w:pPr>
            <w:r w:rsidRPr="00626E6E">
              <w:rPr>
                <w:rFonts w:ascii="Arial Narrow" w:hAnsi="Arial Narrow"/>
                <w:sz w:val="20"/>
              </w:rPr>
              <w:tab/>
              <w:t>Group:</w:t>
            </w:r>
            <w:r w:rsidRPr="00626E6E">
              <w:rPr>
                <w:rFonts w:ascii="Arial Narrow" w:hAnsi="Arial Narrow"/>
                <w:sz w:val="20"/>
              </w:rPr>
              <w:tab/>
              <w:t>P5 - TISSUE PATHOLOGY</w:t>
            </w:r>
          </w:p>
          <w:p w14:paraId="502923BD" w14:textId="1A79EF2D" w:rsidR="00626E6E" w:rsidRPr="00626E6E" w:rsidRDefault="00626E6E" w:rsidP="00626E6E">
            <w:pPr>
              <w:tabs>
                <w:tab w:val="left" w:pos="5416"/>
                <w:tab w:val="left" w:pos="6691"/>
              </w:tabs>
              <w:spacing w:before="40" w:after="40"/>
              <w:rPr>
                <w:rFonts w:ascii="Arial Narrow" w:hAnsi="Arial Narrow"/>
                <w:sz w:val="20"/>
              </w:rPr>
            </w:pPr>
            <w:r>
              <w:rPr>
                <w:rFonts w:ascii="Arial Narrow" w:hAnsi="Arial Narrow"/>
                <w:sz w:val="20"/>
              </w:rPr>
              <w:t>Proposed MBS item number</w:t>
            </w:r>
          </w:p>
          <w:p w14:paraId="554CF781" w14:textId="77777777" w:rsidR="00626E6E" w:rsidRPr="00626E6E" w:rsidRDefault="00626E6E" w:rsidP="00626E6E">
            <w:pPr>
              <w:tabs>
                <w:tab w:val="left" w:pos="5416"/>
                <w:tab w:val="left" w:pos="6691"/>
              </w:tabs>
              <w:spacing w:before="40" w:after="40"/>
              <w:rPr>
                <w:rFonts w:ascii="Arial Narrow" w:hAnsi="Arial Narrow"/>
                <w:sz w:val="20"/>
              </w:rPr>
            </w:pPr>
          </w:p>
          <w:p w14:paraId="04BFF4A5" w14:textId="1665DB40" w:rsidR="00626E6E" w:rsidRPr="00626E6E" w:rsidRDefault="00626E6E" w:rsidP="00626E6E">
            <w:pPr>
              <w:tabs>
                <w:tab w:val="left" w:pos="5416"/>
                <w:tab w:val="left" w:pos="6691"/>
              </w:tabs>
              <w:spacing w:before="40" w:after="40"/>
              <w:rPr>
                <w:rFonts w:ascii="Arial Narrow" w:hAnsi="Arial Narrow"/>
                <w:sz w:val="20"/>
              </w:rPr>
            </w:pPr>
            <w:proofErr w:type="spellStart"/>
            <w:r w:rsidRPr="00626E6E">
              <w:rPr>
                <w:rFonts w:ascii="Arial Narrow" w:hAnsi="Arial Narrow"/>
                <w:sz w:val="20"/>
              </w:rPr>
              <w:t>Immunohistochemical</w:t>
            </w:r>
            <w:proofErr w:type="spellEnd"/>
            <w:r w:rsidRPr="00626E6E">
              <w:rPr>
                <w:rFonts w:ascii="Arial Narrow" w:hAnsi="Arial Narrow"/>
                <w:sz w:val="20"/>
              </w:rPr>
              <w:t xml:space="preserve"> examination of biopsy material from a patient </w:t>
            </w:r>
            <w:r>
              <w:rPr>
                <w:rFonts w:ascii="Arial Narrow" w:hAnsi="Arial Narrow"/>
                <w:sz w:val="20"/>
              </w:rPr>
              <w:t>diagnosed with an unresectable or metastatic solid tumour who has progressed following first-line treatment,</w:t>
            </w:r>
            <w:r w:rsidRPr="00626E6E">
              <w:rPr>
                <w:rFonts w:ascii="Arial Narrow" w:hAnsi="Arial Narrow"/>
                <w:sz w:val="20"/>
              </w:rPr>
              <w:t xml:space="preserve"> by </w:t>
            </w:r>
            <w:proofErr w:type="spellStart"/>
            <w:r w:rsidRPr="00626E6E">
              <w:rPr>
                <w:rFonts w:ascii="Arial Narrow" w:hAnsi="Arial Narrow"/>
                <w:sz w:val="20"/>
              </w:rPr>
              <w:t>immunoperoxidase</w:t>
            </w:r>
            <w:proofErr w:type="spellEnd"/>
            <w:r w:rsidRPr="00626E6E">
              <w:rPr>
                <w:rFonts w:ascii="Arial Narrow" w:hAnsi="Arial Narrow"/>
                <w:sz w:val="20"/>
              </w:rPr>
              <w:t xml:space="preserve"> or other labelled antibody techniques </w:t>
            </w:r>
            <w:r>
              <w:rPr>
                <w:rFonts w:ascii="Arial Narrow" w:hAnsi="Arial Narrow"/>
                <w:sz w:val="20"/>
              </w:rPr>
              <w:t>using</w:t>
            </w:r>
            <w:r w:rsidRPr="00626E6E">
              <w:rPr>
                <w:rFonts w:ascii="Arial Narrow" w:hAnsi="Arial Narrow"/>
                <w:sz w:val="20"/>
              </w:rPr>
              <w:t xml:space="preserve"> </w:t>
            </w:r>
            <w:r>
              <w:rPr>
                <w:rFonts w:ascii="Arial Narrow" w:hAnsi="Arial Narrow"/>
                <w:sz w:val="20"/>
              </w:rPr>
              <w:t>four</w:t>
            </w:r>
            <w:r w:rsidRPr="00626E6E">
              <w:rPr>
                <w:rFonts w:ascii="Arial Narrow" w:hAnsi="Arial Narrow"/>
                <w:sz w:val="20"/>
              </w:rPr>
              <w:t xml:space="preserve"> </w:t>
            </w:r>
            <w:r>
              <w:rPr>
                <w:rFonts w:ascii="Arial Narrow" w:hAnsi="Arial Narrow"/>
                <w:sz w:val="20"/>
              </w:rPr>
              <w:t>antibodies to the four mismatch repair proteins</w:t>
            </w:r>
            <w:r w:rsidRPr="00626E6E">
              <w:rPr>
                <w:rFonts w:ascii="Arial Narrow" w:hAnsi="Arial Narrow"/>
                <w:sz w:val="20"/>
              </w:rPr>
              <w:t xml:space="preserve"> </w:t>
            </w:r>
            <w:r w:rsidR="004757FD">
              <w:rPr>
                <w:rFonts w:ascii="Arial Narrow" w:hAnsi="Arial Narrow"/>
                <w:sz w:val="20"/>
              </w:rPr>
              <w:t>(</w:t>
            </w:r>
            <w:r w:rsidR="004757FD" w:rsidRPr="004757FD">
              <w:rPr>
                <w:rFonts w:ascii="Arial Narrow" w:hAnsi="Arial Narrow"/>
                <w:sz w:val="20"/>
              </w:rPr>
              <w:t>MLH1, MSH2, MSH6 and PMS2</w:t>
            </w:r>
            <w:r w:rsidR="004757FD">
              <w:rPr>
                <w:rFonts w:ascii="Arial Narrow" w:hAnsi="Arial Narrow"/>
                <w:sz w:val="20"/>
              </w:rPr>
              <w:t xml:space="preserve">) </w:t>
            </w:r>
            <w:r w:rsidRPr="00626E6E">
              <w:rPr>
                <w:rFonts w:ascii="Arial Narrow" w:hAnsi="Arial Narrow"/>
                <w:sz w:val="20"/>
              </w:rPr>
              <w:t xml:space="preserve">to determine if the requirements relating to </w:t>
            </w:r>
            <w:r>
              <w:rPr>
                <w:rFonts w:ascii="Arial Narrow" w:hAnsi="Arial Narrow"/>
                <w:sz w:val="20"/>
              </w:rPr>
              <w:t xml:space="preserve">mismatch repair deficiency status for access to pembrolizumab under the </w:t>
            </w:r>
            <w:r w:rsidRPr="00626E6E">
              <w:rPr>
                <w:rFonts w:ascii="Arial Narrow" w:hAnsi="Arial Narrow"/>
                <w:sz w:val="20"/>
              </w:rPr>
              <w:t>Pharmaceutical Benefits Scheme (PBS) are fulfilled</w:t>
            </w:r>
            <w:r>
              <w:rPr>
                <w:rFonts w:ascii="Arial Narrow" w:hAnsi="Arial Narrow"/>
                <w:sz w:val="20"/>
              </w:rPr>
              <w:t>.</w:t>
            </w:r>
          </w:p>
          <w:p w14:paraId="53191D2E" w14:textId="77777777" w:rsidR="00626E6E" w:rsidRPr="00626E6E" w:rsidRDefault="00626E6E" w:rsidP="00626E6E">
            <w:pPr>
              <w:tabs>
                <w:tab w:val="left" w:pos="5416"/>
                <w:tab w:val="left" w:pos="6691"/>
              </w:tabs>
              <w:spacing w:before="40" w:after="40"/>
              <w:rPr>
                <w:rFonts w:ascii="Arial Narrow" w:hAnsi="Arial Narrow"/>
                <w:sz w:val="20"/>
              </w:rPr>
            </w:pPr>
          </w:p>
          <w:p w14:paraId="0581533E" w14:textId="77777777" w:rsidR="00626E6E" w:rsidRPr="00626E6E" w:rsidRDefault="00626E6E" w:rsidP="00626E6E">
            <w:pPr>
              <w:tabs>
                <w:tab w:val="left" w:pos="5416"/>
                <w:tab w:val="left" w:pos="6691"/>
              </w:tabs>
              <w:spacing w:before="40" w:after="40"/>
              <w:rPr>
                <w:rFonts w:ascii="Arial Narrow" w:hAnsi="Arial Narrow"/>
                <w:sz w:val="20"/>
              </w:rPr>
            </w:pPr>
            <w:r w:rsidRPr="00626E6E">
              <w:rPr>
                <w:rFonts w:ascii="Arial Narrow" w:hAnsi="Arial Narrow"/>
                <w:sz w:val="20"/>
              </w:rPr>
              <w:t>(Item is subject to rule 13)</w:t>
            </w:r>
          </w:p>
          <w:p w14:paraId="4D6329B8" w14:textId="77777777" w:rsidR="00626E6E" w:rsidRPr="00626E6E" w:rsidRDefault="00626E6E" w:rsidP="00626E6E">
            <w:pPr>
              <w:tabs>
                <w:tab w:val="left" w:pos="5416"/>
                <w:tab w:val="left" w:pos="6691"/>
              </w:tabs>
              <w:spacing w:before="40" w:after="40"/>
              <w:rPr>
                <w:rFonts w:ascii="Arial Narrow" w:hAnsi="Arial Narrow"/>
                <w:sz w:val="20"/>
              </w:rPr>
            </w:pPr>
          </w:p>
          <w:p w14:paraId="6F9ADC36" w14:textId="5DADD947" w:rsidR="00626E6E" w:rsidRPr="007A0CF6" w:rsidRDefault="00922842" w:rsidP="00626E6E">
            <w:pPr>
              <w:tabs>
                <w:tab w:val="left" w:pos="5416"/>
                <w:tab w:val="left" w:pos="6691"/>
              </w:tabs>
              <w:spacing w:before="40" w:after="40"/>
              <w:rPr>
                <w:rFonts w:ascii="Arial Narrow" w:hAnsi="Arial Narrow"/>
                <w:sz w:val="20"/>
              </w:rPr>
            </w:pPr>
            <w:r>
              <w:rPr>
                <w:rFonts w:ascii="Arial Narrow" w:hAnsi="Arial Narrow"/>
                <w:sz w:val="20"/>
              </w:rPr>
              <w:t xml:space="preserve">MBS </w:t>
            </w:r>
            <w:r w:rsidR="00626E6E" w:rsidRPr="00626E6E">
              <w:rPr>
                <w:rFonts w:ascii="Arial Narrow" w:hAnsi="Arial Narrow"/>
                <w:sz w:val="20"/>
              </w:rPr>
              <w:t xml:space="preserve">Fee: $89.40 </w:t>
            </w:r>
            <w:r>
              <w:rPr>
                <w:rFonts w:ascii="Arial Narrow" w:hAnsi="Arial Narrow"/>
                <w:sz w:val="20"/>
              </w:rPr>
              <w:t xml:space="preserve">  </w:t>
            </w:r>
            <w:r w:rsidR="00626E6E" w:rsidRPr="00626E6E">
              <w:rPr>
                <w:rFonts w:ascii="Arial Narrow" w:hAnsi="Arial Narrow"/>
                <w:sz w:val="20"/>
              </w:rPr>
              <w:t xml:space="preserve">Benefit: 75% = $67.05 </w:t>
            </w:r>
            <w:r>
              <w:rPr>
                <w:rFonts w:ascii="Arial Narrow" w:hAnsi="Arial Narrow"/>
                <w:sz w:val="20"/>
              </w:rPr>
              <w:t xml:space="preserve">  </w:t>
            </w:r>
            <w:r w:rsidR="00626E6E" w:rsidRPr="00626E6E">
              <w:rPr>
                <w:rFonts w:ascii="Arial Narrow" w:hAnsi="Arial Narrow"/>
                <w:sz w:val="20"/>
              </w:rPr>
              <w:t>85% = $76.00</w:t>
            </w:r>
          </w:p>
        </w:tc>
      </w:tr>
    </w:tbl>
    <w:p w14:paraId="152BE01E" w14:textId="77777777" w:rsidR="008C3E5E" w:rsidRPr="00D03612" w:rsidRDefault="008C3E5E" w:rsidP="003403CF">
      <w:pPr>
        <w:spacing w:after="0"/>
        <w:rPr>
          <w:rFonts w:ascii="Arial Narrow" w:hAnsi="Arial Narrow"/>
          <w:sz w:val="20"/>
        </w:rPr>
      </w:pPr>
    </w:p>
    <w:p w14:paraId="4F4196DF" w14:textId="77777777" w:rsidR="007E6A4F" w:rsidRPr="007A0CF6" w:rsidRDefault="007E6A4F" w:rsidP="003403CF">
      <w:pPr>
        <w:pStyle w:val="Heading2"/>
        <w:spacing w:before="0"/>
      </w:pPr>
      <w:r w:rsidRPr="007A0CF6">
        <w:t>References</w:t>
      </w:r>
    </w:p>
    <w:p w14:paraId="272353D5" w14:textId="77777777" w:rsidR="00CF01B4" w:rsidRPr="00CF01B4" w:rsidRDefault="00D03612" w:rsidP="00CF01B4">
      <w:pPr>
        <w:pStyle w:val="EndNoteBibliography"/>
      </w:pPr>
      <w:r>
        <w:rPr>
          <w:sz w:val="28"/>
        </w:rPr>
        <w:fldChar w:fldCharType="begin"/>
      </w:r>
      <w:r>
        <w:rPr>
          <w:sz w:val="28"/>
        </w:rPr>
        <w:instrText xml:space="preserve"> ADDIN EN.REFLIST </w:instrText>
      </w:r>
      <w:r>
        <w:rPr>
          <w:sz w:val="28"/>
        </w:rPr>
        <w:fldChar w:fldCharType="separate"/>
      </w:r>
      <w:r w:rsidR="00CF01B4" w:rsidRPr="00CF01B4">
        <w:t xml:space="preserve">Aarnio, M, Mecklin, J-P, Aaltonen, LA, Nyström-Lahti, M &amp; Järvinen, HJ 1995, 'Life-time risk of different cancers in hereditary non-polyposis colorectal cancer (hnpcc) syndrome', </w:t>
      </w:r>
      <w:r w:rsidR="00CF01B4" w:rsidRPr="00CF01B4">
        <w:rPr>
          <w:i/>
        </w:rPr>
        <w:t>International Journal of Cancer</w:t>
      </w:r>
      <w:r w:rsidR="00CF01B4" w:rsidRPr="00CF01B4">
        <w:t>, vol. 64, no. 6, pp. 430-433.</w:t>
      </w:r>
    </w:p>
    <w:p w14:paraId="769E03F0" w14:textId="77777777" w:rsidR="00CF01B4" w:rsidRPr="00CF01B4" w:rsidRDefault="00CF01B4" w:rsidP="00CF01B4">
      <w:pPr>
        <w:pStyle w:val="EndNoteBibliography"/>
      </w:pPr>
      <w:r w:rsidRPr="00CF01B4">
        <w:lastRenderedPageBreak/>
        <w:t xml:space="preserve">Barrow, E, Robinson, L, Alduaij, W, Shenton, A, Clancy, T, Lalloo, F, Hill, J &amp; Evans, DG 2009, 'Cumulative lifetime incidence of extracolonic cancers in Lynch syndrome: a report of 121 families with proven mutations', </w:t>
      </w:r>
      <w:r w:rsidRPr="00CF01B4">
        <w:rPr>
          <w:i/>
        </w:rPr>
        <w:t>Clinical Genetics</w:t>
      </w:r>
      <w:r w:rsidRPr="00CF01B4">
        <w:t>, vol. 75, no. 2, pp. 141-149.</w:t>
      </w:r>
    </w:p>
    <w:p w14:paraId="12F2DD0D" w14:textId="77777777" w:rsidR="00CF01B4" w:rsidRPr="00CF01B4" w:rsidRDefault="00CF01B4" w:rsidP="00CF01B4">
      <w:pPr>
        <w:pStyle w:val="EndNoteBibliography"/>
      </w:pPr>
      <w:r w:rsidRPr="00CF01B4">
        <w:t xml:space="preserve">Bonadona, V, Bonaïti, B, Olschwang, S &amp; et al. 2011, 'Cancer risks associated with germline mutations in mlh1, msh2, and msh6 genes in lynch syndrome', </w:t>
      </w:r>
      <w:r w:rsidRPr="00CF01B4">
        <w:rPr>
          <w:i/>
        </w:rPr>
        <w:t>JAMA</w:t>
      </w:r>
      <w:r w:rsidRPr="00CF01B4">
        <w:t>, vol. 305, no. 22, pp. 2304-2310.</w:t>
      </w:r>
    </w:p>
    <w:p w14:paraId="03FE8DD6" w14:textId="77777777" w:rsidR="00CF01B4" w:rsidRPr="00CF01B4" w:rsidRDefault="00CF01B4" w:rsidP="00CF01B4">
      <w:pPr>
        <w:pStyle w:val="EndNoteBibliography"/>
      </w:pPr>
      <w:r w:rsidRPr="00CF01B4">
        <w:t xml:space="preserve">Briggs, S &amp; Tomlinson, I 2013, 'Germline and somatic polymerase epsilon and delta mutations define a new class of hypermutated colorectal and endometrial cancers', </w:t>
      </w:r>
      <w:r w:rsidRPr="00CF01B4">
        <w:rPr>
          <w:i/>
        </w:rPr>
        <w:t>J Pathol</w:t>
      </w:r>
      <w:r w:rsidRPr="00CF01B4">
        <w:t>, vol. 230, no. 2, Jun, pp. 148-153.</w:t>
      </w:r>
    </w:p>
    <w:p w14:paraId="4B0CFC39" w14:textId="77777777" w:rsidR="00CF01B4" w:rsidRPr="00CF01B4" w:rsidRDefault="00CF01B4" w:rsidP="00CF01B4">
      <w:pPr>
        <w:pStyle w:val="EndNoteBibliography"/>
      </w:pPr>
      <w:r w:rsidRPr="00CF01B4">
        <w:t xml:space="preserve">Buecher, B, Cacheux, W, Rouleau, E, Dieumegard, B, Mitry, E &amp; Lievre, A 2013, 'Role of microsatellite instability in the management of colorectal cancers', </w:t>
      </w:r>
      <w:r w:rsidRPr="00CF01B4">
        <w:rPr>
          <w:i/>
        </w:rPr>
        <w:t>Dig Liver Dis</w:t>
      </w:r>
      <w:r w:rsidRPr="00CF01B4">
        <w:t>, vol. 45, no. 6, Jun, pp. 441-449.</w:t>
      </w:r>
    </w:p>
    <w:p w14:paraId="28A5E855" w14:textId="77777777" w:rsidR="00CF01B4" w:rsidRPr="00CF01B4" w:rsidRDefault="00CF01B4" w:rsidP="00CF01B4">
      <w:pPr>
        <w:pStyle w:val="EndNoteBibliography"/>
      </w:pPr>
      <w:r w:rsidRPr="00CF01B4">
        <w:t xml:space="preserve">Drescher, KM, Sharma, P &amp; Lynch, HT 2010, 'Current hypotheses on how microsatellite instability leads to enhanced survival of Lynch Syndrome patients', </w:t>
      </w:r>
      <w:r w:rsidRPr="00CF01B4">
        <w:rPr>
          <w:i/>
        </w:rPr>
        <w:t>Clin Dev Immunol</w:t>
      </w:r>
      <w:r w:rsidRPr="00CF01B4">
        <w:t>, vol. 2010, p. 170432.</w:t>
      </w:r>
    </w:p>
    <w:p w14:paraId="46A8C7AA" w14:textId="77777777" w:rsidR="00CF01B4" w:rsidRPr="00CF01B4" w:rsidRDefault="00CF01B4" w:rsidP="00CF01B4">
      <w:pPr>
        <w:pStyle w:val="EndNoteBibliography"/>
      </w:pPr>
      <w:r w:rsidRPr="00CF01B4">
        <w:t xml:space="preserve">Dudley, JC, Lin, MT, Le, DT &amp; Eshleman, JR 2016, 'Microsatellite Instability as a Biomarker for PD-1 Blockade', </w:t>
      </w:r>
      <w:r w:rsidRPr="00CF01B4">
        <w:rPr>
          <w:i/>
        </w:rPr>
        <w:t>Clin Cancer Res</w:t>
      </w:r>
      <w:r w:rsidRPr="00CF01B4">
        <w:t>, vol. 22, no. 4, Feb 15, pp. 813-820.</w:t>
      </w:r>
    </w:p>
    <w:p w14:paraId="3F7EAD9D" w14:textId="77777777" w:rsidR="00CF01B4" w:rsidRPr="00CF01B4" w:rsidRDefault="00CF01B4" w:rsidP="00CF01B4">
      <w:pPr>
        <w:pStyle w:val="EndNoteBibliography"/>
      </w:pPr>
      <w:r w:rsidRPr="00CF01B4">
        <w:t xml:space="preserve">Gokare, P, Lulla, AR &amp; El-Deiry, WS 2017, 'MMR-deficiency and BRCA2/EGFR/NTRK mutations', </w:t>
      </w:r>
      <w:r w:rsidRPr="00CF01B4">
        <w:rPr>
          <w:i/>
        </w:rPr>
        <w:t>Aging (Albany NY)</w:t>
      </w:r>
      <w:r w:rsidRPr="00CF01B4">
        <w:t>, vol. 9, no. 8, Aug 3, pp. 1849-1850.</w:t>
      </w:r>
    </w:p>
    <w:p w14:paraId="17BAAE5B" w14:textId="77777777" w:rsidR="00CF01B4" w:rsidRPr="00CF01B4" w:rsidRDefault="00CF01B4" w:rsidP="00CF01B4">
      <w:pPr>
        <w:pStyle w:val="EndNoteBibliography"/>
      </w:pPr>
      <w:r w:rsidRPr="00CF01B4">
        <w:t xml:space="preserve">Le, DT, Durham, JN, Smith, KN, Wang, H, Bartlett, BR, Aulakh, LK, Lu, S, Kemberling, H, Wilt, C, Luber, BS, Wong, F, Azad, NS, Rucki, AA, Laheru, D, Donehower, R, Zaheer, A, Fisher, GA, Crocenzi, TS, Lee, JJ, Greten, TF, Duffy, AG, Ciombor, KK, Eyring, AD, Lam, BH, Joe, A, Kang, SP, Holdhoff, M, Danilova, L, Cope, L, Meyer, C, Zhou, S, Goldberg, RM, Armstrong, DK, Bever, KM, Fader, AN, Taube, J, Housseau, F, Spetzler, D, Xiao, N, Pardoll, DM, Papadopoulos, N, Kinzler, KW, Eshleman, JR, Vogelstein, B, Anders, RA &amp; Diaz, LA, Jr. 2017, 'Mismatch repair deficiency predicts response of solid tumors to PD-1 blockade', </w:t>
      </w:r>
      <w:r w:rsidRPr="00CF01B4">
        <w:rPr>
          <w:i/>
        </w:rPr>
        <w:t>Science</w:t>
      </w:r>
      <w:r w:rsidRPr="00CF01B4">
        <w:t>, vol. 357, no. 6349, Jul 28, pp. 409-413.</w:t>
      </w:r>
    </w:p>
    <w:p w14:paraId="49D0C48A" w14:textId="77777777" w:rsidR="00CF01B4" w:rsidRPr="00CF01B4" w:rsidRDefault="00CF01B4" w:rsidP="00CF01B4">
      <w:pPr>
        <w:pStyle w:val="EndNoteBibliography"/>
      </w:pPr>
      <w:r w:rsidRPr="00CF01B4">
        <w:t xml:space="preserve">Llosa, NJ, Cruise, M, Tam, A, Wicks, EC, Hechenbleikner, EM, Taube, JM, Blosser, RL, Fan, H, Wang, H, Luber, BS, Zhang, M, Papadopoulos, N, Kinzler, KW, Vogelstein, B, Sears, CL, Anders, RA, Pardoll, DM &amp; Housseau, F 2015, 'The Vigorous Immune Microenvironment of Microsatellite Instable Colon Cancer Is Balanced by Multiple Counter-Inhibitory Checkpoints', </w:t>
      </w:r>
      <w:r w:rsidRPr="00CF01B4">
        <w:rPr>
          <w:i/>
        </w:rPr>
        <w:t>Cancer Discovery</w:t>
      </w:r>
      <w:r w:rsidRPr="00CF01B4">
        <w:t>, vol. 5, no. 1, January 1, 2015, pp. 43-51.</w:t>
      </w:r>
    </w:p>
    <w:p w14:paraId="667C75DA" w14:textId="77777777" w:rsidR="00CF01B4" w:rsidRPr="00CF01B4" w:rsidRDefault="00CF01B4" w:rsidP="00CF01B4">
      <w:pPr>
        <w:pStyle w:val="EndNoteBibliography"/>
      </w:pPr>
      <w:r w:rsidRPr="00CF01B4">
        <w:t xml:space="preserve">Mills, AM, Dill, EA, Moskaluk, CA, Dziegielewski, J, Bullock, TN &amp; Dillon, PM 2017, 'The Relationship Between Mismatch Repair Deficiency and PD-L1 Expression in Breast Carcinoma', </w:t>
      </w:r>
      <w:r w:rsidRPr="00CF01B4">
        <w:rPr>
          <w:i/>
        </w:rPr>
        <w:t>Am J Surg Pathol</w:t>
      </w:r>
      <w:r w:rsidRPr="00CF01B4">
        <w:t>, Sep 13.</w:t>
      </w:r>
    </w:p>
    <w:p w14:paraId="2A923D75" w14:textId="77777777" w:rsidR="00CF01B4" w:rsidRPr="00CF01B4" w:rsidRDefault="00CF01B4" w:rsidP="00CF01B4">
      <w:pPr>
        <w:pStyle w:val="EndNoteBibliography"/>
      </w:pPr>
      <w:r w:rsidRPr="00CF01B4">
        <w:t xml:space="preserve">Rizvi, H, Sanchez-Vega, F, La, K, Chatila, W, Jonsson, P, Halpenny, D, Plodkowski, A, Long, N, Sauter, JL, Rekhtman, N, Hollmann, T, Schalper, KA, Gainor, JF, Shen, R, Ni, A, Arbour, KC, Merghoub, T, Wolchok, J, Snyder, A, Chaft, JE, Kris, MG, Rudin, CM, Socci, ND, Berger, MF, Taylor, BS, Zehir, A, Solit, DB, Arcila, ME, Ladanyi, M, Riely, GJ, Schultz, N &amp; Hellmann, MD 2018, 'Molecular Determinants of Response to Anti-Programmed Cell Death (PD)-1 and Anti-Programmed Death-Ligand (PD-L)-Ligand 1 Blockade in Patients With Non-Small-Cell Lung Cancer Profiled With Targeted Next-Generation Sequencing', </w:t>
      </w:r>
      <w:r w:rsidRPr="00CF01B4">
        <w:rPr>
          <w:i/>
        </w:rPr>
        <w:t>J Clin Oncol</w:t>
      </w:r>
      <w:r w:rsidRPr="00CF01B4">
        <w:t>, Jan 16, p. JCO2017753384.</w:t>
      </w:r>
    </w:p>
    <w:p w14:paraId="478304BC" w14:textId="77777777" w:rsidR="00CF01B4" w:rsidRPr="00CF01B4" w:rsidRDefault="00CF01B4" w:rsidP="00CF01B4">
      <w:pPr>
        <w:pStyle w:val="EndNoteBibliography"/>
      </w:pPr>
      <w:r w:rsidRPr="00CF01B4">
        <w:t xml:space="preserve">Rosenbaum, MW, Bledsoe, JR, Morales-Oyarvide, V, Huynh, TG &amp; Mino-Kenudson, M 2016, 'PD-L1 expression in colorectal cancer is associated with microsatellite instability, BRAF mutation, medullary morphology and cytotoxic tumor-infiltrating lymphocytes', </w:t>
      </w:r>
      <w:r w:rsidRPr="00CF01B4">
        <w:rPr>
          <w:i/>
        </w:rPr>
        <w:t>Mod Pathol</w:t>
      </w:r>
      <w:r w:rsidRPr="00CF01B4">
        <w:t>, May 20.</w:t>
      </w:r>
    </w:p>
    <w:p w14:paraId="0F67FA25" w14:textId="307A1FD1" w:rsidR="00CF01B4" w:rsidRPr="00CF01B4" w:rsidRDefault="00CF01B4" w:rsidP="00CF01B4">
      <w:pPr>
        <w:pStyle w:val="EndNoteBibliography"/>
      </w:pPr>
      <w:r w:rsidRPr="00CF01B4">
        <w:t xml:space="preserve">Scarpa, A, Cataldo, I &amp; Salvatore, L 2016, 'Microsatellite Instability - Defective DNA Mismatch Repair', </w:t>
      </w:r>
      <w:r w:rsidRPr="00CF01B4">
        <w:rPr>
          <w:i/>
        </w:rPr>
        <w:t>ESMO Biomarker Factsheet</w:t>
      </w:r>
      <w:r w:rsidRPr="00CF01B4">
        <w:t>, viewed 26 September 2017, &lt;</w:t>
      </w:r>
      <w:hyperlink r:id="rId14" w:anchor="eztoc1701983_0_0_5_8&gt;" w:history="1">
        <w:r w:rsidRPr="00CF01B4">
          <w:rPr>
            <w:rStyle w:val="Hyperlink"/>
          </w:rPr>
          <w:t>http://oncologypro.esmo.org/Education-</w:t>
        </w:r>
        <w:r w:rsidRPr="00CF01B4">
          <w:rPr>
            <w:rStyle w:val="Hyperlink"/>
          </w:rPr>
          <w:lastRenderedPageBreak/>
          <w:t>Library/Factsheets-on-Biomarkers/Microsatellite-Instability-Defective-DNA-Mismatch-Repair#eztoc1701983_0_0_5_8&gt;</w:t>
        </w:r>
      </w:hyperlink>
      <w:r w:rsidRPr="00CF01B4">
        <w:t>.</w:t>
      </w:r>
    </w:p>
    <w:p w14:paraId="02297FED" w14:textId="77777777" w:rsidR="00CF01B4" w:rsidRPr="00CF01B4" w:rsidRDefault="00CF01B4" w:rsidP="00CF01B4">
      <w:pPr>
        <w:pStyle w:val="EndNoteBibliography"/>
      </w:pPr>
      <w:r w:rsidRPr="00CF01B4">
        <w:t xml:space="preserve">Strickland, KC, Howitt, BE, Shukla, SA, Rodig, S, Ritterhouse, LL, Liu, JF, Garber, JE, Chowdhury, D, Wu, CJ, D'Andrea, AD, Matulonis, UA &amp; Konstantinopoulos, PA 2016, 'Association and prognostic significance of BRCA1/2-mutation status with neoantigen load, number of tumor-infiltrating lymphocytes and expression of PD-1/PD-L1 in high grade serous ovarian cancer', </w:t>
      </w:r>
      <w:r w:rsidRPr="00CF01B4">
        <w:rPr>
          <w:i/>
        </w:rPr>
        <w:t>Oncotarget</w:t>
      </w:r>
      <w:r w:rsidRPr="00CF01B4">
        <w:t>, vol. 7, no. 12, Mar 22, pp. 13587-13598.</w:t>
      </w:r>
    </w:p>
    <w:p w14:paraId="08A41A6A" w14:textId="77777777" w:rsidR="00CF01B4" w:rsidRPr="00CF01B4" w:rsidRDefault="00CF01B4" w:rsidP="00CF01B4">
      <w:pPr>
        <w:pStyle w:val="EndNoteBibliography"/>
      </w:pPr>
      <w:r w:rsidRPr="00CF01B4">
        <w:t xml:space="preserve">Vasen, HFA, Johan, G, Offerhaus, A, Den Hartog Jager, FCA, Menko, FH, Nagengast, FM, Griffioen, G, Van Hogezand, RB &amp; Heintz, APM 1990, 'The tumour spectrum in hereditary non-polyposis colorectal cancer: A study of 24 kindreds in the netherlands', </w:t>
      </w:r>
      <w:r w:rsidRPr="00CF01B4">
        <w:rPr>
          <w:i/>
        </w:rPr>
        <w:t>International Journal of Cancer</w:t>
      </w:r>
      <w:r w:rsidRPr="00CF01B4">
        <w:t>, vol. 46, no. 1, pp. 31-34.</w:t>
      </w:r>
    </w:p>
    <w:p w14:paraId="71690E0F" w14:textId="77777777" w:rsidR="00CF01B4" w:rsidRPr="00CF01B4" w:rsidRDefault="00CF01B4" w:rsidP="00CF01B4">
      <w:pPr>
        <w:pStyle w:val="EndNoteBibliography"/>
      </w:pPr>
      <w:r w:rsidRPr="00CF01B4">
        <w:t xml:space="preserve">Zeimet, AG, Mori, H, Petru, E, Polterauer, S, Reinthaller, A, Schauer, C, Scholl-Firon, T, Singer, C, Wimmer, K, Zschocke, J &amp; Marth, C 2017, 'AGO Austria recommendation on screening and diagnosis of Lynch syndrome (LS)', </w:t>
      </w:r>
      <w:r w:rsidRPr="00CF01B4">
        <w:rPr>
          <w:i/>
        </w:rPr>
        <w:t>Archives of Gynecology and Obstetrics</w:t>
      </w:r>
      <w:r w:rsidRPr="00CF01B4">
        <w:t>, vol. 296, no. 1, July 01, pp. 123-127.</w:t>
      </w:r>
    </w:p>
    <w:p w14:paraId="3DA572F8" w14:textId="77777777" w:rsidR="00CF01B4" w:rsidRPr="00CF01B4" w:rsidRDefault="00CF01B4" w:rsidP="00CF01B4">
      <w:pPr>
        <w:pStyle w:val="EndNoteBibliography"/>
      </w:pPr>
    </w:p>
    <w:p w14:paraId="375BCC1E" w14:textId="664D46E3" w:rsidR="00D03612" w:rsidRDefault="00D03612" w:rsidP="004210DB">
      <w:r>
        <w:fldChar w:fldCharType="end"/>
      </w:r>
    </w:p>
    <w:sectPr w:rsidR="00D03612" w:rsidSect="003403CF">
      <w:headerReference w:type="even" r:id="rId15"/>
      <w:footerReference w:type="default" r:id="rId16"/>
      <w:pgSz w:w="11906" w:h="16838"/>
      <w:pgMar w:top="1077" w:right="1247" w:bottom="1440" w:left="124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324D9" w14:textId="77777777" w:rsidR="007B0211" w:rsidRDefault="007B0211" w:rsidP="003D699E">
      <w:pPr>
        <w:spacing w:after="0" w:line="240" w:lineRule="auto"/>
      </w:pPr>
      <w:r>
        <w:separator/>
      </w:r>
    </w:p>
  </w:endnote>
  <w:endnote w:type="continuationSeparator" w:id="0">
    <w:p w14:paraId="78C2CA0F" w14:textId="77777777" w:rsidR="007B0211" w:rsidRDefault="007B0211" w:rsidP="003D699E">
      <w:pPr>
        <w:spacing w:after="0" w:line="240" w:lineRule="auto"/>
      </w:pPr>
      <w:r>
        <w:continuationSeparator/>
      </w:r>
    </w:p>
  </w:endnote>
  <w:endnote w:type="continuationNotice" w:id="1">
    <w:p w14:paraId="0778A84D" w14:textId="77777777" w:rsidR="007B0211" w:rsidRDefault="007B0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08FB55DE" w14:textId="340C7C82" w:rsidR="009F42A2" w:rsidRDefault="009F42A2"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C29FE" w:rsidRPr="006C29FE">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19 February 2018</w:t>
        </w:r>
      </w:p>
      <w:p w14:paraId="2D19D06F" w14:textId="182C5389" w:rsidR="009F42A2" w:rsidRPr="00CF2DFA" w:rsidRDefault="009F42A2" w:rsidP="007A0CF6">
        <w:pPr>
          <w:pStyle w:val="Footer"/>
          <w:pBdr>
            <w:top w:val="single" w:sz="4" w:space="1" w:color="D9D9D9" w:themeColor="background1" w:themeShade="D9"/>
          </w:pBdr>
          <w:ind w:left="284" w:hanging="284"/>
          <w:rPr>
            <w:b/>
            <w:bCs/>
            <w:sz w:val="18"/>
            <w:szCs w:val="18"/>
          </w:rPr>
        </w:pPr>
        <w:r>
          <w:rPr>
            <w:color w:val="808080" w:themeColor="background1" w:themeShade="80"/>
            <w:spacing w:val="60"/>
            <w:sz w:val="18"/>
            <w:szCs w:val="18"/>
          </w:rPr>
          <w:tab/>
          <w:t xml:space="preserve">Application 1508: </w:t>
        </w:r>
        <w:r w:rsidRPr="007A0CF6">
          <w:rPr>
            <w:color w:val="808080" w:themeColor="background1" w:themeShade="80"/>
            <w:spacing w:val="60"/>
            <w:sz w:val="18"/>
            <w:szCs w:val="18"/>
          </w:rPr>
          <w:t xml:space="preserve">Pembrolizumab in </w:t>
        </w:r>
        <w:r>
          <w:rPr>
            <w:color w:val="808080" w:themeColor="background1" w:themeShade="80"/>
            <w:spacing w:val="60"/>
            <w:sz w:val="18"/>
            <w:szCs w:val="18"/>
          </w:rPr>
          <w:t>MMR</w:t>
        </w:r>
        <w:r w:rsidRPr="007A0CF6">
          <w:rPr>
            <w:color w:val="808080" w:themeColor="background1" w:themeShade="80"/>
            <w:spacing w:val="60"/>
            <w:sz w:val="18"/>
            <w:szCs w:val="18"/>
          </w:rPr>
          <w:t xml:space="preserve"> Deficient Stage IV Solid tumours other than </w:t>
        </w:r>
        <w:r>
          <w:rPr>
            <w:color w:val="808080" w:themeColor="background1" w:themeShade="80"/>
            <w:spacing w:val="60"/>
            <w:sz w:val="18"/>
            <w:szCs w:val="18"/>
          </w:rPr>
          <w:t>CRC</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0A0BC" w14:textId="77777777" w:rsidR="007B0211" w:rsidRDefault="007B0211" w:rsidP="003D699E">
      <w:pPr>
        <w:spacing w:after="0" w:line="240" w:lineRule="auto"/>
      </w:pPr>
      <w:r>
        <w:separator/>
      </w:r>
    </w:p>
  </w:footnote>
  <w:footnote w:type="continuationSeparator" w:id="0">
    <w:p w14:paraId="48832D5A" w14:textId="77777777" w:rsidR="007B0211" w:rsidRDefault="007B0211" w:rsidP="003D699E">
      <w:pPr>
        <w:spacing w:after="0" w:line="240" w:lineRule="auto"/>
      </w:pPr>
      <w:r>
        <w:continuationSeparator/>
      </w:r>
    </w:p>
  </w:footnote>
  <w:footnote w:type="continuationNotice" w:id="1">
    <w:p w14:paraId="38D8CA7C" w14:textId="77777777" w:rsidR="007B0211" w:rsidRDefault="007B0211">
      <w:pPr>
        <w:spacing w:after="0" w:line="240" w:lineRule="auto"/>
      </w:pPr>
    </w:p>
  </w:footnote>
  <w:footnote w:id="2">
    <w:p w14:paraId="7F27267B" w14:textId="77777777" w:rsidR="009F42A2" w:rsidRDefault="009F42A2" w:rsidP="004367C6">
      <w:pPr>
        <w:pStyle w:val="FootnoteText"/>
      </w:pPr>
      <w:r>
        <w:rPr>
          <w:rStyle w:val="FootnoteReference"/>
        </w:rPr>
        <w:footnoteRef/>
      </w:r>
      <w:r>
        <w:t xml:space="preserve">  See s</w:t>
      </w:r>
      <w:r w:rsidRPr="00F31516">
        <w:t>ection 2</w:t>
      </w:r>
      <w:r>
        <w:t>d</w:t>
      </w:r>
      <w:r w:rsidRPr="00F31516">
        <w:t xml:space="preserve"> of the </w:t>
      </w:r>
      <w:r>
        <w:t>‘</w:t>
      </w:r>
      <w:r w:rsidRPr="00F31516">
        <w:t>Guidelines for preparing a submission to the PBAC</w:t>
      </w:r>
      <w:r>
        <w:t>’ for</w:t>
      </w:r>
      <w:r w:rsidRPr="00F31516">
        <w:t xml:space="preserve"> Product Type 4 </w:t>
      </w:r>
      <w:r>
        <w:t>– Co-dependent technologies for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C898" w14:textId="77777777" w:rsidR="009F42A2" w:rsidRDefault="009F42A2">
    <w:pPr>
      <w:pStyle w:val="Header"/>
    </w:pPr>
    <w:r>
      <w:rPr>
        <w:noProof/>
        <w:lang w:eastAsia="en-AU"/>
      </w:rPr>
      <mc:AlternateContent>
        <mc:Choice Requires="wps">
          <w:drawing>
            <wp:anchor distT="0" distB="0" distL="114300" distR="114300" simplePos="0" relativeHeight="251657728" behindDoc="1" locked="0" layoutInCell="0" allowOverlap="1" wp14:anchorId="601B21B4" wp14:editId="0BE8DB06">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F58207" w14:textId="77777777" w:rsidR="009F42A2" w:rsidRDefault="009F42A2"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3F58207" w14:textId="77777777" w:rsidR="009F42A2" w:rsidRDefault="009F42A2" w:rsidP="00F75FB0">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745FE6"/>
    <w:multiLevelType w:val="hybridMultilevel"/>
    <w:tmpl w:val="79B0FBB8"/>
    <w:lvl w:ilvl="0" w:tplc="49AE075E">
      <w:start w:val="1"/>
      <w:numFmt w:val="decimal"/>
      <w:pStyle w:val="Heading2"/>
      <w:lvlText w:val="%1."/>
      <w:lvlJc w:val="left"/>
      <w:pPr>
        <w:ind w:left="720" w:hanging="360"/>
      </w:pPr>
      <w:rPr>
        <w:rFonts w:hint="default"/>
        <w:b/>
        <w:i/>
        <w:color w:val="548DD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AD2394A"/>
    <w:multiLevelType w:val="hybridMultilevel"/>
    <w:tmpl w:val="F6408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4F180C40"/>
    <w:multiLevelType w:val="hybridMultilevel"/>
    <w:tmpl w:val="6614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53119F"/>
    <w:multiLevelType w:val="hybridMultilevel"/>
    <w:tmpl w:val="34C6051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4"/>
  </w:num>
  <w:num w:numId="4">
    <w:abstractNumId w:val="11"/>
  </w:num>
  <w:num w:numId="5">
    <w:abstractNumId w:val="12"/>
  </w:num>
  <w:num w:numId="6">
    <w:abstractNumId w:val="6"/>
  </w:num>
  <w:num w:numId="7">
    <w:abstractNumId w:val="3"/>
  </w:num>
  <w:num w:numId="8">
    <w:abstractNumId w:val="1"/>
  </w:num>
  <w:num w:numId="9">
    <w:abstractNumId w:val="8"/>
  </w:num>
  <w:num w:numId="10">
    <w:abstractNumId w:val="10"/>
  </w:num>
  <w:num w:numId="11">
    <w:abstractNumId w:val="2"/>
  </w:num>
  <w:num w:numId="12">
    <w:abstractNumId w:val="5"/>
  </w:num>
  <w:num w:numId="13">
    <w:abstractNumId w:val="2"/>
    <w:lvlOverride w:ilvl="0">
      <w:startOverride w:val="1"/>
    </w:lvlOverride>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Morona">
    <w15:presenceInfo w15:providerId="AD" w15:userId="S-1-5-21-1390582872-192029990-4074164785-62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9sdrfwoaw9fce5xr9pew9gz9epate29xvw&quot;&gt;MMR in non-CRC&lt;record-ids&gt;&lt;item&gt;1&lt;/item&gt;&lt;item&gt;6&lt;/item&gt;&lt;item&gt;7&lt;/item&gt;&lt;item&gt;8&lt;/item&gt;&lt;item&gt;9&lt;/item&gt;&lt;item&gt;10&lt;/item&gt;&lt;item&gt;11&lt;/item&gt;&lt;item&gt;12&lt;/item&gt;&lt;item&gt;15&lt;/item&gt;&lt;item&gt;16&lt;/item&gt;&lt;item&gt;17&lt;/item&gt;&lt;item&gt;18&lt;/item&gt;&lt;item&gt;20&lt;/item&gt;&lt;item&gt;21&lt;/item&gt;&lt;item&gt;22&lt;/item&gt;&lt;item&gt;23&lt;/item&gt;&lt;item&gt;24&lt;/item&gt;&lt;/record-ids&gt;&lt;/item&gt;&lt;/Libraries&gt;"/>
  </w:docVars>
  <w:rsids>
    <w:rsidRoot w:val="0044715D"/>
    <w:rsid w:val="00002118"/>
    <w:rsid w:val="00004548"/>
    <w:rsid w:val="00005E7C"/>
    <w:rsid w:val="000127D8"/>
    <w:rsid w:val="00014375"/>
    <w:rsid w:val="00021EF7"/>
    <w:rsid w:val="00032F32"/>
    <w:rsid w:val="000338F6"/>
    <w:rsid w:val="0003582F"/>
    <w:rsid w:val="00045766"/>
    <w:rsid w:val="00055D6E"/>
    <w:rsid w:val="0006223D"/>
    <w:rsid w:val="00063AC8"/>
    <w:rsid w:val="00075556"/>
    <w:rsid w:val="000A0FBA"/>
    <w:rsid w:val="000A6DC7"/>
    <w:rsid w:val="000B3AAC"/>
    <w:rsid w:val="000B519A"/>
    <w:rsid w:val="000C2200"/>
    <w:rsid w:val="000D197E"/>
    <w:rsid w:val="000D2447"/>
    <w:rsid w:val="000E2BE8"/>
    <w:rsid w:val="000E7E5C"/>
    <w:rsid w:val="001002B0"/>
    <w:rsid w:val="00105958"/>
    <w:rsid w:val="00143C75"/>
    <w:rsid w:val="001455EC"/>
    <w:rsid w:val="00161F2E"/>
    <w:rsid w:val="001701A2"/>
    <w:rsid w:val="00173D5B"/>
    <w:rsid w:val="0018199E"/>
    <w:rsid w:val="00181FCD"/>
    <w:rsid w:val="00185A78"/>
    <w:rsid w:val="00187EB3"/>
    <w:rsid w:val="0019139D"/>
    <w:rsid w:val="00191E53"/>
    <w:rsid w:val="00196119"/>
    <w:rsid w:val="00197879"/>
    <w:rsid w:val="001A605B"/>
    <w:rsid w:val="001C1A05"/>
    <w:rsid w:val="001C7A2C"/>
    <w:rsid w:val="001D770F"/>
    <w:rsid w:val="001E1507"/>
    <w:rsid w:val="001E1EC1"/>
    <w:rsid w:val="001E7DB2"/>
    <w:rsid w:val="002106DB"/>
    <w:rsid w:val="00214CD1"/>
    <w:rsid w:val="002272A8"/>
    <w:rsid w:val="002350D0"/>
    <w:rsid w:val="00235E7D"/>
    <w:rsid w:val="002401A5"/>
    <w:rsid w:val="00241E9B"/>
    <w:rsid w:val="00276CAC"/>
    <w:rsid w:val="002777DE"/>
    <w:rsid w:val="00280BB6"/>
    <w:rsid w:val="00292DE9"/>
    <w:rsid w:val="002A03CE"/>
    <w:rsid w:val="002A36D0"/>
    <w:rsid w:val="002A4909"/>
    <w:rsid w:val="002A66BD"/>
    <w:rsid w:val="002B121F"/>
    <w:rsid w:val="002B226C"/>
    <w:rsid w:val="002B3338"/>
    <w:rsid w:val="002C1602"/>
    <w:rsid w:val="002C26A3"/>
    <w:rsid w:val="002C663B"/>
    <w:rsid w:val="00303C94"/>
    <w:rsid w:val="00304867"/>
    <w:rsid w:val="003140D6"/>
    <w:rsid w:val="00315326"/>
    <w:rsid w:val="00322BC2"/>
    <w:rsid w:val="00326737"/>
    <w:rsid w:val="00330A7F"/>
    <w:rsid w:val="00333259"/>
    <w:rsid w:val="003403CF"/>
    <w:rsid w:val="003525F6"/>
    <w:rsid w:val="00362776"/>
    <w:rsid w:val="003632A5"/>
    <w:rsid w:val="00382875"/>
    <w:rsid w:val="003928EF"/>
    <w:rsid w:val="00396260"/>
    <w:rsid w:val="003A5A32"/>
    <w:rsid w:val="003B442B"/>
    <w:rsid w:val="003C2094"/>
    <w:rsid w:val="003C597B"/>
    <w:rsid w:val="003D699E"/>
    <w:rsid w:val="003E0382"/>
    <w:rsid w:val="003E390A"/>
    <w:rsid w:val="003E4489"/>
    <w:rsid w:val="003E6958"/>
    <w:rsid w:val="003F2146"/>
    <w:rsid w:val="003F37CE"/>
    <w:rsid w:val="004059F5"/>
    <w:rsid w:val="00411511"/>
    <w:rsid w:val="004210DB"/>
    <w:rsid w:val="0042483F"/>
    <w:rsid w:val="00425538"/>
    <w:rsid w:val="004367C6"/>
    <w:rsid w:val="00437F6B"/>
    <w:rsid w:val="00440228"/>
    <w:rsid w:val="0044715D"/>
    <w:rsid w:val="00447F7D"/>
    <w:rsid w:val="004546B5"/>
    <w:rsid w:val="004625D2"/>
    <w:rsid w:val="00463CB6"/>
    <w:rsid w:val="004648C8"/>
    <w:rsid w:val="004729E6"/>
    <w:rsid w:val="004757FD"/>
    <w:rsid w:val="004924E0"/>
    <w:rsid w:val="004A0347"/>
    <w:rsid w:val="004A187C"/>
    <w:rsid w:val="004B16F2"/>
    <w:rsid w:val="004B7FEC"/>
    <w:rsid w:val="004C0385"/>
    <w:rsid w:val="004C08E9"/>
    <w:rsid w:val="004C1FA9"/>
    <w:rsid w:val="004C6ADA"/>
    <w:rsid w:val="004C7902"/>
    <w:rsid w:val="004D1D41"/>
    <w:rsid w:val="004D6C5E"/>
    <w:rsid w:val="00504568"/>
    <w:rsid w:val="005179FF"/>
    <w:rsid w:val="005300F7"/>
    <w:rsid w:val="00532BCC"/>
    <w:rsid w:val="00541BD2"/>
    <w:rsid w:val="00543A25"/>
    <w:rsid w:val="005640CC"/>
    <w:rsid w:val="005874B2"/>
    <w:rsid w:val="00592719"/>
    <w:rsid w:val="005C56E3"/>
    <w:rsid w:val="005C6F52"/>
    <w:rsid w:val="005E105B"/>
    <w:rsid w:val="005E22C7"/>
    <w:rsid w:val="005E5FFE"/>
    <w:rsid w:val="005F4D2F"/>
    <w:rsid w:val="0060189C"/>
    <w:rsid w:val="00601948"/>
    <w:rsid w:val="006043B8"/>
    <w:rsid w:val="00607140"/>
    <w:rsid w:val="00626E6E"/>
    <w:rsid w:val="00627B5C"/>
    <w:rsid w:val="00643D06"/>
    <w:rsid w:val="00644920"/>
    <w:rsid w:val="00645890"/>
    <w:rsid w:val="0065155F"/>
    <w:rsid w:val="0065377F"/>
    <w:rsid w:val="00655327"/>
    <w:rsid w:val="00666C48"/>
    <w:rsid w:val="006748FE"/>
    <w:rsid w:val="006B2328"/>
    <w:rsid w:val="006B6119"/>
    <w:rsid w:val="006B61A3"/>
    <w:rsid w:val="006B6204"/>
    <w:rsid w:val="006C29FE"/>
    <w:rsid w:val="006D1643"/>
    <w:rsid w:val="006E2B6C"/>
    <w:rsid w:val="006F236D"/>
    <w:rsid w:val="00701B16"/>
    <w:rsid w:val="00701E04"/>
    <w:rsid w:val="00734F81"/>
    <w:rsid w:val="0073757B"/>
    <w:rsid w:val="00743FF8"/>
    <w:rsid w:val="00746486"/>
    <w:rsid w:val="00751006"/>
    <w:rsid w:val="00752491"/>
    <w:rsid w:val="00753E89"/>
    <w:rsid w:val="00761FE0"/>
    <w:rsid w:val="00762473"/>
    <w:rsid w:val="00764964"/>
    <w:rsid w:val="0077087F"/>
    <w:rsid w:val="00774D90"/>
    <w:rsid w:val="00792078"/>
    <w:rsid w:val="00795758"/>
    <w:rsid w:val="0079618E"/>
    <w:rsid w:val="007A0CF6"/>
    <w:rsid w:val="007A77E8"/>
    <w:rsid w:val="007B0211"/>
    <w:rsid w:val="007B3730"/>
    <w:rsid w:val="007B6D3C"/>
    <w:rsid w:val="007C61F8"/>
    <w:rsid w:val="007C6A9E"/>
    <w:rsid w:val="007E63EF"/>
    <w:rsid w:val="007E6A4F"/>
    <w:rsid w:val="007E7E23"/>
    <w:rsid w:val="007F4E20"/>
    <w:rsid w:val="00803992"/>
    <w:rsid w:val="0082264B"/>
    <w:rsid w:val="0082704D"/>
    <w:rsid w:val="00831CA9"/>
    <w:rsid w:val="0085278A"/>
    <w:rsid w:val="00870120"/>
    <w:rsid w:val="00870245"/>
    <w:rsid w:val="008706D6"/>
    <w:rsid w:val="00874BA7"/>
    <w:rsid w:val="008757BF"/>
    <w:rsid w:val="00880F99"/>
    <w:rsid w:val="00896845"/>
    <w:rsid w:val="008C3A4A"/>
    <w:rsid w:val="008C3E5E"/>
    <w:rsid w:val="008D2EE7"/>
    <w:rsid w:val="008F0DC8"/>
    <w:rsid w:val="00901F2B"/>
    <w:rsid w:val="00914666"/>
    <w:rsid w:val="00915AAE"/>
    <w:rsid w:val="00922237"/>
    <w:rsid w:val="00922842"/>
    <w:rsid w:val="0094091D"/>
    <w:rsid w:val="00946F0B"/>
    <w:rsid w:val="00950F14"/>
    <w:rsid w:val="00952431"/>
    <w:rsid w:val="009536AC"/>
    <w:rsid w:val="00953ED7"/>
    <w:rsid w:val="009805A2"/>
    <w:rsid w:val="00984905"/>
    <w:rsid w:val="009A09A5"/>
    <w:rsid w:val="009B12A5"/>
    <w:rsid w:val="009B45E1"/>
    <w:rsid w:val="009C378A"/>
    <w:rsid w:val="009D0FA1"/>
    <w:rsid w:val="009E5295"/>
    <w:rsid w:val="009E717B"/>
    <w:rsid w:val="009F42A2"/>
    <w:rsid w:val="00A028BF"/>
    <w:rsid w:val="00A031AE"/>
    <w:rsid w:val="00A13372"/>
    <w:rsid w:val="00A34684"/>
    <w:rsid w:val="00A42401"/>
    <w:rsid w:val="00A55EBA"/>
    <w:rsid w:val="00A601AC"/>
    <w:rsid w:val="00A72AA8"/>
    <w:rsid w:val="00A84A56"/>
    <w:rsid w:val="00A8747F"/>
    <w:rsid w:val="00A944A2"/>
    <w:rsid w:val="00AB1F47"/>
    <w:rsid w:val="00AB6988"/>
    <w:rsid w:val="00AC2EF8"/>
    <w:rsid w:val="00AD18E9"/>
    <w:rsid w:val="00AD38B0"/>
    <w:rsid w:val="00AD664C"/>
    <w:rsid w:val="00AE6227"/>
    <w:rsid w:val="00AF5F36"/>
    <w:rsid w:val="00B10576"/>
    <w:rsid w:val="00B10C73"/>
    <w:rsid w:val="00B12790"/>
    <w:rsid w:val="00B13BEA"/>
    <w:rsid w:val="00B14821"/>
    <w:rsid w:val="00B33103"/>
    <w:rsid w:val="00B41F8A"/>
    <w:rsid w:val="00B45971"/>
    <w:rsid w:val="00B46A0A"/>
    <w:rsid w:val="00B535F9"/>
    <w:rsid w:val="00B74426"/>
    <w:rsid w:val="00B74B4D"/>
    <w:rsid w:val="00B77270"/>
    <w:rsid w:val="00B83C0D"/>
    <w:rsid w:val="00B85D39"/>
    <w:rsid w:val="00B91EBE"/>
    <w:rsid w:val="00BA0C6A"/>
    <w:rsid w:val="00BA63AA"/>
    <w:rsid w:val="00BC01B7"/>
    <w:rsid w:val="00BD2217"/>
    <w:rsid w:val="00C042DF"/>
    <w:rsid w:val="00C071C2"/>
    <w:rsid w:val="00C1048B"/>
    <w:rsid w:val="00C15220"/>
    <w:rsid w:val="00C15565"/>
    <w:rsid w:val="00C15D56"/>
    <w:rsid w:val="00C30388"/>
    <w:rsid w:val="00C30968"/>
    <w:rsid w:val="00C36B10"/>
    <w:rsid w:val="00C43701"/>
    <w:rsid w:val="00C504CD"/>
    <w:rsid w:val="00C5308E"/>
    <w:rsid w:val="00C61965"/>
    <w:rsid w:val="00C63A94"/>
    <w:rsid w:val="00C66E17"/>
    <w:rsid w:val="00C83C4C"/>
    <w:rsid w:val="00C852E8"/>
    <w:rsid w:val="00C9630A"/>
    <w:rsid w:val="00C9778A"/>
    <w:rsid w:val="00CC60B0"/>
    <w:rsid w:val="00CD467D"/>
    <w:rsid w:val="00CD64A5"/>
    <w:rsid w:val="00CD6FC8"/>
    <w:rsid w:val="00CF01B4"/>
    <w:rsid w:val="00CF4179"/>
    <w:rsid w:val="00CF7B6E"/>
    <w:rsid w:val="00D02F16"/>
    <w:rsid w:val="00D03612"/>
    <w:rsid w:val="00D26848"/>
    <w:rsid w:val="00D273FD"/>
    <w:rsid w:val="00D34F0B"/>
    <w:rsid w:val="00D46B9E"/>
    <w:rsid w:val="00D46C89"/>
    <w:rsid w:val="00D64A29"/>
    <w:rsid w:val="00D65A10"/>
    <w:rsid w:val="00D82A82"/>
    <w:rsid w:val="00D913DE"/>
    <w:rsid w:val="00D932E9"/>
    <w:rsid w:val="00D93D89"/>
    <w:rsid w:val="00D94D15"/>
    <w:rsid w:val="00DA0572"/>
    <w:rsid w:val="00DB254E"/>
    <w:rsid w:val="00DB32DE"/>
    <w:rsid w:val="00DB3CD9"/>
    <w:rsid w:val="00DB77E5"/>
    <w:rsid w:val="00DC6DCF"/>
    <w:rsid w:val="00DC7DB6"/>
    <w:rsid w:val="00DD645E"/>
    <w:rsid w:val="00DE3D6C"/>
    <w:rsid w:val="00DE637C"/>
    <w:rsid w:val="00DE7839"/>
    <w:rsid w:val="00DF060B"/>
    <w:rsid w:val="00E01D17"/>
    <w:rsid w:val="00E204C4"/>
    <w:rsid w:val="00E23070"/>
    <w:rsid w:val="00E3037F"/>
    <w:rsid w:val="00E364F7"/>
    <w:rsid w:val="00E416C0"/>
    <w:rsid w:val="00E46B27"/>
    <w:rsid w:val="00E46C0B"/>
    <w:rsid w:val="00E5779B"/>
    <w:rsid w:val="00E77F5A"/>
    <w:rsid w:val="00E83EA4"/>
    <w:rsid w:val="00E968F6"/>
    <w:rsid w:val="00E974F5"/>
    <w:rsid w:val="00EA6655"/>
    <w:rsid w:val="00EA7124"/>
    <w:rsid w:val="00EB4F0D"/>
    <w:rsid w:val="00EC7030"/>
    <w:rsid w:val="00ED7BA3"/>
    <w:rsid w:val="00EE7A1F"/>
    <w:rsid w:val="00EF6479"/>
    <w:rsid w:val="00F0186F"/>
    <w:rsid w:val="00F12E59"/>
    <w:rsid w:val="00F346B5"/>
    <w:rsid w:val="00F34A1E"/>
    <w:rsid w:val="00F55094"/>
    <w:rsid w:val="00F55C6C"/>
    <w:rsid w:val="00F62D7B"/>
    <w:rsid w:val="00F64E40"/>
    <w:rsid w:val="00F66C65"/>
    <w:rsid w:val="00F700E1"/>
    <w:rsid w:val="00F75A6C"/>
    <w:rsid w:val="00F75FB0"/>
    <w:rsid w:val="00F84F6C"/>
    <w:rsid w:val="00F87738"/>
    <w:rsid w:val="00F955EA"/>
    <w:rsid w:val="00FA522E"/>
    <w:rsid w:val="00FA5BE8"/>
    <w:rsid w:val="00FB1FF0"/>
    <w:rsid w:val="00FC3F20"/>
    <w:rsid w:val="00FC752E"/>
    <w:rsid w:val="00FE44D0"/>
    <w:rsid w:val="00FF5347"/>
    <w:rsid w:val="00FF5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1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03612"/>
    <w:pPr>
      <w:keepNext/>
      <w:keepLines/>
      <w:numPr>
        <w:numId w:val="11"/>
      </w:numPr>
      <w:spacing w:before="120" w:after="120" w:line="240" w:lineRule="auto"/>
      <w:ind w:left="426"/>
      <w:jc w:val="both"/>
      <w:outlineLvl w:val="1"/>
    </w:pPr>
    <w:rPr>
      <w:rFonts w:eastAsia="MS Gothic"/>
      <w:b/>
      <w:bCs/>
      <w:i/>
      <w:color w:val="548DD4"/>
      <w:sz w:val="24"/>
      <w:szCs w:val="26"/>
    </w:rPr>
  </w:style>
  <w:style w:type="paragraph" w:styleId="Heading3">
    <w:name w:val="heading 3"/>
    <w:basedOn w:val="Normal"/>
    <w:next w:val="Normal"/>
    <w:link w:val="Heading3Char"/>
    <w:uiPriority w:val="9"/>
    <w:unhideWhenUsed/>
    <w:qFormat/>
    <w:rsid w:val="0003582F"/>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612"/>
    <w:rPr>
      <w:rFonts w:ascii="Calibri" w:eastAsia="MS Gothic" w:hAnsi="Calibri" w:cs="Times New Roman"/>
      <w:b/>
      <w:bCs/>
      <w:i/>
      <w:color w:val="548DD4"/>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035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8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3582F"/>
    <w:rPr>
      <w:vertAlign w:val="superscript"/>
    </w:rPr>
  </w:style>
  <w:style w:type="character" w:customStyle="1" w:styleId="Heading3Char">
    <w:name w:val="Heading 3 Char"/>
    <w:basedOn w:val="DefaultParagraphFont"/>
    <w:link w:val="Heading3"/>
    <w:uiPriority w:val="9"/>
    <w:rsid w:val="0003582F"/>
    <w:rPr>
      <w:rFonts w:ascii="Calibri" w:eastAsia="Calibri" w:hAnsi="Calibri" w:cs="Times New Roman"/>
      <w:b/>
      <w:sz w:val="22"/>
    </w:rPr>
  </w:style>
  <w:style w:type="paragraph" w:customStyle="1" w:styleId="EndNoteBibliographyTitle">
    <w:name w:val="EndNote Bibliography Title"/>
    <w:basedOn w:val="Normal"/>
    <w:link w:val="EndNoteBibliographyTitleChar"/>
    <w:rsid w:val="00AC2EF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C2EF8"/>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C2EF8"/>
    <w:pPr>
      <w:spacing w:line="240" w:lineRule="auto"/>
    </w:pPr>
    <w:rPr>
      <w:noProof/>
      <w:lang w:val="en-US"/>
    </w:rPr>
  </w:style>
  <w:style w:type="character" w:customStyle="1" w:styleId="EndNoteBibliographyChar">
    <w:name w:val="EndNote Bibliography Char"/>
    <w:basedOn w:val="DefaultParagraphFont"/>
    <w:link w:val="EndNoteBibliography"/>
    <w:rsid w:val="00AC2EF8"/>
    <w:rPr>
      <w:rFonts w:ascii="Calibri" w:eastAsia="Calibri" w:hAnsi="Calibri" w:cs="Times New Roman"/>
      <w:noProof/>
      <w:sz w:val="22"/>
      <w:lang w:val="en-US"/>
    </w:rPr>
  </w:style>
  <w:style w:type="paragraph" w:styleId="NoSpacing">
    <w:name w:val="No Spacing"/>
    <w:uiPriority w:val="1"/>
    <w:qFormat/>
    <w:rsid w:val="00D03612"/>
    <w:pPr>
      <w:spacing w:after="0" w:line="240" w:lineRule="auto"/>
    </w:pPr>
    <w:rPr>
      <w:rFonts w:ascii="Calibri" w:eastAsia="Calibri" w:hAnsi="Calibri" w:cs="Times New Roman"/>
      <w:sz w:val="22"/>
    </w:rPr>
  </w:style>
  <w:style w:type="paragraph" w:styleId="Revision">
    <w:name w:val="Revision"/>
    <w:hidden/>
    <w:uiPriority w:val="99"/>
    <w:semiHidden/>
    <w:rsid w:val="00F34A1E"/>
    <w:pPr>
      <w:spacing w:after="0" w:line="240" w:lineRule="auto"/>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03612"/>
    <w:pPr>
      <w:keepNext/>
      <w:keepLines/>
      <w:numPr>
        <w:numId w:val="11"/>
      </w:numPr>
      <w:spacing w:before="120" w:after="120" w:line="240" w:lineRule="auto"/>
      <w:ind w:left="426"/>
      <w:jc w:val="both"/>
      <w:outlineLvl w:val="1"/>
    </w:pPr>
    <w:rPr>
      <w:rFonts w:eastAsia="MS Gothic"/>
      <w:b/>
      <w:bCs/>
      <w:i/>
      <w:color w:val="548DD4"/>
      <w:sz w:val="24"/>
      <w:szCs w:val="26"/>
    </w:rPr>
  </w:style>
  <w:style w:type="paragraph" w:styleId="Heading3">
    <w:name w:val="heading 3"/>
    <w:basedOn w:val="Normal"/>
    <w:next w:val="Normal"/>
    <w:link w:val="Heading3Char"/>
    <w:uiPriority w:val="9"/>
    <w:unhideWhenUsed/>
    <w:qFormat/>
    <w:rsid w:val="0003582F"/>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612"/>
    <w:rPr>
      <w:rFonts w:ascii="Calibri" w:eastAsia="MS Gothic" w:hAnsi="Calibri" w:cs="Times New Roman"/>
      <w:b/>
      <w:bCs/>
      <w:i/>
      <w:color w:val="548DD4"/>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F75FB0"/>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0358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58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3582F"/>
    <w:rPr>
      <w:vertAlign w:val="superscript"/>
    </w:rPr>
  </w:style>
  <w:style w:type="character" w:customStyle="1" w:styleId="Heading3Char">
    <w:name w:val="Heading 3 Char"/>
    <w:basedOn w:val="DefaultParagraphFont"/>
    <w:link w:val="Heading3"/>
    <w:uiPriority w:val="9"/>
    <w:rsid w:val="0003582F"/>
    <w:rPr>
      <w:rFonts w:ascii="Calibri" w:eastAsia="Calibri" w:hAnsi="Calibri" w:cs="Times New Roman"/>
      <w:b/>
      <w:sz w:val="22"/>
    </w:rPr>
  </w:style>
  <w:style w:type="paragraph" w:customStyle="1" w:styleId="EndNoteBibliographyTitle">
    <w:name w:val="EndNote Bibliography Title"/>
    <w:basedOn w:val="Normal"/>
    <w:link w:val="EndNoteBibliographyTitleChar"/>
    <w:rsid w:val="00AC2EF8"/>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C2EF8"/>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AC2EF8"/>
    <w:pPr>
      <w:spacing w:line="240" w:lineRule="auto"/>
    </w:pPr>
    <w:rPr>
      <w:noProof/>
      <w:lang w:val="en-US"/>
    </w:rPr>
  </w:style>
  <w:style w:type="character" w:customStyle="1" w:styleId="EndNoteBibliographyChar">
    <w:name w:val="EndNote Bibliography Char"/>
    <w:basedOn w:val="DefaultParagraphFont"/>
    <w:link w:val="EndNoteBibliography"/>
    <w:rsid w:val="00AC2EF8"/>
    <w:rPr>
      <w:rFonts w:ascii="Calibri" w:eastAsia="Calibri" w:hAnsi="Calibri" w:cs="Times New Roman"/>
      <w:noProof/>
      <w:sz w:val="22"/>
      <w:lang w:val="en-US"/>
    </w:rPr>
  </w:style>
  <w:style w:type="paragraph" w:styleId="NoSpacing">
    <w:name w:val="No Spacing"/>
    <w:uiPriority w:val="1"/>
    <w:qFormat/>
    <w:rsid w:val="00D03612"/>
    <w:pPr>
      <w:spacing w:after="0" w:line="240" w:lineRule="auto"/>
    </w:pPr>
    <w:rPr>
      <w:rFonts w:ascii="Calibri" w:eastAsia="Calibri" w:hAnsi="Calibri" w:cs="Times New Roman"/>
      <w:sz w:val="22"/>
    </w:rPr>
  </w:style>
  <w:style w:type="paragraph" w:styleId="Revision">
    <w:name w:val="Revision"/>
    <w:hidden/>
    <w:uiPriority w:val="99"/>
    <w:semiHidden/>
    <w:rsid w:val="00F34A1E"/>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o.org/Guidelin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ihw.gov.au/reports/cancer/cancer-in-australia-2017/dat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oncologypro.esmo.org/Education-Library/Factsheets-on-Biomarkers/Microsatellite-Instability-Defective-DNA-Mismatch-Rep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F2E6-9F1E-4FB1-AE8B-B303AEAF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12232</Words>
  <Characters>69724</Characters>
  <Application>Microsoft Office Word</Application>
  <DocSecurity>4</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Stansfield</dc:creator>
  <cp:lastModifiedBy>Faraz Ghazi</cp:lastModifiedBy>
  <cp:revision>2</cp:revision>
  <cp:lastPrinted>2016-04-27T00:41:00Z</cp:lastPrinted>
  <dcterms:created xsi:type="dcterms:W3CDTF">2018-05-25T01:46:00Z</dcterms:created>
  <dcterms:modified xsi:type="dcterms:W3CDTF">2018-05-25T01:46:00Z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